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61DF6" w:rsidP="00761DF6" w14:paraId="5AFEF604" w14:textId="7338896F">
      <w:pPr>
        <w:tabs>
          <w:tab w:val="left" w:pos="1440"/>
          <w:tab w:val="left" w:pos="4680"/>
          <w:tab w:val="center" w:pos="7200"/>
        </w:tabs>
        <w:spacing w:after="0"/>
        <w:jc w:val="center"/>
        <w:rPr>
          <w:sz w:val="36"/>
        </w:rPr>
      </w:pPr>
      <w:r>
        <w:rPr>
          <w:b/>
          <w:sz w:val="36"/>
        </w:rPr>
        <w:t>IN THE SUPREME COURT OF CALIFORNIA</w:t>
      </w:r>
    </w:p>
    <w:p w:rsidR="00761DF6" w:rsidP="00761DF6" w14:paraId="0230D09F" w14:textId="77777777">
      <w:pPr>
        <w:tabs>
          <w:tab w:val="left" w:pos="1440"/>
          <w:tab w:val="left" w:pos="4680"/>
          <w:tab w:val="center" w:pos="7200"/>
        </w:tabs>
        <w:spacing w:after="0"/>
        <w:jc w:val="center"/>
      </w:pPr>
    </w:p>
    <w:p w:rsidR="00761DF6" w:rsidP="00761DF6" w14:paraId="25C01D15" w14:textId="6434D507">
      <w:pPr>
        <w:tabs>
          <w:tab w:val="left" w:pos="1440"/>
          <w:tab w:val="left" w:pos="4680"/>
          <w:tab w:val="center" w:pos="7200"/>
        </w:tabs>
        <w:spacing w:after="0"/>
        <w:jc w:val="center"/>
      </w:pPr>
      <w:bookmarkStart w:id="0" w:name="plaintiff"/>
      <w:bookmarkEnd w:id="0"/>
      <w:r>
        <w:t>JEFFREY WALKER,</w:t>
      </w:r>
    </w:p>
    <w:p w:rsidR="00761DF6" w:rsidP="00761DF6" w14:paraId="562886BF" w14:textId="778DE126">
      <w:pPr>
        <w:tabs>
          <w:tab w:val="left" w:pos="1440"/>
          <w:tab w:val="left" w:pos="4680"/>
          <w:tab w:val="center" w:pos="7200"/>
        </w:tabs>
        <w:spacing w:after="0"/>
        <w:jc w:val="center"/>
      </w:pPr>
      <w:bookmarkStart w:id="1" w:name="LD"/>
      <w:bookmarkEnd w:id="1"/>
      <w:r>
        <w:t>P</w:t>
      </w:r>
      <w:r w:rsidR="000F5684">
        <w:t>etitioner</w:t>
      </w:r>
      <w:r>
        <w:t>,</w:t>
      </w:r>
    </w:p>
    <w:p w:rsidR="00761DF6" w:rsidP="00761DF6" w14:paraId="6BC62F3E" w14:textId="77777777">
      <w:pPr>
        <w:tabs>
          <w:tab w:val="left" w:pos="1440"/>
          <w:tab w:val="left" w:pos="4680"/>
          <w:tab w:val="center" w:pos="7200"/>
        </w:tabs>
        <w:spacing w:after="0"/>
        <w:jc w:val="center"/>
      </w:pPr>
      <w:r>
        <w:t>v.</w:t>
      </w:r>
    </w:p>
    <w:p w:rsidR="00761DF6" w:rsidRPr="00FC739F" w:rsidP="00761DF6" w14:paraId="2D0F3FE8" w14:textId="19036678">
      <w:pPr>
        <w:tabs>
          <w:tab w:val="left" w:pos="1440"/>
          <w:tab w:val="left" w:pos="4680"/>
          <w:tab w:val="center" w:pos="7200"/>
        </w:tabs>
        <w:spacing w:after="0"/>
        <w:jc w:val="center"/>
      </w:pPr>
      <w:bookmarkStart w:id="2" w:name="appealnum"/>
      <w:bookmarkStart w:id="3" w:name="defendant"/>
      <w:bookmarkEnd w:id="2"/>
      <w:bookmarkEnd w:id="3"/>
      <w:r>
        <w:t xml:space="preserve">THE </w:t>
      </w:r>
      <w:r>
        <w:t xml:space="preserve">SUPERIOR COURT OF </w:t>
      </w:r>
      <w:r>
        <w:t xml:space="preserve">THE CITY AND COUNTY OF </w:t>
      </w:r>
      <w:r w:rsidRPr="00FC739F">
        <w:t>SAN FRANCISCO,</w:t>
      </w:r>
    </w:p>
    <w:p w:rsidR="00761DF6" w:rsidRPr="00FC739F" w:rsidP="00761DF6" w14:paraId="3D136DCA" w14:textId="327EC038">
      <w:pPr>
        <w:tabs>
          <w:tab w:val="left" w:pos="1440"/>
          <w:tab w:val="left" w:pos="4680"/>
          <w:tab w:val="center" w:pos="7200"/>
        </w:tabs>
        <w:spacing w:after="0"/>
        <w:jc w:val="center"/>
      </w:pPr>
      <w:bookmarkStart w:id="4" w:name="county"/>
      <w:bookmarkStart w:id="5" w:name="VD"/>
      <w:bookmarkEnd w:id="4"/>
      <w:bookmarkEnd w:id="5"/>
      <w:r w:rsidRPr="00FC739F">
        <w:t>Respondent</w:t>
      </w:r>
      <w:r w:rsidRPr="00FC739F" w:rsidR="000F5684">
        <w:t>;</w:t>
      </w:r>
    </w:p>
    <w:p w:rsidR="00761DF6" w:rsidRPr="00FC739F" w:rsidP="00761DF6" w14:paraId="3DF59568" w14:textId="55174190">
      <w:pPr>
        <w:tabs>
          <w:tab w:val="left" w:pos="1440"/>
          <w:tab w:val="left" w:pos="4680"/>
          <w:tab w:val="center" w:pos="7200"/>
        </w:tabs>
        <w:spacing w:after="0"/>
        <w:jc w:val="center"/>
      </w:pPr>
      <w:r w:rsidRPr="00FC739F">
        <w:t>THE PEOPLE,</w:t>
      </w:r>
      <w:r w:rsidRPr="00FC739F">
        <w:br/>
        <w:t>Real Party in Interest.</w:t>
      </w:r>
    </w:p>
    <w:p w:rsidR="00761DF6" w:rsidRPr="00FC739F" w:rsidP="00761DF6" w14:paraId="2D67B54D" w14:textId="77777777">
      <w:pPr>
        <w:tabs>
          <w:tab w:val="left" w:pos="1440"/>
          <w:tab w:val="left" w:pos="4680"/>
          <w:tab w:val="center" w:pos="7200"/>
        </w:tabs>
        <w:spacing w:after="0"/>
        <w:jc w:val="center"/>
      </w:pPr>
    </w:p>
    <w:p w:rsidR="00761DF6" w:rsidRPr="00FC739F" w:rsidP="00761DF6" w14:paraId="7EA3196B" w14:textId="3846F890">
      <w:pPr>
        <w:tabs>
          <w:tab w:val="left" w:pos="1440"/>
          <w:tab w:val="left" w:pos="4680"/>
          <w:tab w:val="center" w:pos="7200"/>
        </w:tabs>
        <w:spacing w:after="0"/>
        <w:jc w:val="center"/>
      </w:pPr>
      <w:r w:rsidRPr="00FC739F">
        <w:t>S263588</w:t>
      </w:r>
    </w:p>
    <w:p w:rsidR="00761DF6" w:rsidRPr="00FC739F" w:rsidP="00761DF6" w14:paraId="521324E4" w14:textId="49FF7448">
      <w:pPr>
        <w:tabs>
          <w:tab w:val="left" w:pos="1440"/>
          <w:tab w:val="left" w:pos="4680"/>
          <w:tab w:val="center" w:pos="7200"/>
        </w:tabs>
        <w:spacing w:after="0"/>
        <w:jc w:val="center"/>
      </w:pPr>
      <w:bookmarkStart w:id="6" w:name="supernum"/>
      <w:bookmarkEnd w:id="6"/>
    </w:p>
    <w:p w:rsidR="000F5684" w:rsidRPr="00FC739F" w:rsidP="00761DF6" w14:paraId="681CDAE0" w14:textId="06736D36">
      <w:pPr>
        <w:tabs>
          <w:tab w:val="left" w:pos="1440"/>
          <w:tab w:val="left" w:pos="4680"/>
          <w:tab w:val="center" w:pos="7200"/>
        </w:tabs>
        <w:spacing w:after="0"/>
        <w:jc w:val="center"/>
      </w:pPr>
      <w:r w:rsidRPr="00FC739F">
        <w:t>First Appellate District, Division Four</w:t>
      </w:r>
    </w:p>
    <w:p w:rsidR="000F5684" w:rsidRPr="00FC739F" w:rsidP="00761DF6" w14:paraId="1531526A" w14:textId="74B6AB48">
      <w:pPr>
        <w:tabs>
          <w:tab w:val="left" w:pos="1440"/>
          <w:tab w:val="left" w:pos="4680"/>
          <w:tab w:val="center" w:pos="7200"/>
        </w:tabs>
        <w:spacing w:after="0"/>
        <w:jc w:val="center"/>
      </w:pPr>
      <w:r w:rsidRPr="00FC739F">
        <w:t>A159563</w:t>
      </w:r>
    </w:p>
    <w:p w:rsidR="000F5684" w:rsidRPr="00FC739F" w:rsidP="00761DF6" w14:paraId="13A6138A" w14:textId="77777777">
      <w:pPr>
        <w:tabs>
          <w:tab w:val="left" w:pos="1440"/>
          <w:tab w:val="left" w:pos="4680"/>
          <w:tab w:val="center" w:pos="7200"/>
        </w:tabs>
        <w:spacing w:after="0"/>
        <w:jc w:val="center"/>
      </w:pPr>
    </w:p>
    <w:p w:rsidR="00761DF6" w:rsidRPr="00FC739F" w:rsidP="00761DF6" w14:paraId="437B24F5" w14:textId="0A03AA78">
      <w:pPr>
        <w:tabs>
          <w:tab w:val="left" w:pos="1440"/>
          <w:tab w:val="left" w:pos="4680"/>
          <w:tab w:val="center" w:pos="7200"/>
        </w:tabs>
        <w:spacing w:after="0"/>
        <w:jc w:val="center"/>
      </w:pPr>
      <w:r w:rsidRPr="00FC739F">
        <w:t xml:space="preserve">San Francisco </w:t>
      </w:r>
      <w:r w:rsidRPr="00FC739F" w:rsidR="000F5684">
        <w:t xml:space="preserve">City and </w:t>
      </w:r>
      <w:r w:rsidRPr="00FC739F">
        <w:t>County Superior Court</w:t>
      </w:r>
    </w:p>
    <w:p w:rsidR="00761DF6" w:rsidP="00761DF6" w14:paraId="66459495" w14:textId="69043355">
      <w:pPr>
        <w:tabs>
          <w:tab w:val="left" w:pos="1440"/>
          <w:tab w:val="left" w:pos="4680"/>
          <w:tab w:val="center" w:pos="7200"/>
        </w:tabs>
        <w:spacing w:after="0"/>
        <w:jc w:val="center"/>
      </w:pPr>
      <w:r w:rsidRPr="00FC739F">
        <w:t>2219428</w:t>
      </w:r>
      <w:r w:rsidR="0010741F">
        <w:t>,</w:t>
      </w:r>
      <w:r w:rsidRPr="00FC739F">
        <w:t xml:space="preserve"> 195198</w:t>
      </w:r>
    </w:p>
    <w:p w:rsidR="00761DF6" w:rsidP="00761DF6" w14:paraId="16620035" w14:textId="77777777">
      <w:pPr>
        <w:pBdr>
          <w:bottom w:val="single" w:sz="4" w:space="1" w:color="auto"/>
        </w:pBdr>
        <w:tabs>
          <w:tab w:val="left" w:pos="1440"/>
          <w:tab w:val="left" w:pos="4680"/>
          <w:tab w:val="center" w:pos="7200"/>
        </w:tabs>
        <w:spacing w:after="0"/>
        <w:jc w:val="center"/>
      </w:pPr>
    </w:p>
    <w:p w:rsidR="00761DF6" w:rsidP="00761DF6" w14:paraId="48AEB032" w14:textId="77777777">
      <w:pPr>
        <w:tabs>
          <w:tab w:val="left" w:pos="1440"/>
          <w:tab w:val="left" w:pos="4680"/>
          <w:tab w:val="center" w:pos="7200"/>
        </w:tabs>
        <w:spacing w:after="0"/>
        <w:jc w:val="center"/>
      </w:pPr>
    </w:p>
    <w:p w:rsidR="00761DF6" w:rsidP="00761DF6" w14:paraId="70AA37D1" w14:textId="3C9E3A06">
      <w:pPr>
        <w:tabs>
          <w:tab w:val="left" w:pos="1440"/>
          <w:tab w:val="left" w:pos="4680"/>
          <w:tab w:val="center" w:pos="7200"/>
        </w:tabs>
        <w:spacing w:after="0"/>
        <w:jc w:val="center"/>
      </w:pPr>
      <w:r>
        <w:t>August 30</w:t>
      </w:r>
      <w:r>
        <w:t>, 2021</w:t>
      </w:r>
    </w:p>
    <w:p w:rsidR="00761DF6" w:rsidRPr="00652D6F" w:rsidP="00761DF6" w14:paraId="35057A6D" w14:textId="77777777">
      <w:pPr>
        <w:tabs>
          <w:tab w:val="left" w:pos="1440"/>
          <w:tab w:val="left" w:pos="4680"/>
          <w:tab w:val="center" w:pos="7200"/>
        </w:tabs>
        <w:spacing w:after="0"/>
        <w:jc w:val="left"/>
      </w:pPr>
    </w:p>
    <w:p w:rsidR="00761DF6" w:rsidRPr="00652D6F" w:rsidP="00761DF6" w14:paraId="2E367F91" w14:textId="4DAE3511">
      <w:pPr>
        <w:tabs>
          <w:tab w:val="left" w:pos="1440"/>
          <w:tab w:val="left" w:pos="4680"/>
          <w:tab w:val="center" w:pos="7200"/>
        </w:tabs>
        <w:spacing w:after="0"/>
        <w:jc w:val="left"/>
      </w:pPr>
      <w:r>
        <w:t xml:space="preserve">Justice Cuéllar authored the opinion of the Court, in which </w:t>
      </w:r>
      <w:r w:rsidR="00EF2EC6">
        <w:t>Chief Justice Cantil-Sakauye and Justices Corrigan, Liu, Kruger, Groban, and Jenkins concurred</w:t>
      </w:r>
      <w:r>
        <w:t>.</w:t>
      </w:r>
    </w:p>
    <w:p w:rsidR="00761DF6" w:rsidP="00761DF6" w14:paraId="345BDD84" w14:textId="77777777">
      <w:pPr>
        <w:jc w:val="center"/>
        <w:rPr>
          <w:spacing w:val="100"/>
          <w:szCs w:val="26"/>
        </w:rPr>
      </w:pPr>
    </w:p>
    <w:p w:rsidR="00B8581A" w:rsidP="00B8581A" w14:paraId="1F8B7B8A" w14:textId="37746B6D">
      <w:pPr>
        <w:pBdr>
          <w:bottom w:val="single" w:sz="4" w:space="1" w:color="auto"/>
        </w:pBdr>
        <w:tabs>
          <w:tab w:val="left" w:pos="1440"/>
          <w:tab w:val="left" w:pos="4680"/>
          <w:tab w:val="center" w:pos="7200"/>
        </w:tabs>
        <w:spacing w:after="0"/>
        <w:jc w:val="left"/>
      </w:pPr>
      <w:r>
        <w:t>Chief Justice Cantil-Sakauye filed a concurring opinion.</w:t>
      </w:r>
    </w:p>
    <w:p w:rsidR="00B8581A" w:rsidP="00B8581A" w14:paraId="187BCDFF" w14:textId="77777777">
      <w:pPr>
        <w:pBdr>
          <w:bottom w:val="single" w:sz="4" w:space="1" w:color="auto"/>
        </w:pBdr>
        <w:tabs>
          <w:tab w:val="left" w:pos="1440"/>
          <w:tab w:val="left" w:pos="4680"/>
          <w:tab w:val="center" w:pos="7200"/>
        </w:tabs>
        <w:spacing w:after="0"/>
        <w:jc w:val="left"/>
      </w:pPr>
    </w:p>
    <w:p w:rsidR="00B8581A" w:rsidP="00B8581A" w14:paraId="391C4AA6" w14:textId="77777777">
      <w:pPr>
        <w:rPr>
          <w:spacing w:val="100"/>
          <w:szCs w:val="26"/>
        </w:rPr>
      </w:pPr>
    </w:p>
    <w:p w:rsidR="00B8581A" w:rsidRPr="00761DF6" w:rsidP="00920F65" w14:paraId="77ACD84F" w14:textId="01E13E36">
      <w:pPr>
        <w:rPr>
          <w:spacing w:val="100"/>
          <w:szCs w:val="26"/>
        </w:rPr>
        <w:sectPr w:rsidSect="00761DF6">
          <w:headerReference w:type="default" r:id="rId6"/>
          <w:footerReference w:type="default" r:id="rId7"/>
          <w:pgSz w:w="12240" w:h="15840"/>
          <w:pgMar w:top="1800" w:right="2160" w:bottom="1440" w:left="2160" w:header="720" w:footer="720" w:gutter="0"/>
          <w:cols w:space="720"/>
          <w:titlePg/>
          <w:docGrid w:linePitch="367"/>
        </w:sectPr>
      </w:pPr>
    </w:p>
    <w:p w:rsidR="00382103" w:rsidP="00382103" w14:paraId="55E89A1A" w14:textId="1706CD67">
      <w:pPr>
        <w:tabs>
          <w:tab w:val="left" w:pos="1440"/>
          <w:tab w:val="left" w:pos="4680"/>
          <w:tab w:val="center" w:pos="7200"/>
        </w:tabs>
        <w:jc w:val="center"/>
      </w:pPr>
      <w:r>
        <w:t>WALKER v. SUPERIOR COURT</w:t>
      </w:r>
    </w:p>
    <w:p w:rsidR="00382103" w:rsidP="00382103" w14:paraId="576CB27B" w14:textId="41B5D2F8">
      <w:pPr>
        <w:tabs>
          <w:tab w:val="left" w:pos="1440"/>
          <w:tab w:val="left" w:pos="4680"/>
          <w:tab w:val="center" w:pos="7200"/>
        </w:tabs>
        <w:jc w:val="center"/>
      </w:pPr>
      <w:r>
        <w:t>S263588</w:t>
      </w:r>
    </w:p>
    <w:p w:rsidR="00382103" w:rsidP="00382103" w14:paraId="00080D20" w14:textId="77777777">
      <w:pPr>
        <w:tabs>
          <w:tab w:val="left" w:pos="1440"/>
          <w:tab w:val="left" w:pos="4680"/>
          <w:tab w:val="center" w:pos="7200"/>
        </w:tabs>
        <w:jc w:val="center"/>
      </w:pPr>
    </w:p>
    <w:p w:rsidR="00382103" w:rsidRPr="00FC273B" w:rsidP="00382103" w14:paraId="4FEC4271" w14:textId="77777777">
      <w:pPr>
        <w:tabs>
          <w:tab w:val="left" w:pos="1440"/>
          <w:tab w:val="left" w:pos="4680"/>
          <w:tab w:val="center" w:pos="7200"/>
        </w:tabs>
        <w:jc w:val="center"/>
      </w:pPr>
      <w:r>
        <w:t>Opinion of the Court by Cuéllar</w:t>
      </w:r>
      <w:r w:rsidRPr="00FC273B">
        <w:t>, J.</w:t>
      </w:r>
    </w:p>
    <w:p w:rsidR="00382103" w:rsidP="00382103" w14:paraId="68A67BCF" w14:textId="77777777">
      <w:pPr>
        <w:rPr>
          <w:szCs w:val="26"/>
        </w:rPr>
      </w:pPr>
    </w:p>
    <w:p w:rsidR="005D1A0B" w:rsidRPr="00761DF6" w:rsidP="00761DF6" w14:paraId="4FE9D629" w14:textId="57B7FE35">
      <w:pPr>
        <w:ind w:firstLine="720"/>
        <w:rPr>
          <w:szCs w:val="26"/>
        </w:rPr>
      </w:pPr>
      <w:r w:rsidRPr="00761DF6">
        <w:rPr>
          <w:szCs w:val="26"/>
        </w:rPr>
        <w:t xml:space="preserve">The Sexually Violent Predator Act </w:t>
      </w:r>
      <w:r w:rsidRPr="00761DF6" w:rsidR="000F5684">
        <w:rPr>
          <w:szCs w:val="26"/>
        </w:rPr>
        <w:t>(Welf. &amp; Inst. Code, §</w:t>
      </w:r>
      <w:r w:rsidR="00E30400">
        <w:rPr>
          <w:szCs w:val="26"/>
        </w:rPr>
        <w:t> </w:t>
      </w:r>
      <w:r w:rsidRPr="00761DF6" w:rsidR="000F5684">
        <w:rPr>
          <w:szCs w:val="26"/>
        </w:rPr>
        <w:t>6600 et seq. (SVPA or the Act)</w:t>
      </w:r>
      <w:r w:rsidR="00B43C17">
        <w:rPr>
          <w:szCs w:val="26"/>
        </w:rPr>
        <w:t>)</w:t>
      </w:r>
      <w:r>
        <w:rPr>
          <w:rStyle w:val="FootnoteReference"/>
          <w:szCs w:val="26"/>
        </w:rPr>
        <w:footnoteReference w:id="3"/>
      </w:r>
      <w:r w:rsidR="000F5684">
        <w:rPr>
          <w:szCs w:val="26"/>
        </w:rPr>
        <w:t xml:space="preserve"> </w:t>
      </w:r>
      <w:r w:rsidRPr="00761DF6">
        <w:rPr>
          <w:szCs w:val="26"/>
        </w:rPr>
        <w:t xml:space="preserve">allows </w:t>
      </w:r>
      <w:r w:rsidRPr="00761DF6" w:rsidR="00D90247">
        <w:rPr>
          <w:szCs w:val="26"/>
        </w:rPr>
        <w:t>the state to petition</w:t>
      </w:r>
      <w:r w:rsidRPr="00761DF6" w:rsidR="004C5307">
        <w:rPr>
          <w:szCs w:val="26"/>
        </w:rPr>
        <w:t xml:space="preserve"> superior court</w:t>
      </w:r>
      <w:r w:rsidR="0034793F">
        <w:rPr>
          <w:szCs w:val="26"/>
        </w:rPr>
        <w:t>s</w:t>
      </w:r>
      <w:r w:rsidRPr="00761DF6" w:rsidR="0083364C">
        <w:rPr>
          <w:szCs w:val="26"/>
        </w:rPr>
        <w:t xml:space="preserve"> </w:t>
      </w:r>
      <w:r w:rsidRPr="00761DF6" w:rsidR="00594539">
        <w:rPr>
          <w:szCs w:val="26"/>
        </w:rPr>
        <w:t>for the</w:t>
      </w:r>
      <w:r w:rsidRPr="00761DF6">
        <w:rPr>
          <w:szCs w:val="26"/>
        </w:rPr>
        <w:t xml:space="preserve"> involuntary </w:t>
      </w:r>
      <w:r w:rsidRPr="00761DF6" w:rsidR="00FF306F">
        <w:rPr>
          <w:szCs w:val="26"/>
        </w:rPr>
        <w:t xml:space="preserve">civil </w:t>
      </w:r>
      <w:r w:rsidRPr="00761DF6">
        <w:rPr>
          <w:szCs w:val="26"/>
        </w:rPr>
        <w:t>commit</w:t>
      </w:r>
      <w:r w:rsidRPr="00761DF6" w:rsidR="00594539">
        <w:rPr>
          <w:szCs w:val="26"/>
        </w:rPr>
        <w:t xml:space="preserve">ment of </w:t>
      </w:r>
      <w:r w:rsidRPr="00761DF6">
        <w:rPr>
          <w:szCs w:val="26"/>
        </w:rPr>
        <w:t xml:space="preserve">certain </w:t>
      </w:r>
      <w:r w:rsidRPr="00761DF6" w:rsidR="008E0B3C">
        <w:rPr>
          <w:szCs w:val="26"/>
        </w:rPr>
        <w:t xml:space="preserve">convicted </w:t>
      </w:r>
      <w:r w:rsidRPr="00761DF6">
        <w:rPr>
          <w:szCs w:val="26"/>
        </w:rPr>
        <w:t xml:space="preserve">sex offenders whose </w:t>
      </w:r>
      <w:r w:rsidRPr="00761DF6" w:rsidR="00594539">
        <w:rPr>
          <w:szCs w:val="26"/>
        </w:rPr>
        <w:t xml:space="preserve">diagnosed mental disorders make them a </w:t>
      </w:r>
      <w:r w:rsidRPr="00761DF6" w:rsidR="006C6AB9">
        <w:rPr>
          <w:szCs w:val="26"/>
        </w:rPr>
        <w:t xml:space="preserve">significant </w:t>
      </w:r>
      <w:r w:rsidRPr="00761DF6" w:rsidR="00594539">
        <w:rPr>
          <w:szCs w:val="26"/>
        </w:rPr>
        <w:t>danger to others and likely to reoffend</w:t>
      </w:r>
      <w:r w:rsidRPr="00761DF6" w:rsidR="00970608">
        <w:rPr>
          <w:szCs w:val="26"/>
        </w:rPr>
        <w:t xml:space="preserve"> </w:t>
      </w:r>
      <w:r w:rsidRPr="00761DF6" w:rsidR="006648F4">
        <w:rPr>
          <w:szCs w:val="26"/>
        </w:rPr>
        <w:t xml:space="preserve">after </w:t>
      </w:r>
      <w:r w:rsidRPr="00761DF6" w:rsidR="00970608">
        <w:rPr>
          <w:szCs w:val="26"/>
        </w:rPr>
        <w:t>releas</w:t>
      </w:r>
      <w:r w:rsidRPr="00761DF6" w:rsidR="00DF5A46">
        <w:rPr>
          <w:szCs w:val="26"/>
        </w:rPr>
        <w:t>e</w:t>
      </w:r>
      <w:r w:rsidRPr="00761DF6" w:rsidR="00970608">
        <w:rPr>
          <w:szCs w:val="26"/>
        </w:rPr>
        <w:t xml:space="preserve"> from prison</w:t>
      </w:r>
      <w:r w:rsidRPr="00761DF6" w:rsidR="00594539">
        <w:rPr>
          <w:szCs w:val="26"/>
        </w:rPr>
        <w:t>.</w:t>
      </w:r>
      <w:r w:rsidRPr="00761DF6" w:rsidR="00D35EE2">
        <w:rPr>
          <w:szCs w:val="26"/>
        </w:rPr>
        <w:t xml:space="preserve">  </w:t>
      </w:r>
      <w:r w:rsidRPr="00761DF6" w:rsidR="005E7B25">
        <w:rPr>
          <w:szCs w:val="26"/>
        </w:rPr>
        <w:t xml:space="preserve">The </w:t>
      </w:r>
      <w:r w:rsidR="008203E9">
        <w:rPr>
          <w:szCs w:val="26"/>
        </w:rPr>
        <w:t>purpose</w:t>
      </w:r>
      <w:r w:rsidRPr="00761DF6" w:rsidR="00690F20">
        <w:rPr>
          <w:szCs w:val="26"/>
        </w:rPr>
        <w:t xml:space="preserve"> of the </w:t>
      </w:r>
      <w:r w:rsidRPr="00761DF6" w:rsidR="006C6AB9">
        <w:rPr>
          <w:szCs w:val="26"/>
        </w:rPr>
        <w:t xml:space="preserve">SVPA </w:t>
      </w:r>
      <w:r w:rsidRPr="00761DF6" w:rsidR="00690F20">
        <w:rPr>
          <w:szCs w:val="26"/>
        </w:rPr>
        <w:t>is to</w:t>
      </w:r>
      <w:r w:rsidRPr="00761DF6" w:rsidR="006C6AB9">
        <w:rPr>
          <w:szCs w:val="26"/>
        </w:rPr>
        <w:t xml:space="preserve"> </w:t>
      </w:r>
      <w:r w:rsidRPr="00761DF6" w:rsidR="005E7B25">
        <w:rPr>
          <w:szCs w:val="26"/>
        </w:rPr>
        <w:t xml:space="preserve">protect the public from </w:t>
      </w:r>
      <w:r w:rsidRPr="00761DF6" w:rsidR="00E8075C">
        <w:rPr>
          <w:szCs w:val="26"/>
        </w:rPr>
        <w:t xml:space="preserve">a </w:t>
      </w:r>
      <w:r w:rsidRPr="00761DF6" w:rsidR="005E7B25">
        <w:rPr>
          <w:szCs w:val="26"/>
        </w:rPr>
        <w:t xml:space="preserve">select group of </w:t>
      </w:r>
      <w:r w:rsidRPr="00761DF6" w:rsidR="00B37CEB">
        <w:rPr>
          <w:szCs w:val="26"/>
        </w:rPr>
        <w:t xml:space="preserve">criminal </w:t>
      </w:r>
      <w:r w:rsidRPr="00761DF6" w:rsidR="005E7B25">
        <w:rPr>
          <w:szCs w:val="26"/>
        </w:rPr>
        <w:t>offenders</w:t>
      </w:r>
      <w:r w:rsidR="00B6616D">
        <w:rPr>
          <w:szCs w:val="26"/>
        </w:rPr>
        <w:t xml:space="preserve"> (sexually violent predators, or SVPs)</w:t>
      </w:r>
      <w:r w:rsidRPr="00761DF6" w:rsidR="002345EA">
        <w:rPr>
          <w:szCs w:val="26"/>
        </w:rPr>
        <w:t>,</w:t>
      </w:r>
      <w:r w:rsidRPr="00761DF6" w:rsidR="005E7B25">
        <w:rPr>
          <w:szCs w:val="26"/>
        </w:rPr>
        <w:t xml:space="preserve"> and to provide these offenders with </w:t>
      </w:r>
      <w:r w:rsidRPr="00761DF6" w:rsidR="005D53AD">
        <w:rPr>
          <w:szCs w:val="26"/>
        </w:rPr>
        <w:t xml:space="preserve">the necessary </w:t>
      </w:r>
      <w:r w:rsidRPr="00761DF6" w:rsidR="005E7B25">
        <w:rPr>
          <w:szCs w:val="26"/>
        </w:rPr>
        <w:t>treatment</w:t>
      </w:r>
      <w:r w:rsidRPr="00761DF6" w:rsidR="005B4152">
        <w:rPr>
          <w:szCs w:val="26"/>
        </w:rPr>
        <w:t xml:space="preserve"> </w:t>
      </w:r>
      <w:r w:rsidRPr="00761DF6" w:rsidR="006648F4">
        <w:rPr>
          <w:szCs w:val="26"/>
        </w:rPr>
        <w:t>for their mental disorders</w:t>
      </w:r>
      <w:r w:rsidRPr="00761DF6" w:rsidR="005E7B25">
        <w:rPr>
          <w:szCs w:val="26"/>
        </w:rPr>
        <w:t xml:space="preserve">.  </w:t>
      </w:r>
      <w:r w:rsidR="00A27C69">
        <w:rPr>
          <w:szCs w:val="26"/>
        </w:rPr>
        <w:t>(</w:t>
      </w:r>
      <w:r w:rsidRPr="00A27C69" w:rsidR="00DF3EAE">
        <w:rPr>
          <w:i/>
          <w:iCs/>
          <w:szCs w:val="26"/>
        </w:rPr>
        <w:t>Hubbart v. Superior Ct.</w:t>
      </w:r>
      <w:r w:rsidR="00DF3EAE">
        <w:rPr>
          <w:szCs w:val="26"/>
        </w:rPr>
        <w:t xml:space="preserve"> (1999)</w:t>
      </w:r>
      <w:r w:rsidRPr="00DF3EAE" w:rsidR="00DF3EAE">
        <w:rPr>
          <w:szCs w:val="26"/>
        </w:rPr>
        <w:t xml:space="preserve"> 19 Cal.4th 1138, 1143–</w:t>
      </w:r>
      <w:r w:rsidR="00DF3EAE">
        <w:rPr>
          <w:szCs w:val="26"/>
        </w:rPr>
        <w:t>11</w:t>
      </w:r>
      <w:r w:rsidRPr="00DF3EAE" w:rsidR="00DF3EAE">
        <w:rPr>
          <w:szCs w:val="26"/>
        </w:rPr>
        <w:t>44</w:t>
      </w:r>
      <w:r w:rsidR="00A27C69">
        <w:rPr>
          <w:szCs w:val="26"/>
        </w:rPr>
        <w:t xml:space="preserve"> (</w:t>
      </w:r>
      <w:r w:rsidRPr="00A27C69" w:rsidR="00A27C69">
        <w:rPr>
          <w:i/>
          <w:iCs/>
          <w:szCs w:val="26"/>
        </w:rPr>
        <w:t>Hubbart</w:t>
      </w:r>
      <w:r w:rsidR="00A27C69">
        <w:rPr>
          <w:szCs w:val="26"/>
        </w:rPr>
        <w:t xml:space="preserve">).)  </w:t>
      </w:r>
      <w:r w:rsidRPr="00761DF6" w:rsidR="006C6AB9">
        <w:rPr>
          <w:szCs w:val="26"/>
        </w:rPr>
        <w:t xml:space="preserve">Consistent with this </w:t>
      </w:r>
      <w:r w:rsidR="00F737ED">
        <w:rPr>
          <w:szCs w:val="26"/>
        </w:rPr>
        <w:t>goal</w:t>
      </w:r>
      <w:r w:rsidRPr="00761DF6" w:rsidR="006C6AB9">
        <w:rPr>
          <w:szCs w:val="26"/>
        </w:rPr>
        <w:t xml:space="preserve">, the </w:t>
      </w:r>
      <w:r w:rsidRPr="00761DF6" w:rsidR="002345EA">
        <w:rPr>
          <w:szCs w:val="26"/>
        </w:rPr>
        <w:t>Act</w:t>
      </w:r>
      <w:r w:rsidRPr="00761DF6" w:rsidR="006C6AB9">
        <w:rPr>
          <w:szCs w:val="26"/>
        </w:rPr>
        <w:t xml:space="preserve"> </w:t>
      </w:r>
      <w:r w:rsidR="000F7BFA">
        <w:rPr>
          <w:szCs w:val="26"/>
        </w:rPr>
        <w:t xml:space="preserve">relies on </w:t>
      </w:r>
      <w:r w:rsidRPr="00761DF6" w:rsidR="00561291">
        <w:rPr>
          <w:szCs w:val="26"/>
        </w:rPr>
        <w:t xml:space="preserve">a number of </w:t>
      </w:r>
      <w:r w:rsidRPr="00761DF6" w:rsidR="00D23B13">
        <w:rPr>
          <w:szCs w:val="26"/>
        </w:rPr>
        <w:t xml:space="preserve">procedural </w:t>
      </w:r>
      <w:r w:rsidRPr="00761DF6" w:rsidR="006C6AB9">
        <w:rPr>
          <w:szCs w:val="26"/>
        </w:rPr>
        <w:t xml:space="preserve">safeguards to ensure that only those </w:t>
      </w:r>
      <w:r w:rsidRPr="00761DF6" w:rsidR="00767E90">
        <w:rPr>
          <w:szCs w:val="26"/>
        </w:rPr>
        <w:t xml:space="preserve">offenders </w:t>
      </w:r>
      <w:r w:rsidRPr="00761DF6" w:rsidR="006C6AB9">
        <w:rPr>
          <w:szCs w:val="26"/>
        </w:rPr>
        <w:t xml:space="preserve">predisposed to criminal sexual </w:t>
      </w:r>
      <w:r w:rsidRPr="00761DF6" w:rsidR="00C82C3E">
        <w:rPr>
          <w:szCs w:val="26"/>
        </w:rPr>
        <w:t>violence</w:t>
      </w:r>
      <w:r w:rsidRPr="00761DF6" w:rsidR="00767E90">
        <w:rPr>
          <w:szCs w:val="26"/>
        </w:rPr>
        <w:t xml:space="preserve"> can be committed, and only for as long as they need treatment.</w:t>
      </w:r>
      <w:r w:rsidRPr="00761DF6" w:rsidR="00643370">
        <w:rPr>
          <w:szCs w:val="26"/>
        </w:rPr>
        <w:t xml:space="preserve">  </w:t>
      </w:r>
      <w:r w:rsidRPr="00761DF6" w:rsidR="00C01CE9">
        <w:rPr>
          <w:szCs w:val="26"/>
        </w:rPr>
        <w:t>Section 6602, subdivision (a) of the Act provides one such safeguard</w:t>
      </w:r>
      <w:r w:rsidRPr="00761DF6" w:rsidR="006B4E8F">
        <w:rPr>
          <w:szCs w:val="26"/>
        </w:rPr>
        <w:t>:</w:t>
      </w:r>
      <w:r w:rsidRPr="00761DF6" w:rsidR="00C01CE9">
        <w:rPr>
          <w:szCs w:val="26"/>
        </w:rPr>
        <w:t xml:space="preserve">  </w:t>
      </w:r>
      <w:r w:rsidRPr="00761DF6" w:rsidR="006B4E8F">
        <w:rPr>
          <w:szCs w:val="26"/>
        </w:rPr>
        <w:t xml:space="preserve">It requires </w:t>
      </w:r>
      <w:r w:rsidRPr="00761DF6" w:rsidR="003F0906">
        <w:rPr>
          <w:szCs w:val="26"/>
        </w:rPr>
        <w:t xml:space="preserve">the </w:t>
      </w:r>
      <w:r w:rsidRPr="00761DF6" w:rsidR="003D5DA1">
        <w:rPr>
          <w:szCs w:val="26"/>
        </w:rPr>
        <w:t>superior court to hold a “probable cause hearing”</w:t>
      </w:r>
      <w:r w:rsidRPr="00761DF6" w:rsidR="006B4E8F">
        <w:rPr>
          <w:szCs w:val="26"/>
        </w:rPr>
        <w:t xml:space="preserve"> as an initial step in the judicial process for commitment.  </w:t>
      </w:r>
      <w:r w:rsidRPr="00761DF6" w:rsidR="003D5DA1">
        <w:rPr>
          <w:szCs w:val="26"/>
        </w:rPr>
        <w:t>(§ 6602, subd. (a).)</w:t>
      </w:r>
      <w:r w:rsidRPr="00761DF6" w:rsidR="00591548">
        <w:rPr>
          <w:szCs w:val="26"/>
        </w:rPr>
        <w:t xml:space="preserve">  </w:t>
      </w:r>
      <w:r w:rsidRPr="00761DF6" w:rsidR="000F2C63">
        <w:rPr>
          <w:szCs w:val="26"/>
        </w:rPr>
        <w:t>If the</w:t>
      </w:r>
      <w:r w:rsidRPr="00761DF6" w:rsidR="00391A5C">
        <w:rPr>
          <w:szCs w:val="26"/>
        </w:rPr>
        <w:t xml:space="preserve"> </w:t>
      </w:r>
      <w:r w:rsidRPr="00761DF6" w:rsidR="000F2C63">
        <w:rPr>
          <w:szCs w:val="26"/>
        </w:rPr>
        <w:t>court determines</w:t>
      </w:r>
      <w:r w:rsidRPr="00761DF6" w:rsidR="00591548">
        <w:rPr>
          <w:szCs w:val="26"/>
        </w:rPr>
        <w:t xml:space="preserve"> that </w:t>
      </w:r>
      <w:r w:rsidRPr="00761DF6" w:rsidR="00EA6245">
        <w:rPr>
          <w:szCs w:val="26"/>
        </w:rPr>
        <w:t xml:space="preserve">probable cause supports </w:t>
      </w:r>
      <w:r w:rsidRPr="00761DF6" w:rsidR="00591548">
        <w:rPr>
          <w:szCs w:val="26"/>
        </w:rPr>
        <w:t>the state’s petition</w:t>
      </w:r>
      <w:r w:rsidRPr="00761DF6" w:rsidR="000F2C63">
        <w:rPr>
          <w:szCs w:val="26"/>
        </w:rPr>
        <w:t xml:space="preserve">, it must then </w:t>
      </w:r>
      <w:r w:rsidRPr="00761DF6" w:rsidR="0053659E">
        <w:rPr>
          <w:szCs w:val="26"/>
        </w:rPr>
        <w:t>hold an offender over for trial.</w:t>
      </w:r>
      <w:r w:rsidRPr="00761DF6" w:rsidR="000F2C63">
        <w:rPr>
          <w:szCs w:val="26"/>
        </w:rPr>
        <w:t xml:space="preserve">  </w:t>
      </w:r>
      <w:r w:rsidRPr="00761DF6" w:rsidR="0042614C">
        <w:rPr>
          <w:szCs w:val="26"/>
        </w:rPr>
        <w:t>(</w:t>
      </w:r>
      <w:r w:rsidRPr="00761DF6" w:rsidR="0042614C">
        <w:rPr>
          <w:i/>
          <w:iCs/>
          <w:szCs w:val="26"/>
        </w:rPr>
        <w:t>Ibid</w:t>
      </w:r>
      <w:r w:rsidRPr="00761DF6" w:rsidR="0042614C">
        <w:rPr>
          <w:szCs w:val="26"/>
        </w:rPr>
        <w:t xml:space="preserve">.)  </w:t>
      </w:r>
      <w:r w:rsidRPr="00761DF6" w:rsidR="000F2C63">
        <w:rPr>
          <w:szCs w:val="26"/>
        </w:rPr>
        <w:t>Otherwise, the court must dismiss the petition</w:t>
      </w:r>
      <w:r w:rsidRPr="00761DF6" w:rsidR="00690DBD">
        <w:rPr>
          <w:szCs w:val="26"/>
        </w:rPr>
        <w:t>.</w:t>
      </w:r>
      <w:r w:rsidRPr="00761DF6" w:rsidR="0042614C">
        <w:rPr>
          <w:szCs w:val="26"/>
        </w:rPr>
        <w:t xml:space="preserve">  (</w:t>
      </w:r>
      <w:r w:rsidRPr="00761DF6" w:rsidR="004F5A08">
        <w:rPr>
          <w:i/>
          <w:iCs/>
          <w:szCs w:val="26"/>
        </w:rPr>
        <w:t>Ibid</w:t>
      </w:r>
      <w:r w:rsidRPr="00761DF6" w:rsidR="0042614C">
        <w:rPr>
          <w:szCs w:val="26"/>
        </w:rPr>
        <w:t>.)</w:t>
      </w:r>
    </w:p>
    <w:p w:rsidR="00314A84" w:rsidP="00B06897" w14:paraId="4E043ECA" w14:textId="668FDC93">
      <w:pPr>
        <w:ind w:firstLine="720"/>
      </w:pPr>
      <w:r>
        <w:rPr>
          <w:szCs w:val="26"/>
        </w:rPr>
        <w:t xml:space="preserve">What </w:t>
      </w:r>
      <w:r w:rsidR="005F0D2C">
        <w:rPr>
          <w:szCs w:val="26"/>
        </w:rPr>
        <w:t xml:space="preserve">concerns us in this case is what kind of evidence the trial court may consider in making </w:t>
      </w:r>
      <w:r w:rsidR="00694C38">
        <w:rPr>
          <w:szCs w:val="26"/>
        </w:rPr>
        <w:t>its initial SVPA probable</w:t>
      </w:r>
      <w:r w:rsidR="005F0D2C">
        <w:rPr>
          <w:szCs w:val="26"/>
        </w:rPr>
        <w:t xml:space="preserve"> cause determination.  </w:t>
      </w:r>
      <w:r w:rsidR="004C314D">
        <w:rPr>
          <w:szCs w:val="26"/>
        </w:rPr>
        <w:t xml:space="preserve">Specifically, we must resolve </w:t>
      </w:r>
      <w:r w:rsidR="00F143A0">
        <w:rPr>
          <w:szCs w:val="26"/>
        </w:rPr>
        <w:t xml:space="preserve">whether </w:t>
      </w:r>
      <w:r w:rsidR="00D21B7A">
        <w:rPr>
          <w:szCs w:val="26"/>
        </w:rPr>
        <w:t xml:space="preserve">superior courts can </w:t>
      </w:r>
      <w:r w:rsidR="00175EE8">
        <w:rPr>
          <w:szCs w:val="26"/>
        </w:rPr>
        <w:t>admit</w:t>
      </w:r>
      <w:r w:rsidR="00D21B7A">
        <w:rPr>
          <w:szCs w:val="26"/>
        </w:rPr>
        <w:t xml:space="preserve"> certain</w:t>
      </w:r>
      <w:r w:rsidR="003D2942">
        <w:rPr>
          <w:szCs w:val="26"/>
        </w:rPr>
        <w:t xml:space="preserve"> </w:t>
      </w:r>
      <w:r w:rsidR="00D21B7A">
        <w:rPr>
          <w:szCs w:val="26"/>
        </w:rPr>
        <w:t xml:space="preserve">hearsay evidence </w:t>
      </w:r>
      <w:r w:rsidRPr="00EA5F34" w:rsidR="00EA5F34">
        <w:rPr>
          <w:szCs w:val="26"/>
        </w:rPr>
        <w:t>in psychological evaluation</w:t>
      </w:r>
      <w:r w:rsidR="00B06897">
        <w:rPr>
          <w:szCs w:val="26"/>
        </w:rPr>
        <w:t xml:space="preserve"> reports</w:t>
      </w:r>
      <w:r w:rsidRPr="00EA5F34" w:rsidR="00EA5F34">
        <w:rPr>
          <w:szCs w:val="26"/>
        </w:rPr>
        <w:t xml:space="preserve"> in finding</w:t>
      </w:r>
      <w:r w:rsidR="00EA5F34">
        <w:rPr>
          <w:szCs w:val="26"/>
        </w:rPr>
        <w:t xml:space="preserve"> </w:t>
      </w:r>
      <w:r w:rsidRPr="00EA5F34" w:rsidR="00EA5F34">
        <w:rPr>
          <w:szCs w:val="26"/>
        </w:rPr>
        <w:t xml:space="preserve">probable cause to commit </w:t>
      </w:r>
      <w:r w:rsidR="00EA5F34">
        <w:rPr>
          <w:szCs w:val="26"/>
        </w:rPr>
        <w:t>individuals</w:t>
      </w:r>
      <w:r w:rsidR="00053985">
        <w:rPr>
          <w:szCs w:val="26"/>
        </w:rPr>
        <w:t xml:space="preserve"> </w:t>
      </w:r>
      <w:r w:rsidR="00EA5F34">
        <w:rPr>
          <w:szCs w:val="26"/>
        </w:rPr>
        <w:t>under the SVPA</w:t>
      </w:r>
      <w:r w:rsidR="00321132">
        <w:rPr>
          <w:szCs w:val="26"/>
        </w:rPr>
        <w:t xml:space="preserve">.  </w:t>
      </w:r>
      <w:r w:rsidR="008D3CF3">
        <w:rPr>
          <w:szCs w:val="26"/>
        </w:rPr>
        <w:t xml:space="preserve">Petitioner </w:t>
      </w:r>
      <w:r w:rsidRPr="00761DF6" w:rsidR="007F6334">
        <w:rPr>
          <w:szCs w:val="26"/>
        </w:rPr>
        <w:t xml:space="preserve">Jeffrey Walker </w:t>
      </w:r>
      <w:r w:rsidR="008D3CF3">
        <w:rPr>
          <w:szCs w:val="26"/>
        </w:rPr>
        <w:t>challenges the</w:t>
      </w:r>
      <w:r w:rsidR="008B323A">
        <w:rPr>
          <w:szCs w:val="26"/>
        </w:rPr>
        <w:t xml:space="preserve"> </w:t>
      </w:r>
      <w:r w:rsidR="000F5684">
        <w:rPr>
          <w:szCs w:val="26"/>
        </w:rPr>
        <w:t xml:space="preserve">Court of Appeal’s </w:t>
      </w:r>
      <w:r w:rsidRPr="00761DF6" w:rsidR="007F6334">
        <w:rPr>
          <w:szCs w:val="26"/>
        </w:rPr>
        <w:t>denia</w:t>
      </w:r>
      <w:r w:rsidR="00B20A10">
        <w:rPr>
          <w:szCs w:val="26"/>
        </w:rPr>
        <w:t>l</w:t>
      </w:r>
      <w:r w:rsidRPr="00761DF6" w:rsidR="007F6334">
        <w:rPr>
          <w:szCs w:val="26"/>
        </w:rPr>
        <w:t xml:space="preserve"> of his writ petition</w:t>
      </w:r>
      <w:r w:rsidR="000F5684">
        <w:rPr>
          <w:szCs w:val="26"/>
        </w:rPr>
        <w:t>,</w:t>
      </w:r>
      <w:r w:rsidRPr="00761DF6" w:rsidR="007F6334">
        <w:rPr>
          <w:szCs w:val="26"/>
        </w:rPr>
        <w:t xml:space="preserve"> </w:t>
      </w:r>
      <w:r w:rsidR="007B04EE">
        <w:rPr>
          <w:szCs w:val="26"/>
        </w:rPr>
        <w:t>arguing</w:t>
      </w:r>
      <w:r w:rsidR="008447E3">
        <w:rPr>
          <w:szCs w:val="26"/>
        </w:rPr>
        <w:t xml:space="preserve"> </w:t>
      </w:r>
      <w:r w:rsidR="0047024E">
        <w:rPr>
          <w:szCs w:val="26"/>
        </w:rPr>
        <w:t xml:space="preserve">that </w:t>
      </w:r>
      <w:r w:rsidRPr="00761DF6" w:rsidR="00EF673D">
        <w:rPr>
          <w:szCs w:val="26"/>
        </w:rPr>
        <w:t xml:space="preserve">the </w:t>
      </w:r>
      <w:r w:rsidR="006E6F40">
        <w:rPr>
          <w:szCs w:val="26"/>
        </w:rPr>
        <w:t>trial court</w:t>
      </w:r>
      <w:r w:rsidR="007B04EE">
        <w:rPr>
          <w:szCs w:val="26"/>
        </w:rPr>
        <w:t xml:space="preserve"> </w:t>
      </w:r>
      <w:r w:rsidR="003D2942">
        <w:rPr>
          <w:szCs w:val="26"/>
        </w:rPr>
        <w:t>admitted</w:t>
      </w:r>
      <w:r w:rsidR="007B04EE">
        <w:rPr>
          <w:szCs w:val="26"/>
        </w:rPr>
        <w:t xml:space="preserve"> </w:t>
      </w:r>
      <w:r w:rsidR="00345D25">
        <w:rPr>
          <w:szCs w:val="26"/>
        </w:rPr>
        <w:t>inadmissible</w:t>
      </w:r>
      <w:r w:rsidR="007B04EE">
        <w:rPr>
          <w:szCs w:val="26"/>
        </w:rPr>
        <w:t xml:space="preserve"> hearsay in</w:t>
      </w:r>
      <w:r w:rsidR="00DE4847">
        <w:rPr>
          <w:szCs w:val="26"/>
        </w:rPr>
        <w:t xml:space="preserve"> </w:t>
      </w:r>
      <w:r w:rsidR="00EE19A5">
        <w:rPr>
          <w:szCs w:val="26"/>
        </w:rPr>
        <w:t xml:space="preserve">two </w:t>
      </w:r>
      <w:r w:rsidR="00DE4847">
        <w:rPr>
          <w:szCs w:val="26"/>
        </w:rPr>
        <w:t>evaluation</w:t>
      </w:r>
      <w:r w:rsidR="00BD7BF8">
        <w:rPr>
          <w:szCs w:val="26"/>
        </w:rPr>
        <w:t>s</w:t>
      </w:r>
      <w:r w:rsidR="00DE4847">
        <w:rPr>
          <w:szCs w:val="26"/>
        </w:rPr>
        <w:t xml:space="preserve"> in</w:t>
      </w:r>
      <w:r w:rsidRPr="00761DF6" w:rsidR="00B43B8C">
        <w:rPr>
          <w:szCs w:val="26"/>
        </w:rPr>
        <w:t xml:space="preserve"> </w:t>
      </w:r>
      <w:r w:rsidRPr="00761DF6" w:rsidR="00EF673D">
        <w:rPr>
          <w:szCs w:val="26"/>
        </w:rPr>
        <w:t>finding</w:t>
      </w:r>
      <w:r w:rsidRPr="00761DF6" w:rsidR="00B43B8C">
        <w:rPr>
          <w:szCs w:val="26"/>
        </w:rPr>
        <w:t xml:space="preserve"> </w:t>
      </w:r>
      <w:r w:rsidR="00053985">
        <w:rPr>
          <w:szCs w:val="26"/>
        </w:rPr>
        <w:t>probable cause</w:t>
      </w:r>
      <w:r w:rsidR="00B4708E">
        <w:rPr>
          <w:szCs w:val="26"/>
        </w:rPr>
        <w:t xml:space="preserve">:  </w:t>
      </w:r>
      <w:r w:rsidRPr="006E2F03" w:rsidR="0089023E">
        <w:t xml:space="preserve">factual details underlying two rape offenses that </w:t>
      </w:r>
      <w:r w:rsidRPr="006E2F03" w:rsidR="00A32006">
        <w:t>he</w:t>
      </w:r>
      <w:r w:rsidRPr="006E2F03" w:rsidR="0089023E">
        <w:t xml:space="preserve"> had been charged with, but not convicted of</w:t>
      </w:r>
      <w:r w:rsidRPr="006E2F03" w:rsidR="00A32006">
        <w:t xml:space="preserve">, and resulted in </w:t>
      </w:r>
      <w:r w:rsidRPr="006E2F03" w:rsidR="005749E1">
        <w:t xml:space="preserve">convictions </w:t>
      </w:r>
      <w:r w:rsidR="002B4F1A">
        <w:t xml:space="preserve">that did not qualify as predicate offenses </w:t>
      </w:r>
      <w:r w:rsidRPr="006E2F03" w:rsidR="005749E1">
        <w:t>for commitment under the SVPA</w:t>
      </w:r>
      <w:r w:rsidRPr="006E2F03" w:rsidR="006733D3">
        <w:t>.</w:t>
      </w:r>
      <w:r w:rsidRPr="006E2F03" w:rsidR="006E2F03">
        <w:t xml:space="preserve"> </w:t>
      </w:r>
      <w:r w:rsidR="00901BEC">
        <w:t xml:space="preserve"> </w:t>
      </w:r>
      <w:r w:rsidRPr="006E2F03" w:rsidR="0089023E">
        <w:t xml:space="preserve">He contends </w:t>
      </w:r>
      <w:r w:rsidR="009477F8">
        <w:t xml:space="preserve">that </w:t>
      </w:r>
      <w:r w:rsidR="005F2F91">
        <w:t xml:space="preserve">the trial court’s decision to admit </w:t>
      </w:r>
      <w:r w:rsidR="00507F48">
        <w:t xml:space="preserve">this hearsay concerning nonpredicate offenses </w:t>
      </w:r>
      <w:r w:rsidR="00FD28B2">
        <w:t xml:space="preserve">represented </w:t>
      </w:r>
      <w:r w:rsidR="009477F8">
        <w:t>prejudic</w:t>
      </w:r>
      <w:r w:rsidR="00FD28B2">
        <w:t>ial error</w:t>
      </w:r>
      <w:r w:rsidR="009477F8">
        <w:t>.</w:t>
      </w:r>
    </w:p>
    <w:p w:rsidR="005E28F1" w:rsidRPr="00314A84" w:rsidP="00AB4EE4" w14:paraId="266052D8" w14:textId="460340B1">
      <w:pPr>
        <w:ind w:firstLine="720"/>
      </w:pPr>
      <w:r w:rsidRPr="006E2F03">
        <w:rPr>
          <w:szCs w:val="26"/>
        </w:rPr>
        <w:t>W</w:t>
      </w:r>
      <w:r w:rsidRPr="006E2F03" w:rsidR="00FC19AB">
        <w:rPr>
          <w:szCs w:val="26"/>
        </w:rPr>
        <w:t>e agree.</w:t>
      </w:r>
      <w:r w:rsidRPr="006E2F03" w:rsidR="00440FEF">
        <w:rPr>
          <w:szCs w:val="26"/>
        </w:rPr>
        <w:t xml:space="preserve">  </w:t>
      </w:r>
      <w:r w:rsidRPr="006E2F03" w:rsidR="001530B9">
        <w:t xml:space="preserve">Contrary to the Court of Appeal’s reasoning, section 6602, subdivision </w:t>
      </w:r>
      <w:r w:rsidRPr="00862781" w:rsidR="001530B9">
        <w:t>(a) does not</w:t>
      </w:r>
      <w:r w:rsidRPr="00862781" w:rsidR="00CE2B63">
        <w:t xml:space="preserve"> </w:t>
      </w:r>
      <w:r w:rsidRPr="00862781" w:rsidR="001530B9">
        <w:t>create a</w:t>
      </w:r>
      <w:r w:rsidRPr="00862781" w:rsidR="00A1289B">
        <w:t xml:space="preserve">n </w:t>
      </w:r>
      <w:r w:rsidRPr="00862781" w:rsidR="001530B9">
        <w:t xml:space="preserve">exception </w:t>
      </w:r>
      <w:r w:rsidRPr="00862781" w:rsidR="00B95E50">
        <w:t xml:space="preserve">that allows </w:t>
      </w:r>
      <w:r w:rsidRPr="00862781" w:rsidR="001530B9">
        <w:t xml:space="preserve">hearsay </w:t>
      </w:r>
      <w:r w:rsidRPr="00862781" w:rsidR="00723412">
        <w:t xml:space="preserve">regarding nonpredicate offenses to be introduced via </w:t>
      </w:r>
      <w:r w:rsidRPr="00862781" w:rsidR="001530B9">
        <w:t>evaluation</w:t>
      </w:r>
      <w:r w:rsidRPr="00862781" w:rsidR="00582503">
        <w:t xml:space="preserve"> reports</w:t>
      </w:r>
      <w:r w:rsidRPr="00862781" w:rsidR="001530B9">
        <w:t xml:space="preserve">.  </w:t>
      </w:r>
      <w:r w:rsidR="008203E9">
        <w:t>What we hold is that n</w:t>
      </w:r>
      <w:r w:rsidRPr="00862781" w:rsidR="008203E9">
        <w:t xml:space="preserve">othing </w:t>
      </w:r>
      <w:r w:rsidRPr="00862781" w:rsidR="009931F3">
        <w:t xml:space="preserve">in the statutory language, its legislative history, its place in the broader SVPA statutory scheme, or comparisons </w:t>
      </w:r>
      <w:r w:rsidRPr="00761DF6" w:rsidR="009931F3">
        <w:t xml:space="preserve">to other </w:t>
      </w:r>
      <w:r w:rsidRPr="00BD3DD6" w:rsidR="009931F3">
        <w:t xml:space="preserve">statutory provisions indicates the existence of a hearsay exception for </w:t>
      </w:r>
      <w:r w:rsidRPr="00BD3DD6" w:rsidR="00862781">
        <w:t xml:space="preserve">such </w:t>
      </w:r>
      <w:r w:rsidRPr="00BD3DD6" w:rsidR="009931F3">
        <w:t>hearsay in expert evaluations.</w:t>
      </w:r>
      <w:r w:rsidRPr="00BD3DD6" w:rsidR="00862781">
        <w:t xml:space="preserve">  </w:t>
      </w:r>
      <w:r w:rsidRPr="00BD3DD6" w:rsidR="00303007">
        <w:t>Nor does anyt</w:t>
      </w:r>
      <w:r w:rsidRPr="00BD3DD6" w:rsidR="00E03553">
        <w:t xml:space="preserve">hing in the </w:t>
      </w:r>
      <w:r w:rsidRPr="00BD3DD6" w:rsidR="00FD0218">
        <w:t>SVPA</w:t>
      </w:r>
      <w:r w:rsidRPr="00BD3DD6" w:rsidR="00751BC1">
        <w:t xml:space="preserve"> or our case law</w:t>
      </w:r>
      <w:r w:rsidRPr="00BD3DD6" w:rsidR="00BD3DD6">
        <w:t xml:space="preserve"> </w:t>
      </w:r>
      <w:r w:rsidRPr="00BD3DD6" w:rsidR="00FD0218">
        <w:t xml:space="preserve">indicate that </w:t>
      </w:r>
      <w:r w:rsidRPr="00BD3DD6" w:rsidR="00862781">
        <w:t>the Legislature</w:t>
      </w:r>
      <w:r w:rsidR="006C0ACD">
        <w:t> </w:t>
      </w:r>
      <w:r w:rsidRPr="00BD3DD6" w:rsidR="00BD3DD6">
        <w:t>—</w:t>
      </w:r>
      <w:r w:rsidR="00C678BD">
        <w:t xml:space="preserve"> </w:t>
      </w:r>
      <w:r w:rsidRPr="00BD3DD6" w:rsidR="00BD3DD6">
        <w:t xml:space="preserve">in creating the hearing </w:t>
      </w:r>
      <w:r w:rsidR="005D78B3">
        <w:t xml:space="preserve">as a </w:t>
      </w:r>
      <w:r w:rsidRPr="00BD3DD6" w:rsidR="00BD3DD6">
        <w:t xml:space="preserve">safeguard </w:t>
      </w:r>
      <w:r w:rsidR="005D78B3">
        <w:t>for</w:t>
      </w:r>
      <w:r w:rsidRPr="00BD3DD6" w:rsidR="00BD3DD6">
        <w:t xml:space="preserve"> SVP </w:t>
      </w:r>
      <w:r w:rsidR="005A4368">
        <w:t>candidates</w:t>
      </w:r>
      <w:r w:rsidRPr="00BD3DD6" w:rsidR="00BD3DD6">
        <w:t xml:space="preserve"> to test the sufficiency of the evidence </w:t>
      </w:r>
      <w:r w:rsidRPr="00171E49" w:rsidR="00BD3DD6">
        <w:t>supporting the state’s petition and prevent meritless ones from proceeding to trial</w:t>
      </w:r>
      <w:r w:rsidR="002A1A7C">
        <w:t> </w:t>
      </w:r>
      <w:r w:rsidRPr="00171E49" w:rsidR="00BD3DD6">
        <w:t>—</w:t>
      </w:r>
      <w:r w:rsidR="002B46F1">
        <w:t xml:space="preserve"> </w:t>
      </w:r>
      <w:r w:rsidRPr="00171E49" w:rsidR="00BD3DD6">
        <w:rPr>
          <w:szCs w:val="26"/>
        </w:rPr>
        <w:t xml:space="preserve">must have created an exception for hearsay </w:t>
      </w:r>
      <w:r w:rsidR="00C001A9">
        <w:rPr>
          <w:szCs w:val="26"/>
        </w:rPr>
        <w:t xml:space="preserve">on </w:t>
      </w:r>
      <w:r w:rsidRPr="00171E49" w:rsidR="00BD3DD6">
        <w:t>nonpredicate offenses to be introduced via evaluation</w:t>
      </w:r>
      <w:r w:rsidRPr="00171E49" w:rsidR="00B46963">
        <w:t>s</w:t>
      </w:r>
      <w:r w:rsidRPr="00171E49" w:rsidR="00BD3DD6">
        <w:t xml:space="preserve">.  </w:t>
      </w:r>
      <w:r w:rsidRPr="00171E49" w:rsidR="00B104BA">
        <w:t>Under</w:t>
      </w:r>
      <w:r w:rsidR="00816429">
        <w:t xml:space="preserve"> </w:t>
      </w:r>
      <w:r w:rsidRPr="00171E49" w:rsidR="00B104BA">
        <w:t>these circumstances, w</w:t>
      </w:r>
      <w:r w:rsidRPr="00171E49" w:rsidR="0052790C">
        <w:t xml:space="preserve">e decline to </w:t>
      </w:r>
      <w:r w:rsidRPr="00171E49" w:rsidR="00B104BA">
        <w:t xml:space="preserve">find that the Legislature </w:t>
      </w:r>
      <w:r w:rsidR="000919A5">
        <w:t xml:space="preserve">explicitly or </w:t>
      </w:r>
      <w:r w:rsidRPr="00171E49" w:rsidR="0052790C">
        <w:t>impl</w:t>
      </w:r>
      <w:r w:rsidRPr="00171E49" w:rsidR="00B104BA">
        <w:t>i</w:t>
      </w:r>
      <w:r w:rsidR="000919A5">
        <w:t>citly</w:t>
      </w:r>
      <w:r w:rsidRPr="00171E49" w:rsidR="00B104BA">
        <w:t xml:space="preserve"> created</w:t>
      </w:r>
      <w:r w:rsidRPr="00171E49" w:rsidR="007120E3">
        <w:t xml:space="preserve"> a hearsay exception</w:t>
      </w:r>
      <w:r w:rsidRPr="00171E49" w:rsidR="00563E7F">
        <w:t xml:space="preserve"> </w:t>
      </w:r>
      <w:r w:rsidRPr="00171E49" w:rsidR="0068090D">
        <w:t>in section 6602, subdivision (a), for this evidence</w:t>
      </w:r>
      <w:r w:rsidRPr="00171E49" w:rsidR="00756664">
        <w:t>.</w:t>
      </w:r>
    </w:p>
    <w:p w:rsidR="00553DCB" w:rsidP="00761DF6" w14:paraId="57E1DC65" w14:textId="66C8767D">
      <w:pPr>
        <w:ind w:firstLine="720"/>
      </w:pPr>
      <w:r w:rsidRPr="00761DF6">
        <w:t xml:space="preserve">Because </w:t>
      </w:r>
      <w:r w:rsidRPr="00761DF6" w:rsidR="002555F4">
        <w:t>the inadmissible</w:t>
      </w:r>
      <w:r w:rsidRPr="00761DF6" w:rsidR="00211984">
        <w:t xml:space="preserve"> hearsay </w:t>
      </w:r>
      <w:r w:rsidRPr="00761DF6" w:rsidR="00AF1165">
        <w:t xml:space="preserve">was foundational to </w:t>
      </w:r>
      <w:r w:rsidRPr="00761DF6" w:rsidR="00211984">
        <w:t>the trial court’s probable cause</w:t>
      </w:r>
      <w:r w:rsidRPr="00761DF6" w:rsidR="00505ED0">
        <w:t xml:space="preserve"> </w:t>
      </w:r>
      <w:r w:rsidRPr="00761DF6" w:rsidR="00AF1165">
        <w:t>determination</w:t>
      </w:r>
      <w:r w:rsidRPr="00761DF6" w:rsidR="00211984">
        <w:t xml:space="preserve">, we </w:t>
      </w:r>
      <w:r w:rsidRPr="00761DF6" w:rsidR="00853CA7">
        <w:t>must reverse</w:t>
      </w:r>
      <w:r w:rsidRPr="00761DF6" w:rsidR="00784AB1">
        <w:t xml:space="preserve"> and remand to </w:t>
      </w:r>
      <w:r w:rsidRPr="00761DF6" w:rsidR="006B746B">
        <w:t>the Court of Appeal</w:t>
      </w:r>
      <w:r w:rsidRPr="00761DF6" w:rsidR="00784AB1">
        <w:t>, with instructions for it to remand</w:t>
      </w:r>
      <w:r w:rsidRPr="00761DF6" w:rsidR="006B746B">
        <w:t xml:space="preserve"> the matter to the </w:t>
      </w:r>
      <w:r w:rsidR="00314A84">
        <w:t>trial court</w:t>
      </w:r>
      <w:r w:rsidRPr="00761DF6" w:rsidR="006B746B">
        <w:t xml:space="preserve"> </w:t>
      </w:r>
      <w:r w:rsidRPr="00761DF6" w:rsidR="00784AB1">
        <w:t xml:space="preserve">so it can conduct </w:t>
      </w:r>
      <w:r w:rsidRPr="00761DF6" w:rsidR="006B746B">
        <w:t>a new probable cause hearing consistent with</w:t>
      </w:r>
      <w:r w:rsidRPr="00761DF6" w:rsidR="00B213E1">
        <w:t xml:space="preserve"> this opinion.</w:t>
      </w:r>
    </w:p>
    <w:p w:rsidR="003032C0" w:rsidRPr="003032C0" w:rsidP="003032C0" w14:paraId="7959B37F" w14:textId="41FD6B52">
      <w:pPr>
        <w:pStyle w:val="Heading1"/>
      </w:pPr>
      <w:r w:rsidRPr="003032C0">
        <w:t>I.</w:t>
      </w:r>
    </w:p>
    <w:p w:rsidR="00844811" w:rsidRPr="00761DF6" w:rsidP="00761DF6" w14:paraId="35C439DC" w14:textId="09DEE70C">
      <w:pPr>
        <w:pStyle w:val="Text"/>
        <w:spacing w:line="400" w:lineRule="exact"/>
        <w:ind w:firstLine="0"/>
        <w:rPr>
          <w:szCs w:val="26"/>
        </w:rPr>
      </w:pPr>
      <w:r w:rsidRPr="00761DF6">
        <w:rPr>
          <w:szCs w:val="26"/>
        </w:rPr>
        <w:tab/>
      </w:r>
      <w:r w:rsidRPr="00761DF6" w:rsidR="00EA29AD">
        <w:rPr>
          <w:szCs w:val="26"/>
        </w:rPr>
        <w:t xml:space="preserve">In June 2015, </w:t>
      </w:r>
      <w:r w:rsidRPr="00761DF6">
        <w:rPr>
          <w:szCs w:val="26"/>
        </w:rPr>
        <w:t>the District Attorney of the City and County of San Francisco filed a petition to commit Walker as a</w:t>
      </w:r>
      <w:r w:rsidR="000D571E">
        <w:rPr>
          <w:szCs w:val="26"/>
        </w:rPr>
        <w:t>n SVP</w:t>
      </w:r>
      <w:r w:rsidRPr="00761DF6" w:rsidR="00675EDE">
        <w:rPr>
          <w:szCs w:val="26"/>
        </w:rPr>
        <w:t>.</w:t>
      </w:r>
      <w:r>
        <w:rPr>
          <w:rStyle w:val="FootnoteReference"/>
          <w:szCs w:val="26"/>
        </w:rPr>
        <w:footnoteReference w:id="4"/>
      </w:r>
      <w:r w:rsidRPr="00761DF6" w:rsidR="004B4F3A">
        <w:rPr>
          <w:szCs w:val="26"/>
        </w:rPr>
        <w:t xml:space="preserve">  </w:t>
      </w:r>
      <w:r w:rsidRPr="00761DF6" w:rsidR="00395CE0">
        <w:rPr>
          <w:szCs w:val="26"/>
        </w:rPr>
        <w:t>At the time, Walker was nearing the end of a</w:t>
      </w:r>
      <w:r w:rsidRPr="00761DF6" w:rsidR="00C73E8D">
        <w:rPr>
          <w:szCs w:val="26"/>
        </w:rPr>
        <w:t xml:space="preserve"> </w:t>
      </w:r>
      <w:r w:rsidRPr="00761DF6" w:rsidR="00901208">
        <w:rPr>
          <w:szCs w:val="26"/>
        </w:rPr>
        <w:t xml:space="preserve">state </w:t>
      </w:r>
      <w:r w:rsidRPr="00761DF6" w:rsidR="005C63E2">
        <w:rPr>
          <w:szCs w:val="26"/>
        </w:rPr>
        <w:t>prison term</w:t>
      </w:r>
      <w:r w:rsidRPr="00761DF6" w:rsidR="00901208">
        <w:rPr>
          <w:szCs w:val="26"/>
        </w:rPr>
        <w:t xml:space="preserve"> </w:t>
      </w:r>
      <w:r w:rsidRPr="00761DF6" w:rsidR="009E7663">
        <w:rPr>
          <w:szCs w:val="26"/>
        </w:rPr>
        <w:t xml:space="preserve">for a pandering conviction.  </w:t>
      </w:r>
      <w:r w:rsidRPr="00761DF6" w:rsidR="00183186">
        <w:rPr>
          <w:szCs w:val="26"/>
        </w:rPr>
        <w:t>(Pen</w:t>
      </w:r>
      <w:r w:rsidRPr="00761DF6" w:rsidR="00563FB5">
        <w:rPr>
          <w:szCs w:val="26"/>
        </w:rPr>
        <w:t>.</w:t>
      </w:r>
      <w:r w:rsidRPr="00761DF6" w:rsidR="00183186">
        <w:rPr>
          <w:szCs w:val="26"/>
        </w:rPr>
        <w:t xml:space="preserve"> Code</w:t>
      </w:r>
      <w:r w:rsidRPr="00761DF6" w:rsidR="00563FB5">
        <w:rPr>
          <w:szCs w:val="26"/>
        </w:rPr>
        <w:t>,</w:t>
      </w:r>
      <w:r w:rsidRPr="00761DF6" w:rsidR="00183186">
        <w:rPr>
          <w:szCs w:val="26"/>
        </w:rPr>
        <w:t xml:space="preserve"> </w:t>
      </w:r>
      <w:r w:rsidRPr="00761DF6" w:rsidR="00B67A42">
        <w:rPr>
          <w:szCs w:val="26"/>
        </w:rPr>
        <w:t>§ 266i</w:t>
      </w:r>
      <w:r w:rsidRPr="00761DF6" w:rsidR="00183186">
        <w:rPr>
          <w:szCs w:val="26"/>
        </w:rPr>
        <w:t>.)</w:t>
      </w:r>
    </w:p>
    <w:p w:rsidR="00125158" w:rsidRPr="00761DF6" w:rsidP="00761DF6" w14:paraId="6FCEC348" w14:textId="6BACF38F">
      <w:pPr>
        <w:pStyle w:val="Text"/>
        <w:spacing w:line="400" w:lineRule="exact"/>
        <w:ind w:firstLine="0"/>
        <w:rPr>
          <w:szCs w:val="26"/>
        </w:rPr>
      </w:pPr>
      <w:r w:rsidRPr="00761DF6">
        <w:rPr>
          <w:szCs w:val="26"/>
        </w:rPr>
        <w:tab/>
      </w:r>
      <w:r w:rsidRPr="00761DF6" w:rsidR="009C5613">
        <w:rPr>
          <w:szCs w:val="26"/>
        </w:rPr>
        <w:t xml:space="preserve">Two mental health evaluations supported the petition.  </w:t>
      </w:r>
      <w:r w:rsidRPr="00761DF6" w:rsidR="0098771F">
        <w:rPr>
          <w:szCs w:val="26"/>
        </w:rPr>
        <w:t xml:space="preserve">Thomas MacSpeiden and Roger Karlsson, psychologists appointed by the Director of </w:t>
      </w:r>
      <w:r w:rsidRPr="00761DF6" w:rsidR="00B50CC7">
        <w:rPr>
          <w:szCs w:val="26"/>
        </w:rPr>
        <w:t xml:space="preserve">the </w:t>
      </w:r>
      <w:r w:rsidR="00E30400">
        <w:rPr>
          <w:szCs w:val="26"/>
        </w:rPr>
        <w:t xml:space="preserve">State </w:t>
      </w:r>
      <w:r w:rsidRPr="00761DF6" w:rsidR="00B50CC7">
        <w:rPr>
          <w:szCs w:val="26"/>
        </w:rPr>
        <w:t xml:space="preserve">Department </w:t>
      </w:r>
      <w:r w:rsidRPr="00761DF6" w:rsidR="006652F9">
        <w:rPr>
          <w:szCs w:val="26"/>
        </w:rPr>
        <w:t xml:space="preserve">of </w:t>
      </w:r>
      <w:r w:rsidRPr="00761DF6" w:rsidR="0098771F">
        <w:rPr>
          <w:szCs w:val="26"/>
        </w:rPr>
        <w:t>State Hospitals</w:t>
      </w:r>
      <w:r w:rsidRPr="00761DF6" w:rsidR="00B50CC7">
        <w:rPr>
          <w:szCs w:val="26"/>
        </w:rPr>
        <w:t xml:space="preserve"> (DSH)</w:t>
      </w:r>
      <w:r w:rsidRPr="00761DF6" w:rsidR="009C5613">
        <w:rPr>
          <w:szCs w:val="26"/>
        </w:rPr>
        <w:t>,</w:t>
      </w:r>
      <w:r w:rsidRPr="00761DF6" w:rsidR="0098771F">
        <w:rPr>
          <w:szCs w:val="26"/>
        </w:rPr>
        <w:t xml:space="preserve"> evaluate</w:t>
      </w:r>
      <w:r w:rsidRPr="00761DF6" w:rsidR="009C5613">
        <w:rPr>
          <w:szCs w:val="26"/>
        </w:rPr>
        <w:t>d</w:t>
      </w:r>
      <w:r w:rsidRPr="00761DF6" w:rsidR="0098771F">
        <w:rPr>
          <w:szCs w:val="26"/>
        </w:rPr>
        <w:t xml:space="preserve"> Walker</w:t>
      </w:r>
      <w:r w:rsidRPr="00761DF6" w:rsidR="009C5613">
        <w:rPr>
          <w:szCs w:val="26"/>
        </w:rPr>
        <w:t xml:space="preserve"> shortly before the </w:t>
      </w:r>
      <w:r w:rsidR="00E30400">
        <w:rPr>
          <w:szCs w:val="26"/>
        </w:rPr>
        <w:t>d</w:t>
      </w:r>
      <w:r w:rsidRPr="00761DF6" w:rsidR="009C5613">
        <w:rPr>
          <w:szCs w:val="26"/>
        </w:rPr>
        <w:t xml:space="preserve">istrict </w:t>
      </w:r>
      <w:r w:rsidR="00E30400">
        <w:rPr>
          <w:szCs w:val="26"/>
        </w:rPr>
        <w:t>a</w:t>
      </w:r>
      <w:r w:rsidRPr="00761DF6" w:rsidR="009C5613">
        <w:rPr>
          <w:szCs w:val="26"/>
        </w:rPr>
        <w:t>ttorney filed the petition</w:t>
      </w:r>
      <w:r w:rsidRPr="00761DF6" w:rsidR="0098771F">
        <w:rPr>
          <w:szCs w:val="26"/>
        </w:rPr>
        <w:t xml:space="preserve">.  </w:t>
      </w:r>
      <w:r w:rsidRPr="00761DF6" w:rsidR="00A43DE6">
        <w:rPr>
          <w:szCs w:val="26"/>
        </w:rPr>
        <w:t xml:space="preserve">MacSpeiden and Karlsson were appointed pursuant to section 6601, subdivision (e), after the first two </w:t>
      </w:r>
      <w:r w:rsidR="004C5C7B">
        <w:rPr>
          <w:szCs w:val="26"/>
        </w:rPr>
        <w:t xml:space="preserve">appointed </w:t>
      </w:r>
      <w:r w:rsidRPr="00761DF6" w:rsidR="00A43DE6">
        <w:rPr>
          <w:szCs w:val="26"/>
        </w:rPr>
        <w:t xml:space="preserve">psychologists disagreed whether Walker satisfied the statutory criteria to be an SVP.  </w:t>
      </w:r>
      <w:r w:rsidRPr="00761DF6" w:rsidR="00531CF8">
        <w:rPr>
          <w:szCs w:val="26"/>
        </w:rPr>
        <w:t>B</w:t>
      </w:r>
      <w:r w:rsidRPr="00761DF6" w:rsidR="00E87861">
        <w:rPr>
          <w:szCs w:val="26"/>
        </w:rPr>
        <w:t xml:space="preserve">oth </w:t>
      </w:r>
      <w:r w:rsidRPr="00761DF6" w:rsidR="00073653">
        <w:rPr>
          <w:szCs w:val="26"/>
        </w:rPr>
        <w:t xml:space="preserve">concluded </w:t>
      </w:r>
      <w:r w:rsidRPr="00761DF6" w:rsidR="00470748">
        <w:rPr>
          <w:szCs w:val="26"/>
        </w:rPr>
        <w:t xml:space="preserve">that </w:t>
      </w:r>
      <w:r w:rsidRPr="00761DF6" w:rsidR="003C5A65">
        <w:rPr>
          <w:szCs w:val="26"/>
        </w:rPr>
        <w:t>Walker</w:t>
      </w:r>
      <w:r w:rsidRPr="00761DF6" w:rsidR="0064266E">
        <w:rPr>
          <w:szCs w:val="26"/>
        </w:rPr>
        <w:t xml:space="preserve"> satisfied the</w:t>
      </w:r>
      <w:r w:rsidRPr="00761DF6" w:rsidR="00BB414E">
        <w:rPr>
          <w:szCs w:val="26"/>
        </w:rPr>
        <w:t xml:space="preserve"> statutory</w:t>
      </w:r>
      <w:r w:rsidRPr="00761DF6" w:rsidR="000E608B">
        <w:rPr>
          <w:szCs w:val="26"/>
        </w:rPr>
        <w:t xml:space="preserve"> </w:t>
      </w:r>
      <w:r w:rsidRPr="00761DF6" w:rsidR="0064266E">
        <w:rPr>
          <w:szCs w:val="26"/>
        </w:rPr>
        <w:t xml:space="preserve">criteria. </w:t>
      </w:r>
      <w:r w:rsidRPr="00761DF6" w:rsidR="00BB414E">
        <w:rPr>
          <w:szCs w:val="26"/>
        </w:rPr>
        <w:t xml:space="preserve"> </w:t>
      </w:r>
      <w:r w:rsidRPr="00761DF6" w:rsidR="00DB51B4">
        <w:rPr>
          <w:szCs w:val="26"/>
        </w:rPr>
        <w:t xml:space="preserve">MacSpeiden diagnosed Walker with </w:t>
      </w:r>
      <w:r w:rsidRPr="00045380" w:rsidR="00E55E14">
        <w:rPr>
          <w:szCs w:val="27"/>
        </w:rPr>
        <w:t>“Borderline Personality Disorder”</w:t>
      </w:r>
      <w:r w:rsidR="00E55E14">
        <w:rPr>
          <w:szCs w:val="27"/>
        </w:rPr>
        <w:t xml:space="preserve"> </w:t>
      </w:r>
      <w:r w:rsidRPr="00761DF6" w:rsidR="00183C0C">
        <w:rPr>
          <w:szCs w:val="26"/>
        </w:rPr>
        <w:t xml:space="preserve">and </w:t>
      </w:r>
      <w:r w:rsidRPr="00761DF6" w:rsidR="00CB1FA9">
        <w:rPr>
          <w:szCs w:val="26"/>
        </w:rPr>
        <w:t>“O</w:t>
      </w:r>
      <w:r w:rsidRPr="00761DF6" w:rsidR="00183C0C">
        <w:rPr>
          <w:szCs w:val="26"/>
        </w:rPr>
        <w:t xml:space="preserve">ther </w:t>
      </w:r>
      <w:r w:rsidRPr="00761DF6" w:rsidR="00CB1FA9">
        <w:rPr>
          <w:szCs w:val="26"/>
        </w:rPr>
        <w:t>S</w:t>
      </w:r>
      <w:r w:rsidRPr="00761DF6" w:rsidR="00183C0C">
        <w:rPr>
          <w:szCs w:val="26"/>
        </w:rPr>
        <w:t xml:space="preserve">pecified </w:t>
      </w:r>
      <w:r w:rsidRPr="00761DF6" w:rsidR="00CB1FA9">
        <w:rPr>
          <w:szCs w:val="26"/>
        </w:rPr>
        <w:t>P</w:t>
      </w:r>
      <w:r w:rsidRPr="00761DF6" w:rsidR="00183C0C">
        <w:rPr>
          <w:szCs w:val="26"/>
        </w:rPr>
        <w:t xml:space="preserve">araphilia, </w:t>
      </w:r>
      <w:r w:rsidRPr="00761DF6" w:rsidR="00CB1FA9">
        <w:rPr>
          <w:szCs w:val="26"/>
        </w:rPr>
        <w:t>S</w:t>
      </w:r>
      <w:r w:rsidRPr="00761DF6" w:rsidR="00183C0C">
        <w:rPr>
          <w:szCs w:val="26"/>
        </w:rPr>
        <w:t xml:space="preserve">exual </w:t>
      </w:r>
      <w:r w:rsidRPr="00761DF6" w:rsidR="00CB1FA9">
        <w:rPr>
          <w:szCs w:val="26"/>
        </w:rPr>
        <w:t>A</w:t>
      </w:r>
      <w:r w:rsidRPr="00761DF6" w:rsidR="00183C0C">
        <w:rPr>
          <w:szCs w:val="26"/>
        </w:rPr>
        <w:t xml:space="preserve">ctivity with </w:t>
      </w:r>
      <w:r w:rsidRPr="00761DF6" w:rsidR="00CB1FA9">
        <w:rPr>
          <w:szCs w:val="26"/>
        </w:rPr>
        <w:t>N</w:t>
      </w:r>
      <w:r w:rsidRPr="00761DF6" w:rsidR="00183C0C">
        <w:rPr>
          <w:szCs w:val="26"/>
        </w:rPr>
        <w:t xml:space="preserve">on-consenting </w:t>
      </w:r>
      <w:r w:rsidRPr="00761DF6" w:rsidR="00CB1FA9">
        <w:rPr>
          <w:szCs w:val="26"/>
        </w:rPr>
        <w:t>P</w:t>
      </w:r>
      <w:r w:rsidRPr="00761DF6" w:rsidR="00183C0C">
        <w:rPr>
          <w:szCs w:val="26"/>
        </w:rPr>
        <w:t>ersons</w:t>
      </w:r>
      <w:r w:rsidRPr="00761DF6" w:rsidR="00CB1FA9">
        <w:rPr>
          <w:szCs w:val="26"/>
        </w:rPr>
        <w:t>”</w:t>
      </w:r>
      <w:r w:rsidRPr="00761DF6" w:rsidR="00183C0C">
        <w:rPr>
          <w:szCs w:val="26"/>
        </w:rPr>
        <w:t>;</w:t>
      </w:r>
      <w:r w:rsidRPr="00761DF6" w:rsidR="00DB51B4">
        <w:rPr>
          <w:szCs w:val="26"/>
        </w:rPr>
        <w:t xml:space="preserve"> Karlsson diagnosed him with </w:t>
      </w:r>
      <w:r w:rsidR="00B91815">
        <w:rPr>
          <w:szCs w:val="26"/>
        </w:rPr>
        <w:t>“</w:t>
      </w:r>
      <w:r>
        <w:rPr>
          <w:szCs w:val="26"/>
        </w:rPr>
        <w:t>A</w:t>
      </w:r>
      <w:r w:rsidRPr="00761DF6" w:rsidR="00DB51B4">
        <w:rPr>
          <w:szCs w:val="26"/>
        </w:rPr>
        <w:t xml:space="preserve">ntisocial </w:t>
      </w:r>
      <w:r>
        <w:rPr>
          <w:szCs w:val="26"/>
        </w:rPr>
        <w:t>P</w:t>
      </w:r>
      <w:r w:rsidRPr="00761DF6" w:rsidR="00DB51B4">
        <w:rPr>
          <w:szCs w:val="26"/>
        </w:rPr>
        <w:t xml:space="preserve">ersonality </w:t>
      </w:r>
      <w:r>
        <w:rPr>
          <w:szCs w:val="26"/>
        </w:rPr>
        <w:t>D</w:t>
      </w:r>
      <w:r w:rsidRPr="00761DF6" w:rsidR="00DB51B4">
        <w:rPr>
          <w:szCs w:val="26"/>
        </w:rPr>
        <w:t>isorder</w:t>
      </w:r>
      <w:r>
        <w:rPr>
          <w:szCs w:val="26"/>
        </w:rPr>
        <w:t xml:space="preserve">, </w:t>
      </w:r>
      <w:r w:rsidRPr="00045380">
        <w:rPr>
          <w:szCs w:val="27"/>
        </w:rPr>
        <w:t>augmented by a severe level of psychopathy</w:t>
      </w:r>
      <w:r>
        <w:rPr>
          <w:szCs w:val="27"/>
        </w:rPr>
        <w:t>.</w:t>
      </w:r>
      <w:r w:rsidR="005B51D1">
        <w:rPr>
          <w:szCs w:val="27"/>
        </w:rPr>
        <w:t>”</w:t>
      </w:r>
    </w:p>
    <w:p w:rsidR="00DF7D2A" w:rsidP="00761DF6" w14:paraId="6DDC04F9" w14:textId="52AB3F13">
      <w:pPr>
        <w:pStyle w:val="Text"/>
        <w:spacing w:line="400" w:lineRule="exact"/>
        <w:ind w:firstLine="0"/>
        <w:rPr>
          <w:szCs w:val="26"/>
        </w:rPr>
      </w:pPr>
      <w:r w:rsidRPr="00761DF6">
        <w:rPr>
          <w:szCs w:val="26"/>
        </w:rPr>
        <w:tab/>
      </w:r>
      <w:r w:rsidRPr="00761DF6" w:rsidR="0064266E">
        <w:rPr>
          <w:szCs w:val="26"/>
        </w:rPr>
        <w:t xml:space="preserve">In their </w:t>
      </w:r>
      <w:r w:rsidRPr="00761DF6" w:rsidR="00A47D45">
        <w:rPr>
          <w:szCs w:val="26"/>
        </w:rPr>
        <w:t xml:space="preserve">evaluation </w:t>
      </w:r>
      <w:r w:rsidRPr="00761DF6" w:rsidR="00154F8A">
        <w:rPr>
          <w:szCs w:val="26"/>
        </w:rPr>
        <w:t>reports</w:t>
      </w:r>
      <w:r w:rsidRPr="00761DF6" w:rsidR="0064266E">
        <w:rPr>
          <w:szCs w:val="26"/>
        </w:rPr>
        <w:t xml:space="preserve">, </w:t>
      </w:r>
      <w:r w:rsidRPr="00761DF6" w:rsidR="00CE05AE">
        <w:rPr>
          <w:szCs w:val="26"/>
        </w:rPr>
        <w:t>the</w:t>
      </w:r>
      <w:r w:rsidRPr="00761DF6" w:rsidR="0064266E">
        <w:rPr>
          <w:szCs w:val="26"/>
        </w:rPr>
        <w:t xml:space="preserve"> </w:t>
      </w:r>
      <w:r w:rsidRPr="00761DF6" w:rsidR="00760D2F">
        <w:rPr>
          <w:szCs w:val="26"/>
        </w:rPr>
        <w:t>psychologist</w:t>
      </w:r>
      <w:r w:rsidRPr="00761DF6" w:rsidR="001F251B">
        <w:rPr>
          <w:szCs w:val="26"/>
        </w:rPr>
        <w:t>s</w:t>
      </w:r>
      <w:r w:rsidRPr="00761DF6" w:rsidR="00154F8A">
        <w:rPr>
          <w:szCs w:val="26"/>
        </w:rPr>
        <w:t xml:space="preserve"> discussed</w:t>
      </w:r>
      <w:r w:rsidRPr="00761DF6" w:rsidR="004E0E34">
        <w:rPr>
          <w:szCs w:val="26"/>
        </w:rPr>
        <w:t xml:space="preserve"> Walker’s </w:t>
      </w:r>
      <w:r w:rsidRPr="00761DF6" w:rsidR="003A3FE4">
        <w:rPr>
          <w:szCs w:val="26"/>
        </w:rPr>
        <w:t>1990</w:t>
      </w:r>
      <w:r w:rsidRPr="00761DF6" w:rsidR="004E0E34">
        <w:rPr>
          <w:szCs w:val="26"/>
        </w:rPr>
        <w:t xml:space="preserve"> conviction </w:t>
      </w:r>
      <w:r w:rsidRPr="00761DF6" w:rsidR="003A3FE4">
        <w:rPr>
          <w:szCs w:val="26"/>
        </w:rPr>
        <w:t>for rape, a</w:t>
      </w:r>
      <w:r w:rsidRPr="00761DF6" w:rsidR="00187EDC">
        <w:rPr>
          <w:szCs w:val="26"/>
        </w:rPr>
        <w:t xml:space="preserve"> predicate “</w:t>
      </w:r>
      <w:r w:rsidR="00947D4D">
        <w:rPr>
          <w:szCs w:val="26"/>
        </w:rPr>
        <w:t> </w:t>
      </w:r>
      <w:r w:rsidRPr="00761DF6" w:rsidR="00085B96">
        <w:rPr>
          <w:szCs w:val="26"/>
        </w:rPr>
        <w:t>‘</w:t>
      </w:r>
      <w:r w:rsidR="00355F7D">
        <w:rPr>
          <w:szCs w:val="26"/>
        </w:rPr>
        <w:t>[</w:t>
      </w:r>
      <w:r w:rsidRPr="00761DF6" w:rsidR="00187EDC">
        <w:rPr>
          <w:szCs w:val="26"/>
        </w:rPr>
        <w:t>s</w:t>
      </w:r>
      <w:r w:rsidR="00355F7D">
        <w:rPr>
          <w:szCs w:val="26"/>
        </w:rPr>
        <w:t>]</w:t>
      </w:r>
      <w:r w:rsidRPr="00761DF6" w:rsidR="00187EDC">
        <w:rPr>
          <w:szCs w:val="26"/>
        </w:rPr>
        <w:t>exually violent offense</w:t>
      </w:r>
      <w:r w:rsidRPr="00761DF6" w:rsidR="00085B96">
        <w:rPr>
          <w:szCs w:val="26"/>
        </w:rPr>
        <w:t>’</w:t>
      </w:r>
      <w:r w:rsidR="00947D4D">
        <w:rPr>
          <w:szCs w:val="26"/>
        </w:rPr>
        <w:t> </w:t>
      </w:r>
      <w:r w:rsidRPr="00761DF6" w:rsidR="00187EDC">
        <w:rPr>
          <w:szCs w:val="26"/>
        </w:rPr>
        <w:t>” under the SVPA.</w:t>
      </w:r>
      <w:r w:rsidRPr="00761DF6" w:rsidR="004C2360">
        <w:rPr>
          <w:szCs w:val="26"/>
        </w:rPr>
        <w:t xml:space="preserve">  </w:t>
      </w:r>
      <w:r w:rsidRPr="00761DF6" w:rsidR="00732F60">
        <w:rPr>
          <w:szCs w:val="26"/>
        </w:rPr>
        <w:t>(</w:t>
      </w:r>
      <w:r w:rsidR="00534FC2">
        <w:rPr>
          <w:szCs w:val="26"/>
        </w:rPr>
        <w:t xml:space="preserve">Welf. &amp; Inst. Code, </w:t>
      </w:r>
      <w:r w:rsidRPr="00761DF6" w:rsidR="00732F60">
        <w:rPr>
          <w:szCs w:val="26"/>
        </w:rPr>
        <w:t>§</w:t>
      </w:r>
      <w:r w:rsidRPr="00761DF6" w:rsidR="001F251B">
        <w:rPr>
          <w:szCs w:val="26"/>
        </w:rPr>
        <w:t> </w:t>
      </w:r>
      <w:r w:rsidRPr="00761DF6" w:rsidR="00732F60">
        <w:rPr>
          <w:szCs w:val="26"/>
        </w:rPr>
        <w:t xml:space="preserve">6600, subd. (b).)  </w:t>
      </w:r>
      <w:r w:rsidRPr="00761DF6" w:rsidR="00B53868">
        <w:rPr>
          <w:szCs w:val="26"/>
        </w:rPr>
        <w:t>They</w:t>
      </w:r>
      <w:r w:rsidRPr="00761DF6" w:rsidR="004C2360">
        <w:rPr>
          <w:szCs w:val="26"/>
        </w:rPr>
        <w:t xml:space="preserve"> also </w:t>
      </w:r>
      <w:r w:rsidRPr="00761DF6" w:rsidR="00BE6F7F">
        <w:rPr>
          <w:szCs w:val="26"/>
        </w:rPr>
        <w:t xml:space="preserve">discussed </w:t>
      </w:r>
      <w:r w:rsidRPr="00761DF6" w:rsidR="0007497F">
        <w:rPr>
          <w:szCs w:val="26"/>
        </w:rPr>
        <w:t xml:space="preserve">the </w:t>
      </w:r>
      <w:r w:rsidRPr="00761DF6" w:rsidR="003A3FE4">
        <w:rPr>
          <w:szCs w:val="26"/>
        </w:rPr>
        <w:t xml:space="preserve">alleged </w:t>
      </w:r>
      <w:r w:rsidRPr="00761DF6" w:rsidR="0007497F">
        <w:rPr>
          <w:szCs w:val="26"/>
        </w:rPr>
        <w:t xml:space="preserve">facts </w:t>
      </w:r>
      <w:r w:rsidRPr="00761DF6" w:rsidR="004C2360">
        <w:rPr>
          <w:szCs w:val="26"/>
        </w:rPr>
        <w:t xml:space="preserve">regarding two </w:t>
      </w:r>
      <w:r w:rsidRPr="00761DF6" w:rsidR="00296638">
        <w:rPr>
          <w:szCs w:val="26"/>
        </w:rPr>
        <w:t>charged sex crimes that did not result in conviction</w:t>
      </w:r>
      <w:r w:rsidRPr="00761DF6" w:rsidR="00A070A4">
        <w:rPr>
          <w:szCs w:val="26"/>
        </w:rPr>
        <w:t>s qualif</w:t>
      </w:r>
      <w:r w:rsidRPr="00761DF6" w:rsidR="00617494">
        <w:rPr>
          <w:szCs w:val="26"/>
        </w:rPr>
        <w:t>ying</w:t>
      </w:r>
      <w:r w:rsidRPr="00761DF6" w:rsidR="00A070A4">
        <w:rPr>
          <w:szCs w:val="26"/>
        </w:rPr>
        <w:t xml:space="preserve"> as</w:t>
      </w:r>
      <w:r w:rsidRPr="00761DF6" w:rsidR="00296638">
        <w:rPr>
          <w:szCs w:val="26"/>
        </w:rPr>
        <w:t xml:space="preserve"> sexually violent offense</w:t>
      </w:r>
      <w:r w:rsidRPr="00761DF6" w:rsidR="00A070A4">
        <w:rPr>
          <w:szCs w:val="26"/>
        </w:rPr>
        <w:t>s.</w:t>
      </w:r>
      <w:r w:rsidRPr="00761DF6" w:rsidR="0014497B">
        <w:rPr>
          <w:szCs w:val="26"/>
        </w:rPr>
        <w:t xml:space="preserve">  First, </w:t>
      </w:r>
      <w:r w:rsidRPr="00761DF6" w:rsidR="005D68AE">
        <w:rPr>
          <w:szCs w:val="26"/>
        </w:rPr>
        <w:t xml:space="preserve">Walker was charged </w:t>
      </w:r>
      <w:r w:rsidRPr="00761DF6" w:rsidR="001C72D9">
        <w:rPr>
          <w:szCs w:val="26"/>
        </w:rPr>
        <w:t xml:space="preserve">in 1989 </w:t>
      </w:r>
      <w:r w:rsidRPr="00761DF6" w:rsidR="005D68AE">
        <w:rPr>
          <w:szCs w:val="26"/>
        </w:rPr>
        <w:t>with rap</w:t>
      </w:r>
      <w:r w:rsidRPr="00761DF6" w:rsidR="001C72D9">
        <w:rPr>
          <w:szCs w:val="26"/>
        </w:rPr>
        <w:t>ing a 1</w:t>
      </w:r>
      <w:r w:rsidRPr="00761DF6" w:rsidR="004C0F34">
        <w:rPr>
          <w:szCs w:val="26"/>
        </w:rPr>
        <w:t>6</w:t>
      </w:r>
      <w:r w:rsidRPr="00761DF6" w:rsidR="001C72D9">
        <w:rPr>
          <w:szCs w:val="26"/>
        </w:rPr>
        <w:t>-year</w:t>
      </w:r>
      <w:r w:rsidR="000F5684">
        <w:rPr>
          <w:szCs w:val="26"/>
        </w:rPr>
        <w:t>-</w:t>
      </w:r>
      <w:r w:rsidRPr="00761DF6" w:rsidR="001C72D9">
        <w:rPr>
          <w:szCs w:val="26"/>
        </w:rPr>
        <w:t>old victim.  The</w:t>
      </w:r>
      <w:r w:rsidRPr="00761DF6" w:rsidR="00EC4889">
        <w:rPr>
          <w:szCs w:val="26"/>
        </w:rPr>
        <w:t xml:space="preserve"> trial</w:t>
      </w:r>
      <w:r w:rsidRPr="00761DF6" w:rsidR="001C72D9">
        <w:rPr>
          <w:szCs w:val="26"/>
        </w:rPr>
        <w:t xml:space="preserve"> court dismissed </w:t>
      </w:r>
      <w:r w:rsidRPr="00761DF6" w:rsidR="00EC4889">
        <w:rPr>
          <w:szCs w:val="26"/>
        </w:rPr>
        <w:t xml:space="preserve">the </w:t>
      </w:r>
      <w:r w:rsidRPr="00761DF6" w:rsidR="001C72D9">
        <w:rPr>
          <w:szCs w:val="26"/>
        </w:rPr>
        <w:t>rape charge prior to trial</w:t>
      </w:r>
      <w:r w:rsidRPr="00761DF6" w:rsidR="004D0341">
        <w:rPr>
          <w:szCs w:val="26"/>
        </w:rPr>
        <w:t xml:space="preserve">, </w:t>
      </w:r>
      <w:r w:rsidRPr="00761DF6" w:rsidR="001C72D9">
        <w:rPr>
          <w:szCs w:val="26"/>
        </w:rPr>
        <w:t xml:space="preserve">but </w:t>
      </w:r>
      <w:r w:rsidRPr="00761DF6" w:rsidR="00EC4889">
        <w:rPr>
          <w:szCs w:val="26"/>
        </w:rPr>
        <w:t>it convicted Walker of unwanted sexual intercourse with a minor</w:t>
      </w:r>
      <w:r w:rsidRPr="00761DF6" w:rsidR="009C3B23">
        <w:rPr>
          <w:szCs w:val="26"/>
        </w:rPr>
        <w:t>.</w:t>
      </w:r>
      <w:r w:rsidRPr="00761DF6" w:rsidR="00272D10">
        <w:rPr>
          <w:szCs w:val="26"/>
        </w:rPr>
        <w:t xml:space="preserve">  (</w:t>
      </w:r>
      <w:r w:rsidRPr="00761DF6" w:rsidR="00363C94">
        <w:rPr>
          <w:color w:val="000000"/>
          <w:szCs w:val="26"/>
        </w:rPr>
        <w:t>Pen. Code, § 261.5</w:t>
      </w:r>
      <w:r w:rsidRPr="00761DF6" w:rsidR="00272D10">
        <w:rPr>
          <w:szCs w:val="26"/>
        </w:rPr>
        <w:t>.)</w:t>
      </w:r>
      <w:r w:rsidRPr="00761DF6" w:rsidR="004574E4">
        <w:rPr>
          <w:szCs w:val="26"/>
        </w:rPr>
        <w:t xml:space="preserve">  Second, Walker was charged with rape in 2005.  </w:t>
      </w:r>
      <w:r w:rsidRPr="00761DF6" w:rsidR="002E3CD0">
        <w:rPr>
          <w:szCs w:val="26"/>
        </w:rPr>
        <w:t>A jury acquitted Walker of this charge</w:t>
      </w:r>
      <w:r w:rsidR="0034054E">
        <w:rPr>
          <w:szCs w:val="26"/>
        </w:rPr>
        <w:t xml:space="preserve"> (apparently, during the trial, it was determined the victim had lied)</w:t>
      </w:r>
      <w:r w:rsidR="004100B8">
        <w:rPr>
          <w:szCs w:val="26"/>
        </w:rPr>
        <w:t>,</w:t>
      </w:r>
      <w:r w:rsidRPr="00761DF6" w:rsidR="002E3CD0">
        <w:rPr>
          <w:szCs w:val="26"/>
        </w:rPr>
        <w:t xml:space="preserve"> but it convicted him of pandering.  </w:t>
      </w:r>
    </w:p>
    <w:p w:rsidR="00F07B41" w:rsidRPr="00761DF6" w:rsidP="00761DF6" w14:paraId="26FD2374" w14:textId="452028D1">
      <w:pPr>
        <w:pStyle w:val="Text"/>
        <w:spacing w:line="400" w:lineRule="exact"/>
        <w:ind w:firstLine="0"/>
        <w:rPr>
          <w:szCs w:val="26"/>
        </w:rPr>
      </w:pPr>
      <w:r>
        <w:rPr>
          <w:szCs w:val="26"/>
        </w:rPr>
        <w:tab/>
      </w:r>
      <w:r w:rsidRPr="00761DF6" w:rsidR="008C682F">
        <w:rPr>
          <w:szCs w:val="26"/>
        </w:rPr>
        <w:t xml:space="preserve">MacSpeiden and Karlsson </w:t>
      </w:r>
      <w:r w:rsidRPr="00761DF6">
        <w:rPr>
          <w:szCs w:val="26"/>
        </w:rPr>
        <w:t>obtained the details underlying the 19</w:t>
      </w:r>
      <w:r>
        <w:rPr>
          <w:szCs w:val="26"/>
        </w:rPr>
        <w:t>90</w:t>
      </w:r>
      <w:r w:rsidRPr="00761DF6">
        <w:rPr>
          <w:szCs w:val="26"/>
        </w:rPr>
        <w:t xml:space="preserve"> rape </w:t>
      </w:r>
      <w:r>
        <w:rPr>
          <w:szCs w:val="26"/>
        </w:rPr>
        <w:t>conviction</w:t>
      </w:r>
      <w:r w:rsidRPr="00761DF6">
        <w:rPr>
          <w:szCs w:val="26"/>
        </w:rPr>
        <w:t xml:space="preserve"> from a September 1991 report from Walker’s probation officer</w:t>
      </w:r>
      <w:r>
        <w:rPr>
          <w:szCs w:val="26"/>
        </w:rPr>
        <w:t xml:space="preserve">.  </w:t>
      </w:r>
      <w:r w:rsidR="0097787D">
        <w:rPr>
          <w:szCs w:val="26"/>
        </w:rPr>
        <w:t xml:space="preserve">The evaluations related the following details regarding the offense:  </w:t>
      </w:r>
      <w:r w:rsidR="0097787D">
        <w:t>Walker unsuccessfully approached the victim at a nightclub.  He eventually pulled her onto the dance floor and danced</w:t>
      </w:r>
      <w:r w:rsidR="00682FEC">
        <w:t xml:space="preserve"> with her</w:t>
      </w:r>
      <w:r w:rsidR="0097787D">
        <w:t xml:space="preserve">, though she attempted to push him away when he tried to pull her closer.  He then pulled her to the </w:t>
      </w:r>
      <w:r w:rsidR="008C682F">
        <w:t xml:space="preserve">club’s </w:t>
      </w:r>
      <w:r w:rsidR="0097787D">
        <w:t xml:space="preserve">parking lot.  She believed she could get in her car </w:t>
      </w:r>
      <w:r w:rsidR="00426BFD">
        <w:t>to</w:t>
      </w:r>
      <w:r w:rsidR="0097787D">
        <w:t xml:space="preserve"> drive away.  When they arrived at her car, she pushed him away as he tried to pull her closer.  She reluctantly agreed to give </w:t>
      </w:r>
      <w:r w:rsidR="008C682F">
        <w:t xml:space="preserve">him </w:t>
      </w:r>
      <w:r w:rsidR="0097787D">
        <w:t xml:space="preserve">a ride to his house.  When they arrived at the location that he had directed them to, Walker reached across her and turned off the ignition.  She rejected his attempts to kiss her and attempted to fight him off, but </w:t>
      </w:r>
      <w:r w:rsidR="00230F6F">
        <w:t xml:space="preserve">he </w:t>
      </w:r>
      <w:r w:rsidR="0097787D">
        <w:t>raped her.</w:t>
      </w:r>
    </w:p>
    <w:p w:rsidR="00EC2226" w:rsidP="00761DF6" w14:paraId="7CFF6F01" w14:textId="6C4CFCB1">
      <w:pPr>
        <w:pStyle w:val="Text"/>
        <w:spacing w:line="400" w:lineRule="exact"/>
        <w:ind w:firstLine="0"/>
        <w:rPr>
          <w:szCs w:val="26"/>
        </w:rPr>
      </w:pPr>
      <w:r w:rsidRPr="00761DF6">
        <w:rPr>
          <w:szCs w:val="26"/>
        </w:rPr>
        <w:tab/>
      </w:r>
      <w:r w:rsidRPr="00761DF6" w:rsidR="000829EE">
        <w:rPr>
          <w:szCs w:val="26"/>
        </w:rPr>
        <w:t>The psychologists</w:t>
      </w:r>
      <w:r w:rsidRPr="00761DF6">
        <w:rPr>
          <w:szCs w:val="26"/>
        </w:rPr>
        <w:t xml:space="preserve"> obtained the details underlying the 1989 rape allegation from </w:t>
      </w:r>
      <w:r w:rsidR="0097787D">
        <w:rPr>
          <w:szCs w:val="26"/>
        </w:rPr>
        <w:t>the</w:t>
      </w:r>
      <w:r w:rsidRPr="00761DF6">
        <w:rPr>
          <w:szCs w:val="26"/>
        </w:rPr>
        <w:t xml:space="preserve"> 1991 </w:t>
      </w:r>
      <w:r w:rsidR="0097787D">
        <w:rPr>
          <w:szCs w:val="26"/>
        </w:rPr>
        <w:t xml:space="preserve">probation </w:t>
      </w:r>
      <w:r w:rsidRPr="00761DF6">
        <w:rPr>
          <w:szCs w:val="26"/>
        </w:rPr>
        <w:t>report</w:t>
      </w:r>
      <w:r w:rsidR="00816C54">
        <w:rPr>
          <w:szCs w:val="26"/>
        </w:rPr>
        <w:t>,</w:t>
      </w:r>
      <w:r w:rsidRPr="00761DF6">
        <w:rPr>
          <w:szCs w:val="26"/>
        </w:rPr>
        <w:t xml:space="preserve"> and they obtained the details underlying the 2005 rape allegation from a police inspector’s affidavit in support of an arrest warrant</w:t>
      </w:r>
      <w:r w:rsidRPr="00761DF6" w:rsidR="00FD206E">
        <w:rPr>
          <w:szCs w:val="26"/>
        </w:rPr>
        <w:t>.  In his evaluation, MacSpeiden</w:t>
      </w:r>
      <w:r w:rsidRPr="00761DF6" w:rsidR="000829EE">
        <w:rPr>
          <w:szCs w:val="26"/>
        </w:rPr>
        <w:t xml:space="preserve"> </w:t>
      </w:r>
      <w:r w:rsidRPr="00761DF6" w:rsidR="00307149">
        <w:rPr>
          <w:szCs w:val="26"/>
        </w:rPr>
        <w:t xml:space="preserve">quoted the documents’ </w:t>
      </w:r>
      <w:r w:rsidRPr="00761DF6">
        <w:rPr>
          <w:szCs w:val="26"/>
        </w:rPr>
        <w:t>description of events, which in turn summarized and quoted the victims</w:t>
      </w:r>
      <w:r w:rsidRPr="00761DF6" w:rsidR="00307149">
        <w:rPr>
          <w:szCs w:val="26"/>
        </w:rPr>
        <w:t>’</w:t>
      </w:r>
      <w:r w:rsidRPr="00761DF6">
        <w:rPr>
          <w:szCs w:val="26"/>
        </w:rPr>
        <w:t xml:space="preserve"> account </w:t>
      </w:r>
      <w:r w:rsidRPr="00761DF6" w:rsidR="00307149">
        <w:rPr>
          <w:szCs w:val="26"/>
        </w:rPr>
        <w:t xml:space="preserve">of </w:t>
      </w:r>
      <w:r w:rsidRPr="00761DF6">
        <w:rPr>
          <w:szCs w:val="26"/>
        </w:rPr>
        <w:t>Walker’s conduct and statements leading up to, during, and after the alleged rape</w:t>
      </w:r>
      <w:r w:rsidRPr="00761DF6" w:rsidR="00307149">
        <w:rPr>
          <w:szCs w:val="26"/>
        </w:rPr>
        <w:t>s</w:t>
      </w:r>
      <w:r w:rsidRPr="00761DF6">
        <w:rPr>
          <w:szCs w:val="26"/>
        </w:rPr>
        <w:t xml:space="preserve">.  Karlsson </w:t>
      </w:r>
      <w:r w:rsidRPr="00761DF6">
        <w:rPr>
          <w:szCs w:val="26"/>
        </w:rPr>
        <w:t xml:space="preserve">also quoted the police affidavit, and he summarized the probation report’s description of events.  </w:t>
      </w:r>
    </w:p>
    <w:p w:rsidR="0097787D" w:rsidP="00761DF6" w14:paraId="669FAA43" w14:textId="1D7AB7DA">
      <w:pPr>
        <w:pStyle w:val="Text"/>
        <w:spacing w:line="400" w:lineRule="exact"/>
        <w:ind w:firstLine="0"/>
      </w:pPr>
      <w:r>
        <w:tab/>
      </w:r>
      <w:r w:rsidR="005159D1">
        <w:t>In particular, t</w:t>
      </w:r>
      <w:r>
        <w:t xml:space="preserve">he evaluations </w:t>
      </w:r>
      <w:r w:rsidR="00407248">
        <w:t>conveyed</w:t>
      </w:r>
      <w:r>
        <w:t xml:space="preserve"> the following </w:t>
      </w:r>
      <w:r w:rsidR="00407248">
        <w:t>about</w:t>
      </w:r>
      <w:r>
        <w:t xml:space="preserve"> the 1989 rape allegation:  Walker met the victim at a car show, and he told her he was a photographer for a company hiring models.  They met up five nights later, and Walker drove her to a park and took photographs of her.  He then asked her to change into a swimsuit she had brought along.  When she went into the bathroom to change clothes, Walker followed her, refused </w:t>
      </w:r>
      <w:r w:rsidR="00D94CFB">
        <w:t>to</w:t>
      </w:r>
      <w:r>
        <w:t xml:space="preserve"> leave, pushed her against the wall face</w:t>
      </w:r>
      <w:r w:rsidR="00355F7D">
        <w:t xml:space="preserve"> </w:t>
      </w:r>
      <w:r>
        <w:t>first, groped her, and called her a “</w:t>
      </w:r>
      <w:r w:rsidR="00947D4D">
        <w:t> </w:t>
      </w:r>
      <w:r w:rsidR="005C4001">
        <w:t>‘</w:t>
      </w:r>
      <w:r>
        <w:t>bitch.</w:t>
      </w:r>
      <w:r w:rsidR="005C4001">
        <w:t>’</w:t>
      </w:r>
      <w:r w:rsidR="00947D4D">
        <w:t> </w:t>
      </w:r>
      <w:r>
        <w:t>”  While repeatedly pushing her face into the wall, he forcibly had sex with her; he then forced her onto the floor facedown and continued to rape her.  Afterward, Walker drove the victim to her car, and he grabbed her and forcibly kissed her before she left.</w:t>
      </w:r>
    </w:p>
    <w:p w:rsidR="0097787D" w:rsidRPr="0097787D" w:rsidP="0097787D" w14:paraId="3C13A6EA" w14:textId="42E00B56">
      <w:pPr>
        <w:pStyle w:val="Text"/>
        <w:spacing w:line="400" w:lineRule="exact"/>
      </w:pPr>
      <w:r>
        <w:t xml:space="preserve">Regarding the 2005 rape allegation, the evaluations </w:t>
      </w:r>
      <w:r w:rsidR="003F6A0D">
        <w:t xml:space="preserve">indicated that </w:t>
      </w:r>
      <w:r w:rsidRPr="0097787D">
        <w:t>Walker introduced himself to the 2005 alleged rape victim as the employee of a local radio station that was looking for help promoting the station at clubs.  She</w:t>
      </w:r>
      <w:r w:rsidR="00B47B74">
        <w:t xml:space="preserve"> readily conveyed her</w:t>
      </w:r>
      <w:r w:rsidRPr="0097787D">
        <w:t xml:space="preserve"> inte</w:t>
      </w:r>
      <w:r w:rsidR="00B47B74">
        <w:t>rest</w:t>
      </w:r>
      <w:r w:rsidRPr="0097787D">
        <w:t>.  They met a few days later, after he contacted her and informed her that he had some promotions at a few San Francisco clubs.  He drove her up to San Francisco, and during the drive he instructed her on the procedures for working in a strip club and the prices to charge for certain sex acts.  The victim had never worked at a strip club or as a prostitute.  Once they arrived in San Francisco, Walker parked the car and told her he needed to show her “</w:t>
      </w:r>
      <w:r w:rsidR="00BF24C3">
        <w:t> </w:t>
      </w:r>
      <w:r w:rsidRPr="0097787D">
        <w:t>‘the game.’</w:t>
      </w:r>
      <w:r w:rsidR="00BF24C3">
        <w:t> </w:t>
      </w:r>
      <w:r w:rsidRPr="0097787D">
        <w:t>”  He went around to the passenger door, entered the car, and placed his hands between her legs.  The victim told him to stop and kept her legs closed, but Walker refused.  He attempted to take her underwear off, and he digitally penetrated her.  She continued to tell Walker to stop and was very upset, but Walker persisted and eventually forcibly had sex with her.  He then took her to various strip clubs in an attempt to employ her.  The victim went along out of fear.  She turned over the money she made at the clubs to Walker.  When they returned to his car, he forced her to orally copulate him.  He then drove her home.</w:t>
      </w:r>
    </w:p>
    <w:p w:rsidR="00E372FA" w:rsidRPr="00761DF6" w:rsidP="00761DF6" w14:paraId="100DE62E" w14:textId="23BF5D14">
      <w:pPr>
        <w:pStyle w:val="Text"/>
        <w:spacing w:line="400" w:lineRule="exact"/>
        <w:ind w:firstLine="0"/>
        <w:rPr>
          <w:szCs w:val="26"/>
        </w:rPr>
      </w:pPr>
      <w:r w:rsidRPr="00761DF6">
        <w:rPr>
          <w:szCs w:val="26"/>
        </w:rPr>
        <w:tab/>
      </w:r>
      <w:r w:rsidRPr="00761DF6" w:rsidR="00E433A7">
        <w:rPr>
          <w:szCs w:val="26"/>
        </w:rPr>
        <w:t xml:space="preserve">In February and March 2016, the trial court held a probable cause hearing spanning five sessions.  </w:t>
      </w:r>
      <w:r w:rsidRPr="00761DF6">
        <w:rPr>
          <w:szCs w:val="26"/>
        </w:rPr>
        <w:t>At the hearing, t</w:t>
      </w:r>
      <w:r w:rsidRPr="00761DF6" w:rsidR="00040F4F">
        <w:rPr>
          <w:szCs w:val="26"/>
        </w:rPr>
        <w:t>he prosecution moved to admit the psychologists’ reports into evidence</w:t>
      </w:r>
      <w:r w:rsidRPr="00761DF6" w:rsidR="00D62788">
        <w:rPr>
          <w:szCs w:val="26"/>
        </w:rPr>
        <w:t xml:space="preserve">.  </w:t>
      </w:r>
      <w:r w:rsidRPr="00761DF6" w:rsidR="00DA7BB6">
        <w:rPr>
          <w:szCs w:val="26"/>
        </w:rPr>
        <w:t xml:space="preserve">Walker </w:t>
      </w:r>
      <w:r w:rsidRPr="00761DF6" w:rsidR="00D62788">
        <w:rPr>
          <w:szCs w:val="26"/>
        </w:rPr>
        <w:t>objected</w:t>
      </w:r>
      <w:r w:rsidRPr="00761DF6" w:rsidR="006F07C5">
        <w:rPr>
          <w:szCs w:val="26"/>
        </w:rPr>
        <w:t>, arguing</w:t>
      </w:r>
      <w:r w:rsidRPr="00761DF6" w:rsidR="00D45B06">
        <w:rPr>
          <w:szCs w:val="26"/>
        </w:rPr>
        <w:t xml:space="preserve"> </w:t>
      </w:r>
      <w:r w:rsidRPr="00761DF6" w:rsidR="006F07C5">
        <w:rPr>
          <w:szCs w:val="26"/>
        </w:rPr>
        <w:t>that the reports contained inadmissible hearsay</w:t>
      </w:r>
      <w:r w:rsidRPr="00761DF6" w:rsidR="003C2911">
        <w:rPr>
          <w:szCs w:val="26"/>
        </w:rPr>
        <w:t xml:space="preserve"> regarding the </w:t>
      </w:r>
      <w:r w:rsidRPr="00761DF6" w:rsidR="00185331">
        <w:rPr>
          <w:szCs w:val="26"/>
        </w:rPr>
        <w:t>1989 and 2005 rape allegations</w:t>
      </w:r>
      <w:r w:rsidR="0096168B">
        <w:rPr>
          <w:szCs w:val="26"/>
        </w:rPr>
        <w:t xml:space="preserve">, </w:t>
      </w:r>
      <w:r w:rsidRPr="00761DF6" w:rsidR="00B044D8">
        <w:rPr>
          <w:szCs w:val="26"/>
        </w:rPr>
        <w:t>and</w:t>
      </w:r>
      <w:r w:rsidRPr="00761DF6" w:rsidR="00694129">
        <w:rPr>
          <w:szCs w:val="26"/>
        </w:rPr>
        <w:t xml:space="preserve"> that</w:t>
      </w:r>
      <w:r w:rsidRPr="00761DF6" w:rsidR="00B044D8">
        <w:rPr>
          <w:szCs w:val="26"/>
        </w:rPr>
        <w:t xml:space="preserve"> their admission would violate due process</w:t>
      </w:r>
      <w:r w:rsidR="00DC25DD">
        <w:rPr>
          <w:szCs w:val="26"/>
        </w:rPr>
        <w:t xml:space="preserve"> because </w:t>
      </w:r>
      <w:r w:rsidR="00A17A65">
        <w:rPr>
          <w:szCs w:val="26"/>
        </w:rPr>
        <w:t xml:space="preserve">of the unreliability of </w:t>
      </w:r>
      <w:r w:rsidR="00DC25DD">
        <w:rPr>
          <w:szCs w:val="26"/>
        </w:rPr>
        <w:t>the hearsay</w:t>
      </w:r>
      <w:r w:rsidR="00A17A65">
        <w:rPr>
          <w:szCs w:val="26"/>
        </w:rPr>
        <w:t xml:space="preserve"> evidence</w:t>
      </w:r>
      <w:r w:rsidRPr="00761DF6" w:rsidR="00B044D8">
        <w:rPr>
          <w:szCs w:val="26"/>
        </w:rPr>
        <w:t xml:space="preserve">.  </w:t>
      </w:r>
      <w:r w:rsidRPr="00761DF6" w:rsidR="00D45B06">
        <w:rPr>
          <w:szCs w:val="26"/>
        </w:rPr>
        <w:t xml:space="preserve">He </w:t>
      </w:r>
      <w:r w:rsidRPr="00761DF6" w:rsidR="00246C00">
        <w:rPr>
          <w:szCs w:val="26"/>
        </w:rPr>
        <w:t xml:space="preserve">moved to </w:t>
      </w:r>
      <w:r w:rsidRPr="00761DF6" w:rsidR="00051674">
        <w:rPr>
          <w:szCs w:val="26"/>
        </w:rPr>
        <w:t>exclude the reports entirely, or in the alternative to strike the portion</w:t>
      </w:r>
      <w:r w:rsidRPr="00761DF6" w:rsidR="00C520C2">
        <w:rPr>
          <w:szCs w:val="26"/>
        </w:rPr>
        <w:t>s</w:t>
      </w:r>
      <w:r w:rsidRPr="00761DF6" w:rsidR="00051674">
        <w:rPr>
          <w:szCs w:val="26"/>
        </w:rPr>
        <w:t xml:space="preserve"> of the reports containing inadmissible hearsay. </w:t>
      </w:r>
      <w:r w:rsidRPr="00761DF6" w:rsidR="00ED475F">
        <w:rPr>
          <w:szCs w:val="26"/>
        </w:rPr>
        <w:t xml:space="preserve"> </w:t>
      </w:r>
      <w:r w:rsidRPr="00761DF6" w:rsidR="006558B3">
        <w:rPr>
          <w:szCs w:val="26"/>
        </w:rPr>
        <w:t>The trial court overruled Walker’s objections</w:t>
      </w:r>
      <w:r w:rsidRPr="00761DF6" w:rsidR="007D37D9">
        <w:rPr>
          <w:szCs w:val="26"/>
        </w:rPr>
        <w:t xml:space="preserve"> and</w:t>
      </w:r>
      <w:r w:rsidRPr="00761DF6" w:rsidR="006558B3">
        <w:rPr>
          <w:szCs w:val="26"/>
        </w:rPr>
        <w:t xml:space="preserve"> admitt</w:t>
      </w:r>
      <w:r w:rsidRPr="00761DF6" w:rsidR="007D37D9">
        <w:rPr>
          <w:szCs w:val="26"/>
        </w:rPr>
        <w:t>ed</w:t>
      </w:r>
      <w:r w:rsidRPr="00761DF6" w:rsidR="006558B3">
        <w:rPr>
          <w:szCs w:val="26"/>
        </w:rPr>
        <w:t xml:space="preserve"> the </w:t>
      </w:r>
      <w:r w:rsidRPr="00761DF6" w:rsidR="00C11521">
        <w:rPr>
          <w:szCs w:val="26"/>
        </w:rPr>
        <w:t>reports</w:t>
      </w:r>
      <w:r w:rsidRPr="00761DF6" w:rsidR="006558B3">
        <w:rPr>
          <w:szCs w:val="26"/>
        </w:rPr>
        <w:t xml:space="preserve"> into evidence</w:t>
      </w:r>
      <w:r w:rsidRPr="00761DF6" w:rsidR="007D37D9">
        <w:rPr>
          <w:szCs w:val="26"/>
        </w:rPr>
        <w:t>.</w:t>
      </w:r>
      <w:r w:rsidRPr="00761DF6" w:rsidR="002454E4">
        <w:rPr>
          <w:szCs w:val="26"/>
        </w:rPr>
        <w:t xml:space="preserve">  </w:t>
      </w:r>
    </w:p>
    <w:p w:rsidR="00B86E68" w:rsidRPr="00761DF6" w:rsidP="00761DF6" w14:paraId="34E4ABB8" w14:textId="375E5621">
      <w:pPr>
        <w:pStyle w:val="Text"/>
        <w:spacing w:line="400" w:lineRule="exact"/>
        <w:ind w:firstLine="0"/>
        <w:rPr>
          <w:szCs w:val="26"/>
        </w:rPr>
      </w:pPr>
      <w:r w:rsidRPr="00761DF6">
        <w:rPr>
          <w:szCs w:val="26"/>
        </w:rPr>
        <w:tab/>
      </w:r>
      <w:r w:rsidRPr="00761DF6" w:rsidR="00E02645">
        <w:rPr>
          <w:szCs w:val="26"/>
        </w:rPr>
        <w:t xml:space="preserve">During the probable cause hearing, Walker’s attorney </w:t>
      </w:r>
      <w:r w:rsidRPr="00761DF6" w:rsidR="00A11F80">
        <w:rPr>
          <w:szCs w:val="26"/>
        </w:rPr>
        <w:t xml:space="preserve">cross-examined </w:t>
      </w:r>
      <w:r w:rsidRPr="00761DF6" w:rsidR="00BB6AD6">
        <w:rPr>
          <w:szCs w:val="26"/>
        </w:rPr>
        <w:t>the</w:t>
      </w:r>
      <w:r w:rsidRPr="00761DF6" w:rsidR="00A11F80">
        <w:rPr>
          <w:szCs w:val="26"/>
        </w:rPr>
        <w:t xml:space="preserve"> psychologists about their evaluations</w:t>
      </w:r>
      <w:r w:rsidRPr="00761DF6" w:rsidR="006658A1">
        <w:rPr>
          <w:szCs w:val="26"/>
        </w:rPr>
        <w:t xml:space="preserve">, including their reliance on the </w:t>
      </w:r>
      <w:r w:rsidRPr="00761DF6" w:rsidR="004D403C">
        <w:rPr>
          <w:szCs w:val="26"/>
        </w:rPr>
        <w:t xml:space="preserve">1989 and 2005 </w:t>
      </w:r>
      <w:r w:rsidRPr="00761DF6" w:rsidR="00887C24">
        <w:rPr>
          <w:szCs w:val="26"/>
        </w:rPr>
        <w:t xml:space="preserve">rape </w:t>
      </w:r>
      <w:r w:rsidRPr="00761DF6" w:rsidR="006658A1">
        <w:rPr>
          <w:szCs w:val="26"/>
        </w:rPr>
        <w:t>allegations</w:t>
      </w:r>
      <w:r w:rsidRPr="00761DF6" w:rsidR="0094269B">
        <w:rPr>
          <w:szCs w:val="26"/>
        </w:rPr>
        <w:t>.</w:t>
      </w:r>
    </w:p>
    <w:p w:rsidR="001652F7" w:rsidRPr="00761DF6" w:rsidP="00761DF6" w14:paraId="1FEF48E6" w14:textId="1A4D12B2">
      <w:pPr>
        <w:pStyle w:val="Text"/>
        <w:spacing w:line="400" w:lineRule="exact"/>
        <w:ind w:firstLine="0"/>
        <w:rPr>
          <w:szCs w:val="26"/>
        </w:rPr>
      </w:pPr>
      <w:r w:rsidRPr="00761DF6">
        <w:rPr>
          <w:szCs w:val="26"/>
        </w:rPr>
        <w:tab/>
      </w:r>
      <w:r w:rsidRPr="00761DF6" w:rsidR="00540E6B">
        <w:rPr>
          <w:szCs w:val="26"/>
        </w:rPr>
        <w:t>MacSpeiden</w:t>
      </w:r>
      <w:r w:rsidRPr="00761DF6" w:rsidR="003762BE">
        <w:rPr>
          <w:szCs w:val="26"/>
        </w:rPr>
        <w:t xml:space="preserve"> testified that the </w:t>
      </w:r>
      <w:r w:rsidRPr="00761DF6" w:rsidR="00403315">
        <w:rPr>
          <w:szCs w:val="26"/>
        </w:rPr>
        <w:t xml:space="preserve">two rape </w:t>
      </w:r>
      <w:r w:rsidRPr="00761DF6" w:rsidR="003762BE">
        <w:rPr>
          <w:szCs w:val="26"/>
        </w:rPr>
        <w:t xml:space="preserve">allegations </w:t>
      </w:r>
      <w:r w:rsidRPr="00761DF6" w:rsidR="00534402">
        <w:rPr>
          <w:szCs w:val="26"/>
        </w:rPr>
        <w:t xml:space="preserve">constituted </w:t>
      </w:r>
      <w:r w:rsidRPr="00761DF6" w:rsidR="004D613D">
        <w:rPr>
          <w:szCs w:val="26"/>
        </w:rPr>
        <w:t xml:space="preserve">key </w:t>
      </w:r>
      <w:r w:rsidRPr="00761DF6" w:rsidR="00534402">
        <w:rPr>
          <w:szCs w:val="26"/>
        </w:rPr>
        <w:t xml:space="preserve">rationales </w:t>
      </w:r>
      <w:r w:rsidRPr="00761DF6" w:rsidR="003762BE">
        <w:rPr>
          <w:szCs w:val="26"/>
        </w:rPr>
        <w:t>for his evaluation, even though</w:t>
      </w:r>
      <w:r w:rsidRPr="00761DF6" w:rsidR="00096CAB">
        <w:rPr>
          <w:szCs w:val="26"/>
        </w:rPr>
        <w:t xml:space="preserve"> he knew</w:t>
      </w:r>
      <w:r w:rsidRPr="00761DF6" w:rsidR="003762BE">
        <w:rPr>
          <w:szCs w:val="26"/>
        </w:rPr>
        <w:t xml:space="preserve"> neither resulted in a </w:t>
      </w:r>
      <w:r w:rsidRPr="00761DF6" w:rsidR="00403315">
        <w:rPr>
          <w:szCs w:val="26"/>
        </w:rPr>
        <w:t>rape</w:t>
      </w:r>
      <w:r w:rsidRPr="00761DF6" w:rsidR="003762BE">
        <w:rPr>
          <w:szCs w:val="26"/>
        </w:rPr>
        <w:t xml:space="preserve"> conviction</w:t>
      </w:r>
      <w:r w:rsidRPr="00761DF6" w:rsidR="00B9743B">
        <w:rPr>
          <w:szCs w:val="26"/>
        </w:rPr>
        <w:t>.</w:t>
      </w:r>
      <w:r w:rsidRPr="00761DF6" w:rsidR="00BB701B">
        <w:rPr>
          <w:szCs w:val="26"/>
        </w:rPr>
        <w:t xml:space="preserve">  </w:t>
      </w:r>
      <w:r w:rsidRPr="00761DF6" w:rsidR="004E6D77">
        <w:rPr>
          <w:szCs w:val="26"/>
        </w:rPr>
        <w:t>According to MacSpeiden,</w:t>
      </w:r>
      <w:r w:rsidRPr="00761DF6" w:rsidR="00BB701B">
        <w:rPr>
          <w:szCs w:val="26"/>
        </w:rPr>
        <w:t xml:space="preserve"> </w:t>
      </w:r>
      <w:r w:rsidRPr="00761DF6" w:rsidR="00887C24">
        <w:rPr>
          <w:szCs w:val="26"/>
        </w:rPr>
        <w:t xml:space="preserve">the </w:t>
      </w:r>
      <w:r w:rsidRPr="00761DF6" w:rsidR="00CE0077">
        <w:rPr>
          <w:szCs w:val="26"/>
        </w:rPr>
        <w:t>two</w:t>
      </w:r>
      <w:r w:rsidRPr="00761DF6" w:rsidR="00887C24">
        <w:rPr>
          <w:szCs w:val="26"/>
        </w:rPr>
        <w:t xml:space="preserve"> allegations and </w:t>
      </w:r>
      <w:r w:rsidRPr="00761DF6" w:rsidR="001A4EB3">
        <w:rPr>
          <w:szCs w:val="26"/>
        </w:rPr>
        <w:t>Walker’s 1990 rape conviction</w:t>
      </w:r>
      <w:r w:rsidRPr="00761DF6" w:rsidR="00BF274E">
        <w:rPr>
          <w:szCs w:val="26"/>
        </w:rPr>
        <w:t xml:space="preserve"> all had “essentially the same” “modus operandi.”</w:t>
      </w:r>
      <w:r w:rsidRPr="00761DF6" w:rsidR="007D18E4">
        <w:rPr>
          <w:szCs w:val="26"/>
        </w:rPr>
        <w:t xml:space="preserve">  </w:t>
      </w:r>
      <w:bookmarkStart w:id="7" w:name="_Hlk64039754"/>
      <w:r w:rsidRPr="00761DF6" w:rsidR="002D00B5">
        <w:rPr>
          <w:szCs w:val="26"/>
        </w:rPr>
        <w:t>Because of this modus operandi</w:t>
      </w:r>
      <w:r w:rsidRPr="00761DF6" w:rsidR="00472D15">
        <w:rPr>
          <w:szCs w:val="26"/>
        </w:rPr>
        <w:t xml:space="preserve">, and because the </w:t>
      </w:r>
      <w:r w:rsidRPr="00761DF6" w:rsidR="004E208F">
        <w:rPr>
          <w:szCs w:val="26"/>
        </w:rPr>
        <w:t xml:space="preserve">rape </w:t>
      </w:r>
      <w:r w:rsidRPr="00761DF6" w:rsidR="00472D15">
        <w:rPr>
          <w:szCs w:val="26"/>
        </w:rPr>
        <w:t xml:space="preserve">allegations </w:t>
      </w:r>
      <w:r w:rsidRPr="00761DF6" w:rsidR="004E208F">
        <w:rPr>
          <w:szCs w:val="26"/>
        </w:rPr>
        <w:t>resulted in charges</w:t>
      </w:r>
      <w:r w:rsidRPr="00761DF6" w:rsidR="00472D15">
        <w:rPr>
          <w:szCs w:val="26"/>
        </w:rPr>
        <w:t>,</w:t>
      </w:r>
      <w:r w:rsidRPr="00761DF6" w:rsidR="004E208F">
        <w:rPr>
          <w:szCs w:val="26"/>
        </w:rPr>
        <w:t xml:space="preserve"> he determined it was important to </w:t>
      </w:r>
      <w:r w:rsidRPr="00761DF6" w:rsidR="0012056A">
        <w:rPr>
          <w:szCs w:val="26"/>
        </w:rPr>
        <w:t>describe them</w:t>
      </w:r>
      <w:r w:rsidRPr="00761DF6" w:rsidR="004E208F">
        <w:rPr>
          <w:szCs w:val="26"/>
        </w:rPr>
        <w:t xml:space="preserve"> </w:t>
      </w:r>
      <w:r w:rsidRPr="00761DF6" w:rsidR="00790F1B">
        <w:rPr>
          <w:szCs w:val="26"/>
        </w:rPr>
        <w:t xml:space="preserve">in his </w:t>
      </w:r>
      <w:r w:rsidRPr="00761DF6" w:rsidR="00657574">
        <w:rPr>
          <w:szCs w:val="26"/>
        </w:rPr>
        <w:t>report</w:t>
      </w:r>
      <w:r w:rsidRPr="00761DF6" w:rsidR="002D00B5">
        <w:rPr>
          <w:szCs w:val="26"/>
        </w:rPr>
        <w:t>,</w:t>
      </w:r>
      <w:r w:rsidRPr="00761DF6" w:rsidR="00C37AC0">
        <w:rPr>
          <w:szCs w:val="26"/>
        </w:rPr>
        <w:t xml:space="preserve"> and</w:t>
      </w:r>
      <w:r w:rsidRPr="00761DF6" w:rsidR="002D00B5">
        <w:rPr>
          <w:szCs w:val="26"/>
        </w:rPr>
        <w:t xml:space="preserve"> he</w:t>
      </w:r>
      <w:r w:rsidRPr="00761DF6" w:rsidR="00C37AC0">
        <w:rPr>
          <w:szCs w:val="26"/>
        </w:rPr>
        <w:t xml:space="preserve"> </w:t>
      </w:r>
      <w:r w:rsidRPr="00761DF6" w:rsidR="0070660C">
        <w:rPr>
          <w:szCs w:val="26"/>
        </w:rPr>
        <w:t>believed</w:t>
      </w:r>
      <w:r w:rsidRPr="00761DF6" w:rsidR="00154BA4">
        <w:rPr>
          <w:szCs w:val="26"/>
        </w:rPr>
        <w:t xml:space="preserve"> </w:t>
      </w:r>
      <w:r w:rsidRPr="00761DF6" w:rsidR="00790F1B">
        <w:rPr>
          <w:szCs w:val="26"/>
        </w:rPr>
        <w:t xml:space="preserve">in </w:t>
      </w:r>
      <w:r w:rsidRPr="00761DF6" w:rsidR="00657574">
        <w:rPr>
          <w:szCs w:val="26"/>
        </w:rPr>
        <w:t>reaching his evaluation</w:t>
      </w:r>
      <w:r w:rsidRPr="00761DF6" w:rsidR="00790F1B">
        <w:rPr>
          <w:szCs w:val="26"/>
        </w:rPr>
        <w:t xml:space="preserve"> and </w:t>
      </w:r>
      <w:r w:rsidRPr="00761DF6" w:rsidR="002D00B5">
        <w:rPr>
          <w:szCs w:val="26"/>
        </w:rPr>
        <w:t>continued to believe</w:t>
      </w:r>
      <w:r w:rsidRPr="00761DF6" w:rsidR="0047303D">
        <w:rPr>
          <w:szCs w:val="26"/>
        </w:rPr>
        <w:t xml:space="preserve"> during his testimony</w:t>
      </w:r>
      <w:r w:rsidRPr="00761DF6" w:rsidR="00790F1B">
        <w:rPr>
          <w:szCs w:val="26"/>
        </w:rPr>
        <w:t xml:space="preserve"> that the</w:t>
      </w:r>
      <w:r w:rsidRPr="00761DF6" w:rsidR="006A0381">
        <w:rPr>
          <w:szCs w:val="26"/>
        </w:rPr>
        <w:t xml:space="preserve"> </w:t>
      </w:r>
      <w:r w:rsidRPr="00761DF6" w:rsidR="00330B73">
        <w:rPr>
          <w:szCs w:val="26"/>
        </w:rPr>
        <w:t xml:space="preserve">allegations were true and the </w:t>
      </w:r>
      <w:r w:rsidRPr="00761DF6" w:rsidR="00657574">
        <w:rPr>
          <w:szCs w:val="26"/>
        </w:rPr>
        <w:t xml:space="preserve">documents relaying </w:t>
      </w:r>
      <w:r w:rsidRPr="00761DF6" w:rsidR="007E5AB0">
        <w:rPr>
          <w:szCs w:val="26"/>
        </w:rPr>
        <w:t>them</w:t>
      </w:r>
      <w:r w:rsidRPr="00761DF6" w:rsidR="00657574">
        <w:rPr>
          <w:szCs w:val="26"/>
        </w:rPr>
        <w:t xml:space="preserve"> were reliable and appropriate evidence for him to rely on</w:t>
      </w:r>
      <w:r w:rsidR="00FC5AB2">
        <w:rPr>
          <w:szCs w:val="26"/>
        </w:rPr>
        <w:t>.</w:t>
      </w:r>
      <w:r w:rsidR="00F00676">
        <w:rPr>
          <w:szCs w:val="26"/>
        </w:rPr>
        <w:t xml:space="preserve"> </w:t>
      </w:r>
      <w:r w:rsidRPr="00761DF6" w:rsidR="003277D2">
        <w:rPr>
          <w:szCs w:val="26"/>
        </w:rPr>
        <w:t xml:space="preserve"> </w:t>
      </w:r>
      <w:r w:rsidRPr="00761DF6" w:rsidR="005F1DF3">
        <w:rPr>
          <w:szCs w:val="26"/>
        </w:rPr>
        <w:t>H</w:t>
      </w:r>
      <w:r w:rsidRPr="00761DF6">
        <w:rPr>
          <w:szCs w:val="26"/>
        </w:rPr>
        <w:t>e</w:t>
      </w:r>
      <w:r w:rsidRPr="00761DF6" w:rsidR="005F1DF3">
        <w:rPr>
          <w:szCs w:val="26"/>
        </w:rPr>
        <w:t xml:space="preserve"> did</w:t>
      </w:r>
      <w:r w:rsidRPr="00761DF6" w:rsidR="007A5574">
        <w:rPr>
          <w:szCs w:val="26"/>
        </w:rPr>
        <w:t xml:space="preserve"> </w:t>
      </w:r>
      <w:r w:rsidRPr="00761DF6" w:rsidR="005F1DF3">
        <w:rPr>
          <w:szCs w:val="26"/>
        </w:rPr>
        <w:t>contend that</w:t>
      </w:r>
      <w:r w:rsidRPr="00761DF6" w:rsidR="007A5574">
        <w:rPr>
          <w:szCs w:val="26"/>
        </w:rPr>
        <w:t xml:space="preserve"> he</w:t>
      </w:r>
      <w:r w:rsidRPr="00761DF6">
        <w:rPr>
          <w:szCs w:val="26"/>
        </w:rPr>
        <w:t xml:space="preserve"> would have still arrived at the same evaluation</w:t>
      </w:r>
      <w:r w:rsidRPr="00761DF6" w:rsidR="007A5574">
        <w:rPr>
          <w:szCs w:val="26"/>
        </w:rPr>
        <w:t xml:space="preserve"> even without the</w:t>
      </w:r>
      <w:r w:rsidRPr="00761DF6" w:rsidR="00C67EDE">
        <w:rPr>
          <w:szCs w:val="26"/>
        </w:rPr>
        <w:t xml:space="preserve"> rape</w:t>
      </w:r>
      <w:r w:rsidRPr="00761DF6" w:rsidR="007A5574">
        <w:rPr>
          <w:szCs w:val="26"/>
        </w:rPr>
        <w:t xml:space="preserve"> allegation</w:t>
      </w:r>
      <w:r w:rsidRPr="00761DF6" w:rsidR="00C67EDE">
        <w:rPr>
          <w:szCs w:val="26"/>
        </w:rPr>
        <w:t>s</w:t>
      </w:r>
      <w:r w:rsidRPr="00761DF6" w:rsidR="003277D2">
        <w:rPr>
          <w:szCs w:val="26"/>
        </w:rPr>
        <w:t xml:space="preserve">, </w:t>
      </w:r>
      <w:r w:rsidRPr="00761DF6">
        <w:rPr>
          <w:szCs w:val="26"/>
        </w:rPr>
        <w:t xml:space="preserve">because Walker had </w:t>
      </w:r>
      <w:r w:rsidRPr="00761DF6" w:rsidR="007A5574">
        <w:rPr>
          <w:szCs w:val="26"/>
        </w:rPr>
        <w:t>11</w:t>
      </w:r>
      <w:r w:rsidRPr="00761DF6">
        <w:rPr>
          <w:szCs w:val="26"/>
        </w:rPr>
        <w:t xml:space="preserve"> sex offense charges </w:t>
      </w:r>
      <w:r w:rsidRPr="00761DF6" w:rsidR="007A5574">
        <w:rPr>
          <w:szCs w:val="26"/>
        </w:rPr>
        <w:t>between 1988 and 2007</w:t>
      </w:r>
      <w:r w:rsidR="00D445DB">
        <w:rPr>
          <w:szCs w:val="26"/>
        </w:rPr>
        <w:t> </w:t>
      </w:r>
      <w:r w:rsidRPr="00761DF6">
        <w:rPr>
          <w:szCs w:val="26"/>
        </w:rPr>
        <w:t>—</w:t>
      </w:r>
      <w:r w:rsidR="00C678BD">
        <w:rPr>
          <w:szCs w:val="26"/>
        </w:rPr>
        <w:t xml:space="preserve"> </w:t>
      </w:r>
      <w:r w:rsidRPr="00761DF6" w:rsidR="00342AF0">
        <w:rPr>
          <w:szCs w:val="26"/>
        </w:rPr>
        <w:t xml:space="preserve">a </w:t>
      </w:r>
      <w:r w:rsidRPr="00761DF6">
        <w:rPr>
          <w:szCs w:val="26"/>
        </w:rPr>
        <w:t xml:space="preserve">pattern of illegal sexual conduct.  </w:t>
      </w:r>
      <w:r w:rsidRPr="00761DF6" w:rsidR="00442AC7">
        <w:rPr>
          <w:szCs w:val="26"/>
        </w:rPr>
        <w:t xml:space="preserve">But he admitted </w:t>
      </w:r>
      <w:r w:rsidRPr="00761DF6" w:rsidR="00CB3CBD">
        <w:rPr>
          <w:szCs w:val="26"/>
        </w:rPr>
        <w:t>that charges do not carry the same weight as convictions</w:t>
      </w:r>
      <w:r w:rsidRPr="00761DF6" w:rsidR="00F9691B">
        <w:rPr>
          <w:szCs w:val="26"/>
        </w:rPr>
        <w:t xml:space="preserve"> </w:t>
      </w:r>
      <w:r w:rsidRPr="00761DF6" w:rsidR="00526530">
        <w:rPr>
          <w:szCs w:val="26"/>
        </w:rPr>
        <w:t>for purposes of his evaluation</w:t>
      </w:r>
      <w:r w:rsidRPr="00761DF6" w:rsidR="00CB3CBD">
        <w:rPr>
          <w:szCs w:val="26"/>
        </w:rPr>
        <w:t xml:space="preserve">, and that he </w:t>
      </w:r>
      <w:r w:rsidRPr="00761DF6" w:rsidR="00810474">
        <w:rPr>
          <w:szCs w:val="26"/>
        </w:rPr>
        <w:t xml:space="preserve">had none of the factual details underlying </w:t>
      </w:r>
      <w:r w:rsidRPr="00761DF6" w:rsidR="0047303D">
        <w:rPr>
          <w:szCs w:val="26"/>
        </w:rPr>
        <w:t xml:space="preserve">the </w:t>
      </w:r>
      <w:r w:rsidRPr="00761DF6" w:rsidR="00810474">
        <w:rPr>
          <w:szCs w:val="26"/>
        </w:rPr>
        <w:t>cha</w:t>
      </w:r>
      <w:r w:rsidRPr="00761DF6" w:rsidR="00F754D9">
        <w:rPr>
          <w:szCs w:val="26"/>
        </w:rPr>
        <w:t>r</w:t>
      </w:r>
      <w:r w:rsidRPr="00761DF6" w:rsidR="00810474">
        <w:rPr>
          <w:szCs w:val="26"/>
        </w:rPr>
        <w:t>ges</w:t>
      </w:r>
      <w:r w:rsidRPr="00761DF6" w:rsidR="002D00B5">
        <w:rPr>
          <w:szCs w:val="26"/>
        </w:rPr>
        <w:t xml:space="preserve"> besides the rape allegations.</w:t>
      </w:r>
    </w:p>
    <w:p w:rsidR="006A7483" w:rsidRPr="00761DF6" w:rsidP="00761DF6" w14:paraId="27E99C7C" w14:textId="3FDA25EB">
      <w:pPr>
        <w:pStyle w:val="Text"/>
        <w:spacing w:line="400" w:lineRule="exact"/>
        <w:ind w:firstLine="0"/>
        <w:rPr>
          <w:szCs w:val="26"/>
        </w:rPr>
      </w:pPr>
      <w:r w:rsidRPr="00761DF6">
        <w:rPr>
          <w:szCs w:val="26"/>
        </w:rPr>
        <w:tab/>
        <w:t xml:space="preserve">Karlsson </w:t>
      </w:r>
      <w:r w:rsidRPr="00761DF6" w:rsidR="00C83A33">
        <w:rPr>
          <w:szCs w:val="26"/>
        </w:rPr>
        <w:t xml:space="preserve">also testified </w:t>
      </w:r>
      <w:r w:rsidRPr="00761DF6">
        <w:rPr>
          <w:szCs w:val="26"/>
        </w:rPr>
        <w:t xml:space="preserve">that </w:t>
      </w:r>
      <w:r w:rsidRPr="00761DF6" w:rsidR="00534402">
        <w:rPr>
          <w:szCs w:val="26"/>
        </w:rPr>
        <w:t xml:space="preserve">his evaluation was informed by </w:t>
      </w:r>
      <w:r w:rsidRPr="00761DF6">
        <w:rPr>
          <w:szCs w:val="26"/>
        </w:rPr>
        <w:t>the 1989 and 2005 rape allegations</w:t>
      </w:r>
      <w:r w:rsidRPr="00761DF6" w:rsidR="00B313E5">
        <w:rPr>
          <w:szCs w:val="26"/>
        </w:rPr>
        <w:t xml:space="preserve">.  </w:t>
      </w:r>
      <w:r w:rsidRPr="00761DF6" w:rsidR="00D75B7B">
        <w:rPr>
          <w:szCs w:val="26"/>
        </w:rPr>
        <w:t>He explained that he relied on the probation report and police affidavit relaying these allegations because the documents were from sworn officers</w:t>
      </w:r>
      <w:r w:rsidR="001B4CA5">
        <w:rPr>
          <w:szCs w:val="26"/>
        </w:rPr>
        <w:t>,</w:t>
      </w:r>
      <w:r w:rsidRPr="00761DF6" w:rsidR="00D75B7B">
        <w:rPr>
          <w:szCs w:val="26"/>
        </w:rPr>
        <w:t xml:space="preserve"> and he </w:t>
      </w:r>
      <w:r w:rsidRPr="00761DF6" w:rsidR="00B4754A">
        <w:rPr>
          <w:szCs w:val="26"/>
        </w:rPr>
        <w:t xml:space="preserve">therefore </w:t>
      </w:r>
      <w:r w:rsidRPr="00761DF6" w:rsidR="00D75B7B">
        <w:rPr>
          <w:szCs w:val="26"/>
        </w:rPr>
        <w:t xml:space="preserve">had no reason to believe the records had untrue information.  </w:t>
      </w:r>
      <w:r w:rsidRPr="00761DF6" w:rsidR="00661714">
        <w:rPr>
          <w:szCs w:val="26"/>
        </w:rPr>
        <w:t>But he indicated that he had not considered whether the 1989 allegation involved force, stating</w:t>
      </w:r>
      <w:r w:rsidR="009E64C2">
        <w:rPr>
          <w:szCs w:val="26"/>
        </w:rPr>
        <w:t>,</w:t>
      </w:r>
      <w:r w:rsidRPr="00761DF6" w:rsidR="00661714">
        <w:rPr>
          <w:szCs w:val="26"/>
        </w:rPr>
        <w:t xml:space="preserve"> “I would need to read my report and recalibrate my opinion of that.”  </w:t>
      </w:r>
      <w:r w:rsidRPr="00761DF6" w:rsidR="00D3352C">
        <w:rPr>
          <w:szCs w:val="26"/>
        </w:rPr>
        <w:t xml:space="preserve">And </w:t>
      </w:r>
      <w:r w:rsidRPr="00761DF6" w:rsidR="008D5CA6">
        <w:rPr>
          <w:szCs w:val="26"/>
        </w:rPr>
        <w:t xml:space="preserve">he stated </w:t>
      </w:r>
      <w:r w:rsidRPr="00761DF6" w:rsidR="001D6FFB">
        <w:rPr>
          <w:szCs w:val="26"/>
        </w:rPr>
        <w:t>that had he not been able to factor either the 1989 or 2005 rape allegation into his evaluation, his overall opinion could have been different.</w:t>
      </w:r>
    </w:p>
    <w:p w:rsidR="00E123CF" w:rsidRPr="00761DF6" w:rsidP="00761DF6" w14:paraId="5340BCD0" w14:textId="4016392A">
      <w:pPr>
        <w:pStyle w:val="Text"/>
        <w:spacing w:line="400" w:lineRule="exact"/>
        <w:ind w:firstLine="0"/>
        <w:rPr>
          <w:szCs w:val="26"/>
        </w:rPr>
      </w:pPr>
      <w:r>
        <w:rPr>
          <w:szCs w:val="26"/>
        </w:rPr>
        <w:tab/>
      </w:r>
      <w:r w:rsidR="00D779AB">
        <w:rPr>
          <w:szCs w:val="26"/>
        </w:rPr>
        <w:t>After</w:t>
      </w:r>
      <w:r>
        <w:rPr>
          <w:szCs w:val="26"/>
        </w:rPr>
        <w:t xml:space="preserve"> cross-</w:t>
      </w:r>
      <w:r w:rsidRPr="00761DF6" w:rsidR="004E7580">
        <w:rPr>
          <w:szCs w:val="26"/>
        </w:rPr>
        <w:t xml:space="preserve">examining the psychologists, the defense </w:t>
      </w:r>
      <w:r w:rsidRPr="00761DF6" w:rsidR="00825924">
        <w:rPr>
          <w:szCs w:val="26"/>
        </w:rPr>
        <w:t>called four witnesses</w:t>
      </w:r>
      <w:r w:rsidRPr="00761DF6" w:rsidR="00CE3B53">
        <w:rPr>
          <w:szCs w:val="26"/>
        </w:rPr>
        <w:t xml:space="preserve"> at the probable cause hearing</w:t>
      </w:r>
      <w:r w:rsidRPr="00761DF6" w:rsidR="00825924">
        <w:rPr>
          <w:szCs w:val="26"/>
        </w:rPr>
        <w:t xml:space="preserve">:  </w:t>
      </w:r>
      <w:r w:rsidRPr="00761DF6" w:rsidR="00132085">
        <w:rPr>
          <w:szCs w:val="26"/>
        </w:rPr>
        <w:t xml:space="preserve">(1) </w:t>
      </w:r>
      <w:r w:rsidRPr="00761DF6" w:rsidR="00825924">
        <w:rPr>
          <w:szCs w:val="26"/>
        </w:rPr>
        <w:t xml:space="preserve">the 2005 victim’s ex-boyfriend, who testified that the victim admitted she had falsely accused Walker of rape; </w:t>
      </w:r>
      <w:r w:rsidRPr="00761DF6" w:rsidR="00132085">
        <w:rPr>
          <w:szCs w:val="26"/>
        </w:rPr>
        <w:t xml:space="preserve">(2) </w:t>
      </w:r>
      <w:r w:rsidR="00A71120">
        <w:rPr>
          <w:szCs w:val="26"/>
        </w:rPr>
        <w:t xml:space="preserve">Bruce Yanofsky, </w:t>
      </w:r>
      <w:r w:rsidRPr="00761DF6" w:rsidR="00A43DE6">
        <w:rPr>
          <w:szCs w:val="26"/>
        </w:rPr>
        <w:t>one of the initial psychologists to evaluate Walker</w:t>
      </w:r>
      <w:r w:rsidRPr="00761DF6" w:rsidR="007F2DB5">
        <w:rPr>
          <w:szCs w:val="26"/>
        </w:rPr>
        <w:t>, who testified that Walker did not qualify as a</w:t>
      </w:r>
      <w:r w:rsidRPr="00761DF6" w:rsidR="00AA26FD">
        <w:rPr>
          <w:szCs w:val="26"/>
        </w:rPr>
        <w:t>n</w:t>
      </w:r>
      <w:r w:rsidRPr="00761DF6" w:rsidR="007F2DB5">
        <w:rPr>
          <w:szCs w:val="26"/>
        </w:rPr>
        <w:t xml:space="preserve"> SVP; </w:t>
      </w:r>
      <w:r w:rsidRPr="00761DF6" w:rsidR="00132085">
        <w:rPr>
          <w:szCs w:val="26"/>
        </w:rPr>
        <w:t xml:space="preserve">(3) </w:t>
      </w:r>
      <w:r w:rsidRPr="00761DF6" w:rsidR="00F37567">
        <w:rPr>
          <w:szCs w:val="26"/>
        </w:rPr>
        <w:t xml:space="preserve">the police officer </w:t>
      </w:r>
      <w:r w:rsidRPr="00761DF6" w:rsidR="008F3C06">
        <w:rPr>
          <w:szCs w:val="26"/>
        </w:rPr>
        <w:t>investigating the 2005 rape allegation</w:t>
      </w:r>
      <w:r w:rsidRPr="00761DF6" w:rsidR="00132085">
        <w:rPr>
          <w:szCs w:val="26"/>
        </w:rPr>
        <w:t>, who</w:t>
      </w:r>
      <w:r w:rsidRPr="00761DF6" w:rsidR="006F4970">
        <w:rPr>
          <w:szCs w:val="26"/>
        </w:rPr>
        <w:t xml:space="preserve"> very</w:t>
      </w:r>
      <w:r w:rsidRPr="00761DF6" w:rsidR="006D4AAA">
        <w:rPr>
          <w:szCs w:val="26"/>
        </w:rPr>
        <w:t xml:space="preserve"> briefly</w:t>
      </w:r>
      <w:r w:rsidRPr="00761DF6" w:rsidR="00132085">
        <w:rPr>
          <w:szCs w:val="26"/>
        </w:rPr>
        <w:t xml:space="preserve"> testified about producing the affidavit at issue</w:t>
      </w:r>
      <w:r w:rsidRPr="00761DF6" w:rsidR="008F3C06">
        <w:rPr>
          <w:szCs w:val="26"/>
        </w:rPr>
        <w:t>; and</w:t>
      </w:r>
      <w:r w:rsidRPr="00761DF6" w:rsidR="00132085">
        <w:rPr>
          <w:szCs w:val="26"/>
        </w:rPr>
        <w:t xml:space="preserve"> (4)</w:t>
      </w:r>
      <w:r w:rsidRPr="00761DF6" w:rsidR="008F3C06">
        <w:rPr>
          <w:szCs w:val="26"/>
        </w:rPr>
        <w:t xml:space="preserve"> Walker</w:t>
      </w:r>
      <w:r w:rsidRPr="00761DF6" w:rsidR="00132085">
        <w:rPr>
          <w:szCs w:val="26"/>
        </w:rPr>
        <w:t xml:space="preserve">, who testified </w:t>
      </w:r>
      <w:r w:rsidRPr="00761DF6" w:rsidR="00094AB8">
        <w:rPr>
          <w:szCs w:val="26"/>
        </w:rPr>
        <w:t>that, as he had explained in his evaluation</w:t>
      </w:r>
      <w:r w:rsidRPr="00761DF6" w:rsidR="00013EAC">
        <w:rPr>
          <w:szCs w:val="26"/>
        </w:rPr>
        <w:t xml:space="preserve"> interviews</w:t>
      </w:r>
      <w:r w:rsidRPr="00761DF6" w:rsidR="00094AB8">
        <w:rPr>
          <w:szCs w:val="26"/>
        </w:rPr>
        <w:t xml:space="preserve">, </w:t>
      </w:r>
      <w:r w:rsidRPr="00761DF6" w:rsidR="00132085">
        <w:rPr>
          <w:szCs w:val="26"/>
        </w:rPr>
        <w:t>the 1989 and 2005 rape allegations were untrue</w:t>
      </w:r>
      <w:r w:rsidRPr="00761DF6" w:rsidR="002B56B6">
        <w:rPr>
          <w:szCs w:val="26"/>
        </w:rPr>
        <w:t>.</w:t>
      </w:r>
    </w:p>
    <w:p w:rsidR="001D2E06" w:rsidRPr="00761DF6" w:rsidP="00761DF6" w14:paraId="20A51905" w14:textId="4C063266">
      <w:pPr>
        <w:pStyle w:val="Text"/>
        <w:spacing w:line="400" w:lineRule="exact"/>
        <w:ind w:firstLine="0"/>
        <w:rPr>
          <w:szCs w:val="26"/>
        </w:rPr>
      </w:pPr>
      <w:r w:rsidRPr="00761DF6">
        <w:rPr>
          <w:szCs w:val="26"/>
        </w:rPr>
        <w:tab/>
        <w:t xml:space="preserve">Following the hearing, the trial court determined that probable cause existed </w:t>
      </w:r>
      <w:r w:rsidRPr="00761DF6" w:rsidR="00A86A5D">
        <w:rPr>
          <w:szCs w:val="26"/>
        </w:rPr>
        <w:t>to</w:t>
      </w:r>
      <w:r w:rsidRPr="00761DF6">
        <w:rPr>
          <w:szCs w:val="26"/>
        </w:rPr>
        <w:t xml:space="preserve"> </w:t>
      </w:r>
      <w:r w:rsidRPr="00761DF6" w:rsidR="00A86A5D">
        <w:rPr>
          <w:szCs w:val="26"/>
        </w:rPr>
        <w:t>commit Walker</w:t>
      </w:r>
      <w:r w:rsidRPr="00761DF6">
        <w:rPr>
          <w:szCs w:val="26"/>
        </w:rPr>
        <w:t xml:space="preserve"> as </w:t>
      </w:r>
      <w:r w:rsidRPr="00761DF6" w:rsidR="00AA26FD">
        <w:rPr>
          <w:szCs w:val="26"/>
        </w:rPr>
        <w:t>an</w:t>
      </w:r>
      <w:r w:rsidRPr="00761DF6">
        <w:rPr>
          <w:szCs w:val="26"/>
        </w:rPr>
        <w:t xml:space="preserve"> SVP.</w:t>
      </w:r>
      <w:r w:rsidRPr="00761DF6" w:rsidR="00AA26FD">
        <w:rPr>
          <w:szCs w:val="26"/>
        </w:rPr>
        <w:t xml:space="preserve">  </w:t>
      </w:r>
    </w:p>
    <w:p w:rsidR="00033D75" w:rsidRPr="00761DF6" w:rsidP="00761DF6" w14:paraId="5945B362" w14:textId="1817B530">
      <w:pPr>
        <w:pStyle w:val="Text"/>
        <w:spacing w:line="400" w:lineRule="exact"/>
        <w:ind w:firstLine="0"/>
        <w:rPr>
          <w:szCs w:val="26"/>
        </w:rPr>
      </w:pPr>
      <w:r w:rsidRPr="00761DF6">
        <w:rPr>
          <w:szCs w:val="26"/>
        </w:rPr>
        <w:tab/>
      </w:r>
      <w:r w:rsidRPr="00761DF6" w:rsidR="00366AAF">
        <w:rPr>
          <w:szCs w:val="26"/>
        </w:rPr>
        <w:t>Walker then repeatedly</w:t>
      </w:r>
      <w:r w:rsidRPr="00761DF6" w:rsidR="00165A2D">
        <w:rPr>
          <w:szCs w:val="26"/>
        </w:rPr>
        <w:t xml:space="preserve"> but unsuccessfully</w:t>
      </w:r>
      <w:r w:rsidRPr="00761DF6" w:rsidR="00366AAF">
        <w:rPr>
          <w:szCs w:val="26"/>
        </w:rPr>
        <w:t xml:space="preserve"> sought to dismiss the petition.  </w:t>
      </w:r>
      <w:r w:rsidRPr="00761DF6" w:rsidR="00900837">
        <w:rPr>
          <w:szCs w:val="26"/>
        </w:rPr>
        <w:t>He first moved to dismiss the petition i</w:t>
      </w:r>
      <w:r w:rsidRPr="00761DF6" w:rsidR="00465EE4">
        <w:rPr>
          <w:szCs w:val="26"/>
        </w:rPr>
        <w:t>n September 2016</w:t>
      </w:r>
      <w:r w:rsidRPr="00761DF6" w:rsidR="00900837">
        <w:rPr>
          <w:szCs w:val="26"/>
        </w:rPr>
        <w:t>, arguing</w:t>
      </w:r>
      <w:r w:rsidRPr="00761DF6" w:rsidR="009E76FC">
        <w:rPr>
          <w:szCs w:val="26"/>
        </w:rPr>
        <w:t xml:space="preserve"> that </w:t>
      </w:r>
      <w:r w:rsidRPr="00761DF6" w:rsidR="00900B57">
        <w:rPr>
          <w:szCs w:val="26"/>
        </w:rPr>
        <w:t xml:space="preserve">the </w:t>
      </w:r>
      <w:r w:rsidRPr="00761DF6" w:rsidR="00405EF2">
        <w:rPr>
          <w:szCs w:val="26"/>
        </w:rPr>
        <w:t xml:space="preserve">psychological evaluations contained </w:t>
      </w:r>
      <w:r w:rsidR="00E75DA6">
        <w:rPr>
          <w:szCs w:val="26"/>
        </w:rPr>
        <w:t>inadmissible</w:t>
      </w:r>
      <w:r w:rsidRPr="00761DF6" w:rsidR="00900B57">
        <w:rPr>
          <w:szCs w:val="26"/>
        </w:rPr>
        <w:t xml:space="preserve"> </w:t>
      </w:r>
      <w:r w:rsidRPr="00761DF6" w:rsidR="00405EF2">
        <w:rPr>
          <w:szCs w:val="26"/>
        </w:rPr>
        <w:t>hearsay</w:t>
      </w:r>
      <w:r w:rsidRPr="00761DF6" w:rsidR="002D0FC6">
        <w:rPr>
          <w:szCs w:val="26"/>
        </w:rPr>
        <w:t xml:space="preserve"> </w:t>
      </w:r>
      <w:r w:rsidRPr="00761DF6" w:rsidR="00405EF2">
        <w:rPr>
          <w:szCs w:val="26"/>
        </w:rPr>
        <w:t xml:space="preserve">in violation of our recent decision in </w:t>
      </w:r>
      <w:bookmarkStart w:id="8" w:name="_Hlk76115256"/>
      <w:r w:rsidRPr="00C47811" w:rsidR="00401830">
        <w:rPr>
          <w:i/>
          <w:iCs/>
          <w:szCs w:val="26"/>
        </w:rPr>
        <w:t>People v. Sanchez</w:t>
      </w:r>
      <w:r w:rsidRPr="00C47811" w:rsidR="00401830">
        <w:rPr>
          <w:szCs w:val="26"/>
        </w:rPr>
        <w:t xml:space="preserve"> (2016) 63 Cal.4th 665 (</w:t>
      </w:r>
      <w:r w:rsidRPr="00C47811" w:rsidR="00401830">
        <w:rPr>
          <w:i/>
          <w:iCs/>
          <w:szCs w:val="26"/>
        </w:rPr>
        <w:t>Sanchez</w:t>
      </w:r>
      <w:r w:rsidRPr="00C47811" w:rsidR="00401830">
        <w:rPr>
          <w:szCs w:val="26"/>
        </w:rPr>
        <w:t>)</w:t>
      </w:r>
      <w:r w:rsidR="00401830">
        <w:rPr>
          <w:szCs w:val="26"/>
        </w:rPr>
        <w:t xml:space="preserve">.  </w:t>
      </w:r>
      <w:bookmarkEnd w:id="8"/>
      <w:r w:rsidRPr="00761DF6" w:rsidR="005923B1">
        <w:rPr>
          <w:szCs w:val="26"/>
        </w:rPr>
        <w:t>The trial court</w:t>
      </w:r>
      <w:r w:rsidRPr="00761DF6" w:rsidR="002A17DE">
        <w:rPr>
          <w:szCs w:val="26"/>
        </w:rPr>
        <w:t xml:space="preserve"> denied the motion.  </w:t>
      </w:r>
      <w:r w:rsidRPr="00761DF6" w:rsidR="006F6F24">
        <w:rPr>
          <w:szCs w:val="26"/>
        </w:rPr>
        <w:t xml:space="preserve">In March 2017, Walker </w:t>
      </w:r>
      <w:r w:rsidRPr="00761DF6" w:rsidR="00245CAC">
        <w:rPr>
          <w:szCs w:val="26"/>
        </w:rPr>
        <w:t xml:space="preserve">unsuccessfully </w:t>
      </w:r>
      <w:r w:rsidRPr="00761DF6" w:rsidR="006F6F24">
        <w:rPr>
          <w:szCs w:val="26"/>
        </w:rPr>
        <w:t xml:space="preserve">moved to have the trial court reconsider </w:t>
      </w:r>
      <w:r w:rsidRPr="00761DF6" w:rsidR="0004673C">
        <w:rPr>
          <w:szCs w:val="26"/>
        </w:rPr>
        <w:t>the denial of his motion to dismiss</w:t>
      </w:r>
      <w:r w:rsidRPr="00761DF6" w:rsidR="006F6F24">
        <w:rPr>
          <w:szCs w:val="26"/>
        </w:rPr>
        <w:t xml:space="preserve">.  </w:t>
      </w:r>
      <w:r w:rsidRPr="00761DF6" w:rsidR="00875671">
        <w:rPr>
          <w:szCs w:val="26"/>
        </w:rPr>
        <w:t xml:space="preserve">Walker filed another motion to dismiss in October 2019, this time citing </w:t>
      </w:r>
      <w:bookmarkStart w:id="9" w:name="_Hlk76115476"/>
      <w:bookmarkEnd w:id="7"/>
      <w:r w:rsidRPr="00761DF6" w:rsidR="009C4A30">
        <w:rPr>
          <w:i/>
          <w:iCs/>
          <w:color w:val="000000"/>
          <w:szCs w:val="26"/>
          <w:bdr w:val="none" w:sz="0" w:space="0" w:color="auto" w:frame="1"/>
        </w:rPr>
        <w:t>Bennett v. Superior Court</w:t>
      </w:r>
      <w:r w:rsidRPr="00761DF6" w:rsidR="009C4A30">
        <w:rPr>
          <w:color w:val="000000"/>
          <w:szCs w:val="26"/>
        </w:rPr>
        <w:t> (2019) 39 Cal.App.5th 862</w:t>
      </w:r>
      <w:r w:rsidRPr="00761DF6" w:rsidR="00D26E2F">
        <w:rPr>
          <w:color w:val="000000"/>
          <w:szCs w:val="26"/>
        </w:rPr>
        <w:t xml:space="preserve"> </w:t>
      </w:r>
      <w:r w:rsidRPr="00761DF6" w:rsidR="009C4A30">
        <w:rPr>
          <w:color w:val="000000"/>
          <w:szCs w:val="26"/>
        </w:rPr>
        <w:t>(</w:t>
      </w:r>
      <w:r w:rsidRPr="00761DF6" w:rsidR="009C4A30">
        <w:rPr>
          <w:i/>
          <w:iCs/>
          <w:color w:val="000000"/>
          <w:szCs w:val="26"/>
          <w:bdr w:val="none" w:sz="0" w:space="0" w:color="auto" w:frame="1"/>
        </w:rPr>
        <w:t>Bennett</w:t>
      </w:r>
      <w:r w:rsidRPr="00761DF6" w:rsidR="009C4A30">
        <w:rPr>
          <w:color w:val="000000"/>
          <w:szCs w:val="26"/>
        </w:rPr>
        <w:t>)</w:t>
      </w:r>
      <w:bookmarkEnd w:id="9"/>
      <w:r w:rsidRPr="00761DF6" w:rsidR="00875671">
        <w:rPr>
          <w:color w:val="000000"/>
          <w:szCs w:val="26"/>
        </w:rPr>
        <w:t xml:space="preserve">, </w:t>
      </w:r>
      <w:r w:rsidRPr="00761DF6" w:rsidR="003060C6">
        <w:rPr>
          <w:color w:val="000000"/>
          <w:szCs w:val="26"/>
        </w:rPr>
        <w:t>a decision holding</w:t>
      </w:r>
      <w:r w:rsidRPr="00761DF6" w:rsidR="00875671">
        <w:rPr>
          <w:color w:val="000000"/>
          <w:szCs w:val="26"/>
        </w:rPr>
        <w:t xml:space="preserve"> that </w:t>
      </w:r>
      <w:r w:rsidRPr="00761DF6" w:rsidR="00910A5A">
        <w:rPr>
          <w:color w:val="000000"/>
          <w:szCs w:val="26"/>
        </w:rPr>
        <w:t>fact</w:t>
      </w:r>
      <w:r w:rsidRPr="00761DF6" w:rsidR="00774DEE">
        <w:rPr>
          <w:color w:val="000000"/>
          <w:szCs w:val="26"/>
        </w:rPr>
        <w:t>s</w:t>
      </w:r>
      <w:r w:rsidRPr="00761DF6" w:rsidR="00910A5A">
        <w:rPr>
          <w:color w:val="000000"/>
          <w:szCs w:val="26"/>
        </w:rPr>
        <w:t xml:space="preserve"> regarding two dismissed rape allegations against the defendant, relayed</w:t>
      </w:r>
      <w:r w:rsidRPr="00761DF6" w:rsidR="009C4A30">
        <w:rPr>
          <w:color w:val="000000"/>
          <w:szCs w:val="26"/>
        </w:rPr>
        <w:t xml:space="preserve"> </w:t>
      </w:r>
      <w:r w:rsidRPr="00761DF6" w:rsidR="00900B57">
        <w:rPr>
          <w:color w:val="000000"/>
          <w:szCs w:val="26"/>
        </w:rPr>
        <w:t xml:space="preserve">by </w:t>
      </w:r>
      <w:r w:rsidRPr="00761DF6" w:rsidR="009C4A30">
        <w:rPr>
          <w:color w:val="000000"/>
          <w:szCs w:val="26"/>
        </w:rPr>
        <w:t xml:space="preserve">psychologists in their </w:t>
      </w:r>
      <w:r w:rsidRPr="00761DF6" w:rsidR="00C3047F">
        <w:rPr>
          <w:color w:val="000000"/>
          <w:szCs w:val="26"/>
        </w:rPr>
        <w:t>SVP</w:t>
      </w:r>
      <w:r w:rsidRPr="00761DF6" w:rsidR="00772998">
        <w:rPr>
          <w:color w:val="000000"/>
          <w:szCs w:val="26"/>
        </w:rPr>
        <w:t>A</w:t>
      </w:r>
      <w:r w:rsidRPr="00761DF6" w:rsidR="00C3047F">
        <w:rPr>
          <w:color w:val="000000"/>
          <w:szCs w:val="26"/>
        </w:rPr>
        <w:t xml:space="preserve"> </w:t>
      </w:r>
      <w:r w:rsidRPr="00761DF6" w:rsidR="009C4A30">
        <w:rPr>
          <w:color w:val="000000"/>
          <w:szCs w:val="26"/>
        </w:rPr>
        <w:t>evaluation</w:t>
      </w:r>
      <w:r w:rsidRPr="00761DF6" w:rsidR="00875671">
        <w:rPr>
          <w:color w:val="000000"/>
          <w:szCs w:val="26"/>
        </w:rPr>
        <w:t xml:space="preserve"> reports</w:t>
      </w:r>
      <w:r w:rsidRPr="00761DF6" w:rsidR="009C4A30">
        <w:rPr>
          <w:color w:val="000000"/>
          <w:szCs w:val="26"/>
        </w:rPr>
        <w:t xml:space="preserve"> and </w:t>
      </w:r>
      <w:r w:rsidRPr="00761DF6" w:rsidR="009A15A0">
        <w:rPr>
          <w:color w:val="000000"/>
          <w:szCs w:val="26"/>
        </w:rPr>
        <w:t xml:space="preserve">probable cause </w:t>
      </w:r>
      <w:r w:rsidRPr="00761DF6" w:rsidR="009C4A30">
        <w:rPr>
          <w:color w:val="000000"/>
          <w:szCs w:val="26"/>
        </w:rPr>
        <w:t>testimony</w:t>
      </w:r>
      <w:r w:rsidRPr="00761DF6" w:rsidR="00910A5A">
        <w:rPr>
          <w:color w:val="000000"/>
          <w:szCs w:val="26"/>
        </w:rPr>
        <w:t>,</w:t>
      </w:r>
      <w:r w:rsidRPr="00761DF6" w:rsidR="009C4A30">
        <w:rPr>
          <w:color w:val="000000"/>
          <w:szCs w:val="26"/>
        </w:rPr>
        <w:t xml:space="preserve"> were inadmissible </w:t>
      </w:r>
      <w:r w:rsidRPr="00761DF6" w:rsidR="00875671">
        <w:rPr>
          <w:color w:val="000000"/>
          <w:szCs w:val="26"/>
        </w:rPr>
        <w:t xml:space="preserve">hearsay under </w:t>
      </w:r>
      <w:r w:rsidRPr="00761DF6" w:rsidR="00875671">
        <w:rPr>
          <w:i/>
          <w:iCs/>
          <w:color w:val="000000"/>
          <w:szCs w:val="26"/>
        </w:rPr>
        <w:t>Sanchez</w:t>
      </w:r>
      <w:r w:rsidRPr="00761DF6" w:rsidR="009C4A30">
        <w:rPr>
          <w:color w:val="000000"/>
          <w:szCs w:val="26"/>
        </w:rPr>
        <w:t xml:space="preserve">. </w:t>
      </w:r>
      <w:r w:rsidRPr="00761DF6" w:rsidR="00B566F0">
        <w:rPr>
          <w:color w:val="000000"/>
          <w:szCs w:val="26"/>
        </w:rPr>
        <w:t xml:space="preserve"> </w:t>
      </w:r>
      <w:r w:rsidRPr="00761DF6" w:rsidR="009C4A30">
        <w:rPr>
          <w:color w:val="000000"/>
          <w:szCs w:val="26"/>
        </w:rPr>
        <w:t>The trial court denied Walker</w:t>
      </w:r>
      <w:r w:rsidRPr="00761DF6" w:rsidR="000D3725">
        <w:rPr>
          <w:color w:val="000000"/>
          <w:szCs w:val="26"/>
        </w:rPr>
        <w:t>’s</w:t>
      </w:r>
      <w:r w:rsidRPr="00761DF6" w:rsidR="009C4A30">
        <w:rPr>
          <w:color w:val="000000"/>
          <w:szCs w:val="26"/>
        </w:rPr>
        <w:t xml:space="preserve"> motion. </w:t>
      </w:r>
      <w:r w:rsidRPr="00761DF6">
        <w:rPr>
          <w:color w:val="000000"/>
          <w:szCs w:val="26"/>
        </w:rPr>
        <w:t xml:space="preserve"> </w:t>
      </w:r>
      <w:r w:rsidRPr="00761DF6" w:rsidR="009C4A30">
        <w:rPr>
          <w:color w:val="000000"/>
          <w:szCs w:val="26"/>
        </w:rPr>
        <w:t xml:space="preserve">Walker </w:t>
      </w:r>
      <w:r w:rsidRPr="00761DF6" w:rsidR="00C52E66">
        <w:rPr>
          <w:color w:val="000000"/>
          <w:szCs w:val="26"/>
        </w:rPr>
        <w:t>filed</w:t>
      </w:r>
      <w:r w:rsidRPr="00761DF6" w:rsidR="009C4A30">
        <w:rPr>
          <w:color w:val="000000"/>
          <w:szCs w:val="26"/>
        </w:rPr>
        <w:t xml:space="preserve"> a petition for writ of mandate with </w:t>
      </w:r>
      <w:r w:rsidRPr="00761DF6">
        <w:rPr>
          <w:color w:val="000000"/>
          <w:szCs w:val="26"/>
        </w:rPr>
        <w:t>the Court of Appeal</w:t>
      </w:r>
      <w:r w:rsidR="00FC5AB2">
        <w:rPr>
          <w:color w:val="000000"/>
          <w:szCs w:val="26"/>
        </w:rPr>
        <w:t>,</w:t>
      </w:r>
      <w:r w:rsidRPr="00761DF6">
        <w:rPr>
          <w:color w:val="000000"/>
          <w:szCs w:val="26"/>
        </w:rPr>
        <w:t xml:space="preserve"> but </w:t>
      </w:r>
      <w:r w:rsidRPr="00761DF6" w:rsidR="002A30BE">
        <w:rPr>
          <w:color w:val="000000"/>
          <w:szCs w:val="26"/>
        </w:rPr>
        <w:t>it</w:t>
      </w:r>
      <w:r w:rsidRPr="00761DF6">
        <w:rPr>
          <w:color w:val="000000"/>
          <w:szCs w:val="26"/>
        </w:rPr>
        <w:t xml:space="preserve"> summarily denied the petition.  In January 2020, Walker filed</w:t>
      </w:r>
      <w:r w:rsidRPr="00761DF6" w:rsidR="00B273D5">
        <w:rPr>
          <w:color w:val="000000"/>
          <w:szCs w:val="26"/>
        </w:rPr>
        <w:t xml:space="preserve"> yet another</w:t>
      </w:r>
      <w:r w:rsidRPr="00761DF6">
        <w:rPr>
          <w:color w:val="000000"/>
          <w:szCs w:val="26"/>
        </w:rPr>
        <w:t xml:space="preserve"> motion to dismiss, citing </w:t>
      </w:r>
      <w:r w:rsidRPr="00761DF6">
        <w:rPr>
          <w:i/>
          <w:iCs/>
          <w:color w:val="000000"/>
          <w:szCs w:val="26"/>
        </w:rPr>
        <w:t>Bennett</w:t>
      </w:r>
      <w:r w:rsidRPr="00761DF6">
        <w:rPr>
          <w:color w:val="000000"/>
          <w:szCs w:val="26"/>
        </w:rPr>
        <w:t xml:space="preserve"> as well as </w:t>
      </w:r>
      <w:bookmarkStart w:id="10" w:name="_Hlk76115546"/>
      <w:r w:rsidRPr="00761DF6">
        <w:rPr>
          <w:i/>
          <w:iCs/>
          <w:color w:val="000000"/>
          <w:szCs w:val="26"/>
          <w:bdr w:val="none" w:sz="0" w:space="0" w:color="auto" w:frame="1"/>
        </w:rPr>
        <w:t>Couthren</w:t>
      </w:r>
      <w:r w:rsidR="00E30400">
        <w:rPr>
          <w:color w:val="000000"/>
          <w:szCs w:val="26"/>
        </w:rPr>
        <w:t xml:space="preserve">, </w:t>
      </w:r>
      <w:r w:rsidRPr="00E30400" w:rsidR="00E30400">
        <w:rPr>
          <w:i/>
          <w:iCs/>
          <w:color w:val="000000"/>
          <w:szCs w:val="26"/>
        </w:rPr>
        <w:t>supra</w:t>
      </w:r>
      <w:r w:rsidR="00E30400">
        <w:rPr>
          <w:color w:val="000000"/>
          <w:szCs w:val="26"/>
        </w:rPr>
        <w:t>,</w:t>
      </w:r>
      <w:r w:rsidRPr="00761DF6">
        <w:rPr>
          <w:color w:val="000000"/>
          <w:szCs w:val="26"/>
        </w:rPr>
        <w:t xml:space="preserve"> 41 Cal.App.5th 1001</w:t>
      </w:r>
      <w:bookmarkEnd w:id="10"/>
      <w:r w:rsidRPr="00761DF6">
        <w:rPr>
          <w:color w:val="000000"/>
          <w:szCs w:val="26"/>
        </w:rPr>
        <w:t xml:space="preserve">, a </w:t>
      </w:r>
      <w:r w:rsidRPr="00761DF6" w:rsidR="00DE5E69">
        <w:rPr>
          <w:color w:val="000000"/>
          <w:szCs w:val="26"/>
        </w:rPr>
        <w:t>decision</w:t>
      </w:r>
      <w:r w:rsidRPr="00761DF6">
        <w:rPr>
          <w:color w:val="000000"/>
          <w:szCs w:val="26"/>
        </w:rPr>
        <w:t xml:space="preserve"> that also applied </w:t>
      </w:r>
      <w:r w:rsidRPr="00761DF6">
        <w:rPr>
          <w:i/>
          <w:iCs/>
          <w:color w:val="000000"/>
          <w:szCs w:val="26"/>
        </w:rPr>
        <w:t xml:space="preserve">Sanchez </w:t>
      </w:r>
      <w:r w:rsidRPr="00761DF6" w:rsidR="002D4DA4">
        <w:rPr>
          <w:color w:val="000000"/>
          <w:szCs w:val="26"/>
        </w:rPr>
        <w:t xml:space="preserve">at an SVPA probable cause hearing </w:t>
      </w:r>
      <w:r w:rsidRPr="00761DF6">
        <w:rPr>
          <w:color w:val="000000"/>
          <w:szCs w:val="26"/>
        </w:rPr>
        <w:t>to bar the admission of</w:t>
      </w:r>
      <w:r w:rsidRPr="00761DF6" w:rsidR="00D76EA7">
        <w:rPr>
          <w:color w:val="000000"/>
          <w:szCs w:val="26"/>
        </w:rPr>
        <w:t xml:space="preserve"> </w:t>
      </w:r>
      <w:r w:rsidRPr="00761DF6">
        <w:rPr>
          <w:color w:val="000000"/>
          <w:szCs w:val="26"/>
        </w:rPr>
        <w:t xml:space="preserve">hearsay </w:t>
      </w:r>
      <w:r w:rsidR="00142BC0">
        <w:rPr>
          <w:color w:val="000000"/>
          <w:szCs w:val="26"/>
        </w:rPr>
        <w:t xml:space="preserve">in </w:t>
      </w:r>
      <w:r w:rsidRPr="00761DF6" w:rsidR="0050458E">
        <w:rPr>
          <w:color w:val="000000"/>
          <w:szCs w:val="26"/>
        </w:rPr>
        <w:t>psychologi</w:t>
      </w:r>
      <w:r w:rsidRPr="00761DF6" w:rsidR="00781DE3">
        <w:rPr>
          <w:color w:val="000000"/>
          <w:szCs w:val="26"/>
        </w:rPr>
        <w:t>cal</w:t>
      </w:r>
      <w:r w:rsidRPr="00761DF6" w:rsidR="000A4C33">
        <w:rPr>
          <w:color w:val="000000"/>
          <w:szCs w:val="26"/>
        </w:rPr>
        <w:t xml:space="preserve"> evaluations</w:t>
      </w:r>
      <w:r w:rsidRPr="00761DF6" w:rsidR="0050458E">
        <w:rPr>
          <w:color w:val="000000"/>
          <w:szCs w:val="26"/>
        </w:rPr>
        <w:t xml:space="preserve">. </w:t>
      </w:r>
      <w:r w:rsidRPr="00761DF6" w:rsidR="00774DEE">
        <w:rPr>
          <w:color w:val="000000"/>
          <w:szCs w:val="26"/>
        </w:rPr>
        <w:t xml:space="preserve"> </w:t>
      </w:r>
      <w:r w:rsidRPr="00761DF6" w:rsidR="004F7D19">
        <w:rPr>
          <w:color w:val="000000"/>
          <w:szCs w:val="26"/>
        </w:rPr>
        <w:t xml:space="preserve">But the trial court again denied Walker’s motion to dismiss.  </w:t>
      </w:r>
    </w:p>
    <w:p w:rsidR="00100243" w:rsidRPr="00761DF6" w:rsidP="00761DF6" w14:paraId="172FCC3C" w14:textId="3FA4D84F">
      <w:pPr>
        <w:pStyle w:val="Text"/>
        <w:spacing w:line="400" w:lineRule="exact"/>
        <w:ind w:firstLine="0"/>
        <w:rPr>
          <w:color w:val="000000"/>
          <w:szCs w:val="26"/>
        </w:rPr>
      </w:pPr>
      <w:r w:rsidRPr="00761DF6">
        <w:rPr>
          <w:color w:val="000000"/>
          <w:szCs w:val="26"/>
        </w:rPr>
        <w:tab/>
        <w:t xml:space="preserve">Walker challenged the denial of his last motion to dismiss by filing another petition for writ of mandate in the Court of Appeal.  </w:t>
      </w:r>
      <w:r w:rsidRPr="00761DF6" w:rsidR="007E3ACA">
        <w:rPr>
          <w:szCs w:val="26"/>
        </w:rPr>
        <w:t>After issuing an order to show cause</w:t>
      </w:r>
      <w:r w:rsidRPr="00761DF6" w:rsidR="007E3ACA">
        <w:rPr>
          <w:color w:val="000000"/>
          <w:szCs w:val="26"/>
        </w:rPr>
        <w:t>,</w:t>
      </w:r>
      <w:r w:rsidRPr="00761DF6" w:rsidR="007E3ACA">
        <w:rPr>
          <w:szCs w:val="26"/>
        </w:rPr>
        <w:t xml:space="preserve"> </w:t>
      </w:r>
      <w:r w:rsidRPr="00761DF6" w:rsidR="007E3ACA">
        <w:rPr>
          <w:color w:val="000000"/>
          <w:szCs w:val="26"/>
        </w:rPr>
        <w:t>t</w:t>
      </w:r>
      <w:r w:rsidRPr="00761DF6">
        <w:rPr>
          <w:color w:val="000000"/>
          <w:szCs w:val="26"/>
        </w:rPr>
        <w:t xml:space="preserve">he </w:t>
      </w:r>
      <w:r w:rsidRPr="00761DF6" w:rsidR="007E3ACA">
        <w:rPr>
          <w:color w:val="000000"/>
          <w:szCs w:val="26"/>
        </w:rPr>
        <w:t xml:space="preserve">court </w:t>
      </w:r>
      <w:r w:rsidRPr="00761DF6" w:rsidR="00C6647B">
        <w:rPr>
          <w:color w:val="000000"/>
          <w:szCs w:val="26"/>
        </w:rPr>
        <w:t>denied</w:t>
      </w:r>
      <w:r w:rsidRPr="00761DF6" w:rsidR="00B9312A">
        <w:rPr>
          <w:color w:val="000000"/>
          <w:szCs w:val="26"/>
        </w:rPr>
        <w:t xml:space="preserve"> Walker’s writ petition</w:t>
      </w:r>
      <w:r w:rsidRPr="00761DF6" w:rsidR="00900B57">
        <w:rPr>
          <w:color w:val="000000"/>
          <w:szCs w:val="26"/>
        </w:rPr>
        <w:t>.</w:t>
      </w:r>
      <w:r w:rsidRPr="00761DF6" w:rsidR="00900B57">
        <w:rPr>
          <w:szCs w:val="26"/>
        </w:rPr>
        <w:t xml:space="preserve">  </w:t>
      </w:r>
      <w:bookmarkStart w:id="11" w:name="_Hlk76117350"/>
      <w:r w:rsidRPr="00761DF6" w:rsidR="00BC422D">
        <w:rPr>
          <w:szCs w:val="26"/>
        </w:rPr>
        <w:t>(</w:t>
      </w:r>
      <w:r w:rsidRPr="00761DF6" w:rsidR="00BC422D">
        <w:rPr>
          <w:i/>
          <w:iCs/>
          <w:szCs w:val="26"/>
        </w:rPr>
        <w:t xml:space="preserve">Walker v. Superior Court </w:t>
      </w:r>
      <w:r w:rsidRPr="00761DF6" w:rsidR="00BC422D">
        <w:rPr>
          <w:szCs w:val="26"/>
        </w:rPr>
        <w:t>(2020) 51 Cal.App.5th 682, 68</w:t>
      </w:r>
      <w:r w:rsidRPr="00761DF6" w:rsidR="00903B6A">
        <w:rPr>
          <w:szCs w:val="26"/>
        </w:rPr>
        <w:t>6</w:t>
      </w:r>
      <w:r w:rsidRPr="00761DF6" w:rsidR="00BC422D">
        <w:rPr>
          <w:szCs w:val="26"/>
        </w:rPr>
        <w:t xml:space="preserve"> (</w:t>
      </w:r>
      <w:r w:rsidRPr="00761DF6" w:rsidR="00BC422D">
        <w:rPr>
          <w:i/>
          <w:iCs/>
          <w:szCs w:val="26"/>
        </w:rPr>
        <w:t>Walker</w:t>
      </w:r>
      <w:r w:rsidRPr="00761DF6" w:rsidR="00BC422D">
        <w:rPr>
          <w:szCs w:val="26"/>
        </w:rPr>
        <w:t xml:space="preserve">).)  </w:t>
      </w:r>
      <w:bookmarkEnd w:id="11"/>
      <w:r w:rsidRPr="00761DF6" w:rsidR="00412977">
        <w:rPr>
          <w:szCs w:val="26"/>
        </w:rPr>
        <w:t xml:space="preserve">In reaching this holding, </w:t>
      </w:r>
      <w:r w:rsidRPr="00761DF6" w:rsidR="004149F4">
        <w:rPr>
          <w:szCs w:val="26"/>
        </w:rPr>
        <w:t>it</w:t>
      </w:r>
      <w:r w:rsidRPr="00761DF6" w:rsidR="00900B57">
        <w:rPr>
          <w:szCs w:val="26"/>
        </w:rPr>
        <w:t xml:space="preserve"> </w:t>
      </w:r>
      <w:r w:rsidRPr="00761DF6" w:rsidR="00627A90">
        <w:rPr>
          <w:szCs w:val="26"/>
        </w:rPr>
        <w:t xml:space="preserve">disagreed with </w:t>
      </w:r>
      <w:r w:rsidRPr="00761DF6" w:rsidR="00627A90">
        <w:rPr>
          <w:i/>
          <w:iCs/>
          <w:szCs w:val="26"/>
        </w:rPr>
        <w:t>Bennett</w:t>
      </w:r>
      <w:r w:rsidRPr="00761DF6" w:rsidR="00627A90">
        <w:rPr>
          <w:szCs w:val="26"/>
        </w:rPr>
        <w:t xml:space="preserve"> and </w:t>
      </w:r>
      <w:r w:rsidRPr="00761DF6" w:rsidR="00627A90">
        <w:rPr>
          <w:i/>
          <w:iCs/>
          <w:szCs w:val="26"/>
        </w:rPr>
        <w:t>Couthren</w:t>
      </w:r>
      <w:r w:rsidRPr="00761DF6" w:rsidR="00842FA8">
        <w:rPr>
          <w:szCs w:val="26"/>
        </w:rPr>
        <w:t>:</w:t>
      </w:r>
      <w:r w:rsidRPr="00761DF6" w:rsidR="007C7A21">
        <w:rPr>
          <w:szCs w:val="26"/>
        </w:rPr>
        <w:t xml:space="preserve"> </w:t>
      </w:r>
      <w:r w:rsidRPr="00761DF6" w:rsidR="00D057AA">
        <w:rPr>
          <w:szCs w:val="26"/>
        </w:rPr>
        <w:t xml:space="preserve"> </w:t>
      </w:r>
      <w:r w:rsidRPr="00761DF6" w:rsidR="00842FA8">
        <w:rPr>
          <w:szCs w:val="26"/>
        </w:rPr>
        <w:t xml:space="preserve">It </w:t>
      </w:r>
      <w:r w:rsidRPr="00761DF6" w:rsidR="007C7A21">
        <w:rPr>
          <w:szCs w:val="26"/>
        </w:rPr>
        <w:t>creat</w:t>
      </w:r>
      <w:r w:rsidRPr="00761DF6" w:rsidR="00D2252C">
        <w:rPr>
          <w:szCs w:val="26"/>
        </w:rPr>
        <w:t>ed</w:t>
      </w:r>
      <w:r w:rsidRPr="00761DF6" w:rsidR="007C7A21">
        <w:rPr>
          <w:szCs w:val="26"/>
        </w:rPr>
        <w:t xml:space="preserve"> a split of authority over whether </w:t>
      </w:r>
      <w:r w:rsidR="000F07EA">
        <w:rPr>
          <w:szCs w:val="26"/>
        </w:rPr>
        <w:t xml:space="preserve">the SVPA permits the </w:t>
      </w:r>
      <w:r w:rsidR="004F1785">
        <w:rPr>
          <w:szCs w:val="26"/>
        </w:rPr>
        <w:t xml:space="preserve">trial court at an </w:t>
      </w:r>
      <w:r w:rsidRPr="00761DF6" w:rsidR="00212DA4">
        <w:rPr>
          <w:szCs w:val="26"/>
        </w:rPr>
        <w:t>SVP</w:t>
      </w:r>
      <w:r w:rsidRPr="00761DF6" w:rsidR="0059109D">
        <w:rPr>
          <w:szCs w:val="26"/>
        </w:rPr>
        <w:t>A</w:t>
      </w:r>
      <w:r w:rsidRPr="00761DF6" w:rsidR="00212DA4">
        <w:rPr>
          <w:szCs w:val="26"/>
        </w:rPr>
        <w:t xml:space="preserve"> probable cause hearing </w:t>
      </w:r>
      <w:r w:rsidR="004F1785">
        <w:rPr>
          <w:szCs w:val="26"/>
        </w:rPr>
        <w:t xml:space="preserve">to admit </w:t>
      </w:r>
      <w:r w:rsidRPr="00761DF6" w:rsidR="008D142C">
        <w:rPr>
          <w:szCs w:val="26"/>
        </w:rPr>
        <w:t xml:space="preserve">hearsay </w:t>
      </w:r>
      <w:r w:rsidR="00B13486">
        <w:rPr>
          <w:szCs w:val="26"/>
        </w:rPr>
        <w:t xml:space="preserve">regarding nonpredicate offenses </w:t>
      </w:r>
      <w:r w:rsidRPr="00761DF6" w:rsidR="00212DA4">
        <w:rPr>
          <w:szCs w:val="26"/>
        </w:rPr>
        <w:t xml:space="preserve">contained </w:t>
      </w:r>
      <w:r w:rsidRPr="00761DF6" w:rsidR="008D142C">
        <w:rPr>
          <w:szCs w:val="26"/>
        </w:rPr>
        <w:t>in expert evaluation</w:t>
      </w:r>
      <w:r w:rsidRPr="00761DF6" w:rsidR="00D11F5F">
        <w:rPr>
          <w:szCs w:val="26"/>
        </w:rPr>
        <w:t>s</w:t>
      </w:r>
      <w:r w:rsidRPr="00761DF6" w:rsidR="00D52625">
        <w:rPr>
          <w:szCs w:val="26"/>
        </w:rPr>
        <w:t>.</w:t>
      </w:r>
      <w:r w:rsidRPr="00761DF6" w:rsidR="00D2252C">
        <w:rPr>
          <w:szCs w:val="26"/>
        </w:rPr>
        <w:t xml:space="preserve"> </w:t>
      </w:r>
      <w:r w:rsidRPr="00761DF6" w:rsidR="00A37F3D">
        <w:rPr>
          <w:szCs w:val="26"/>
        </w:rPr>
        <w:t xml:space="preserve"> </w:t>
      </w:r>
      <w:r w:rsidRPr="00761DF6" w:rsidR="009732A4">
        <w:rPr>
          <w:szCs w:val="26"/>
        </w:rPr>
        <w:t>(</w:t>
      </w:r>
      <w:r w:rsidRPr="00761DF6" w:rsidR="009732A4">
        <w:rPr>
          <w:i/>
          <w:iCs/>
          <w:szCs w:val="26"/>
        </w:rPr>
        <w:t>Walker</w:t>
      </w:r>
      <w:r w:rsidRPr="00761DF6" w:rsidR="009732A4">
        <w:rPr>
          <w:szCs w:val="26"/>
        </w:rPr>
        <w:t>,</w:t>
      </w:r>
      <w:r w:rsidR="001C2BAE">
        <w:rPr>
          <w:szCs w:val="26"/>
        </w:rPr>
        <w:t xml:space="preserve"> </w:t>
      </w:r>
      <w:r w:rsidRPr="00761DF6" w:rsidR="009732A4">
        <w:rPr>
          <w:szCs w:val="26"/>
        </w:rPr>
        <w:t xml:space="preserve">at pp. 694, </w:t>
      </w:r>
      <w:r w:rsidRPr="00761DF6" w:rsidR="00ED7ED1">
        <w:rPr>
          <w:szCs w:val="26"/>
        </w:rPr>
        <w:t>701–</w:t>
      </w:r>
      <w:r w:rsidRPr="00761DF6" w:rsidR="009732A4">
        <w:rPr>
          <w:szCs w:val="26"/>
        </w:rPr>
        <w:t xml:space="preserve">702.)  </w:t>
      </w:r>
      <w:r w:rsidRPr="00761DF6" w:rsidR="00A37F3D">
        <w:rPr>
          <w:szCs w:val="26"/>
        </w:rPr>
        <w:t>We granted review to resolve the split.</w:t>
      </w:r>
    </w:p>
    <w:p w:rsidR="007F04B1" w:rsidRPr="00761DF6" w:rsidP="00761DF6" w14:paraId="2B819199" w14:textId="6926CA4E">
      <w:pPr>
        <w:pStyle w:val="Heading1"/>
        <w:rPr>
          <w:szCs w:val="26"/>
        </w:rPr>
      </w:pPr>
      <w:r>
        <w:rPr>
          <w:szCs w:val="26"/>
        </w:rPr>
        <w:t>II.</w:t>
      </w:r>
    </w:p>
    <w:p w:rsidR="00EB7DF7" w:rsidRPr="00761DF6" w:rsidP="00761DF6" w14:paraId="63A3293F" w14:textId="10A9707D">
      <w:pPr>
        <w:pStyle w:val="Text"/>
        <w:spacing w:line="400" w:lineRule="exact"/>
        <w:ind w:firstLine="0"/>
      </w:pPr>
      <w:bookmarkStart w:id="12" w:name="_Hlk56891258"/>
      <w:r w:rsidRPr="00761DF6">
        <w:rPr>
          <w:szCs w:val="26"/>
        </w:rPr>
        <w:tab/>
      </w:r>
      <w:r w:rsidRPr="00761DF6" w:rsidR="00BD2B0D">
        <w:rPr>
          <w:szCs w:val="26"/>
        </w:rPr>
        <w:t>To d</w:t>
      </w:r>
      <w:r w:rsidRPr="00761DF6">
        <w:rPr>
          <w:szCs w:val="26"/>
        </w:rPr>
        <w:t>etermin</w:t>
      </w:r>
      <w:r w:rsidRPr="00761DF6" w:rsidR="00BD2B0D">
        <w:rPr>
          <w:szCs w:val="26"/>
        </w:rPr>
        <w:t>e</w:t>
      </w:r>
      <w:r w:rsidRPr="00761DF6">
        <w:rPr>
          <w:szCs w:val="26"/>
        </w:rPr>
        <w:t xml:space="preserve"> whether</w:t>
      </w:r>
      <w:r w:rsidR="0077152F">
        <w:rPr>
          <w:szCs w:val="26"/>
        </w:rPr>
        <w:t xml:space="preserve"> </w:t>
      </w:r>
      <w:r w:rsidRPr="00761DF6">
        <w:rPr>
          <w:szCs w:val="26"/>
        </w:rPr>
        <w:t>trial court</w:t>
      </w:r>
      <w:r w:rsidRPr="00761DF6" w:rsidR="00733963">
        <w:rPr>
          <w:szCs w:val="26"/>
        </w:rPr>
        <w:t>s</w:t>
      </w:r>
      <w:r w:rsidRPr="00761DF6" w:rsidR="003E06F9">
        <w:rPr>
          <w:szCs w:val="26"/>
        </w:rPr>
        <w:t xml:space="preserve"> conducting SVPA probable cause hearings</w:t>
      </w:r>
      <w:r w:rsidRPr="00761DF6" w:rsidR="00A94370">
        <w:rPr>
          <w:szCs w:val="26"/>
        </w:rPr>
        <w:t xml:space="preserve"> </w:t>
      </w:r>
      <w:r w:rsidR="0077152F">
        <w:rPr>
          <w:szCs w:val="26"/>
        </w:rPr>
        <w:t>may admit</w:t>
      </w:r>
      <w:r w:rsidRPr="00761DF6">
        <w:rPr>
          <w:szCs w:val="26"/>
        </w:rPr>
        <w:t xml:space="preserve"> </w:t>
      </w:r>
      <w:r w:rsidRPr="00761DF6">
        <w:t>hearsay</w:t>
      </w:r>
      <w:r w:rsidRPr="00761DF6" w:rsidR="00234940">
        <w:t xml:space="preserve"> </w:t>
      </w:r>
      <w:r w:rsidR="00F0042D">
        <w:t xml:space="preserve">concerning nonpredicate offenses </w:t>
      </w:r>
      <w:r w:rsidRPr="00761DF6" w:rsidR="003E06F9">
        <w:t>in evaluation reports</w:t>
      </w:r>
      <w:r w:rsidRPr="00761DF6" w:rsidR="00BD2B0D">
        <w:t>, we must</w:t>
      </w:r>
      <w:r w:rsidRPr="00761DF6" w:rsidR="003E06F9">
        <w:t xml:space="preserve"> </w:t>
      </w:r>
      <w:r w:rsidR="003E5FF1">
        <w:t>apply</w:t>
      </w:r>
      <w:r w:rsidR="008A139D">
        <w:t xml:space="preserve"> </w:t>
      </w:r>
      <w:r w:rsidRPr="00761DF6" w:rsidR="009E114D">
        <w:t xml:space="preserve">the SVPA’s </w:t>
      </w:r>
      <w:r w:rsidRPr="00761DF6" w:rsidR="007B5D73">
        <w:t xml:space="preserve">general </w:t>
      </w:r>
      <w:r w:rsidRPr="00761DF6" w:rsidR="009E114D">
        <w:t>requirements</w:t>
      </w:r>
      <w:r w:rsidRPr="00761DF6" w:rsidR="00A94370">
        <w:t xml:space="preserve">, including those governing probable cause </w:t>
      </w:r>
      <w:r w:rsidRPr="00761DF6" w:rsidR="00301E28">
        <w:t>hearing</w:t>
      </w:r>
      <w:r w:rsidRPr="00761DF6" w:rsidR="00A94370">
        <w:t xml:space="preserve">s; </w:t>
      </w:r>
      <w:r w:rsidRPr="00761DF6" w:rsidR="004F3BE3">
        <w:t xml:space="preserve">and </w:t>
      </w:r>
      <w:r w:rsidR="00131985">
        <w:t xml:space="preserve">the </w:t>
      </w:r>
      <w:r w:rsidRPr="00761DF6" w:rsidR="00A94370">
        <w:t>SVPA</w:t>
      </w:r>
      <w:r w:rsidR="00131985">
        <w:t>’s</w:t>
      </w:r>
      <w:r w:rsidRPr="00761DF6" w:rsidR="00A94370">
        <w:t xml:space="preserve"> hearsay rules</w:t>
      </w:r>
      <w:r w:rsidRPr="00761DF6" w:rsidR="00802A3F">
        <w:t xml:space="preserve">, as </w:t>
      </w:r>
      <w:r w:rsidRPr="00761DF6" w:rsidR="00E3181F">
        <w:t xml:space="preserve">established </w:t>
      </w:r>
      <w:r w:rsidRPr="00761DF6" w:rsidR="000C6FDE">
        <w:t>by</w:t>
      </w:r>
      <w:r w:rsidRPr="00761DF6" w:rsidR="00E3181F">
        <w:t xml:space="preserve"> </w:t>
      </w:r>
      <w:r w:rsidRPr="00761DF6" w:rsidR="00974135">
        <w:t xml:space="preserve">the </w:t>
      </w:r>
      <w:r w:rsidRPr="00761DF6" w:rsidR="00F01B19">
        <w:t xml:space="preserve">statute </w:t>
      </w:r>
      <w:r w:rsidRPr="00761DF6" w:rsidR="00E3181F">
        <w:t xml:space="preserve">and decisional law. </w:t>
      </w:r>
      <w:r w:rsidRPr="00761DF6" w:rsidR="007C467B">
        <w:t xml:space="preserve"> </w:t>
      </w:r>
      <w:r w:rsidRPr="00761DF6">
        <w:t>We examine the</w:t>
      </w:r>
      <w:r w:rsidRPr="00761DF6" w:rsidR="00DE505A">
        <w:t>se</w:t>
      </w:r>
      <w:r w:rsidRPr="00761DF6">
        <w:t xml:space="preserve"> threads individually before proceeding to weave them together.</w:t>
      </w:r>
    </w:p>
    <w:p w:rsidR="0065211B" w:rsidRPr="00761DF6" w:rsidP="003032C0" w14:paraId="7FA9AD07" w14:textId="34E4F050">
      <w:pPr>
        <w:pStyle w:val="Heading2"/>
        <w:tabs>
          <w:tab w:val="left" w:pos="0"/>
          <w:tab w:val="clear" w:pos="1152"/>
        </w:tabs>
        <w:ind w:left="0" w:firstLine="0"/>
        <w:jc w:val="center"/>
        <w:rPr>
          <w:szCs w:val="26"/>
        </w:rPr>
      </w:pPr>
      <w:r>
        <w:rPr>
          <w:szCs w:val="26"/>
        </w:rPr>
        <w:t>A.</w:t>
      </w:r>
    </w:p>
    <w:p w:rsidR="009B7FD1" w:rsidRPr="00761DF6" w:rsidP="00761DF6" w14:paraId="02C3192D" w14:textId="3517906C">
      <w:r w:rsidRPr="00761DF6">
        <w:tab/>
      </w:r>
      <w:r w:rsidRPr="00761DF6" w:rsidR="00B755D1">
        <w:t xml:space="preserve">The </w:t>
      </w:r>
      <w:r w:rsidRPr="00761DF6" w:rsidR="00BF13D5">
        <w:rPr>
          <w:szCs w:val="26"/>
        </w:rPr>
        <w:t>SV</w:t>
      </w:r>
      <w:r w:rsidRPr="00761DF6" w:rsidR="00757C94">
        <w:rPr>
          <w:szCs w:val="26"/>
        </w:rPr>
        <w:t>PA</w:t>
      </w:r>
      <w:r w:rsidRPr="00761DF6" w:rsidR="003012BF">
        <w:rPr>
          <w:szCs w:val="26"/>
        </w:rPr>
        <w:t xml:space="preserve"> </w:t>
      </w:r>
      <w:r w:rsidRPr="00761DF6" w:rsidR="00F6101C">
        <w:rPr>
          <w:szCs w:val="26"/>
        </w:rPr>
        <w:t xml:space="preserve">provides for the involuntary civil commitment of certain sex offenders </w:t>
      </w:r>
      <w:r w:rsidRPr="00761DF6">
        <w:t>before the</w:t>
      </w:r>
      <w:r w:rsidRPr="00761DF6" w:rsidR="00F6101C">
        <w:t xml:space="preserve"> end of their prison or parole revocation terms.  (</w:t>
      </w:r>
      <w:r w:rsidRPr="00761DF6" w:rsidR="009119A5">
        <w:t>§ 6601</w:t>
      </w:r>
      <w:r w:rsidRPr="00761DF6" w:rsidR="000A64E3">
        <w:t>.</w:t>
      </w:r>
      <w:r w:rsidRPr="00761DF6" w:rsidR="00F6101C">
        <w:t xml:space="preserve">)  </w:t>
      </w:r>
      <w:r w:rsidRPr="00761DF6" w:rsidR="00464046">
        <w:t>“</w:t>
      </w:r>
      <w:r w:rsidRPr="00761DF6" w:rsidR="009E7BE9">
        <w:t>In describing the underlying purpose</w:t>
      </w:r>
      <w:r w:rsidRPr="00761DF6" w:rsidR="00464046">
        <w:t>”</w:t>
      </w:r>
      <w:r w:rsidRPr="00761DF6" w:rsidR="009E7BE9">
        <w:t xml:space="preserve"> of the </w:t>
      </w:r>
      <w:r w:rsidRPr="00761DF6">
        <w:t>SVPA, “the Legislature</w:t>
      </w:r>
      <w:r w:rsidRPr="00761DF6" w:rsidR="00C65A91">
        <w:t xml:space="preserve"> </w:t>
      </w:r>
      <w:r w:rsidRPr="00761DF6">
        <w:t>expressed concern over a select group of criminal offenders who are extremely dangerous as the result of mental impairment, and who are likely to continue committing acts of sexual violence even after they have been punished for such crimes</w:t>
      </w:r>
      <w:bookmarkStart w:id="13" w:name="_Hlk76116108"/>
      <w:r w:rsidRPr="00761DF6">
        <w:t>.</w:t>
      </w:r>
      <w:r w:rsidRPr="00761DF6" w:rsidR="00380CEB">
        <w:t>”</w:t>
      </w:r>
      <w:r w:rsidRPr="00761DF6">
        <w:t xml:space="preserve"> </w:t>
      </w:r>
      <w:r w:rsidRPr="00761DF6" w:rsidR="00380CEB">
        <w:t xml:space="preserve"> (</w:t>
      </w:r>
      <w:r w:rsidRPr="00761DF6" w:rsidR="00E876E1">
        <w:rPr>
          <w:i/>
          <w:iCs/>
        </w:rPr>
        <w:t>Hubbart</w:t>
      </w:r>
      <w:r w:rsidR="00E53680">
        <w:t xml:space="preserve">, </w:t>
      </w:r>
      <w:r w:rsidRPr="00E53680" w:rsidR="00E53680">
        <w:rPr>
          <w:i/>
          <w:iCs/>
        </w:rPr>
        <w:t>supra</w:t>
      </w:r>
      <w:r w:rsidR="00E53680">
        <w:t>,</w:t>
      </w:r>
      <w:r w:rsidRPr="00761DF6" w:rsidR="00E876E1">
        <w:rPr>
          <w:i/>
          <w:iCs/>
        </w:rPr>
        <w:t xml:space="preserve"> </w:t>
      </w:r>
      <w:r w:rsidRPr="00761DF6" w:rsidR="00E876E1">
        <w:t xml:space="preserve">19 Cal.4th </w:t>
      </w:r>
      <w:r w:rsidR="000B1C03">
        <w:t>at pp.</w:t>
      </w:r>
      <w:r w:rsidRPr="00761DF6" w:rsidR="00E876E1">
        <w:t xml:space="preserve"> 1143–1144.)</w:t>
      </w:r>
      <w:r w:rsidRPr="00761DF6" w:rsidR="00380CEB">
        <w:t xml:space="preserve"> </w:t>
      </w:r>
      <w:r w:rsidRPr="00761DF6" w:rsidR="00E876E1">
        <w:t xml:space="preserve"> </w:t>
      </w:r>
      <w:bookmarkEnd w:id="13"/>
      <w:r w:rsidRPr="00761DF6" w:rsidR="00380CEB">
        <w:t>“</w:t>
      </w:r>
      <w:r w:rsidRPr="00761DF6" w:rsidR="001603F3">
        <w:t>[</w:t>
      </w:r>
      <w:r w:rsidRPr="00761DF6" w:rsidR="00380CEB">
        <w:t>T</w:t>
      </w:r>
      <w:r w:rsidRPr="00761DF6" w:rsidR="001603F3">
        <w:t>]</w:t>
      </w:r>
      <w:r w:rsidRPr="00761DF6">
        <w:t>o the extent such persons</w:t>
      </w:r>
      <w:r w:rsidRPr="00761DF6" w:rsidR="00A06DDB">
        <w:t xml:space="preserve"> </w:t>
      </w:r>
      <w:r w:rsidRPr="00761DF6">
        <w:t>are currently incarcerated and readily identifiable,</w:t>
      </w:r>
      <w:r w:rsidRPr="00761DF6" w:rsidR="00380CEB">
        <w:t xml:space="preserve">” the Legislature </w:t>
      </w:r>
      <w:r w:rsidRPr="00761DF6" w:rsidR="003F41B7">
        <w:t xml:space="preserve">has </w:t>
      </w:r>
      <w:r w:rsidRPr="00761DF6" w:rsidR="00380CEB">
        <w:t>indicated that</w:t>
      </w:r>
      <w:r w:rsidRPr="00761DF6">
        <w:t xml:space="preserve"> </w:t>
      </w:r>
      <w:r w:rsidRPr="00761DF6" w:rsidR="00380CEB">
        <w:t>“</w:t>
      </w:r>
      <w:r w:rsidRPr="00761DF6">
        <w:t>commitment under the SVPA is warranted immediately upon their release from prison.</w:t>
      </w:r>
      <w:r w:rsidRPr="00761DF6" w:rsidR="00380CEB">
        <w:t>”</w:t>
      </w:r>
      <w:r w:rsidRPr="00761DF6">
        <w:t xml:space="preserve"> </w:t>
      </w:r>
      <w:r w:rsidRPr="00761DF6" w:rsidR="00380CEB">
        <w:t xml:space="preserve"> </w:t>
      </w:r>
      <w:r w:rsidRPr="00761DF6" w:rsidR="00554C03">
        <w:t>(</w:t>
      </w:r>
      <w:r w:rsidRPr="00761DF6" w:rsidR="007D43EF">
        <w:rPr>
          <w:i/>
          <w:iCs/>
        </w:rPr>
        <w:t>Hubbart</w:t>
      </w:r>
      <w:r w:rsidRPr="00761DF6" w:rsidR="007D43EF">
        <w:t>,</w:t>
      </w:r>
      <w:r w:rsidR="001C2BAE">
        <w:t xml:space="preserve"> </w:t>
      </w:r>
      <w:r w:rsidRPr="00761DF6" w:rsidR="00554C03">
        <w:t xml:space="preserve">at p. 1144.)  </w:t>
      </w:r>
      <w:r w:rsidRPr="00761DF6">
        <w:t xml:space="preserve">The </w:t>
      </w:r>
      <w:r w:rsidRPr="00761DF6" w:rsidR="00023A1C">
        <w:t>Act</w:t>
      </w:r>
      <w:r w:rsidRPr="00761DF6">
        <w:t xml:space="preserve"> provides </w:t>
      </w:r>
      <w:r w:rsidRPr="00761DF6" w:rsidR="00A06DDB">
        <w:t>these individuals</w:t>
      </w:r>
      <w:r w:rsidRPr="00761DF6" w:rsidR="00D86BA7">
        <w:t xml:space="preserve"> </w:t>
      </w:r>
      <w:r w:rsidRPr="00761DF6" w:rsidR="00023A1C">
        <w:t>with “</w:t>
      </w:r>
      <w:r w:rsidRPr="00761DF6">
        <w:t xml:space="preserve">treatment for mental disorders from which they </w:t>
      </w:r>
      <w:r w:rsidRPr="00761DF6" w:rsidR="00023A1C">
        <w:t xml:space="preserve">currently </w:t>
      </w:r>
      <w:r w:rsidRPr="00761DF6">
        <w:t>suffer and reduces the threat of harm otherwise posed to the public.</w:t>
      </w:r>
      <w:r w:rsidRPr="00761DF6" w:rsidR="00517B3B">
        <w:t>”  (</w:t>
      </w:r>
      <w:r w:rsidRPr="00761DF6" w:rsidR="00554C03">
        <w:rPr>
          <w:i/>
          <w:iCs/>
        </w:rPr>
        <w:t>Hubbart</w:t>
      </w:r>
      <w:r w:rsidRPr="00761DF6" w:rsidR="00554C03">
        <w:t>, at p</w:t>
      </w:r>
      <w:r w:rsidRPr="00761DF6" w:rsidR="00517B3B">
        <w:t>.</w:t>
      </w:r>
      <w:r w:rsidRPr="00761DF6" w:rsidR="00554C03">
        <w:t xml:space="preserve"> 1144.</w:t>
      </w:r>
      <w:r w:rsidRPr="00761DF6" w:rsidR="00517B3B">
        <w:t xml:space="preserve">) </w:t>
      </w:r>
      <w:r w:rsidRPr="00761DF6" w:rsidR="008E6448">
        <w:t xml:space="preserve"> SVPs</w:t>
      </w:r>
      <w:r w:rsidRPr="00761DF6" w:rsidR="005B5A14">
        <w:t xml:space="preserve"> are </w:t>
      </w:r>
      <w:r w:rsidRPr="00761DF6" w:rsidR="00B9175E">
        <w:t>committed</w:t>
      </w:r>
      <w:r w:rsidRPr="00761DF6" w:rsidR="008E6448">
        <w:t xml:space="preserve"> </w:t>
      </w:r>
      <w:r w:rsidRPr="00761DF6" w:rsidR="007C4A24">
        <w:t xml:space="preserve">“for an indeterminate term to the custody of </w:t>
      </w:r>
      <w:r w:rsidRPr="00761DF6" w:rsidR="00C5373B">
        <w:t>[DSH]</w:t>
      </w:r>
      <w:r w:rsidRPr="00761DF6" w:rsidR="007C4A24">
        <w:t xml:space="preserve"> for appropriate treatment and confinement in a secure facility.”</w:t>
      </w:r>
      <w:r w:rsidRPr="00761DF6" w:rsidR="000176DD">
        <w:t xml:space="preserve"> </w:t>
      </w:r>
      <w:r w:rsidRPr="00761DF6" w:rsidR="00C07C7C">
        <w:t xml:space="preserve"> </w:t>
      </w:r>
      <w:r w:rsidRPr="00761DF6" w:rsidR="000176DD">
        <w:t>(§</w:t>
      </w:r>
      <w:r w:rsidRPr="00761DF6" w:rsidR="003E15D7">
        <w:t> </w:t>
      </w:r>
      <w:r w:rsidRPr="00761DF6" w:rsidR="000176DD">
        <w:t>6604.)</w:t>
      </w:r>
    </w:p>
    <w:p w:rsidR="00486080" w:rsidRPr="00761DF6" w:rsidP="00761DF6" w14:paraId="657405C8" w14:textId="5DDA9C78">
      <w:pPr>
        <w:rPr>
          <w:szCs w:val="26"/>
        </w:rPr>
      </w:pPr>
      <w:r w:rsidRPr="00761DF6">
        <w:rPr>
          <w:szCs w:val="26"/>
        </w:rPr>
        <w:tab/>
        <w:t xml:space="preserve">In order to commit </w:t>
      </w:r>
      <w:r w:rsidRPr="00761DF6" w:rsidR="00534402">
        <w:rPr>
          <w:szCs w:val="26"/>
        </w:rPr>
        <w:t>someone</w:t>
      </w:r>
      <w:r w:rsidRPr="00761DF6">
        <w:rPr>
          <w:szCs w:val="26"/>
        </w:rPr>
        <w:t xml:space="preserve"> </w:t>
      </w:r>
      <w:r w:rsidRPr="00761DF6" w:rsidR="00026280">
        <w:rPr>
          <w:szCs w:val="26"/>
        </w:rPr>
        <w:t>under the Act</w:t>
      </w:r>
      <w:r w:rsidRPr="00761DF6">
        <w:rPr>
          <w:szCs w:val="26"/>
        </w:rPr>
        <w:t>,</w:t>
      </w:r>
      <w:r w:rsidRPr="00761DF6" w:rsidR="00317142">
        <w:rPr>
          <w:szCs w:val="26"/>
        </w:rPr>
        <w:t xml:space="preserve"> the state must </w:t>
      </w:r>
      <w:r w:rsidRPr="00761DF6" w:rsidR="0035642C">
        <w:rPr>
          <w:szCs w:val="26"/>
        </w:rPr>
        <w:t>establish</w:t>
      </w:r>
      <w:r w:rsidRPr="00761DF6" w:rsidR="00BF6C20">
        <w:rPr>
          <w:szCs w:val="26"/>
        </w:rPr>
        <w:t xml:space="preserve"> </w:t>
      </w:r>
      <w:r w:rsidRPr="00761DF6" w:rsidR="00534402">
        <w:rPr>
          <w:szCs w:val="26"/>
        </w:rPr>
        <w:t>four conditions:</w:t>
      </w:r>
      <w:r w:rsidRPr="00761DF6" w:rsidR="00774DEE">
        <w:rPr>
          <w:szCs w:val="26"/>
        </w:rPr>
        <w:t xml:space="preserve"> </w:t>
      </w:r>
      <w:r w:rsidRPr="00761DF6" w:rsidR="008A4CC9">
        <w:rPr>
          <w:szCs w:val="26"/>
        </w:rPr>
        <w:t xml:space="preserve"> (1) the person has </w:t>
      </w:r>
      <w:r w:rsidRPr="00761DF6" w:rsidR="00DF3492">
        <w:rPr>
          <w:szCs w:val="26"/>
        </w:rPr>
        <w:t>previously been</w:t>
      </w:r>
      <w:r w:rsidRPr="00761DF6" w:rsidR="008A4CC9">
        <w:rPr>
          <w:szCs w:val="26"/>
        </w:rPr>
        <w:t xml:space="preserve"> convict</w:t>
      </w:r>
      <w:r w:rsidRPr="00761DF6" w:rsidR="00DF3492">
        <w:rPr>
          <w:szCs w:val="26"/>
        </w:rPr>
        <w:t>ed</w:t>
      </w:r>
      <w:r w:rsidRPr="00761DF6" w:rsidR="008A4CC9">
        <w:rPr>
          <w:szCs w:val="26"/>
        </w:rPr>
        <w:t xml:space="preserve"> of at least one qualifying “sexually violent offense”</w:t>
      </w:r>
      <w:r w:rsidRPr="00761DF6" w:rsidR="00427083">
        <w:rPr>
          <w:szCs w:val="26"/>
        </w:rPr>
        <w:t xml:space="preserve"> listed in section 6600, subdivision (b)</w:t>
      </w:r>
      <w:r w:rsidRPr="00761DF6" w:rsidR="004B0AF2">
        <w:rPr>
          <w:szCs w:val="26"/>
        </w:rPr>
        <w:t xml:space="preserve"> (</w:t>
      </w:r>
      <w:r w:rsidRPr="00761DF6" w:rsidR="004A55C2">
        <w:rPr>
          <w:color w:val="000000"/>
          <w:szCs w:val="26"/>
        </w:rPr>
        <w:t xml:space="preserve">§ </w:t>
      </w:r>
      <w:r w:rsidRPr="00761DF6" w:rsidR="006F6BA5">
        <w:rPr>
          <w:szCs w:val="26"/>
        </w:rPr>
        <w:t>6600, subd. (a)</w:t>
      </w:r>
      <w:r w:rsidRPr="00761DF6" w:rsidR="00B9175E">
        <w:rPr>
          <w:szCs w:val="26"/>
        </w:rPr>
        <w:t>(1)</w:t>
      </w:r>
      <w:r w:rsidRPr="00761DF6" w:rsidR="004B0AF2">
        <w:rPr>
          <w:szCs w:val="26"/>
        </w:rPr>
        <w:t>)</w:t>
      </w:r>
      <w:r w:rsidRPr="00761DF6" w:rsidR="00427083">
        <w:rPr>
          <w:szCs w:val="26"/>
        </w:rPr>
        <w:t>;</w:t>
      </w:r>
      <w:r w:rsidRPr="00761DF6" w:rsidR="00AA4E0B">
        <w:rPr>
          <w:szCs w:val="26"/>
        </w:rPr>
        <w:t xml:space="preserve"> </w:t>
      </w:r>
      <w:r w:rsidRPr="00761DF6" w:rsidR="008A4CC9">
        <w:rPr>
          <w:szCs w:val="26"/>
        </w:rPr>
        <w:t>(2) the person has “a diagnosed mental disorder that makes the person a danger to the health and safety of others”</w:t>
      </w:r>
      <w:r w:rsidRPr="00761DF6" w:rsidR="004B0AF2">
        <w:rPr>
          <w:szCs w:val="26"/>
        </w:rPr>
        <w:t xml:space="preserve"> (</w:t>
      </w:r>
      <w:r w:rsidRPr="00761DF6" w:rsidR="006F6BA5">
        <w:rPr>
          <w:i/>
          <w:iCs/>
          <w:szCs w:val="26"/>
        </w:rPr>
        <w:t>ibid</w:t>
      </w:r>
      <w:r w:rsidRPr="00761DF6" w:rsidR="006F6BA5">
        <w:rPr>
          <w:szCs w:val="26"/>
        </w:rPr>
        <w:t>.</w:t>
      </w:r>
      <w:r w:rsidRPr="00761DF6" w:rsidR="004B0AF2">
        <w:rPr>
          <w:szCs w:val="26"/>
        </w:rPr>
        <w:t>)</w:t>
      </w:r>
      <w:r w:rsidRPr="00761DF6" w:rsidR="00427083">
        <w:rPr>
          <w:szCs w:val="26"/>
        </w:rPr>
        <w:t>;</w:t>
      </w:r>
      <w:r w:rsidRPr="00761DF6" w:rsidR="008A4CC9">
        <w:rPr>
          <w:szCs w:val="26"/>
        </w:rPr>
        <w:t xml:space="preserve"> (3) the mental disorder makes it likely the person will engage in future acts of sexually violent criminal behavior if released from custody</w:t>
      </w:r>
      <w:r w:rsidRPr="00761DF6" w:rsidR="004B0AF2">
        <w:rPr>
          <w:szCs w:val="26"/>
        </w:rPr>
        <w:t xml:space="preserve"> </w:t>
      </w:r>
      <w:r w:rsidRPr="00761DF6" w:rsidR="00563C65">
        <w:rPr>
          <w:szCs w:val="26"/>
        </w:rPr>
        <w:t>(</w:t>
      </w:r>
      <w:r w:rsidRPr="00761DF6" w:rsidR="006F6BA5">
        <w:rPr>
          <w:i/>
          <w:iCs/>
          <w:szCs w:val="26"/>
        </w:rPr>
        <w:t>ibid</w:t>
      </w:r>
      <w:r w:rsidRPr="00761DF6" w:rsidR="006F6BA5">
        <w:rPr>
          <w:szCs w:val="26"/>
        </w:rPr>
        <w:t>.</w:t>
      </w:r>
      <w:r w:rsidRPr="00761DF6" w:rsidR="00563C65">
        <w:rPr>
          <w:szCs w:val="26"/>
        </w:rPr>
        <w:t>)</w:t>
      </w:r>
      <w:r w:rsidRPr="00761DF6" w:rsidR="004B0AF2">
        <w:rPr>
          <w:szCs w:val="26"/>
        </w:rPr>
        <w:t xml:space="preserve">; and (4) </w:t>
      </w:r>
      <w:r w:rsidRPr="00761DF6" w:rsidR="00AE0B33">
        <w:rPr>
          <w:szCs w:val="26"/>
        </w:rPr>
        <w:t xml:space="preserve">those acts will be predatory in nature </w:t>
      </w:r>
      <w:bookmarkStart w:id="14" w:name="_Hlk76116265"/>
      <w:r w:rsidRPr="00761DF6" w:rsidR="00AE0B33">
        <w:rPr>
          <w:szCs w:val="26"/>
        </w:rPr>
        <w:t>(</w:t>
      </w:r>
      <w:r w:rsidRPr="00761DF6" w:rsidR="00D81CEA">
        <w:rPr>
          <w:i/>
          <w:iCs/>
          <w:szCs w:val="26"/>
        </w:rPr>
        <w:t>Cooley v. Superior Court</w:t>
      </w:r>
      <w:r w:rsidRPr="00761DF6" w:rsidR="00D81CEA">
        <w:rPr>
          <w:szCs w:val="26"/>
        </w:rPr>
        <w:t xml:space="preserve"> (2003) 29 Cal.4th 228, 243 (</w:t>
      </w:r>
      <w:r w:rsidRPr="00761DF6" w:rsidR="00D81CEA">
        <w:rPr>
          <w:i/>
          <w:iCs/>
          <w:szCs w:val="26"/>
        </w:rPr>
        <w:t>Cooley</w:t>
      </w:r>
      <w:r w:rsidRPr="00761DF6" w:rsidR="00D81CEA">
        <w:rPr>
          <w:szCs w:val="26"/>
        </w:rPr>
        <w:t>)</w:t>
      </w:r>
      <w:r w:rsidRPr="00761DF6" w:rsidR="00EB7762">
        <w:rPr>
          <w:szCs w:val="26"/>
        </w:rPr>
        <w:t>)</w:t>
      </w:r>
      <w:r w:rsidRPr="00761DF6" w:rsidR="00AB7E17">
        <w:rPr>
          <w:szCs w:val="26"/>
        </w:rPr>
        <w:t>.</w:t>
      </w:r>
      <w:r w:rsidRPr="00761DF6" w:rsidR="00D81CEA">
        <w:rPr>
          <w:szCs w:val="26"/>
        </w:rPr>
        <w:t xml:space="preserve">  </w:t>
      </w:r>
      <w:bookmarkEnd w:id="14"/>
      <w:r w:rsidRPr="00761DF6" w:rsidR="008D5A59">
        <w:rPr>
          <w:szCs w:val="26"/>
        </w:rPr>
        <w:t xml:space="preserve">Civil commitment can commence only if, after a trial, the trier of fact finds beyond a reasonable doubt that </w:t>
      </w:r>
      <w:r w:rsidRPr="00761DF6" w:rsidR="00534402">
        <w:rPr>
          <w:szCs w:val="26"/>
        </w:rPr>
        <w:t xml:space="preserve">each of </w:t>
      </w:r>
      <w:r w:rsidRPr="00761DF6" w:rsidR="008D5A59">
        <w:rPr>
          <w:szCs w:val="26"/>
        </w:rPr>
        <w:t>these</w:t>
      </w:r>
      <w:r w:rsidRPr="00761DF6" w:rsidR="00AE0B33">
        <w:rPr>
          <w:szCs w:val="26"/>
        </w:rPr>
        <w:t xml:space="preserve"> four</w:t>
      </w:r>
      <w:r w:rsidRPr="00761DF6" w:rsidR="008D5A59">
        <w:rPr>
          <w:szCs w:val="26"/>
        </w:rPr>
        <w:t xml:space="preserve"> requirements </w:t>
      </w:r>
      <w:r w:rsidRPr="00761DF6" w:rsidR="00534402">
        <w:rPr>
          <w:szCs w:val="26"/>
        </w:rPr>
        <w:t xml:space="preserve">is </w:t>
      </w:r>
      <w:r w:rsidRPr="00761DF6" w:rsidR="008D5A59">
        <w:rPr>
          <w:szCs w:val="26"/>
        </w:rPr>
        <w:t xml:space="preserve">met.  </w:t>
      </w:r>
      <w:r w:rsidRPr="00761DF6">
        <w:rPr>
          <w:szCs w:val="26"/>
        </w:rPr>
        <w:t>(</w:t>
      </w:r>
      <w:r w:rsidRPr="00761DF6">
        <w:rPr>
          <w:i/>
          <w:iCs/>
          <w:szCs w:val="26"/>
        </w:rPr>
        <w:t>Ibid.</w:t>
      </w:r>
      <w:r w:rsidR="00E30400">
        <w:rPr>
          <w:szCs w:val="26"/>
        </w:rPr>
        <w:t>,</w:t>
      </w:r>
      <w:r w:rsidRPr="00761DF6">
        <w:rPr>
          <w:szCs w:val="26"/>
        </w:rPr>
        <w:t xml:space="preserve"> citing </w:t>
      </w:r>
      <w:r w:rsidRPr="00761DF6">
        <w:rPr>
          <w:color w:val="000000"/>
          <w:szCs w:val="26"/>
          <w:shd w:val="clear" w:color="auto" w:fill="FFFFFF"/>
        </w:rPr>
        <w:t>§§ 6600, 6601, 6603, 6604.)</w:t>
      </w:r>
    </w:p>
    <w:p w:rsidR="005C1AA9" w:rsidRPr="00761DF6" w:rsidP="00761DF6" w14:paraId="7BFABBBE" w14:textId="38AC6FDF">
      <w:pPr>
        <w:pStyle w:val="Text"/>
        <w:spacing w:line="400" w:lineRule="exact"/>
        <w:ind w:firstLine="0"/>
        <w:rPr>
          <w:szCs w:val="26"/>
        </w:rPr>
      </w:pPr>
      <w:r w:rsidRPr="00761DF6">
        <w:rPr>
          <w:szCs w:val="26"/>
        </w:rPr>
        <w:tab/>
      </w:r>
      <w:r w:rsidRPr="00761DF6" w:rsidR="00251ADD">
        <w:rPr>
          <w:szCs w:val="26"/>
        </w:rPr>
        <w:t xml:space="preserve">The trial represents the final step in the “complex administrative and judicial process” required to civilly commit an individual as an SVP.  </w:t>
      </w:r>
      <w:r w:rsidRPr="00761DF6" w:rsidR="00D81CEA">
        <w:rPr>
          <w:szCs w:val="26"/>
        </w:rPr>
        <w:t>(</w:t>
      </w:r>
      <w:r w:rsidRPr="00761DF6" w:rsidR="00D81CEA">
        <w:rPr>
          <w:i/>
          <w:iCs/>
          <w:szCs w:val="26"/>
        </w:rPr>
        <w:t>Cooley</w:t>
      </w:r>
      <w:r w:rsidRPr="00761DF6" w:rsidR="00D81CEA">
        <w:rPr>
          <w:szCs w:val="26"/>
        </w:rPr>
        <w:t xml:space="preserve">, </w:t>
      </w:r>
      <w:r w:rsidRPr="00761DF6" w:rsidR="00D81CEA">
        <w:rPr>
          <w:i/>
          <w:iCs/>
          <w:szCs w:val="26"/>
        </w:rPr>
        <w:t>supra</w:t>
      </w:r>
      <w:r w:rsidRPr="00761DF6" w:rsidR="00D81CEA">
        <w:rPr>
          <w:szCs w:val="26"/>
        </w:rPr>
        <w:t xml:space="preserve">, 29 Cal.4th at p. 244.)  </w:t>
      </w:r>
      <w:r w:rsidR="00672F57">
        <w:rPr>
          <w:szCs w:val="26"/>
        </w:rPr>
        <w:t>The process leading up to a trial begins when</w:t>
      </w:r>
      <w:r w:rsidRPr="00761DF6" w:rsidR="00CD7282">
        <w:rPr>
          <w:szCs w:val="26"/>
        </w:rPr>
        <w:t xml:space="preserve"> the Department of Corrections and Rehabilitation</w:t>
      </w:r>
      <w:r w:rsidRPr="00761DF6" w:rsidR="00060BC6">
        <w:rPr>
          <w:szCs w:val="26"/>
        </w:rPr>
        <w:t xml:space="preserve"> </w:t>
      </w:r>
      <w:r w:rsidRPr="00761DF6" w:rsidR="00CD7282">
        <w:rPr>
          <w:szCs w:val="26"/>
        </w:rPr>
        <w:t>screens inmates</w:t>
      </w:r>
      <w:r w:rsidRPr="00761DF6" w:rsidR="00060BC6">
        <w:rPr>
          <w:szCs w:val="26"/>
        </w:rPr>
        <w:t xml:space="preserve"> at least six months before their release date</w:t>
      </w:r>
      <w:r w:rsidRPr="00761DF6" w:rsidR="0050591C">
        <w:rPr>
          <w:szCs w:val="26"/>
        </w:rPr>
        <w:t xml:space="preserve"> (</w:t>
      </w:r>
      <w:r w:rsidRPr="00761DF6" w:rsidR="0050591C">
        <w:rPr>
          <w:color w:val="000000"/>
          <w:szCs w:val="26"/>
          <w:shd w:val="clear" w:color="auto" w:fill="FFFFFF"/>
        </w:rPr>
        <w:t>§</w:t>
      </w:r>
      <w:r w:rsidRPr="00761DF6" w:rsidR="00361B7F">
        <w:rPr>
          <w:color w:val="000000"/>
          <w:szCs w:val="26"/>
          <w:shd w:val="clear" w:color="auto" w:fill="FFFFFF"/>
        </w:rPr>
        <w:t> </w:t>
      </w:r>
      <w:r w:rsidRPr="00761DF6" w:rsidR="0050591C">
        <w:rPr>
          <w:color w:val="000000"/>
          <w:szCs w:val="26"/>
          <w:shd w:val="clear" w:color="auto" w:fill="FFFFFF"/>
        </w:rPr>
        <w:t>6601, subd. (a))</w:t>
      </w:r>
      <w:r w:rsidRPr="00761DF6" w:rsidR="00060BC6">
        <w:rPr>
          <w:szCs w:val="26"/>
        </w:rPr>
        <w:t>, and refer</w:t>
      </w:r>
      <w:r w:rsidRPr="00761DF6" w:rsidR="00BC4A74">
        <w:rPr>
          <w:szCs w:val="26"/>
        </w:rPr>
        <w:t>s</w:t>
      </w:r>
      <w:r w:rsidRPr="00761DF6" w:rsidR="00464FA7">
        <w:rPr>
          <w:szCs w:val="26"/>
        </w:rPr>
        <w:t xml:space="preserve"> any</w:t>
      </w:r>
      <w:r w:rsidRPr="00761DF6" w:rsidR="00060BC6">
        <w:rPr>
          <w:szCs w:val="26"/>
        </w:rPr>
        <w:t xml:space="preserve"> potential SVP to </w:t>
      </w:r>
      <w:r w:rsidRPr="00761DF6" w:rsidR="006E2E2E">
        <w:rPr>
          <w:szCs w:val="26"/>
        </w:rPr>
        <w:t>DSH</w:t>
      </w:r>
      <w:r w:rsidRPr="00761DF6" w:rsidR="00060BC6">
        <w:rPr>
          <w:szCs w:val="26"/>
        </w:rPr>
        <w:t xml:space="preserve"> for a “full evaluation”</w:t>
      </w:r>
      <w:r w:rsidRPr="00761DF6" w:rsidR="00F14844">
        <w:rPr>
          <w:szCs w:val="26"/>
        </w:rPr>
        <w:t xml:space="preserve"> </w:t>
      </w:r>
      <w:r w:rsidRPr="00761DF6" w:rsidR="003D6C2F">
        <w:rPr>
          <w:szCs w:val="26"/>
        </w:rPr>
        <w:t>(</w:t>
      </w:r>
      <w:r w:rsidRPr="00761DF6" w:rsidR="00DA2C83">
        <w:rPr>
          <w:i/>
          <w:iCs/>
          <w:color w:val="000000"/>
          <w:szCs w:val="26"/>
          <w:shd w:val="clear" w:color="auto" w:fill="FFFFFF"/>
        </w:rPr>
        <w:t>id.</w:t>
      </w:r>
      <w:r w:rsidRPr="00761DF6" w:rsidR="00A062CC">
        <w:rPr>
          <w:color w:val="000000"/>
          <w:szCs w:val="26"/>
          <w:shd w:val="clear" w:color="auto" w:fill="FFFFFF"/>
        </w:rPr>
        <w:t>, subd. (</w:t>
      </w:r>
      <w:r w:rsidRPr="00761DF6" w:rsidR="0050591C">
        <w:rPr>
          <w:color w:val="000000"/>
          <w:szCs w:val="26"/>
          <w:shd w:val="clear" w:color="auto" w:fill="FFFFFF"/>
        </w:rPr>
        <w:t>b</w:t>
      </w:r>
      <w:r w:rsidRPr="00761DF6" w:rsidR="00A062CC">
        <w:rPr>
          <w:color w:val="000000"/>
          <w:szCs w:val="26"/>
          <w:shd w:val="clear" w:color="auto" w:fill="FFFFFF"/>
        </w:rPr>
        <w:t>)</w:t>
      </w:r>
      <w:r w:rsidRPr="00761DF6" w:rsidR="003D6C2F">
        <w:rPr>
          <w:szCs w:val="26"/>
        </w:rPr>
        <w:t>)</w:t>
      </w:r>
      <w:r w:rsidRPr="00761DF6" w:rsidR="0050591C">
        <w:rPr>
          <w:szCs w:val="26"/>
        </w:rPr>
        <w:t>.</w:t>
      </w:r>
      <w:r w:rsidRPr="00761DF6" w:rsidR="003D6C2F">
        <w:rPr>
          <w:szCs w:val="26"/>
        </w:rPr>
        <w:t xml:space="preserve">  </w:t>
      </w:r>
      <w:r w:rsidRPr="00761DF6" w:rsidR="001E2408">
        <w:rPr>
          <w:szCs w:val="26"/>
        </w:rPr>
        <w:t>DSH</w:t>
      </w:r>
      <w:r w:rsidRPr="00761DF6" w:rsidR="00252E32">
        <w:rPr>
          <w:szCs w:val="26"/>
        </w:rPr>
        <w:t xml:space="preserve"> then designates two </w:t>
      </w:r>
      <w:r w:rsidRPr="00761DF6" w:rsidR="00E54E04">
        <w:rPr>
          <w:szCs w:val="26"/>
        </w:rPr>
        <w:t xml:space="preserve">practicing psychologists or psychiatrists to evaluate </w:t>
      </w:r>
      <w:r w:rsidRPr="00761DF6" w:rsidR="00464FA7">
        <w:rPr>
          <w:szCs w:val="26"/>
        </w:rPr>
        <w:t xml:space="preserve">the </w:t>
      </w:r>
      <w:r w:rsidRPr="00761DF6" w:rsidR="00DE78DF">
        <w:rPr>
          <w:szCs w:val="26"/>
        </w:rPr>
        <w:t>inmate</w:t>
      </w:r>
      <w:r w:rsidRPr="00761DF6" w:rsidR="00464FA7">
        <w:rPr>
          <w:szCs w:val="26"/>
        </w:rPr>
        <w:t xml:space="preserve"> in accordance with a </w:t>
      </w:r>
      <w:r w:rsidRPr="00761DF6" w:rsidR="00E357CA">
        <w:rPr>
          <w:szCs w:val="26"/>
        </w:rPr>
        <w:t>“</w:t>
      </w:r>
      <w:r w:rsidRPr="00761DF6" w:rsidR="00464FA7">
        <w:rPr>
          <w:szCs w:val="26"/>
        </w:rPr>
        <w:t>standardized assessment protocol</w:t>
      </w:r>
      <w:r w:rsidRPr="00761DF6" w:rsidR="00E357CA">
        <w:rPr>
          <w:szCs w:val="26"/>
        </w:rPr>
        <w:t>,” which requires</w:t>
      </w:r>
      <w:r w:rsidRPr="00761DF6" w:rsidR="00252E32">
        <w:rPr>
          <w:color w:val="000000"/>
          <w:szCs w:val="26"/>
        </w:rPr>
        <w:t xml:space="preserve"> “assessment of diagnosable mental disorders, as well as various factors known to be associated with the risk of reoffense among sex offenders.” </w:t>
      </w:r>
      <w:r w:rsidRPr="00761DF6" w:rsidR="00C84682">
        <w:rPr>
          <w:color w:val="000000"/>
          <w:szCs w:val="26"/>
        </w:rPr>
        <w:t xml:space="preserve"> </w:t>
      </w:r>
      <w:r w:rsidRPr="00761DF6" w:rsidR="00252E32">
        <w:rPr>
          <w:color w:val="000000"/>
          <w:szCs w:val="26"/>
        </w:rPr>
        <w:t>(</w:t>
      </w:r>
      <w:r w:rsidRPr="00761DF6" w:rsidR="00353A1D">
        <w:rPr>
          <w:i/>
          <w:iCs/>
          <w:color w:val="000000"/>
          <w:szCs w:val="26"/>
        </w:rPr>
        <w:t>Id.</w:t>
      </w:r>
      <w:r w:rsidRPr="00761DF6" w:rsidR="00252E32">
        <w:rPr>
          <w:color w:val="000000"/>
          <w:szCs w:val="26"/>
        </w:rPr>
        <w:t>, subd. (c)</w:t>
      </w:r>
      <w:r w:rsidRPr="00761DF6" w:rsidR="00C84682">
        <w:rPr>
          <w:color w:val="000000"/>
          <w:szCs w:val="26"/>
        </w:rPr>
        <w:t>.)</w:t>
      </w:r>
      <w:r w:rsidRPr="00761DF6" w:rsidR="00EB6401">
        <w:rPr>
          <w:color w:val="000000"/>
          <w:szCs w:val="26"/>
        </w:rPr>
        <w:t xml:space="preserve">  If the two mental health professionals agree that </w:t>
      </w:r>
      <w:r w:rsidRPr="00761DF6" w:rsidR="00A45766">
        <w:rPr>
          <w:color w:val="000000"/>
          <w:szCs w:val="26"/>
        </w:rPr>
        <w:t>the inmate qualifies as an SVP</w:t>
      </w:r>
      <w:r w:rsidRPr="00761DF6" w:rsidR="00B62DDB">
        <w:rPr>
          <w:color w:val="000000"/>
          <w:szCs w:val="26"/>
        </w:rPr>
        <w:t xml:space="preserve"> (</w:t>
      </w:r>
      <w:r w:rsidRPr="00761DF6" w:rsidR="00A31DDE">
        <w:rPr>
          <w:color w:val="000000"/>
          <w:szCs w:val="26"/>
        </w:rPr>
        <w:t xml:space="preserve">or if </w:t>
      </w:r>
      <w:r w:rsidRPr="00761DF6" w:rsidR="00F7133F">
        <w:rPr>
          <w:color w:val="000000"/>
          <w:szCs w:val="26"/>
        </w:rPr>
        <w:t xml:space="preserve">only </w:t>
      </w:r>
      <w:r w:rsidRPr="00761DF6" w:rsidR="00A31DDE">
        <w:rPr>
          <w:color w:val="000000"/>
          <w:szCs w:val="26"/>
        </w:rPr>
        <w:t>one reaches this conclusion and two subsequently appointed professionals concur</w:t>
      </w:r>
      <w:r w:rsidRPr="00761DF6" w:rsidR="00B62DDB">
        <w:rPr>
          <w:color w:val="000000"/>
          <w:szCs w:val="26"/>
        </w:rPr>
        <w:t>),</w:t>
      </w:r>
      <w:r w:rsidRPr="00761DF6" w:rsidR="00A31DDE">
        <w:rPr>
          <w:color w:val="000000"/>
          <w:szCs w:val="26"/>
        </w:rPr>
        <w:t xml:space="preserve"> </w:t>
      </w:r>
      <w:r w:rsidRPr="00761DF6" w:rsidR="00695665">
        <w:rPr>
          <w:color w:val="000000"/>
          <w:szCs w:val="26"/>
        </w:rPr>
        <w:t xml:space="preserve">the </w:t>
      </w:r>
      <w:r w:rsidRPr="00761DF6" w:rsidR="00110384">
        <w:rPr>
          <w:color w:val="000000"/>
          <w:szCs w:val="26"/>
        </w:rPr>
        <w:t>DSH Director</w:t>
      </w:r>
      <w:r w:rsidRPr="00761DF6" w:rsidR="00695665">
        <w:rPr>
          <w:color w:val="000000"/>
          <w:szCs w:val="26"/>
        </w:rPr>
        <w:t xml:space="preserve"> forwards a request</w:t>
      </w:r>
      <w:r w:rsidRPr="00761DF6" w:rsidR="00B62DDB">
        <w:rPr>
          <w:color w:val="000000"/>
          <w:szCs w:val="26"/>
        </w:rPr>
        <w:t xml:space="preserve"> for a commitment</w:t>
      </w:r>
      <w:r w:rsidRPr="00761DF6" w:rsidR="00F23124">
        <w:rPr>
          <w:color w:val="000000"/>
          <w:szCs w:val="26"/>
        </w:rPr>
        <w:t xml:space="preserve"> petition</w:t>
      </w:r>
      <w:r w:rsidRPr="00761DF6" w:rsidR="00B62DDB">
        <w:rPr>
          <w:color w:val="000000"/>
          <w:szCs w:val="26"/>
        </w:rPr>
        <w:t xml:space="preserve">, along with copies of the evaluation reports and other supporting documents, to the county in which the </w:t>
      </w:r>
      <w:r w:rsidRPr="00761DF6" w:rsidR="00100FD2">
        <w:rPr>
          <w:color w:val="000000"/>
          <w:szCs w:val="26"/>
        </w:rPr>
        <w:t>inmate</w:t>
      </w:r>
      <w:r w:rsidRPr="00761DF6" w:rsidR="00B62DDB">
        <w:rPr>
          <w:color w:val="000000"/>
          <w:szCs w:val="26"/>
        </w:rPr>
        <w:t xml:space="preserve"> was last convicted.  </w:t>
      </w:r>
      <w:r w:rsidRPr="00761DF6" w:rsidR="003A7504">
        <w:rPr>
          <w:color w:val="000000"/>
          <w:szCs w:val="26"/>
        </w:rPr>
        <w:t>(</w:t>
      </w:r>
      <w:r w:rsidRPr="00761DF6" w:rsidR="003A7504">
        <w:rPr>
          <w:i/>
          <w:iCs/>
          <w:color w:val="000000"/>
          <w:szCs w:val="26"/>
        </w:rPr>
        <w:t>Id.</w:t>
      </w:r>
      <w:r w:rsidRPr="00761DF6" w:rsidR="00DA2C83">
        <w:rPr>
          <w:color w:val="000000"/>
          <w:szCs w:val="26"/>
          <w:shd w:val="clear" w:color="auto" w:fill="FFFFFF"/>
        </w:rPr>
        <w:t>, subds</w:t>
      </w:r>
      <w:r w:rsidRPr="00761DF6" w:rsidR="00597768">
        <w:rPr>
          <w:color w:val="000000"/>
          <w:szCs w:val="26"/>
          <w:shd w:val="clear" w:color="auto" w:fill="FFFFFF"/>
        </w:rPr>
        <w:t>.</w:t>
      </w:r>
      <w:r w:rsidRPr="00761DF6" w:rsidR="003A7504">
        <w:rPr>
          <w:color w:val="000000"/>
          <w:szCs w:val="26"/>
          <w:shd w:val="clear" w:color="auto" w:fill="FFFFFF"/>
        </w:rPr>
        <w:t xml:space="preserve"> (d)–(f)</w:t>
      </w:r>
      <w:r w:rsidRPr="00761DF6" w:rsidR="00380FD7">
        <w:rPr>
          <w:color w:val="000000"/>
          <w:szCs w:val="26"/>
          <w:shd w:val="clear" w:color="auto" w:fill="FFFFFF"/>
        </w:rPr>
        <w:t>, (h).</w:t>
      </w:r>
      <w:r w:rsidRPr="00761DF6" w:rsidR="003A7504">
        <w:rPr>
          <w:color w:val="000000"/>
          <w:szCs w:val="26"/>
          <w:shd w:val="clear" w:color="auto" w:fill="FFFFFF"/>
        </w:rPr>
        <w:t>)</w:t>
      </w:r>
      <w:r w:rsidRPr="00761DF6" w:rsidR="00DA2C83">
        <w:rPr>
          <w:color w:val="000000"/>
          <w:szCs w:val="26"/>
          <w:shd w:val="clear" w:color="auto" w:fill="FFFFFF"/>
        </w:rPr>
        <w:t xml:space="preserve">  </w:t>
      </w:r>
      <w:r w:rsidRPr="00761DF6" w:rsidR="00530238">
        <w:rPr>
          <w:color w:val="000000"/>
          <w:szCs w:val="26"/>
        </w:rPr>
        <w:t>If the county’s designated counsel agrees, the petition for commitment is filed in superior court.</w:t>
      </w:r>
      <w:r w:rsidRPr="00761DF6" w:rsidR="00597768">
        <w:rPr>
          <w:color w:val="000000"/>
          <w:szCs w:val="26"/>
        </w:rPr>
        <w:t xml:space="preserve">  (</w:t>
      </w:r>
      <w:r w:rsidRPr="00761DF6" w:rsidR="00597768">
        <w:rPr>
          <w:i/>
          <w:iCs/>
          <w:color w:val="000000"/>
          <w:szCs w:val="26"/>
        </w:rPr>
        <w:t>Id.</w:t>
      </w:r>
      <w:r w:rsidRPr="00761DF6" w:rsidR="00597768">
        <w:rPr>
          <w:color w:val="000000"/>
          <w:szCs w:val="26"/>
        </w:rPr>
        <w:t>, subd. (i).)</w:t>
      </w:r>
    </w:p>
    <w:p w:rsidR="00FA4DC6" w:rsidRPr="00761DF6" w:rsidP="00761DF6" w14:paraId="443A3F04" w14:textId="6C4B81B4">
      <w:pPr>
        <w:pStyle w:val="Text"/>
        <w:spacing w:line="400" w:lineRule="exact"/>
        <w:ind w:firstLine="0"/>
        <w:rPr>
          <w:color w:val="000000"/>
          <w:szCs w:val="26"/>
        </w:rPr>
      </w:pPr>
      <w:r w:rsidRPr="00761DF6">
        <w:rPr>
          <w:color w:val="000000"/>
          <w:szCs w:val="26"/>
        </w:rPr>
        <w:tab/>
      </w:r>
      <w:r w:rsidRPr="00761DF6" w:rsidR="0016389A">
        <w:rPr>
          <w:color w:val="000000"/>
          <w:szCs w:val="26"/>
        </w:rPr>
        <w:t xml:space="preserve">The superior court must review the petition </w:t>
      </w:r>
      <w:r w:rsidR="004005AB">
        <w:rPr>
          <w:color w:val="000000"/>
          <w:szCs w:val="26"/>
        </w:rPr>
        <w:t xml:space="preserve">once </w:t>
      </w:r>
      <w:r w:rsidRPr="000C60FB" w:rsidR="004005AB">
        <w:rPr>
          <w:color w:val="000000"/>
          <w:szCs w:val="26"/>
        </w:rPr>
        <w:t>it’s</w:t>
      </w:r>
      <w:r w:rsidR="004005AB">
        <w:rPr>
          <w:color w:val="000000"/>
          <w:szCs w:val="26"/>
        </w:rPr>
        <w:t xml:space="preserve"> received </w:t>
      </w:r>
      <w:r w:rsidRPr="00761DF6" w:rsidR="00B033EE">
        <w:rPr>
          <w:color w:val="000000"/>
          <w:szCs w:val="26"/>
        </w:rPr>
        <w:t xml:space="preserve">to determine whether probable cause </w:t>
      </w:r>
      <w:r w:rsidRPr="00761DF6" w:rsidR="00F10569">
        <w:rPr>
          <w:color w:val="000000"/>
          <w:szCs w:val="26"/>
        </w:rPr>
        <w:t>exists to commit the</w:t>
      </w:r>
      <w:r w:rsidRPr="00761DF6" w:rsidR="00E844E1">
        <w:rPr>
          <w:color w:val="000000"/>
          <w:szCs w:val="26"/>
        </w:rPr>
        <w:t xml:space="preserve"> individual as an</w:t>
      </w:r>
      <w:r w:rsidRPr="00761DF6" w:rsidR="00F10569">
        <w:rPr>
          <w:color w:val="000000"/>
          <w:szCs w:val="26"/>
        </w:rPr>
        <w:t xml:space="preserve"> SVP.  As an interim step, the SVPA allows a potential SVP to </w:t>
      </w:r>
      <w:r w:rsidRPr="00761DF6" w:rsidR="00813866">
        <w:rPr>
          <w:color w:val="000000"/>
          <w:szCs w:val="26"/>
        </w:rPr>
        <w:t>request a review</w:t>
      </w:r>
      <w:r w:rsidRPr="00761DF6" w:rsidR="007C1D82">
        <w:rPr>
          <w:color w:val="000000"/>
          <w:szCs w:val="26"/>
        </w:rPr>
        <w:t xml:space="preserve"> of the petition</w:t>
      </w:r>
      <w:r w:rsidRPr="00761DF6" w:rsidR="00505187">
        <w:rPr>
          <w:color w:val="000000"/>
          <w:szCs w:val="26"/>
        </w:rPr>
        <w:t xml:space="preserve"> under section 6601.5.  If the superior court determines from the face of the petition that probable cause exists, it shall order </w:t>
      </w:r>
      <w:r w:rsidRPr="00761DF6" w:rsidR="0086415A">
        <w:rPr>
          <w:color w:val="000000"/>
          <w:szCs w:val="26"/>
        </w:rPr>
        <w:t>a</w:t>
      </w:r>
      <w:r w:rsidRPr="00761DF6" w:rsidR="00F14353">
        <w:rPr>
          <w:color w:val="000000"/>
          <w:szCs w:val="26"/>
        </w:rPr>
        <w:t xml:space="preserve"> probable cause hearing</w:t>
      </w:r>
      <w:r w:rsidRPr="00761DF6" w:rsidR="002618C2">
        <w:rPr>
          <w:color w:val="000000"/>
          <w:szCs w:val="26"/>
        </w:rPr>
        <w:t xml:space="preserve"> under section 6602</w:t>
      </w:r>
      <w:r w:rsidRPr="00761DF6" w:rsidR="00F14353">
        <w:rPr>
          <w:color w:val="000000"/>
          <w:szCs w:val="26"/>
        </w:rPr>
        <w:t>.</w:t>
      </w:r>
      <w:r w:rsidRPr="00761DF6" w:rsidR="0086415A">
        <w:rPr>
          <w:color w:val="000000"/>
          <w:szCs w:val="26"/>
        </w:rPr>
        <w:t xml:space="preserve">  </w:t>
      </w:r>
      <w:r w:rsidRPr="00761DF6" w:rsidR="005C2FB7">
        <w:rPr>
          <w:szCs w:val="26"/>
        </w:rPr>
        <w:t>(</w:t>
      </w:r>
      <w:r w:rsidRPr="00761DF6" w:rsidR="005C2FB7">
        <w:rPr>
          <w:color w:val="000000"/>
          <w:szCs w:val="26"/>
          <w:shd w:val="clear" w:color="auto" w:fill="FFFFFF"/>
        </w:rPr>
        <w:t xml:space="preserve">§ 6601.5.) </w:t>
      </w:r>
      <w:r w:rsidRPr="00761DF6" w:rsidR="005C2FB7">
        <w:rPr>
          <w:color w:val="000000"/>
          <w:szCs w:val="26"/>
        </w:rPr>
        <w:t xml:space="preserve"> Regardless of whether alleged SVP</w:t>
      </w:r>
      <w:r w:rsidRPr="00761DF6" w:rsidR="000C7DF0">
        <w:rPr>
          <w:color w:val="000000"/>
          <w:szCs w:val="26"/>
        </w:rPr>
        <w:t>s</w:t>
      </w:r>
      <w:r w:rsidRPr="00761DF6" w:rsidR="005C2FB7">
        <w:rPr>
          <w:color w:val="000000"/>
          <w:szCs w:val="26"/>
        </w:rPr>
        <w:t xml:space="preserve"> request a </w:t>
      </w:r>
      <w:r w:rsidRPr="00761DF6" w:rsidR="0086415A">
        <w:rPr>
          <w:color w:val="000000"/>
          <w:szCs w:val="26"/>
        </w:rPr>
        <w:t xml:space="preserve">paper review of </w:t>
      </w:r>
      <w:r w:rsidRPr="00761DF6" w:rsidR="005C2FB7">
        <w:rPr>
          <w:color w:val="000000"/>
          <w:szCs w:val="26"/>
        </w:rPr>
        <w:t>the petition u</w:t>
      </w:r>
      <w:r w:rsidRPr="00761DF6" w:rsidR="000C7DF0">
        <w:rPr>
          <w:color w:val="000000"/>
          <w:szCs w:val="26"/>
        </w:rPr>
        <w:t>nder</w:t>
      </w:r>
      <w:r w:rsidRPr="00761DF6" w:rsidR="005C2FB7">
        <w:rPr>
          <w:color w:val="000000"/>
          <w:szCs w:val="26"/>
        </w:rPr>
        <w:t xml:space="preserve"> </w:t>
      </w:r>
      <w:r w:rsidRPr="00761DF6" w:rsidR="0086415A">
        <w:rPr>
          <w:color w:val="000000"/>
          <w:szCs w:val="26"/>
        </w:rPr>
        <w:t xml:space="preserve">section 6601.5, </w:t>
      </w:r>
      <w:r w:rsidRPr="00761DF6" w:rsidR="000C7DF0">
        <w:rPr>
          <w:color w:val="000000"/>
          <w:szCs w:val="26"/>
        </w:rPr>
        <w:t>they are</w:t>
      </w:r>
      <w:r w:rsidRPr="00761DF6" w:rsidR="0086415A">
        <w:rPr>
          <w:color w:val="000000"/>
          <w:szCs w:val="26"/>
        </w:rPr>
        <w:t xml:space="preserve"> entitled to a probable cause hearing</w:t>
      </w:r>
      <w:r w:rsidRPr="00761DF6" w:rsidR="00312908">
        <w:rPr>
          <w:color w:val="000000"/>
          <w:szCs w:val="26"/>
        </w:rPr>
        <w:t xml:space="preserve"> under section 6602.</w:t>
      </w:r>
    </w:p>
    <w:p w:rsidR="008627C7" w:rsidRPr="00761DF6" w:rsidP="00761DF6" w14:paraId="6CAAFF5F" w14:textId="3B05A9DF">
      <w:pPr>
        <w:pStyle w:val="Text"/>
        <w:spacing w:line="400" w:lineRule="exact"/>
        <w:ind w:firstLine="0"/>
        <w:rPr>
          <w:color w:val="000000"/>
          <w:szCs w:val="26"/>
        </w:rPr>
      </w:pPr>
      <w:r w:rsidRPr="00761DF6">
        <w:rPr>
          <w:color w:val="000000"/>
          <w:szCs w:val="26"/>
        </w:rPr>
        <w:tab/>
      </w:r>
      <w:r w:rsidR="00E77177">
        <w:rPr>
          <w:color w:val="000000"/>
          <w:szCs w:val="26"/>
        </w:rPr>
        <w:t xml:space="preserve">They are entitled to specific </w:t>
      </w:r>
      <w:r w:rsidR="000417F3">
        <w:rPr>
          <w:color w:val="000000"/>
          <w:szCs w:val="26"/>
        </w:rPr>
        <w:t>procedures at the hearing, too.  T</w:t>
      </w:r>
      <w:r w:rsidRPr="00761DF6" w:rsidR="00FA4DC6">
        <w:rPr>
          <w:color w:val="000000"/>
          <w:szCs w:val="26"/>
        </w:rPr>
        <w:t xml:space="preserve">he trial court “shall review the petition and shall determine whether there is probable cause to believe that the individual named in the petition is likely to engage in sexually violent predatory criminal behavior upon his or her release.”  </w:t>
      </w:r>
      <w:r w:rsidRPr="00761DF6" w:rsidR="00C91FD0">
        <w:rPr>
          <w:color w:val="000000"/>
          <w:szCs w:val="26"/>
        </w:rPr>
        <w:t xml:space="preserve">(§ 6602, subd. (a).)  </w:t>
      </w:r>
      <w:r w:rsidRPr="00761DF6" w:rsidR="00A560D2">
        <w:rPr>
          <w:color w:val="000000"/>
          <w:szCs w:val="26"/>
        </w:rPr>
        <w:t>The alleged SVP is entitled to assistance of counsel at the hearing.  (</w:t>
      </w:r>
      <w:r w:rsidRPr="00761DF6" w:rsidR="00A560D2">
        <w:rPr>
          <w:i/>
          <w:iCs/>
          <w:color w:val="000000"/>
          <w:szCs w:val="26"/>
        </w:rPr>
        <w:t>Ibid</w:t>
      </w:r>
      <w:r w:rsidRPr="00761DF6" w:rsidR="00A560D2">
        <w:rPr>
          <w:color w:val="000000"/>
          <w:szCs w:val="26"/>
        </w:rPr>
        <w:t xml:space="preserve">.)  </w:t>
      </w:r>
      <w:r w:rsidRPr="00761DF6" w:rsidR="00C91FD0">
        <w:rPr>
          <w:color w:val="000000"/>
          <w:szCs w:val="26"/>
        </w:rPr>
        <w:t xml:space="preserve">If the court determines that there is not probable cause, it must dismiss the petition; but if it determines that probable cause does exist, the court must order a trial to be conducted. </w:t>
      </w:r>
      <w:r w:rsidRPr="00761DF6" w:rsidR="00C91FD0">
        <w:rPr>
          <w:color w:val="FF0000"/>
          <w:szCs w:val="26"/>
        </w:rPr>
        <w:t xml:space="preserve"> </w:t>
      </w:r>
      <w:r w:rsidRPr="00761DF6" w:rsidR="00C91FD0">
        <w:rPr>
          <w:szCs w:val="26"/>
        </w:rPr>
        <w:t>(</w:t>
      </w:r>
      <w:r w:rsidRPr="00761DF6" w:rsidR="00C91FD0">
        <w:rPr>
          <w:i/>
          <w:iCs/>
          <w:szCs w:val="26"/>
        </w:rPr>
        <w:t>Ibid</w:t>
      </w:r>
      <w:r w:rsidRPr="00761DF6" w:rsidR="00D37E38">
        <w:rPr>
          <w:szCs w:val="26"/>
        </w:rPr>
        <w:t>.)</w:t>
      </w:r>
      <w:r w:rsidRPr="00761DF6" w:rsidR="00EB4FC1">
        <w:t xml:space="preserve">  </w:t>
      </w:r>
      <w:r w:rsidRPr="00761DF6" w:rsidR="00F84BE9">
        <w:rPr>
          <w:color w:val="000000"/>
          <w:szCs w:val="26"/>
        </w:rPr>
        <w:t xml:space="preserve"> </w:t>
      </w:r>
    </w:p>
    <w:p w:rsidR="00E7679D" w:rsidP="00761DF6" w14:paraId="275B5315" w14:textId="0E82984E">
      <w:pPr>
        <w:pStyle w:val="Text"/>
        <w:spacing w:line="400" w:lineRule="exact"/>
        <w:ind w:firstLine="0"/>
        <w:rPr>
          <w:color w:val="000000"/>
          <w:szCs w:val="26"/>
          <w:shd w:val="clear" w:color="auto" w:fill="FFFFFF"/>
        </w:rPr>
      </w:pPr>
      <w:r w:rsidRPr="00761DF6">
        <w:rPr>
          <w:color w:val="000000"/>
          <w:szCs w:val="26"/>
          <w:shd w:val="clear" w:color="auto" w:fill="FFFFFF"/>
        </w:rPr>
        <w:tab/>
      </w:r>
      <w:r w:rsidR="00C82A32">
        <w:rPr>
          <w:color w:val="000000"/>
          <w:szCs w:val="26"/>
          <w:shd w:val="clear" w:color="auto" w:fill="FFFFFF"/>
        </w:rPr>
        <w:t>S</w:t>
      </w:r>
      <w:r w:rsidR="00412429">
        <w:rPr>
          <w:color w:val="000000"/>
          <w:szCs w:val="26"/>
          <w:shd w:val="clear" w:color="auto" w:fill="FFFFFF"/>
        </w:rPr>
        <w:t>ection 6602, subdivision (a) provides instructions</w:t>
      </w:r>
      <w:r w:rsidR="000C60FB">
        <w:rPr>
          <w:color w:val="000000"/>
          <w:szCs w:val="26"/>
          <w:shd w:val="clear" w:color="auto" w:fill="FFFFFF"/>
        </w:rPr>
        <w:t> </w:t>
      </w:r>
      <w:r w:rsidR="00364D3D">
        <w:rPr>
          <w:color w:val="000000"/>
          <w:szCs w:val="26"/>
          <w:shd w:val="clear" w:color="auto" w:fill="FFFFFF"/>
        </w:rPr>
        <w:t>—</w:t>
      </w:r>
      <w:r w:rsidR="00DE1E78">
        <w:rPr>
          <w:color w:val="000000"/>
          <w:szCs w:val="26"/>
          <w:shd w:val="clear" w:color="auto" w:fill="FFFFFF"/>
        </w:rPr>
        <w:t xml:space="preserve"> </w:t>
      </w:r>
      <w:r w:rsidR="00C30141">
        <w:rPr>
          <w:color w:val="000000"/>
          <w:szCs w:val="26"/>
          <w:shd w:val="clear" w:color="auto" w:fill="FFFFFF"/>
        </w:rPr>
        <w:t xml:space="preserve">but only </w:t>
      </w:r>
      <w:r w:rsidRPr="00B53F50" w:rsidR="00C30141">
        <w:rPr>
          <w:color w:val="000000"/>
          <w:szCs w:val="26"/>
          <w:shd w:val="clear" w:color="auto" w:fill="FFFFFF"/>
        </w:rPr>
        <w:t>spar</w:t>
      </w:r>
      <w:r w:rsidRPr="00B53F50" w:rsidR="00FD27B7">
        <w:rPr>
          <w:color w:val="000000"/>
          <w:szCs w:val="26"/>
          <w:shd w:val="clear" w:color="auto" w:fill="FFFFFF"/>
        </w:rPr>
        <w:t>e</w:t>
      </w:r>
      <w:r w:rsidR="00FD27B7">
        <w:rPr>
          <w:color w:val="000000"/>
          <w:szCs w:val="26"/>
          <w:shd w:val="clear" w:color="auto" w:fill="FFFFFF"/>
        </w:rPr>
        <w:t xml:space="preserve"> ones</w:t>
      </w:r>
      <w:r w:rsidR="00364D3D">
        <w:rPr>
          <w:color w:val="000000"/>
          <w:szCs w:val="26"/>
          <w:shd w:val="clear" w:color="auto" w:fill="FFFFFF"/>
        </w:rPr>
        <w:t> —</w:t>
      </w:r>
      <w:r w:rsidR="00412429">
        <w:rPr>
          <w:color w:val="000000"/>
          <w:szCs w:val="26"/>
          <w:shd w:val="clear" w:color="auto" w:fill="FFFFFF"/>
        </w:rPr>
        <w:t xml:space="preserve"> </w:t>
      </w:r>
      <w:r w:rsidR="00FD7F8E">
        <w:rPr>
          <w:color w:val="000000"/>
          <w:szCs w:val="26"/>
          <w:shd w:val="clear" w:color="auto" w:fill="FFFFFF"/>
        </w:rPr>
        <w:t xml:space="preserve">for </w:t>
      </w:r>
      <w:r w:rsidR="00FD27B7">
        <w:rPr>
          <w:color w:val="000000"/>
          <w:szCs w:val="26"/>
          <w:shd w:val="clear" w:color="auto" w:fill="FFFFFF"/>
        </w:rPr>
        <w:t>conducting</w:t>
      </w:r>
      <w:r w:rsidR="009745F0">
        <w:rPr>
          <w:color w:val="000000"/>
          <w:szCs w:val="26"/>
          <w:shd w:val="clear" w:color="auto" w:fill="FFFFFF"/>
        </w:rPr>
        <w:t xml:space="preserve"> the </w:t>
      </w:r>
      <w:r w:rsidR="00FD7F8E">
        <w:rPr>
          <w:color w:val="000000"/>
          <w:szCs w:val="26"/>
          <w:shd w:val="clear" w:color="auto" w:fill="FFFFFF"/>
        </w:rPr>
        <w:t xml:space="preserve">probable cause hearing.  It does not delineate </w:t>
      </w:r>
      <w:r w:rsidR="00412429">
        <w:rPr>
          <w:color w:val="000000"/>
          <w:szCs w:val="26"/>
          <w:shd w:val="clear" w:color="auto" w:fill="FFFFFF"/>
        </w:rPr>
        <w:t xml:space="preserve">the </w:t>
      </w:r>
      <w:r w:rsidR="003B3522">
        <w:rPr>
          <w:color w:val="000000"/>
          <w:szCs w:val="26"/>
          <w:shd w:val="clear" w:color="auto" w:fill="FFFFFF"/>
        </w:rPr>
        <w:t>“</w:t>
      </w:r>
      <w:r w:rsidR="00412429">
        <w:rPr>
          <w:color w:val="000000"/>
          <w:szCs w:val="26"/>
          <w:shd w:val="clear" w:color="auto" w:fill="FFFFFF"/>
        </w:rPr>
        <w:t>specific procedural requirements</w:t>
      </w:r>
      <w:r w:rsidR="003B3522">
        <w:rPr>
          <w:color w:val="000000"/>
          <w:szCs w:val="26"/>
          <w:shd w:val="clear" w:color="auto" w:fill="FFFFFF"/>
        </w:rPr>
        <w:t>” governing the presentation and admission of evidence at the probable cause hearing.  (</w:t>
      </w:r>
      <w:r w:rsidRPr="00B76F0F" w:rsidR="00DD2B24">
        <w:rPr>
          <w:i/>
          <w:iCs/>
          <w:color w:val="000000"/>
          <w:szCs w:val="26"/>
          <w:shd w:val="clear" w:color="auto" w:fill="FFFFFF"/>
        </w:rPr>
        <w:t>Cooley</w:t>
      </w:r>
      <w:r w:rsidR="00DD2B24">
        <w:rPr>
          <w:color w:val="000000"/>
          <w:szCs w:val="26"/>
          <w:shd w:val="clear" w:color="auto" w:fill="FFFFFF"/>
        </w:rPr>
        <w:t xml:space="preserve">, </w:t>
      </w:r>
      <w:r w:rsidRPr="00B76F0F" w:rsidR="00DD2B24">
        <w:rPr>
          <w:i/>
          <w:iCs/>
          <w:color w:val="000000"/>
          <w:szCs w:val="26"/>
          <w:shd w:val="clear" w:color="auto" w:fill="FFFFFF"/>
        </w:rPr>
        <w:t>supra</w:t>
      </w:r>
      <w:r w:rsidR="00DD2B24">
        <w:rPr>
          <w:color w:val="000000"/>
          <w:szCs w:val="26"/>
          <w:shd w:val="clear" w:color="auto" w:fill="FFFFFF"/>
        </w:rPr>
        <w:t>, 29 Cal.4th at p. 245, fn. 8.)</w:t>
      </w:r>
      <w:r w:rsidR="00306033">
        <w:rPr>
          <w:color w:val="000000"/>
          <w:szCs w:val="26"/>
          <w:shd w:val="clear" w:color="auto" w:fill="FFFFFF"/>
        </w:rPr>
        <w:t xml:space="preserve">  </w:t>
      </w:r>
      <w:r w:rsidR="001C5F52">
        <w:rPr>
          <w:color w:val="000000"/>
          <w:szCs w:val="26"/>
          <w:shd w:val="clear" w:color="auto" w:fill="FFFFFF"/>
        </w:rPr>
        <w:t xml:space="preserve">Following </w:t>
      </w:r>
      <w:bookmarkStart w:id="15" w:name="_Hlk76116503"/>
      <w:r w:rsidRPr="00E26796" w:rsidR="00167511">
        <w:rPr>
          <w:i/>
          <w:iCs/>
          <w:color w:val="000000"/>
          <w:szCs w:val="26"/>
          <w:shd w:val="clear" w:color="auto" w:fill="FFFFFF"/>
        </w:rPr>
        <w:t xml:space="preserve">In re </w:t>
      </w:r>
      <w:r w:rsidRPr="00761DF6" w:rsidR="004B42F9">
        <w:rPr>
          <w:i/>
          <w:iCs/>
          <w:color w:val="000000"/>
          <w:szCs w:val="26"/>
          <w:shd w:val="clear" w:color="auto" w:fill="FFFFFF"/>
        </w:rPr>
        <w:t>Parker</w:t>
      </w:r>
      <w:r w:rsidRPr="00761DF6" w:rsidR="004B42F9">
        <w:rPr>
          <w:color w:val="000000"/>
          <w:szCs w:val="26"/>
          <w:shd w:val="clear" w:color="auto" w:fill="FFFFFF"/>
        </w:rPr>
        <w:t xml:space="preserve"> (1998) 60 Cal.App.4th 1453 (</w:t>
      </w:r>
      <w:r w:rsidRPr="00761DF6" w:rsidR="004B42F9">
        <w:rPr>
          <w:i/>
          <w:iCs/>
          <w:color w:val="000000"/>
          <w:szCs w:val="26"/>
          <w:shd w:val="clear" w:color="auto" w:fill="FFFFFF"/>
        </w:rPr>
        <w:t>Parker</w:t>
      </w:r>
      <w:r w:rsidRPr="00761DF6" w:rsidR="004B42F9">
        <w:rPr>
          <w:color w:val="000000"/>
          <w:szCs w:val="26"/>
          <w:shd w:val="clear" w:color="auto" w:fill="FFFFFF"/>
        </w:rPr>
        <w:t>)</w:t>
      </w:r>
      <w:bookmarkEnd w:id="15"/>
      <w:r w:rsidR="004B42F9">
        <w:rPr>
          <w:color w:val="000000"/>
          <w:szCs w:val="26"/>
          <w:shd w:val="clear" w:color="auto" w:fill="FFFFFF"/>
        </w:rPr>
        <w:t xml:space="preserve">, </w:t>
      </w:r>
      <w:r w:rsidR="001C5F52">
        <w:rPr>
          <w:color w:val="000000"/>
          <w:szCs w:val="26"/>
          <w:shd w:val="clear" w:color="auto" w:fill="FFFFFF"/>
        </w:rPr>
        <w:t xml:space="preserve">lower courts have generally </w:t>
      </w:r>
      <w:r w:rsidR="004B42F9">
        <w:rPr>
          <w:color w:val="000000"/>
          <w:szCs w:val="26"/>
          <w:shd w:val="clear" w:color="auto" w:fill="FFFFFF"/>
        </w:rPr>
        <w:t xml:space="preserve">construed the subdivision as </w:t>
      </w:r>
      <w:r w:rsidRPr="00C150A2" w:rsidR="00C150A2">
        <w:rPr>
          <w:color w:val="000000"/>
          <w:szCs w:val="26"/>
          <w:shd w:val="clear" w:color="auto" w:fill="FFFFFF"/>
        </w:rPr>
        <w:t>requir</w:t>
      </w:r>
      <w:r w:rsidR="00C150A2">
        <w:rPr>
          <w:color w:val="000000"/>
          <w:szCs w:val="26"/>
          <w:shd w:val="clear" w:color="auto" w:fill="FFFFFF"/>
        </w:rPr>
        <w:t>ing</w:t>
      </w:r>
      <w:r w:rsidRPr="00C150A2" w:rsidR="00C150A2">
        <w:rPr>
          <w:color w:val="000000"/>
          <w:szCs w:val="26"/>
          <w:shd w:val="clear" w:color="auto" w:fill="FFFFFF"/>
        </w:rPr>
        <w:t xml:space="preserve"> “something more than a facial review of the petition”</w:t>
      </w:r>
      <w:r w:rsidR="00C150A2">
        <w:rPr>
          <w:color w:val="000000"/>
          <w:szCs w:val="26"/>
          <w:shd w:val="clear" w:color="auto" w:fill="FFFFFF"/>
        </w:rPr>
        <w:t xml:space="preserve"> (</w:t>
      </w:r>
      <w:r w:rsidR="00D116B4">
        <w:rPr>
          <w:i/>
          <w:iCs/>
          <w:color w:val="000000"/>
          <w:szCs w:val="26"/>
          <w:shd w:val="clear" w:color="auto" w:fill="FFFFFF"/>
        </w:rPr>
        <w:t>Parker</w:t>
      </w:r>
      <w:r w:rsidRPr="00D116B4" w:rsidR="00D116B4">
        <w:rPr>
          <w:color w:val="000000"/>
          <w:szCs w:val="26"/>
          <w:shd w:val="clear" w:color="auto" w:fill="FFFFFF"/>
        </w:rPr>
        <w:t>,</w:t>
      </w:r>
      <w:r w:rsidR="00C150A2">
        <w:rPr>
          <w:color w:val="000000"/>
          <w:szCs w:val="26"/>
          <w:shd w:val="clear" w:color="auto" w:fill="FFFFFF"/>
        </w:rPr>
        <w:t xml:space="preserve"> at p. 1464):  that is, that it </w:t>
      </w:r>
      <w:r w:rsidR="004B42F9">
        <w:rPr>
          <w:color w:val="000000"/>
          <w:szCs w:val="26"/>
          <w:shd w:val="clear" w:color="auto" w:fill="FFFFFF"/>
        </w:rPr>
        <w:t>allow</w:t>
      </w:r>
      <w:r w:rsidR="00C150A2">
        <w:rPr>
          <w:color w:val="000000"/>
          <w:szCs w:val="26"/>
          <w:shd w:val="clear" w:color="auto" w:fill="FFFFFF"/>
        </w:rPr>
        <w:t>s</w:t>
      </w:r>
      <w:r w:rsidR="004B42F9">
        <w:rPr>
          <w:color w:val="000000"/>
          <w:szCs w:val="26"/>
          <w:shd w:val="clear" w:color="auto" w:fill="FFFFFF"/>
        </w:rPr>
        <w:t xml:space="preserve"> for the </w:t>
      </w:r>
      <w:r w:rsidR="00BC4551">
        <w:rPr>
          <w:color w:val="000000"/>
          <w:szCs w:val="26"/>
          <w:shd w:val="clear" w:color="auto" w:fill="FFFFFF"/>
        </w:rPr>
        <w:t>admission of both oral and written evidence</w:t>
      </w:r>
      <w:r w:rsidR="007A1BB6">
        <w:rPr>
          <w:color w:val="000000"/>
          <w:szCs w:val="26"/>
          <w:shd w:val="clear" w:color="auto" w:fill="FFFFFF"/>
        </w:rPr>
        <w:t xml:space="preserve"> </w:t>
      </w:r>
      <w:r w:rsidR="005C3407">
        <w:rPr>
          <w:color w:val="000000"/>
          <w:szCs w:val="26"/>
          <w:shd w:val="clear" w:color="auto" w:fill="FFFFFF"/>
        </w:rPr>
        <w:t>(</w:t>
      </w:r>
      <w:r w:rsidRPr="00C150A2" w:rsidR="00C150A2">
        <w:rPr>
          <w:i/>
          <w:iCs/>
          <w:color w:val="000000"/>
          <w:szCs w:val="26"/>
          <w:shd w:val="clear" w:color="auto" w:fill="FFFFFF"/>
        </w:rPr>
        <w:t>id.</w:t>
      </w:r>
      <w:r w:rsidR="00C150A2">
        <w:rPr>
          <w:color w:val="000000"/>
          <w:szCs w:val="26"/>
          <w:shd w:val="clear" w:color="auto" w:fill="FFFFFF"/>
        </w:rPr>
        <w:t xml:space="preserve"> at p. 1469; see </w:t>
      </w:r>
      <w:bookmarkStart w:id="16" w:name="_Hlk76116551"/>
      <w:r w:rsidRPr="001C58CD" w:rsidR="001C58CD">
        <w:rPr>
          <w:i/>
          <w:iCs/>
          <w:color w:val="000000"/>
          <w:szCs w:val="26"/>
          <w:shd w:val="clear" w:color="auto" w:fill="FFFFFF"/>
        </w:rPr>
        <w:t>People v. Hayes</w:t>
      </w:r>
      <w:r w:rsidR="001C58CD">
        <w:rPr>
          <w:color w:val="000000"/>
          <w:szCs w:val="26"/>
          <w:shd w:val="clear" w:color="auto" w:fill="FFFFFF"/>
        </w:rPr>
        <w:t xml:space="preserve"> (2006)</w:t>
      </w:r>
      <w:r w:rsidRPr="001C58CD" w:rsidR="001C58CD">
        <w:rPr>
          <w:color w:val="000000"/>
          <w:szCs w:val="26"/>
          <w:shd w:val="clear" w:color="auto" w:fill="FFFFFF"/>
        </w:rPr>
        <w:t xml:space="preserve"> 137 Cal.App.4th 34, 43</w:t>
      </w:r>
      <w:r w:rsidR="006E4ED9">
        <w:rPr>
          <w:color w:val="000000"/>
          <w:szCs w:val="26"/>
          <w:shd w:val="clear" w:color="auto" w:fill="FFFFFF"/>
        </w:rPr>
        <w:t xml:space="preserve"> (</w:t>
      </w:r>
      <w:r w:rsidRPr="006E4ED9" w:rsidR="006E4ED9">
        <w:rPr>
          <w:i/>
          <w:iCs/>
          <w:color w:val="000000"/>
          <w:szCs w:val="26"/>
          <w:shd w:val="clear" w:color="auto" w:fill="FFFFFF"/>
        </w:rPr>
        <w:t>Hayes</w:t>
      </w:r>
      <w:r w:rsidR="006E4ED9">
        <w:rPr>
          <w:color w:val="000000"/>
          <w:szCs w:val="26"/>
          <w:shd w:val="clear" w:color="auto" w:fill="FFFFFF"/>
        </w:rPr>
        <w:t>)</w:t>
      </w:r>
      <w:r w:rsidR="005C3407">
        <w:rPr>
          <w:color w:val="000000"/>
          <w:szCs w:val="26"/>
          <w:shd w:val="clear" w:color="auto" w:fill="FFFFFF"/>
        </w:rPr>
        <w:t>)</w:t>
      </w:r>
      <w:bookmarkEnd w:id="16"/>
      <w:r w:rsidR="004B0616">
        <w:rPr>
          <w:color w:val="000000"/>
          <w:szCs w:val="26"/>
          <w:shd w:val="clear" w:color="auto" w:fill="FFFFFF"/>
        </w:rPr>
        <w:t>.</w:t>
      </w:r>
      <w:r w:rsidR="005C3407">
        <w:rPr>
          <w:color w:val="000000"/>
          <w:szCs w:val="26"/>
          <w:shd w:val="clear" w:color="auto" w:fill="FFFFFF"/>
        </w:rPr>
        <w:t xml:space="preserve">  </w:t>
      </w:r>
      <w:r w:rsidR="00002035">
        <w:rPr>
          <w:color w:val="000000"/>
          <w:szCs w:val="26"/>
          <w:shd w:val="clear" w:color="auto" w:fill="FFFFFF"/>
        </w:rPr>
        <w:t>I</w:t>
      </w:r>
      <w:r w:rsidR="007F6FD3">
        <w:rPr>
          <w:color w:val="000000"/>
          <w:szCs w:val="26"/>
          <w:shd w:val="clear" w:color="auto" w:fill="FFFFFF"/>
        </w:rPr>
        <w:t>n a few cases,</w:t>
      </w:r>
      <w:r w:rsidR="00983AA2">
        <w:rPr>
          <w:color w:val="000000"/>
          <w:szCs w:val="26"/>
          <w:shd w:val="clear" w:color="auto" w:fill="FFFFFF"/>
        </w:rPr>
        <w:t xml:space="preserve"> </w:t>
      </w:r>
      <w:r w:rsidR="00002035">
        <w:rPr>
          <w:color w:val="000000"/>
          <w:szCs w:val="26"/>
          <w:shd w:val="clear" w:color="auto" w:fill="FFFFFF"/>
        </w:rPr>
        <w:t xml:space="preserve">we have </w:t>
      </w:r>
      <w:r w:rsidR="00983AA2">
        <w:rPr>
          <w:color w:val="000000"/>
          <w:szCs w:val="26"/>
          <w:shd w:val="clear" w:color="auto" w:fill="FFFFFF"/>
        </w:rPr>
        <w:t xml:space="preserve">briefly </w:t>
      </w:r>
      <w:r w:rsidR="00D6218F">
        <w:rPr>
          <w:color w:val="000000"/>
          <w:szCs w:val="26"/>
          <w:shd w:val="clear" w:color="auto" w:fill="FFFFFF"/>
        </w:rPr>
        <w:t xml:space="preserve">noted </w:t>
      </w:r>
      <w:r w:rsidR="00121867">
        <w:rPr>
          <w:color w:val="000000"/>
          <w:szCs w:val="26"/>
          <w:shd w:val="clear" w:color="auto" w:fill="FFFFFF"/>
        </w:rPr>
        <w:t>the</w:t>
      </w:r>
      <w:r w:rsidR="007F6FD3">
        <w:rPr>
          <w:color w:val="000000"/>
          <w:szCs w:val="26"/>
          <w:shd w:val="clear" w:color="auto" w:fill="FFFFFF"/>
        </w:rPr>
        <w:t xml:space="preserve"> procedural</w:t>
      </w:r>
      <w:r w:rsidR="00121867">
        <w:rPr>
          <w:color w:val="000000"/>
          <w:szCs w:val="26"/>
          <w:shd w:val="clear" w:color="auto" w:fill="FFFFFF"/>
        </w:rPr>
        <w:t xml:space="preserve"> </w:t>
      </w:r>
      <w:r w:rsidR="00D6218F">
        <w:rPr>
          <w:color w:val="000000"/>
          <w:szCs w:val="26"/>
          <w:shd w:val="clear" w:color="auto" w:fill="FFFFFF"/>
        </w:rPr>
        <w:t>r</w:t>
      </w:r>
      <w:r w:rsidR="005434FB">
        <w:rPr>
          <w:color w:val="000000"/>
          <w:szCs w:val="26"/>
          <w:shd w:val="clear" w:color="auto" w:fill="FFFFFF"/>
        </w:rPr>
        <w:t>equirements</w:t>
      </w:r>
      <w:r w:rsidR="007F6FD3">
        <w:rPr>
          <w:color w:val="000000"/>
          <w:szCs w:val="26"/>
          <w:shd w:val="clear" w:color="auto" w:fill="FFFFFF"/>
        </w:rPr>
        <w:t xml:space="preserve"> that </w:t>
      </w:r>
      <w:r w:rsidRPr="007F6FD3" w:rsidR="007F6FD3">
        <w:rPr>
          <w:i/>
          <w:iCs/>
          <w:color w:val="000000"/>
          <w:szCs w:val="26"/>
          <w:shd w:val="clear" w:color="auto" w:fill="FFFFFF"/>
        </w:rPr>
        <w:t>Parker</w:t>
      </w:r>
      <w:r w:rsidR="007F6FD3">
        <w:rPr>
          <w:color w:val="000000"/>
          <w:szCs w:val="26"/>
          <w:shd w:val="clear" w:color="auto" w:fill="FFFFFF"/>
        </w:rPr>
        <w:t xml:space="preserve"> developed</w:t>
      </w:r>
      <w:r w:rsidR="00983AA2">
        <w:rPr>
          <w:color w:val="000000"/>
          <w:szCs w:val="26"/>
          <w:shd w:val="clear" w:color="auto" w:fill="FFFFFF"/>
        </w:rPr>
        <w:t>,</w:t>
      </w:r>
      <w:r w:rsidR="00D6218F">
        <w:rPr>
          <w:color w:val="000000"/>
          <w:szCs w:val="26"/>
          <w:shd w:val="clear" w:color="auto" w:fill="FFFFFF"/>
        </w:rPr>
        <w:t xml:space="preserve"> </w:t>
      </w:r>
      <w:r w:rsidR="00A6161C">
        <w:rPr>
          <w:color w:val="000000"/>
          <w:szCs w:val="26"/>
          <w:shd w:val="clear" w:color="auto" w:fill="FFFFFF"/>
        </w:rPr>
        <w:t xml:space="preserve">without resolving </w:t>
      </w:r>
      <w:r w:rsidR="00081244">
        <w:rPr>
          <w:color w:val="000000"/>
          <w:szCs w:val="26"/>
          <w:shd w:val="clear" w:color="auto" w:fill="FFFFFF"/>
        </w:rPr>
        <w:t xml:space="preserve">whether </w:t>
      </w:r>
      <w:r w:rsidR="004C6062">
        <w:rPr>
          <w:color w:val="000000"/>
          <w:szCs w:val="26"/>
          <w:shd w:val="clear" w:color="auto" w:fill="FFFFFF"/>
        </w:rPr>
        <w:t xml:space="preserve">section 6602, subdivision (a) </w:t>
      </w:r>
      <w:r w:rsidR="00D9222C">
        <w:rPr>
          <w:color w:val="000000"/>
          <w:szCs w:val="26"/>
          <w:shd w:val="clear" w:color="auto" w:fill="FFFFFF"/>
        </w:rPr>
        <w:t>mandates</w:t>
      </w:r>
      <w:r w:rsidR="004C6062">
        <w:rPr>
          <w:color w:val="000000"/>
          <w:szCs w:val="26"/>
          <w:shd w:val="clear" w:color="auto" w:fill="FFFFFF"/>
        </w:rPr>
        <w:t xml:space="preserve"> them.  </w:t>
      </w:r>
      <w:r w:rsidR="00121867">
        <w:rPr>
          <w:color w:val="000000"/>
          <w:szCs w:val="26"/>
          <w:shd w:val="clear" w:color="auto" w:fill="FFFFFF"/>
        </w:rPr>
        <w:t>(</w:t>
      </w:r>
      <w:r>
        <w:rPr>
          <w:color w:val="000000"/>
          <w:szCs w:val="26"/>
          <w:shd w:val="clear" w:color="auto" w:fill="FFFFFF"/>
        </w:rPr>
        <w:t>See, e.g</w:t>
      </w:r>
      <w:r w:rsidR="00121867">
        <w:rPr>
          <w:color w:val="000000"/>
          <w:szCs w:val="26"/>
          <w:shd w:val="clear" w:color="auto" w:fill="FFFFFF"/>
        </w:rPr>
        <w:t>.</w:t>
      </w:r>
      <w:r>
        <w:rPr>
          <w:color w:val="000000"/>
          <w:szCs w:val="26"/>
          <w:shd w:val="clear" w:color="auto" w:fill="FFFFFF"/>
        </w:rPr>
        <w:t xml:space="preserve">, </w:t>
      </w:r>
      <w:r w:rsidRPr="002A768A">
        <w:rPr>
          <w:i/>
          <w:iCs/>
          <w:color w:val="000000"/>
          <w:szCs w:val="26"/>
          <w:shd w:val="clear" w:color="auto" w:fill="FFFFFF"/>
        </w:rPr>
        <w:t>Cooley</w:t>
      </w:r>
      <w:r>
        <w:rPr>
          <w:color w:val="000000"/>
          <w:szCs w:val="26"/>
          <w:shd w:val="clear" w:color="auto" w:fill="FFFFFF"/>
        </w:rPr>
        <w:t xml:space="preserve">, at p. 248, fn. 8; </w:t>
      </w:r>
      <w:bookmarkStart w:id="17" w:name="_Hlk76116537"/>
      <w:r w:rsidRPr="00E7679D">
        <w:rPr>
          <w:i/>
          <w:iCs/>
          <w:color w:val="000000"/>
          <w:szCs w:val="26"/>
          <w:shd w:val="clear" w:color="auto" w:fill="FFFFFF"/>
        </w:rPr>
        <w:t>People v. Cheek</w:t>
      </w:r>
      <w:r>
        <w:rPr>
          <w:color w:val="000000"/>
          <w:szCs w:val="26"/>
          <w:shd w:val="clear" w:color="auto" w:fill="FFFFFF"/>
        </w:rPr>
        <w:t xml:space="preserve"> (2001)</w:t>
      </w:r>
      <w:r w:rsidRPr="00E7679D">
        <w:rPr>
          <w:color w:val="000000"/>
          <w:szCs w:val="26"/>
          <w:shd w:val="clear" w:color="auto" w:fill="FFFFFF"/>
        </w:rPr>
        <w:t xml:space="preserve"> 25 Cal.4th 894, 899–900</w:t>
      </w:r>
      <w:r w:rsidR="00D977AF">
        <w:rPr>
          <w:color w:val="000000"/>
          <w:szCs w:val="26"/>
          <w:shd w:val="clear" w:color="auto" w:fill="FFFFFF"/>
        </w:rPr>
        <w:t xml:space="preserve"> (</w:t>
      </w:r>
      <w:r w:rsidRPr="00D977AF" w:rsidR="00D977AF">
        <w:rPr>
          <w:i/>
          <w:iCs/>
          <w:color w:val="000000"/>
          <w:szCs w:val="26"/>
          <w:shd w:val="clear" w:color="auto" w:fill="FFFFFF"/>
        </w:rPr>
        <w:t>Cheek</w:t>
      </w:r>
      <w:r w:rsidR="00D977AF">
        <w:rPr>
          <w:color w:val="000000"/>
          <w:szCs w:val="26"/>
          <w:shd w:val="clear" w:color="auto" w:fill="FFFFFF"/>
        </w:rPr>
        <w:t>)</w:t>
      </w:r>
      <w:r>
        <w:rPr>
          <w:color w:val="000000"/>
          <w:szCs w:val="26"/>
          <w:shd w:val="clear" w:color="auto" w:fill="FFFFFF"/>
        </w:rPr>
        <w:t>.)</w:t>
      </w:r>
      <w:bookmarkEnd w:id="17"/>
    </w:p>
    <w:p w:rsidR="00C90F04" w:rsidP="00761DF6" w14:paraId="639CC1F4" w14:textId="1B8B855D">
      <w:pPr>
        <w:pStyle w:val="Text"/>
        <w:spacing w:line="400" w:lineRule="exact"/>
        <w:ind w:firstLine="0"/>
        <w:rPr>
          <w:color w:val="000000"/>
          <w:szCs w:val="26"/>
          <w:shd w:val="clear" w:color="auto" w:fill="FFFFFF"/>
        </w:rPr>
      </w:pPr>
      <w:r>
        <w:rPr>
          <w:color w:val="000000"/>
          <w:szCs w:val="26"/>
          <w:shd w:val="clear" w:color="auto" w:fill="FFFFFF"/>
        </w:rPr>
        <w:tab/>
      </w:r>
      <w:r w:rsidR="000417F3">
        <w:rPr>
          <w:color w:val="000000"/>
          <w:szCs w:val="26"/>
          <w:shd w:val="clear" w:color="auto" w:fill="FFFFFF"/>
        </w:rPr>
        <w:t>T</w:t>
      </w:r>
      <w:r w:rsidRPr="00761DF6" w:rsidR="001C0363">
        <w:rPr>
          <w:color w:val="000000"/>
          <w:szCs w:val="26"/>
          <w:shd w:val="clear" w:color="auto" w:fill="FFFFFF"/>
        </w:rPr>
        <w:t xml:space="preserve">he </w:t>
      </w:r>
      <w:r w:rsidR="00B062ED">
        <w:rPr>
          <w:color w:val="000000"/>
          <w:szCs w:val="26"/>
          <w:shd w:val="clear" w:color="auto" w:fill="FFFFFF"/>
        </w:rPr>
        <w:t>parties must comply</w:t>
      </w:r>
      <w:r w:rsidRPr="00761DF6" w:rsidR="009011FE">
        <w:rPr>
          <w:color w:val="000000"/>
          <w:szCs w:val="26"/>
          <w:shd w:val="clear" w:color="auto" w:fill="FFFFFF"/>
        </w:rPr>
        <w:t xml:space="preserve"> </w:t>
      </w:r>
      <w:r w:rsidRPr="00761DF6" w:rsidR="008115C8">
        <w:rPr>
          <w:color w:val="000000"/>
          <w:szCs w:val="26"/>
          <w:shd w:val="clear" w:color="auto" w:fill="FFFFFF"/>
        </w:rPr>
        <w:t>with the rules of evidence</w:t>
      </w:r>
      <w:r w:rsidR="00B062ED">
        <w:rPr>
          <w:color w:val="000000"/>
          <w:szCs w:val="26"/>
          <w:shd w:val="clear" w:color="auto" w:fill="FFFFFF"/>
        </w:rPr>
        <w:t xml:space="preserve">.  </w:t>
      </w:r>
      <w:r w:rsidRPr="00761DF6" w:rsidR="00C57A2C">
        <w:rPr>
          <w:color w:val="000000"/>
          <w:szCs w:val="26"/>
          <w:shd w:val="clear" w:color="auto" w:fill="FFFFFF"/>
        </w:rPr>
        <w:t>(</w:t>
      </w:r>
      <w:r w:rsidRPr="00761DF6" w:rsidR="00CF51F4">
        <w:rPr>
          <w:color w:val="000000"/>
          <w:szCs w:val="26"/>
          <w:shd w:val="clear" w:color="auto" w:fill="FFFFFF"/>
        </w:rPr>
        <w:t>Evid. Code, § 300 [“Except as otherwise provided by statute,” the Evid</w:t>
      </w:r>
      <w:r w:rsidR="00B53F50">
        <w:rPr>
          <w:color w:val="000000"/>
          <w:szCs w:val="26"/>
          <w:shd w:val="clear" w:color="auto" w:fill="FFFFFF"/>
        </w:rPr>
        <w:t>.</w:t>
      </w:r>
      <w:r w:rsidRPr="00761DF6" w:rsidR="00CF51F4">
        <w:rPr>
          <w:color w:val="000000"/>
          <w:szCs w:val="26"/>
          <w:shd w:val="clear" w:color="auto" w:fill="FFFFFF"/>
        </w:rPr>
        <w:t xml:space="preserve"> Code applies in all actions other than those before a grand jury]; </w:t>
      </w:r>
      <w:bookmarkStart w:id="18" w:name="_Hlk76116919"/>
      <w:r w:rsidRPr="00761DF6" w:rsidR="00CF51F4">
        <w:rPr>
          <w:i/>
          <w:iCs/>
          <w:color w:val="000000"/>
          <w:szCs w:val="26"/>
          <w:shd w:val="clear" w:color="auto" w:fill="FFFFFF"/>
        </w:rPr>
        <w:t>In re Kirk</w:t>
      </w:r>
      <w:r w:rsidRPr="00761DF6" w:rsidR="00CF51F4">
        <w:rPr>
          <w:color w:val="000000"/>
          <w:szCs w:val="26"/>
          <w:shd w:val="clear" w:color="auto" w:fill="FFFFFF"/>
        </w:rPr>
        <w:t xml:space="preserve"> (1999) 74 Cal.App.4th 1066, 1071–1073</w:t>
      </w:r>
      <w:r w:rsidRPr="00761DF6" w:rsidR="002C6A66">
        <w:rPr>
          <w:color w:val="000000"/>
          <w:szCs w:val="26"/>
          <w:shd w:val="clear" w:color="auto" w:fill="FFFFFF"/>
        </w:rPr>
        <w:t xml:space="preserve"> (</w:t>
      </w:r>
      <w:r w:rsidRPr="00761DF6" w:rsidR="002C6A66">
        <w:rPr>
          <w:i/>
          <w:iCs/>
          <w:color w:val="000000"/>
          <w:szCs w:val="26"/>
          <w:shd w:val="clear" w:color="auto" w:fill="FFFFFF"/>
        </w:rPr>
        <w:t>Kirk</w:t>
      </w:r>
      <w:r w:rsidRPr="00761DF6" w:rsidR="002C6A66">
        <w:rPr>
          <w:color w:val="000000"/>
          <w:szCs w:val="26"/>
          <w:shd w:val="clear" w:color="auto" w:fill="FFFFFF"/>
        </w:rPr>
        <w:t>)</w:t>
      </w:r>
      <w:r w:rsidR="00B062ED">
        <w:rPr>
          <w:color w:val="000000"/>
          <w:szCs w:val="26"/>
          <w:shd w:val="clear" w:color="auto" w:fill="FFFFFF"/>
        </w:rPr>
        <w:t>.</w:t>
      </w:r>
      <w:r w:rsidRPr="00761DF6" w:rsidR="00CF51F4">
        <w:rPr>
          <w:color w:val="000000"/>
          <w:szCs w:val="26"/>
          <w:shd w:val="clear" w:color="auto" w:fill="FFFFFF"/>
        </w:rPr>
        <w:t>)</w:t>
      </w:r>
      <w:bookmarkEnd w:id="18"/>
      <w:r w:rsidRPr="00761DF6" w:rsidR="009D37E9">
        <w:rPr>
          <w:color w:val="000000"/>
          <w:szCs w:val="26"/>
          <w:shd w:val="clear" w:color="auto" w:fill="FFFFFF"/>
        </w:rPr>
        <w:t xml:space="preserve">  </w:t>
      </w:r>
      <w:r w:rsidRPr="00761DF6" w:rsidR="00534402">
        <w:rPr>
          <w:color w:val="000000"/>
          <w:szCs w:val="26"/>
          <w:shd w:val="clear" w:color="auto" w:fill="FFFFFF"/>
        </w:rPr>
        <w:t>That t</w:t>
      </w:r>
      <w:r w:rsidRPr="00761DF6" w:rsidR="000541D2">
        <w:rPr>
          <w:color w:val="000000"/>
          <w:szCs w:val="26"/>
          <w:shd w:val="clear" w:color="auto" w:fill="FFFFFF"/>
        </w:rPr>
        <w:t>he hearsay rule</w:t>
      </w:r>
      <w:r w:rsidRPr="00761DF6" w:rsidR="00215681">
        <w:rPr>
          <w:color w:val="000000"/>
          <w:szCs w:val="26"/>
          <w:shd w:val="clear" w:color="auto" w:fill="FFFFFF"/>
        </w:rPr>
        <w:t xml:space="preserve"> </w:t>
      </w:r>
      <w:r w:rsidRPr="00761DF6" w:rsidR="000541D2">
        <w:rPr>
          <w:color w:val="000000"/>
          <w:szCs w:val="26"/>
          <w:shd w:val="clear" w:color="auto" w:fill="FFFFFF"/>
        </w:rPr>
        <w:t xml:space="preserve">applies </w:t>
      </w:r>
      <w:r w:rsidRPr="00761DF6" w:rsidR="00C02C50">
        <w:rPr>
          <w:color w:val="000000"/>
          <w:szCs w:val="26"/>
          <w:shd w:val="clear" w:color="auto" w:fill="FFFFFF"/>
        </w:rPr>
        <w:t>at SVP</w:t>
      </w:r>
      <w:r w:rsidRPr="00761DF6" w:rsidR="0008142C">
        <w:rPr>
          <w:color w:val="000000"/>
          <w:szCs w:val="26"/>
          <w:shd w:val="clear" w:color="auto" w:fill="FFFFFF"/>
        </w:rPr>
        <w:t>A</w:t>
      </w:r>
      <w:r w:rsidRPr="00761DF6" w:rsidR="00C02C50">
        <w:rPr>
          <w:color w:val="000000"/>
          <w:szCs w:val="26"/>
          <w:shd w:val="clear" w:color="auto" w:fill="FFFFFF"/>
        </w:rPr>
        <w:t xml:space="preserve"> </w:t>
      </w:r>
      <w:r w:rsidR="00521232">
        <w:rPr>
          <w:color w:val="000000"/>
          <w:szCs w:val="26"/>
          <w:shd w:val="clear" w:color="auto" w:fill="FFFFFF"/>
        </w:rPr>
        <w:t xml:space="preserve">probable cause </w:t>
      </w:r>
      <w:r w:rsidRPr="00761DF6" w:rsidR="00C02C50">
        <w:rPr>
          <w:color w:val="000000"/>
          <w:szCs w:val="26"/>
          <w:shd w:val="clear" w:color="auto" w:fill="FFFFFF"/>
        </w:rPr>
        <w:t>proceedings</w:t>
      </w:r>
      <w:r w:rsidRPr="00761DF6" w:rsidR="00534402">
        <w:rPr>
          <w:color w:val="000000"/>
          <w:szCs w:val="26"/>
          <w:shd w:val="clear" w:color="auto" w:fill="FFFFFF"/>
        </w:rPr>
        <w:t xml:space="preserve"> is </w:t>
      </w:r>
      <w:r w:rsidRPr="00761DF6" w:rsidR="0033271A">
        <w:rPr>
          <w:color w:val="000000"/>
          <w:szCs w:val="26"/>
          <w:shd w:val="clear" w:color="auto" w:fill="FFFFFF"/>
        </w:rPr>
        <w:t>the crux of th</w:t>
      </w:r>
      <w:r w:rsidRPr="00761DF6" w:rsidR="004D5FD7">
        <w:rPr>
          <w:color w:val="000000"/>
          <w:szCs w:val="26"/>
          <w:shd w:val="clear" w:color="auto" w:fill="FFFFFF"/>
        </w:rPr>
        <w:t xml:space="preserve">e issue we resolve in this </w:t>
      </w:r>
      <w:r w:rsidRPr="00761DF6" w:rsidR="0033271A">
        <w:rPr>
          <w:color w:val="000000"/>
          <w:szCs w:val="26"/>
          <w:shd w:val="clear" w:color="auto" w:fill="FFFFFF"/>
        </w:rPr>
        <w:t>case</w:t>
      </w:r>
      <w:r w:rsidRPr="00761DF6" w:rsidR="000541D2">
        <w:rPr>
          <w:color w:val="000000"/>
          <w:szCs w:val="26"/>
          <w:shd w:val="clear" w:color="auto" w:fill="FFFFFF"/>
        </w:rPr>
        <w:t>.</w:t>
      </w:r>
      <w:r w:rsidRPr="00761DF6" w:rsidR="00A506D7">
        <w:rPr>
          <w:color w:val="000000"/>
          <w:szCs w:val="26"/>
          <w:shd w:val="clear" w:color="auto" w:fill="FFFFFF"/>
        </w:rPr>
        <w:t xml:space="preserve">  </w:t>
      </w:r>
    </w:p>
    <w:p w:rsidR="00D168C3" w:rsidRPr="00761DF6" w:rsidP="00761DF6" w14:paraId="2442BDB9" w14:textId="31E02A84">
      <w:pPr>
        <w:pStyle w:val="Text"/>
        <w:spacing w:line="400" w:lineRule="exact"/>
        <w:ind w:firstLine="0"/>
        <w:rPr>
          <w:szCs w:val="26"/>
        </w:rPr>
      </w:pPr>
      <w:r w:rsidRPr="00761DF6">
        <w:rPr>
          <w:szCs w:val="26"/>
        </w:rPr>
        <w:t xml:space="preserve"> </w:t>
      </w:r>
      <w:r w:rsidR="00B56D2E">
        <w:rPr>
          <w:szCs w:val="26"/>
        </w:rPr>
        <w:tab/>
      </w:r>
      <w:r w:rsidR="001C53F7">
        <w:rPr>
          <w:szCs w:val="26"/>
        </w:rPr>
        <w:t xml:space="preserve">A core premise of evidence law is that not all statements are created equal.  The hearsay label applies to an </w:t>
      </w:r>
      <w:r w:rsidRPr="00761DF6">
        <w:rPr>
          <w:szCs w:val="26"/>
        </w:rPr>
        <w:t xml:space="preserve">out-of-court statement offered to prove </w:t>
      </w:r>
      <w:r w:rsidR="003504C3">
        <w:rPr>
          <w:szCs w:val="26"/>
        </w:rPr>
        <w:t>that its assertion is</w:t>
      </w:r>
      <w:r w:rsidRPr="00761DF6" w:rsidR="003504C3">
        <w:rPr>
          <w:szCs w:val="26"/>
        </w:rPr>
        <w:t xml:space="preserve"> </w:t>
      </w:r>
      <w:r w:rsidR="003504C3">
        <w:rPr>
          <w:szCs w:val="26"/>
        </w:rPr>
        <w:t>true</w:t>
      </w:r>
      <w:r w:rsidR="0045245B">
        <w:rPr>
          <w:szCs w:val="26"/>
        </w:rPr>
        <w:t xml:space="preserve">.  </w:t>
      </w:r>
      <w:r w:rsidRPr="00761DF6" w:rsidR="006C2F0B">
        <w:rPr>
          <w:szCs w:val="26"/>
        </w:rPr>
        <w:t xml:space="preserve">(Evid. Code, § 1200, subd. (a).)  </w:t>
      </w:r>
      <w:r w:rsidR="0045245B">
        <w:rPr>
          <w:szCs w:val="26"/>
        </w:rPr>
        <w:t xml:space="preserve">A familiar feature of </w:t>
      </w:r>
      <w:r w:rsidR="00820E6C">
        <w:rPr>
          <w:szCs w:val="26"/>
        </w:rPr>
        <w:t>the law of evidence, i</w:t>
      </w:r>
      <w:r w:rsidR="009C4672">
        <w:rPr>
          <w:szCs w:val="26"/>
        </w:rPr>
        <w:t>n California</w:t>
      </w:r>
      <w:r w:rsidR="00A57383">
        <w:rPr>
          <w:szCs w:val="26"/>
        </w:rPr>
        <w:t xml:space="preserve"> and beyond its borders</w:t>
      </w:r>
      <w:r w:rsidR="009C4672">
        <w:rPr>
          <w:szCs w:val="26"/>
        </w:rPr>
        <w:t xml:space="preserve">, is that hearsay </w:t>
      </w:r>
      <w:r w:rsidRPr="00761DF6">
        <w:rPr>
          <w:szCs w:val="26"/>
        </w:rPr>
        <w:t>is generally inadmissible unless it falls under a</w:t>
      </w:r>
      <w:r w:rsidR="002A4D0A">
        <w:rPr>
          <w:szCs w:val="26"/>
        </w:rPr>
        <w:t xml:space="preserve"> specific</w:t>
      </w:r>
      <w:r w:rsidRPr="00761DF6">
        <w:rPr>
          <w:szCs w:val="26"/>
        </w:rPr>
        <w:t xml:space="preserve"> exception</w:t>
      </w:r>
      <w:r w:rsidR="00455FC8">
        <w:rPr>
          <w:szCs w:val="26"/>
        </w:rPr>
        <w:t xml:space="preserve"> that justifies its admission</w:t>
      </w:r>
      <w:r w:rsidRPr="00761DF6">
        <w:rPr>
          <w:szCs w:val="26"/>
        </w:rPr>
        <w:t>.  (</w:t>
      </w:r>
      <w:r w:rsidRPr="006C2F0B" w:rsidR="006C2F0B">
        <w:rPr>
          <w:i/>
          <w:iCs/>
          <w:szCs w:val="26"/>
        </w:rPr>
        <w:t>Id.</w:t>
      </w:r>
      <w:r w:rsidR="006C2F0B">
        <w:rPr>
          <w:szCs w:val="26"/>
        </w:rPr>
        <w:t xml:space="preserve">, </w:t>
      </w:r>
      <w:r w:rsidRPr="00761DF6">
        <w:rPr>
          <w:szCs w:val="26"/>
        </w:rPr>
        <w:t>subd. (b).)</w:t>
      </w:r>
      <w:r w:rsidRPr="00761DF6" w:rsidR="00E27967">
        <w:rPr>
          <w:szCs w:val="26"/>
        </w:rPr>
        <w:t xml:space="preserve">  </w:t>
      </w:r>
      <w:r w:rsidRPr="00761DF6" w:rsidR="00B37ED1">
        <w:rPr>
          <w:szCs w:val="26"/>
        </w:rPr>
        <w:t xml:space="preserve">Documents like </w:t>
      </w:r>
      <w:r w:rsidRPr="00761DF6" w:rsidR="009547A2">
        <w:rPr>
          <w:szCs w:val="26"/>
        </w:rPr>
        <w:t>reports and records</w:t>
      </w:r>
      <w:r w:rsidRPr="00761DF6" w:rsidR="00B37ED1">
        <w:rPr>
          <w:szCs w:val="26"/>
        </w:rPr>
        <w:t xml:space="preserve"> are generally hearsay if they are offered for </w:t>
      </w:r>
      <w:r w:rsidRPr="00761DF6" w:rsidR="00861683">
        <w:rPr>
          <w:szCs w:val="26"/>
        </w:rPr>
        <w:t>their truth</w:t>
      </w:r>
      <w:r w:rsidRPr="00761DF6" w:rsidR="00B37ED1">
        <w:rPr>
          <w:szCs w:val="26"/>
        </w:rPr>
        <w:t xml:space="preserve">, and </w:t>
      </w:r>
      <w:r w:rsidR="00C142BB">
        <w:rPr>
          <w:szCs w:val="26"/>
        </w:rPr>
        <w:t>indeed, may contain further instances of hearsay</w:t>
      </w:r>
      <w:r w:rsidRPr="00761DF6" w:rsidR="00425030">
        <w:rPr>
          <w:szCs w:val="26"/>
        </w:rPr>
        <w:t>, each of which is inadmissible unless also covered by an exception.</w:t>
      </w:r>
      <w:r w:rsidRPr="00761DF6" w:rsidR="00D17352">
        <w:rPr>
          <w:szCs w:val="26"/>
        </w:rPr>
        <w:t xml:space="preserve">  (</w:t>
      </w:r>
      <w:r w:rsidRPr="00761DF6" w:rsidR="009C1807">
        <w:rPr>
          <w:i/>
          <w:iCs/>
          <w:szCs w:val="26"/>
        </w:rPr>
        <w:t>Sanchez</w:t>
      </w:r>
      <w:r w:rsidRPr="00761DF6" w:rsidR="009C1807">
        <w:rPr>
          <w:szCs w:val="26"/>
        </w:rPr>
        <w:t xml:space="preserve">, </w:t>
      </w:r>
      <w:r w:rsidRPr="00761DF6" w:rsidR="009C1807">
        <w:rPr>
          <w:i/>
          <w:iCs/>
          <w:szCs w:val="26"/>
        </w:rPr>
        <w:t>supra</w:t>
      </w:r>
      <w:r w:rsidRPr="00761DF6" w:rsidR="009C1807">
        <w:rPr>
          <w:szCs w:val="26"/>
        </w:rPr>
        <w:t>, 63 Cal.4th at pp. 674–675</w:t>
      </w:r>
      <w:r w:rsidRPr="00761DF6" w:rsidR="005513C7">
        <w:rPr>
          <w:szCs w:val="26"/>
        </w:rPr>
        <w:t>; see also Evid. Code, § 1201.</w:t>
      </w:r>
      <w:r w:rsidRPr="00761DF6" w:rsidR="009C1807">
        <w:rPr>
          <w:szCs w:val="26"/>
        </w:rPr>
        <w:t>)</w:t>
      </w:r>
    </w:p>
    <w:p w:rsidR="0044157E" w:rsidP="00761DF6" w14:paraId="08892C09" w14:textId="58D985ED">
      <w:pPr>
        <w:pStyle w:val="Text"/>
        <w:spacing w:line="400" w:lineRule="exact"/>
        <w:ind w:firstLine="0"/>
        <w:rPr>
          <w:szCs w:val="26"/>
        </w:rPr>
      </w:pPr>
      <w:r>
        <w:rPr>
          <w:szCs w:val="26"/>
        </w:rPr>
        <w:tab/>
        <w:t xml:space="preserve">No one disputes </w:t>
      </w:r>
      <w:r w:rsidRPr="00761DF6">
        <w:rPr>
          <w:szCs w:val="26"/>
        </w:rPr>
        <w:t xml:space="preserve">that the evaluation reports at issue here are hearsay </w:t>
      </w:r>
      <w:r>
        <w:rPr>
          <w:szCs w:val="26"/>
        </w:rPr>
        <w:t xml:space="preserve">and </w:t>
      </w:r>
      <w:r w:rsidRPr="00761DF6">
        <w:rPr>
          <w:szCs w:val="26"/>
        </w:rPr>
        <w:t>contain hearsay.</w:t>
      </w:r>
      <w:r w:rsidRPr="00761DF6" w:rsidR="001F4A93">
        <w:rPr>
          <w:szCs w:val="26"/>
        </w:rPr>
        <w:t xml:space="preserve"> </w:t>
      </w:r>
      <w:r>
        <w:rPr>
          <w:szCs w:val="26"/>
        </w:rPr>
        <w:t xml:space="preserve"> </w:t>
      </w:r>
      <w:r w:rsidRPr="00761DF6" w:rsidR="009B13A7">
        <w:rPr>
          <w:szCs w:val="26"/>
        </w:rPr>
        <w:t xml:space="preserve">As with many </w:t>
      </w:r>
      <w:r w:rsidRPr="00761DF6" w:rsidR="001F4A93">
        <w:rPr>
          <w:szCs w:val="26"/>
        </w:rPr>
        <w:t>SVP</w:t>
      </w:r>
      <w:r w:rsidRPr="00761DF6" w:rsidR="00820F54">
        <w:rPr>
          <w:szCs w:val="26"/>
        </w:rPr>
        <w:t>A</w:t>
      </w:r>
      <w:r w:rsidRPr="00761DF6" w:rsidR="001F4A93">
        <w:rPr>
          <w:szCs w:val="26"/>
        </w:rPr>
        <w:t xml:space="preserve"> evaluation</w:t>
      </w:r>
      <w:r w:rsidRPr="00761DF6" w:rsidR="009B13A7">
        <w:rPr>
          <w:szCs w:val="26"/>
        </w:rPr>
        <w:t xml:space="preserve"> reports, </w:t>
      </w:r>
      <w:r w:rsidR="00045F84">
        <w:rPr>
          <w:szCs w:val="26"/>
        </w:rPr>
        <w:t xml:space="preserve">and as the People concede, </w:t>
      </w:r>
      <w:r w:rsidRPr="00761DF6" w:rsidR="00A67B89">
        <w:rPr>
          <w:szCs w:val="26"/>
        </w:rPr>
        <w:t>the MacSpeiden and Karlsson</w:t>
      </w:r>
      <w:r w:rsidRPr="00761DF6" w:rsidR="009B13A7">
        <w:rPr>
          <w:szCs w:val="26"/>
        </w:rPr>
        <w:t xml:space="preserve"> reports</w:t>
      </w:r>
      <w:r w:rsidRPr="00761DF6" w:rsidR="00FA19CE">
        <w:rPr>
          <w:szCs w:val="26"/>
        </w:rPr>
        <w:t xml:space="preserve"> were offered for their truth</w:t>
      </w:r>
      <w:r w:rsidR="00620C0A">
        <w:rPr>
          <w:szCs w:val="26"/>
        </w:rPr>
        <w:t>.  T</w:t>
      </w:r>
      <w:r w:rsidR="00754235">
        <w:rPr>
          <w:szCs w:val="26"/>
        </w:rPr>
        <w:t>he</w:t>
      </w:r>
      <w:r w:rsidR="00F37D50">
        <w:rPr>
          <w:szCs w:val="26"/>
        </w:rPr>
        <w:t xml:space="preserve"> </w:t>
      </w:r>
      <w:r w:rsidR="00DB0D5B">
        <w:rPr>
          <w:szCs w:val="26"/>
        </w:rPr>
        <w:t xml:space="preserve">People </w:t>
      </w:r>
      <w:r w:rsidR="00F37D50">
        <w:rPr>
          <w:szCs w:val="26"/>
        </w:rPr>
        <w:t>sought their admission as competent evidence of the experts’ opinions</w:t>
      </w:r>
      <w:r w:rsidR="00045F84">
        <w:rPr>
          <w:szCs w:val="26"/>
        </w:rPr>
        <w:t xml:space="preserve"> and the facts </w:t>
      </w:r>
      <w:r w:rsidR="00620C0A">
        <w:rPr>
          <w:szCs w:val="26"/>
        </w:rPr>
        <w:t>on</w:t>
      </w:r>
      <w:r w:rsidR="00045F84">
        <w:rPr>
          <w:szCs w:val="26"/>
        </w:rPr>
        <w:t xml:space="preserve"> which they relied</w:t>
      </w:r>
      <w:r w:rsidR="002D7257">
        <w:rPr>
          <w:szCs w:val="26"/>
        </w:rPr>
        <w:t>.</w:t>
      </w:r>
      <w:r w:rsidR="00754235">
        <w:rPr>
          <w:szCs w:val="26"/>
        </w:rPr>
        <w:t xml:space="preserve"> </w:t>
      </w:r>
      <w:r w:rsidR="003A57D3">
        <w:rPr>
          <w:szCs w:val="26"/>
        </w:rPr>
        <w:t xml:space="preserve"> </w:t>
      </w:r>
      <w:r w:rsidR="004C34F5">
        <w:rPr>
          <w:szCs w:val="26"/>
        </w:rPr>
        <w:t>(</w:t>
      </w:r>
      <w:r w:rsidRPr="00761DF6" w:rsidR="004C34F5">
        <w:rPr>
          <w:szCs w:val="26"/>
        </w:rPr>
        <w:t xml:space="preserve">See </w:t>
      </w:r>
      <w:r w:rsidRPr="00761DF6" w:rsidR="004C34F5">
        <w:rPr>
          <w:i/>
          <w:iCs/>
          <w:szCs w:val="26"/>
        </w:rPr>
        <w:t>Couthren</w:t>
      </w:r>
      <w:r w:rsidRPr="00761DF6" w:rsidR="004C34F5">
        <w:rPr>
          <w:szCs w:val="26"/>
        </w:rPr>
        <w:t xml:space="preserve">, </w:t>
      </w:r>
      <w:r w:rsidRPr="00761DF6" w:rsidR="004C34F5">
        <w:rPr>
          <w:i/>
          <w:iCs/>
          <w:szCs w:val="26"/>
        </w:rPr>
        <w:t>supra</w:t>
      </w:r>
      <w:r w:rsidRPr="00761DF6" w:rsidR="004C34F5">
        <w:rPr>
          <w:szCs w:val="26"/>
        </w:rPr>
        <w:t xml:space="preserve">, 41 Cal.App.5th at p. 1010.) </w:t>
      </w:r>
      <w:r w:rsidR="004C34F5">
        <w:rPr>
          <w:szCs w:val="26"/>
        </w:rPr>
        <w:t xml:space="preserve"> </w:t>
      </w:r>
      <w:r w:rsidR="00754235">
        <w:rPr>
          <w:szCs w:val="26"/>
        </w:rPr>
        <w:t>T</w:t>
      </w:r>
      <w:r w:rsidRPr="00761DF6" w:rsidR="00657E9F">
        <w:rPr>
          <w:szCs w:val="26"/>
        </w:rPr>
        <w:t>he</w:t>
      </w:r>
      <w:r w:rsidR="004F77B6">
        <w:rPr>
          <w:szCs w:val="26"/>
        </w:rPr>
        <w:t xml:space="preserve"> experts</w:t>
      </w:r>
      <w:r w:rsidRPr="00761DF6" w:rsidR="00FA19CE">
        <w:rPr>
          <w:szCs w:val="26"/>
        </w:rPr>
        <w:t xml:space="preserve"> </w:t>
      </w:r>
      <w:r w:rsidRPr="00761DF6" w:rsidR="0026675F">
        <w:rPr>
          <w:szCs w:val="26"/>
        </w:rPr>
        <w:t xml:space="preserve">expressly </w:t>
      </w:r>
      <w:r w:rsidRPr="00761DF6" w:rsidR="009547A2">
        <w:rPr>
          <w:szCs w:val="26"/>
        </w:rPr>
        <w:t xml:space="preserve">drew upon </w:t>
      </w:r>
      <w:r w:rsidRPr="00761DF6" w:rsidR="0026675F">
        <w:rPr>
          <w:szCs w:val="26"/>
        </w:rPr>
        <w:t xml:space="preserve">secondary </w:t>
      </w:r>
      <w:r w:rsidRPr="00761DF6" w:rsidR="009547A2">
        <w:rPr>
          <w:szCs w:val="26"/>
        </w:rPr>
        <w:t>sources</w:t>
      </w:r>
      <w:r w:rsidR="00D445DB">
        <w:rPr>
          <w:szCs w:val="26"/>
        </w:rPr>
        <w:t> </w:t>
      </w:r>
      <w:r w:rsidRPr="00761DF6" w:rsidR="009547A2">
        <w:rPr>
          <w:szCs w:val="26"/>
        </w:rPr>
        <w:t>—</w:t>
      </w:r>
      <w:r w:rsidR="00DE1E78">
        <w:rPr>
          <w:szCs w:val="26"/>
        </w:rPr>
        <w:t xml:space="preserve"> </w:t>
      </w:r>
      <w:r w:rsidRPr="00761DF6" w:rsidR="007A1140">
        <w:rPr>
          <w:szCs w:val="26"/>
        </w:rPr>
        <w:t>most relevantly,</w:t>
      </w:r>
      <w:r w:rsidRPr="00761DF6" w:rsidR="009547A2">
        <w:rPr>
          <w:szCs w:val="26"/>
        </w:rPr>
        <w:t xml:space="preserve"> a probation report and police affidavit</w:t>
      </w:r>
      <w:r w:rsidR="00D445DB">
        <w:rPr>
          <w:szCs w:val="26"/>
        </w:rPr>
        <w:t> </w:t>
      </w:r>
      <w:r w:rsidRPr="00761DF6" w:rsidR="009547A2">
        <w:rPr>
          <w:szCs w:val="26"/>
        </w:rPr>
        <w:t>—</w:t>
      </w:r>
      <w:r w:rsidR="00DE1E78">
        <w:rPr>
          <w:szCs w:val="26"/>
        </w:rPr>
        <w:t xml:space="preserve"> </w:t>
      </w:r>
      <w:r w:rsidRPr="00761DF6" w:rsidR="00657E9F">
        <w:rPr>
          <w:szCs w:val="26"/>
        </w:rPr>
        <w:t xml:space="preserve">for their contents, including </w:t>
      </w:r>
      <w:r w:rsidR="00045F84">
        <w:rPr>
          <w:szCs w:val="26"/>
        </w:rPr>
        <w:t xml:space="preserve">the truth of </w:t>
      </w:r>
      <w:r w:rsidRPr="00761DF6" w:rsidR="006A4734">
        <w:rPr>
          <w:szCs w:val="26"/>
        </w:rPr>
        <w:t>out-of-court statements</w:t>
      </w:r>
      <w:r w:rsidRPr="00761DF6" w:rsidR="0026675F">
        <w:rPr>
          <w:szCs w:val="26"/>
        </w:rPr>
        <w:t xml:space="preserve"> like victim statements</w:t>
      </w:r>
      <w:r w:rsidR="00EA00C0">
        <w:rPr>
          <w:szCs w:val="26"/>
        </w:rPr>
        <w:t xml:space="preserve">.  </w:t>
      </w:r>
      <w:r w:rsidRPr="00761DF6" w:rsidR="00C06621">
        <w:rPr>
          <w:szCs w:val="26"/>
        </w:rPr>
        <w:t>(</w:t>
      </w:r>
      <w:r w:rsidRPr="00761DF6" w:rsidR="00B35061">
        <w:rPr>
          <w:szCs w:val="26"/>
        </w:rPr>
        <w:t xml:space="preserve">See </w:t>
      </w:r>
      <w:r w:rsidR="004C34F5">
        <w:rPr>
          <w:i/>
          <w:iCs/>
          <w:szCs w:val="26"/>
        </w:rPr>
        <w:t>id.</w:t>
      </w:r>
      <w:r w:rsidRPr="004C34F5" w:rsidR="00B35061">
        <w:rPr>
          <w:szCs w:val="26"/>
        </w:rPr>
        <w:t xml:space="preserve"> </w:t>
      </w:r>
      <w:r w:rsidRPr="00761DF6" w:rsidR="00B35061">
        <w:rPr>
          <w:szCs w:val="26"/>
        </w:rPr>
        <w:t xml:space="preserve">at pp. 1010–1011.)  </w:t>
      </w:r>
      <w:r w:rsidR="00272BDD">
        <w:rPr>
          <w:szCs w:val="26"/>
        </w:rPr>
        <w:t>Each</w:t>
      </w:r>
      <w:r w:rsidRPr="00761DF6" w:rsidR="0026675F">
        <w:rPr>
          <w:szCs w:val="26"/>
        </w:rPr>
        <w:t xml:space="preserve"> level </w:t>
      </w:r>
      <w:r w:rsidRPr="00761DF6" w:rsidR="007947A7">
        <w:rPr>
          <w:szCs w:val="26"/>
        </w:rPr>
        <w:t>of out-of-court statement, from</w:t>
      </w:r>
      <w:r w:rsidRPr="00761DF6" w:rsidR="0026675F">
        <w:rPr>
          <w:szCs w:val="26"/>
        </w:rPr>
        <w:t xml:space="preserve"> the evaluation reports</w:t>
      </w:r>
      <w:r w:rsidRPr="00761DF6" w:rsidR="007947A7">
        <w:rPr>
          <w:szCs w:val="26"/>
        </w:rPr>
        <w:t xml:space="preserve"> to</w:t>
      </w:r>
      <w:r w:rsidRPr="00761DF6" w:rsidR="0026675F">
        <w:rPr>
          <w:szCs w:val="26"/>
        </w:rPr>
        <w:t xml:space="preserve"> the probation and police reports</w:t>
      </w:r>
      <w:r w:rsidRPr="00761DF6" w:rsidR="007947A7">
        <w:rPr>
          <w:szCs w:val="26"/>
        </w:rPr>
        <w:t xml:space="preserve"> to</w:t>
      </w:r>
      <w:r w:rsidRPr="00761DF6" w:rsidR="0026675F">
        <w:rPr>
          <w:szCs w:val="26"/>
        </w:rPr>
        <w:t xml:space="preserve"> the victim statements</w:t>
      </w:r>
      <w:r w:rsidRPr="00761DF6" w:rsidR="007947A7">
        <w:rPr>
          <w:szCs w:val="26"/>
        </w:rPr>
        <w:t>,</w:t>
      </w:r>
      <w:r w:rsidRPr="00761DF6" w:rsidR="0026675F">
        <w:rPr>
          <w:szCs w:val="26"/>
        </w:rPr>
        <w:t xml:space="preserve"> </w:t>
      </w:r>
      <w:r w:rsidR="00D056F6">
        <w:rPr>
          <w:szCs w:val="26"/>
        </w:rPr>
        <w:t xml:space="preserve">ordinarily </w:t>
      </w:r>
      <w:r w:rsidRPr="00761DF6" w:rsidR="0026675F">
        <w:rPr>
          <w:szCs w:val="26"/>
        </w:rPr>
        <w:t>must fall under a hearsay exception to be admitted into evidence.</w:t>
      </w:r>
      <w:r w:rsidRPr="00761DF6" w:rsidR="000F4F91">
        <w:rPr>
          <w:szCs w:val="26"/>
        </w:rPr>
        <w:t xml:space="preserve"> </w:t>
      </w:r>
      <w:r w:rsidRPr="00761DF6" w:rsidR="00B35061">
        <w:rPr>
          <w:szCs w:val="26"/>
        </w:rPr>
        <w:t xml:space="preserve"> (</w:t>
      </w:r>
      <w:r w:rsidRPr="00761DF6" w:rsidR="00B35061">
        <w:rPr>
          <w:i/>
          <w:iCs/>
          <w:szCs w:val="26"/>
        </w:rPr>
        <w:t>Id.</w:t>
      </w:r>
      <w:r w:rsidRPr="00761DF6" w:rsidR="00B35061">
        <w:rPr>
          <w:szCs w:val="26"/>
        </w:rPr>
        <w:t xml:space="preserve"> at p. 1011.)</w:t>
      </w:r>
    </w:p>
    <w:p w:rsidR="00FF4A45" w:rsidRPr="006E4ED9" w:rsidP="00761DF6" w14:paraId="065F6987" w14:textId="1FC57EC6">
      <w:pPr>
        <w:pStyle w:val="Text"/>
        <w:spacing w:line="400" w:lineRule="exact"/>
        <w:ind w:firstLine="0"/>
        <w:rPr>
          <w:szCs w:val="26"/>
        </w:rPr>
      </w:pPr>
      <w:r>
        <w:rPr>
          <w:szCs w:val="26"/>
        </w:rPr>
        <w:tab/>
      </w:r>
      <w:r w:rsidR="0077072B">
        <w:rPr>
          <w:szCs w:val="26"/>
        </w:rPr>
        <w:t xml:space="preserve">Trial courts have conducted many probable cause hearings since </w:t>
      </w:r>
      <w:r w:rsidRPr="00736959" w:rsidR="0077072B">
        <w:rPr>
          <w:i/>
          <w:iCs/>
          <w:szCs w:val="26"/>
        </w:rPr>
        <w:t>Parker</w:t>
      </w:r>
      <w:r w:rsidR="0077072B">
        <w:rPr>
          <w:szCs w:val="26"/>
        </w:rPr>
        <w:t xml:space="preserve"> was decided.  They’ve generally understood </w:t>
      </w:r>
      <w:r w:rsidR="00BA5FE7">
        <w:rPr>
          <w:szCs w:val="26"/>
        </w:rPr>
        <w:t xml:space="preserve">Welfare and Institutions Code </w:t>
      </w:r>
      <w:r w:rsidR="00736959">
        <w:rPr>
          <w:szCs w:val="26"/>
        </w:rPr>
        <w:t xml:space="preserve">section 6602, subdivision (a) as permitting </w:t>
      </w:r>
      <w:r w:rsidR="004463F1">
        <w:rPr>
          <w:szCs w:val="26"/>
        </w:rPr>
        <w:t>the</w:t>
      </w:r>
      <w:r w:rsidR="000F6618">
        <w:rPr>
          <w:szCs w:val="26"/>
        </w:rPr>
        <w:t xml:space="preserve"> state </w:t>
      </w:r>
      <w:r w:rsidR="0037681E">
        <w:rPr>
          <w:szCs w:val="26"/>
        </w:rPr>
        <w:t xml:space="preserve">to </w:t>
      </w:r>
      <w:r w:rsidR="000F6618">
        <w:rPr>
          <w:szCs w:val="26"/>
        </w:rPr>
        <w:t>introduce into evidence</w:t>
      </w:r>
      <w:r w:rsidR="004463F1">
        <w:rPr>
          <w:szCs w:val="26"/>
        </w:rPr>
        <w:t xml:space="preserve"> </w:t>
      </w:r>
      <w:r w:rsidR="000F6618">
        <w:rPr>
          <w:szCs w:val="26"/>
        </w:rPr>
        <w:t>the evaluation reports, despite their hearsay nature</w:t>
      </w:r>
      <w:r w:rsidR="00EF41C7">
        <w:rPr>
          <w:szCs w:val="26"/>
        </w:rPr>
        <w:t>.</w:t>
      </w:r>
      <w:r w:rsidR="002F4552">
        <w:rPr>
          <w:szCs w:val="26"/>
        </w:rPr>
        <w:t xml:space="preserve"> </w:t>
      </w:r>
      <w:r w:rsidR="002C5E2D">
        <w:rPr>
          <w:szCs w:val="26"/>
        </w:rPr>
        <w:t xml:space="preserve"> </w:t>
      </w:r>
      <w:r w:rsidR="00E3155E">
        <w:rPr>
          <w:szCs w:val="26"/>
        </w:rPr>
        <w:t>(</w:t>
      </w:r>
      <w:r w:rsidR="006E4ED9">
        <w:rPr>
          <w:szCs w:val="26"/>
        </w:rPr>
        <w:t xml:space="preserve">See, e.g., </w:t>
      </w:r>
      <w:r w:rsidRPr="006E4ED9" w:rsidR="006E4ED9">
        <w:rPr>
          <w:i/>
          <w:iCs/>
          <w:szCs w:val="26"/>
        </w:rPr>
        <w:t>Parker</w:t>
      </w:r>
      <w:r w:rsidR="006E4ED9">
        <w:rPr>
          <w:szCs w:val="26"/>
        </w:rPr>
        <w:t xml:space="preserve">, </w:t>
      </w:r>
      <w:r w:rsidRPr="006E4ED9" w:rsidR="006E4ED9">
        <w:rPr>
          <w:i/>
          <w:iCs/>
          <w:szCs w:val="26"/>
        </w:rPr>
        <w:t>supra</w:t>
      </w:r>
      <w:r w:rsidR="006E4ED9">
        <w:rPr>
          <w:szCs w:val="26"/>
        </w:rPr>
        <w:t xml:space="preserve">, 60 Cal.App.4th at pp. 1469–1470; </w:t>
      </w:r>
      <w:r w:rsidRPr="006E4ED9" w:rsidR="006E4ED9">
        <w:rPr>
          <w:i/>
          <w:iCs/>
          <w:szCs w:val="26"/>
        </w:rPr>
        <w:t>Hayes</w:t>
      </w:r>
      <w:r w:rsidR="006E4ED9">
        <w:rPr>
          <w:szCs w:val="26"/>
        </w:rPr>
        <w:t xml:space="preserve">, </w:t>
      </w:r>
      <w:r w:rsidRPr="006E4ED9" w:rsidR="006E4ED9">
        <w:rPr>
          <w:i/>
          <w:iCs/>
          <w:szCs w:val="26"/>
        </w:rPr>
        <w:t>supra</w:t>
      </w:r>
      <w:r w:rsidR="006E4ED9">
        <w:rPr>
          <w:szCs w:val="26"/>
        </w:rPr>
        <w:t xml:space="preserve">, </w:t>
      </w:r>
      <w:r w:rsidRPr="001C58CD" w:rsidR="006E4ED9">
        <w:rPr>
          <w:color w:val="000000"/>
          <w:szCs w:val="26"/>
          <w:shd w:val="clear" w:color="auto" w:fill="FFFFFF"/>
        </w:rPr>
        <w:t xml:space="preserve">137 Cal.App.4th </w:t>
      </w:r>
      <w:r w:rsidR="006E4ED9">
        <w:rPr>
          <w:color w:val="000000"/>
          <w:szCs w:val="26"/>
          <w:shd w:val="clear" w:color="auto" w:fill="FFFFFF"/>
        </w:rPr>
        <w:t xml:space="preserve">at p. </w:t>
      </w:r>
      <w:r w:rsidRPr="001C58CD" w:rsidR="006E4ED9">
        <w:rPr>
          <w:color w:val="000000"/>
          <w:szCs w:val="26"/>
          <w:shd w:val="clear" w:color="auto" w:fill="FFFFFF"/>
        </w:rPr>
        <w:t>43</w:t>
      </w:r>
      <w:r w:rsidR="006E4ED9">
        <w:rPr>
          <w:szCs w:val="26"/>
        </w:rPr>
        <w:t>.</w:t>
      </w:r>
      <w:r w:rsidR="003E45FD">
        <w:rPr>
          <w:szCs w:val="26"/>
        </w:rPr>
        <w:t>)</w:t>
      </w:r>
      <w:r w:rsidR="006E4ED9">
        <w:rPr>
          <w:szCs w:val="26"/>
        </w:rPr>
        <w:t xml:space="preserve">  </w:t>
      </w:r>
      <w:r w:rsidR="00C35C81">
        <w:rPr>
          <w:szCs w:val="26"/>
        </w:rPr>
        <w:t xml:space="preserve">Under the </w:t>
      </w:r>
      <w:r w:rsidRPr="00C35C81" w:rsidR="00C35C81">
        <w:rPr>
          <w:i/>
          <w:iCs/>
          <w:szCs w:val="26"/>
        </w:rPr>
        <w:t>Parker</w:t>
      </w:r>
      <w:r w:rsidR="00C35C81">
        <w:rPr>
          <w:szCs w:val="26"/>
        </w:rPr>
        <w:t xml:space="preserve"> procedure, which </w:t>
      </w:r>
      <w:r w:rsidR="00413BDA">
        <w:rPr>
          <w:szCs w:val="26"/>
        </w:rPr>
        <w:t xml:space="preserve">the trial court here followed, the state </w:t>
      </w:r>
      <w:r w:rsidR="00723325">
        <w:rPr>
          <w:szCs w:val="26"/>
        </w:rPr>
        <w:t xml:space="preserve">may </w:t>
      </w:r>
      <w:r w:rsidR="00413BDA">
        <w:rPr>
          <w:szCs w:val="26"/>
        </w:rPr>
        <w:t>present the reports as evidence</w:t>
      </w:r>
      <w:r w:rsidR="005F5776">
        <w:rPr>
          <w:szCs w:val="26"/>
        </w:rPr>
        <w:t> </w:t>
      </w:r>
      <w:r w:rsidR="00D168C3">
        <w:rPr>
          <w:szCs w:val="26"/>
        </w:rPr>
        <w:t>—</w:t>
      </w:r>
      <w:r w:rsidR="00C678BD">
        <w:rPr>
          <w:szCs w:val="26"/>
        </w:rPr>
        <w:t xml:space="preserve"> </w:t>
      </w:r>
      <w:r w:rsidR="00413BDA">
        <w:rPr>
          <w:szCs w:val="26"/>
        </w:rPr>
        <w:t xml:space="preserve">in </w:t>
      </w:r>
      <w:r w:rsidR="00D168C3">
        <w:rPr>
          <w:szCs w:val="26"/>
        </w:rPr>
        <w:t xml:space="preserve">support of or </w:t>
      </w:r>
      <w:r w:rsidR="004955C6">
        <w:rPr>
          <w:szCs w:val="26"/>
        </w:rPr>
        <w:t xml:space="preserve">in </w:t>
      </w:r>
      <w:r w:rsidR="00413BDA">
        <w:rPr>
          <w:szCs w:val="26"/>
        </w:rPr>
        <w:t>lieu of the experts’ testi</w:t>
      </w:r>
      <w:r w:rsidR="00D168C3">
        <w:rPr>
          <w:szCs w:val="26"/>
        </w:rPr>
        <w:t>mony</w:t>
      </w:r>
      <w:r w:rsidR="00413BDA">
        <w:rPr>
          <w:szCs w:val="26"/>
        </w:rPr>
        <w:t xml:space="preserve"> on direct examination</w:t>
      </w:r>
      <w:r w:rsidR="005F5776">
        <w:rPr>
          <w:szCs w:val="26"/>
        </w:rPr>
        <w:t> </w:t>
      </w:r>
      <w:r w:rsidR="00D168C3">
        <w:rPr>
          <w:szCs w:val="26"/>
        </w:rPr>
        <w:t>—</w:t>
      </w:r>
      <w:r w:rsidR="00C678BD">
        <w:rPr>
          <w:szCs w:val="26"/>
        </w:rPr>
        <w:t xml:space="preserve"> </w:t>
      </w:r>
      <w:r w:rsidR="00413BDA">
        <w:rPr>
          <w:szCs w:val="26"/>
        </w:rPr>
        <w:t>subject</w:t>
      </w:r>
      <w:r w:rsidR="00726CFD">
        <w:rPr>
          <w:szCs w:val="26"/>
        </w:rPr>
        <w:t xml:space="preserve"> </w:t>
      </w:r>
      <w:r w:rsidR="00413BDA">
        <w:rPr>
          <w:szCs w:val="26"/>
        </w:rPr>
        <w:t xml:space="preserve">to the alleged SVP’s right to cross-examine the experts.  </w:t>
      </w:r>
      <w:r w:rsidR="00504ABB">
        <w:rPr>
          <w:szCs w:val="26"/>
        </w:rPr>
        <w:t>(</w:t>
      </w:r>
      <w:r w:rsidRPr="00504ABB" w:rsidR="00504ABB">
        <w:rPr>
          <w:i/>
          <w:iCs/>
          <w:szCs w:val="26"/>
        </w:rPr>
        <w:t>Parker</w:t>
      </w:r>
      <w:r w:rsidR="00504ABB">
        <w:rPr>
          <w:szCs w:val="26"/>
        </w:rPr>
        <w:t>, at pp. 1469–1470</w:t>
      </w:r>
      <w:r w:rsidR="003E45FD">
        <w:rPr>
          <w:szCs w:val="26"/>
        </w:rPr>
        <w:t xml:space="preserve">; see also </w:t>
      </w:r>
      <w:r w:rsidRPr="005C2921" w:rsidR="003E45FD">
        <w:rPr>
          <w:i/>
          <w:iCs/>
          <w:szCs w:val="26"/>
        </w:rPr>
        <w:t>Kirk</w:t>
      </w:r>
      <w:r w:rsidR="003E45FD">
        <w:rPr>
          <w:szCs w:val="26"/>
        </w:rPr>
        <w:t xml:space="preserve">, </w:t>
      </w:r>
      <w:r w:rsidRPr="005C2921" w:rsidR="003E45FD">
        <w:rPr>
          <w:i/>
          <w:iCs/>
          <w:szCs w:val="26"/>
        </w:rPr>
        <w:t>supra</w:t>
      </w:r>
      <w:r w:rsidR="003E45FD">
        <w:rPr>
          <w:szCs w:val="26"/>
        </w:rPr>
        <w:t>, 74 Cal.App.4th at pp. 107</w:t>
      </w:r>
      <w:r w:rsidR="004B5B9E">
        <w:rPr>
          <w:szCs w:val="26"/>
        </w:rPr>
        <w:t>1</w:t>
      </w:r>
      <w:r w:rsidR="003E45FD">
        <w:rPr>
          <w:szCs w:val="26"/>
        </w:rPr>
        <w:t>–107</w:t>
      </w:r>
      <w:r w:rsidR="004B5B9E">
        <w:rPr>
          <w:szCs w:val="26"/>
        </w:rPr>
        <w:t>3</w:t>
      </w:r>
      <w:r w:rsidR="003E45FD">
        <w:rPr>
          <w:szCs w:val="26"/>
        </w:rPr>
        <w:t xml:space="preserve"> [the evaluations must be properly certified under Evid</w:t>
      </w:r>
      <w:r w:rsidR="00E30400">
        <w:rPr>
          <w:szCs w:val="26"/>
        </w:rPr>
        <w:t>.</w:t>
      </w:r>
      <w:r w:rsidR="003E45FD">
        <w:rPr>
          <w:szCs w:val="26"/>
        </w:rPr>
        <w:t xml:space="preserve"> Code</w:t>
      </w:r>
      <w:r w:rsidR="00E30400">
        <w:rPr>
          <w:szCs w:val="26"/>
        </w:rPr>
        <w:t>,</w:t>
      </w:r>
      <w:r w:rsidR="005C2921">
        <w:rPr>
          <w:szCs w:val="26"/>
        </w:rPr>
        <w:t xml:space="preserve"> </w:t>
      </w:r>
      <w:r w:rsidRPr="00761DF6" w:rsidR="00E30400">
        <w:rPr>
          <w:szCs w:val="26"/>
        </w:rPr>
        <w:t>§§</w:t>
      </w:r>
      <w:r w:rsidR="005C2921">
        <w:rPr>
          <w:szCs w:val="26"/>
        </w:rPr>
        <w:t xml:space="preserve"> 1530</w:t>
      </w:r>
      <w:r w:rsidRPr="00761DF6" w:rsidR="00B81CF6">
        <w:rPr>
          <w:color w:val="000000"/>
          <w:szCs w:val="26"/>
        </w:rPr>
        <w:t>–</w:t>
      </w:r>
      <w:r w:rsidR="005C2921">
        <w:rPr>
          <w:szCs w:val="26"/>
        </w:rPr>
        <w:t>1531</w:t>
      </w:r>
      <w:r w:rsidR="003E45FD">
        <w:rPr>
          <w:szCs w:val="26"/>
        </w:rPr>
        <w:t>].</w:t>
      </w:r>
      <w:r w:rsidR="00BD5D9C">
        <w:rPr>
          <w:szCs w:val="26"/>
        </w:rPr>
        <w:t xml:space="preserve">)  </w:t>
      </w:r>
      <w:r w:rsidRPr="002C5E2D" w:rsidR="00504ABB">
        <w:rPr>
          <w:szCs w:val="26"/>
        </w:rPr>
        <w:t xml:space="preserve">The working assumption appears to </w:t>
      </w:r>
      <w:r w:rsidR="0036244D">
        <w:rPr>
          <w:szCs w:val="26"/>
        </w:rPr>
        <w:t>be</w:t>
      </w:r>
      <w:r w:rsidRPr="002C5E2D" w:rsidR="00504ABB">
        <w:rPr>
          <w:szCs w:val="26"/>
        </w:rPr>
        <w:t xml:space="preserve"> that </w:t>
      </w:r>
      <w:r w:rsidR="00504ABB">
        <w:rPr>
          <w:szCs w:val="26"/>
        </w:rPr>
        <w:t xml:space="preserve">the subdivision’s command to </w:t>
      </w:r>
      <w:r w:rsidRPr="002C5E2D" w:rsidR="00504ABB">
        <w:rPr>
          <w:szCs w:val="26"/>
        </w:rPr>
        <w:t>“review</w:t>
      </w:r>
      <w:r w:rsidR="00504ABB">
        <w:rPr>
          <w:szCs w:val="26"/>
        </w:rPr>
        <w:t xml:space="preserve"> </w:t>
      </w:r>
      <w:r w:rsidRPr="002C5E2D" w:rsidR="00504ABB">
        <w:rPr>
          <w:szCs w:val="26"/>
        </w:rPr>
        <w:t xml:space="preserve">the petition” </w:t>
      </w:r>
      <w:r w:rsidR="00B53F50">
        <w:rPr>
          <w:szCs w:val="26"/>
        </w:rPr>
        <w:t>(</w:t>
      </w:r>
      <w:r w:rsidR="00BA5FE7">
        <w:rPr>
          <w:szCs w:val="26"/>
        </w:rPr>
        <w:t xml:space="preserve">Welf. &amp; Inst. Code, </w:t>
      </w:r>
      <w:r w:rsidRPr="00761DF6" w:rsidR="00B53F50">
        <w:rPr>
          <w:szCs w:val="26"/>
        </w:rPr>
        <w:t>§</w:t>
      </w:r>
      <w:r w:rsidR="00B53F50">
        <w:rPr>
          <w:szCs w:val="26"/>
        </w:rPr>
        <w:t> 6602, subd. (a))</w:t>
      </w:r>
      <w:r w:rsidR="00FA4CDA">
        <w:rPr>
          <w:szCs w:val="26"/>
        </w:rPr>
        <w:t xml:space="preserve"> </w:t>
      </w:r>
      <w:r w:rsidR="00504ABB">
        <w:rPr>
          <w:szCs w:val="26"/>
        </w:rPr>
        <w:t>also allows for the</w:t>
      </w:r>
      <w:r w:rsidRPr="002C5E2D" w:rsidR="00504ABB">
        <w:rPr>
          <w:szCs w:val="26"/>
        </w:rPr>
        <w:t xml:space="preserve"> revie</w:t>
      </w:r>
      <w:r w:rsidR="00504ABB">
        <w:rPr>
          <w:szCs w:val="26"/>
        </w:rPr>
        <w:t>w of “</w:t>
      </w:r>
      <w:r w:rsidRPr="00E657BF" w:rsidR="00504ABB">
        <w:rPr>
          <w:szCs w:val="26"/>
        </w:rPr>
        <w:t xml:space="preserve">the facts </w:t>
      </w:r>
      <w:r w:rsidRPr="00C35C81" w:rsidR="00504ABB">
        <w:rPr>
          <w:szCs w:val="26"/>
        </w:rPr>
        <w:t xml:space="preserve">on which the petition was filed, i.e., the underlying </w:t>
      </w:r>
      <w:r w:rsidR="00504ABB">
        <w:rPr>
          <w:szCs w:val="26"/>
        </w:rPr>
        <w:t>. . .</w:t>
      </w:r>
      <w:r w:rsidRPr="00C35C81" w:rsidR="00504ABB">
        <w:rPr>
          <w:szCs w:val="26"/>
        </w:rPr>
        <w:t xml:space="preserve"> experts’ evaluations” (</w:t>
      </w:r>
      <w:r w:rsidRPr="00C35C81" w:rsidR="00504ABB">
        <w:rPr>
          <w:i/>
          <w:iCs/>
          <w:szCs w:val="26"/>
        </w:rPr>
        <w:t>Parker</w:t>
      </w:r>
      <w:r w:rsidRPr="00C35C81" w:rsidR="00504ABB">
        <w:rPr>
          <w:szCs w:val="26"/>
        </w:rPr>
        <w:t>, at p. 1468)</w:t>
      </w:r>
      <w:r w:rsidR="00750D53">
        <w:rPr>
          <w:szCs w:val="26"/>
        </w:rPr>
        <w:t>.</w:t>
      </w:r>
      <w:r w:rsidR="00736959">
        <w:rPr>
          <w:szCs w:val="26"/>
        </w:rPr>
        <w:t xml:space="preserve">  </w:t>
      </w:r>
      <w:r w:rsidR="00AE0CF7">
        <w:rPr>
          <w:szCs w:val="26"/>
        </w:rPr>
        <w:t xml:space="preserve">This </w:t>
      </w:r>
      <w:r w:rsidR="00DC565A">
        <w:rPr>
          <w:szCs w:val="26"/>
        </w:rPr>
        <w:t xml:space="preserve">assumption </w:t>
      </w:r>
      <w:r w:rsidR="00AE0CF7">
        <w:rPr>
          <w:szCs w:val="26"/>
        </w:rPr>
        <w:t xml:space="preserve">does not strike us as an unreasonable inference to draw from the subdivision’s </w:t>
      </w:r>
      <w:r w:rsidR="00DC565A">
        <w:rPr>
          <w:szCs w:val="26"/>
        </w:rPr>
        <w:t>language</w:t>
      </w:r>
      <w:r w:rsidR="00AE0CF7">
        <w:rPr>
          <w:szCs w:val="26"/>
        </w:rPr>
        <w:t xml:space="preserve">. </w:t>
      </w:r>
      <w:r w:rsidR="005A672D">
        <w:rPr>
          <w:szCs w:val="26"/>
        </w:rPr>
        <w:t xml:space="preserve"> The subdivision directs courts to review the petition </w:t>
      </w:r>
      <w:r w:rsidRPr="005A672D" w:rsidR="005A672D">
        <w:rPr>
          <w:i/>
          <w:iCs/>
          <w:szCs w:val="26"/>
        </w:rPr>
        <w:t>and</w:t>
      </w:r>
      <w:r w:rsidR="005A672D">
        <w:rPr>
          <w:szCs w:val="26"/>
        </w:rPr>
        <w:t xml:space="preserve"> determine </w:t>
      </w:r>
      <w:r w:rsidR="00F71FA8">
        <w:rPr>
          <w:szCs w:val="26"/>
        </w:rPr>
        <w:t>“</w:t>
      </w:r>
      <w:r w:rsidR="005F3126">
        <w:rPr>
          <w:szCs w:val="26"/>
        </w:rPr>
        <w:t>whether the</w:t>
      </w:r>
      <w:r w:rsidR="00F71FA8">
        <w:rPr>
          <w:szCs w:val="26"/>
        </w:rPr>
        <w:t>re is probable cause.”</w:t>
      </w:r>
      <w:r w:rsidR="005F3126">
        <w:rPr>
          <w:szCs w:val="26"/>
        </w:rPr>
        <w:t xml:space="preserve"> </w:t>
      </w:r>
      <w:r w:rsidR="00F71FA8">
        <w:rPr>
          <w:szCs w:val="26"/>
        </w:rPr>
        <w:t xml:space="preserve"> </w:t>
      </w:r>
      <w:r w:rsidR="00B53F50">
        <w:rPr>
          <w:szCs w:val="26"/>
        </w:rPr>
        <w:t>(</w:t>
      </w:r>
      <w:r w:rsidR="00BA5FE7">
        <w:rPr>
          <w:szCs w:val="26"/>
        </w:rPr>
        <w:t xml:space="preserve">Welf. &amp; Inst. Code, </w:t>
      </w:r>
      <w:r w:rsidRPr="00761DF6" w:rsidR="00B53F50">
        <w:rPr>
          <w:szCs w:val="26"/>
        </w:rPr>
        <w:t>§</w:t>
      </w:r>
      <w:r w:rsidR="00B53F50">
        <w:rPr>
          <w:szCs w:val="26"/>
        </w:rPr>
        <w:t xml:space="preserve"> 6602, subd. (a).) </w:t>
      </w:r>
      <w:r w:rsidR="00AF1D47">
        <w:rPr>
          <w:szCs w:val="26"/>
        </w:rPr>
        <w:t xml:space="preserve"> </w:t>
      </w:r>
      <w:r w:rsidR="00B36644">
        <w:rPr>
          <w:szCs w:val="26"/>
        </w:rPr>
        <w:t>Th</w:t>
      </w:r>
      <w:r w:rsidR="0040157A">
        <w:rPr>
          <w:szCs w:val="26"/>
        </w:rPr>
        <w:t>e</w:t>
      </w:r>
      <w:r w:rsidR="00F86C65">
        <w:rPr>
          <w:szCs w:val="26"/>
        </w:rPr>
        <w:t xml:space="preserve"> </w:t>
      </w:r>
      <w:r w:rsidR="00B36644">
        <w:rPr>
          <w:szCs w:val="26"/>
        </w:rPr>
        <w:t>separate command to determine probable cause</w:t>
      </w:r>
      <w:r w:rsidR="002D2337">
        <w:rPr>
          <w:szCs w:val="26"/>
        </w:rPr>
        <w:t xml:space="preserve"> contrasts </w:t>
      </w:r>
      <w:r w:rsidR="002D2337">
        <w:rPr>
          <w:szCs w:val="26"/>
          <w:shd w:val="clear" w:color="auto" w:fill="FFFFFF"/>
        </w:rPr>
        <w:t xml:space="preserve">with </w:t>
      </w:r>
      <w:r w:rsidRPr="008E4BDC" w:rsidR="002D2337">
        <w:rPr>
          <w:szCs w:val="26"/>
          <w:shd w:val="clear" w:color="auto" w:fill="FFFFFF"/>
        </w:rPr>
        <w:t xml:space="preserve">the language of </w:t>
      </w:r>
      <w:r w:rsidR="00BA5FE7">
        <w:rPr>
          <w:szCs w:val="26"/>
          <w:shd w:val="clear" w:color="auto" w:fill="FFFFFF"/>
        </w:rPr>
        <w:t xml:space="preserve">Welfare and Institutions Code </w:t>
      </w:r>
      <w:r w:rsidRPr="008E4BDC" w:rsidR="002D2337">
        <w:rPr>
          <w:szCs w:val="26"/>
          <w:shd w:val="clear" w:color="auto" w:fill="FFFFFF"/>
        </w:rPr>
        <w:t xml:space="preserve">section 6601.5, which </w:t>
      </w:r>
      <w:r w:rsidR="00B36644">
        <w:rPr>
          <w:szCs w:val="26"/>
          <w:shd w:val="clear" w:color="auto" w:fill="FFFFFF"/>
        </w:rPr>
        <w:t xml:space="preserve">simply </w:t>
      </w:r>
      <w:r w:rsidRPr="008E4BDC" w:rsidR="002D2337">
        <w:rPr>
          <w:szCs w:val="26"/>
          <w:shd w:val="clear" w:color="auto" w:fill="FFFFFF"/>
        </w:rPr>
        <w:t xml:space="preserve">directs courts to engage in a </w:t>
      </w:r>
      <w:r w:rsidR="002D2337">
        <w:rPr>
          <w:szCs w:val="26"/>
          <w:shd w:val="clear" w:color="auto" w:fill="FFFFFF"/>
        </w:rPr>
        <w:t xml:space="preserve">prehearing, facial </w:t>
      </w:r>
      <w:r w:rsidRPr="008E4BDC" w:rsidR="002D2337">
        <w:rPr>
          <w:szCs w:val="26"/>
          <w:shd w:val="clear" w:color="auto" w:fill="FFFFFF"/>
        </w:rPr>
        <w:t xml:space="preserve">review of the petition </w:t>
      </w:r>
      <w:r w:rsidRPr="00FF4A45" w:rsidR="002D2337">
        <w:rPr>
          <w:szCs w:val="26"/>
          <w:shd w:val="clear" w:color="auto" w:fill="FFFFFF"/>
        </w:rPr>
        <w:t>for its adequacy</w:t>
      </w:r>
      <w:r w:rsidRPr="00FF4A45" w:rsidR="00F72EB1">
        <w:rPr>
          <w:szCs w:val="26"/>
          <w:shd w:val="clear" w:color="auto" w:fill="FFFFFF"/>
        </w:rPr>
        <w:t xml:space="preserve">.  </w:t>
      </w:r>
      <w:r w:rsidRPr="00FF4A45" w:rsidR="0040157A">
        <w:rPr>
          <w:szCs w:val="26"/>
          <w:shd w:val="clear" w:color="auto" w:fill="FFFFFF"/>
        </w:rPr>
        <w:t xml:space="preserve">This contrast </w:t>
      </w:r>
      <w:r w:rsidRPr="00FF4A45" w:rsidR="00F72EB1">
        <w:rPr>
          <w:szCs w:val="26"/>
          <w:shd w:val="clear" w:color="auto" w:fill="FFFFFF"/>
        </w:rPr>
        <w:t xml:space="preserve">suggests that </w:t>
      </w:r>
      <w:r w:rsidR="00BA5FE7">
        <w:rPr>
          <w:szCs w:val="26"/>
          <w:shd w:val="clear" w:color="auto" w:fill="FFFFFF"/>
        </w:rPr>
        <w:t>Welfare and Institutions Code</w:t>
      </w:r>
      <w:r w:rsidRPr="00FF4A45" w:rsidR="00BA5FE7">
        <w:rPr>
          <w:szCs w:val="26"/>
          <w:shd w:val="clear" w:color="auto" w:fill="FFFFFF"/>
        </w:rPr>
        <w:t xml:space="preserve"> </w:t>
      </w:r>
      <w:r w:rsidRPr="00FF4A45" w:rsidR="007E0CDB">
        <w:rPr>
          <w:szCs w:val="26"/>
          <w:shd w:val="clear" w:color="auto" w:fill="FFFFFF"/>
        </w:rPr>
        <w:t xml:space="preserve">section 6602, subdivision (a) </w:t>
      </w:r>
      <w:r w:rsidR="00C76C61">
        <w:rPr>
          <w:szCs w:val="26"/>
          <w:shd w:val="clear" w:color="auto" w:fill="FFFFFF"/>
        </w:rPr>
        <w:t>does not</w:t>
      </w:r>
      <w:r w:rsidRPr="00FF4A45" w:rsidR="007E0CDB">
        <w:rPr>
          <w:szCs w:val="26"/>
          <w:shd w:val="clear" w:color="auto" w:fill="FFFFFF"/>
        </w:rPr>
        <w:t xml:space="preserve"> limit </w:t>
      </w:r>
      <w:r w:rsidRPr="00FF4A45" w:rsidR="0037681E">
        <w:t>the probable cause inquiry to consideration of the four corners of the petition</w:t>
      </w:r>
      <w:r w:rsidRPr="00FF4A45">
        <w:t xml:space="preserve">, and instead </w:t>
      </w:r>
      <w:r w:rsidR="00C33BF4">
        <w:t xml:space="preserve">also </w:t>
      </w:r>
      <w:r w:rsidRPr="00FF4A45">
        <w:t>contemplate</w:t>
      </w:r>
      <w:r w:rsidR="00C76C61">
        <w:t>s</w:t>
      </w:r>
      <w:r w:rsidRPr="00FF4A45">
        <w:t xml:space="preserve"> </w:t>
      </w:r>
      <w:r w:rsidRPr="00FF4A45">
        <w:rPr>
          <w:szCs w:val="26"/>
          <w:shd w:val="clear" w:color="auto" w:fill="FFFFFF"/>
        </w:rPr>
        <w:t xml:space="preserve">review of </w:t>
      </w:r>
      <w:r w:rsidR="00642B87">
        <w:rPr>
          <w:szCs w:val="26"/>
          <w:shd w:val="clear" w:color="auto" w:fill="FFFFFF"/>
        </w:rPr>
        <w:t xml:space="preserve">other evidence such as </w:t>
      </w:r>
      <w:r w:rsidRPr="00FF4A45">
        <w:rPr>
          <w:szCs w:val="26"/>
          <w:shd w:val="clear" w:color="auto" w:fill="FFFFFF"/>
        </w:rPr>
        <w:t>the evaluations that necessarily support the petition</w:t>
      </w:r>
      <w:r>
        <w:rPr>
          <w:szCs w:val="26"/>
          <w:shd w:val="clear" w:color="auto" w:fill="FFFFFF"/>
        </w:rPr>
        <w:t>.</w:t>
      </w:r>
    </w:p>
    <w:p w:rsidR="0036331C" w:rsidP="009B01AD" w14:paraId="2B097466" w14:textId="3E7F7F61">
      <w:pPr>
        <w:pStyle w:val="Text"/>
        <w:spacing w:line="400" w:lineRule="exact"/>
        <w:ind w:firstLine="0"/>
        <w:rPr>
          <w:color w:val="000000"/>
          <w:szCs w:val="26"/>
          <w:shd w:val="clear" w:color="auto" w:fill="FFFFFF"/>
        </w:rPr>
      </w:pPr>
      <w:r>
        <w:tab/>
      </w:r>
      <w:r w:rsidRPr="002E5BCB" w:rsidR="009B01AD">
        <w:rPr>
          <w:i/>
          <w:iCs/>
        </w:rPr>
        <w:t>Parker</w:t>
      </w:r>
      <w:r w:rsidRPr="002E5BCB" w:rsidR="009B01AD">
        <w:t xml:space="preserve">’s </w:t>
      </w:r>
      <w:r w:rsidR="001B6049">
        <w:t xml:space="preserve">hearsay </w:t>
      </w:r>
      <w:r w:rsidRPr="002E5BCB" w:rsidR="00E71C30">
        <w:t xml:space="preserve">rule </w:t>
      </w:r>
      <w:r w:rsidR="00754235">
        <w:t xml:space="preserve">permits </w:t>
      </w:r>
      <w:r w:rsidRPr="002E5BCB" w:rsidR="00E71C30">
        <w:t xml:space="preserve">the admission of the </w:t>
      </w:r>
      <w:r w:rsidR="000474E6">
        <w:t>evaluation</w:t>
      </w:r>
      <w:r w:rsidR="00D91B5D">
        <w:t>s</w:t>
      </w:r>
      <w:r w:rsidR="00754235">
        <w:t xml:space="preserve">.  Although </w:t>
      </w:r>
      <w:r w:rsidR="00FF5E4D">
        <w:t>the rule</w:t>
      </w:r>
      <w:r w:rsidR="00754235">
        <w:t xml:space="preserve"> </w:t>
      </w:r>
      <w:r w:rsidRPr="002E5BCB" w:rsidR="00E71C30">
        <w:t>plausibl</w:t>
      </w:r>
      <w:r w:rsidR="00335BCF">
        <w:t>y effectuates</w:t>
      </w:r>
      <w:r w:rsidRPr="002D7257" w:rsidR="00E71C30">
        <w:t xml:space="preserve"> </w:t>
      </w:r>
      <w:r w:rsidRPr="002E5BCB" w:rsidR="009B01AD">
        <w:rPr>
          <w:szCs w:val="26"/>
          <w:shd w:val="clear" w:color="auto" w:fill="FFFFFF"/>
        </w:rPr>
        <w:t>section 6602</w:t>
      </w:r>
      <w:r w:rsidR="00867411">
        <w:rPr>
          <w:szCs w:val="26"/>
          <w:shd w:val="clear" w:color="auto" w:fill="FFFFFF"/>
        </w:rPr>
        <w:t xml:space="preserve">’s </w:t>
      </w:r>
      <w:r w:rsidR="00AC7DA9">
        <w:rPr>
          <w:szCs w:val="26"/>
          <w:shd w:val="clear" w:color="auto" w:fill="FFFFFF"/>
        </w:rPr>
        <w:t>sparse language</w:t>
      </w:r>
      <w:r w:rsidRPr="00BD0357" w:rsidR="00AC7DA9">
        <w:rPr>
          <w:szCs w:val="26"/>
          <w:shd w:val="clear" w:color="auto" w:fill="FFFFFF"/>
        </w:rPr>
        <w:t xml:space="preserve">, we need not definitively resolve </w:t>
      </w:r>
      <w:r w:rsidRPr="00BD0357" w:rsidR="004A6B29">
        <w:rPr>
          <w:szCs w:val="26"/>
          <w:shd w:val="clear" w:color="auto" w:fill="FFFFFF"/>
        </w:rPr>
        <w:t>its</w:t>
      </w:r>
      <w:r w:rsidRPr="00BD0357" w:rsidR="00AC7DA9">
        <w:rPr>
          <w:szCs w:val="26"/>
          <w:shd w:val="clear" w:color="auto" w:fill="FFFFFF"/>
        </w:rPr>
        <w:t xml:space="preserve"> </w:t>
      </w:r>
      <w:r w:rsidRPr="00BD0357" w:rsidR="006D76C7">
        <w:rPr>
          <w:szCs w:val="26"/>
          <w:shd w:val="clear" w:color="auto" w:fill="FFFFFF"/>
        </w:rPr>
        <w:t>legal validity</w:t>
      </w:r>
      <w:r w:rsidRPr="00BD0357" w:rsidR="00AC7DA9">
        <w:rPr>
          <w:szCs w:val="26"/>
          <w:shd w:val="clear" w:color="auto" w:fill="FFFFFF"/>
        </w:rPr>
        <w:t xml:space="preserve">.  </w:t>
      </w:r>
      <w:r w:rsidRPr="00BD0357" w:rsidR="005434FB">
        <w:rPr>
          <w:szCs w:val="26"/>
          <w:shd w:val="clear" w:color="auto" w:fill="FFFFFF"/>
        </w:rPr>
        <w:t xml:space="preserve">(Cf. </w:t>
      </w:r>
      <w:r w:rsidRPr="00BD0357" w:rsidR="005434FB">
        <w:rPr>
          <w:i/>
          <w:iCs/>
          <w:color w:val="000000"/>
          <w:szCs w:val="26"/>
          <w:shd w:val="clear" w:color="auto" w:fill="FFFFFF"/>
        </w:rPr>
        <w:t>Cooley</w:t>
      </w:r>
      <w:r w:rsidRPr="00BD0357" w:rsidR="005434FB">
        <w:rPr>
          <w:color w:val="000000"/>
          <w:szCs w:val="26"/>
          <w:shd w:val="clear" w:color="auto" w:fill="FFFFFF"/>
        </w:rPr>
        <w:t xml:space="preserve">, </w:t>
      </w:r>
      <w:r w:rsidRPr="00BD0357" w:rsidR="005434FB">
        <w:rPr>
          <w:i/>
          <w:iCs/>
          <w:color w:val="000000"/>
          <w:szCs w:val="26"/>
          <w:shd w:val="clear" w:color="auto" w:fill="FFFFFF"/>
        </w:rPr>
        <w:t>supra</w:t>
      </w:r>
      <w:r w:rsidRPr="00BD0357" w:rsidR="005434FB">
        <w:rPr>
          <w:color w:val="000000"/>
          <w:szCs w:val="26"/>
          <w:shd w:val="clear" w:color="auto" w:fill="FFFFFF"/>
        </w:rPr>
        <w:t xml:space="preserve">, </w:t>
      </w:r>
      <w:r w:rsidRPr="00BD0357" w:rsidR="00E30400">
        <w:rPr>
          <w:szCs w:val="26"/>
        </w:rPr>
        <w:t xml:space="preserve">29 Cal.4th </w:t>
      </w:r>
      <w:r w:rsidRPr="00BD0357" w:rsidR="005434FB">
        <w:rPr>
          <w:color w:val="000000"/>
          <w:szCs w:val="26"/>
          <w:shd w:val="clear" w:color="auto" w:fill="FFFFFF"/>
        </w:rPr>
        <w:t>at p. 248, fn. 8 [n</w:t>
      </w:r>
      <w:r w:rsidRPr="00BD0357" w:rsidR="00764EA2">
        <w:rPr>
          <w:color w:val="000000"/>
          <w:szCs w:val="26"/>
          <w:shd w:val="clear" w:color="auto" w:fill="FFFFFF"/>
        </w:rPr>
        <w:t>oting</w:t>
      </w:r>
      <w:r w:rsidRPr="00BD0357" w:rsidR="005434FB">
        <w:rPr>
          <w:color w:val="000000"/>
          <w:szCs w:val="26"/>
          <w:shd w:val="clear" w:color="auto" w:fill="FFFFFF"/>
        </w:rPr>
        <w:t xml:space="preserve"> </w:t>
      </w:r>
      <w:r w:rsidRPr="00BD0357" w:rsidR="005434FB">
        <w:rPr>
          <w:i/>
          <w:iCs/>
          <w:color w:val="000000"/>
          <w:szCs w:val="26"/>
          <w:shd w:val="clear" w:color="auto" w:fill="FFFFFF"/>
        </w:rPr>
        <w:t>Parker</w:t>
      </w:r>
      <w:r w:rsidRPr="00BD0357" w:rsidR="005434FB">
        <w:rPr>
          <w:color w:val="000000"/>
          <w:szCs w:val="26"/>
          <w:shd w:val="clear" w:color="auto" w:fill="FFFFFF"/>
        </w:rPr>
        <w:t xml:space="preserve">’s </w:t>
      </w:r>
      <w:r w:rsidRPr="00BD0357" w:rsidR="00764EA2">
        <w:rPr>
          <w:color w:val="000000"/>
          <w:szCs w:val="26"/>
          <w:shd w:val="clear" w:color="auto" w:fill="FFFFFF"/>
        </w:rPr>
        <w:t xml:space="preserve">hearsay </w:t>
      </w:r>
      <w:r w:rsidRPr="00BD0357" w:rsidR="005434FB">
        <w:rPr>
          <w:color w:val="000000"/>
          <w:szCs w:val="26"/>
          <w:shd w:val="clear" w:color="auto" w:fill="FFFFFF"/>
        </w:rPr>
        <w:t>rule</w:t>
      </w:r>
      <w:r w:rsidRPr="00BD0357" w:rsidR="00764EA2">
        <w:rPr>
          <w:color w:val="000000"/>
          <w:szCs w:val="26"/>
          <w:shd w:val="clear" w:color="auto" w:fill="FFFFFF"/>
        </w:rPr>
        <w:t xml:space="preserve"> in passing</w:t>
      </w:r>
      <w:r w:rsidRPr="00BD0357" w:rsidR="005434FB">
        <w:rPr>
          <w:color w:val="000000"/>
          <w:szCs w:val="26"/>
          <w:shd w:val="clear" w:color="auto" w:fill="FFFFFF"/>
        </w:rPr>
        <w:t>]</w:t>
      </w:r>
      <w:r w:rsidRPr="00BD0357" w:rsidR="00177D59">
        <w:rPr>
          <w:color w:val="000000"/>
          <w:szCs w:val="26"/>
          <w:shd w:val="clear" w:color="auto" w:fill="FFFFFF"/>
        </w:rPr>
        <w:t xml:space="preserve">.)  Walker </w:t>
      </w:r>
      <w:r w:rsidRPr="00BD0357" w:rsidR="00C1626D">
        <w:rPr>
          <w:color w:val="000000"/>
          <w:szCs w:val="26"/>
          <w:shd w:val="clear" w:color="auto" w:fill="FFFFFF"/>
        </w:rPr>
        <w:t>does not challenge the admissibility of the report</w:t>
      </w:r>
      <w:r w:rsidRPr="00BD0357" w:rsidR="00D55BDE">
        <w:rPr>
          <w:color w:val="000000"/>
          <w:szCs w:val="26"/>
          <w:shd w:val="clear" w:color="auto" w:fill="FFFFFF"/>
        </w:rPr>
        <w:t>s</w:t>
      </w:r>
      <w:r w:rsidRPr="00BD0357" w:rsidR="00F00DCF">
        <w:rPr>
          <w:color w:val="000000"/>
          <w:szCs w:val="26"/>
          <w:shd w:val="clear" w:color="auto" w:fill="FFFFFF"/>
        </w:rPr>
        <w:t>; nor does he challenge the admissibility of hearsay in the reports writ large, including content otherwise admissible via hearsay exceptions outside the SVPA</w:t>
      </w:r>
      <w:r w:rsidRPr="00BD0357" w:rsidR="00C44C64">
        <w:rPr>
          <w:color w:val="000000"/>
          <w:szCs w:val="26"/>
          <w:shd w:val="clear" w:color="auto" w:fill="FFFFFF"/>
        </w:rPr>
        <w:t>.</w:t>
      </w:r>
      <w:r w:rsidRPr="00BD0357" w:rsidR="007D60F8">
        <w:rPr>
          <w:color w:val="000000"/>
          <w:szCs w:val="26"/>
          <w:shd w:val="clear" w:color="auto" w:fill="FFFFFF"/>
        </w:rPr>
        <w:t xml:space="preserve">  </w:t>
      </w:r>
      <w:r w:rsidRPr="00BD0357" w:rsidR="00A968EF">
        <w:rPr>
          <w:color w:val="000000"/>
          <w:szCs w:val="26"/>
          <w:shd w:val="clear" w:color="auto" w:fill="FFFFFF"/>
        </w:rPr>
        <w:t>(</w:t>
      </w:r>
      <w:r w:rsidRPr="00BD0357" w:rsidR="00946873">
        <w:rPr>
          <w:color w:val="000000"/>
          <w:szCs w:val="26"/>
          <w:shd w:val="clear" w:color="auto" w:fill="FFFFFF"/>
        </w:rPr>
        <w:t>See</w:t>
      </w:r>
      <w:r w:rsidRPr="00BD0357" w:rsidR="00F00DCF">
        <w:rPr>
          <w:color w:val="000000"/>
          <w:szCs w:val="26"/>
          <w:shd w:val="clear" w:color="auto" w:fill="FFFFFF"/>
        </w:rPr>
        <w:t xml:space="preserve"> </w:t>
      </w:r>
      <w:r w:rsidRPr="00BD0357" w:rsidR="003242D8">
        <w:rPr>
          <w:i/>
          <w:iCs/>
          <w:color w:val="000000"/>
          <w:szCs w:val="26"/>
          <w:shd w:val="clear" w:color="auto" w:fill="FFFFFF"/>
        </w:rPr>
        <w:t>Walker</w:t>
      </w:r>
      <w:r w:rsidRPr="00BD0357" w:rsidR="003242D8">
        <w:rPr>
          <w:color w:val="000000"/>
          <w:szCs w:val="26"/>
          <w:shd w:val="clear" w:color="auto" w:fill="FFFFFF"/>
        </w:rPr>
        <w:t xml:space="preserve">, </w:t>
      </w:r>
      <w:r w:rsidRPr="00BD0357" w:rsidR="003242D8">
        <w:rPr>
          <w:i/>
          <w:iCs/>
          <w:color w:val="000000"/>
          <w:szCs w:val="26"/>
          <w:shd w:val="clear" w:color="auto" w:fill="FFFFFF"/>
        </w:rPr>
        <w:t>supra</w:t>
      </w:r>
      <w:r w:rsidRPr="00BD0357" w:rsidR="003242D8">
        <w:rPr>
          <w:color w:val="000000"/>
          <w:szCs w:val="26"/>
          <w:shd w:val="clear" w:color="auto" w:fill="FFFFFF"/>
        </w:rPr>
        <w:t xml:space="preserve">, 51 Cal.App.5th at </w:t>
      </w:r>
      <w:r w:rsidRPr="00BD0357" w:rsidR="00F00DCF">
        <w:rPr>
          <w:color w:val="000000"/>
          <w:szCs w:val="26"/>
          <w:shd w:val="clear" w:color="auto" w:fill="FFFFFF"/>
        </w:rPr>
        <w:t>p</w:t>
      </w:r>
      <w:r w:rsidRPr="00BD0357" w:rsidR="003242D8">
        <w:rPr>
          <w:color w:val="000000"/>
          <w:szCs w:val="26"/>
          <w:shd w:val="clear" w:color="auto" w:fill="FFFFFF"/>
        </w:rPr>
        <w:t>p. 695</w:t>
      </w:r>
      <w:r w:rsidR="00F00DCF">
        <w:rPr>
          <w:color w:val="000000"/>
          <w:szCs w:val="26"/>
          <w:shd w:val="clear" w:color="auto" w:fill="FFFFFF"/>
        </w:rPr>
        <w:t>–696</w:t>
      </w:r>
      <w:r w:rsidR="003242D8">
        <w:rPr>
          <w:color w:val="000000"/>
          <w:szCs w:val="26"/>
          <w:shd w:val="clear" w:color="auto" w:fill="FFFFFF"/>
        </w:rPr>
        <w:t xml:space="preserve"> [</w:t>
      </w:r>
      <w:r w:rsidR="00F00DCF">
        <w:rPr>
          <w:color w:val="000000"/>
          <w:szCs w:val="26"/>
          <w:shd w:val="clear" w:color="auto" w:fill="FFFFFF"/>
        </w:rPr>
        <w:t>similar</w:t>
      </w:r>
      <w:r w:rsidR="003242D8">
        <w:rPr>
          <w:color w:val="000000"/>
          <w:szCs w:val="26"/>
          <w:shd w:val="clear" w:color="auto" w:fill="FFFFFF"/>
        </w:rPr>
        <w:t>].</w:t>
      </w:r>
      <w:r w:rsidR="00764EA2">
        <w:rPr>
          <w:color w:val="000000"/>
          <w:szCs w:val="26"/>
          <w:shd w:val="clear" w:color="auto" w:fill="FFFFFF"/>
        </w:rPr>
        <w:t>)</w:t>
      </w:r>
      <w:r>
        <w:rPr>
          <w:rStyle w:val="FootnoteReference"/>
          <w:color w:val="000000"/>
          <w:szCs w:val="26"/>
          <w:shd w:val="clear" w:color="auto" w:fill="FFFFFF"/>
        </w:rPr>
        <w:footnoteReference w:id="5"/>
      </w:r>
      <w:r w:rsidR="00764EA2">
        <w:rPr>
          <w:szCs w:val="26"/>
          <w:shd w:val="clear" w:color="auto" w:fill="FFFFFF"/>
        </w:rPr>
        <w:t xml:space="preserve">  </w:t>
      </w:r>
      <w:r w:rsidR="002A595B">
        <w:rPr>
          <w:szCs w:val="26"/>
          <w:shd w:val="clear" w:color="auto" w:fill="FFFFFF"/>
        </w:rPr>
        <w:t>T</w:t>
      </w:r>
      <w:r>
        <w:rPr>
          <w:szCs w:val="26"/>
          <w:shd w:val="clear" w:color="auto" w:fill="FFFFFF"/>
        </w:rPr>
        <w:t xml:space="preserve">he dispositive question </w:t>
      </w:r>
      <w:r w:rsidR="00F50CBF">
        <w:rPr>
          <w:szCs w:val="26"/>
          <w:shd w:val="clear" w:color="auto" w:fill="FFFFFF"/>
        </w:rPr>
        <w:t>here concerns</w:t>
      </w:r>
      <w:r>
        <w:rPr>
          <w:szCs w:val="26"/>
          <w:shd w:val="clear" w:color="auto" w:fill="FFFFFF"/>
        </w:rPr>
        <w:t xml:space="preserve"> a </w:t>
      </w:r>
      <w:r w:rsidR="00EB1DED">
        <w:rPr>
          <w:szCs w:val="26"/>
          <w:shd w:val="clear" w:color="auto" w:fill="FFFFFF"/>
        </w:rPr>
        <w:t>narrower question</w:t>
      </w:r>
      <w:r w:rsidR="00F50CBF">
        <w:rPr>
          <w:szCs w:val="26"/>
          <w:shd w:val="clear" w:color="auto" w:fill="FFFFFF"/>
        </w:rPr>
        <w:t xml:space="preserve">:  </w:t>
      </w:r>
      <w:r>
        <w:rPr>
          <w:szCs w:val="26"/>
          <w:shd w:val="clear" w:color="auto" w:fill="FFFFFF"/>
        </w:rPr>
        <w:t xml:space="preserve">the admissibility of </w:t>
      </w:r>
      <w:r w:rsidRPr="00F74963" w:rsidR="009D289D">
        <w:rPr>
          <w:i/>
          <w:iCs/>
          <w:szCs w:val="26"/>
          <w:shd w:val="clear" w:color="auto" w:fill="FFFFFF"/>
        </w:rPr>
        <w:t>particular</w:t>
      </w:r>
      <w:r w:rsidRPr="00F74963">
        <w:rPr>
          <w:i/>
          <w:iCs/>
          <w:szCs w:val="26"/>
          <w:shd w:val="clear" w:color="auto" w:fill="FFFFFF"/>
        </w:rPr>
        <w:t xml:space="preserve"> </w:t>
      </w:r>
      <w:r w:rsidR="00C44C64">
        <w:rPr>
          <w:i/>
          <w:iCs/>
          <w:szCs w:val="26"/>
          <w:shd w:val="clear" w:color="auto" w:fill="FFFFFF"/>
        </w:rPr>
        <w:t xml:space="preserve">hearsay </w:t>
      </w:r>
      <w:r w:rsidRPr="0036331C">
        <w:rPr>
          <w:i/>
          <w:iCs/>
          <w:szCs w:val="26"/>
          <w:shd w:val="clear" w:color="auto" w:fill="FFFFFF"/>
        </w:rPr>
        <w:t>content</w:t>
      </w:r>
      <w:r>
        <w:rPr>
          <w:szCs w:val="26"/>
          <w:shd w:val="clear" w:color="auto" w:fill="FFFFFF"/>
        </w:rPr>
        <w:t xml:space="preserve"> </w:t>
      </w:r>
      <w:r w:rsidR="007B4F91">
        <w:rPr>
          <w:szCs w:val="26"/>
          <w:shd w:val="clear" w:color="auto" w:fill="FFFFFF"/>
        </w:rPr>
        <w:t>in</w:t>
      </w:r>
      <w:r>
        <w:rPr>
          <w:szCs w:val="26"/>
          <w:shd w:val="clear" w:color="auto" w:fill="FFFFFF"/>
        </w:rPr>
        <w:t xml:space="preserve"> the reports</w:t>
      </w:r>
      <w:r w:rsidR="00F50CBF">
        <w:rPr>
          <w:szCs w:val="26"/>
          <w:shd w:val="clear" w:color="auto" w:fill="FFFFFF"/>
        </w:rPr>
        <w:t>.</w:t>
      </w:r>
      <w:r>
        <w:rPr>
          <w:szCs w:val="26"/>
          <w:shd w:val="clear" w:color="auto" w:fill="FFFFFF"/>
        </w:rPr>
        <w:t xml:space="preserve">  </w:t>
      </w:r>
      <w:r w:rsidR="00146BBB">
        <w:rPr>
          <w:szCs w:val="26"/>
          <w:shd w:val="clear" w:color="auto" w:fill="FFFFFF"/>
        </w:rPr>
        <w:t>(</w:t>
      </w:r>
      <w:r w:rsidR="00146BBB">
        <w:rPr>
          <w:szCs w:val="26"/>
        </w:rPr>
        <w:t xml:space="preserve">Cf. </w:t>
      </w:r>
      <w:r w:rsidRPr="00A30184" w:rsidR="00146BBB">
        <w:rPr>
          <w:i/>
          <w:iCs/>
          <w:szCs w:val="26"/>
        </w:rPr>
        <w:t>Bennett</w:t>
      </w:r>
      <w:r w:rsidR="00146BBB">
        <w:rPr>
          <w:szCs w:val="26"/>
        </w:rPr>
        <w:t xml:space="preserve">, </w:t>
      </w:r>
      <w:r w:rsidRPr="00A30184" w:rsidR="00146BBB">
        <w:rPr>
          <w:i/>
          <w:iCs/>
          <w:szCs w:val="26"/>
        </w:rPr>
        <w:t>supra</w:t>
      </w:r>
      <w:r w:rsidR="00146BBB">
        <w:rPr>
          <w:szCs w:val="26"/>
        </w:rPr>
        <w:t>, 39 Cal.App.5th at p. 883 [the issue is not “whether the prosecution may present an expert’s conclusions at the probable cause hearing through the introduction of the expert’s report,” but instead expert</w:t>
      </w:r>
      <w:r w:rsidR="00FF5A9A">
        <w:rPr>
          <w:szCs w:val="26"/>
        </w:rPr>
        <w:t>s</w:t>
      </w:r>
      <w:r w:rsidR="00146BBB">
        <w:rPr>
          <w:szCs w:val="26"/>
        </w:rPr>
        <w:t xml:space="preserve"> relating </w:t>
      </w:r>
      <w:r w:rsidR="00FC04AB">
        <w:rPr>
          <w:szCs w:val="26"/>
        </w:rPr>
        <w:t xml:space="preserve">particular </w:t>
      </w:r>
      <w:r w:rsidR="00A2770E">
        <w:rPr>
          <w:szCs w:val="26"/>
        </w:rPr>
        <w:t xml:space="preserve">inadmissible </w:t>
      </w:r>
      <w:r w:rsidR="00146BBB">
        <w:rPr>
          <w:szCs w:val="26"/>
        </w:rPr>
        <w:t>hearsay].)</w:t>
      </w:r>
      <w:r w:rsidRPr="00FB0127" w:rsidR="00146BBB">
        <w:rPr>
          <w:szCs w:val="26"/>
        </w:rPr>
        <w:t xml:space="preserve">  </w:t>
      </w:r>
      <w:r w:rsidR="00BA29ED">
        <w:rPr>
          <w:szCs w:val="26"/>
        </w:rPr>
        <w:t xml:space="preserve">More specifically, </w:t>
      </w:r>
      <w:r w:rsidR="00BA29ED">
        <w:rPr>
          <w:szCs w:val="26"/>
          <w:shd w:val="clear" w:color="auto" w:fill="FFFFFF"/>
        </w:rPr>
        <w:t>w</w:t>
      </w:r>
      <w:r>
        <w:rPr>
          <w:szCs w:val="26"/>
          <w:shd w:val="clear" w:color="auto" w:fill="FFFFFF"/>
        </w:rPr>
        <w:t xml:space="preserve">e must determine whether </w:t>
      </w:r>
      <w:r>
        <w:rPr>
          <w:color w:val="000000"/>
          <w:szCs w:val="26"/>
          <w:shd w:val="clear" w:color="auto" w:fill="FFFFFF"/>
        </w:rPr>
        <w:t xml:space="preserve">hearsay about </w:t>
      </w:r>
      <w:r w:rsidR="00D40EE4">
        <w:rPr>
          <w:color w:val="000000"/>
          <w:szCs w:val="26"/>
          <w:shd w:val="clear" w:color="auto" w:fill="FFFFFF"/>
        </w:rPr>
        <w:t>nonpredicate</w:t>
      </w:r>
      <w:r>
        <w:rPr>
          <w:color w:val="000000"/>
          <w:szCs w:val="26"/>
          <w:shd w:val="clear" w:color="auto" w:fill="FFFFFF"/>
        </w:rPr>
        <w:t xml:space="preserve"> offenses</w:t>
      </w:r>
      <w:r w:rsidR="00433AD8">
        <w:rPr>
          <w:color w:val="000000"/>
          <w:szCs w:val="26"/>
          <w:shd w:val="clear" w:color="auto" w:fill="FFFFFF"/>
        </w:rPr>
        <w:t> </w:t>
      </w:r>
      <w:r w:rsidR="005864AC">
        <w:rPr>
          <w:color w:val="000000"/>
          <w:szCs w:val="26"/>
          <w:shd w:val="clear" w:color="auto" w:fill="FFFFFF"/>
        </w:rPr>
        <w:t>—</w:t>
      </w:r>
      <w:r w:rsidR="00DE1E78">
        <w:rPr>
          <w:color w:val="000000"/>
          <w:szCs w:val="26"/>
          <w:shd w:val="clear" w:color="auto" w:fill="FFFFFF"/>
        </w:rPr>
        <w:t xml:space="preserve"> </w:t>
      </w:r>
      <w:r w:rsidR="005864AC">
        <w:rPr>
          <w:color w:val="000000"/>
          <w:szCs w:val="26"/>
          <w:shd w:val="clear" w:color="auto" w:fill="FFFFFF"/>
        </w:rPr>
        <w:t>otherwise inadmissible hearsay</w:t>
      </w:r>
      <w:r w:rsidR="005F5776">
        <w:rPr>
          <w:color w:val="000000"/>
          <w:szCs w:val="26"/>
          <w:shd w:val="clear" w:color="auto" w:fill="FFFFFF"/>
        </w:rPr>
        <w:t> </w:t>
      </w:r>
      <w:r w:rsidR="005864AC">
        <w:rPr>
          <w:color w:val="000000"/>
          <w:szCs w:val="26"/>
          <w:shd w:val="clear" w:color="auto" w:fill="FFFFFF"/>
        </w:rPr>
        <w:t>—</w:t>
      </w:r>
      <w:r w:rsidR="00C678BD">
        <w:rPr>
          <w:color w:val="000000"/>
          <w:szCs w:val="26"/>
          <w:shd w:val="clear" w:color="auto" w:fill="FFFFFF"/>
        </w:rPr>
        <w:t xml:space="preserve"> </w:t>
      </w:r>
      <w:r w:rsidR="00D40EE4">
        <w:rPr>
          <w:color w:val="000000"/>
          <w:szCs w:val="26"/>
          <w:shd w:val="clear" w:color="auto" w:fill="FFFFFF"/>
        </w:rPr>
        <w:t>may be admitted</w:t>
      </w:r>
      <w:r>
        <w:rPr>
          <w:color w:val="000000"/>
          <w:szCs w:val="26"/>
          <w:shd w:val="clear" w:color="auto" w:fill="FFFFFF"/>
        </w:rPr>
        <w:t xml:space="preserve"> </w:t>
      </w:r>
      <w:r w:rsidR="00D40EE4">
        <w:rPr>
          <w:color w:val="000000"/>
          <w:szCs w:val="26"/>
          <w:shd w:val="clear" w:color="auto" w:fill="FFFFFF"/>
        </w:rPr>
        <w:t>through</w:t>
      </w:r>
      <w:r>
        <w:rPr>
          <w:color w:val="000000"/>
          <w:szCs w:val="26"/>
          <w:shd w:val="clear" w:color="auto" w:fill="FFFFFF"/>
        </w:rPr>
        <w:t xml:space="preserve"> expert report</w:t>
      </w:r>
      <w:r w:rsidR="00BC62ED">
        <w:rPr>
          <w:color w:val="000000"/>
          <w:szCs w:val="26"/>
          <w:shd w:val="clear" w:color="auto" w:fill="FFFFFF"/>
        </w:rPr>
        <w:t>s</w:t>
      </w:r>
      <w:r>
        <w:rPr>
          <w:color w:val="000000"/>
          <w:szCs w:val="26"/>
          <w:shd w:val="clear" w:color="auto" w:fill="FFFFFF"/>
        </w:rPr>
        <w:t xml:space="preserve"> </w:t>
      </w:r>
      <w:r w:rsidR="00A368DF">
        <w:rPr>
          <w:color w:val="000000"/>
          <w:szCs w:val="26"/>
          <w:shd w:val="clear" w:color="auto" w:fill="FFFFFF"/>
        </w:rPr>
        <w:t>under section 6602.</w:t>
      </w:r>
      <w:r w:rsidR="00563DC8">
        <w:rPr>
          <w:color w:val="000000"/>
          <w:szCs w:val="26"/>
          <w:shd w:val="clear" w:color="auto" w:fill="FFFFFF"/>
        </w:rPr>
        <w:t xml:space="preserve"> </w:t>
      </w:r>
    </w:p>
    <w:p w:rsidR="000124D6" w:rsidRPr="006317BC" w:rsidP="0061292E" w14:paraId="4D5F10CE" w14:textId="26D365CF">
      <w:pPr>
        <w:pStyle w:val="Text"/>
        <w:spacing w:line="400" w:lineRule="exact"/>
        <w:ind w:firstLine="0"/>
        <w:rPr>
          <w:color w:val="000000"/>
          <w:szCs w:val="26"/>
          <w:shd w:val="clear" w:color="auto" w:fill="FFFFFF"/>
        </w:rPr>
      </w:pPr>
      <w:r>
        <w:rPr>
          <w:color w:val="000000"/>
          <w:szCs w:val="26"/>
        </w:rPr>
        <w:tab/>
      </w:r>
      <w:r w:rsidR="005C0EC0">
        <w:rPr>
          <w:color w:val="000000"/>
          <w:szCs w:val="26"/>
        </w:rPr>
        <w:t>When the appellate courts decided the cases that led us to grant review here, they</w:t>
      </w:r>
      <w:r w:rsidR="005C0EC0">
        <w:rPr>
          <w:color w:val="000000"/>
          <w:szCs w:val="26"/>
          <w:bdr w:val="none" w:sz="0" w:space="0" w:color="auto" w:frame="1"/>
        </w:rPr>
        <w:t xml:space="preserve"> </w:t>
      </w:r>
      <w:r w:rsidR="00AD2BA1">
        <w:rPr>
          <w:color w:val="000000"/>
          <w:szCs w:val="26"/>
        </w:rPr>
        <w:t>understood their</w:t>
      </w:r>
      <w:r w:rsidRPr="00C54EC5">
        <w:rPr>
          <w:color w:val="000000"/>
          <w:szCs w:val="26"/>
        </w:rPr>
        <w:t xml:space="preserve"> </w:t>
      </w:r>
      <w:r>
        <w:rPr>
          <w:color w:val="000000"/>
          <w:szCs w:val="26"/>
        </w:rPr>
        <w:t>disagreement</w:t>
      </w:r>
      <w:r w:rsidRPr="00C54EC5">
        <w:rPr>
          <w:color w:val="000000"/>
          <w:szCs w:val="26"/>
        </w:rPr>
        <w:t xml:space="preserve"> </w:t>
      </w:r>
      <w:r w:rsidR="00AD2BA1">
        <w:rPr>
          <w:color w:val="000000"/>
          <w:szCs w:val="26"/>
        </w:rPr>
        <w:t>to be about the</w:t>
      </w:r>
      <w:r w:rsidR="001741E5">
        <w:rPr>
          <w:color w:val="000000"/>
          <w:szCs w:val="26"/>
        </w:rPr>
        <w:t xml:space="preserve"> implications of </w:t>
      </w:r>
      <w:r w:rsidRPr="00C54EC5" w:rsidR="005965DB">
        <w:rPr>
          <w:i/>
          <w:iCs/>
          <w:color w:val="000000"/>
          <w:szCs w:val="26"/>
        </w:rPr>
        <w:t>Sanchez</w:t>
      </w:r>
      <w:r w:rsidR="00FC3A2A">
        <w:rPr>
          <w:color w:val="000000"/>
          <w:szCs w:val="26"/>
        </w:rPr>
        <w:t xml:space="preserve">, </w:t>
      </w:r>
      <w:r w:rsidRPr="00816429" w:rsidR="00FC3A2A">
        <w:rPr>
          <w:i/>
          <w:iCs/>
          <w:color w:val="000000"/>
          <w:szCs w:val="26"/>
        </w:rPr>
        <w:t>supra</w:t>
      </w:r>
      <w:r w:rsidR="00FC3A2A">
        <w:rPr>
          <w:color w:val="000000"/>
          <w:szCs w:val="26"/>
        </w:rPr>
        <w:t>, 63 Cal.4th at page 686 (</w:t>
      </w:r>
      <w:r w:rsidR="00FC3A2A">
        <w:rPr>
          <w:color w:val="000000"/>
          <w:szCs w:val="26"/>
          <w:bdr w:val="none" w:sz="0" w:space="0" w:color="auto" w:frame="1"/>
          <w:shd w:val="clear" w:color="auto" w:fill="FFFFFF"/>
        </w:rPr>
        <w:t>a</w:t>
      </w:r>
      <w:r w:rsidRPr="00761DF6" w:rsidR="00FC3A2A">
        <w:rPr>
          <w:color w:val="000000"/>
          <w:szCs w:val="26"/>
          <w:bdr w:val="none" w:sz="0" w:space="0" w:color="auto" w:frame="1"/>
          <w:shd w:val="clear" w:color="auto" w:fill="FFFFFF"/>
        </w:rPr>
        <w:t xml:space="preserve">n expert may not </w:t>
      </w:r>
      <w:r w:rsidR="00FC3A2A">
        <w:rPr>
          <w:color w:val="000000"/>
          <w:szCs w:val="26"/>
          <w:bdr w:val="none" w:sz="0" w:space="0" w:color="auto" w:frame="1"/>
          <w:shd w:val="clear" w:color="auto" w:fill="FFFFFF"/>
        </w:rPr>
        <w:t>testify to</w:t>
      </w:r>
      <w:r w:rsidRPr="00761DF6" w:rsidR="00FC3A2A">
        <w:rPr>
          <w:color w:val="000000"/>
          <w:szCs w:val="26"/>
          <w:bdr w:val="none" w:sz="0" w:space="0" w:color="auto" w:frame="1"/>
          <w:shd w:val="clear" w:color="auto" w:fill="FFFFFF"/>
        </w:rPr>
        <w:t xml:space="preserve"> case-specific hearsay facts, about which the expert has no personal knowledge, “unless they are independently proven by competent evidence or are covered by a hearsay exception”</w:t>
      </w:r>
      <w:r w:rsidR="00FC3A2A">
        <w:rPr>
          <w:color w:val="000000"/>
          <w:szCs w:val="26"/>
          <w:bdr w:val="none" w:sz="0" w:space="0" w:color="auto" w:frame="1"/>
          <w:shd w:val="clear" w:color="auto" w:fill="FFFFFF"/>
        </w:rPr>
        <w:t>)</w:t>
      </w:r>
      <w:r w:rsidR="00626687">
        <w:rPr>
          <w:color w:val="000000"/>
          <w:szCs w:val="26"/>
          <w:bdr w:val="none" w:sz="0" w:space="0" w:color="auto" w:frame="1"/>
          <w:shd w:val="clear" w:color="auto" w:fill="FFFFFF"/>
        </w:rPr>
        <w:t>.</w:t>
      </w:r>
      <w:r w:rsidRPr="00816429" w:rsidR="00FC3A2A">
        <w:rPr>
          <w:color w:val="000000"/>
          <w:bdr w:val="none" w:sz="0" w:space="0" w:color="auto" w:frame="1"/>
          <w:shd w:val="clear" w:color="auto" w:fill="FFFFFF"/>
        </w:rPr>
        <w:t xml:space="preserve">  </w:t>
      </w:r>
      <w:r w:rsidRPr="00816429" w:rsidR="00E27BAA">
        <w:rPr>
          <w:color w:val="000000"/>
          <w:bdr w:val="none" w:sz="0" w:space="0" w:color="auto" w:frame="1"/>
          <w:shd w:val="clear" w:color="auto" w:fill="FFFFFF"/>
        </w:rPr>
        <w:t>(</w:t>
      </w:r>
      <w:r w:rsidRPr="00C54EC5" w:rsidR="003D1B54">
        <w:rPr>
          <w:i/>
          <w:iCs/>
          <w:color w:val="000000"/>
          <w:szCs w:val="26"/>
          <w:bdr w:val="none" w:sz="0" w:space="0" w:color="auto" w:frame="1"/>
        </w:rPr>
        <w:t>Walker</w:t>
      </w:r>
      <w:r w:rsidRPr="00C54EC5" w:rsidR="003D1B54">
        <w:rPr>
          <w:color w:val="000000"/>
          <w:szCs w:val="26"/>
          <w:bdr w:val="none" w:sz="0" w:space="0" w:color="auto" w:frame="1"/>
        </w:rPr>
        <w:t xml:space="preserve">, </w:t>
      </w:r>
      <w:r w:rsidRPr="00C54EC5" w:rsidR="003D1B54">
        <w:rPr>
          <w:i/>
          <w:iCs/>
          <w:color w:val="000000"/>
          <w:szCs w:val="26"/>
          <w:bdr w:val="none" w:sz="0" w:space="0" w:color="auto" w:frame="1"/>
        </w:rPr>
        <w:t>supra</w:t>
      </w:r>
      <w:r w:rsidRPr="00C54EC5" w:rsidR="003D1B54">
        <w:rPr>
          <w:color w:val="000000"/>
          <w:szCs w:val="26"/>
          <w:bdr w:val="none" w:sz="0" w:space="0" w:color="auto" w:frame="1"/>
        </w:rPr>
        <w:t xml:space="preserve">, 51 Cal.App.5th at </w:t>
      </w:r>
      <w:r w:rsidRPr="00C54EC5" w:rsidR="00EB7478">
        <w:rPr>
          <w:color w:val="000000"/>
          <w:szCs w:val="26"/>
          <w:bdr w:val="none" w:sz="0" w:space="0" w:color="auto" w:frame="1"/>
        </w:rPr>
        <w:t>p</w:t>
      </w:r>
      <w:r w:rsidRPr="00C54EC5" w:rsidR="003D1B54">
        <w:rPr>
          <w:color w:val="000000"/>
          <w:szCs w:val="26"/>
          <w:bdr w:val="none" w:sz="0" w:space="0" w:color="auto" w:frame="1"/>
        </w:rPr>
        <w:t>p. 694</w:t>
      </w:r>
      <w:r w:rsidRPr="00C54EC5" w:rsidR="00EB7478">
        <w:rPr>
          <w:color w:val="000000"/>
          <w:szCs w:val="26"/>
          <w:bdr w:val="none" w:sz="0" w:space="0" w:color="auto" w:frame="1"/>
        </w:rPr>
        <w:t>–695</w:t>
      </w:r>
      <w:r w:rsidRPr="00C54EC5" w:rsidR="000B1C04">
        <w:rPr>
          <w:color w:val="000000"/>
          <w:szCs w:val="26"/>
          <w:bdr w:val="none" w:sz="0" w:space="0" w:color="auto" w:frame="1"/>
        </w:rPr>
        <w:t xml:space="preserve">; </w:t>
      </w:r>
      <w:r w:rsidRPr="00C54EC5" w:rsidR="000B1C04">
        <w:rPr>
          <w:i/>
          <w:iCs/>
          <w:color w:val="000000"/>
          <w:szCs w:val="26"/>
          <w:bdr w:val="none" w:sz="0" w:space="0" w:color="auto" w:frame="1"/>
        </w:rPr>
        <w:t>Couthren</w:t>
      </w:r>
      <w:r w:rsidRPr="00C54EC5" w:rsidR="000B1C04">
        <w:rPr>
          <w:color w:val="000000"/>
          <w:szCs w:val="26"/>
        </w:rPr>
        <w:t>, </w:t>
      </w:r>
      <w:r w:rsidRPr="00C54EC5" w:rsidR="000B1C04">
        <w:rPr>
          <w:i/>
          <w:iCs/>
          <w:color w:val="000000"/>
          <w:szCs w:val="26"/>
          <w:bdr w:val="none" w:sz="0" w:space="0" w:color="auto" w:frame="1"/>
        </w:rPr>
        <w:t>supra</w:t>
      </w:r>
      <w:r w:rsidRPr="00C54EC5" w:rsidR="000B1C04">
        <w:rPr>
          <w:color w:val="000000"/>
          <w:szCs w:val="26"/>
        </w:rPr>
        <w:t xml:space="preserve">, 41 Cal.App.5th at pp. 1006, 1019–1021; </w:t>
      </w:r>
      <w:r w:rsidRPr="00C54EC5" w:rsidR="000B1C04">
        <w:rPr>
          <w:i/>
          <w:iCs/>
          <w:color w:val="000000"/>
          <w:szCs w:val="26"/>
          <w:bdr w:val="none" w:sz="0" w:space="0" w:color="auto" w:frame="1"/>
        </w:rPr>
        <w:t>Bennett</w:t>
      </w:r>
      <w:r w:rsidRPr="00C54EC5" w:rsidR="000B1C04">
        <w:rPr>
          <w:color w:val="000000"/>
          <w:szCs w:val="26"/>
        </w:rPr>
        <w:t>, </w:t>
      </w:r>
      <w:r w:rsidRPr="00C54EC5" w:rsidR="000B1C04">
        <w:rPr>
          <w:i/>
          <w:iCs/>
          <w:color w:val="000000"/>
          <w:szCs w:val="26"/>
          <w:bdr w:val="none" w:sz="0" w:space="0" w:color="auto" w:frame="1"/>
        </w:rPr>
        <w:t>supra</w:t>
      </w:r>
      <w:r w:rsidRPr="00C54EC5" w:rsidR="000B1C04">
        <w:rPr>
          <w:color w:val="000000"/>
          <w:szCs w:val="26"/>
        </w:rPr>
        <w:t xml:space="preserve">, 39 Cal.App.5th at pp. 878–880.)  </w:t>
      </w:r>
      <w:r w:rsidR="00816429">
        <w:rPr>
          <w:color w:val="000000"/>
          <w:szCs w:val="26"/>
        </w:rPr>
        <w:t xml:space="preserve">Though the parties’ briefing emphasized </w:t>
      </w:r>
      <w:r w:rsidR="00816429">
        <w:rPr>
          <w:i/>
          <w:iCs/>
          <w:color w:val="000000"/>
          <w:szCs w:val="26"/>
        </w:rPr>
        <w:t>Sanchez</w:t>
      </w:r>
      <w:r w:rsidR="00816429">
        <w:rPr>
          <w:color w:val="000000"/>
          <w:szCs w:val="26"/>
        </w:rPr>
        <w:t xml:space="preserve">, we </w:t>
      </w:r>
      <w:r w:rsidR="00AD2BA1">
        <w:rPr>
          <w:color w:val="000000"/>
          <w:szCs w:val="26"/>
        </w:rPr>
        <w:t xml:space="preserve">don’t need to further parse that case to decide this one.  </w:t>
      </w:r>
    </w:p>
    <w:p w:rsidR="00447EFB" w:rsidRPr="00761DF6" w:rsidP="00761DF6" w14:paraId="22C337E0" w14:textId="13EACE3A">
      <w:pPr>
        <w:pStyle w:val="Text"/>
        <w:spacing w:line="400" w:lineRule="exact"/>
        <w:ind w:firstLine="0"/>
        <w:rPr>
          <w:color w:val="000000"/>
          <w:szCs w:val="26"/>
          <w:bdr w:val="none" w:sz="0" w:space="0" w:color="auto" w:frame="1"/>
          <w:shd w:val="clear" w:color="auto" w:fill="FFFFFF"/>
        </w:rPr>
      </w:pPr>
      <w:r>
        <w:rPr>
          <w:color w:val="000000"/>
          <w:szCs w:val="26"/>
          <w:bdr w:val="none" w:sz="0" w:space="0" w:color="auto" w:frame="1"/>
          <w:shd w:val="clear" w:color="auto" w:fill="FFFFFF"/>
        </w:rPr>
        <w:tab/>
      </w:r>
      <w:r w:rsidR="00AC02F3">
        <w:rPr>
          <w:color w:val="000000"/>
          <w:szCs w:val="26"/>
          <w:bdr w:val="none" w:sz="0" w:space="0" w:color="auto" w:frame="1"/>
          <w:shd w:val="clear" w:color="auto" w:fill="FFFFFF"/>
        </w:rPr>
        <w:t xml:space="preserve">We </w:t>
      </w:r>
      <w:r w:rsidR="00A43E36">
        <w:rPr>
          <w:color w:val="000000"/>
          <w:szCs w:val="26"/>
          <w:bdr w:val="none" w:sz="0" w:space="0" w:color="auto" w:frame="1"/>
          <w:shd w:val="clear" w:color="auto" w:fill="FFFFFF"/>
        </w:rPr>
        <w:t>can</w:t>
      </w:r>
      <w:r w:rsidR="00AC02F3">
        <w:rPr>
          <w:color w:val="000000"/>
          <w:szCs w:val="26"/>
          <w:bdr w:val="none" w:sz="0" w:space="0" w:color="auto" w:frame="1"/>
          <w:shd w:val="clear" w:color="auto" w:fill="FFFFFF"/>
        </w:rPr>
        <w:t xml:space="preserve"> </w:t>
      </w:r>
      <w:r w:rsidR="00AD2BA1">
        <w:rPr>
          <w:color w:val="000000"/>
          <w:szCs w:val="26"/>
          <w:bdr w:val="none" w:sz="0" w:space="0" w:color="auto" w:frame="1"/>
          <w:shd w:val="clear" w:color="auto" w:fill="FFFFFF"/>
        </w:rPr>
        <w:t xml:space="preserve">instead </w:t>
      </w:r>
      <w:r w:rsidR="00AC02F3">
        <w:rPr>
          <w:color w:val="000000"/>
          <w:szCs w:val="26"/>
          <w:bdr w:val="none" w:sz="0" w:space="0" w:color="auto" w:frame="1"/>
          <w:shd w:val="clear" w:color="auto" w:fill="FFFFFF"/>
        </w:rPr>
        <w:t xml:space="preserve">resolve this case as a </w:t>
      </w:r>
      <w:r w:rsidR="00CA1ED4">
        <w:rPr>
          <w:color w:val="000000"/>
          <w:szCs w:val="26"/>
          <w:bdr w:val="none" w:sz="0" w:space="0" w:color="auto" w:frame="1"/>
          <w:shd w:val="clear" w:color="auto" w:fill="FFFFFF"/>
        </w:rPr>
        <w:t xml:space="preserve">straightforward </w:t>
      </w:r>
      <w:r w:rsidR="00AC02F3">
        <w:rPr>
          <w:color w:val="000000"/>
          <w:szCs w:val="26"/>
          <w:bdr w:val="none" w:sz="0" w:space="0" w:color="auto" w:frame="1"/>
          <w:shd w:val="clear" w:color="auto" w:fill="FFFFFF"/>
        </w:rPr>
        <w:t>question of statutory interpretation</w:t>
      </w:r>
      <w:r w:rsidR="004E5489">
        <w:rPr>
          <w:color w:val="000000"/>
          <w:szCs w:val="26"/>
          <w:bdr w:val="none" w:sz="0" w:space="0" w:color="auto" w:frame="1"/>
          <w:shd w:val="clear" w:color="auto" w:fill="FFFFFF"/>
        </w:rPr>
        <w:t xml:space="preserve">: </w:t>
      </w:r>
      <w:r w:rsidR="00F74D38">
        <w:rPr>
          <w:color w:val="000000"/>
          <w:szCs w:val="26"/>
          <w:bdr w:val="none" w:sz="0" w:space="0" w:color="auto" w:frame="1"/>
          <w:shd w:val="clear" w:color="auto" w:fill="FFFFFF"/>
        </w:rPr>
        <w:t xml:space="preserve"> </w:t>
      </w:r>
      <w:r w:rsidR="00B7765A">
        <w:rPr>
          <w:color w:val="000000"/>
          <w:szCs w:val="26"/>
          <w:bdr w:val="none" w:sz="0" w:space="0" w:color="auto" w:frame="1"/>
          <w:shd w:val="clear" w:color="auto" w:fill="FFFFFF"/>
        </w:rPr>
        <w:t>whether</w:t>
      </w:r>
      <w:r w:rsidR="00D2770D">
        <w:rPr>
          <w:color w:val="000000"/>
          <w:szCs w:val="26"/>
          <w:bdr w:val="none" w:sz="0" w:space="0" w:color="auto" w:frame="1"/>
          <w:shd w:val="clear" w:color="auto" w:fill="FFFFFF"/>
        </w:rPr>
        <w:t xml:space="preserve"> the</w:t>
      </w:r>
      <w:r w:rsidR="00AC02F3">
        <w:rPr>
          <w:color w:val="000000"/>
          <w:szCs w:val="26"/>
          <w:bdr w:val="none" w:sz="0" w:space="0" w:color="auto" w:frame="1"/>
          <w:shd w:val="clear" w:color="auto" w:fill="FFFFFF"/>
        </w:rPr>
        <w:t xml:space="preserve"> SVPA </w:t>
      </w:r>
      <w:r w:rsidRPr="00761DF6" w:rsidR="00ED47DD">
        <w:rPr>
          <w:color w:val="000000"/>
          <w:szCs w:val="26"/>
          <w:bdr w:val="none" w:sz="0" w:space="0" w:color="auto" w:frame="1"/>
          <w:shd w:val="clear" w:color="auto" w:fill="FFFFFF"/>
        </w:rPr>
        <w:t>or decisional law</w:t>
      </w:r>
      <w:r w:rsidR="00E23DB4">
        <w:rPr>
          <w:color w:val="000000"/>
          <w:szCs w:val="26"/>
          <w:bdr w:val="none" w:sz="0" w:space="0" w:color="auto" w:frame="1"/>
          <w:shd w:val="clear" w:color="auto" w:fill="FFFFFF"/>
        </w:rPr>
        <w:t xml:space="preserve"> </w:t>
      </w:r>
      <w:r w:rsidR="00AD276F">
        <w:rPr>
          <w:color w:val="000000"/>
          <w:szCs w:val="26"/>
          <w:bdr w:val="none" w:sz="0" w:space="0" w:color="auto" w:frame="1"/>
          <w:shd w:val="clear" w:color="auto" w:fill="FFFFFF"/>
        </w:rPr>
        <w:t>on the statu</w:t>
      </w:r>
      <w:r w:rsidR="004E5489">
        <w:rPr>
          <w:color w:val="000000"/>
          <w:szCs w:val="26"/>
          <w:bdr w:val="none" w:sz="0" w:space="0" w:color="auto" w:frame="1"/>
          <w:shd w:val="clear" w:color="auto" w:fill="FFFFFF"/>
        </w:rPr>
        <w:t>t</w:t>
      </w:r>
      <w:r w:rsidR="00AD276F">
        <w:rPr>
          <w:color w:val="000000"/>
          <w:szCs w:val="26"/>
          <w:bdr w:val="none" w:sz="0" w:space="0" w:color="auto" w:frame="1"/>
          <w:shd w:val="clear" w:color="auto" w:fill="FFFFFF"/>
        </w:rPr>
        <w:t xml:space="preserve">e </w:t>
      </w:r>
      <w:r w:rsidR="00AC02F3">
        <w:rPr>
          <w:color w:val="000000"/>
          <w:szCs w:val="26"/>
          <w:bdr w:val="none" w:sz="0" w:space="0" w:color="auto" w:frame="1"/>
          <w:shd w:val="clear" w:color="auto" w:fill="FFFFFF"/>
        </w:rPr>
        <w:t xml:space="preserve">create a hearsay exception covering expert report </w:t>
      </w:r>
      <w:r w:rsidRPr="00921050" w:rsidR="00AC02F3">
        <w:rPr>
          <w:color w:val="000000"/>
          <w:szCs w:val="26"/>
          <w:bdr w:val="none" w:sz="0" w:space="0" w:color="auto" w:frame="1"/>
          <w:shd w:val="clear" w:color="auto" w:fill="FFFFFF"/>
        </w:rPr>
        <w:t>content like what’s at issue here</w:t>
      </w:r>
      <w:r w:rsidRPr="00921050" w:rsidR="008A2752">
        <w:rPr>
          <w:color w:val="000000"/>
          <w:szCs w:val="26"/>
          <w:bdr w:val="none" w:sz="0" w:space="0" w:color="auto" w:frame="1"/>
          <w:shd w:val="clear" w:color="auto" w:fill="FFFFFF"/>
        </w:rPr>
        <w:t xml:space="preserve">.  </w:t>
      </w:r>
      <w:r w:rsidRPr="00921050">
        <w:rPr>
          <w:color w:val="000000"/>
          <w:szCs w:val="26"/>
          <w:bdr w:val="none" w:sz="0" w:space="0" w:color="auto" w:frame="1"/>
          <w:shd w:val="clear" w:color="auto" w:fill="FFFFFF"/>
        </w:rPr>
        <w:t>(</w:t>
      </w:r>
      <w:r w:rsidRPr="00921050" w:rsidR="003B5A7D">
        <w:rPr>
          <w:color w:val="000000"/>
          <w:szCs w:val="26"/>
          <w:shd w:val="clear" w:color="auto" w:fill="FFFFFF"/>
        </w:rPr>
        <w:t xml:space="preserve">Evid. Code, § </w:t>
      </w:r>
      <w:r w:rsidRPr="00921050" w:rsidR="00555141">
        <w:rPr>
          <w:color w:val="000000"/>
          <w:szCs w:val="26"/>
          <w:shd w:val="clear" w:color="auto" w:fill="FFFFFF"/>
        </w:rPr>
        <w:t>1200, subds. (a), (b)</w:t>
      </w:r>
      <w:r w:rsidRPr="00921050" w:rsidR="003B5A7D">
        <w:rPr>
          <w:color w:val="000000"/>
          <w:szCs w:val="26"/>
          <w:shd w:val="clear" w:color="auto" w:fill="FFFFFF"/>
        </w:rPr>
        <w:t xml:space="preserve">; </w:t>
      </w:r>
      <w:r w:rsidRPr="00921050" w:rsidR="005F0CB8">
        <w:rPr>
          <w:i/>
          <w:iCs/>
          <w:color w:val="000000"/>
          <w:szCs w:val="26"/>
          <w:bdr w:val="none" w:sz="0" w:space="0" w:color="auto" w:frame="1"/>
          <w:shd w:val="clear" w:color="auto" w:fill="FFFFFF"/>
        </w:rPr>
        <w:t xml:space="preserve">People v. </w:t>
      </w:r>
      <w:r w:rsidRPr="00921050">
        <w:rPr>
          <w:i/>
          <w:iCs/>
          <w:color w:val="000000"/>
          <w:szCs w:val="26"/>
          <w:bdr w:val="none" w:sz="0" w:space="0" w:color="auto" w:frame="1"/>
          <w:shd w:val="clear" w:color="auto" w:fill="FFFFFF"/>
        </w:rPr>
        <w:t>Otto</w:t>
      </w:r>
      <w:r w:rsidRPr="00761DF6" w:rsidR="005F0CB8">
        <w:rPr>
          <w:color w:val="000000"/>
          <w:szCs w:val="26"/>
          <w:bdr w:val="none" w:sz="0" w:space="0" w:color="auto" w:frame="1"/>
          <w:shd w:val="clear" w:color="auto" w:fill="FFFFFF"/>
        </w:rPr>
        <w:t xml:space="preserve"> (2001) </w:t>
      </w:r>
      <w:r w:rsidRPr="00761DF6">
        <w:rPr>
          <w:color w:val="000000"/>
          <w:szCs w:val="26"/>
          <w:bdr w:val="none" w:sz="0" w:space="0" w:color="auto" w:frame="1"/>
          <w:shd w:val="clear" w:color="auto" w:fill="FFFFFF"/>
        </w:rPr>
        <w:t xml:space="preserve">26 Cal.4th </w:t>
      </w:r>
      <w:r w:rsidRPr="00761DF6" w:rsidR="003B5A7D">
        <w:rPr>
          <w:color w:val="000000"/>
          <w:szCs w:val="26"/>
          <w:bdr w:val="none" w:sz="0" w:space="0" w:color="auto" w:frame="1"/>
          <w:shd w:val="clear" w:color="auto" w:fill="FFFFFF"/>
        </w:rPr>
        <w:t xml:space="preserve">200, </w:t>
      </w:r>
      <w:r w:rsidRPr="00761DF6">
        <w:rPr>
          <w:color w:val="000000"/>
          <w:szCs w:val="26"/>
          <w:bdr w:val="none" w:sz="0" w:space="0" w:color="auto" w:frame="1"/>
          <w:shd w:val="clear" w:color="auto" w:fill="FFFFFF"/>
        </w:rPr>
        <w:t>207</w:t>
      </w:r>
      <w:r w:rsidRPr="00761DF6" w:rsidR="00637DBA">
        <w:rPr>
          <w:color w:val="000000"/>
          <w:szCs w:val="26"/>
          <w:bdr w:val="none" w:sz="0" w:space="0" w:color="auto" w:frame="1"/>
          <w:shd w:val="clear" w:color="auto" w:fill="FFFFFF"/>
        </w:rPr>
        <w:t xml:space="preserve"> (</w:t>
      </w:r>
      <w:r w:rsidRPr="00761DF6" w:rsidR="00637DBA">
        <w:rPr>
          <w:i/>
          <w:iCs/>
          <w:color w:val="000000"/>
          <w:szCs w:val="26"/>
          <w:bdr w:val="none" w:sz="0" w:space="0" w:color="auto" w:frame="1"/>
          <w:shd w:val="clear" w:color="auto" w:fill="FFFFFF"/>
        </w:rPr>
        <w:t>Otto</w:t>
      </w:r>
      <w:r w:rsidRPr="00761DF6" w:rsidR="00637DBA">
        <w:rPr>
          <w:color w:val="000000"/>
          <w:szCs w:val="26"/>
          <w:bdr w:val="none" w:sz="0" w:space="0" w:color="auto" w:frame="1"/>
          <w:shd w:val="clear" w:color="auto" w:fill="FFFFFF"/>
        </w:rPr>
        <w:t>)</w:t>
      </w:r>
      <w:r w:rsidRPr="00761DF6" w:rsidR="003B5A7D">
        <w:rPr>
          <w:color w:val="000000"/>
          <w:szCs w:val="26"/>
          <w:bdr w:val="none" w:sz="0" w:space="0" w:color="auto" w:frame="1"/>
          <w:shd w:val="clear" w:color="auto" w:fill="FFFFFF"/>
        </w:rPr>
        <w:t xml:space="preserve"> </w:t>
      </w:r>
      <w:r w:rsidRPr="00761DF6">
        <w:rPr>
          <w:color w:val="000000"/>
          <w:szCs w:val="26"/>
          <w:bdr w:val="none" w:sz="0" w:space="0" w:color="auto" w:frame="1"/>
          <w:shd w:val="clear" w:color="auto" w:fill="FFFFFF"/>
        </w:rPr>
        <w:t>[“</w:t>
      </w:r>
      <w:r w:rsidR="00A90845">
        <w:rPr>
          <w:color w:val="000000"/>
          <w:szCs w:val="26"/>
          <w:bdr w:val="none" w:sz="0" w:space="0" w:color="auto" w:frame="1"/>
          <w:shd w:val="clear" w:color="auto" w:fill="FFFFFF"/>
        </w:rPr>
        <w:t> </w:t>
      </w:r>
      <w:r w:rsidRPr="00761DF6">
        <w:rPr>
          <w:color w:val="000000"/>
          <w:szCs w:val="26"/>
          <w:bdr w:val="none" w:sz="0" w:space="0" w:color="auto" w:frame="1"/>
          <w:shd w:val="clear" w:color="auto" w:fill="FFFFFF"/>
        </w:rPr>
        <w:t>‘[E]xceptions to the hearsay rule</w:t>
      </w:r>
      <w:r w:rsidR="0067625C">
        <w:rPr>
          <w:color w:val="000000"/>
          <w:szCs w:val="26"/>
          <w:bdr w:val="none" w:sz="0" w:space="0" w:color="auto" w:frame="1"/>
          <w:shd w:val="clear" w:color="auto" w:fill="FFFFFF"/>
        </w:rPr>
        <w:t xml:space="preserve"> [in Evidence Code section 1200]</w:t>
      </w:r>
      <w:r w:rsidRPr="00761DF6">
        <w:rPr>
          <w:color w:val="000000"/>
          <w:szCs w:val="26"/>
          <w:bdr w:val="none" w:sz="0" w:space="0" w:color="auto" w:frame="1"/>
          <w:shd w:val="clear" w:color="auto" w:fill="FFFFFF"/>
        </w:rPr>
        <w:t xml:space="preserve"> </w:t>
      </w:r>
      <w:r w:rsidR="00570158">
        <w:rPr>
          <w:color w:val="000000"/>
          <w:szCs w:val="26"/>
          <w:bdr w:val="none" w:sz="0" w:space="0" w:color="auto" w:frame="1"/>
          <w:shd w:val="clear" w:color="auto" w:fill="FFFFFF"/>
        </w:rPr>
        <w:t>. . .</w:t>
      </w:r>
      <w:r w:rsidRPr="00761DF6">
        <w:rPr>
          <w:color w:val="000000"/>
          <w:szCs w:val="26"/>
          <w:bdr w:val="none" w:sz="0" w:space="0" w:color="auto" w:frame="1"/>
          <w:shd w:val="clear" w:color="auto" w:fill="FFFFFF"/>
        </w:rPr>
        <w:t xml:space="preserve"> may </w:t>
      </w:r>
      <w:r w:rsidR="00B642F4">
        <w:rPr>
          <w:color w:val="000000"/>
          <w:szCs w:val="26"/>
          <w:bdr w:val="none" w:sz="0" w:space="0" w:color="auto" w:frame="1"/>
          <w:shd w:val="clear" w:color="auto" w:fill="FFFFFF"/>
        </w:rPr>
        <w:t>. . .</w:t>
      </w:r>
      <w:r w:rsidRPr="00761DF6">
        <w:rPr>
          <w:color w:val="000000"/>
          <w:szCs w:val="26"/>
          <w:bdr w:val="none" w:sz="0" w:space="0" w:color="auto" w:frame="1"/>
          <w:shd w:val="clear" w:color="auto" w:fill="FFFFFF"/>
        </w:rPr>
        <w:t xml:space="preserve"> be found in other codes and decisional law’</w:t>
      </w:r>
      <w:r w:rsidR="00A90845">
        <w:rPr>
          <w:color w:val="000000"/>
          <w:szCs w:val="26"/>
          <w:bdr w:val="none" w:sz="0" w:space="0" w:color="auto" w:frame="1"/>
          <w:shd w:val="clear" w:color="auto" w:fill="FFFFFF"/>
        </w:rPr>
        <w:t> </w:t>
      </w:r>
      <w:r w:rsidRPr="00761DF6">
        <w:rPr>
          <w:color w:val="000000"/>
          <w:szCs w:val="26"/>
          <w:bdr w:val="none" w:sz="0" w:space="0" w:color="auto" w:frame="1"/>
          <w:shd w:val="clear" w:color="auto" w:fill="FFFFFF"/>
        </w:rPr>
        <w:t>”]</w:t>
      </w:r>
      <w:r w:rsidR="00321271">
        <w:rPr>
          <w:color w:val="000000"/>
          <w:szCs w:val="26"/>
          <w:bdr w:val="none" w:sz="0" w:space="0" w:color="auto" w:frame="1"/>
          <w:shd w:val="clear" w:color="auto" w:fill="FFFFFF"/>
        </w:rPr>
        <w:t xml:space="preserve">; </w:t>
      </w:r>
      <w:r w:rsidRPr="00321271" w:rsidR="00321271">
        <w:rPr>
          <w:i/>
          <w:iCs/>
          <w:color w:val="000000"/>
          <w:szCs w:val="26"/>
          <w:bdr w:val="none" w:sz="0" w:space="0" w:color="auto" w:frame="1"/>
          <w:shd w:val="clear" w:color="auto" w:fill="FFFFFF"/>
        </w:rPr>
        <w:t>Sanchez</w:t>
      </w:r>
      <w:r w:rsidR="00321271">
        <w:rPr>
          <w:color w:val="000000"/>
          <w:szCs w:val="26"/>
          <w:bdr w:val="none" w:sz="0" w:space="0" w:color="auto" w:frame="1"/>
          <w:shd w:val="clear" w:color="auto" w:fill="FFFFFF"/>
        </w:rPr>
        <w:t xml:space="preserve">, </w:t>
      </w:r>
      <w:r w:rsidRPr="00E61222" w:rsidR="001326EC">
        <w:rPr>
          <w:i/>
          <w:iCs/>
          <w:color w:val="000000"/>
          <w:szCs w:val="26"/>
          <w:bdr w:val="none" w:sz="0" w:space="0" w:color="auto" w:frame="1"/>
          <w:shd w:val="clear" w:color="auto" w:fill="FFFFFF"/>
        </w:rPr>
        <w:t>supra</w:t>
      </w:r>
      <w:r w:rsidR="001326EC">
        <w:rPr>
          <w:color w:val="000000"/>
          <w:szCs w:val="26"/>
          <w:bdr w:val="none" w:sz="0" w:space="0" w:color="auto" w:frame="1"/>
          <w:shd w:val="clear" w:color="auto" w:fill="FFFFFF"/>
        </w:rPr>
        <w:t xml:space="preserve">, 63 Cal.4th </w:t>
      </w:r>
      <w:r w:rsidRPr="00761DF6" w:rsidR="00321271">
        <w:rPr>
          <w:szCs w:val="26"/>
        </w:rPr>
        <w:t>at p</w:t>
      </w:r>
      <w:r w:rsidR="00321271">
        <w:rPr>
          <w:szCs w:val="26"/>
        </w:rPr>
        <w:t>. 686</w:t>
      </w:r>
      <w:r w:rsidR="00B1373A">
        <w:rPr>
          <w:szCs w:val="26"/>
        </w:rPr>
        <w:t>.)</w:t>
      </w:r>
      <w:r w:rsidR="00DB7BDE">
        <w:rPr>
          <w:szCs w:val="26"/>
        </w:rPr>
        <w:t xml:space="preserve">  The parties agree that this </w:t>
      </w:r>
      <w:r w:rsidR="00683549">
        <w:rPr>
          <w:szCs w:val="26"/>
        </w:rPr>
        <w:t>case turns on whether either source creates a hearsay exception</w:t>
      </w:r>
      <w:r w:rsidR="00EA2C75">
        <w:rPr>
          <w:szCs w:val="26"/>
        </w:rPr>
        <w:t xml:space="preserve"> for </w:t>
      </w:r>
      <w:r w:rsidR="003504C3">
        <w:rPr>
          <w:szCs w:val="26"/>
        </w:rPr>
        <w:t xml:space="preserve">content in an </w:t>
      </w:r>
      <w:r w:rsidR="00EA2C75">
        <w:rPr>
          <w:szCs w:val="26"/>
        </w:rPr>
        <w:t xml:space="preserve">expert report </w:t>
      </w:r>
      <w:r w:rsidR="003504C3">
        <w:rPr>
          <w:szCs w:val="26"/>
        </w:rPr>
        <w:t>concerning offenses that are not predicate offenses</w:t>
      </w:r>
      <w:r w:rsidR="00E07E5C">
        <w:rPr>
          <w:szCs w:val="26"/>
        </w:rPr>
        <w:t>.</w:t>
      </w:r>
    </w:p>
    <w:p w:rsidR="006B5277" w:rsidP="00761DF6" w14:paraId="084D6B07" w14:textId="76EBDDD5">
      <w:pPr>
        <w:shd w:val="clear" w:color="auto" w:fill="FFFFFF"/>
        <w:textAlignment w:val="baseline"/>
        <w:rPr>
          <w:szCs w:val="26"/>
        </w:rPr>
      </w:pPr>
      <w:r w:rsidRPr="00761DF6">
        <w:rPr>
          <w:color w:val="000000"/>
          <w:szCs w:val="26"/>
          <w:bdr w:val="none" w:sz="0" w:space="0" w:color="auto" w:frame="1"/>
          <w:shd w:val="clear" w:color="auto" w:fill="FFFFFF"/>
        </w:rPr>
        <w:tab/>
      </w:r>
      <w:r w:rsidRPr="00761DF6">
        <w:rPr>
          <w:i/>
          <w:iCs/>
          <w:color w:val="000000"/>
          <w:szCs w:val="26"/>
          <w:bdr w:val="none" w:sz="0" w:space="0" w:color="auto" w:frame="1"/>
          <w:shd w:val="clear" w:color="auto" w:fill="FFFFFF"/>
        </w:rPr>
        <w:t>Bennett</w:t>
      </w:r>
      <w:r w:rsidRPr="00761DF6">
        <w:rPr>
          <w:color w:val="000000"/>
          <w:szCs w:val="26"/>
          <w:bdr w:val="none" w:sz="0" w:space="0" w:color="auto" w:frame="1"/>
          <w:shd w:val="clear" w:color="auto" w:fill="FFFFFF"/>
        </w:rPr>
        <w:t xml:space="preserve"> and </w:t>
      </w:r>
      <w:r w:rsidRPr="00761DF6">
        <w:rPr>
          <w:i/>
          <w:iCs/>
          <w:color w:val="000000"/>
          <w:szCs w:val="26"/>
          <w:bdr w:val="none" w:sz="0" w:space="0" w:color="auto" w:frame="1"/>
          <w:shd w:val="clear" w:color="auto" w:fill="FFFFFF"/>
        </w:rPr>
        <w:t>Couthren</w:t>
      </w:r>
      <w:r w:rsidRPr="00761DF6">
        <w:rPr>
          <w:color w:val="000000"/>
          <w:szCs w:val="26"/>
          <w:bdr w:val="none" w:sz="0" w:space="0" w:color="auto" w:frame="1"/>
          <w:shd w:val="clear" w:color="auto" w:fill="FFFFFF"/>
        </w:rPr>
        <w:t xml:space="preserve"> answered this question in the negative.  </w:t>
      </w:r>
      <w:r w:rsidR="00BD25C8">
        <w:rPr>
          <w:color w:val="000000"/>
          <w:szCs w:val="26"/>
          <w:bdr w:val="none" w:sz="0" w:space="0" w:color="auto" w:frame="1"/>
          <w:shd w:val="clear" w:color="auto" w:fill="FFFFFF"/>
        </w:rPr>
        <w:t>But the</w:t>
      </w:r>
      <w:r w:rsidRPr="00761DF6">
        <w:rPr>
          <w:color w:val="000000"/>
          <w:szCs w:val="26"/>
          <w:bdr w:val="none" w:sz="0" w:space="0" w:color="auto" w:frame="1"/>
          <w:shd w:val="clear" w:color="auto" w:fill="FFFFFF"/>
        </w:rPr>
        <w:t xml:space="preserve"> Court of Appeal here disagreed</w:t>
      </w:r>
      <w:r w:rsidRPr="00761DF6" w:rsidR="00FD1534">
        <w:rPr>
          <w:color w:val="000000"/>
          <w:szCs w:val="26"/>
          <w:bdr w:val="none" w:sz="0" w:space="0" w:color="auto" w:frame="1"/>
          <w:shd w:val="clear" w:color="auto" w:fill="FFFFFF"/>
        </w:rPr>
        <w:t>.</w:t>
      </w:r>
      <w:r w:rsidRPr="00761DF6">
        <w:rPr>
          <w:color w:val="000000"/>
          <w:szCs w:val="26"/>
          <w:bdr w:val="none" w:sz="0" w:space="0" w:color="auto" w:frame="1"/>
          <w:shd w:val="clear" w:color="auto" w:fill="FFFFFF"/>
        </w:rPr>
        <w:t xml:space="preserve"> </w:t>
      </w:r>
      <w:r w:rsidRPr="00761DF6" w:rsidR="00FD1534">
        <w:rPr>
          <w:color w:val="000000"/>
          <w:szCs w:val="26"/>
          <w:bdr w:val="none" w:sz="0" w:space="0" w:color="auto" w:frame="1"/>
          <w:shd w:val="clear" w:color="auto" w:fill="FFFFFF"/>
        </w:rPr>
        <w:t xml:space="preserve"> It </w:t>
      </w:r>
      <w:r w:rsidRPr="00761DF6">
        <w:rPr>
          <w:color w:val="000000"/>
          <w:szCs w:val="26"/>
          <w:bdr w:val="none" w:sz="0" w:space="0" w:color="auto" w:frame="1"/>
          <w:shd w:val="clear" w:color="auto" w:fill="FFFFFF"/>
        </w:rPr>
        <w:t>h</w:t>
      </w:r>
      <w:r w:rsidRPr="00761DF6" w:rsidR="00FD1534">
        <w:rPr>
          <w:color w:val="000000"/>
          <w:szCs w:val="26"/>
          <w:bdr w:val="none" w:sz="0" w:space="0" w:color="auto" w:frame="1"/>
          <w:shd w:val="clear" w:color="auto" w:fill="FFFFFF"/>
        </w:rPr>
        <w:t>eld</w:t>
      </w:r>
      <w:r w:rsidRPr="00761DF6">
        <w:rPr>
          <w:color w:val="000000"/>
          <w:szCs w:val="26"/>
          <w:bdr w:val="none" w:sz="0" w:space="0" w:color="auto" w:frame="1"/>
          <w:shd w:val="clear" w:color="auto" w:fill="FFFFFF"/>
        </w:rPr>
        <w:t xml:space="preserve"> </w:t>
      </w:r>
      <w:r w:rsidRPr="00761DF6" w:rsidR="00892CCD">
        <w:rPr>
          <w:color w:val="000000"/>
          <w:szCs w:val="26"/>
          <w:bdr w:val="none" w:sz="0" w:space="0" w:color="auto" w:frame="1"/>
          <w:shd w:val="clear" w:color="auto" w:fill="FFFFFF"/>
        </w:rPr>
        <w:t xml:space="preserve">that </w:t>
      </w:r>
      <w:r w:rsidRPr="00761DF6" w:rsidR="00D94E93">
        <w:rPr>
          <w:color w:val="000000"/>
          <w:szCs w:val="26"/>
          <w:bdr w:val="none" w:sz="0" w:space="0" w:color="auto" w:frame="1"/>
          <w:shd w:val="clear" w:color="auto" w:fill="FFFFFF"/>
        </w:rPr>
        <w:t>section 6602</w:t>
      </w:r>
      <w:r w:rsidRPr="00761DF6" w:rsidR="00000A10">
        <w:rPr>
          <w:color w:val="000000"/>
          <w:szCs w:val="26"/>
          <w:bdr w:val="none" w:sz="0" w:space="0" w:color="auto" w:frame="1"/>
          <w:shd w:val="clear" w:color="auto" w:fill="FFFFFF"/>
        </w:rPr>
        <w:t xml:space="preserve"> and </w:t>
      </w:r>
      <w:r w:rsidRPr="00761DF6" w:rsidR="00516BBE">
        <w:rPr>
          <w:color w:val="000000"/>
          <w:szCs w:val="26"/>
          <w:bdr w:val="none" w:sz="0" w:space="0" w:color="auto" w:frame="1"/>
          <w:shd w:val="clear" w:color="auto" w:fill="FFFFFF"/>
        </w:rPr>
        <w:t xml:space="preserve">prior </w:t>
      </w:r>
      <w:r w:rsidRPr="00761DF6" w:rsidR="00000A10">
        <w:rPr>
          <w:color w:val="000000"/>
          <w:szCs w:val="26"/>
          <w:bdr w:val="none" w:sz="0" w:space="0" w:color="auto" w:frame="1"/>
          <w:shd w:val="clear" w:color="auto" w:fill="FFFFFF"/>
        </w:rPr>
        <w:t xml:space="preserve">interpretations of the </w:t>
      </w:r>
      <w:r w:rsidRPr="00761DF6" w:rsidR="00892CCD">
        <w:rPr>
          <w:color w:val="000000"/>
          <w:szCs w:val="26"/>
          <w:bdr w:val="none" w:sz="0" w:space="0" w:color="auto" w:frame="1"/>
          <w:shd w:val="clear" w:color="auto" w:fill="FFFFFF"/>
        </w:rPr>
        <w:t>SVPA</w:t>
      </w:r>
      <w:r w:rsidRPr="00761DF6" w:rsidR="00000A10">
        <w:rPr>
          <w:color w:val="000000"/>
          <w:szCs w:val="26"/>
          <w:bdr w:val="none" w:sz="0" w:space="0" w:color="auto" w:frame="1"/>
          <w:shd w:val="clear" w:color="auto" w:fill="FFFFFF"/>
        </w:rPr>
        <w:t xml:space="preserve"> </w:t>
      </w:r>
      <w:r w:rsidRPr="00761DF6">
        <w:rPr>
          <w:color w:val="000000"/>
          <w:szCs w:val="26"/>
          <w:bdr w:val="none" w:sz="0" w:space="0" w:color="auto" w:frame="1"/>
          <w:shd w:val="clear" w:color="auto" w:fill="FFFFFF"/>
        </w:rPr>
        <w:t xml:space="preserve">establish a hearsay exception </w:t>
      </w:r>
      <w:r w:rsidRPr="00761DF6">
        <w:rPr>
          <w:szCs w:val="26"/>
        </w:rPr>
        <w:t xml:space="preserve">that permits trial courts at probable cause hearings to </w:t>
      </w:r>
      <w:r w:rsidRPr="00761DF6" w:rsidR="00892CCD">
        <w:rPr>
          <w:szCs w:val="26"/>
        </w:rPr>
        <w:t xml:space="preserve">broadly admit </w:t>
      </w:r>
      <w:r w:rsidRPr="009D0911" w:rsidR="00ED47DD">
        <w:rPr>
          <w:i/>
          <w:iCs/>
          <w:szCs w:val="26"/>
        </w:rPr>
        <w:t>any</w:t>
      </w:r>
      <w:r w:rsidR="00ED47DD">
        <w:rPr>
          <w:szCs w:val="26"/>
        </w:rPr>
        <w:t xml:space="preserve"> </w:t>
      </w:r>
      <w:r w:rsidRPr="00761DF6">
        <w:rPr>
          <w:szCs w:val="26"/>
        </w:rPr>
        <w:t xml:space="preserve">hearsay </w:t>
      </w:r>
      <w:r w:rsidRPr="00761DF6" w:rsidR="00B936E6">
        <w:rPr>
          <w:szCs w:val="26"/>
        </w:rPr>
        <w:t>in</w:t>
      </w:r>
      <w:r w:rsidRPr="00761DF6">
        <w:rPr>
          <w:szCs w:val="26"/>
        </w:rPr>
        <w:t xml:space="preserve"> evaluations.  What we conclude from </w:t>
      </w:r>
      <w:r w:rsidRPr="00761DF6" w:rsidR="00000A10">
        <w:rPr>
          <w:szCs w:val="26"/>
        </w:rPr>
        <w:t>our</w:t>
      </w:r>
      <w:r w:rsidRPr="00761DF6" w:rsidR="00F16A1B">
        <w:rPr>
          <w:szCs w:val="26"/>
        </w:rPr>
        <w:t xml:space="preserve"> analysis of the</w:t>
      </w:r>
      <w:r w:rsidRPr="00761DF6">
        <w:rPr>
          <w:szCs w:val="26"/>
        </w:rPr>
        <w:t xml:space="preserve"> SVPA and case</w:t>
      </w:r>
      <w:r w:rsidR="00B966DC">
        <w:rPr>
          <w:szCs w:val="26"/>
        </w:rPr>
        <w:t>s</w:t>
      </w:r>
      <w:r w:rsidRPr="00761DF6" w:rsidR="00845307">
        <w:rPr>
          <w:szCs w:val="26"/>
        </w:rPr>
        <w:t xml:space="preserve"> interpreting the Act</w:t>
      </w:r>
      <w:r w:rsidRPr="00761DF6">
        <w:rPr>
          <w:szCs w:val="26"/>
        </w:rPr>
        <w:t xml:space="preserve"> is </w:t>
      </w:r>
      <w:r w:rsidRPr="00761DF6" w:rsidR="00942A4F">
        <w:rPr>
          <w:szCs w:val="26"/>
        </w:rPr>
        <w:t xml:space="preserve">that, as </w:t>
      </w:r>
      <w:r w:rsidRPr="00761DF6" w:rsidR="00942A4F">
        <w:rPr>
          <w:i/>
          <w:iCs/>
          <w:szCs w:val="26"/>
        </w:rPr>
        <w:t xml:space="preserve">Bennett </w:t>
      </w:r>
      <w:r w:rsidRPr="00761DF6" w:rsidR="00942A4F">
        <w:rPr>
          <w:szCs w:val="26"/>
        </w:rPr>
        <w:t xml:space="preserve">and </w:t>
      </w:r>
      <w:r w:rsidRPr="00761DF6" w:rsidR="00942A4F">
        <w:rPr>
          <w:i/>
          <w:iCs/>
          <w:szCs w:val="26"/>
        </w:rPr>
        <w:t>Couthren</w:t>
      </w:r>
      <w:r w:rsidRPr="00761DF6" w:rsidR="00942A4F">
        <w:rPr>
          <w:szCs w:val="26"/>
        </w:rPr>
        <w:t xml:space="preserve"> </w:t>
      </w:r>
      <w:r w:rsidRPr="00761DF6" w:rsidR="004429EF">
        <w:rPr>
          <w:szCs w:val="26"/>
        </w:rPr>
        <w:t>reasoned</w:t>
      </w:r>
      <w:r w:rsidR="004C61F6">
        <w:rPr>
          <w:szCs w:val="26"/>
        </w:rPr>
        <w:t xml:space="preserve"> and </w:t>
      </w:r>
      <w:r w:rsidR="0002302D">
        <w:rPr>
          <w:szCs w:val="26"/>
        </w:rPr>
        <w:t xml:space="preserve">Walker </w:t>
      </w:r>
      <w:r w:rsidR="004C61F6">
        <w:rPr>
          <w:szCs w:val="26"/>
        </w:rPr>
        <w:t>argues</w:t>
      </w:r>
      <w:r w:rsidRPr="00761DF6" w:rsidR="00942A4F">
        <w:rPr>
          <w:szCs w:val="26"/>
        </w:rPr>
        <w:t xml:space="preserve">, no hearsay exception </w:t>
      </w:r>
      <w:r w:rsidR="00EB4326">
        <w:rPr>
          <w:szCs w:val="26"/>
        </w:rPr>
        <w:t>allows for</w:t>
      </w:r>
      <w:r w:rsidRPr="00761DF6" w:rsidR="00942A4F">
        <w:rPr>
          <w:szCs w:val="26"/>
        </w:rPr>
        <w:t xml:space="preserve"> the </w:t>
      </w:r>
      <w:r w:rsidR="00302AE5">
        <w:rPr>
          <w:szCs w:val="26"/>
        </w:rPr>
        <w:t>whole</w:t>
      </w:r>
      <w:r w:rsidR="009D0911">
        <w:rPr>
          <w:szCs w:val="26"/>
        </w:rPr>
        <w:t>sale</w:t>
      </w:r>
      <w:r w:rsidR="00302AE5">
        <w:rPr>
          <w:szCs w:val="26"/>
        </w:rPr>
        <w:t xml:space="preserve"> </w:t>
      </w:r>
      <w:r w:rsidRPr="00761DF6" w:rsidR="00942A4F">
        <w:rPr>
          <w:szCs w:val="26"/>
        </w:rPr>
        <w:t xml:space="preserve">admission </w:t>
      </w:r>
      <w:r w:rsidRPr="00761DF6" w:rsidR="00FE7ABD">
        <w:rPr>
          <w:szCs w:val="26"/>
        </w:rPr>
        <w:t xml:space="preserve">of </w:t>
      </w:r>
      <w:r w:rsidR="00EB4326">
        <w:rPr>
          <w:szCs w:val="26"/>
        </w:rPr>
        <w:t>SVPA evaluation</w:t>
      </w:r>
      <w:r w:rsidR="009D0911">
        <w:rPr>
          <w:szCs w:val="26"/>
        </w:rPr>
        <w:t xml:space="preserve">s, with any </w:t>
      </w:r>
      <w:r w:rsidRPr="00761DF6" w:rsidR="009D0911">
        <w:rPr>
          <w:szCs w:val="26"/>
        </w:rPr>
        <w:t xml:space="preserve">hearsay </w:t>
      </w:r>
      <w:r w:rsidR="009D0911">
        <w:rPr>
          <w:szCs w:val="26"/>
        </w:rPr>
        <w:t xml:space="preserve">that </w:t>
      </w:r>
      <w:r w:rsidR="00A32A27">
        <w:rPr>
          <w:szCs w:val="26"/>
        </w:rPr>
        <w:t xml:space="preserve">they </w:t>
      </w:r>
      <w:r w:rsidR="00302AE5">
        <w:rPr>
          <w:szCs w:val="26"/>
        </w:rPr>
        <w:t>may contain</w:t>
      </w:r>
      <w:r w:rsidRPr="00761DF6" w:rsidR="00597649">
        <w:rPr>
          <w:szCs w:val="26"/>
        </w:rPr>
        <w:t>.</w:t>
      </w:r>
      <w:r w:rsidRPr="00761DF6" w:rsidR="00FE7ABD">
        <w:rPr>
          <w:szCs w:val="26"/>
        </w:rPr>
        <w:t xml:space="preserve"> </w:t>
      </w:r>
      <w:r w:rsidRPr="00761DF6" w:rsidR="00597649">
        <w:rPr>
          <w:szCs w:val="26"/>
        </w:rPr>
        <w:t xml:space="preserve"> </w:t>
      </w:r>
      <w:r w:rsidR="00EB4326">
        <w:rPr>
          <w:szCs w:val="26"/>
        </w:rPr>
        <w:t xml:space="preserve">More specifically, </w:t>
      </w:r>
      <w:r w:rsidR="003504C3">
        <w:rPr>
          <w:szCs w:val="26"/>
        </w:rPr>
        <w:t>neither the Legislature nor our case</w:t>
      </w:r>
      <w:r w:rsidR="00DE6486">
        <w:rPr>
          <w:szCs w:val="26"/>
        </w:rPr>
        <w:t xml:space="preserve"> </w:t>
      </w:r>
      <w:r w:rsidR="003504C3">
        <w:rPr>
          <w:szCs w:val="26"/>
        </w:rPr>
        <w:t xml:space="preserve">law has created a </w:t>
      </w:r>
      <w:r w:rsidR="00EB4326">
        <w:rPr>
          <w:szCs w:val="26"/>
        </w:rPr>
        <w:t xml:space="preserve">hearsay exception </w:t>
      </w:r>
      <w:r w:rsidR="003504C3">
        <w:rPr>
          <w:szCs w:val="26"/>
        </w:rPr>
        <w:t>allowing</w:t>
      </w:r>
      <w:r w:rsidR="00EB4326">
        <w:rPr>
          <w:szCs w:val="26"/>
        </w:rPr>
        <w:t xml:space="preserve"> </w:t>
      </w:r>
      <w:r w:rsidR="003504C3">
        <w:rPr>
          <w:szCs w:val="26"/>
        </w:rPr>
        <w:t xml:space="preserve">admission of </w:t>
      </w:r>
      <w:r w:rsidR="008A2752">
        <w:rPr>
          <w:color w:val="000000"/>
          <w:szCs w:val="26"/>
          <w:bdr w:val="none" w:sz="0" w:space="0" w:color="auto" w:frame="1"/>
          <w:shd w:val="clear" w:color="auto" w:fill="FFFFFF"/>
        </w:rPr>
        <w:t xml:space="preserve">hearsay </w:t>
      </w:r>
      <w:r w:rsidR="00992FE2">
        <w:rPr>
          <w:color w:val="000000"/>
          <w:szCs w:val="26"/>
          <w:bdr w:val="none" w:sz="0" w:space="0" w:color="auto" w:frame="1"/>
          <w:shd w:val="clear" w:color="auto" w:fill="FFFFFF"/>
        </w:rPr>
        <w:t>accounts</w:t>
      </w:r>
      <w:r w:rsidR="008A2752">
        <w:rPr>
          <w:color w:val="000000"/>
          <w:szCs w:val="26"/>
          <w:bdr w:val="none" w:sz="0" w:space="0" w:color="auto" w:frame="1"/>
          <w:shd w:val="clear" w:color="auto" w:fill="FFFFFF"/>
        </w:rPr>
        <w:t xml:space="preserve"> </w:t>
      </w:r>
      <w:r w:rsidR="003504C3">
        <w:rPr>
          <w:color w:val="000000"/>
          <w:szCs w:val="26"/>
          <w:bdr w:val="none" w:sz="0" w:space="0" w:color="auto" w:frame="1"/>
          <w:shd w:val="clear" w:color="auto" w:fill="FFFFFF"/>
        </w:rPr>
        <w:t xml:space="preserve">involving </w:t>
      </w:r>
      <w:r w:rsidR="008A2752">
        <w:rPr>
          <w:color w:val="000000"/>
          <w:szCs w:val="26"/>
          <w:bdr w:val="none" w:sz="0" w:space="0" w:color="auto" w:frame="1"/>
          <w:shd w:val="clear" w:color="auto" w:fill="FFFFFF"/>
        </w:rPr>
        <w:t xml:space="preserve">prior, nonpredicate allegations or convictions </w:t>
      </w:r>
      <w:r w:rsidR="003504C3">
        <w:rPr>
          <w:color w:val="000000"/>
          <w:szCs w:val="26"/>
          <w:bdr w:val="none" w:sz="0" w:space="0" w:color="auto" w:frame="1"/>
          <w:shd w:val="clear" w:color="auto" w:fill="FFFFFF"/>
        </w:rPr>
        <w:t>at SVPA probable cause hearings</w:t>
      </w:r>
      <w:r w:rsidR="008A2752">
        <w:rPr>
          <w:color w:val="000000"/>
          <w:szCs w:val="26"/>
          <w:bdr w:val="none" w:sz="0" w:space="0" w:color="auto" w:frame="1"/>
          <w:shd w:val="clear" w:color="auto" w:fill="FFFFFF"/>
        </w:rPr>
        <w:t>.</w:t>
      </w:r>
    </w:p>
    <w:p w:rsidR="00447EFB" w:rsidRPr="00761DF6" w:rsidP="002D7257" w14:paraId="606F02C0" w14:textId="0F65B64B">
      <w:pPr>
        <w:shd w:val="clear" w:color="auto" w:fill="FFFFFF"/>
        <w:ind w:firstLine="720"/>
        <w:textAlignment w:val="baseline"/>
        <w:rPr>
          <w:szCs w:val="26"/>
        </w:rPr>
      </w:pPr>
      <w:r w:rsidRPr="00761DF6">
        <w:rPr>
          <w:szCs w:val="26"/>
        </w:rPr>
        <w:t>For the reasons that follow, t</w:t>
      </w:r>
      <w:r w:rsidRPr="00761DF6" w:rsidR="00FE7ABD">
        <w:rPr>
          <w:szCs w:val="26"/>
        </w:rPr>
        <w:t xml:space="preserve">he </w:t>
      </w:r>
      <w:r w:rsidR="002A1549">
        <w:rPr>
          <w:szCs w:val="26"/>
        </w:rPr>
        <w:t>Court of Appeal</w:t>
      </w:r>
      <w:r w:rsidRPr="00761DF6" w:rsidR="00FE7ABD">
        <w:rPr>
          <w:szCs w:val="26"/>
        </w:rPr>
        <w:t xml:space="preserve"> erred in determining otherwise.</w:t>
      </w:r>
    </w:p>
    <w:p w:rsidR="00753585" w:rsidP="00A616D1" w14:paraId="213EC314" w14:textId="30EDE856">
      <w:pPr>
        <w:pStyle w:val="Heading2"/>
        <w:tabs>
          <w:tab w:val="left" w:pos="0"/>
          <w:tab w:val="clear" w:pos="1152"/>
        </w:tabs>
        <w:ind w:left="0" w:firstLine="0"/>
        <w:jc w:val="center"/>
      </w:pPr>
      <w:r>
        <w:t>B</w:t>
      </w:r>
      <w:r w:rsidRPr="008B3E8C" w:rsidR="00FB3D7B">
        <w:t>.</w:t>
      </w:r>
    </w:p>
    <w:p w:rsidR="007F5F41" w:rsidRPr="00031A4F" w:rsidP="00031A4F" w14:paraId="20FFA3F5" w14:textId="1F1700C6">
      <w:pPr>
        <w:pStyle w:val="Heading3"/>
        <w:tabs>
          <w:tab w:val="clear" w:pos="1584"/>
        </w:tabs>
        <w:ind w:left="0" w:firstLine="0"/>
        <w:jc w:val="center"/>
        <w:rPr>
          <w:b/>
          <w:bCs/>
          <w:i w:val="0"/>
          <w:iCs/>
        </w:rPr>
      </w:pPr>
      <w:r w:rsidRPr="00031A4F">
        <w:rPr>
          <w:b/>
          <w:bCs/>
          <w:i w:val="0"/>
          <w:iCs/>
        </w:rPr>
        <w:t>1.</w:t>
      </w:r>
    </w:p>
    <w:p w:rsidR="00753585" w:rsidRPr="00761DF6" w:rsidP="00761DF6" w14:paraId="36A5D4B9" w14:textId="0E62B040">
      <w:pPr>
        <w:ind w:firstLine="720"/>
      </w:pPr>
      <w:r w:rsidRPr="00761DF6">
        <w:rPr>
          <w:szCs w:val="26"/>
        </w:rPr>
        <w:t xml:space="preserve">We </w:t>
      </w:r>
      <w:r w:rsidRPr="00761DF6" w:rsidR="00AE2F37">
        <w:rPr>
          <w:szCs w:val="26"/>
        </w:rPr>
        <w:t>interpret the SVPA de novo</w:t>
      </w:r>
      <w:r w:rsidRPr="00761DF6">
        <w:rPr>
          <w:szCs w:val="26"/>
        </w:rPr>
        <w:t>.  (</w:t>
      </w:r>
      <w:r w:rsidRPr="00761DF6">
        <w:rPr>
          <w:i/>
          <w:iCs/>
          <w:szCs w:val="26"/>
        </w:rPr>
        <w:t>Kirby v. Immoos Fire Protection, Inc.</w:t>
      </w:r>
      <w:r w:rsidRPr="00761DF6">
        <w:rPr>
          <w:szCs w:val="26"/>
        </w:rPr>
        <w:t xml:space="preserve"> (2012) 53 Cal.4th 1244, 1250.)  As with any question of statutory construction, our core task here is to determine and give effect to the Legislature’s underlying purpose in enacting the </w:t>
      </w:r>
      <w:r w:rsidRPr="00761DF6" w:rsidR="00D60CAC">
        <w:rPr>
          <w:szCs w:val="26"/>
        </w:rPr>
        <w:t>SVPA</w:t>
      </w:r>
      <w:r w:rsidRPr="00761DF6" w:rsidR="007238B0">
        <w:rPr>
          <w:szCs w:val="26"/>
        </w:rPr>
        <w:t xml:space="preserve"> and </w:t>
      </w:r>
      <w:r w:rsidRPr="00761DF6" w:rsidR="007C4C92">
        <w:rPr>
          <w:szCs w:val="26"/>
        </w:rPr>
        <w:t>any</w:t>
      </w:r>
      <w:r w:rsidRPr="00761DF6" w:rsidR="009C5CCE">
        <w:rPr>
          <w:szCs w:val="26"/>
        </w:rPr>
        <w:t xml:space="preserve"> particular</w:t>
      </w:r>
      <w:r w:rsidRPr="00761DF6" w:rsidR="007238B0">
        <w:rPr>
          <w:szCs w:val="26"/>
        </w:rPr>
        <w:t xml:space="preserve"> provision</w:t>
      </w:r>
      <w:r w:rsidRPr="00761DF6" w:rsidR="006005C5">
        <w:rPr>
          <w:szCs w:val="26"/>
        </w:rPr>
        <w:t>s</w:t>
      </w:r>
      <w:r w:rsidRPr="00761DF6" w:rsidR="007238B0">
        <w:rPr>
          <w:szCs w:val="26"/>
        </w:rPr>
        <w:t xml:space="preserve"> at issue</w:t>
      </w:r>
      <w:r w:rsidRPr="00761DF6">
        <w:rPr>
          <w:szCs w:val="26"/>
        </w:rPr>
        <w:t>.  (</w:t>
      </w:r>
      <w:r w:rsidRPr="00761DF6">
        <w:rPr>
          <w:i/>
          <w:iCs/>
          <w:szCs w:val="26"/>
        </w:rPr>
        <w:t>California Teachers Assn. v. San Diego Community College Dist.</w:t>
      </w:r>
      <w:r w:rsidRPr="00761DF6">
        <w:rPr>
          <w:szCs w:val="26"/>
        </w:rPr>
        <w:t xml:space="preserve"> (1981) 28 Cal.3d 692, 698; </w:t>
      </w:r>
      <w:r w:rsidRPr="00761DF6">
        <w:rPr>
          <w:i/>
          <w:iCs/>
          <w:szCs w:val="26"/>
        </w:rPr>
        <w:t xml:space="preserve">Calatayud v. State of California </w:t>
      </w:r>
      <w:r w:rsidRPr="00761DF6">
        <w:rPr>
          <w:szCs w:val="26"/>
        </w:rPr>
        <w:t xml:space="preserve">(1998) 18 Cal.4th 1057, 1065; </w:t>
      </w:r>
      <w:r w:rsidRPr="00761DF6">
        <w:rPr>
          <w:i/>
          <w:iCs/>
          <w:szCs w:val="26"/>
        </w:rPr>
        <w:t>Goodman v. Lozano</w:t>
      </w:r>
      <w:r w:rsidRPr="00761DF6">
        <w:rPr>
          <w:szCs w:val="26"/>
        </w:rPr>
        <w:t xml:space="preserve"> (2010) 47 Cal.4th 1327, 1332.)  We first consider the words of the statute, as statutory language is generally the most reliable indicator of legislation’s intended purpose.  (</w:t>
      </w:r>
      <w:r w:rsidRPr="00761DF6">
        <w:rPr>
          <w:i/>
          <w:iCs/>
          <w:szCs w:val="26"/>
        </w:rPr>
        <w:t>In re H.W.</w:t>
      </w:r>
      <w:r w:rsidRPr="00761DF6">
        <w:rPr>
          <w:szCs w:val="26"/>
        </w:rPr>
        <w:t xml:space="preserve"> (2019) 6 Cal.5th 1068, 1073.)  We consider the ordinary meaning of the relevant terms, related provisions, terms used in other parts of the statute, and the structure of the statutory scheme.  (</w:t>
      </w:r>
      <w:r w:rsidRPr="00761DF6">
        <w:rPr>
          <w:i/>
          <w:iCs/>
          <w:szCs w:val="26"/>
        </w:rPr>
        <w:t>Larkin v. Workers’ Comp. Appeals Bd.</w:t>
      </w:r>
      <w:r w:rsidRPr="00761DF6">
        <w:rPr>
          <w:szCs w:val="26"/>
        </w:rPr>
        <w:t xml:space="preserve"> (2015) 62 Cal.4th 152, 157.)  If the relevant statutory language is ambiguous, we look to appropriate extrinsic sources, including the legislative history, for further insights.  (</w:t>
      </w:r>
      <w:r w:rsidRPr="001D197E" w:rsidR="001D197E">
        <w:rPr>
          <w:i/>
          <w:iCs/>
          <w:szCs w:val="26"/>
        </w:rPr>
        <w:t xml:space="preserve">In re </w:t>
      </w:r>
      <w:r w:rsidRPr="00761DF6">
        <w:rPr>
          <w:i/>
          <w:iCs/>
          <w:szCs w:val="26"/>
        </w:rPr>
        <w:t>H.W.</w:t>
      </w:r>
      <w:r w:rsidRPr="00761DF6">
        <w:rPr>
          <w:szCs w:val="26"/>
        </w:rPr>
        <w:t>,</w:t>
      </w:r>
      <w:r w:rsidR="00BF64F0">
        <w:rPr>
          <w:szCs w:val="26"/>
        </w:rPr>
        <w:t xml:space="preserve"> </w:t>
      </w:r>
      <w:r w:rsidRPr="00761DF6">
        <w:rPr>
          <w:szCs w:val="26"/>
        </w:rPr>
        <w:t xml:space="preserve">at p. 1073.)  </w:t>
      </w:r>
    </w:p>
    <w:p w:rsidR="006312AC" w:rsidP="002A06D6" w14:paraId="6483420B" w14:textId="4FF28D4E">
      <w:pPr>
        <w:ind w:firstLine="720"/>
        <w:rPr>
          <w:color w:val="000000"/>
          <w:szCs w:val="26"/>
        </w:rPr>
      </w:pPr>
      <w:r w:rsidRPr="00761DF6">
        <w:t xml:space="preserve">Nothing in the </w:t>
      </w:r>
      <w:r w:rsidRPr="00761DF6" w:rsidR="00690B19">
        <w:t>language of the SVPA</w:t>
      </w:r>
      <w:r w:rsidRPr="00761DF6" w:rsidR="000C3F12">
        <w:t xml:space="preserve"> </w:t>
      </w:r>
      <w:r w:rsidRPr="00761DF6">
        <w:t>indicates</w:t>
      </w:r>
      <w:r w:rsidRPr="00761DF6" w:rsidR="000C3F12">
        <w:t xml:space="preserve"> </w:t>
      </w:r>
      <w:r w:rsidRPr="00761DF6" w:rsidR="005A3F9B">
        <w:t>the Legislature created a</w:t>
      </w:r>
      <w:r w:rsidR="00FF67C3">
        <w:t xml:space="preserve">n </w:t>
      </w:r>
      <w:r w:rsidR="003504C3">
        <w:t>explicit</w:t>
      </w:r>
      <w:r w:rsidRPr="00761DF6" w:rsidR="005A3F9B">
        <w:t xml:space="preserve"> hearsay exception</w:t>
      </w:r>
      <w:r w:rsidRPr="00761DF6" w:rsidR="00FF386E">
        <w:t xml:space="preserve"> to allow </w:t>
      </w:r>
      <w:r w:rsidRPr="00761DF6" w:rsidR="00E83D65">
        <w:t>hearsay in</w:t>
      </w:r>
      <w:r w:rsidRPr="00761DF6" w:rsidR="00590633">
        <w:t xml:space="preserve"> </w:t>
      </w:r>
      <w:r w:rsidRPr="00761DF6" w:rsidR="00E83D65">
        <w:t>evaluation reports</w:t>
      </w:r>
      <w:r w:rsidR="00087EA1">
        <w:t xml:space="preserve">, regarding </w:t>
      </w:r>
      <w:r w:rsidR="00812963">
        <w:t>a</w:t>
      </w:r>
      <w:r w:rsidR="00662BBA">
        <w:t>n SVP</w:t>
      </w:r>
      <w:r w:rsidR="00812963">
        <w:t xml:space="preserve"> </w:t>
      </w:r>
      <w:r w:rsidR="00CC7195">
        <w:t>candidate’s</w:t>
      </w:r>
      <w:r w:rsidR="00812963">
        <w:t xml:space="preserve"> </w:t>
      </w:r>
      <w:r w:rsidR="00A565C8">
        <w:t xml:space="preserve">prior </w:t>
      </w:r>
      <w:r w:rsidR="00087EA1">
        <w:t>nonqualifying offenses,</w:t>
      </w:r>
      <w:r w:rsidRPr="00761DF6" w:rsidR="00CA2EF9">
        <w:t xml:space="preserve"> to be admitted at </w:t>
      </w:r>
      <w:r w:rsidRPr="00761DF6" w:rsidR="00150E5C">
        <w:t>a</w:t>
      </w:r>
      <w:r w:rsidRPr="00761DF6" w:rsidR="00CA2EF9">
        <w:t xml:space="preserve"> probable cause hearing</w:t>
      </w:r>
      <w:r w:rsidRPr="00761DF6" w:rsidR="00E83D65">
        <w:t>.</w:t>
      </w:r>
      <w:r w:rsidRPr="00761DF6" w:rsidR="00D947B3">
        <w:t xml:space="preserve">  </w:t>
      </w:r>
      <w:r w:rsidR="0053644F">
        <w:t xml:space="preserve">In describing the requirements for the hearing, </w:t>
      </w:r>
      <w:r w:rsidR="00534FC2">
        <w:t xml:space="preserve">Welfare and Institutions Code </w:t>
      </w:r>
      <w:r w:rsidR="0053644F">
        <w:t>s</w:t>
      </w:r>
      <w:r w:rsidRPr="00761DF6" w:rsidR="00D947B3">
        <w:t>ection 6602, subdivision (a)</w:t>
      </w:r>
      <w:r w:rsidRPr="00761DF6">
        <w:t xml:space="preserve"> </w:t>
      </w:r>
      <w:r w:rsidRPr="00761DF6" w:rsidR="00E83E10">
        <w:t xml:space="preserve">states simply that the trial court “shall review the petition and shall determine </w:t>
      </w:r>
      <w:r w:rsidRPr="00761DF6" w:rsidR="00E83E10">
        <w:rPr>
          <w:color w:val="000000"/>
          <w:szCs w:val="26"/>
        </w:rPr>
        <w:t>whether there is probable cause</w:t>
      </w:r>
      <w:r w:rsidRPr="00761DF6" w:rsidR="0005563F">
        <w:rPr>
          <w:color w:val="000000"/>
          <w:szCs w:val="26"/>
        </w:rPr>
        <w:t>,</w:t>
      </w:r>
      <w:r w:rsidRPr="00761DF6" w:rsidR="00E83E10">
        <w:rPr>
          <w:color w:val="000000"/>
          <w:szCs w:val="26"/>
        </w:rPr>
        <w:t>”</w:t>
      </w:r>
      <w:r w:rsidRPr="00761DF6" w:rsidR="0005563F">
        <w:rPr>
          <w:color w:val="000000"/>
          <w:szCs w:val="26"/>
        </w:rPr>
        <w:t xml:space="preserve"> and that the defendant has a right to the assistance of counsel.  </w:t>
      </w:r>
      <w:r w:rsidRPr="00761DF6">
        <w:rPr>
          <w:color w:val="000000"/>
          <w:szCs w:val="26"/>
        </w:rPr>
        <w:t>We find in this</w:t>
      </w:r>
      <w:r w:rsidRPr="00761DF6" w:rsidR="006A714E">
        <w:rPr>
          <w:color w:val="000000"/>
          <w:szCs w:val="26"/>
        </w:rPr>
        <w:t xml:space="preserve"> limited language </w:t>
      </w:r>
      <w:r w:rsidRPr="00761DF6">
        <w:rPr>
          <w:color w:val="000000"/>
          <w:szCs w:val="26"/>
        </w:rPr>
        <w:t xml:space="preserve">no indication that </w:t>
      </w:r>
      <w:r w:rsidRPr="00761DF6" w:rsidR="006A714E">
        <w:rPr>
          <w:color w:val="000000"/>
          <w:szCs w:val="26"/>
        </w:rPr>
        <w:t>the Legislature</w:t>
      </w:r>
      <w:r w:rsidRPr="00761DF6" w:rsidR="00D111DB">
        <w:rPr>
          <w:color w:val="000000"/>
          <w:szCs w:val="26"/>
        </w:rPr>
        <w:t xml:space="preserve"> </w:t>
      </w:r>
      <w:r w:rsidRPr="00761DF6" w:rsidR="00E300DB">
        <w:rPr>
          <w:color w:val="000000"/>
          <w:szCs w:val="26"/>
        </w:rPr>
        <w:t xml:space="preserve">created </w:t>
      </w:r>
      <w:r w:rsidR="0053644F">
        <w:rPr>
          <w:color w:val="000000"/>
          <w:szCs w:val="26"/>
        </w:rPr>
        <w:t>a</w:t>
      </w:r>
      <w:r w:rsidR="00C11440">
        <w:rPr>
          <w:color w:val="000000"/>
          <w:szCs w:val="26"/>
        </w:rPr>
        <w:t>n</w:t>
      </w:r>
      <w:r w:rsidR="0053644F">
        <w:rPr>
          <w:color w:val="000000"/>
          <w:szCs w:val="26"/>
        </w:rPr>
        <w:t xml:space="preserve"> </w:t>
      </w:r>
      <w:r w:rsidR="00FF67C3">
        <w:rPr>
          <w:color w:val="000000"/>
          <w:szCs w:val="26"/>
        </w:rPr>
        <w:t xml:space="preserve">express </w:t>
      </w:r>
      <w:r w:rsidRPr="00761DF6" w:rsidR="006A714E">
        <w:rPr>
          <w:color w:val="000000"/>
          <w:szCs w:val="26"/>
        </w:rPr>
        <w:t>exception</w:t>
      </w:r>
      <w:r w:rsidR="0053644F">
        <w:rPr>
          <w:color w:val="000000"/>
          <w:szCs w:val="26"/>
        </w:rPr>
        <w:t xml:space="preserve"> for</w:t>
      </w:r>
      <w:r w:rsidR="00787DF2">
        <w:rPr>
          <w:color w:val="000000"/>
          <w:szCs w:val="26"/>
        </w:rPr>
        <w:t xml:space="preserve"> evaluation reports that covers</w:t>
      </w:r>
      <w:r w:rsidR="0053644F">
        <w:rPr>
          <w:color w:val="000000"/>
          <w:szCs w:val="26"/>
        </w:rPr>
        <w:t xml:space="preserve"> </w:t>
      </w:r>
      <w:r w:rsidR="0084556F">
        <w:rPr>
          <w:color w:val="000000"/>
          <w:szCs w:val="26"/>
        </w:rPr>
        <w:t>h</w:t>
      </w:r>
      <w:r w:rsidR="0053644F">
        <w:rPr>
          <w:color w:val="000000"/>
          <w:szCs w:val="26"/>
        </w:rPr>
        <w:t xml:space="preserve">earsay </w:t>
      </w:r>
      <w:r w:rsidR="00787DF2">
        <w:rPr>
          <w:color w:val="000000"/>
          <w:szCs w:val="26"/>
        </w:rPr>
        <w:t>content regarding nonpredicate offenses</w:t>
      </w:r>
      <w:r w:rsidRPr="00761DF6" w:rsidR="00452B51">
        <w:rPr>
          <w:color w:val="000000"/>
          <w:szCs w:val="26"/>
        </w:rPr>
        <w:t>.  (</w:t>
      </w:r>
      <w:r w:rsidRPr="00761DF6" w:rsidR="00452B51">
        <w:rPr>
          <w:i/>
          <w:iCs/>
          <w:color w:val="000000"/>
          <w:szCs w:val="26"/>
          <w:bdr w:val="none" w:sz="0" w:space="0" w:color="auto" w:frame="1"/>
        </w:rPr>
        <w:t>Couthren</w:t>
      </w:r>
      <w:r w:rsidRPr="00761DF6" w:rsidR="00452B51">
        <w:rPr>
          <w:color w:val="000000"/>
          <w:szCs w:val="26"/>
        </w:rPr>
        <w:t xml:space="preserve">, </w:t>
      </w:r>
      <w:r w:rsidRPr="00761DF6" w:rsidR="00452B51">
        <w:rPr>
          <w:i/>
          <w:iCs/>
          <w:color w:val="000000"/>
          <w:szCs w:val="26"/>
        </w:rPr>
        <w:t>supra</w:t>
      </w:r>
      <w:r w:rsidRPr="00761DF6" w:rsidR="00452B51">
        <w:rPr>
          <w:color w:val="000000"/>
          <w:szCs w:val="26"/>
        </w:rPr>
        <w:t>, 41 Cal.App.5th at p. 1012; c</w:t>
      </w:r>
      <w:r w:rsidRPr="00761DF6" w:rsidR="006338D6">
        <w:rPr>
          <w:color w:val="000000"/>
          <w:szCs w:val="26"/>
        </w:rPr>
        <w:t xml:space="preserve">f. </w:t>
      </w:r>
      <w:r w:rsidRPr="00761DF6" w:rsidR="006338D6">
        <w:rPr>
          <w:i/>
          <w:iCs/>
          <w:color w:val="000000"/>
          <w:szCs w:val="26"/>
        </w:rPr>
        <w:t>Kirk</w:t>
      </w:r>
      <w:r w:rsidRPr="00761DF6" w:rsidR="006338D6">
        <w:rPr>
          <w:color w:val="000000"/>
          <w:szCs w:val="26"/>
        </w:rPr>
        <w:t xml:space="preserve">, </w:t>
      </w:r>
      <w:r w:rsidRPr="00761DF6" w:rsidR="006338D6">
        <w:rPr>
          <w:i/>
          <w:iCs/>
          <w:color w:val="000000"/>
          <w:szCs w:val="26"/>
        </w:rPr>
        <w:t>supra</w:t>
      </w:r>
      <w:r w:rsidRPr="00761DF6" w:rsidR="006338D6">
        <w:rPr>
          <w:color w:val="000000"/>
          <w:szCs w:val="26"/>
        </w:rPr>
        <w:t xml:space="preserve">, </w:t>
      </w:r>
      <w:r w:rsidRPr="00761DF6" w:rsidR="007108A1">
        <w:rPr>
          <w:color w:val="000000"/>
          <w:szCs w:val="26"/>
        </w:rPr>
        <w:t>74 Cal.App.4th at pp. 1071–1072 [</w:t>
      </w:r>
      <w:r w:rsidRPr="00761DF6" w:rsidR="00452B51">
        <w:rPr>
          <w:color w:val="000000"/>
          <w:szCs w:val="26"/>
        </w:rPr>
        <w:t>SVPA is silent as to whether documentary evidence must comply with the certification requirements of Evid</w:t>
      </w:r>
      <w:r w:rsidR="00B53F50">
        <w:rPr>
          <w:color w:val="000000"/>
          <w:szCs w:val="26"/>
        </w:rPr>
        <w:t>.</w:t>
      </w:r>
      <w:r w:rsidRPr="00761DF6" w:rsidR="00452B51">
        <w:rPr>
          <w:color w:val="000000"/>
          <w:szCs w:val="26"/>
        </w:rPr>
        <w:t xml:space="preserve"> Code</w:t>
      </w:r>
      <w:r w:rsidR="00B53F50">
        <w:rPr>
          <w:color w:val="000000"/>
          <w:szCs w:val="26"/>
        </w:rPr>
        <w:t>,</w:t>
      </w:r>
      <w:r w:rsidRPr="00761DF6" w:rsidR="00452B51">
        <w:rPr>
          <w:color w:val="000000"/>
          <w:szCs w:val="26"/>
        </w:rPr>
        <w:t xml:space="preserve"> </w:t>
      </w:r>
      <w:r w:rsidRPr="00761DF6" w:rsidR="00B53F50">
        <w:rPr>
          <w:color w:val="000000"/>
          <w:szCs w:val="26"/>
          <w:shd w:val="clear" w:color="auto" w:fill="FFFFFF"/>
        </w:rPr>
        <w:t>§§</w:t>
      </w:r>
      <w:r w:rsidRPr="00761DF6" w:rsidR="00452B51">
        <w:rPr>
          <w:color w:val="000000"/>
          <w:szCs w:val="26"/>
        </w:rPr>
        <w:t xml:space="preserve"> </w:t>
      </w:r>
      <w:r w:rsidRPr="00761DF6" w:rsidR="00783123">
        <w:rPr>
          <w:color w:val="000000"/>
          <w:szCs w:val="26"/>
        </w:rPr>
        <w:t>1530</w:t>
      </w:r>
      <w:r w:rsidRPr="00761DF6" w:rsidR="00B81CF6">
        <w:rPr>
          <w:color w:val="000000"/>
          <w:szCs w:val="26"/>
        </w:rPr>
        <w:t>–</w:t>
      </w:r>
      <w:r w:rsidRPr="00761DF6" w:rsidR="00783123">
        <w:rPr>
          <w:color w:val="000000"/>
          <w:szCs w:val="26"/>
        </w:rPr>
        <w:t>1531, and therefore does not create an exception to the</w:t>
      </w:r>
      <w:r w:rsidRPr="00761DF6" w:rsidR="00A922FC">
        <w:rPr>
          <w:color w:val="000000"/>
          <w:szCs w:val="26"/>
        </w:rPr>
        <w:t>se</w:t>
      </w:r>
      <w:r w:rsidRPr="00761DF6" w:rsidR="00783123">
        <w:rPr>
          <w:color w:val="000000"/>
          <w:szCs w:val="26"/>
        </w:rPr>
        <w:t xml:space="preserve"> requirements]</w:t>
      </w:r>
      <w:r w:rsidRPr="00761DF6" w:rsidR="00452B51">
        <w:rPr>
          <w:color w:val="000000"/>
          <w:szCs w:val="26"/>
        </w:rPr>
        <w:t xml:space="preserve">.) </w:t>
      </w:r>
      <w:r w:rsidR="00C64256">
        <w:rPr>
          <w:color w:val="000000"/>
          <w:szCs w:val="26"/>
        </w:rPr>
        <w:t xml:space="preserve"> </w:t>
      </w:r>
      <w:r w:rsidRPr="00761DF6">
        <w:rPr>
          <w:color w:val="000000"/>
          <w:szCs w:val="26"/>
        </w:rPr>
        <w:t xml:space="preserve">What the </w:t>
      </w:r>
      <w:r w:rsidRPr="00761DF6" w:rsidR="006A714E">
        <w:rPr>
          <w:color w:val="000000"/>
          <w:szCs w:val="26"/>
        </w:rPr>
        <w:t xml:space="preserve">subdivision focuses </w:t>
      </w:r>
      <w:r w:rsidRPr="00761DF6">
        <w:rPr>
          <w:color w:val="000000"/>
          <w:szCs w:val="26"/>
        </w:rPr>
        <w:t>on</w:t>
      </w:r>
      <w:r w:rsidR="00E62F3A">
        <w:rPr>
          <w:color w:val="000000"/>
          <w:szCs w:val="26"/>
        </w:rPr>
        <w:t xml:space="preserve"> </w:t>
      </w:r>
      <w:r w:rsidRPr="00761DF6">
        <w:rPr>
          <w:color w:val="000000"/>
          <w:szCs w:val="26"/>
        </w:rPr>
        <w:t>is</w:t>
      </w:r>
      <w:r w:rsidRPr="00761DF6" w:rsidR="006A714E">
        <w:rPr>
          <w:color w:val="000000"/>
          <w:szCs w:val="26"/>
        </w:rPr>
        <w:t xml:space="preserve"> </w:t>
      </w:r>
      <w:r w:rsidRPr="00761DF6" w:rsidR="006A714E">
        <w:rPr>
          <w:i/>
          <w:iCs/>
          <w:color w:val="000000"/>
          <w:szCs w:val="26"/>
        </w:rPr>
        <w:t xml:space="preserve">the </w:t>
      </w:r>
      <w:r w:rsidRPr="00761DF6" w:rsidR="00D733C6">
        <w:rPr>
          <w:i/>
          <w:iCs/>
          <w:color w:val="000000"/>
          <w:szCs w:val="26"/>
        </w:rPr>
        <w:t>petition</w:t>
      </w:r>
      <w:r w:rsidRPr="00761DF6" w:rsidR="00D733C6">
        <w:rPr>
          <w:color w:val="000000"/>
          <w:szCs w:val="26"/>
        </w:rPr>
        <w:t xml:space="preserve">:  </w:t>
      </w:r>
      <w:r w:rsidRPr="00761DF6" w:rsidR="00DC60A8">
        <w:rPr>
          <w:color w:val="000000"/>
          <w:szCs w:val="26"/>
        </w:rPr>
        <w:t xml:space="preserve">It </w:t>
      </w:r>
      <w:r w:rsidRPr="00761DF6" w:rsidR="0017449E">
        <w:rPr>
          <w:color w:val="000000"/>
          <w:szCs w:val="26"/>
        </w:rPr>
        <w:t>directs</w:t>
      </w:r>
      <w:r w:rsidRPr="00761DF6" w:rsidR="00D733C6">
        <w:rPr>
          <w:color w:val="000000"/>
          <w:szCs w:val="26"/>
        </w:rPr>
        <w:t xml:space="preserve"> the </w:t>
      </w:r>
      <w:r w:rsidRPr="00761DF6" w:rsidR="00BE5BB5">
        <w:rPr>
          <w:color w:val="000000"/>
          <w:szCs w:val="26"/>
        </w:rPr>
        <w:t xml:space="preserve">superior </w:t>
      </w:r>
      <w:r w:rsidRPr="00761DF6" w:rsidR="00D733C6">
        <w:rPr>
          <w:color w:val="000000"/>
          <w:szCs w:val="26"/>
        </w:rPr>
        <w:t xml:space="preserve">court </w:t>
      </w:r>
      <w:r w:rsidRPr="00761DF6" w:rsidR="0017449E">
        <w:rPr>
          <w:color w:val="000000"/>
          <w:szCs w:val="26"/>
        </w:rPr>
        <w:t>to</w:t>
      </w:r>
      <w:r w:rsidRPr="00761DF6" w:rsidR="00D733C6">
        <w:rPr>
          <w:color w:val="000000"/>
          <w:szCs w:val="26"/>
        </w:rPr>
        <w:t xml:space="preserve"> make its determination based </w:t>
      </w:r>
      <w:r w:rsidRPr="00761DF6" w:rsidR="00DC60A8">
        <w:rPr>
          <w:color w:val="000000"/>
          <w:szCs w:val="26"/>
        </w:rPr>
        <w:t>on</w:t>
      </w:r>
      <w:r w:rsidRPr="00761DF6" w:rsidR="0050363E">
        <w:rPr>
          <w:color w:val="000000"/>
          <w:szCs w:val="26"/>
        </w:rPr>
        <w:t xml:space="preserve"> its review of</w:t>
      </w:r>
      <w:r w:rsidRPr="00761DF6" w:rsidR="00DC60A8">
        <w:rPr>
          <w:color w:val="000000"/>
          <w:szCs w:val="26"/>
        </w:rPr>
        <w:t xml:space="preserve"> the petition, with no mention of the experts, their psychological evaluation</w:t>
      </w:r>
      <w:r w:rsidRPr="00761DF6" w:rsidR="00B70BBC">
        <w:rPr>
          <w:color w:val="000000"/>
          <w:szCs w:val="26"/>
        </w:rPr>
        <w:t xml:space="preserve"> reports</w:t>
      </w:r>
      <w:r w:rsidRPr="00761DF6" w:rsidR="00DC60A8">
        <w:rPr>
          <w:color w:val="000000"/>
          <w:szCs w:val="26"/>
        </w:rPr>
        <w:t xml:space="preserve">, or any documentary evidence those evaluations relied upon.  </w:t>
      </w:r>
      <w:r w:rsidRPr="00761DF6" w:rsidR="00AB24D9">
        <w:rPr>
          <w:color w:val="000000"/>
          <w:szCs w:val="26"/>
        </w:rPr>
        <w:t xml:space="preserve">(See </w:t>
      </w:r>
      <w:r w:rsidRPr="00761DF6" w:rsidR="00AB24D9">
        <w:rPr>
          <w:i/>
          <w:iCs/>
          <w:color w:val="000000"/>
          <w:szCs w:val="26"/>
        </w:rPr>
        <w:t>Couthren</w:t>
      </w:r>
      <w:r w:rsidRPr="00761DF6" w:rsidR="00AB24D9">
        <w:rPr>
          <w:color w:val="000000"/>
          <w:szCs w:val="26"/>
        </w:rPr>
        <w:t xml:space="preserve">, </w:t>
      </w:r>
      <w:r w:rsidRPr="00761DF6" w:rsidR="00F31614">
        <w:rPr>
          <w:color w:val="000000"/>
          <w:szCs w:val="26"/>
        </w:rPr>
        <w:t>at p. 1014.)</w:t>
      </w:r>
      <w:r w:rsidR="00634FAE">
        <w:rPr>
          <w:color w:val="000000"/>
          <w:szCs w:val="26"/>
        </w:rPr>
        <w:t xml:space="preserve">  </w:t>
      </w:r>
    </w:p>
    <w:p w:rsidR="002A06D6" w:rsidP="0016315B" w14:paraId="25BAAB7E" w14:textId="7539E579">
      <w:pPr>
        <w:ind w:firstLine="720"/>
        <w:rPr>
          <w:color w:val="000000"/>
          <w:szCs w:val="26"/>
        </w:rPr>
      </w:pPr>
      <w:r>
        <w:rPr>
          <w:color w:val="000000"/>
          <w:szCs w:val="26"/>
        </w:rPr>
        <w:t xml:space="preserve">Even assuming </w:t>
      </w:r>
      <w:r w:rsidR="00F5465C">
        <w:rPr>
          <w:color w:val="000000"/>
          <w:szCs w:val="26"/>
        </w:rPr>
        <w:t xml:space="preserve">section 6602, subdivision (a)’s </w:t>
      </w:r>
      <w:r w:rsidRPr="00B53F50" w:rsidR="00361FA4">
        <w:rPr>
          <w:color w:val="000000"/>
          <w:szCs w:val="26"/>
        </w:rPr>
        <w:t>spare</w:t>
      </w:r>
      <w:r w:rsidR="00361FA4">
        <w:rPr>
          <w:color w:val="000000"/>
          <w:szCs w:val="26"/>
        </w:rPr>
        <w:t xml:space="preserve"> language</w:t>
      </w:r>
      <w:r>
        <w:rPr>
          <w:color w:val="000000"/>
          <w:szCs w:val="26"/>
        </w:rPr>
        <w:t xml:space="preserve"> allows consideration of </w:t>
      </w:r>
      <w:r w:rsidR="00CB55F8">
        <w:rPr>
          <w:color w:val="000000"/>
          <w:szCs w:val="26"/>
        </w:rPr>
        <w:t xml:space="preserve">experts’ opinions and conclusions contained in their reports </w:t>
      </w:r>
      <w:r w:rsidR="00725A07">
        <w:rPr>
          <w:color w:val="000000"/>
          <w:szCs w:val="26"/>
        </w:rPr>
        <w:t>(</w:t>
      </w:r>
      <w:r w:rsidR="00CB55F8">
        <w:rPr>
          <w:color w:val="000000"/>
          <w:szCs w:val="26"/>
        </w:rPr>
        <w:t xml:space="preserve">see </w:t>
      </w:r>
      <w:r w:rsidRPr="00725A07" w:rsidR="00725A07">
        <w:rPr>
          <w:i/>
          <w:iCs/>
          <w:color w:val="000000"/>
          <w:szCs w:val="26"/>
        </w:rPr>
        <w:t>ante</w:t>
      </w:r>
      <w:r w:rsidR="00671F84">
        <w:rPr>
          <w:color w:val="000000"/>
          <w:szCs w:val="26"/>
        </w:rPr>
        <w:t>,</w:t>
      </w:r>
      <w:r w:rsidR="00725A07">
        <w:rPr>
          <w:color w:val="000000"/>
          <w:szCs w:val="26"/>
        </w:rPr>
        <w:t xml:space="preserve"> at p. </w:t>
      </w:r>
      <w:r w:rsidR="00DB6B4C">
        <w:rPr>
          <w:color w:val="000000"/>
          <w:szCs w:val="26"/>
        </w:rPr>
        <w:t>1</w:t>
      </w:r>
      <w:r w:rsidR="005D270F">
        <w:rPr>
          <w:color w:val="000000"/>
          <w:szCs w:val="26"/>
        </w:rPr>
        <w:t>4</w:t>
      </w:r>
      <w:r w:rsidR="00725A07">
        <w:rPr>
          <w:color w:val="000000"/>
          <w:szCs w:val="26"/>
        </w:rPr>
        <w:t>)</w:t>
      </w:r>
      <w:r w:rsidR="00CB55F8">
        <w:rPr>
          <w:color w:val="000000"/>
          <w:szCs w:val="26"/>
        </w:rPr>
        <w:t>,</w:t>
      </w:r>
      <w:r w:rsidR="00D46F47">
        <w:rPr>
          <w:color w:val="000000"/>
          <w:szCs w:val="26"/>
        </w:rPr>
        <w:t xml:space="preserve"> </w:t>
      </w:r>
      <w:r w:rsidR="004B2BE4">
        <w:rPr>
          <w:color w:val="000000"/>
          <w:szCs w:val="26"/>
        </w:rPr>
        <w:t xml:space="preserve">the Court of Appeal’s </w:t>
      </w:r>
      <w:r w:rsidR="00492D78">
        <w:rPr>
          <w:color w:val="000000"/>
          <w:szCs w:val="26"/>
        </w:rPr>
        <w:t>elaboration on this premise</w:t>
      </w:r>
      <w:r w:rsidR="0005719B">
        <w:rPr>
          <w:color w:val="000000"/>
          <w:szCs w:val="26"/>
        </w:rPr>
        <w:t> </w:t>
      </w:r>
      <w:r w:rsidR="0016315B">
        <w:rPr>
          <w:color w:val="000000"/>
          <w:szCs w:val="26"/>
        </w:rPr>
        <w:t>—</w:t>
      </w:r>
      <w:r w:rsidR="00DE1E78">
        <w:rPr>
          <w:color w:val="000000"/>
          <w:szCs w:val="26"/>
        </w:rPr>
        <w:t xml:space="preserve"> </w:t>
      </w:r>
      <w:r w:rsidR="003B7B6E">
        <w:rPr>
          <w:color w:val="000000"/>
          <w:szCs w:val="26"/>
        </w:rPr>
        <w:t>that</w:t>
      </w:r>
      <w:r w:rsidR="0016315B">
        <w:rPr>
          <w:color w:val="000000"/>
          <w:szCs w:val="26"/>
        </w:rPr>
        <w:t xml:space="preserve"> th</w:t>
      </w:r>
      <w:r w:rsidR="00E52F5B">
        <w:rPr>
          <w:color w:val="000000"/>
          <w:szCs w:val="26"/>
        </w:rPr>
        <w:t xml:space="preserve">e </w:t>
      </w:r>
      <w:r w:rsidR="0016315B">
        <w:rPr>
          <w:color w:val="000000"/>
          <w:szCs w:val="26"/>
        </w:rPr>
        <w:t>language creates a</w:t>
      </w:r>
      <w:r w:rsidR="00980179">
        <w:rPr>
          <w:color w:val="000000"/>
          <w:szCs w:val="26"/>
        </w:rPr>
        <w:t xml:space="preserve"> broad</w:t>
      </w:r>
      <w:r w:rsidR="0016315B">
        <w:rPr>
          <w:color w:val="000000"/>
          <w:szCs w:val="26"/>
        </w:rPr>
        <w:t xml:space="preserve"> hearsay exception </w:t>
      </w:r>
      <w:r w:rsidR="00192E15">
        <w:rPr>
          <w:color w:val="000000"/>
          <w:szCs w:val="26"/>
        </w:rPr>
        <w:t>for</w:t>
      </w:r>
      <w:r w:rsidR="0016315B">
        <w:rPr>
          <w:color w:val="000000"/>
          <w:szCs w:val="26"/>
        </w:rPr>
        <w:t xml:space="preserve"> </w:t>
      </w:r>
      <w:r w:rsidR="00D875C9">
        <w:rPr>
          <w:color w:val="000000"/>
          <w:szCs w:val="26"/>
        </w:rPr>
        <w:t>all</w:t>
      </w:r>
      <w:r w:rsidR="00CB55F8">
        <w:rPr>
          <w:color w:val="000000"/>
          <w:szCs w:val="26"/>
        </w:rPr>
        <w:t xml:space="preserve"> </w:t>
      </w:r>
      <w:r w:rsidR="0080434A">
        <w:rPr>
          <w:color w:val="000000"/>
          <w:szCs w:val="26"/>
        </w:rPr>
        <w:t>instances</w:t>
      </w:r>
      <w:r w:rsidR="00CB55F8">
        <w:rPr>
          <w:color w:val="000000"/>
          <w:szCs w:val="26"/>
        </w:rPr>
        <w:t xml:space="preserve"> of </w:t>
      </w:r>
      <w:r w:rsidR="007B137B">
        <w:rPr>
          <w:color w:val="000000"/>
          <w:szCs w:val="26"/>
        </w:rPr>
        <w:t>hearsay</w:t>
      </w:r>
      <w:r w:rsidR="00B40AA4">
        <w:rPr>
          <w:color w:val="000000"/>
          <w:szCs w:val="26"/>
        </w:rPr>
        <w:t xml:space="preserve"> </w:t>
      </w:r>
      <w:r w:rsidR="00CB55F8">
        <w:rPr>
          <w:color w:val="000000"/>
          <w:szCs w:val="26"/>
        </w:rPr>
        <w:t xml:space="preserve">contained in those </w:t>
      </w:r>
      <w:r w:rsidR="00B40AA4">
        <w:rPr>
          <w:color w:val="000000"/>
          <w:szCs w:val="26"/>
        </w:rPr>
        <w:t>reports</w:t>
      </w:r>
      <w:r w:rsidR="004E2FA8">
        <w:rPr>
          <w:color w:val="000000"/>
          <w:szCs w:val="26"/>
        </w:rPr>
        <w:t xml:space="preserve">, including facts regarding </w:t>
      </w:r>
      <w:r w:rsidR="0039775B">
        <w:rPr>
          <w:color w:val="000000"/>
          <w:szCs w:val="26"/>
        </w:rPr>
        <w:t>nonpredicate offenses</w:t>
      </w:r>
      <w:r w:rsidR="0005719B">
        <w:rPr>
          <w:color w:val="000000"/>
          <w:szCs w:val="26"/>
        </w:rPr>
        <w:t> </w:t>
      </w:r>
      <w:r w:rsidR="0016315B">
        <w:rPr>
          <w:color w:val="000000"/>
          <w:szCs w:val="26"/>
        </w:rPr>
        <w:t>—</w:t>
      </w:r>
      <w:r w:rsidR="00C678BD">
        <w:rPr>
          <w:color w:val="000000"/>
          <w:szCs w:val="26"/>
        </w:rPr>
        <w:t xml:space="preserve"> </w:t>
      </w:r>
      <w:r w:rsidR="00201646">
        <w:rPr>
          <w:color w:val="000000"/>
          <w:szCs w:val="26"/>
        </w:rPr>
        <w:t>goes too far</w:t>
      </w:r>
      <w:r w:rsidR="009507AE">
        <w:rPr>
          <w:color w:val="000000"/>
          <w:szCs w:val="26"/>
        </w:rPr>
        <w:t>.</w:t>
      </w:r>
      <w:r>
        <w:rPr>
          <w:color w:val="000000"/>
          <w:szCs w:val="26"/>
        </w:rPr>
        <w:t xml:space="preserve">  </w:t>
      </w:r>
    </w:p>
    <w:p w:rsidR="004206EC" w:rsidP="0076725C" w14:paraId="66D54BBB" w14:textId="1A95429E">
      <w:pPr>
        <w:ind w:firstLine="720"/>
        <w:rPr>
          <w:color w:val="000000"/>
          <w:shd w:val="clear" w:color="auto" w:fill="FFFFFF"/>
        </w:rPr>
      </w:pPr>
      <w:r>
        <w:rPr>
          <w:color w:val="000000"/>
          <w:szCs w:val="26"/>
        </w:rPr>
        <w:t>T</w:t>
      </w:r>
      <w:r w:rsidR="002A06D6">
        <w:rPr>
          <w:color w:val="000000"/>
          <w:szCs w:val="26"/>
        </w:rPr>
        <w:t xml:space="preserve">he </w:t>
      </w:r>
      <w:r w:rsidR="00013DB6">
        <w:rPr>
          <w:color w:val="000000"/>
          <w:szCs w:val="26"/>
        </w:rPr>
        <w:t>Court of Appeal’s</w:t>
      </w:r>
      <w:r w:rsidR="002A06D6">
        <w:rPr>
          <w:color w:val="000000"/>
          <w:szCs w:val="26"/>
        </w:rPr>
        <w:t xml:space="preserve"> r</w:t>
      </w:r>
      <w:r w:rsidR="003F0772">
        <w:rPr>
          <w:color w:val="000000"/>
          <w:szCs w:val="26"/>
        </w:rPr>
        <w:t>eading of the subdivision</w:t>
      </w:r>
      <w:r w:rsidR="00860653">
        <w:rPr>
          <w:color w:val="000000"/>
          <w:szCs w:val="26"/>
        </w:rPr>
        <w:t xml:space="preserve"> </w:t>
      </w:r>
      <w:r w:rsidR="002A06D6">
        <w:rPr>
          <w:color w:val="000000"/>
          <w:szCs w:val="26"/>
        </w:rPr>
        <w:t>relie</w:t>
      </w:r>
      <w:r w:rsidR="00405256">
        <w:rPr>
          <w:color w:val="000000"/>
          <w:szCs w:val="26"/>
        </w:rPr>
        <w:t>d</w:t>
      </w:r>
      <w:r w:rsidR="002A06D6">
        <w:rPr>
          <w:color w:val="000000"/>
          <w:szCs w:val="26"/>
        </w:rPr>
        <w:t xml:space="preserve"> on a chain of dubious inferences.</w:t>
      </w:r>
      <w:r w:rsidR="009507AE">
        <w:rPr>
          <w:color w:val="000000"/>
          <w:szCs w:val="26"/>
        </w:rPr>
        <w:t xml:space="preserve">  </w:t>
      </w:r>
      <w:r w:rsidR="004659A4">
        <w:rPr>
          <w:szCs w:val="26"/>
          <w:shd w:val="clear" w:color="auto" w:fill="FFFFFF"/>
        </w:rPr>
        <w:t xml:space="preserve">First, </w:t>
      </w:r>
      <w:r w:rsidR="003A7F59">
        <w:rPr>
          <w:szCs w:val="26"/>
          <w:shd w:val="clear" w:color="auto" w:fill="FFFFFF"/>
        </w:rPr>
        <w:t xml:space="preserve">it </w:t>
      </w:r>
      <w:r w:rsidR="004659A4">
        <w:rPr>
          <w:szCs w:val="26"/>
          <w:shd w:val="clear" w:color="auto" w:fill="FFFFFF"/>
        </w:rPr>
        <w:t xml:space="preserve">determined that courts </w:t>
      </w:r>
      <w:r w:rsidRPr="00E67669" w:rsidR="004659A4">
        <w:rPr>
          <w:i/>
          <w:iCs/>
          <w:szCs w:val="26"/>
          <w:shd w:val="clear" w:color="auto" w:fill="FFFFFF"/>
        </w:rPr>
        <w:t>must</w:t>
      </w:r>
      <w:r w:rsidR="004659A4">
        <w:rPr>
          <w:szCs w:val="26"/>
          <w:shd w:val="clear" w:color="auto" w:fill="FFFFFF"/>
        </w:rPr>
        <w:t xml:space="preserve"> consider the psychological evaluations because the SVPA </w:t>
      </w:r>
      <w:r w:rsidRPr="00E67669" w:rsidR="004659A4">
        <w:rPr>
          <w:szCs w:val="26"/>
          <w:shd w:val="clear" w:color="auto" w:fill="FFFFFF"/>
        </w:rPr>
        <w:t xml:space="preserve">requires </w:t>
      </w:r>
      <w:r w:rsidR="004659A4">
        <w:rPr>
          <w:szCs w:val="26"/>
          <w:shd w:val="clear" w:color="auto" w:fill="FFFFFF"/>
        </w:rPr>
        <w:t>the evaluation</w:t>
      </w:r>
      <w:r w:rsidR="009142F2">
        <w:rPr>
          <w:szCs w:val="26"/>
          <w:shd w:val="clear" w:color="auto" w:fill="FFFFFF"/>
        </w:rPr>
        <w:t xml:space="preserve"> reports</w:t>
      </w:r>
      <w:r w:rsidR="004659A4">
        <w:rPr>
          <w:szCs w:val="26"/>
          <w:shd w:val="clear" w:color="auto" w:fill="FFFFFF"/>
        </w:rPr>
        <w:t xml:space="preserve"> as the basis for the petition.  </w:t>
      </w:r>
      <w:r w:rsidRPr="00535F58" w:rsidR="004659A4">
        <w:rPr>
          <w:szCs w:val="26"/>
        </w:rPr>
        <w:t>(</w:t>
      </w:r>
      <w:r w:rsidRPr="004659A4" w:rsidR="004659A4">
        <w:rPr>
          <w:i/>
          <w:iCs/>
          <w:szCs w:val="26"/>
        </w:rPr>
        <w:t>Walker</w:t>
      </w:r>
      <w:r w:rsidR="004659A4">
        <w:rPr>
          <w:szCs w:val="26"/>
        </w:rPr>
        <w:t xml:space="preserve">, </w:t>
      </w:r>
      <w:r w:rsidRPr="004659A4" w:rsidR="004659A4">
        <w:rPr>
          <w:i/>
          <w:iCs/>
          <w:szCs w:val="26"/>
        </w:rPr>
        <w:t>supra</w:t>
      </w:r>
      <w:r w:rsidR="004659A4">
        <w:rPr>
          <w:szCs w:val="26"/>
        </w:rPr>
        <w:t xml:space="preserve">, </w:t>
      </w:r>
      <w:r w:rsidRPr="004659A4" w:rsidR="004659A4">
        <w:rPr>
          <w:szCs w:val="26"/>
        </w:rPr>
        <w:t>51</w:t>
      </w:r>
      <w:r w:rsidRPr="00535F58" w:rsidR="004659A4">
        <w:rPr>
          <w:szCs w:val="26"/>
        </w:rPr>
        <w:t xml:space="preserve"> Cal.App.5th </w:t>
      </w:r>
      <w:r w:rsidR="004659A4">
        <w:rPr>
          <w:szCs w:val="26"/>
        </w:rPr>
        <w:t xml:space="preserve">at </w:t>
      </w:r>
      <w:r w:rsidR="00D27848">
        <w:rPr>
          <w:szCs w:val="26"/>
        </w:rPr>
        <w:t>p</w:t>
      </w:r>
      <w:r w:rsidR="004659A4">
        <w:rPr>
          <w:szCs w:val="26"/>
        </w:rPr>
        <w:t>p.</w:t>
      </w:r>
      <w:r w:rsidRPr="00535F58" w:rsidR="004659A4">
        <w:rPr>
          <w:szCs w:val="26"/>
        </w:rPr>
        <w:t xml:space="preserve"> 68</w:t>
      </w:r>
      <w:r w:rsidR="004659A4">
        <w:rPr>
          <w:szCs w:val="26"/>
        </w:rPr>
        <w:t>6</w:t>
      </w:r>
      <w:r w:rsidR="003878D0">
        <w:rPr>
          <w:szCs w:val="26"/>
        </w:rPr>
        <w:t>, 694</w:t>
      </w:r>
      <w:r w:rsidR="00572FC8">
        <w:rPr>
          <w:szCs w:val="26"/>
        </w:rPr>
        <w:t>–69</w:t>
      </w:r>
      <w:r w:rsidR="002A6AD3">
        <w:rPr>
          <w:szCs w:val="26"/>
        </w:rPr>
        <w:t>5</w:t>
      </w:r>
      <w:r w:rsidR="009142F2">
        <w:rPr>
          <w:szCs w:val="26"/>
        </w:rPr>
        <w:t>.)</w:t>
      </w:r>
      <w:r w:rsidR="002A6AD3">
        <w:rPr>
          <w:szCs w:val="26"/>
        </w:rPr>
        <w:t xml:space="preserve"> </w:t>
      </w:r>
      <w:r w:rsidR="009142F2">
        <w:rPr>
          <w:szCs w:val="26"/>
        </w:rPr>
        <w:t xml:space="preserve"> Based on </w:t>
      </w:r>
      <w:r w:rsidR="003A65E2">
        <w:rPr>
          <w:szCs w:val="26"/>
        </w:rPr>
        <w:t>this</w:t>
      </w:r>
      <w:r w:rsidR="009142F2">
        <w:rPr>
          <w:szCs w:val="26"/>
        </w:rPr>
        <w:t xml:space="preserve"> “necessary” role, the court inferred that</w:t>
      </w:r>
      <w:r w:rsidRPr="002A6AD3" w:rsidR="009142F2">
        <w:rPr>
          <w:szCs w:val="26"/>
        </w:rPr>
        <w:t xml:space="preserve"> </w:t>
      </w:r>
      <w:r w:rsidR="009142F2">
        <w:rPr>
          <w:szCs w:val="26"/>
        </w:rPr>
        <w:t>the</w:t>
      </w:r>
      <w:r w:rsidR="003A65E2">
        <w:rPr>
          <w:szCs w:val="26"/>
        </w:rPr>
        <w:t xml:space="preserve"> reports’</w:t>
      </w:r>
      <w:r w:rsidR="009142F2">
        <w:rPr>
          <w:szCs w:val="26"/>
        </w:rPr>
        <w:t xml:space="preserve"> </w:t>
      </w:r>
      <w:r w:rsidRPr="002A6AD3" w:rsidR="009142F2">
        <w:rPr>
          <w:szCs w:val="26"/>
        </w:rPr>
        <w:t xml:space="preserve">facts </w:t>
      </w:r>
      <w:r w:rsidR="009142F2">
        <w:rPr>
          <w:szCs w:val="26"/>
        </w:rPr>
        <w:t>are “</w:t>
      </w:r>
      <w:r w:rsidR="00B53F50">
        <w:rPr>
          <w:szCs w:val="26"/>
        </w:rPr>
        <w:t> ‘</w:t>
      </w:r>
      <w:r w:rsidRPr="002A6AD3" w:rsidR="009142F2">
        <w:rPr>
          <w:szCs w:val="26"/>
        </w:rPr>
        <w:t>impliedly intended to be pleaded by averments or proper attachment to the petition</w:t>
      </w:r>
      <w:r w:rsidR="009142F2">
        <w:rPr>
          <w:szCs w:val="26"/>
        </w:rPr>
        <w:t>’ </w:t>
      </w:r>
      <w:r w:rsidRPr="002A6AD3" w:rsidR="009142F2">
        <w:rPr>
          <w:szCs w:val="26"/>
        </w:rPr>
        <w:t>”</w:t>
      </w:r>
      <w:r w:rsidR="009142F2">
        <w:rPr>
          <w:szCs w:val="26"/>
        </w:rPr>
        <w:t xml:space="preserve"> and the reports “must be deemed incorporated into the petition” </w:t>
      </w:r>
      <w:r w:rsidR="004B25C9">
        <w:rPr>
          <w:szCs w:val="26"/>
        </w:rPr>
        <w:t>(</w:t>
      </w:r>
      <w:r w:rsidR="00667563">
        <w:rPr>
          <w:i/>
          <w:iCs/>
          <w:szCs w:val="26"/>
        </w:rPr>
        <w:t>id.</w:t>
      </w:r>
      <w:r w:rsidR="004B25C9">
        <w:rPr>
          <w:szCs w:val="26"/>
        </w:rPr>
        <w:t xml:space="preserve"> at p. 695)</w:t>
      </w:r>
      <w:r w:rsidR="00FF3C56">
        <w:rPr>
          <w:szCs w:val="26"/>
        </w:rPr>
        <w:t> </w:t>
      </w:r>
      <w:r w:rsidR="009142F2">
        <w:rPr>
          <w:szCs w:val="26"/>
        </w:rPr>
        <w:t>—</w:t>
      </w:r>
      <w:r w:rsidR="00C678BD">
        <w:rPr>
          <w:szCs w:val="26"/>
        </w:rPr>
        <w:t xml:space="preserve"> </w:t>
      </w:r>
      <w:r w:rsidR="009142F2">
        <w:rPr>
          <w:szCs w:val="26"/>
        </w:rPr>
        <w:t>meaning</w:t>
      </w:r>
      <w:r w:rsidRPr="00B05FDA" w:rsidR="009142F2">
        <w:rPr>
          <w:szCs w:val="26"/>
        </w:rPr>
        <w:t xml:space="preserve"> </w:t>
      </w:r>
      <w:r w:rsidR="009142F2">
        <w:rPr>
          <w:szCs w:val="26"/>
        </w:rPr>
        <w:t>“</w:t>
      </w:r>
      <w:r w:rsidRPr="00B05FDA" w:rsidR="009142F2">
        <w:rPr>
          <w:szCs w:val="26"/>
        </w:rPr>
        <w:t xml:space="preserve">section 6602’s directive for a trial court to </w:t>
      </w:r>
      <w:r w:rsidR="009142F2">
        <w:rPr>
          <w:szCs w:val="26"/>
        </w:rPr>
        <w:t>‘</w:t>
      </w:r>
      <w:r w:rsidRPr="00B05FDA" w:rsidR="009142F2">
        <w:rPr>
          <w:szCs w:val="26"/>
        </w:rPr>
        <w:t>review the petition</w:t>
      </w:r>
      <w:r w:rsidR="009142F2">
        <w:rPr>
          <w:szCs w:val="26"/>
        </w:rPr>
        <w:t>’</w:t>
      </w:r>
      <w:r w:rsidRPr="00B05FDA" w:rsidR="009142F2">
        <w:rPr>
          <w:szCs w:val="26"/>
        </w:rPr>
        <w:t xml:space="preserve"> at a probable cause hearing necessarily requires the court to review the evaluations, as well</w:t>
      </w:r>
      <w:r w:rsidR="009142F2">
        <w:rPr>
          <w:szCs w:val="26"/>
        </w:rPr>
        <w:t>”</w:t>
      </w:r>
      <w:r w:rsidR="007B39B9">
        <w:rPr>
          <w:szCs w:val="26"/>
        </w:rPr>
        <w:t xml:space="preserve"> </w:t>
      </w:r>
      <w:r w:rsidR="00E51950">
        <w:rPr>
          <w:szCs w:val="26"/>
        </w:rPr>
        <w:t>(</w:t>
      </w:r>
      <w:r w:rsidRPr="001B2321" w:rsidR="00EF1434">
        <w:rPr>
          <w:i/>
          <w:iCs/>
          <w:szCs w:val="26"/>
        </w:rPr>
        <w:t>Walker</w:t>
      </w:r>
      <w:r w:rsidR="00EF1434">
        <w:rPr>
          <w:szCs w:val="26"/>
        </w:rPr>
        <w:t xml:space="preserve">, at p. 696).  </w:t>
      </w:r>
      <w:r w:rsidR="001B024E">
        <w:rPr>
          <w:szCs w:val="26"/>
        </w:rPr>
        <w:t xml:space="preserve">Second, </w:t>
      </w:r>
      <w:r w:rsidR="00C355CA">
        <w:rPr>
          <w:szCs w:val="26"/>
        </w:rPr>
        <w:t>it</w:t>
      </w:r>
      <w:r w:rsidR="00A16FD3">
        <w:rPr>
          <w:szCs w:val="26"/>
        </w:rPr>
        <w:t xml:space="preserve"> reasoned </w:t>
      </w:r>
      <w:r w:rsidR="00013DB6">
        <w:rPr>
          <w:szCs w:val="26"/>
          <w:shd w:val="clear" w:color="auto" w:fill="FFFFFF"/>
        </w:rPr>
        <w:t xml:space="preserve">that </w:t>
      </w:r>
      <w:r w:rsidR="00662846">
        <w:rPr>
          <w:szCs w:val="26"/>
          <w:shd w:val="clear" w:color="auto" w:fill="FFFFFF"/>
        </w:rPr>
        <w:t xml:space="preserve">trial </w:t>
      </w:r>
      <w:r w:rsidR="00013DB6">
        <w:rPr>
          <w:szCs w:val="26"/>
          <w:shd w:val="clear" w:color="auto" w:fill="FFFFFF"/>
        </w:rPr>
        <w:t>courts may, as part of their review of the evaluations, consider hearsay contained therein.</w:t>
      </w:r>
      <w:r w:rsidR="007564B8">
        <w:rPr>
          <w:szCs w:val="26"/>
          <w:shd w:val="clear" w:color="auto" w:fill="FFFFFF"/>
        </w:rPr>
        <w:t xml:space="preserve">  (</w:t>
      </w:r>
      <w:r w:rsidRPr="003D4B49" w:rsidR="007564B8">
        <w:rPr>
          <w:i/>
          <w:iCs/>
          <w:szCs w:val="26"/>
          <w:shd w:val="clear" w:color="auto" w:fill="FFFFFF"/>
        </w:rPr>
        <w:t>Id.</w:t>
      </w:r>
      <w:r w:rsidR="007564B8">
        <w:rPr>
          <w:szCs w:val="26"/>
          <w:shd w:val="clear" w:color="auto" w:fill="FFFFFF"/>
        </w:rPr>
        <w:t xml:space="preserve"> at </w:t>
      </w:r>
      <w:r w:rsidR="001D657C">
        <w:rPr>
          <w:szCs w:val="26"/>
          <w:shd w:val="clear" w:color="auto" w:fill="FFFFFF"/>
        </w:rPr>
        <w:t>p</w:t>
      </w:r>
      <w:r w:rsidR="007564B8">
        <w:rPr>
          <w:szCs w:val="26"/>
          <w:shd w:val="clear" w:color="auto" w:fill="FFFFFF"/>
        </w:rPr>
        <w:t>p. 686</w:t>
      </w:r>
      <w:r w:rsidR="006668AD">
        <w:rPr>
          <w:szCs w:val="26"/>
          <w:shd w:val="clear" w:color="auto" w:fill="FFFFFF"/>
        </w:rPr>
        <w:t>, 688</w:t>
      </w:r>
      <w:r w:rsidR="007F6E23">
        <w:rPr>
          <w:szCs w:val="26"/>
          <w:shd w:val="clear" w:color="auto" w:fill="FFFFFF"/>
        </w:rPr>
        <w:t xml:space="preserve">; see also </w:t>
      </w:r>
      <w:r w:rsidRPr="00514846" w:rsidR="007F6E23">
        <w:rPr>
          <w:i/>
          <w:iCs/>
          <w:szCs w:val="26"/>
          <w:shd w:val="clear" w:color="auto" w:fill="FFFFFF"/>
        </w:rPr>
        <w:t>id.</w:t>
      </w:r>
      <w:r w:rsidR="007F6E23">
        <w:rPr>
          <w:szCs w:val="26"/>
          <w:shd w:val="clear" w:color="auto" w:fill="FFFFFF"/>
        </w:rPr>
        <w:t xml:space="preserve"> at p. </w:t>
      </w:r>
      <w:r w:rsidR="00AE7F33">
        <w:rPr>
          <w:szCs w:val="26"/>
          <w:shd w:val="clear" w:color="auto" w:fill="FFFFFF"/>
        </w:rPr>
        <w:t>696</w:t>
      </w:r>
      <w:r w:rsidR="007F6E23">
        <w:rPr>
          <w:szCs w:val="26"/>
          <w:shd w:val="clear" w:color="auto" w:fill="FFFFFF"/>
        </w:rPr>
        <w:t xml:space="preserve"> [</w:t>
      </w:r>
      <w:r w:rsidR="00D01A6E">
        <w:rPr>
          <w:szCs w:val="26"/>
        </w:rPr>
        <w:t>§</w:t>
      </w:r>
      <w:r w:rsidR="00514846">
        <w:rPr>
          <w:szCs w:val="26"/>
          <w:shd w:val="clear" w:color="auto" w:fill="FFFFFF"/>
        </w:rPr>
        <w:t xml:space="preserve"> 6602, subd</w:t>
      </w:r>
      <w:r w:rsidR="00D01A6E">
        <w:rPr>
          <w:szCs w:val="26"/>
          <w:shd w:val="clear" w:color="auto" w:fill="FFFFFF"/>
        </w:rPr>
        <w:t>.</w:t>
      </w:r>
      <w:r w:rsidR="00514846">
        <w:rPr>
          <w:szCs w:val="26"/>
          <w:shd w:val="clear" w:color="auto" w:fill="FFFFFF"/>
        </w:rPr>
        <w:t xml:space="preserve"> (a)</w:t>
      </w:r>
      <w:r w:rsidR="00793BBB">
        <w:rPr>
          <w:szCs w:val="26"/>
          <w:shd w:val="clear" w:color="auto" w:fill="FFFFFF"/>
        </w:rPr>
        <w:t xml:space="preserve">’s directive to review </w:t>
      </w:r>
      <w:r w:rsidRPr="00514846" w:rsidR="00514846">
        <w:rPr>
          <w:szCs w:val="26"/>
          <w:shd w:val="clear" w:color="auto" w:fill="FFFFFF"/>
        </w:rPr>
        <w:t xml:space="preserve">the petition </w:t>
      </w:r>
      <w:r w:rsidR="00793BBB">
        <w:rPr>
          <w:szCs w:val="26"/>
          <w:shd w:val="clear" w:color="auto" w:fill="FFFFFF"/>
        </w:rPr>
        <w:t>includes review of</w:t>
      </w:r>
      <w:r w:rsidRPr="00514846" w:rsidR="00514846">
        <w:rPr>
          <w:szCs w:val="26"/>
          <w:shd w:val="clear" w:color="auto" w:fill="FFFFFF"/>
        </w:rPr>
        <w:t xml:space="preserve"> the evaluations</w:t>
      </w:r>
      <w:r w:rsidR="00793BBB">
        <w:rPr>
          <w:szCs w:val="26"/>
          <w:shd w:val="clear" w:color="auto" w:fill="FFFFFF"/>
        </w:rPr>
        <w:t xml:space="preserve"> </w:t>
      </w:r>
      <w:r w:rsidRPr="00514846" w:rsidR="00514846">
        <w:rPr>
          <w:szCs w:val="26"/>
          <w:shd w:val="clear" w:color="auto" w:fill="FFFFFF"/>
        </w:rPr>
        <w:t>in their entirety</w:t>
      </w:r>
      <w:r w:rsidR="00793BBB">
        <w:rPr>
          <w:szCs w:val="26"/>
          <w:shd w:val="clear" w:color="auto" w:fill="FFFFFF"/>
        </w:rPr>
        <w:t>,</w:t>
      </w:r>
      <w:r w:rsidRPr="00514846" w:rsidR="00514846">
        <w:rPr>
          <w:szCs w:val="26"/>
          <w:shd w:val="clear" w:color="auto" w:fill="FFFFFF"/>
        </w:rPr>
        <w:t xml:space="preserve"> and even if the subdivision’s language is ambiguous, the SVPA’s “structure and purpose [citation] </w:t>
      </w:r>
      <w:r w:rsidR="00B53F50">
        <w:rPr>
          <w:szCs w:val="26"/>
          <w:shd w:val="clear" w:color="auto" w:fill="FFFFFF"/>
        </w:rPr>
        <w:t>confirms that section 6602[, subdiv</w:t>
      </w:r>
      <w:r w:rsidR="00E6037F">
        <w:rPr>
          <w:szCs w:val="26"/>
          <w:shd w:val="clear" w:color="auto" w:fill="FFFFFF"/>
        </w:rPr>
        <w:t>i</w:t>
      </w:r>
      <w:r w:rsidR="00B53F50">
        <w:rPr>
          <w:szCs w:val="26"/>
          <w:shd w:val="clear" w:color="auto" w:fill="FFFFFF"/>
        </w:rPr>
        <w:t xml:space="preserve">sion ](a) </w:t>
      </w:r>
      <w:r w:rsidRPr="00514846" w:rsidR="00514846">
        <w:rPr>
          <w:color w:val="000000"/>
          <w:shd w:val="clear" w:color="auto" w:fill="FFFFFF"/>
        </w:rPr>
        <w:t>excepts the evaluations and any information contained within them from the hearsay rule</w:t>
      </w:r>
      <w:r w:rsidR="00CF2F3B">
        <w:rPr>
          <w:color w:val="000000"/>
          <w:shd w:val="clear" w:color="auto" w:fill="FFFFFF"/>
        </w:rPr>
        <w:t>”].)</w:t>
      </w:r>
      <w:r w:rsidR="00EF0FA3">
        <w:rPr>
          <w:color w:val="000000"/>
          <w:shd w:val="clear" w:color="auto" w:fill="FFFFFF"/>
        </w:rPr>
        <w:t xml:space="preserve">  </w:t>
      </w:r>
      <w:r w:rsidR="00AD2BA1">
        <w:rPr>
          <w:color w:val="000000"/>
          <w:shd w:val="clear" w:color="auto" w:fill="FFFFFF"/>
        </w:rPr>
        <w:t>We’re not persuaded</w:t>
      </w:r>
      <w:r w:rsidR="00EF0FA3">
        <w:rPr>
          <w:color w:val="000000"/>
          <w:shd w:val="clear" w:color="auto" w:fill="FFFFFF"/>
        </w:rPr>
        <w:t>.</w:t>
      </w:r>
      <w:r w:rsidR="00F4563C">
        <w:rPr>
          <w:color w:val="000000"/>
          <w:shd w:val="clear" w:color="auto" w:fill="FFFFFF"/>
        </w:rPr>
        <w:t xml:space="preserve">  </w:t>
      </w:r>
    </w:p>
    <w:p w:rsidR="00121DD3" w:rsidRPr="00C11440" w:rsidP="00C11440" w14:paraId="76CFC7F2" w14:textId="737AE554">
      <w:pPr>
        <w:ind w:firstLine="720"/>
        <w:rPr>
          <w:szCs w:val="26"/>
        </w:rPr>
      </w:pPr>
      <w:r>
        <w:rPr>
          <w:color w:val="000000"/>
          <w:shd w:val="clear" w:color="auto" w:fill="FFFFFF"/>
        </w:rPr>
        <w:t>To begin, t</w:t>
      </w:r>
      <w:r w:rsidR="00120AC7">
        <w:rPr>
          <w:color w:val="000000"/>
          <w:shd w:val="clear" w:color="auto" w:fill="FFFFFF"/>
        </w:rPr>
        <w:t>he SVPA does not</w:t>
      </w:r>
      <w:r w:rsidR="00343B0E">
        <w:rPr>
          <w:color w:val="000000"/>
          <w:shd w:val="clear" w:color="auto" w:fill="FFFFFF"/>
        </w:rPr>
        <w:t xml:space="preserve"> appear to</w:t>
      </w:r>
      <w:r w:rsidR="00120AC7">
        <w:rPr>
          <w:color w:val="000000"/>
          <w:shd w:val="clear" w:color="auto" w:fill="FFFFFF"/>
        </w:rPr>
        <w:t xml:space="preserve"> require consideration of the evaluation reports</w:t>
      </w:r>
      <w:r w:rsidR="003A65E2">
        <w:rPr>
          <w:color w:val="000000"/>
          <w:shd w:val="clear" w:color="auto" w:fill="FFFFFF"/>
        </w:rPr>
        <w:t>.</w:t>
      </w:r>
      <w:r w:rsidR="00120AC7">
        <w:rPr>
          <w:color w:val="000000"/>
          <w:shd w:val="clear" w:color="auto" w:fill="FFFFFF"/>
        </w:rPr>
        <w:t xml:space="preserve"> </w:t>
      </w:r>
      <w:r w:rsidR="0076725C">
        <w:rPr>
          <w:color w:val="000000"/>
          <w:shd w:val="clear" w:color="auto" w:fill="FFFFFF"/>
        </w:rPr>
        <w:t xml:space="preserve"> </w:t>
      </w:r>
      <w:r w:rsidR="0076725C">
        <w:rPr>
          <w:szCs w:val="26"/>
        </w:rPr>
        <w:t xml:space="preserve">It requires </w:t>
      </w:r>
      <w:r w:rsidR="00F0293D">
        <w:rPr>
          <w:szCs w:val="26"/>
        </w:rPr>
        <w:t xml:space="preserve">only that </w:t>
      </w:r>
      <w:r w:rsidR="0076725C">
        <w:rPr>
          <w:szCs w:val="26"/>
        </w:rPr>
        <w:t xml:space="preserve">these </w:t>
      </w:r>
      <w:r w:rsidR="00FE6D0C">
        <w:rPr>
          <w:szCs w:val="26"/>
        </w:rPr>
        <w:t>reports</w:t>
      </w:r>
      <w:r w:rsidR="0076725C">
        <w:rPr>
          <w:szCs w:val="26"/>
        </w:rPr>
        <w:t xml:space="preserve"> be prepared as a predicate to filing an SVPA petition and then be made available to the county</w:t>
      </w:r>
      <w:r w:rsidR="00FE6D0C">
        <w:rPr>
          <w:szCs w:val="26"/>
        </w:rPr>
        <w:t>’s designated cou</w:t>
      </w:r>
      <w:r w:rsidR="00F0293D">
        <w:rPr>
          <w:szCs w:val="26"/>
        </w:rPr>
        <w:t>nsel</w:t>
      </w:r>
      <w:r w:rsidR="00FE6D0C">
        <w:rPr>
          <w:szCs w:val="26"/>
        </w:rPr>
        <w:t>, who</w:t>
      </w:r>
      <w:r w:rsidR="0076725C">
        <w:rPr>
          <w:szCs w:val="26"/>
        </w:rPr>
        <w:t xml:space="preserve"> </w:t>
      </w:r>
      <w:r w:rsidR="009B733B">
        <w:rPr>
          <w:szCs w:val="26"/>
        </w:rPr>
        <w:t xml:space="preserve">then decides whether to file </w:t>
      </w:r>
      <w:r w:rsidR="006F7CAE">
        <w:rPr>
          <w:szCs w:val="26"/>
        </w:rPr>
        <w:t>a</w:t>
      </w:r>
      <w:r w:rsidR="0076725C">
        <w:rPr>
          <w:szCs w:val="26"/>
        </w:rPr>
        <w:t xml:space="preserve"> petition</w:t>
      </w:r>
      <w:r w:rsidR="009B733B">
        <w:rPr>
          <w:szCs w:val="26"/>
        </w:rPr>
        <w:t xml:space="preserve"> and what to include in it</w:t>
      </w:r>
      <w:r w:rsidR="0076725C">
        <w:rPr>
          <w:szCs w:val="26"/>
        </w:rPr>
        <w:t>.  (§ 6601, subd</w:t>
      </w:r>
      <w:r w:rsidR="00FE6D0C">
        <w:rPr>
          <w:szCs w:val="26"/>
        </w:rPr>
        <w:t>s</w:t>
      </w:r>
      <w:r w:rsidR="0076725C">
        <w:rPr>
          <w:szCs w:val="26"/>
        </w:rPr>
        <w:t>. (d)</w:t>
      </w:r>
      <w:r w:rsidR="003A518C">
        <w:rPr>
          <w:szCs w:val="26"/>
        </w:rPr>
        <w:t xml:space="preserve">, </w:t>
      </w:r>
      <w:r w:rsidR="0076725C">
        <w:rPr>
          <w:szCs w:val="26"/>
        </w:rPr>
        <w:t>(h)(1)</w:t>
      </w:r>
      <w:r w:rsidR="00F30E74">
        <w:rPr>
          <w:szCs w:val="26"/>
        </w:rPr>
        <w:t>, (i)</w:t>
      </w:r>
      <w:r w:rsidR="0076725C">
        <w:rPr>
          <w:szCs w:val="26"/>
        </w:rPr>
        <w:t xml:space="preserve">.)  </w:t>
      </w:r>
      <w:r w:rsidR="003950CE">
        <w:rPr>
          <w:szCs w:val="26"/>
        </w:rPr>
        <w:t>Although the evaluations are often attached as exhibits to the petition (</w:t>
      </w:r>
      <w:r w:rsidR="00C11440">
        <w:rPr>
          <w:szCs w:val="26"/>
        </w:rPr>
        <w:t xml:space="preserve">see </w:t>
      </w:r>
      <w:r w:rsidRPr="00C11440" w:rsidR="00C11440">
        <w:rPr>
          <w:i/>
          <w:iCs/>
          <w:color w:val="000000"/>
          <w:szCs w:val="26"/>
        </w:rPr>
        <w:t>Hubbart</w:t>
      </w:r>
      <w:r w:rsidRPr="00C11440" w:rsidR="00C11440">
        <w:rPr>
          <w:color w:val="000000"/>
          <w:szCs w:val="26"/>
        </w:rPr>
        <w:t xml:space="preserve">, </w:t>
      </w:r>
      <w:r w:rsidRPr="00C11440" w:rsidR="00C11440">
        <w:rPr>
          <w:i/>
          <w:iCs/>
          <w:color w:val="000000"/>
          <w:szCs w:val="26"/>
        </w:rPr>
        <w:t>supra</w:t>
      </w:r>
      <w:r w:rsidRPr="00C11440" w:rsidR="00C11440">
        <w:rPr>
          <w:color w:val="000000"/>
          <w:szCs w:val="26"/>
        </w:rPr>
        <w:t>, 19 Cal.4th at p. 1149</w:t>
      </w:r>
      <w:r w:rsidR="00C11440">
        <w:rPr>
          <w:szCs w:val="26"/>
        </w:rPr>
        <w:t xml:space="preserve">; </w:t>
      </w:r>
      <w:r w:rsidR="003950CE">
        <w:rPr>
          <w:rFonts w:eastAsia="Century Schoolbook"/>
          <w:i/>
          <w:iCs/>
          <w:szCs w:val="26"/>
        </w:rPr>
        <w:t>Walker</w:t>
      </w:r>
      <w:r w:rsidR="003950CE">
        <w:rPr>
          <w:rFonts w:eastAsia="Century Schoolbook"/>
          <w:szCs w:val="26"/>
        </w:rPr>
        <w:t xml:space="preserve">, </w:t>
      </w:r>
      <w:r w:rsidR="003950CE">
        <w:rPr>
          <w:rFonts w:eastAsia="Century Schoolbook"/>
          <w:i/>
          <w:iCs/>
          <w:szCs w:val="26"/>
        </w:rPr>
        <w:t>supra</w:t>
      </w:r>
      <w:r w:rsidR="003950CE">
        <w:rPr>
          <w:rFonts w:eastAsia="Century Schoolbook"/>
          <w:szCs w:val="26"/>
        </w:rPr>
        <w:t>, 51 Cal.App.5th at p. 695</w:t>
      </w:r>
      <w:r w:rsidR="006D11BE">
        <w:rPr>
          <w:rFonts w:eastAsia="Century Schoolbook"/>
          <w:szCs w:val="26"/>
        </w:rPr>
        <w:t xml:space="preserve">; </w:t>
      </w:r>
      <w:r w:rsidR="003950CE">
        <w:rPr>
          <w:rFonts w:eastAsia="Century Schoolbook"/>
          <w:szCs w:val="26"/>
        </w:rPr>
        <w:t xml:space="preserve">cf. </w:t>
      </w:r>
      <w:r w:rsidR="003950CE">
        <w:rPr>
          <w:rFonts w:eastAsia="Century Schoolbook"/>
          <w:i/>
          <w:iCs/>
          <w:szCs w:val="26"/>
        </w:rPr>
        <w:t xml:space="preserve">People v. Superior Court </w:t>
      </w:r>
      <w:r w:rsidRPr="00C32A2C" w:rsidR="003950CE">
        <w:rPr>
          <w:rFonts w:eastAsia="Century Schoolbook"/>
          <w:szCs w:val="26"/>
        </w:rPr>
        <w:t>(</w:t>
      </w:r>
      <w:r w:rsidR="003950CE">
        <w:rPr>
          <w:rFonts w:eastAsia="Century Schoolbook"/>
          <w:i/>
          <w:iCs/>
          <w:szCs w:val="26"/>
        </w:rPr>
        <w:t>Ghilotti</w:t>
      </w:r>
      <w:r w:rsidRPr="00C32A2C" w:rsidR="003950CE">
        <w:rPr>
          <w:rFonts w:eastAsia="Century Schoolbook"/>
          <w:szCs w:val="26"/>
        </w:rPr>
        <w:t>)</w:t>
      </w:r>
      <w:r w:rsidR="003950CE">
        <w:rPr>
          <w:rFonts w:eastAsia="Century Schoolbook"/>
          <w:szCs w:val="26"/>
        </w:rPr>
        <w:t xml:space="preserve"> (2002) 27 Cal.4th 888, 913 </w:t>
      </w:r>
      <w:r w:rsidR="00D01A6E">
        <w:rPr>
          <w:rFonts w:eastAsia="Century Schoolbook"/>
          <w:szCs w:val="26"/>
        </w:rPr>
        <w:t>(</w:t>
      </w:r>
      <w:r w:rsidR="00D01A6E">
        <w:rPr>
          <w:rFonts w:eastAsia="Century Schoolbook"/>
          <w:i/>
          <w:iCs/>
          <w:szCs w:val="26"/>
        </w:rPr>
        <w:t>Ghilotti</w:t>
      </w:r>
      <w:r w:rsidR="00D01A6E">
        <w:rPr>
          <w:rFonts w:eastAsia="Century Schoolbook"/>
          <w:szCs w:val="26"/>
        </w:rPr>
        <w:t xml:space="preserve">) </w:t>
      </w:r>
      <w:r w:rsidR="003950CE">
        <w:rPr>
          <w:rFonts w:eastAsia="Century Schoolbook"/>
          <w:szCs w:val="26"/>
        </w:rPr>
        <w:t>[</w:t>
      </w:r>
      <w:r w:rsidR="0083001A">
        <w:rPr>
          <w:rFonts w:eastAsia="Century Schoolbook"/>
          <w:szCs w:val="26"/>
        </w:rPr>
        <w:t xml:space="preserve">in describing the process  for how </w:t>
      </w:r>
      <w:r w:rsidRPr="00761DF6" w:rsidR="0083001A">
        <w:rPr>
          <w:noProof/>
        </w:rPr>
        <w:t>a party can challenge an expert evaluation for material legal error</w:t>
      </w:r>
      <w:r w:rsidR="0083001A">
        <w:rPr>
          <w:noProof/>
        </w:rPr>
        <w:t>, we advised</w:t>
      </w:r>
      <w:r w:rsidR="0083001A">
        <w:rPr>
          <w:rFonts w:eastAsia="Century Schoolbook"/>
          <w:szCs w:val="26"/>
        </w:rPr>
        <w:t xml:space="preserve"> </w:t>
      </w:r>
      <w:r w:rsidR="003950CE">
        <w:rPr>
          <w:rFonts w:eastAsia="Century Schoolbook"/>
          <w:szCs w:val="26"/>
        </w:rPr>
        <w:t>that the evaluations “should . . . be attached to the petition”])</w:t>
      </w:r>
      <w:r w:rsidR="00E94737">
        <w:rPr>
          <w:rFonts w:eastAsia="Century Schoolbook"/>
          <w:szCs w:val="26"/>
        </w:rPr>
        <w:t>, t</w:t>
      </w:r>
      <w:r w:rsidR="003950CE">
        <w:rPr>
          <w:szCs w:val="26"/>
        </w:rPr>
        <w:t xml:space="preserve">he statutory provisions governing the </w:t>
      </w:r>
      <w:r w:rsidRPr="00C32A2C" w:rsidR="003950CE">
        <w:rPr>
          <w:szCs w:val="26"/>
        </w:rPr>
        <w:t xml:space="preserve">evaluations do not dictate how the county’s counsel should present </w:t>
      </w:r>
      <w:r w:rsidRPr="00C32A2C" w:rsidR="00E94737">
        <w:rPr>
          <w:szCs w:val="26"/>
        </w:rPr>
        <w:t>them</w:t>
      </w:r>
      <w:r w:rsidRPr="00C32A2C" w:rsidR="003950CE">
        <w:rPr>
          <w:szCs w:val="26"/>
        </w:rPr>
        <w:t xml:space="preserve"> to the court or even require the attorney to do so.  </w:t>
      </w:r>
      <w:r w:rsidRPr="00C32A2C" w:rsidR="000E1335">
        <w:rPr>
          <w:color w:val="000000"/>
          <w:szCs w:val="26"/>
          <w:shd w:val="clear" w:color="auto" w:fill="FFFFFF"/>
        </w:rPr>
        <w:t xml:space="preserve">The People may choose to establish the facts underlying the petition by other means.  </w:t>
      </w:r>
      <w:r w:rsidRPr="00C32A2C">
        <w:rPr>
          <w:color w:val="000000"/>
          <w:szCs w:val="26"/>
          <w:shd w:val="clear" w:color="auto" w:fill="FFFFFF"/>
        </w:rPr>
        <w:t>In view of these</w:t>
      </w:r>
      <w:r w:rsidRPr="00C32A2C" w:rsidR="002119EA">
        <w:rPr>
          <w:color w:val="000000"/>
          <w:szCs w:val="26"/>
          <w:shd w:val="clear" w:color="auto" w:fill="FFFFFF"/>
        </w:rPr>
        <w:t xml:space="preserve"> considerations</w:t>
      </w:r>
      <w:r w:rsidRPr="00C32A2C">
        <w:rPr>
          <w:color w:val="000000"/>
          <w:szCs w:val="26"/>
          <w:shd w:val="clear" w:color="auto" w:fill="FFFFFF"/>
        </w:rPr>
        <w:t>,</w:t>
      </w:r>
      <w:r w:rsidRPr="00C32A2C" w:rsidR="002119EA">
        <w:rPr>
          <w:color w:val="000000"/>
          <w:szCs w:val="26"/>
          <w:shd w:val="clear" w:color="auto" w:fill="FFFFFF"/>
        </w:rPr>
        <w:t xml:space="preserve"> </w:t>
      </w:r>
      <w:r w:rsidRPr="00C32A2C">
        <w:rPr>
          <w:color w:val="000000"/>
          <w:szCs w:val="26"/>
          <w:shd w:val="clear" w:color="auto" w:fill="FFFFFF"/>
        </w:rPr>
        <w:t xml:space="preserve">which </w:t>
      </w:r>
      <w:r w:rsidRPr="00C32A2C" w:rsidR="00336738">
        <w:rPr>
          <w:color w:val="000000"/>
          <w:szCs w:val="26"/>
          <w:shd w:val="clear" w:color="auto" w:fill="FFFFFF"/>
        </w:rPr>
        <w:t xml:space="preserve">tend to </w:t>
      </w:r>
      <w:r w:rsidRPr="00C32A2C">
        <w:rPr>
          <w:color w:val="000000"/>
          <w:szCs w:val="26"/>
          <w:shd w:val="clear" w:color="auto" w:fill="FFFFFF"/>
        </w:rPr>
        <w:t xml:space="preserve">suggest </w:t>
      </w:r>
      <w:r w:rsidRPr="00C32A2C" w:rsidR="002426CF">
        <w:rPr>
          <w:color w:val="000000"/>
          <w:szCs w:val="26"/>
          <w:shd w:val="clear" w:color="auto" w:fill="FFFFFF"/>
        </w:rPr>
        <w:t>th</w:t>
      </w:r>
      <w:r w:rsidRPr="00C32A2C" w:rsidR="00EA09BD">
        <w:rPr>
          <w:color w:val="000000"/>
          <w:szCs w:val="26"/>
          <w:shd w:val="clear" w:color="auto" w:fill="FFFFFF"/>
        </w:rPr>
        <w:t>at the</w:t>
      </w:r>
      <w:r w:rsidRPr="00C32A2C" w:rsidR="002426CF">
        <w:rPr>
          <w:color w:val="000000"/>
          <w:szCs w:val="26"/>
          <w:shd w:val="clear" w:color="auto" w:fill="FFFFFF"/>
        </w:rPr>
        <w:t xml:space="preserve"> evaluation</w:t>
      </w:r>
      <w:r w:rsidRPr="00C32A2C">
        <w:rPr>
          <w:color w:val="000000"/>
          <w:szCs w:val="26"/>
          <w:shd w:val="clear" w:color="auto" w:fill="FFFFFF"/>
        </w:rPr>
        <w:t xml:space="preserve"> reports</w:t>
      </w:r>
      <w:r w:rsidRPr="00C32A2C" w:rsidR="002426CF">
        <w:rPr>
          <w:color w:val="000000"/>
          <w:szCs w:val="26"/>
          <w:shd w:val="clear" w:color="auto" w:fill="FFFFFF"/>
        </w:rPr>
        <w:t xml:space="preserve"> </w:t>
      </w:r>
      <w:r w:rsidRPr="00C32A2C" w:rsidR="00EA09BD">
        <w:rPr>
          <w:color w:val="000000"/>
          <w:szCs w:val="26"/>
          <w:shd w:val="clear" w:color="auto" w:fill="FFFFFF"/>
        </w:rPr>
        <w:t xml:space="preserve">largely </w:t>
      </w:r>
      <w:r w:rsidRPr="00C32A2C" w:rsidR="002426CF">
        <w:rPr>
          <w:color w:val="000000"/>
          <w:szCs w:val="26"/>
        </w:rPr>
        <w:t>play a “discrete and preliminary</w:t>
      </w:r>
      <w:r w:rsidRPr="00C32A2C" w:rsidR="00EA09BD">
        <w:rPr>
          <w:color w:val="000000"/>
          <w:szCs w:val="26"/>
        </w:rPr>
        <w:t>” gatekeeping</w:t>
      </w:r>
      <w:r w:rsidRPr="00C32A2C" w:rsidR="002426CF">
        <w:rPr>
          <w:color w:val="000000"/>
          <w:szCs w:val="26"/>
        </w:rPr>
        <w:t xml:space="preserve"> role</w:t>
      </w:r>
      <w:r w:rsidRPr="00C32A2C">
        <w:rPr>
          <w:color w:val="000000"/>
          <w:szCs w:val="26"/>
        </w:rPr>
        <w:t xml:space="preserve"> in the SVPA commitment process (</w:t>
      </w:r>
      <w:r w:rsidRPr="00C32A2C">
        <w:rPr>
          <w:i/>
          <w:iCs/>
          <w:color w:val="000000"/>
          <w:szCs w:val="26"/>
          <w:shd w:val="clear" w:color="auto" w:fill="FFFFFF"/>
        </w:rPr>
        <w:t xml:space="preserve">People v. Superior Court </w:t>
      </w:r>
      <w:r w:rsidRPr="00C32A2C">
        <w:rPr>
          <w:color w:val="000000"/>
          <w:szCs w:val="26"/>
          <w:shd w:val="clear" w:color="auto" w:fill="FFFFFF"/>
        </w:rPr>
        <w:t>(</w:t>
      </w:r>
      <w:r w:rsidRPr="00C32A2C">
        <w:rPr>
          <w:i/>
          <w:iCs/>
          <w:color w:val="000000"/>
          <w:szCs w:val="26"/>
          <w:shd w:val="clear" w:color="auto" w:fill="FFFFFF"/>
        </w:rPr>
        <w:t>Preciado</w:t>
      </w:r>
      <w:r w:rsidRPr="00C32A2C">
        <w:rPr>
          <w:color w:val="000000"/>
          <w:szCs w:val="26"/>
          <w:shd w:val="clear" w:color="auto" w:fill="FFFFFF"/>
        </w:rPr>
        <w:t>)</w:t>
      </w:r>
      <w:r w:rsidRPr="00C32A2C">
        <w:rPr>
          <w:i/>
          <w:iCs/>
          <w:color w:val="000000"/>
          <w:szCs w:val="26"/>
          <w:shd w:val="clear" w:color="auto" w:fill="FFFFFF"/>
        </w:rPr>
        <w:t xml:space="preserve"> </w:t>
      </w:r>
      <w:r w:rsidRPr="00C32A2C">
        <w:rPr>
          <w:color w:val="000000"/>
          <w:szCs w:val="26"/>
          <w:shd w:val="clear" w:color="auto" w:fill="FFFFFF"/>
        </w:rPr>
        <w:t xml:space="preserve">(2001) 87 Cal.App.4th 1122, 1130; </w:t>
      </w:r>
      <w:r w:rsidRPr="00C32A2C" w:rsidR="0090601D">
        <w:rPr>
          <w:color w:val="000000"/>
          <w:szCs w:val="26"/>
          <w:shd w:val="clear" w:color="auto" w:fill="FFFFFF"/>
        </w:rPr>
        <w:t xml:space="preserve">see also </w:t>
      </w:r>
      <w:r w:rsidRPr="00C32A2C">
        <w:rPr>
          <w:i/>
          <w:iCs/>
          <w:color w:val="000000"/>
          <w:szCs w:val="26"/>
        </w:rPr>
        <w:t>In re Wright</w:t>
      </w:r>
      <w:r w:rsidRPr="00C32A2C">
        <w:rPr>
          <w:color w:val="000000"/>
          <w:szCs w:val="26"/>
        </w:rPr>
        <w:t xml:space="preserve"> (2005) 128 Cal.App.4th 663, 672), the </w:t>
      </w:r>
      <w:r w:rsidRPr="00C32A2C" w:rsidR="00BB2A4F">
        <w:rPr>
          <w:color w:val="000000"/>
          <w:szCs w:val="26"/>
        </w:rPr>
        <w:t>Court of Appeal likely went too far in reasoning</w:t>
      </w:r>
      <w:r w:rsidRPr="00C32A2C">
        <w:rPr>
          <w:color w:val="000000"/>
          <w:szCs w:val="26"/>
        </w:rPr>
        <w:t xml:space="preserve"> </w:t>
      </w:r>
      <w:r w:rsidRPr="00C32A2C" w:rsidR="00BB2A4F">
        <w:rPr>
          <w:color w:val="000000"/>
          <w:szCs w:val="26"/>
        </w:rPr>
        <w:t xml:space="preserve">that the reports </w:t>
      </w:r>
      <w:r w:rsidRPr="00C32A2C" w:rsidR="00BB2A4F">
        <w:rPr>
          <w:i/>
          <w:iCs/>
          <w:color w:val="000000"/>
          <w:szCs w:val="26"/>
        </w:rPr>
        <w:t xml:space="preserve">must </w:t>
      </w:r>
      <w:r w:rsidRPr="00C32A2C" w:rsidR="00BB2A4F">
        <w:rPr>
          <w:color w:val="000000"/>
          <w:szCs w:val="26"/>
        </w:rPr>
        <w:t>be deemed incorporated</w:t>
      </w:r>
      <w:r w:rsidR="00BB2A4F">
        <w:rPr>
          <w:color w:val="000000"/>
          <w:szCs w:val="26"/>
        </w:rPr>
        <w:t xml:space="preserve"> into the petition and therefore considered</w:t>
      </w:r>
      <w:r w:rsidR="00F530C3">
        <w:rPr>
          <w:color w:val="000000"/>
          <w:szCs w:val="26"/>
        </w:rPr>
        <w:t> </w:t>
      </w:r>
      <w:r w:rsidR="003368FA">
        <w:rPr>
          <w:color w:val="000000"/>
          <w:szCs w:val="26"/>
        </w:rPr>
        <w:t>—</w:t>
      </w:r>
      <w:r w:rsidR="00DE1E78">
        <w:rPr>
          <w:color w:val="000000"/>
          <w:szCs w:val="26"/>
        </w:rPr>
        <w:t xml:space="preserve"> </w:t>
      </w:r>
      <w:r w:rsidR="00AD2BA1">
        <w:rPr>
          <w:color w:val="000000"/>
          <w:szCs w:val="26"/>
        </w:rPr>
        <w:t>along with any hearsay</w:t>
      </w:r>
      <w:r w:rsidR="00F530C3">
        <w:rPr>
          <w:color w:val="000000"/>
          <w:szCs w:val="26"/>
        </w:rPr>
        <w:t> </w:t>
      </w:r>
      <w:r w:rsidR="00AD2BA1">
        <w:rPr>
          <w:color w:val="000000"/>
          <w:szCs w:val="26"/>
        </w:rPr>
        <w:t>tucked inside</w:t>
      </w:r>
      <w:r w:rsidR="00DE1E78">
        <w:rPr>
          <w:color w:val="000000"/>
          <w:szCs w:val="26"/>
        </w:rPr>
        <w:t> </w:t>
      </w:r>
      <w:r w:rsidR="003368FA">
        <w:rPr>
          <w:color w:val="000000"/>
          <w:szCs w:val="26"/>
        </w:rPr>
        <w:t>—</w:t>
      </w:r>
      <w:r w:rsidR="00DE1E78">
        <w:rPr>
          <w:color w:val="000000"/>
          <w:szCs w:val="26"/>
        </w:rPr>
        <w:t xml:space="preserve"> </w:t>
      </w:r>
      <w:r w:rsidR="00BB2A4F">
        <w:rPr>
          <w:color w:val="000000"/>
          <w:szCs w:val="26"/>
        </w:rPr>
        <w:t>in the trial court’s probable cause determination.</w:t>
      </w:r>
    </w:p>
    <w:p w:rsidR="007F53E8" w:rsidP="007F53E8" w14:paraId="2F1403A4" w14:textId="299F3DD4">
      <w:pPr>
        <w:ind w:firstLine="720"/>
        <w:rPr>
          <w:color w:val="000000"/>
          <w:szCs w:val="26"/>
          <w:shd w:val="clear" w:color="auto" w:fill="FFFFFF"/>
        </w:rPr>
      </w:pPr>
      <w:r>
        <w:rPr>
          <w:color w:val="000000"/>
          <w:szCs w:val="26"/>
        </w:rPr>
        <w:t xml:space="preserve">Even </w:t>
      </w:r>
      <w:r w:rsidR="00C92BED">
        <w:rPr>
          <w:color w:val="000000"/>
          <w:szCs w:val="26"/>
        </w:rPr>
        <w:t>if</w:t>
      </w:r>
      <w:r>
        <w:rPr>
          <w:color w:val="000000"/>
          <w:szCs w:val="26"/>
        </w:rPr>
        <w:t xml:space="preserve"> </w:t>
      </w:r>
      <w:r w:rsidR="000F78A8">
        <w:rPr>
          <w:color w:val="000000"/>
          <w:szCs w:val="26"/>
        </w:rPr>
        <w:t xml:space="preserve">the </w:t>
      </w:r>
      <w:r w:rsidR="00C92BED">
        <w:rPr>
          <w:color w:val="000000"/>
          <w:szCs w:val="26"/>
        </w:rPr>
        <w:t xml:space="preserve">petition does incorporate the </w:t>
      </w:r>
      <w:r w:rsidR="000F78A8">
        <w:rPr>
          <w:color w:val="000000"/>
          <w:szCs w:val="26"/>
        </w:rPr>
        <w:t>underlying</w:t>
      </w:r>
      <w:r w:rsidR="00CE0334">
        <w:rPr>
          <w:color w:val="000000"/>
          <w:szCs w:val="26"/>
        </w:rPr>
        <w:t xml:space="preserve"> </w:t>
      </w:r>
      <w:r w:rsidRPr="00C32A2C" w:rsidR="00CE0334">
        <w:rPr>
          <w:color w:val="000000"/>
          <w:szCs w:val="26"/>
        </w:rPr>
        <w:t>reports</w:t>
      </w:r>
      <w:r w:rsidRPr="00C32A2C">
        <w:rPr>
          <w:color w:val="000000"/>
          <w:szCs w:val="26"/>
        </w:rPr>
        <w:t>, th</w:t>
      </w:r>
      <w:r w:rsidRPr="00C32A2C" w:rsidR="0078469B">
        <w:rPr>
          <w:color w:val="000000"/>
          <w:szCs w:val="26"/>
        </w:rPr>
        <w:t xml:space="preserve">at </w:t>
      </w:r>
      <w:r w:rsidRPr="00C32A2C" w:rsidR="00D06D1F">
        <w:rPr>
          <w:color w:val="000000"/>
          <w:szCs w:val="26"/>
        </w:rPr>
        <w:t>doesn’t</w:t>
      </w:r>
      <w:r w:rsidRPr="00C32A2C" w:rsidR="0078469B">
        <w:rPr>
          <w:color w:val="000000"/>
          <w:szCs w:val="26"/>
        </w:rPr>
        <w:t xml:space="preserve"> mean</w:t>
      </w:r>
      <w:r w:rsidRPr="00C32A2C" w:rsidR="0059708A">
        <w:rPr>
          <w:color w:val="000000"/>
          <w:szCs w:val="26"/>
        </w:rPr>
        <w:t xml:space="preserve"> that </w:t>
      </w:r>
      <w:r w:rsidRPr="00C32A2C" w:rsidR="000F78A8">
        <w:rPr>
          <w:color w:val="000000"/>
          <w:szCs w:val="26"/>
        </w:rPr>
        <w:t>courts “review[ing] the petition</w:t>
      </w:r>
      <w:r w:rsidRPr="00C32A2C" w:rsidR="0078469B">
        <w:rPr>
          <w:color w:val="000000"/>
          <w:szCs w:val="26"/>
        </w:rPr>
        <w:t xml:space="preserve">” under </w:t>
      </w:r>
      <w:r w:rsidR="00534FC2">
        <w:rPr>
          <w:color w:val="000000"/>
          <w:szCs w:val="26"/>
        </w:rPr>
        <w:t xml:space="preserve">Welfare and Institutions Code </w:t>
      </w:r>
      <w:r w:rsidRPr="00C32A2C" w:rsidR="0078469B">
        <w:rPr>
          <w:color w:val="000000"/>
          <w:szCs w:val="26"/>
        </w:rPr>
        <w:t>section 6602</w:t>
      </w:r>
      <w:r w:rsidRPr="00C32A2C" w:rsidR="00784ABA">
        <w:rPr>
          <w:color w:val="000000"/>
          <w:szCs w:val="26"/>
        </w:rPr>
        <w:t>, subdivision (a)</w:t>
      </w:r>
      <w:r w:rsidRPr="00C32A2C" w:rsidR="000F78A8">
        <w:rPr>
          <w:color w:val="000000"/>
          <w:szCs w:val="26"/>
        </w:rPr>
        <w:t xml:space="preserve"> </w:t>
      </w:r>
      <w:r w:rsidRPr="00C32A2C" w:rsidR="00A03A2F">
        <w:rPr>
          <w:color w:val="000000"/>
          <w:szCs w:val="26"/>
        </w:rPr>
        <w:t>have carte blanche to</w:t>
      </w:r>
      <w:r w:rsidRPr="00C32A2C" w:rsidR="000F78A8">
        <w:rPr>
          <w:color w:val="000000"/>
          <w:szCs w:val="26"/>
        </w:rPr>
        <w:t xml:space="preserve"> </w:t>
      </w:r>
      <w:r w:rsidRPr="00C32A2C" w:rsidR="00784ABA">
        <w:rPr>
          <w:color w:val="000000"/>
          <w:szCs w:val="26"/>
        </w:rPr>
        <w:t xml:space="preserve">admit and </w:t>
      </w:r>
      <w:r w:rsidRPr="00C32A2C" w:rsidR="000F78A8">
        <w:rPr>
          <w:color w:val="000000"/>
          <w:szCs w:val="26"/>
        </w:rPr>
        <w:t xml:space="preserve">consider </w:t>
      </w:r>
      <w:r w:rsidRPr="00C32A2C" w:rsidR="0059708A">
        <w:rPr>
          <w:i/>
          <w:iCs/>
          <w:color w:val="000000"/>
          <w:szCs w:val="26"/>
        </w:rPr>
        <w:t>any</w:t>
      </w:r>
      <w:r w:rsidRPr="00C32A2C" w:rsidR="001D657C">
        <w:rPr>
          <w:i/>
          <w:iCs/>
          <w:color w:val="000000"/>
          <w:szCs w:val="26"/>
        </w:rPr>
        <w:t xml:space="preserve"> </w:t>
      </w:r>
      <w:r w:rsidRPr="00C32A2C" w:rsidR="001D657C">
        <w:rPr>
          <w:color w:val="000000"/>
          <w:szCs w:val="26"/>
        </w:rPr>
        <w:t>hearsay the</w:t>
      </w:r>
      <w:r w:rsidRPr="00C32A2C" w:rsidR="0059708A">
        <w:rPr>
          <w:color w:val="000000"/>
          <w:szCs w:val="26"/>
        </w:rPr>
        <w:t xml:space="preserve"> experts </w:t>
      </w:r>
      <w:r w:rsidRPr="00C32A2C" w:rsidR="00866B96">
        <w:rPr>
          <w:color w:val="000000"/>
          <w:szCs w:val="26"/>
        </w:rPr>
        <w:t>include</w:t>
      </w:r>
      <w:r w:rsidRPr="00C32A2C" w:rsidR="00784ABA">
        <w:rPr>
          <w:color w:val="000000"/>
          <w:szCs w:val="26"/>
        </w:rPr>
        <w:t>.</w:t>
      </w:r>
      <w:r w:rsidRPr="00C32A2C" w:rsidR="00EA09BD">
        <w:rPr>
          <w:color w:val="000000"/>
          <w:szCs w:val="26"/>
        </w:rPr>
        <w:t xml:space="preserve">  </w:t>
      </w:r>
      <w:r w:rsidRPr="00C32A2C" w:rsidR="00A03A2F">
        <w:rPr>
          <w:color w:val="000000"/>
          <w:szCs w:val="26"/>
        </w:rPr>
        <w:t xml:space="preserve">(See </w:t>
      </w:r>
      <w:r w:rsidRPr="00C32A2C" w:rsidR="00A03A2F">
        <w:rPr>
          <w:i/>
          <w:iCs/>
          <w:color w:val="000000"/>
          <w:szCs w:val="26"/>
          <w:bdr w:val="none" w:sz="0" w:space="0" w:color="auto" w:frame="1"/>
        </w:rPr>
        <w:t>Couthren</w:t>
      </w:r>
      <w:r w:rsidRPr="00C32A2C" w:rsidR="00A03A2F">
        <w:rPr>
          <w:color w:val="000000"/>
          <w:szCs w:val="26"/>
        </w:rPr>
        <w:t xml:space="preserve">, </w:t>
      </w:r>
      <w:r w:rsidRPr="00C32A2C" w:rsidR="00A03A2F">
        <w:rPr>
          <w:i/>
          <w:iCs/>
          <w:color w:val="000000"/>
          <w:szCs w:val="26"/>
        </w:rPr>
        <w:t>supra</w:t>
      </w:r>
      <w:r w:rsidRPr="00C32A2C" w:rsidR="00A03A2F">
        <w:rPr>
          <w:color w:val="000000"/>
          <w:szCs w:val="26"/>
        </w:rPr>
        <w:t>, 41 Cal.App.5th at p. 1012</w:t>
      </w:r>
      <w:r w:rsidRPr="00C32A2C" w:rsidR="00117A27">
        <w:rPr>
          <w:color w:val="000000"/>
          <w:szCs w:val="26"/>
        </w:rPr>
        <w:t>.</w:t>
      </w:r>
      <w:r w:rsidRPr="00C32A2C" w:rsidR="00A03A2F">
        <w:rPr>
          <w:color w:val="000000"/>
          <w:szCs w:val="26"/>
        </w:rPr>
        <w:t xml:space="preserve">)  </w:t>
      </w:r>
      <w:r w:rsidRPr="00C32A2C" w:rsidR="005E3A3F">
        <w:rPr>
          <w:color w:val="000000"/>
          <w:szCs w:val="26"/>
        </w:rPr>
        <w:t xml:space="preserve">The logical extension of this argument: </w:t>
      </w:r>
      <w:r w:rsidRPr="00C32A2C" w:rsidR="001D657C">
        <w:rPr>
          <w:color w:val="000000"/>
          <w:szCs w:val="26"/>
        </w:rPr>
        <w:t xml:space="preserve"> A</w:t>
      </w:r>
      <w:r w:rsidRPr="00C32A2C" w:rsidR="005E3A3F">
        <w:rPr>
          <w:color w:val="000000"/>
          <w:szCs w:val="26"/>
        </w:rPr>
        <w:t xml:space="preserve">nything the </w:t>
      </w:r>
      <w:r w:rsidRPr="00C32A2C" w:rsidR="001D657C">
        <w:rPr>
          <w:color w:val="000000"/>
          <w:szCs w:val="26"/>
        </w:rPr>
        <w:t xml:space="preserve">experts </w:t>
      </w:r>
      <w:r w:rsidRPr="00C32A2C" w:rsidR="005E3A3F">
        <w:rPr>
          <w:color w:val="000000"/>
          <w:szCs w:val="26"/>
        </w:rPr>
        <w:t xml:space="preserve">put in </w:t>
      </w:r>
      <w:r w:rsidRPr="00C32A2C" w:rsidR="001D657C">
        <w:rPr>
          <w:color w:val="000000"/>
          <w:szCs w:val="26"/>
        </w:rPr>
        <w:t>their r</w:t>
      </w:r>
      <w:r w:rsidRPr="00C32A2C" w:rsidR="005E3A3F">
        <w:rPr>
          <w:color w:val="000000"/>
          <w:szCs w:val="26"/>
        </w:rPr>
        <w:t>eport</w:t>
      </w:r>
      <w:r w:rsidRPr="00C32A2C" w:rsidR="001D657C">
        <w:rPr>
          <w:color w:val="000000"/>
          <w:szCs w:val="26"/>
        </w:rPr>
        <w:t>s</w:t>
      </w:r>
      <w:r w:rsidRPr="00C32A2C" w:rsidR="005E3A3F">
        <w:rPr>
          <w:color w:val="000000"/>
          <w:szCs w:val="26"/>
        </w:rPr>
        <w:t xml:space="preserve"> can come in too.</w:t>
      </w:r>
      <w:r w:rsidRPr="00C32A2C" w:rsidR="001D657C">
        <w:rPr>
          <w:color w:val="000000"/>
          <w:szCs w:val="26"/>
        </w:rPr>
        <w:t xml:space="preserve">  </w:t>
      </w:r>
      <w:r w:rsidRPr="00C32A2C" w:rsidR="00D91B5D">
        <w:rPr>
          <w:color w:val="000000"/>
          <w:szCs w:val="26"/>
        </w:rPr>
        <w:t>A</w:t>
      </w:r>
      <w:r w:rsidRPr="00C32A2C" w:rsidR="00FC563C">
        <w:rPr>
          <w:color w:val="000000"/>
          <w:szCs w:val="26"/>
        </w:rPr>
        <w:t>ll of the other rules of evidence, like foundation (Evid</w:t>
      </w:r>
      <w:r w:rsidRPr="00C32A2C" w:rsidR="00D01A6E">
        <w:rPr>
          <w:color w:val="000000"/>
          <w:szCs w:val="26"/>
        </w:rPr>
        <w:t>.</w:t>
      </w:r>
      <w:r w:rsidRPr="00C32A2C" w:rsidR="00FC563C">
        <w:rPr>
          <w:color w:val="000000"/>
          <w:szCs w:val="26"/>
        </w:rPr>
        <w:t xml:space="preserve"> Code, § 402), relevance (</w:t>
      </w:r>
      <w:r w:rsidRPr="00C32A2C" w:rsidR="00FC563C">
        <w:rPr>
          <w:i/>
          <w:iCs/>
          <w:color w:val="000000"/>
          <w:szCs w:val="26"/>
        </w:rPr>
        <w:t>id.</w:t>
      </w:r>
      <w:r w:rsidRPr="00C32A2C" w:rsidR="00FC563C">
        <w:rPr>
          <w:color w:val="000000"/>
          <w:szCs w:val="26"/>
        </w:rPr>
        <w:t>, § 350), or undue prejudice (</w:t>
      </w:r>
      <w:r w:rsidRPr="00C32A2C" w:rsidR="00FC563C">
        <w:rPr>
          <w:i/>
          <w:iCs/>
          <w:color w:val="000000"/>
          <w:szCs w:val="26"/>
        </w:rPr>
        <w:t>id.</w:t>
      </w:r>
      <w:r w:rsidRPr="00C32A2C" w:rsidR="00FC563C">
        <w:rPr>
          <w:color w:val="000000"/>
          <w:szCs w:val="26"/>
        </w:rPr>
        <w:t>, § 352) wouldn’t apply either</w:t>
      </w:r>
      <w:r w:rsidRPr="00C32A2C" w:rsidR="00FF3C56">
        <w:rPr>
          <w:color w:val="000000"/>
          <w:szCs w:val="26"/>
        </w:rPr>
        <w:t> </w:t>
      </w:r>
      <w:r w:rsidRPr="00C32A2C" w:rsidR="00476785">
        <w:rPr>
          <w:color w:val="000000"/>
          <w:szCs w:val="26"/>
        </w:rPr>
        <w:t>—</w:t>
      </w:r>
      <w:r w:rsidRPr="00C32A2C" w:rsidR="00C678BD">
        <w:rPr>
          <w:color w:val="000000"/>
          <w:szCs w:val="26"/>
        </w:rPr>
        <w:t xml:space="preserve"> </w:t>
      </w:r>
      <w:r w:rsidRPr="00C32A2C" w:rsidR="00D06D1F">
        <w:rPr>
          <w:color w:val="000000"/>
          <w:szCs w:val="26"/>
        </w:rPr>
        <w:t>essentially removing the trial court from any role</w:t>
      </w:r>
      <w:r w:rsidRPr="00C32A2C" w:rsidR="00476785">
        <w:rPr>
          <w:color w:val="000000"/>
          <w:szCs w:val="26"/>
        </w:rPr>
        <w:t xml:space="preserve"> </w:t>
      </w:r>
      <w:r w:rsidRPr="00C32A2C" w:rsidR="00476785">
        <w:rPr>
          <w:sz w:val="26"/>
          <w:szCs w:val="26"/>
        </w:rPr>
        <w:t>in discerning what is admissible from inadmissible in the evaluations.  That</w:t>
      </w:r>
      <w:r w:rsidRPr="00C32A2C" w:rsidR="00D91B5D">
        <w:rPr>
          <w:sz w:val="26"/>
          <w:szCs w:val="26"/>
        </w:rPr>
        <w:t xml:space="preserve"> </w:t>
      </w:r>
      <w:r w:rsidRPr="00C32A2C" w:rsidR="00D91B5D">
        <w:rPr>
          <w:color w:val="000000"/>
          <w:szCs w:val="26"/>
        </w:rPr>
        <w:t>cannot</w:t>
      </w:r>
      <w:r w:rsidR="00D91B5D">
        <w:rPr>
          <w:color w:val="000000"/>
          <w:szCs w:val="26"/>
        </w:rPr>
        <w:t xml:space="preserve"> be correct.  </w:t>
      </w:r>
    </w:p>
    <w:p w:rsidR="004C0901" w:rsidRPr="00761DF6" w:rsidP="001A6289" w14:paraId="11256F21" w14:textId="22C178ED">
      <w:pPr>
        <w:ind w:firstLine="720"/>
        <w:rPr>
          <w:color w:val="000000"/>
          <w:szCs w:val="26"/>
        </w:rPr>
      </w:pPr>
      <w:r w:rsidRPr="00761DF6">
        <w:rPr>
          <w:color w:val="000000"/>
          <w:szCs w:val="26"/>
        </w:rPr>
        <w:t xml:space="preserve">The legislative history </w:t>
      </w:r>
      <w:r w:rsidR="003504C3">
        <w:rPr>
          <w:color w:val="000000"/>
          <w:szCs w:val="26"/>
        </w:rPr>
        <w:t xml:space="preserve">also </w:t>
      </w:r>
      <w:r w:rsidR="0091149D">
        <w:rPr>
          <w:color w:val="000000"/>
          <w:szCs w:val="26"/>
        </w:rPr>
        <w:t>fails to</w:t>
      </w:r>
      <w:r w:rsidR="00A92F33">
        <w:rPr>
          <w:color w:val="000000"/>
          <w:szCs w:val="26"/>
        </w:rPr>
        <w:t xml:space="preserve"> </w:t>
      </w:r>
      <w:r w:rsidR="003504C3">
        <w:rPr>
          <w:color w:val="000000"/>
          <w:szCs w:val="26"/>
        </w:rPr>
        <w:t>buttress</w:t>
      </w:r>
      <w:r w:rsidR="00A92F33">
        <w:rPr>
          <w:color w:val="000000"/>
          <w:szCs w:val="26"/>
        </w:rPr>
        <w:t xml:space="preserve"> the</w:t>
      </w:r>
      <w:r w:rsidR="00881C18">
        <w:rPr>
          <w:color w:val="000000"/>
          <w:szCs w:val="26"/>
        </w:rPr>
        <w:t xml:space="preserve"> Court of Appeal’s </w:t>
      </w:r>
      <w:r w:rsidR="0084556F">
        <w:rPr>
          <w:color w:val="000000"/>
          <w:szCs w:val="26"/>
        </w:rPr>
        <w:t>interpretation</w:t>
      </w:r>
      <w:r w:rsidR="001A6289">
        <w:rPr>
          <w:color w:val="000000"/>
          <w:szCs w:val="26"/>
        </w:rPr>
        <w:t xml:space="preserve">.  </w:t>
      </w:r>
      <w:r w:rsidRPr="00761DF6" w:rsidR="00A672B1">
        <w:rPr>
          <w:color w:val="000000"/>
          <w:szCs w:val="26"/>
        </w:rPr>
        <w:t>Legislators have left</w:t>
      </w:r>
      <w:r w:rsidRPr="00761DF6" w:rsidR="00D86C58">
        <w:rPr>
          <w:color w:val="000000"/>
          <w:szCs w:val="26"/>
        </w:rPr>
        <w:t xml:space="preserve"> </w:t>
      </w:r>
      <w:r w:rsidRPr="00761DF6" w:rsidR="00A672B1">
        <w:rPr>
          <w:color w:val="000000"/>
          <w:szCs w:val="26"/>
        </w:rPr>
        <w:t xml:space="preserve">unchanged the relevant </w:t>
      </w:r>
      <w:r w:rsidRPr="00761DF6" w:rsidR="00D86C58">
        <w:rPr>
          <w:color w:val="000000"/>
          <w:szCs w:val="26"/>
        </w:rPr>
        <w:t xml:space="preserve">language in the </w:t>
      </w:r>
      <w:r w:rsidRPr="00761DF6" w:rsidR="00A5478A">
        <w:rPr>
          <w:color w:val="000000"/>
          <w:szCs w:val="26"/>
        </w:rPr>
        <w:t>s</w:t>
      </w:r>
      <w:r w:rsidRPr="00761DF6" w:rsidR="00EF6ED3">
        <w:rPr>
          <w:color w:val="000000"/>
          <w:szCs w:val="26"/>
        </w:rPr>
        <w:t>ubdivision</w:t>
      </w:r>
      <w:r w:rsidRPr="00761DF6" w:rsidR="00D86C58">
        <w:rPr>
          <w:color w:val="000000"/>
          <w:szCs w:val="26"/>
        </w:rPr>
        <w:t xml:space="preserve"> since t</w:t>
      </w:r>
      <w:r w:rsidRPr="00761DF6" w:rsidR="00DD3BFB">
        <w:rPr>
          <w:color w:val="000000"/>
          <w:szCs w:val="26"/>
        </w:rPr>
        <w:t xml:space="preserve">he </w:t>
      </w:r>
      <w:r w:rsidRPr="00761DF6" w:rsidR="00D86C58">
        <w:rPr>
          <w:color w:val="000000"/>
          <w:szCs w:val="26"/>
        </w:rPr>
        <w:t xml:space="preserve">first version of the </w:t>
      </w:r>
      <w:r w:rsidRPr="00761DF6" w:rsidR="00DD3BFB">
        <w:rPr>
          <w:color w:val="000000"/>
          <w:szCs w:val="26"/>
        </w:rPr>
        <w:t xml:space="preserve">SVPA </w:t>
      </w:r>
      <w:r w:rsidRPr="00761DF6" w:rsidR="00D86C58">
        <w:rPr>
          <w:color w:val="000000"/>
          <w:szCs w:val="26"/>
        </w:rPr>
        <w:t xml:space="preserve">bill.  </w:t>
      </w:r>
      <w:r w:rsidRPr="00761DF6" w:rsidR="000D6094">
        <w:rPr>
          <w:color w:val="000000"/>
          <w:szCs w:val="26"/>
        </w:rPr>
        <w:t xml:space="preserve">(See </w:t>
      </w:r>
      <w:r w:rsidRPr="00761DF6" w:rsidR="000D6094">
        <w:rPr>
          <w:i/>
          <w:iCs/>
          <w:color w:val="000000"/>
          <w:szCs w:val="26"/>
        </w:rPr>
        <w:t>Parker</w:t>
      </w:r>
      <w:r w:rsidRPr="00761DF6" w:rsidR="000D6094">
        <w:rPr>
          <w:color w:val="000000"/>
          <w:szCs w:val="26"/>
        </w:rPr>
        <w:t xml:space="preserve">, </w:t>
      </w:r>
      <w:r w:rsidRPr="00761DF6" w:rsidR="000D6094">
        <w:rPr>
          <w:i/>
          <w:iCs/>
          <w:color w:val="000000"/>
          <w:szCs w:val="26"/>
        </w:rPr>
        <w:t>supra</w:t>
      </w:r>
      <w:r w:rsidRPr="00761DF6" w:rsidR="000D6094">
        <w:rPr>
          <w:color w:val="000000"/>
          <w:szCs w:val="26"/>
        </w:rPr>
        <w:t xml:space="preserve">, </w:t>
      </w:r>
      <w:r w:rsidRPr="00761DF6" w:rsidR="00992BC8">
        <w:rPr>
          <w:color w:val="000000"/>
          <w:szCs w:val="26"/>
        </w:rPr>
        <w:t>60 Cal.App.</w:t>
      </w:r>
      <w:r w:rsidRPr="00761DF6" w:rsidR="00D03227">
        <w:rPr>
          <w:color w:val="000000"/>
          <w:szCs w:val="26"/>
        </w:rPr>
        <w:t>4</w:t>
      </w:r>
      <w:r w:rsidRPr="00761DF6" w:rsidR="00992BC8">
        <w:rPr>
          <w:color w:val="000000"/>
          <w:szCs w:val="26"/>
        </w:rPr>
        <w:t>th at p. 1465</w:t>
      </w:r>
      <w:r w:rsidR="00D01A6E">
        <w:rPr>
          <w:color w:val="000000"/>
          <w:szCs w:val="26"/>
        </w:rPr>
        <w:t>,</w:t>
      </w:r>
      <w:r w:rsidRPr="00761DF6" w:rsidR="00006066">
        <w:rPr>
          <w:color w:val="000000"/>
          <w:szCs w:val="26"/>
        </w:rPr>
        <w:t xml:space="preserve"> citing Assem. Bill No. 888 (1995–1996 Reg. Sess.) § 3</w:t>
      </w:r>
      <w:r w:rsidRPr="00761DF6" w:rsidR="00C7520D">
        <w:rPr>
          <w:color w:val="000000"/>
          <w:szCs w:val="26"/>
        </w:rPr>
        <w:t xml:space="preserve">, </w:t>
      </w:r>
      <w:r w:rsidRPr="00761DF6" w:rsidR="00006066">
        <w:rPr>
          <w:color w:val="000000"/>
          <w:szCs w:val="26"/>
        </w:rPr>
        <w:t>as introduced Feb. 22, 1995</w:t>
      </w:r>
      <w:r w:rsidRPr="00761DF6" w:rsidR="00044CB3">
        <w:rPr>
          <w:color w:val="000000"/>
          <w:szCs w:val="26"/>
        </w:rPr>
        <w:t>;</w:t>
      </w:r>
      <w:r w:rsidRPr="00761DF6" w:rsidR="00355CD8">
        <w:rPr>
          <w:color w:val="000000"/>
          <w:szCs w:val="26"/>
        </w:rPr>
        <w:t xml:space="preserve"> </w:t>
      </w:r>
      <w:r w:rsidRPr="00761DF6" w:rsidR="003435AD">
        <w:rPr>
          <w:szCs w:val="26"/>
        </w:rPr>
        <w:t>§ 6602, subd. (a)</w:t>
      </w:r>
      <w:r w:rsidRPr="00761DF6" w:rsidR="00006066">
        <w:rPr>
          <w:szCs w:val="26"/>
        </w:rPr>
        <w:t xml:space="preserve">.)  </w:t>
      </w:r>
      <w:r w:rsidRPr="00761DF6" w:rsidR="006333E3">
        <w:rPr>
          <w:color w:val="000000"/>
          <w:szCs w:val="26"/>
        </w:rPr>
        <w:t>The legislative history</w:t>
      </w:r>
      <w:r w:rsidRPr="00761DF6" w:rsidR="00EC3102">
        <w:rPr>
          <w:color w:val="000000"/>
          <w:szCs w:val="26"/>
        </w:rPr>
        <w:t xml:space="preserve"> is silent on what procedur</w:t>
      </w:r>
      <w:r w:rsidRPr="00761DF6" w:rsidR="00D873DE">
        <w:rPr>
          <w:color w:val="000000"/>
          <w:szCs w:val="26"/>
        </w:rPr>
        <w:t>al requirements govern</w:t>
      </w:r>
      <w:r w:rsidRPr="00761DF6" w:rsidR="00EC3102">
        <w:rPr>
          <w:color w:val="000000"/>
          <w:szCs w:val="26"/>
        </w:rPr>
        <w:t xml:space="preserve"> the probable cause determination.  </w:t>
      </w:r>
      <w:r w:rsidRPr="00761DF6" w:rsidR="00491AF1">
        <w:rPr>
          <w:color w:val="000000"/>
          <w:szCs w:val="26"/>
        </w:rPr>
        <w:t>(</w:t>
      </w:r>
      <w:r w:rsidRPr="00761DF6" w:rsidR="00491AF1">
        <w:rPr>
          <w:i/>
          <w:iCs/>
          <w:color w:val="000000"/>
          <w:szCs w:val="26"/>
        </w:rPr>
        <w:t>Parker</w:t>
      </w:r>
      <w:r w:rsidRPr="00761DF6" w:rsidR="00491AF1">
        <w:rPr>
          <w:color w:val="000000"/>
          <w:szCs w:val="26"/>
        </w:rPr>
        <w:t>, at p. 1465</w:t>
      </w:r>
      <w:r w:rsidRPr="00761DF6" w:rsidR="00163786">
        <w:rPr>
          <w:color w:val="000000"/>
          <w:szCs w:val="26"/>
        </w:rPr>
        <w:t xml:space="preserve"> [the legislative history lends “li</w:t>
      </w:r>
      <w:r w:rsidRPr="00761DF6" w:rsidR="00B311DA">
        <w:rPr>
          <w:color w:val="000000"/>
          <w:szCs w:val="26"/>
        </w:rPr>
        <w:t>ttle</w:t>
      </w:r>
      <w:r w:rsidRPr="00761DF6" w:rsidR="00163786">
        <w:rPr>
          <w:color w:val="000000"/>
          <w:szCs w:val="26"/>
        </w:rPr>
        <w:t xml:space="preserve"> assistance”</w:t>
      </w:r>
      <w:r w:rsidRPr="00761DF6" w:rsidR="00466AD0">
        <w:rPr>
          <w:color w:val="000000"/>
          <w:szCs w:val="26"/>
        </w:rPr>
        <w:t>].)</w:t>
      </w:r>
      <w:r w:rsidRPr="00761DF6" w:rsidR="00491AF1">
        <w:rPr>
          <w:color w:val="000000"/>
          <w:szCs w:val="26"/>
        </w:rPr>
        <w:t xml:space="preserve">  </w:t>
      </w:r>
      <w:r w:rsidRPr="00761DF6" w:rsidR="00716DE9">
        <w:rPr>
          <w:color w:val="000000"/>
          <w:szCs w:val="26"/>
        </w:rPr>
        <w:t>Instead, it</w:t>
      </w:r>
      <w:r w:rsidRPr="00761DF6" w:rsidR="005E5958">
        <w:rPr>
          <w:color w:val="000000"/>
          <w:szCs w:val="26"/>
        </w:rPr>
        <w:t xml:space="preserve"> simply emphasizes that the </w:t>
      </w:r>
      <w:r w:rsidRPr="00761DF6" w:rsidR="00DA667A">
        <w:rPr>
          <w:color w:val="000000"/>
          <w:szCs w:val="26"/>
        </w:rPr>
        <w:t>probable cause hearing</w:t>
      </w:r>
      <w:r w:rsidRPr="00761DF6" w:rsidR="00716DAF">
        <w:rPr>
          <w:color w:val="000000"/>
          <w:szCs w:val="26"/>
        </w:rPr>
        <w:t xml:space="preserve"> serves as </w:t>
      </w:r>
      <w:r w:rsidRPr="00761DF6" w:rsidR="00FF1764">
        <w:rPr>
          <w:color w:val="000000"/>
          <w:szCs w:val="26"/>
        </w:rPr>
        <w:t>one</w:t>
      </w:r>
      <w:r w:rsidRPr="00761DF6" w:rsidR="009A7407">
        <w:rPr>
          <w:color w:val="000000"/>
          <w:szCs w:val="26"/>
        </w:rPr>
        <w:t xml:space="preserve"> important safeguard </w:t>
      </w:r>
      <w:r w:rsidRPr="00761DF6" w:rsidR="002E6D97">
        <w:rPr>
          <w:color w:val="000000"/>
          <w:szCs w:val="26"/>
        </w:rPr>
        <w:t>for defendant</w:t>
      </w:r>
      <w:r w:rsidRPr="00761DF6" w:rsidR="00B63DC1">
        <w:rPr>
          <w:color w:val="000000"/>
          <w:szCs w:val="26"/>
        </w:rPr>
        <w:t>s’</w:t>
      </w:r>
      <w:r w:rsidRPr="00761DF6" w:rsidR="002E6D97">
        <w:rPr>
          <w:color w:val="000000"/>
          <w:szCs w:val="26"/>
        </w:rPr>
        <w:t xml:space="preserve"> </w:t>
      </w:r>
      <w:r w:rsidRPr="00761DF6" w:rsidR="00B63DC1">
        <w:rPr>
          <w:color w:val="000000"/>
          <w:szCs w:val="26"/>
        </w:rPr>
        <w:t>l</w:t>
      </w:r>
      <w:r w:rsidRPr="00761DF6" w:rsidR="002E6D97">
        <w:rPr>
          <w:color w:val="000000"/>
          <w:szCs w:val="26"/>
        </w:rPr>
        <w:t>iberty interests</w:t>
      </w:r>
      <w:r w:rsidRPr="00761DF6" w:rsidR="000106FB">
        <w:rPr>
          <w:color w:val="000000"/>
          <w:szCs w:val="26"/>
        </w:rPr>
        <w:t xml:space="preserve">, including by preventing </w:t>
      </w:r>
      <w:r w:rsidRPr="00761DF6" w:rsidR="00BA6FCE">
        <w:rPr>
          <w:color w:val="000000"/>
          <w:szCs w:val="26"/>
        </w:rPr>
        <w:t xml:space="preserve">unfair or </w:t>
      </w:r>
      <w:r w:rsidRPr="00761DF6" w:rsidR="00B122EE">
        <w:rPr>
          <w:color w:val="000000"/>
          <w:szCs w:val="26"/>
        </w:rPr>
        <w:t>arbitrary</w:t>
      </w:r>
      <w:r w:rsidRPr="00761DF6" w:rsidR="000106FB">
        <w:rPr>
          <w:color w:val="000000"/>
          <w:szCs w:val="26"/>
        </w:rPr>
        <w:t xml:space="preserve"> involuntary confinements. </w:t>
      </w:r>
      <w:r w:rsidRPr="00761DF6" w:rsidR="00B12D17">
        <w:rPr>
          <w:color w:val="000000"/>
          <w:szCs w:val="26"/>
        </w:rPr>
        <w:t xml:space="preserve"> </w:t>
      </w:r>
      <w:r w:rsidRPr="00761DF6" w:rsidR="000A6136">
        <w:rPr>
          <w:color w:val="000000"/>
          <w:szCs w:val="26"/>
        </w:rPr>
        <w:t>(Asse</w:t>
      </w:r>
      <w:r w:rsidRPr="00761DF6" w:rsidR="00E50626">
        <w:rPr>
          <w:color w:val="000000"/>
          <w:szCs w:val="26"/>
        </w:rPr>
        <w:t>m.</w:t>
      </w:r>
      <w:r w:rsidRPr="00761DF6" w:rsidR="000A6136">
        <w:rPr>
          <w:color w:val="000000"/>
          <w:szCs w:val="26"/>
        </w:rPr>
        <w:t xml:space="preserve"> Com</w:t>
      </w:r>
      <w:r w:rsidR="00D01A6E">
        <w:rPr>
          <w:color w:val="000000"/>
          <w:szCs w:val="26"/>
        </w:rPr>
        <w:t>.</w:t>
      </w:r>
      <w:r w:rsidRPr="00761DF6" w:rsidR="000A6136">
        <w:rPr>
          <w:color w:val="000000"/>
          <w:szCs w:val="26"/>
        </w:rPr>
        <w:t xml:space="preserve"> on Public Safety, </w:t>
      </w:r>
      <w:r w:rsidRPr="00761DF6" w:rsidR="00E50626">
        <w:rPr>
          <w:color w:val="000000"/>
          <w:szCs w:val="26"/>
        </w:rPr>
        <w:t xml:space="preserve">Analysis of Assem. Bill No. 888 (1995–1996 Reg. Sess.) </w:t>
      </w:r>
      <w:r w:rsidRPr="00761DF6" w:rsidR="000A6136">
        <w:rPr>
          <w:color w:val="000000"/>
          <w:szCs w:val="26"/>
        </w:rPr>
        <w:t>as amended Apr</w:t>
      </w:r>
      <w:r w:rsidR="00D01A6E">
        <w:rPr>
          <w:color w:val="000000"/>
          <w:szCs w:val="26"/>
        </w:rPr>
        <w:t>.</w:t>
      </w:r>
      <w:r w:rsidRPr="00761DF6" w:rsidR="000A6136">
        <w:rPr>
          <w:color w:val="000000"/>
          <w:szCs w:val="26"/>
        </w:rPr>
        <w:t xml:space="preserve"> 17, 1995, p</w:t>
      </w:r>
      <w:r w:rsidRPr="00761DF6" w:rsidR="00C33068">
        <w:rPr>
          <w:color w:val="000000"/>
          <w:szCs w:val="26"/>
        </w:rPr>
        <w:t>. 7</w:t>
      </w:r>
      <w:r w:rsidRPr="00761DF6" w:rsidR="00A11B50">
        <w:rPr>
          <w:color w:val="000000"/>
          <w:szCs w:val="26"/>
        </w:rPr>
        <w:t xml:space="preserve">.)  </w:t>
      </w:r>
      <w:r w:rsidRPr="00761DF6" w:rsidR="00A672B1">
        <w:rPr>
          <w:color w:val="000000"/>
          <w:szCs w:val="26"/>
        </w:rPr>
        <w:t xml:space="preserve">Nothing else from the legislative history </w:t>
      </w:r>
      <w:r w:rsidRPr="00761DF6" w:rsidR="00DE26DC">
        <w:rPr>
          <w:color w:val="000000"/>
          <w:szCs w:val="26"/>
        </w:rPr>
        <w:t xml:space="preserve">has material bearing on the hearsay question </w:t>
      </w:r>
      <w:r w:rsidR="00816398">
        <w:rPr>
          <w:color w:val="000000"/>
          <w:szCs w:val="26"/>
        </w:rPr>
        <w:t>before us</w:t>
      </w:r>
      <w:r w:rsidRPr="00761DF6" w:rsidR="00DE26DC">
        <w:rPr>
          <w:color w:val="000000"/>
          <w:szCs w:val="26"/>
        </w:rPr>
        <w:t>.</w:t>
      </w:r>
    </w:p>
    <w:p w:rsidR="00E57977" w:rsidRPr="008422F4" w:rsidP="008422F4" w14:paraId="0AE44370" w14:textId="7F3E6712">
      <w:pPr>
        <w:ind w:firstLine="720"/>
        <w:rPr>
          <w:szCs w:val="26"/>
        </w:rPr>
      </w:pPr>
      <w:r w:rsidRPr="00761DF6">
        <w:rPr>
          <w:szCs w:val="26"/>
        </w:rPr>
        <w:t xml:space="preserve">Nor have </w:t>
      </w:r>
      <w:r w:rsidR="00446184">
        <w:rPr>
          <w:szCs w:val="26"/>
        </w:rPr>
        <w:t>our prior</w:t>
      </w:r>
      <w:r w:rsidRPr="00761DF6" w:rsidR="005765CB">
        <w:rPr>
          <w:szCs w:val="26"/>
        </w:rPr>
        <w:t xml:space="preserve"> interpretations </w:t>
      </w:r>
      <w:r w:rsidR="003126CF">
        <w:rPr>
          <w:szCs w:val="26"/>
        </w:rPr>
        <w:t>determined that the Legislature</w:t>
      </w:r>
      <w:r w:rsidR="00816398">
        <w:rPr>
          <w:szCs w:val="26"/>
        </w:rPr>
        <w:t>, in enacting section 6602,</w:t>
      </w:r>
      <w:r w:rsidR="003126CF">
        <w:rPr>
          <w:szCs w:val="26"/>
        </w:rPr>
        <w:t xml:space="preserve"> </w:t>
      </w:r>
      <w:r w:rsidR="00222CCC">
        <w:rPr>
          <w:szCs w:val="26"/>
        </w:rPr>
        <w:t xml:space="preserve">explicitly or implicitly </w:t>
      </w:r>
      <w:r w:rsidR="003126CF">
        <w:rPr>
          <w:szCs w:val="26"/>
        </w:rPr>
        <w:t>created a hearsay exception</w:t>
      </w:r>
      <w:r w:rsidR="00816398">
        <w:rPr>
          <w:szCs w:val="26"/>
        </w:rPr>
        <w:t xml:space="preserve"> covering the </w:t>
      </w:r>
      <w:r w:rsidR="0050519C">
        <w:rPr>
          <w:szCs w:val="26"/>
        </w:rPr>
        <w:t>evidence</w:t>
      </w:r>
      <w:r w:rsidR="00816398">
        <w:rPr>
          <w:szCs w:val="26"/>
        </w:rPr>
        <w:t xml:space="preserve"> at issue</w:t>
      </w:r>
      <w:r w:rsidR="0050519C">
        <w:rPr>
          <w:szCs w:val="26"/>
        </w:rPr>
        <w:t xml:space="preserve"> here</w:t>
      </w:r>
      <w:r w:rsidR="00816398">
        <w:rPr>
          <w:szCs w:val="26"/>
        </w:rPr>
        <w:t>.</w:t>
      </w:r>
      <w:r w:rsidR="008422F4">
        <w:rPr>
          <w:szCs w:val="26"/>
        </w:rPr>
        <w:t xml:space="preserve">  </w:t>
      </w:r>
      <w:r w:rsidR="002B62DE">
        <w:rPr>
          <w:color w:val="000000"/>
          <w:szCs w:val="26"/>
          <w:shd w:val="clear" w:color="auto" w:fill="FFFFFF"/>
        </w:rPr>
        <w:t xml:space="preserve">Our </w:t>
      </w:r>
      <w:r w:rsidRPr="00761DF6" w:rsidR="002B62DE">
        <w:rPr>
          <w:color w:val="000000"/>
          <w:szCs w:val="26"/>
        </w:rPr>
        <w:t>case law has explained that subdivision</w:t>
      </w:r>
      <w:r w:rsidR="00B53F50">
        <w:rPr>
          <w:color w:val="000000"/>
          <w:szCs w:val="26"/>
        </w:rPr>
        <w:t xml:space="preserve"> (a)</w:t>
      </w:r>
      <w:r w:rsidRPr="00761DF6" w:rsidR="002B62DE">
        <w:rPr>
          <w:color w:val="000000"/>
          <w:szCs w:val="26"/>
        </w:rPr>
        <w:t>’s limited language, legislative history, and place in the broader structure of the SVPA all establish</w:t>
      </w:r>
      <w:r w:rsidR="002B62DE">
        <w:rPr>
          <w:color w:val="000000"/>
          <w:szCs w:val="26"/>
        </w:rPr>
        <w:t xml:space="preserve"> that the probable cause hearing functions </w:t>
      </w:r>
      <w:r w:rsidR="00E875DC">
        <w:rPr>
          <w:color w:val="000000"/>
          <w:szCs w:val="26"/>
        </w:rPr>
        <w:t>much like a</w:t>
      </w:r>
      <w:r w:rsidR="00C72B94">
        <w:rPr>
          <w:color w:val="000000"/>
          <w:szCs w:val="26"/>
        </w:rPr>
        <w:t xml:space="preserve"> criminal preliminary hearing</w:t>
      </w:r>
      <w:r w:rsidR="003504C3">
        <w:rPr>
          <w:color w:val="000000"/>
          <w:szCs w:val="26"/>
        </w:rPr>
        <w:t>.  I</w:t>
      </w:r>
      <w:r w:rsidR="00E875DC">
        <w:rPr>
          <w:color w:val="000000"/>
          <w:szCs w:val="26"/>
        </w:rPr>
        <w:t xml:space="preserve">t serves to </w:t>
      </w:r>
      <w:r w:rsidR="00E875DC">
        <w:t>“</w:t>
      </w:r>
      <w:r w:rsidR="00A90845">
        <w:t> </w:t>
      </w:r>
      <w:r w:rsidR="00E875DC">
        <w:t>‘</w:t>
      </w:r>
      <w:r w:rsidR="00A90845">
        <w:t> </w:t>
      </w:r>
      <w:r w:rsidR="00E875DC">
        <w:t>“</w:t>
      </w:r>
      <w:r w:rsidR="00A90845">
        <w:t> </w:t>
      </w:r>
      <w:r w:rsidR="00E875DC">
        <w:t>‘weed out groundless or unsupported charges</w:t>
      </w:r>
      <w:r w:rsidR="00F6474C">
        <w:t>.</w:t>
      </w:r>
      <w:r w:rsidR="00E875DC">
        <w:t>’</w:t>
      </w:r>
      <w:r w:rsidR="00A90845">
        <w:t> </w:t>
      </w:r>
      <w:r w:rsidR="00E875DC">
        <w:t>”</w:t>
      </w:r>
      <w:r w:rsidR="00A90845">
        <w:t> </w:t>
      </w:r>
      <w:r w:rsidR="00E875DC">
        <w:t>’</w:t>
      </w:r>
      <w:r w:rsidR="00A90845">
        <w:t> </w:t>
      </w:r>
      <w:r w:rsidR="00E875DC">
        <w:t>”</w:t>
      </w:r>
      <w:r w:rsidR="00F6474C">
        <w:t xml:space="preserve">  (</w:t>
      </w:r>
      <w:r w:rsidRPr="002D7DB3" w:rsidR="00F6474C">
        <w:rPr>
          <w:i/>
          <w:iCs/>
        </w:rPr>
        <w:t>Cooley</w:t>
      </w:r>
      <w:r w:rsidR="002D7DB3">
        <w:t>,</w:t>
      </w:r>
      <w:r w:rsidR="008F0602">
        <w:t xml:space="preserve"> </w:t>
      </w:r>
      <w:r w:rsidRPr="00805F19" w:rsidR="00805F19">
        <w:rPr>
          <w:i/>
          <w:iCs/>
        </w:rPr>
        <w:t>supra</w:t>
      </w:r>
      <w:r w:rsidR="00805F19">
        <w:t>, 29 Cal.4th at p. 247 [</w:t>
      </w:r>
      <w:r w:rsidR="00673E16">
        <w:t>explain</w:t>
      </w:r>
      <w:r w:rsidR="00C31C95">
        <w:t>ing</w:t>
      </w:r>
      <w:r w:rsidR="00673E16">
        <w:t xml:space="preserve"> this</w:t>
      </w:r>
      <w:r w:rsidR="00805F19">
        <w:t xml:space="preserve"> in </w:t>
      </w:r>
      <w:r w:rsidR="00D14C02">
        <w:t>the context of holding that a court must test the sufficiency of the evidence of all four elements required for commitment, and not just a single element]</w:t>
      </w:r>
      <w:r w:rsidR="002C3EE3">
        <w:t>; see</w:t>
      </w:r>
      <w:r w:rsidR="00DD58FC">
        <w:t xml:space="preserve"> also</w:t>
      </w:r>
      <w:r w:rsidR="002C3EE3">
        <w:t xml:space="preserve"> </w:t>
      </w:r>
      <w:r w:rsidRPr="002C3EE3" w:rsidR="002C3EE3">
        <w:rPr>
          <w:i/>
          <w:iCs/>
        </w:rPr>
        <w:t>id.</w:t>
      </w:r>
      <w:r w:rsidR="002C3EE3">
        <w:t xml:space="preserve"> at p. 252 [adopting </w:t>
      </w:r>
      <w:r w:rsidR="00C9554C">
        <w:t xml:space="preserve">the </w:t>
      </w:r>
      <w:r w:rsidR="002C3EE3">
        <w:t xml:space="preserve">same burden of proof as in </w:t>
      </w:r>
      <w:r w:rsidR="00354B90">
        <w:t xml:space="preserve">the </w:t>
      </w:r>
      <w:r w:rsidR="002C3EE3">
        <w:t>criminal context].)</w:t>
      </w:r>
      <w:r w:rsidR="00D14C02">
        <w:t xml:space="preserve">  </w:t>
      </w:r>
      <w:r w:rsidR="00F77D96">
        <w:rPr>
          <w:color w:val="000000"/>
          <w:szCs w:val="26"/>
        </w:rPr>
        <w:t xml:space="preserve">Nothing about this </w:t>
      </w:r>
      <w:r w:rsidR="001A7C67">
        <w:rPr>
          <w:color w:val="000000"/>
          <w:szCs w:val="26"/>
        </w:rPr>
        <w:t xml:space="preserve">evidence-screening </w:t>
      </w:r>
      <w:r w:rsidR="00E716E2">
        <w:rPr>
          <w:color w:val="000000"/>
          <w:szCs w:val="26"/>
        </w:rPr>
        <w:t>function</w:t>
      </w:r>
      <w:r w:rsidR="00F77D96">
        <w:rPr>
          <w:color w:val="000000"/>
          <w:szCs w:val="26"/>
        </w:rPr>
        <w:t xml:space="preserve"> indicates</w:t>
      </w:r>
      <w:r w:rsidR="00B57DC2">
        <w:rPr>
          <w:color w:val="000000"/>
          <w:szCs w:val="26"/>
        </w:rPr>
        <w:t xml:space="preserve"> that</w:t>
      </w:r>
      <w:r w:rsidR="00711305">
        <w:rPr>
          <w:color w:val="000000"/>
          <w:szCs w:val="26"/>
        </w:rPr>
        <w:t xml:space="preserve"> </w:t>
      </w:r>
      <w:r w:rsidR="00F77D96">
        <w:rPr>
          <w:color w:val="000000"/>
          <w:szCs w:val="26"/>
        </w:rPr>
        <w:t xml:space="preserve">the Legislature </w:t>
      </w:r>
      <w:r w:rsidRPr="00626687" w:rsidR="00F77D96">
        <w:rPr>
          <w:color w:val="000000"/>
          <w:szCs w:val="26"/>
        </w:rPr>
        <w:t>necessarily</w:t>
      </w:r>
      <w:r w:rsidRPr="002E5919" w:rsidR="002944ED">
        <w:rPr>
          <w:color w:val="000000"/>
          <w:szCs w:val="26"/>
        </w:rPr>
        <w:t xml:space="preserve"> </w:t>
      </w:r>
      <w:r w:rsidR="006A64A4">
        <w:rPr>
          <w:color w:val="000000"/>
          <w:szCs w:val="26"/>
        </w:rPr>
        <w:t>meant</w:t>
      </w:r>
      <w:r w:rsidR="004B7E8C">
        <w:rPr>
          <w:color w:val="000000"/>
          <w:szCs w:val="26"/>
        </w:rPr>
        <w:t xml:space="preserve"> for</w:t>
      </w:r>
      <w:r w:rsidR="006A64A4">
        <w:rPr>
          <w:color w:val="000000"/>
          <w:szCs w:val="26"/>
        </w:rPr>
        <w:t xml:space="preserve"> its</w:t>
      </w:r>
      <w:r w:rsidR="00F05665">
        <w:rPr>
          <w:color w:val="000000"/>
          <w:szCs w:val="26"/>
        </w:rPr>
        <w:t xml:space="preserve"> limited instruction</w:t>
      </w:r>
      <w:r w:rsidR="005D09C8">
        <w:rPr>
          <w:color w:val="000000"/>
          <w:szCs w:val="26"/>
        </w:rPr>
        <w:t>s</w:t>
      </w:r>
      <w:r w:rsidR="000656E1">
        <w:rPr>
          <w:color w:val="000000"/>
          <w:szCs w:val="26"/>
        </w:rPr>
        <w:t> </w:t>
      </w:r>
      <w:r w:rsidR="005D09C8">
        <w:rPr>
          <w:color w:val="000000"/>
          <w:szCs w:val="26"/>
        </w:rPr>
        <w:t>—</w:t>
      </w:r>
      <w:r w:rsidR="00C678BD">
        <w:rPr>
          <w:color w:val="000000"/>
          <w:szCs w:val="26"/>
        </w:rPr>
        <w:t xml:space="preserve"> </w:t>
      </w:r>
      <w:r w:rsidR="006A64A4">
        <w:rPr>
          <w:color w:val="000000"/>
          <w:szCs w:val="26"/>
        </w:rPr>
        <w:t>“</w:t>
      </w:r>
      <w:r w:rsidR="00F05665">
        <w:rPr>
          <w:color w:val="000000"/>
          <w:szCs w:val="26"/>
        </w:rPr>
        <w:t>review the petition</w:t>
      </w:r>
      <w:r w:rsidR="006A64A4">
        <w:rPr>
          <w:color w:val="000000"/>
          <w:szCs w:val="26"/>
        </w:rPr>
        <w:t>”</w:t>
      </w:r>
      <w:r w:rsidR="00F05665">
        <w:rPr>
          <w:color w:val="000000"/>
          <w:szCs w:val="26"/>
        </w:rPr>
        <w:t xml:space="preserve"> and </w:t>
      </w:r>
      <w:r w:rsidR="006A64A4">
        <w:rPr>
          <w:color w:val="000000"/>
          <w:szCs w:val="26"/>
        </w:rPr>
        <w:t>“</w:t>
      </w:r>
      <w:r w:rsidR="00F05665">
        <w:rPr>
          <w:color w:val="000000"/>
          <w:szCs w:val="26"/>
        </w:rPr>
        <w:t>determine probable cause</w:t>
      </w:r>
      <w:r w:rsidR="006A64A4">
        <w:rPr>
          <w:color w:val="000000"/>
          <w:szCs w:val="26"/>
        </w:rPr>
        <w:t>”</w:t>
      </w:r>
      <w:r w:rsidR="00B53F50">
        <w:rPr>
          <w:color w:val="000000"/>
          <w:szCs w:val="26"/>
        </w:rPr>
        <w:t xml:space="preserve"> (</w:t>
      </w:r>
      <w:r w:rsidRPr="00761DF6" w:rsidR="00B53F50">
        <w:rPr>
          <w:szCs w:val="26"/>
        </w:rPr>
        <w:t>§ 6602, subd. (a))</w:t>
      </w:r>
      <w:r w:rsidR="000656E1">
        <w:rPr>
          <w:color w:val="000000"/>
          <w:szCs w:val="26"/>
        </w:rPr>
        <w:t> </w:t>
      </w:r>
      <w:r w:rsidR="005D09C8">
        <w:rPr>
          <w:color w:val="000000"/>
          <w:szCs w:val="26"/>
        </w:rPr>
        <w:t>—</w:t>
      </w:r>
      <w:r w:rsidR="00DE1E78">
        <w:rPr>
          <w:color w:val="000000"/>
          <w:szCs w:val="26"/>
        </w:rPr>
        <w:t xml:space="preserve"> </w:t>
      </w:r>
      <w:r w:rsidR="006A64A4">
        <w:rPr>
          <w:color w:val="000000"/>
          <w:szCs w:val="26"/>
        </w:rPr>
        <w:t>to</w:t>
      </w:r>
      <w:r w:rsidR="00F05665">
        <w:rPr>
          <w:color w:val="000000"/>
          <w:szCs w:val="26"/>
        </w:rPr>
        <w:t xml:space="preserve"> </w:t>
      </w:r>
      <w:r w:rsidR="00F77D96">
        <w:rPr>
          <w:color w:val="000000"/>
          <w:szCs w:val="26"/>
        </w:rPr>
        <w:t xml:space="preserve">create a hearsay exception covering </w:t>
      </w:r>
      <w:r w:rsidR="00DE5A45">
        <w:rPr>
          <w:color w:val="000000"/>
          <w:szCs w:val="26"/>
          <w:shd w:val="clear" w:color="auto" w:fill="FFFFFF"/>
        </w:rPr>
        <w:t xml:space="preserve">facts about nonqualifying offenses contained in an </w:t>
      </w:r>
      <w:r w:rsidR="00973060">
        <w:rPr>
          <w:color w:val="000000"/>
          <w:szCs w:val="26"/>
          <w:shd w:val="clear" w:color="auto" w:fill="FFFFFF"/>
        </w:rPr>
        <w:t>evaluation</w:t>
      </w:r>
      <w:r w:rsidR="00DE5A45">
        <w:rPr>
          <w:color w:val="000000"/>
          <w:szCs w:val="26"/>
          <w:shd w:val="clear" w:color="auto" w:fill="FFFFFF"/>
        </w:rPr>
        <w:t xml:space="preserve"> report</w:t>
      </w:r>
      <w:r w:rsidR="00A57E0C">
        <w:rPr>
          <w:color w:val="000000"/>
          <w:szCs w:val="26"/>
          <w:shd w:val="clear" w:color="auto" w:fill="FFFFFF"/>
        </w:rPr>
        <w:t>.</w:t>
      </w:r>
      <w:r w:rsidR="00BC4E11">
        <w:rPr>
          <w:color w:val="000000"/>
          <w:szCs w:val="26"/>
          <w:shd w:val="clear" w:color="auto" w:fill="FFFFFF"/>
        </w:rPr>
        <w:t xml:space="preserve">  </w:t>
      </w:r>
    </w:p>
    <w:p w:rsidR="006D017B" w:rsidP="00121C1F" w14:paraId="2DDD0750" w14:textId="5E49EE75">
      <w:pPr>
        <w:ind w:firstLine="720"/>
        <w:rPr>
          <w:color w:val="000000"/>
          <w:szCs w:val="26"/>
          <w:shd w:val="clear" w:color="auto" w:fill="FFFFFF"/>
        </w:rPr>
      </w:pPr>
      <w:r>
        <w:rPr>
          <w:color w:val="000000"/>
          <w:szCs w:val="26"/>
          <w:shd w:val="clear" w:color="auto" w:fill="FFFFFF"/>
        </w:rPr>
        <w:t>This conclusion comes into</w:t>
      </w:r>
      <w:r w:rsidR="000048DC">
        <w:rPr>
          <w:color w:val="000000"/>
          <w:szCs w:val="26"/>
          <w:shd w:val="clear" w:color="auto" w:fill="FFFFFF"/>
        </w:rPr>
        <w:t xml:space="preserve"> </w:t>
      </w:r>
      <w:r>
        <w:rPr>
          <w:color w:val="000000"/>
          <w:szCs w:val="26"/>
          <w:shd w:val="clear" w:color="auto" w:fill="FFFFFF"/>
        </w:rPr>
        <w:t xml:space="preserve">sharper focus </w:t>
      </w:r>
      <w:r w:rsidR="00807AA9">
        <w:rPr>
          <w:color w:val="000000"/>
          <w:szCs w:val="26"/>
          <w:shd w:val="clear" w:color="auto" w:fill="FFFFFF"/>
        </w:rPr>
        <w:t>when</w:t>
      </w:r>
      <w:r>
        <w:rPr>
          <w:color w:val="000000"/>
          <w:szCs w:val="26"/>
          <w:shd w:val="clear" w:color="auto" w:fill="FFFFFF"/>
        </w:rPr>
        <w:t xml:space="preserve"> we </w:t>
      </w:r>
      <w:r w:rsidR="008B5968">
        <w:rPr>
          <w:color w:val="000000"/>
          <w:szCs w:val="26"/>
          <w:shd w:val="clear" w:color="auto" w:fill="FFFFFF"/>
        </w:rPr>
        <w:t xml:space="preserve">compare </w:t>
      </w:r>
      <w:r w:rsidR="00534FC2">
        <w:rPr>
          <w:color w:val="000000"/>
          <w:szCs w:val="26"/>
          <w:shd w:val="clear" w:color="auto" w:fill="FFFFFF"/>
        </w:rPr>
        <w:t xml:space="preserve">Welfare and Institutions Code </w:t>
      </w:r>
      <w:r w:rsidR="008B5968">
        <w:rPr>
          <w:color w:val="000000"/>
          <w:szCs w:val="26"/>
          <w:shd w:val="clear" w:color="auto" w:fill="FFFFFF"/>
        </w:rPr>
        <w:t xml:space="preserve">section 6602, subdivision (a) to </w:t>
      </w:r>
      <w:r w:rsidR="009B4B27">
        <w:rPr>
          <w:color w:val="000000"/>
          <w:szCs w:val="26"/>
          <w:shd w:val="clear" w:color="auto" w:fill="FFFFFF"/>
        </w:rPr>
        <w:t xml:space="preserve">rules governing an analogous context: </w:t>
      </w:r>
      <w:r w:rsidR="00663961">
        <w:rPr>
          <w:color w:val="000000"/>
          <w:szCs w:val="26"/>
          <w:shd w:val="clear" w:color="auto" w:fill="FFFFFF"/>
        </w:rPr>
        <w:t xml:space="preserve"> </w:t>
      </w:r>
      <w:r w:rsidR="00D368CB">
        <w:rPr>
          <w:color w:val="000000"/>
          <w:szCs w:val="26"/>
          <w:shd w:val="clear" w:color="auto" w:fill="FFFFFF"/>
        </w:rPr>
        <w:t>probable cause hearings involving criminal charges</w:t>
      </w:r>
      <w:r>
        <w:rPr>
          <w:color w:val="000000"/>
          <w:szCs w:val="26"/>
          <w:shd w:val="clear" w:color="auto" w:fill="FFFFFF"/>
        </w:rPr>
        <w:t xml:space="preserve">.  </w:t>
      </w:r>
      <w:r w:rsidR="00D368CB">
        <w:rPr>
          <w:color w:val="000000"/>
          <w:szCs w:val="26"/>
          <w:shd w:val="clear" w:color="auto" w:fill="FFFFFF"/>
        </w:rPr>
        <w:t>T</w:t>
      </w:r>
      <w:r w:rsidR="00D65DD4">
        <w:rPr>
          <w:color w:val="000000"/>
          <w:szCs w:val="26"/>
          <w:shd w:val="clear" w:color="auto" w:fill="FFFFFF"/>
        </w:rPr>
        <w:t xml:space="preserve">he </w:t>
      </w:r>
      <w:r w:rsidR="00AF2353">
        <w:rPr>
          <w:color w:val="000000"/>
          <w:szCs w:val="26"/>
          <w:shd w:val="clear" w:color="auto" w:fill="FFFFFF"/>
        </w:rPr>
        <w:t>comparison is not</w:t>
      </w:r>
      <w:r w:rsidR="00D65DD4">
        <w:rPr>
          <w:color w:val="000000"/>
          <w:szCs w:val="26"/>
          <w:shd w:val="clear" w:color="auto" w:fill="FFFFFF"/>
        </w:rPr>
        <w:t xml:space="preserve"> </w:t>
      </w:r>
      <w:r w:rsidR="00AF2353">
        <w:rPr>
          <w:color w:val="000000"/>
          <w:szCs w:val="26"/>
          <w:shd w:val="clear" w:color="auto" w:fill="FFFFFF"/>
        </w:rPr>
        <w:t xml:space="preserve">a </w:t>
      </w:r>
      <w:r w:rsidR="00D65DD4">
        <w:rPr>
          <w:color w:val="000000"/>
          <w:szCs w:val="26"/>
          <w:shd w:val="clear" w:color="auto" w:fill="FFFFFF"/>
        </w:rPr>
        <w:t>perfect</w:t>
      </w:r>
      <w:r w:rsidR="00AF2353">
        <w:rPr>
          <w:color w:val="000000"/>
          <w:szCs w:val="26"/>
          <w:shd w:val="clear" w:color="auto" w:fill="FFFFFF"/>
        </w:rPr>
        <w:t xml:space="preserve"> one.</w:t>
      </w:r>
      <w:r w:rsidR="00D65DD4">
        <w:rPr>
          <w:color w:val="000000"/>
          <w:szCs w:val="26"/>
          <w:shd w:val="clear" w:color="auto" w:fill="FFFFFF"/>
        </w:rPr>
        <w:t xml:space="preserve"> </w:t>
      </w:r>
      <w:r w:rsidR="00AF2353">
        <w:rPr>
          <w:color w:val="000000"/>
          <w:szCs w:val="26"/>
          <w:shd w:val="clear" w:color="auto" w:fill="FFFFFF"/>
        </w:rPr>
        <w:t xml:space="preserve"> </w:t>
      </w:r>
      <w:r w:rsidR="00D65DD4">
        <w:rPr>
          <w:color w:val="000000"/>
          <w:szCs w:val="26"/>
          <w:shd w:val="clear" w:color="auto" w:fill="FFFFFF"/>
        </w:rPr>
        <w:t xml:space="preserve">As the Court of Appeal and the People identify, </w:t>
      </w:r>
      <w:r w:rsidR="000048DC">
        <w:rPr>
          <w:color w:val="000000"/>
          <w:szCs w:val="26"/>
          <w:shd w:val="clear" w:color="auto" w:fill="FFFFFF"/>
        </w:rPr>
        <w:t xml:space="preserve">the </w:t>
      </w:r>
      <w:r w:rsidR="00E347D7">
        <w:rPr>
          <w:color w:val="000000"/>
          <w:szCs w:val="26"/>
          <w:shd w:val="clear" w:color="auto" w:fill="FFFFFF"/>
        </w:rPr>
        <w:t xml:space="preserve">governing statutes for the </w:t>
      </w:r>
      <w:r w:rsidR="000048DC">
        <w:rPr>
          <w:color w:val="000000"/>
          <w:szCs w:val="26"/>
          <w:shd w:val="clear" w:color="auto" w:fill="FFFFFF"/>
        </w:rPr>
        <w:t>two hearings appear different in a number of ways.  (</w:t>
      </w:r>
      <w:r w:rsidRPr="00E347D7" w:rsidR="00E347D7">
        <w:rPr>
          <w:i/>
          <w:iCs/>
          <w:color w:val="000000"/>
          <w:szCs w:val="26"/>
          <w:shd w:val="clear" w:color="auto" w:fill="FFFFFF"/>
        </w:rPr>
        <w:t>Walker</w:t>
      </w:r>
      <w:r w:rsidR="00E347D7">
        <w:rPr>
          <w:color w:val="000000"/>
          <w:szCs w:val="26"/>
          <w:shd w:val="clear" w:color="auto" w:fill="FFFFFF"/>
        </w:rPr>
        <w:t xml:space="preserve">, </w:t>
      </w:r>
      <w:r w:rsidRPr="00E347D7" w:rsidR="00E347D7">
        <w:rPr>
          <w:i/>
          <w:iCs/>
          <w:color w:val="000000"/>
          <w:szCs w:val="26"/>
          <w:shd w:val="clear" w:color="auto" w:fill="FFFFFF"/>
        </w:rPr>
        <w:t>supra</w:t>
      </w:r>
      <w:r w:rsidR="00E347D7">
        <w:rPr>
          <w:color w:val="000000"/>
          <w:szCs w:val="26"/>
          <w:shd w:val="clear" w:color="auto" w:fill="FFFFFF"/>
        </w:rPr>
        <w:t>, 51 Cal.App.5th at p. 700 [</w:t>
      </w:r>
      <w:r w:rsidR="00E24207">
        <w:rPr>
          <w:color w:val="000000"/>
          <w:szCs w:val="26"/>
          <w:shd w:val="clear" w:color="auto" w:fill="FFFFFF"/>
        </w:rPr>
        <w:t>unlike</w:t>
      </w:r>
      <w:r w:rsidR="00534FC2">
        <w:rPr>
          <w:color w:val="000000"/>
          <w:szCs w:val="26"/>
          <w:shd w:val="clear" w:color="auto" w:fill="FFFFFF"/>
        </w:rPr>
        <w:t xml:space="preserve"> Welf. &amp; Inst. Code,</w:t>
      </w:r>
      <w:r w:rsidR="00E24207">
        <w:rPr>
          <w:color w:val="000000"/>
          <w:szCs w:val="26"/>
          <w:shd w:val="clear" w:color="auto" w:fill="FFFFFF"/>
        </w:rPr>
        <w:t xml:space="preserve"> </w:t>
      </w:r>
      <w:r w:rsidRPr="00761DF6" w:rsidR="00D01A6E">
        <w:rPr>
          <w:color w:val="000000"/>
          <w:szCs w:val="26"/>
        </w:rPr>
        <w:t>§</w:t>
      </w:r>
      <w:r w:rsidR="00E24207">
        <w:rPr>
          <w:color w:val="000000"/>
          <w:szCs w:val="26"/>
          <w:shd w:val="clear" w:color="auto" w:fill="FFFFFF"/>
        </w:rPr>
        <w:t xml:space="preserve"> 6602, subd</w:t>
      </w:r>
      <w:r w:rsidR="00D01A6E">
        <w:rPr>
          <w:color w:val="000000"/>
          <w:szCs w:val="26"/>
          <w:shd w:val="clear" w:color="auto" w:fill="FFFFFF"/>
        </w:rPr>
        <w:t>.</w:t>
      </w:r>
      <w:r w:rsidR="00E24207">
        <w:rPr>
          <w:color w:val="000000"/>
          <w:szCs w:val="26"/>
          <w:shd w:val="clear" w:color="auto" w:fill="FFFFFF"/>
        </w:rPr>
        <w:t xml:space="preserve"> (a), the statu</w:t>
      </w:r>
      <w:r w:rsidR="008D31D4">
        <w:rPr>
          <w:color w:val="000000"/>
          <w:szCs w:val="26"/>
          <w:shd w:val="clear" w:color="auto" w:fill="FFFFFF"/>
        </w:rPr>
        <w:t>t</w:t>
      </w:r>
      <w:r w:rsidR="00E24207">
        <w:rPr>
          <w:color w:val="000000"/>
          <w:szCs w:val="26"/>
          <w:shd w:val="clear" w:color="auto" w:fill="FFFFFF"/>
        </w:rPr>
        <w:t xml:space="preserve">es governing criminal preliminary hearings explicitly “contemplate that the </w:t>
      </w:r>
      <w:r w:rsidRPr="00E24207" w:rsidR="00E24207">
        <w:rPr>
          <w:color w:val="000000"/>
          <w:szCs w:val="26"/>
          <w:shd w:val="clear" w:color="auto" w:fill="FFFFFF"/>
        </w:rPr>
        <w:t>prosecution will present its case by examining witnesses in the presence of the defendant</w:t>
      </w:r>
      <w:r w:rsidR="00D01A6E">
        <w:rPr>
          <w:color w:val="000000"/>
          <w:szCs w:val="26"/>
          <w:shd w:val="clear" w:color="auto" w:fill="FFFFFF"/>
        </w:rPr>
        <w:t>”</w:t>
      </w:r>
      <w:r w:rsidR="00E24207">
        <w:rPr>
          <w:color w:val="000000"/>
          <w:szCs w:val="26"/>
          <w:shd w:val="clear" w:color="auto" w:fill="FFFFFF"/>
        </w:rPr>
        <w:t xml:space="preserve"> </w:t>
      </w:r>
      <w:r w:rsidR="00D01A6E">
        <w:rPr>
          <w:color w:val="000000"/>
          <w:szCs w:val="26"/>
          <w:shd w:val="clear" w:color="auto" w:fill="FFFFFF"/>
        </w:rPr>
        <w:t>(</w:t>
      </w:r>
      <w:r w:rsidR="00E24207">
        <w:rPr>
          <w:color w:val="000000"/>
          <w:szCs w:val="26"/>
          <w:shd w:val="clear" w:color="auto" w:fill="FFFFFF"/>
        </w:rPr>
        <w:t>citing Pen</w:t>
      </w:r>
      <w:r w:rsidR="00D01A6E">
        <w:rPr>
          <w:color w:val="000000"/>
          <w:szCs w:val="26"/>
          <w:shd w:val="clear" w:color="auto" w:fill="FFFFFF"/>
        </w:rPr>
        <w:t>.</w:t>
      </w:r>
      <w:r w:rsidR="00E24207">
        <w:rPr>
          <w:color w:val="000000"/>
          <w:szCs w:val="26"/>
          <w:shd w:val="clear" w:color="auto" w:fill="FFFFFF"/>
        </w:rPr>
        <w:t xml:space="preserve"> Code</w:t>
      </w:r>
      <w:r w:rsidR="00D01A6E">
        <w:rPr>
          <w:color w:val="000000"/>
          <w:szCs w:val="26"/>
          <w:shd w:val="clear" w:color="auto" w:fill="FFFFFF"/>
        </w:rPr>
        <w:t>,</w:t>
      </w:r>
      <w:r w:rsidR="00E24207">
        <w:rPr>
          <w:color w:val="000000"/>
          <w:szCs w:val="26"/>
          <w:shd w:val="clear" w:color="auto" w:fill="FFFFFF"/>
        </w:rPr>
        <w:t xml:space="preserve"> </w:t>
      </w:r>
      <w:r w:rsidRPr="00761DF6" w:rsidR="00D01A6E">
        <w:rPr>
          <w:color w:val="000000"/>
          <w:szCs w:val="26"/>
        </w:rPr>
        <w:t>§</w:t>
      </w:r>
      <w:r w:rsidR="00E24207">
        <w:rPr>
          <w:color w:val="000000"/>
          <w:szCs w:val="26"/>
          <w:shd w:val="clear" w:color="auto" w:fill="FFFFFF"/>
        </w:rPr>
        <w:t xml:space="preserve"> 865</w:t>
      </w:r>
      <w:r w:rsidR="00D01A6E">
        <w:rPr>
          <w:color w:val="000000"/>
          <w:szCs w:val="26"/>
          <w:shd w:val="clear" w:color="auto" w:fill="FFFFFF"/>
        </w:rPr>
        <w:t>)</w:t>
      </w:r>
      <w:r w:rsidR="00BE2B0C">
        <w:rPr>
          <w:color w:val="000000"/>
          <w:szCs w:val="26"/>
          <w:shd w:val="clear" w:color="auto" w:fill="FFFFFF"/>
        </w:rPr>
        <w:t>].)</w:t>
      </w:r>
      <w:r w:rsidR="00E24207">
        <w:rPr>
          <w:color w:val="000000"/>
          <w:szCs w:val="26"/>
          <w:shd w:val="clear" w:color="auto" w:fill="FFFFFF"/>
        </w:rPr>
        <w:t xml:space="preserve"> </w:t>
      </w:r>
      <w:r w:rsidR="003269D1">
        <w:t xml:space="preserve"> </w:t>
      </w:r>
      <w:r w:rsidR="008C65B3">
        <w:t xml:space="preserve">But </w:t>
      </w:r>
      <w:r w:rsidR="00847E86">
        <w:t xml:space="preserve">we can still compare the two hearings </w:t>
      </w:r>
      <w:r w:rsidR="00E943CE">
        <w:t>because of</w:t>
      </w:r>
      <w:r w:rsidR="00847E86">
        <w:t xml:space="preserve"> their </w:t>
      </w:r>
      <w:r w:rsidR="00BE4590">
        <w:t xml:space="preserve">similar </w:t>
      </w:r>
      <w:r w:rsidR="0000228C">
        <w:t>evidence-</w:t>
      </w:r>
      <w:r w:rsidR="008C65B3">
        <w:t xml:space="preserve">screening </w:t>
      </w:r>
      <w:r w:rsidR="0000228C">
        <w:t>functions</w:t>
      </w:r>
      <w:r w:rsidR="008C65B3">
        <w:t xml:space="preserve">, and </w:t>
      </w:r>
      <w:r w:rsidR="00DE7D07">
        <w:t>because</w:t>
      </w:r>
      <w:r w:rsidR="008C65B3">
        <w:t xml:space="preserve"> the Evidence Code </w:t>
      </w:r>
      <w:r w:rsidR="00215241">
        <w:t xml:space="preserve">similarly </w:t>
      </w:r>
      <w:r w:rsidR="00676B1D">
        <w:t xml:space="preserve">governs how this screening </w:t>
      </w:r>
      <w:r w:rsidR="006479F4">
        <w:t>occurs for both hearings</w:t>
      </w:r>
      <w:r w:rsidR="00676B1D">
        <w:t xml:space="preserve">, </w:t>
      </w:r>
      <w:r w:rsidR="008C65B3">
        <w:t xml:space="preserve">absent </w:t>
      </w:r>
      <w:r w:rsidR="00BE4590">
        <w:t>specified exception</w:t>
      </w:r>
      <w:r w:rsidR="00676B1D">
        <w:t>s</w:t>
      </w:r>
      <w:r w:rsidR="00BE4590">
        <w:t xml:space="preserve">.  </w:t>
      </w:r>
      <w:r w:rsidR="00BE4590">
        <w:rPr>
          <w:color w:val="000000"/>
          <w:szCs w:val="26"/>
          <w:shd w:val="clear" w:color="auto" w:fill="FFFFFF"/>
        </w:rPr>
        <w:t>(</w:t>
      </w:r>
      <w:r w:rsidRPr="00761DF6" w:rsidR="00BE4590">
        <w:rPr>
          <w:color w:val="000000"/>
          <w:szCs w:val="26"/>
          <w:shd w:val="clear" w:color="auto" w:fill="FFFFFF"/>
        </w:rPr>
        <w:t>Evid. Code, § 300</w:t>
      </w:r>
      <w:r w:rsidR="00BE4590">
        <w:rPr>
          <w:color w:val="000000"/>
          <w:szCs w:val="26"/>
          <w:shd w:val="clear" w:color="auto" w:fill="FFFFFF"/>
        </w:rPr>
        <w:t>.)</w:t>
      </w:r>
      <w:r w:rsidR="006479F4">
        <w:rPr>
          <w:color w:val="000000"/>
          <w:szCs w:val="26"/>
          <w:shd w:val="clear" w:color="auto" w:fill="FFFFFF"/>
        </w:rPr>
        <w:t xml:space="preserve">  </w:t>
      </w:r>
    </w:p>
    <w:p w:rsidR="00A76352" w:rsidRPr="00121C1F" w:rsidP="00121C1F" w14:paraId="461883EE" w14:textId="2D8F77AE">
      <w:pPr>
        <w:ind w:firstLine="720"/>
        <w:rPr>
          <w:szCs w:val="26"/>
        </w:rPr>
      </w:pPr>
      <w:r w:rsidRPr="00546286">
        <w:rPr>
          <w:color w:val="000000"/>
          <w:szCs w:val="26"/>
          <w:shd w:val="clear" w:color="auto" w:fill="FFFFFF"/>
        </w:rPr>
        <w:t>It’s telling that an</w:t>
      </w:r>
      <w:r w:rsidRPr="00546286" w:rsidR="00DD3116">
        <w:rPr>
          <w:color w:val="000000"/>
          <w:szCs w:val="26"/>
          <w:shd w:val="clear" w:color="auto" w:fill="FFFFFF"/>
        </w:rPr>
        <w:t xml:space="preserve"> explicit</w:t>
      </w:r>
      <w:r w:rsidRPr="00546286" w:rsidR="00FF20D6">
        <w:rPr>
          <w:color w:val="000000"/>
          <w:szCs w:val="26"/>
          <w:shd w:val="clear" w:color="auto" w:fill="FFFFFF"/>
        </w:rPr>
        <w:t xml:space="preserve"> exception</w:t>
      </w:r>
      <w:r w:rsidRPr="00546286" w:rsidR="003B01DD">
        <w:rPr>
          <w:color w:val="000000"/>
          <w:szCs w:val="26"/>
          <w:shd w:val="clear" w:color="auto" w:fill="FFFFFF"/>
        </w:rPr>
        <w:t xml:space="preserve"> to the Evidence Code’s hearsay rule</w:t>
      </w:r>
      <w:r w:rsidRPr="00546286" w:rsidR="00FF20D6">
        <w:rPr>
          <w:color w:val="000000"/>
          <w:szCs w:val="26"/>
          <w:shd w:val="clear" w:color="auto" w:fill="FFFFFF"/>
        </w:rPr>
        <w:t xml:space="preserve"> </w:t>
      </w:r>
      <w:r w:rsidRPr="00546286" w:rsidR="00A91336">
        <w:rPr>
          <w:color w:val="000000"/>
          <w:szCs w:val="26"/>
          <w:shd w:val="clear" w:color="auto" w:fill="FFFFFF"/>
        </w:rPr>
        <w:t xml:space="preserve">does </w:t>
      </w:r>
      <w:r w:rsidRPr="00546286" w:rsidR="00A05158">
        <w:rPr>
          <w:color w:val="000000"/>
          <w:szCs w:val="26"/>
          <w:shd w:val="clear" w:color="auto" w:fill="FFFFFF"/>
        </w:rPr>
        <w:t xml:space="preserve">exist </w:t>
      </w:r>
      <w:r w:rsidRPr="00546286" w:rsidR="00FF20D6">
        <w:rPr>
          <w:color w:val="000000"/>
          <w:szCs w:val="26"/>
          <w:shd w:val="clear" w:color="auto" w:fill="FFFFFF"/>
        </w:rPr>
        <w:t>for criminal preliminary hearings</w:t>
      </w:r>
      <w:r w:rsidRPr="00546286" w:rsidR="004C2A55">
        <w:rPr>
          <w:color w:val="000000"/>
          <w:szCs w:val="26"/>
          <w:shd w:val="clear" w:color="auto" w:fill="FFFFFF"/>
        </w:rPr>
        <w:t xml:space="preserve">.  </w:t>
      </w:r>
      <w:r w:rsidRPr="00546286" w:rsidR="006A017A">
        <w:rPr>
          <w:szCs w:val="26"/>
        </w:rPr>
        <w:t>Proposition 115</w:t>
      </w:r>
      <w:r w:rsidRPr="00546286" w:rsidR="005B4855">
        <w:rPr>
          <w:szCs w:val="26"/>
        </w:rPr>
        <w:t xml:space="preserve">, adopted by the voters in 1990, </w:t>
      </w:r>
      <w:r w:rsidRPr="00546286" w:rsidR="002E54D6">
        <w:rPr>
          <w:szCs w:val="26"/>
        </w:rPr>
        <w:t xml:space="preserve"> amended Penal Code section 872, subdivision (b) to create a “limited” hearsay exception </w:t>
      </w:r>
      <w:bookmarkStart w:id="19" w:name="_Hlk76124069"/>
      <w:r w:rsidRPr="00546286" w:rsidR="008135FF">
        <w:rPr>
          <w:szCs w:val="26"/>
        </w:rPr>
        <w:t>(</w:t>
      </w:r>
      <w:r w:rsidRPr="00546286" w:rsidR="00DF55AC">
        <w:rPr>
          <w:i/>
          <w:iCs/>
          <w:szCs w:val="26"/>
        </w:rPr>
        <w:t>Whitman v. Superior Court</w:t>
      </w:r>
      <w:r w:rsidRPr="00546286" w:rsidR="00DF55AC">
        <w:rPr>
          <w:szCs w:val="26"/>
        </w:rPr>
        <w:t xml:space="preserve"> (1991) 54 Cal.3d 1063, 1074 (</w:t>
      </w:r>
      <w:r w:rsidRPr="00546286" w:rsidR="00DF55AC">
        <w:rPr>
          <w:i/>
          <w:iCs/>
          <w:szCs w:val="26"/>
        </w:rPr>
        <w:t>Whitman</w:t>
      </w:r>
      <w:r w:rsidRPr="00546286" w:rsidR="00DF55AC">
        <w:rPr>
          <w:szCs w:val="26"/>
        </w:rPr>
        <w:t>))</w:t>
      </w:r>
      <w:r w:rsidRPr="00546286" w:rsidR="007D308A">
        <w:rPr>
          <w:szCs w:val="26"/>
        </w:rPr>
        <w:t>,</w:t>
      </w:r>
      <w:bookmarkEnd w:id="19"/>
      <w:r w:rsidRPr="00546286" w:rsidR="00DF55AC">
        <w:rPr>
          <w:szCs w:val="26"/>
        </w:rPr>
        <w:t xml:space="preserve"> </w:t>
      </w:r>
      <w:r w:rsidRPr="00546286" w:rsidR="00405DB9">
        <w:rPr>
          <w:szCs w:val="26"/>
        </w:rPr>
        <w:t>allowing “a properly qualified investigating officer to relate out-of-court statements by crime victims or witnesses”</w:t>
      </w:r>
      <w:r w:rsidRPr="00546286" w:rsidR="007D308A">
        <w:rPr>
          <w:szCs w:val="26"/>
        </w:rPr>
        <w:t xml:space="preserve"> </w:t>
      </w:r>
      <w:r w:rsidRPr="00546286" w:rsidR="008135FF">
        <w:rPr>
          <w:szCs w:val="26"/>
        </w:rPr>
        <w:t>(</w:t>
      </w:r>
      <w:r w:rsidRPr="00546286" w:rsidR="008135FF">
        <w:rPr>
          <w:i/>
          <w:iCs/>
          <w:szCs w:val="26"/>
        </w:rPr>
        <w:t>id.</w:t>
      </w:r>
      <w:r w:rsidRPr="00546286" w:rsidR="008135FF">
        <w:rPr>
          <w:szCs w:val="26"/>
        </w:rPr>
        <w:t xml:space="preserve"> at p. 1072).</w:t>
      </w:r>
      <w:r w:rsidRPr="00546286" w:rsidR="00405DB9">
        <w:rPr>
          <w:szCs w:val="26"/>
        </w:rPr>
        <w:t xml:space="preserve">  </w:t>
      </w:r>
      <w:r w:rsidRPr="00546286" w:rsidR="008135FF">
        <w:rPr>
          <w:szCs w:val="26"/>
        </w:rPr>
        <w:t>As we explained</w:t>
      </w:r>
      <w:r w:rsidRPr="00546286" w:rsidR="00DF55AC">
        <w:rPr>
          <w:szCs w:val="26"/>
        </w:rPr>
        <w:t xml:space="preserve"> in </w:t>
      </w:r>
      <w:r w:rsidRPr="00546286" w:rsidR="00DF55AC">
        <w:rPr>
          <w:i/>
          <w:iCs/>
          <w:szCs w:val="26"/>
        </w:rPr>
        <w:t>Whitman</w:t>
      </w:r>
      <w:r w:rsidRPr="00546286" w:rsidR="008135FF">
        <w:rPr>
          <w:szCs w:val="26"/>
        </w:rPr>
        <w:t xml:space="preserve">, the </w:t>
      </w:r>
      <w:r w:rsidRPr="00546286" w:rsidR="00DF55AC">
        <w:rPr>
          <w:szCs w:val="26"/>
        </w:rPr>
        <w:t xml:space="preserve">subdivision </w:t>
      </w:r>
      <w:r w:rsidRPr="00546286" w:rsidR="00056A35">
        <w:rPr>
          <w:szCs w:val="26"/>
        </w:rPr>
        <w:t>clearly contemplates</w:t>
      </w:r>
      <w:r w:rsidRPr="00546286" w:rsidR="00DF55AC">
        <w:rPr>
          <w:szCs w:val="26"/>
        </w:rPr>
        <w:t xml:space="preserve"> that the </w:t>
      </w:r>
      <w:r w:rsidRPr="00546286" w:rsidR="008135FF">
        <w:rPr>
          <w:szCs w:val="26"/>
        </w:rPr>
        <w:t xml:space="preserve">testifying officer </w:t>
      </w:r>
      <w:r w:rsidRPr="00546286" w:rsidR="00DF55AC">
        <w:rPr>
          <w:szCs w:val="26"/>
        </w:rPr>
        <w:t>has</w:t>
      </w:r>
      <w:r w:rsidRPr="00546286" w:rsidR="008135FF">
        <w:rPr>
          <w:szCs w:val="26"/>
        </w:rPr>
        <w:t xml:space="preserve"> </w:t>
      </w:r>
      <w:r w:rsidRPr="00546286" w:rsidR="008135FF">
        <w:rPr>
          <w:szCs w:val="26"/>
          <w:shd w:val="clear" w:color="auto" w:fill="FFFFFF"/>
        </w:rPr>
        <w:t xml:space="preserve">sufficient </w:t>
      </w:r>
      <w:r w:rsidRPr="00546286" w:rsidR="00DF55AC">
        <w:rPr>
          <w:szCs w:val="26"/>
          <w:shd w:val="clear" w:color="auto" w:fill="FFFFFF"/>
        </w:rPr>
        <w:t>experience</w:t>
      </w:r>
      <w:r w:rsidRPr="00546286" w:rsidR="00497F22">
        <w:rPr>
          <w:szCs w:val="26"/>
          <w:shd w:val="clear" w:color="auto" w:fill="FFFFFF"/>
        </w:rPr>
        <w:t xml:space="preserve">, </w:t>
      </w:r>
      <w:r w:rsidRPr="00546286" w:rsidR="008135FF">
        <w:rPr>
          <w:szCs w:val="26"/>
          <w:shd w:val="clear" w:color="auto" w:fill="FFFFFF"/>
        </w:rPr>
        <w:t>expertise</w:t>
      </w:r>
      <w:r w:rsidRPr="00546286" w:rsidR="00DF55AC">
        <w:rPr>
          <w:szCs w:val="26"/>
          <w:shd w:val="clear" w:color="auto" w:fill="FFFFFF"/>
        </w:rPr>
        <w:t xml:space="preserve"> </w:t>
      </w:r>
      <w:r w:rsidRPr="00546286" w:rsidR="00DF55AC">
        <w:rPr>
          <w:szCs w:val="26"/>
        </w:rPr>
        <w:t>(</w:t>
      </w:r>
      <w:r w:rsidRPr="00546286" w:rsidR="00DF55AC">
        <w:rPr>
          <w:i/>
          <w:iCs/>
          <w:szCs w:val="26"/>
        </w:rPr>
        <w:t>id.</w:t>
      </w:r>
      <w:r w:rsidRPr="00546286" w:rsidR="00DF55AC">
        <w:rPr>
          <w:szCs w:val="26"/>
        </w:rPr>
        <w:t xml:space="preserve"> at </w:t>
      </w:r>
      <w:r w:rsidRPr="00546286" w:rsidR="009C2418">
        <w:rPr>
          <w:szCs w:val="26"/>
        </w:rPr>
        <w:t>p</w:t>
      </w:r>
      <w:r w:rsidRPr="00546286" w:rsidR="00DF55AC">
        <w:rPr>
          <w:szCs w:val="26"/>
        </w:rPr>
        <w:t xml:space="preserve">p. </w:t>
      </w:r>
      <w:r w:rsidRPr="00546286" w:rsidR="009C2418">
        <w:rPr>
          <w:szCs w:val="26"/>
        </w:rPr>
        <w:t>1073–</w:t>
      </w:r>
      <w:r w:rsidRPr="00546286" w:rsidR="00DF55AC">
        <w:rPr>
          <w:szCs w:val="26"/>
        </w:rPr>
        <w:t>1074</w:t>
      </w:r>
      <w:r w:rsidRPr="00546286" w:rsidR="009C2418">
        <w:rPr>
          <w:szCs w:val="26"/>
        </w:rPr>
        <w:t xml:space="preserve"> [at least five years in law enforcement or </w:t>
      </w:r>
      <w:r w:rsidRPr="00546286" w:rsidR="00562BBD">
        <w:rPr>
          <w:szCs w:val="26"/>
        </w:rPr>
        <w:t>special</w:t>
      </w:r>
      <w:r w:rsidRPr="00546286" w:rsidR="009C2418">
        <w:rPr>
          <w:szCs w:val="26"/>
        </w:rPr>
        <w:t xml:space="preserve"> training]</w:t>
      </w:r>
      <w:r w:rsidRPr="00546286" w:rsidR="00DF55AC">
        <w:rPr>
          <w:szCs w:val="26"/>
        </w:rPr>
        <w:t>)</w:t>
      </w:r>
      <w:r w:rsidRPr="00546286" w:rsidR="00497F22">
        <w:rPr>
          <w:szCs w:val="26"/>
        </w:rPr>
        <w:t>,</w:t>
      </w:r>
      <w:r w:rsidRPr="00546286" w:rsidR="008135FF">
        <w:rPr>
          <w:szCs w:val="26"/>
          <w:shd w:val="clear" w:color="auto" w:fill="FFFFFF"/>
        </w:rPr>
        <w:t xml:space="preserve"> and </w:t>
      </w:r>
      <w:r w:rsidRPr="00546286" w:rsidR="00DF55AC">
        <w:rPr>
          <w:szCs w:val="26"/>
          <w:shd w:val="clear" w:color="auto" w:fill="FFFFFF"/>
        </w:rPr>
        <w:t>“</w:t>
      </w:r>
      <w:r w:rsidRPr="00546286" w:rsidR="008135FF">
        <w:rPr>
          <w:szCs w:val="26"/>
          <w:shd w:val="clear" w:color="auto" w:fill="FFFFFF"/>
        </w:rPr>
        <w:t>knowledge of the crime or the circumstances under which the out-of-court statement was made so as to meaningfully assist the magistrate in assessing the reliability</w:t>
      </w:r>
      <w:r w:rsidRPr="00CE6513" w:rsidR="008135FF">
        <w:rPr>
          <w:szCs w:val="26"/>
          <w:shd w:val="clear" w:color="auto" w:fill="FFFFFF"/>
        </w:rPr>
        <w:t xml:space="preserve"> of the statement”</w:t>
      </w:r>
      <w:r w:rsidR="00DF55AC">
        <w:rPr>
          <w:szCs w:val="26"/>
          <w:shd w:val="clear" w:color="auto" w:fill="FFFFFF"/>
        </w:rPr>
        <w:t xml:space="preserve"> (</w:t>
      </w:r>
      <w:r w:rsidRPr="00DF55AC" w:rsidR="00DF55AC">
        <w:rPr>
          <w:i/>
          <w:iCs/>
          <w:szCs w:val="26"/>
          <w:shd w:val="clear" w:color="auto" w:fill="FFFFFF"/>
        </w:rPr>
        <w:t>id.</w:t>
      </w:r>
      <w:r w:rsidR="00DF55AC">
        <w:rPr>
          <w:szCs w:val="26"/>
          <w:shd w:val="clear" w:color="auto" w:fill="FFFFFF"/>
        </w:rPr>
        <w:t xml:space="preserve"> at p. 1072)</w:t>
      </w:r>
      <w:r w:rsidR="00E7728B">
        <w:rPr>
          <w:szCs w:val="26"/>
          <w:shd w:val="clear" w:color="auto" w:fill="FFFFFF"/>
        </w:rPr>
        <w:t>.</w:t>
      </w:r>
      <w:r w:rsidR="00090291">
        <w:rPr>
          <w:szCs w:val="26"/>
        </w:rPr>
        <w:t xml:space="preserve">  </w:t>
      </w:r>
      <w:r w:rsidR="003407BC">
        <w:rPr>
          <w:szCs w:val="26"/>
          <w:shd w:val="clear" w:color="auto" w:fill="FFFFFF"/>
        </w:rPr>
        <w:t>In view of th</w:t>
      </w:r>
      <w:r w:rsidR="00FA151C">
        <w:rPr>
          <w:szCs w:val="26"/>
          <w:shd w:val="clear" w:color="auto" w:fill="FFFFFF"/>
        </w:rPr>
        <w:t>is</w:t>
      </w:r>
      <w:r w:rsidR="003407BC">
        <w:rPr>
          <w:szCs w:val="26"/>
          <w:shd w:val="clear" w:color="auto" w:fill="FFFFFF"/>
        </w:rPr>
        <w:t xml:space="preserve"> </w:t>
      </w:r>
      <w:r w:rsidR="006A0EC0">
        <w:rPr>
          <w:szCs w:val="26"/>
          <w:shd w:val="clear" w:color="auto" w:fill="FFFFFF"/>
        </w:rPr>
        <w:t>clear</w:t>
      </w:r>
      <w:r w:rsidR="005963F6">
        <w:rPr>
          <w:szCs w:val="26"/>
          <w:shd w:val="clear" w:color="auto" w:fill="FFFFFF"/>
        </w:rPr>
        <w:t xml:space="preserve"> and</w:t>
      </w:r>
      <w:r w:rsidR="006A0EC0">
        <w:rPr>
          <w:szCs w:val="26"/>
          <w:shd w:val="clear" w:color="auto" w:fill="FFFFFF"/>
        </w:rPr>
        <w:t xml:space="preserve"> carefully delineated</w:t>
      </w:r>
      <w:r w:rsidR="003407BC">
        <w:rPr>
          <w:szCs w:val="26"/>
          <w:shd w:val="clear" w:color="auto" w:fill="FFFFFF"/>
        </w:rPr>
        <w:t xml:space="preserve"> hearsay exception</w:t>
      </w:r>
      <w:r w:rsidR="00047E17">
        <w:rPr>
          <w:szCs w:val="26"/>
          <w:shd w:val="clear" w:color="auto" w:fill="FFFFFF"/>
        </w:rPr>
        <w:t xml:space="preserve"> in a relatively </w:t>
      </w:r>
      <w:r w:rsidR="00D178B2">
        <w:rPr>
          <w:szCs w:val="26"/>
          <w:shd w:val="clear" w:color="auto" w:fill="FFFFFF"/>
        </w:rPr>
        <w:t>analogous</w:t>
      </w:r>
      <w:r w:rsidR="00047E17">
        <w:rPr>
          <w:szCs w:val="26"/>
          <w:shd w:val="clear" w:color="auto" w:fill="FFFFFF"/>
        </w:rPr>
        <w:t xml:space="preserve"> context</w:t>
      </w:r>
      <w:r w:rsidR="003407BC">
        <w:rPr>
          <w:szCs w:val="26"/>
          <w:shd w:val="clear" w:color="auto" w:fill="FFFFFF"/>
        </w:rPr>
        <w:t xml:space="preserve">, </w:t>
      </w:r>
      <w:r w:rsidR="003504C3">
        <w:rPr>
          <w:szCs w:val="26"/>
          <w:shd w:val="clear" w:color="auto" w:fill="FFFFFF"/>
        </w:rPr>
        <w:t xml:space="preserve">we are not persuaded </w:t>
      </w:r>
      <w:r w:rsidR="00612D6E">
        <w:rPr>
          <w:szCs w:val="26"/>
          <w:shd w:val="clear" w:color="auto" w:fill="FFFFFF"/>
        </w:rPr>
        <w:t>by the People’s interpretation.  The</w:t>
      </w:r>
      <w:r w:rsidR="00272FAD">
        <w:rPr>
          <w:szCs w:val="26"/>
          <w:shd w:val="clear" w:color="auto" w:fill="FFFFFF"/>
        </w:rPr>
        <w:t xml:space="preserve"> People</w:t>
      </w:r>
      <w:r w:rsidR="00612D6E">
        <w:rPr>
          <w:szCs w:val="26"/>
          <w:shd w:val="clear" w:color="auto" w:fill="FFFFFF"/>
        </w:rPr>
        <w:t xml:space="preserve"> ask us </w:t>
      </w:r>
      <w:r w:rsidR="003504C3">
        <w:rPr>
          <w:szCs w:val="26"/>
          <w:shd w:val="clear" w:color="auto" w:fill="FFFFFF"/>
        </w:rPr>
        <w:t>to read</w:t>
      </w:r>
      <w:r w:rsidR="003100B2">
        <w:rPr>
          <w:szCs w:val="26"/>
          <w:shd w:val="clear" w:color="auto" w:fill="FFFFFF"/>
        </w:rPr>
        <w:t xml:space="preserve"> </w:t>
      </w:r>
      <w:r w:rsidR="00A820D2">
        <w:rPr>
          <w:szCs w:val="26"/>
          <w:shd w:val="clear" w:color="auto" w:fill="FFFFFF"/>
        </w:rPr>
        <w:t>section 6602, subdivision (a)</w:t>
      </w:r>
      <w:r w:rsidR="001828FA">
        <w:rPr>
          <w:szCs w:val="26"/>
          <w:shd w:val="clear" w:color="auto" w:fill="FFFFFF"/>
        </w:rPr>
        <w:t xml:space="preserve">’s </w:t>
      </w:r>
      <w:r w:rsidR="009E764A">
        <w:rPr>
          <w:szCs w:val="26"/>
          <w:shd w:val="clear" w:color="auto" w:fill="FFFFFF"/>
        </w:rPr>
        <w:t>spare</w:t>
      </w:r>
      <w:r w:rsidR="001828FA">
        <w:rPr>
          <w:szCs w:val="26"/>
          <w:shd w:val="clear" w:color="auto" w:fill="FFFFFF"/>
        </w:rPr>
        <w:t xml:space="preserve"> language</w:t>
      </w:r>
      <w:r w:rsidR="007F3C92">
        <w:rPr>
          <w:szCs w:val="26"/>
          <w:shd w:val="clear" w:color="auto" w:fill="FFFFFF"/>
        </w:rPr>
        <w:t xml:space="preserve"> </w:t>
      </w:r>
      <w:r w:rsidR="00226AFE">
        <w:rPr>
          <w:szCs w:val="26"/>
          <w:shd w:val="clear" w:color="auto" w:fill="FFFFFF"/>
        </w:rPr>
        <w:t xml:space="preserve">as </w:t>
      </w:r>
      <w:r w:rsidR="00620C0A">
        <w:rPr>
          <w:szCs w:val="26"/>
          <w:shd w:val="clear" w:color="auto" w:fill="FFFFFF"/>
        </w:rPr>
        <w:t xml:space="preserve">an indication that the </w:t>
      </w:r>
      <w:r w:rsidR="00A51E33">
        <w:rPr>
          <w:szCs w:val="26"/>
          <w:shd w:val="clear" w:color="auto" w:fill="FFFFFF"/>
        </w:rPr>
        <w:t xml:space="preserve">Legislature </w:t>
      </w:r>
      <w:r w:rsidR="00620C0A">
        <w:rPr>
          <w:szCs w:val="26"/>
          <w:shd w:val="clear" w:color="auto" w:fill="FFFFFF"/>
        </w:rPr>
        <w:t xml:space="preserve">created </w:t>
      </w:r>
      <w:r w:rsidR="00A820D2">
        <w:rPr>
          <w:szCs w:val="26"/>
          <w:shd w:val="clear" w:color="auto" w:fill="FFFFFF"/>
        </w:rPr>
        <w:t>a</w:t>
      </w:r>
      <w:r w:rsidR="00FD2481">
        <w:rPr>
          <w:szCs w:val="26"/>
          <w:shd w:val="clear" w:color="auto" w:fill="FFFFFF"/>
        </w:rPr>
        <w:t xml:space="preserve">n even broader </w:t>
      </w:r>
      <w:r w:rsidR="00A820D2">
        <w:rPr>
          <w:szCs w:val="26"/>
          <w:shd w:val="clear" w:color="auto" w:fill="FFFFFF"/>
        </w:rPr>
        <w:t xml:space="preserve">hearsay </w:t>
      </w:r>
      <w:r w:rsidR="005E4C3B">
        <w:rPr>
          <w:szCs w:val="26"/>
          <w:shd w:val="clear" w:color="auto" w:fill="FFFFFF"/>
        </w:rPr>
        <w:t>exception</w:t>
      </w:r>
      <w:r w:rsidR="00070A17">
        <w:rPr>
          <w:szCs w:val="26"/>
          <w:shd w:val="clear" w:color="auto" w:fill="FFFFFF"/>
        </w:rPr>
        <w:t xml:space="preserve"> than what Proposition 115 created</w:t>
      </w:r>
      <w:r w:rsidR="00FD2481">
        <w:rPr>
          <w:szCs w:val="26"/>
          <w:shd w:val="clear" w:color="auto" w:fill="FFFFFF"/>
        </w:rPr>
        <w:t>:  one that</w:t>
      </w:r>
      <w:r w:rsidR="0065007A">
        <w:rPr>
          <w:szCs w:val="26"/>
          <w:shd w:val="clear" w:color="auto" w:fill="FFFFFF"/>
        </w:rPr>
        <w:t>,</w:t>
      </w:r>
      <w:r w:rsidR="00FD2481">
        <w:rPr>
          <w:szCs w:val="26"/>
          <w:shd w:val="clear" w:color="auto" w:fill="FFFFFF"/>
        </w:rPr>
        <w:t xml:space="preserve"> </w:t>
      </w:r>
      <w:r w:rsidR="00620C0A">
        <w:rPr>
          <w:szCs w:val="26"/>
          <w:shd w:val="clear" w:color="auto" w:fill="FFFFFF"/>
        </w:rPr>
        <w:t xml:space="preserve">in the absence of </w:t>
      </w:r>
      <w:r w:rsidR="00B22027">
        <w:rPr>
          <w:szCs w:val="26"/>
          <w:shd w:val="clear" w:color="auto" w:fill="FFFFFF"/>
        </w:rPr>
        <w:t xml:space="preserve">any </w:t>
      </w:r>
      <w:r w:rsidR="005B567A">
        <w:rPr>
          <w:szCs w:val="26"/>
          <w:shd w:val="clear" w:color="auto" w:fill="FFFFFF"/>
        </w:rPr>
        <w:t xml:space="preserve">apparent </w:t>
      </w:r>
      <w:r w:rsidR="00B22027">
        <w:rPr>
          <w:szCs w:val="26"/>
          <w:shd w:val="clear" w:color="auto" w:fill="FFFFFF"/>
        </w:rPr>
        <w:t xml:space="preserve">legislative determination </w:t>
      </w:r>
      <w:r w:rsidR="009C2418">
        <w:rPr>
          <w:szCs w:val="26"/>
          <w:shd w:val="clear" w:color="auto" w:fill="FFFFFF"/>
        </w:rPr>
        <w:t>o</w:t>
      </w:r>
      <w:r w:rsidR="00B636BF">
        <w:rPr>
          <w:szCs w:val="26"/>
          <w:shd w:val="clear" w:color="auto" w:fill="FFFFFF"/>
        </w:rPr>
        <w:t>f</w:t>
      </w:r>
      <w:r w:rsidR="006D017B">
        <w:rPr>
          <w:szCs w:val="26"/>
          <w:shd w:val="clear" w:color="auto" w:fill="FFFFFF"/>
        </w:rPr>
        <w:t>,</w:t>
      </w:r>
      <w:r w:rsidR="00121C1F">
        <w:rPr>
          <w:szCs w:val="26"/>
          <w:shd w:val="clear" w:color="auto" w:fill="FFFFFF"/>
        </w:rPr>
        <w:t xml:space="preserve"> </w:t>
      </w:r>
      <w:r w:rsidR="00B636BF">
        <w:rPr>
          <w:szCs w:val="26"/>
          <w:shd w:val="clear" w:color="auto" w:fill="FFFFFF"/>
        </w:rPr>
        <w:t>or requirements for</w:t>
      </w:r>
      <w:r w:rsidR="006D017B">
        <w:rPr>
          <w:szCs w:val="26"/>
          <w:shd w:val="clear" w:color="auto" w:fill="FFFFFF"/>
        </w:rPr>
        <w:t>,</w:t>
      </w:r>
      <w:r w:rsidR="00121C1F">
        <w:rPr>
          <w:szCs w:val="26"/>
        </w:rPr>
        <w:t xml:space="preserve"> </w:t>
      </w:r>
      <w:r w:rsidR="00B22027">
        <w:rPr>
          <w:szCs w:val="26"/>
          <w:shd w:val="clear" w:color="auto" w:fill="FFFFFF"/>
        </w:rPr>
        <w:t>their expertise or knowledge to do so</w:t>
      </w:r>
      <w:r w:rsidR="0065007A">
        <w:rPr>
          <w:szCs w:val="26"/>
          <w:shd w:val="clear" w:color="auto" w:fill="FFFFFF"/>
        </w:rPr>
        <w:t xml:space="preserve">, allows </w:t>
      </w:r>
      <w:r w:rsidRPr="009C2418" w:rsidR="0065007A">
        <w:rPr>
          <w:i/>
          <w:iCs/>
          <w:szCs w:val="26"/>
          <w:shd w:val="clear" w:color="auto" w:fill="FFFFFF"/>
        </w:rPr>
        <w:t>any</w:t>
      </w:r>
      <w:r w:rsidR="0065007A">
        <w:rPr>
          <w:szCs w:val="26"/>
          <w:shd w:val="clear" w:color="auto" w:fill="FFFFFF"/>
        </w:rPr>
        <w:t xml:space="preserve"> psychologist </w:t>
      </w:r>
      <w:r w:rsidR="007E379F">
        <w:rPr>
          <w:szCs w:val="26"/>
          <w:shd w:val="clear" w:color="auto" w:fill="FFFFFF"/>
        </w:rPr>
        <w:t xml:space="preserve">to relate </w:t>
      </w:r>
      <w:r w:rsidR="001B56B9">
        <w:rPr>
          <w:szCs w:val="26"/>
          <w:shd w:val="clear" w:color="auto" w:fill="FFFFFF"/>
        </w:rPr>
        <w:t>hearsay</w:t>
      </w:r>
      <w:r w:rsidR="00695287">
        <w:rPr>
          <w:szCs w:val="26"/>
          <w:shd w:val="clear" w:color="auto" w:fill="FFFFFF"/>
        </w:rPr>
        <w:t xml:space="preserve"> as true</w:t>
      </w:r>
      <w:r w:rsidR="001110F3">
        <w:rPr>
          <w:szCs w:val="26"/>
          <w:shd w:val="clear" w:color="auto" w:fill="FFFFFF"/>
        </w:rPr>
        <w:t xml:space="preserve"> </w:t>
      </w:r>
      <w:r w:rsidR="001B56B9">
        <w:rPr>
          <w:szCs w:val="26"/>
          <w:shd w:val="clear" w:color="auto" w:fill="FFFFFF"/>
        </w:rPr>
        <w:t xml:space="preserve">accounts </w:t>
      </w:r>
      <w:r w:rsidR="00702784">
        <w:rPr>
          <w:szCs w:val="26"/>
          <w:shd w:val="clear" w:color="auto" w:fill="FFFFFF"/>
        </w:rPr>
        <w:t>of</w:t>
      </w:r>
      <w:r w:rsidR="0052648B">
        <w:rPr>
          <w:szCs w:val="26"/>
          <w:shd w:val="clear" w:color="auto" w:fill="FFFFFF"/>
        </w:rPr>
        <w:t xml:space="preserve"> nonpredicate offenses </w:t>
      </w:r>
      <w:r w:rsidR="001B56B9">
        <w:rPr>
          <w:szCs w:val="26"/>
          <w:shd w:val="clear" w:color="auto" w:fill="FFFFFF"/>
        </w:rPr>
        <w:t>from investigating officers</w:t>
      </w:r>
      <w:r w:rsidR="00E519A4">
        <w:rPr>
          <w:szCs w:val="26"/>
          <w:shd w:val="clear" w:color="auto" w:fill="FFFFFF"/>
        </w:rPr>
        <w:t>’ reports</w:t>
      </w:r>
      <w:r w:rsidR="00416D64">
        <w:rPr>
          <w:szCs w:val="26"/>
          <w:shd w:val="clear" w:color="auto" w:fill="FFFFFF"/>
        </w:rPr>
        <w:t>, including any</w:t>
      </w:r>
      <w:r w:rsidR="001B56B9">
        <w:rPr>
          <w:szCs w:val="26"/>
          <w:shd w:val="clear" w:color="auto" w:fill="FFFFFF"/>
        </w:rPr>
        <w:t xml:space="preserve"> victim</w:t>
      </w:r>
      <w:r w:rsidR="00E639C0">
        <w:rPr>
          <w:szCs w:val="26"/>
          <w:shd w:val="clear" w:color="auto" w:fill="FFFFFF"/>
        </w:rPr>
        <w:t xml:space="preserve"> and witness</w:t>
      </w:r>
      <w:r w:rsidR="00416D64">
        <w:rPr>
          <w:szCs w:val="26"/>
          <w:shd w:val="clear" w:color="auto" w:fill="FFFFFF"/>
        </w:rPr>
        <w:t xml:space="preserve"> statements</w:t>
      </w:r>
      <w:r w:rsidR="001B56B9">
        <w:rPr>
          <w:szCs w:val="26"/>
          <w:shd w:val="clear" w:color="auto" w:fill="FFFFFF"/>
        </w:rPr>
        <w:t xml:space="preserve"> to </w:t>
      </w:r>
      <w:r w:rsidR="00693C43">
        <w:rPr>
          <w:szCs w:val="26"/>
          <w:shd w:val="clear" w:color="auto" w:fill="FFFFFF"/>
        </w:rPr>
        <w:t xml:space="preserve">these </w:t>
      </w:r>
      <w:r w:rsidR="001B56B9">
        <w:rPr>
          <w:szCs w:val="26"/>
          <w:shd w:val="clear" w:color="auto" w:fill="FFFFFF"/>
        </w:rPr>
        <w:t>officers.</w:t>
      </w:r>
      <w:r w:rsidR="001110F3">
        <w:rPr>
          <w:szCs w:val="26"/>
          <w:shd w:val="clear" w:color="auto" w:fill="FFFFFF"/>
        </w:rPr>
        <w:t xml:space="preserve">  </w:t>
      </w:r>
      <w:r>
        <w:rPr>
          <w:szCs w:val="26"/>
          <w:shd w:val="clear" w:color="auto" w:fill="FFFFFF"/>
        </w:rPr>
        <w:t xml:space="preserve">(Cf. </w:t>
      </w:r>
      <w:r w:rsidRPr="00761DF6">
        <w:rPr>
          <w:i/>
          <w:iCs/>
          <w:szCs w:val="26"/>
        </w:rPr>
        <w:t>Whitman</w:t>
      </w:r>
      <w:r w:rsidRPr="00761DF6">
        <w:rPr>
          <w:szCs w:val="26"/>
        </w:rPr>
        <w:t xml:space="preserve">, at </w:t>
      </w:r>
      <w:r w:rsidR="00C92786">
        <w:rPr>
          <w:szCs w:val="26"/>
        </w:rPr>
        <w:t>p</w:t>
      </w:r>
      <w:r w:rsidRPr="00761DF6">
        <w:rPr>
          <w:szCs w:val="26"/>
        </w:rPr>
        <w:t>p. 1072</w:t>
      </w:r>
      <w:r w:rsidR="00C92786">
        <w:rPr>
          <w:szCs w:val="26"/>
        </w:rPr>
        <w:t>, 1074</w:t>
      </w:r>
      <w:r>
        <w:rPr>
          <w:szCs w:val="26"/>
        </w:rPr>
        <w:t xml:space="preserve"> [</w:t>
      </w:r>
      <w:r w:rsidR="00F25787">
        <w:rPr>
          <w:szCs w:val="26"/>
        </w:rPr>
        <w:t>declining to read the</w:t>
      </w:r>
      <w:r w:rsidR="00C92786">
        <w:rPr>
          <w:szCs w:val="26"/>
        </w:rPr>
        <w:t xml:space="preserve"> limited</w:t>
      </w:r>
      <w:r w:rsidR="00683D95">
        <w:rPr>
          <w:szCs w:val="26"/>
        </w:rPr>
        <w:t xml:space="preserve"> </w:t>
      </w:r>
      <w:r w:rsidR="00C92786">
        <w:rPr>
          <w:szCs w:val="26"/>
        </w:rPr>
        <w:t>exception the voters enacted</w:t>
      </w:r>
      <w:r>
        <w:rPr>
          <w:szCs w:val="26"/>
        </w:rPr>
        <w:t xml:space="preserve"> </w:t>
      </w:r>
      <w:r w:rsidR="00F25787">
        <w:rPr>
          <w:szCs w:val="26"/>
          <w:shd w:val="clear" w:color="auto" w:fill="FFFFFF"/>
        </w:rPr>
        <w:t>as</w:t>
      </w:r>
      <w:r w:rsidRPr="00761DF6">
        <w:rPr>
          <w:szCs w:val="26"/>
          <w:shd w:val="clear" w:color="auto" w:fill="FFFFFF"/>
        </w:rPr>
        <w:t xml:space="preserve"> embrac</w:t>
      </w:r>
      <w:r w:rsidR="00F25787">
        <w:rPr>
          <w:szCs w:val="26"/>
          <w:shd w:val="clear" w:color="auto" w:fill="FFFFFF"/>
        </w:rPr>
        <w:t>ing</w:t>
      </w:r>
      <w:r w:rsidRPr="00761DF6">
        <w:rPr>
          <w:szCs w:val="26"/>
          <w:shd w:val="clear" w:color="auto" w:fill="FFFFFF"/>
        </w:rPr>
        <w:t xml:space="preserve"> “</w:t>
      </w:r>
      <w:r w:rsidR="007C7DB3">
        <w:rPr>
          <w:szCs w:val="26"/>
          <w:shd w:val="clear" w:color="auto" w:fill="FFFFFF"/>
        </w:rPr>
        <w:t> </w:t>
      </w:r>
      <w:r w:rsidRPr="00761DF6">
        <w:rPr>
          <w:szCs w:val="26"/>
          <w:shd w:val="clear" w:color="auto" w:fill="FFFFFF"/>
        </w:rPr>
        <w:t>‘reader’</w:t>
      </w:r>
      <w:r w:rsidR="007C7DB3">
        <w:rPr>
          <w:szCs w:val="26"/>
          <w:shd w:val="clear" w:color="auto" w:fill="FFFFFF"/>
        </w:rPr>
        <w:t> </w:t>
      </w:r>
      <w:r w:rsidRPr="00761DF6">
        <w:rPr>
          <w:szCs w:val="26"/>
          <w:shd w:val="clear" w:color="auto" w:fill="FFFFFF"/>
        </w:rPr>
        <w:t xml:space="preserve">” testimony:  “whereby </w:t>
      </w:r>
      <w:r w:rsidRPr="00761DF6">
        <w:rPr>
          <w:szCs w:val="26"/>
        </w:rPr>
        <w:t>a noninvestigating officer, lacking any personal knowledge of the matter, nonetheless</w:t>
      </w:r>
      <w:r w:rsidR="00AC7D7F">
        <w:rPr>
          <w:szCs w:val="26"/>
        </w:rPr>
        <w:t xml:space="preserve"> . . .</w:t>
      </w:r>
      <w:r w:rsidRPr="00761DF6">
        <w:rPr>
          <w:szCs w:val="26"/>
        </w:rPr>
        <w:t xml:space="preserve"> relate</w:t>
      </w:r>
      <w:r w:rsidR="00AC7D7F">
        <w:rPr>
          <w:szCs w:val="26"/>
        </w:rPr>
        <w:t>[s]</w:t>
      </w:r>
      <w:r w:rsidRPr="00761DF6">
        <w:rPr>
          <w:szCs w:val="26"/>
        </w:rPr>
        <w:t xml:space="preserve"> not only what the investigating officer” described in his </w:t>
      </w:r>
      <w:r w:rsidR="00864992">
        <w:rPr>
          <w:szCs w:val="26"/>
        </w:rPr>
        <w:t xml:space="preserve">or her </w:t>
      </w:r>
      <w:r w:rsidRPr="00761DF6">
        <w:rPr>
          <w:szCs w:val="26"/>
        </w:rPr>
        <w:t>investigatory report, “but also what the other witnesses told the investigating officer”</w:t>
      </w:r>
      <w:r w:rsidR="00C92786">
        <w:rPr>
          <w:szCs w:val="26"/>
        </w:rPr>
        <w:t>].)</w:t>
      </w:r>
      <w:r w:rsidRPr="00761DF6">
        <w:rPr>
          <w:szCs w:val="26"/>
        </w:rPr>
        <w:t xml:space="preserve"> </w:t>
      </w:r>
    </w:p>
    <w:p w:rsidR="0008232F" w:rsidRPr="00761DF6" w:rsidP="00EF5853" w14:paraId="0684695C" w14:textId="2F9CC426">
      <w:pPr>
        <w:ind w:firstLine="720"/>
        <w:rPr>
          <w:color w:val="000000"/>
          <w:szCs w:val="26"/>
        </w:rPr>
      </w:pPr>
      <w:r>
        <w:rPr>
          <w:color w:val="000000"/>
          <w:szCs w:val="26"/>
        </w:rPr>
        <w:t>O</w:t>
      </w:r>
      <w:r w:rsidRPr="00761DF6">
        <w:rPr>
          <w:color w:val="000000"/>
          <w:szCs w:val="26"/>
        </w:rPr>
        <w:t xml:space="preserve">ther SVPA </w:t>
      </w:r>
      <w:r w:rsidR="006D6E6E">
        <w:rPr>
          <w:color w:val="000000"/>
          <w:szCs w:val="26"/>
        </w:rPr>
        <w:t>provisions</w:t>
      </w:r>
      <w:r w:rsidR="00AB5FBB">
        <w:rPr>
          <w:color w:val="000000"/>
          <w:szCs w:val="26"/>
        </w:rPr>
        <w:t xml:space="preserve"> </w:t>
      </w:r>
      <w:r w:rsidRPr="00761DF6">
        <w:rPr>
          <w:color w:val="000000"/>
          <w:szCs w:val="26"/>
        </w:rPr>
        <w:t xml:space="preserve">reinforce </w:t>
      </w:r>
      <w:r w:rsidR="003504C3">
        <w:rPr>
          <w:color w:val="000000"/>
          <w:szCs w:val="26"/>
        </w:rPr>
        <w:t>our qualms about reading into</w:t>
      </w:r>
      <w:r w:rsidR="00006237">
        <w:rPr>
          <w:color w:val="000000"/>
          <w:szCs w:val="26"/>
        </w:rPr>
        <w:t xml:space="preserve"> </w:t>
      </w:r>
      <w:r w:rsidRPr="00761DF6">
        <w:rPr>
          <w:color w:val="000000"/>
          <w:szCs w:val="26"/>
        </w:rPr>
        <w:t>section</w:t>
      </w:r>
      <w:r>
        <w:rPr>
          <w:color w:val="000000"/>
          <w:szCs w:val="26"/>
        </w:rPr>
        <w:t xml:space="preserve"> 6602, subdivision (a)</w:t>
      </w:r>
      <w:r w:rsidRPr="00761DF6">
        <w:rPr>
          <w:color w:val="000000"/>
          <w:szCs w:val="26"/>
        </w:rPr>
        <w:t xml:space="preserve"> </w:t>
      </w:r>
      <w:r w:rsidR="00006237">
        <w:rPr>
          <w:color w:val="000000"/>
          <w:szCs w:val="26"/>
        </w:rPr>
        <w:t xml:space="preserve">an </w:t>
      </w:r>
      <w:r w:rsidRPr="00761DF6">
        <w:rPr>
          <w:color w:val="000000"/>
          <w:szCs w:val="26"/>
        </w:rPr>
        <w:t xml:space="preserve">exception for </w:t>
      </w:r>
      <w:r w:rsidR="00EF5853">
        <w:rPr>
          <w:color w:val="000000"/>
          <w:szCs w:val="26"/>
        </w:rPr>
        <w:t xml:space="preserve">hearsay </w:t>
      </w:r>
      <w:r w:rsidR="00E64BB0">
        <w:rPr>
          <w:color w:val="000000"/>
          <w:szCs w:val="26"/>
        </w:rPr>
        <w:t xml:space="preserve">about </w:t>
      </w:r>
      <w:r w:rsidR="00EF5853">
        <w:rPr>
          <w:color w:val="000000"/>
          <w:szCs w:val="26"/>
        </w:rPr>
        <w:t xml:space="preserve">nonpredicate offenses contained in expert reports.  </w:t>
      </w:r>
      <w:r w:rsidRPr="00761DF6">
        <w:rPr>
          <w:color w:val="000000"/>
          <w:szCs w:val="26"/>
        </w:rPr>
        <w:t xml:space="preserve">Section 6600, subdivision (a)(3) and section 6605, neither </w:t>
      </w:r>
      <w:r w:rsidRPr="00761DF6">
        <w:rPr>
          <w:szCs w:val="26"/>
        </w:rPr>
        <w:t>of which apply to the evidence in dispute here</w:t>
      </w:r>
      <w:r w:rsidRPr="00761DF6">
        <w:rPr>
          <w:color w:val="000000"/>
          <w:szCs w:val="26"/>
        </w:rPr>
        <w:t>, both contain hearsay exceptions</w:t>
      </w:r>
      <w:r w:rsidR="0049328F">
        <w:rPr>
          <w:color w:val="000000"/>
          <w:szCs w:val="26"/>
        </w:rPr>
        <w:t> </w:t>
      </w:r>
      <w:r w:rsidRPr="00761DF6">
        <w:rPr>
          <w:color w:val="000000"/>
          <w:szCs w:val="26"/>
        </w:rPr>
        <w:t>—</w:t>
      </w:r>
      <w:r w:rsidR="00C678BD">
        <w:rPr>
          <w:color w:val="000000"/>
          <w:szCs w:val="26"/>
        </w:rPr>
        <w:t xml:space="preserve"> </w:t>
      </w:r>
      <w:r w:rsidRPr="00761DF6">
        <w:rPr>
          <w:color w:val="000000"/>
          <w:szCs w:val="26"/>
        </w:rPr>
        <w:t xml:space="preserve">in stark contrast to section 6602.  </w:t>
      </w:r>
    </w:p>
    <w:p w:rsidR="0008232F" w:rsidRPr="00045089" w:rsidP="00045089" w14:paraId="20CAA57F" w14:textId="1C3086EF">
      <w:pPr>
        <w:ind w:firstLine="720"/>
        <w:rPr>
          <w:szCs w:val="26"/>
        </w:rPr>
      </w:pPr>
      <w:r>
        <w:rPr>
          <w:szCs w:val="26"/>
          <w:shd w:val="clear" w:color="auto" w:fill="FFFFFF"/>
        </w:rPr>
        <w:t>Consider what s</w:t>
      </w:r>
      <w:r w:rsidRPr="00761DF6">
        <w:rPr>
          <w:szCs w:val="26"/>
          <w:shd w:val="clear" w:color="auto" w:fill="FFFFFF"/>
        </w:rPr>
        <w:t>ection 6600, subdivision (a)(3) allows</w:t>
      </w:r>
      <w:r w:rsidR="00030C96">
        <w:rPr>
          <w:szCs w:val="26"/>
          <w:shd w:val="clear" w:color="auto" w:fill="FFFFFF"/>
        </w:rPr>
        <w:t xml:space="preserve">.  It permits the prosecution to show </w:t>
      </w:r>
      <w:r w:rsidRPr="00761DF6">
        <w:rPr>
          <w:szCs w:val="26"/>
          <w:shd w:val="clear" w:color="auto" w:fill="FFFFFF"/>
        </w:rPr>
        <w:t>the existence of and details underlying the first element of the SVP determination</w:t>
      </w:r>
      <w:r w:rsidR="003C38D3">
        <w:rPr>
          <w:szCs w:val="26"/>
          <w:shd w:val="clear" w:color="auto" w:fill="FFFFFF"/>
        </w:rPr>
        <w:t> </w:t>
      </w:r>
      <w:r w:rsidRPr="00761DF6">
        <w:rPr>
          <w:szCs w:val="26"/>
          <w:shd w:val="clear" w:color="auto" w:fill="FFFFFF"/>
        </w:rPr>
        <w:t>—</w:t>
      </w:r>
      <w:r w:rsidR="00C678BD">
        <w:rPr>
          <w:szCs w:val="26"/>
          <w:shd w:val="clear" w:color="auto" w:fill="FFFFFF"/>
        </w:rPr>
        <w:t xml:space="preserve"> </w:t>
      </w:r>
      <w:r w:rsidRPr="00761DF6">
        <w:rPr>
          <w:szCs w:val="26"/>
          <w:shd w:val="clear" w:color="auto" w:fill="FFFFFF"/>
        </w:rPr>
        <w:t>a predicate sex-offense conviction</w:t>
      </w:r>
      <w:r w:rsidR="00A30B6C">
        <w:rPr>
          <w:szCs w:val="26"/>
          <w:shd w:val="clear" w:color="auto" w:fill="FFFFFF"/>
        </w:rPr>
        <w:t> </w:t>
      </w:r>
      <w:r w:rsidRPr="00761DF6">
        <w:rPr>
          <w:szCs w:val="26"/>
          <w:shd w:val="clear" w:color="auto" w:fill="FFFFFF"/>
        </w:rPr>
        <w:t>—</w:t>
      </w:r>
      <w:r w:rsidR="00C678BD">
        <w:rPr>
          <w:szCs w:val="26"/>
          <w:shd w:val="clear" w:color="auto" w:fill="FFFFFF"/>
        </w:rPr>
        <w:t xml:space="preserve"> </w:t>
      </w:r>
      <w:r w:rsidRPr="00761DF6">
        <w:rPr>
          <w:szCs w:val="26"/>
          <w:shd w:val="clear" w:color="auto" w:fill="FFFFFF"/>
        </w:rPr>
        <w:t xml:space="preserve">“by documentary evidence, including, but not limited to, preliminary hearing transcripts, trial transcripts, probation and sentencing reports, and evaluations by the </w:t>
      </w:r>
      <w:r w:rsidR="00D01A6E">
        <w:rPr>
          <w:szCs w:val="26"/>
          <w:shd w:val="clear" w:color="auto" w:fill="FFFFFF"/>
        </w:rPr>
        <w:t>[DSH]</w:t>
      </w:r>
      <w:r w:rsidRPr="00761DF6">
        <w:rPr>
          <w:szCs w:val="26"/>
          <w:shd w:val="clear" w:color="auto" w:fill="FFFFFF"/>
        </w:rPr>
        <w:t xml:space="preserve">.”  </w:t>
      </w:r>
      <w:r w:rsidR="009C3AC2">
        <w:rPr>
          <w:szCs w:val="26"/>
          <w:shd w:val="clear" w:color="auto" w:fill="FFFFFF"/>
        </w:rPr>
        <w:t>(</w:t>
      </w:r>
      <w:r w:rsidRPr="00696A2E" w:rsidR="00696A2E">
        <w:rPr>
          <w:i/>
          <w:iCs/>
          <w:color w:val="000000"/>
          <w:szCs w:val="26"/>
        </w:rPr>
        <w:t>Ibid</w:t>
      </w:r>
      <w:r w:rsidR="009C3AC2">
        <w:rPr>
          <w:color w:val="000000"/>
          <w:szCs w:val="26"/>
        </w:rPr>
        <w:t xml:space="preserve">.)  </w:t>
      </w:r>
      <w:r w:rsidRPr="00761DF6">
        <w:rPr>
          <w:szCs w:val="26"/>
          <w:shd w:val="clear" w:color="auto" w:fill="FFFFFF"/>
        </w:rPr>
        <w:t>As originally enacted, the subdivision did not provide for the admission of documentary evidence.  But for understandable reasons</w:t>
      </w:r>
      <w:r w:rsidR="00AB2179">
        <w:rPr>
          <w:szCs w:val="26"/>
          <w:shd w:val="clear" w:color="auto" w:fill="FFFFFF"/>
        </w:rPr>
        <w:t xml:space="preserve">, </w:t>
      </w:r>
      <w:r w:rsidRPr="00761DF6">
        <w:rPr>
          <w:szCs w:val="26"/>
          <w:shd w:val="clear" w:color="auto" w:fill="FFFFFF"/>
        </w:rPr>
        <w:t>the Legislature amended it to relieve victims of the burden and trauma of testifying about the details of the predicate convictions.  (</w:t>
      </w:r>
      <w:r w:rsidRPr="00761DF6">
        <w:rPr>
          <w:i/>
          <w:iCs/>
          <w:szCs w:val="26"/>
          <w:shd w:val="clear" w:color="auto" w:fill="FFFFFF"/>
        </w:rPr>
        <w:t>Otto</w:t>
      </w:r>
      <w:r w:rsidRPr="00761DF6">
        <w:rPr>
          <w:szCs w:val="26"/>
          <w:shd w:val="clear" w:color="auto" w:fill="FFFFFF"/>
        </w:rPr>
        <w:t xml:space="preserve">, </w:t>
      </w:r>
      <w:r w:rsidRPr="00761DF6">
        <w:rPr>
          <w:i/>
          <w:iCs/>
          <w:szCs w:val="26"/>
          <w:shd w:val="clear" w:color="auto" w:fill="FFFFFF"/>
        </w:rPr>
        <w:t>supra</w:t>
      </w:r>
      <w:r w:rsidRPr="00761DF6">
        <w:rPr>
          <w:szCs w:val="26"/>
          <w:shd w:val="clear" w:color="auto" w:fill="FFFFFF"/>
        </w:rPr>
        <w:t xml:space="preserve">, 26 Cal.4th at p. 208; see also </w:t>
      </w:r>
      <w:r w:rsidRPr="00761DF6">
        <w:rPr>
          <w:i/>
          <w:iCs/>
          <w:szCs w:val="26"/>
          <w:shd w:val="clear" w:color="auto" w:fill="FFFFFF"/>
        </w:rPr>
        <w:t>ibid.</w:t>
      </w:r>
      <w:r w:rsidRPr="00761DF6">
        <w:rPr>
          <w:szCs w:val="26"/>
          <w:shd w:val="clear" w:color="auto" w:fill="FFFFFF"/>
        </w:rPr>
        <w:t xml:space="preserve"> [Legislature acted in response to prosecutors’ complaints about having to “</w:t>
      </w:r>
      <w:r w:rsidR="00B61ED4">
        <w:rPr>
          <w:szCs w:val="26"/>
          <w:shd w:val="clear" w:color="auto" w:fill="FFFFFF"/>
        </w:rPr>
        <w:t> </w:t>
      </w:r>
      <w:r w:rsidRPr="00761DF6">
        <w:rPr>
          <w:szCs w:val="26"/>
          <w:shd w:val="clear" w:color="auto" w:fill="FFFFFF"/>
        </w:rPr>
        <w:t>‘bring victims back to court to re-litigate proof of prior convictions’</w:t>
      </w:r>
      <w:r w:rsidR="00B61ED4">
        <w:rPr>
          <w:szCs w:val="26"/>
          <w:shd w:val="clear" w:color="auto" w:fill="FFFFFF"/>
        </w:rPr>
        <w:t> </w:t>
      </w:r>
      <w:r w:rsidRPr="00761DF6">
        <w:rPr>
          <w:szCs w:val="26"/>
          <w:shd w:val="clear" w:color="auto" w:fill="FFFFFF"/>
        </w:rPr>
        <w:t>”]</w:t>
      </w:r>
      <w:r w:rsidR="002B2254">
        <w:rPr>
          <w:szCs w:val="26"/>
          <w:shd w:val="clear" w:color="auto" w:fill="FFFFFF"/>
        </w:rPr>
        <w:t xml:space="preserve">; </w:t>
      </w:r>
      <w:r w:rsidRPr="00AA752B" w:rsidR="002B2254">
        <w:rPr>
          <w:i/>
          <w:iCs/>
          <w:szCs w:val="26"/>
          <w:shd w:val="clear" w:color="auto" w:fill="FFFFFF"/>
        </w:rPr>
        <w:t>Whitman</w:t>
      </w:r>
      <w:r w:rsidR="002B2254">
        <w:rPr>
          <w:szCs w:val="26"/>
          <w:shd w:val="clear" w:color="auto" w:fill="FFFFFF"/>
        </w:rPr>
        <w:t xml:space="preserve">, </w:t>
      </w:r>
      <w:r w:rsidRPr="00AA752B" w:rsidR="002B2254">
        <w:rPr>
          <w:i/>
          <w:iCs/>
          <w:szCs w:val="26"/>
          <w:shd w:val="clear" w:color="auto" w:fill="FFFFFF"/>
        </w:rPr>
        <w:t>supra</w:t>
      </w:r>
      <w:r w:rsidR="002B2254">
        <w:rPr>
          <w:szCs w:val="26"/>
          <w:shd w:val="clear" w:color="auto" w:fill="FFFFFF"/>
        </w:rPr>
        <w:t xml:space="preserve">, </w:t>
      </w:r>
      <w:r w:rsidRPr="00761DF6" w:rsidR="002B2254">
        <w:rPr>
          <w:szCs w:val="26"/>
        </w:rPr>
        <w:t>54 Cal.3d</w:t>
      </w:r>
      <w:r w:rsidR="002B2254">
        <w:rPr>
          <w:szCs w:val="26"/>
        </w:rPr>
        <w:t xml:space="preserve"> at </w:t>
      </w:r>
      <w:r w:rsidR="005E0B58">
        <w:rPr>
          <w:szCs w:val="26"/>
        </w:rPr>
        <w:t>p</w:t>
      </w:r>
      <w:r w:rsidR="002B2254">
        <w:rPr>
          <w:szCs w:val="26"/>
        </w:rPr>
        <w:t>p. 1070</w:t>
      </w:r>
      <w:r w:rsidR="005E0B58">
        <w:rPr>
          <w:szCs w:val="26"/>
        </w:rPr>
        <w:t>, 1072</w:t>
      </w:r>
      <w:r w:rsidR="00045089">
        <w:rPr>
          <w:szCs w:val="26"/>
        </w:rPr>
        <w:t xml:space="preserve"> [</w:t>
      </w:r>
      <w:r w:rsidR="00045089">
        <w:rPr>
          <w:szCs w:val="26"/>
          <w:shd w:val="clear" w:color="auto" w:fill="FFFFFF"/>
        </w:rPr>
        <w:t>comparable reasoning for Proposition</w:t>
      </w:r>
      <w:r w:rsidR="000240EE">
        <w:rPr>
          <w:szCs w:val="26"/>
          <w:shd w:val="clear" w:color="auto" w:fill="FFFFFF"/>
        </w:rPr>
        <w:t xml:space="preserve"> </w:t>
      </w:r>
      <w:r w:rsidR="00045089">
        <w:rPr>
          <w:szCs w:val="26"/>
          <w:shd w:val="clear" w:color="auto" w:fill="FFFFFF"/>
        </w:rPr>
        <w:t>115 context]</w:t>
      </w:r>
      <w:r w:rsidR="002B2254">
        <w:rPr>
          <w:szCs w:val="26"/>
        </w:rPr>
        <w:t>.</w:t>
      </w:r>
      <w:r w:rsidRPr="00761DF6">
        <w:rPr>
          <w:szCs w:val="26"/>
          <w:shd w:val="clear" w:color="auto" w:fill="FFFFFF"/>
        </w:rPr>
        <w:t xml:space="preserve">)  In light of </w:t>
      </w:r>
      <w:r w:rsidR="00596CC3">
        <w:rPr>
          <w:szCs w:val="26"/>
          <w:shd w:val="clear" w:color="auto" w:fill="FFFFFF"/>
        </w:rPr>
        <w:t>its</w:t>
      </w:r>
      <w:r w:rsidR="006A6C8A">
        <w:rPr>
          <w:szCs w:val="26"/>
          <w:shd w:val="clear" w:color="auto" w:fill="FFFFFF"/>
        </w:rPr>
        <w:t xml:space="preserve"> </w:t>
      </w:r>
      <w:r w:rsidRPr="00761DF6">
        <w:rPr>
          <w:szCs w:val="26"/>
          <w:shd w:val="clear" w:color="auto" w:fill="FFFFFF"/>
        </w:rPr>
        <w:t>purpose, we have interpreted the provision as allowing the prosecution to prove the facts of a defendant’s prior qualifying convictions not just with certain documents (like evaluations) but also with multiple-level-hearsay statements contained therein (like police and probation reports, and victim</w:t>
      </w:r>
      <w:r w:rsidR="00D10476">
        <w:rPr>
          <w:szCs w:val="26"/>
          <w:shd w:val="clear" w:color="auto" w:fill="FFFFFF"/>
        </w:rPr>
        <w:t xml:space="preserve"> and witness</w:t>
      </w:r>
      <w:r w:rsidRPr="00761DF6">
        <w:rPr>
          <w:szCs w:val="26"/>
          <w:shd w:val="clear" w:color="auto" w:fill="FFFFFF"/>
        </w:rPr>
        <w:t xml:space="preserve"> statements they include).  (</w:t>
      </w:r>
      <w:r w:rsidRPr="00761DF6">
        <w:rPr>
          <w:i/>
          <w:iCs/>
          <w:szCs w:val="26"/>
          <w:shd w:val="clear" w:color="auto" w:fill="FFFFFF"/>
        </w:rPr>
        <w:t>Otto</w:t>
      </w:r>
      <w:r w:rsidRPr="00761DF6">
        <w:rPr>
          <w:szCs w:val="26"/>
          <w:shd w:val="clear" w:color="auto" w:fill="FFFFFF"/>
        </w:rPr>
        <w:t>, at p</w:t>
      </w:r>
      <w:r w:rsidR="00AC4B98">
        <w:rPr>
          <w:szCs w:val="26"/>
          <w:shd w:val="clear" w:color="auto" w:fill="FFFFFF"/>
        </w:rPr>
        <w:t>p</w:t>
      </w:r>
      <w:r w:rsidRPr="00761DF6">
        <w:rPr>
          <w:szCs w:val="26"/>
          <w:shd w:val="clear" w:color="auto" w:fill="FFFFFF"/>
        </w:rPr>
        <w:t>. 20</w:t>
      </w:r>
      <w:r w:rsidR="00AC4B98">
        <w:rPr>
          <w:szCs w:val="26"/>
          <w:shd w:val="clear" w:color="auto" w:fill="FFFFFF"/>
        </w:rPr>
        <w:t>7–208.)</w:t>
      </w:r>
    </w:p>
    <w:p w:rsidR="00C3433B" w:rsidRPr="008A7422" w:rsidP="00C3433B" w14:paraId="4CF6C80D" w14:textId="4165B84D">
      <w:pPr>
        <w:ind w:firstLine="720"/>
      </w:pPr>
      <w:r w:rsidRPr="00761DF6">
        <w:rPr>
          <w:szCs w:val="26"/>
          <w:shd w:val="clear" w:color="auto" w:fill="FFFFFF"/>
        </w:rPr>
        <w:t xml:space="preserve">But the Legislature </w:t>
      </w:r>
      <w:r w:rsidR="00472FB9">
        <w:rPr>
          <w:szCs w:val="26"/>
          <w:shd w:val="clear" w:color="auto" w:fill="FFFFFF"/>
        </w:rPr>
        <w:t>carefully</w:t>
      </w:r>
      <w:r w:rsidRPr="00761DF6">
        <w:rPr>
          <w:szCs w:val="26"/>
          <w:shd w:val="clear" w:color="auto" w:fill="FFFFFF"/>
        </w:rPr>
        <w:t xml:space="preserve"> limited the scope of this hearsay exception to one category of proof:  establishing </w:t>
      </w:r>
      <w:r w:rsidRPr="00761DF6">
        <w:rPr>
          <w:i/>
          <w:iCs/>
          <w:szCs w:val="26"/>
          <w:shd w:val="clear" w:color="auto" w:fill="FFFFFF"/>
        </w:rPr>
        <w:t>predicate convictions</w:t>
      </w:r>
      <w:r w:rsidRPr="00761DF6">
        <w:rPr>
          <w:szCs w:val="26"/>
          <w:shd w:val="clear" w:color="auto" w:fill="FFFFFF"/>
        </w:rPr>
        <w:t xml:space="preserve">.  (See, e.g., </w:t>
      </w:r>
      <w:r w:rsidRPr="00761DF6">
        <w:rPr>
          <w:i/>
          <w:iCs/>
          <w:szCs w:val="26"/>
          <w:shd w:val="clear" w:color="auto" w:fill="FFFFFF"/>
        </w:rPr>
        <w:t>Bennett</w:t>
      </w:r>
      <w:r w:rsidRPr="00761DF6">
        <w:rPr>
          <w:szCs w:val="26"/>
          <w:shd w:val="clear" w:color="auto" w:fill="FFFFFF"/>
        </w:rPr>
        <w:t xml:space="preserve">, </w:t>
      </w:r>
      <w:r w:rsidRPr="00761DF6">
        <w:rPr>
          <w:i/>
          <w:iCs/>
          <w:szCs w:val="26"/>
          <w:shd w:val="clear" w:color="auto" w:fill="FFFFFF"/>
        </w:rPr>
        <w:t>supra</w:t>
      </w:r>
      <w:r w:rsidRPr="00761DF6">
        <w:rPr>
          <w:szCs w:val="26"/>
          <w:shd w:val="clear" w:color="auto" w:fill="FFFFFF"/>
        </w:rPr>
        <w:t xml:space="preserve">, 39 Cal.App.5th at p. 877; see </w:t>
      </w:r>
      <w:r w:rsidRPr="00761DF6">
        <w:rPr>
          <w:i/>
          <w:iCs/>
          <w:szCs w:val="26"/>
          <w:shd w:val="clear" w:color="auto" w:fill="FFFFFF"/>
        </w:rPr>
        <w:t>Otto</w:t>
      </w:r>
      <w:r w:rsidRPr="00761DF6">
        <w:rPr>
          <w:szCs w:val="26"/>
          <w:shd w:val="clear" w:color="auto" w:fill="FFFFFF"/>
        </w:rPr>
        <w:t xml:space="preserve">, </w:t>
      </w:r>
      <w:r w:rsidRPr="00761DF6">
        <w:rPr>
          <w:i/>
          <w:iCs/>
          <w:szCs w:val="26"/>
          <w:shd w:val="clear" w:color="auto" w:fill="FFFFFF"/>
        </w:rPr>
        <w:t>supra</w:t>
      </w:r>
      <w:r w:rsidRPr="00761DF6">
        <w:rPr>
          <w:szCs w:val="26"/>
          <w:shd w:val="clear" w:color="auto" w:fill="FFFFFF"/>
        </w:rPr>
        <w:t xml:space="preserve">, 26 Cal.4th at p. 211 [hearsay under </w:t>
      </w:r>
      <w:r w:rsidRPr="00761DF6" w:rsidR="00D01A6E">
        <w:rPr>
          <w:color w:val="000000"/>
          <w:szCs w:val="26"/>
        </w:rPr>
        <w:t>§</w:t>
      </w:r>
      <w:r w:rsidR="00D01A6E">
        <w:rPr>
          <w:color w:val="000000"/>
          <w:szCs w:val="26"/>
        </w:rPr>
        <w:t> </w:t>
      </w:r>
      <w:r w:rsidRPr="00761DF6">
        <w:rPr>
          <w:szCs w:val="26"/>
          <w:shd w:val="clear" w:color="auto" w:fill="FFFFFF"/>
        </w:rPr>
        <w:t>6600, subd</w:t>
      </w:r>
      <w:r w:rsidR="00D01A6E">
        <w:rPr>
          <w:szCs w:val="26"/>
          <w:shd w:val="clear" w:color="auto" w:fill="FFFFFF"/>
        </w:rPr>
        <w:t>.</w:t>
      </w:r>
      <w:r w:rsidRPr="00761DF6">
        <w:rPr>
          <w:szCs w:val="26"/>
          <w:shd w:val="clear" w:color="auto" w:fill="FFFFFF"/>
        </w:rPr>
        <w:t xml:space="preserve"> (a)(3) is sufficiently reliable for this purpose, because “some portion, if not all, of the alleged conduct will have been already either admitted in a plea or found true by a trier of fact after trial”].)  Courts agree that</w:t>
      </w:r>
      <w:r w:rsidRPr="00761DF6">
        <w:rPr>
          <w:color w:val="FF0000"/>
          <w:szCs w:val="26"/>
          <w:shd w:val="clear" w:color="auto" w:fill="FFFFFF"/>
        </w:rPr>
        <w:t xml:space="preserve"> </w:t>
      </w:r>
      <w:r w:rsidR="00D12C72">
        <w:rPr>
          <w:szCs w:val="26"/>
          <w:shd w:val="clear" w:color="auto" w:fill="FFFFFF"/>
        </w:rPr>
        <w:t>section 6600,</w:t>
      </w:r>
      <w:r w:rsidRPr="00761DF6">
        <w:rPr>
          <w:szCs w:val="26"/>
          <w:shd w:val="clear" w:color="auto" w:fill="FFFFFF"/>
        </w:rPr>
        <w:t xml:space="preserve"> subdivision </w:t>
      </w:r>
      <w:r w:rsidR="00D12C72">
        <w:rPr>
          <w:szCs w:val="26"/>
          <w:shd w:val="clear" w:color="auto" w:fill="FFFFFF"/>
        </w:rPr>
        <w:t xml:space="preserve">(a) </w:t>
      </w:r>
      <w:r w:rsidRPr="00761DF6">
        <w:rPr>
          <w:szCs w:val="26"/>
          <w:shd w:val="clear" w:color="auto" w:fill="FFFFFF"/>
        </w:rPr>
        <w:t>does not broadly permit the wholesale admission of a</w:t>
      </w:r>
      <w:r w:rsidR="0011693A">
        <w:rPr>
          <w:szCs w:val="26"/>
          <w:shd w:val="clear" w:color="auto" w:fill="FFFFFF"/>
        </w:rPr>
        <w:t>n evaluation</w:t>
      </w:r>
      <w:r w:rsidRPr="00761DF6">
        <w:rPr>
          <w:szCs w:val="26"/>
          <w:shd w:val="clear" w:color="auto" w:fill="FFFFFF"/>
        </w:rPr>
        <w:t xml:space="preserve"> report:  Any hearsay to prove the details of nonpredicate convictions</w:t>
      </w:r>
      <w:r w:rsidR="00342C3B">
        <w:rPr>
          <w:szCs w:val="26"/>
          <w:shd w:val="clear" w:color="auto" w:fill="FFFFFF"/>
        </w:rPr>
        <w:t xml:space="preserve">, like </w:t>
      </w:r>
      <w:r w:rsidR="00E37EDF">
        <w:rPr>
          <w:szCs w:val="26"/>
          <w:shd w:val="clear" w:color="auto" w:fill="FFFFFF"/>
        </w:rPr>
        <w:t>Walker’s</w:t>
      </w:r>
      <w:r w:rsidR="00342C3B">
        <w:rPr>
          <w:szCs w:val="26"/>
          <w:shd w:val="clear" w:color="auto" w:fill="FFFFFF"/>
        </w:rPr>
        <w:t xml:space="preserve"> 1989 and 2005 offenses,</w:t>
      </w:r>
      <w:r w:rsidRPr="00761DF6">
        <w:rPr>
          <w:szCs w:val="26"/>
          <w:shd w:val="clear" w:color="auto" w:fill="FFFFFF"/>
        </w:rPr>
        <w:t xml:space="preserve"> </w:t>
      </w:r>
      <w:r w:rsidRPr="00761DF6">
        <w:rPr>
          <w:color w:val="000000"/>
          <w:szCs w:val="26"/>
        </w:rPr>
        <w:t xml:space="preserve">would be inadmissible under the subdivision.  (See, e.g., </w:t>
      </w:r>
      <w:r w:rsidRPr="00761DF6">
        <w:rPr>
          <w:i/>
          <w:iCs/>
          <w:color w:val="000000"/>
          <w:szCs w:val="26"/>
        </w:rPr>
        <w:t>Couthren</w:t>
      </w:r>
      <w:r w:rsidRPr="00761DF6">
        <w:rPr>
          <w:color w:val="000000"/>
          <w:szCs w:val="26"/>
        </w:rPr>
        <w:t xml:space="preserve">, </w:t>
      </w:r>
      <w:r w:rsidRPr="00761DF6">
        <w:rPr>
          <w:i/>
          <w:iCs/>
          <w:color w:val="000000"/>
          <w:szCs w:val="26"/>
        </w:rPr>
        <w:t>supra</w:t>
      </w:r>
      <w:r w:rsidRPr="00761DF6">
        <w:rPr>
          <w:color w:val="000000"/>
          <w:szCs w:val="26"/>
        </w:rPr>
        <w:t xml:space="preserve">, 41 Cal.App.5th at p. 1012; </w:t>
      </w:r>
      <w:r w:rsidRPr="00761DF6">
        <w:rPr>
          <w:i/>
          <w:iCs/>
          <w:szCs w:val="26"/>
          <w:shd w:val="clear" w:color="auto" w:fill="FFFFFF"/>
        </w:rPr>
        <w:t>Burroughs</w:t>
      </w:r>
      <w:r w:rsidRPr="00761DF6">
        <w:rPr>
          <w:szCs w:val="26"/>
          <w:shd w:val="clear" w:color="auto" w:fill="FFFFFF"/>
        </w:rPr>
        <w:t xml:space="preserve">, </w:t>
      </w:r>
      <w:r w:rsidRPr="00761DF6">
        <w:rPr>
          <w:i/>
          <w:iCs/>
          <w:szCs w:val="26"/>
          <w:shd w:val="clear" w:color="auto" w:fill="FFFFFF"/>
        </w:rPr>
        <w:t>supra</w:t>
      </w:r>
      <w:r w:rsidRPr="00761DF6">
        <w:rPr>
          <w:szCs w:val="26"/>
          <w:shd w:val="clear" w:color="auto" w:fill="FFFFFF"/>
        </w:rPr>
        <w:t xml:space="preserve">, 6 Cal.App.5th at pp. 410–411.)  </w:t>
      </w:r>
      <w:r w:rsidRPr="00761DF6">
        <w:rPr>
          <w:color w:val="000000"/>
          <w:szCs w:val="26"/>
        </w:rPr>
        <w:t xml:space="preserve">As we commented in </w:t>
      </w:r>
      <w:r w:rsidRPr="00761DF6">
        <w:rPr>
          <w:i/>
          <w:iCs/>
          <w:szCs w:val="26"/>
          <w:shd w:val="clear" w:color="auto" w:fill="FFFFFF"/>
        </w:rPr>
        <w:t>People v. Stevens</w:t>
      </w:r>
      <w:r w:rsidRPr="00761DF6">
        <w:rPr>
          <w:szCs w:val="26"/>
          <w:shd w:val="clear" w:color="auto" w:fill="FFFFFF"/>
        </w:rPr>
        <w:t xml:space="preserve"> (2015) 62 Cal.4th 325, 338, the subdivision shows that “the Legislature knows how to adopt special rules of evidence to govern commitment proceedings.”  It clearly has not elected to do so </w:t>
      </w:r>
      <w:r w:rsidRPr="00761DF6">
        <w:rPr>
          <w:color w:val="000000"/>
          <w:szCs w:val="26"/>
        </w:rPr>
        <w:t>under section 6602</w:t>
      </w:r>
      <w:r w:rsidR="001103C4">
        <w:rPr>
          <w:color w:val="000000"/>
          <w:szCs w:val="26"/>
        </w:rPr>
        <w:t xml:space="preserve"> for </w:t>
      </w:r>
      <w:r w:rsidR="00856864">
        <w:rPr>
          <w:color w:val="000000"/>
          <w:szCs w:val="26"/>
        </w:rPr>
        <w:t>hearsay</w:t>
      </w:r>
      <w:r w:rsidR="001103C4">
        <w:rPr>
          <w:color w:val="000000"/>
          <w:szCs w:val="26"/>
        </w:rPr>
        <w:t xml:space="preserve"> evidence </w:t>
      </w:r>
      <w:r w:rsidR="00856864">
        <w:rPr>
          <w:color w:val="000000"/>
          <w:szCs w:val="26"/>
        </w:rPr>
        <w:t>regarding nonpredicate offenses</w:t>
      </w:r>
      <w:r w:rsidRPr="00761DF6">
        <w:rPr>
          <w:szCs w:val="26"/>
          <w:shd w:val="clear" w:color="auto" w:fill="FFFFFF"/>
        </w:rPr>
        <w:t>.  (</w:t>
      </w:r>
      <w:r w:rsidRPr="00761DF6">
        <w:rPr>
          <w:i/>
          <w:iCs/>
          <w:szCs w:val="26"/>
          <w:shd w:val="clear" w:color="auto" w:fill="FFFFFF"/>
        </w:rPr>
        <w:t>Couthren</w:t>
      </w:r>
      <w:r w:rsidRPr="00761DF6">
        <w:rPr>
          <w:szCs w:val="26"/>
          <w:shd w:val="clear" w:color="auto" w:fill="FFFFFF"/>
        </w:rPr>
        <w:t>,</w:t>
      </w:r>
      <w:r w:rsidR="00E9607D">
        <w:rPr>
          <w:szCs w:val="26"/>
          <w:shd w:val="clear" w:color="auto" w:fill="FFFFFF"/>
        </w:rPr>
        <w:t xml:space="preserve"> </w:t>
      </w:r>
      <w:r w:rsidRPr="00761DF6">
        <w:rPr>
          <w:szCs w:val="26"/>
          <w:shd w:val="clear" w:color="auto" w:fill="FFFFFF"/>
        </w:rPr>
        <w:t>at pp. 1012–1013.)  And if section 6602 already permitted courts at probable cause hearings to broadly admit hearsay</w:t>
      </w:r>
      <w:r w:rsidR="00D76E96">
        <w:rPr>
          <w:szCs w:val="26"/>
          <w:shd w:val="clear" w:color="auto" w:fill="FFFFFF"/>
        </w:rPr>
        <w:t xml:space="preserve"> like this</w:t>
      </w:r>
      <w:r w:rsidRPr="00761DF6">
        <w:rPr>
          <w:szCs w:val="26"/>
          <w:shd w:val="clear" w:color="auto" w:fill="FFFFFF"/>
        </w:rPr>
        <w:t xml:space="preserve"> via evaluation reports, the need to amend section 6600, subdivision (a)(3) is, for the probable cause context, not immediately obvious</w:t>
      </w:r>
      <w:r w:rsidR="00752284">
        <w:rPr>
          <w:szCs w:val="26"/>
          <w:shd w:val="clear" w:color="auto" w:fill="FFFFFF"/>
        </w:rPr>
        <w:t>, and potentially surplusage</w:t>
      </w:r>
      <w:r w:rsidRPr="00761DF6">
        <w:rPr>
          <w:szCs w:val="26"/>
          <w:shd w:val="clear" w:color="auto" w:fill="FFFFFF"/>
        </w:rPr>
        <w:t>.</w:t>
      </w:r>
      <w:r w:rsidRPr="00761DF6">
        <w:rPr>
          <w:rStyle w:val="FootnoteReference"/>
        </w:rPr>
        <w:t xml:space="preserve"> </w:t>
      </w:r>
      <w:r w:rsidRPr="00761DF6">
        <w:t xml:space="preserve"> (Cf. </w:t>
      </w:r>
      <w:r w:rsidRPr="00761DF6">
        <w:rPr>
          <w:i/>
          <w:iCs/>
        </w:rPr>
        <w:t>Couthren</w:t>
      </w:r>
      <w:r w:rsidRPr="00761DF6">
        <w:t>,</w:t>
      </w:r>
      <w:r w:rsidR="00E9607D">
        <w:t xml:space="preserve"> </w:t>
      </w:r>
      <w:r w:rsidRPr="00761DF6">
        <w:t>at p. 1015.)</w:t>
      </w:r>
      <w:r>
        <w:rPr>
          <w:rStyle w:val="CommentReference"/>
        </w:rPr>
        <w:t xml:space="preserve"> </w:t>
      </w:r>
    </w:p>
    <w:p w:rsidR="00C3433B" w:rsidRPr="00E47BE9" w:rsidP="00E47BE9" w14:paraId="7A1CC397" w14:textId="3D539D6B">
      <w:pPr>
        <w:ind w:firstLine="720"/>
        <w:rPr>
          <w:szCs w:val="26"/>
        </w:rPr>
      </w:pPr>
      <w:r>
        <w:rPr>
          <w:szCs w:val="26"/>
        </w:rPr>
        <w:t>The Court of Appeal</w:t>
      </w:r>
      <w:r w:rsidR="004C57CA">
        <w:rPr>
          <w:szCs w:val="26"/>
        </w:rPr>
        <w:t>’s argument</w:t>
      </w:r>
      <w:r w:rsidR="005A659A">
        <w:rPr>
          <w:szCs w:val="26"/>
        </w:rPr>
        <w:t xml:space="preserve"> </w:t>
      </w:r>
      <w:r w:rsidR="00D6480D">
        <w:rPr>
          <w:szCs w:val="26"/>
        </w:rPr>
        <w:t xml:space="preserve">that section 6600, subdivision (a)(3) </w:t>
      </w:r>
      <w:r w:rsidR="00062F80">
        <w:rPr>
          <w:szCs w:val="26"/>
        </w:rPr>
        <w:t xml:space="preserve">represents an inappropriate </w:t>
      </w:r>
      <w:r w:rsidR="00D6480D">
        <w:rPr>
          <w:szCs w:val="26"/>
        </w:rPr>
        <w:t>comparison point</w:t>
      </w:r>
      <w:r w:rsidR="004C57CA">
        <w:rPr>
          <w:szCs w:val="26"/>
        </w:rPr>
        <w:t xml:space="preserve"> fails to persuade</w:t>
      </w:r>
      <w:r w:rsidR="00D6480D">
        <w:rPr>
          <w:szCs w:val="26"/>
        </w:rPr>
        <w:t xml:space="preserve">.  </w:t>
      </w:r>
      <w:r w:rsidR="00951F9E">
        <w:rPr>
          <w:szCs w:val="26"/>
        </w:rPr>
        <w:t>The court point</w:t>
      </w:r>
      <w:r w:rsidR="00643D28">
        <w:rPr>
          <w:szCs w:val="26"/>
        </w:rPr>
        <w:t xml:space="preserve">ed </w:t>
      </w:r>
      <w:r w:rsidR="00951F9E">
        <w:rPr>
          <w:szCs w:val="26"/>
        </w:rPr>
        <w:t>to two apparent differences between the “function and purpose” of the hearsay exception in the subdivision and its counterpart in section 6602.  (</w:t>
      </w:r>
      <w:r w:rsidR="00951F9E">
        <w:rPr>
          <w:i/>
          <w:iCs/>
          <w:color w:val="000000"/>
          <w:szCs w:val="26"/>
          <w:shd w:val="clear" w:color="auto" w:fill="FFFFFF"/>
        </w:rPr>
        <w:t>Walker</w:t>
      </w:r>
      <w:r w:rsidR="00951F9E">
        <w:rPr>
          <w:color w:val="000000"/>
          <w:szCs w:val="26"/>
          <w:shd w:val="clear" w:color="auto" w:fill="FFFFFF"/>
        </w:rPr>
        <w:t xml:space="preserve">, </w:t>
      </w:r>
      <w:r w:rsidRPr="00AB31F3" w:rsidR="00951F9E">
        <w:rPr>
          <w:i/>
          <w:iCs/>
          <w:color w:val="000000"/>
          <w:szCs w:val="26"/>
          <w:shd w:val="clear" w:color="auto" w:fill="FFFFFF"/>
        </w:rPr>
        <w:t>supra</w:t>
      </w:r>
      <w:r w:rsidR="00951F9E">
        <w:rPr>
          <w:color w:val="000000"/>
          <w:szCs w:val="26"/>
          <w:shd w:val="clear" w:color="auto" w:fill="FFFFFF"/>
        </w:rPr>
        <w:t>, 51 Cal.App.5th at p. 701.)</w:t>
      </w:r>
      <w:r w:rsidR="00951F9E">
        <w:rPr>
          <w:szCs w:val="26"/>
        </w:rPr>
        <w:t xml:space="preserve">  </w:t>
      </w:r>
      <w:r w:rsidR="00851A08">
        <w:rPr>
          <w:color w:val="000000"/>
          <w:szCs w:val="26"/>
          <w:bdr w:val="none" w:sz="0" w:space="0" w:color="auto" w:frame="1"/>
          <w:shd w:val="clear" w:color="auto" w:fill="FFFFFF"/>
        </w:rPr>
        <w:t>As it explain</w:t>
      </w:r>
      <w:r w:rsidR="00643D28">
        <w:rPr>
          <w:color w:val="000000"/>
          <w:szCs w:val="26"/>
          <w:bdr w:val="none" w:sz="0" w:space="0" w:color="auto" w:frame="1"/>
          <w:shd w:val="clear" w:color="auto" w:fill="FFFFFF"/>
        </w:rPr>
        <w:t>ed</w:t>
      </w:r>
      <w:r w:rsidR="005A659A">
        <w:rPr>
          <w:color w:val="000000"/>
          <w:szCs w:val="26"/>
          <w:bdr w:val="none" w:sz="0" w:space="0" w:color="auto" w:frame="1"/>
          <w:shd w:val="clear" w:color="auto" w:fill="FFFFFF"/>
        </w:rPr>
        <w:t>,</w:t>
      </w:r>
      <w:r w:rsidR="005A659A">
        <w:rPr>
          <w:szCs w:val="26"/>
        </w:rPr>
        <w:t xml:space="preserve"> </w:t>
      </w:r>
      <w:r w:rsidR="005A659A">
        <w:rPr>
          <w:color w:val="000000"/>
          <w:szCs w:val="26"/>
          <w:shd w:val="clear" w:color="auto" w:fill="FFFFFF"/>
        </w:rPr>
        <w:t>section 6600</w:t>
      </w:r>
      <w:r w:rsidR="00C34EE6">
        <w:rPr>
          <w:color w:val="000000"/>
          <w:szCs w:val="26"/>
          <w:shd w:val="clear" w:color="auto" w:fill="FFFFFF"/>
        </w:rPr>
        <w:t xml:space="preserve">, subdivision </w:t>
      </w:r>
      <w:r w:rsidR="005A659A">
        <w:rPr>
          <w:color w:val="000000"/>
          <w:szCs w:val="26"/>
          <w:shd w:val="clear" w:color="auto" w:fill="FFFFFF"/>
        </w:rPr>
        <w:t>(a)(3) “functions as a hearsay exception that not only applies at SVP probable cause hearings, but also extends to SVP trials” and was intended to “</w:t>
      </w:r>
      <w:r w:rsidR="00AE686F">
        <w:rPr>
          <w:color w:val="000000"/>
          <w:szCs w:val="26"/>
          <w:shd w:val="clear" w:color="auto" w:fill="FFFFFF"/>
        </w:rPr>
        <w:t> </w:t>
      </w:r>
      <w:r w:rsidR="005A659A">
        <w:rPr>
          <w:color w:val="000000"/>
          <w:szCs w:val="26"/>
          <w:shd w:val="clear" w:color="auto" w:fill="FFFFFF"/>
        </w:rPr>
        <w:t>‘relieve victims of the burden and trauma of testifying about the details of the crimes underlying the prior convictions.’</w:t>
      </w:r>
      <w:r w:rsidR="00AE686F">
        <w:rPr>
          <w:color w:val="000000"/>
          <w:szCs w:val="26"/>
          <w:shd w:val="clear" w:color="auto" w:fill="FFFFFF"/>
        </w:rPr>
        <w:t> </w:t>
      </w:r>
      <w:r w:rsidR="005A659A">
        <w:rPr>
          <w:color w:val="000000"/>
          <w:szCs w:val="26"/>
          <w:shd w:val="clear" w:color="auto" w:fill="FFFFFF"/>
        </w:rPr>
        <w:t>”  (</w:t>
      </w:r>
      <w:r w:rsidR="005A659A">
        <w:rPr>
          <w:i/>
          <w:iCs/>
          <w:color w:val="000000"/>
          <w:szCs w:val="26"/>
          <w:shd w:val="clear" w:color="auto" w:fill="FFFFFF"/>
        </w:rPr>
        <w:t>Walker</w:t>
      </w:r>
      <w:r w:rsidR="005A659A">
        <w:rPr>
          <w:color w:val="000000"/>
          <w:szCs w:val="26"/>
          <w:shd w:val="clear" w:color="auto" w:fill="FFFFFF"/>
        </w:rPr>
        <w:t>,</w:t>
      </w:r>
      <w:r w:rsidR="000C7C55">
        <w:rPr>
          <w:color w:val="000000"/>
          <w:szCs w:val="26"/>
          <w:shd w:val="clear" w:color="auto" w:fill="FFFFFF"/>
        </w:rPr>
        <w:t xml:space="preserve"> </w:t>
      </w:r>
      <w:r w:rsidR="005A659A">
        <w:rPr>
          <w:color w:val="000000"/>
          <w:szCs w:val="26"/>
          <w:shd w:val="clear" w:color="auto" w:fill="FFFFFF"/>
        </w:rPr>
        <w:t xml:space="preserve">at p. 701.)  By contrast, the </w:t>
      </w:r>
      <w:r w:rsidR="00B256F6">
        <w:rPr>
          <w:color w:val="000000"/>
          <w:szCs w:val="26"/>
          <w:shd w:val="clear" w:color="auto" w:fill="FFFFFF"/>
        </w:rPr>
        <w:t>court</w:t>
      </w:r>
      <w:r w:rsidR="005A659A">
        <w:rPr>
          <w:color w:val="000000"/>
          <w:szCs w:val="26"/>
          <w:shd w:val="clear" w:color="auto" w:fill="FFFFFF"/>
        </w:rPr>
        <w:t xml:space="preserve"> </w:t>
      </w:r>
      <w:r w:rsidR="00F64B91">
        <w:rPr>
          <w:color w:val="000000"/>
          <w:szCs w:val="26"/>
          <w:shd w:val="clear" w:color="auto" w:fill="FFFFFF"/>
        </w:rPr>
        <w:t>reasoned</w:t>
      </w:r>
      <w:r w:rsidR="005A659A">
        <w:rPr>
          <w:color w:val="000000"/>
          <w:szCs w:val="26"/>
          <w:shd w:val="clear" w:color="auto" w:fill="FFFFFF"/>
        </w:rPr>
        <w:t>, the section 6602 hearsay exception applies</w:t>
      </w:r>
      <w:r w:rsidR="009A7D64">
        <w:rPr>
          <w:color w:val="000000"/>
          <w:szCs w:val="26"/>
          <w:shd w:val="clear" w:color="auto" w:fill="FFFFFF"/>
        </w:rPr>
        <w:t xml:space="preserve"> only</w:t>
      </w:r>
      <w:r w:rsidR="005A659A">
        <w:rPr>
          <w:color w:val="000000"/>
          <w:szCs w:val="26"/>
          <w:shd w:val="clear" w:color="auto" w:fill="FFFFFF"/>
        </w:rPr>
        <w:t xml:space="preserve"> at probable cause hearings, and </w:t>
      </w:r>
      <w:r w:rsidR="009662E3">
        <w:rPr>
          <w:color w:val="000000"/>
          <w:szCs w:val="26"/>
          <w:shd w:val="clear" w:color="auto" w:fill="FFFFFF"/>
        </w:rPr>
        <w:t xml:space="preserve">it </w:t>
      </w:r>
      <w:r w:rsidR="00361ED6">
        <w:rPr>
          <w:color w:val="000000"/>
          <w:szCs w:val="26"/>
          <w:shd w:val="clear" w:color="auto" w:fill="FFFFFF"/>
        </w:rPr>
        <w:t>serves to</w:t>
      </w:r>
      <w:r w:rsidR="005A659A">
        <w:rPr>
          <w:color w:val="000000"/>
          <w:szCs w:val="26"/>
          <w:shd w:val="clear" w:color="auto" w:fill="FFFFFF"/>
        </w:rPr>
        <w:t xml:space="preserve"> allow the People to make an initial showing without putting on a mini trial</w:t>
      </w:r>
      <w:r w:rsidR="009662E3">
        <w:rPr>
          <w:color w:val="000000"/>
          <w:szCs w:val="26"/>
          <w:shd w:val="clear" w:color="auto" w:fill="FFFFFF"/>
        </w:rPr>
        <w:t xml:space="preserve">.  </w:t>
      </w:r>
      <w:r w:rsidR="005A659A">
        <w:rPr>
          <w:color w:val="000000"/>
          <w:szCs w:val="26"/>
          <w:shd w:val="clear" w:color="auto" w:fill="FFFFFF"/>
        </w:rPr>
        <w:t>(</w:t>
      </w:r>
      <w:r w:rsidRPr="00AB31F3" w:rsidR="005A659A">
        <w:rPr>
          <w:i/>
          <w:iCs/>
          <w:color w:val="000000"/>
          <w:szCs w:val="26"/>
          <w:shd w:val="clear" w:color="auto" w:fill="FFFFFF"/>
        </w:rPr>
        <w:t>Walker</w:t>
      </w:r>
      <w:r w:rsidR="005A659A">
        <w:rPr>
          <w:color w:val="000000"/>
          <w:szCs w:val="26"/>
          <w:shd w:val="clear" w:color="auto" w:fill="FFFFFF"/>
        </w:rPr>
        <w:t>, at p. 701</w:t>
      </w:r>
      <w:r w:rsidR="009662E3">
        <w:rPr>
          <w:color w:val="000000"/>
          <w:szCs w:val="26"/>
          <w:shd w:val="clear" w:color="auto" w:fill="FFFFFF"/>
        </w:rPr>
        <w:t xml:space="preserve"> </w:t>
      </w:r>
      <w:r w:rsidR="009662E3">
        <w:rPr>
          <w:color w:val="000000"/>
          <w:szCs w:val="26"/>
          <w:bdr w:val="none" w:sz="0" w:space="0" w:color="auto" w:frame="1"/>
          <w:shd w:val="clear" w:color="auto" w:fill="FFFFFF"/>
        </w:rPr>
        <w:t xml:space="preserve">[victims and witnesses may be spared from testifying at the hearing, but that does not represent the hearsay exception’s rationale].)  </w:t>
      </w:r>
      <w:r>
        <w:rPr>
          <w:color w:val="000000"/>
          <w:szCs w:val="26"/>
          <w:bdr w:val="none" w:sz="0" w:space="0" w:color="auto" w:frame="1"/>
          <w:shd w:val="clear" w:color="auto" w:fill="FFFFFF"/>
        </w:rPr>
        <w:t xml:space="preserve">Despite these considerations, </w:t>
      </w:r>
      <w:r w:rsidRPr="003A5E91">
        <w:rPr>
          <w:i/>
          <w:iCs/>
          <w:color w:val="000000"/>
          <w:szCs w:val="26"/>
          <w:bdr w:val="none" w:sz="0" w:space="0" w:color="auto" w:frame="1"/>
          <w:shd w:val="clear" w:color="auto" w:fill="FFFFFF"/>
        </w:rPr>
        <w:t>Couthren</w:t>
      </w:r>
      <w:r>
        <w:rPr>
          <w:color w:val="000000"/>
          <w:szCs w:val="26"/>
          <w:bdr w:val="none" w:sz="0" w:space="0" w:color="auto" w:frame="1"/>
          <w:shd w:val="clear" w:color="auto" w:fill="FFFFFF"/>
        </w:rPr>
        <w:t xml:space="preserve">’s point still stands:  If section 6602, subdivision (a) already provided a broad hearsay exception for probable cause hearings, </w:t>
      </w:r>
      <w:r w:rsidR="00006237">
        <w:rPr>
          <w:color w:val="000000"/>
          <w:szCs w:val="26"/>
          <w:bdr w:val="none" w:sz="0" w:space="0" w:color="auto" w:frame="1"/>
          <w:shd w:val="clear" w:color="auto" w:fill="FFFFFF"/>
        </w:rPr>
        <w:t xml:space="preserve">the Legislature could have aimed </w:t>
      </w:r>
      <w:r>
        <w:rPr>
          <w:color w:val="000000"/>
          <w:szCs w:val="26"/>
          <w:bdr w:val="none" w:sz="0" w:space="0" w:color="auto" w:frame="1"/>
          <w:shd w:val="clear" w:color="auto" w:fill="FFFFFF"/>
        </w:rPr>
        <w:t xml:space="preserve">section 6600, subdivision (a)(3) </w:t>
      </w:r>
      <w:r w:rsidR="00006237">
        <w:rPr>
          <w:color w:val="000000"/>
          <w:szCs w:val="26"/>
          <w:bdr w:val="none" w:sz="0" w:space="0" w:color="auto" w:frame="1"/>
          <w:shd w:val="clear" w:color="auto" w:fill="FFFFFF"/>
        </w:rPr>
        <w:t>specifically at the trial context, instead of covering the</w:t>
      </w:r>
      <w:r>
        <w:rPr>
          <w:color w:val="000000"/>
          <w:szCs w:val="26"/>
          <w:bdr w:val="none" w:sz="0" w:space="0" w:color="auto" w:frame="1"/>
          <w:shd w:val="clear" w:color="auto" w:fill="FFFFFF"/>
        </w:rPr>
        <w:t xml:space="preserve"> probable cause context</w:t>
      </w:r>
      <w:r w:rsidR="00006237">
        <w:rPr>
          <w:color w:val="000000"/>
          <w:szCs w:val="26"/>
          <w:bdr w:val="none" w:sz="0" w:space="0" w:color="auto" w:frame="1"/>
          <w:shd w:val="clear" w:color="auto" w:fill="FFFFFF"/>
        </w:rPr>
        <w:t xml:space="preserve"> as well</w:t>
      </w:r>
      <w:r>
        <w:rPr>
          <w:color w:val="000000"/>
          <w:szCs w:val="26"/>
          <w:bdr w:val="none" w:sz="0" w:space="0" w:color="auto" w:frame="1"/>
          <w:shd w:val="clear" w:color="auto" w:fill="FFFFFF"/>
        </w:rPr>
        <w:t xml:space="preserve">.  And in any event, it is notable </w:t>
      </w:r>
      <w:r w:rsidRPr="00724E7E">
        <w:rPr>
          <w:color w:val="000000"/>
          <w:szCs w:val="26"/>
          <w:bdr w:val="none" w:sz="0" w:space="0" w:color="auto" w:frame="1"/>
          <w:shd w:val="clear" w:color="auto" w:fill="FFFFFF"/>
        </w:rPr>
        <w:t xml:space="preserve">that the Legislature </w:t>
      </w:r>
      <w:r>
        <w:rPr>
          <w:color w:val="000000"/>
          <w:szCs w:val="26"/>
          <w:bdr w:val="none" w:sz="0" w:space="0" w:color="auto" w:frame="1"/>
          <w:shd w:val="clear" w:color="auto" w:fill="FFFFFF"/>
        </w:rPr>
        <w:t xml:space="preserve">has </w:t>
      </w:r>
      <w:r w:rsidRPr="00724E7E">
        <w:rPr>
          <w:color w:val="000000"/>
          <w:szCs w:val="26"/>
          <w:bdr w:val="none" w:sz="0" w:space="0" w:color="auto" w:frame="1"/>
          <w:shd w:val="clear" w:color="auto" w:fill="FFFFFF"/>
        </w:rPr>
        <w:t>created a hearsay exception that permits “[t]he details underlying the commission of an offense that led to a prior [predicate] conviction” to be established through documentary evidence (§ 6600</w:t>
      </w:r>
      <w:r w:rsidR="005303D9">
        <w:rPr>
          <w:color w:val="000000"/>
          <w:szCs w:val="26"/>
          <w:bdr w:val="none" w:sz="0" w:space="0" w:color="auto" w:frame="1"/>
          <w:shd w:val="clear" w:color="auto" w:fill="FFFFFF"/>
        </w:rPr>
        <w:t xml:space="preserve">, subd. </w:t>
      </w:r>
      <w:r w:rsidRPr="00724E7E">
        <w:rPr>
          <w:color w:val="000000"/>
          <w:szCs w:val="26"/>
          <w:bdr w:val="none" w:sz="0" w:space="0" w:color="auto" w:frame="1"/>
          <w:shd w:val="clear" w:color="auto" w:fill="FFFFFF"/>
        </w:rPr>
        <w:t xml:space="preserve">(a)(3)), but has not done the same for the details underlying the commission of nonpredicate offenses, despite the </w:t>
      </w:r>
      <w:r>
        <w:rPr>
          <w:color w:val="000000"/>
          <w:szCs w:val="26"/>
          <w:bdr w:val="none" w:sz="0" w:space="0" w:color="auto" w:frame="1"/>
          <w:shd w:val="clear" w:color="auto" w:fill="FFFFFF"/>
        </w:rPr>
        <w:t xml:space="preserve">similar </w:t>
      </w:r>
      <w:r w:rsidRPr="00724E7E">
        <w:rPr>
          <w:color w:val="000000"/>
          <w:szCs w:val="26"/>
          <w:bdr w:val="none" w:sz="0" w:space="0" w:color="auto" w:frame="1"/>
          <w:shd w:val="clear" w:color="auto" w:fill="FFFFFF"/>
        </w:rPr>
        <w:t>potential burden on victims who are called to testify.</w:t>
      </w:r>
    </w:p>
    <w:p w:rsidR="0008232F" w:rsidRPr="00761DF6" w:rsidP="0008232F" w14:paraId="24425337" w14:textId="391104B8">
      <w:pPr>
        <w:ind w:firstLine="720"/>
        <w:rPr>
          <w:szCs w:val="26"/>
          <w:shd w:val="clear" w:color="auto" w:fill="FFFFFF"/>
        </w:rPr>
      </w:pPr>
      <w:r w:rsidRPr="00761DF6">
        <w:rPr>
          <w:szCs w:val="26"/>
          <w:shd w:val="clear" w:color="auto" w:fill="FFFFFF"/>
        </w:rPr>
        <w:t xml:space="preserve">A reading of section 6605 in context </w:t>
      </w:r>
      <w:r w:rsidR="0095371B">
        <w:rPr>
          <w:szCs w:val="26"/>
          <w:shd w:val="clear" w:color="auto" w:fill="FFFFFF"/>
        </w:rPr>
        <w:t xml:space="preserve">also </w:t>
      </w:r>
      <w:r w:rsidR="000229B2">
        <w:rPr>
          <w:szCs w:val="26"/>
          <w:shd w:val="clear" w:color="auto" w:fill="FFFFFF"/>
        </w:rPr>
        <w:t>offers a telling comparison to section 6600, subdivision (a)(3)</w:t>
      </w:r>
      <w:r w:rsidRPr="00761DF6">
        <w:rPr>
          <w:szCs w:val="26"/>
          <w:shd w:val="clear" w:color="auto" w:fill="FFFFFF"/>
        </w:rPr>
        <w:t>.  That section provides that when a committed SVP defendant petitions for unconditional release, the court must order “a show cause hearing.”  (</w:t>
      </w:r>
      <w:r w:rsidRPr="00761DF6">
        <w:rPr>
          <w:szCs w:val="26"/>
        </w:rPr>
        <w:t xml:space="preserve">§ </w:t>
      </w:r>
      <w:r w:rsidRPr="00761DF6">
        <w:rPr>
          <w:szCs w:val="26"/>
          <w:shd w:val="clear" w:color="auto" w:fill="FFFFFF"/>
        </w:rPr>
        <w:t>6</w:t>
      </w:r>
      <w:r w:rsidR="00655980">
        <w:rPr>
          <w:szCs w:val="26"/>
          <w:shd w:val="clear" w:color="auto" w:fill="FFFFFF"/>
        </w:rPr>
        <w:t>6</w:t>
      </w:r>
      <w:r w:rsidRPr="00761DF6">
        <w:rPr>
          <w:szCs w:val="26"/>
          <w:shd w:val="clear" w:color="auto" w:fill="FFFFFF"/>
        </w:rPr>
        <w:t>05, subd. (a)</w:t>
      </w:r>
      <w:r w:rsidR="00947FDC">
        <w:rPr>
          <w:szCs w:val="26"/>
          <w:shd w:val="clear" w:color="auto" w:fill="FFFFFF"/>
        </w:rPr>
        <w:t>(1)</w:t>
      </w:r>
      <w:r w:rsidRPr="00761DF6">
        <w:rPr>
          <w:szCs w:val="26"/>
          <w:shd w:val="clear" w:color="auto" w:fill="FFFFFF"/>
        </w:rPr>
        <w:t xml:space="preserve">.)  In </w:t>
      </w:r>
      <w:r w:rsidRPr="00761DF6">
        <w:rPr>
          <w:i/>
          <w:iCs/>
          <w:szCs w:val="26"/>
          <w:shd w:val="clear" w:color="auto" w:fill="FFFFFF"/>
        </w:rPr>
        <w:t>Cheek</w:t>
      </w:r>
      <w:r w:rsidRPr="00761DF6">
        <w:rPr>
          <w:szCs w:val="26"/>
          <w:shd w:val="clear" w:color="auto" w:fill="FFFFFF"/>
        </w:rPr>
        <w:t>, we explained that section 6605 “resembles” section 6602 because the provisions use “parallel language” and both provide hearings that are pretrial in nature and afford a defendant the right to be present and represented by an attorney.  (</w:t>
      </w:r>
      <w:r w:rsidRPr="002523B1">
        <w:rPr>
          <w:i/>
          <w:iCs/>
          <w:szCs w:val="26"/>
          <w:shd w:val="clear" w:color="auto" w:fill="FFFFFF"/>
        </w:rPr>
        <w:t>Cheek</w:t>
      </w:r>
      <w:r>
        <w:rPr>
          <w:szCs w:val="26"/>
          <w:shd w:val="clear" w:color="auto" w:fill="FFFFFF"/>
        </w:rPr>
        <w:t xml:space="preserve">, </w:t>
      </w:r>
      <w:r w:rsidRPr="002523B1">
        <w:rPr>
          <w:i/>
          <w:iCs/>
          <w:szCs w:val="26"/>
          <w:shd w:val="clear" w:color="auto" w:fill="FFFFFF"/>
        </w:rPr>
        <w:t>supra</w:t>
      </w:r>
      <w:r>
        <w:rPr>
          <w:szCs w:val="26"/>
          <w:shd w:val="clear" w:color="auto" w:fill="FFFFFF"/>
        </w:rPr>
        <w:t xml:space="preserve">, </w:t>
      </w:r>
      <w:r w:rsidRPr="00761DF6">
        <w:rPr>
          <w:szCs w:val="26"/>
          <w:shd w:val="clear" w:color="auto" w:fill="FFFFFF"/>
        </w:rPr>
        <w:t xml:space="preserve">25 Cal.4th </w:t>
      </w:r>
      <w:r>
        <w:rPr>
          <w:szCs w:val="26"/>
          <w:shd w:val="clear" w:color="auto" w:fill="FFFFFF"/>
        </w:rPr>
        <w:t>at p</w:t>
      </w:r>
      <w:r w:rsidR="00947FDC">
        <w:rPr>
          <w:szCs w:val="26"/>
          <w:shd w:val="clear" w:color="auto" w:fill="FFFFFF"/>
        </w:rPr>
        <w:t>p</w:t>
      </w:r>
      <w:r>
        <w:rPr>
          <w:szCs w:val="26"/>
          <w:shd w:val="clear" w:color="auto" w:fill="FFFFFF"/>
        </w:rPr>
        <w:t>.</w:t>
      </w:r>
      <w:r w:rsidRPr="00761DF6">
        <w:rPr>
          <w:szCs w:val="26"/>
          <w:shd w:val="clear" w:color="auto" w:fill="FFFFFF"/>
        </w:rPr>
        <w:t xml:space="preserve"> 899</w:t>
      </w:r>
      <w:r w:rsidR="004F2009">
        <w:rPr>
          <w:szCs w:val="26"/>
          <w:shd w:val="clear" w:color="auto" w:fill="FFFFFF"/>
        </w:rPr>
        <w:t>–</w:t>
      </w:r>
      <w:r w:rsidR="00947FDC">
        <w:rPr>
          <w:szCs w:val="26"/>
          <w:shd w:val="clear" w:color="auto" w:fill="FFFFFF"/>
        </w:rPr>
        <w:t>900</w:t>
      </w:r>
      <w:r w:rsidRPr="00761DF6">
        <w:rPr>
          <w:szCs w:val="26"/>
          <w:shd w:val="clear" w:color="auto" w:fill="FFFFFF"/>
        </w:rPr>
        <w:t xml:space="preserve">.)  After </w:t>
      </w:r>
      <w:r w:rsidRPr="00761DF6">
        <w:rPr>
          <w:i/>
          <w:iCs/>
          <w:szCs w:val="26"/>
          <w:shd w:val="clear" w:color="auto" w:fill="FFFFFF"/>
        </w:rPr>
        <w:t>Cheek</w:t>
      </w:r>
      <w:r w:rsidRPr="00761DF6">
        <w:rPr>
          <w:szCs w:val="26"/>
          <w:shd w:val="clear" w:color="auto" w:fill="FFFFFF"/>
        </w:rPr>
        <w:t xml:space="preserve">, Proposition 83 amended section 6605 to provide that “the court </w:t>
      </w:r>
      <w:r w:rsidR="00A94791">
        <w:rPr>
          <w:szCs w:val="26"/>
          <w:shd w:val="clear" w:color="auto" w:fill="FFFFFF"/>
        </w:rPr>
        <w:t>. . .</w:t>
      </w:r>
      <w:r w:rsidR="00690706">
        <w:rPr>
          <w:szCs w:val="26"/>
          <w:shd w:val="clear" w:color="auto" w:fill="FFFFFF"/>
        </w:rPr>
        <w:t xml:space="preserve"> </w:t>
      </w:r>
      <w:r w:rsidRPr="00761DF6">
        <w:rPr>
          <w:szCs w:val="26"/>
          <w:shd w:val="clear" w:color="auto" w:fill="FFFFFF"/>
        </w:rPr>
        <w:t xml:space="preserve">can consider the petition and any accompanying documentation provided by the medical director, the prosecuting attorney, or the committed person” at the show cause hearing.  (§ 6605, subd. </w:t>
      </w:r>
      <w:r w:rsidR="004430DE">
        <w:rPr>
          <w:szCs w:val="26"/>
          <w:shd w:val="clear" w:color="auto" w:fill="FFFFFF"/>
        </w:rPr>
        <w:t xml:space="preserve">(b) [now subd. </w:t>
      </w:r>
      <w:r w:rsidRPr="00761DF6">
        <w:rPr>
          <w:szCs w:val="26"/>
          <w:shd w:val="clear" w:color="auto" w:fill="FFFFFF"/>
        </w:rPr>
        <w:t>(a)(1)</w:t>
      </w:r>
      <w:r w:rsidR="004430DE">
        <w:rPr>
          <w:szCs w:val="26"/>
          <w:shd w:val="clear" w:color="auto" w:fill="FFFFFF"/>
        </w:rPr>
        <w:t>]</w:t>
      </w:r>
      <w:r w:rsidRPr="00761DF6">
        <w:rPr>
          <w:szCs w:val="26"/>
          <w:shd w:val="clear" w:color="auto" w:fill="FFFFFF"/>
        </w:rPr>
        <w:t xml:space="preserve"> </w:t>
      </w:r>
      <w:r w:rsidR="00947FDC">
        <w:rPr>
          <w:szCs w:val="26"/>
          <w:shd w:val="clear" w:color="auto" w:fill="FFFFFF"/>
        </w:rPr>
        <w:t xml:space="preserve">as amended by </w:t>
      </w:r>
      <w:r w:rsidRPr="00761DF6">
        <w:rPr>
          <w:szCs w:val="26"/>
          <w:shd w:val="clear" w:color="auto" w:fill="FFFFFF"/>
        </w:rPr>
        <w:t xml:space="preserve">Prop. 83, </w:t>
      </w:r>
      <w:r w:rsidRPr="00761DF6" w:rsidR="004430DE">
        <w:rPr>
          <w:szCs w:val="26"/>
          <w:shd w:val="clear" w:color="auto" w:fill="FFFFFF"/>
        </w:rPr>
        <w:t>§</w:t>
      </w:r>
      <w:r w:rsidR="004430DE">
        <w:rPr>
          <w:szCs w:val="26"/>
          <w:shd w:val="clear" w:color="auto" w:fill="FFFFFF"/>
        </w:rPr>
        <w:t xml:space="preserve"> 29, </w:t>
      </w:r>
      <w:r w:rsidRPr="00761DF6">
        <w:rPr>
          <w:szCs w:val="26"/>
          <w:shd w:val="clear" w:color="auto" w:fill="FFFFFF"/>
        </w:rPr>
        <w:t>as approved by voters, Gen. Elec. (Nov. 7, 2006); see §</w:t>
      </w:r>
      <w:r w:rsidR="004430DE">
        <w:rPr>
          <w:szCs w:val="26"/>
          <w:shd w:val="clear" w:color="auto" w:fill="FFFFFF"/>
        </w:rPr>
        <w:t> </w:t>
      </w:r>
      <w:r w:rsidRPr="00761DF6">
        <w:rPr>
          <w:szCs w:val="26"/>
          <w:shd w:val="clear" w:color="auto" w:fill="FFFFFF"/>
        </w:rPr>
        <w:t xml:space="preserve">6604.9, subd. (f).)  This amendment, like the section 6600, subdivision (a)(3) amendment, shows it is possible to adopt special hearsay rules for SVPA proceedings, but that we have no comparable indication that such rules operate in probable cause hearings.  (Cf. </w:t>
      </w:r>
      <w:r w:rsidRPr="00761DF6">
        <w:rPr>
          <w:i/>
          <w:iCs/>
          <w:szCs w:val="26"/>
          <w:shd w:val="clear" w:color="auto" w:fill="FFFFFF"/>
        </w:rPr>
        <w:t>Couthren</w:t>
      </w:r>
      <w:r w:rsidRPr="00761DF6">
        <w:rPr>
          <w:szCs w:val="26"/>
          <w:shd w:val="clear" w:color="auto" w:fill="FFFFFF"/>
        </w:rPr>
        <w:t xml:space="preserve">, </w:t>
      </w:r>
      <w:r w:rsidRPr="00761DF6">
        <w:rPr>
          <w:i/>
          <w:iCs/>
          <w:szCs w:val="26"/>
          <w:shd w:val="clear" w:color="auto" w:fill="FFFFFF"/>
        </w:rPr>
        <w:t>supra</w:t>
      </w:r>
      <w:r w:rsidRPr="00761DF6">
        <w:rPr>
          <w:szCs w:val="26"/>
          <w:shd w:val="clear" w:color="auto" w:fill="FFFFFF"/>
        </w:rPr>
        <w:t xml:space="preserve">, 41 Cal.App.5th at p. 1016, fn. 6.)    </w:t>
      </w:r>
    </w:p>
    <w:p w:rsidR="0008232F" w:rsidRPr="00CA44E7" w:rsidP="00656405" w14:paraId="08709762" w14:textId="61198B99">
      <w:pPr>
        <w:ind w:firstLine="720"/>
        <w:rPr>
          <w:szCs w:val="26"/>
        </w:rPr>
      </w:pPr>
      <w:r w:rsidRPr="00761DF6">
        <w:rPr>
          <w:szCs w:val="26"/>
          <w:shd w:val="clear" w:color="auto" w:fill="FFFFFF"/>
        </w:rPr>
        <w:t>That the Legislature can suspend evidence rules in analogous contexts</w:t>
      </w:r>
      <w:r w:rsidR="00364D3D">
        <w:rPr>
          <w:szCs w:val="26"/>
          <w:shd w:val="clear" w:color="auto" w:fill="FFFFFF"/>
        </w:rPr>
        <w:t> —</w:t>
      </w:r>
      <w:r w:rsidRPr="00761DF6">
        <w:rPr>
          <w:szCs w:val="26"/>
          <w:shd w:val="clear" w:color="auto" w:fill="FFFFFF"/>
        </w:rPr>
        <w:t xml:space="preserve"> but chose not to do so in SVPA probable cause hearings</w:t>
      </w:r>
      <w:r w:rsidR="002C19A6">
        <w:rPr>
          <w:szCs w:val="26"/>
          <w:shd w:val="clear" w:color="auto" w:fill="FFFFFF"/>
        </w:rPr>
        <w:t xml:space="preserve"> for hearsay concerning nonpredicate offenses</w:t>
      </w:r>
      <w:r w:rsidR="002E4CE5">
        <w:rPr>
          <w:szCs w:val="26"/>
          <w:shd w:val="clear" w:color="auto" w:fill="FFFFFF"/>
        </w:rPr>
        <w:t> </w:t>
      </w:r>
      <w:r w:rsidR="00706DEA">
        <w:rPr>
          <w:szCs w:val="26"/>
          <w:shd w:val="clear" w:color="auto" w:fill="FFFFFF"/>
        </w:rPr>
        <w:t>—</w:t>
      </w:r>
      <w:r w:rsidR="00C678BD">
        <w:rPr>
          <w:szCs w:val="26"/>
          <w:shd w:val="clear" w:color="auto" w:fill="FFFFFF"/>
        </w:rPr>
        <w:t xml:space="preserve"> </w:t>
      </w:r>
      <w:r w:rsidRPr="00761DF6">
        <w:rPr>
          <w:szCs w:val="26"/>
          <w:shd w:val="clear" w:color="auto" w:fill="FFFFFF"/>
        </w:rPr>
        <w:t>is reinforced by provisions in the Welfare and Institutions Code.  Consider, for example, the Lanterman–Petris–Short Act (LPS Act</w:t>
      </w:r>
      <w:r w:rsidR="000F5684">
        <w:rPr>
          <w:szCs w:val="26"/>
          <w:shd w:val="clear" w:color="auto" w:fill="FFFFFF"/>
        </w:rPr>
        <w:t xml:space="preserve">; </w:t>
      </w:r>
      <w:r w:rsidRPr="00761DF6" w:rsidR="000F5684">
        <w:rPr>
          <w:szCs w:val="26"/>
          <w:shd w:val="clear" w:color="auto" w:fill="FFFFFF"/>
        </w:rPr>
        <w:t>§ 5000 et seq.</w:t>
      </w:r>
      <w:r w:rsidRPr="00761DF6">
        <w:rPr>
          <w:szCs w:val="26"/>
          <w:shd w:val="clear" w:color="auto" w:fill="FFFFFF"/>
        </w:rPr>
        <w:t>)</w:t>
      </w:r>
      <w:r w:rsidR="00A74AFC">
        <w:rPr>
          <w:szCs w:val="26"/>
          <w:shd w:val="clear" w:color="auto" w:fill="FFFFFF"/>
        </w:rPr>
        <w:t>,</w:t>
      </w:r>
      <w:r w:rsidRPr="00761DF6">
        <w:rPr>
          <w:szCs w:val="26"/>
          <w:shd w:val="clear" w:color="auto" w:fill="FFFFFF"/>
        </w:rPr>
        <w:t xml:space="preserve"> the general civil commitment statu</w:t>
      </w:r>
      <w:r w:rsidR="001F5396">
        <w:rPr>
          <w:szCs w:val="26"/>
          <w:shd w:val="clear" w:color="auto" w:fill="FFFFFF"/>
        </w:rPr>
        <w:t>t</w:t>
      </w:r>
      <w:r w:rsidRPr="00761DF6">
        <w:rPr>
          <w:szCs w:val="26"/>
          <w:shd w:val="clear" w:color="auto" w:fill="FFFFFF"/>
        </w:rPr>
        <w:t xml:space="preserve">e governing the treatment of mentally ill persons in California.  </w:t>
      </w:r>
      <w:bookmarkStart w:id="20" w:name="_Hlk76125139"/>
      <w:r w:rsidRPr="00761DF6">
        <w:rPr>
          <w:szCs w:val="26"/>
          <w:shd w:val="clear" w:color="auto" w:fill="FFFFFF"/>
        </w:rPr>
        <w:t>(</w:t>
      </w:r>
      <w:r w:rsidRPr="00761DF6">
        <w:rPr>
          <w:i/>
          <w:iCs/>
          <w:szCs w:val="26"/>
          <w:shd w:val="clear" w:color="auto" w:fill="FFFFFF"/>
        </w:rPr>
        <w:t>Conservatorship of Susan T.</w:t>
      </w:r>
      <w:r w:rsidRPr="00761DF6">
        <w:rPr>
          <w:szCs w:val="26"/>
          <w:shd w:val="clear" w:color="auto" w:fill="FFFFFF"/>
        </w:rPr>
        <w:t xml:space="preserve"> (1994) 8 Cal.4th 1005, 1008 (</w:t>
      </w:r>
      <w:r w:rsidRPr="00761DF6">
        <w:rPr>
          <w:i/>
          <w:iCs/>
          <w:szCs w:val="26"/>
          <w:shd w:val="clear" w:color="auto" w:fill="FFFFFF"/>
        </w:rPr>
        <w:t>Susan T</w:t>
      </w:r>
      <w:r w:rsidRPr="00761DF6">
        <w:rPr>
          <w:szCs w:val="26"/>
          <w:shd w:val="clear" w:color="auto" w:fill="FFFFFF"/>
        </w:rPr>
        <w:t>.)</w:t>
      </w:r>
      <w:bookmarkEnd w:id="20"/>
      <w:r w:rsidRPr="00761DF6">
        <w:rPr>
          <w:szCs w:val="26"/>
          <w:shd w:val="clear" w:color="auto" w:fill="FFFFFF"/>
        </w:rPr>
        <w:t>.)  The LPS Act provides that an appointed hearing officer must conduct a “certification hearing” in order for the state to commit an individual beyond the initial 72-hour evaluation and treatment period (unless the detainee has already filed a petition for writ of habeas corpus).  (</w:t>
      </w:r>
      <w:r w:rsidRPr="00761DF6">
        <w:rPr>
          <w:i/>
          <w:iCs/>
          <w:szCs w:val="26"/>
          <w:shd w:val="clear" w:color="auto" w:fill="FFFFFF"/>
        </w:rPr>
        <w:t>Susan T.</w:t>
      </w:r>
      <w:r w:rsidRPr="00761DF6">
        <w:rPr>
          <w:szCs w:val="26"/>
          <w:shd w:val="clear" w:color="auto" w:fill="FFFFFF"/>
        </w:rPr>
        <w:t>, at p. 1009.)  The certification hearing, similar to the section 6602 hearing, determines whether probable cause exists to detain individuals because they remain a danger to themselves or others.  (</w:t>
      </w:r>
      <w:r w:rsidR="00C13592">
        <w:rPr>
          <w:i/>
          <w:iCs/>
          <w:szCs w:val="26"/>
          <w:shd w:val="clear" w:color="auto" w:fill="FFFFFF"/>
        </w:rPr>
        <w:t>Susan T.</w:t>
      </w:r>
      <w:r w:rsidR="00C13592">
        <w:rPr>
          <w:szCs w:val="26"/>
          <w:shd w:val="clear" w:color="auto" w:fill="FFFFFF"/>
        </w:rPr>
        <w:t>, at p. 1009</w:t>
      </w:r>
      <w:r w:rsidRPr="00761DF6">
        <w:rPr>
          <w:szCs w:val="26"/>
          <w:shd w:val="clear" w:color="auto" w:fill="FFFFFF"/>
        </w:rPr>
        <w:t xml:space="preserve">; </w:t>
      </w:r>
      <w:r w:rsidRPr="00761DF6">
        <w:rPr>
          <w:szCs w:val="26"/>
        </w:rPr>
        <w:t>§ 5256.4.)</w:t>
      </w:r>
      <w:r w:rsidRPr="00761DF6">
        <w:rPr>
          <w:szCs w:val="26"/>
          <w:shd w:val="clear" w:color="auto" w:fill="FFFFFF"/>
        </w:rPr>
        <w:t xml:space="preserve">  But unlike the section 6602 hearing, the certification hearing “</w:t>
      </w:r>
      <w:r w:rsidRPr="00761DF6">
        <w:rPr>
          <w:color w:val="000000"/>
          <w:szCs w:val="26"/>
        </w:rPr>
        <w:t xml:space="preserve">shall be conducted in an impartial and informal manner in order to encourage free and open discussion by participants. </w:t>
      </w:r>
      <w:r w:rsidRPr="00761DF6">
        <w:rPr>
          <w:i/>
          <w:iCs/>
          <w:color w:val="000000"/>
          <w:szCs w:val="26"/>
        </w:rPr>
        <w:t>The person conducting the hearing shall not be bound by rules of procedure or evidence applicable in judicial proceedings</w:t>
      </w:r>
      <w:r w:rsidRPr="00761DF6">
        <w:rPr>
          <w:color w:val="000000"/>
          <w:szCs w:val="26"/>
        </w:rPr>
        <w:t xml:space="preserve">.”  </w:t>
      </w:r>
      <w:r w:rsidRPr="00761DF6">
        <w:rPr>
          <w:szCs w:val="26"/>
          <w:shd w:val="clear" w:color="auto" w:fill="FFFFFF"/>
        </w:rPr>
        <w:t>(</w:t>
      </w:r>
      <w:r w:rsidRPr="00761DF6">
        <w:rPr>
          <w:szCs w:val="26"/>
        </w:rPr>
        <w:t>§ 5256.4</w:t>
      </w:r>
      <w:r w:rsidR="004430DE">
        <w:rPr>
          <w:szCs w:val="26"/>
        </w:rPr>
        <w:t>, subd. (b)</w:t>
      </w:r>
      <w:r w:rsidRPr="00761DF6">
        <w:rPr>
          <w:szCs w:val="26"/>
        </w:rPr>
        <w:t>, italics added.)</w:t>
      </w:r>
      <w:r w:rsidRPr="00761DF6">
        <w:rPr>
          <w:szCs w:val="26"/>
          <w:shd w:val="clear" w:color="auto" w:fill="FFFFFF"/>
        </w:rPr>
        <w:t xml:space="preserve">  </w:t>
      </w:r>
    </w:p>
    <w:p w:rsidR="00EC55AA" w:rsidRPr="00761DF6" w:rsidP="00DD39AC" w14:paraId="30282ADB" w14:textId="030929FB">
      <w:pPr>
        <w:ind w:firstLine="720"/>
        <w:rPr>
          <w:szCs w:val="26"/>
        </w:rPr>
      </w:pPr>
      <w:r w:rsidRPr="00761DF6">
        <w:rPr>
          <w:szCs w:val="26"/>
        </w:rPr>
        <w:t xml:space="preserve">The </w:t>
      </w:r>
      <w:r w:rsidRPr="00761DF6" w:rsidR="00DF1D86">
        <w:rPr>
          <w:szCs w:val="26"/>
        </w:rPr>
        <w:t>People</w:t>
      </w:r>
      <w:r w:rsidRPr="00761DF6" w:rsidR="00373A12">
        <w:rPr>
          <w:szCs w:val="26"/>
        </w:rPr>
        <w:t xml:space="preserve"> raise a variety of arguments that</w:t>
      </w:r>
      <w:r w:rsidR="00194E4F">
        <w:rPr>
          <w:szCs w:val="26"/>
        </w:rPr>
        <w:t xml:space="preserve"> </w:t>
      </w:r>
      <w:r w:rsidR="009A17CB">
        <w:rPr>
          <w:szCs w:val="26"/>
        </w:rPr>
        <w:t xml:space="preserve">largely </w:t>
      </w:r>
      <w:r w:rsidR="00F15411">
        <w:rPr>
          <w:szCs w:val="26"/>
        </w:rPr>
        <w:t>track</w:t>
      </w:r>
      <w:r w:rsidR="00194E4F">
        <w:rPr>
          <w:szCs w:val="26"/>
        </w:rPr>
        <w:t xml:space="preserve"> the </w:t>
      </w:r>
      <w:r w:rsidRPr="002F322A" w:rsidR="00194E4F">
        <w:rPr>
          <w:szCs w:val="26"/>
        </w:rPr>
        <w:t xml:space="preserve">Court of Appeal’s reasoning </w:t>
      </w:r>
      <w:r w:rsidRPr="002F322A" w:rsidR="00703258">
        <w:rPr>
          <w:szCs w:val="26"/>
        </w:rPr>
        <w:t>(</w:t>
      </w:r>
      <w:r w:rsidRPr="002F322A" w:rsidR="00703258">
        <w:rPr>
          <w:i/>
          <w:iCs/>
          <w:szCs w:val="26"/>
        </w:rPr>
        <w:t>Walker</w:t>
      </w:r>
      <w:r w:rsidRPr="002F322A" w:rsidR="00703258">
        <w:rPr>
          <w:szCs w:val="26"/>
        </w:rPr>
        <w:t xml:space="preserve">, </w:t>
      </w:r>
      <w:r w:rsidRPr="002F322A" w:rsidR="00703258">
        <w:rPr>
          <w:i/>
          <w:iCs/>
          <w:szCs w:val="26"/>
        </w:rPr>
        <w:t>supra</w:t>
      </w:r>
      <w:r w:rsidRPr="002F322A" w:rsidR="00703258">
        <w:rPr>
          <w:szCs w:val="26"/>
        </w:rPr>
        <w:t xml:space="preserve">, 51 Cal.App.5th at pp. </w:t>
      </w:r>
      <w:r w:rsidRPr="002F322A" w:rsidR="002F041D">
        <w:rPr>
          <w:szCs w:val="26"/>
        </w:rPr>
        <w:t>695–699</w:t>
      </w:r>
      <w:r w:rsidRPr="002F322A" w:rsidR="00703258">
        <w:rPr>
          <w:szCs w:val="26"/>
        </w:rPr>
        <w:t xml:space="preserve">) </w:t>
      </w:r>
      <w:r w:rsidRPr="002F322A" w:rsidR="00194E4F">
        <w:rPr>
          <w:szCs w:val="26"/>
        </w:rPr>
        <w:t>and fail to persuade.</w:t>
      </w:r>
      <w:r w:rsidRPr="002F322A" w:rsidR="009A17CB">
        <w:rPr>
          <w:szCs w:val="26"/>
        </w:rPr>
        <w:t xml:space="preserve">  </w:t>
      </w:r>
      <w:r w:rsidRPr="002F322A" w:rsidR="00ED40E8">
        <w:rPr>
          <w:szCs w:val="26"/>
        </w:rPr>
        <w:t xml:space="preserve">They </w:t>
      </w:r>
      <w:r w:rsidRPr="002F322A" w:rsidR="009D2537">
        <w:rPr>
          <w:szCs w:val="26"/>
        </w:rPr>
        <w:t>first argue</w:t>
      </w:r>
      <w:r w:rsidRPr="002F322A" w:rsidR="0089671E">
        <w:rPr>
          <w:szCs w:val="26"/>
        </w:rPr>
        <w:t xml:space="preserve"> that </w:t>
      </w:r>
      <w:r w:rsidRPr="002F322A" w:rsidR="006F2A7A">
        <w:rPr>
          <w:szCs w:val="26"/>
        </w:rPr>
        <w:t>the subdivision</w:t>
      </w:r>
      <w:r w:rsidRPr="002F322A" w:rsidR="0089671E">
        <w:rPr>
          <w:szCs w:val="26"/>
        </w:rPr>
        <w:t xml:space="preserve"> </w:t>
      </w:r>
      <w:r w:rsidRPr="002F322A" w:rsidR="00BB39A6">
        <w:rPr>
          <w:szCs w:val="26"/>
        </w:rPr>
        <w:t>establishes</w:t>
      </w:r>
      <w:r w:rsidRPr="002F322A" w:rsidR="0089671E">
        <w:rPr>
          <w:szCs w:val="26"/>
        </w:rPr>
        <w:t xml:space="preserve"> an </w:t>
      </w:r>
      <w:r w:rsidRPr="002F322A" w:rsidR="0089671E">
        <w:rPr>
          <w:i/>
          <w:iCs/>
          <w:szCs w:val="26"/>
        </w:rPr>
        <w:t>implied</w:t>
      </w:r>
      <w:r w:rsidRPr="002F322A" w:rsidR="0089671E">
        <w:rPr>
          <w:szCs w:val="26"/>
        </w:rPr>
        <w:t xml:space="preserve"> hearsay exception</w:t>
      </w:r>
      <w:r w:rsidR="00417CCE">
        <w:rPr>
          <w:szCs w:val="26"/>
        </w:rPr>
        <w:t> </w:t>
      </w:r>
      <w:r w:rsidRPr="002F322A" w:rsidR="00DA5005">
        <w:rPr>
          <w:szCs w:val="26"/>
        </w:rPr>
        <w:t>—</w:t>
      </w:r>
      <w:r w:rsidR="001D458E">
        <w:rPr>
          <w:szCs w:val="26"/>
        </w:rPr>
        <w:t xml:space="preserve"> </w:t>
      </w:r>
      <w:r w:rsidRPr="002F322A" w:rsidR="00DA5005">
        <w:rPr>
          <w:szCs w:val="26"/>
        </w:rPr>
        <w:t>covering any hearsay in evaluation reports</w:t>
      </w:r>
      <w:r w:rsidR="000A3B2B">
        <w:rPr>
          <w:szCs w:val="26"/>
        </w:rPr>
        <w:t> </w:t>
      </w:r>
      <w:r w:rsidRPr="002F322A" w:rsidR="00DA5005">
        <w:rPr>
          <w:szCs w:val="26"/>
        </w:rPr>
        <w:t>—</w:t>
      </w:r>
      <w:r w:rsidR="00C678BD">
        <w:rPr>
          <w:szCs w:val="26"/>
        </w:rPr>
        <w:t xml:space="preserve"> </w:t>
      </w:r>
      <w:r w:rsidRPr="002F322A" w:rsidR="0089671E">
        <w:rPr>
          <w:szCs w:val="26"/>
        </w:rPr>
        <w:t>by mandating that courts “review the petition”</w:t>
      </w:r>
      <w:r w:rsidRPr="002F322A" w:rsidR="001C618A">
        <w:rPr>
          <w:szCs w:val="26"/>
        </w:rPr>
        <w:t xml:space="preserve"> and thereafter assess probable cause</w:t>
      </w:r>
      <w:r w:rsidRPr="002F322A" w:rsidR="00430632">
        <w:rPr>
          <w:szCs w:val="26"/>
        </w:rPr>
        <w:t xml:space="preserve">. </w:t>
      </w:r>
      <w:r w:rsidRPr="002F322A" w:rsidR="00DE2E95">
        <w:rPr>
          <w:szCs w:val="26"/>
        </w:rPr>
        <w:t xml:space="preserve"> </w:t>
      </w:r>
      <w:r w:rsidR="004430DE">
        <w:rPr>
          <w:szCs w:val="26"/>
        </w:rPr>
        <w:t>(</w:t>
      </w:r>
      <w:r w:rsidR="005C0AED">
        <w:rPr>
          <w:szCs w:val="26"/>
        </w:rPr>
        <w:t xml:space="preserve">Welf. &amp; Inst. Code, </w:t>
      </w:r>
      <w:r w:rsidRPr="00EB10BD" w:rsidR="004430DE">
        <w:rPr>
          <w:szCs w:val="26"/>
        </w:rPr>
        <w:t>§</w:t>
      </w:r>
      <w:r w:rsidR="004430DE">
        <w:rPr>
          <w:szCs w:val="26"/>
        </w:rPr>
        <w:t xml:space="preserve"> 6602, subd. (a).)  </w:t>
      </w:r>
      <w:r w:rsidRPr="002F322A" w:rsidR="008655BE">
        <w:rPr>
          <w:szCs w:val="26"/>
        </w:rPr>
        <w:t xml:space="preserve">This argument fails </w:t>
      </w:r>
      <w:r w:rsidRPr="002F322A" w:rsidR="00135B2A">
        <w:rPr>
          <w:szCs w:val="26"/>
        </w:rPr>
        <w:t xml:space="preserve">not only </w:t>
      </w:r>
      <w:r w:rsidRPr="002F322A" w:rsidR="005F2CF8">
        <w:rPr>
          <w:szCs w:val="26"/>
        </w:rPr>
        <w:t xml:space="preserve">because it relies on the same dubious chain of inferences the </w:t>
      </w:r>
      <w:r w:rsidR="00B95574">
        <w:rPr>
          <w:szCs w:val="26"/>
        </w:rPr>
        <w:t>Court of Appeal</w:t>
      </w:r>
      <w:r w:rsidRPr="002F322A" w:rsidR="005F2CF8">
        <w:rPr>
          <w:szCs w:val="26"/>
        </w:rPr>
        <w:t xml:space="preserve"> relied on, </w:t>
      </w:r>
      <w:r w:rsidRPr="002F322A" w:rsidR="00135B2A">
        <w:rPr>
          <w:szCs w:val="26"/>
        </w:rPr>
        <w:t>but also</w:t>
      </w:r>
      <w:r w:rsidRPr="002F322A" w:rsidR="006315B7">
        <w:rPr>
          <w:szCs w:val="26"/>
        </w:rPr>
        <w:t xml:space="preserve"> </w:t>
      </w:r>
      <w:r w:rsidRPr="002F322A" w:rsidR="008A40CF">
        <w:rPr>
          <w:szCs w:val="26"/>
        </w:rPr>
        <w:t xml:space="preserve">by comparison </w:t>
      </w:r>
      <w:r w:rsidRPr="002F322A" w:rsidR="0054432D">
        <w:rPr>
          <w:szCs w:val="26"/>
        </w:rPr>
        <w:t>to</w:t>
      </w:r>
      <w:r w:rsidRPr="002F322A" w:rsidR="00496BC7">
        <w:rPr>
          <w:szCs w:val="26"/>
        </w:rPr>
        <w:t xml:space="preserve"> the chief authority</w:t>
      </w:r>
      <w:r w:rsidRPr="002F322A" w:rsidR="00E9569E">
        <w:rPr>
          <w:szCs w:val="26"/>
        </w:rPr>
        <w:t xml:space="preserve"> the People rely on, </w:t>
      </w:r>
      <w:bookmarkStart w:id="21" w:name="_Hlk76126018"/>
      <w:r w:rsidRPr="002F322A" w:rsidR="00E9569E">
        <w:rPr>
          <w:i/>
          <w:iCs/>
          <w:szCs w:val="26"/>
        </w:rPr>
        <w:t>In re Malinda S.</w:t>
      </w:r>
      <w:r w:rsidRPr="002F322A" w:rsidR="00E9569E">
        <w:rPr>
          <w:szCs w:val="26"/>
        </w:rPr>
        <w:t xml:space="preserve"> (1990) 51 Cal.3d 368 (</w:t>
      </w:r>
      <w:r w:rsidRPr="002F322A" w:rsidR="00E9569E">
        <w:rPr>
          <w:i/>
          <w:iCs/>
          <w:szCs w:val="26"/>
        </w:rPr>
        <w:t>Malinda</w:t>
      </w:r>
      <w:bookmarkEnd w:id="21"/>
      <w:r w:rsidRPr="002F322A" w:rsidR="00E9569E">
        <w:rPr>
          <w:szCs w:val="26"/>
        </w:rPr>
        <w:t xml:space="preserve">).  </w:t>
      </w:r>
      <w:r w:rsidRPr="002F322A" w:rsidR="00593634">
        <w:rPr>
          <w:szCs w:val="26"/>
        </w:rPr>
        <w:t xml:space="preserve">There, </w:t>
      </w:r>
      <w:r w:rsidRPr="002F322A" w:rsidR="00A4029D">
        <w:rPr>
          <w:szCs w:val="26"/>
        </w:rPr>
        <w:t xml:space="preserve">we interpreted </w:t>
      </w:r>
      <w:r w:rsidR="005C0AED">
        <w:rPr>
          <w:szCs w:val="26"/>
        </w:rPr>
        <w:t xml:space="preserve">Welfare and Institutions Code </w:t>
      </w:r>
      <w:r w:rsidRPr="002F322A" w:rsidR="00A4029D">
        <w:rPr>
          <w:szCs w:val="26"/>
        </w:rPr>
        <w:t>section 281’s lang</w:t>
      </w:r>
      <w:r w:rsidRPr="002F322A" w:rsidR="00626FDE">
        <w:rPr>
          <w:szCs w:val="26"/>
        </w:rPr>
        <w:t>uage directing</w:t>
      </w:r>
      <w:r w:rsidRPr="002F322A" w:rsidR="00A4029D">
        <w:rPr>
          <w:szCs w:val="26"/>
        </w:rPr>
        <w:t xml:space="preserve"> juvenile courts to</w:t>
      </w:r>
      <w:r w:rsidRPr="002F322A" w:rsidR="00FE2315">
        <w:rPr>
          <w:szCs w:val="26"/>
        </w:rPr>
        <w:t xml:space="preserve">, </w:t>
      </w:r>
      <w:r w:rsidRPr="00761DF6" w:rsidR="00FE2315">
        <w:rPr>
          <w:szCs w:val="26"/>
        </w:rPr>
        <w:t xml:space="preserve">in reaching a </w:t>
      </w:r>
      <w:r w:rsidRPr="00761DF6" w:rsidR="00B52E11">
        <w:rPr>
          <w:szCs w:val="26"/>
        </w:rPr>
        <w:t xml:space="preserve">jurisdictional </w:t>
      </w:r>
      <w:r w:rsidRPr="00761DF6" w:rsidR="00FE2315">
        <w:rPr>
          <w:szCs w:val="26"/>
        </w:rPr>
        <w:t>determination,</w:t>
      </w:r>
      <w:r w:rsidRPr="00761DF6" w:rsidR="00A4029D">
        <w:rPr>
          <w:szCs w:val="26"/>
        </w:rPr>
        <w:t xml:space="preserve"> “</w:t>
      </w:r>
      <w:r w:rsidR="00807559">
        <w:rPr>
          <w:szCs w:val="26"/>
        </w:rPr>
        <w:t> </w:t>
      </w:r>
      <w:r w:rsidRPr="00761DF6" w:rsidR="00A4029D">
        <w:rPr>
          <w:szCs w:val="26"/>
        </w:rPr>
        <w:t>‘</w:t>
      </w:r>
      <w:r w:rsidRPr="00761DF6" w:rsidR="00A4029D">
        <w:rPr>
          <w:i/>
          <w:iCs/>
          <w:szCs w:val="26"/>
        </w:rPr>
        <w:t>receive and consider</w:t>
      </w:r>
      <w:r w:rsidRPr="00761DF6" w:rsidR="00A4029D">
        <w:rPr>
          <w:szCs w:val="26"/>
        </w:rPr>
        <w:t>’</w:t>
      </w:r>
      <w:r w:rsidR="00807559">
        <w:rPr>
          <w:szCs w:val="26"/>
        </w:rPr>
        <w:t> </w:t>
      </w:r>
      <w:r w:rsidRPr="00761DF6" w:rsidR="00A4029D">
        <w:rPr>
          <w:szCs w:val="26"/>
        </w:rPr>
        <w:t>” social studies prepared by probation officers or social workers</w:t>
      </w:r>
      <w:r w:rsidRPr="00761DF6" w:rsidR="002655B8">
        <w:rPr>
          <w:szCs w:val="26"/>
        </w:rPr>
        <w:t>.  (</w:t>
      </w:r>
      <w:r w:rsidRPr="00761DF6" w:rsidR="002655B8">
        <w:rPr>
          <w:i/>
          <w:iCs/>
          <w:szCs w:val="26"/>
        </w:rPr>
        <w:t>Malinda</w:t>
      </w:r>
      <w:r w:rsidRPr="00761DF6" w:rsidR="002655B8">
        <w:rPr>
          <w:szCs w:val="26"/>
        </w:rPr>
        <w:t>,</w:t>
      </w:r>
      <w:r w:rsidR="006618A8">
        <w:rPr>
          <w:szCs w:val="26"/>
        </w:rPr>
        <w:t xml:space="preserve"> </w:t>
      </w:r>
      <w:r w:rsidRPr="00761DF6" w:rsidR="002655B8">
        <w:rPr>
          <w:szCs w:val="26"/>
        </w:rPr>
        <w:t>at p. 376</w:t>
      </w:r>
      <w:r w:rsidR="004430DE">
        <w:rPr>
          <w:szCs w:val="26"/>
        </w:rPr>
        <w:t xml:space="preserve">, italics added by </w:t>
      </w:r>
      <w:r w:rsidRPr="00761DF6" w:rsidR="004430DE">
        <w:rPr>
          <w:i/>
          <w:iCs/>
          <w:szCs w:val="26"/>
        </w:rPr>
        <w:t>Malinda</w:t>
      </w:r>
      <w:r w:rsidRPr="00761DF6" w:rsidR="002655B8">
        <w:rPr>
          <w:szCs w:val="26"/>
        </w:rPr>
        <w:t>.)</w:t>
      </w:r>
      <w:r w:rsidRPr="00761DF6" w:rsidR="001A2562">
        <w:rPr>
          <w:szCs w:val="26"/>
        </w:rPr>
        <w:t xml:space="preserve">  W</w:t>
      </w:r>
      <w:r w:rsidRPr="00761DF6" w:rsidR="00253BA4">
        <w:rPr>
          <w:szCs w:val="26"/>
        </w:rPr>
        <w:t>e concluded</w:t>
      </w:r>
      <w:r w:rsidRPr="00761DF6" w:rsidR="00022CB8">
        <w:rPr>
          <w:szCs w:val="26"/>
        </w:rPr>
        <w:t xml:space="preserve"> this language</w:t>
      </w:r>
      <w:r w:rsidRPr="00761DF6" w:rsidR="00A4029D">
        <w:rPr>
          <w:szCs w:val="26"/>
        </w:rPr>
        <w:t xml:space="preserve"> </w:t>
      </w:r>
      <w:r w:rsidRPr="00761DF6" w:rsidR="00022CB8">
        <w:rPr>
          <w:szCs w:val="26"/>
        </w:rPr>
        <w:t>created</w:t>
      </w:r>
      <w:r w:rsidRPr="00761DF6" w:rsidR="00A4029D">
        <w:rPr>
          <w:szCs w:val="26"/>
        </w:rPr>
        <w:t xml:space="preserve"> a</w:t>
      </w:r>
      <w:r w:rsidRPr="00761DF6" w:rsidR="00FD5AE1">
        <w:rPr>
          <w:szCs w:val="26"/>
        </w:rPr>
        <w:t>n implied</w:t>
      </w:r>
      <w:r w:rsidRPr="00761DF6" w:rsidR="00A4029D">
        <w:rPr>
          <w:szCs w:val="26"/>
        </w:rPr>
        <w:t xml:space="preserve"> hearsay exception </w:t>
      </w:r>
      <w:r w:rsidRPr="00761DF6" w:rsidR="00FA6DE1">
        <w:rPr>
          <w:szCs w:val="26"/>
        </w:rPr>
        <w:t>reaching</w:t>
      </w:r>
      <w:r w:rsidRPr="00761DF6" w:rsidR="00A4029D">
        <w:rPr>
          <w:szCs w:val="26"/>
        </w:rPr>
        <w:t xml:space="preserve"> multiple-level hearsay</w:t>
      </w:r>
      <w:r w:rsidRPr="00761DF6" w:rsidR="00FA6DE1">
        <w:rPr>
          <w:szCs w:val="26"/>
        </w:rPr>
        <w:t xml:space="preserve"> in the reports.</w:t>
      </w:r>
      <w:r w:rsidRPr="00761DF6" w:rsidR="00FE2315">
        <w:rPr>
          <w:szCs w:val="26"/>
        </w:rPr>
        <w:t xml:space="preserve">  (</w:t>
      </w:r>
      <w:r w:rsidR="00DF1791">
        <w:rPr>
          <w:i/>
          <w:iCs/>
          <w:szCs w:val="26"/>
        </w:rPr>
        <w:t>Id.</w:t>
      </w:r>
      <w:r w:rsidRPr="00DF1791" w:rsidR="00DF1791">
        <w:rPr>
          <w:szCs w:val="26"/>
        </w:rPr>
        <w:t xml:space="preserve"> </w:t>
      </w:r>
      <w:r w:rsidRPr="00761DF6" w:rsidR="00FE2315">
        <w:rPr>
          <w:szCs w:val="26"/>
        </w:rPr>
        <w:t xml:space="preserve">at </w:t>
      </w:r>
      <w:r w:rsidRPr="00761DF6" w:rsidR="008C2ED8">
        <w:rPr>
          <w:szCs w:val="26"/>
        </w:rPr>
        <w:t>p</w:t>
      </w:r>
      <w:r w:rsidRPr="00761DF6" w:rsidR="00FE2315">
        <w:rPr>
          <w:szCs w:val="26"/>
        </w:rPr>
        <w:t>p. 376–379</w:t>
      </w:r>
      <w:r w:rsidR="00DD39AC">
        <w:rPr>
          <w:szCs w:val="26"/>
        </w:rPr>
        <w:t xml:space="preserve">; see </w:t>
      </w:r>
      <w:r w:rsidRPr="005D78C5" w:rsidR="00DD39AC">
        <w:rPr>
          <w:i/>
          <w:iCs/>
          <w:szCs w:val="26"/>
        </w:rPr>
        <w:t xml:space="preserve">id. </w:t>
      </w:r>
      <w:r w:rsidR="00DD39AC">
        <w:rPr>
          <w:szCs w:val="26"/>
        </w:rPr>
        <w:t>at p. 379 [“</w:t>
      </w:r>
      <w:r w:rsidRPr="00DD39AC" w:rsidR="00DD39AC">
        <w:rPr>
          <w:szCs w:val="26"/>
        </w:rPr>
        <w:t>Because the reports must include, inter alia, a statement of the minor</w:t>
      </w:r>
      <w:r w:rsidR="006525CC">
        <w:rPr>
          <w:szCs w:val="26"/>
        </w:rPr>
        <w:t>’</w:t>
      </w:r>
      <w:r w:rsidRPr="00DD39AC" w:rsidR="00DD39AC">
        <w:rPr>
          <w:szCs w:val="26"/>
        </w:rPr>
        <w:t>s feelings and thoughts concerning the pending action (Civ. Code, § 233, subd. (b)), these reports necessarily contain hearsay and even multiple hearsay</w:t>
      </w:r>
      <w:r w:rsidR="00DD39AC">
        <w:rPr>
          <w:szCs w:val="26"/>
        </w:rPr>
        <w:t xml:space="preserve">”].)  </w:t>
      </w:r>
      <w:r w:rsidR="00CF0473">
        <w:rPr>
          <w:szCs w:val="26"/>
        </w:rPr>
        <w:t>S</w:t>
      </w:r>
      <w:r w:rsidRPr="00CF0473" w:rsidR="00CF0473">
        <w:rPr>
          <w:szCs w:val="26"/>
        </w:rPr>
        <w:t>ection 6602</w:t>
      </w:r>
      <w:r w:rsidR="00CF0473">
        <w:rPr>
          <w:szCs w:val="26"/>
        </w:rPr>
        <w:t>, subdivision (a)</w:t>
      </w:r>
      <w:r w:rsidRPr="00CF0473" w:rsidR="00CF0473">
        <w:rPr>
          <w:szCs w:val="26"/>
        </w:rPr>
        <w:t xml:space="preserve"> </w:t>
      </w:r>
      <w:r w:rsidR="00CF0473">
        <w:rPr>
          <w:szCs w:val="26"/>
        </w:rPr>
        <w:t>lacks</w:t>
      </w:r>
      <w:r w:rsidRPr="00CF0473" w:rsidR="00CF0473">
        <w:rPr>
          <w:szCs w:val="26"/>
        </w:rPr>
        <w:t xml:space="preserve"> comparable language</w:t>
      </w:r>
      <w:r w:rsidR="000229B2">
        <w:rPr>
          <w:szCs w:val="26"/>
        </w:rPr>
        <w:t xml:space="preserve">:  </w:t>
      </w:r>
      <w:r w:rsidR="00626687">
        <w:rPr>
          <w:szCs w:val="26"/>
        </w:rPr>
        <w:t>T</w:t>
      </w:r>
      <w:r w:rsidR="000229B2">
        <w:rPr>
          <w:szCs w:val="26"/>
        </w:rPr>
        <w:t>here’s no</w:t>
      </w:r>
      <w:r w:rsidRPr="00CF0473" w:rsidR="00CF0473">
        <w:rPr>
          <w:szCs w:val="26"/>
        </w:rPr>
        <w:t xml:space="preserve"> </w:t>
      </w:r>
      <w:r w:rsidR="000229B2">
        <w:rPr>
          <w:szCs w:val="26"/>
        </w:rPr>
        <w:t>direction</w:t>
      </w:r>
      <w:r w:rsidRPr="00CF0473" w:rsidR="00CF0473">
        <w:rPr>
          <w:szCs w:val="26"/>
        </w:rPr>
        <w:t xml:space="preserve"> </w:t>
      </w:r>
      <w:r w:rsidR="000229B2">
        <w:rPr>
          <w:szCs w:val="26"/>
        </w:rPr>
        <w:t xml:space="preserve">that the </w:t>
      </w:r>
      <w:r w:rsidRPr="00CF0473" w:rsidR="00CF0473">
        <w:rPr>
          <w:szCs w:val="26"/>
        </w:rPr>
        <w:t xml:space="preserve">courts consider expert evaluations.  But even assuming the Legislature contemplated that courts would consider such evaluations, </w:t>
      </w:r>
      <w:r w:rsidR="00CF0473">
        <w:rPr>
          <w:szCs w:val="26"/>
        </w:rPr>
        <w:t xml:space="preserve">nothing in the SVPA definitively indicates that the subdivision permits </w:t>
      </w:r>
      <w:r w:rsidRPr="00CF0473" w:rsidR="00CF0473">
        <w:rPr>
          <w:szCs w:val="26"/>
        </w:rPr>
        <w:t>courts to consider all of the multi-level hearsay contained in such reports, including hearsay concerning nonpredicate offenses</w:t>
      </w:r>
      <w:r w:rsidRPr="00761DF6" w:rsidR="00F216ED">
        <w:rPr>
          <w:szCs w:val="26"/>
        </w:rPr>
        <w:t>.</w:t>
      </w:r>
    </w:p>
    <w:p w:rsidR="0054619F" w:rsidP="0054619F" w14:paraId="48450D92" w14:textId="77777777">
      <w:pPr>
        <w:rPr>
          <w:szCs w:val="26"/>
        </w:rPr>
      </w:pPr>
      <w:r w:rsidRPr="00761DF6">
        <w:rPr>
          <w:szCs w:val="26"/>
        </w:rPr>
        <w:tab/>
      </w:r>
      <w:r w:rsidRPr="00761DF6" w:rsidR="006565FE">
        <w:rPr>
          <w:szCs w:val="26"/>
        </w:rPr>
        <w:t>T</w:t>
      </w:r>
      <w:r w:rsidRPr="00761DF6" w:rsidR="00D259F3">
        <w:rPr>
          <w:szCs w:val="26"/>
        </w:rPr>
        <w:t>he</w:t>
      </w:r>
      <w:r w:rsidRPr="00761DF6" w:rsidR="00DC49A8">
        <w:rPr>
          <w:szCs w:val="26"/>
        </w:rPr>
        <w:t xml:space="preserve"> People</w:t>
      </w:r>
      <w:r w:rsidRPr="00761DF6" w:rsidR="00D259F3">
        <w:rPr>
          <w:szCs w:val="26"/>
        </w:rPr>
        <w:t xml:space="preserve"> </w:t>
      </w:r>
      <w:r w:rsidRPr="00761DF6" w:rsidR="002F4030">
        <w:rPr>
          <w:szCs w:val="26"/>
        </w:rPr>
        <w:t xml:space="preserve">also </w:t>
      </w:r>
      <w:r w:rsidR="00895A7B">
        <w:rPr>
          <w:szCs w:val="26"/>
        </w:rPr>
        <w:t>contend</w:t>
      </w:r>
      <w:r w:rsidRPr="00761DF6" w:rsidR="00D259F3">
        <w:rPr>
          <w:szCs w:val="26"/>
        </w:rPr>
        <w:t xml:space="preserve"> that the</w:t>
      </w:r>
      <w:r w:rsidRPr="00761DF6" w:rsidR="006565FE">
        <w:rPr>
          <w:szCs w:val="26"/>
        </w:rPr>
        <w:t xml:space="preserve"> Legislature specifically contemplated that </w:t>
      </w:r>
      <w:r w:rsidRPr="00761DF6" w:rsidR="00052100">
        <w:rPr>
          <w:szCs w:val="26"/>
        </w:rPr>
        <w:t xml:space="preserve">the </w:t>
      </w:r>
      <w:r w:rsidRPr="00761DF6" w:rsidR="006565FE">
        <w:rPr>
          <w:szCs w:val="26"/>
        </w:rPr>
        <w:t>evaluations would contain hearsay</w:t>
      </w:r>
      <w:r w:rsidR="00BE79C2">
        <w:rPr>
          <w:szCs w:val="26"/>
        </w:rPr>
        <w:t xml:space="preserve"> like accounts regarding nonpredicate offenses, </w:t>
      </w:r>
      <w:r w:rsidRPr="00761DF6" w:rsidR="006565FE">
        <w:rPr>
          <w:szCs w:val="26"/>
        </w:rPr>
        <w:t>because the</w:t>
      </w:r>
      <w:r w:rsidRPr="00761DF6" w:rsidR="00D259F3">
        <w:rPr>
          <w:szCs w:val="26"/>
        </w:rPr>
        <w:t xml:space="preserve"> </w:t>
      </w:r>
      <w:r w:rsidRPr="00761DF6" w:rsidR="00750DD6">
        <w:rPr>
          <w:szCs w:val="26"/>
        </w:rPr>
        <w:t>“</w:t>
      </w:r>
      <w:r w:rsidRPr="00761DF6" w:rsidR="00D259F3">
        <w:rPr>
          <w:szCs w:val="26"/>
        </w:rPr>
        <w:t>standardized a</w:t>
      </w:r>
      <w:r w:rsidRPr="00761DF6" w:rsidR="00DF33A4">
        <w:rPr>
          <w:szCs w:val="26"/>
        </w:rPr>
        <w:t>ssessment protocol</w:t>
      </w:r>
      <w:r w:rsidRPr="00761DF6" w:rsidR="00750DD6">
        <w:rPr>
          <w:szCs w:val="26"/>
        </w:rPr>
        <w:t>”</w:t>
      </w:r>
      <w:r w:rsidRPr="00761DF6" w:rsidR="006565FE">
        <w:rPr>
          <w:szCs w:val="26"/>
        </w:rPr>
        <w:t xml:space="preserve"> in </w:t>
      </w:r>
      <w:r w:rsidR="006E4BA0">
        <w:rPr>
          <w:szCs w:val="26"/>
        </w:rPr>
        <w:t xml:space="preserve">Welfare and Institutions Code </w:t>
      </w:r>
      <w:r w:rsidRPr="00761DF6" w:rsidR="006565FE">
        <w:rPr>
          <w:szCs w:val="26"/>
        </w:rPr>
        <w:t>section 6601, subdivision (c) require</w:t>
      </w:r>
      <w:r w:rsidRPr="00761DF6" w:rsidR="001D4FA0">
        <w:rPr>
          <w:szCs w:val="26"/>
        </w:rPr>
        <w:t>s</w:t>
      </w:r>
      <w:r w:rsidRPr="00761DF6" w:rsidR="006565FE">
        <w:rPr>
          <w:szCs w:val="26"/>
        </w:rPr>
        <w:t xml:space="preserve"> consideration of a broad array of historical information in hearsay sources.  </w:t>
      </w:r>
      <w:r w:rsidRPr="00761DF6" w:rsidR="007705A9">
        <w:rPr>
          <w:szCs w:val="26"/>
        </w:rPr>
        <w:t>Quoting the court below</w:t>
      </w:r>
      <w:r w:rsidR="004430DE">
        <w:rPr>
          <w:szCs w:val="26"/>
        </w:rPr>
        <w:t xml:space="preserve"> (</w:t>
      </w:r>
      <w:r w:rsidRPr="004430DE" w:rsidR="004430DE">
        <w:rPr>
          <w:i/>
          <w:iCs/>
          <w:szCs w:val="26"/>
        </w:rPr>
        <w:t>Walker</w:t>
      </w:r>
      <w:r w:rsidR="004430DE">
        <w:rPr>
          <w:szCs w:val="26"/>
        </w:rPr>
        <w:t xml:space="preserve">, </w:t>
      </w:r>
      <w:r w:rsidR="004430DE">
        <w:rPr>
          <w:i/>
          <w:iCs/>
          <w:szCs w:val="26"/>
        </w:rPr>
        <w:t>supra</w:t>
      </w:r>
      <w:r w:rsidR="004430DE">
        <w:rPr>
          <w:szCs w:val="26"/>
        </w:rPr>
        <w:t xml:space="preserve">, </w:t>
      </w:r>
      <w:r w:rsidR="004430DE">
        <w:rPr>
          <w:color w:val="000000"/>
          <w:szCs w:val="26"/>
          <w:shd w:val="clear" w:color="auto" w:fill="FFFFFF"/>
        </w:rPr>
        <w:t>51 Cal.App.5th at pp. 696–697)</w:t>
      </w:r>
      <w:r w:rsidRPr="00761DF6" w:rsidR="007705A9">
        <w:rPr>
          <w:szCs w:val="26"/>
        </w:rPr>
        <w:t>, the People urge that the Legislature “</w:t>
      </w:r>
      <w:r w:rsidR="004430DE">
        <w:rPr>
          <w:szCs w:val="26"/>
        </w:rPr>
        <w:t> ‘</w:t>
      </w:r>
      <w:r w:rsidRPr="00761DF6" w:rsidR="007705A9">
        <w:rPr>
          <w:szCs w:val="26"/>
        </w:rPr>
        <w:t>clearly intended</w:t>
      </w:r>
      <w:r w:rsidR="004430DE">
        <w:rPr>
          <w:szCs w:val="26"/>
        </w:rPr>
        <w:t>’ </w:t>
      </w:r>
      <w:r w:rsidRPr="00761DF6" w:rsidR="007705A9">
        <w:rPr>
          <w:szCs w:val="26"/>
        </w:rPr>
        <w:t xml:space="preserve">” for evaluators to rely on these hearsay sources in their evaluations, </w:t>
      </w:r>
      <w:r w:rsidRPr="00761DF6" w:rsidR="00052100">
        <w:rPr>
          <w:szCs w:val="26"/>
        </w:rPr>
        <w:t>“</w:t>
      </w:r>
      <w:r w:rsidR="00190958">
        <w:rPr>
          <w:szCs w:val="26"/>
        </w:rPr>
        <w:t> </w:t>
      </w:r>
      <w:r w:rsidRPr="00761DF6" w:rsidR="00D66FD7">
        <w:rPr>
          <w:szCs w:val="26"/>
        </w:rPr>
        <w:t>‘</w:t>
      </w:r>
      <w:r w:rsidRPr="00761DF6" w:rsidR="007705A9">
        <w:rPr>
          <w:szCs w:val="26"/>
        </w:rPr>
        <w:t xml:space="preserve">as the alternative would </w:t>
      </w:r>
      <w:r w:rsidRPr="00761DF6" w:rsidR="00D87D82">
        <w:rPr>
          <w:szCs w:val="26"/>
        </w:rPr>
        <w:t xml:space="preserve">be to </w:t>
      </w:r>
      <w:r w:rsidRPr="00761DF6" w:rsidR="007705A9">
        <w:rPr>
          <w:szCs w:val="26"/>
        </w:rPr>
        <w:t>require</w:t>
      </w:r>
      <w:r w:rsidRPr="00761DF6" w:rsidR="00D66FD7">
        <w:rPr>
          <w:szCs w:val="26"/>
        </w:rPr>
        <w:t>’</w:t>
      </w:r>
      <w:r w:rsidR="00190958">
        <w:rPr>
          <w:szCs w:val="26"/>
        </w:rPr>
        <w:t> </w:t>
      </w:r>
      <w:r w:rsidRPr="00761DF6" w:rsidR="00052100">
        <w:rPr>
          <w:szCs w:val="26"/>
        </w:rPr>
        <w:t>”</w:t>
      </w:r>
      <w:r w:rsidRPr="00761DF6" w:rsidR="007705A9">
        <w:rPr>
          <w:szCs w:val="26"/>
        </w:rPr>
        <w:t xml:space="preserve"> evaluators to embark on the </w:t>
      </w:r>
      <w:r w:rsidRPr="00761DF6" w:rsidR="00560BB7">
        <w:rPr>
          <w:szCs w:val="26"/>
        </w:rPr>
        <w:t>“</w:t>
      </w:r>
      <w:r w:rsidR="00190958">
        <w:rPr>
          <w:szCs w:val="26"/>
        </w:rPr>
        <w:t> </w:t>
      </w:r>
      <w:r w:rsidRPr="00761DF6" w:rsidR="00E757CE">
        <w:rPr>
          <w:szCs w:val="26"/>
        </w:rPr>
        <w:t>‘</w:t>
      </w:r>
      <w:r w:rsidRPr="00761DF6" w:rsidR="007705A9">
        <w:rPr>
          <w:szCs w:val="26"/>
        </w:rPr>
        <w:t>near-impossible task</w:t>
      </w:r>
      <w:r w:rsidRPr="00761DF6" w:rsidR="00E757CE">
        <w:rPr>
          <w:szCs w:val="26"/>
        </w:rPr>
        <w:t>’</w:t>
      </w:r>
      <w:r w:rsidR="00190958">
        <w:rPr>
          <w:szCs w:val="26"/>
        </w:rPr>
        <w:t> </w:t>
      </w:r>
      <w:r w:rsidRPr="00761DF6" w:rsidR="00560BB7">
        <w:rPr>
          <w:szCs w:val="26"/>
        </w:rPr>
        <w:t>”</w:t>
      </w:r>
      <w:r w:rsidRPr="00761DF6" w:rsidR="007705A9">
        <w:rPr>
          <w:szCs w:val="26"/>
        </w:rPr>
        <w:t xml:space="preserve"> of </w:t>
      </w:r>
      <w:r w:rsidRPr="00761DF6" w:rsidR="00007864">
        <w:rPr>
          <w:szCs w:val="26"/>
        </w:rPr>
        <w:t>“</w:t>
      </w:r>
      <w:r w:rsidR="00190958">
        <w:rPr>
          <w:szCs w:val="26"/>
        </w:rPr>
        <w:t> </w:t>
      </w:r>
      <w:r w:rsidRPr="00761DF6" w:rsidR="009E2B97">
        <w:rPr>
          <w:szCs w:val="26"/>
        </w:rPr>
        <w:t>‘</w:t>
      </w:r>
      <w:r w:rsidRPr="00761DF6" w:rsidR="00007864">
        <w:rPr>
          <w:szCs w:val="26"/>
        </w:rPr>
        <w:t>reinvestigat[ing]</w:t>
      </w:r>
      <w:r w:rsidRPr="00761DF6" w:rsidR="007705A9">
        <w:rPr>
          <w:szCs w:val="26"/>
        </w:rPr>
        <w:t xml:space="preserve"> a lifetime worth of historical information comprising the person’s </w:t>
      </w:r>
      <w:r w:rsidRPr="00761DF6" w:rsidR="008659A7">
        <w:rPr>
          <w:szCs w:val="26"/>
        </w:rPr>
        <w:t>“</w:t>
      </w:r>
      <w:r w:rsidRPr="00761DF6" w:rsidR="007705A9">
        <w:rPr>
          <w:szCs w:val="26"/>
        </w:rPr>
        <w:t>criminal and psychosexual history.</w:t>
      </w:r>
      <w:r w:rsidRPr="00761DF6" w:rsidR="008659A7">
        <w:rPr>
          <w:szCs w:val="26"/>
        </w:rPr>
        <w:t>”</w:t>
      </w:r>
      <w:r w:rsidR="00190958">
        <w:rPr>
          <w:szCs w:val="26"/>
        </w:rPr>
        <w:t> </w:t>
      </w:r>
      <w:r w:rsidRPr="00761DF6" w:rsidR="008659A7">
        <w:rPr>
          <w:szCs w:val="26"/>
        </w:rPr>
        <w:t>’</w:t>
      </w:r>
      <w:r w:rsidR="00190958">
        <w:rPr>
          <w:szCs w:val="26"/>
        </w:rPr>
        <w:t> </w:t>
      </w:r>
      <w:r w:rsidRPr="00761DF6" w:rsidR="008659A7">
        <w:rPr>
          <w:szCs w:val="26"/>
        </w:rPr>
        <w:t>”</w:t>
      </w:r>
      <w:r w:rsidRPr="00761DF6" w:rsidR="007705A9">
        <w:rPr>
          <w:szCs w:val="26"/>
        </w:rPr>
        <w:t xml:space="preserve">  </w:t>
      </w:r>
    </w:p>
    <w:p w:rsidR="00771E9A" w:rsidRPr="0054619F" w:rsidP="001A07B2" w14:paraId="24E0BB37" w14:textId="2DFD6603">
      <w:pPr>
        <w:ind w:firstLine="720"/>
        <w:rPr>
          <w:szCs w:val="26"/>
        </w:rPr>
      </w:pPr>
      <w:r w:rsidRPr="00761DF6">
        <w:rPr>
          <w:szCs w:val="26"/>
        </w:rPr>
        <w:t>But</w:t>
      </w:r>
      <w:r w:rsidRPr="00761DF6" w:rsidR="00D521BE">
        <w:rPr>
          <w:szCs w:val="26"/>
        </w:rPr>
        <w:t xml:space="preserve"> both strands of this argument fail.  </w:t>
      </w:r>
      <w:r w:rsidRPr="00761DF6" w:rsidR="00F30ABC">
        <w:rPr>
          <w:szCs w:val="26"/>
        </w:rPr>
        <w:t xml:space="preserve">The standardized protocol </w:t>
      </w:r>
      <w:r w:rsidRPr="00761DF6" w:rsidR="001A4E43">
        <w:rPr>
          <w:szCs w:val="26"/>
        </w:rPr>
        <w:t xml:space="preserve">merely </w:t>
      </w:r>
      <w:r w:rsidRPr="00761DF6" w:rsidR="00F6310A">
        <w:rPr>
          <w:szCs w:val="26"/>
        </w:rPr>
        <w:t xml:space="preserve">assures that </w:t>
      </w:r>
      <w:r w:rsidRPr="00761DF6" w:rsidR="006C2C60">
        <w:rPr>
          <w:szCs w:val="26"/>
        </w:rPr>
        <w:t xml:space="preserve">the </w:t>
      </w:r>
      <w:r w:rsidRPr="00761DF6" w:rsidR="009C6A81">
        <w:rPr>
          <w:szCs w:val="26"/>
        </w:rPr>
        <w:t xml:space="preserve">experts </w:t>
      </w:r>
      <w:r w:rsidRPr="00761DF6" w:rsidR="00FE7641">
        <w:rPr>
          <w:szCs w:val="26"/>
        </w:rPr>
        <w:t xml:space="preserve">offer their </w:t>
      </w:r>
      <w:r w:rsidRPr="00761DF6" w:rsidR="006C2C60">
        <w:rPr>
          <w:szCs w:val="26"/>
        </w:rPr>
        <w:t xml:space="preserve">professional </w:t>
      </w:r>
      <w:r w:rsidR="00156DC8">
        <w:rPr>
          <w:szCs w:val="26"/>
        </w:rPr>
        <w:t xml:space="preserve">medical </w:t>
      </w:r>
      <w:r w:rsidRPr="00761DF6" w:rsidR="006C2C60">
        <w:rPr>
          <w:szCs w:val="26"/>
        </w:rPr>
        <w:t>judgments within th</w:t>
      </w:r>
      <w:r w:rsidRPr="00761DF6" w:rsidR="001A4E43">
        <w:rPr>
          <w:szCs w:val="26"/>
        </w:rPr>
        <w:t>e</w:t>
      </w:r>
      <w:r w:rsidRPr="00761DF6" w:rsidR="006C2C60">
        <w:rPr>
          <w:szCs w:val="26"/>
        </w:rPr>
        <w:t xml:space="preserve"> </w:t>
      </w:r>
      <w:r w:rsidRPr="00761DF6" w:rsidR="001A4E43">
        <w:rPr>
          <w:szCs w:val="26"/>
        </w:rPr>
        <w:t>“</w:t>
      </w:r>
      <w:r w:rsidRPr="00761DF6" w:rsidR="006C2C60">
        <w:rPr>
          <w:szCs w:val="26"/>
        </w:rPr>
        <w:t xml:space="preserve">specified </w:t>
      </w:r>
      <w:r w:rsidRPr="00761DF6" w:rsidR="006C2C60">
        <w:rPr>
          <w:i/>
          <w:iCs/>
          <w:szCs w:val="26"/>
        </w:rPr>
        <w:t>legal</w:t>
      </w:r>
      <w:r w:rsidRPr="00761DF6" w:rsidR="006C2C60">
        <w:rPr>
          <w:szCs w:val="26"/>
        </w:rPr>
        <w:t xml:space="preserve"> framework</w:t>
      </w:r>
      <w:r w:rsidRPr="00761DF6" w:rsidR="001A4E43">
        <w:rPr>
          <w:szCs w:val="26"/>
        </w:rPr>
        <w:t xml:space="preserve">” establishing statutory criteria for committing an individual as an SVP.  </w:t>
      </w:r>
      <w:r w:rsidRPr="00761DF6" w:rsidR="00F13443">
        <w:rPr>
          <w:szCs w:val="26"/>
        </w:rPr>
        <w:t>(</w:t>
      </w:r>
      <w:r w:rsidRPr="00761DF6" w:rsidR="00F13443">
        <w:rPr>
          <w:i/>
          <w:iCs/>
          <w:szCs w:val="26"/>
        </w:rPr>
        <w:t>Ghilotti</w:t>
      </w:r>
      <w:r w:rsidRPr="00761DF6" w:rsidR="00F13443">
        <w:rPr>
          <w:szCs w:val="26"/>
        </w:rPr>
        <w:t xml:space="preserve">, </w:t>
      </w:r>
      <w:r w:rsidRPr="00761DF6" w:rsidR="00F13443">
        <w:rPr>
          <w:i/>
          <w:iCs/>
          <w:szCs w:val="26"/>
        </w:rPr>
        <w:t>supra</w:t>
      </w:r>
      <w:r w:rsidRPr="00761DF6" w:rsidR="00F13443">
        <w:rPr>
          <w:szCs w:val="26"/>
        </w:rPr>
        <w:t>, 27 Cal.4th at p. 910</w:t>
      </w:r>
      <w:r w:rsidR="00F870AA">
        <w:rPr>
          <w:szCs w:val="26"/>
        </w:rPr>
        <w:t xml:space="preserve">, italics added by </w:t>
      </w:r>
      <w:r w:rsidR="00F870AA">
        <w:rPr>
          <w:i/>
          <w:iCs/>
          <w:szCs w:val="26"/>
        </w:rPr>
        <w:t>Ghilotti</w:t>
      </w:r>
      <w:r w:rsidRPr="00761DF6" w:rsidR="00F13443">
        <w:rPr>
          <w:szCs w:val="26"/>
        </w:rPr>
        <w:t>.)</w:t>
      </w:r>
      <w:r w:rsidRPr="00761DF6" w:rsidR="009F7ECE">
        <w:rPr>
          <w:szCs w:val="26"/>
        </w:rPr>
        <w:t xml:space="preserve">  I</w:t>
      </w:r>
      <w:r w:rsidRPr="00761DF6" w:rsidR="005B3A84">
        <w:rPr>
          <w:szCs w:val="26"/>
        </w:rPr>
        <w:t xml:space="preserve">n no way does </w:t>
      </w:r>
      <w:r w:rsidRPr="00761DF6" w:rsidR="00850E04">
        <w:rPr>
          <w:szCs w:val="26"/>
        </w:rPr>
        <w:t>it</w:t>
      </w:r>
      <w:r w:rsidRPr="00761DF6" w:rsidR="00392117">
        <w:rPr>
          <w:szCs w:val="26"/>
        </w:rPr>
        <w:t xml:space="preserve"> allow or direct </w:t>
      </w:r>
      <w:r w:rsidR="00127EA7">
        <w:rPr>
          <w:szCs w:val="26"/>
        </w:rPr>
        <w:t>admission of</w:t>
      </w:r>
      <w:r w:rsidRPr="00761DF6" w:rsidR="00392117">
        <w:rPr>
          <w:szCs w:val="26"/>
        </w:rPr>
        <w:t xml:space="preserve"> hearsay in </w:t>
      </w:r>
      <w:r w:rsidR="00127EA7">
        <w:rPr>
          <w:szCs w:val="26"/>
        </w:rPr>
        <w:t xml:space="preserve">expert </w:t>
      </w:r>
      <w:r w:rsidRPr="00761DF6" w:rsidR="00392117">
        <w:rPr>
          <w:szCs w:val="26"/>
        </w:rPr>
        <w:t>reports</w:t>
      </w:r>
      <w:r w:rsidR="00BE79C2">
        <w:rPr>
          <w:szCs w:val="26"/>
        </w:rPr>
        <w:t xml:space="preserve"> </w:t>
      </w:r>
      <w:r w:rsidR="004A4915">
        <w:rPr>
          <w:szCs w:val="26"/>
        </w:rPr>
        <w:t>regarding</w:t>
      </w:r>
      <w:r w:rsidR="00BD1263">
        <w:rPr>
          <w:szCs w:val="26"/>
        </w:rPr>
        <w:t xml:space="preserve"> </w:t>
      </w:r>
      <w:r w:rsidR="00620C0A">
        <w:rPr>
          <w:szCs w:val="26"/>
        </w:rPr>
        <w:t xml:space="preserve">the </w:t>
      </w:r>
      <w:r w:rsidR="00BD1263">
        <w:rPr>
          <w:szCs w:val="26"/>
        </w:rPr>
        <w:t xml:space="preserve">facts </w:t>
      </w:r>
      <w:r w:rsidR="00620C0A">
        <w:rPr>
          <w:szCs w:val="26"/>
        </w:rPr>
        <w:t>associated with offenses that didn’t lead to predicate convictions</w:t>
      </w:r>
      <w:r w:rsidR="004A4915">
        <w:rPr>
          <w:szCs w:val="26"/>
        </w:rPr>
        <w:t>.</w:t>
      </w:r>
      <w:r w:rsidR="00902C67">
        <w:rPr>
          <w:szCs w:val="26"/>
        </w:rPr>
        <w:t xml:space="preserve">  </w:t>
      </w:r>
      <w:r w:rsidRPr="00761DF6" w:rsidR="0031277C">
        <w:rPr>
          <w:szCs w:val="26"/>
        </w:rPr>
        <w:t>And</w:t>
      </w:r>
      <w:r w:rsidRPr="00761DF6" w:rsidR="000F5D85">
        <w:rPr>
          <w:szCs w:val="26"/>
        </w:rPr>
        <w:t xml:space="preserve"> </w:t>
      </w:r>
      <w:r w:rsidRPr="00761DF6" w:rsidR="00D74362">
        <w:rPr>
          <w:szCs w:val="26"/>
        </w:rPr>
        <w:t xml:space="preserve">the absence of a hearsay exception for </w:t>
      </w:r>
      <w:r w:rsidR="00E572D1">
        <w:rPr>
          <w:szCs w:val="26"/>
        </w:rPr>
        <w:t xml:space="preserve">such evidence at </w:t>
      </w:r>
      <w:r w:rsidRPr="00761DF6" w:rsidR="00D74362">
        <w:rPr>
          <w:szCs w:val="26"/>
        </w:rPr>
        <w:t>probable cause hearing</w:t>
      </w:r>
      <w:r w:rsidRPr="00761DF6" w:rsidR="00942F33">
        <w:rPr>
          <w:szCs w:val="26"/>
        </w:rPr>
        <w:t>s</w:t>
      </w:r>
      <w:r w:rsidRPr="00761DF6" w:rsidR="00D74362">
        <w:rPr>
          <w:szCs w:val="26"/>
        </w:rPr>
        <w:t xml:space="preserve"> </w:t>
      </w:r>
      <w:r w:rsidRPr="00761DF6" w:rsidR="007E58C2">
        <w:rPr>
          <w:szCs w:val="26"/>
        </w:rPr>
        <w:t>does not</w:t>
      </w:r>
      <w:r w:rsidR="00C379C4">
        <w:rPr>
          <w:szCs w:val="26"/>
        </w:rPr>
        <w:t xml:space="preserve"> necessarily</w:t>
      </w:r>
      <w:r w:rsidRPr="00761DF6" w:rsidR="007E58C2">
        <w:rPr>
          <w:szCs w:val="26"/>
        </w:rPr>
        <w:t xml:space="preserve"> impose a near-</w:t>
      </w:r>
      <w:r w:rsidRPr="00761DF6" w:rsidR="00436D47">
        <w:rPr>
          <w:szCs w:val="26"/>
        </w:rPr>
        <w:t>impossible</w:t>
      </w:r>
      <w:r w:rsidRPr="00761DF6">
        <w:rPr>
          <w:szCs w:val="26"/>
        </w:rPr>
        <w:t xml:space="preserve"> burden on experts</w:t>
      </w:r>
      <w:r w:rsidR="009878F9">
        <w:rPr>
          <w:szCs w:val="26"/>
        </w:rPr>
        <w:t xml:space="preserve"> or the People</w:t>
      </w:r>
      <w:r w:rsidRPr="00761DF6">
        <w:rPr>
          <w:szCs w:val="26"/>
        </w:rPr>
        <w:t xml:space="preserve">.  </w:t>
      </w:r>
      <w:r w:rsidRPr="00735A15" w:rsidR="00BD1263">
        <w:rPr>
          <w:szCs w:val="26"/>
        </w:rPr>
        <w:t>First, the facts that certain offenses are alleged might be admissible for nonhearsay purposes.</w:t>
      </w:r>
      <w:r w:rsidR="007C3430">
        <w:rPr>
          <w:szCs w:val="26"/>
        </w:rPr>
        <w:t xml:space="preserve">  </w:t>
      </w:r>
      <w:r w:rsidRPr="00735A15" w:rsidR="00BD1263">
        <w:rPr>
          <w:szCs w:val="26"/>
        </w:rPr>
        <w:t>Also</w:t>
      </w:r>
      <w:r w:rsidR="00BD1263">
        <w:rPr>
          <w:szCs w:val="26"/>
        </w:rPr>
        <w:t>,</w:t>
      </w:r>
      <w:r w:rsidR="00BD1263">
        <w:rPr>
          <w:szCs w:val="26"/>
          <w:shd w:val="clear" w:color="auto" w:fill="FFFFFF"/>
        </w:rPr>
        <w:t xml:space="preserve"> a</w:t>
      </w:r>
      <w:r w:rsidRPr="00C0749D" w:rsidR="00F9561F">
        <w:rPr>
          <w:szCs w:val="26"/>
          <w:shd w:val="clear" w:color="auto" w:fill="FFFFFF"/>
        </w:rPr>
        <w:t xml:space="preserve">t least some of the </w:t>
      </w:r>
      <w:r w:rsidRPr="00377ABC" w:rsidR="00F9561F">
        <w:rPr>
          <w:szCs w:val="27"/>
          <w:shd w:val="clear" w:color="auto" w:fill="FFFFFF"/>
        </w:rPr>
        <w:t xml:space="preserve">hearsay </w:t>
      </w:r>
      <w:r w:rsidR="00E829F9">
        <w:rPr>
          <w:szCs w:val="27"/>
          <w:shd w:val="clear" w:color="auto" w:fill="FFFFFF"/>
        </w:rPr>
        <w:t>documents</w:t>
      </w:r>
      <w:r w:rsidR="00AD2BA1">
        <w:rPr>
          <w:szCs w:val="27"/>
          <w:shd w:val="clear" w:color="auto" w:fill="FFFFFF"/>
        </w:rPr>
        <w:t xml:space="preserve"> identified by </w:t>
      </w:r>
      <w:r w:rsidRPr="00377ABC" w:rsidR="00F9561F">
        <w:rPr>
          <w:szCs w:val="27"/>
          <w:shd w:val="clear" w:color="auto" w:fill="FFFFFF"/>
        </w:rPr>
        <w:t>the People and Court of Appeal</w:t>
      </w:r>
      <w:r w:rsidR="00073DBC">
        <w:rPr>
          <w:szCs w:val="27"/>
          <w:shd w:val="clear" w:color="auto" w:fill="FFFFFF"/>
        </w:rPr>
        <w:t> </w:t>
      </w:r>
      <w:r w:rsidRPr="00377ABC" w:rsidR="00F9561F">
        <w:rPr>
          <w:szCs w:val="27"/>
          <w:shd w:val="clear" w:color="auto" w:fill="FFFFFF"/>
        </w:rPr>
        <w:t>—</w:t>
      </w:r>
      <w:r w:rsidR="001D458E">
        <w:rPr>
          <w:szCs w:val="27"/>
          <w:shd w:val="clear" w:color="auto" w:fill="FFFFFF"/>
        </w:rPr>
        <w:t xml:space="preserve"> </w:t>
      </w:r>
      <w:r w:rsidRPr="00377ABC" w:rsidR="00F9561F">
        <w:rPr>
          <w:szCs w:val="27"/>
          <w:shd w:val="clear" w:color="auto" w:fill="FFFFFF"/>
        </w:rPr>
        <w:t xml:space="preserve">e.g., </w:t>
      </w:r>
      <w:r w:rsidRPr="00377ABC" w:rsidR="00F9561F">
        <w:rPr>
          <w:szCs w:val="27"/>
        </w:rPr>
        <w:t xml:space="preserve">probation reports, </w:t>
      </w:r>
      <w:r w:rsidR="007D0EE1">
        <w:rPr>
          <w:szCs w:val="27"/>
        </w:rPr>
        <w:t xml:space="preserve">as well as court, </w:t>
      </w:r>
      <w:r w:rsidRPr="00377ABC" w:rsidR="00F9561F">
        <w:rPr>
          <w:szCs w:val="27"/>
        </w:rPr>
        <w:t>prison</w:t>
      </w:r>
      <w:r w:rsidR="007D0EE1">
        <w:rPr>
          <w:szCs w:val="27"/>
        </w:rPr>
        <w:t xml:space="preserve">, and </w:t>
      </w:r>
      <w:r w:rsidRPr="00377ABC" w:rsidR="00F9561F">
        <w:rPr>
          <w:szCs w:val="27"/>
        </w:rPr>
        <w:t>medical records</w:t>
      </w:r>
      <w:r w:rsidR="001F0FDE">
        <w:rPr>
          <w:szCs w:val="27"/>
        </w:rPr>
        <w:t> </w:t>
      </w:r>
      <w:r w:rsidRPr="00377ABC" w:rsidR="00F9561F">
        <w:rPr>
          <w:szCs w:val="27"/>
        </w:rPr>
        <w:t>—</w:t>
      </w:r>
      <w:r w:rsidR="00C678BD">
        <w:rPr>
          <w:szCs w:val="27"/>
        </w:rPr>
        <w:t xml:space="preserve"> </w:t>
      </w:r>
      <w:r w:rsidRPr="00377ABC" w:rsidR="00F9561F">
        <w:rPr>
          <w:szCs w:val="27"/>
        </w:rPr>
        <w:t>may</w:t>
      </w:r>
      <w:r w:rsidRPr="00377ABC" w:rsidR="00D34AD4">
        <w:rPr>
          <w:szCs w:val="27"/>
          <w:shd w:val="clear" w:color="auto" w:fill="FFFFFF"/>
        </w:rPr>
        <w:t xml:space="preserve"> </w:t>
      </w:r>
      <w:r w:rsidRPr="00377ABC" w:rsidR="00F9561F">
        <w:rPr>
          <w:szCs w:val="27"/>
        </w:rPr>
        <w:t>still come in without too much difficulty</w:t>
      </w:r>
      <w:r w:rsidR="00D01432">
        <w:rPr>
          <w:szCs w:val="27"/>
        </w:rPr>
        <w:t xml:space="preserve">, </w:t>
      </w:r>
      <w:r w:rsidR="00AD2BA1">
        <w:rPr>
          <w:szCs w:val="27"/>
        </w:rPr>
        <w:t xml:space="preserve">provided they don’t include </w:t>
      </w:r>
      <w:r w:rsidR="00C142BB">
        <w:rPr>
          <w:szCs w:val="27"/>
        </w:rPr>
        <w:t xml:space="preserve">further </w:t>
      </w:r>
      <w:r w:rsidR="00AD2BA1">
        <w:rPr>
          <w:szCs w:val="27"/>
        </w:rPr>
        <w:t>inadmissible hearsay material</w:t>
      </w:r>
      <w:r w:rsidR="00F9561F">
        <w:t>.</w:t>
      </w:r>
      <w:r w:rsidR="00D34AD4">
        <w:t xml:space="preserve">  (See, e.g., Evid. Code</w:t>
      </w:r>
      <w:r w:rsidR="00773A3C">
        <w:t>,</w:t>
      </w:r>
      <w:r w:rsidRPr="00761DF6" w:rsidR="00773A3C">
        <w:rPr>
          <w:color w:val="000000"/>
          <w:szCs w:val="26"/>
          <w:shd w:val="clear" w:color="auto" w:fill="FFFFFF"/>
        </w:rPr>
        <w:t xml:space="preserve"> §</w:t>
      </w:r>
      <w:r w:rsidRPr="00761DF6" w:rsidR="00662D0D">
        <w:rPr>
          <w:color w:val="000000"/>
          <w:szCs w:val="26"/>
          <w:shd w:val="clear" w:color="auto" w:fill="FFFFFF"/>
        </w:rPr>
        <w:t>§</w:t>
      </w:r>
      <w:r w:rsidRPr="00761DF6" w:rsidR="00773A3C">
        <w:rPr>
          <w:color w:val="000000"/>
          <w:szCs w:val="26"/>
          <w:shd w:val="clear" w:color="auto" w:fill="FFFFFF"/>
        </w:rPr>
        <w:t xml:space="preserve"> </w:t>
      </w:r>
      <w:r w:rsidR="00662D0D">
        <w:rPr>
          <w:color w:val="000000"/>
          <w:szCs w:val="26"/>
          <w:shd w:val="clear" w:color="auto" w:fill="FFFFFF"/>
        </w:rPr>
        <w:t xml:space="preserve">1271 </w:t>
      </w:r>
      <w:r w:rsidR="008830D2">
        <w:rPr>
          <w:color w:val="000000"/>
          <w:szCs w:val="26"/>
          <w:shd w:val="clear" w:color="auto" w:fill="FFFFFF"/>
        </w:rPr>
        <w:t>[</w:t>
      </w:r>
      <w:r w:rsidR="00662D0D">
        <w:rPr>
          <w:color w:val="000000"/>
          <w:szCs w:val="26"/>
          <w:shd w:val="clear" w:color="auto" w:fill="FFFFFF"/>
        </w:rPr>
        <w:t>business records</w:t>
      </w:r>
      <w:r w:rsidR="008830D2">
        <w:rPr>
          <w:color w:val="000000"/>
          <w:szCs w:val="26"/>
          <w:shd w:val="clear" w:color="auto" w:fill="FFFFFF"/>
        </w:rPr>
        <w:t>]</w:t>
      </w:r>
      <w:r w:rsidR="00662D0D">
        <w:rPr>
          <w:color w:val="000000"/>
          <w:szCs w:val="26"/>
          <w:shd w:val="clear" w:color="auto" w:fill="FFFFFF"/>
        </w:rPr>
        <w:t xml:space="preserve">, 1280 </w:t>
      </w:r>
      <w:r w:rsidR="008830D2">
        <w:rPr>
          <w:color w:val="000000"/>
          <w:szCs w:val="26"/>
          <w:shd w:val="clear" w:color="auto" w:fill="FFFFFF"/>
        </w:rPr>
        <w:t>[</w:t>
      </w:r>
      <w:r w:rsidR="00662D0D">
        <w:rPr>
          <w:color w:val="000000"/>
          <w:szCs w:val="26"/>
          <w:shd w:val="clear" w:color="auto" w:fill="FFFFFF"/>
        </w:rPr>
        <w:t>official records</w:t>
      </w:r>
      <w:r w:rsidR="008830D2">
        <w:rPr>
          <w:color w:val="000000"/>
          <w:szCs w:val="26"/>
          <w:shd w:val="clear" w:color="auto" w:fill="FFFFFF"/>
        </w:rPr>
        <w:t>]</w:t>
      </w:r>
      <w:r w:rsidR="00662D0D">
        <w:rPr>
          <w:color w:val="000000"/>
          <w:szCs w:val="26"/>
          <w:shd w:val="clear" w:color="auto" w:fill="FFFFFF"/>
        </w:rPr>
        <w:t xml:space="preserve">, 452.5, subd. (b)(1) </w:t>
      </w:r>
      <w:r w:rsidR="008830D2">
        <w:rPr>
          <w:color w:val="000000"/>
          <w:szCs w:val="26"/>
          <w:shd w:val="clear" w:color="auto" w:fill="FFFFFF"/>
        </w:rPr>
        <w:t>[</w:t>
      </w:r>
      <w:r w:rsidR="00662D0D">
        <w:t xml:space="preserve">properly </w:t>
      </w:r>
      <w:r w:rsidRPr="00FF2D33" w:rsidR="00662D0D">
        <w:t>certified records of conviction</w:t>
      </w:r>
      <w:r w:rsidRPr="00FF2D33" w:rsidR="008830D2">
        <w:t>]</w:t>
      </w:r>
      <w:r w:rsidRPr="00FF2D33" w:rsidR="00662D0D">
        <w:t>.)</w:t>
      </w:r>
      <w:r w:rsidRPr="00FF2D33" w:rsidR="00FF24CF">
        <w:rPr>
          <w:color w:val="000000"/>
          <w:szCs w:val="26"/>
          <w:shd w:val="clear" w:color="auto" w:fill="FFFFFF"/>
        </w:rPr>
        <w:t xml:space="preserve">  </w:t>
      </w:r>
      <w:r w:rsidRPr="00FF2D33" w:rsidR="007A6C94">
        <w:rPr>
          <w:color w:val="000000"/>
          <w:szCs w:val="26"/>
          <w:shd w:val="clear" w:color="auto" w:fill="FFFFFF"/>
        </w:rPr>
        <w:t>Moreover, n</w:t>
      </w:r>
      <w:r w:rsidRPr="00FF2D33" w:rsidR="00075D17">
        <w:rPr>
          <w:color w:val="000000"/>
          <w:szCs w:val="26"/>
          <w:shd w:val="clear" w:color="auto" w:fill="FFFFFF"/>
        </w:rPr>
        <w:t>othing precludes the experts</w:t>
      </w:r>
      <w:r w:rsidRPr="00FF2D33" w:rsidR="006B0B2E">
        <w:rPr>
          <w:color w:val="000000"/>
          <w:szCs w:val="26"/>
          <w:shd w:val="clear" w:color="auto" w:fill="FFFFFF"/>
        </w:rPr>
        <w:t xml:space="preserve"> from</w:t>
      </w:r>
      <w:r w:rsidRPr="00FF2D33" w:rsidR="007B2D07">
        <w:rPr>
          <w:color w:val="000000"/>
          <w:szCs w:val="26"/>
          <w:shd w:val="clear" w:color="auto" w:fill="FFFFFF"/>
        </w:rPr>
        <w:t xml:space="preserve">, in forming their </w:t>
      </w:r>
      <w:r w:rsidR="00D119D7">
        <w:rPr>
          <w:color w:val="000000"/>
          <w:szCs w:val="26"/>
          <w:shd w:val="clear" w:color="auto" w:fill="FFFFFF"/>
        </w:rPr>
        <w:t>opinions</w:t>
      </w:r>
      <w:r w:rsidRPr="00FF2D33" w:rsidR="007B2D07">
        <w:rPr>
          <w:color w:val="000000"/>
          <w:szCs w:val="26"/>
          <w:shd w:val="clear" w:color="auto" w:fill="FFFFFF"/>
        </w:rPr>
        <w:t>,</w:t>
      </w:r>
      <w:r w:rsidRPr="00FF2D33" w:rsidR="00075D17">
        <w:rPr>
          <w:color w:val="000000"/>
          <w:szCs w:val="26"/>
          <w:shd w:val="clear" w:color="auto" w:fill="FFFFFF"/>
        </w:rPr>
        <w:t xml:space="preserve"> </w:t>
      </w:r>
      <w:r w:rsidRPr="004B4EB6" w:rsidR="000A292B">
        <w:rPr>
          <w:color w:val="000000"/>
          <w:szCs w:val="26"/>
          <w:shd w:val="clear" w:color="auto" w:fill="FFFFFF"/>
        </w:rPr>
        <w:t xml:space="preserve">relying on inadmissible hearsay </w:t>
      </w:r>
      <w:r w:rsidR="008E429A">
        <w:rPr>
          <w:color w:val="000000"/>
          <w:szCs w:val="26"/>
          <w:shd w:val="clear" w:color="auto" w:fill="FFFFFF"/>
        </w:rPr>
        <w:t>“</w:t>
      </w:r>
      <w:r w:rsidRPr="004B4EB6" w:rsidR="000A292B">
        <w:rPr>
          <w:color w:val="000000"/>
          <w:szCs w:val="26"/>
          <w:shd w:val="clear" w:color="auto" w:fill="FFFFFF"/>
        </w:rPr>
        <w:t>that is of a type that reasonably may be relied upon by</w:t>
      </w:r>
      <w:r w:rsidR="008E429A">
        <w:rPr>
          <w:color w:val="000000"/>
          <w:szCs w:val="26"/>
          <w:shd w:val="clear" w:color="auto" w:fill="FFFFFF"/>
        </w:rPr>
        <w:t>”</w:t>
      </w:r>
      <w:r w:rsidRPr="004B4EB6" w:rsidR="000A292B">
        <w:rPr>
          <w:color w:val="000000"/>
          <w:szCs w:val="26"/>
          <w:shd w:val="clear" w:color="auto" w:fill="FFFFFF"/>
        </w:rPr>
        <w:t xml:space="preserve"> those experts.  (Evid. Code, § 801</w:t>
      </w:r>
      <w:r w:rsidR="000A292B">
        <w:rPr>
          <w:color w:val="000000"/>
          <w:szCs w:val="26"/>
          <w:shd w:val="clear" w:color="auto" w:fill="FFFFFF"/>
        </w:rPr>
        <w:t xml:space="preserve">, subd. (b); </w:t>
      </w:r>
      <w:r w:rsidR="008E429A">
        <w:rPr>
          <w:color w:val="000000"/>
          <w:szCs w:val="26"/>
          <w:shd w:val="clear" w:color="auto" w:fill="FFFFFF"/>
        </w:rPr>
        <w:t xml:space="preserve">see </w:t>
      </w:r>
      <w:r w:rsidRPr="00FF2D33" w:rsidR="008E429A">
        <w:rPr>
          <w:i/>
          <w:iCs/>
          <w:color w:val="000000"/>
          <w:szCs w:val="26"/>
          <w:shd w:val="clear" w:color="auto" w:fill="FFFFFF"/>
        </w:rPr>
        <w:t>Sanchez</w:t>
      </w:r>
      <w:r w:rsidRPr="00FF2D33" w:rsidR="008E429A">
        <w:rPr>
          <w:color w:val="000000"/>
          <w:szCs w:val="26"/>
          <w:shd w:val="clear" w:color="auto" w:fill="FFFFFF"/>
        </w:rPr>
        <w:t xml:space="preserve">, </w:t>
      </w:r>
      <w:r w:rsidRPr="00FF2D33" w:rsidR="008E429A">
        <w:rPr>
          <w:i/>
          <w:iCs/>
          <w:color w:val="000000"/>
          <w:szCs w:val="26"/>
          <w:shd w:val="clear" w:color="auto" w:fill="FFFFFF"/>
        </w:rPr>
        <w:t>supra</w:t>
      </w:r>
      <w:r w:rsidRPr="00FF2D33" w:rsidR="008E429A">
        <w:rPr>
          <w:color w:val="000000"/>
          <w:szCs w:val="26"/>
          <w:shd w:val="clear" w:color="auto" w:fill="FFFFFF"/>
        </w:rPr>
        <w:t>, 63 Cal.4th at p. 685</w:t>
      </w:r>
      <w:r w:rsidR="008E429A">
        <w:rPr>
          <w:color w:val="000000"/>
          <w:szCs w:val="26"/>
          <w:shd w:val="clear" w:color="auto" w:fill="FFFFFF"/>
        </w:rPr>
        <w:t>.)</w:t>
      </w:r>
      <w:r>
        <w:rPr>
          <w:rStyle w:val="FootnoteReference"/>
          <w:color w:val="000000"/>
          <w:szCs w:val="26"/>
          <w:shd w:val="clear" w:color="auto" w:fill="FFFFFF"/>
        </w:rPr>
        <w:footnoteReference w:id="6"/>
      </w:r>
      <w:r w:rsidRPr="00FF2D33" w:rsidR="00701BB7">
        <w:rPr>
          <w:color w:val="000000"/>
          <w:szCs w:val="26"/>
          <w:shd w:val="clear" w:color="auto" w:fill="FFFFFF"/>
        </w:rPr>
        <w:t xml:space="preserve">  </w:t>
      </w:r>
      <w:r w:rsidRPr="00FF2D33" w:rsidR="00FF24CF">
        <w:rPr>
          <w:szCs w:val="26"/>
        </w:rPr>
        <w:t xml:space="preserve">And, of course, </w:t>
      </w:r>
      <w:r w:rsidRPr="00FF2D33" w:rsidR="00FF24CF">
        <w:t xml:space="preserve">the </w:t>
      </w:r>
      <w:r w:rsidRPr="00FF2D33" w:rsidR="00FF24CF">
        <w:rPr>
          <w:szCs w:val="26"/>
          <w:shd w:val="clear" w:color="auto" w:fill="FFFFFF"/>
        </w:rPr>
        <w:t>Legislature can also enact reforms</w:t>
      </w:r>
      <w:r w:rsidRPr="00FF2D33" w:rsidR="00EB10BD">
        <w:rPr>
          <w:szCs w:val="26"/>
          <w:shd w:val="clear" w:color="auto" w:fill="FFFFFF"/>
        </w:rPr>
        <w:t xml:space="preserve"> to address any </w:t>
      </w:r>
      <w:r w:rsidRPr="00FF2D33" w:rsidR="00537CC4">
        <w:rPr>
          <w:szCs w:val="26"/>
          <w:shd w:val="clear" w:color="auto" w:fill="FFFFFF"/>
        </w:rPr>
        <w:t xml:space="preserve">further </w:t>
      </w:r>
      <w:r w:rsidRPr="00FF2D33" w:rsidR="00EB10BD">
        <w:rPr>
          <w:szCs w:val="26"/>
          <w:shd w:val="clear" w:color="auto" w:fill="FFFFFF"/>
        </w:rPr>
        <w:t>practical</w:t>
      </w:r>
      <w:r w:rsidR="00EB10BD">
        <w:rPr>
          <w:szCs w:val="26"/>
          <w:shd w:val="clear" w:color="auto" w:fill="FFFFFF"/>
        </w:rPr>
        <w:t xml:space="preserve"> concerns.</w:t>
      </w:r>
    </w:p>
    <w:p w:rsidR="003C7F26" w:rsidRPr="00074288" w:rsidP="00074288" w14:paraId="77C51739" w14:textId="6A952B02">
      <w:pPr>
        <w:ind w:firstLine="720"/>
        <w:rPr>
          <w:color w:val="000000"/>
          <w:szCs w:val="26"/>
          <w:shd w:val="clear" w:color="auto" w:fill="FFFFFF"/>
        </w:rPr>
      </w:pPr>
      <w:r w:rsidRPr="00761DF6">
        <w:rPr>
          <w:szCs w:val="26"/>
        </w:rPr>
        <w:t>We</w:t>
      </w:r>
      <w:r>
        <w:rPr>
          <w:szCs w:val="26"/>
        </w:rPr>
        <w:t>’re</w:t>
      </w:r>
      <w:r w:rsidRPr="00761DF6">
        <w:rPr>
          <w:szCs w:val="26"/>
        </w:rPr>
        <w:t xml:space="preserve"> also not persuaded </w:t>
      </w:r>
      <w:r>
        <w:rPr>
          <w:szCs w:val="26"/>
        </w:rPr>
        <w:t xml:space="preserve">that the experts’ role justifies admitting </w:t>
      </w:r>
      <w:r w:rsidR="000229B2">
        <w:rPr>
          <w:szCs w:val="26"/>
        </w:rPr>
        <w:t xml:space="preserve">every single line in </w:t>
      </w:r>
      <w:r>
        <w:rPr>
          <w:szCs w:val="26"/>
        </w:rPr>
        <w:t xml:space="preserve">their reports. </w:t>
      </w:r>
      <w:r w:rsidR="006E27BB">
        <w:rPr>
          <w:szCs w:val="26"/>
        </w:rPr>
        <w:t xml:space="preserve"> </w:t>
      </w:r>
      <w:r>
        <w:rPr>
          <w:szCs w:val="26"/>
        </w:rPr>
        <w:t>T</w:t>
      </w:r>
      <w:r w:rsidRPr="00761DF6">
        <w:rPr>
          <w:szCs w:val="26"/>
        </w:rPr>
        <w:t>he People conten</w:t>
      </w:r>
      <w:r>
        <w:rPr>
          <w:szCs w:val="26"/>
        </w:rPr>
        <w:t>d</w:t>
      </w:r>
      <w:r w:rsidRPr="00761DF6">
        <w:rPr>
          <w:szCs w:val="26"/>
        </w:rPr>
        <w:t xml:space="preserve"> that because the experts are “neutral” evaluators applying the standardized protocol, the </w:t>
      </w:r>
      <w:r>
        <w:rPr>
          <w:szCs w:val="26"/>
        </w:rPr>
        <w:t xml:space="preserve">evaluation </w:t>
      </w:r>
      <w:r w:rsidRPr="00761DF6">
        <w:rPr>
          <w:szCs w:val="26"/>
        </w:rPr>
        <w:t xml:space="preserve">reports have a degree of reliability and trustworthiness that supports </w:t>
      </w:r>
      <w:r>
        <w:rPr>
          <w:szCs w:val="26"/>
        </w:rPr>
        <w:t>an implied hearsay exception for their</w:t>
      </w:r>
      <w:r w:rsidRPr="00761DF6">
        <w:rPr>
          <w:szCs w:val="26"/>
        </w:rPr>
        <w:t xml:space="preserve"> full admission, including any hearsay they contain</w:t>
      </w:r>
      <w:r>
        <w:rPr>
          <w:szCs w:val="26"/>
        </w:rPr>
        <w:t xml:space="preserve"> regarding nonpredicate offenses.</w:t>
      </w:r>
      <w:r w:rsidR="00716D6C">
        <w:rPr>
          <w:szCs w:val="26"/>
        </w:rPr>
        <w:t xml:space="preserve">  </w:t>
      </w:r>
      <w:r w:rsidRPr="00761DF6" w:rsidR="00DD065E">
        <w:rPr>
          <w:szCs w:val="26"/>
        </w:rPr>
        <w:t>As support</w:t>
      </w:r>
      <w:r w:rsidRPr="00761DF6" w:rsidR="00B931F2">
        <w:rPr>
          <w:szCs w:val="26"/>
        </w:rPr>
        <w:t>, t</w:t>
      </w:r>
      <w:r w:rsidRPr="00761DF6" w:rsidR="00222CC4">
        <w:rPr>
          <w:szCs w:val="26"/>
        </w:rPr>
        <w:t xml:space="preserve">he People analogize to </w:t>
      </w:r>
      <w:r w:rsidRPr="00761DF6" w:rsidR="00222CC4">
        <w:rPr>
          <w:i/>
          <w:iCs/>
          <w:szCs w:val="26"/>
        </w:rPr>
        <w:t>Malinda</w:t>
      </w:r>
      <w:r w:rsidRPr="00761DF6" w:rsidR="00222CC4">
        <w:rPr>
          <w:szCs w:val="26"/>
        </w:rPr>
        <w:t xml:space="preserve">, </w:t>
      </w:r>
      <w:r w:rsidRPr="00761DF6" w:rsidR="00222CC4">
        <w:rPr>
          <w:i/>
          <w:iCs/>
          <w:szCs w:val="26"/>
        </w:rPr>
        <w:t>supra</w:t>
      </w:r>
      <w:r w:rsidRPr="00761DF6" w:rsidR="00222CC4">
        <w:rPr>
          <w:szCs w:val="26"/>
        </w:rPr>
        <w:t xml:space="preserve">, </w:t>
      </w:r>
      <w:r w:rsidRPr="00761DF6" w:rsidR="00A93C6F">
        <w:rPr>
          <w:szCs w:val="26"/>
        </w:rPr>
        <w:t>51 Cal.3d at p</w:t>
      </w:r>
      <w:r w:rsidRPr="00761DF6" w:rsidR="00886C1D">
        <w:rPr>
          <w:szCs w:val="26"/>
        </w:rPr>
        <w:t>ages</w:t>
      </w:r>
      <w:r w:rsidRPr="00761DF6" w:rsidR="00A93C6F">
        <w:rPr>
          <w:szCs w:val="26"/>
        </w:rPr>
        <w:t xml:space="preserve"> 375–37</w:t>
      </w:r>
      <w:r w:rsidRPr="00761DF6" w:rsidR="008970BA">
        <w:rPr>
          <w:szCs w:val="26"/>
        </w:rPr>
        <w:t>8</w:t>
      </w:r>
      <w:r w:rsidRPr="00761DF6" w:rsidR="00A93C6F">
        <w:rPr>
          <w:szCs w:val="26"/>
        </w:rPr>
        <w:t xml:space="preserve">, </w:t>
      </w:r>
      <w:r w:rsidRPr="00761DF6" w:rsidR="005A3E67">
        <w:rPr>
          <w:szCs w:val="26"/>
        </w:rPr>
        <w:t>385</w:t>
      </w:r>
      <w:r w:rsidRPr="00761DF6" w:rsidR="00B931F2">
        <w:rPr>
          <w:szCs w:val="26"/>
        </w:rPr>
        <w:t xml:space="preserve">. </w:t>
      </w:r>
      <w:r w:rsidRPr="00761DF6" w:rsidR="00737DD8">
        <w:rPr>
          <w:szCs w:val="26"/>
        </w:rPr>
        <w:t xml:space="preserve"> </w:t>
      </w:r>
      <w:r w:rsidR="00CB72C4">
        <w:rPr>
          <w:szCs w:val="26"/>
        </w:rPr>
        <w:t>Setting aside the markedly different statutory language in that case</w:t>
      </w:r>
      <w:r w:rsidR="00D80B6B">
        <w:rPr>
          <w:szCs w:val="26"/>
        </w:rPr>
        <w:t xml:space="preserve"> (</w:t>
      </w:r>
      <w:r w:rsidRPr="00D80B6B" w:rsidR="00D80B6B">
        <w:rPr>
          <w:i/>
          <w:iCs/>
          <w:szCs w:val="26"/>
        </w:rPr>
        <w:t>ante</w:t>
      </w:r>
      <w:r w:rsidR="00D80B6B">
        <w:rPr>
          <w:szCs w:val="26"/>
        </w:rPr>
        <w:t>, at p.</w:t>
      </w:r>
      <w:r w:rsidR="00206B16">
        <w:rPr>
          <w:szCs w:val="26"/>
        </w:rPr>
        <w:t xml:space="preserve"> </w:t>
      </w:r>
      <w:r w:rsidR="00EA4FA8">
        <w:rPr>
          <w:szCs w:val="26"/>
        </w:rPr>
        <w:t>27</w:t>
      </w:r>
      <w:r w:rsidR="00D80B6B">
        <w:rPr>
          <w:szCs w:val="26"/>
        </w:rPr>
        <w:t>)</w:t>
      </w:r>
      <w:r w:rsidR="00315FC4">
        <w:rPr>
          <w:szCs w:val="26"/>
        </w:rPr>
        <w:t xml:space="preserve">, </w:t>
      </w:r>
      <w:r w:rsidRPr="00554877" w:rsidR="00743ADB">
        <w:rPr>
          <w:i/>
          <w:iCs/>
          <w:szCs w:val="26"/>
        </w:rPr>
        <w:t>Malinda</w:t>
      </w:r>
      <w:r w:rsidR="00743ADB">
        <w:rPr>
          <w:szCs w:val="26"/>
        </w:rPr>
        <w:t xml:space="preserve"> </w:t>
      </w:r>
      <w:r w:rsidR="00554877">
        <w:rPr>
          <w:szCs w:val="26"/>
        </w:rPr>
        <w:t>also critically differs in terms of the nature of the hearsay evidence</w:t>
      </w:r>
      <w:r w:rsidR="00F25838">
        <w:rPr>
          <w:szCs w:val="26"/>
        </w:rPr>
        <w:t xml:space="preserve"> and expertise</w:t>
      </w:r>
      <w:r w:rsidR="00554877">
        <w:rPr>
          <w:szCs w:val="26"/>
        </w:rPr>
        <w:t xml:space="preserve"> at issue</w:t>
      </w:r>
      <w:r w:rsidR="00D92085">
        <w:rPr>
          <w:szCs w:val="26"/>
        </w:rPr>
        <w:t xml:space="preserve">.  </w:t>
      </w:r>
      <w:r w:rsidR="006E6011">
        <w:rPr>
          <w:szCs w:val="26"/>
        </w:rPr>
        <w:t>There</w:t>
      </w:r>
      <w:r w:rsidR="008C5D21">
        <w:rPr>
          <w:szCs w:val="26"/>
        </w:rPr>
        <w:t xml:space="preserve">, we </w:t>
      </w:r>
      <w:r w:rsidR="007F29D3">
        <w:rPr>
          <w:szCs w:val="26"/>
        </w:rPr>
        <w:t xml:space="preserve">did </w:t>
      </w:r>
      <w:r w:rsidR="006E6011">
        <w:rPr>
          <w:szCs w:val="26"/>
        </w:rPr>
        <w:t>agree with</w:t>
      </w:r>
      <w:r w:rsidR="008C5D21">
        <w:rPr>
          <w:szCs w:val="26"/>
        </w:rPr>
        <w:t xml:space="preserve"> </w:t>
      </w:r>
      <w:r w:rsidR="00361361">
        <w:rPr>
          <w:szCs w:val="26"/>
        </w:rPr>
        <w:t xml:space="preserve">similar </w:t>
      </w:r>
      <w:r w:rsidR="006E6011">
        <w:rPr>
          <w:szCs w:val="26"/>
        </w:rPr>
        <w:t xml:space="preserve">arguments that </w:t>
      </w:r>
      <w:r w:rsidR="008C5D21">
        <w:rPr>
          <w:szCs w:val="26"/>
        </w:rPr>
        <w:t>the Legislature implicitly created a hearsay exception,</w:t>
      </w:r>
      <w:r w:rsidR="006E6011">
        <w:rPr>
          <w:szCs w:val="26"/>
        </w:rPr>
        <w:t xml:space="preserve"> but we did so in part based on a judgment about the reliability of the hearsay</w:t>
      </w:r>
      <w:r w:rsidR="003117F5">
        <w:rPr>
          <w:szCs w:val="26"/>
        </w:rPr>
        <w:t xml:space="preserve"> evidence</w:t>
      </w:r>
      <w:r w:rsidR="006E6011">
        <w:rPr>
          <w:szCs w:val="26"/>
        </w:rPr>
        <w:t xml:space="preserve">:  </w:t>
      </w:r>
      <w:r w:rsidR="00755B6D">
        <w:rPr>
          <w:szCs w:val="26"/>
        </w:rPr>
        <w:t>T</w:t>
      </w:r>
      <w:r w:rsidR="00526ACC">
        <w:rPr>
          <w:szCs w:val="26"/>
        </w:rPr>
        <w:t xml:space="preserve">he </w:t>
      </w:r>
      <w:r w:rsidR="00755B6D">
        <w:rPr>
          <w:szCs w:val="26"/>
        </w:rPr>
        <w:t xml:space="preserve">relevant </w:t>
      </w:r>
      <w:r w:rsidR="00526ACC">
        <w:rPr>
          <w:szCs w:val="26"/>
        </w:rPr>
        <w:t>expert</w:t>
      </w:r>
      <w:r w:rsidR="00755B6D">
        <w:rPr>
          <w:szCs w:val="26"/>
        </w:rPr>
        <w:t>s</w:t>
      </w:r>
      <w:r w:rsidR="00526ACC">
        <w:rPr>
          <w:szCs w:val="26"/>
        </w:rPr>
        <w:t xml:space="preserve">, </w:t>
      </w:r>
      <w:r w:rsidR="00653197">
        <w:rPr>
          <w:szCs w:val="26"/>
        </w:rPr>
        <w:t>social workers</w:t>
      </w:r>
      <w:r w:rsidR="00065037">
        <w:rPr>
          <w:szCs w:val="26"/>
        </w:rPr>
        <w:t xml:space="preserve">, </w:t>
      </w:r>
      <w:r w:rsidR="00526ACC">
        <w:rPr>
          <w:color w:val="000000"/>
          <w:szCs w:val="26"/>
          <w:shd w:val="clear" w:color="auto" w:fill="FFFFFF"/>
        </w:rPr>
        <w:t xml:space="preserve">would bring </w:t>
      </w:r>
      <w:r w:rsidR="00065037">
        <w:rPr>
          <w:color w:val="000000"/>
          <w:szCs w:val="26"/>
          <w:shd w:val="clear" w:color="auto" w:fill="FFFFFF"/>
        </w:rPr>
        <w:t xml:space="preserve">knowledge and </w:t>
      </w:r>
      <w:r w:rsidR="00526ACC">
        <w:rPr>
          <w:color w:val="000000"/>
          <w:szCs w:val="26"/>
          <w:shd w:val="clear" w:color="auto" w:fill="FFFFFF"/>
        </w:rPr>
        <w:t xml:space="preserve">expertise to bear in the use of the hearsay information in the </w:t>
      </w:r>
      <w:r w:rsidR="003117F5">
        <w:rPr>
          <w:color w:val="000000"/>
          <w:szCs w:val="26"/>
          <w:shd w:val="clear" w:color="auto" w:fill="FFFFFF"/>
        </w:rPr>
        <w:t xml:space="preserve">social study </w:t>
      </w:r>
      <w:r w:rsidR="00526ACC">
        <w:rPr>
          <w:color w:val="000000"/>
          <w:szCs w:val="26"/>
          <w:shd w:val="clear" w:color="auto" w:fill="FFFFFF"/>
        </w:rPr>
        <w:t>report</w:t>
      </w:r>
      <w:r w:rsidR="003117F5">
        <w:rPr>
          <w:color w:val="000000"/>
          <w:szCs w:val="26"/>
          <w:shd w:val="clear" w:color="auto" w:fill="FFFFFF"/>
        </w:rPr>
        <w:t>s</w:t>
      </w:r>
      <w:r w:rsidR="00755B6D">
        <w:rPr>
          <w:color w:val="000000"/>
          <w:szCs w:val="26"/>
          <w:shd w:val="clear" w:color="auto" w:fill="FFFFFF"/>
        </w:rPr>
        <w:t xml:space="preserve"> they authored</w:t>
      </w:r>
      <w:r w:rsidR="00526ACC">
        <w:rPr>
          <w:color w:val="000000"/>
          <w:szCs w:val="26"/>
          <w:shd w:val="clear" w:color="auto" w:fill="FFFFFF"/>
        </w:rPr>
        <w:t xml:space="preserve">.  </w:t>
      </w:r>
      <w:r>
        <w:rPr>
          <w:color w:val="000000"/>
          <w:szCs w:val="26"/>
          <w:shd w:val="clear" w:color="auto" w:fill="FFFFFF"/>
        </w:rPr>
        <w:t>(</w:t>
      </w:r>
      <w:r w:rsidR="003D0D48">
        <w:rPr>
          <w:i/>
          <w:iCs/>
          <w:color w:val="000000"/>
          <w:szCs w:val="26"/>
          <w:shd w:val="clear" w:color="auto" w:fill="FFFFFF"/>
        </w:rPr>
        <w:t>Id.</w:t>
      </w:r>
      <w:r>
        <w:rPr>
          <w:color w:val="000000"/>
          <w:szCs w:val="26"/>
          <w:shd w:val="clear" w:color="auto" w:fill="FFFFFF"/>
        </w:rPr>
        <w:t xml:space="preserve"> at p. 377.)</w:t>
      </w:r>
      <w:r w:rsidR="00D1261C">
        <w:rPr>
          <w:color w:val="000000"/>
          <w:szCs w:val="26"/>
          <w:shd w:val="clear" w:color="auto" w:fill="FFFFFF"/>
        </w:rPr>
        <w:t xml:space="preserve">  In particular, the </w:t>
      </w:r>
      <w:r w:rsidRPr="00761DF6">
        <w:rPr>
          <w:szCs w:val="26"/>
        </w:rPr>
        <w:t>social workers prepared the social studies on the basis of direct interviews with the minor and her parents (</w:t>
      </w:r>
      <w:r w:rsidR="003D0D48">
        <w:rPr>
          <w:i/>
          <w:iCs/>
          <w:szCs w:val="26"/>
        </w:rPr>
        <w:t xml:space="preserve">id. </w:t>
      </w:r>
      <w:r w:rsidRPr="00761DF6">
        <w:rPr>
          <w:szCs w:val="26"/>
        </w:rPr>
        <w:t>at pp. 373–374), and they related the contents of these interviews as part of their statutory role:  as “</w:t>
      </w:r>
      <w:r w:rsidR="004430DE">
        <w:rPr>
          <w:szCs w:val="26"/>
        </w:rPr>
        <w:t> ‘</w:t>
      </w:r>
      <w:r w:rsidRPr="00761DF6">
        <w:rPr>
          <w:szCs w:val="26"/>
        </w:rPr>
        <w:t>a special arm of the court to investigate the status of the children and report</w:t>
      </w:r>
      <w:r w:rsidR="004430DE">
        <w:rPr>
          <w:szCs w:val="26"/>
        </w:rPr>
        <w:t>’ </w:t>
      </w:r>
      <w:r w:rsidRPr="00761DF6">
        <w:rPr>
          <w:szCs w:val="26"/>
        </w:rPr>
        <w:t>” back (</w:t>
      </w:r>
      <w:r w:rsidRPr="00761DF6">
        <w:rPr>
          <w:i/>
          <w:iCs/>
          <w:szCs w:val="26"/>
        </w:rPr>
        <w:t>id.</w:t>
      </w:r>
      <w:r w:rsidRPr="00761DF6">
        <w:rPr>
          <w:szCs w:val="26"/>
        </w:rPr>
        <w:t xml:space="preserve"> at p. 377, fn. 8; see also </w:t>
      </w:r>
      <w:r w:rsidRPr="00761DF6">
        <w:rPr>
          <w:i/>
          <w:iCs/>
          <w:szCs w:val="26"/>
        </w:rPr>
        <w:t>id.</w:t>
      </w:r>
      <w:r w:rsidRPr="00761DF6">
        <w:rPr>
          <w:szCs w:val="26"/>
        </w:rPr>
        <w:t xml:space="preserve"> at pp. 377–379).</w:t>
      </w:r>
    </w:p>
    <w:p w:rsidR="00E64BB0" w:rsidP="00604B9D" w14:paraId="4A726BEE" w14:textId="2ADB28F5">
      <w:pPr>
        <w:ind w:firstLine="720"/>
        <w:rPr>
          <w:szCs w:val="26"/>
        </w:rPr>
      </w:pPr>
      <w:r>
        <w:rPr>
          <w:szCs w:val="26"/>
        </w:rPr>
        <w:t xml:space="preserve">Here, </w:t>
      </w:r>
      <w:r w:rsidR="00796A5D">
        <w:rPr>
          <w:color w:val="000000"/>
          <w:szCs w:val="26"/>
          <w:shd w:val="clear" w:color="auto" w:fill="FFFFFF"/>
        </w:rPr>
        <w:t xml:space="preserve">no similar justification exists for </w:t>
      </w:r>
      <w:r w:rsidR="00406A9F">
        <w:rPr>
          <w:color w:val="000000"/>
          <w:szCs w:val="26"/>
          <w:shd w:val="clear" w:color="auto" w:fill="FFFFFF"/>
        </w:rPr>
        <w:t xml:space="preserve">concluding the Legislature has implicitly allowed </w:t>
      </w:r>
      <w:r w:rsidR="008B7FE0">
        <w:rPr>
          <w:color w:val="000000"/>
          <w:szCs w:val="26"/>
          <w:shd w:val="clear" w:color="auto" w:fill="FFFFFF"/>
        </w:rPr>
        <w:t>psychologists</w:t>
      </w:r>
      <w:r w:rsidR="00796A5D">
        <w:rPr>
          <w:color w:val="000000"/>
          <w:szCs w:val="26"/>
          <w:shd w:val="clear" w:color="auto" w:fill="FFFFFF"/>
        </w:rPr>
        <w:t xml:space="preserve"> to relate, via their reports, hearsay accounts of </w:t>
      </w:r>
      <w:r w:rsidR="00170CDA">
        <w:rPr>
          <w:color w:val="000000"/>
          <w:szCs w:val="26"/>
          <w:shd w:val="clear" w:color="auto" w:fill="FFFFFF"/>
        </w:rPr>
        <w:t>nonpredicate</w:t>
      </w:r>
      <w:r w:rsidR="00796A5D">
        <w:rPr>
          <w:color w:val="000000"/>
          <w:szCs w:val="26"/>
          <w:shd w:val="clear" w:color="auto" w:fill="FFFFFF"/>
        </w:rPr>
        <w:t xml:space="preserve"> criminal offenses.</w:t>
      </w:r>
      <w:r w:rsidR="008B7FE0">
        <w:rPr>
          <w:color w:val="000000"/>
          <w:szCs w:val="26"/>
          <w:shd w:val="clear" w:color="auto" w:fill="FFFFFF"/>
        </w:rPr>
        <w:t xml:space="preserve">  Yes, </w:t>
      </w:r>
      <w:r w:rsidR="008B7FE0">
        <w:rPr>
          <w:szCs w:val="26"/>
        </w:rPr>
        <w:t>t</w:t>
      </w:r>
      <w:r w:rsidR="008B7FE0">
        <w:rPr>
          <w:color w:val="000000"/>
          <w:szCs w:val="26"/>
        </w:rPr>
        <w:t xml:space="preserve">hese experts offer diagnoses that fall within a properly qualified mental health </w:t>
      </w:r>
      <w:r w:rsidR="003470B4">
        <w:rPr>
          <w:color w:val="000000"/>
          <w:szCs w:val="26"/>
        </w:rPr>
        <w:t>professional’s</w:t>
      </w:r>
      <w:r w:rsidR="008B7FE0">
        <w:rPr>
          <w:color w:val="000000"/>
          <w:szCs w:val="26"/>
        </w:rPr>
        <w:t xml:space="preserve"> expertise</w:t>
      </w:r>
      <w:r w:rsidR="00DA3A70">
        <w:rPr>
          <w:color w:val="000000"/>
          <w:szCs w:val="26"/>
        </w:rPr>
        <w:t>, and in doing so</w:t>
      </w:r>
      <w:r w:rsidR="006F24B1">
        <w:rPr>
          <w:color w:val="000000"/>
          <w:szCs w:val="26"/>
        </w:rPr>
        <w:t xml:space="preserve"> they </w:t>
      </w:r>
      <w:r w:rsidR="00BB7224">
        <w:rPr>
          <w:color w:val="000000"/>
          <w:szCs w:val="26"/>
        </w:rPr>
        <w:t xml:space="preserve">often </w:t>
      </w:r>
      <w:r w:rsidR="006F24B1">
        <w:rPr>
          <w:color w:val="000000"/>
          <w:szCs w:val="26"/>
        </w:rPr>
        <w:t>do</w:t>
      </w:r>
      <w:r w:rsidR="00DA3A70">
        <w:rPr>
          <w:color w:val="000000"/>
          <w:szCs w:val="26"/>
        </w:rPr>
        <w:t xml:space="preserve"> draw insight from a comprehensive array of sources.  (</w:t>
      </w:r>
      <w:r w:rsidRPr="009D0934" w:rsidR="00DA3A70">
        <w:rPr>
          <w:i/>
          <w:iCs/>
          <w:color w:val="000000"/>
          <w:szCs w:val="26"/>
        </w:rPr>
        <w:t>Couthren</w:t>
      </w:r>
      <w:r w:rsidR="00DA3A70">
        <w:rPr>
          <w:color w:val="000000"/>
          <w:szCs w:val="26"/>
        </w:rPr>
        <w:t xml:space="preserve">, </w:t>
      </w:r>
      <w:r w:rsidRPr="009D0934" w:rsidR="00DA3A70">
        <w:rPr>
          <w:i/>
          <w:iCs/>
          <w:color w:val="000000"/>
          <w:szCs w:val="26"/>
        </w:rPr>
        <w:t>supra</w:t>
      </w:r>
      <w:r w:rsidR="00DA3A70">
        <w:rPr>
          <w:color w:val="000000"/>
          <w:szCs w:val="26"/>
        </w:rPr>
        <w:t xml:space="preserve">, 41 Cal.App.5th at pp. 1010–1011.)  </w:t>
      </w:r>
      <w:r w:rsidR="007C5865">
        <w:rPr>
          <w:color w:val="000000"/>
          <w:szCs w:val="26"/>
        </w:rPr>
        <w:t xml:space="preserve">But these circumstances </w:t>
      </w:r>
      <w:r w:rsidR="007C5865">
        <w:rPr>
          <w:color w:val="000000"/>
          <w:szCs w:val="26"/>
          <w:shd w:val="clear" w:color="auto" w:fill="FFFFFF"/>
        </w:rPr>
        <w:t xml:space="preserve">surrounding the validity of the experts’ </w:t>
      </w:r>
      <w:r w:rsidRPr="003D4B68" w:rsidR="007C5865">
        <w:rPr>
          <w:i/>
          <w:iCs/>
          <w:color w:val="000000"/>
          <w:szCs w:val="26"/>
          <w:shd w:val="clear" w:color="auto" w:fill="FFFFFF"/>
        </w:rPr>
        <w:t xml:space="preserve">medical </w:t>
      </w:r>
      <w:r w:rsidR="007C5865">
        <w:rPr>
          <w:color w:val="000000"/>
          <w:szCs w:val="26"/>
          <w:shd w:val="clear" w:color="auto" w:fill="FFFFFF"/>
        </w:rPr>
        <w:t xml:space="preserve">diagnoses, and the experts’ apparent </w:t>
      </w:r>
      <w:r w:rsidR="00114DE9">
        <w:rPr>
          <w:color w:val="000000"/>
          <w:szCs w:val="26"/>
          <w:shd w:val="clear" w:color="auto" w:fill="FFFFFF"/>
        </w:rPr>
        <w:t xml:space="preserve">objectivity and </w:t>
      </w:r>
      <w:r w:rsidR="007C5865">
        <w:rPr>
          <w:color w:val="000000"/>
          <w:szCs w:val="26"/>
          <w:shd w:val="clear" w:color="auto" w:fill="FFFFFF"/>
        </w:rPr>
        <w:t xml:space="preserve">neutrality, </w:t>
      </w:r>
      <w:r w:rsidR="005E0531">
        <w:rPr>
          <w:color w:val="000000"/>
          <w:szCs w:val="26"/>
          <w:shd w:val="clear" w:color="auto" w:fill="FFFFFF"/>
        </w:rPr>
        <w:t>are</w:t>
      </w:r>
      <w:r w:rsidR="007C5865">
        <w:rPr>
          <w:color w:val="000000"/>
          <w:szCs w:val="26"/>
          <w:shd w:val="clear" w:color="auto" w:fill="FFFFFF"/>
        </w:rPr>
        <w:t xml:space="preserve"> beside the point.</w:t>
      </w:r>
      <w:r w:rsidR="006E4BA0">
        <w:rPr>
          <w:color w:val="000000"/>
          <w:szCs w:val="26"/>
          <w:shd w:val="clear" w:color="auto" w:fill="FFFFFF"/>
        </w:rPr>
        <w:t xml:space="preserve"> </w:t>
      </w:r>
      <w:r w:rsidR="007C5865">
        <w:rPr>
          <w:color w:val="000000"/>
          <w:szCs w:val="26"/>
          <w:shd w:val="clear" w:color="auto" w:fill="FFFFFF"/>
        </w:rPr>
        <w:t xml:space="preserve"> </w:t>
      </w:r>
      <w:r w:rsidR="007C5865">
        <w:rPr>
          <w:color w:val="000000"/>
          <w:szCs w:val="26"/>
        </w:rPr>
        <w:t xml:space="preserve">Nothing </w:t>
      </w:r>
      <w:r w:rsidR="000A639E">
        <w:rPr>
          <w:color w:val="000000"/>
          <w:szCs w:val="26"/>
          <w:shd w:val="clear" w:color="auto" w:fill="FFFFFF"/>
        </w:rPr>
        <w:t xml:space="preserve">about </w:t>
      </w:r>
      <w:r w:rsidR="002D53D6">
        <w:rPr>
          <w:color w:val="000000"/>
          <w:szCs w:val="26"/>
          <w:shd w:val="clear" w:color="auto" w:fill="FFFFFF"/>
        </w:rPr>
        <w:t>t</w:t>
      </w:r>
      <w:r w:rsidR="001F2A94">
        <w:rPr>
          <w:color w:val="000000"/>
          <w:szCs w:val="26"/>
          <w:shd w:val="clear" w:color="auto" w:fill="FFFFFF"/>
        </w:rPr>
        <w:t xml:space="preserve">hese </w:t>
      </w:r>
      <w:r w:rsidR="000A639E">
        <w:rPr>
          <w:color w:val="000000"/>
          <w:szCs w:val="26"/>
          <w:shd w:val="clear" w:color="auto" w:fill="FFFFFF"/>
        </w:rPr>
        <w:t>circumstances</w:t>
      </w:r>
      <w:r w:rsidR="00C032A8">
        <w:rPr>
          <w:color w:val="000000"/>
          <w:szCs w:val="26"/>
          <w:shd w:val="clear" w:color="auto" w:fill="FFFFFF"/>
        </w:rPr>
        <w:t xml:space="preserve"> </w:t>
      </w:r>
      <w:r w:rsidR="000A639E">
        <w:rPr>
          <w:color w:val="000000"/>
          <w:szCs w:val="26"/>
          <w:shd w:val="clear" w:color="auto" w:fill="FFFFFF"/>
        </w:rPr>
        <w:t xml:space="preserve">indicates </w:t>
      </w:r>
      <w:r w:rsidR="00974950">
        <w:rPr>
          <w:color w:val="000000"/>
          <w:szCs w:val="26"/>
          <w:shd w:val="clear" w:color="auto" w:fill="FFFFFF"/>
        </w:rPr>
        <w:t xml:space="preserve">the Legislature has impliedly determined the </w:t>
      </w:r>
      <w:r w:rsidR="001F2A94">
        <w:rPr>
          <w:color w:val="000000"/>
          <w:szCs w:val="26"/>
          <w:shd w:val="clear" w:color="auto" w:fill="FFFFFF"/>
        </w:rPr>
        <w:t>experts</w:t>
      </w:r>
      <w:r w:rsidR="00662295">
        <w:rPr>
          <w:szCs w:val="26"/>
        </w:rPr>
        <w:t xml:space="preserve"> </w:t>
      </w:r>
      <w:r w:rsidRPr="00761DF6" w:rsidR="00BE4EC3">
        <w:rPr>
          <w:szCs w:val="26"/>
        </w:rPr>
        <w:t xml:space="preserve">have </w:t>
      </w:r>
      <w:r w:rsidR="00315D23">
        <w:rPr>
          <w:szCs w:val="26"/>
        </w:rPr>
        <w:t>relevant</w:t>
      </w:r>
      <w:r w:rsidRPr="00761DF6" w:rsidR="00A95873">
        <w:rPr>
          <w:szCs w:val="26"/>
        </w:rPr>
        <w:t xml:space="preserve"> </w:t>
      </w:r>
      <w:r w:rsidRPr="00761DF6" w:rsidR="00BE4EC3">
        <w:rPr>
          <w:szCs w:val="26"/>
        </w:rPr>
        <w:t xml:space="preserve">expertise to be </w:t>
      </w:r>
      <w:r w:rsidR="00B74EC1">
        <w:rPr>
          <w:szCs w:val="26"/>
        </w:rPr>
        <w:t xml:space="preserve">able to </w:t>
      </w:r>
      <w:r w:rsidRPr="00761DF6" w:rsidR="00A95873">
        <w:rPr>
          <w:szCs w:val="26"/>
        </w:rPr>
        <w:t>relate</w:t>
      </w:r>
      <w:r w:rsidRPr="00761DF6" w:rsidR="00BE4EC3">
        <w:rPr>
          <w:szCs w:val="26"/>
        </w:rPr>
        <w:t xml:space="preserve"> the </w:t>
      </w:r>
      <w:r w:rsidR="009937AD">
        <w:rPr>
          <w:szCs w:val="26"/>
        </w:rPr>
        <w:t>reliability</w:t>
      </w:r>
      <w:r w:rsidRPr="00761DF6" w:rsidR="00BE4EC3">
        <w:rPr>
          <w:szCs w:val="26"/>
        </w:rPr>
        <w:t xml:space="preserve"> </w:t>
      </w:r>
      <w:r w:rsidRPr="00761DF6" w:rsidR="00121AF4">
        <w:rPr>
          <w:szCs w:val="26"/>
        </w:rPr>
        <w:t xml:space="preserve">either </w:t>
      </w:r>
      <w:r w:rsidRPr="00761DF6" w:rsidR="00BE4EC3">
        <w:rPr>
          <w:szCs w:val="26"/>
        </w:rPr>
        <w:t xml:space="preserve">of </w:t>
      </w:r>
      <w:r w:rsidRPr="00761DF6" w:rsidR="00A95873">
        <w:rPr>
          <w:szCs w:val="26"/>
        </w:rPr>
        <w:t xml:space="preserve">(a) </w:t>
      </w:r>
      <w:r w:rsidR="00C53EFA">
        <w:rPr>
          <w:szCs w:val="26"/>
        </w:rPr>
        <w:t xml:space="preserve">hearsay accounts in </w:t>
      </w:r>
      <w:r w:rsidRPr="00761DF6" w:rsidR="00A95873">
        <w:rPr>
          <w:szCs w:val="26"/>
        </w:rPr>
        <w:t>law enforcement</w:t>
      </w:r>
      <w:r w:rsidRPr="00761DF6" w:rsidR="00FA0F8B">
        <w:rPr>
          <w:szCs w:val="26"/>
        </w:rPr>
        <w:t xml:space="preserve"> documents like police </w:t>
      </w:r>
      <w:r w:rsidRPr="00761DF6" w:rsidR="000170B0">
        <w:rPr>
          <w:szCs w:val="26"/>
        </w:rPr>
        <w:t>or</w:t>
      </w:r>
      <w:r w:rsidRPr="00761DF6" w:rsidR="00FA0F8B">
        <w:rPr>
          <w:szCs w:val="26"/>
        </w:rPr>
        <w:t xml:space="preserve"> probation reports, </w:t>
      </w:r>
      <w:r w:rsidRPr="00761DF6" w:rsidR="00A95873">
        <w:rPr>
          <w:szCs w:val="26"/>
        </w:rPr>
        <w:t>which may have been prepared years or even decades ago, or (b)</w:t>
      </w:r>
      <w:r w:rsidRPr="00761DF6" w:rsidR="00FA0F8B">
        <w:rPr>
          <w:szCs w:val="26"/>
        </w:rPr>
        <w:t xml:space="preserve"> further levels of hearsay</w:t>
      </w:r>
      <w:r w:rsidRPr="00761DF6" w:rsidR="00125E07">
        <w:rPr>
          <w:szCs w:val="26"/>
        </w:rPr>
        <w:t xml:space="preserve">, like victim statements, </w:t>
      </w:r>
      <w:r w:rsidRPr="00761DF6" w:rsidR="00FA0F8B">
        <w:rPr>
          <w:szCs w:val="26"/>
        </w:rPr>
        <w:t xml:space="preserve">contained therein.  </w:t>
      </w:r>
      <w:r w:rsidRPr="00761DF6" w:rsidR="00E854A4">
        <w:rPr>
          <w:szCs w:val="26"/>
        </w:rPr>
        <w:t>(</w:t>
      </w:r>
      <w:r w:rsidRPr="00761DF6" w:rsidR="004B54D0">
        <w:rPr>
          <w:i/>
          <w:iCs/>
          <w:szCs w:val="26"/>
        </w:rPr>
        <w:t>Malinda</w:t>
      </w:r>
      <w:r w:rsidRPr="00761DF6" w:rsidR="004B54D0">
        <w:rPr>
          <w:szCs w:val="26"/>
        </w:rPr>
        <w:t xml:space="preserve">, </w:t>
      </w:r>
      <w:r w:rsidRPr="00761DF6" w:rsidR="004B54D0">
        <w:rPr>
          <w:i/>
          <w:iCs/>
          <w:szCs w:val="26"/>
        </w:rPr>
        <w:t>supra</w:t>
      </w:r>
      <w:r w:rsidRPr="00761DF6" w:rsidR="004B54D0">
        <w:rPr>
          <w:szCs w:val="26"/>
        </w:rPr>
        <w:t xml:space="preserve">, 51 Cal.3d at p. 377; </w:t>
      </w:r>
      <w:r w:rsidR="007A4CBF">
        <w:rPr>
          <w:szCs w:val="26"/>
        </w:rPr>
        <w:t xml:space="preserve">see </w:t>
      </w:r>
      <w:r w:rsidRPr="00761DF6" w:rsidR="00E854A4">
        <w:rPr>
          <w:i/>
          <w:iCs/>
          <w:szCs w:val="26"/>
        </w:rPr>
        <w:t>Couthren</w:t>
      </w:r>
      <w:r w:rsidRPr="00761DF6" w:rsidR="00E854A4">
        <w:rPr>
          <w:szCs w:val="26"/>
        </w:rPr>
        <w:t>, at p. 1018</w:t>
      </w:r>
      <w:r w:rsidRPr="00761DF6" w:rsidR="009B400F">
        <w:rPr>
          <w:szCs w:val="26"/>
        </w:rPr>
        <w:t>, fn. 7</w:t>
      </w:r>
      <w:r w:rsidRPr="00761DF6" w:rsidR="004B54D0">
        <w:rPr>
          <w:szCs w:val="26"/>
        </w:rPr>
        <w:t xml:space="preserve">; </w:t>
      </w:r>
      <w:r w:rsidRPr="00176D67" w:rsidR="00A9490A">
        <w:rPr>
          <w:i/>
          <w:iCs/>
          <w:szCs w:val="26"/>
        </w:rPr>
        <w:t>Bennett</w:t>
      </w:r>
      <w:r w:rsidR="00A9490A">
        <w:rPr>
          <w:szCs w:val="26"/>
        </w:rPr>
        <w:t xml:space="preserve">, </w:t>
      </w:r>
      <w:r w:rsidRPr="00176D67" w:rsidR="00A9490A">
        <w:rPr>
          <w:i/>
          <w:iCs/>
          <w:szCs w:val="26"/>
        </w:rPr>
        <w:t>supra</w:t>
      </w:r>
      <w:r w:rsidR="00A9490A">
        <w:rPr>
          <w:szCs w:val="26"/>
        </w:rPr>
        <w:t xml:space="preserve">, </w:t>
      </w:r>
      <w:r w:rsidRPr="00A9490A" w:rsidR="00A9490A">
        <w:rPr>
          <w:szCs w:val="26"/>
        </w:rPr>
        <w:t xml:space="preserve">39 Cal.App.5th </w:t>
      </w:r>
      <w:r w:rsidR="00A9490A">
        <w:rPr>
          <w:szCs w:val="26"/>
        </w:rPr>
        <w:t>at p.</w:t>
      </w:r>
      <w:r w:rsidRPr="00A9490A" w:rsidR="00A9490A">
        <w:rPr>
          <w:szCs w:val="26"/>
        </w:rPr>
        <w:t xml:space="preserve"> 884, </w:t>
      </w:r>
      <w:r w:rsidR="00A9490A">
        <w:rPr>
          <w:szCs w:val="26"/>
        </w:rPr>
        <w:t>fn. 6;</w:t>
      </w:r>
      <w:r w:rsidR="00A9490A">
        <w:rPr>
          <w:i/>
          <w:iCs/>
          <w:szCs w:val="26"/>
          <w:shd w:val="clear" w:color="auto" w:fill="FFFFFF"/>
        </w:rPr>
        <w:t xml:space="preserve"> </w:t>
      </w:r>
      <w:r w:rsidR="007A4CBF">
        <w:rPr>
          <w:szCs w:val="26"/>
          <w:shd w:val="clear" w:color="auto" w:fill="FFFFFF"/>
        </w:rPr>
        <w:t xml:space="preserve">cf. </w:t>
      </w:r>
      <w:r w:rsidRPr="00761DF6" w:rsidR="004B54D0">
        <w:rPr>
          <w:i/>
          <w:iCs/>
          <w:szCs w:val="26"/>
          <w:shd w:val="clear" w:color="auto" w:fill="FFFFFF"/>
        </w:rPr>
        <w:t>Whitman</w:t>
      </w:r>
      <w:r w:rsidRPr="00761DF6" w:rsidR="004B54D0">
        <w:rPr>
          <w:szCs w:val="26"/>
          <w:shd w:val="clear" w:color="auto" w:fill="FFFFFF"/>
        </w:rPr>
        <w:t xml:space="preserve">, </w:t>
      </w:r>
      <w:r w:rsidRPr="00761DF6" w:rsidR="004B54D0">
        <w:rPr>
          <w:i/>
          <w:iCs/>
          <w:szCs w:val="26"/>
          <w:shd w:val="clear" w:color="auto" w:fill="FFFFFF"/>
        </w:rPr>
        <w:t>supra</w:t>
      </w:r>
      <w:r w:rsidRPr="00761DF6" w:rsidR="004B54D0">
        <w:rPr>
          <w:szCs w:val="26"/>
          <w:shd w:val="clear" w:color="auto" w:fill="FFFFFF"/>
        </w:rPr>
        <w:t>, 54 Cal.3d at pp. 1072–107</w:t>
      </w:r>
      <w:r w:rsidRPr="00761DF6" w:rsidR="00A94D49">
        <w:rPr>
          <w:szCs w:val="26"/>
          <w:shd w:val="clear" w:color="auto" w:fill="FFFFFF"/>
        </w:rPr>
        <w:t>4.)</w:t>
      </w:r>
      <w:r w:rsidRPr="00761DF6" w:rsidR="00E854A4">
        <w:rPr>
          <w:szCs w:val="26"/>
        </w:rPr>
        <w:t xml:space="preserve">  </w:t>
      </w:r>
    </w:p>
    <w:p w:rsidR="00FD41DA" w:rsidRPr="0037440E" w:rsidP="0037440E" w14:paraId="3D525825" w14:textId="15AEE3B3">
      <w:pPr>
        <w:ind w:firstLine="720"/>
        <w:rPr>
          <w:color w:val="000000"/>
          <w:szCs w:val="26"/>
        </w:rPr>
      </w:pPr>
      <w:r w:rsidRPr="00C41190">
        <w:rPr>
          <w:szCs w:val="27"/>
        </w:rPr>
        <w:t xml:space="preserve">To begin with, this evidence presents some inherent reliability concerns.  </w:t>
      </w:r>
      <w:r w:rsidRPr="00C41190" w:rsidR="00C41190">
        <w:rPr>
          <w:szCs w:val="27"/>
        </w:rPr>
        <w:t>As the People admit, “</w:t>
      </w:r>
      <w:r w:rsidRPr="00C41190">
        <w:rPr>
          <w:szCs w:val="27"/>
        </w:rPr>
        <w:t xml:space="preserve">the reliability of victim hearsay statements in </w:t>
      </w:r>
      <w:r w:rsidR="00C41190">
        <w:rPr>
          <w:szCs w:val="27"/>
        </w:rPr>
        <w:t>[police and probation reports]</w:t>
      </w:r>
      <w:r w:rsidRPr="00C41190">
        <w:rPr>
          <w:szCs w:val="27"/>
        </w:rPr>
        <w:t xml:space="preserve"> is lessened where, as here, the defendant has not been convicted of the crimes to which the statements relate</w:t>
      </w:r>
      <w:r w:rsidR="00604B9D">
        <w:rPr>
          <w:szCs w:val="27"/>
        </w:rPr>
        <w:t xml:space="preserve">.”  </w:t>
      </w:r>
      <w:r w:rsidR="00573CAE">
        <w:rPr>
          <w:szCs w:val="27"/>
        </w:rPr>
        <w:t xml:space="preserve">(Cf. </w:t>
      </w:r>
      <w:r w:rsidRPr="00761DF6" w:rsidR="00106125">
        <w:rPr>
          <w:i/>
          <w:iCs/>
          <w:szCs w:val="26"/>
          <w:shd w:val="clear" w:color="auto" w:fill="FFFFFF"/>
        </w:rPr>
        <w:t>Otto</w:t>
      </w:r>
      <w:r w:rsidRPr="00761DF6" w:rsidR="00106125">
        <w:rPr>
          <w:szCs w:val="26"/>
          <w:shd w:val="clear" w:color="auto" w:fill="FFFFFF"/>
        </w:rPr>
        <w:t xml:space="preserve">, </w:t>
      </w:r>
      <w:r w:rsidRPr="00761DF6" w:rsidR="00106125">
        <w:rPr>
          <w:i/>
          <w:iCs/>
          <w:szCs w:val="26"/>
          <w:shd w:val="clear" w:color="auto" w:fill="FFFFFF"/>
        </w:rPr>
        <w:t>supra</w:t>
      </w:r>
      <w:r w:rsidRPr="00761DF6" w:rsidR="00106125">
        <w:rPr>
          <w:szCs w:val="26"/>
          <w:shd w:val="clear" w:color="auto" w:fill="FFFFFF"/>
        </w:rPr>
        <w:t>, 26 Cal.4th at p. 211</w:t>
      </w:r>
      <w:r w:rsidR="00106125">
        <w:rPr>
          <w:szCs w:val="26"/>
          <w:shd w:val="clear" w:color="auto" w:fill="FFFFFF"/>
        </w:rPr>
        <w:t>.)</w:t>
      </w:r>
      <w:r w:rsidRPr="00761DF6" w:rsidR="00106125">
        <w:rPr>
          <w:szCs w:val="26"/>
          <w:shd w:val="clear" w:color="auto" w:fill="FFFFFF"/>
        </w:rPr>
        <w:t xml:space="preserve"> </w:t>
      </w:r>
      <w:r w:rsidR="00106125">
        <w:rPr>
          <w:szCs w:val="26"/>
          <w:shd w:val="clear" w:color="auto" w:fill="FFFFFF"/>
        </w:rPr>
        <w:t xml:space="preserve"> </w:t>
      </w:r>
      <w:r w:rsidR="00604B9D">
        <w:rPr>
          <w:szCs w:val="27"/>
        </w:rPr>
        <w:t>And</w:t>
      </w:r>
      <w:r w:rsidR="00887CDF">
        <w:rPr>
          <w:szCs w:val="27"/>
        </w:rPr>
        <w:t>,</w:t>
      </w:r>
      <w:r w:rsidR="00604B9D">
        <w:rPr>
          <w:szCs w:val="27"/>
        </w:rPr>
        <w:t xml:space="preserve"> more importantly,</w:t>
      </w:r>
      <w:r w:rsidR="00604B9D">
        <w:rPr>
          <w:szCs w:val="26"/>
        </w:rPr>
        <w:t xml:space="preserve"> </w:t>
      </w:r>
      <w:r w:rsidR="00811899">
        <w:rPr>
          <w:szCs w:val="26"/>
        </w:rPr>
        <w:t xml:space="preserve">we have </w:t>
      </w:r>
      <w:r w:rsidR="00811899">
        <w:rPr>
          <w:color w:val="000000"/>
          <w:szCs w:val="26"/>
          <w:shd w:val="clear" w:color="auto" w:fill="FFFFFF"/>
        </w:rPr>
        <w:t xml:space="preserve">no particular reason to believe </w:t>
      </w:r>
      <w:r w:rsidR="00FE2D2F">
        <w:rPr>
          <w:color w:val="000000"/>
          <w:szCs w:val="26"/>
          <w:shd w:val="clear" w:color="auto" w:fill="FFFFFF"/>
        </w:rPr>
        <w:t xml:space="preserve">it would be consistent with </w:t>
      </w:r>
      <w:r w:rsidR="00DD0FAA">
        <w:rPr>
          <w:color w:val="000000"/>
          <w:szCs w:val="26"/>
          <w:shd w:val="clear" w:color="auto" w:fill="FFFFFF"/>
        </w:rPr>
        <w:t>t</w:t>
      </w:r>
      <w:r w:rsidR="00FE2D2F">
        <w:rPr>
          <w:color w:val="000000"/>
          <w:szCs w:val="26"/>
          <w:shd w:val="clear" w:color="auto" w:fill="FFFFFF"/>
        </w:rPr>
        <w:t xml:space="preserve">he legislative design to conclude </w:t>
      </w:r>
      <w:r w:rsidR="00811899">
        <w:rPr>
          <w:color w:val="000000"/>
          <w:szCs w:val="26"/>
          <w:shd w:val="clear" w:color="auto" w:fill="FFFFFF"/>
        </w:rPr>
        <w:t xml:space="preserve">the </w:t>
      </w:r>
      <w:r w:rsidR="00767317">
        <w:rPr>
          <w:color w:val="000000"/>
          <w:szCs w:val="26"/>
          <w:shd w:val="clear" w:color="auto" w:fill="FFFFFF"/>
        </w:rPr>
        <w:t xml:space="preserve">mental health </w:t>
      </w:r>
      <w:r w:rsidR="0078023C">
        <w:rPr>
          <w:color w:val="000000"/>
          <w:szCs w:val="26"/>
          <w:shd w:val="clear" w:color="auto" w:fill="FFFFFF"/>
        </w:rPr>
        <w:t xml:space="preserve">evaluators </w:t>
      </w:r>
      <w:r w:rsidR="00811899">
        <w:rPr>
          <w:color w:val="000000"/>
          <w:szCs w:val="26"/>
          <w:shd w:val="clear" w:color="auto" w:fill="FFFFFF"/>
        </w:rPr>
        <w:t xml:space="preserve">bring any professional judgment to bear in </w:t>
      </w:r>
      <w:r w:rsidR="008D152F">
        <w:rPr>
          <w:color w:val="000000"/>
          <w:szCs w:val="26"/>
          <w:shd w:val="clear" w:color="auto" w:fill="FFFFFF"/>
        </w:rPr>
        <w:t xml:space="preserve">assessing </w:t>
      </w:r>
      <w:r w:rsidR="002F0B25">
        <w:rPr>
          <w:color w:val="000000"/>
          <w:szCs w:val="26"/>
          <w:shd w:val="clear" w:color="auto" w:fill="FFFFFF"/>
        </w:rPr>
        <w:t xml:space="preserve">the </w:t>
      </w:r>
      <w:r w:rsidR="0021582A">
        <w:rPr>
          <w:color w:val="000000"/>
          <w:szCs w:val="26"/>
          <w:shd w:val="clear" w:color="auto" w:fill="FFFFFF"/>
        </w:rPr>
        <w:t>veracity</w:t>
      </w:r>
      <w:r w:rsidR="002F0B25">
        <w:rPr>
          <w:color w:val="000000"/>
          <w:szCs w:val="26"/>
          <w:shd w:val="clear" w:color="auto" w:fill="FFFFFF"/>
        </w:rPr>
        <w:t xml:space="preserve"> of these</w:t>
      </w:r>
      <w:r w:rsidR="00297B35">
        <w:rPr>
          <w:color w:val="000000"/>
          <w:szCs w:val="26"/>
          <w:shd w:val="clear" w:color="auto" w:fill="FFFFFF"/>
        </w:rPr>
        <w:t xml:space="preserve"> </w:t>
      </w:r>
      <w:r w:rsidR="00C032A8">
        <w:rPr>
          <w:color w:val="000000"/>
          <w:szCs w:val="26"/>
          <w:shd w:val="clear" w:color="auto" w:fill="FFFFFF"/>
        </w:rPr>
        <w:t xml:space="preserve">hearsay </w:t>
      </w:r>
      <w:r w:rsidRPr="00C915EB" w:rsidR="00297B35">
        <w:rPr>
          <w:color w:val="000000"/>
          <w:szCs w:val="26"/>
          <w:shd w:val="clear" w:color="auto" w:fill="FFFFFF"/>
        </w:rPr>
        <w:t>statements</w:t>
      </w:r>
      <w:r w:rsidR="002F0B25">
        <w:rPr>
          <w:color w:val="000000"/>
          <w:szCs w:val="26"/>
          <w:shd w:val="clear" w:color="auto" w:fill="FFFFFF"/>
        </w:rPr>
        <w:t> </w:t>
      </w:r>
      <w:r w:rsidRPr="00C915EB" w:rsidR="003041C9">
        <w:rPr>
          <w:color w:val="000000"/>
          <w:szCs w:val="26"/>
          <w:shd w:val="clear" w:color="auto" w:fill="FFFFFF"/>
        </w:rPr>
        <w:t>—</w:t>
      </w:r>
      <w:r w:rsidR="00261F64">
        <w:rPr>
          <w:color w:val="000000"/>
          <w:szCs w:val="26"/>
          <w:shd w:val="clear" w:color="auto" w:fill="FFFFFF"/>
        </w:rPr>
        <w:t xml:space="preserve"> </w:t>
      </w:r>
      <w:r w:rsidRPr="00C915EB" w:rsidR="003041C9">
        <w:rPr>
          <w:color w:val="000000"/>
          <w:szCs w:val="26"/>
          <w:shd w:val="clear" w:color="auto" w:fill="FFFFFF"/>
        </w:rPr>
        <w:t xml:space="preserve">as the facts of this case underscore.  </w:t>
      </w:r>
      <w:r w:rsidR="0052058A">
        <w:rPr>
          <w:color w:val="000000"/>
          <w:szCs w:val="26"/>
          <w:shd w:val="clear" w:color="auto" w:fill="FFFFFF"/>
        </w:rPr>
        <w:t>As we</w:t>
      </w:r>
      <w:r w:rsidR="005117FA">
        <w:rPr>
          <w:color w:val="000000"/>
          <w:szCs w:val="26"/>
          <w:shd w:val="clear" w:color="auto" w:fill="FFFFFF"/>
        </w:rPr>
        <w:t>’d</w:t>
      </w:r>
      <w:r w:rsidR="0052058A">
        <w:rPr>
          <w:color w:val="000000"/>
          <w:szCs w:val="26"/>
          <w:shd w:val="clear" w:color="auto" w:fill="FFFFFF"/>
        </w:rPr>
        <w:t xml:space="preserve"> expect for any psychological expert, </w:t>
      </w:r>
      <w:r w:rsidR="0052058A">
        <w:rPr>
          <w:color w:val="000000"/>
          <w:szCs w:val="26"/>
        </w:rPr>
        <w:t>i</w:t>
      </w:r>
      <w:r w:rsidRPr="00C915EB" w:rsidR="009D0F14">
        <w:rPr>
          <w:color w:val="000000"/>
          <w:szCs w:val="26"/>
        </w:rPr>
        <w:t xml:space="preserve">t doesn’t appear that </w:t>
      </w:r>
      <w:r w:rsidRPr="00C915EB" w:rsidR="00B448EF">
        <w:rPr>
          <w:color w:val="000000"/>
          <w:szCs w:val="26"/>
        </w:rPr>
        <w:t xml:space="preserve">either </w:t>
      </w:r>
      <w:r w:rsidRPr="00C915EB" w:rsidR="009D0F14">
        <w:rPr>
          <w:color w:val="000000"/>
          <w:szCs w:val="26"/>
        </w:rPr>
        <w:t>MacSpeiden or Karlsson had any meaningful basis to assess the reliability of the two dismissed rape allegations in the</w:t>
      </w:r>
      <w:r w:rsidR="009D0F14">
        <w:rPr>
          <w:color w:val="000000"/>
          <w:szCs w:val="26"/>
        </w:rPr>
        <w:t xml:space="preserve"> probation and police reports, including what the alleged victims told investigating officers.  </w:t>
      </w:r>
      <w:r w:rsidR="00C142BB">
        <w:rPr>
          <w:color w:val="000000"/>
          <w:szCs w:val="26"/>
        </w:rPr>
        <w:t xml:space="preserve">The experts readily admitted that they simply assumed </w:t>
      </w:r>
      <w:r w:rsidR="009D0F14">
        <w:rPr>
          <w:color w:val="000000"/>
          <w:szCs w:val="26"/>
        </w:rPr>
        <w:t>the</w:t>
      </w:r>
      <w:r w:rsidR="00A55ACE">
        <w:rPr>
          <w:color w:val="000000"/>
          <w:szCs w:val="26"/>
        </w:rPr>
        <w:t>se documents</w:t>
      </w:r>
      <w:r w:rsidR="009D0F14">
        <w:rPr>
          <w:color w:val="000000"/>
          <w:szCs w:val="26"/>
        </w:rPr>
        <w:t xml:space="preserve"> had accurate information</w:t>
      </w:r>
      <w:r w:rsidR="00C142BB">
        <w:rPr>
          <w:color w:val="000000"/>
          <w:szCs w:val="26"/>
        </w:rPr>
        <w:t>,</w:t>
      </w:r>
      <w:r w:rsidR="00C80C53">
        <w:rPr>
          <w:color w:val="000000"/>
          <w:szCs w:val="26"/>
        </w:rPr>
        <w:t xml:space="preserve"> and </w:t>
      </w:r>
      <w:r w:rsidR="00073DBC">
        <w:rPr>
          <w:color w:val="000000"/>
          <w:szCs w:val="26"/>
        </w:rPr>
        <w:t xml:space="preserve">they presented </w:t>
      </w:r>
      <w:r w:rsidR="00C80C53">
        <w:rPr>
          <w:color w:val="000000"/>
          <w:szCs w:val="26"/>
        </w:rPr>
        <w:t>the information as</w:t>
      </w:r>
      <w:r w:rsidR="00073DBC">
        <w:rPr>
          <w:color w:val="000000"/>
          <w:szCs w:val="26"/>
        </w:rPr>
        <w:t xml:space="preserve"> accurate </w:t>
      </w:r>
      <w:r w:rsidR="00840D80">
        <w:rPr>
          <w:color w:val="000000"/>
          <w:szCs w:val="26"/>
        </w:rPr>
        <w:t>in their reports</w:t>
      </w:r>
      <w:r w:rsidR="009D0F14">
        <w:rPr>
          <w:color w:val="000000"/>
          <w:szCs w:val="26"/>
        </w:rPr>
        <w:t>.</w:t>
      </w:r>
      <w:r w:rsidRPr="004B2859" w:rsidR="009D0F14">
        <w:rPr>
          <w:color w:val="000000"/>
        </w:rPr>
        <w:t xml:space="preserve">  </w:t>
      </w:r>
      <w:r w:rsidR="00A6406D">
        <w:rPr>
          <w:color w:val="000000"/>
          <w:szCs w:val="26"/>
        </w:rPr>
        <w:t xml:space="preserve">Given the reliability concerns, we think it implausible that </w:t>
      </w:r>
      <w:r w:rsidR="000229B2">
        <w:rPr>
          <w:color w:val="000000"/>
          <w:szCs w:val="26"/>
        </w:rPr>
        <w:t>it was within the ambit of the legislative purpose</w:t>
      </w:r>
      <w:r w:rsidR="00A6406D">
        <w:rPr>
          <w:color w:val="000000"/>
          <w:szCs w:val="26"/>
        </w:rPr>
        <w:t xml:space="preserve"> </w:t>
      </w:r>
      <w:r w:rsidR="000229B2">
        <w:rPr>
          <w:color w:val="000000"/>
          <w:szCs w:val="26"/>
        </w:rPr>
        <w:t>to</w:t>
      </w:r>
      <w:r w:rsidR="001E25A3">
        <w:rPr>
          <w:color w:val="000000"/>
          <w:szCs w:val="26"/>
        </w:rPr>
        <w:t xml:space="preserve"> allow </w:t>
      </w:r>
      <w:r w:rsidR="000229B2">
        <w:rPr>
          <w:color w:val="000000"/>
          <w:szCs w:val="26"/>
        </w:rPr>
        <w:t>the admission of</w:t>
      </w:r>
      <w:r w:rsidR="00A6406D">
        <w:rPr>
          <w:color w:val="000000"/>
          <w:szCs w:val="26"/>
        </w:rPr>
        <w:t xml:space="preserve"> </w:t>
      </w:r>
      <w:r w:rsidR="000229B2">
        <w:rPr>
          <w:color w:val="000000"/>
          <w:szCs w:val="26"/>
        </w:rPr>
        <w:t>this information</w:t>
      </w:r>
      <w:r w:rsidR="00A6406D">
        <w:rPr>
          <w:color w:val="000000"/>
          <w:szCs w:val="26"/>
        </w:rPr>
        <w:t xml:space="preserve"> as evidence merely because</w:t>
      </w:r>
      <w:r w:rsidR="00C807E5">
        <w:rPr>
          <w:color w:val="000000"/>
          <w:szCs w:val="26"/>
        </w:rPr>
        <w:t xml:space="preserve"> experts </w:t>
      </w:r>
      <w:r w:rsidR="000229B2">
        <w:rPr>
          <w:color w:val="000000"/>
          <w:szCs w:val="26"/>
        </w:rPr>
        <w:t>chose to include</w:t>
      </w:r>
      <w:r w:rsidR="00C807E5">
        <w:rPr>
          <w:color w:val="000000"/>
          <w:szCs w:val="26"/>
        </w:rPr>
        <w:t xml:space="preserve"> it in their</w:t>
      </w:r>
      <w:r w:rsidR="00A6406D">
        <w:rPr>
          <w:color w:val="000000"/>
          <w:szCs w:val="26"/>
        </w:rPr>
        <w:t xml:space="preserve"> evaluat</w:t>
      </w:r>
      <w:r w:rsidR="00C807E5">
        <w:rPr>
          <w:color w:val="000000"/>
          <w:szCs w:val="26"/>
        </w:rPr>
        <w:t>ion</w:t>
      </w:r>
      <w:r w:rsidR="00A6406D">
        <w:rPr>
          <w:color w:val="000000"/>
          <w:szCs w:val="26"/>
        </w:rPr>
        <w:t xml:space="preserve"> report</w:t>
      </w:r>
      <w:r w:rsidR="00C807E5">
        <w:rPr>
          <w:color w:val="000000"/>
          <w:szCs w:val="26"/>
        </w:rPr>
        <w:t>s</w:t>
      </w:r>
      <w:r w:rsidR="00A6406D">
        <w:rPr>
          <w:color w:val="000000"/>
          <w:szCs w:val="26"/>
        </w:rPr>
        <w:t>.</w:t>
      </w:r>
    </w:p>
    <w:p w:rsidR="00F80224" w:rsidRPr="00761DF6" w:rsidP="00761DF6" w14:paraId="5433A2F7" w14:textId="2F416FA7">
      <w:pPr>
        <w:rPr>
          <w:color w:val="000000"/>
          <w:szCs w:val="26"/>
          <w:shd w:val="clear" w:color="auto" w:fill="FFFFFF"/>
        </w:rPr>
      </w:pPr>
      <w:r w:rsidRPr="00761DF6">
        <w:rPr>
          <w:color w:val="000000"/>
          <w:szCs w:val="26"/>
        </w:rPr>
        <w:tab/>
      </w:r>
      <w:r w:rsidR="00FD7942">
        <w:rPr>
          <w:color w:val="000000"/>
          <w:szCs w:val="26"/>
        </w:rPr>
        <w:t>Finally, t</w:t>
      </w:r>
      <w:r w:rsidRPr="00761DF6" w:rsidR="00C77102">
        <w:rPr>
          <w:color w:val="000000"/>
          <w:szCs w:val="26"/>
        </w:rPr>
        <w:t>he</w:t>
      </w:r>
      <w:r w:rsidRPr="00761DF6">
        <w:rPr>
          <w:color w:val="000000"/>
          <w:szCs w:val="26"/>
        </w:rPr>
        <w:t xml:space="preserve"> People</w:t>
      </w:r>
      <w:r w:rsidRPr="00761DF6" w:rsidR="00C77102">
        <w:rPr>
          <w:color w:val="000000"/>
          <w:szCs w:val="26"/>
        </w:rPr>
        <w:t>’s analogy to</w:t>
      </w:r>
      <w:r w:rsidRPr="00761DF6">
        <w:rPr>
          <w:color w:val="000000"/>
          <w:szCs w:val="26"/>
        </w:rPr>
        <w:t xml:space="preserve"> </w:t>
      </w:r>
      <w:r w:rsidRPr="00EB10BD" w:rsidR="00B3454B">
        <w:rPr>
          <w:i/>
          <w:iCs/>
          <w:szCs w:val="26"/>
        </w:rPr>
        <w:t>Conservatorship of Manton</w:t>
      </w:r>
      <w:r w:rsidRPr="00EB10BD" w:rsidR="00B3454B">
        <w:rPr>
          <w:szCs w:val="26"/>
        </w:rPr>
        <w:t xml:space="preserve"> (1985) 39 Cal.3d 645 </w:t>
      </w:r>
      <w:r w:rsidRPr="00761DF6" w:rsidR="00C77102">
        <w:rPr>
          <w:color w:val="000000"/>
          <w:szCs w:val="26"/>
        </w:rPr>
        <w:t>fails</w:t>
      </w:r>
      <w:r w:rsidRPr="00761DF6" w:rsidR="00373A12">
        <w:rPr>
          <w:color w:val="000000"/>
          <w:szCs w:val="26"/>
        </w:rPr>
        <w:t>, too</w:t>
      </w:r>
      <w:r w:rsidRPr="00761DF6" w:rsidR="00F73515">
        <w:rPr>
          <w:color w:val="000000"/>
          <w:szCs w:val="26"/>
        </w:rPr>
        <w:t>.</w:t>
      </w:r>
      <w:r w:rsidRPr="00761DF6" w:rsidR="00791A08">
        <w:rPr>
          <w:color w:val="000000"/>
          <w:szCs w:val="26"/>
        </w:rPr>
        <w:t xml:space="preserve">  </w:t>
      </w:r>
      <w:r w:rsidRPr="00761DF6" w:rsidR="00774181">
        <w:rPr>
          <w:i/>
          <w:iCs/>
          <w:color w:val="000000"/>
          <w:szCs w:val="26"/>
        </w:rPr>
        <w:t>Manton</w:t>
      </w:r>
      <w:r w:rsidRPr="00761DF6" w:rsidR="00411C41">
        <w:rPr>
          <w:color w:val="000000"/>
          <w:szCs w:val="26"/>
        </w:rPr>
        <w:t xml:space="preserve"> addressed</w:t>
      </w:r>
      <w:r w:rsidRPr="00761DF6" w:rsidR="006954DB">
        <w:rPr>
          <w:color w:val="000000"/>
          <w:szCs w:val="26"/>
        </w:rPr>
        <w:t xml:space="preserve"> a</w:t>
      </w:r>
      <w:r w:rsidRPr="00761DF6" w:rsidR="00F0280D">
        <w:rPr>
          <w:color w:val="000000"/>
          <w:szCs w:val="26"/>
        </w:rPr>
        <w:t>n</w:t>
      </w:r>
      <w:r w:rsidRPr="00761DF6" w:rsidR="006954DB">
        <w:rPr>
          <w:color w:val="000000"/>
          <w:szCs w:val="26"/>
        </w:rPr>
        <w:t xml:space="preserve"> </w:t>
      </w:r>
      <w:r w:rsidRPr="00761DF6" w:rsidR="005C20A2">
        <w:rPr>
          <w:color w:val="000000"/>
          <w:szCs w:val="26"/>
        </w:rPr>
        <w:t xml:space="preserve">LPS Act </w:t>
      </w:r>
      <w:r w:rsidRPr="00761DF6" w:rsidR="006954DB">
        <w:rPr>
          <w:color w:val="000000"/>
          <w:szCs w:val="26"/>
        </w:rPr>
        <w:t xml:space="preserve">provision </w:t>
      </w:r>
      <w:r w:rsidRPr="00761DF6" w:rsidR="005C20A2">
        <w:rPr>
          <w:color w:val="000000"/>
          <w:szCs w:val="26"/>
        </w:rPr>
        <w:t>relating to</w:t>
      </w:r>
      <w:r w:rsidRPr="00761DF6" w:rsidR="00CF7EDA">
        <w:rPr>
          <w:color w:val="000000"/>
          <w:szCs w:val="26"/>
        </w:rPr>
        <w:t xml:space="preserve"> conservatorship proceedings for gravely disabled persons.  </w:t>
      </w:r>
      <w:r w:rsidRPr="00761DF6" w:rsidR="009B56DF">
        <w:rPr>
          <w:color w:val="000000"/>
          <w:szCs w:val="26"/>
        </w:rPr>
        <w:t>That provision, s</w:t>
      </w:r>
      <w:r w:rsidRPr="00761DF6" w:rsidR="006954DB">
        <w:rPr>
          <w:color w:val="000000"/>
          <w:szCs w:val="26"/>
        </w:rPr>
        <w:t>ection 5</w:t>
      </w:r>
      <w:r w:rsidR="008C3471">
        <w:rPr>
          <w:color w:val="000000"/>
          <w:szCs w:val="26"/>
        </w:rPr>
        <w:t>35</w:t>
      </w:r>
      <w:r w:rsidRPr="00761DF6" w:rsidR="006954DB">
        <w:rPr>
          <w:color w:val="000000"/>
          <w:szCs w:val="26"/>
        </w:rPr>
        <w:t>4</w:t>
      </w:r>
      <w:r w:rsidRPr="00761DF6" w:rsidR="009B56DF">
        <w:rPr>
          <w:color w:val="000000"/>
          <w:szCs w:val="26"/>
        </w:rPr>
        <w:t>, subdivision (a), directs a county officer to investigate alternatives to conservatorship and render a written report to the court prior to the initial conservatorship hearing</w:t>
      </w:r>
      <w:r w:rsidRPr="00761DF6" w:rsidR="00F04276">
        <w:rPr>
          <w:color w:val="000000"/>
          <w:szCs w:val="26"/>
        </w:rPr>
        <w:t>;</w:t>
      </w:r>
      <w:r w:rsidRPr="00761DF6" w:rsidR="009B56DF">
        <w:rPr>
          <w:color w:val="000000"/>
          <w:szCs w:val="26"/>
        </w:rPr>
        <w:t xml:space="preserve"> and it provides that the court “may receive the report into evidence” at the hearing “and may </w:t>
      </w:r>
      <w:r w:rsidRPr="00761DF6" w:rsidR="006954DB">
        <w:rPr>
          <w:color w:val="000000"/>
          <w:szCs w:val="26"/>
          <w:shd w:val="clear" w:color="auto" w:fill="FFFFFF"/>
        </w:rPr>
        <w:t>read and consider the contents thereof in rendering its judgment</w:t>
      </w:r>
      <w:r w:rsidRPr="00761DF6" w:rsidR="009B56DF">
        <w:rPr>
          <w:color w:val="000000"/>
          <w:szCs w:val="26"/>
          <w:shd w:val="clear" w:color="auto" w:fill="FFFFFF"/>
        </w:rPr>
        <w:t>.”</w:t>
      </w:r>
      <w:r w:rsidRPr="00761DF6" w:rsidR="00AB1034">
        <w:rPr>
          <w:color w:val="000000"/>
          <w:szCs w:val="26"/>
          <w:shd w:val="clear" w:color="auto" w:fill="FFFFFF"/>
        </w:rPr>
        <w:t xml:space="preserve">  We held that this </w:t>
      </w:r>
      <w:r w:rsidRPr="00761DF6" w:rsidR="006E5E3B">
        <w:rPr>
          <w:color w:val="000000"/>
          <w:szCs w:val="26"/>
          <w:shd w:val="clear" w:color="auto" w:fill="FFFFFF"/>
        </w:rPr>
        <w:t>s</w:t>
      </w:r>
      <w:r w:rsidRPr="00761DF6" w:rsidR="00AB1034">
        <w:rPr>
          <w:color w:val="000000"/>
          <w:szCs w:val="26"/>
          <w:shd w:val="clear" w:color="auto" w:fill="FFFFFF"/>
        </w:rPr>
        <w:t>e</w:t>
      </w:r>
      <w:r w:rsidRPr="00761DF6" w:rsidR="006E5E3B">
        <w:rPr>
          <w:color w:val="000000"/>
          <w:szCs w:val="26"/>
          <w:shd w:val="clear" w:color="auto" w:fill="FFFFFF"/>
        </w:rPr>
        <w:t>ction</w:t>
      </w:r>
      <w:r w:rsidRPr="00761DF6" w:rsidR="00AB1034">
        <w:rPr>
          <w:color w:val="000000"/>
          <w:szCs w:val="26"/>
          <w:shd w:val="clear" w:color="auto" w:fill="FFFFFF"/>
        </w:rPr>
        <w:t xml:space="preserve"> does not permit the </w:t>
      </w:r>
      <w:r w:rsidRPr="00761DF6" w:rsidR="00437232">
        <w:rPr>
          <w:color w:val="000000"/>
          <w:szCs w:val="26"/>
          <w:shd w:val="clear" w:color="auto" w:fill="FFFFFF"/>
        </w:rPr>
        <w:t xml:space="preserve">subsequent </w:t>
      </w:r>
      <w:r w:rsidRPr="00761DF6" w:rsidR="00F950A4">
        <w:rPr>
          <w:color w:val="000000"/>
          <w:szCs w:val="26"/>
          <w:shd w:val="clear" w:color="auto" w:fill="FFFFFF"/>
        </w:rPr>
        <w:t xml:space="preserve">use of the report at </w:t>
      </w:r>
      <w:r w:rsidRPr="00761DF6" w:rsidR="00437232">
        <w:rPr>
          <w:color w:val="000000"/>
          <w:szCs w:val="26"/>
          <w:shd w:val="clear" w:color="auto" w:fill="FFFFFF"/>
        </w:rPr>
        <w:t>trial, explaining</w:t>
      </w:r>
      <w:r w:rsidRPr="00761DF6" w:rsidR="00F447D5">
        <w:rPr>
          <w:color w:val="000000"/>
          <w:szCs w:val="26"/>
          <w:shd w:val="clear" w:color="auto" w:fill="FFFFFF"/>
        </w:rPr>
        <w:t xml:space="preserve"> in part</w:t>
      </w:r>
      <w:r w:rsidRPr="00761DF6" w:rsidR="00437232">
        <w:rPr>
          <w:color w:val="000000"/>
          <w:szCs w:val="26"/>
          <w:shd w:val="clear" w:color="auto" w:fill="FFFFFF"/>
        </w:rPr>
        <w:t xml:space="preserve">:  </w:t>
      </w:r>
      <w:r w:rsidRPr="00761DF6" w:rsidR="003A6268">
        <w:rPr>
          <w:color w:val="000000"/>
          <w:szCs w:val="26"/>
          <w:shd w:val="clear" w:color="auto" w:fill="FFFFFF"/>
        </w:rPr>
        <w:t>“If the report were admissible at both the initial hearing and a subsequent court trial, the two proceedings would be essentially identical in terms of the acceptable range of evidence to be considered.</w:t>
      </w:r>
      <w:r w:rsidR="006E4BA0">
        <w:rPr>
          <w:color w:val="000000"/>
          <w:szCs w:val="26"/>
          <w:shd w:val="clear" w:color="auto" w:fill="FFFFFF"/>
        </w:rPr>
        <w:t xml:space="preserve"> </w:t>
      </w:r>
      <w:r w:rsidRPr="00761DF6" w:rsidR="003A6268">
        <w:rPr>
          <w:color w:val="000000"/>
          <w:szCs w:val="26"/>
          <w:shd w:val="clear" w:color="auto" w:fill="FFFFFF"/>
        </w:rPr>
        <w:t xml:space="preserve"> We believe that the better interpretation is one avoiding such redundancy in the absence of clear legislative intent to the contrary.</w:t>
      </w:r>
      <w:r w:rsidRPr="00761DF6" w:rsidR="00C0565A">
        <w:rPr>
          <w:color w:val="000000"/>
          <w:szCs w:val="26"/>
          <w:shd w:val="clear" w:color="auto" w:fill="FFFFFF"/>
        </w:rPr>
        <w:t xml:space="preserve">”  </w:t>
      </w:r>
      <w:r w:rsidRPr="00761DF6" w:rsidR="00867D36">
        <w:rPr>
          <w:color w:val="000000"/>
          <w:szCs w:val="26"/>
          <w:shd w:val="clear" w:color="auto" w:fill="FFFFFF"/>
        </w:rPr>
        <w:t>(</w:t>
      </w:r>
      <w:r w:rsidRPr="00761DF6" w:rsidR="00867D36">
        <w:rPr>
          <w:i/>
          <w:iCs/>
          <w:color w:val="000000"/>
          <w:szCs w:val="26"/>
          <w:shd w:val="clear" w:color="auto" w:fill="FFFFFF"/>
        </w:rPr>
        <w:t>Manton</w:t>
      </w:r>
      <w:r w:rsidRPr="00761DF6" w:rsidR="00867D36">
        <w:rPr>
          <w:color w:val="000000"/>
          <w:szCs w:val="26"/>
          <w:shd w:val="clear" w:color="auto" w:fill="FFFFFF"/>
        </w:rPr>
        <w:t xml:space="preserve">, at </w:t>
      </w:r>
      <w:r w:rsidRPr="00761DF6" w:rsidR="006E7400">
        <w:rPr>
          <w:color w:val="000000"/>
          <w:szCs w:val="26"/>
          <w:shd w:val="clear" w:color="auto" w:fill="FFFFFF"/>
        </w:rPr>
        <w:t xml:space="preserve">p. </w:t>
      </w:r>
      <w:r w:rsidRPr="00761DF6" w:rsidR="00867D36">
        <w:rPr>
          <w:color w:val="000000"/>
          <w:szCs w:val="26"/>
          <w:shd w:val="clear" w:color="auto" w:fill="FFFFFF"/>
        </w:rPr>
        <w:t xml:space="preserve">651.)  </w:t>
      </w:r>
      <w:r w:rsidRPr="00761DF6" w:rsidR="00C0565A">
        <w:rPr>
          <w:color w:val="000000"/>
          <w:szCs w:val="26"/>
          <w:shd w:val="clear" w:color="auto" w:fill="FFFFFF"/>
        </w:rPr>
        <w:t xml:space="preserve">The People focus on this </w:t>
      </w:r>
      <w:r w:rsidRPr="00761DF6" w:rsidR="00D450F3">
        <w:rPr>
          <w:color w:val="000000"/>
          <w:szCs w:val="26"/>
          <w:shd w:val="clear" w:color="auto" w:fill="FFFFFF"/>
        </w:rPr>
        <w:t>reasoning</w:t>
      </w:r>
      <w:r w:rsidRPr="00761DF6" w:rsidR="00C0565A">
        <w:rPr>
          <w:color w:val="000000"/>
          <w:szCs w:val="26"/>
          <w:shd w:val="clear" w:color="auto" w:fill="FFFFFF"/>
        </w:rPr>
        <w:t>, arguing that</w:t>
      </w:r>
      <w:r w:rsidRPr="00761DF6" w:rsidR="00B43E11">
        <w:rPr>
          <w:color w:val="000000"/>
          <w:szCs w:val="26"/>
          <w:shd w:val="clear" w:color="auto" w:fill="FFFFFF"/>
        </w:rPr>
        <w:t xml:space="preserve">, as in </w:t>
      </w:r>
      <w:r w:rsidRPr="00761DF6" w:rsidR="00B43E11">
        <w:rPr>
          <w:i/>
          <w:iCs/>
          <w:color w:val="000000"/>
          <w:szCs w:val="26"/>
          <w:shd w:val="clear" w:color="auto" w:fill="FFFFFF"/>
        </w:rPr>
        <w:t>Manton</w:t>
      </w:r>
      <w:r w:rsidRPr="00761DF6" w:rsidR="00B43E11">
        <w:rPr>
          <w:color w:val="000000"/>
          <w:szCs w:val="26"/>
          <w:shd w:val="clear" w:color="auto" w:fill="FFFFFF"/>
        </w:rPr>
        <w:t>,</w:t>
      </w:r>
      <w:r w:rsidRPr="00761DF6" w:rsidR="00C0565A">
        <w:rPr>
          <w:color w:val="000000"/>
          <w:szCs w:val="26"/>
          <w:shd w:val="clear" w:color="auto" w:fill="FFFFFF"/>
        </w:rPr>
        <w:t xml:space="preserve"> </w:t>
      </w:r>
      <w:r w:rsidRPr="00761DF6" w:rsidR="006B5FFB">
        <w:rPr>
          <w:color w:val="000000"/>
          <w:szCs w:val="26"/>
          <w:shd w:val="clear" w:color="auto" w:fill="FFFFFF"/>
        </w:rPr>
        <w:t xml:space="preserve">the </w:t>
      </w:r>
      <w:r w:rsidRPr="00761DF6" w:rsidR="004142A0">
        <w:rPr>
          <w:color w:val="000000"/>
          <w:szCs w:val="26"/>
          <w:shd w:val="clear" w:color="auto" w:fill="FFFFFF"/>
        </w:rPr>
        <w:t xml:space="preserve">language and </w:t>
      </w:r>
      <w:r w:rsidRPr="00761DF6" w:rsidR="006B5FFB">
        <w:rPr>
          <w:color w:val="000000"/>
          <w:szCs w:val="26"/>
          <w:shd w:val="clear" w:color="auto" w:fill="FFFFFF"/>
        </w:rPr>
        <w:t>structure of the SVPA</w:t>
      </w:r>
      <w:r w:rsidRPr="00761DF6" w:rsidR="00030D93">
        <w:rPr>
          <w:color w:val="000000"/>
          <w:szCs w:val="26"/>
          <w:shd w:val="clear" w:color="auto" w:fill="FFFFFF"/>
        </w:rPr>
        <w:t xml:space="preserve"> </w:t>
      </w:r>
      <w:r w:rsidRPr="00761DF6" w:rsidR="000E2771">
        <w:rPr>
          <w:color w:val="000000"/>
          <w:szCs w:val="26"/>
          <w:shd w:val="clear" w:color="auto" w:fill="FFFFFF"/>
        </w:rPr>
        <w:t>indicate</w:t>
      </w:r>
      <w:r w:rsidRPr="00761DF6" w:rsidR="00780239">
        <w:rPr>
          <w:color w:val="000000"/>
          <w:szCs w:val="26"/>
          <w:shd w:val="clear" w:color="auto" w:fill="FFFFFF"/>
        </w:rPr>
        <w:t xml:space="preserve"> th</w:t>
      </w:r>
      <w:r w:rsidRPr="00761DF6" w:rsidR="004142A0">
        <w:rPr>
          <w:color w:val="000000"/>
          <w:szCs w:val="26"/>
          <w:shd w:val="clear" w:color="auto" w:fill="FFFFFF"/>
        </w:rPr>
        <w:t xml:space="preserve">at </w:t>
      </w:r>
      <w:r w:rsidRPr="00761DF6" w:rsidR="005770D6">
        <w:rPr>
          <w:color w:val="000000"/>
          <w:szCs w:val="26"/>
          <w:shd w:val="clear" w:color="auto" w:fill="FFFFFF"/>
        </w:rPr>
        <w:t>it</w:t>
      </w:r>
      <w:r w:rsidRPr="00761DF6" w:rsidR="00172397">
        <w:rPr>
          <w:color w:val="000000"/>
          <w:szCs w:val="26"/>
          <w:shd w:val="clear" w:color="auto" w:fill="FFFFFF"/>
        </w:rPr>
        <w:t xml:space="preserve"> does not</w:t>
      </w:r>
      <w:r w:rsidRPr="00761DF6" w:rsidR="00941E57">
        <w:rPr>
          <w:color w:val="000000"/>
          <w:szCs w:val="26"/>
          <w:shd w:val="clear" w:color="auto" w:fill="FFFFFF"/>
        </w:rPr>
        <w:t xml:space="preserve"> </w:t>
      </w:r>
      <w:r w:rsidRPr="00761DF6" w:rsidR="001E3285">
        <w:rPr>
          <w:color w:val="000000"/>
          <w:szCs w:val="26"/>
          <w:shd w:val="clear" w:color="auto" w:fill="FFFFFF"/>
        </w:rPr>
        <w:t>require duplicative evidence at the probable cause hearing and trial.</w:t>
      </w:r>
      <w:r w:rsidRPr="00761DF6" w:rsidR="004142A0">
        <w:rPr>
          <w:color w:val="000000"/>
          <w:szCs w:val="26"/>
          <w:shd w:val="clear" w:color="auto" w:fill="FFFFFF"/>
        </w:rPr>
        <w:t xml:space="preserve">  </w:t>
      </w:r>
    </w:p>
    <w:p w:rsidR="0058556E" w:rsidP="009A1609" w14:paraId="2EBB5E6C" w14:textId="7EEF6380">
      <w:pPr>
        <w:ind w:firstLine="720"/>
        <w:rPr>
          <w:szCs w:val="26"/>
        </w:rPr>
      </w:pPr>
      <w:r w:rsidRPr="00761DF6">
        <w:rPr>
          <w:color w:val="000000"/>
          <w:szCs w:val="26"/>
          <w:shd w:val="clear" w:color="auto" w:fill="FFFFFF"/>
        </w:rPr>
        <w:t>N</w:t>
      </w:r>
      <w:r w:rsidRPr="00761DF6" w:rsidR="004142A0">
        <w:rPr>
          <w:color w:val="000000"/>
          <w:szCs w:val="26"/>
          <w:shd w:val="clear" w:color="auto" w:fill="FFFFFF"/>
        </w:rPr>
        <w:t>either the language nor the structure of the SVPA compel</w:t>
      </w:r>
      <w:r w:rsidRPr="00761DF6" w:rsidR="000F5D85">
        <w:rPr>
          <w:color w:val="000000"/>
          <w:szCs w:val="26"/>
          <w:shd w:val="clear" w:color="auto" w:fill="FFFFFF"/>
        </w:rPr>
        <w:t>s</w:t>
      </w:r>
      <w:r w:rsidRPr="00761DF6" w:rsidR="004142A0">
        <w:rPr>
          <w:color w:val="000000"/>
          <w:szCs w:val="26"/>
          <w:shd w:val="clear" w:color="auto" w:fill="FFFFFF"/>
        </w:rPr>
        <w:t xml:space="preserve"> </w:t>
      </w:r>
      <w:r w:rsidRPr="00761DF6">
        <w:rPr>
          <w:color w:val="000000"/>
          <w:szCs w:val="26"/>
          <w:shd w:val="clear" w:color="auto" w:fill="FFFFFF"/>
        </w:rPr>
        <w:t xml:space="preserve">us to apply </w:t>
      </w:r>
      <w:r w:rsidRPr="00761DF6">
        <w:rPr>
          <w:i/>
          <w:iCs/>
          <w:color w:val="000000"/>
          <w:szCs w:val="26"/>
          <w:shd w:val="clear" w:color="auto" w:fill="FFFFFF"/>
        </w:rPr>
        <w:t>Manton</w:t>
      </w:r>
      <w:r w:rsidRPr="00761DF6">
        <w:rPr>
          <w:color w:val="000000"/>
          <w:szCs w:val="26"/>
          <w:shd w:val="clear" w:color="auto" w:fill="FFFFFF"/>
        </w:rPr>
        <w:t>’s reasoning here</w:t>
      </w:r>
      <w:r w:rsidRPr="00761DF6" w:rsidR="004142A0">
        <w:rPr>
          <w:color w:val="000000"/>
          <w:szCs w:val="26"/>
          <w:shd w:val="clear" w:color="auto" w:fill="FFFFFF"/>
        </w:rPr>
        <w:t xml:space="preserve">.  </w:t>
      </w:r>
      <w:r w:rsidRPr="00761DF6" w:rsidR="00373A12">
        <w:rPr>
          <w:color w:val="000000"/>
          <w:szCs w:val="26"/>
          <w:shd w:val="clear" w:color="auto" w:fill="FFFFFF"/>
        </w:rPr>
        <w:t xml:space="preserve">In contrast to </w:t>
      </w:r>
      <w:r w:rsidRPr="00761DF6" w:rsidR="00D61A19">
        <w:rPr>
          <w:color w:val="000000"/>
          <w:szCs w:val="26"/>
          <w:shd w:val="clear" w:color="auto" w:fill="FFFFFF"/>
        </w:rPr>
        <w:t>section 53</w:t>
      </w:r>
      <w:r w:rsidR="00BE031C">
        <w:rPr>
          <w:color w:val="000000"/>
          <w:szCs w:val="26"/>
          <w:shd w:val="clear" w:color="auto" w:fill="FFFFFF"/>
        </w:rPr>
        <w:t>54</w:t>
      </w:r>
      <w:r w:rsidRPr="00761DF6" w:rsidR="00D61A19">
        <w:rPr>
          <w:color w:val="000000"/>
          <w:szCs w:val="26"/>
          <w:shd w:val="clear" w:color="auto" w:fill="FFFFFF"/>
        </w:rPr>
        <w:t xml:space="preserve"> of the LP</w:t>
      </w:r>
      <w:r w:rsidRPr="00761DF6" w:rsidR="008E4AA1">
        <w:rPr>
          <w:color w:val="000000"/>
          <w:szCs w:val="26"/>
          <w:shd w:val="clear" w:color="auto" w:fill="FFFFFF"/>
        </w:rPr>
        <w:t>S Act</w:t>
      </w:r>
      <w:r w:rsidRPr="00761DF6" w:rsidR="00D61A19">
        <w:rPr>
          <w:color w:val="000000"/>
          <w:szCs w:val="26"/>
          <w:shd w:val="clear" w:color="auto" w:fill="FFFFFF"/>
        </w:rPr>
        <w:t xml:space="preserve">, </w:t>
      </w:r>
      <w:r w:rsidR="006E4BA0">
        <w:rPr>
          <w:color w:val="000000"/>
          <w:szCs w:val="26"/>
          <w:shd w:val="clear" w:color="auto" w:fill="FFFFFF"/>
        </w:rPr>
        <w:t xml:space="preserve">Welfare and Institutions Code </w:t>
      </w:r>
      <w:r w:rsidRPr="00761DF6" w:rsidR="00D61A19">
        <w:rPr>
          <w:color w:val="000000"/>
          <w:szCs w:val="26"/>
          <w:shd w:val="clear" w:color="auto" w:fill="FFFFFF"/>
        </w:rPr>
        <w:t>section 6602</w:t>
      </w:r>
      <w:r w:rsidRPr="00761DF6" w:rsidR="008E4AA1">
        <w:rPr>
          <w:color w:val="000000"/>
          <w:szCs w:val="26"/>
          <w:shd w:val="clear" w:color="auto" w:fill="FFFFFF"/>
        </w:rPr>
        <w:t xml:space="preserve"> </w:t>
      </w:r>
      <w:r w:rsidRPr="00761DF6" w:rsidR="00C47651">
        <w:rPr>
          <w:color w:val="000000"/>
          <w:szCs w:val="26"/>
          <w:shd w:val="clear" w:color="auto" w:fill="FFFFFF"/>
        </w:rPr>
        <w:t xml:space="preserve">does not </w:t>
      </w:r>
      <w:r w:rsidRPr="00761DF6" w:rsidR="006776F8">
        <w:rPr>
          <w:color w:val="000000"/>
          <w:szCs w:val="26"/>
          <w:shd w:val="clear" w:color="auto" w:fill="FFFFFF"/>
        </w:rPr>
        <w:t>mention</w:t>
      </w:r>
      <w:r w:rsidR="00FD41DA">
        <w:rPr>
          <w:color w:val="000000"/>
          <w:szCs w:val="26"/>
          <w:shd w:val="clear" w:color="auto" w:fill="FFFFFF"/>
        </w:rPr>
        <w:t xml:space="preserve"> the</w:t>
      </w:r>
      <w:r w:rsidRPr="00761DF6" w:rsidR="006776F8">
        <w:rPr>
          <w:color w:val="000000"/>
          <w:szCs w:val="26"/>
          <w:shd w:val="clear" w:color="auto" w:fill="FFFFFF"/>
        </w:rPr>
        <w:t xml:space="preserve"> reports.  </w:t>
      </w:r>
      <w:r w:rsidR="0049034D">
        <w:rPr>
          <w:color w:val="000000"/>
          <w:szCs w:val="26"/>
          <w:shd w:val="clear" w:color="auto" w:fill="FFFFFF"/>
        </w:rPr>
        <w:t>Without</w:t>
      </w:r>
      <w:r w:rsidR="00F52BC0">
        <w:rPr>
          <w:szCs w:val="26"/>
          <w:shd w:val="clear" w:color="auto" w:fill="FFFFFF"/>
        </w:rPr>
        <w:t xml:space="preserve"> legislative guidance to the contrary, the </w:t>
      </w:r>
      <w:r w:rsidR="003011D7">
        <w:rPr>
          <w:szCs w:val="26"/>
          <w:shd w:val="clear" w:color="auto" w:fill="FFFFFF"/>
        </w:rPr>
        <w:t xml:space="preserve">same </w:t>
      </w:r>
      <w:r w:rsidR="00F52BC0">
        <w:rPr>
          <w:szCs w:val="26"/>
          <w:shd w:val="clear" w:color="auto" w:fill="FFFFFF"/>
        </w:rPr>
        <w:t>evidentiary rules</w:t>
      </w:r>
      <w:r w:rsidR="00413F81">
        <w:rPr>
          <w:szCs w:val="26"/>
          <w:shd w:val="clear" w:color="auto" w:fill="FFFFFF"/>
        </w:rPr>
        <w:t>, i.e., the Evidence Code,</w:t>
      </w:r>
      <w:r w:rsidR="00F52BC0">
        <w:rPr>
          <w:szCs w:val="26"/>
          <w:shd w:val="clear" w:color="auto" w:fill="FFFFFF"/>
        </w:rPr>
        <w:t xml:space="preserve"> </w:t>
      </w:r>
      <w:r w:rsidR="003011D7">
        <w:rPr>
          <w:szCs w:val="26"/>
          <w:shd w:val="clear" w:color="auto" w:fill="FFFFFF"/>
        </w:rPr>
        <w:t>govern the probable cause</w:t>
      </w:r>
      <w:r w:rsidR="00F52BC0">
        <w:rPr>
          <w:szCs w:val="26"/>
          <w:shd w:val="clear" w:color="auto" w:fill="FFFFFF"/>
        </w:rPr>
        <w:t xml:space="preserve"> hearing </w:t>
      </w:r>
      <w:r w:rsidR="003011D7">
        <w:rPr>
          <w:szCs w:val="26"/>
          <w:shd w:val="clear" w:color="auto" w:fill="FFFFFF"/>
        </w:rPr>
        <w:t xml:space="preserve">and </w:t>
      </w:r>
      <w:r w:rsidR="00F52BC0">
        <w:rPr>
          <w:szCs w:val="26"/>
          <w:shd w:val="clear" w:color="auto" w:fill="FFFFFF"/>
        </w:rPr>
        <w:t>trial</w:t>
      </w:r>
      <w:r w:rsidR="00FA7DA0">
        <w:rPr>
          <w:szCs w:val="26"/>
          <w:shd w:val="clear" w:color="auto" w:fill="FFFFFF"/>
        </w:rPr>
        <w:t> </w:t>
      </w:r>
      <w:r w:rsidR="00F52BC0">
        <w:rPr>
          <w:szCs w:val="26"/>
          <w:shd w:val="clear" w:color="auto" w:fill="FFFFFF"/>
        </w:rPr>
        <w:t>—</w:t>
      </w:r>
      <w:r w:rsidR="00C678BD">
        <w:rPr>
          <w:szCs w:val="26"/>
          <w:shd w:val="clear" w:color="auto" w:fill="FFFFFF"/>
        </w:rPr>
        <w:t xml:space="preserve"> </w:t>
      </w:r>
      <w:r w:rsidR="005F5AEC">
        <w:rPr>
          <w:szCs w:val="26"/>
          <w:shd w:val="clear" w:color="auto" w:fill="FFFFFF"/>
        </w:rPr>
        <w:t xml:space="preserve">which </w:t>
      </w:r>
      <w:r w:rsidR="00F52BC0">
        <w:rPr>
          <w:szCs w:val="26"/>
          <w:shd w:val="clear" w:color="auto" w:fill="FFFFFF"/>
        </w:rPr>
        <w:t>therefore</w:t>
      </w:r>
      <w:r w:rsidR="005F5AEC">
        <w:rPr>
          <w:szCs w:val="26"/>
          <w:shd w:val="clear" w:color="auto" w:fill="FFFFFF"/>
        </w:rPr>
        <w:t xml:space="preserve"> expectedly leads to </w:t>
      </w:r>
      <w:r w:rsidR="00781FEF">
        <w:rPr>
          <w:szCs w:val="26"/>
          <w:shd w:val="clear" w:color="auto" w:fill="FFFFFF"/>
        </w:rPr>
        <w:t xml:space="preserve">the potential for </w:t>
      </w:r>
      <w:r w:rsidR="00D770ED">
        <w:rPr>
          <w:szCs w:val="26"/>
          <w:shd w:val="clear" w:color="auto" w:fill="FFFFFF"/>
        </w:rPr>
        <w:t xml:space="preserve">some </w:t>
      </w:r>
      <w:r w:rsidR="00F52BC0">
        <w:rPr>
          <w:szCs w:val="26"/>
          <w:shd w:val="clear" w:color="auto" w:fill="FFFFFF"/>
        </w:rPr>
        <w:t>duplicat</w:t>
      </w:r>
      <w:r w:rsidR="00781FEF">
        <w:rPr>
          <w:szCs w:val="26"/>
          <w:shd w:val="clear" w:color="auto" w:fill="FFFFFF"/>
        </w:rPr>
        <w:t>ive</w:t>
      </w:r>
      <w:r w:rsidR="00F52BC0">
        <w:rPr>
          <w:szCs w:val="26"/>
          <w:shd w:val="clear" w:color="auto" w:fill="FFFFFF"/>
        </w:rPr>
        <w:t xml:space="preserve"> evidence</w:t>
      </w:r>
      <w:r w:rsidR="00692988">
        <w:rPr>
          <w:szCs w:val="26"/>
          <w:shd w:val="clear" w:color="auto" w:fill="FFFFFF"/>
        </w:rPr>
        <w:t xml:space="preserve"> at the proceedings.  </w:t>
      </w:r>
      <w:r w:rsidR="00FE216C">
        <w:rPr>
          <w:szCs w:val="26"/>
          <w:shd w:val="clear" w:color="auto" w:fill="FFFFFF"/>
        </w:rPr>
        <w:t xml:space="preserve">The same holds true </w:t>
      </w:r>
      <w:r w:rsidR="00DF020D">
        <w:rPr>
          <w:szCs w:val="26"/>
          <w:shd w:val="clear" w:color="auto" w:fill="FFFFFF"/>
        </w:rPr>
        <w:t xml:space="preserve">for </w:t>
      </w:r>
      <w:r w:rsidR="005A160E">
        <w:rPr>
          <w:szCs w:val="26"/>
          <w:shd w:val="clear" w:color="auto" w:fill="FFFFFF"/>
        </w:rPr>
        <w:t>criminal preliminary hearings, for example</w:t>
      </w:r>
      <w:r w:rsidR="00DF020D">
        <w:rPr>
          <w:szCs w:val="26"/>
          <w:shd w:val="clear" w:color="auto" w:fill="FFFFFF"/>
        </w:rPr>
        <w:t>.  (</w:t>
      </w:r>
      <w:r w:rsidR="00441A7E">
        <w:rPr>
          <w:szCs w:val="26"/>
          <w:shd w:val="clear" w:color="auto" w:fill="FFFFFF"/>
        </w:rPr>
        <w:t xml:space="preserve">See </w:t>
      </w:r>
      <w:r w:rsidRPr="00DB71AE" w:rsidR="002576D4">
        <w:rPr>
          <w:color w:val="000000"/>
          <w:szCs w:val="26"/>
        </w:rPr>
        <w:t>LaFave et al., 4 Criminal Procedure</w:t>
      </w:r>
      <w:r w:rsidR="00B1137F">
        <w:rPr>
          <w:color w:val="000000"/>
          <w:szCs w:val="26"/>
        </w:rPr>
        <w:t xml:space="preserve"> </w:t>
      </w:r>
      <w:r w:rsidRPr="00DB71AE" w:rsidR="00B1137F">
        <w:rPr>
          <w:color w:val="000000"/>
          <w:szCs w:val="26"/>
        </w:rPr>
        <w:t>(</w:t>
      </w:r>
      <w:r w:rsidR="00B1137F">
        <w:rPr>
          <w:color w:val="000000"/>
          <w:szCs w:val="26"/>
        </w:rPr>
        <w:t>4th</w:t>
      </w:r>
      <w:r w:rsidRPr="00DB71AE" w:rsidR="00B1137F">
        <w:rPr>
          <w:color w:val="000000"/>
          <w:szCs w:val="26"/>
        </w:rPr>
        <w:t xml:space="preserve"> ed.</w:t>
      </w:r>
      <w:r w:rsidRPr="00E61E14" w:rsidR="00B1137F">
        <w:rPr>
          <w:color w:val="000000"/>
          <w:szCs w:val="26"/>
        </w:rPr>
        <w:t xml:space="preserve"> 2015</w:t>
      </w:r>
      <w:r w:rsidRPr="00DB71AE" w:rsidR="00B1137F">
        <w:rPr>
          <w:color w:val="000000"/>
          <w:szCs w:val="26"/>
        </w:rPr>
        <w:t>)</w:t>
      </w:r>
      <w:r w:rsidRPr="00DB71AE" w:rsidR="002576D4">
        <w:rPr>
          <w:color w:val="000000"/>
          <w:szCs w:val="26"/>
        </w:rPr>
        <w:t xml:space="preserve"> § 14.</w:t>
      </w:r>
      <w:r w:rsidR="002576D4">
        <w:rPr>
          <w:color w:val="000000"/>
          <w:szCs w:val="26"/>
        </w:rPr>
        <w:t>3</w:t>
      </w:r>
      <w:r w:rsidRPr="00DB71AE" w:rsidR="002576D4">
        <w:rPr>
          <w:color w:val="000000"/>
          <w:szCs w:val="26"/>
        </w:rPr>
        <w:t>(</w:t>
      </w:r>
      <w:r w:rsidR="002576D4">
        <w:rPr>
          <w:color w:val="000000"/>
          <w:szCs w:val="26"/>
        </w:rPr>
        <w:t>a</w:t>
      </w:r>
      <w:r w:rsidRPr="00DB71AE" w:rsidR="002576D4">
        <w:rPr>
          <w:color w:val="000000"/>
          <w:szCs w:val="26"/>
        </w:rPr>
        <w:t>)</w:t>
      </w:r>
      <w:r w:rsidR="002576D4">
        <w:rPr>
          <w:color w:val="000000"/>
          <w:szCs w:val="26"/>
        </w:rPr>
        <w:t xml:space="preserve">, p. </w:t>
      </w:r>
      <w:r w:rsidR="007B4A07">
        <w:rPr>
          <w:color w:val="000000"/>
          <w:szCs w:val="26"/>
        </w:rPr>
        <w:t>365</w:t>
      </w:r>
      <w:r w:rsidR="006E4BA0">
        <w:rPr>
          <w:color w:val="000000"/>
          <w:szCs w:val="26"/>
        </w:rPr>
        <w:t>,</w:t>
      </w:r>
      <w:r w:rsidR="002576D4">
        <w:rPr>
          <w:color w:val="000000"/>
          <w:szCs w:val="26"/>
        </w:rPr>
        <w:t xml:space="preserve"> fn. 35</w:t>
      </w:r>
      <w:r w:rsidR="00E53D6B">
        <w:rPr>
          <w:color w:val="000000"/>
          <w:szCs w:val="26"/>
        </w:rPr>
        <w:t xml:space="preserve"> (LaFave)</w:t>
      </w:r>
      <w:r w:rsidR="002576D4">
        <w:rPr>
          <w:color w:val="000000"/>
          <w:szCs w:val="26"/>
        </w:rPr>
        <w:t xml:space="preserve"> [</w:t>
      </w:r>
      <w:r w:rsidR="002576D4">
        <w:t xml:space="preserve">California’s criminal preliminary hearing is relatively akin to a “mini-trial hearing,” </w:t>
      </w:r>
      <w:r w:rsidR="0010781B">
        <w:t>even in the wake of Prop</w:t>
      </w:r>
      <w:r w:rsidR="008C3471">
        <w:t>.</w:t>
      </w:r>
      <w:r w:rsidR="0010781B">
        <w:t xml:space="preserve"> 115, </w:t>
      </w:r>
      <w:r w:rsidR="009A65E4">
        <w:t>in that its rules potentially increase the rigor of its screening function by</w:t>
      </w:r>
      <w:r w:rsidR="000A7898">
        <w:t xml:space="preserve"> generally </w:t>
      </w:r>
      <w:r w:rsidR="000A7898">
        <w:rPr>
          <w:color w:val="000000"/>
          <w:szCs w:val="26"/>
        </w:rPr>
        <w:t>limiting the prosecution to the use of evidence that would be admissible at trial</w:t>
      </w:r>
      <w:r w:rsidR="00B7695B">
        <w:rPr>
          <w:color w:val="000000"/>
          <w:szCs w:val="26"/>
        </w:rPr>
        <w:t xml:space="preserve">]; </w:t>
      </w:r>
      <w:r w:rsidR="00CB3026">
        <w:rPr>
          <w:color w:val="000000"/>
          <w:szCs w:val="26"/>
        </w:rPr>
        <w:t xml:space="preserve">but </w:t>
      </w:r>
      <w:r w:rsidR="00B7695B">
        <w:rPr>
          <w:color w:val="000000"/>
          <w:szCs w:val="26"/>
        </w:rPr>
        <w:t>cf.</w:t>
      </w:r>
      <w:r w:rsidR="00E52A48">
        <w:rPr>
          <w:color w:val="000000"/>
          <w:szCs w:val="26"/>
        </w:rPr>
        <w:t xml:space="preserve"> LaFave, </w:t>
      </w:r>
      <w:r w:rsidRPr="00DB71AE" w:rsidR="00DE1060">
        <w:rPr>
          <w:color w:val="000000"/>
          <w:szCs w:val="26"/>
        </w:rPr>
        <w:t>§</w:t>
      </w:r>
      <w:r w:rsidR="00DE1060">
        <w:rPr>
          <w:color w:val="000000"/>
          <w:szCs w:val="26"/>
        </w:rPr>
        <w:t xml:space="preserve"> </w:t>
      </w:r>
      <w:r w:rsidRPr="00DB71AE" w:rsidR="00B7695B">
        <w:rPr>
          <w:color w:val="000000"/>
          <w:szCs w:val="26"/>
        </w:rPr>
        <w:t>14.</w:t>
      </w:r>
      <w:r w:rsidR="00B7695B">
        <w:rPr>
          <w:color w:val="000000"/>
          <w:szCs w:val="26"/>
        </w:rPr>
        <w:t>4</w:t>
      </w:r>
      <w:r w:rsidRPr="00DB71AE" w:rsidR="00B7695B">
        <w:rPr>
          <w:color w:val="000000"/>
          <w:szCs w:val="26"/>
        </w:rPr>
        <w:t>(</w:t>
      </w:r>
      <w:r w:rsidR="00B7695B">
        <w:rPr>
          <w:color w:val="000000"/>
          <w:szCs w:val="26"/>
        </w:rPr>
        <w:t>b</w:t>
      </w:r>
      <w:r w:rsidRPr="00DB71AE" w:rsidR="00B7695B">
        <w:rPr>
          <w:color w:val="000000"/>
          <w:szCs w:val="26"/>
        </w:rPr>
        <w:t>)</w:t>
      </w:r>
      <w:r w:rsidR="005B42D4">
        <w:rPr>
          <w:color w:val="000000"/>
          <w:szCs w:val="26"/>
        </w:rPr>
        <w:t xml:space="preserve"> at</w:t>
      </w:r>
      <w:r w:rsidR="00B1137F">
        <w:rPr>
          <w:color w:val="000000"/>
          <w:szCs w:val="26"/>
        </w:rPr>
        <w:t xml:space="preserve"> p. 383</w:t>
      </w:r>
      <w:r w:rsidR="00B7695B">
        <w:rPr>
          <w:color w:val="000000"/>
          <w:szCs w:val="26"/>
        </w:rPr>
        <w:t xml:space="preserve"> [</w:t>
      </w:r>
      <w:r w:rsidR="00AF2BCD">
        <w:rPr>
          <w:color w:val="000000"/>
          <w:szCs w:val="26"/>
        </w:rPr>
        <w:t>unlike</w:t>
      </w:r>
      <w:r w:rsidR="00B7695B">
        <w:rPr>
          <w:color w:val="000000"/>
          <w:szCs w:val="26"/>
        </w:rPr>
        <w:t xml:space="preserve"> California</w:t>
      </w:r>
      <w:r w:rsidR="00AF2BCD">
        <w:rPr>
          <w:color w:val="000000"/>
          <w:szCs w:val="26"/>
        </w:rPr>
        <w:t>,</w:t>
      </w:r>
      <w:r w:rsidR="00B7695B">
        <w:rPr>
          <w:color w:val="000000"/>
          <w:szCs w:val="26"/>
        </w:rPr>
        <w:t xml:space="preserve"> “perhaps a majority” of jurisdictions “start from the premise that the rules of evidence</w:t>
      </w:r>
      <w:r w:rsidR="007E6F91">
        <w:rPr>
          <w:color w:val="000000"/>
          <w:szCs w:val="26"/>
        </w:rPr>
        <w:t>,” including hearsay rules,</w:t>
      </w:r>
      <w:r w:rsidR="00B7695B">
        <w:rPr>
          <w:color w:val="000000"/>
          <w:szCs w:val="26"/>
        </w:rPr>
        <w:t xml:space="preserve"> do not apply to the preliminary hearing</w:t>
      </w:r>
      <w:r w:rsidR="00B84B3B">
        <w:rPr>
          <w:color w:val="000000"/>
          <w:szCs w:val="26"/>
        </w:rPr>
        <w:t xml:space="preserve">, and they </w:t>
      </w:r>
      <w:r w:rsidR="00B84B3B">
        <w:rPr>
          <w:szCs w:val="26"/>
        </w:rPr>
        <w:t>entrust magistrates to take appropriate account of the</w:t>
      </w:r>
      <w:r w:rsidR="00162535">
        <w:rPr>
          <w:szCs w:val="26"/>
        </w:rPr>
        <w:t xml:space="preserve"> reliability and</w:t>
      </w:r>
      <w:r w:rsidR="00B84B3B">
        <w:rPr>
          <w:szCs w:val="26"/>
        </w:rPr>
        <w:t xml:space="preserve"> weaknesses of </w:t>
      </w:r>
      <w:r w:rsidR="007906EA">
        <w:rPr>
          <w:szCs w:val="26"/>
        </w:rPr>
        <w:t>such</w:t>
      </w:r>
      <w:r w:rsidR="00B84B3B">
        <w:rPr>
          <w:szCs w:val="26"/>
        </w:rPr>
        <w:t xml:space="preserve"> evidence</w:t>
      </w:r>
      <w:r w:rsidR="00856149">
        <w:rPr>
          <w:szCs w:val="26"/>
        </w:rPr>
        <w:t>].)</w:t>
      </w:r>
      <w:r w:rsidR="0001656B">
        <w:rPr>
          <w:szCs w:val="26"/>
        </w:rPr>
        <w:t xml:space="preserve">  </w:t>
      </w:r>
      <w:bookmarkStart w:id="22" w:name="_Hlk73909403"/>
    </w:p>
    <w:p w:rsidR="001A521F" w:rsidRPr="00E80AD1" w:rsidP="00E80AD1" w14:paraId="27F8E362" w14:textId="24DFA73B">
      <w:pPr>
        <w:ind w:firstLine="720"/>
        <w:rPr>
          <w:szCs w:val="26"/>
          <w:bdr w:val="none" w:sz="0" w:space="0" w:color="auto" w:frame="1"/>
          <w:shd w:val="clear" w:color="auto" w:fill="FFFFFF"/>
        </w:rPr>
      </w:pPr>
      <w:bookmarkStart w:id="23" w:name="_Hlk76024311"/>
      <w:bookmarkStart w:id="24" w:name="_Hlk73921681"/>
      <w:bookmarkEnd w:id="22"/>
      <w:r>
        <w:rPr>
          <w:szCs w:val="26"/>
        </w:rPr>
        <w:t xml:space="preserve">The Legislature </w:t>
      </w:r>
      <w:r w:rsidR="007837F9">
        <w:rPr>
          <w:szCs w:val="26"/>
        </w:rPr>
        <w:t>can</w:t>
      </w:r>
      <w:r>
        <w:rPr>
          <w:szCs w:val="26"/>
        </w:rPr>
        <w:t xml:space="preserve">, of course, </w:t>
      </w:r>
      <w:r w:rsidR="0058556E">
        <w:rPr>
          <w:szCs w:val="26"/>
        </w:rPr>
        <w:t xml:space="preserve">create a hearsay exception </w:t>
      </w:r>
      <w:r w:rsidR="00B01437">
        <w:rPr>
          <w:szCs w:val="26"/>
        </w:rPr>
        <w:t xml:space="preserve">that </w:t>
      </w:r>
      <w:r w:rsidR="005919B0">
        <w:rPr>
          <w:szCs w:val="26"/>
        </w:rPr>
        <w:t xml:space="preserve">prevents </w:t>
      </w:r>
      <w:r w:rsidR="000E5183">
        <w:rPr>
          <w:szCs w:val="26"/>
        </w:rPr>
        <w:t xml:space="preserve">any </w:t>
      </w:r>
      <w:r w:rsidR="005919B0">
        <w:rPr>
          <w:szCs w:val="26"/>
        </w:rPr>
        <w:t>duplication of evidence</w:t>
      </w:r>
      <w:r w:rsidR="00AA4BF6">
        <w:rPr>
          <w:szCs w:val="26"/>
        </w:rPr>
        <w:t>.</w:t>
      </w:r>
      <w:r w:rsidR="005919B0">
        <w:rPr>
          <w:szCs w:val="26"/>
        </w:rPr>
        <w:t xml:space="preserve"> </w:t>
      </w:r>
      <w:r w:rsidR="00AA4BF6">
        <w:rPr>
          <w:szCs w:val="26"/>
        </w:rPr>
        <w:t xml:space="preserve"> </w:t>
      </w:r>
      <w:r w:rsidR="00F60489">
        <w:rPr>
          <w:szCs w:val="26"/>
        </w:rPr>
        <w:t xml:space="preserve">(Cf. </w:t>
      </w:r>
      <w:r w:rsidRPr="00F60489" w:rsidR="00F60489">
        <w:rPr>
          <w:i/>
          <w:iCs/>
          <w:szCs w:val="26"/>
        </w:rPr>
        <w:t>Parker</w:t>
      </w:r>
      <w:r w:rsidR="00F60489">
        <w:rPr>
          <w:szCs w:val="26"/>
        </w:rPr>
        <w:t xml:space="preserve">, </w:t>
      </w:r>
      <w:r w:rsidRPr="00F60489" w:rsidR="00F60489">
        <w:rPr>
          <w:i/>
          <w:iCs/>
          <w:szCs w:val="26"/>
        </w:rPr>
        <w:t>supra</w:t>
      </w:r>
      <w:r w:rsidR="00F60489">
        <w:rPr>
          <w:szCs w:val="26"/>
        </w:rPr>
        <w:t xml:space="preserve">, 60 Cal.App.4th at p. 1469 [noting that the Legislature can </w:t>
      </w:r>
      <w:r w:rsidR="008C3471">
        <w:rPr>
          <w:szCs w:val="26"/>
        </w:rPr>
        <w:t>“</w:t>
      </w:r>
      <w:r w:rsidR="00F60489">
        <w:rPr>
          <w:szCs w:val="26"/>
        </w:rPr>
        <w:t xml:space="preserve">fill the procedural gap in section 6602”].)  </w:t>
      </w:r>
      <w:r w:rsidR="005919B0">
        <w:rPr>
          <w:szCs w:val="26"/>
        </w:rPr>
        <w:t xml:space="preserve">It can </w:t>
      </w:r>
      <w:r w:rsidR="00D35759">
        <w:rPr>
          <w:szCs w:val="26"/>
        </w:rPr>
        <w:t xml:space="preserve">choose to </w:t>
      </w:r>
      <w:r w:rsidR="00B01437">
        <w:rPr>
          <w:szCs w:val="26"/>
        </w:rPr>
        <w:t xml:space="preserve">permit </w:t>
      </w:r>
      <w:r w:rsidR="00283463">
        <w:t>hearsay involving prior</w:t>
      </w:r>
      <w:r w:rsidR="00F305D6">
        <w:t xml:space="preserve"> nonpredicate</w:t>
      </w:r>
      <w:r w:rsidR="00283463">
        <w:t xml:space="preserve"> crimes to come in through</w:t>
      </w:r>
      <w:r w:rsidR="0055407D">
        <w:t xml:space="preserve"> </w:t>
      </w:r>
      <w:r w:rsidR="00283463">
        <w:t>e</w:t>
      </w:r>
      <w:r w:rsidR="00FF198C">
        <w:t>valuation</w:t>
      </w:r>
      <w:r w:rsidR="00283463">
        <w:t xml:space="preserve"> report</w:t>
      </w:r>
      <w:r w:rsidR="0055407D">
        <w:t>s</w:t>
      </w:r>
      <w:r w:rsidR="00283463">
        <w:t xml:space="preserve">.  </w:t>
      </w:r>
      <w:r w:rsidR="000107C3">
        <w:t xml:space="preserve">Nothing </w:t>
      </w:r>
      <w:r w:rsidR="002C2116">
        <w:t xml:space="preserve">in our analysis should be </w:t>
      </w:r>
      <w:r w:rsidR="00D47C0F">
        <w:t>understood</w:t>
      </w:r>
      <w:r w:rsidR="002C2116">
        <w:t xml:space="preserve"> </w:t>
      </w:r>
      <w:r w:rsidR="00CF7676">
        <w:t>as</w:t>
      </w:r>
      <w:r w:rsidR="006A3D3B">
        <w:t xml:space="preserve"> </w:t>
      </w:r>
      <w:r w:rsidR="003262FD">
        <w:t>taking a position</w:t>
      </w:r>
      <w:r w:rsidR="00677957">
        <w:t xml:space="preserve"> on </w:t>
      </w:r>
      <w:r w:rsidR="00846EE4">
        <w:t xml:space="preserve">whether such an exception ought to exist.  That </w:t>
      </w:r>
      <w:r w:rsidR="000932D3">
        <w:t xml:space="preserve">is </w:t>
      </w:r>
      <w:r w:rsidR="00F81AA0">
        <w:t xml:space="preserve">a </w:t>
      </w:r>
      <w:r w:rsidR="000932D3">
        <w:t>distinct</w:t>
      </w:r>
      <w:r w:rsidR="00C0403E">
        <w:t xml:space="preserve"> </w:t>
      </w:r>
      <w:r w:rsidR="00F76FCA">
        <w:t>question</w:t>
      </w:r>
      <w:r w:rsidR="00F81AA0">
        <w:t xml:space="preserve"> from what</w:t>
      </w:r>
      <w:r w:rsidR="00F76FCA">
        <w:t xml:space="preserve"> </w:t>
      </w:r>
      <w:r w:rsidR="00C0403E">
        <w:t xml:space="preserve">we </w:t>
      </w:r>
      <w:r w:rsidR="002A3F8D">
        <w:t xml:space="preserve">must </w:t>
      </w:r>
      <w:r w:rsidR="00C0403E">
        <w:t xml:space="preserve">resolve:  </w:t>
      </w:r>
      <w:r w:rsidR="00252DD5">
        <w:t xml:space="preserve">whether a hearsay exception </w:t>
      </w:r>
      <w:r w:rsidR="00515AAA">
        <w:t>does, in fact,</w:t>
      </w:r>
      <w:r w:rsidR="00252DD5">
        <w:t xml:space="preserve"> exist</w:t>
      </w:r>
      <w:r w:rsidR="00753AB1">
        <w:t xml:space="preserve"> in section 6602.  </w:t>
      </w:r>
      <w:r w:rsidR="00990CC9">
        <w:t xml:space="preserve">The Court of Appeal </w:t>
      </w:r>
      <w:r w:rsidR="000229B2">
        <w:t>blurred the distinction between</w:t>
      </w:r>
      <w:r w:rsidR="00990CC9">
        <w:t xml:space="preserve"> the two </w:t>
      </w:r>
      <w:r w:rsidR="004C7635">
        <w:t>inquiries</w:t>
      </w:r>
      <w:r w:rsidR="00990CC9">
        <w:t xml:space="preserve">.  </w:t>
      </w:r>
      <w:r w:rsidR="00F22845">
        <w:t xml:space="preserve">It concluded </w:t>
      </w:r>
      <w:r w:rsidR="00F22845">
        <w:rPr>
          <w:rStyle w:val="ssrfcpassagedeactivated"/>
          <w:szCs w:val="26"/>
          <w:bdr w:val="none" w:sz="0" w:space="0" w:color="auto" w:frame="1"/>
          <w:shd w:val="clear" w:color="auto" w:fill="FFFFFF"/>
        </w:rPr>
        <w:t xml:space="preserve">that a hearsay exception </w:t>
      </w:r>
      <w:r w:rsidR="009E4ECE">
        <w:rPr>
          <w:rStyle w:val="ssrfcpassagedeactivated"/>
          <w:szCs w:val="26"/>
          <w:bdr w:val="none" w:sz="0" w:space="0" w:color="auto" w:frame="1"/>
          <w:shd w:val="clear" w:color="auto" w:fill="FFFFFF"/>
        </w:rPr>
        <w:t>supports the practical role</w:t>
      </w:r>
      <w:r w:rsidR="00F22845">
        <w:rPr>
          <w:rStyle w:val="ssrfcpassagedeactivated"/>
          <w:szCs w:val="26"/>
          <w:bdr w:val="none" w:sz="0" w:space="0" w:color="auto" w:frame="1"/>
          <w:shd w:val="clear" w:color="auto" w:fill="FFFFFF"/>
        </w:rPr>
        <w:t xml:space="preserve"> of the probable cause hearing, and then reasoned backward</w:t>
      </w:r>
      <w:r w:rsidR="00AE43D3">
        <w:rPr>
          <w:rStyle w:val="ssrfcpassagedeactivated"/>
          <w:szCs w:val="26"/>
          <w:bdr w:val="none" w:sz="0" w:space="0" w:color="auto" w:frame="1"/>
          <w:shd w:val="clear" w:color="auto" w:fill="FFFFFF"/>
        </w:rPr>
        <w:t>, without any statutory basis,</w:t>
      </w:r>
      <w:r w:rsidR="00F22845">
        <w:rPr>
          <w:rStyle w:val="ssrfcpassagedeactivated"/>
          <w:szCs w:val="26"/>
          <w:bdr w:val="none" w:sz="0" w:space="0" w:color="auto" w:frame="1"/>
          <w:shd w:val="clear" w:color="auto" w:fill="FFFFFF"/>
        </w:rPr>
        <w:t xml:space="preserve"> to conclude that such an </w:t>
      </w:r>
      <w:r w:rsidRPr="00DD40AB" w:rsidR="00F22845">
        <w:rPr>
          <w:rStyle w:val="ssrfcpassagedeactivated"/>
          <w:szCs w:val="26"/>
          <w:bdr w:val="none" w:sz="0" w:space="0" w:color="auto" w:frame="1"/>
          <w:shd w:val="clear" w:color="auto" w:fill="FFFFFF"/>
        </w:rPr>
        <w:t>exception must therefore be implied</w:t>
      </w:r>
      <w:r w:rsidRPr="00DD40AB" w:rsidR="001B5AF7">
        <w:rPr>
          <w:rStyle w:val="ssrfcpassagedeactivated"/>
          <w:szCs w:val="26"/>
          <w:bdr w:val="none" w:sz="0" w:space="0" w:color="auto" w:frame="1"/>
          <w:shd w:val="clear" w:color="auto" w:fill="FFFFFF"/>
        </w:rPr>
        <w:t xml:space="preserve">.  </w:t>
      </w:r>
      <w:r w:rsidRPr="00DD40AB" w:rsidR="005B7436">
        <w:rPr>
          <w:rStyle w:val="ssrfcpassagedeactivated"/>
          <w:szCs w:val="26"/>
          <w:bdr w:val="none" w:sz="0" w:space="0" w:color="auto" w:frame="1"/>
          <w:shd w:val="clear" w:color="auto" w:fill="FFFFFF"/>
        </w:rPr>
        <w:t xml:space="preserve">If we embraced </w:t>
      </w:r>
      <w:r w:rsidRPr="00DD40AB" w:rsidR="00807EA2">
        <w:rPr>
          <w:rStyle w:val="ssrfcpassagedeactivated"/>
          <w:szCs w:val="26"/>
          <w:bdr w:val="none" w:sz="0" w:space="0" w:color="auto" w:frame="1"/>
          <w:shd w:val="clear" w:color="auto" w:fill="FFFFFF"/>
        </w:rPr>
        <w:t>this</w:t>
      </w:r>
      <w:r w:rsidRPr="00DD40AB" w:rsidR="009F112E">
        <w:rPr>
          <w:rStyle w:val="ssrfcpassagedeactivated"/>
          <w:szCs w:val="26"/>
          <w:bdr w:val="none" w:sz="0" w:space="0" w:color="auto" w:frame="1"/>
          <w:shd w:val="clear" w:color="auto" w:fill="FFFFFF"/>
        </w:rPr>
        <w:t xml:space="preserve"> reasoning, </w:t>
      </w:r>
      <w:r w:rsidRPr="00DD40AB" w:rsidR="005B7436">
        <w:rPr>
          <w:rStyle w:val="ssrfcpassagedeactivated"/>
          <w:szCs w:val="26"/>
          <w:bdr w:val="none" w:sz="0" w:space="0" w:color="auto" w:frame="1"/>
          <w:shd w:val="clear" w:color="auto" w:fill="FFFFFF"/>
        </w:rPr>
        <w:t>we’d risk imposing a</w:t>
      </w:r>
      <w:r w:rsidR="00E80AD1">
        <w:rPr>
          <w:rStyle w:val="ssrfcpassagedeactivated"/>
          <w:szCs w:val="26"/>
          <w:bdr w:val="none" w:sz="0" w:space="0" w:color="auto" w:frame="1"/>
          <w:shd w:val="clear" w:color="auto" w:fill="FFFFFF"/>
        </w:rPr>
        <w:t>n arrangement that essentially requires consideration of hearsay statements in the reports</w:t>
      </w:r>
      <w:r w:rsidR="00261F64">
        <w:rPr>
          <w:rStyle w:val="ssrfcpassagedeactivated"/>
          <w:szCs w:val="26"/>
          <w:bdr w:val="none" w:sz="0" w:space="0" w:color="auto" w:frame="1"/>
          <w:shd w:val="clear" w:color="auto" w:fill="FFFFFF"/>
        </w:rPr>
        <w:t> </w:t>
      </w:r>
      <w:r w:rsidR="008A06E9">
        <w:rPr>
          <w:rStyle w:val="ssrfcpassagedeactivated"/>
          <w:szCs w:val="26"/>
          <w:bdr w:val="none" w:sz="0" w:space="0" w:color="auto" w:frame="1"/>
          <w:shd w:val="clear" w:color="auto" w:fill="FFFFFF"/>
        </w:rPr>
        <w:t>—</w:t>
      </w:r>
      <w:r w:rsidR="00261F64">
        <w:rPr>
          <w:rStyle w:val="ssrfcpassagedeactivated"/>
          <w:szCs w:val="26"/>
          <w:bdr w:val="none" w:sz="0" w:space="0" w:color="auto" w:frame="1"/>
          <w:shd w:val="clear" w:color="auto" w:fill="FFFFFF"/>
        </w:rPr>
        <w:t xml:space="preserve"> </w:t>
      </w:r>
      <w:r w:rsidR="00E80AD1">
        <w:rPr>
          <w:rStyle w:val="ssrfcpassagedeactivated"/>
          <w:szCs w:val="26"/>
          <w:bdr w:val="none" w:sz="0" w:space="0" w:color="auto" w:frame="1"/>
          <w:shd w:val="clear" w:color="auto" w:fill="FFFFFF"/>
        </w:rPr>
        <w:t xml:space="preserve">a result </w:t>
      </w:r>
      <w:r w:rsidRPr="00DD40AB">
        <w:rPr>
          <w:szCs w:val="26"/>
          <w:shd w:val="clear" w:color="auto" w:fill="FFFFFF"/>
        </w:rPr>
        <w:t>unmoored from the SVPA’s language</w:t>
      </w:r>
      <w:r w:rsidRPr="00DD40AB" w:rsidR="00903F98">
        <w:rPr>
          <w:szCs w:val="26"/>
          <w:shd w:val="clear" w:color="auto" w:fill="FFFFFF"/>
        </w:rPr>
        <w:t xml:space="preserve">, </w:t>
      </w:r>
      <w:r w:rsidRPr="00DD40AB" w:rsidR="00BD7C2E">
        <w:rPr>
          <w:szCs w:val="26"/>
          <w:shd w:val="clear" w:color="auto" w:fill="FFFFFF"/>
        </w:rPr>
        <w:t xml:space="preserve">its </w:t>
      </w:r>
      <w:r w:rsidRPr="00DD40AB">
        <w:rPr>
          <w:szCs w:val="26"/>
          <w:shd w:val="clear" w:color="auto" w:fill="FFFFFF"/>
        </w:rPr>
        <w:t>legislative</w:t>
      </w:r>
      <w:r>
        <w:rPr>
          <w:szCs w:val="26"/>
          <w:shd w:val="clear" w:color="auto" w:fill="FFFFFF"/>
        </w:rPr>
        <w:t xml:space="preserve"> history</w:t>
      </w:r>
      <w:r w:rsidR="00903F98">
        <w:rPr>
          <w:szCs w:val="26"/>
          <w:shd w:val="clear" w:color="auto" w:fill="FFFFFF"/>
        </w:rPr>
        <w:t xml:space="preserve">, </w:t>
      </w:r>
      <w:r w:rsidR="00903F98">
        <w:rPr>
          <w:rStyle w:val="ssrfcpassagedeactivated"/>
          <w:szCs w:val="26"/>
          <w:bdr w:val="none" w:sz="0" w:space="0" w:color="auto" w:frame="1"/>
          <w:shd w:val="clear" w:color="auto" w:fill="FFFFFF"/>
        </w:rPr>
        <w:t xml:space="preserve">and other indicia of </w:t>
      </w:r>
      <w:r w:rsidRPr="00DD40AB" w:rsidR="00903F98">
        <w:rPr>
          <w:rStyle w:val="ssrfcpassagedeactivated"/>
          <w:szCs w:val="26"/>
          <w:bdr w:val="none" w:sz="0" w:space="0" w:color="auto" w:frame="1"/>
          <w:shd w:val="clear" w:color="auto" w:fill="FFFFFF"/>
        </w:rPr>
        <w:t>statutory purpose</w:t>
      </w:r>
      <w:r w:rsidRPr="00DD40AB" w:rsidR="005570FE">
        <w:rPr>
          <w:rStyle w:val="ssrfcpassagedeactivated"/>
          <w:szCs w:val="26"/>
          <w:bdr w:val="none" w:sz="0" w:space="0" w:color="auto" w:frame="1"/>
          <w:shd w:val="clear" w:color="auto" w:fill="FFFFFF"/>
        </w:rPr>
        <w:t xml:space="preserve">.  </w:t>
      </w:r>
    </w:p>
    <w:p w:rsidR="00684A82" w:rsidRPr="00237D2D" w:rsidP="00E039D1" w14:paraId="43C25653" w14:textId="34D771AB">
      <w:pPr>
        <w:ind w:firstLine="720"/>
        <w:rPr>
          <w:szCs w:val="26"/>
          <w:shd w:val="clear" w:color="auto" w:fill="FFFFFF"/>
        </w:rPr>
      </w:pPr>
      <w:bookmarkStart w:id="25" w:name="_Hlk76024540"/>
      <w:bookmarkEnd w:id="23"/>
      <w:r>
        <w:rPr>
          <w:szCs w:val="26"/>
          <w:shd w:val="clear" w:color="auto" w:fill="FFFFFF"/>
        </w:rPr>
        <w:t>True:</w:t>
      </w:r>
      <w:r w:rsidR="009D1606">
        <w:rPr>
          <w:szCs w:val="26"/>
          <w:shd w:val="clear" w:color="auto" w:fill="FFFFFF"/>
        </w:rPr>
        <w:t xml:space="preserve"> </w:t>
      </w:r>
      <w:r w:rsidRPr="009E64C2">
        <w:rPr>
          <w:szCs w:val="27"/>
          <w:shd w:val="clear" w:color="auto" w:fill="FFFFFF"/>
        </w:rPr>
        <w:t xml:space="preserve"> </w:t>
      </w:r>
      <w:r w:rsidR="001E3484">
        <w:rPr>
          <w:szCs w:val="27"/>
          <w:shd w:val="clear" w:color="auto" w:fill="FFFFFF"/>
        </w:rPr>
        <w:t>A</w:t>
      </w:r>
      <w:r w:rsidRPr="009E64C2" w:rsidR="00A6434D">
        <w:rPr>
          <w:szCs w:val="27"/>
          <w:shd w:val="clear" w:color="auto" w:fill="FFFFFF"/>
        </w:rPr>
        <w:t xml:space="preserve">llowing experts to relate hearsay accounts of nonpredicate offenses </w:t>
      </w:r>
      <w:r w:rsidR="00A6434D">
        <w:rPr>
          <w:szCs w:val="27"/>
          <w:shd w:val="clear" w:color="auto" w:fill="FFFFFF"/>
        </w:rPr>
        <w:t>would</w:t>
      </w:r>
      <w:r w:rsidRPr="009E64C2" w:rsidR="00A6434D">
        <w:rPr>
          <w:szCs w:val="27"/>
          <w:shd w:val="clear" w:color="auto" w:fill="FFFFFF"/>
        </w:rPr>
        <w:t xml:space="preserve"> “streamline </w:t>
      </w:r>
      <w:r w:rsidRPr="009E64C2" w:rsidR="00A6434D">
        <w:rPr>
          <w:color w:val="000000"/>
          <w:szCs w:val="27"/>
          <w:shd w:val="clear" w:color="auto" w:fill="FFFFFF"/>
        </w:rPr>
        <w:t>the People’s ability to make [its] initial showing without having to duplicate” trial evidence and track down victims and witnesses</w:t>
      </w:r>
      <w:r w:rsidR="00073DBC">
        <w:rPr>
          <w:color w:val="000000"/>
          <w:szCs w:val="27"/>
          <w:shd w:val="clear" w:color="auto" w:fill="FFFFFF"/>
        </w:rPr>
        <w:t>.</w:t>
      </w:r>
      <w:r w:rsidRPr="009E64C2" w:rsidR="00A6434D">
        <w:rPr>
          <w:color w:val="000000"/>
          <w:szCs w:val="27"/>
          <w:shd w:val="clear" w:color="auto" w:fill="FFFFFF"/>
        </w:rPr>
        <w:t xml:space="preserve"> </w:t>
      </w:r>
      <w:r w:rsidR="00073DBC">
        <w:rPr>
          <w:color w:val="000000"/>
          <w:szCs w:val="27"/>
          <w:shd w:val="clear" w:color="auto" w:fill="FFFFFF"/>
        </w:rPr>
        <w:t xml:space="preserve"> </w:t>
      </w:r>
      <w:r w:rsidRPr="009E64C2" w:rsidR="00A6434D">
        <w:rPr>
          <w:color w:val="000000"/>
          <w:szCs w:val="27"/>
        </w:rPr>
        <w:t>(</w:t>
      </w:r>
      <w:r w:rsidRPr="009E64C2" w:rsidR="00A6434D">
        <w:rPr>
          <w:i/>
          <w:iCs/>
          <w:color w:val="000000"/>
          <w:szCs w:val="27"/>
        </w:rPr>
        <w:t>Walker</w:t>
      </w:r>
      <w:r w:rsidRPr="009E64C2" w:rsidR="00A6434D">
        <w:rPr>
          <w:color w:val="000000"/>
          <w:szCs w:val="27"/>
        </w:rPr>
        <w:t xml:space="preserve">, </w:t>
      </w:r>
      <w:r w:rsidRPr="009E64C2" w:rsidR="00A6434D">
        <w:rPr>
          <w:i/>
          <w:iCs/>
          <w:color w:val="000000"/>
          <w:szCs w:val="27"/>
        </w:rPr>
        <w:t>supra</w:t>
      </w:r>
      <w:r w:rsidRPr="009E64C2" w:rsidR="00A6434D">
        <w:rPr>
          <w:color w:val="000000"/>
          <w:szCs w:val="27"/>
        </w:rPr>
        <w:t>, 51 Cal.App.5th at p. 701</w:t>
      </w:r>
      <w:r w:rsidR="00240B68">
        <w:rPr>
          <w:color w:val="000000"/>
          <w:szCs w:val="27"/>
        </w:rPr>
        <w:t xml:space="preserve">; </w:t>
      </w:r>
      <w:r w:rsidR="00E54851">
        <w:rPr>
          <w:color w:val="000000"/>
          <w:szCs w:val="27"/>
        </w:rPr>
        <w:t xml:space="preserve">see </w:t>
      </w:r>
      <w:r w:rsidR="00240B68">
        <w:rPr>
          <w:color w:val="000000"/>
          <w:szCs w:val="27"/>
        </w:rPr>
        <w:t>conc. opn.</w:t>
      </w:r>
      <w:r w:rsidR="00216F1A">
        <w:rPr>
          <w:color w:val="000000"/>
          <w:szCs w:val="27"/>
        </w:rPr>
        <w:t xml:space="preserve">, </w:t>
      </w:r>
      <w:r w:rsidRPr="001F3EA6" w:rsidR="00216F1A">
        <w:rPr>
          <w:i/>
          <w:iCs/>
          <w:color w:val="000000"/>
          <w:szCs w:val="27"/>
        </w:rPr>
        <w:t>post</w:t>
      </w:r>
      <w:r w:rsidR="00216F1A">
        <w:rPr>
          <w:color w:val="000000"/>
          <w:szCs w:val="27"/>
        </w:rPr>
        <w:t>, at p. 4</w:t>
      </w:r>
      <w:r>
        <w:rPr>
          <w:color w:val="000000"/>
          <w:szCs w:val="27"/>
        </w:rPr>
        <w:t>.</w:t>
      </w:r>
      <w:r w:rsidR="00073DBC">
        <w:rPr>
          <w:color w:val="000000"/>
          <w:szCs w:val="27"/>
        </w:rPr>
        <w:t>)</w:t>
      </w:r>
      <w:r>
        <w:rPr>
          <w:color w:val="000000"/>
          <w:szCs w:val="27"/>
        </w:rPr>
        <w:t xml:space="preserve">  But </w:t>
      </w:r>
      <w:r w:rsidR="00A6434D">
        <w:rPr>
          <w:color w:val="000000"/>
          <w:szCs w:val="27"/>
        </w:rPr>
        <w:t>Walker raises countervailing considerations</w:t>
      </w:r>
      <w:r w:rsidR="00FE0862">
        <w:rPr>
          <w:color w:val="000000"/>
          <w:szCs w:val="27"/>
        </w:rPr>
        <w:t>:</w:t>
      </w:r>
      <w:r>
        <w:rPr>
          <w:color w:val="000000"/>
          <w:szCs w:val="27"/>
        </w:rPr>
        <w:t xml:space="preserve">  </w:t>
      </w:r>
      <w:r w:rsidR="00FE0862">
        <w:rPr>
          <w:color w:val="000000"/>
          <w:szCs w:val="27"/>
        </w:rPr>
        <w:t>d</w:t>
      </w:r>
      <w:r w:rsidR="00A6434D">
        <w:rPr>
          <w:color w:val="000000"/>
          <w:szCs w:val="27"/>
        </w:rPr>
        <w:t xml:space="preserve">efendants’ interest in especially rigorous evidence testing </w:t>
      </w:r>
      <w:r w:rsidR="00A6434D">
        <w:rPr>
          <w:szCs w:val="26"/>
          <w:shd w:val="clear" w:color="auto" w:fill="FFFFFF"/>
        </w:rPr>
        <w:t xml:space="preserve">to bar </w:t>
      </w:r>
      <w:r w:rsidRPr="00CB5FD6" w:rsidR="00A6434D">
        <w:rPr>
          <w:szCs w:val="26"/>
          <w:shd w:val="clear" w:color="auto" w:fill="FFFFFF"/>
        </w:rPr>
        <w:t>any</w:t>
      </w:r>
      <w:r w:rsidR="00A6434D">
        <w:rPr>
          <w:szCs w:val="26"/>
          <w:shd w:val="clear" w:color="auto" w:fill="FFFFFF"/>
        </w:rPr>
        <w:t xml:space="preserve"> potentially unreliable hearsay from being used to prop up a weak petition</w:t>
      </w:r>
      <w:r w:rsidR="00FE0862">
        <w:rPr>
          <w:szCs w:val="26"/>
          <w:shd w:val="clear" w:color="auto" w:fill="FFFFFF"/>
        </w:rPr>
        <w:t>.</w:t>
      </w:r>
      <w:r w:rsidR="00A6434D">
        <w:rPr>
          <w:szCs w:val="26"/>
          <w:shd w:val="clear" w:color="auto" w:fill="FFFFFF"/>
        </w:rPr>
        <w:t xml:space="preserve"> </w:t>
      </w:r>
      <w:r w:rsidR="00837869">
        <w:rPr>
          <w:szCs w:val="26"/>
          <w:shd w:val="clear" w:color="auto" w:fill="FFFFFF"/>
        </w:rPr>
        <w:t xml:space="preserve"> </w:t>
      </w:r>
      <w:r w:rsidR="00A6434D">
        <w:rPr>
          <w:szCs w:val="26"/>
          <w:shd w:val="clear" w:color="auto" w:fill="FFFFFF"/>
        </w:rPr>
        <w:t>(</w:t>
      </w:r>
      <w:r w:rsidR="00FE0862">
        <w:rPr>
          <w:szCs w:val="26"/>
          <w:shd w:val="clear" w:color="auto" w:fill="FFFFFF"/>
        </w:rPr>
        <w:t>S</w:t>
      </w:r>
      <w:r w:rsidR="00A6434D">
        <w:rPr>
          <w:szCs w:val="26"/>
          <w:shd w:val="clear" w:color="auto" w:fill="FFFFFF"/>
        </w:rPr>
        <w:t xml:space="preserve">ee </w:t>
      </w:r>
      <w:r w:rsidRPr="00F601A0" w:rsidR="00A6434D">
        <w:rPr>
          <w:i/>
          <w:iCs/>
          <w:szCs w:val="26"/>
          <w:shd w:val="clear" w:color="auto" w:fill="FFFFFF"/>
        </w:rPr>
        <w:t>Couthren</w:t>
      </w:r>
      <w:r w:rsidR="00A6434D">
        <w:rPr>
          <w:szCs w:val="26"/>
          <w:shd w:val="clear" w:color="auto" w:fill="FFFFFF"/>
        </w:rPr>
        <w:t xml:space="preserve">, </w:t>
      </w:r>
      <w:r w:rsidRPr="00255B7F" w:rsidR="00A6434D">
        <w:rPr>
          <w:i/>
          <w:iCs/>
          <w:szCs w:val="26"/>
          <w:shd w:val="clear" w:color="auto" w:fill="FFFFFF"/>
        </w:rPr>
        <w:t>supra</w:t>
      </w:r>
      <w:r w:rsidR="00A6434D">
        <w:rPr>
          <w:szCs w:val="26"/>
          <w:shd w:val="clear" w:color="auto" w:fill="FFFFFF"/>
        </w:rPr>
        <w:t>, 41 Cal.App.5th at pp. 1014, 1020</w:t>
      </w:r>
      <w:r w:rsidR="00FE0862">
        <w:rPr>
          <w:szCs w:val="26"/>
          <w:shd w:val="clear" w:color="auto" w:fill="FFFFFF"/>
        </w:rPr>
        <w:t>.</w:t>
      </w:r>
      <w:r w:rsidR="00A6434D">
        <w:rPr>
          <w:szCs w:val="26"/>
          <w:shd w:val="clear" w:color="auto" w:fill="FFFFFF"/>
        </w:rPr>
        <w:t xml:space="preserve">)  </w:t>
      </w:r>
      <w:r w:rsidRPr="009E64C2" w:rsidR="008D3191">
        <w:rPr>
          <w:szCs w:val="26"/>
          <w:shd w:val="clear" w:color="auto" w:fill="FFFFFF"/>
        </w:rPr>
        <w:t xml:space="preserve">Reasonable minds can certainly disagree </w:t>
      </w:r>
      <w:r w:rsidRPr="009E64C2" w:rsidR="00CD36B4">
        <w:rPr>
          <w:szCs w:val="26"/>
          <w:shd w:val="clear" w:color="auto" w:fill="FFFFFF"/>
        </w:rPr>
        <w:t xml:space="preserve">on </w:t>
      </w:r>
      <w:r w:rsidRPr="009E64C2" w:rsidR="00AD33FA">
        <w:rPr>
          <w:szCs w:val="26"/>
          <w:shd w:val="clear" w:color="auto" w:fill="FFFFFF"/>
        </w:rPr>
        <w:t>whether hearsay</w:t>
      </w:r>
      <w:r w:rsidR="00AD33FA">
        <w:rPr>
          <w:szCs w:val="26"/>
          <w:shd w:val="clear" w:color="auto" w:fill="FFFFFF"/>
        </w:rPr>
        <w:t xml:space="preserve"> </w:t>
      </w:r>
      <w:r w:rsidR="008B1284">
        <w:rPr>
          <w:szCs w:val="26"/>
          <w:shd w:val="clear" w:color="auto" w:fill="FFFFFF"/>
        </w:rPr>
        <w:t xml:space="preserve">like this, which would be inadmissible at the eventual SVP trial, </w:t>
      </w:r>
      <w:r w:rsidRPr="005B42D4" w:rsidR="00AD33FA">
        <w:rPr>
          <w:i/>
          <w:iCs/>
          <w:szCs w:val="26"/>
          <w:shd w:val="clear" w:color="auto" w:fill="FFFFFF"/>
        </w:rPr>
        <w:t>should</w:t>
      </w:r>
      <w:r w:rsidR="00AD33FA">
        <w:rPr>
          <w:szCs w:val="26"/>
          <w:shd w:val="clear" w:color="auto" w:fill="FFFFFF"/>
        </w:rPr>
        <w:t xml:space="preserve"> come in at a preliminary hearing.</w:t>
      </w:r>
      <w:r w:rsidR="00CD36B4">
        <w:rPr>
          <w:szCs w:val="26"/>
          <w:shd w:val="clear" w:color="auto" w:fill="FFFFFF"/>
        </w:rPr>
        <w:t xml:space="preserve">  (</w:t>
      </w:r>
      <w:r w:rsidR="004E28D7">
        <w:rPr>
          <w:szCs w:val="26"/>
          <w:shd w:val="clear" w:color="auto" w:fill="FFFFFF"/>
        </w:rPr>
        <w:t>Cf.</w:t>
      </w:r>
      <w:r w:rsidR="005B42D4">
        <w:rPr>
          <w:szCs w:val="26"/>
          <w:shd w:val="clear" w:color="auto" w:fill="FFFFFF"/>
        </w:rPr>
        <w:t xml:space="preserve"> </w:t>
      </w:r>
      <w:r w:rsidR="00CD36B4">
        <w:rPr>
          <w:szCs w:val="26"/>
          <w:shd w:val="clear" w:color="auto" w:fill="FFFFFF"/>
        </w:rPr>
        <w:t>LaFave</w:t>
      </w:r>
      <w:r w:rsidR="00994A68">
        <w:rPr>
          <w:szCs w:val="26"/>
          <w:shd w:val="clear" w:color="auto" w:fill="FFFFFF"/>
        </w:rPr>
        <w:t xml:space="preserve">, </w:t>
      </w:r>
      <w:r w:rsidRPr="005B42D4" w:rsidR="00994A68">
        <w:rPr>
          <w:i/>
          <w:iCs/>
          <w:szCs w:val="26"/>
          <w:shd w:val="clear" w:color="auto" w:fill="FFFFFF"/>
        </w:rPr>
        <w:t>supra</w:t>
      </w:r>
      <w:r w:rsidR="00994A68">
        <w:rPr>
          <w:szCs w:val="26"/>
          <w:shd w:val="clear" w:color="auto" w:fill="FFFFFF"/>
        </w:rPr>
        <w:t>,</w:t>
      </w:r>
      <w:r w:rsidR="005B42D4">
        <w:rPr>
          <w:szCs w:val="26"/>
          <w:shd w:val="clear" w:color="auto" w:fill="FFFFFF"/>
        </w:rPr>
        <w:t xml:space="preserve"> </w:t>
      </w:r>
      <w:r w:rsidRPr="00DB71AE" w:rsidR="005B42D4">
        <w:rPr>
          <w:color w:val="000000"/>
          <w:szCs w:val="26"/>
        </w:rPr>
        <w:t>§</w:t>
      </w:r>
      <w:r w:rsidR="00D470AE">
        <w:rPr>
          <w:color w:val="000000"/>
          <w:szCs w:val="26"/>
        </w:rPr>
        <w:t xml:space="preserve"> </w:t>
      </w:r>
      <w:r w:rsidRPr="00DB71AE" w:rsidR="005B42D4">
        <w:rPr>
          <w:color w:val="000000"/>
          <w:szCs w:val="26"/>
        </w:rPr>
        <w:t>14.</w:t>
      </w:r>
      <w:r w:rsidR="005B42D4">
        <w:rPr>
          <w:color w:val="000000"/>
          <w:szCs w:val="26"/>
        </w:rPr>
        <w:t>4</w:t>
      </w:r>
      <w:r w:rsidRPr="00DB71AE" w:rsidR="005B42D4">
        <w:rPr>
          <w:color w:val="000000"/>
          <w:szCs w:val="26"/>
        </w:rPr>
        <w:t>(</w:t>
      </w:r>
      <w:r w:rsidR="005B42D4">
        <w:rPr>
          <w:color w:val="000000"/>
          <w:szCs w:val="26"/>
        </w:rPr>
        <w:t>b</w:t>
      </w:r>
      <w:r w:rsidRPr="00DB71AE" w:rsidR="005B42D4">
        <w:rPr>
          <w:color w:val="000000"/>
          <w:szCs w:val="26"/>
        </w:rPr>
        <w:t>)</w:t>
      </w:r>
      <w:r w:rsidR="005B42D4">
        <w:rPr>
          <w:color w:val="000000"/>
          <w:szCs w:val="26"/>
        </w:rPr>
        <w:t xml:space="preserve"> at </w:t>
      </w:r>
      <w:r w:rsidR="000B2EC3">
        <w:rPr>
          <w:color w:val="000000"/>
          <w:szCs w:val="26"/>
        </w:rPr>
        <w:t>p</w:t>
      </w:r>
      <w:r w:rsidR="005B42D4">
        <w:rPr>
          <w:color w:val="000000"/>
          <w:szCs w:val="26"/>
        </w:rPr>
        <w:t xml:space="preserve">p. </w:t>
      </w:r>
      <w:r w:rsidR="000B2EC3">
        <w:rPr>
          <w:color w:val="000000"/>
          <w:szCs w:val="26"/>
        </w:rPr>
        <w:t>387–389</w:t>
      </w:r>
      <w:r w:rsidR="005B42D4">
        <w:rPr>
          <w:color w:val="000000"/>
          <w:szCs w:val="26"/>
        </w:rPr>
        <w:t>.)</w:t>
      </w:r>
      <w:r w:rsidR="005B42D4">
        <w:rPr>
          <w:szCs w:val="26"/>
          <w:shd w:val="clear" w:color="auto" w:fill="FFFFFF"/>
        </w:rPr>
        <w:t xml:space="preserve">  </w:t>
      </w:r>
      <w:r w:rsidR="007B2E1C">
        <w:rPr>
          <w:szCs w:val="26"/>
          <w:shd w:val="clear" w:color="auto" w:fill="FFFFFF"/>
        </w:rPr>
        <w:t>But setting</w:t>
      </w:r>
      <w:r w:rsidR="00AD33FA">
        <w:rPr>
          <w:szCs w:val="26"/>
          <w:shd w:val="clear" w:color="auto" w:fill="FFFFFF"/>
        </w:rPr>
        <w:t xml:space="preserve"> </w:t>
      </w:r>
      <w:r w:rsidR="001D7742">
        <w:rPr>
          <w:szCs w:val="26"/>
          <w:shd w:val="clear" w:color="auto" w:fill="FFFFFF"/>
        </w:rPr>
        <w:t xml:space="preserve">aside </w:t>
      </w:r>
      <w:r w:rsidR="009A3108">
        <w:rPr>
          <w:szCs w:val="26"/>
          <w:shd w:val="clear" w:color="auto" w:fill="FFFFFF"/>
        </w:rPr>
        <w:t>these policy judgments</w:t>
      </w:r>
      <w:r w:rsidR="00AD33FA">
        <w:rPr>
          <w:szCs w:val="26"/>
          <w:shd w:val="clear" w:color="auto" w:fill="FFFFFF"/>
        </w:rPr>
        <w:t xml:space="preserve">, </w:t>
      </w:r>
      <w:r w:rsidR="001603E7">
        <w:rPr>
          <w:szCs w:val="26"/>
          <w:shd w:val="clear" w:color="auto" w:fill="FFFFFF"/>
        </w:rPr>
        <w:t xml:space="preserve">the </w:t>
      </w:r>
      <w:r w:rsidR="007B2E1C">
        <w:rPr>
          <w:szCs w:val="26"/>
          <w:shd w:val="clear" w:color="auto" w:fill="FFFFFF"/>
        </w:rPr>
        <w:t>Legislature</w:t>
      </w:r>
      <w:r w:rsidR="008452E2">
        <w:rPr>
          <w:szCs w:val="26"/>
          <w:shd w:val="clear" w:color="auto" w:fill="FFFFFF"/>
        </w:rPr>
        <w:t>’s decision</w:t>
      </w:r>
      <w:r w:rsidR="00E42E14">
        <w:rPr>
          <w:szCs w:val="26"/>
          <w:shd w:val="clear" w:color="auto" w:fill="FFFFFF"/>
        </w:rPr>
        <w:t xml:space="preserve"> </w:t>
      </w:r>
      <w:r w:rsidR="00270510">
        <w:rPr>
          <w:szCs w:val="26"/>
          <w:shd w:val="clear" w:color="auto" w:fill="FFFFFF"/>
        </w:rPr>
        <w:t>to not carve out an exception for the evidence in dispute in this case</w:t>
      </w:r>
      <w:r w:rsidR="003E286E">
        <w:rPr>
          <w:szCs w:val="26"/>
          <w:shd w:val="clear" w:color="auto" w:fill="FFFFFF"/>
        </w:rPr>
        <w:t> </w:t>
      </w:r>
      <w:r w:rsidR="00365FA7">
        <w:rPr>
          <w:szCs w:val="26"/>
          <w:shd w:val="clear" w:color="auto" w:fill="FFFFFF"/>
        </w:rPr>
        <w:t>—</w:t>
      </w:r>
      <w:r w:rsidR="00261F64">
        <w:rPr>
          <w:szCs w:val="26"/>
          <w:shd w:val="clear" w:color="auto" w:fill="FFFFFF"/>
        </w:rPr>
        <w:t xml:space="preserve"> </w:t>
      </w:r>
      <w:r w:rsidR="00365FA7">
        <w:rPr>
          <w:szCs w:val="26"/>
          <w:shd w:val="clear" w:color="auto" w:fill="FFFFFF"/>
        </w:rPr>
        <w:t>hearsay accounts of nonpredicate offenses introduced via expert reports</w:t>
      </w:r>
      <w:r w:rsidR="00D415DF">
        <w:rPr>
          <w:szCs w:val="26"/>
          <w:shd w:val="clear" w:color="auto" w:fill="FFFFFF"/>
        </w:rPr>
        <w:t> </w:t>
      </w:r>
      <w:r w:rsidR="00365FA7">
        <w:rPr>
          <w:szCs w:val="26"/>
          <w:shd w:val="clear" w:color="auto" w:fill="FFFFFF"/>
        </w:rPr>
        <w:t>—</w:t>
      </w:r>
      <w:r w:rsidR="00261F64">
        <w:rPr>
          <w:szCs w:val="26"/>
          <w:shd w:val="clear" w:color="auto" w:fill="FFFFFF"/>
        </w:rPr>
        <w:t xml:space="preserve"> </w:t>
      </w:r>
      <w:r w:rsidR="00903A44">
        <w:rPr>
          <w:szCs w:val="26"/>
          <w:shd w:val="clear" w:color="auto" w:fill="FFFFFF"/>
        </w:rPr>
        <w:t>reasonably</w:t>
      </w:r>
      <w:r w:rsidR="007B2E1C">
        <w:rPr>
          <w:szCs w:val="26"/>
          <w:shd w:val="clear" w:color="auto" w:fill="FFFFFF"/>
        </w:rPr>
        <w:t xml:space="preserve"> </w:t>
      </w:r>
      <w:r w:rsidRPr="00326E19" w:rsidR="007B2E1C">
        <w:rPr>
          <w:szCs w:val="26"/>
          <w:shd w:val="clear" w:color="auto" w:fill="FFFFFF"/>
        </w:rPr>
        <w:t>aligns with</w:t>
      </w:r>
      <w:r w:rsidR="007B2E1C">
        <w:rPr>
          <w:szCs w:val="26"/>
          <w:shd w:val="clear" w:color="auto" w:fill="FFFFFF"/>
        </w:rPr>
        <w:t xml:space="preserve"> the hearing’s evidence-testing function</w:t>
      </w:r>
      <w:bookmarkEnd w:id="24"/>
      <w:r w:rsidR="003C4B13">
        <w:rPr>
          <w:szCs w:val="26"/>
          <w:shd w:val="clear" w:color="auto" w:fill="FFFFFF"/>
        </w:rPr>
        <w:t xml:space="preserve">, </w:t>
      </w:r>
      <w:r w:rsidR="008C658E">
        <w:rPr>
          <w:szCs w:val="26"/>
          <w:shd w:val="clear" w:color="auto" w:fill="FFFFFF"/>
        </w:rPr>
        <w:t>as the Legislature has presently designed it and our prior cases have interpreted it.</w:t>
      </w:r>
      <w:r w:rsidR="00012147">
        <w:rPr>
          <w:szCs w:val="26"/>
          <w:shd w:val="clear" w:color="auto" w:fill="FFFFFF"/>
        </w:rPr>
        <w:t xml:space="preserve">  </w:t>
      </w:r>
      <w:r w:rsidR="003E5E21">
        <w:rPr>
          <w:szCs w:val="26"/>
          <w:shd w:val="clear" w:color="auto" w:fill="FFFFFF"/>
        </w:rPr>
        <w:t xml:space="preserve">  </w:t>
      </w:r>
      <w:bookmarkEnd w:id="25"/>
    </w:p>
    <w:p w:rsidR="001833EF" w:rsidRPr="00031A4F" w:rsidP="00755AF7" w14:paraId="3BDEC59B" w14:textId="2D0A8969">
      <w:pPr>
        <w:pStyle w:val="Heading3"/>
        <w:tabs>
          <w:tab w:val="left" w:pos="0"/>
          <w:tab w:val="clear" w:pos="1584"/>
        </w:tabs>
        <w:ind w:left="0" w:firstLine="0"/>
        <w:jc w:val="center"/>
        <w:rPr>
          <w:b/>
          <w:bCs/>
          <w:i w:val="0"/>
          <w:iCs/>
        </w:rPr>
      </w:pPr>
      <w:r w:rsidRPr="00031A4F">
        <w:rPr>
          <w:b/>
          <w:bCs/>
          <w:i w:val="0"/>
          <w:iCs/>
        </w:rPr>
        <w:t>2</w:t>
      </w:r>
      <w:r w:rsidRPr="00031A4F" w:rsidR="00FB3D7B">
        <w:rPr>
          <w:b/>
          <w:bCs/>
          <w:i w:val="0"/>
          <w:iCs/>
        </w:rPr>
        <w:t>.</w:t>
      </w:r>
    </w:p>
    <w:p w:rsidR="002D0C47" w:rsidRPr="00761DF6" w:rsidP="00761DF6" w14:paraId="32DD9187" w14:textId="1AF80A72">
      <w:pPr>
        <w:shd w:val="clear" w:color="auto" w:fill="FFFFFF"/>
        <w:textAlignment w:val="baseline"/>
      </w:pPr>
      <w:r w:rsidRPr="00761DF6">
        <w:tab/>
        <w:t xml:space="preserve">We separately address </w:t>
      </w:r>
      <w:r w:rsidRPr="00761DF6" w:rsidR="007B50C7">
        <w:t xml:space="preserve">one argument the </w:t>
      </w:r>
      <w:r w:rsidR="00A126F6">
        <w:t xml:space="preserve">Court of Appeal </w:t>
      </w:r>
      <w:r w:rsidRPr="00761DF6" w:rsidR="007B50C7">
        <w:t xml:space="preserve">presented, and </w:t>
      </w:r>
      <w:r w:rsidR="004B135A">
        <w:t>to which the</w:t>
      </w:r>
      <w:r w:rsidRPr="00761DF6" w:rsidR="007B50C7">
        <w:t xml:space="preserve"> People briefly </w:t>
      </w:r>
      <w:r w:rsidRPr="00761DF6" w:rsidR="00C83C50">
        <w:t>allude</w:t>
      </w:r>
      <w:r w:rsidRPr="00761DF6" w:rsidR="007B50C7">
        <w:t xml:space="preserve">.  </w:t>
      </w:r>
      <w:r w:rsidRPr="00761DF6" w:rsidR="00503038">
        <w:t xml:space="preserve">The </w:t>
      </w:r>
      <w:r w:rsidRPr="00761DF6" w:rsidR="00364A27">
        <w:t>Court of Appeal argued that</w:t>
      </w:r>
      <w:r w:rsidRPr="00761DF6" w:rsidR="004C17CE">
        <w:t xml:space="preserve"> </w:t>
      </w:r>
      <w:r w:rsidRPr="00761DF6" w:rsidR="00D36598">
        <w:t>two prior decisions</w:t>
      </w:r>
      <w:r w:rsidRPr="00761DF6" w:rsidR="00EC5BCA">
        <w:t xml:space="preserve"> </w:t>
      </w:r>
      <w:r w:rsidRPr="00761DF6" w:rsidR="00D36598">
        <w:t>have</w:t>
      </w:r>
      <w:r w:rsidRPr="00761DF6" w:rsidR="004C17CE">
        <w:t>, consistent with section 6602,</w:t>
      </w:r>
      <w:r w:rsidRPr="00761DF6" w:rsidR="00D36598">
        <w:t xml:space="preserve"> </w:t>
      </w:r>
      <w:r w:rsidR="0025421E">
        <w:t xml:space="preserve">already </w:t>
      </w:r>
      <w:r w:rsidRPr="00761DF6" w:rsidR="00D36598">
        <w:t>recognized a hearsay exception</w:t>
      </w:r>
      <w:r w:rsidRPr="00761DF6" w:rsidR="00C46666">
        <w:t xml:space="preserve"> </w:t>
      </w:r>
      <w:r w:rsidR="002C4940">
        <w:t>covering the hearsay</w:t>
      </w:r>
      <w:r w:rsidRPr="00761DF6" w:rsidR="00C46666">
        <w:t xml:space="preserve"> </w:t>
      </w:r>
      <w:r w:rsidR="002C4940">
        <w:t xml:space="preserve">report </w:t>
      </w:r>
      <w:r w:rsidRPr="00761DF6" w:rsidR="00C46666">
        <w:t>content</w:t>
      </w:r>
      <w:r w:rsidR="002C4940">
        <w:t xml:space="preserve"> at issue</w:t>
      </w:r>
      <w:r w:rsidRPr="00761DF6" w:rsidR="004C17CE">
        <w:t xml:space="preserve">:  </w:t>
      </w:r>
      <w:r w:rsidRPr="00761DF6" w:rsidR="004C17CE">
        <w:rPr>
          <w:i/>
          <w:iCs/>
        </w:rPr>
        <w:t>Parker</w:t>
      </w:r>
      <w:r w:rsidRPr="00761DF6" w:rsidR="004C17CE">
        <w:t xml:space="preserve">, </w:t>
      </w:r>
      <w:r w:rsidRPr="00761DF6" w:rsidR="004C17CE">
        <w:rPr>
          <w:i/>
          <w:iCs/>
        </w:rPr>
        <w:t>supra</w:t>
      </w:r>
      <w:r w:rsidRPr="00761DF6" w:rsidR="004C17CE">
        <w:t>, 60 Cal.App.4th at p</w:t>
      </w:r>
      <w:r w:rsidRPr="00761DF6" w:rsidR="00BD7647">
        <w:t>ages</w:t>
      </w:r>
      <w:r w:rsidRPr="00761DF6" w:rsidR="004C17CE">
        <w:t xml:space="preserve"> 1469–1470</w:t>
      </w:r>
      <w:r w:rsidRPr="00761DF6" w:rsidR="00DA03D5">
        <w:t>,</w:t>
      </w:r>
      <w:r w:rsidRPr="00761DF6" w:rsidR="004C17CE">
        <w:t xml:space="preserve"> and </w:t>
      </w:r>
      <w:r w:rsidRPr="00761DF6" w:rsidR="004C17CE">
        <w:rPr>
          <w:i/>
          <w:iCs/>
        </w:rPr>
        <w:t>Cooley</w:t>
      </w:r>
      <w:r w:rsidRPr="00761DF6" w:rsidR="004C17CE">
        <w:t xml:space="preserve">, </w:t>
      </w:r>
      <w:r w:rsidRPr="00761DF6" w:rsidR="004C17CE">
        <w:rPr>
          <w:i/>
          <w:iCs/>
        </w:rPr>
        <w:t>supra</w:t>
      </w:r>
      <w:r w:rsidRPr="00761DF6" w:rsidR="004C17CE">
        <w:t>, 29 Cal.4th at p</w:t>
      </w:r>
      <w:r w:rsidRPr="00761DF6" w:rsidR="00BD7647">
        <w:t>age</w:t>
      </w:r>
      <w:r w:rsidRPr="00761DF6" w:rsidR="004C17CE">
        <w:t xml:space="preserve"> 245</w:t>
      </w:r>
      <w:r w:rsidRPr="00761DF6" w:rsidR="00DD530E">
        <w:t>, footnote 8</w:t>
      </w:r>
      <w:r w:rsidRPr="00761DF6" w:rsidR="00BD7849">
        <w:t>.</w:t>
      </w:r>
      <w:r w:rsidRPr="00761DF6" w:rsidR="00F715F9">
        <w:t xml:space="preserve">  </w:t>
      </w:r>
      <w:r w:rsidRPr="00761DF6" w:rsidR="000675BC">
        <w:t>(</w:t>
      </w:r>
      <w:r w:rsidRPr="00761DF6" w:rsidR="00F13A80">
        <w:rPr>
          <w:i/>
          <w:iCs/>
        </w:rPr>
        <w:t>Walker</w:t>
      </w:r>
      <w:r w:rsidRPr="00761DF6" w:rsidR="00F13A80">
        <w:t xml:space="preserve">, </w:t>
      </w:r>
      <w:r w:rsidRPr="00761DF6" w:rsidR="00F13A80">
        <w:rPr>
          <w:i/>
          <w:iCs/>
        </w:rPr>
        <w:t>supra</w:t>
      </w:r>
      <w:r w:rsidRPr="00761DF6" w:rsidR="00F13A80">
        <w:t xml:space="preserve">, </w:t>
      </w:r>
      <w:r w:rsidRPr="00761DF6" w:rsidR="00385354">
        <w:t xml:space="preserve">51 Cal.App.5th at </w:t>
      </w:r>
      <w:r w:rsidRPr="00761DF6" w:rsidR="00F13A80">
        <w:t>pp. 691–69</w:t>
      </w:r>
      <w:r w:rsidRPr="00761DF6" w:rsidR="00336D8C">
        <w:t>4</w:t>
      </w:r>
      <w:r w:rsidRPr="00761DF6" w:rsidR="00385354">
        <w:t>, 699</w:t>
      </w:r>
      <w:r w:rsidRPr="00761DF6" w:rsidR="00C87BC2">
        <w:t>–700</w:t>
      </w:r>
      <w:r w:rsidRPr="00761DF6" w:rsidR="00385354">
        <w:t>.</w:t>
      </w:r>
      <w:r w:rsidRPr="00761DF6" w:rsidR="000675BC">
        <w:t>)</w:t>
      </w:r>
      <w:r w:rsidRPr="00761DF6" w:rsidR="00385354">
        <w:t xml:space="preserve">  </w:t>
      </w:r>
      <w:r w:rsidRPr="00761DF6" w:rsidR="00686E36">
        <w:t>Although exceptions to the hearsay rule may be found in decisional law (</w:t>
      </w:r>
      <w:r w:rsidRPr="00761DF6" w:rsidR="00686E36">
        <w:rPr>
          <w:i/>
          <w:iCs/>
          <w:color w:val="000000"/>
          <w:szCs w:val="26"/>
          <w:bdr w:val="none" w:sz="0" w:space="0" w:color="auto" w:frame="1"/>
          <w:shd w:val="clear" w:color="auto" w:fill="FFFFFF"/>
        </w:rPr>
        <w:t>Otto</w:t>
      </w:r>
      <w:r w:rsidRPr="00761DF6" w:rsidR="00686E36">
        <w:rPr>
          <w:color w:val="000000"/>
          <w:szCs w:val="26"/>
          <w:bdr w:val="none" w:sz="0" w:space="0" w:color="auto" w:frame="1"/>
          <w:shd w:val="clear" w:color="auto" w:fill="FFFFFF"/>
        </w:rPr>
        <w:t xml:space="preserve">, </w:t>
      </w:r>
      <w:r w:rsidRPr="00761DF6" w:rsidR="00686E36">
        <w:rPr>
          <w:i/>
          <w:iCs/>
          <w:color w:val="000000"/>
          <w:szCs w:val="26"/>
          <w:bdr w:val="none" w:sz="0" w:space="0" w:color="auto" w:frame="1"/>
          <w:shd w:val="clear" w:color="auto" w:fill="FFFFFF"/>
        </w:rPr>
        <w:t>supra</w:t>
      </w:r>
      <w:r w:rsidRPr="00761DF6" w:rsidR="00686E36">
        <w:rPr>
          <w:color w:val="000000"/>
          <w:szCs w:val="26"/>
          <w:bdr w:val="none" w:sz="0" w:space="0" w:color="auto" w:frame="1"/>
          <w:shd w:val="clear" w:color="auto" w:fill="FFFFFF"/>
        </w:rPr>
        <w:t>, 26 Cal.4th at p. 207</w:t>
      </w:r>
      <w:r w:rsidRPr="00761DF6" w:rsidR="00686E36">
        <w:t xml:space="preserve">), courts rarely exercise </w:t>
      </w:r>
      <w:r w:rsidRPr="00761DF6" w:rsidR="002F2E80">
        <w:t>their power to create these exceptions, and for good reason (</w:t>
      </w:r>
      <w:r w:rsidRPr="00761DF6" w:rsidR="0090277B">
        <w:t xml:space="preserve">see </w:t>
      </w:r>
      <w:r w:rsidRPr="00761DF6" w:rsidR="0090277B">
        <w:rPr>
          <w:i/>
          <w:iCs/>
        </w:rPr>
        <w:t>In re Cindy L</w:t>
      </w:r>
      <w:r w:rsidR="008C3471">
        <w:t>.</w:t>
      </w:r>
      <w:r w:rsidRPr="00761DF6" w:rsidR="0090277B">
        <w:rPr>
          <w:i/>
          <w:iCs/>
        </w:rPr>
        <w:t xml:space="preserve"> </w:t>
      </w:r>
      <w:r w:rsidRPr="00761DF6" w:rsidR="0090277B">
        <w:t>(1997) 17 Cal.4th 15, 27</w:t>
      </w:r>
      <w:r w:rsidRPr="00761DF6" w:rsidR="002A5EDC">
        <w:t xml:space="preserve">; see also </w:t>
      </w:r>
      <w:r w:rsidRPr="00761DF6" w:rsidR="002A5EDC">
        <w:rPr>
          <w:i/>
          <w:iCs/>
        </w:rPr>
        <w:t>ibid.</w:t>
      </w:r>
      <w:r w:rsidRPr="00761DF6" w:rsidR="002A5EDC">
        <w:t xml:space="preserve"> [“The general rule that hearsay evidence is inadmissible because it is inherently unreliable is of venerable common law pedigree”])</w:t>
      </w:r>
      <w:r w:rsidRPr="00761DF6" w:rsidR="00BB65E6">
        <w:t>.</w:t>
      </w:r>
      <w:r w:rsidRPr="00761DF6" w:rsidR="002A5EDC">
        <w:t xml:space="preserve"> </w:t>
      </w:r>
      <w:r w:rsidRPr="00761DF6" w:rsidR="00FB2561">
        <w:t xml:space="preserve"> </w:t>
      </w:r>
      <w:r w:rsidRPr="00761DF6" w:rsidR="00114E9A">
        <w:t>C</w:t>
      </w:r>
      <w:r w:rsidRPr="00761DF6" w:rsidR="002A5EDC">
        <w:t xml:space="preserve">ourts </w:t>
      </w:r>
      <w:r w:rsidRPr="00761DF6" w:rsidR="00FB2561">
        <w:t xml:space="preserve">exercise this power only </w:t>
      </w:r>
      <w:r w:rsidRPr="00761DF6" w:rsidR="0012126E">
        <w:t xml:space="preserve">“for classes of evidence for which there is a substantial need, and which possess an intrinsic reliability that enable them to surmount </w:t>
      </w:r>
      <w:r w:rsidRPr="004D5F39" w:rsidR="0012126E">
        <w:t>constitutional and other objections that generally apply to hearsay evidence.”  (</w:t>
      </w:r>
      <w:r w:rsidRPr="004D5F39" w:rsidR="0012126E">
        <w:rPr>
          <w:i/>
          <w:iCs/>
        </w:rPr>
        <w:t>Id.</w:t>
      </w:r>
      <w:r w:rsidRPr="004D5F39" w:rsidR="0012126E">
        <w:t xml:space="preserve"> at p. 28.)</w:t>
      </w:r>
      <w:r w:rsidRPr="004D5F39" w:rsidR="00750559">
        <w:t xml:space="preserve">  </w:t>
      </w:r>
      <w:r w:rsidR="00142A4A">
        <w:t>But n</w:t>
      </w:r>
      <w:r w:rsidRPr="004D5F39" w:rsidR="00750559">
        <w:t xml:space="preserve">othing in </w:t>
      </w:r>
      <w:r w:rsidRPr="004D5F39" w:rsidR="00750559">
        <w:rPr>
          <w:i/>
          <w:iCs/>
        </w:rPr>
        <w:t>Parker</w:t>
      </w:r>
      <w:r w:rsidRPr="004D5F39" w:rsidR="00750559">
        <w:t xml:space="preserve"> or </w:t>
      </w:r>
      <w:r w:rsidRPr="004D5F39" w:rsidR="00750559">
        <w:rPr>
          <w:i/>
          <w:iCs/>
        </w:rPr>
        <w:t>Cooley</w:t>
      </w:r>
      <w:r w:rsidRPr="004D5F39" w:rsidR="00750559">
        <w:t xml:space="preserve"> </w:t>
      </w:r>
      <w:r w:rsidR="009A0E61">
        <w:t>can be applied to this case and taken to mean that</w:t>
      </w:r>
      <w:r w:rsidRPr="004D5F39" w:rsidR="00750559">
        <w:t xml:space="preserve"> hearsay</w:t>
      </w:r>
      <w:r w:rsidR="008801DC">
        <w:t xml:space="preserve"> accounts of nonpredicate offenses, relayed by</w:t>
      </w:r>
      <w:r w:rsidRPr="004D5F39" w:rsidR="00750559">
        <w:t xml:space="preserve"> expert evaluations</w:t>
      </w:r>
      <w:r w:rsidR="008801DC">
        <w:t>,</w:t>
      </w:r>
      <w:r w:rsidRPr="004D5F39" w:rsidR="00750559">
        <w:t xml:space="preserve"> meet these</w:t>
      </w:r>
      <w:r w:rsidRPr="004D5F39" w:rsidR="00204ACB">
        <w:t xml:space="preserve"> stringent</w:t>
      </w:r>
      <w:r w:rsidRPr="004D5F39" w:rsidR="00750559">
        <w:t xml:space="preserve"> requirements</w:t>
      </w:r>
      <w:r w:rsidR="003602FA">
        <w:t xml:space="preserve"> (see </w:t>
      </w:r>
      <w:r w:rsidRPr="003602FA" w:rsidR="003602FA">
        <w:rPr>
          <w:i/>
          <w:iCs/>
        </w:rPr>
        <w:t>ante</w:t>
      </w:r>
      <w:r w:rsidR="001F15D5">
        <w:t>,</w:t>
      </w:r>
      <w:r w:rsidR="003602FA">
        <w:t xml:space="preserve"> at pp. </w:t>
      </w:r>
      <w:r w:rsidR="005C6CD8">
        <w:t>17</w:t>
      </w:r>
      <w:r w:rsidR="005D6EF0">
        <w:t>–</w:t>
      </w:r>
      <w:r w:rsidR="005C6CD8">
        <w:t>19</w:t>
      </w:r>
      <w:r w:rsidR="005C4F53">
        <w:t xml:space="preserve">, </w:t>
      </w:r>
      <w:r w:rsidR="008319E6">
        <w:t>29</w:t>
      </w:r>
      <w:r w:rsidR="003602FA">
        <w:t>–</w:t>
      </w:r>
      <w:r w:rsidR="001F15D5">
        <w:t>3</w:t>
      </w:r>
      <w:r w:rsidR="008319E6">
        <w:t>1</w:t>
      </w:r>
      <w:r w:rsidR="003602FA">
        <w:t>)</w:t>
      </w:r>
      <w:r w:rsidRPr="004D5F39" w:rsidR="00750559">
        <w:t>, or that</w:t>
      </w:r>
      <w:r w:rsidRPr="004D5F39" w:rsidR="007B18B5">
        <w:t xml:space="preserve"> the cases even </w:t>
      </w:r>
      <w:r w:rsidRPr="004D5F39" w:rsidR="005E5250">
        <w:t xml:space="preserve">sought to </w:t>
      </w:r>
      <w:r w:rsidRPr="004D5F39" w:rsidR="00D34413">
        <w:t>recognize</w:t>
      </w:r>
      <w:r w:rsidRPr="004D5F39" w:rsidR="00260508">
        <w:t xml:space="preserve"> a</w:t>
      </w:r>
      <w:r w:rsidRPr="004D5F39" w:rsidR="005E5250">
        <w:t xml:space="preserve"> </w:t>
      </w:r>
      <w:r w:rsidRPr="004D5F39" w:rsidR="00B84F79">
        <w:t xml:space="preserve">relevant </w:t>
      </w:r>
      <w:r w:rsidRPr="004D5F39" w:rsidR="005E5250">
        <w:t>hearsay exception.</w:t>
      </w:r>
      <w:r w:rsidRPr="004D5F39" w:rsidR="00BD1A78">
        <w:t xml:space="preserve">  </w:t>
      </w:r>
    </w:p>
    <w:p w:rsidR="001548B6" w:rsidRPr="00761DF6" w:rsidP="00761DF6" w14:paraId="5297DAC4" w14:textId="3E8E4A2E">
      <w:pPr>
        <w:shd w:val="clear" w:color="auto" w:fill="FFFFFF"/>
        <w:ind w:firstLine="720"/>
        <w:textAlignment w:val="baseline"/>
        <w:rPr>
          <w:color w:val="000000"/>
          <w:szCs w:val="26"/>
        </w:rPr>
      </w:pPr>
      <w:r w:rsidRPr="00761DF6">
        <w:rPr>
          <w:i/>
          <w:iCs/>
        </w:rPr>
        <w:t>Parker</w:t>
      </w:r>
      <w:r w:rsidRPr="00761DF6" w:rsidR="00783149">
        <w:rPr>
          <w:i/>
          <w:iCs/>
        </w:rPr>
        <w:t xml:space="preserve"> </w:t>
      </w:r>
      <w:r w:rsidRPr="00761DF6" w:rsidR="00B72C54">
        <w:t>addressed, as a matter of first impression,</w:t>
      </w:r>
      <w:r w:rsidRPr="00761DF6" w:rsidR="00783149">
        <w:t xml:space="preserve"> “the nature” of the probable cause hearing </w:t>
      </w:r>
      <w:r w:rsidRPr="00761DF6" w:rsidR="004F5FA3">
        <w:t>under</w:t>
      </w:r>
      <w:r w:rsidRPr="00761DF6" w:rsidR="00783149">
        <w:t xml:space="preserve"> section 6602.  </w:t>
      </w:r>
      <w:r w:rsidRPr="00761DF6" w:rsidR="00B72C54">
        <w:t>(</w:t>
      </w:r>
      <w:r w:rsidRPr="00761DF6" w:rsidR="00B72C54">
        <w:rPr>
          <w:i/>
          <w:iCs/>
        </w:rPr>
        <w:t>Parker</w:t>
      </w:r>
      <w:r w:rsidRPr="00761DF6" w:rsidR="00B72C54">
        <w:t xml:space="preserve">, </w:t>
      </w:r>
      <w:r w:rsidRPr="00761DF6" w:rsidR="00B72C54">
        <w:rPr>
          <w:i/>
          <w:iCs/>
        </w:rPr>
        <w:t>supra</w:t>
      </w:r>
      <w:r w:rsidRPr="00761DF6" w:rsidR="00B72C54">
        <w:t>, 60 Cal.App.4th at p. 1455</w:t>
      </w:r>
      <w:r w:rsidRPr="00761DF6" w:rsidR="00343B11">
        <w:t xml:space="preserve">; see </w:t>
      </w:r>
      <w:r w:rsidRPr="00761DF6" w:rsidR="00343B11">
        <w:rPr>
          <w:i/>
          <w:iCs/>
        </w:rPr>
        <w:t>id.</w:t>
      </w:r>
      <w:r w:rsidRPr="00761DF6" w:rsidR="00343B11">
        <w:t xml:space="preserve"> at </w:t>
      </w:r>
      <w:r w:rsidR="00D62077">
        <w:t>p</w:t>
      </w:r>
      <w:r w:rsidRPr="00761DF6" w:rsidR="00343B11">
        <w:t>p.</w:t>
      </w:r>
      <w:r w:rsidRPr="00761DF6" w:rsidR="00257CB1">
        <w:t xml:space="preserve"> 1461–1462</w:t>
      </w:r>
      <w:r w:rsidRPr="00761DF6" w:rsidR="00D03198">
        <w:t xml:space="preserve">.)  </w:t>
      </w:r>
      <w:r w:rsidRPr="00761DF6" w:rsidR="009B3049">
        <w:t xml:space="preserve">It </w:t>
      </w:r>
      <w:r w:rsidRPr="00761DF6" w:rsidR="006D7BE6">
        <w:t>determined</w:t>
      </w:r>
      <w:r w:rsidRPr="00761DF6" w:rsidR="009B3049">
        <w:t xml:space="preserve"> </w:t>
      </w:r>
      <w:r w:rsidRPr="00761DF6" w:rsidR="00291718">
        <w:t xml:space="preserve">from its </w:t>
      </w:r>
      <w:r w:rsidRPr="00761DF6" w:rsidR="009A70FD">
        <w:t xml:space="preserve">statutory analysis that section 6602 </w:t>
      </w:r>
      <w:r w:rsidRPr="00761DF6" w:rsidR="009A70FD">
        <w:rPr>
          <w:szCs w:val="26"/>
        </w:rPr>
        <w:t>affords defendants “</w:t>
      </w:r>
      <w:r w:rsidRPr="00761DF6" w:rsidR="009429D3">
        <w:rPr>
          <w:color w:val="000000"/>
          <w:szCs w:val="26"/>
          <w:bdr w:val="none" w:sz="0" w:space="0" w:color="auto" w:frame="1"/>
          <w:shd w:val="clear" w:color="auto" w:fill="FFFFFF"/>
        </w:rPr>
        <w:t xml:space="preserve">a hearing at which </w:t>
      </w:r>
      <w:r w:rsidRPr="00761DF6" w:rsidR="005824A6">
        <w:rPr>
          <w:color w:val="000000"/>
          <w:szCs w:val="26"/>
          <w:bdr w:val="none" w:sz="0" w:space="0" w:color="auto" w:frame="1"/>
          <w:shd w:val="clear" w:color="auto" w:fill="FFFFFF"/>
        </w:rPr>
        <w:t>[they]</w:t>
      </w:r>
      <w:r w:rsidRPr="00761DF6" w:rsidR="009429D3">
        <w:rPr>
          <w:color w:val="000000"/>
          <w:szCs w:val="26"/>
          <w:bdr w:val="none" w:sz="0" w:space="0" w:color="auto" w:frame="1"/>
          <w:shd w:val="clear" w:color="auto" w:fill="FFFFFF"/>
        </w:rPr>
        <w:t xml:space="preserve"> could be heard, not merely by counsel pointing out legal deficiencies on the face of the petition, but also by being able to effectively challenge the facts on which the petition was filed, i.e., the underlying attached experts</w:t>
      </w:r>
      <w:r w:rsidRPr="00761DF6" w:rsidR="00557FF9">
        <w:rPr>
          <w:color w:val="000000"/>
          <w:szCs w:val="26"/>
          <w:bdr w:val="none" w:sz="0" w:space="0" w:color="auto" w:frame="1"/>
          <w:shd w:val="clear" w:color="auto" w:fill="FFFFFF"/>
        </w:rPr>
        <w:t>’</w:t>
      </w:r>
      <w:r w:rsidRPr="00761DF6" w:rsidR="009429D3">
        <w:rPr>
          <w:color w:val="000000"/>
          <w:szCs w:val="26"/>
          <w:bdr w:val="none" w:sz="0" w:space="0" w:color="auto" w:frame="1"/>
          <w:shd w:val="clear" w:color="auto" w:fill="FFFFFF"/>
        </w:rPr>
        <w:t xml:space="preserve"> evaluations.</w:t>
      </w:r>
      <w:r w:rsidRPr="00761DF6" w:rsidR="009429D3">
        <w:rPr>
          <w:color w:val="000000"/>
          <w:szCs w:val="26"/>
        </w:rPr>
        <w:t xml:space="preserve">” </w:t>
      </w:r>
      <w:r w:rsidRPr="00761DF6" w:rsidR="00C1246E">
        <w:rPr>
          <w:color w:val="000000"/>
          <w:szCs w:val="26"/>
        </w:rPr>
        <w:t xml:space="preserve"> </w:t>
      </w:r>
      <w:r w:rsidRPr="00761DF6" w:rsidR="00294EB7">
        <w:rPr>
          <w:color w:val="000000"/>
          <w:szCs w:val="26"/>
        </w:rPr>
        <w:t>(</w:t>
      </w:r>
      <w:r w:rsidRPr="00761DF6" w:rsidR="00294EB7">
        <w:rPr>
          <w:i/>
          <w:iCs/>
          <w:color w:val="000000"/>
          <w:szCs w:val="26"/>
        </w:rPr>
        <w:t>Parker</w:t>
      </w:r>
      <w:r w:rsidRPr="00761DF6" w:rsidR="00294EB7">
        <w:rPr>
          <w:color w:val="000000"/>
          <w:szCs w:val="26"/>
        </w:rPr>
        <w:t>,</w:t>
      </w:r>
      <w:r w:rsidR="00F51754">
        <w:rPr>
          <w:color w:val="000000"/>
          <w:szCs w:val="26"/>
        </w:rPr>
        <w:t xml:space="preserve"> </w:t>
      </w:r>
      <w:r w:rsidRPr="00761DF6" w:rsidR="00294EB7">
        <w:rPr>
          <w:color w:val="000000"/>
          <w:szCs w:val="26"/>
        </w:rPr>
        <w:t>at p.</w:t>
      </w:r>
      <w:r w:rsidRPr="00761DF6" w:rsidR="009429D3">
        <w:rPr>
          <w:color w:val="000000"/>
          <w:szCs w:val="26"/>
        </w:rPr>
        <w:t xml:space="preserve"> 1468</w:t>
      </w:r>
      <w:r w:rsidRPr="00761DF6" w:rsidR="00C1246E">
        <w:rPr>
          <w:color w:val="000000"/>
          <w:szCs w:val="26"/>
        </w:rPr>
        <w:t xml:space="preserve">.)  </w:t>
      </w:r>
      <w:r w:rsidRPr="00761DF6" w:rsidR="00F35AB4">
        <w:rPr>
          <w:color w:val="000000"/>
          <w:szCs w:val="26"/>
        </w:rPr>
        <w:t xml:space="preserve">The court explained that the probable cause hearing consequently </w:t>
      </w:r>
      <w:r w:rsidRPr="00761DF6" w:rsidR="002C7CD6">
        <w:rPr>
          <w:color w:val="000000"/>
          <w:szCs w:val="26"/>
        </w:rPr>
        <w:t xml:space="preserve">should allow for the admission of oral and written evidence. </w:t>
      </w:r>
      <w:r w:rsidRPr="00761DF6" w:rsidR="00DB2C7E">
        <w:rPr>
          <w:color w:val="000000"/>
          <w:szCs w:val="26"/>
        </w:rPr>
        <w:t xml:space="preserve"> </w:t>
      </w:r>
      <w:r w:rsidRPr="00761DF6" w:rsidR="00294EB7">
        <w:rPr>
          <w:color w:val="000000"/>
          <w:szCs w:val="26"/>
        </w:rPr>
        <w:t>(</w:t>
      </w:r>
      <w:r w:rsidRPr="00761DF6" w:rsidR="00294EB7">
        <w:rPr>
          <w:i/>
          <w:iCs/>
          <w:color w:val="000000"/>
          <w:szCs w:val="26"/>
        </w:rPr>
        <w:t xml:space="preserve">Id. </w:t>
      </w:r>
      <w:r w:rsidRPr="00761DF6" w:rsidR="00294EB7">
        <w:rPr>
          <w:color w:val="000000"/>
          <w:szCs w:val="26"/>
        </w:rPr>
        <w:t xml:space="preserve">at p. 1469.)  </w:t>
      </w:r>
      <w:r w:rsidRPr="00761DF6" w:rsidR="00DB2C7E">
        <w:rPr>
          <w:color w:val="000000"/>
          <w:szCs w:val="26"/>
        </w:rPr>
        <w:t xml:space="preserve">It </w:t>
      </w:r>
      <w:r w:rsidRPr="00761DF6" w:rsidR="00125691">
        <w:rPr>
          <w:color w:val="000000"/>
          <w:szCs w:val="26"/>
        </w:rPr>
        <w:t>then</w:t>
      </w:r>
      <w:r w:rsidRPr="00761DF6" w:rsidR="00DB2C7E">
        <w:rPr>
          <w:color w:val="000000"/>
          <w:szCs w:val="26"/>
        </w:rPr>
        <w:t xml:space="preserve"> </w:t>
      </w:r>
      <w:r w:rsidRPr="00761DF6" w:rsidR="004B7CA7">
        <w:rPr>
          <w:color w:val="000000"/>
          <w:szCs w:val="26"/>
        </w:rPr>
        <w:t xml:space="preserve">made the following </w:t>
      </w:r>
      <w:r w:rsidRPr="00761DF6" w:rsidR="00DB7CBB">
        <w:rPr>
          <w:color w:val="000000"/>
          <w:szCs w:val="26"/>
        </w:rPr>
        <w:t xml:space="preserve">passing </w:t>
      </w:r>
      <w:r w:rsidRPr="00761DF6" w:rsidR="004B7CA7">
        <w:rPr>
          <w:color w:val="000000"/>
          <w:szCs w:val="26"/>
        </w:rPr>
        <w:t>reference to hearsay</w:t>
      </w:r>
      <w:r w:rsidRPr="00761DF6" w:rsidR="00204979">
        <w:rPr>
          <w:color w:val="000000"/>
          <w:szCs w:val="26"/>
        </w:rPr>
        <w:t xml:space="preserve">:  </w:t>
      </w:r>
      <w:r w:rsidRPr="00761DF6" w:rsidR="009429D3">
        <w:rPr>
          <w:color w:val="000000"/>
          <w:szCs w:val="26"/>
        </w:rPr>
        <w:t>“While we believe the prosecutor may present the opinions of the experts through the hearsay reports of such persons, the prospective SVP should have the ability to challenge the accuracy of such reports by calling such experts for cross-examination.”</w:t>
      </w:r>
      <w:r w:rsidRPr="00761DF6" w:rsidR="005D06AB">
        <w:rPr>
          <w:color w:val="000000"/>
          <w:szCs w:val="26"/>
        </w:rPr>
        <w:t xml:space="preserve">  (</w:t>
      </w:r>
      <w:r w:rsidRPr="00761DF6" w:rsidR="00294EB7">
        <w:rPr>
          <w:i/>
          <w:iCs/>
          <w:color w:val="000000"/>
          <w:szCs w:val="26"/>
        </w:rPr>
        <w:t>Id</w:t>
      </w:r>
      <w:r w:rsidRPr="00761DF6" w:rsidR="005D06AB">
        <w:rPr>
          <w:i/>
          <w:iCs/>
          <w:color w:val="000000"/>
          <w:szCs w:val="26"/>
        </w:rPr>
        <w:t>.</w:t>
      </w:r>
      <w:r w:rsidRPr="00761DF6" w:rsidR="00294EB7">
        <w:rPr>
          <w:i/>
          <w:iCs/>
          <w:color w:val="000000"/>
          <w:szCs w:val="26"/>
        </w:rPr>
        <w:t xml:space="preserve"> </w:t>
      </w:r>
      <w:r w:rsidRPr="00761DF6" w:rsidR="00294EB7">
        <w:rPr>
          <w:color w:val="000000"/>
          <w:szCs w:val="26"/>
        </w:rPr>
        <w:t>at pp. 1469–1470.</w:t>
      </w:r>
      <w:r w:rsidRPr="00761DF6" w:rsidR="005D06AB">
        <w:rPr>
          <w:color w:val="000000"/>
          <w:szCs w:val="26"/>
        </w:rPr>
        <w:t>)</w:t>
      </w:r>
    </w:p>
    <w:p w:rsidR="00B6614B" w:rsidRPr="00761DF6" w:rsidP="00761DF6" w14:paraId="0AF54024" w14:textId="72EC3D96">
      <w:pPr>
        <w:shd w:val="clear" w:color="auto" w:fill="FFFFFF"/>
        <w:ind w:firstLine="720"/>
        <w:textAlignment w:val="baseline"/>
      </w:pPr>
      <w:r w:rsidRPr="00761DF6">
        <w:rPr>
          <w:color w:val="000000"/>
          <w:szCs w:val="26"/>
        </w:rPr>
        <w:t>Then i</w:t>
      </w:r>
      <w:r w:rsidRPr="00761DF6" w:rsidR="00F715F9">
        <w:rPr>
          <w:color w:val="000000"/>
          <w:szCs w:val="26"/>
        </w:rPr>
        <w:t>n</w:t>
      </w:r>
      <w:r w:rsidRPr="00761DF6" w:rsidR="00D42F1C">
        <w:rPr>
          <w:color w:val="000000"/>
          <w:szCs w:val="26"/>
        </w:rPr>
        <w:t xml:space="preserve"> </w:t>
      </w:r>
      <w:r w:rsidRPr="00761DF6" w:rsidR="00D42F1C">
        <w:rPr>
          <w:i/>
          <w:iCs/>
          <w:color w:val="000000"/>
          <w:szCs w:val="26"/>
        </w:rPr>
        <w:t>Cooley</w:t>
      </w:r>
      <w:r w:rsidRPr="00761DF6" w:rsidR="00D42F1C">
        <w:rPr>
          <w:color w:val="000000"/>
          <w:szCs w:val="26"/>
        </w:rPr>
        <w:t xml:space="preserve">, where we addressed </w:t>
      </w:r>
      <w:r w:rsidRPr="00761DF6" w:rsidR="0018081E">
        <w:rPr>
          <w:color w:val="000000"/>
          <w:szCs w:val="26"/>
        </w:rPr>
        <w:t>“</w:t>
      </w:r>
      <w:r w:rsidRPr="00761DF6" w:rsidR="00D42F1C">
        <w:rPr>
          <w:color w:val="000000"/>
          <w:szCs w:val="26"/>
        </w:rPr>
        <w:t>the</w:t>
      </w:r>
      <w:r w:rsidRPr="00761DF6" w:rsidR="009A5111">
        <w:rPr>
          <w:color w:val="000000"/>
          <w:szCs w:val="26"/>
        </w:rPr>
        <w:t xml:space="preserve"> scope</w:t>
      </w:r>
      <w:r w:rsidRPr="00761DF6" w:rsidR="0018081E">
        <w:rPr>
          <w:color w:val="000000"/>
          <w:szCs w:val="26"/>
        </w:rPr>
        <w:t xml:space="preserve"> and substance of the probable cause determination” under section 6602</w:t>
      </w:r>
      <w:r w:rsidRPr="00761DF6" w:rsidR="00803C7A">
        <w:rPr>
          <w:color w:val="000000"/>
          <w:szCs w:val="26"/>
        </w:rPr>
        <w:t xml:space="preserve"> (</w:t>
      </w:r>
      <w:r w:rsidRPr="00761DF6" w:rsidR="00803C7A">
        <w:rPr>
          <w:i/>
          <w:iCs/>
          <w:color w:val="000000"/>
          <w:szCs w:val="26"/>
        </w:rPr>
        <w:t>Cooley</w:t>
      </w:r>
      <w:r w:rsidRPr="00761DF6" w:rsidR="00803C7A">
        <w:rPr>
          <w:color w:val="000000"/>
          <w:szCs w:val="26"/>
        </w:rPr>
        <w:t xml:space="preserve">, </w:t>
      </w:r>
      <w:r w:rsidRPr="00761DF6" w:rsidR="00803C7A">
        <w:rPr>
          <w:i/>
          <w:iCs/>
          <w:color w:val="000000"/>
          <w:szCs w:val="26"/>
        </w:rPr>
        <w:t>supra</w:t>
      </w:r>
      <w:r w:rsidRPr="00761DF6" w:rsidR="00803C7A">
        <w:rPr>
          <w:color w:val="000000"/>
          <w:szCs w:val="26"/>
        </w:rPr>
        <w:t xml:space="preserve">, </w:t>
      </w:r>
      <w:r w:rsidRPr="00761DF6" w:rsidR="00755F58">
        <w:rPr>
          <w:color w:val="000000"/>
          <w:szCs w:val="26"/>
        </w:rPr>
        <w:t xml:space="preserve">29 Cal.4th at p. </w:t>
      </w:r>
      <w:r w:rsidRPr="00761DF6" w:rsidR="00CF00EB">
        <w:rPr>
          <w:color w:val="000000"/>
          <w:szCs w:val="26"/>
        </w:rPr>
        <w:t>235)</w:t>
      </w:r>
      <w:r w:rsidRPr="00761DF6" w:rsidR="00CA427A">
        <w:rPr>
          <w:color w:val="000000"/>
          <w:szCs w:val="26"/>
        </w:rPr>
        <w:t xml:space="preserve">, we </w:t>
      </w:r>
      <w:r w:rsidRPr="00761DF6" w:rsidR="00E268D9">
        <w:rPr>
          <w:color w:val="000000"/>
          <w:szCs w:val="26"/>
        </w:rPr>
        <w:t xml:space="preserve">remarked on </w:t>
      </w:r>
      <w:r w:rsidRPr="00761DF6" w:rsidR="00E268D9">
        <w:rPr>
          <w:i/>
          <w:iCs/>
          <w:color w:val="000000"/>
          <w:szCs w:val="26"/>
        </w:rPr>
        <w:t>Parker</w:t>
      </w:r>
      <w:r w:rsidRPr="00761DF6" w:rsidR="00E268D9">
        <w:rPr>
          <w:color w:val="000000"/>
          <w:szCs w:val="26"/>
        </w:rPr>
        <w:t>’s hearsay reference in passing</w:t>
      </w:r>
      <w:r w:rsidRPr="00761DF6" w:rsidR="00D33CD5">
        <w:rPr>
          <w:color w:val="000000"/>
          <w:szCs w:val="26"/>
        </w:rPr>
        <w:t xml:space="preserve">.  </w:t>
      </w:r>
      <w:r w:rsidRPr="00761DF6" w:rsidR="00E268D9">
        <w:rPr>
          <w:color w:val="000000"/>
          <w:szCs w:val="26"/>
        </w:rPr>
        <w:t xml:space="preserve">Citing </w:t>
      </w:r>
      <w:r w:rsidRPr="00761DF6" w:rsidR="00E268D9">
        <w:rPr>
          <w:i/>
          <w:iCs/>
          <w:color w:val="000000"/>
          <w:szCs w:val="26"/>
        </w:rPr>
        <w:t>Parker</w:t>
      </w:r>
      <w:r w:rsidRPr="00761DF6" w:rsidR="00E268D9">
        <w:rPr>
          <w:color w:val="000000"/>
          <w:szCs w:val="26"/>
        </w:rPr>
        <w:t xml:space="preserve">, </w:t>
      </w:r>
      <w:r w:rsidRPr="00761DF6" w:rsidR="00321049">
        <w:rPr>
          <w:i/>
          <w:iCs/>
          <w:color w:val="000000"/>
          <w:szCs w:val="26"/>
        </w:rPr>
        <w:t>supra</w:t>
      </w:r>
      <w:r w:rsidRPr="00761DF6" w:rsidR="00321049">
        <w:rPr>
          <w:color w:val="000000"/>
          <w:szCs w:val="26"/>
        </w:rPr>
        <w:t xml:space="preserve">, </w:t>
      </w:r>
      <w:r w:rsidRPr="00761DF6" w:rsidR="00632842">
        <w:t xml:space="preserve">60 Cal.App.4th </w:t>
      </w:r>
      <w:r w:rsidRPr="00761DF6" w:rsidR="00321049">
        <w:rPr>
          <w:color w:val="000000"/>
          <w:szCs w:val="26"/>
        </w:rPr>
        <w:t xml:space="preserve">at pages 1469–1470, </w:t>
      </w:r>
      <w:r w:rsidRPr="00761DF6" w:rsidR="00D33CD5">
        <w:rPr>
          <w:color w:val="000000"/>
          <w:szCs w:val="26"/>
        </w:rPr>
        <w:t xml:space="preserve">as part of a footnote in our general overview of the SVPA, </w:t>
      </w:r>
      <w:r w:rsidRPr="00761DF6" w:rsidR="00321049">
        <w:rPr>
          <w:color w:val="000000"/>
          <w:szCs w:val="26"/>
        </w:rPr>
        <w:t>we stated:</w:t>
      </w:r>
      <w:r w:rsidRPr="00761DF6">
        <w:rPr>
          <w:color w:val="000000"/>
          <w:szCs w:val="26"/>
        </w:rPr>
        <w:t xml:space="preserve">  “Although the petitioner is allowed, despite their hearsay nature, to present the contents of any reports that form the basis of the petition as evidence, the alleged sexual predator is allowed to cross-examine the expert concerning the evaluation and can call the expert to the stand for that purpose.”  (</w:t>
      </w:r>
      <w:r w:rsidRPr="00761DF6" w:rsidR="00926B94">
        <w:rPr>
          <w:i/>
          <w:iCs/>
          <w:color w:val="000000"/>
          <w:szCs w:val="26"/>
        </w:rPr>
        <w:t>Cooley</w:t>
      </w:r>
      <w:r w:rsidRPr="00761DF6" w:rsidR="00926B94">
        <w:rPr>
          <w:color w:val="000000"/>
          <w:szCs w:val="26"/>
        </w:rPr>
        <w:t>,</w:t>
      </w:r>
      <w:r w:rsidR="00AA2338">
        <w:rPr>
          <w:color w:val="000000"/>
          <w:szCs w:val="26"/>
        </w:rPr>
        <w:t xml:space="preserve"> </w:t>
      </w:r>
      <w:r w:rsidRPr="00761DF6" w:rsidR="00926B94">
        <w:rPr>
          <w:color w:val="000000"/>
          <w:szCs w:val="26"/>
        </w:rPr>
        <w:t>at p</w:t>
      </w:r>
      <w:r w:rsidRPr="00761DF6">
        <w:rPr>
          <w:color w:val="000000"/>
          <w:szCs w:val="26"/>
        </w:rPr>
        <w:t>.</w:t>
      </w:r>
      <w:r w:rsidRPr="00761DF6" w:rsidR="00926B94">
        <w:rPr>
          <w:color w:val="000000"/>
          <w:szCs w:val="26"/>
        </w:rPr>
        <w:t xml:space="preserve"> 245, fn. 8.</w:t>
      </w:r>
      <w:r w:rsidRPr="00761DF6">
        <w:rPr>
          <w:color w:val="000000"/>
          <w:szCs w:val="26"/>
        </w:rPr>
        <w:t>)</w:t>
      </w:r>
    </w:p>
    <w:p w:rsidR="00C50164" w:rsidRPr="00761DF6" w:rsidP="00761DF6" w14:paraId="04A2745E" w14:textId="3F4379C6">
      <w:pPr>
        <w:shd w:val="clear" w:color="auto" w:fill="FFFFFF"/>
        <w:textAlignment w:val="baseline"/>
        <w:rPr>
          <w:color w:val="000000"/>
          <w:szCs w:val="26"/>
        </w:rPr>
      </w:pPr>
      <w:r w:rsidRPr="00761DF6">
        <w:rPr>
          <w:color w:val="000000"/>
          <w:szCs w:val="26"/>
        </w:rPr>
        <w:tab/>
        <w:t>The Court of Appeal seize</w:t>
      </w:r>
      <w:r w:rsidRPr="00761DF6" w:rsidR="00CD7AD6">
        <w:rPr>
          <w:color w:val="000000"/>
          <w:szCs w:val="26"/>
        </w:rPr>
        <w:t>d</w:t>
      </w:r>
      <w:r w:rsidRPr="00761DF6">
        <w:rPr>
          <w:color w:val="000000"/>
          <w:szCs w:val="26"/>
        </w:rPr>
        <w:t xml:space="preserve"> on</w:t>
      </w:r>
      <w:r w:rsidRPr="00761DF6" w:rsidR="006B0B3D">
        <w:rPr>
          <w:color w:val="000000"/>
          <w:szCs w:val="26"/>
        </w:rPr>
        <w:t xml:space="preserve"> the two cases’</w:t>
      </w:r>
      <w:r w:rsidRPr="00761DF6" w:rsidR="00B92513">
        <w:rPr>
          <w:color w:val="000000"/>
          <w:szCs w:val="26"/>
        </w:rPr>
        <w:t xml:space="preserve"> brief</w:t>
      </w:r>
      <w:r w:rsidRPr="00761DF6">
        <w:rPr>
          <w:color w:val="000000"/>
          <w:szCs w:val="26"/>
        </w:rPr>
        <w:t xml:space="preserve"> references to hearsay</w:t>
      </w:r>
      <w:r w:rsidRPr="00761DF6" w:rsidR="00BC7F85">
        <w:rPr>
          <w:color w:val="000000"/>
          <w:szCs w:val="26"/>
        </w:rPr>
        <w:t xml:space="preserve">, urging that </w:t>
      </w:r>
      <w:r w:rsidRPr="00761DF6" w:rsidR="006B0B3D">
        <w:rPr>
          <w:color w:val="000000"/>
          <w:szCs w:val="26"/>
        </w:rPr>
        <w:t>the “</w:t>
      </w:r>
      <w:r w:rsidRPr="00761DF6" w:rsidR="006B0B3D">
        <w:rPr>
          <w:i/>
          <w:iCs/>
          <w:color w:val="000000"/>
          <w:szCs w:val="26"/>
        </w:rPr>
        <w:t>Parker</w:t>
      </w:r>
      <w:r w:rsidRPr="00761DF6" w:rsidR="006B0B3D">
        <w:rPr>
          <w:color w:val="000000"/>
          <w:szCs w:val="26"/>
        </w:rPr>
        <w:t>/</w:t>
      </w:r>
      <w:r w:rsidRPr="00761DF6" w:rsidR="006B0B3D">
        <w:rPr>
          <w:i/>
          <w:iCs/>
          <w:color w:val="000000"/>
          <w:szCs w:val="26"/>
        </w:rPr>
        <w:t>Cooley</w:t>
      </w:r>
      <w:r w:rsidRPr="00761DF6" w:rsidR="006B0B3D">
        <w:rPr>
          <w:color w:val="000000"/>
          <w:szCs w:val="26"/>
        </w:rPr>
        <w:t xml:space="preserve"> rule”</w:t>
      </w:r>
      <w:r w:rsidRPr="00761DF6" w:rsidR="00953A80">
        <w:rPr>
          <w:color w:val="000000"/>
          <w:szCs w:val="26"/>
        </w:rPr>
        <w:t xml:space="preserve"> al</w:t>
      </w:r>
      <w:r w:rsidRPr="00761DF6" w:rsidR="00F8220E">
        <w:rPr>
          <w:color w:val="000000"/>
          <w:szCs w:val="26"/>
        </w:rPr>
        <w:t>lows evaluation</w:t>
      </w:r>
      <w:r w:rsidRPr="00761DF6" w:rsidR="00FD3D13">
        <w:rPr>
          <w:color w:val="000000"/>
          <w:szCs w:val="26"/>
        </w:rPr>
        <w:t xml:space="preserve"> reports</w:t>
      </w:r>
      <w:r w:rsidRPr="00761DF6" w:rsidR="00F8220E">
        <w:rPr>
          <w:color w:val="000000"/>
          <w:szCs w:val="26"/>
        </w:rPr>
        <w:t xml:space="preserve"> to be </w:t>
      </w:r>
      <w:r w:rsidR="000D64ED">
        <w:rPr>
          <w:color w:val="000000"/>
          <w:szCs w:val="26"/>
        </w:rPr>
        <w:t xml:space="preserve">fully </w:t>
      </w:r>
      <w:r w:rsidRPr="00761DF6" w:rsidR="00F8220E">
        <w:rPr>
          <w:color w:val="000000"/>
          <w:szCs w:val="26"/>
        </w:rPr>
        <w:t xml:space="preserve">admitted at </w:t>
      </w:r>
      <w:r w:rsidRPr="00761DF6" w:rsidR="00926C98">
        <w:rPr>
          <w:color w:val="000000"/>
          <w:szCs w:val="26"/>
        </w:rPr>
        <w:t>a</w:t>
      </w:r>
      <w:r w:rsidRPr="00761DF6" w:rsidR="00F8220E">
        <w:rPr>
          <w:color w:val="000000"/>
          <w:szCs w:val="26"/>
        </w:rPr>
        <w:t xml:space="preserve"> probable cause hearing, despite </w:t>
      </w:r>
      <w:r w:rsidRPr="00761DF6" w:rsidR="001143FA">
        <w:rPr>
          <w:color w:val="000000"/>
          <w:szCs w:val="26"/>
        </w:rPr>
        <w:t xml:space="preserve">their hearsay contents. </w:t>
      </w:r>
      <w:r w:rsidRPr="00761DF6" w:rsidR="00152D21">
        <w:rPr>
          <w:color w:val="000000"/>
          <w:szCs w:val="26"/>
        </w:rPr>
        <w:t xml:space="preserve"> </w:t>
      </w:r>
      <w:r w:rsidRPr="00761DF6" w:rsidR="005671C5">
        <w:t>(</w:t>
      </w:r>
      <w:r w:rsidRPr="00761DF6" w:rsidR="005671C5">
        <w:rPr>
          <w:i/>
          <w:iCs/>
        </w:rPr>
        <w:t>Walker</w:t>
      </w:r>
      <w:r w:rsidRPr="00761DF6" w:rsidR="005671C5">
        <w:t xml:space="preserve">, </w:t>
      </w:r>
      <w:r w:rsidRPr="00761DF6" w:rsidR="005671C5">
        <w:rPr>
          <w:i/>
          <w:iCs/>
        </w:rPr>
        <w:t>supra</w:t>
      </w:r>
      <w:r w:rsidRPr="00761DF6" w:rsidR="005671C5">
        <w:t xml:space="preserve">, 51 Cal.App.5th at pp. 693, 700.)  </w:t>
      </w:r>
      <w:r w:rsidRPr="00761DF6" w:rsidR="00152D21">
        <w:rPr>
          <w:color w:val="000000"/>
          <w:szCs w:val="26"/>
        </w:rPr>
        <w:t>But</w:t>
      </w:r>
      <w:r w:rsidR="004925D1">
        <w:rPr>
          <w:color w:val="000000"/>
          <w:szCs w:val="26"/>
        </w:rPr>
        <w:t xml:space="preserve"> </w:t>
      </w:r>
      <w:r w:rsidRPr="00761DF6" w:rsidR="00373A12">
        <w:rPr>
          <w:color w:val="000000"/>
          <w:szCs w:val="26"/>
        </w:rPr>
        <w:t xml:space="preserve">neither </w:t>
      </w:r>
      <w:r w:rsidRPr="00761DF6" w:rsidR="00152D21">
        <w:rPr>
          <w:i/>
          <w:iCs/>
          <w:color w:val="000000"/>
          <w:szCs w:val="26"/>
        </w:rPr>
        <w:t>Parker</w:t>
      </w:r>
      <w:r w:rsidRPr="00761DF6" w:rsidR="00EE727E">
        <w:rPr>
          <w:color w:val="000000"/>
          <w:szCs w:val="26"/>
        </w:rPr>
        <w:t xml:space="preserve"> </w:t>
      </w:r>
      <w:r w:rsidRPr="00761DF6" w:rsidR="00373A12">
        <w:rPr>
          <w:color w:val="000000"/>
          <w:szCs w:val="26"/>
        </w:rPr>
        <w:t>n</w:t>
      </w:r>
      <w:r w:rsidRPr="00761DF6" w:rsidR="00EE727E">
        <w:rPr>
          <w:color w:val="000000"/>
          <w:szCs w:val="26"/>
        </w:rPr>
        <w:t xml:space="preserve">or </w:t>
      </w:r>
      <w:r w:rsidRPr="00761DF6" w:rsidR="00EE727E">
        <w:rPr>
          <w:i/>
          <w:iCs/>
          <w:color w:val="000000"/>
          <w:szCs w:val="26"/>
        </w:rPr>
        <w:t>Cooley</w:t>
      </w:r>
      <w:r w:rsidRPr="00761DF6" w:rsidR="00EE727E">
        <w:rPr>
          <w:color w:val="000000"/>
          <w:szCs w:val="26"/>
        </w:rPr>
        <w:t xml:space="preserve"> </w:t>
      </w:r>
      <w:r w:rsidRPr="00761DF6" w:rsidR="00373A12">
        <w:rPr>
          <w:color w:val="000000"/>
          <w:szCs w:val="26"/>
        </w:rPr>
        <w:t xml:space="preserve">establish a </w:t>
      </w:r>
      <w:r w:rsidRPr="00761DF6" w:rsidR="00EE727E">
        <w:rPr>
          <w:color w:val="000000"/>
          <w:szCs w:val="26"/>
        </w:rPr>
        <w:t>judicially created exception</w:t>
      </w:r>
      <w:r w:rsidR="004925D1">
        <w:rPr>
          <w:color w:val="000000"/>
          <w:szCs w:val="26"/>
        </w:rPr>
        <w:t xml:space="preserve"> </w:t>
      </w:r>
      <w:r w:rsidR="00A90F8D">
        <w:rPr>
          <w:color w:val="000000"/>
          <w:szCs w:val="26"/>
        </w:rPr>
        <w:t>that would cover</w:t>
      </w:r>
      <w:r w:rsidR="004925D1">
        <w:rPr>
          <w:color w:val="000000"/>
          <w:szCs w:val="26"/>
        </w:rPr>
        <w:t xml:space="preserve"> hearsay content </w:t>
      </w:r>
      <w:r w:rsidR="009F5430">
        <w:rPr>
          <w:color w:val="000000"/>
          <w:szCs w:val="26"/>
        </w:rPr>
        <w:t>regarding</w:t>
      </w:r>
      <w:r w:rsidR="005B449A">
        <w:rPr>
          <w:color w:val="000000"/>
          <w:szCs w:val="26"/>
        </w:rPr>
        <w:t xml:space="preserve"> nonpredicate offenses.</w:t>
      </w:r>
    </w:p>
    <w:p w:rsidR="00AE5740" w:rsidRPr="00761DF6" w:rsidP="00761DF6" w14:paraId="048BB3C0" w14:textId="7E01159D">
      <w:pPr>
        <w:shd w:val="clear" w:color="auto" w:fill="FFFFFF"/>
        <w:ind w:firstLine="720"/>
        <w:textAlignment w:val="baseline"/>
        <w:rPr>
          <w:color w:val="000000"/>
          <w:szCs w:val="26"/>
        </w:rPr>
      </w:pPr>
      <w:r w:rsidRPr="00761DF6">
        <w:rPr>
          <w:i/>
          <w:iCs/>
          <w:color w:val="000000"/>
          <w:szCs w:val="26"/>
        </w:rPr>
        <w:t xml:space="preserve">Parker </w:t>
      </w:r>
      <w:r w:rsidRPr="00761DF6" w:rsidR="00373A12">
        <w:rPr>
          <w:color w:val="000000"/>
          <w:szCs w:val="26"/>
        </w:rPr>
        <w:t>turned on</w:t>
      </w:r>
      <w:r w:rsidRPr="00761DF6">
        <w:rPr>
          <w:color w:val="000000"/>
          <w:szCs w:val="26"/>
        </w:rPr>
        <w:t xml:space="preserve"> whether due process requires something more than a facial review of the petition under section 6602.  </w:t>
      </w:r>
      <w:r w:rsidRPr="00761DF6" w:rsidR="008F7B4B">
        <w:rPr>
          <w:color w:val="000000"/>
          <w:szCs w:val="26"/>
        </w:rPr>
        <w:t xml:space="preserve">In answering this question, it </w:t>
      </w:r>
      <w:r w:rsidRPr="00761DF6" w:rsidR="00C50164">
        <w:rPr>
          <w:color w:val="000000"/>
          <w:szCs w:val="26"/>
        </w:rPr>
        <w:t xml:space="preserve">briefly </w:t>
      </w:r>
      <w:r w:rsidRPr="00761DF6" w:rsidR="005E4A4C">
        <w:rPr>
          <w:color w:val="000000"/>
          <w:szCs w:val="26"/>
        </w:rPr>
        <w:t xml:space="preserve">observed that prosecutors should be allowed to present the </w:t>
      </w:r>
      <w:r w:rsidRPr="00761DF6" w:rsidR="005E4A4C">
        <w:rPr>
          <w:i/>
          <w:iCs/>
          <w:color w:val="000000"/>
          <w:szCs w:val="26"/>
        </w:rPr>
        <w:t xml:space="preserve">opinions </w:t>
      </w:r>
      <w:r w:rsidRPr="00761DF6" w:rsidR="005E4A4C">
        <w:rPr>
          <w:color w:val="000000"/>
          <w:szCs w:val="26"/>
        </w:rPr>
        <w:t>of the experts through their hearsay reports</w:t>
      </w:r>
      <w:r w:rsidRPr="00761DF6" w:rsidR="00C50164">
        <w:rPr>
          <w:color w:val="000000"/>
          <w:szCs w:val="26"/>
        </w:rPr>
        <w:t xml:space="preserve">.  </w:t>
      </w:r>
      <w:r w:rsidRPr="00761DF6" w:rsidR="00AA19D6">
        <w:rPr>
          <w:color w:val="000000"/>
          <w:szCs w:val="26"/>
        </w:rPr>
        <w:t>I</w:t>
      </w:r>
      <w:r w:rsidRPr="00761DF6" w:rsidR="00C50164">
        <w:rPr>
          <w:color w:val="000000"/>
          <w:szCs w:val="26"/>
        </w:rPr>
        <w:t>ts focus</w:t>
      </w:r>
      <w:r w:rsidRPr="00761DF6" w:rsidR="00AA19D6">
        <w:rPr>
          <w:color w:val="000000"/>
          <w:szCs w:val="26"/>
        </w:rPr>
        <w:t>, though,</w:t>
      </w:r>
      <w:r w:rsidRPr="00761DF6" w:rsidR="00C50164">
        <w:rPr>
          <w:color w:val="000000"/>
          <w:szCs w:val="26"/>
        </w:rPr>
        <w:t xml:space="preserve"> was</w:t>
      </w:r>
      <w:r w:rsidRPr="00761DF6" w:rsidR="00EE4176">
        <w:rPr>
          <w:color w:val="000000"/>
          <w:szCs w:val="26"/>
        </w:rPr>
        <w:t xml:space="preserve"> not on the admission of </w:t>
      </w:r>
      <w:r w:rsidR="00116781">
        <w:rPr>
          <w:color w:val="000000"/>
          <w:szCs w:val="26"/>
        </w:rPr>
        <w:t>the reports’</w:t>
      </w:r>
      <w:r w:rsidRPr="00761DF6" w:rsidR="00D40ECF">
        <w:rPr>
          <w:color w:val="000000"/>
          <w:szCs w:val="26"/>
        </w:rPr>
        <w:t xml:space="preserve"> hearsay contents</w:t>
      </w:r>
      <w:r w:rsidRPr="00761DF6" w:rsidR="00EE4176">
        <w:rPr>
          <w:color w:val="000000"/>
          <w:szCs w:val="26"/>
        </w:rPr>
        <w:t>, but instead</w:t>
      </w:r>
      <w:r w:rsidRPr="00761DF6" w:rsidR="00C50164">
        <w:rPr>
          <w:color w:val="000000"/>
          <w:szCs w:val="26"/>
        </w:rPr>
        <w:t xml:space="preserve"> on </w:t>
      </w:r>
      <w:r w:rsidRPr="00761DF6" w:rsidR="007D0D3C">
        <w:rPr>
          <w:color w:val="000000"/>
          <w:szCs w:val="26"/>
        </w:rPr>
        <w:t>fleshing out what</w:t>
      </w:r>
      <w:r w:rsidRPr="00761DF6" w:rsidR="00C50164">
        <w:rPr>
          <w:color w:val="000000"/>
          <w:szCs w:val="26"/>
        </w:rPr>
        <w:t xml:space="preserve"> due process require</w:t>
      </w:r>
      <w:r w:rsidRPr="00761DF6" w:rsidR="004F54EF">
        <w:rPr>
          <w:color w:val="000000"/>
          <w:szCs w:val="26"/>
        </w:rPr>
        <w:t>s</w:t>
      </w:r>
      <w:r w:rsidRPr="00761DF6" w:rsidR="00AA2B3A">
        <w:rPr>
          <w:color w:val="000000"/>
          <w:szCs w:val="26"/>
        </w:rPr>
        <w:t xml:space="preserve"> at the hearing</w:t>
      </w:r>
      <w:r w:rsidRPr="00761DF6" w:rsidR="00C14496">
        <w:rPr>
          <w:color w:val="000000"/>
          <w:szCs w:val="26"/>
        </w:rPr>
        <w:t xml:space="preserve"> </w:t>
      </w:r>
      <w:r w:rsidRPr="00761DF6" w:rsidR="00C50164">
        <w:rPr>
          <w:color w:val="000000"/>
          <w:szCs w:val="26"/>
        </w:rPr>
        <w:t xml:space="preserve">to allow </w:t>
      </w:r>
      <w:r w:rsidRPr="00761DF6" w:rsidR="009F0755">
        <w:rPr>
          <w:color w:val="000000"/>
          <w:szCs w:val="26"/>
        </w:rPr>
        <w:t>defendants</w:t>
      </w:r>
      <w:r w:rsidRPr="00761DF6" w:rsidR="00C50164">
        <w:rPr>
          <w:color w:val="000000"/>
          <w:szCs w:val="26"/>
        </w:rPr>
        <w:t xml:space="preserve"> </w:t>
      </w:r>
      <w:r w:rsidRPr="00761DF6" w:rsidR="00240CD6">
        <w:rPr>
          <w:color w:val="000000"/>
          <w:szCs w:val="26"/>
        </w:rPr>
        <w:t xml:space="preserve">a meaningful opportunity to challenge the basis of the petition.  </w:t>
      </w:r>
      <w:r w:rsidRPr="00761DF6">
        <w:rPr>
          <w:i/>
          <w:iCs/>
          <w:color w:val="000000"/>
          <w:szCs w:val="26"/>
          <w:bdr w:val="none" w:sz="0" w:space="0" w:color="auto" w:frame="1"/>
        </w:rPr>
        <w:t>Parker</w:t>
      </w:r>
      <w:r w:rsidRPr="00761DF6">
        <w:rPr>
          <w:color w:val="000000"/>
          <w:szCs w:val="26"/>
        </w:rPr>
        <w:t> </w:t>
      </w:r>
      <w:r w:rsidR="00BD4309">
        <w:rPr>
          <w:color w:val="000000"/>
          <w:szCs w:val="26"/>
        </w:rPr>
        <w:t>therefore “</w:t>
      </w:r>
      <w:r w:rsidR="00CB1D56">
        <w:rPr>
          <w:color w:val="000000"/>
          <w:szCs w:val="26"/>
        </w:rPr>
        <w:t>contains no discussion regarding</w:t>
      </w:r>
      <w:r w:rsidRPr="00761DF6">
        <w:rPr>
          <w:color w:val="000000"/>
          <w:szCs w:val="26"/>
        </w:rPr>
        <w:t xml:space="preserve"> the competency of the multiple hearsay necessarily contained within </w:t>
      </w:r>
      <w:r w:rsidR="00D77607">
        <w:rPr>
          <w:color w:val="000000"/>
          <w:szCs w:val="26"/>
        </w:rPr>
        <w:t>. . .</w:t>
      </w:r>
      <w:r w:rsidR="00CA2E0D">
        <w:rPr>
          <w:color w:val="000000"/>
          <w:szCs w:val="26"/>
        </w:rPr>
        <w:t xml:space="preserve"> </w:t>
      </w:r>
      <w:r w:rsidRPr="00761DF6">
        <w:rPr>
          <w:color w:val="000000"/>
          <w:szCs w:val="26"/>
        </w:rPr>
        <w:t>expert evaluations.</w:t>
      </w:r>
      <w:r w:rsidRPr="00761DF6" w:rsidR="00D40ECF">
        <w:rPr>
          <w:color w:val="000000"/>
          <w:szCs w:val="26"/>
        </w:rPr>
        <w:t>”</w:t>
      </w:r>
      <w:r w:rsidRPr="00761DF6" w:rsidR="006B4DD6">
        <w:rPr>
          <w:color w:val="000000"/>
          <w:szCs w:val="26"/>
        </w:rPr>
        <w:t xml:space="preserve">  (</w:t>
      </w:r>
      <w:r w:rsidRPr="00761DF6" w:rsidR="006B4DD6">
        <w:rPr>
          <w:i/>
          <w:iCs/>
          <w:color w:val="000000"/>
          <w:szCs w:val="26"/>
        </w:rPr>
        <w:t>Couthren</w:t>
      </w:r>
      <w:r w:rsidRPr="00761DF6" w:rsidR="006B4DD6">
        <w:rPr>
          <w:color w:val="000000"/>
          <w:szCs w:val="26"/>
        </w:rPr>
        <w:t xml:space="preserve">, </w:t>
      </w:r>
      <w:r w:rsidRPr="00761DF6" w:rsidR="006B4DD6">
        <w:rPr>
          <w:i/>
          <w:iCs/>
          <w:color w:val="000000"/>
          <w:szCs w:val="26"/>
        </w:rPr>
        <w:t>supra</w:t>
      </w:r>
      <w:r w:rsidRPr="00761DF6" w:rsidR="007F2627">
        <w:rPr>
          <w:color w:val="000000"/>
          <w:szCs w:val="26"/>
        </w:rPr>
        <w:t>, 41 Cal.App.5th at p. 1017.</w:t>
      </w:r>
      <w:r w:rsidRPr="00761DF6" w:rsidR="006B4DD6">
        <w:rPr>
          <w:color w:val="000000"/>
          <w:szCs w:val="26"/>
        </w:rPr>
        <w:t>)</w:t>
      </w:r>
    </w:p>
    <w:p w:rsidR="002A276E" w:rsidP="00F52A0B" w14:paraId="036ACB8D" w14:textId="14206913">
      <w:pPr>
        <w:shd w:val="clear" w:color="auto" w:fill="FFFFFF"/>
        <w:ind w:firstLine="720"/>
        <w:textAlignment w:val="baseline"/>
        <w:rPr>
          <w:color w:val="000000"/>
          <w:szCs w:val="26"/>
        </w:rPr>
      </w:pPr>
      <w:r w:rsidRPr="00761DF6">
        <w:rPr>
          <w:color w:val="000000"/>
          <w:szCs w:val="26"/>
        </w:rPr>
        <w:t>Although</w:t>
      </w:r>
      <w:r w:rsidRPr="00761DF6" w:rsidR="00727BAB">
        <w:rPr>
          <w:color w:val="000000"/>
          <w:szCs w:val="26"/>
        </w:rPr>
        <w:t xml:space="preserve"> </w:t>
      </w:r>
      <w:r w:rsidRPr="00761DF6" w:rsidR="003E5A42">
        <w:rPr>
          <w:i/>
          <w:iCs/>
          <w:color w:val="000000"/>
          <w:szCs w:val="26"/>
        </w:rPr>
        <w:t>Cooley</w:t>
      </w:r>
      <w:r w:rsidRPr="00761DF6" w:rsidR="003E5A42">
        <w:rPr>
          <w:color w:val="000000"/>
          <w:szCs w:val="26"/>
        </w:rPr>
        <w:t xml:space="preserve"> </w:t>
      </w:r>
      <w:r w:rsidRPr="00761DF6" w:rsidR="00A90A0A">
        <w:rPr>
          <w:color w:val="000000"/>
          <w:szCs w:val="26"/>
        </w:rPr>
        <w:t xml:space="preserve">did cite to </w:t>
      </w:r>
      <w:r w:rsidRPr="00761DF6" w:rsidR="003E5A42">
        <w:rPr>
          <w:i/>
          <w:iCs/>
          <w:color w:val="000000"/>
          <w:szCs w:val="26"/>
        </w:rPr>
        <w:t>Parker</w:t>
      </w:r>
      <w:r w:rsidRPr="00761DF6" w:rsidR="00A90A0A">
        <w:rPr>
          <w:color w:val="000000"/>
          <w:szCs w:val="26"/>
        </w:rPr>
        <w:t>’s</w:t>
      </w:r>
      <w:r w:rsidRPr="00761DF6" w:rsidR="00947C2A">
        <w:rPr>
          <w:color w:val="000000"/>
          <w:szCs w:val="26"/>
        </w:rPr>
        <w:t xml:space="preserve"> </w:t>
      </w:r>
      <w:r w:rsidRPr="00761DF6" w:rsidR="00A90A0A">
        <w:rPr>
          <w:color w:val="000000"/>
          <w:szCs w:val="26"/>
        </w:rPr>
        <w:t>statement on</w:t>
      </w:r>
      <w:r w:rsidRPr="00761DF6" w:rsidR="00C76054">
        <w:rPr>
          <w:color w:val="000000"/>
          <w:szCs w:val="26"/>
        </w:rPr>
        <w:t xml:space="preserve"> the admission of hearsay</w:t>
      </w:r>
      <w:r w:rsidRPr="00761DF6" w:rsidR="00947C2A">
        <w:rPr>
          <w:color w:val="000000"/>
          <w:szCs w:val="26"/>
        </w:rPr>
        <w:t xml:space="preserve"> </w:t>
      </w:r>
      <w:r w:rsidRPr="00761DF6" w:rsidR="00C76054">
        <w:rPr>
          <w:color w:val="000000"/>
          <w:szCs w:val="26"/>
        </w:rPr>
        <w:t>reports</w:t>
      </w:r>
      <w:r w:rsidRPr="00761DF6" w:rsidR="00A90A0A">
        <w:rPr>
          <w:color w:val="000000"/>
          <w:szCs w:val="26"/>
        </w:rPr>
        <w:t>, it did</w:t>
      </w:r>
      <w:r w:rsidRPr="00761DF6" w:rsidR="004C574A">
        <w:rPr>
          <w:color w:val="000000"/>
          <w:szCs w:val="26"/>
        </w:rPr>
        <w:t xml:space="preserve"> so</w:t>
      </w:r>
      <w:r w:rsidRPr="00761DF6" w:rsidR="00947C2A">
        <w:rPr>
          <w:color w:val="000000"/>
          <w:szCs w:val="26"/>
        </w:rPr>
        <w:t xml:space="preserve"> in </w:t>
      </w:r>
      <w:r w:rsidRPr="00761DF6" w:rsidR="00C76054">
        <w:rPr>
          <w:color w:val="000000"/>
          <w:szCs w:val="26"/>
        </w:rPr>
        <w:t xml:space="preserve">a single </w:t>
      </w:r>
      <w:r w:rsidRPr="00761DF6" w:rsidR="00947C2A">
        <w:rPr>
          <w:color w:val="000000"/>
          <w:szCs w:val="26"/>
        </w:rPr>
        <w:t>dict</w:t>
      </w:r>
      <w:r w:rsidR="004E5208">
        <w:rPr>
          <w:color w:val="000000"/>
          <w:szCs w:val="26"/>
        </w:rPr>
        <w:t>um</w:t>
      </w:r>
      <w:r w:rsidRPr="00761DF6" w:rsidR="00C76054">
        <w:rPr>
          <w:color w:val="000000"/>
          <w:szCs w:val="26"/>
        </w:rPr>
        <w:t xml:space="preserve"> footnote.  </w:t>
      </w:r>
      <w:r w:rsidRPr="00761DF6" w:rsidR="0065199B">
        <w:rPr>
          <w:color w:val="000000"/>
          <w:szCs w:val="26"/>
        </w:rPr>
        <w:t xml:space="preserve">Moreover, </w:t>
      </w:r>
      <w:r w:rsidRPr="00761DF6" w:rsidR="0065199B">
        <w:rPr>
          <w:i/>
          <w:iCs/>
          <w:color w:val="000000"/>
          <w:szCs w:val="26"/>
        </w:rPr>
        <w:t>Cooley</w:t>
      </w:r>
      <w:r w:rsidRPr="00761DF6" w:rsidR="0065199B">
        <w:rPr>
          <w:color w:val="000000"/>
          <w:szCs w:val="26"/>
        </w:rPr>
        <w:t xml:space="preserve"> address</w:t>
      </w:r>
      <w:r w:rsidRPr="00761DF6" w:rsidR="0067242F">
        <w:rPr>
          <w:color w:val="000000"/>
          <w:szCs w:val="26"/>
        </w:rPr>
        <w:t>ed</w:t>
      </w:r>
      <w:r w:rsidRPr="00761DF6" w:rsidR="0065199B">
        <w:rPr>
          <w:color w:val="000000"/>
          <w:szCs w:val="26"/>
        </w:rPr>
        <w:t xml:space="preserve"> the subject </w:t>
      </w:r>
      <w:r w:rsidRPr="00761DF6" w:rsidR="00CC3B08">
        <w:rPr>
          <w:color w:val="000000"/>
          <w:szCs w:val="26"/>
        </w:rPr>
        <w:t>“in the context of describing matters which were not disputed by the parties and therefore not analyzed by the court.</w:t>
      </w:r>
      <w:r w:rsidRPr="00761DF6" w:rsidR="00C10250">
        <w:rPr>
          <w:color w:val="000000"/>
          <w:szCs w:val="26"/>
        </w:rPr>
        <w:t xml:space="preserve">”  </w:t>
      </w:r>
      <w:r w:rsidRPr="00761DF6" w:rsidR="002C7E58">
        <w:rPr>
          <w:color w:val="000000"/>
          <w:szCs w:val="26"/>
        </w:rPr>
        <w:t>(</w:t>
      </w:r>
      <w:r w:rsidRPr="00761DF6" w:rsidR="00161D30">
        <w:rPr>
          <w:i/>
          <w:iCs/>
          <w:color w:val="000000"/>
          <w:szCs w:val="26"/>
        </w:rPr>
        <w:t>Couthren</w:t>
      </w:r>
      <w:r w:rsidRPr="00761DF6" w:rsidR="00161D30">
        <w:rPr>
          <w:color w:val="000000"/>
          <w:szCs w:val="26"/>
        </w:rPr>
        <w:t xml:space="preserve">, </w:t>
      </w:r>
      <w:r w:rsidRPr="00761DF6" w:rsidR="00161D30">
        <w:rPr>
          <w:i/>
          <w:iCs/>
          <w:color w:val="000000"/>
          <w:szCs w:val="26"/>
        </w:rPr>
        <w:t>supra</w:t>
      </w:r>
      <w:r w:rsidRPr="00761DF6" w:rsidR="00161D30">
        <w:rPr>
          <w:color w:val="000000"/>
          <w:szCs w:val="26"/>
        </w:rPr>
        <w:t>, 41 Cal.App.5th at p. 1017</w:t>
      </w:r>
      <w:r w:rsidRPr="00761DF6" w:rsidR="002C7E58">
        <w:rPr>
          <w:color w:val="000000"/>
          <w:szCs w:val="26"/>
        </w:rPr>
        <w:t xml:space="preserve">.)  </w:t>
      </w:r>
      <w:r w:rsidRPr="00761DF6" w:rsidR="009255E0">
        <w:rPr>
          <w:color w:val="000000"/>
          <w:szCs w:val="26"/>
        </w:rPr>
        <w:t>A</w:t>
      </w:r>
      <w:r w:rsidRPr="00761DF6" w:rsidR="00266FCE">
        <w:rPr>
          <w:color w:val="000000"/>
          <w:szCs w:val="26"/>
        </w:rPr>
        <w:t xml:space="preserve">s in </w:t>
      </w:r>
      <w:r w:rsidRPr="00761DF6" w:rsidR="0067242F">
        <w:rPr>
          <w:i/>
          <w:iCs/>
          <w:color w:val="000000"/>
          <w:szCs w:val="26"/>
        </w:rPr>
        <w:t>Parker</w:t>
      </w:r>
      <w:r w:rsidRPr="00761DF6" w:rsidR="0067242F">
        <w:rPr>
          <w:color w:val="000000"/>
          <w:szCs w:val="26"/>
        </w:rPr>
        <w:t xml:space="preserve">, </w:t>
      </w:r>
      <w:r w:rsidRPr="00761DF6" w:rsidR="0067242F">
        <w:rPr>
          <w:i/>
          <w:iCs/>
          <w:color w:val="000000"/>
          <w:szCs w:val="26"/>
        </w:rPr>
        <w:t>Cooley</w:t>
      </w:r>
      <w:r w:rsidRPr="00761DF6" w:rsidR="0067242F">
        <w:rPr>
          <w:color w:val="000000"/>
          <w:szCs w:val="26"/>
        </w:rPr>
        <w:t xml:space="preserve"> </w:t>
      </w:r>
      <w:r w:rsidRPr="00761DF6" w:rsidR="00266FCE">
        <w:rPr>
          <w:color w:val="000000"/>
          <w:szCs w:val="26"/>
        </w:rPr>
        <w:t>provided no analysis supporting the admission of the reports or their hearsay contents as competent evidence, or</w:t>
      </w:r>
      <w:r w:rsidR="00BF362D">
        <w:rPr>
          <w:color w:val="000000"/>
          <w:szCs w:val="26"/>
        </w:rPr>
        <w:t xml:space="preserve"> concerning</w:t>
      </w:r>
      <w:r w:rsidRPr="00761DF6" w:rsidR="00266FCE">
        <w:rPr>
          <w:color w:val="000000"/>
          <w:szCs w:val="26"/>
        </w:rPr>
        <w:t xml:space="preserve"> the application of the Evidence Code to SVP</w:t>
      </w:r>
      <w:r w:rsidRPr="00761DF6" w:rsidR="00300D59">
        <w:rPr>
          <w:color w:val="000000"/>
          <w:szCs w:val="26"/>
        </w:rPr>
        <w:t>A</w:t>
      </w:r>
      <w:r w:rsidRPr="00761DF6" w:rsidR="00266FCE">
        <w:rPr>
          <w:color w:val="000000"/>
          <w:szCs w:val="26"/>
        </w:rPr>
        <w:t xml:space="preserve"> probable cause hearings more generally.  </w:t>
      </w:r>
      <w:r w:rsidRPr="00761DF6" w:rsidR="00C65A7A">
        <w:rPr>
          <w:color w:val="000000"/>
          <w:szCs w:val="26"/>
        </w:rPr>
        <w:t>C</w:t>
      </w:r>
      <w:r w:rsidRPr="00761DF6" w:rsidR="00FC4A9E">
        <w:rPr>
          <w:color w:val="000000"/>
          <w:szCs w:val="26"/>
        </w:rPr>
        <w:t xml:space="preserve">onsistent with the opinion as a whole, </w:t>
      </w:r>
      <w:r w:rsidRPr="00761DF6" w:rsidR="00C65A7A">
        <w:rPr>
          <w:color w:val="000000"/>
          <w:szCs w:val="26"/>
        </w:rPr>
        <w:t xml:space="preserve">its focus in the footnote was </w:t>
      </w:r>
      <w:r w:rsidRPr="00761DF6" w:rsidR="00FC4A9E">
        <w:rPr>
          <w:color w:val="000000"/>
          <w:szCs w:val="26"/>
        </w:rPr>
        <w:t>generally laying out the procedural requirements that protect defendants at SVP</w:t>
      </w:r>
      <w:r w:rsidRPr="00761DF6" w:rsidR="00300D59">
        <w:rPr>
          <w:color w:val="000000"/>
          <w:szCs w:val="26"/>
        </w:rPr>
        <w:t>A</w:t>
      </w:r>
      <w:r w:rsidRPr="00761DF6" w:rsidR="00FC4A9E">
        <w:rPr>
          <w:color w:val="000000"/>
          <w:szCs w:val="26"/>
        </w:rPr>
        <w:t xml:space="preserve"> hearings.</w:t>
      </w:r>
      <w:r w:rsidR="00F4258D">
        <w:rPr>
          <w:rStyle w:val="CommentReference"/>
        </w:rPr>
        <w:t xml:space="preserve"> </w:t>
      </w:r>
    </w:p>
    <w:bookmarkEnd w:id="12"/>
    <w:p w:rsidR="00F42CE0" w:rsidRPr="00761DF6" w:rsidP="007F5F41" w14:paraId="2EFE1E1C" w14:textId="4149C3A4">
      <w:pPr>
        <w:pStyle w:val="Heading2"/>
        <w:tabs>
          <w:tab w:val="left" w:pos="0"/>
          <w:tab w:val="clear" w:pos="1152"/>
        </w:tabs>
        <w:ind w:left="0" w:firstLine="0"/>
        <w:jc w:val="center"/>
      </w:pPr>
      <w:r>
        <w:t>C</w:t>
      </w:r>
      <w:r w:rsidR="007F5F41">
        <w:t>.</w:t>
      </w:r>
    </w:p>
    <w:p w:rsidR="00BF0525" w:rsidP="00761DF6" w14:paraId="1A271C9A" w14:textId="6250CD5E">
      <w:pPr>
        <w:rPr>
          <w:szCs w:val="27"/>
        </w:rPr>
      </w:pPr>
      <w:r w:rsidRPr="00761DF6">
        <w:tab/>
      </w:r>
      <w:r w:rsidRPr="00761DF6" w:rsidR="002251D1">
        <w:t>The a</w:t>
      </w:r>
      <w:r w:rsidRPr="00761DF6" w:rsidR="00666CD9">
        <w:t xml:space="preserve">dmission of the </w:t>
      </w:r>
      <w:r w:rsidR="00A3631B">
        <w:t xml:space="preserve">contested </w:t>
      </w:r>
      <w:r w:rsidRPr="00761DF6" w:rsidR="00666CD9">
        <w:t>hearsay</w:t>
      </w:r>
      <w:r w:rsidRPr="00761DF6" w:rsidR="002251D1">
        <w:t xml:space="preserve"> in the MacSpeiden and Karlsson evaluation reports represented prejudicial </w:t>
      </w:r>
      <w:r w:rsidRPr="00761DF6" w:rsidR="00C1623D">
        <w:t>error</w:t>
      </w:r>
      <w:r w:rsidRPr="00761DF6" w:rsidR="00A669A8">
        <w:t xml:space="preserve"> under the standard set forth in </w:t>
      </w:r>
      <w:r w:rsidRPr="00761DF6" w:rsidR="00A669A8">
        <w:rPr>
          <w:i/>
          <w:iCs/>
        </w:rPr>
        <w:t>People v. Watson</w:t>
      </w:r>
      <w:r w:rsidRPr="00761DF6" w:rsidR="003C461B">
        <w:t xml:space="preserve"> (1956) 46 Cal.2d 818, 836</w:t>
      </w:r>
      <w:r w:rsidRPr="00761DF6" w:rsidR="00021741">
        <w:t xml:space="preserve"> (</w:t>
      </w:r>
      <w:r w:rsidRPr="00761DF6" w:rsidR="008005EC">
        <w:t xml:space="preserve">for a statutory error, we must determine whether it is reasonably probable the result would have been more favorable to appellant absent the error).  </w:t>
      </w:r>
      <w:r w:rsidRPr="00045380" w:rsidR="00FF5061">
        <w:rPr>
          <w:szCs w:val="27"/>
        </w:rPr>
        <w:t xml:space="preserve">As described in </w:t>
      </w:r>
      <w:r w:rsidRPr="00045380" w:rsidR="00FF5061">
        <w:rPr>
          <w:i/>
          <w:iCs/>
          <w:szCs w:val="27"/>
        </w:rPr>
        <w:t>Cooley</w:t>
      </w:r>
      <w:r w:rsidRPr="00045380" w:rsidR="00FF5061">
        <w:rPr>
          <w:szCs w:val="27"/>
        </w:rPr>
        <w:t xml:space="preserve">, “a determination of probable cause by a superior court judge under the SVPA entails a decision </w:t>
      </w:r>
      <w:r w:rsidRPr="00045380" w:rsidR="00FF5061">
        <w:rPr>
          <w:i/>
          <w:iCs/>
          <w:szCs w:val="27"/>
        </w:rPr>
        <w:t>whether a reasonable person could entertain a strong suspicion that the offender is an SVP</w:t>
      </w:r>
      <w:r w:rsidRPr="00045380" w:rsidR="00FF5061">
        <w:rPr>
          <w:szCs w:val="27"/>
        </w:rPr>
        <w:t>.”  (</w:t>
      </w:r>
      <w:r w:rsidRPr="00045380" w:rsidR="00FF5061">
        <w:rPr>
          <w:i/>
          <w:iCs/>
          <w:szCs w:val="27"/>
        </w:rPr>
        <w:t xml:space="preserve">Cooley, supra, </w:t>
      </w:r>
      <w:r w:rsidRPr="00045380" w:rsidR="00FF5061">
        <w:rPr>
          <w:szCs w:val="27"/>
        </w:rPr>
        <w:t>29 Cal.4th at p. 252</w:t>
      </w:r>
      <w:r w:rsidR="005366D5">
        <w:rPr>
          <w:szCs w:val="27"/>
        </w:rPr>
        <w:t xml:space="preserve">, italics added by </w:t>
      </w:r>
      <w:r w:rsidRPr="005366D5" w:rsidR="005366D5">
        <w:rPr>
          <w:i/>
          <w:iCs/>
          <w:szCs w:val="27"/>
        </w:rPr>
        <w:t>Cooley</w:t>
      </w:r>
      <w:r w:rsidRPr="00045380" w:rsidR="00FF5061">
        <w:rPr>
          <w:szCs w:val="27"/>
        </w:rPr>
        <w:t xml:space="preserve">.)  </w:t>
      </w:r>
      <w:r w:rsidR="00A67449">
        <w:rPr>
          <w:szCs w:val="27"/>
        </w:rPr>
        <w:t>W</w:t>
      </w:r>
      <w:r w:rsidR="00FF5061">
        <w:rPr>
          <w:szCs w:val="27"/>
        </w:rPr>
        <w:t xml:space="preserve">e </w:t>
      </w:r>
      <w:r w:rsidR="00273681">
        <w:rPr>
          <w:szCs w:val="27"/>
        </w:rPr>
        <w:t>believe</w:t>
      </w:r>
      <w:r w:rsidR="00A054EA">
        <w:rPr>
          <w:szCs w:val="27"/>
        </w:rPr>
        <w:t xml:space="preserve"> </w:t>
      </w:r>
      <w:r w:rsidR="00FF5061">
        <w:rPr>
          <w:szCs w:val="27"/>
        </w:rPr>
        <w:t>it is reasonably probable that</w:t>
      </w:r>
      <w:r w:rsidR="00A054EA">
        <w:rPr>
          <w:szCs w:val="27"/>
        </w:rPr>
        <w:t>, absent the erroneously admitted hearsay,</w:t>
      </w:r>
      <w:r w:rsidR="00FF5061">
        <w:rPr>
          <w:szCs w:val="27"/>
        </w:rPr>
        <w:t xml:space="preserve"> </w:t>
      </w:r>
      <w:r w:rsidRPr="00045380" w:rsidR="00FF5061">
        <w:rPr>
          <w:szCs w:val="27"/>
        </w:rPr>
        <w:t xml:space="preserve">the </w:t>
      </w:r>
      <w:r w:rsidR="00FF5061">
        <w:rPr>
          <w:szCs w:val="27"/>
        </w:rPr>
        <w:t xml:space="preserve">trial </w:t>
      </w:r>
      <w:r w:rsidR="00171E37">
        <w:rPr>
          <w:szCs w:val="27"/>
        </w:rPr>
        <w:t>judge</w:t>
      </w:r>
      <w:r w:rsidRPr="00045380" w:rsidR="00FF5061">
        <w:rPr>
          <w:szCs w:val="27"/>
        </w:rPr>
        <w:t xml:space="preserve"> would</w:t>
      </w:r>
      <w:r w:rsidR="00BA0B0F">
        <w:rPr>
          <w:szCs w:val="27"/>
        </w:rPr>
        <w:t xml:space="preserve"> not</w:t>
      </w:r>
      <w:r w:rsidRPr="00045380" w:rsidR="00FF5061">
        <w:rPr>
          <w:szCs w:val="27"/>
        </w:rPr>
        <w:t xml:space="preserve"> </w:t>
      </w:r>
      <w:r w:rsidR="00A054EA">
        <w:rPr>
          <w:szCs w:val="27"/>
        </w:rPr>
        <w:t xml:space="preserve">have </w:t>
      </w:r>
      <w:r w:rsidR="0027535E">
        <w:rPr>
          <w:szCs w:val="27"/>
        </w:rPr>
        <w:t>entertained</w:t>
      </w:r>
      <w:r w:rsidR="00A054EA">
        <w:rPr>
          <w:szCs w:val="27"/>
        </w:rPr>
        <w:t xml:space="preserve"> a</w:t>
      </w:r>
      <w:r w:rsidR="00FF5061">
        <w:rPr>
          <w:szCs w:val="27"/>
        </w:rPr>
        <w:t xml:space="preserve"> strong suspicion </w:t>
      </w:r>
      <w:r w:rsidR="00A054EA">
        <w:rPr>
          <w:szCs w:val="27"/>
        </w:rPr>
        <w:t>that Walker qualified as an SVP.</w:t>
      </w:r>
    </w:p>
    <w:p w:rsidR="00895CB7" w:rsidP="004A575D" w14:paraId="1BB84D36" w14:textId="1EC49D5B">
      <w:pPr>
        <w:rPr>
          <w:szCs w:val="27"/>
        </w:rPr>
      </w:pPr>
      <w:r>
        <w:rPr>
          <w:szCs w:val="27"/>
        </w:rPr>
        <w:tab/>
      </w:r>
      <w:bookmarkStart w:id="26" w:name="_Hlk73993039"/>
      <w:r w:rsidR="0091286F">
        <w:rPr>
          <w:szCs w:val="27"/>
        </w:rPr>
        <w:t xml:space="preserve">On the one hand, </w:t>
      </w:r>
      <w:r w:rsidR="004A575D">
        <w:rPr>
          <w:szCs w:val="27"/>
        </w:rPr>
        <w:t xml:space="preserve">some </w:t>
      </w:r>
      <w:r w:rsidR="000C66CD">
        <w:rPr>
          <w:szCs w:val="27"/>
        </w:rPr>
        <w:t xml:space="preserve">of the properly admitted </w:t>
      </w:r>
      <w:r w:rsidR="004A575D">
        <w:rPr>
          <w:szCs w:val="27"/>
        </w:rPr>
        <w:t>evidence support</w:t>
      </w:r>
      <w:r w:rsidR="004A121D">
        <w:rPr>
          <w:szCs w:val="27"/>
        </w:rPr>
        <w:t>s</w:t>
      </w:r>
      <w:r w:rsidR="004A575D">
        <w:rPr>
          <w:szCs w:val="27"/>
        </w:rPr>
        <w:t xml:space="preserve"> the </w:t>
      </w:r>
      <w:r w:rsidR="004A121D">
        <w:rPr>
          <w:szCs w:val="27"/>
        </w:rPr>
        <w:t>existence of probable cause</w:t>
      </w:r>
      <w:r w:rsidR="004A575D">
        <w:rPr>
          <w:szCs w:val="27"/>
        </w:rPr>
        <w:t xml:space="preserve">.  Walker’s </w:t>
      </w:r>
      <w:r w:rsidRPr="00045380" w:rsidR="004A575D">
        <w:rPr>
          <w:szCs w:val="27"/>
        </w:rPr>
        <w:t>qualifying offense was a forcible rape of a stranger</w:t>
      </w:r>
      <w:r w:rsidR="004A575D">
        <w:rPr>
          <w:szCs w:val="27"/>
        </w:rPr>
        <w:t xml:space="preserve">.  </w:t>
      </w:r>
      <w:r w:rsidR="00457E48">
        <w:rPr>
          <w:szCs w:val="27"/>
        </w:rPr>
        <w:t>MacSpeiden and Karlsson</w:t>
      </w:r>
      <w:r w:rsidRPr="00045380" w:rsidR="004A575D">
        <w:rPr>
          <w:szCs w:val="27"/>
        </w:rPr>
        <w:t xml:space="preserve"> diagnosed him with </w:t>
      </w:r>
      <w:r w:rsidR="008635CD">
        <w:rPr>
          <w:szCs w:val="27"/>
        </w:rPr>
        <w:t xml:space="preserve">particular </w:t>
      </w:r>
      <w:r w:rsidRPr="00045380" w:rsidR="004A575D">
        <w:rPr>
          <w:szCs w:val="27"/>
        </w:rPr>
        <w:t>mental disorders predisposing him to commit sex offenses</w:t>
      </w:r>
      <w:r w:rsidR="007528F4">
        <w:rPr>
          <w:szCs w:val="27"/>
        </w:rPr>
        <w:t> </w:t>
      </w:r>
      <w:r w:rsidR="0056592E">
        <w:rPr>
          <w:szCs w:val="27"/>
        </w:rPr>
        <w:t>—</w:t>
      </w:r>
      <w:r w:rsidR="00C678BD">
        <w:rPr>
          <w:szCs w:val="27"/>
        </w:rPr>
        <w:t xml:space="preserve"> </w:t>
      </w:r>
      <w:r w:rsidRPr="00045380" w:rsidR="0056592E">
        <w:rPr>
          <w:szCs w:val="27"/>
        </w:rPr>
        <w:t>with MacSpeiden diagnosing him with “Other Specified Paraphilia, Sexual Activity with Non-consenting Persons” and “Borderline Personality Disorder</w:t>
      </w:r>
      <w:r w:rsidR="0056592E">
        <w:rPr>
          <w:szCs w:val="27"/>
        </w:rPr>
        <w:t>,</w:t>
      </w:r>
      <w:r w:rsidRPr="00045380" w:rsidR="0056592E">
        <w:rPr>
          <w:szCs w:val="27"/>
        </w:rPr>
        <w:t xml:space="preserve">” </w:t>
      </w:r>
      <w:r w:rsidR="0056592E">
        <w:rPr>
          <w:szCs w:val="27"/>
        </w:rPr>
        <w:t xml:space="preserve">and </w:t>
      </w:r>
      <w:r w:rsidRPr="00045380" w:rsidR="0056592E">
        <w:rPr>
          <w:szCs w:val="27"/>
        </w:rPr>
        <w:t>Karlsson conclud</w:t>
      </w:r>
      <w:r w:rsidR="0056592E">
        <w:rPr>
          <w:szCs w:val="27"/>
        </w:rPr>
        <w:t xml:space="preserve">ing he had </w:t>
      </w:r>
      <w:r w:rsidR="00A248B2">
        <w:rPr>
          <w:szCs w:val="27"/>
        </w:rPr>
        <w:t>“</w:t>
      </w:r>
      <w:r w:rsidRPr="00045380" w:rsidR="0056592E">
        <w:rPr>
          <w:szCs w:val="27"/>
        </w:rPr>
        <w:t>Antisocial Personality Disorder</w:t>
      </w:r>
      <w:r w:rsidR="00953E6D">
        <w:rPr>
          <w:szCs w:val="27"/>
        </w:rPr>
        <w:t xml:space="preserve">, </w:t>
      </w:r>
      <w:r w:rsidRPr="00045380" w:rsidR="0056592E">
        <w:rPr>
          <w:szCs w:val="27"/>
        </w:rPr>
        <w:t>augmented by a severe level of psychopathy</w:t>
      </w:r>
      <w:r w:rsidR="0056592E">
        <w:rPr>
          <w:szCs w:val="27"/>
        </w:rPr>
        <w:t>.</w:t>
      </w:r>
      <w:r w:rsidR="00A248B2">
        <w:rPr>
          <w:szCs w:val="27"/>
        </w:rPr>
        <w:t>”</w:t>
      </w:r>
      <w:r w:rsidR="0056592E">
        <w:rPr>
          <w:szCs w:val="27"/>
        </w:rPr>
        <w:t xml:space="preserve">  </w:t>
      </w:r>
      <w:r w:rsidR="00105C1E">
        <w:rPr>
          <w:szCs w:val="27"/>
        </w:rPr>
        <w:t>And b</w:t>
      </w:r>
      <w:r w:rsidRPr="00045380" w:rsidR="004A575D">
        <w:rPr>
          <w:szCs w:val="27"/>
        </w:rPr>
        <w:t>oth</w:t>
      </w:r>
      <w:r w:rsidR="00953E6D">
        <w:rPr>
          <w:szCs w:val="27"/>
        </w:rPr>
        <w:t xml:space="preserve"> experts</w:t>
      </w:r>
      <w:r w:rsidRPr="00045380" w:rsidR="004A575D">
        <w:rPr>
          <w:szCs w:val="27"/>
        </w:rPr>
        <w:t xml:space="preserve"> scored him as having a high risk of sexual reoffense under various diagnostic tools</w:t>
      </w:r>
      <w:r>
        <w:rPr>
          <w:szCs w:val="27"/>
        </w:rPr>
        <w:t>.</w:t>
      </w:r>
    </w:p>
    <w:p w:rsidR="00A0495C" w:rsidP="004A575D" w14:paraId="1496ACC3" w14:textId="7FFD66D4">
      <w:pPr>
        <w:rPr>
          <w:szCs w:val="27"/>
        </w:rPr>
      </w:pPr>
      <w:r>
        <w:rPr>
          <w:szCs w:val="27"/>
        </w:rPr>
        <w:tab/>
        <w:t xml:space="preserve">On the other hand, </w:t>
      </w:r>
      <w:r w:rsidR="004A121D">
        <w:rPr>
          <w:szCs w:val="27"/>
        </w:rPr>
        <w:t>some of the</w:t>
      </w:r>
      <w:r w:rsidR="00A22D7B">
        <w:rPr>
          <w:szCs w:val="27"/>
        </w:rPr>
        <w:t xml:space="preserve"> properly</w:t>
      </w:r>
      <w:r w:rsidR="004A121D">
        <w:rPr>
          <w:szCs w:val="27"/>
        </w:rPr>
        <w:t xml:space="preserve"> admitted evidence</w:t>
      </w:r>
      <w:r w:rsidR="00A22D7B">
        <w:rPr>
          <w:szCs w:val="27"/>
        </w:rPr>
        <w:t xml:space="preserve"> cut against the existence of probable cause.  </w:t>
      </w:r>
      <w:r w:rsidR="00836DFF">
        <w:rPr>
          <w:szCs w:val="27"/>
        </w:rPr>
        <w:t>Yanofsky, o</w:t>
      </w:r>
      <w:r w:rsidR="00C63274">
        <w:rPr>
          <w:szCs w:val="27"/>
        </w:rPr>
        <w:t xml:space="preserve">ne of </w:t>
      </w:r>
      <w:r w:rsidRPr="00761DF6" w:rsidR="00C63274">
        <w:rPr>
          <w:szCs w:val="26"/>
        </w:rPr>
        <w:t>the initial psychologists</w:t>
      </w:r>
      <w:r w:rsidR="0058712A">
        <w:rPr>
          <w:szCs w:val="26"/>
        </w:rPr>
        <w:t xml:space="preserve"> appointed by DSH</w:t>
      </w:r>
      <w:r w:rsidRPr="00761DF6" w:rsidR="00C63274">
        <w:rPr>
          <w:szCs w:val="26"/>
        </w:rPr>
        <w:t xml:space="preserve"> to evaluate Walker</w:t>
      </w:r>
      <w:r w:rsidR="0058712A">
        <w:rPr>
          <w:szCs w:val="26"/>
        </w:rPr>
        <w:t>,</w:t>
      </w:r>
      <w:r w:rsidR="00C63274">
        <w:rPr>
          <w:szCs w:val="26"/>
        </w:rPr>
        <w:t xml:space="preserve"> </w:t>
      </w:r>
      <w:r w:rsidR="008F7476">
        <w:rPr>
          <w:szCs w:val="26"/>
        </w:rPr>
        <w:t>concluded</w:t>
      </w:r>
      <w:r w:rsidRPr="00761DF6" w:rsidR="00C63274">
        <w:rPr>
          <w:szCs w:val="26"/>
        </w:rPr>
        <w:t xml:space="preserve"> that Walker did not qualify as an SVP</w:t>
      </w:r>
      <w:r w:rsidR="00B83160">
        <w:rPr>
          <w:szCs w:val="26"/>
        </w:rPr>
        <w:t>.</w:t>
      </w:r>
      <w:r w:rsidR="0073762D">
        <w:rPr>
          <w:szCs w:val="26"/>
        </w:rPr>
        <w:t xml:space="preserve">  </w:t>
      </w:r>
      <w:r w:rsidR="003C6335">
        <w:rPr>
          <w:szCs w:val="26"/>
        </w:rPr>
        <w:t xml:space="preserve">In his evaluation report, which the trial court admitted into evidence, he </w:t>
      </w:r>
      <w:r w:rsidR="009617E0">
        <w:rPr>
          <w:szCs w:val="26"/>
        </w:rPr>
        <w:t>diagnosed Walker as suffering from “Other Specified Personality Disorder (Mixed Features)</w:t>
      </w:r>
      <w:r w:rsidR="00696070">
        <w:rPr>
          <w:szCs w:val="26"/>
        </w:rPr>
        <w:t>,</w:t>
      </w:r>
      <w:r w:rsidR="009617E0">
        <w:rPr>
          <w:szCs w:val="26"/>
        </w:rPr>
        <w:t>”</w:t>
      </w:r>
      <w:r w:rsidR="00696070">
        <w:rPr>
          <w:szCs w:val="26"/>
        </w:rPr>
        <w:t xml:space="preserve"> </w:t>
      </w:r>
      <w:r w:rsidR="009617E0">
        <w:rPr>
          <w:szCs w:val="26"/>
        </w:rPr>
        <w:t>i.e., antisocial and narcissistic personality traits.</w:t>
      </w:r>
      <w:r w:rsidR="002E035F">
        <w:rPr>
          <w:szCs w:val="26"/>
        </w:rPr>
        <w:t xml:space="preserve">  </w:t>
      </w:r>
      <w:r w:rsidR="007F1A6A">
        <w:rPr>
          <w:szCs w:val="26"/>
        </w:rPr>
        <w:t>Yanofsky</w:t>
      </w:r>
      <w:r w:rsidR="002E035F">
        <w:rPr>
          <w:szCs w:val="26"/>
        </w:rPr>
        <w:t xml:space="preserve"> determined these </w:t>
      </w:r>
      <w:r w:rsidR="00236753">
        <w:rPr>
          <w:szCs w:val="26"/>
        </w:rPr>
        <w:t>traits</w:t>
      </w:r>
      <w:r w:rsidR="002E035F">
        <w:rPr>
          <w:szCs w:val="26"/>
        </w:rPr>
        <w:t xml:space="preserve"> did not affect Walker’s “emotional and volitional capacity to such a degree” that it predisposed him</w:t>
      </w:r>
      <w:r w:rsidR="00E91D1A">
        <w:rPr>
          <w:szCs w:val="26"/>
        </w:rPr>
        <w:t xml:space="preserve"> to commit criminal sexual acts that </w:t>
      </w:r>
      <w:r w:rsidR="00705887">
        <w:rPr>
          <w:szCs w:val="26"/>
        </w:rPr>
        <w:t xml:space="preserve">would </w:t>
      </w:r>
      <w:r w:rsidR="00E91D1A">
        <w:rPr>
          <w:szCs w:val="26"/>
        </w:rPr>
        <w:t xml:space="preserve">endanger the health and safety of others.  </w:t>
      </w:r>
      <w:r w:rsidR="004D25C8">
        <w:rPr>
          <w:szCs w:val="26"/>
        </w:rPr>
        <w:t xml:space="preserve">He ruled out </w:t>
      </w:r>
      <w:r w:rsidR="007D4923">
        <w:rPr>
          <w:szCs w:val="26"/>
        </w:rPr>
        <w:t>paraphilia as a differential diagnosis</w:t>
      </w:r>
      <w:r w:rsidR="00B163C1">
        <w:rPr>
          <w:szCs w:val="26"/>
        </w:rPr>
        <w:t>, explaining that Walker’s criminal sexual history, although reflecting a “sexual preoccupation,” did not necessarily appear driven by “deviance” or “to be a sustained pattern” of inappropriate conduct.</w:t>
      </w:r>
      <w:r>
        <w:rPr>
          <w:szCs w:val="26"/>
        </w:rPr>
        <w:t xml:space="preserve">  </w:t>
      </w:r>
      <w:r w:rsidR="007D1189">
        <w:rPr>
          <w:szCs w:val="26"/>
        </w:rPr>
        <w:t>Although h</w:t>
      </w:r>
      <w:r>
        <w:rPr>
          <w:szCs w:val="26"/>
        </w:rPr>
        <w:t xml:space="preserve">e </w:t>
      </w:r>
      <w:r w:rsidR="00242E74">
        <w:rPr>
          <w:szCs w:val="26"/>
        </w:rPr>
        <w:t xml:space="preserve">did </w:t>
      </w:r>
      <w:r>
        <w:rPr>
          <w:szCs w:val="26"/>
        </w:rPr>
        <w:t xml:space="preserve">score </w:t>
      </w:r>
      <w:r w:rsidR="007D1189">
        <w:rPr>
          <w:szCs w:val="27"/>
        </w:rPr>
        <w:t>Walker</w:t>
      </w:r>
      <w:r w:rsidRPr="00045380">
        <w:rPr>
          <w:szCs w:val="27"/>
        </w:rPr>
        <w:t xml:space="preserve"> as having a</w:t>
      </w:r>
      <w:r w:rsidR="00B40D2F">
        <w:rPr>
          <w:szCs w:val="27"/>
        </w:rPr>
        <w:t xml:space="preserve"> moderate-to-</w:t>
      </w:r>
      <w:r w:rsidRPr="00045380">
        <w:rPr>
          <w:szCs w:val="27"/>
        </w:rPr>
        <w:t>high risk of sexual reoffense under various diagnostic tools</w:t>
      </w:r>
      <w:r w:rsidR="004D572D">
        <w:rPr>
          <w:szCs w:val="27"/>
        </w:rPr>
        <w:t>, he determined the absence of a predisposing mental health condition</w:t>
      </w:r>
      <w:r w:rsidR="00E7716A">
        <w:rPr>
          <w:szCs w:val="27"/>
        </w:rPr>
        <w:t xml:space="preserve"> was dispositive.  His testimony at the probable cause hearing </w:t>
      </w:r>
      <w:r w:rsidR="00D20956">
        <w:rPr>
          <w:szCs w:val="27"/>
        </w:rPr>
        <w:t>aligned with the conclusions in his report.</w:t>
      </w:r>
    </w:p>
    <w:p w:rsidR="000D6DA3" w:rsidP="008D36BD" w14:paraId="375EDF95" w14:textId="21D66DF9">
      <w:pPr>
        <w:ind w:firstLine="720"/>
        <w:rPr>
          <w:szCs w:val="27"/>
        </w:rPr>
      </w:pPr>
      <w:r>
        <w:rPr>
          <w:szCs w:val="27"/>
        </w:rPr>
        <w:t>Nothing in the record tells us exactly how the trial court settled on its probable cause determination by weighing the competing evidence.  But the nature and role of the inadmissible hearsay</w:t>
      </w:r>
      <w:r w:rsidR="006B5D57">
        <w:rPr>
          <w:szCs w:val="27"/>
        </w:rPr>
        <w:t xml:space="preserve"> make it </w:t>
      </w:r>
      <w:r w:rsidR="008D36BD">
        <w:rPr>
          <w:szCs w:val="27"/>
        </w:rPr>
        <w:t xml:space="preserve">likely that </w:t>
      </w:r>
      <w:r w:rsidR="007439A4">
        <w:rPr>
          <w:szCs w:val="27"/>
        </w:rPr>
        <w:t>this evidence</w:t>
      </w:r>
      <w:r w:rsidR="008D36BD">
        <w:rPr>
          <w:szCs w:val="27"/>
        </w:rPr>
        <w:t xml:space="preserve"> prejudicially affected the trial court’s determination.</w:t>
      </w:r>
      <w:r>
        <w:rPr>
          <w:szCs w:val="27"/>
        </w:rPr>
        <w:t xml:space="preserve"> </w:t>
      </w:r>
      <w:r w:rsidR="008D36BD">
        <w:rPr>
          <w:szCs w:val="27"/>
        </w:rPr>
        <w:t xml:space="preserve"> </w:t>
      </w:r>
      <w:r>
        <w:rPr>
          <w:szCs w:val="27"/>
        </w:rPr>
        <w:t xml:space="preserve">(See </w:t>
      </w:r>
      <w:r w:rsidRPr="009C2EE1">
        <w:rPr>
          <w:i/>
          <w:iCs/>
          <w:szCs w:val="27"/>
        </w:rPr>
        <w:t>Bennett</w:t>
      </w:r>
      <w:r>
        <w:rPr>
          <w:szCs w:val="27"/>
        </w:rPr>
        <w:t xml:space="preserve">, </w:t>
      </w:r>
      <w:r w:rsidRPr="009C2EE1">
        <w:rPr>
          <w:i/>
          <w:iCs/>
          <w:szCs w:val="27"/>
        </w:rPr>
        <w:t>supra</w:t>
      </w:r>
      <w:r>
        <w:rPr>
          <w:szCs w:val="27"/>
        </w:rPr>
        <w:t xml:space="preserve">, </w:t>
      </w:r>
      <w:r w:rsidRPr="00761DF6">
        <w:t xml:space="preserve">39 Cal.App.5th at </w:t>
      </w:r>
      <w:r>
        <w:t>p</w:t>
      </w:r>
      <w:r w:rsidRPr="00761DF6">
        <w:t>p. 884</w:t>
      </w:r>
      <w:r>
        <w:t>–885.)</w:t>
      </w:r>
    </w:p>
    <w:p w:rsidR="0060097D" w:rsidRPr="004B2859" w:rsidP="00ED53DB" w14:paraId="68DF93E0" w14:textId="554C4A4C">
      <w:pPr>
        <w:ind w:firstLine="720"/>
        <w:rPr>
          <w:rFonts w:ascii="Source Sans Pro" w:hAnsi="Source Sans Pro"/>
          <w:color w:val="000000"/>
          <w:sz w:val="24"/>
          <w:shd w:val="clear" w:color="auto" w:fill="FFFFFF"/>
        </w:rPr>
      </w:pPr>
      <w:r>
        <w:rPr>
          <w:szCs w:val="27"/>
        </w:rPr>
        <w:t>First, t</w:t>
      </w:r>
      <w:r w:rsidRPr="00761DF6" w:rsidR="00C60956">
        <w:t xml:space="preserve">he lurid </w:t>
      </w:r>
      <w:r w:rsidR="00C60956">
        <w:t xml:space="preserve">hearsay </w:t>
      </w:r>
      <w:r w:rsidRPr="00761DF6" w:rsidR="00C60956">
        <w:t>details</w:t>
      </w:r>
      <w:r w:rsidR="00C63108">
        <w:t xml:space="preserve"> </w:t>
      </w:r>
      <w:r w:rsidRPr="00761DF6" w:rsidR="00C60956">
        <w:t>regarding the 1989 and 2005 rape allegations depicted Walker as an individual with a strong propensity and modus operandi for violent sex offenses</w:t>
      </w:r>
      <w:r w:rsidR="007B01A1">
        <w:t>.</w:t>
      </w:r>
      <w:r w:rsidRPr="00761DF6" w:rsidR="00C60956">
        <w:t xml:space="preserve">  </w:t>
      </w:r>
      <w:r w:rsidR="00870B3F">
        <w:t xml:space="preserve">(See </w:t>
      </w:r>
      <w:r w:rsidRPr="007D5419" w:rsidR="00870B3F">
        <w:rPr>
          <w:i/>
          <w:iCs/>
        </w:rPr>
        <w:t>ante</w:t>
      </w:r>
      <w:r w:rsidR="001F15D5">
        <w:t>,</w:t>
      </w:r>
      <w:r w:rsidR="00870B3F">
        <w:t xml:space="preserve"> at </w:t>
      </w:r>
      <w:r w:rsidR="00D33AAC">
        <w:t>p</w:t>
      </w:r>
      <w:r w:rsidR="00870B3F">
        <w:t xml:space="preserve">p. </w:t>
      </w:r>
      <w:r w:rsidR="00D33AAC">
        <w:t>5–6</w:t>
      </w:r>
      <w:r w:rsidR="00870B3F">
        <w:t>.)</w:t>
      </w:r>
      <w:r w:rsidR="00EC2305">
        <w:t xml:space="preserve">  </w:t>
      </w:r>
      <w:r w:rsidR="00215E59">
        <w:t xml:space="preserve">In particular, they </w:t>
      </w:r>
      <w:r w:rsidR="00143E1F">
        <w:t>portrayed</w:t>
      </w:r>
      <w:r w:rsidR="00215E59">
        <w:t xml:space="preserve"> him as</w:t>
      </w:r>
      <w:r w:rsidR="00A47317">
        <w:t xml:space="preserve"> someone w</w:t>
      </w:r>
      <w:r w:rsidR="008E1635">
        <w:t xml:space="preserve">ho </w:t>
      </w:r>
      <w:r w:rsidR="00A47317">
        <w:t xml:space="preserve">preyed on </w:t>
      </w:r>
      <w:r w:rsidR="00646281">
        <w:t>women</w:t>
      </w:r>
      <w:r w:rsidR="0019073D">
        <w:t xml:space="preserve"> by </w:t>
      </w:r>
      <w:r w:rsidR="00CB1E96">
        <w:t xml:space="preserve">falsely </w:t>
      </w:r>
      <w:r w:rsidR="0019073D">
        <w:t>promising them</w:t>
      </w:r>
      <w:r w:rsidR="00CB1E96">
        <w:t xml:space="preserve"> entertainment and promotion employment</w:t>
      </w:r>
      <w:r w:rsidR="00801B25">
        <w:t>;</w:t>
      </w:r>
      <w:r w:rsidR="00143E1F">
        <w:t xml:space="preserve"> </w:t>
      </w:r>
      <w:r w:rsidR="008E1635">
        <w:t>coerc</w:t>
      </w:r>
      <w:r w:rsidR="00703957">
        <w:t>ed</w:t>
      </w:r>
      <w:r w:rsidR="008E1635">
        <w:t xml:space="preserve"> and lur</w:t>
      </w:r>
      <w:r w:rsidR="00703957">
        <w:t>ed</w:t>
      </w:r>
      <w:r w:rsidR="008E1635">
        <w:t xml:space="preserve"> them </w:t>
      </w:r>
      <w:r w:rsidR="00EC36B8">
        <w:t>to</w:t>
      </w:r>
      <w:r w:rsidR="008E1635">
        <w:t xml:space="preserve"> </w:t>
      </w:r>
      <w:r w:rsidR="00B107BC">
        <w:t>isolated</w:t>
      </w:r>
      <w:r w:rsidR="008E1635">
        <w:t xml:space="preserve"> locations</w:t>
      </w:r>
      <w:r w:rsidR="00801B25">
        <w:t>;</w:t>
      </w:r>
      <w:r w:rsidR="008E1635">
        <w:t xml:space="preserve"> </w:t>
      </w:r>
      <w:r w:rsidR="00703957">
        <w:t>sudd</w:t>
      </w:r>
      <w:r w:rsidR="002436BB">
        <w:t>enly groped them</w:t>
      </w:r>
      <w:r w:rsidR="00801B25">
        <w:t>;</w:t>
      </w:r>
      <w:r w:rsidR="00127582">
        <w:t xml:space="preserve"> and ignored their pleas to stop and raped them.</w:t>
      </w:r>
      <w:r w:rsidR="00EF0A42">
        <w:t xml:space="preserve">  </w:t>
      </w:r>
      <w:r w:rsidRPr="00E86450" w:rsidR="00C60956">
        <w:rPr>
          <w:szCs w:val="27"/>
        </w:rPr>
        <w:t xml:space="preserve">The resulting impression </w:t>
      </w:r>
      <w:r w:rsidR="004B2859">
        <w:rPr>
          <w:szCs w:val="27"/>
        </w:rPr>
        <w:t xml:space="preserve">enhanced the experts’ credibility and </w:t>
      </w:r>
      <w:r w:rsidRPr="00E86450" w:rsidR="00C60956">
        <w:rPr>
          <w:szCs w:val="27"/>
        </w:rPr>
        <w:t xml:space="preserve">materially supported </w:t>
      </w:r>
      <w:r w:rsidR="004B2859">
        <w:rPr>
          <w:szCs w:val="27"/>
        </w:rPr>
        <w:t>their</w:t>
      </w:r>
      <w:r w:rsidRPr="00E86450" w:rsidR="00C60956">
        <w:rPr>
          <w:szCs w:val="27"/>
        </w:rPr>
        <w:t xml:space="preserve"> conclusions that Walker’s mental health predisposed him to sexual criminal acts and made it likely he would reoffend with predatory behavior.  </w:t>
      </w:r>
      <w:r w:rsidRPr="0055377E" w:rsidR="00C60956">
        <w:rPr>
          <w:szCs w:val="27"/>
        </w:rPr>
        <w:t xml:space="preserve">(Cf. </w:t>
      </w:r>
      <w:r w:rsidRPr="0055377E" w:rsidR="00C60956">
        <w:rPr>
          <w:i/>
          <w:iCs/>
          <w:szCs w:val="27"/>
        </w:rPr>
        <w:t>Burroughs</w:t>
      </w:r>
      <w:r w:rsidRPr="0055377E" w:rsidR="00C60956">
        <w:rPr>
          <w:szCs w:val="27"/>
        </w:rPr>
        <w:t xml:space="preserve">, </w:t>
      </w:r>
      <w:r w:rsidRPr="0055377E" w:rsidR="00C60956">
        <w:rPr>
          <w:i/>
          <w:iCs/>
          <w:szCs w:val="27"/>
        </w:rPr>
        <w:t>supra</w:t>
      </w:r>
      <w:r w:rsidRPr="0055377E" w:rsidR="00C60956">
        <w:rPr>
          <w:szCs w:val="27"/>
        </w:rPr>
        <w:t>, 6 Cal.App.5th at p. 412</w:t>
      </w:r>
      <w:r w:rsidR="0055377E">
        <w:rPr>
          <w:color w:val="000000"/>
          <w:szCs w:val="27"/>
          <w:shd w:val="clear" w:color="auto" w:fill="FFFFFF"/>
        </w:rPr>
        <w:t>.)</w:t>
      </w:r>
      <w:r w:rsidR="00EE4F2D">
        <w:rPr>
          <w:rFonts w:ascii="Source Sans Pro" w:hAnsi="Source Sans Pro"/>
          <w:color w:val="000000"/>
          <w:sz w:val="24"/>
          <w:szCs w:val="24"/>
          <w:shd w:val="clear" w:color="auto" w:fill="FFFFFF"/>
        </w:rPr>
        <w:t xml:space="preserve">  </w:t>
      </w:r>
      <w:r w:rsidR="00ED53DB">
        <w:t>W</w:t>
      </w:r>
      <w:r w:rsidRPr="00761DF6" w:rsidR="00ED53DB">
        <w:t xml:space="preserve">e cannot discount the possibility that the nature of the rape allegation evidence </w:t>
      </w:r>
      <w:r w:rsidR="00005F3B">
        <w:t xml:space="preserve">impermissibly </w:t>
      </w:r>
      <w:r w:rsidR="005540C5">
        <w:t>factored into</w:t>
      </w:r>
      <w:r w:rsidRPr="00761DF6" w:rsidR="005540C5">
        <w:t xml:space="preserve"> </w:t>
      </w:r>
      <w:r w:rsidRPr="00761DF6" w:rsidR="00ED53DB">
        <w:t>the trial court’s probable cause determination.</w:t>
      </w:r>
      <w:r w:rsidRPr="004B2859" w:rsidR="00ED53DB">
        <w:rPr>
          <w:rFonts w:ascii="Source Sans Pro" w:hAnsi="Source Sans Pro"/>
          <w:color w:val="000000"/>
          <w:sz w:val="24"/>
          <w:shd w:val="clear" w:color="auto" w:fill="FFFFFF"/>
        </w:rPr>
        <w:t xml:space="preserve">  </w:t>
      </w:r>
      <w:r w:rsidR="0087556F">
        <w:t>Similarly,</w:t>
      </w:r>
      <w:r w:rsidR="00E84E46">
        <w:t xml:space="preserve"> </w:t>
      </w:r>
      <w:r w:rsidR="0087556F">
        <w:t>even though</w:t>
      </w:r>
      <w:r w:rsidR="00E84E46">
        <w:t xml:space="preserve"> Walker could (and did) cross-examine the experts regarding </w:t>
      </w:r>
      <w:r w:rsidR="00C32744">
        <w:t>particular</w:t>
      </w:r>
      <w:r w:rsidR="00E84E46">
        <w:t xml:space="preserve"> </w:t>
      </w:r>
      <w:r w:rsidR="00A84459">
        <w:t xml:space="preserve">deficiencies of the </w:t>
      </w:r>
      <w:r w:rsidR="00E84E46">
        <w:t xml:space="preserve">rape </w:t>
      </w:r>
      <w:r w:rsidR="00A84459">
        <w:t>allegation evidence</w:t>
      </w:r>
      <w:r w:rsidR="0087556F">
        <w:t>, that</w:t>
      </w:r>
      <w:r w:rsidR="00A84459">
        <w:t xml:space="preserve"> </w:t>
      </w:r>
      <w:r w:rsidR="0087556F">
        <w:t xml:space="preserve">did not adequately protect against the </w:t>
      </w:r>
      <w:r w:rsidR="00FD6751">
        <w:t xml:space="preserve">error here:  the </w:t>
      </w:r>
      <w:r w:rsidRPr="004B2859" w:rsidR="00FD6751">
        <w:rPr>
          <w:i/>
          <w:iCs/>
        </w:rPr>
        <w:t>full</w:t>
      </w:r>
      <w:r w:rsidR="00FD6751">
        <w:t xml:space="preserve"> admission of the reports, and the </w:t>
      </w:r>
      <w:r w:rsidR="0087556F">
        <w:t>chance that the trial court would rely on this substantive evidence in its probable cause analysis.</w:t>
      </w:r>
    </w:p>
    <w:p w:rsidR="0095414A" w:rsidP="00485799" w14:paraId="08CD3837" w14:textId="0E23DC80">
      <w:pPr>
        <w:ind w:firstLine="720"/>
      </w:pPr>
      <w:r>
        <w:t>Moreover,</w:t>
      </w:r>
      <w:r w:rsidR="0041676D">
        <w:t xml:space="preserve"> as in </w:t>
      </w:r>
      <w:r w:rsidRPr="0041676D" w:rsidR="0041676D">
        <w:rPr>
          <w:i/>
          <w:iCs/>
        </w:rPr>
        <w:t>Bennett</w:t>
      </w:r>
      <w:r w:rsidR="0041676D">
        <w:t>, the inadmissible hearsay</w:t>
      </w:r>
      <w:r w:rsidR="00005F3B">
        <w:t xml:space="preserve"> that the court admitted </w:t>
      </w:r>
      <w:r w:rsidR="002F753B">
        <w:t xml:space="preserve">critically supported </w:t>
      </w:r>
      <w:r w:rsidR="0041676D">
        <w:t xml:space="preserve">the </w:t>
      </w:r>
      <w:r w:rsidR="008628BE">
        <w:t>evaluation</w:t>
      </w:r>
      <w:r w:rsidR="00005F3B">
        <w:t xml:space="preserve"> reports’ conclusions</w:t>
      </w:r>
      <w:r w:rsidR="00CE718E">
        <w:t xml:space="preserve">.  </w:t>
      </w:r>
      <w:r w:rsidR="004E41EB">
        <w:t>(</w:t>
      </w:r>
      <w:r w:rsidRPr="00776993" w:rsidR="004E41EB">
        <w:rPr>
          <w:i/>
          <w:iCs/>
        </w:rPr>
        <w:t>Bennett</w:t>
      </w:r>
      <w:r w:rsidR="004E41EB">
        <w:t xml:space="preserve">, </w:t>
      </w:r>
      <w:r w:rsidRPr="00776993" w:rsidR="004E41EB">
        <w:rPr>
          <w:i/>
          <w:iCs/>
        </w:rPr>
        <w:t>supra</w:t>
      </w:r>
      <w:r w:rsidR="004E41EB">
        <w:t xml:space="preserve">, </w:t>
      </w:r>
      <w:r w:rsidR="00776993">
        <w:t>39 Cal.App.5th at pp. 884–885.)</w:t>
      </w:r>
      <w:r w:rsidR="009E1823">
        <w:t xml:space="preserve">  </w:t>
      </w:r>
      <w:r w:rsidR="00EA503B">
        <w:t xml:space="preserve">Had that content been excluded, the state’s case would have been </w:t>
      </w:r>
      <w:r w:rsidR="000229B2">
        <w:t>materially</w:t>
      </w:r>
      <w:r w:rsidR="00EA503B">
        <w:t xml:space="preserve"> weakened.</w:t>
      </w:r>
    </w:p>
    <w:p w:rsidR="00C142BB" w:rsidP="00FC1379" w14:paraId="5D085171" w14:textId="03C807EC">
      <w:pPr>
        <w:ind w:firstLine="720"/>
      </w:pPr>
      <w:r>
        <w:t xml:space="preserve">MacSpeiden </w:t>
      </w:r>
      <w:r w:rsidR="000C483D">
        <w:t>emphasized the</w:t>
      </w:r>
      <w:r>
        <w:t xml:space="preserve"> hearsay </w:t>
      </w:r>
      <w:r w:rsidR="000C483D">
        <w:t>in</w:t>
      </w:r>
      <w:r>
        <w:t xml:space="preserve"> his report.  He </w:t>
      </w:r>
      <w:r>
        <w:t xml:space="preserve">indicated in </w:t>
      </w:r>
      <w:r w:rsidR="000278BC">
        <w:t>the diagnosis section of his</w:t>
      </w:r>
      <w:r>
        <w:t xml:space="preserve"> report</w:t>
      </w:r>
      <w:r w:rsidR="00A91A00">
        <w:t> </w:t>
      </w:r>
      <w:r w:rsidR="006B673D">
        <w:t>—</w:t>
      </w:r>
      <w:r w:rsidR="00261F64">
        <w:t xml:space="preserve"> </w:t>
      </w:r>
      <w:r w:rsidR="006B673D">
        <w:t>which contained the hearsay accounts of the 1989 and 2005 rape allegations</w:t>
      </w:r>
      <w:r w:rsidR="00A91A00">
        <w:t> </w:t>
      </w:r>
      <w:r w:rsidR="006B673D">
        <w:t>—</w:t>
      </w:r>
      <w:r w:rsidR="00261F64">
        <w:t xml:space="preserve"> </w:t>
      </w:r>
      <w:r>
        <w:t>that</w:t>
      </w:r>
      <w:r w:rsidR="00596457">
        <w:t xml:space="preserve"> Walker’s “history amply demonstrates that he is sexually disordered with recurrent, intense sexually arousing fantasies and urges which he is unable to exclude from overt sexual behavior with non-consenting persons.”  </w:t>
      </w:r>
      <w:r w:rsidR="007F73D7">
        <w:t>According to MacSpeiden, t</w:t>
      </w:r>
      <w:r w:rsidR="007923ED">
        <w:t xml:space="preserve">his “history” </w:t>
      </w:r>
      <w:r w:rsidR="00E352D4">
        <w:t xml:space="preserve">included </w:t>
      </w:r>
      <w:r w:rsidR="007923ED">
        <w:t xml:space="preserve">a long track record of illegal sexual behavior, </w:t>
      </w:r>
      <w:r w:rsidR="00E352D4">
        <w:t xml:space="preserve">as </w:t>
      </w:r>
      <w:r w:rsidR="007923ED">
        <w:t>shown in Walker’s numerous arrests and charges between 1988 and 2007.  But</w:t>
      </w:r>
      <w:r w:rsidR="004D263A">
        <w:t xml:space="preserve"> the facts and circumstances underlying the two alleged rapes were the only two offenses in this track record</w:t>
      </w:r>
      <w:r w:rsidR="002B16DC">
        <w:t>,</w:t>
      </w:r>
      <w:r w:rsidR="004D263A">
        <w:t xml:space="preserve"> </w:t>
      </w:r>
      <w:r w:rsidR="002B16DC">
        <w:t xml:space="preserve">outside of Walker’s predicate conviction, </w:t>
      </w:r>
      <w:r w:rsidR="004D263A">
        <w:t xml:space="preserve">that MacSpeiden had any </w:t>
      </w:r>
      <w:r w:rsidR="00865442">
        <w:t xml:space="preserve">real </w:t>
      </w:r>
      <w:r w:rsidR="004D263A">
        <w:t xml:space="preserve">details </w:t>
      </w:r>
      <w:r w:rsidR="00215FCC">
        <w:t>to support his diagnosis.</w:t>
      </w:r>
      <w:r w:rsidR="00420E55">
        <w:t xml:space="preserve">  Moreover, </w:t>
      </w:r>
      <w:r w:rsidR="00A9663E">
        <w:t xml:space="preserve">as part of the diagnostic scoring to determine Walker’s risk of reoffense, MacSpeiden discussed how </w:t>
      </w:r>
      <w:r w:rsidR="004E7B69">
        <w:t xml:space="preserve">the 1989 and 2005 </w:t>
      </w:r>
      <w:r w:rsidR="00A9663E">
        <w:t xml:space="preserve">prior rape allegations </w:t>
      </w:r>
      <w:r w:rsidR="004E7B69">
        <w:t>helped</w:t>
      </w:r>
      <w:r w:rsidR="00A9663E">
        <w:t xml:space="preserve"> </w:t>
      </w:r>
      <w:r w:rsidR="004E7B69">
        <w:t>show Walker was “inclined to engage in sexually violent predatory behavior directed toward a stranger, a person of casual acquaintance . . . or an individual with whom a relationship has been established or promoted for the primary purpose of victimization.”</w:t>
      </w:r>
      <w:r w:rsidR="005E7EE7">
        <w:t xml:space="preserve">  </w:t>
      </w:r>
    </w:p>
    <w:p w:rsidR="00680891" w:rsidRPr="00FC1379" w:rsidP="00FC1379" w14:paraId="32F3D4E1" w14:textId="2A8575E3">
      <w:pPr>
        <w:ind w:firstLine="720"/>
        <w:rPr>
          <w:szCs w:val="26"/>
        </w:rPr>
      </w:pPr>
      <w:r>
        <w:t>MacSpeiden</w:t>
      </w:r>
      <w:r w:rsidR="001E25DC">
        <w:t xml:space="preserve">’s cross-examination </w:t>
      </w:r>
      <w:r w:rsidR="00C142BB">
        <w:t xml:space="preserve">testimony </w:t>
      </w:r>
      <w:r w:rsidR="001E25DC">
        <w:t>aligned</w:t>
      </w:r>
      <w:r>
        <w:t xml:space="preserve"> with his </w:t>
      </w:r>
      <w:r w:rsidR="001E0B7E">
        <w:t>report</w:t>
      </w:r>
      <w:r>
        <w:t xml:space="preserve">.  </w:t>
      </w:r>
      <w:r w:rsidR="005157C7">
        <w:t>H</w:t>
      </w:r>
      <w:r w:rsidR="00443F10">
        <w:t xml:space="preserve">e </w:t>
      </w:r>
      <w:r w:rsidRPr="00761DF6" w:rsidR="00443F10">
        <w:rPr>
          <w:szCs w:val="26"/>
        </w:rPr>
        <w:t xml:space="preserve">testified that the </w:t>
      </w:r>
      <w:r w:rsidR="00443F10">
        <w:rPr>
          <w:szCs w:val="26"/>
        </w:rPr>
        <w:t xml:space="preserve">1989 and 2005 </w:t>
      </w:r>
      <w:r w:rsidRPr="00761DF6" w:rsidR="00443F10">
        <w:rPr>
          <w:szCs w:val="26"/>
        </w:rPr>
        <w:t>rape allegations</w:t>
      </w:r>
      <w:r w:rsidR="00610535">
        <w:rPr>
          <w:szCs w:val="26"/>
        </w:rPr>
        <w:t xml:space="preserve">, which he assumed were true, </w:t>
      </w:r>
      <w:r w:rsidRPr="00761DF6" w:rsidR="00443F10">
        <w:rPr>
          <w:szCs w:val="26"/>
        </w:rPr>
        <w:t xml:space="preserve">constituted </w:t>
      </w:r>
      <w:r w:rsidR="00A51855">
        <w:rPr>
          <w:szCs w:val="26"/>
        </w:rPr>
        <w:t>a central part</w:t>
      </w:r>
      <w:r w:rsidRPr="00761DF6" w:rsidR="00443F10">
        <w:rPr>
          <w:szCs w:val="26"/>
        </w:rPr>
        <w:t xml:space="preserve"> </w:t>
      </w:r>
      <w:r w:rsidR="00A51855">
        <w:rPr>
          <w:szCs w:val="26"/>
        </w:rPr>
        <w:t>of</w:t>
      </w:r>
      <w:r w:rsidRPr="00761DF6" w:rsidR="00443F10">
        <w:rPr>
          <w:szCs w:val="26"/>
        </w:rPr>
        <w:t xml:space="preserve"> his evaluation</w:t>
      </w:r>
      <w:r w:rsidR="0095061E">
        <w:rPr>
          <w:szCs w:val="26"/>
        </w:rPr>
        <w:t xml:space="preserve">.  </w:t>
      </w:r>
      <w:r w:rsidR="00536170">
        <w:rPr>
          <w:szCs w:val="26"/>
        </w:rPr>
        <w:t>He explained that the allegations, along with Walker’s predicate offense, showed Walker had a modus operandi of telling the victims “</w:t>
      </w:r>
      <w:r w:rsidR="00190958">
        <w:rPr>
          <w:szCs w:val="26"/>
        </w:rPr>
        <w:t> </w:t>
      </w:r>
      <w:r w:rsidR="00536170">
        <w:rPr>
          <w:szCs w:val="26"/>
        </w:rPr>
        <w:t>‘I’m going to make you an important person,’</w:t>
      </w:r>
      <w:r w:rsidR="00190958">
        <w:rPr>
          <w:szCs w:val="26"/>
        </w:rPr>
        <w:t> </w:t>
      </w:r>
      <w:r w:rsidR="00536170">
        <w:rPr>
          <w:szCs w:val="26"/>
        </w:rPr>
        <w:t>” suddenly attacking them, and degrading them and acting with anger toward them.</w:t>
      </w:r>
      <w:r w:rsidR="00FC1379">
        <w:rPr>
          <w:szCs w:val="26"/>
        </w:rPr>
        <w:t xml:space="preserve">  </w:t>
      </w:r>
      <w:r w:rsidR="0095061E">
        <w:rPr>
          <w:szCs w:val="26"/>
        </w:rPr>
        <w:t>And</w:t>
      </w:r>
      <w:r w:rsidR="00252BED">
        <w:rPr>
          <w:szCs w:val="26"/>
        </w:rPr>
        <w:t xml:space="preserve"> relatedly,</w:t>
      </w:r>
      <w:r w:rsidR="0095061E">
        <w:rPr>
          <w:szCs w:val="26"/>
        </w:rPr>
        <w:t xml:space="preserve"> </w:t>
      </w:r>
      <w:r w:rsidR="00BC7CC8">
        <w:rPr>
          <w:szCs w:val="26"/>
        </w:rPr>
        <w:t xml:space="preserve">at several points </w:t>
      </w:r>
      <w:r w:rsidR="008C3471">
        <w:t>MacSpeiden</w:t>
      </w:r>
      <w:r w:rsidR="00BC7CC8">
        <w:rPr>
          <w:szCs w:val="26"/>
        </w:rPr>
        <w:t xml:space="preserve"> </w:t>
      </w:r>
      <w:r w:rsidR="009B0D23">
        <w:rPr>
          <w:szCs w:val="26"/>
        </w:rPr>
        <w:t xml:space="preserve">invoked the </w:t>
      </w:r>
      <w:r w:rsidR="008772D2">
        <w:rPr>
          <w:szCs w:val="26"/>
        </w:rPr>
        <w:t xml:space="preserve">allegations </w:t>
      </w:r>
      <w:r>
        <w:rPr>
          <w:szCs w:val="26"/>
        </w:rPr>
        <w:t xml:space="preserve">as part of a </w:t>
      </w:r>
      <w:r w:rsidRPr="00E86450">
        <w:rPr>
          <w:szCs w:val="27"/>
        </w:rPr>
        <w:t xml:space="preserve">“where there is smoke there is fire” type of </w:t>
      </w:r>
      <w:r w:rsidR="00E70C52">
        <w:rPr>
          <w:szCs w:val="27"/>
        </w:rPr>
        <w:t>logic</w:t>
      </w:r>
      <w:r w:rsidR="009737C0">
        <w:rPr>
          <w:szCs w:val="27"/>
        </w:rPr>
        <w:t xml:space="preserve"> for why he believed Walker qualified as an SVP.</w:t>
      </w:r>
    </w:p>
    <w:p w:rsidR="00315AB2" w:rsidP="00335C10" w14:paraId="014301F0" w14:textId="5AEA9F1A">
      <w:pPr>
        <w:ind w:firstLine="720"/>
        <w:rPr>
          <w:szCs w:val="27"/>
        </w:rPr>
      </w:pPr>
      <w:r>
        <w:rPr>
          <w:szCs w:val="27"/>
        </w:rPr>
        <w:t>Karlsson</w:t>
      </w:r>
      <w:r w:rsidR="00567215">
        <w:rPr>
          <w:szCs w:val="27"/>
        </w:rPr>
        <w:t xml:space="preserve"> </w:t>
      </w:r>
      <w:r w:rsidR="00E70C52">
        <w:rPr>
          <w:szCs w:val="27"/>
        </w:rPr>
        <w:t xml:space="preserve">similarly indicated in </w:t>
      </w:r>
      <w:r w:rsidR="00BA2F2F">
        <w:rPr>
          <w:szCs w:val="27"/>
        </w:rPr>
        <w:t>his report</w:t>
      </w:r>
      <w:r w:rsidR="00CF70A0">
        <w:rPr>
          <w:szCs w:val="27"/>
        </w:rPr>
        <w:t xml:space="preserve"> that </w:t>
      </w:r>
      <w:r w:rsidR="00FC6593">
        <w:rPr>
          <w:szCs w:val="27"/>
        </w:rPr>
        <w:t>the hearsay details regarding the 1989 and 2005 rape allegations</w:t>
      </w:r>
      <w:r w:rsidR="002D00DF">
        <w:rPr>
          <w:szCs w:val="27"/>
        </w:rPr>
        <w:t xml:space="preserve"> shaped his </w:t>
      </w:r>
      <w:r w:rsidR="002E09A3">
        <w:rPr>
          <w:szCs w:val="27"/>
        </w:rPr>
        <w:t>evaluation</w:t>
      </w:r>
      <w:r w:rsidR="00240B4D">
        <w:rPr>
          <w:szCs w:val="27"/>
        </w:rPr>
        <w:t xml:space="preserve">.  </w:t>
      </w:r>
      <w:r w:rsidR="00E12458">
        <w:rPr>
          <w:szCs w:val="27"/>
        </w:rPr>
        <w:t xml:space="preserve">He described these allegations as two of the three rapes Walker committed, the other being the rape underlying </w:t>
      </w:r>
      <w:r w:rsidR="00A937BF">
        <w:rPr>
          <w:szCs w:val="27"/>
        </w:rPr>
        <w:t xml:space="preserve">Walker’s </w:t>
      </w:r>
      <w:r w:rsidR="00E12458">
        <w:rPr>
          <w:szCs w:val="27"/>
        </w:rPr>
        <w:t>predicate conviction.</w:t>
      </w:r>
      <w:r w:rsidR="00335C10">
        <w:rPr>
          <w:szCs w:val="27"/>
        </w:rPr>
        <w:t xml:space="preserve">  </w:t>
      </w:r>
      <w:r w:rsidR="002E09A3">
        <w:rPr>
          <w:szCs w:val="27"/>
        </w:rPr>
        <w:t xml:space="preserve">In diagnosing Walker with </w:t>
      </w:r>
      <w:r w:rsidR="00D57F2A">
        <w:rPr>
          <w:szCs w:val="27"/>
        </w:rPr>
        <w:t>“</w:t>
      </w:r>
      <w:r w:rsidR="002E09A3">
        <w:rPr>
          <w:szCs w:val="27"/>
        </w:rPr>
        <w:t>Antisocial Personality Disorder,</w:t>
      </w:r>
      <w:r w:rsidR="00D57F2A">
        <w:rPr>
          <w:szCs w:val="27"/>
        </w:rPr>
        <w:t>”</w:t>
      </w:r>
      <w:r w:rsidR="002E09A3">
        <w:rPr>
          <w:szCs w:val="27"/>
        </w:rPr>
        <w:t xml:space="preserve"> </w:t>
      </w:r>
      <w:r w:rsidR="00335C10">
        <w:rPr>
          <w:szCs w:val="27"/>
        </w:rPr>
        <w:t xml:space="preserve">Karlsson </w:t>
      </w:r>
      <w:r w:rsidR="00240B4D">
        <w:rPr>
          <w:szCs w:val="27"/>
        </w:rPr>
        <w:t xml:space="preserve">explained that the most prominent feature of </w:t>
      </w:r>
      <w:r w:rsidR="00861642">
        <w:rPr>
          <w:szCs w:val="27"/>
        </w:rPr>
        <w:t>these sex</w:t>
      </w:r>
      <w:r w:rsidR="00E80867">
        <w:rPr>
          <w:szCs w:val="27"/>
        </w:rPr>
        <w:t xml:space="preserve"> offenses was “a pattern of pandering/pimping, involving introducing women to the world of prostitution and strip teasing by acting as an adult entertainment promoter,” and the use of “manipulation and coercion to make .</w:t>
      </w:r>
      <w:r w:rsidR="00E80867">
        <w:rPr>
          <w:sz w:val="28"/>
          <w:szCs w:val="28"/>
        </w:rPr>
        <w:t> . .</w:t>
      </w:r>
      <w:r w:rsidR="00E80867">
        <w:rPr>
          <w:szCs w:val="27"/>
        </w:rPr>
        <w:t xml:space="preserve"> victims compliant”</w:t>
      </w:r>
      <w:r w:rsidR="001E02D9">
        <w:rPr>
          <w:szCs w:val="27"/>
        </w:rPr>
        <w:t> </w:t>
      </w:r>
      <w:r w:rsidR="005F26C5">
        <w:rPr>
          <w:szCs w:val="27"/>
        </w:rPr>
        <w:t>—</w:t>
      </w:r>
      <w:r w:rsidR="00C678BD">
        <w:rPr>
          <w:szCs w:val="27"/>
        </w:rPr>
        <w:t xml:space="preserve"> </w:t>
      </w:r>
      <w:r w:rsidR="005F26C5">
        <w:rPr>
          <w:szCs w:val="27"/>
        </w:rPr>
        <w:t xml:space="preserve">all things clearly drawing on the </w:t>
      </w:r>
      <w:r w:rsidR="005903A3">
        <w:rPr>
          <w:szCs w:val="27"/>
        </w:rPr>
        <w:t xml:space="preserve">hearsay accounts of the </w:t>
      </w:r>
      <w:r w:rsidR="005F26C5">
        <w:rPr>
          <w:szCs w:val="27"/>
        </w:rPr>
        <w:t>dismissed rape allegations.</w:t>
      </w:r>
      <w:r w:rsidR="008C7C68">
        <w:rPr>
          <w:szCs w:val="27"/>
        </w:rPr>
        <w:t xml:space="preserve">  </w:t>
      </w:r>
      <w:r w:rsidR="000E7659">
        <w:rPr>
          <w:szCs w:val="27"/>
        </w:rPr>
        <w:t xml:space="preserve">On cross-examination, he </w:t>
      </w:r>
      <w:r w:rsidR="00E67A07">
        <w:rPr>
          <w:szCs w:val="27"/>
        </w:rPr>
        <w:t xml:space="preserve">confirmed that </w:t>
      </w:r>
      <w:r w:rsidR="00BA401C">
        <w:rPr>
          <w:szCs w:val="27"/>
        </w:rPr>
        <w:t>the 1989 and 2005 rape allegations informed his report</w:t>
      </w:r>
      <w:r w:rsidR="00301CA2">
        <w:rPr>
          <w:szCs w:val="27"/>
        </w:rPr>
        <w:t>, and without these allegations his opinion could have been different</w:t>
      </w:r>
      <w:r w:rsidR="00B40B7A">
        <w:rPr>
          <w:szCs w:val="27"/>
        </w:rPr>
        <w:t>.</w:t>
      </w:r>
    </w:p>
    <w:p w:rsidR="00085660" w:rsidP="00335C10" w14:paraId="346F520E" w14:textId="50ACDC42">
      <w:pPr>
        <w:ind w:firstLine="720"/>
        <w:rPr>
          <w:szCs w:val="27"/>
        </w:rPr>
      </w:pPr>
      <w:r>
        <w:t xml:space="preserve">In other words, </w:t>
      </w:r>
      <w:r w:rsidR="00C142BB">
        <w:t xml:space="preserve">without </w:t>
      </w:r>
      <w:r>
        <w:t>the inadmissible hear</w:t>
      </w:r>
      <w:r w:rsidR="00F91286">
        <w:t>s</w:t>
      </w:r>
      <w:r>
        <w:t xml:space="preserve">ay, </w:t>
      </w:r>
      <w:r w:rsidR="00C142BB">
        <w:t xml:space="preserve">the trial court would have lacked </w:t>
      </w:r>
      <w:r>
        <w:t xml:space="preserve">critical evidence to establish the diagnosis and reoffense elements of the </w:t>
      </w:r>
      <w:r w:rsidRPr="0095414A">
        <w:t>SVP determination.</w:t>
      </w:r>
      <w:r>
        <w:t xml:space="preserve">  (</w:t>
      </w:r>
      <w:r w:rsidRPr="00776993">
        <w:rPr>
          <w:i/>
          <w:iCs/>
        </w:rPr>
        <w:t>Bennett</w:t>
      </w:r>
      <w:r>
        <w:t xml:space="preserve">, </w:t>
      </w:r>
      <w:r w:rsidRPr="00776993">
        <w:rPr>
          <w:i/>
          <w:iCs/>
        </w:rPr>
        <w:t>supra</w:t>
      </w:r>
      <w:r>
        <w:t xml:space="preserve">, 39 Cal.App.5th at p. 885; cf. </w:t>
      </w:r>
      <w:r w:rsidRPr="00485799">
        <w:rPr>
          <w:i/>
          <w:iCs/>
        </w:rPr>
        <w:t>People v. Yates</w:t>
      </w:r>
      <w:r>
        <w:t xml:space="preserve"> (2018)</w:t>
      </w:r>
      <w:r w:rsidRPr="00485799">
        <w:t xml:space="preserve"> 25 Cal.App.5th 474, 487</w:t>
      </w:r>
      <w:r>
        <w:t>.)</w:t>
      </w:r>
      <w:r w:rsidR="00F91286">
        <w:t xml:space="preserve">  For that reason, and because of the </w:t>
      </w:r>
      <w:r w:rsidR="00B27511">
        <w:t xml:space="preserve">inflammatory nature of the </w:t>
      </w:r>
      <w:r w:rsidR="00E3536E">
        <w:t xml:space="preserve">hearsay </w:t>
      </w:r>
      <w:r w:rsidR="00B27511">
        <w:t>evidence, its admission prejudiced Walker.</w:t>
      </w:r>
      <w:r>
        <w:rPr>
          <w:rStyle w:val="FootnoteReference"/>
        </w:rPr>
        <w:footnoteReference w:id="7"/>
      </w:r>
    </w:p>
    <w:bookmarkEnd w:id="26"/>
    <w:p w:rsidR="00CB318C" w:rsidRPr="00761DF6" w:rsidP="00761DF6" w14:paraId="5B2C4A53" w14:textId="7B71F01D">
      <w:pPr>
        <w:pStyle w:val="Heading1"/>
        <w:rPr>
          <w:szCs w:val="26"/>
        </w:rPr>
      </w:pPr>
      <w:r w:rsidRPr="00761DF6">
        <w:rPr>
          <w:szCs w:val="26"/>
        </w:rPr>
        <w:t>I</w:t>
      </w:r>
      <w:r w:rsidRPr="00761DF6" w:rsidR="006F2A3F">
        <w:rPr>
          <w:szCs w:val="26"/>
        </w:rPr>
        <w:t>II</w:t>
      </w:r>
      <w:r w:rsidRPr="00761DF6">
        <w:rPr>
          <w:szCs w:val="26"/>
        </w:rPr>
        <w:t>.</w:t>
      </w:r>
    </w:p>
    <w:p w:rsidR="00805BDB" w:rsidRPr="00761DF6" w:rsidP="00761DF6" w14:paraId="039BF548" w14:textId="79D131BD">
      <w:pPr>
        <w:ind w:firstLine="720"/>
      </w:pPr>
      <w:r w:rsidRPr="00761DF6">
        <w:t xml:space="preserve">When the Legislature enacted </w:t>
      </w:r>
      <w:r w:rsidRPr="00761DF6" w:rsidR="00C91D3D">
        <w:t>the SVPA, it provided safeguards</w:t>
      </w:r>
      <w:r w:rsidRPr="00761DF6">
        <w:t xml:space="preserve"> </w:t>
      </w:r>
      <w:r w:rsidRPr="00761DF6" w:rsidR="00682333">
        <w:t xml:space="preserve">to </w:t>
      </w:r>
      <w:r w:rsidRPr="00761DF6" w:rsidR="00C91D3D">
        <w:t xml:space="preserve">ensure that only </w:t>
      </w:r>
      <w:r w:rsidRPr="00761DF6" w:rsidR="001255FB">
        <w:t xml:space="preserve">a select group of dangerous sex offenders may </w:t>
      </w:r>
      <w:r w:rsidRPr="00761DF6" w:rsidR="00C91D3D">
        <w:t>be involuntarily committed</w:t>
      </w:r>
      <w:r w:rsidR="00364D3D">
        <w:t> —</w:t>
      </w:r>
      <w:r w:rsidR="00261F64">
        <w:t xml:space="preserve"> </w:t>
      </w:r>
      <w:r w:rsidRPr="00761DF6" w:rsidR="00682333">
        <w:t xml:space="preserve">safeguards reflecting </w:t>
      </w:r>
      <w:r w:rsidR="005503FA">
        <w:t xml:space="preserve">the Legislature’s judgment with regard to balancing </w:t>
      </w:r>
      <w:r w:rsidRPr="00761DF6" w:rsidR="00682333">
        <w:t>risks to community safety and the liberty interests of individuals facing the prospect of long-term confinement</w:t>
      </w:r>
      <w:r w:rsidRPr="00761DF6" w:rsidR="00C91D3D">
        <w:t xml:space="preserve">.  </w:t>
      </w:r>
      <w:r w:rsidRPr="00761DF6" w:rsidR="00682333">
        <w:t>The probable cause hearing serves as a critical safeguard in this scheme</w:t>
      </w:r>
      <w:r w:rsidRPr="00761DF6" w:rsidR="00323756">
        <w:t xml:space="preserve">.  </w:t>
      </w:r>
      <w:r w:rsidRPr="00761DF6" w:rsidR="008912F0">
        <w:t>The provision governing the probable cause hearing, section 6602, subdivision (a), provides for an adversarial hearing and clearly establish</w:t>
      </w:r>
      <w:r w:rsidRPr="00761DF6" w:rsidR="009E681A">
        <w:t>es</w:t>
      </w:r>
      <w:r w:rsidRPr="00761DF6" w:rsidR="008912F0">
        <w:t xml:space="preserve"> that the</w:t>
      </w:r>
      <w:r w:rsidRPr="00761DF6" w:rsidR="00284365">
        <w:t xml:space="preserve"> superior</w:t>
      </w:r>
      <w:r w:rsidRPr="00761DF6" w:rsidR="008912F0">
        <w:t xml:space="preserve"> court must review the petition to determine whether</w:t>
      </w:r>
      <w:r w:rsidRPr="00761DF6" w:rsidR="00323756">
        <w:t xml:space="preserve"> </w:t>
      </w:r>
      <w:r w:rsidRPr="00761DF6" w:rsidR="00515B48">
        <w:t xml:space="preserve">the state has met its </w:t>
      </w:r>
      <w:r w:rsidRPr="00761DF6" w:rsidR="00593B60">
        <w:t xml:space="preserve">evidentiary </w:t>
      </w:r>
      <w:r w:rsidRPr="00761DF6" w:rsidR="00515B48">
        <w:t xml:space="preserve">burden </w:t>
      </w:r>
      <w:r w:rsidRPr="00761DF6" w:rsidR="008912F0">
        <w:t xml:space="preserve">to proceed to trial.  What it does not provide, however, is a hearsay exception </w:t>
      </w:r>
      <w:r w:rsidRPr="00761DF6" w:rsidR="006D5346">
        <w:t xml:space="preserve">allowing </w:t>
      </w:r>
      <w:r w:rsidRPr="00761DF6" w:rsidR="007921EA">
        <w:t xml:space="preserve">the prosecution to </w:t>
      </w:r>
      <w:r w:rsidRPr="00761DF6" w:rsidR="000D592C">
        <w:t xml:space="preserve">introduce </w:t>
      </w:r>
      <w:r w:rsidRPr="00761DF6" w:rsidR="006D5346">
        <w:t>hearsay</w:t>
      </w:r>
      <w:r w:rsidR="00400F07">
        <w:t xml:space="preserve"> regarding nonpredicate offenses</w:t>
      </w:r>
      <w:r w:rsidRPr="00761DF6" w:rsidR="006D5346">
        <w:t xml:space="preserve"> </w:t>
      </w:r>
      <w:r w:rsidR="00400F07">
        <w:t>via</w:t>
      </w:r>
      <w:r w:rsidRPr="00761DF6" w:rsidR="006D5346">
        <w:t xml:space="preserve"> expert evaluations.  </w:t>
      </w:r>
      <w:r w:rsidRPr="00761DF6" w:rsidR="00F13E0D">
        <w:t>Nothing in the language of the subdivision, its legislative history, its place in the broader SVPA statutory scheme and relationship with other provisions, or</w:t>
      </w:r>
      <w:r w:rsidRPr="00761DF6" w:rsidR="00491DF4">
        <w:t xml:space="preserve"> </w:t>
      </w:r>
      <w:r w:rsidRPr="00761DF6" w:rsidR="00F13E0D">
        <w:t>compar</w:t>
      </w:r>
      <w:r w:rsidRPr="00761DF6" w:rsidR="00491DF4">
        <w:t>isons</w:t>
      </w:r>
      <w:r w:rsidRPr="00761DF6" w:rsidR="00F13E0D">
        <w:t xml:space="preserve"> to other analogous Welfare and Institution Code </w:t>
      </w:r>
      <w:r w:rsidRPr="00761DF6" w:rsidR="00493D4C">
        <w:t xml:space="preserve">provisions </w:t>
      </w:r>
      <w:r w:rsidRPr="00761DF6" w:rsidR="00F13E0D">
        <w:t xml:space="preserve">indicates the existence of a hearsay exception for </w:t>
      </w:r>
      <w:r w:rsidR="008331FD">
        <w:t xml:space="preserve">such </w:t>
      </w:r>
      <w:r w:rsidRPr="00761DF6" w:rsidR="00F13E0D">
        <w:t xml:space="preserve">hearsay in expert evaluations.  </w:t>
      </w:r>
      <w:r w:rsidRPr="00761DF6" w:rsidR="00581B46">
        <w:t xml:space="preserve">The introduction of </w:t>
      </w:r>
      <w:r w:rsidR="008331FD">
        <w:t>this</w:t>
      </w:r>
      <w:r w:rsidRPr="00761DF6" w:rsidR="00581B46">
        <w:t xml:space="preserve"> hearsay</w:t>
      </w:r>
      <w:r w:rsidRPr="00761DF6" w:rsidR="00F13E0D">
        <w:t xml:space="preserve"> </w:t>
      </w:r>
      <w:r w:rsidRPr="00761DF6" w:rsidR="007601B2">
        <w:t xml:space="preserve">prejudicially affected Walker’s ability </w:t>
      </w:r>
      <w:r w:rsidRPr="00761DF6" w:rsidR="00FB382C">
        <w:t xml:space="preserve">to </w:t>
      </w:r>
      <w:r w:rsidRPr="00761DF6" w:rsidR="00BF0068">
        <w:t>challenge the basis of the state’s petition and the sufficiency of the evidence to proceed to trial.</w:t>
      </w:r>
    </w:p>
    <w:p w:rsidR="00CB318C" w:rsidRPr="00761DF6" w:rsidP="00761DF6" w14:paraId="343E6E53" w14:textId="62753B3E">
      <w:pPr>
        <w:ind w:firstLine="720"/>
        <w:rPr>
          <w:szCs w:val="26"/>
        </w:rPr>
      </w:pPr>
      <w:r w:rsidRPr="00761DF6">
        <w:t xml:space="preserve">We reverse and remand with instruction to the Court of Appeal to, in turn, remand the matter to the superior court </w:t>
      </w:r>
      <w:r w:rsidRPr="00761DF6" w:rsidR="002C3700">
        <w:t>for</w:t>
      </w:r>
      <w:r w:rsidRPr="00761DF6">
        <w:t xml:space="preserve"> a new probable cause hearing consistent with this opinion.</w:t>
      </w:r>
    </w:p>
    <w:p w:rsidR="00CB318C" w:rsidP="0017557E" w14:paraId="5FAFA4C2" w14:textId="532E9B24">
      <w:pPr>
        <w:ind w:left="6030"/>
        <w:jc w:val="left"/>
        <w:rPr>
          <w:b/>
          <w:szCs w:val="26"/>
        </w:rPr>
      </w:pPr>
      <w:r w:rsidRPr="00761DF6">
        <w:rPr>
          <w:b/>
          <w:szCs w:val="26"/>
        </w:rPr>
        <w:t>CUÉLLAR, J.</w:t>
      </w:r>
    </w:p>
    <w:p w:rsidR="00A14648" w:rsidRPr="00761DF6" w:rsidP="0017557E" w14:paraId="3E029EA0" w14:textId="77777777">
      <w:pPr>
        <w:ind w:left="6030"/>
        <w:jc w:val="left"/>
        <w:rPr>
          <w:szCs w:val="26"/>
        </w:rPr>
      </w:pPr>
    </w:p>
    <w:p w:rsidR="00A14648" w:rsidP="00A14648" w14:paraId="31F9E870" w14:textId="77777777">
      <w:pPr>
        <w:tabs>
          <w:tab w:val="left" w:pos="1440"/>
        </w:tabs>
        <w:rPr>
          <w:b/>
          <w:bCs/>
        </w:rPr>
      </w:pPr>
      <w:bookmarkStart w:id="27" w:name="calendar"/>
      <w:bookmarkStart w:id="28" w:name="memoby"/>
      <w:bookmarkStart w:id="29" w:name="mainstory"/>
      <w:bookmarkStart w:id="30" w:name="initials"/>
      <w:bookmarkEnd w:id="27"/>
      <w:bookmarkEnd w:id="28"/>
      <w:bookmarkEnd w:id="29"/>
      <w:bookmarkEnd w:id="30"/>
      <w:r w:rsidRPr="00DA7ADF">
        <w:rPr>
          <w:b/>
          <w:bCs/>
        </w:rPr>
        <w:t>We Concur:</w:t>
      </w:r>
    </w:p>
    <w:p w:rsidR="00A14648" w:rsidP="00A14648" w14:paraId="5B56D6AB" w14:textId="62EAD748">
      <w:pPr>
        <w:tabs>
          <w:tab w:val="left" w:pos="1440"/>
        </w:tabs>
        <w:spacing w:after="0" w:line="240" w:lineRule="auto"/>
        <w:rPr>
          <w:b/>
          <w:bCs/>
        </w:rPr>
      </w:pPr>
      <w:r>
        <w:rPr>
          <w:b/>
          <w:bCs/>
        </w:rPr>
        <w:t>CANTIL-SAKAUYE, C.</w:t>
      </w:r>
      <w:r w:rsidR="006103E0">
        <w:rPr>
          <w:b/>
          <w:bCs/>
        </w:rPr>
        <w:t> </w:t>
      </w:r>
      <w:r>
        <w:rPr>
          <w:b/>
          <w:bCs/>
        </w:rPr>
        <w:t>J.</w:t>
      </w:r>
    </w:p>
    <w:p w:rsidR="00A14648" w:rsidP="00A14648" w14:paraId="2D7650FD" w14:textId="77777777">
      <w:pPr>
        <w:tabs>
          <w:tab w:val="left" w:pos="1440"/>
        </w:tabs>
        <w:spacing w:after="0" w:line="240" w:lineRule="auto"/>
        <w:rPr>
          <w:b/>
          <w:bCs/>
        </w:rPr>
      </w:pPr>
      <w:r>
        <w:rPr>
          <w:b/>
          <w:bCs/>
        </w:rPr>
        <w:t>CORRIGAN, J.</w:t>
      </w:r>
    </w:p>
    <w:p w:rsidR="00A14648" w:rsidP="00A14648" w14:paraId="2F0DBED8" w14:textId="77777777">
      <w:pPr>
        <w:tabs>
          <w:tab w:val="left" w:pos="1440"/>
        </w:tabs>
        <w:spacing w:after="0" w:line="240" w:lineRule="auto"/>
        <w:rPr>
          <w:b/>
          <w:bCs/>
        </w:rPr>
      </w:pPr>
      <w:r>
        <w:rPr>
          <w:b/>
          <w:bCs/>
        </w:rPr>
        <w:t>LIU, J.</w:t>
      </w:r>
    </w:p>
    <w:p w:rsidR="00A14648" w:rsidP="00A14648" w14:paraId="3D5F4281" w14:textId="523EED9E">
      <w:pPr>
        <w:tabs>
          <w:tab w:val="left" w:pos="1440"/>
        </w:tabs>
        <w:spacing w:after="0" w:line="240" w:lineRule="auto"/>
        <w:rPr>
          <w:b/>
          <w:bCs/>
        </w:rPr>
      </w:pPr>
      <w:r>
        <w:rPr>
          <w:b/>
          <w:bCs/>
        </w:rPr>
        <w:t>KRUGER, J.</w:t>
      </w:r>
    </w:p>
    <w:p w:rsidR="00A14648" w:rsidP="00A14648" w14:paraId="0A872722" w14:textId="77777777">
      <w:pPr>
        <w:tabs>
          <w:tab w:val="left" w:pos="1440"/>
        </w:tabs>
        <w:spacing w:after="0" w:line="240" w:lineRule="auto"/>
        <w:rPr>
          <w:b/>
          <w:bCs/>
        </w:rPr>
      </w:pPr>
      <w:r>
        <w:rPr>
          <w:b/>
          <w:bCs/>
        </w:rPr>
        <w:t>GROBAN, J.</w:t>
      </w:r>
    </w:p>
    <w:p w:rsidR="00BA08A4" w:rsidP="003F145D" w14:paraId="69A4A96B" w14:textId="77777777">
      <w:pPr>
        <w:tabs>
          <w:tab w:val="left" w:pos="1440"/>
        </w:tabs>
        <w:spacing w:after="0" w:line="240" w:lineRule="auto"/>
        <w:rPr>
          <w:b/>
          <w:bCs/>
        </w:rPr>
        <w:sectPr w:rsidSect="00761DF6">
          <w:footerReference w:type="first" r:id="rId8"/>
          <w:pgSz w:w="12240" w:h="15840"/>
          <w:pgMar w:top="1800" w:right="2160" w:bottom="1440" w:left="2160" w:header="720" w:footer="720" w:gutter="0"/>
          <w:pgNumType w:start="1"/>
          <w:cols w:space="720"/>
          <w:titlePg/>
          <w:docGrid w:linePitch="367"/>
        </w:sectPr>
      </w:pPr>
      <w:r>
        <w:rPr>
          <w:b/>
          <w:bCs/>
        </w:rPr>
        <w:t>JENKINS, J.</w:t>
      </w:r>
    </w:p>
    <w:p w:rsidR="00E80A6B" w:rsidRPr="00E80A6B" w:rsidP="00E80A6B" w14:paraId="1B1A44BB" w14:textId="77777777">
      <w:pPr>
        <w:jc w:val="center"/>
        <w:rPr>
          <w:bCs/>
          <w:caps/>
        </w:rPr>
      </w:pPr>
      <w:bookmarkStart w:id="31" w:name="_Hlk78537755"/>
      <w:r w:rsidRPr="00E80A6B">
        <w:t xml:space="preserve">WALKER v. </w:t>
      </w:r>
      <w:r w:rsidRPr="00E80A6B">
        <w:rPr>
          <w:bCs/>
          <w:caps/>
        </w:rPr>
        <w:t>SUPERIOR COURT</w:t>
      </w:r>
    </w:p>
    <w:bookmarkEnd w:id="31"/>
    <w:p w:rsidR="00E80A6B" w:rsidRPr="00E80A6B" w:rsidP="00E80A6B" w14:paraId="59CB8154" w14:textId="77777777">
      <w:pPr>
        <w:jc w:val="center"/>
        <w:rPr>
          <w:bCs/>
          <w:caps/>
        </w:rPr>
      </w:pPr>
      <w:r w:rsidRPr="00E80A6B">
        <w:rPr>
          <w:bCs/>
          <w:caps/>
        </w:rPr>
        <w:t>S263588</w:t>
      </w:r>
    </w:p>
    <w:p w:rsidR="00E80A6B" w:rsidRPr="00E80A6B" w:rsidP="00E80A6B" w14:paraId="6F2D6870" w14:textId="77777777">
      <w:pPr>
        <w:rPr>
          <w:bCs/>
          <w:caps/>
        </w:rPr>
      </w:pPr>
      <w:bookmarkStart w:id="32" w:name="opinion"/>
      <w:bookmarkEnd w:id="32"/>
    </w:p>
    <w:p w:rsidR="00E80A6B" w:rsidRPr="00E80A6B" w:rsidP="00E80A6B" w14:paraId="3C0C8F04" w14:textId="77777777">
      <w:pPr>
        <w:jc w:val="center"/>
      </w:pPr>
      <w:r w:rsidRPr="00E80A6B">
        <w:t>Concurring Opinion by Chief Justice Cantil-Sakauye</w:t>
      </w:r>
    </w:p>
    <w:p w:rsidR="00E80A6B" w:rsidRPr="00E80A6B" w:rsidP="00E80A6B" w14:paraId="48D76FE2" w14:textId="77777777">
      <w:pPr>
        <w:ind w:firstLine="720"/>
      </w:pPr>
    </w:p>
    <w:p w:rsidR="00E80A6B" w:rsidRPr="00E80A6B" w:rsidP="00E80A6B" w14:paraId="0BEC0C5E" w14:textId="77777777">
      <w:pPr>
        <w:ind w:firstLine="720"/>
      </w:pPr>
      <w:r w:rsidRPr="00E80A6B">
        <w:t>I concur in Justice Cuéllar’s majority opinion, which holds that the lack of an express hearsay exception in the statute governing sexually violent predator (SVP) probable cause hearings precludes the admission of hearsay regarding nonpredicate crimes contained in expert evaluation reports.  I am concerned, however, that our ruling will complicate, if not frustrate, the intended screening function of SVP probable cause hearings, and I write separately to urge the Legislature to provide additional guidance addressing the proper conduct of such hearings.</w:t>
      </w:r>
    </w:p>
    <w:p w:rsidR="00E80A6B" w:rsidRPr="00E80A6B" w:rsidP="00E80A6B" w14:paraId="79A32EC3" w14:textId="77777777">
      <w:pPr>
        <w:ind w:firstLine="720"/>
        <w:rPr>
          <w:szCs w:val="26"/>
          <w:shd w:val="clear" w:color="auto" w:fill="FFFFFF"/>
        </w:rPr>
      </w:pPr>
      <w:r w:rsidRPr="00E80A6B">
        <w:t>A hearsay exception is not the only provision missing from Welfare &amp; Institutions Code section 6602 (section 6602), the statute governing SVP probable cause hearings under the Sexually Violent Predator Act (SVPA; Welf. &amp; Inst. Code,</w:t>
      </w:r>
      <w:r w:rsidRPr="00E80A6B">
        <w:rPr>
          <w:szCs w:val="26"/>
          <w:shd w:val="clear" w:color="auto" w:fill="FFFFFF"/>
        </w:rPr>
        <w:t xml:space="preserve"> § 6600 et seq.</w:t>
      </w:r>
      <w:r w:rsidRPr="00E80A6B">
        <w:t xml:space="preserve">).  The majority is generous in characterizing the guidance provided by that statute regarding the conduct of such hearings as “spare.”  (Maj. opn., </w:t>
      </w:r>
      <w:r w:rsidRPr="00E80A6B">
        <w:rPr>
          <w:i/>
          <w:iCs/>
        </w:rPr>
        <w:t>ante</w:t>
      </w:r>
      <w:r w:rsidRPr="00E80A6B">
        <w:t>,</w:t>
      </w:r>
      <w:r w:rsidRPr="00E80A6B">
        <w:rPr>
          <w:i/>
          <w:iCs/>
        </w:rPr>
        <w:t xml:space="preserve"> </w:t>
      </w:r>
      <w:r w:rsidRPr="00E80A6B">
        <w:t>at pp. 11, 17, 22.)  Section 6602 instructs the trial judge tasked with conducting a probable cause hearing merely to “</w:t>
      </w:r>
      <w:r w:rsidRPr="00E80A6B">
        <w:rPr>
          <w:szCs w:val="26"/>
          <w:shd w:val="clear" w:color="auto" w:fill="FFFFFF"/>
        </w:rPr>
        <w:t>review the petition” in order to “determine whether there is probable cause to believe that the individual named in the petition is likely to engage in sexually violent predatory criminal behavior upon his or her release.”  (</w:t>
      </w:r>
      <w:r w:rsidRPr="00E80A6B">
        <w:rPr>
          <w:i/>
          <w:iCs/>
          <w:szCs w:val="26"/>
          <w:shd w:val="clear" w:color="auto" w:fill="FFFFFF"/>
        </w:rPr>
        <w:t>Id</w:t>
      </w:r>
      <w:r w:rsidRPr="00E80A6B">
        <w:rPr>
          <w:szCs w:val="26"/>
          <w:shd w:val="clear" w:color="auto" w:fill="FFFFFF"/>
        </w:rPr>
        <w:t xml:space="preserve">., subd. (a).) </w:t>
      </w:r>
      <w:r w:rsidRPr="00E80A6B">
        <w:rPr>
          <w:i/>
          <w:iCs/>
          <w:szCs w:val="26"/>
          <w:shd w:val="clear" w:color="auto" w:fill="FFFFFF"/>
        </w:rPr>
        <w:t xml:space="preserve"> </w:t>
      </w:r>
      <w:r w:rsidRPr="00E80A6B">
        <w:rPr>
          <w:szCs w:val="26"/>
          <w:shd w:val="clear" w:color="auto" w:fill="FFFFFF"/>
        </w:rPr>
        <w:t>Taken on its own terms, this instruction is problematic.  A trial judge can no more discern probable cause to believe a person may be an SVP from reviewing the commitment petition than a judge conducting a preliminary examination hearing can determine whether there is probable cause to believe a crime was committed by reviewing the criminal complaint.  Both pleadings presumably contain the allegations necessary to support a claim of criminality or SVP status, but neither provides the evidentiary foundation necessary to a finding of probable cause.  Additional proceedings are required.</w:t>
      </w:r>
    </w:p>
    <w:p w:rsidR="00E80A6B" w:rsidRPr="00E80A6B" w:rsidP="00E80A6B" w14:paraId="0445ED06" w14:textId="77777777">
      <w:pPr>
        <w:ind w:firstLine="720"/>
        <w:rPr>
          <w:shd w:val="clear" w:color="auto" w:fill="FFFFFF"/>
        </w:rPr>
      </w:pPr>
      <w:r w:rsidRPr="00E80A6B">
        <w:rPr>
          <w:szCs w:val="26"/>
          <w:shd w:val="clear" w:color="auto" w:fill="FFFFFF"/>
        </w:rPr>
        <w:t>Although section 6602 anticipates that a probable cause hearing will occur (</w:t>
      </w:r>
      <w:r w:rsidRPr="00E80A6B">
        <w:rPr>
          <w:i/>
          <w:iCs/>
          <w:szCs w:val="26"/>
          <w:shd w:val="clear" w:color="auto" w:fill="FFFFFF"/>
        </w:rPr>
        <w:t>id</w:t>
      </w:r>
      <w:r w:rsidRPr="00E80A6B">
        <w:rPr>
          <w:szCs w:val="26"/>
          <w:shd w:val="clear" w:color="auto" w:fill="FFFFFF"/>
        </w:rPr>
        <w:t xml:space="preserve">., subd. (a)), it provides no guidance about the nature of the hearing, as we recognized in </w:t>
      </w:r>
      <w:r w:rsidRPr="00E80A6B">
        <w:rPr>
          <w:i/>
          <w:iCs/>
          <w:szCs w:val="26"/>
          <w:bdr w:val="none" w:sz="0" w:space="0" w:color="auto" w:frame="1"/>
          <w:shd w:val="clear" w:color="auto" w:fill="FFFFFF"/>
        </w:rPr>
        <w:t xml:space="preserve">Cooley v. Superior Court </w:t>
      </w:r>
      <w:r w:rsidRPr="00E80A6B">
        <w:rPr>
          <w:szCs w:val="26"/>
          <w:bdr w:val="none" w:sz="0" w:space="0" w:color="auto" w:frame="1"/>
          <w:shd w:val="clear" w:color="auto" w:fill="FFFFFF"/>
        </w:rPr>
        <w:t>(2002) 29 Cal.4th 228, 245, fn. 8 [“</w:t>
      </w:r>
      <w:r w:rsidRPr="00E80A6B">
        <w:rPr>
          <w:shd w:val="clear" w:color="auto" w:fill="FFFFFF"/>
        </w:rPr>
        <w:t xml:space="preserve">The SVPA does not provide any specific procedural requirements for the probable cause hearing”].  </w:t>
      </w:r>
      <w:r w:rsidRPr="00E80A6B">
        <w:rPr>
          <w:szCs w:val="26"/>
          <w:shd w:val="clear" w:color="auto" w:fill="FFFFFF"/>
        </w:rPr>
        <w:t xml:space="preserve">Applying constitutional principles in an early decision, the Court of Appeal in </w:t>
      </w:r>
      <w:r w:rsidRPr="00E80A6B">
        <w:rPr>
          <w:i/>
          <w:iCs/>
          <w:szCs w:val="26"/>
          <w:shd w:val="clear" w:color="auto" w:fill="FFFFFF"/>
        </w:rPr>
        <w:t xml:space="preserve">In re Parker </w:t>
      </w:r>
      <w:r w:rsidRPr="00E80A6B">
        <w:rPr>
          <w:szCs w:val="26"/>
          <w:shd w:val="clear" w:color="auto" w:fill="FFFFFF"/>
        </w:rPr>
        <w:t>(1998) 60 Cal.App.4th 1453 (</w:t>
      </w:r>
      <w:r w:rsidRPr="00E80A6B">
        <w:rPr>
          <w:i/>
          <w:iCs/>
          <w:szCs w:val="26"/>
          <w:shd w:val="clear" w:color="auto" w:fill="FFFFFF"/>
        </w:rPr>
        <w:t>Parker</w:t>
      </w:r>
      <w:r w:rsidRPr="00E80A6B">
        <w:rPr>
          <w:szCs w:val="26"/>
          <w:shd w:val="clear" w:color="auto" w:fill="FFFFFF"/>
        </w:rPr>
        <w:t>)</w:t>
      </w:r>
      <w:r w:rsidRPr="00E80A6B">
        <w:rPr>
          <w:i/>
          <w:iCs/>
          <w:szCs w:val="26"/>
          <w:shd w:val="clear" w:color="auto" w:fill="FFFFFF"/>
        </w:rPr>
        <w:t xml:space="preserve"> </w:t>
      </w:r>
      <w:r w:rsidRPr="00E80A6B">
        <w:rPr>
          <w:szCs w:val="26"/>
          <w:shd w:val="clear" w:color="auto" w:fill="FFFFFF"/>
        </w:rPr>
        <w:t xml:space="preserve">formulated an outline for the conduct of SVP probable cause hearings that has stood unchallenged, at least by this court, until our decision today.  Other recent developments in the law, however, had already threatened to undermine the </w:t>
      </w:r>
      <w:r w:rsidRPr="00E80A6B">
        <w:rPr>
          <w:i/>
          <w:iCs/>
          <w:szCs w:val="26"/>
          <w:shd w:val="clear" w:color="auto" w:fill="FFFFFF"/>
        </w:rPr>
        <w:t xml:space="preserve">Parker </w:t>
      </w:r>
      <w:r w:rsidRPr="00E80A6B">
        <w:rPr>
          <w:szCs w:val="26"/>
          <w:shd w:val="clear" w:color="auto" w:fill="FFFFFF"/>
        </w:rPr>
        <w:t xml:space="preserve">procedures.  </w:t>
      </w:r>
      <w:r w:rsidRPr="00E80A6B">
        <w:rPr>
          <w:i/>
          <w:iCs/>
          <w:szCs w:val="26"/>
          <w:shd w:val="clear" w:color="auto" w:fill="FFFFFF"/>
        </w:rPr>
        <w:t>Parker</w:t>
      </w:r>
      <w:r w:rsidRPr="00E80A6B">
        <w:rPr>
          <w:szCs w:val="26"/>
          <w:shd w:val="clear" w:color="auto" w:fill="FFFFFF"/>
        </w:rPr>
        <w:t xml:space="preserve">, ratified by our subsequent decision in </w:t>
      </w:r>
      <w:r w:rsidRPr="00E80A6B">
        <w:rPr>
          <w:i/>
          <w:iCs/>
          <w:szCs w:val="26"/>
          <w:bdr w:val="none" w:sz="0" w:space="0" w:color="auto" w:frame="1"/>
          <w:shd w:val="clear" w:color="auto" w:fill="FFFFFF"/>
        </w:rPr>
        <w:t>Cooley</w:t>
      </w:r>
      <w:r w:rsidRPr="00E80A6B">
        <w:rPr>
          <w:szCs w:val="26"/>
          <w:bdr w:val="none" w:sz="0" w:space="0" w:color="auto" w:frame="1"/>
          <w:shd w:val="clear" w:color="auto" w:fill="FFFFFF"/>
        </w:rPr>
        <w:t xml:space="preserve">, assumed that an SVP probable cause hearing would focus on the evaluation reports prepared by the two psychiatric professionals whose concurrence is required before an SVP commitment petition can be filed.  </w:t>
      </w:r>
      <w:r w:rsidRPr="00E80A6B">
        <w:rPr>
          <w:szCs w:val="26"/>
          <w:shd w:val="clear" w:color="auto" w:fill="FFFFFF"/>
        </w:rPr>
        <w:t>(Welf. &amp; Inst. Code, § 6601, subd. (d).)  It permitted introduction of such reports at the probable cause hearing, notwithstanding their status as hearsay, as well as any hearsay they might contain.  (</w:t>
      </w:r>
      <w:r w:rsidRPr="00E80A6B">
        <w:rPr>
          <w:i/>
          <w:iCs/>
          <w:szCs w:val="26"/>
          <w:bdr w:val="none" w:sz="0" w:space="0" w:color="auto" w:frame="1"/>
          <w:shd w:val="clear" w:color="auto" w:fill="FFFFFF"/>
        </w:rPr>
        <w:t>Parker</w:t>
      </w:r>
      <w:r w:rsidRPr="00E80A6B">
        <w:rPr>
          <w:szCs w:val="26"/>
          <w:bdr w:val="none" w:sz="0" w:space="0" w:color="auto" w:frame="1"/>
          <w:shd w:val="clear" w:color="auto" w:fill="FFFFFF"/>
        </w:rPr>
        <w:t>, at pp. 1469–1470 [“</w:t>
      </w:r>
      <w:r w:rsidRPr="00E80A6B">
        <w:rPr>
          <w:szCs w:val="26"/>
        </w:rPr>
        <w:t>the prosecutor may present the opinions of the experts through the hearsay reports of such persons”</w:t>
      </w:r>
      <w:r w:rsidRPr="00E80A6B">
        <w:rPr>
          <w:szCs w:val="26"/>
          <w:bdr w:val="none" w:sz="0" w:space="0" w:color="auto" w:frame="1"/>
          <w:shd w:val="clear" w:color="auto" w:fill="FFFFFF"/>
        </w:rPr>
        <w:t xml:space="preserve">]; see also </w:t>
      </w:r>
      <w:r w:rsidRPr="00E80A6B">
        <w:rPr>
          <w:i/>
          <w:iCs/>
          <w:szCs w:val="26"/>
          <w:bdr w:val="none" w:sz="0" w:space="0" w:color="auto" w:frame="1"/>
          <w:shd w:val="clear" w:color="auto" w:fill="FFFFFF"/>
        </w:rPr>
        <w:t>Cooley</w:t>
      </w:r>
      <w:r w:rsidRPr="00E80A6B">
        <w:rPr>
          <w:szCs w:val="26"/>
          <w:bdr w:val="none" w:sz="0" w:space="0" w:color="auto" w:frame="1"/>
          <w:shd w:val="clear" w:color="auto" w:fill="FFFFFF"/>
        </w:rPr>
        <w:t>, at p. 245, fn. 8 [“</w:t>
      </w:r>
      <w:r w:rsidRPr="00E80A6B">
        <w:rPr>
          <w:shd w:val="clear" w:color="auto" w:fill="FFFFFF"/>
        </w:rPr>
        <w:t>the petitioner is allowed, despite their hearsay nature, to present the contents of any reports that form the basis of the petition as evidence”].)</w:t>
      </w:r>
    </w:p>
    <w:p w:rsidR="00E80A6B" w:rsidRPr="00E80A6B" w:rsidP="00E80A6B" w14:paraId="09A2AE2A" w14:textId="77777777">
      <w:pPr>
        <w:ind w:firstLine="720"/>
        <w:rPr>
          <w:shd w:val="clear" w:color="auto" w:fill="FFFFFF"/>
        </w:rPr>
      </w:pPr>
      <w:r w:rsidRPr="00E80A6B">
        <w:rPr>
          <w:shd w:val="clear" w:color="auto" w:fill="FFFFFF"/>
        </w:rPr>
        <w:t xml:space="preserve">At the time of </w:t>
      </w:r>
      <w:r w:rsidRPr="00E80A6B">
        <w:rPr>
          <w:i/>
          <w:iCs/>
          <w:shd w:val="clear" w:color="auto" w:fill="FFFFFF"/>
        </w:rPr>
        <w:t>Parker</w:t>
      </w:r>
      <w:r w:rsidRPr="00E80A6B">
        <w:rPr>
          <w:shd w:val="clear" w:color="auto" w:fill="FFFFFF"/>
        </w:rPr>
        <w:t xml:space="preserve">, </w:t>
      </w:r>
      <w:r w:rsidRPr="00E80A6B">
        <w:rPr>
          <w:i/>
          <w:iCs/>
          <w:shd w:val="clear" w:color="auto" w:fill="FFFFFF"/>
        </w:rPr>
        <w:t>supra</w:t>
      </w:r>
      <w:r w:rsidRPr="00E80A6B">
        <w:rPr>
          <w:shd w:val="clear" w:color="auto" w:fill="FFFFFF"/>
        </w:rPr>
        <w:t>,</w:t>
      </w:r>
      <w:r w:rsidRPr="00E80A6B">
        <w:rPr>
          <w:i/>
          <w:iCs/>
          <w:shd w:val="clear" w:color="auto" w:fill="FFFFFF"/>
        </w:rPr>
        <w:t xml:space="preserve"> </w:t>
      </w:r>
      <w:r w:rsidRPr="00E80A6B">
        <w:rPr>
          <w:szCs w:val="26"/>
          <w:shd w:val="clear" w:color="auto" w:fill="FFFFFF"/>
        </w:rPr>
        <w:t xml:space="preserve">60 Cal.App.4th 1453, </w:t>
      </w:r>
      <w:r w:rsidRPr="00E80A6B">
        <w:rPr>
          <w:shd w:val="clear" w:color="auto" w:fill="FFFFFF"/>
        </w:rPr>
        <w:t xml:space="preserve">admission of the contents of the evaluation reports was uncontroversial because expert witnesses were permitted to testify concerning the basis for their opinions, even if those opinions were premised on hearsay.  (E.g., </w:t>
      </w:r>
      <w:r w:rsidRPr="00E80A6B">
        <w:rPr>
          <w:i/>
          <w:iCs/>
          <w:shd w:val="clear" w:color="auto" w:fill="FFFFFF"/>
        </w:rPr>
        <w:t xml:space="preserve">People v. Montiel </w:t>
      </w:r>
      <w:r w:rsidRPr="00E80A6B">
        <w:rPr>
          <w:shd w:val="clear" w:color="auto" w:fill="FFFFFF"/>
        </w:rPr>
        <w:t xml:space="preserve">(1993) 5 Cal.4th 877, 918.)  </w:t>
      </w:r>
      <w:r w:rsidRPr="00E80A6B">
        <w:rPr>
          <w:i/>
          <w:iCs/>
          <w:shd w:val="clear" w:color="auto" w:fill="FFFFFF"/>
        </w:rPr>
        <w:t xml:space="preserve">Parker </w:t>
      </w:r>
      <w:r w:rsidRPr="00E80A6B">
        <w:rPr>
          <w:shd w:val="clear" w:color="auto" w:fill="FFFFFF"/>
        </w:rPr>
        <w:t xml:space="preserve">therefore had no reason to opine separately on the admission of the type of hearsay considered today and, as the majority notes, did not do so.  (Maj. opn., </w:t>
      </w:r>
      <w:r w:rsidRPr="00E80A6B">
        <w:rPr>
          <w:i/>
          <w:iCs/>
          <w:shd w:val="clear" w:color="auto" w:fill="FFFFFF"/>
        </w:rPr>
        <w:t>ante</w:t>
      </w:r>
      <w:r w:rsidRPr="00E80A6B">
        <w:rPr>
          <w:shd w:val="clear" w:color="auto" w:fill="FFFFFF"/>
        </w:rPr>
        <w:t xml:space="preserve">, at pp. 34–35.)  That practice came to an end with </w:t>
      </w:r>
      <w:r w:rsidRPr="00E80A6B">
        <w:rPr>
          <w:i/>
          <w:iCs/>
          <w:shd w:val="clear" w:color="auto" w:fill="FFFFFF"/>
        </w:rPr>
        <w:t xml:space="preserve">People v. Sanchez </w:t>
      </w:r>
      <w:r w:rsidRPr="00E80A6B">
        <w:rPr>
          <w:shd w:val="clear" w:color="auto" w:fill="FFFFFF"/>
        </w:rPr>
        <w:t>(2016) 63 Cal.4th 665, which held that case-specific hearsay on which an expert relies is offered for its truth and must be supported by admissible evidence.  (</w:t>
      </w:r>
      <w:r w:rsidRPr="00E80A6B">
        <w:rPr>
          <w:i/>
          <w:iCs/>
          <w:shd w:val="clear" w:color="auto" w:fill="FFFFFF"/>
        </w:rPr>
        <w:t>Id</w:t>
      </w:r>
      <w:r w:rsidRPr="00E80A6B">
        <w:rPr>
          <w:shd w:val="clear" w:color="auto" w:fill="FFFFFF"/>
        </w:rPr>
        <w:t xml:space="preserve">. at pp. 682–683.)  Relying in part on </w:t>
      </w:r>
      <w:r w:rsidRPr="00E80A6B">
        <w:rPr>
          <w:i/>
          <w:iCs/>
          <w:shd w:val="clear" w:color="auto" w:fill="FFFFFF"/>
        </w:rPr>
        <w:t>Sanchez</w:t>
      </w:r>
      <w:r w:rsidRPr="00E80A6B">
        <w:rPr>
          <w:shd w:val="clear" w:color="auto" w:fill="FFFFFF"/>
        </w:rPr>
        <w:t xml:space="preserve">, one Court of Appeal has already ruled that the absence of a hearsay exception in section 6602 requires the exclusion of </w:t>
      </w:r>
      <w:r w:rsidRPr="00E80A6B">
        <w:rPr>
          <w:i/>
          <w:iCs/>
          <w:shd w:val="clear" w:color="auto" w:fill="FFFFFF"/>
        </w:rPr>
        <w:t xml:space="preserve">all </w:t>
      </w:r>
      <w:r w:rsidRPr="00E80A6B">
        <w:rPr>
          <w:shd w:val="clear" w:color="auto" w:fill="FFFFFF"/>
        </w:rPr>
        <w:t>otherwise inadmissible hearsay at an SVP probable cause hearing, including any such hearsay in the expert evaluation reports.  (</w:t>
      </w:r>
      <w:r w:rsidRPr="00E80A6B">
        <w:rPr>
          <w:i/>
          <w:iCs/>
          <w:shd w:val="clear" w:color="auto" w:fill="FFFFFF"/>
        </w:rPr>
        <w:t xml:space="preserve">People v. Superior Court </w:t>
      </w:r>
      <w:r w:rsidRPr="00E80A6B">
        <w:rPr>
          <w:shd w:val="clear" w:color="auto" w:fill="FFFFFF"/>
        </w:rPr>
        <w:t>(</w:t>
      </w:r>
      <w:r w:rsidRPr="00E80A6B">
        <w:rPr>
          <w:i/>
          <w:iCs/>
          <w:shd w:val="clear" w:color="auto" w:fill="FFFFFF"/>
        </w:rPr>
        <w:t>Couthren</w:t>
      </w:r>
      <w:r w:rsidRPr="00E80A6B">
        <w:rPr>
          <w:shd w:val="clear" w:color="auto" w:fill="FFFFFF"/>
        </w:rPr>
        <w:t>)</w:t>
      </w:r>
      <w:r w:rsidRPr="00E80A6B">
        <w:rPr>
          <w:i/>
          <w:iCs/>
          <w:shd w:val="clear" w:color="auto" w:fill="FFFFFF"/>
        </w:rPr>
        <w:t xml:space="preserve"> </w:t>
      </w:r>
      <w:r w:rsidRPr="00E80A6B">
        <w:rPr>
          <w:shd w:val="clear" w:color="auto" w:fill="FFFFFF"/>
        </w:rPr>
        <w:t>41 Cal.App.5th 1001, 1010 [“</w:t>
      </w:r>
      <w:r w:rsidRPr="00E80A6B">
        <w:rPr>
          <w:szCs w:val="26"/>
          <w:shd w:val="clear" w:color="auto" w:fill="FFFFFF"/>
        </w:rPr>
        <w:t>We conclude that the rules of evidence apply in an SVP probable cause proceeding and therefore the admissibility of documentary evidence such as expert evaluations will be governed by the hearsay rule and any applicable exceptions”]</w:t>
      </w:r>
      <w:r w:rsidRPr="00E80A6B">
        <w:rPr>
          <w:color w:val="212121"/>
          <w:szCs w:val="27"/>
          <w:shd w:val="clear" w:color="auto" w:fill="FFFFFF"/>
        </w:rPr>
        <w:t>.)</w:t>
      </w:r>
      <w:r w:rsidRPr="00E80A6B">
        <w:rPr>
          <w:shd w:val="clear" w:color="auto" w:fill="FFFFFF"/>
        </w:rPr>
        <w:t xml:space="preserve">  That would also appear to be the logical consequence of the rationale employed in our decision today, although the opinion disavows ruling on the issue.  (Maj. opn., </w:t>
      </w:r>
      <w:r w:rsidRPr="00E80A6B">
        <w:rPr>
          <w:i/>
          <w:iCs/>
          <w:shd w:val="clear" w:color="auto" w:fill="FFFFFF"/>
        </w:rPr>
        <w:t>ante</w:t>
      </w:r>
      <w:r w:rsidRPr="00E80A6B">
        <w:rPr>
          <w:shd w:val="clear" w:color="auto" w:fill="FFFFFF"/>
        </w:rPr>
        <w:t>,</w:t>
      </w:r>
      <w:r w:rsidRPr="00E80A6B">
        <w:rPr>
          <w:i/>
          <w:iCs/>
          <w:shd w:val="clear" w:color="auto" w:fill="FFFFFF"/>
        </w:rPr>
        <w:t xml:space="preserve"> </w:t>
      </w:r>
      <w:r w:rsidRPr="00E80A6B">
        <w:rPr>
          <w:shd w:val="clear" w:color="auto" w:fill="FFFFFF"/>
        </w:rPr>
        <w:t>at p. 14.)  At a minimum, our decision requires the redaction from the evaluation reports of any accounts of prior nonpredicate crimes committed by the alleged SVP, assuming no admissible evidence is presented at the hearing to support that hearsay.  But if the absence of an express hearsay exception requires exclusion of this type of hearsay, consistency likely implicates the exclusion of all other inadmissible hearsay as well.</w:t>
      </w:r>
    </w:p>
    <w:p w:rsidR="00E80A6B" w:rsidRPr="00E80A6B" w:rsidP="00E80A6B" w14:paraId="41003077" w14:textId="77777777">
      <w:pPr>
        <w:ind w:firstLine="720"/>
        <w:rPr>
          <w:szCs w:val="26"/>
          <w:shd w:val="clear" w:color="auto" w:fill="FFFFFF"/>
        </w:rPr>
      </w:pPr>
      <w:r w:rsidRPr="00E80A6B">
        <w:rPr>
          <w:shd w:val="clear" w:color="auto" w:fill="FFFFFF"/>
        </w:rPr>
        <w:t xml:space="preserve">I am concerned that these rulings will prevent the SVP probable cause hearing from serving its intended purpose, which I understand to be </w:t>
      </w:r>
      <w:r w:rsidRPr="00E80A6B">
        <w:rPr>
          <w:szCs w:val="26"/>
          <w:shd w:val="clear" w:color="auto" w:fill="FFFFFF"/>
        </w:rPr>
        <w:t xml:space="preserve">an </w:t>
      </w:r>
      <w:r w:rsidRPr="00E80A6B">
        <w:rPr>
          <w:i/>
          <w:iCs/>
          <w:szCs w:val="26"/>
          <w:shd w:val="clear" w:color="auto" w:fill="FFFFFF"/>
        </w:rPr>
        <w:t>efficient</w:t>
      </w:r>
      <w:r w:rsidRPr="00E80A6B">
        <w:rPr>
          <w:szCs w:val="26"/>
          <w:shd w:val="clear" w:color="auto" w:fill="FFFFFF"/>
        </w:rPr>
        <w:t xml:space="preserve"> screening function to determine whether a trial is required.  Like a probable cause hearing before a criminal trial, the purpose of a section 6602 hearing is, in general terms, to permit the court to ensure that there is an adequate evidentiary foundation for an SVP finding.  By requiring the county to present admissible evidence of any nonpredicate offenses that form a part of that foundation, and potentially of any other hearsay found in the evaluation reports, our decision will convert the probable cause hearing into a proceeding barely distinguishable from a subsequent trial on the merits.  Although such a hearing can, of course, serve the screening function, it will do so at the cost of time consuming and unnecessary efforts, imposing a potentially sizable burden on counsel and courts that will likely be duplicated at trial.</w:t>
      </w:r>
    </w:p>
    <w:p w:rsidR="00E80A6B" w:rsidRPr="00E80A6B" w:rsidP="00E80A6B" w14:paraId="3F500957" w14:textId="77777777">
      <w:pPr>
        <w:ind w:firstLine="720"/>
        <w:rPr>
          <w:b/>
          <w:bCs/>
          <w:szCs w:val="26"/>
          <w:shd w:val="clear" w:color="auto" w:fill="FFFFFF"/>
        </w:rPr>
      </w:pPr>
      <w:r w:rsidRPr="00E80A6B">
        <w:rPr>
          <w:szCs w:val="26"/>
          <w:shd w:val="clear" w:color="auto" w:fill="FFFFFF"/>
        </w:rPr>
        <w:t xml:space="preserve">It was this concern for the efficient conduct of SVP probable cause hearings that led the Court of Appeal below to imply a hearsay exception into section 6602.  Although I agree with my colleagues that we lack legal authority to recognize such an exception in these circumstances, I am otherwise wholly sympathetic to the Court of Appeal’s well-articulated concerns.  Our present decision appears to be the beginning of the end for the time-tested </w:t>
      </w:r>
      <w:r w:rsidRPr="00E80A6B">
        <w:rPr>
          <w:i/>
          <w:iCs/>
          <w:szCs w:val="26"/>
          <w:shd w:val="clear" w:color="auto" w:fill="FFFFFF"/>
        </w:rPr>
        <w:t xml:space="preserve">Parker </w:t>
      </w:r>
      <w:r w:rsidRPr="00E80A6B">
        <w:rPr>
          <w:szCs w:val="26"/>
          <w:shd w:val="clear" w:color="auto" w:fill="FFFFFF"/>
        </w:rPr>
        <w:t>procedures.</w:t>
      </w:r>
    </w:p>
    <w:p w:rsidR="00E80A6B" w:rsidRPr="00E80A6B" w:rsidP="00E80A6B" w14:paraId="7C832CB6" w14:textId="77777777">
      <w:pPr>
        <w:ind w:firstLine="720"/>
        <w:rPr>
          <w:szCs w:val="26"/>
          <w:shd w:val="clear" w:color="auto" w:fill="FFFFFF"/>
        </w:rPr>
      </w:pPr>
      <w:r w:rsidRPr="00E80A6B">
        <w:rPr>
          <w:szCs w:val="26"/>
          <w:shd w:val="clear" w:color="auto" w:fill="FFFFFF"/>
        </w:rPr>
        <w:t xml:space="preserve">The only solution for this problem is a legislative one.  The </w:t>
      </w:r>
      <w:r w:rsidRPr="00E80A6B">
        <w:rPr>
          <w:i/>
          <w:iCs/>
          <w:szCs w:val="26"/>
          <w:shd w:val="clear" w:color="auto" w:fill="FFFFFF"/>
        </w:rPr>
        <w:t xml:space="preserve">Parker </w:t>
      </w:r>
      <w:r w:rsidRPr="00E80A6B">
        <w:rPr>
          <w:szCs w:val="26"/>
          <w:shd w:val="clear" w:color="auto" w:fill="FFFFFF"/>
        </w:rPr>
        <w:t>procedures have served as a fair and efficient guide to the conduct of SVP probable cause hearings for more than 20 years.  I encourage the Legislature to make the statutory amendments necessary to preserve those procedures, beginning with an exception for hearsay contained in the expert evaluation reports.  Even better, I hope the Legislature will reexamine SVP probable cause hearing procedures and formulate clear statutory guidelines for the conduct of such hearings.  Our polestar is to implement our Legislature’s intent, but reliable implementation is difficult when, as in section 6602, there is little statutory indication of that intent.</w:t>
      </w:r>
    </w:p>
    <w:p w:rsidR="00E80A6B" w:rsidRPr="00E80A6B" w:rsidP="00E80A6B" w14:paraId="4F5747B7" w14:textId="77777777">
      <w:pPr>
        <w:ind w:firstLine="720"/>
        <w:rPr>
          <w:szCs w:val="26"/>
          <w:shd w:val="clear" w:color="auto" w:fill="FFFFFF"/>
        </w:rPr>
      </w:pPr>
    </w:p>
    <w:p w:rsidR="00E80A6B" w:rsidRPr="00E80A6B" w:rsidP="00E80A6B" w14:paraId="62670C39" w14:textId="77777777">
      <w:pPr>
        <w:ind w:left="4320"/>
        <w:rPr>
          <w:b/>
          <w:szCs w:val="27"/>
        </w:rPr>
      </w:pPr>
      <w:r w:rsidRPr="00E80A6B">
        <w:rPr>
          <w:b/>
          <w:szCs w:val="27"/>
        </w:rPr>
        <w:t>CANTIL-SAKAUYE, C. J.</w:t>
      </w:r>
    </w:p>
    <w:p w:rsidR="0057101B" w:rsidP="003F145D" w14:paraId="6B858719" w14:textId="77777777">
      <w:pPr>
        <w:tabs>
          <w:tab w:val="left" w:pos="1440"/>
        </w:tabs>
        <w:spacing w:after="0" w:line="240" w:lineRule="auto"/>
        <w:rPr>
          <w:b/>
          <w:bCs/>
        </w:rPr>
        <w:sectPr w:rsidSect="00761DF6">
          <w:headerReference w:type="default" r:id="rId9"/>
          <w:footnotePr>
            <w:numRestart w:val="eachSect"/>
          </w:footnotePr>
          <w:pgSz w:w="12240" w:h="15840"/>
          <w:pgMar w:top="1800" w:right="2160" w:bottom="1440" w:left="2160" w:header="720" w:footer="720" w:gutter="0"/>
          <w:pgNumType w:start="1"/>
          <w:cols w:space="720"/>
          <w:titlePg/>
          <w:docGrid w:linePitch="367"/>
        </w:sectPr>
      </w:pPr>
    </w:p>
    <w:p w:rsidR="0057101B" w:rsidRPr="0057101B" w:rsidP="0057101B" w14:paraId="3720CDC1" w14:textId="77777777">
      <w:pPr>
        <w:spacing w:after="0" w:line="240" w:lineRule="auto"/>
        <w:jc w:val="left"/>
        <w:rPr>
          <w:i/>
          <w:sz w:val="24"/>
          <w:szCs w:val="24"/>
        </w:rPr>
      </w:pPr>
      <w:r w:rsidRPr="0057101B">
        <w:rPr>
          <w:i/>
          <w:sz w:val="24"/>
          <w:szCs w:val="24"/>
        </w:rPr>
        <w:t>See next page for addresses and telephone numbers for counsel who argued in Supreme Court.</w:t>
      </w:r>
    </w:p>
    <w:p w:rsidR="0057101B" w:rsidRPr="0057101B" w:rsidP="0057101B" w14:paraId="00823C42" w14:textId="77777777">
      <w:pPr>
        <w:spacing w:after="0" w:line="240" w:lineRule="auto"/>
        <w:jc w:val="left"/>
        <w:rPr>
          <w:i/>
          <w:sz w:val="24"/>
          <w:szCs w:val="24"/>
        </w:rPr>
      </w:pPr>
    </w:p>
    <w:p w:rsidR="0057101B" w:rsidRPr="0057101B" w:rsidP="0057101B" w14:paraId="1F4E6CF8" w14:textId="77777777">
      <w:pPr>
        <w:spacing w:after="0" w:line="240" w:lineRule="auto"/>
        <w:jc w:val="left"/>
        <w:rPr>
          <w:b/>
          <w:sz w:val="24"/>
          <w:szCs w:val="24"/>
        </w:rPr>
      </w:pPr>
      <w:r w:rsidRPr="0057101B">
        <w:rPr>
          <w:b/>
          <w:sz w:val="24"/>
          <w:szCs w:val="24"/>
        </w:rPr>
        <w:t xml:space="preserve">Name of Opinion </w:t>
      </w:r>
      <w:r w:rsidRPr="0057101B">
        <w:rPr>
          <w:bCs/>
          <w:sz w:val="24"/>
          <w:szCs w:val="24"/>
        </w:rPr>
        <w:t xml:space="preserve">Walker v. Superior Court </w:t>
      </w:r>
      <w:r w:rsidRPr="0057101B">
        <w:rPr>
          <w:b/>
          <w:sz w:val="24"/>
          <w:szCs w:val="24"/>
        </w:rPr>
        <w:t xml:space="preserve">__________________________________________________________ </w:t>
      </w:r>
    </w:p>
    <w:p w:rsidR="0057101B" w:rsidRPr="0057101B" w:rsidP="0057101B" w14:paraId="1EB73A64" w14:textId="77777777">
      <w:pPr>
        <w:spacing w:after="0" w:line="240" w:lineRule="auto"/>
        <w:jc w:val="left"/>
        <w:rPr>
          <w:b/>
          <w:sz w:val="24"/>
          <w:szCs w:val="24"/>
        </w:rPr>
      </w:pPr>
    </w:p>
    <w:p w:rsidR="0057101B" w:rsidRPr="0057101B" w:rsidP="0057101B" w14:paraId="7647DA91" w14:textId="77777777">
      <w:pPr>
        <w:spacing w:after="0" w:line="240" w:lineRule="auto"/>
        <w:jc w:val="left"/>
        <w:rPr>
          <w:sz w:val="24"/>
          <w:szCs w:val="24"/>
        </w:rPr>
      </w:pPr>
      <w:r w:rsidRPr="0057101B">
        <w:rPr>
          <w:b/>
          <w:bCs/>
          <w:sz w:val="24"/>
          <w:szCs w:val="24"/>
          <w:u w:val="single"/>
        </w:rPr>
        <w:t>Procedural Posture</w:t>
      </w:r>
      <w:r w:rsidRPr="0057101B">
        <w:rPr>
          <w:b/>
          <w:bCs/>
          <w:sz w:val="24"/>
          <w:szCs w:val="24"/>
        </w:rPr>
        <w:t xml:space="preserve"> </w:t>
      </w:r>
      <w:r w:rsidRPr="0057101B">
        <w:rPr>
          <w:sz w:val="24"/>
          <w:szCs w:val="24"/>
        </w:rPr>
        <w:t>(see XX below)</w:t>
      </w:r>
    </w:p>
    <w:p w:rsidR="0057101B" w:rsidRPr="0057101B" w:rsidP="0057101B" w14:paraId="3D98D2C4" w14:textId="77777777">
      <w:pPr>
        <w:spacing w:after="0" w:line="240" w:lineRule="auto"/>
        <w:jc w:val="left"/>
        <w:rPr>
          <w:sz w:val="24"/>
          <w:szCs w:val="24"/>
        </w:rPr>
      </w:pPr>
      <w:r w:rsidRPr="0057101B">
        <w:rPr>
          <w:b/>
          <w:bCs/>
          <w:sz w:val="24"/>
          <w:szCs w:val="24"/>
        </w:rPr>
        <w:t>Original Appeal</w:t>
      </w:r>
      <w:r w:rsidRPr="0057101B">
        <w:rPr>
          <w:sz w:val="24"/>
          <w:szCs w:val="24"/>
        </w:rPr>
        <w:t xml:space="preserve"> </w:t>
      </w:r>
    </w:p>
    <w:p w:rsidR="0057101B" w:rsidRPr="0057101B" w:rsidP="0057101B" w14:paraId="2ADA8298" w14:textId="77777777">
      <w:pPr>
        <w:spacing w:after="0" w:line="240" w:lineRule="auto"/>
        <w:jc w:val="left"/>
        <w:rPr>
          <w:b/>
          <w:bCs/>
          <w:sz w:val="24"/>
          <w:szCs w:val="24"/>
        </w:rPr>
      </w:pPr>
      <w:r w:rsidRPr="0057101B">
        <w:rPr>
          <w:b/>
          <w:bCs/>
          <w:sz w:val="24"/>
          <w:szCs w:val="24"/>
        </w:rPr>
        <w:t>Original Proceeding</w:t>
      </w:r>
    </w:p>
    <w:p w:rsidR="0057101B" w:rsidRPr="0057101B" w:rsidP="0057101B" w14:paraId="1BD0CF72" w14:textId="77777777">
      <w:pPr>
        <w:spacing w:after="0" w:line="240" w:lineRule="auto"/>
        <w:jc w:val="left"/>
        <w:rPr>
          <w:sz w:val="24"/>
          <w:szCs w:val="24"/>
        </w:rPr>
      </w:pPr>
      <w:r w:rsidRPr="0057101B">
        <w:rPr>
          <w:b/>
          <w:bCs/>
          <w:sz w:val="24"/>
          <w:szCs w:val="24"/>
        </w:rPr>
        <w:t>Review Granted</w:t>
      </w:r>
      <w:r w:rsidRPr="0057101B">
        <w:rPr>
          <w:sz w:val="24"/>
          <w:szCs w:val="24"/>
        </w:rPr>
        <w:t xml:space="preserve"> </w:t>
      </w:r>
      <w:r w:rsidRPr="0057101B">
        <w:rPr>
          <w:b/>
          <w:bCs/>
          <w:sz w:val="24"/>
          <w:szCs w:val="24"/>
        </w:rPr>
        <w:t xml:space="preserve">(published) </w:t>
      </w:r>
      <w:r w:rsidRPr="0057101B">
        <w:rPr>
          <w:sz w:val="24"/>
          <w:szCs w:val="24"/>
        </w:rPr>
        <w:t>XX 51 Cal.App.5th 682</w:t>
      </w:r>
    </w:p>
    <w:p w:rsidR="0057101B" w:rsidRPr="0057101B" w:rsidP="0057101B" w14:paraId="34B3142B" w14:textId="77777777">
      <w:pPr>
        <w:spacing w:after="0" w:line="240" w:lineRule="auto"/>
        <w:jc w:val="left"/>
        <w:rPr>
          <w:sz w:val="24"/>
          <w:szCs w:val="24"/>
        </w:rPr>
      </w:pPr>
      <w:r w:rsidRPr="0057101B">
        <w:rPr>
          <w:b/>
          <w:bCs/>
          <w:sz w:val="24"/>
          <w:szCs w:val="24"/>
        </w:rPr>
        <w:t xml:space="preserve">Review Granted (unpublished) </w:t>
      </w:r>
    </w:p>
    <w:p w:rsidR="0057101B" w:rsidRPr="0057101B" w:rsidP="0057101B" w14:paraId="55198199" w14:textId="77777777">
      <w:pPr>
        <w:spacing w:after="0" w:line="240" w:lineRule="auto"/>
        <w:jc w:val="left"/>
        <w:rPr>
          <w:b/>
          <w:bCs/>
          <w:sz w:val="24"/>
          <w:szCs w:val="24"/>
        </w:rPr>
      </w:pPr>
      <w:r w:rsidRPr="0057101B">
        <w:rPr>
          <w:b/>
          <w:bCs/>
          <w:sz w:val="24"/>
          <w:szCs w:val="24"/>
        </w:rPr>
        <w:t>Rehearing Granted</w:t>
      </w:r>
    </w:p>
    <w:p w:rsidR="0057101B" w:rsidRPr="0057101B" w:rsidP="0057101B" w14:paraId="4E8DAB77" w14:textId="77777777">
      <w:pPr>
        <w:spacing w:after="0" w:line="240" w:lineRule="auto"/>
        <w:jc w:val="left"/>
        <w:rPr>
          <w:b/>
          <w:sz w:val="24"/>
          <w:szCs w:val="24"/>
        </w:rPr>
      </w:pPr>
    </w:p>
    <w:p w:rsidR="0057101B" w:rsidRPr="0057101B" w:rsidP="0057101B" w14:paraId="2BF7C8C0" w14:textId="77777777">
      <w:pPr>
        <w:spacing w:after="0" w:line="240" w:lineRule="auto"/>
        <w:jc w:val="left"/>
        <w:rPr>
          <w:b/>
          <w:sz w:val="24"/>
          <w:szCs w:val="24"/>
        </w:rPr>
      </w:pPr>
      <w:r w:rsidRPr="0057101B">
        <w:rPr>
          <w:b/>
          <w:sz w:val="24"/>
          <w:szCs w:val="24"/>
        </w:rPr>
        <w:t xml:space="preserve">__________________________________________________________ </w:t>
      </w:r>
    </w:p>
    <w:p w:rsidR="0057101B" w:rsidRPr="0057101B" w:rsidP="0057101B" w14:paraId="5BDD4364" w14:textId="77777777">
      <w:pPr>
        <w:spacing w:after="0" w:line="240" w:lineRule="auto"/>
        <w:jc w:val="left"/>
        <w:rPr>
          <w:b/>
          <w:sz w:val="24"/>
          <w:szCs w:val="24"/>
        </w:rPr>
      </w:pPr>
    </w:p>
    <w:p w:rsidR="0057101B" w:rsidRPr="0057101B" w:rsidP="0057101B" w14:paraId="526F44C5" w14:textId="77777777">
      <w:pPr>
        <w:spacing w:after="0" w:line="240" w:lineRule="auto"/>
        <w:jc w:val="left"/>
        <w:rPr>
          <w:bCs/>
          <w:sz w:val="24"/>
          <w:szCs w:val="24"/>
        </w:rPr>
      </w:pPr>
      <w:r w:rsidRPr="0057101B">
        <w:rPr>
          <w:b/>
          <w:sz w:val="24"/>
          <w:szCs w:val="24"/>
        </w:rPr>
        <w:t>Opinion No.</w:t>
      </w:r>
      <w:r w:rsidRPr="0057101B">
        <w:rPr>
          <w:sz w:val="24"/>
          <w:szCs w:val="24"/>
        </w:rPr>
        <w:t xml:space="preserve"> S263588</w:t>
      </w:r>
    </w:p>
    <w:p w:rsidR="0057101B" w:rsidRPr="0057101B" w:rsidP="0057101B" w14:paraId="11AE138F" w14:textId="77777777">
      <w:pPr>
        <w:spacing w:after="0" w:line="240" w:lineRule="auto"/>
        <w:jc w:val="left"/>
        <w:rPr>
          <w:bCs/>
          <w:sz w:val="24"/>
          <w:szCs w:val="24"/>
        </w:rPr>
      </w:pPr>
      <w:r w:rsidRPr="0057101B">
        <w:rPr>
          <w:b/>
          <w:sz w:val="24"/>
          <w:szCs w:val="24"/>
        </w:rPr>
        <w:t>Date Filed:</w:t>
      </w:r>
      <w:r w:rsidRPr="0057101B">
        <w:rPr>
          <w:sz w:val="24"/>
          <w:szCs w:val="24"/>
        </w:rPr>
        <w:t xml:space="preserve"> August 30, 2021</w:t>
      </w:r>
    </w:p>
    <w:p w:rsidR="0057101B" w:rsidRPr="0057101B" w:rsidP="0057101B" w14:paraId="5E310E31" w14:textId="77777777">
      <w:pPr>
        <w:spacing w:after="0" w:line="240" w:lineRule="auto"/>
        <w:jc w:val="left"/>
        <w:rPr>
          <w:b/>
          <w:sz w:val="24"/>
          <w:szCs w:val="24"/>
        </w:rPr>
      </w:pPr>
      <w:r w:rsidRPr="0057101B">
        <w:rPr>
          <w:b/>
          <w:sz w:val="24"/>
          <w:szCs w:val="24"/>
        </w:rPr>
        <w:t xml:space="preserve">__________________________________________________________ </w:t>
      </w:r>
    </w:p>
    <w:p w:rsidR="0057101B" w:rsidRPr="0057101B" w:rsidP="0057101B" w14:paraId="1AFA6550" w14:textId="77777777">
      <w:pPr>
        <w:spacing w:after="0" w:line="240" w:lineRule="auto"/>
        <w:jc w:val="left"/>
        <w:rPr>
          <w:b/>
          <w:sz w:val="24"/>
          <w:szCs w:val="24"/>
        </w:rPr>
      </w:pPr>
    </w:p>
    <w:p w:rsidR="0057101B" w:rsidRPr="0057101B" w:rsidP="0057101B" w14:paraId="130D7D0A" w14:textId="77777777">
      <w:pPr>
        <w:spacing w:after="0" w:line="240" w:lineRule="auto"/>
        <w:jc w:val="left"/>
        <w:rPr>
          <w:bCs/>
          <w:sz w:val="24"/>
          <w:szCs w:val="24"/>
        </w:rPr>
      </w:pPr>
      <w:r w:rsidRPr="0057101B">
        <w:rPr>
          <w:b/>
          <w:sz w:val="24"/>
          <w:szCs w:val="24"/>
        </w:rPr>
        <w:t xml:space="preserve">Court:  </w:t>
      </w:r>
      <w:r w:rsidRPr="0057101B">
        <w:rPr>
          <w:bCs/>
          <w:sz w:val="24"/>
          <w:szCs w:val="24"/>
        </w:rPr>
        <w:t>Superior</w:t>
      </w:r>
      <w:r w:rsidRPr="0057101B">
        <w:rPr>
          <w:b/>
          <w:sz w:val="24"/>
          <w:szCs w:val="24"/>
        </w:rPr>
        <w:t xml:space="preserve"> </w:t>
      </w:r>
    </w:p>
    <w:p w:rsidR="0057101B" w:rsidRPr="0057101B" w:rsidP="0057101B" w14:paraId="0782AD59" w14:textId="77777777">
      <w:pPr>
        <w:spacing w:after="0" w:line="240" w:lineRule="auto"/>
        <w:jc w:val="left"/>
        <w:rPr>
          <w:bCs/>
          <w:sz w:val="24"/>
          <w:szCs w:val="24"/>
        </w:rPr>
      </w:pPr>
      <w:r w:rsidRPr="0057101B">
        <w:rPr>
          <w:b/>
          <w:sz w:val="24"/>
          <w:szCs w:val="24"/>
        </w:rPr>
        <w:t xml:space="preserve">County: </w:t>
      </w:r>
      <w:r w:rsidRPr="0057101B">
        <w:rPr>
          <w:bCs/>
          <w:sz w:val="24"/>
          <w:szCs w:val="24"/>
        </w:rPr>
        <w:t>San Francisco</w:t>
      </w:r>
      <w:r w:rsidRPr="0057101B">
        <w:rPr>
          <w:b/>
          <w:sz w:val="24"/>
          <w:szCs w:val="24"/>
        </w:rPr>
        <w:t xml:space="preserve"> </w:t>
      </w:r>
    </w:p>
    <w:p w:rsidR="0057101B" w:rsidRPr="0057101B" w:rsidP="0057101B" w14:paraId="3B40D219" w14:textId="77777777">
      <w:pPr>
        <w:spacing w:after="0" w:line="240" w:lineRule="auto"/>
        <w:ind w:left="720" w:hanging="720"/>
        <w:jc w:val="left"/>
        <w:rPr>
          <w:bCs/>
          <w:sz w:val="24"/>
          <w:szCs w:val="24"/>
        </w:rPr>
      </w:pPr>
      <w:r w:rsidRPr="0057101B">
        <w:rPr>
          <w:b/>
          <w:sz w:val="24"/>
          <w:szCs w:val="24"/>
        </w:rPr>
        <w:t xml:space="preserve">Judge: </w:t>
      </w:r>
      <w:r w:rsidRPr="0057101B">
        <w:rPr>
          <w:bCs/>
          <w:sz w:val="24"/>
          <w:szCs w:val="24"/>
        </w:rPr>
        <w:t>Charles S. Crompton</w:t>
      </w:r>
      <w:r w:rsidRPr="0057101B">
        <w:rPr>
          <w:b/>
          <w:sz w:val="24"/>
          <w:szCs w:val="24"/>
        </w:rPr>
        <w:t xml:space="preserve"> </w:t>
      </w:r>
    </w:p>
    <w:p w:rsidR="0057101B" w:rsidRPr="0057101B" w:rsidP="0057101B" w14:paraId="40C8EDB6" w14:textId="77777777">
      <w:pPr>
        <w:spacing w:after="0" w:line="240" w:lineRule="auto"/>
        <w:jc w:val="left"/>
        <w:rPr>
          <w:b/>
          <w:sz w:val="24"/>
          <w:szCs w:val="24"/>
        </w:rPr>
      </w:pPr>
    </w:p>
    <w:p w:rsidR="0057101B" w:rsidRPr="0057101B" w:rsidP="0057101B" w14:paraId="775436C8" w14:textId="77777777">
      <w:pPr>
        <w:spacing w:after="0" w:line="240" w:lineRule="auto"/>
        <w:jc w:val="left"/>
        <w:rPr>
          <w:b/>
          <w:sz w:val="24"/>
          <w:szCs w:val="24"/>
        </w:rPr>
      </w:pPr>
      <w:r w:rsidRPr="0057101B">
        <w:rPr>
          <w:b/>
          <w:sz w:val="24"/>
          <w:szCs w:val="24"/>
        </w:rPr>
        <w:t xml:space="preserve">__________________________________________________________  </w:t>
      </w:r>
    </w:p>
    <w:p w:rsidR="0057101B" w:rsidRPr="0057101B" w:rsidP="0057101B" w14:paraId="74C6846C" w14:textId="77777777">
      <w:pPr>
        <w:spacing w:after="0" w:line="240" w:lineRule="auto"/>
        <w:jc w:val="left"/>
        <w:rPr>
          <w:b/>
          <w:sz w:val="24"/>
          <w:szCs w:val="24"/>
        </w:rPr>
      </w:pPr>
    </w:p>
    <w:p w:rsidR="0057101B" w:rsidRPr="0057101B" w:rsidP="0057101B" w14:paraId="7ED3277B" w14:textId="77777777">
      <w:pPr>
        <w:spacing w:after="0" w:line="240" w:lineRule="auto"/>
        <w:jc w:val="left"/>
        <w:rPr>
          <w:b/>
          <w:sz w:val="24"/>
          <w:szCs w:val="24"/>
        </w:rPr>
      </w:pPr>
      <w:r w:rsidRPr="0057101B">
        <w:rPr>
          <w:b/>
          <w:sz w:val="24"/>
          <w:szCs w:val="24"/>
        </w:rPr>
        <w:t>Counsel:</w:t>
      </w:r>
    </w:p>
    <w:p w:rsidR="0057101B" w:rsidRPr="0057101B" w:rsidP="0057101B" w14:paraId="059E8A74" w14:textId="77777777">
      <w:pPr>
        <w:spacing w:after="0" w:line="240" w:lineRule="auto"/>
        <w:jc w:val="left"/>
        <w:rPr>
          <w:b/>
          <w:sz w:val="24"/>
          <w:szCs w:val="24"/>
        </w:rPr>
      </w:pPr>
    </w:p>
    <w:p w:rsidR="0057101B" w:rsidRPr="0057101B" w:rsidP="0057101B" w14:paraId="2E3245DB" w14:textId="77777777">
      <w:pPr>
        <w:spacing w:after="0" w:line="240" w:lineRule="auto"/>
        <w:jc w:val="left"/>
        <w:rPr>
          <w:bCs/>
          <w:sz w:val="24"/>
          <w:szCs w:val="24"/>
        </w:rPr>
      </w:pPr>
      <w:r w:rsidRPr="0057101B">
        <w:rPr>
          <w:bCs/>
          <w:sz w:val="24"/>
          <w:szCs w:val="24"/>
        </w:rPr>
        <w:t>Erwin F. Fredrich for Petitioner.</w:t>
      </w:r>
    </w:p>
    <w:p w:rsidR="0057101B" w:rsidRPr="0057101B" w:rsidP="0057101B" w14:paraId="59AEA17F" w14:textId="77777777">
      <w:pPr>
        <w:spacing w:after="0" w:line="240" w:lineRule="auto"/>
        <w:jc w:val="left"/>
        <w:rPr>
          <w:bCs/>
          <w:sz w:val="24"/>
          <w:szCs w:val="24"/>
        </w:rPr>
      </w:pPr>
    </w:p>
    <w:p w:rsidR="0057101B" w:rsidRPr="0057101B" w:rsidP="0057101B" w14:paraId="1B767528" w14:textId="77777777">
      <w:pPr>
        <w:spacing w:after="0" w:line="240" w:lineRule="auto"/>
        <w:jc w:val="left"/>
        <w:rPr>
          <w:bCs/>
          <w:sz w:val="24"/>
          <w:szCs w:val="24"/>
        </w:rPr>
      </w:pPr>
      <w:r w:rsidRPr="0057101B">
        <w:rPr>
          <w:bCs/>
          <w:sz w:val="24"/>
          <w:szCs w:val="24"/>
        </w:rPr>
        <w:t>Benjamin Salorio, Public Defender (Imperial), and Darren Bean, Deputy Public Defender, for William Morse as Amicus Curiae on behalf of Petitioner.</w:t>
      </w:r>
    </w:p>
    <w:p w:rsidR="0057101B" w:rsidRPr="0057101B" w:rsidP="0057101B" w14:paraId="2A794837" w14:textId="77777777">
      <w:pPr>
        <w:spacing w:after="0" w:line="240" w:lineRule="auto"/>
        <w:jc w:val="left"/>
        <w:rPr>
          <w:bCs/>
          <w:sz w:val="24"/>
          <w:szCs w:val="24"/>
        </w:rPr>
      </w:pPr>
    </w:p>
    <w:p w:rsidR="0057101B" w:rsidRPr="0057101B" w:rsidP="0057101B" w14:paraId="09D420CE" w14:textId="77777777">
      <w:pPr>
        <w:spacing w:after="0" w:line="240" w:lineRule="auto"/>
        <w:jc w:val="left"/>
        <w:rPr>
          <w:bCs/>
          <w:sz w:val="24"/>
          <w:szCs w:val="24"/>
        </w:rPr>
      </w:pPr>
      <w:r w:rsidRPr="0057101B">
        <w:rPr>
          <w:bCs/>
          <w:sz w:val="24"/>
          <w:szCs w:val="24"/>
        </w:rPr>
        <w:t>No appearance for Respondent.</w:t>
      </w:r>
    </w:p>
    <w:p w:rsidR="0057101B" w:rsidRPr="0057101B" w:rsidP="0057101B" w14:paraId="29FB2281" w14:textId="77777777">
      <w:pPr>
        <w:spacing w:after="0" w:line="240" w:lineRule="auto"/>
        <w:jc w:val="left"/>
        <w:rPr>
          <w:bCs/>
          <w:sz w:val="24"/>
          <w:szCs w:val="24"/>
        </w:rPr>
      </w:pPr>
    </w:p>
    <w:p w:rsidR="0057101B" w:rsidRPr="0057101B" w:rsidP="0057101B" w14:paraId="22677406" w14:textId="77777777">
      <w:pPr>
        <w:spacing w:after="0" w:line="240" w:lineRule="auto"/>
        <w:jc w:val="left"/>
        <w:rPr>
          <w:bCs/>
          <w:sz w:val="24"/>
          <w:szCs w:val="24"/>
        </w:rPr>
      </w:pPr>
      <w:r w:rsidRPr="0057101B">
        <w:rPr>
          <w:bCs/>
          <w:sz w:val="24"/>
          <w:szCs w:val="24"/>
        </w:rPr>
        <w:t xml:space="preserve">Xavier Becerra and Rob Bonta, Attorneys General, Lance E Winters, Chief Assistant Attorney General, Jeffrey M. Laurence, Assistant Attorney General, Seth K. Schalit, René A. Chacón and Moona Nandi, Deputy Attorneys General, for Real Party in Interest. </w:t>
      </w:r>
    </w:p>
    <w:p w:rsidR="0057101B" w:rsidRPr="0057101B" w:rsidP="0057101B" w14:paraId="75DAD6C1" w14:textId="77777777">
      <w:pPr>
        <w:spacing w:after="0" w:line="240" w:lineRule="auto"/>
        <w:jc w:val="left"/>
        <w:rPr>
          <w:b/>
          <w:sz w:val="24"/>
          <w:szCs w:val="24"/>
        </w:rPr>
      </w:pPr>
      <w:r w:rsidRPr="0057101B">
        <w:rPr>
          <w:color w:val="212121"/>
          <w:sz w:val="24"/>
          <w:szCs w:val="24"/>
          <w:shd w:val="clear" w:color="auto" w:fill="FFFFFF"/>
        </w:rPr>
        <w:br w:type="page"/>
      </w:r>
      <w:r w:rsidRPr="0057101B">
        <w:rPr>
          <w:b/>
          <w:sz w:val="24"/>
          <w:szCs w:val="24"/>
        </w:rPr>
        <w:t>Counsel who argued in Supreme Court (not intended for publication with opinion):</w:t>
      </w:r>
    </w:p>
    <w:p w:rsidR="0057101B" w:rsidRPr="0057101B" w:rsidP="0057101B" w14:paraId="676D9C60" w14:textId="77777777">
      <w:pPr>
        <w:spacing w:after="0" w:line="240" w:lineRule="auto"/>
        <w:jc w:val="left"/>
        <w:rPr>
          <w:b/>
          <w:sz w:val="24"/>
          <w:szCs w:val="24"/>
        </w:rPr>
      </w:pPr>
    </w:p>
    <w:p w:rsidR="0057101B" w:rsidRPr="0057101B" w:rsidP="0057101B" w14:paraId="73150F39" w14:textId="77777777">
      <w:pPr>
        <w:spacing w:after="0" w:line="240" w:lineRule="auto"/>
        <w:jc w:val="left"/>
        <w:rPr>
          <w:sz w:val="24"/>
          <w:szCs w:val="24"/>
        </w:rPr>
      </w:pPr>
      <w:r w:rsidRPr="0057101B">
        <w:rPr>
          <w:sz w:val="24"/>
          <w:szCs w:val="24"/>
        </w:rPr>
        <w:t>Erwin F. Fredrich</w:t>
      </w:r>
    </w:p>
    <w:p w:rsidR="0057101B" w:rsidRPr="0057101B" w:rsidP="0057101B" w14:paraId="09F603AF" w14:textId="77777777">
      <w:pPr>
        <w:spacing w:after="0" w:line="240" w:lineRule="auto"/>
        <w:jc w:val="left"/>
        <w:rPr>
          <w:sz w:val="24"/>
          <w:szCs w:val="24"/>
        </w:rPr>
      </w:pPr>
      <w:r w:rsidRPr="0057101B">
        <w:rPr>
          <w:sz w:val="24"/>
          <w:szCs w:val="24"/>
        </w:rPr>
        <w:t>P.O. Box 471313</w:t>
      </w:r>
    </w:p>
    <w:p w:rsidR="0057101B" w:rsidRPr="0057101B" w:rsidP="0057101B" w14:paraId="3DF7FB5C" w14:textId="77777777">
      <w:pPr>
        <w:spacing w:after="0" w:line="240" w:lineRule="auto"/>
        <w:jc w:val="left"/>
        <w:rPr>
          <w:sz w:val="24"/>
          <w:szCs w:val="24"/>
        </w:rPr>
      </w:pPr>
      <w:r w:rsidRPr="0057101B">
        <w:rPr>
          <w:sz w:val="24"/>
          <w:szCs w:val="24"/>
        </w:rPr>
        <w:t>San Francisco, CA 94147</w:t>
      </w:r>
    </w:p>
    <w:p w:rsidR="0057101B" w:rsidRPr="0057101B" w:rsidP="0057101B" w14:paraId="6D72C765" w14:textId="77777777">
      <w:pPr>
        <w:spacing w:after="0" w:line="240" w:lineRule="auto"/>
        <w:jc w:val="left"/>
        <w:rPr>
          <w:sz w:val="24"/>
          <w:szCs w:val="24"/>
        </w:rPr>
      </w:pPr>
      <w:r w:rsidRPr="0057101B">
        <w:rPr>
          <w:sz w:val="24"/>
          <w:szCs w:val="24"/>
        </w:rPr>
        <w:t>(415) 563-8870</w:t>
      </w:r>
    </w:p>
    <w:p w:rsidR="0057101B" w:rsidRPr="0057101B" w:rsidP="0057101B" w14:paraId="675858C3" w14:textId="77777777">
      <w:pPr>
        <w:spacing w:after="0" w:line="240" w:lineRule="auto"/>
        <w:jc w:val="left"/>
        <w:rPr>
          <w:sz w:val="24"/>
          <w:szCs w:val="24"/>
        </w:rPr>
      </w:pPr>
    </w:p>
    <w:p w:rsidR="0057101B" w:rsidRPr="0057101B" w:rsidP="0057101B" w14:paraId="43522068" w14:textId="77777777">
      <w:pPr>
        <w:spacing w:after="0" w:line="240" w:lineRule="auto"/>
        <w:jc w:val="left"/>
        <w:rPr>
          <w:sz w:val="24"/>
          <w:szCs w:val="24"/>
        </w:rPr>
      </w:pPr>
      <w:r w:rsidRPr="0057101B">
        <w:rPr>
          <w:sz w:val="24"/>
          <w:szCs w:val="24"/>
        </w:rPr>
        <w:t>Moona Nandi</w:t>
      </w:r>
    </w:p>
    <w:p w:rsidR="0057101B" w:rsidRPr="0057101B" w:rsidP="0057101B" w14:paraId="40B22161" w14:textId="77777777">
      <w:pPr>
        <w:spacing w:after="0" w:line="240" w:lineRule="auto"/>
        <w:jc w:val="left"/>
        <w:rPr>
          <w:sz w:val="24"/>
          <w:szCs w:val="24"/>
        </w:rPr>
      </w:pPr>
      <w:r w:rsidRPr="0057101B">
        <w:rPr>
          <w:sz w:val="24"/>
          <w:szCs w:val="24"/>
        </w:rPr>
        <w:t>Deputy Attorney General</w:t>
      </w:r>
    </w:p>
    <w:p w:rsidR="0057101B" w:rsidRPr="0057101B" w:rsidP="0057101B" w14:paraId="0CB759C9" w14:textId="77777777">
      <w:pPr>
        <w:spacing w:after="0" w:line="240" w:lineRule="auto"/>
        <w:jc w:val="left"/>
        <w:rPr>
          <w:sz w:val="24"/>
          <w:szCs w:val="24"/>
        </w:rPr>
      </w:pPr>
      <w:r w:rsidRPr="0057101B">
        <w:rPr>
          <w:sz w:val="24"/>
          <w:szCs w:val="24"/>
        </w:rPr>
        <w:t>455 Golden Gate Avenue</w:t>
      </w:r>
    </w:p>
    <w:p w:rsidR="0057101B" w:rsidRPr="0057101B" w:rsidP="0057101B" w14:paraId="70FC3BCC" w14:textId="77777777">
      <w:pPr>
        <w:spacing w:after="0" w:line="240" w:lineRule="auto"/>
        <w:jc w:val="left"/>
        <w:rPr>
          <w:sz w:val="24"/>
          <w:szCs w:val="24"/>
        </w:rPr>
      </w:pPr>
      <w:r w:rsidRPr="0057101B">
        <w:rPr>
          <w:sz w:val="24"/>
          <w:szCs w:val="24"/>
        </w:rPr>
        <w:t>San Francisco, CA 94102</w:t>
      </w:r>
    </w:p>
    <w:p w:rsidR="0057101B" w:rsidRPr="0057101B" w:rsidP="0057101B" w14:paraId="178F01C4" w14:textId="77777777">
      <w:pPr>
        <w:spacing w:after="0" w:line="240" w:lineRule="auto"/>
        <w:jc w:val="left"/>
        <w:rPr>
          <w:sz w:val="24"/>
          <w:szCs w:val="24"/>
        </w:rPr>
      </w:pPr>
      <w:r w:rsidRPr="0057101B">
        <w:rPr>
          <w:sz w:val="24"/>
          <w:szCs w:val="24"/>
        </w:rPr>
        <w:t>(415) 510-3829</w:t>
      </w:r>
    </w:p>
    <w:p w:rsidR="0057101B" w:rsidRPr="0057101B" w:rsidP="0057101B" w14:paraId="64436B08" w14:textId="77777777">
      <w:pPr>
        <w:spacing w:after="0" w:line="240" w:lineRule="auto"/>
        <w:jc w:val="left"/>
        <w:rPr>
          <w:sz w:val="24"/>
          <w:szCs w:val="24"/>
        </w:rPr>
      </w:pPr>
    </w:p>
    <w:p w:rsidR="0057101B" w:rsidRPr="0057101B" w:rsidP="0057101B" w14:paraId="096DFFE8" w14:textId="77777777">
      <w:pPr>
        <w:spacing w:after="0" w:line="240" w:lineRule="auto"/>
        <w:jc w:val="left"/>
        <w:rPr>
          <w:sz w:val="24"/>
          <w:szCs w:val="24"/>
        </w:rPr>
      </w:pPr>
    </w:p>
    <w:p w:rsidR="0057101B" w:rsidRPr="0057101B" w:rsidP="0057101B" w14:paraId="5BFF0D45" w14:textId="77777777">
      <w:pPr>
        <w:spacing w:after="0" w:line="240" w:lineRule="auto"/>
        <w:jc w:val="left"/>
        <w:rPr>
          <w:sz w:val="24"/>
          <w:szCs w:val="24"/>
        </w:rPr>
      </w:pPr>
      <w:r w:rsidRPr="0057101B">
        <w:rPr>
          <w:sz w:val="24"/>
          <w:szCs w:val="24"/>
        </w:rPr>
        <w:t xml:space="preserve"> </w:t>
      </w:r>
    </w:p>
    <w:p w:rsidR="00A241F9" w:rsidRPr="003F145D" w:rsidP="003F145D" w14:paraId="7665D602" w14:textId="1BB78C13">
      <w:pPr>
        <w:tabs>
          <w:tab w:val="left" w:pos="1440"/>
        </w:tabs>
        <w:spacing w:after="0" w:line="240" w:lineRule="auto"/>
        <w:rPr>
          <w:b/>
          <w:bCs/>
        </w:rPr>
      </w:pPr>
    </w:p>
    <w:sectPr w:rsidSect="00761DF6">
      <w:headerReference w:type="default" r:id="rId10"/>
      <w:footerReference w:type="default" r:id="rId11"/>
      <w:footerReference w:type="first" r:id="rId12"/>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C17" w14:paraId="044C063C"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C17" w14:paraId="550AB168"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01B" w14:paraId="23F07111" w14:textId="5A2E5E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01B" w:rsidRPr="0057101B" w:rsidP="0057101B" w14:paraId="2E68458D" w14:textId="7141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3FB2" w14:paraId="4825F657" w14:textId="77777777">
      <w:r>
        <w:separator/>
      </w:r>
    </w:p>
  </w:footnote>
  <w:footnote w:type="continuationSeparator" w:id="1">
    <w:p w:rsidR="00743FB2" w14:paraId="03780F03" w14:textId="77777777">
      <w:pPr>
        <w:rPr>
          <w:i/>
          <w:iCs/>
          <w:sz w:val="20"/>
        </w:rPr>
      </w:pPr>
      <w:r>
        <w:continuationSeparator/>
      </w:r>
    </w:p>
  </w:footnote>
  <w:footnote w:type="continuationNotice" w:id="2">
    <w:p w:rsidR="00743FB2" w14:paraId="6CE783BF" w14:textId="77777777">
      <w:pPr>
        <w:jc w:val="right"/>
        <w:rPr>
          <w:i/>
          <w:iCs/>
          <w:sz w:val="20"/>
        </w:rPr>
      </w:pPr>
    </w:p>
  </w:footnote>
  <w:footnote w:id="3">
    <w:p w:rsidR="00CB6C17" w:rsidP="000F5684" w14:paraId="0F35A162" w14:textId="77777777">
      <w:pPr>
        <w:pStyle w:val="FootnoteText"/>
      </w:pPr>
      <w:r>
        <w:rPr>
          <w:rStyle w:val="FootnoteReference"/>
        </w:rPr>
        <w:footnoteRef/>
      </w:r>
      <w:r>
        <w:t xml:space="preserve"> </w:t>
      </w:r>
      <w:r>
        <w:tab/>
        <w:t>Further unspecified statutory references are to the Welfare and Institutions Code.</w:t>
      </w:r>
    </w:p>
  </w:footnote>
  <w:footnote w:id="4">
    <w:p w:rsidR="00CB6C17" w:rsidRPr="000D2B0E" w:rsidP="00761DF6" w14:paraId="249FF21C" w14:textId="7D662C02">
      <w:pPr>
        <w:spacing w:line="300" w:lineRule="exact"/>
        <w:rPr>
          <w:sz w:val="22"/>
        </w:rPr>
      </w:pPr>
      <w:r>
        <w:rPr>
          <w:rStyle w:val="FootnoteReference"/>
        </w:rPr>
        <w:footnoteRef/>
      </w:r>
      <w:r>
        <w:t xml:space="preserve"> </w:t>
      </w:r>
      <w:r>
        <w:tab/>
        <w:t xml:space="preserve">We grant Walker’s request that we take judicial notice of the SVPA petition, the docket and the People’s writ petition in </w:t>
      </w:r>
      <w:r>
        <w:rPr>
          <w:i/>
          <w:iCs/>
          <w:color w:val="000000"/>
          <w:bdr w:val="none" w:sz="0" w:space="0" w:color="auto" w:frame="1"/>
        </w:rPr>
        <w:t>People v. Superior Court</w:t>
      </w:r>
      <w:r>
        <w:rPr>
          <w:color w:val="000000"/>
        </w:rPr>
        <w:t> (</w:t>
      </w:r>
      <w:r>
        <w:rPr>
          <w:i/>
          <w:iCs/>
          <w:color w:val="000000"/>
          <w:bdr w:val="none" w:sz="0" w:space="0" w:color="auto" w:frame="1"/>
        </w:rPr>
        <w:t>Couthren</w:t>
      </w:r>
      <w:r>
        <w:rPr>
          <w:color w:val="000000"/>
        </w:rPr>
        <w:t>) (2019) 41 Cal.App.5th 1001 (</w:t>
      </w:r>
      <w:r w:rsidRPr="005A4F47">
        <w:rPr>
          <w:i/>
          <w:iCs/>
          <w:color w:val="000000"/>
        </w:rPr>
        <w:t>Couthren</w:t>
      </w:r>
      <w:r>
        <w:rPr>
          <w:color w:val="000000"/>
        </w:rPr>
        <w:t>)</w:t>
      </w:r>
      <w:r>
        <w:t xml:space="preserve">, and Department of Corrections and Rehabilitation forms.  (Evid. Code, § 452, subds. (d), (h).) </w:t>
      </w:r>
    </w:p>
  </w:footnote>
  <w:footnote w:id="5">
    <w:p w:rsidR="00CB6C17" w14:paraId="5751A695" w14:textId="59760599">
      <w:pPr>
        <w:pStyle w:val="FootnoteText"/>
      </w:pPr>
      <w:r>
        <w:rPr>
          <w:rStyle w:val="FootnoteReference"/>
        </w:rPr>
        <w:footnoteRef/>
      </w:r>
      <w:r>
        <w:t xml:space="preserve"> </w:t>
      </w:r>
      <w:r>
        <w:tab/>
        <w:t xml:space="preserve">Though the parties agree that the </w:t>
      </w:r>
      <w:r w:rsidRPr="005E4C43">
        <w:rPr>
          <w:i/>
          <w:iCs/>
        </w:rPr>
        <w:t>Parker</w:t>
      </w:r>
      <w:r>
        <w:t xml:space="preserve"> rule properly allows for the admission of the expert reports, they disagree on its second step:  the SVP’s right to cross-examine the report authors.  On the one hand, this step, like </w:t>
      </w:r>
      <w:r w:rsidRPr="00866B72">
        <w:rPr>
          <w:i/>
          <w:iCs/>
        </w:rPr>
        <w:t>Parker</w:t>
      </w:r>
      <w:r>
        <w:t>’s first step, strikes us as a potentially reasonable extrapolation to make regarding the conduct of the probable cause hearing — particularly since (a) the hearing requires more than section 6601.5’s “paper review,” and (b) cross-examination enables defendants to easily test the basis of the experts’ reports, regardless of whether the People have introduced this basis into evidence in the first instance via the reports.  But we need not decide this particular issue, since this case turns on the first-order question of the admissibility of specific report content.</w:t>
      </w:r>
    </w:p>
  </w:footnote>
  <w:footnote w:id="6">
    <w:p w:rsidR="00AC3FAE" w:rsidP="00AC3FAE" w14:paraId="54EA6C2A" w14:textId="3D7ED15C">
      <w:pPr>
        <w:pStyle w:val="FootnoteText"/>
      </w:pPr>
      <w:r>
        <w:rPr>
          <w:rStyle w:val="FootnoteReference"/>
        </w:rPr>
        <w:footnoteRef/>
      </w:r>
      <w:r>
        <w:t xml:space="preserve"> </w:t>
      </w:r>
      <w:r>
        <w:tab/>
        <w:t xml:space="preserve">Under these circumstances, the SVP </w:t>
      </w:r>
      <w:r w:rsidR="00BE7B2A">
        <w:t>might</w:t>
      </w:r>
      <w:r>
        <w:t xml:space="preserve"> still challenge the basis of the experts’ evaluation, including by cross-examination (under the </w:t>
      </w:r>
      <w:r w:rsidRPr="0005714F">
        <w:rPr>
          <w:i/>
          <w:iCs/>
        </w:rPr>
        <w:t>Parker</w:t>
      </w:r>
      <w:r>
        <w:t xml:space="preserve"> procedure).  (See </w:t>
      </w:r>
      <w:r w:rsidRPr="00F03304" w:rsidR="00DF7EA8">
        <w:rPr>
          <w:i/>
          <w:iCs/>
        </w:rPr>
        <w:t>People v. Valencia</w:t>
      </w:r>
      <w:r w:rsidR="00DF7EA8">
        <w:t xml:space="preserve"> (2021) 11 Cal.5th 818, 838, fn. 16</w:t>
      </w:r>
      <w:r>
        <w:t xml:space="preserve">; but see </w:t>
      </w:r>
      <w:r w:rsidRPr="006E27BB">
        <w:rPr>
          <w:i/>
          <w:iCs/>
        </w:rPr>
        <w:t>ante</w:t>
      </w:r>
      <w:r>
        <w:t xml:space="preserve">, at pp. </w:t>
      </w:r>
      <w:r w:rsidR="00AF2707">
        <w:t>11–</w:t>
      </w:r>
      <w:r>
        <w:t xml:space="preserve">12, 14 [this case does not require us to review the </w:t>
      </w:r>
      <w:r w:rsidRPr="006E27BB">
        <w:rPr>
          <w:i/>
          <w:iCs/>
        </w:rPr>
        <w:t>Parker</w:t>
      </w:r>
      <w:r>
        <w:t xml:space="preserve"> procedure].)</w:t>
      </w:r>
    </w:p>
  </w:footnote>
  <w:footnote w:id="7">
    <w:p w:rsidR="00CB6C17" w:rsidP="008E77AC" w14:paraId="2D15E3EB" w14:textId="77777777">
      <w:pPr>
        <w:pStyle w:val="FootnoteText"/>
      </w:pPr>
      <w:r>
        <w:rPr>
          <w:rStyle w:val="FootnoteReference"/>
        </w:rPr>
        <w:footnoteRef/>
      </w:r>
      <w:r>
        <w:t xml:space="preserve"> </w:t>
      </w:r>
      <w:r>
        <w:tab/>
      </w:r>
      <w:r w:rsidRPr="00191575">
        <w:t xml:space="preserve">We decline to reach </w:t>
      </w:r>
      <w:r>
        <w:t xml:space="preserve">the second issue briefed by the parties: </w:t>
      </w:r>
      <w:r w:rsidRPr="00191575">
        <w:t xml:space="preserve">whether defendants in SVPA proceedings have a due process right to confront and cross-examine witnesses presenting contested hearsay evidence.  </w:t>
      </w:r>
      <w:r>
        <w:t xml:space="preserve">Based on our state law holding, </w:t>
      </w:r>
      <w:r w:rsidRPr="00191575">
        <w:t>we need not further consider what due process requires.  (</w:t>
      </w:r>
      <w:r w:rsidRPr="00191575">
        <w:rPr>
          <w:i/>
          <w:iCs/>
        </w:rPr>
        <w:t xml:space="preserve">People v. Williams </w:t>
      </w:r>
      <w:r w:rsidRPr="00191575">
        <w:t xml:space="preserve">(1976) 16 Cal.3d 663, 667.)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C17" w14:paraId="3CFDCD46" w14:textId="599F10DE">
    <w:pPr>
      <w:pStyle w:val="Header"/>
    </w:pPr>
    <w:r>
      <w:t>WALKER v. SUPERIOR COURT</w:t>
    </w:r>
  </w:p>
  <w:p w:rsidR="00CB6C17" w:rsidP="0092704F" w14:paraId="6D3C7ACD" w14:textId="73AA9E97">
    <w:pPr>
      <w:pStyle w:val="Header"/>
    </w:pPr>
    <w:r>
      <w:t>Opinion of the Court by Cuéllar, J.</w:t>
    </w:r>
  </w:p>
  <w:p w:rsidR="00CB6C17" w14:paraId="17D857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A6B" w14:paraId="2C095F92" w14:textId="77777777">
    <w:pPr>
      <w:pStyle w:val="Header"/>
    </w:pPr>
    <w:r>
      <w:t>WALKER v. SUPERIOR COURT</w:t>
    </w:r>
  </w:p>
  <w:p w:rsidR="00E80A6B" w:rsidP="0092704F" w14:paraId="7EA43230" w14:textId="45D8C1D3">
    <w:pPr>
      <w:pStyle w:val="Header"/>
    </w:pPr>
    <w:r>
      <w:t>Cantil-Sakauye, C. </w:t>
    </w:r>
    <w:r>
      <w:t>J.</w:t>
    </w:r>
    <w:r>
      <w:t>, concurring</w:t>
    </w:r>
  </w:p>
  <w:p w:rsidR="00E80A6B" w14:paraId="7C2646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01B" w:rsidRPr="0057101B" w:rsidP="0057101B" w14:paraId="12D50B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3DFB31"/>
    <w:multiLevelType w:val="hybridMultilevel"/>
    <w:tmpl w:val="1E2F0D61"/>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55DEDD4"/>
    <w:multiLevelType w:val="hybridMultilevel"/>
    <w:tmpl w:val="60C9D52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DEC5134"/>
    <w:multiLevelType w:val="hybridMultilevel"/>
    <w:tmpl w:val="0B2A8C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471DC3"/>
    <w:multiLevelType w:val="hybridMultilevel"/>
    <w:tmpl w:val="DA3023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6E2919"/>
    <w:multiLevelType w:val="hybridMultilevel"/>
    <w:tmpl w:val="3D1EFB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4D7017"/>
    <w:multiLevelType w:val="multilevel"/>
    <w:tmpl w:val="C1AA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D7EFB"/>
    <w:multiLevelType w:val="hybridMultilevel"/>
    <w:tmpl w:val="6ACC72FA"/>
    <w:lvl w:ilvl="0">
      <w:start w:val="1"/>
      <w:numFmt w:val="decimal"/>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5058BB"/>
    <w:multiLevelType w:val="hybridMultilevel"/>
    <w:tmpl w:val="B4DAC6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7C6BB9"/>
    <w:multiLevelType w:val="hybridMultilevel"/>
    <w:tmpl w:val="B298E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E8706D"/>
    <w:multiLevelType w:val="hybridMultilevel"/>
    <w:tmpl w:val="A2F290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5493A39"/>
    <w:multiLevelType w:val="hybridMultilevel"/>
    <w:tmpl w:val="7A16327E"/>
    <w:lvl w:ilvl="0">
      <w:start w:val="1"/>
      <w:numFmt w:val="decimal"/>
      <w:lvlText w:val="%1."/>
      <w:lvlJc w:val="left"/>
      <w:pPr>
        <w:ind w:left="1080" w:hanging="360"/>
      </w:pPr>
      <w:rPr>
        <w:rFonts w:hint="default"/>
        <w:b/>
        <w:bCs/>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BCB6E24"/>
    <w:multiLevelType w:val="hybridMultilevel"/>
    <w:tmpl w:val="831660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D9D3E62"/>
    <w:multiLevelType w:val="hybridMultilevel"/>
    <w:tmpl w:val="67DAA1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FC61AAD"/>
    <w:multiLevelType w:val="multilevel"/>
    <w:tmpl w:val="120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3524C"/>
    <w:multiLevelType w:val="hybridMultilevel"/>
    <w:tmpl w:val="DCBA76A4"/>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5">
    <w:nsid w:val="52001133"/>
    <w:multiLevelType w:val="hybridMultilevel"/>
    <w:tmpl w:val="8F588C9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5D92F49"/>
    <w:multiLevelType w:val="hybridMultilevel"/>
    <w:tmpl w:val="6BA61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65A0329"/>
    <w:multiLevelType w:val="hybridMultilevel"/>
    <w:tmpl w:val="B97EA76A"/>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8">
    <w:nsid w:val="5E7DC51F"/>
    <w:multiLevelType w:val="hybridMultilevel"/>
    <w:tmpl w:val="DEEA37B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682F1D13"/>
    <w:multiLevelType w:val="hybridMultilevel"/>
    <w:tmpl w:val="2BA0EC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A10355E"/>
    <w:multiLevelType w:val="hybridMultilevel"/>
    <w:tmpl w:val="3D1EFB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EBB56E1"/>
    <w:multiLevelType w:val="hybridMultilevel"/>
    <w:tmpl w:val="9A0087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C0356F8"/>
    <w:multiLevelType w:val="hybridMultilevel"/>
    <w:tmpl w:val="A4FCC9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C9C5251"/>
    <w:multiLevelType w:val="hybridMultilevel"/>
    <w:tmpl w:val="59347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705BB8"/>
    <w:multiLevelType w:val="hybridMultilevel"/>
    <w:tmpl w:val="DE6448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EAE222A"/>
    <w:multiLevelType w:val="hybridMultilevel"/>
    <w:tmpl w:val="A596D8AA"/>
    <w:lvl w:ilvl="0">
      <w:start w:val="1"/>
      <w:numFmt w:val="upperLetter"/>
      <w:lvlText w:val="%1."/>
      <w:lvlJc w:val="left"/>
      <w:pPr>
        <w:ind w:left="90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21"/>
  </w:num>
  <w:num w:numId="2">
    <w:abstractNumId w:val="9"/>
  </w:num>
  <w:num w:numId="3">
    <w:abstractNumId w:val="25"/>
  </w:num>
  <w:num w:numId="4">
    <w:abstractNumId w:val="10"/>
  </w:num>
  <w:num w:numId="5">
    <w:abstractNumId w:val="13"/>
  </w:num>
  <w:num w:numId="6">
    <w:abstractNumId w:val="2"/>
  </w:num>
  <w:num w:numId="7">
    <w:abstractNumId w:val="12"/>
  </w:num>
  <w:num w:numId="8">
    <w:abstractNumId w:val="10"/>
    <w:lvlOverride w:ilvl="0">
      <w:startOverride w:val="1"/>
    </w:lvlOverride>
  </w:num>
  <w:num w:numId="9">
    <w:abstractNumId w:val="18"/>
  </w:num>
  <w:num w:numId="10">
    <w:abstractNumId w:val="0"/>
  </w:num>
  <w:num w:numId="11">
    <w:abstractNumId w:val="1"/>
  </w:num>
  <w:num w:numId="12">
    <w:abstractNumId w:val="11"/>
  </w:num>
  <w:num w:numId="13">
    <w:abstractNumId w:val="6"/>
  </w:num>
  <w:num w:numId="14">
    <w:abstractNumId w:val="23"/>
  </w:num>
  <w:num w:numId="15">
    <w:abstractNumId w:val="24"/>
  </w:num>
  <w:num w:numId="16">
    <w:abstractNumId w:val="19"/>
  </w:num>
  <w:num w:numId="17">
    <w:abstractNumId w:val="3"/>
  </w:num>
  <w:num w:numId="18">
    <w:abstractNumId w:val="5"/>
  </w:num>
  <w:num w:numId="19">
    <w:abstractNumId w:val="4"/>
  </w:num>
  <w:num w:numId="20">
    <w:abstractNumId w:val="15"/>
  </w:num>
  <w:num w:numId="21">
    <w:abstractNumId w:val="20"/>
  </w:num>
  <w:num w:numId="22">
    <w:abstractNumId w:val="22"/>
  </w:num>
  <w:num w:numId="23">
    <w:abstractNumId w:val="7"/>
  </w:num>
  <w:num w:numId="24">
    <w:abstractNumId w:val="8"/>
  </w:num>
  <w:num w:numId="25">
    <w:abstractNumId w:val="14"/>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C1"/>
    <w:rsid w:val="000002A8"/>
    <w:rsid w:val="00000409"/>
    <w:rsid w:val="00000906"/>
    <w:rsid w:val="00000A10"/>
    <w:rsid w:val="00000D53"/>
    <w:rsid w:val="00000F49"/>
    <w:rsid w:val="00001323"/>
    <w:rsid w:val="00001477"/>
    <w:rsid w:val="00001573"/>
    <w:rsid w:val="0000164F"/>
    <w:rsid w:val="000017EE"/>
    <w:rsid w:val="00001C5C"/>
    <w:rsid w:val="00002035"/>
    <w:rsid w:val="0000228C"/>
    <w:rsid w:val="000024E8"/>
    <w:rsid w:val="00002F56"/>
    <w:rsid w:val="000030F9"/>
    <w:rsid w:val="00003223"/>
    <w:rsid w:val="000032FD"/>
    <w:rsid w:val="000034B3"/>
    <w:rsid w:val="0000397C"/>
    <w:rsid w:val="000039E5"/>
    <w:rsid w:val="00003BE0"/>
    <w:rsid w:val="00004125"/>
    <w:rsid w:val="000042A8"/>
    <w:rsid w:val="0000478A"/>
    <w:rsid w:val="000048DC"/>
    <w:rsid w:val="00004EF3"/>
    <w:rsid w:val="00005331"/>
    <w:rsid w:val="000053BE"/>
    <w:rsid w:val="00005555"/>
    <w:rsid w:val="00005703"/>
    <w:rsid w:val="00005ABB"/>
    <w:rsid w:val="00005CC0"/>
    <w:rsid w:val="00005EC6"/>
    <w:rsid w:val="00005F3B"/>
    <w:rsid w:val="00006066"/>
    <w:rsid w:val="00006237"/>
    <w:rsid w:val="000064B8"/>
    <w:rsid w:val="000064D7"/>
    <w:rsid w:val="00006526"/>
    <w:rsid w:val="000066F6"/>
    <w:rsid w:val="000068CB"/>
    <w:rsid w:val="00006A55"/>
    <w:rsid w:val="00006C79"/>
    <w:rsid w:val="00007001"/>
    <w:rsid w:val="0000764C"/>
    <w:rsid w:val="00007685"/>
    <w:rsid w:val="00007864"/>
    <w:rsid w:val="00007D74"/>
    <w:rsid w:val="00007DE0"/>
    <w:rsid w:val="0001030B"/>
    <w:rsid w:val="000106FB"/>
    <w:rsid w:val="000107C3"/>
    <w:rsid w:val="0001083E"/>
    <w:rsid w:val="00010CB9"/>
    <w:rsid w:val="0001176C"/>
    <w:rsid w:val="00011948"/>
    <w:rsid w:val="000120C3"/>
    <w:rsid w:val="000120DE"/>
    <w:rsid w:val="00012147"/>
    <w:rsid w:val="0001224A"/>
    <w:rsid w:val="000123D3"/>
    <w:rsid w:val="000124D6"/>
    <w:rsid w:val="00012715"/>
    <w:rsid w:val="000127EB"/>
    <w:rsid w:val="00012858"/>
    <w:rsid w:val="00012C72"/>
    <w:rsid w:val="00012FF2"/>
    <w:rsid w:val="0001342C"/>
    <w:rsid w:val="00013594"/>
    <w:rsid w:val="00013669"/>
    <w:rsid w:val="00013692"/>
    <w:rsid w:val="00013DB6"/>
    <w:rsid w:val="00013EAC"/>
    <w:rsid w:val="00014D53"/>
    <w:rsid w:val="00014DAF"/>
    <w:rsid w:val="00014E94"/>
    <w:rsid w:val="000150B4"/>
    <w:rsid w:val="00015620"/>
    <w:rsid w:val="00016414"/>
    <w:rsid w:val="0001648E"/>
    <w:rsid w:val="0001656B"/>
    <w:rsid w:val="000165E0"/>
    <w:rsid w:val="00016E64"/>
    <w:rsid w:val="00016E81"/>
    <w:rsid w:val="000170B0"/>
    <w:rsid w:val="0001714E"/>
    <w:rsid w:val="000176DD"/>
    <w:rsid w:val="000178A0"/>
    <w:rsid w:val="00017CB0"/>
    <w:rsid w:val="00020302"/>
    <w:rsid w:val="000207ED"/>
    <w:rsid w:val="0002084B"/>
    <w:rsid w:val="00020A84"/>
    <w:rsid w:val="00020CC8"/>
    <w:rsid w:val="00021099"/>
    <w:rsid w:val="00021367"/>
    <w:rsid w:val="00021705"/>
    <w:rsid w:val="00021741"/>
    <w:rsid w:val="00021902"/>
    <w:rsid w:val="000219D7"/>
    <w:rsid w:val="00021AEA"/>
    <w:rsid w:val="00021FB0"/>
    <w:rsid w:val="00022795"/>
    <w:rsid w:val="00022865"/>
    <w:rsid w:val="00022997"/>
    <w:rsid w:val="000229B2"/>
    <w:rsid w:val="00022A81"/>
    <w:rsid w:val="00022B7D"/>
    <w:rsid w:val="00022C4C"/>
    <w:rsid w:val="00022CB8"/>
    <w:rsid w:val="00022DE0"/>
    <w:rsid w:val="00022E0A"/>
    <w:rsid w:val="0002302D"/>
    <w:rsid w:val="0002303E"/>
    <w:rsid w:val="00023246"/>
    <w:rsid w:val="000232DF"/>
    <w:rsid w:val="000238CF"/>
    <w:rsid w:val="00023A1C"/>
    <w:rsid w:val="00023C51"/>
    <w:rsid w:val="00023D36"/>
    <w:rsid w:val="00023F7F"/>
    <w:rsid w:val="00023FA7"/>
    <w:rsid w:val="000240EE"/>
    <w:rsid w:val="0002489F"/>
    <w:rsid w:val="00024A6E"/>
    <w:rsid w:val="000250B9"/>
    <w:rsid w:val="00025528"/>
    <w:rsid w:val="000259E4"/>
    <w:rsid w:val="00025B0B"/>
    <w:rsid w:val="00025B4E"/>
    <w:rsid w:val="00025E5C"/>
    <w:rsid w:val="00026280"/>
    <w:rsid w:val="0002631D"/>
    <w:rsid w:val="00026A8A"/>
    <w:rsid w:val="00026C5D"/>
    <w:rsid w:val="00026DA5"/>
    <w:rsid w:val="000272EC"/>
    <w:rsid w:val="00027343"/>
    <w:rsid w:val="0002752F"/>
    <w:rsid w:val="00027539"/>
    <w:rsid w:val="000276EB"/>
    <w:rsid w:val="00027846"/>
    <w:rsid w:val="000278BC"/>
    <w:rsid w:val="00027CA7"/>
    <w:rsid w:val="00027E83"/>
    <w:rsid w:val="000301C0"/>
    <w:rsid w:val="000303E4"/>
    <w:rsid w:val="00030BC6"/>
    <w:rsid w:val="00030C03"/>
    <w:rsid w:val="00030C96"/>
    <w:rsid w:val="00030D93"/>
    <w:rsid w:val="000314A5"/>
    <w:rsid w:val="000319E6"/>
    <w:rsid w:val="00031A4F"/>
    <w:rsid w:val="00031CE9"/>
    <w:rsid w:val="00031DF4"/>
    <w:rsid w:val="00031F46"/>
    <w:rsid w:val="00031F86"/>
    <w:rsid w:val="00031F9D"/>
    <w:rsid w:val="0003214E"/>
    <w:rsid w:val="00032388"/>
    <w:rsid w:val="0003242A"/>
    <w:rsid w:val="00032581"/>
    <w:rsid w:val="000325D4"/>
    <w:rsid w:val="00032675"/>
    <w:rsid w:val="00032ED6"/>
    <w:rsid w:val="00032F79"/>
    <w:rsid w:val="0003318F"/>
    <w:rsid w:val="00033337"/>
    <w:rsid w:val="000333AD"/>
    <w:rsid w:val="00033A16"/>
    <w:rsid w:val="00033B6D"/>
    <w:rsid w:val="00033D75"/>
    <w:rsid w:val="00034164"/>
    <w:rsid w:val="00034914"/>
    <w:rsid w:val="00034B19"/>
    <w:rsid w:val="00034B43"/>
    <w:rsid w:val="00034E65"/>
    <w:rsid w:val="00034F59"/>
    <w:rsid w:val="000350B9"/>
    <w:rsid w:val="00035314"/>
    <w:rsid w:val="00035328"/>
    <w:rsid w:val="000354EB"/>
    <w:rsid w:val="00035A00"/>
    <w:rsid w:val="00035C1C"/>
    <w:rsid w:val="00035D8B"/>
    <w:rsid w:val="00035FA5"/>
    <w:rsid w:val="00036C41"/>
    <w:rsid w:val="00036E01"/>
    <w:rsid w:val="00037097"/>
    <w:rsid w:val="0004010C"/>
    <w:rsid w:val="00040184"/>
    <w:rsid w:val="0004058C"/>
    <w:rsid w:val="0004091C"/>
    <w:rsid w:val="00040ABA"/>
    <w:rsid w:val="00040EDA"/>
    <w:rsid w:val="00040F4F"/>
    <w:rsid w:val="00040FF3"/>
    <w:rsid w:val="0004132C"/>
    <w:rsid w:val="0004136A"/>
    <w:rsid w:val="000417F3"/>
    <w:rsid w:val="00041A90"/>
    <w:rsid w:val="00041E46"/>
    <w:rsid w:val="0004210E"/>
    <w:rsid w:val="00042794"/>
    <w:rsid w:val="00042983"/>
    <w:rsid w:val="000429B1"/>
    <w:rsid w:val="00042A6D"/>
    <w:rsid w:val="00043181"/>
    <w:rsid w:val="00043A9E"/>
    <w:rsid w:val="00043FA3"/>
    <w:rsid w:val="00044CB3"/>
    <w:rsid w:val="00045025"/>
    <w:rsid w:val="00045089"/>
    <w:rsid w:val="000452C7"/>
    <w:rsid w:val="00045380"/>
    <w:rsid w:val="000454C4"/>
    <w:rsid w:val="000459CA"/>
    <w:rsid w:val="00045E81"/>
    <w:rsid w:val="00045F84"/>
    <w:rsid w:val="000460DF"/>
    <w:rsid w:val="000466D1"/>
    <w:rsid w:val="0004673C"/>
    <w:rsid w:val="00046903"/>
    <w:rsid w:val="0004694C"/>
    <w:rsid w:val="000474E6"/>
    <w:rsid w:val="00047669"/>
    <w:rsid w:val="000476BF"/>
    <w:rsid w:val="00047757"/>
    <w:rsid w:val="00047E17"/>
    <w:rsid w:val="000500E0"/>
    <w:rsid w:val="0005036E"/>
    <w:rsid w:val="000507E2"/>
    <w:rsid w:val="00050820"/>
    <w:rsid w:val="00050C46"/>
    <w:rsid w:val="00050CCF"/>
    <w:rsid w:val="00050EAF"/>
    <w:rsid w:val="000514C2"/>
    <w:rsid w:val="00051674"/>
    <w:rsid w:val="0005176E"/>
    <w:rsid w:val="00052100"/>
    <w:rsid w:val="00052107"/>
    <w:rsid w:val="00052188"/>
    <w:rsid w:val="00052204"/>
    <w:rsid w:val="0005224C"/>
    <w:rsid w:val="000523F0"/>
    <w:rsid w:val="000529B9"/>
    <w:rsid w:val="00052DC9"/>
    <w:rsid w:val="0005321B"/>
    <w:rsid w:val="00053871"/>
    <w:rsid w:val="00053985"/>
    <w:rsid w:val="00053CBA"/>
    <w:rsid w:val="00053E50"/>
    <w:rsid w:val="000541D2"/>
    <w:rsid w:val="0005432F"/>
    <w:rsid w:val="000543E2"/>
    <w:rsid w:val="000546CD"/>
    <w:rsid w:val="00054E06"/>
    <w:rsid w:val="000550B0"/>
    <w:rsid w:val="000550EA"/>
    <w:rsid w:val="000555C9"/>
    <w:rsid w:val="0005563F"/>
    <w:rsid w:val="00055BBD"/>
    <w:rsid w:val="000565FA"/>
    <w:rsid w:val="00056A35"/>
    <w:rsid w:val="00056A51"/>
    <w:rsid w:val="00056EDC"/>
    <w:rsid w:val="000570D1"/>
    <w:rsid w:val="0005714F"/>
    <w:rsid w:val="0005719B"/>
    <w:rsid w:val="00057404"/>
    <w:rsid w:val="00057E3C"/>
    <w:rsid w:val="00057EA9"/>
    <w:rsid w:val="00060310"/>
    <w:rsid w:val="0006047B"/>
    <w:rsid w:val="0006095A"/>
    <w:rsid w:val="00060AF4"/>
    <w:rsid w:val="00060B4C"/>
    <w:rsid w:val="00060BC6"/>
    <w:rsid w:val="00060E0E"/>
    <w:rsid w:val="00061A08"/>
    <w:rsid w:val="00061D89"/>
    <w:rsid w:val="00061D9F"/>
    <w:rsid w:val="000620C1"/>
    <w:rsid w:val="0006225D"/>
    <w:rsid w:val="00062D05"/>
    <w:rsid w:val="00062E01"/>
    <w:rsid w:val="00062F80"/>
    <w:rsid w:val="000631CB"/>
    <w:rsid w:val="00063457"/>
    <w:rsid w:val="00064149"/>
    <w:rsid w:val="000643CE"/>
    <w:rsid w:val="00065037"/>
    <w:rsid w:val="000653CC"/>
    <w:rsid w:val="000656C0"/>
    <w:rsid w:val="000656E1"/>
    <w:rsid w:val="00065729"/>
    <w:rsid w:val="000659C1"/>
    <w:rsid w:val="00066115"/>
    <w:rsid w:val="000663C5"/>
    <w:rsid w:val="0006676A"/>
    <w:rsid w:val="00066A28"/>
    <w:rsid w:val="00066A76"/>
    <w:rsid w:val="00066AD1"/>
    <w:rsid w:val="0006724E"/>
    <w:rsid w:val="00067355"/>
    <w:rsid w:val="000675BC"/>
    <w:rsid w:val="0006776D"/>
    <w:rsid w:val="00067ADC"/>
    <w:rsid w:val="0007006A"/>
    <w:rsid w:val="00070239"/>
    <w:rsid w:val="000704AD"/>
    <w:rsid w:val="00070A17"/>
    <w:rsid w:val="00070BEB"/>
    <w:rsid w:val="00070E21"/>
    <w:rsid w:val="00071451"/>
    <w:rsid w:val="000715EE"/>
    <w:rsid w:val="000719D8"/>
    <w:rsid w:val="00071B15"/>
    <w:rsid w:val="00071D5A"/>
    <w:rsid w:val="00071DBC"/>
    <w:rsid w:val="00071EAC"/>
    <w:rsid w:val="00072141"/>
    <w:rsid w:val="00072387"/>
    <w:rsid w:val="0007242D"/>
    <w:rsid w:val="00072AFC"/>
    <w:rsid w:val="00072DE1"/>
    <w:rsid w:val="00072E6F"/>
    <w:rsid w:val="00072F9A"/>
    <w:rsid w:val="00072FBC"/>
    <w:rsid w:val="0007303B"/>
    <w:rsid w:val="0007316E"/>
    <w:rsid w:val="00073277"/>
    <w:rsid w:val="00073653"/>
    <w:rsid w:val="00073A75"/>
    <w:rsid w:val="00073DBC"/>
    <w:rsid w:val="00074288"/>
    <w:rsid w:val="0007497F"/>
    <w:rsid w:val="000749FD"/>
    <w:rsid w:val="00074D96"/>
    <w:rsid w:val="00075412"/>
    <w:rsid w:val="00075473"/>
    <w:rsid w:val="00075B12"/>
    <w:rsid w:val="00075D17"/>
    <w:rsid w:val="00075DAD"/>
    <w:rsid w:val="00075F22"/>
    <w:rsid w:val="00076051"/>
    <w:rsid w:val="0007613F"/>
    <w:rsid w:val="0007654A"/>
    <w:rsid w:val="00076B0F"/>
    <w:rsid w:val="0007747E"/>
    <w:rsid w:val="00077514"/>
    <w:rsid w:val="00077AC6"/>
    <w:rsid w:val="00077C4D"/>
    <w:rsid w:val="00077E8E"/>
    <w:rsid w:val="0008099D"/>
    <w:rsid w:val="00080ACD"/>
    <w:rsid w:val="00080D5B"/>
    <w:rsid w:val="00080DE6"/>
    <w:rsid w:val="00081244"/>
    <w:rsid w:val="0008126F"/>
    <w:rsid w:val="000812C9"/>
    <w:rsid w:val="000812F0"/>
    <w:rsid w:val="000812F3"/>
    <w:rsid w:val="0008142C"/>
    <w:rsid w:val="0008152C"/>
    <w:rsid w:val="0008161E"/>
    <w:rsid w:val="00081A0F"/>
    <w:rsid w:val="00081AF5"/>
    <w:rsid w:val="0008223F"/>
    <w:rsid w:val="0008232B"/>
    <w:rsid w:val="0008232F"/>
    <w:rsid w:val="000829EE"/>
    <w:rsid w:val="00082A05"/>
    <w:rsid w:val="00082E22"/>
    <w:rsid w:val="00082EE7"/>
    <w:rsid w:val="00083099"/>
    <w:rsid w:val="000832D5"/>
    <w:rsid w:val="0008337F"/>
    <w:rsid w:val="000838E4"/>
    <w:rsid w:val="00083F07"/>
    <w:rsid w:val="000843E0"/>
    <w:rsid w:val="000847B1"/>
    <w:rsid w:val="00084FBE"/>
    <w:rsid w:val="00085458"/>
    <w:rsid w:val="00085660"/>
    <w:rsid w:val="00085AA0"/>
    <w:rsid w:val="00085B96"/>
    <w:rsid w:val="00085C2F"/>
    <w:rsid w:val="00085C87"/>
    <w:rsid w:val="000863D2"/>
    <w:rsid w:val="00086641"/>
    <w:rsid w:val="00086698"/>
    <w:rsid w:val="000866D2"/>
    <w:rsid w:val="00086796"/>
    <w:rsid w:val="000868BE"/>
    <w:rsid w:val="00086938"/>
    <w:rsid w:val="00086AD1"/>
    <w:rsid w:val="0008762E"/>
    <w:rsid w:val="0008793D"/>
    <w:rsid w:val="00087D26"/>
    <w:rsid w:val="00087EA1"/>
    <w:rsid w:val="00090289"/>
    <w:rsid w:val="00090291"/>
    <w:rsid w:val="0009057A"/>
    <w:rsid w:val="00090660"/>
    <w:rsid w:val="00090A4E"/>
    <w:rsid w:val="00090D89"/>
    <w:rsid w:val="00090F0A"/>
    <w:rsid w:val="00090F9D"/>
    <w:rsid w:val="000919A5"/>
    <w:rsid w:val="00091F21"/>
    <w:rsid w:val="000928BE"/>
    <w:rsid w:val="00092957"/>
    <w:rsid w:val="00092E10"/>
    <w:rsid w:val="00093261"/>
    <w:rsid w:val="000932B8"/>
    <w:rsid w:val="000932D3"/>
    <w:rsid w:val="00093334"/>
    <w:rsid w:val="000933E8"/>
    <w:rsid w:val="000934E9"/>
    <w:rsid w:val="00093772"/>
    <w:rsid w:val="00093841"/>
    <w:rsid w:val="00093AAF"/>
    <w:rsid w:val="00093C9C"/>
    <w:rsid w:val="00093E4D"/>
    <w:rsid w:val="000942B4"/>
    <w:rsid w:val="0009464B"/>
    <w:rsid w:val="00094AB8"/>
    <w:rsid w:val="00094B3B"/>
    <w:rsid w:val="00094B8E"/>
    <w:rsid w:val="00094D50"/>
    <w:rsid w:val="00094F4D"/>
    <w:rsid w:val="0009510C"/>
    <w:rsid w:val="0009511B"/>
    <w:rsid w:val="0009535A"/>
    <w:rsid w:val="00095DF0"/>
    <w:rsid w:val="00095F39"/>
    <w:rsid w:val="000960B5"/>
    <w:rsid w:val="0009661D"/>
    <w:rsid w:val="0009676B"/>
    <w:rsid w:val="00096CAB"/>
    <w:rsid w:val="00096D8A"/>
    <w:rsid w:val="00096F50"/>
    <w:rsid w:val="000974D7"/>
    <w:rsid w:val="00097616"/>
    <w:rsid w:val="00097EFF"/>
    <w:rsid w:val="000A0166"/>
    <w:rsid w:val="000A04E9"/>
    <w:rsid w:val="000A0575"/>
    <w:rsid w:val="000A06AE"/>
    <w:rsid w:val="000A0AE1"/>
    <w:rsid w:val="000A0C45"/>
    <w:rsid w:val="000A10DE"/>
    <w:rsid w:val="000A24A3"/>
    <w:rsid w:val="000A2542"/>
    <w:rsid w:val="000A2766"/>
    <w:rsid w:val="000A292B"/>
    <w:rsid w:val="000A2F88"/>
    <w:rsid w:val="000A3ADA"/>
    <w:rsid w:val="000A3B2B"/>
    <w:rsid w:val="000A41E6"/>
    <w:rsid w:val="000A42FD"/>
    <w:rsid w:val="000A489A"/>
    <w:rsid w:val="000A4C23"/>
    <w:rsid w:val="000A4C33"/>
    <w:rsid w:val="000A5522"/>
    <w:rsid w:val="000A59D1"/>
    <w:rsid w:val="000A5BB2"/>
    <w:rsid w:val="000A5D67"/>
    <w:rsid w:val="000A5D99"/>
    <w:rsid w:val="000A5FC7"/>
    <w:rsid w:val="000A6136"/>
    <w:rsid w:val="000A624F"/>
    <w:rsid w:val="000A639E"/>
    <w:rsid w:val="000A64E3"/>
    <w:rsid w:val="000A66ED"/>
    <w:rsid w:val="000A6857"/>
    <w:rsid w:val="000A6C02"/>
    <w:rsid w:val="000A7046"/>
    <w:rsid w:val="000A7192"/>
    <w:rsid w:val="000A76A4"/>
    <w:rsid w:val="000A781B"/>
    <w:rsid w:val="000A7898"/>
    <w:rsid w:val="000B0866"/>
    <w:rsid w:val="000B0FBC"/>
    <w:rsid w:val="000B1019"/>
    <w:rsid w:val="000B1087"/>
    <w:rsid w:val="000B11B6"/>
    <w:rsid w:val="000B1445"/>
    <w:rsid w:val="000B1606"/>
    <w:rsid w:val="000B1899"/>
    <w:rsid w:val="000B18A1"/>
    <w:rsid w:val="000B19F1"/>
    <w:rsid w:val="000B1C03"/>
    <w:rsid w:val="000B1C04"/>
    <w:rsid w:val="000B1EA0"/>
    <w:rsid w:val="000B20FC"/>
    <w:rsid w:val="000B223E"/>
    <w:rsid w:val="000B2359"/>
    <w:rsid w:val="000B2380"/>
    <w:rsid w:val="000B244D"/>
    <w:rsid w:val="000B2698"/>
    <w:rsid w:val="000B284C"/>
    <w:rsid w:val="000B28F4"/>
    <w:rsid w:val="000B2CBE"/>
    <w:rsid w:val="000B2D5E"/>
    <w:rsid w:val="000B2EC3"/>
    <w:rsid w:val="000B31CA"/>
    <w:rsid w:val="000B344B"/>
    <w:rsid w:val="000B3A11"/>
    <w:rsid w:val="000B3C25"/>
    <w:rsid w:val="000B3E6F"/>
    <w:rsid w:val="000B3EF6"/>
    <w:rsid w:val="000B433C"/>
    <w:rsid w:val="000B4A9B"/>
    <w:rsid w:val="000B4F81"/>
    <w:rsid w:val="000B53C2"/>
    <w:rsid w:val="000B5907"/>
    <w:rsid w:val="000B5A0F"/>
    <w:rsid w:val="000B5C7C"/>
    <w:rsid w:val="000B5E31"/>
    <w:rsid w:val="000B60EF"/>
    <w:rsid w:val="000B645F"/>
    <w:rsid w:val="000B6B6D"/>
    <w:rsid w:val="000B6DCF"/>
    <w:rsid w:val="000B6F35"/>
    <w:rsid w:val="000B7493"/>
    <w:rsid w:val="000B7A17"/>
    <w:rsid w:val="000B7B2C"/>
    <w:rsid w:val="000B7F5D"/>
    <w:rsid w:val="000B7FCB"/>
    <w:rsid w:val="000C025D"/>
    <w:rsid w:val="000C02F6"/>
    <w:rsid w:val="000C08D7"/>
    <w:rsid w:val="000C0953"/>
    <w:rsid w:val="000C0C3F"/>
    <w:rsid w:val="000C0D77"/>
    <w:rsid w:val="000C0D98"/>
    <w:rsid w:val="000C126A"/>
    <w:rsid w:val="000C17BB"/>
    <w:rsid w:val="000C1886"/>
    <w:rsid w:val="000C1BD9"/>
    <w:rsid w:val="000C2229"/>
    <w:rsid w:val="000C2514"/>
    <w:rsid w:val="000C2664"/>
    <w:rsid w:val="000C2D35"/>
    <w:rsid w:val="000C311B"/>
    <w:rsid w:val="000C31DA"/>
    <w:rsid w:val="000C3355"/>
    <w:rsid w:val="000C3359"/>
    <w:rsid w:val="000C34A4"/>
    <w:rsid w:val="000C363B"/>
    <w:rsid w:val="000C3687"/>
    <w:rsid w:val="000C377D"/>
    <w:rsid w:val="000C39A3"/>
    <w:rsid w:val="000C3A65"/>
    <w:rsid w:val="000C3BC9"/>
    <w:rsid w:val="000C3D5F"/>
    <w:rsid w:val="000C3E7B"/>
    <w:rsid w:val="000C3F12"/>
    <w:rsid w:val="000C3FF5"/>
    <w:rsid w:val="000C443B"/>
    <w:rsid w:val="000C4689"/>
    <w:rsid w:val="000C46F3"/>
    <w:rsid w:val="000C483D"/>
    <w:rsid w:val="000C4A0B"/>
    <w:rsid w:val="000C4CAD"/>
    <w:rsid w:val="000C4D40"/>
    <w:rsid w:val="000C4E28"/>
    <w:rsid w:val="000C5278"/>
    <w:rsid w:val="000C5318"/>
    <w:rsid w:val="000C56EE"/>
    <w:rsid w:val="000C5B62"/>
    <w:rsid w:val="000C60FB"/>
    <w:rsid w:val="000C61C9"/>
    <w:rsid w:val="000C63F3"/>
    <w:rsid w:val="000C6482"/>
    <w:rsid w:val="000C66CD"/>
    <w:rsid w:val="000C68B7"/>
    <w:rsid w:val="000C6FDE"/>
    <w:rsid w:val="000C71EF"/>
    <w:rsid w:val="000C76B7"/>
    <w:rsid w:val="000C7AAB"/>
    <w:rsid w:val="000C7C55"/>
    <w:rsid w:val="000C7DF0"/>
    <w:rsid w:val="000C7E91"/>
    <w:rsid w:val="000C7EF9"/>
    <w:rsid w:val="000D080B"/>
    <w:rsid w:val="000D0AC8"/>
    <w:rsid w:val="000D0B8F"/>
    <w:rsid w:val="000D0C8C"/>
    <w:rsid w:val="000D116D"/>
    <w:rsid w:val="000D13B5"/>
    <w:rsid w:val="000D17AF"/>
    <w:rsid w:val="000D185D"/>
    <w:rsid w:val="000D1AFA"/>
    <w:rsid w:val="000D1BB5"/>
    <w:rsid w:val="000D2619"/>
    <w:rsid w:val="000D27B5"/>
    <w:rsid w:val="000D28D1"/>
    <w:rsid w:val="000D2B0E"/>
    <w:rsid w:val="000D2DE1"/>
    <w:rsid w:val="000D3018"/>
    <w:rsid w:val="000D311B"/>
    <w:rsid w:val="000D31A7"/>
    <w:rsid w:val="000D3222"/>
    <w:rsid w:val="000D3725"/>
    <w:rsid w:val="000D420E"/>
    <w:rsid w:val="000D42D0"/>
    <w:rsid w:val="000D42FE"/>
    <w:rsid w:val="000D47DC"/>
    <w:rsid w:val="000D4D0D"/>
    <w:rsid w:val="000D4EFF"/>
    <w:rsid w:val="000D571E"/>
    <w:rsid w:val="000D592C"/>
    <w:rsid w:val="000D6094"/>
    <w:rsid w:val="000D6179"/>
    <w:rsid w:val="000D6188"/>
    <w:rsid w:val="000D64ED"/>
    <w:rsid w:val="000D64F1"/>
    <w:rsid w:val="000D692A"/>
    <w:rsid w:val="000D6981"/>
    <w:rsid w:val="000D6B3C"/>
    <w:rsid w:val="000D6C39"/>
    <w:rsid w:val="000D6DA3"/>
    <w:rsid w:val="000D6DED"/>
    <w:rsid w:val="000D70E3"/>
    <w:rsid w:val="000D722F"/>
    <w:rsid w:val="000D7442"/>
    <w:rsid w:val="000D77BE"/>
    <w:rsid w:val="000D780B"/>
    <w:rsid w:val="000D7A03"/>
    <w:rsid w:val="000D7A0F"/>
    <w:rsid w:val="000D7B61"/>
    <w:rsid w:val="000D7D84"/>
    <w:rsid w:val="000E0139"/>
    <w:rsid w:val="000E03A3"/>
    <w:rsid w:val="000E0C74"/>
    <w:rsid w:val="000E0E2B"/>
    <w:rsid w:val="000E0E8D"/>
    <w:rsid w:val="000E102C"/>
    <w:rsid w:val="000E1335"/>
    <w:rsid w:val="000E14D7"/>
    <w:rsid w:val="000E181F"/>
    <w:rsid w:val="000E1D37"/>
    <w:rsid w:val="000E1FCD"/>
    <w:rsid w:val="000E2278"/>
    <w:rsid w:val="000E2633"/>
    <w:rsid w:val="000E26DD"/>
    <w:rsid w:val="000E2771"/>
    <w:rsid w:val="000E2BA9"/>
    <w:rsid w:val="000E2CC5"/>
    <w:rsid w:val="000E2DD2"/>
    <w:rsid w:val="000E3412"/>
    <w:rsid w:val="000E3F84"/>
    <w:rsid w:val="000E44BB"/>
    <w:rsid w:val="000E46F6"/>
    <w:rsid w:val="000E4817"/>
    <w:rsid w:val="000E4932"/>
    <w:rsid w:val="000E4BBF"/>
    <w:rsid w:val="000E4CAA"/>
    <w:rsid w:val="000E4CB3"/>
    <w:rsid w:val="000E4DDB"/>
    <w:rsid w:val="000E4FEC"/>
    <w:rsid w:val="000E5183"/>
    <w:rsid w:val="000E51C8"/>
    <w:rsid w:val="000E5DB0"/>
    <w:rsid w:val="000E5EC3"/>
    <w:rsid w:val="000E608B"/>
    <w:rsid w:val="000E658F"/>
    <w:rsid w:val="000E68B4"/>
    <w:rsid w:val="000E7299"/>
    <w:rsid w:val="000E7659"/>
    <w:rsid w:val="000E771B"/>
    <w:rsid w:val="000E7792"/>
    <w:rsid w:val="000E797D"/>
    <w:rsid w:val="000E7980"/>
    <w:rsid w:val="000E7A47"/>
    <w:rsid w:val="000F002F"/>
    <w:rsid w:val="000F011A"/>
    <w:rsid w:val="000F069A"/>
    <w:rsid w:val="000F07EA"/>
    <w:rsid w:val="000F094C"/>
    <w:rsid w:val="000F0B6F"/>
    <w:rsid w:val="000F0C30"/>
    <w:rsid w:val="000F1273"/>
    <w:rsid w:val="000F13EC"/>
    <w:rsid w:val="000F15F6"/>
    <w:rsid w:val="000F1601"/>
    <w:rsid w:val="000F165C"/>
    <w:rsid w:val="000F178D"/>
    <w:rsid w:val="000F1862"/>
    <w:rsid w:val="000F19A4"/>
    <w:rsid w:val="000F1F36"/>
    <w:rsid w:val="000F1F54"/>
    <w:rsid w:val="000F2415"/>
    <w:rsid w:val="000F2979"/>
    <w:rsid w:val="000F2A08"/>
    <w:rsid w:val="000F2A4C"/>
    <w:rsid w:val="000F2C63"/>
    <w:rsid w:val="000F2DBD"/>
    <w:rsid w:val="000F30A7"/>
    <w:rsid w:val="000F31B6"/>
    <w:rsid w:val="000F35F1"/>
    <w:rsid w:val="000F3841"/>
    <w:rsid w:val="000F401D"/>
    <w:rsid w:val="000F4790"/>
    <w:rsid w:val="000F490F"/>
    <w:rsid w:val="000F4E39"/>
    <w:rsid w:val="000F4E43"/>
    <w:rsid w:val="000F4E9E"/>
    <w:rsid w:val="000F4F91"/>
    <w:rsid w:val="000F5062"/>
    <w:rsid w:val="000F5153"/>
    <w:rsid w:val="000F52AB"/>
    <w:rsid w:val="000F5684"/>
    <w:rsid w:val="000F58E2"/>
    <w:rsid w:val="000F5B72"/>
    <w:rsid w:val="000F5D85"/>
    <w:rsid w:val="000F642E"/>
    <w:rsid w:val="000F65C5"/>
    <w:rsid w:val="000F6618"/>
    <w:rsid w:val="000F6A22"/>
    <w:rsid w:val="000F6C15"/>
    <w:rsid w:val="000F6D2D"/>
    <w:rsid w:val="000F6DCF"/>
    <w:rsid w:val="000F6E28"/>
    <w:rsid w:val="000F6EE1"/>
    <w:rsid w:val="000F7577"/>
    <w:rsid w:val="000F78A8"/>
    <w:rsid w:val="000F79B4"/>
    <w:rsid w:val="000F7BAB"/>
    <w:rsid w:val="000F7BFA"/>
    <w:rsid w:val="000F7C26"/>
    <w:rsid w:val="0010013F"/>
    <w:rsid w:val="00100144"/>
    <w:rsid w:val="00100243"/>
    <w:rsid w:val="00100733"/>
    <w:rsid w:val="00100808"/>
    <w:rsid w:val="00100933"/>
    <w:rsid w:val="001009FD"/>
    <w:rsid w:val="00100C14"/>
    <w:rsid w:val="00100E91"/>
    <w:rsid w:val="00100FD2"/>
    <w:rsid w:val="001016D3"/>
    <w:rsid w:val="001016ED"/>
    <w:rsid w:val="0010193D"/>
    <w:rsid w:val="0010210F"/>
    <w:rsid w:val="0010211C"/>
    <w:rsid w:val="001027A5"/>
    <w:rsid w:val="00102C03"/>
    <w:rsid w:val="00102F8D"/>
    <w:rsid w:val="00103239"/>
    <w:rsid w:val="00103B19"/>
    <w:rsid w:val="00103BB4"/>
    <w:rsid w:val="00104327"/>
    <w:rsid w:val="001043F7"/>
    <w:rsid w:val="001045BA"/>
    <w:rsid w:val="00104670"/>
    <w:rsid w:val="0010474A"/>
    <w:rsid w:val="00104890"/>
    <w:rsid w:val="00104B7B"/>
    <w:rsid w:val="00104DDF"/>
    <w:rsid w:val="00104E88"/>
    <w:rsid w:val="001053C4"/>
    <w:rsid w:val="001053FC"/>
    <w:rsid w:val="0010567D"/>
    <w:rsid w:val="00105C1E"/>
    <w:rsid w:val="00105CE5"/>
    <w:rsid w:val="00105DBE"/>
    <w:rsid w:val="00106125"/>
    <w:rsid w:val="00106644"/>
    <w:rsid w:val="0010680F"/>
    <w:rsid w:val="00106C68"/>
    <w:rsid w:val="00106D47"/>
    <w:rsid w:val="00106D8D"/>
    <w:rsid w:val="00107386"/>
    <w:rsid w:val="0010741F"/>
    <w:rsid w:val="00107707"/>
    <w:rsid w:val="0010781B"/>
    <w:rsid w:val="00107824"/>
    <w:rsid w:val="0010792B"/>
    <w:rsid w:val="00107AE4"/>
    <w:rsid w:val="00107C10"/>
    <w:rsid w:val="00107C63"/>
    <w:rsid w:val="00107FDA"/>
    <w:rsid w:val="00110384"/>
    <w:rsid w:val="001103C4"/>
    <w:rsid w:val="001105BF"/>
    <w:rsid w:val="00110681"/>
    <w:rsid w:val="00110E74"/>
    <w:rsid w:val="00110EDC"/>
    <w:rsid w:val="00110EF5"/>
    <w:rsid w:val="00110FF7"/>
    <w:rsid w:val="001110A2"/>
    <w:rsid w:val="001110F3"/>
    <w:rsid w:val="001111E5"/>
    <w:rsid w:val="001111F3"/>
    <w:rsid w:val="0011176A"/>
    <w:rsid w:val="001119FD"/>
    <w:rsid w:val="00111F44"/>
    <w:rsid w:val="0011201A"/>
    <w:rsid w:val="00112252"/>
    <w:rsid w:val="00112665"/>
    <w:rsid w:val="00112B0F"/>
    <w:rsid w:val="00113296"/>
    <w:rsid w:val="0011378A"/>
    <w:rsid w:val="001137E4"/>
    <w:rsid w:val="0011433B"/>
    <w:rsid w:val="00114364"/>
    <w:rsid w:val="001143FA"/>
    <w:rsid w:val="0011476A"/>
    <w:rsid w:val="00114DE9"/>
    <w:rsid w:val="00114E9A"/>
    <w:rsid w:val="00115829"/>
    <w:rsid w:val="001158AF"/>
    <w:rsid w:val="00115B27"/>
    <w:rsid w:val="00115CA9"/>
    <w:rsid w:val="00115F51"/>
    <w:rsid w:val="0011622E"/>
    <w:rsid w:val="00116361"/>
    <w:rsid w:val="001164D5"/>
    <w:rsid w:val="00116667"/>
    <w:rsid w:val="001166BB"/>
    <w:rsid w:val="00116781"/>
    <w:rsid w:val="0011689E"/>
    <w:rsid w:val="0011693A"/>
    <w:rsid w:val="00116BD1"/>
    <w:rsid w:val="00116C1E"/>
    <w:rsid w:val="00116DB9"/>
    <w:rsid w:val="001171A9"/>
    <w:rsid w:val="0011750B"/>
    <w:rsid w:val="00117794"/>
    <w:rsid w:val="0011779F"/>
    <w:rsid w:val="0011784E"/>
    <w:rsid w:val="00117850"/>
    <w:rsid w:val="00117A27"/>
    <w:rsid w:val="00117B4E"/>
    <w:rsid w:val="00117CD9"/>
    <w:rsid w:val="00117D5E"/>
    <w:rsid w:val="00120000"/>
    <w:rsid w:val="00120209"/>
    <w:rsid w:val="001203E0"/>
    <w:rsid w:val="001204CD"/>
    <w:rsid w:val="0012056A"/>
    <w:rsid w:val="00120884"/>
    <w:rsid w:val="00120AC7"/>
    <w:rsid w:val="00120E5D"/>
    <w:rsid w:val="0012126E"/>
    <w:rsid w:val="00121367"/>
    <w:rsid w:val="00121663"/>
    <w:rsid w:val="001216CE"/>
    <w:rsid w:val="00121720"/>
    <w:rsid w:val="00121821"/>
    <w:rsid w:val="00121867"/>
    <w:rsid w:val="00121AF4"/>
    <w:rsid w:val="00121B66"/>
    <w:rsid w:val="00121C1F"/>
    <w:rsid w:val="00121DD3"/>
    <w:rsid w:val="00121F53"/>
    <w:rsid w:val="00121FCC"/>
    <w:rsid w:val="001221EC"/>
    <w:rsid w:val="001224FB"/>
    <w:rsid w:val="00122A33"/>
    <w:rsid w:val="00122E45"/>
    <w:rsid w:val="00122F0A"/>
    <w:rsid w:val="00123038"/>
    <w:rsid w:val="001230DD"/>
    <w:rsid w:val="00123AE9"/>
    <w:rsid w:val="00123CFA"/>
    <w:rsid w:val="001240F5"/>
    <w:rsid w:val="00124303"/>
    <w:rsid w:val="001246B9"/>
    <w:rsid w:val="0012498D"/>
    <w:rsid w:val="00124DCD"/>
    <w:rsid w:val="00125158"/>
    <w:rsid w:val="0012527D"/>
    <w:rsid w:val="00125589"/>
    <w:rsid w:val="001255FB"/>
    <w:rsid w:val="00125691"/>
    <w:rsid w:val="0012574B"/>
    <w:rsid w:val="0012589A"/>
    <w:rsid w:val="00125CDB"/>
    <w:rsid w:val="00125DF5"/>
    <w:rsid w:val="00125E07"/>
    <w:rsid w:val="001261CD"/>
    <w:rsid w:val="001263A3"/>
    <w:rsid w:val="00126831"/>
    <w:rsid w:val="00126907"/>
    <w:rsid w:val="00126C05"/>
    <w:rsid w:val="00126EDC"/>
    <w:rsid w:val="00126F23"/>
    <w:rsid w:val="00127181"/>
    <w:rsid w:val="0012729F"/>
    <w:rsid w:val="0012750F"/>
    <w:rsid w:val="00127582"/>
    <w:rsid w:val="001277B2"/>
    <w:rsid w:val="00127EA7"/>
    <w:rsid w:val="00127F2B"/>
    <w:rsid w:val="00127F34"/>
    <w:rsid w:val="00127F9D"/>
    <w:rsid w:val="00127FBB"/>
    <w:rsid w:val="001301B8"/>
    <w:rsid w:val="00130285"/>
    <w:rsid w:val="00130401"/>
    <w:rsid w:val="0013041E"/>
    <w:rsid w:val="001305E3"/>
    <w:rsid w:val="001309D0"/>
    <w:rsid w:val="00130B9F"/>
    <w:rsid w:val="0013120C"/>
    <w:rsid w:val="001312C9"/>
    <w:rsid w:val="001313B8"/>
    <w:rsid w:val="001317F8"/>
    <w:rsid w:val="00131871"/>
    <w:rsid w:val="00131985"/>
    <w:rsid w:val="00132085"/>
    <w:rsid w:val="0013241E"/>
    <w:rsid w:val="001326EC"/>
    <w:rsid w:val="00132D78"/>
    <w:rsid w:val="001330B2"/>
    <w:rsid w:val="0013336A"/>
    <w:rsid w:val="001334CC"/>
    <w:rsid w:val="001336A9"/>
    <w:rsid w:val="00133707"/>
    <w:rsid w:val="00133DE6"/>
    <w:rsid w:val="00133E35"/>
    <w:rsid w:val="001344EA"/>
    <w:rsid w:val="001346AD"/>
    <w:rsid w:val="00134F1C"/>
    <w:rsid w:val="0013506D"/>
    <w:rsid w:val="0013519A"/>
    <w:rsid w:val="001352BE"/>
    <w:rsid w:val="001353B8"/>
    <w:rsid w:val="00135B2A"/>
    <w:rsid w:val="00135B2C"/>
    <w:rsid w:val="001360E0"/>
    <w:rsid w:val="0013611F"/>
    <w:rsid w:val="00136642"/>
    <w:rsid w:val="001370F1"/>
    <w:rsid w:val="00137A60"/>
    <w:rsid w:val="00137D7E"/>
    <w:rsid w:val="0014014B"/>
    <w:rsid w:val="00140788"/>
    <w:rsid w:val="0014083E"/>
    <w:rsid w:val="00140883"/>
    <w:rsid w:val="00140DF3"/>
    <w:rsid w:val="00141261"/>
    <w:rsid w:val="00141B29"/>
    <w:rsid w:val="00141D71"/>
    <w:rsid w:val="00141F1A"/>
    <w:rsid w:val="001424E2"/>
    <w:rsid w:val="0014274B"/>
    <w:rsid w:val="001428DD"/>
    <w:rsid w:val="001429AE"/>
    <w:rsid w:val="00142A4A"/>
    <w:rsid w:val="00142B14"/>
    <w:rsid w:val="00142BC0"/>
    <w:rsid w:val="00142C7D"/>
    <w:rsid w:val="00142CBA"/>
    <w:rsid w:val="001430C4"/>
    <w:rsid w:val="00143DF2"/>
    <w:rsid w:val="00143E1F"/>
    <w:rsid w:val="001440A5"/>
    <w:rsid w:val="00144202"/>
    <w:rsid w:val="00144382"/>
    <w:rsid w:val="0014453F"/>
    <w:rsid w:val="0014497B"/>
    <w:rsid w:val="00144D6A"/>
    <w:rsid w:val="00144EE5"/>
    <w:rsid w:val="0014568D"/>
    <w:rsid w:val="00145C8B"/>
    <w:rsid w:val="00145D96"/>
    <w:rsid w:val="00145E31"/>
    <w:rsid w:val="00145EC9"/>
    <w:rsid w:val="00145F53"/>
    <w:rsid w:val="00146063"/>
    <w:rsid w:val="00146308"/>
    <w:rsid w:val="001463A8"/>
    <w:rsid w:val="00146777"/>
    <w:rsid w:val="001467C7"/>
    <w:rsid w:val="0014696A"/>
    <w:rsid w:val="00146BBB"/>
    <w:rsid w:val="00147C31"/>
    <w:rsid w:val="00147F8A"/>
    <w:rsid w:val="0015007A"/>
    <w:rsid w:val="00150561"/>
    <w:rsid w:val="00150705"/>
    <w:rsid w:val="00150B91"/>
    <w:rsid w:val="00150D7E"/>
    <w:rsid w:val="00150E5C"/>
    <w:rsid w:val="00151152"/>
    <w:rsid w:val="00151161"/>
    <w:rsid w:val="0015178D"/>
    <w:rsid w:val="0015180A"/>
    <w:rsid w:val="00151A27"/>
    <w:rsid w:val="00151E5C"/>
    <w:rsid w:val="00151E66"/>
    <w:rsid w:val="00151FA9"/>
    <w:rsid w:val="001521D4"/>
    <w:rsid w:val="0015222F"/>
    <w:rsid w:val="001524C5"/>
    <w:rsid w:val="00152656"/>
    <w:rsid w:val="00152719"/>
    <w:rsid w:val="00152D21"/>
    <w:rsid w:val="001530B9"/>
    <w:rsid w:val="00153329"/>
    <w:rsid w:val="00153965"/>
    <w:rsid w:val="00153D62"/>
    <w:rsid w:val="0015404C"/>
    <w:rsid w:val="00154300"/>
    <w:rsid w:val="00154655"/>
    <w:rsid w:val="001546AB"/>
    <w:rsid w:val="001547C4"/>
    <w:rsid w:val="001548B6"/>
    <w:rsid w:val="00154A77"/>
    <w:rsid w:val="00154BA4"/>
    <w:rsid w:val="00154F8A"/>
    <w:rsid w:val="001550D5"/>
    <w:rsid w:val="00155615"/>
    <w:rsid w:val="001557B1"/>
    <w:rsid w:val="00155955"/>
    <w:rsid w:val="00155963"/>
    <w:rsid w:val="001559DC"/>
    <w:rsid w:val="00155D03"/>
    <w:rsid w:val="00155D44"/>
    <w:rsid w:val="00156441"/>
    <w:rsid w:val="00156602"/>
    <w:rsid w:val="00156922"/>
    <w:rsid w:val="0015693F"/>
    <w:rsid w:val="00156BA2"/>
    <w:rsid w:val="00156C54"/>
    <w:rsid w:val="00156CFA"/>
    <w:rsid w:val="00156D49"/>
    <w:rsid w:val="00156DA7"/>
    <w:rsid w:val="00156DC8"/>
    <w:rsid w:val="00156FF2"/>
    <w:rsid w:val="0015704D"/>
    <w:rsid w:val="001574AD"/>
    <w:rsid w:val="00157787"/>
    <w:rsid w:val="00160069"/>
    <w:rsid w:val="001601A1"/>
    <w:rsid w:val="001603E7"/>
    <w:rsid w:val="001603F3"/>
    <w:rsid w:val="00160699"/>
    <w:rsid w:val="00160739"/>
    <w:rsid w:val="00160B18"/>
    <w:rsid w:val="00160E6A"/>
    <w:rsid w:val="001611CE"/>
    <w:rsid w:val="00161309"/>
    <w:rsid w:val="001613F2"/>
    <w:rsid w:val="00161D30"/>
    <w:rsid w:val="00162241"/>
    <w:rsid w:val="00162371"/>
    <w:rsid w:val="0016237C"/>
    <w:rsid w:val="0016243E"/>
    <w:rsid w:val="00162535"/>
    <w:rsid w:val="001626F9"/>
    <w:rsid w:val="00162920"/>
    <w:rsid w:val="00162FBE"/>
    <w:rsid w:val="00163128"/>
    <w:rsid w:val="0016315B"/>
    <w:rsid w:val="001632DC"/>
    <w:rsid w:val="00163786"/>
    <w:rsid w:val="001637B4"/>
    <w:rsid w:val="0016389A"/>
    <w:rsid w:val="00163A67"/>
    <w:rsid w:val="00163B5F"/>
    <w:rsid w:val="00163C47"/>
    <w:rsid w:val="00163E6C"/>
    <w:rsid w:val="00163E76"/>
    <w:rsid w:val="0016405E"/>
    <w:rsid w:val="0016433C"/>
    <w:rsid w:val="001647F8"/>
    <w:rsid w:val="00164B1B"/>
    <w:rsid w:val="00165169"/>
    <w:rsid w:val="0016526C"/>
    <w:rsid w:val="001652F7"/>
    <w:rsid w:val="0016535F"/>
    <w:rsid w:val="00165A2D"/>
    <w:rsid w:val="001661EA"/>
    <w:rsid w:val="00166253"/>
    <w:rsid w:val="001665E8"/>
    <w:rsid w:val="00166DD4"/>
    <w:rsid w:val="00166EAE"/>
    <w:rsid w:val="00167511"/>
    <w:rsid w:val="0017009E"/>
    <w:rsid w:val="00170153"/>
    <w:rsid w:val="00170498"/>
    <w:rsid w:val="001706CB"/>
    <w:rsid w:val="00170CDA"/>
    <w:rsid w:val="00170DE1"/>
    <w:rsid w:val="00170F51"/>
    <w:rsid w:val="00171216"/>
    <w:rsid w:val="00171D7E"/>
    <w:rsid w:val="00171E37"/>
    <w:rsid w:val="00171E49"/>
    <w:rsid w:val="0017203F"/>
    <w:rsid w:val="00172397"/>
    <w:rsid w:val="00172655"/>
    <w:rsid w:val="0017273B"/>
    <w:rsid w:val="001728D1"/>
    <w:rsid w:val="001729E0"/>
    <w:rsid w:val="00172FD4"/>
    <w:rsid w:val="0017307B"/>
    <w:rsid w:val="00173398"/>
    <w:rsid w:val="0017356F"/>
    <w:rsid w:val="001735E1"/>
    <w:rsid w:val="001737C4"/>
    <w:rsid w:val="001738DE"/>
    <w:rsid w:val="00173BDB"/>
    <w:rsid w:val="00173C6B"/>
    <w:rsid w:val="0017406A"/>
    <w:rsid w:val="001741E5"/>
    <w:rsid w:val="0017449E"/>
    <w:rsid w:val="00174833"/>
    <w:rsid w:val="001749B3"/>
    <w:rsid w:val="00174B94"/>
    <w:rsid w:val="0017519B"/>
    <w:rsid w:val="001753FB"/>
    <w:rsid w:val="0017557E"/>
    <w:rsid w:val="00175B04"/>
    <w:rsid w:val="00175B89"/>
    <w:rsid w:val="00175E37"/>
    <w:rsid w:val="00175EE8"/>
    <w:rsid w:val="001760F8"/>
    <w:rsid w:val="001761E4"/>
    <w:rsid w:val="001765B7"/>
    <w:rsid w:val="00176954"/>
    <w:rsid w:val="00176AA4"/>
    <w:rsid w:val="00176AAF"/>
    <w:rsid w:val="00176BD6"/>
    <w:rsid w:val="00176CDA"/>
    <w:rsid w:val="00176D67"/>
    <w:rsid w:val="00177245"/>
    <w:rsid w:val="0017766A"/>
    <w:rsid w:val="0017785B"/>
    <w:rsid w:val="00177900"/>
    <w:rsid w:val="00177D59"/>
    <w:rsid w:val="00177D5A"/>
    <w:rsid w:val="00177F10"/>
    <w:rsid w:val="00177F2E"/>
    <w:rsid w:val="001800BA"/>
    <w:rsid w:val="00180187"/>
    <w:rsid w:val="00180204"/>
    <w:rsid w:val="00180773"/>
    <w:rsid w:val="0018081E"/>
    <w:rsid w:val="00180B2C"/>
    <w:rsid w:val="00180B5A"/>
    <w:rsid w:val="00180CFC"/>
    <w:rsid w:val="00180E3C"/>
    <w:rsid w:val="001819DE"/>
    <w:rsid w:val="00181AC5"/>
    <w:rsid w:val="00181B1E"/>
    <w:rsid w:val="00181EA2"/>
    <w:rsid w:val="001820A2"/>
    <w:rsid w:val="0018216A"/>
    <w:rsid w:val="001822E6"/>
    <w:rsid w:val="001822FD"/>
    <w:rsid w:val="0018276C"/>
    <w:rsid w:val="001828FA"/>
    <w:rsid w:val="00183186"/>
    <w:rsid w:val="00183262"/>
    <w:rsid w:val="001833EF"/>
    <w:rsid w:val="00183473"/>
    <w:rsid w:val="001834D5"/>
    <w:rsid w:val="001836D4"/>
    <w:rsid w:val="001839EA"/>
    <w:rsid w:val="00183C0C"/>
    <w:rsid w:val="00184118"/>
    <w:rsid w:val="001841B9"/>
    <w:rsid w:val="00184420"/>
    <w:rsid w:val="001847BD"/>
    <w:rsid w:val="00184822"/>
    <w:rsid w:val="00184A65"/>
    <w:rsid w:val="00185117"/>
    <w:rsid w:val="001851A0"/>
    <w:rsid w:val="00185331"/>
    <w:rsid w:val="001856A6"/>
    <w:rsid w:val="0018590E"/>
    <w:rsid w:val="00186031"/>
    <w:rsid w:val="00186224"/>
    <w:rsid w:val="001863B8"/>
    <w:rsid w:val="0018649D"/>
    <w:rsid w:val="00186718"/>
    <w:rsid w:val="0018673C"/>
    <w:rsid w:val="00186925"/>
    <w:rsid w:val="001869EA"/>
    <w:rsid w:val="00186E61"/>
    <w:rsid w:val="00187351"/>
    <w:rsid w:val="00187560"/>
    <w:rsid w:val="001878FF"/>
    <w:rsid w:val="00187EDC"/>
    <w:rsid w:val="001906B5"/>
    <w:rsid w:val="0019073D"/>
    <w:rsid w:val="00190807"/>
    <w:rsid w:val="00190838"/>
    <w:rsid w:val="00190958"/>
    <w:rsid w:val="00190AC6"/>
    <w:rsid w:val="00190BAF"/>
    <w:rsid w:val="00190C38"/>
    <w:rsid w:val="00190FB9"/>
    <w:rsid w:val="00191575"/>
    <w:rsid w:val="00191A34"/>
    <w:rsid w:val="001927FE"/>
    <w:rsid w:val="00192B26"/>
    <w:rsid w:val="00192E15"/>
    <w:rsid w:val="00192F10"/>
    <w:rsid w:val="00193434"/>
    <w:rsid w:val="00193C40"/>
    <w:rsid w:val="0019406B"/>
    <w:rsid w:val="0019423A"/>
    <w:rsid w:val="0019452E"/>
    <w:rsid w:val="001946F4"/>
    <w:rsid w:val="001947FF"/>
    <w:rsid w:val="00194A4E"/>
    <w:rsid w:val="00194ABE"/>
    <w:rsid w:val="00194DB6"/>
    <w:rsid w:val="00194E4F"/>
    <w:rsid w:val="0019578B"/>
    <w:rsid w:val="00195A0B"/>
    <w:rsid w:val="00195D0F"/>
    <w:rsid w:val="00195E80"/>
    <w:rsid w:val="001960FD"/>
    <w:rsid w:val="00196321"/>
    <w:rsid w:val="00196577"/>
    <w:rsid w:val="00196A67"/>
    <w:rsid w:val="00196EAE"/>
    <w:rsid w:val="00197308"/>
    <w:rsid w:val="00197341"/>
    <w:rsid w:val="001975C3"/>
    <w:rsid w:val="001976E3"/>
    <w:rsid w:val="00197776"/>
    <w:rsid w:val="00197A72"/>
    <w:rsid w:val="00197BD3"/>
    <w:rsid w:val="00197E47"/>
    <w:rsid w:val="001A0272"/>
    <w:rsid w:val="001A033A"/>
    <w:rsid w:val="001A06FF"/>
    <w:rsid w:val="001A0792"/>
    <w:rsid w:val="001A07B2"/>
    <w:rsid w:val="001A09F7"/>
    <w:rsid w:val="001A1578"/>
    <w:rsid w:val="001A1677"/>
    <w:rsid w:val="001A1EEE"/>
    <w:rsid w:val="001A223C"/>
    <w:rsid w:val="001A24F1"/>
    <w:rsid w:val="001A2562"/>
    <w:rsid w:val="001A2882"/>
    <w:rsid w:val="001A2954"/>
    <w:rsid w:val="001A2B74"/>
    <w:rsid w:val="001A360C"/>
    <w:rsid w:val="001A3E12"/>
    <w:rsid w:val="001A40CD"/>
    <w:rsid w:val="001A411E"/>
    <w:rsid w:val="001A42CD"/>
    <w:rsid w:val="001A4695"/>
    <w:rsid w:val="001A46D7"/>
    <w:rsid w:val="001A475B"/>
    <w:rsid w:val="001A4A03"/>
    <w:rsid w:val="001A4E43"/>
    <w:rsid w:val="001A4EB3"/>
    <w:rsid w:val="001A521F"/>
    <w:rsid w:val="001A523B"/>
    <w:rsid w:val="001A55C2"/>
    <w:rsid w:val="001A561D"/>
    <w:rsid w:val="001A57B4"/>
    <w:rsid w:val="001A6289"/>
    <w:rsid w:val="001A62B7"/>
    <w:rsid w:val="001A6303"/>
    <w:rsid w:val="001A6595"/>
    <w:rsid w:val="001A6848"/>
    <w:rsid w:val="001A6D6B"/>
    <w:rsid w:val="001A6E74"/>
    <w:rsid w:val="001A73A1"/>
    <w:rsid w:val="001A77F4"/>
    <w:rsid w:val="001A7C67"/>
    <w:rsid w:val="001B008B"/>
    <w:rsid w:val="001B024E"/>
    <w:rsid w:val="001B02F4"/>
    <w:rsid w:val="001B038C"/>
    <w:rsid w:val="001B0CAA"/>
    <w:rsid w:val="001B0CE9"/>
    <w:rsid w:val="001B0E63"/>
    <w:rsid w:val="001B0E81"/>
    <w:rsid w:val="001B1173"/>
    <w:rsid w:val="001B16DD"/>
    <w:rsid w:val="001B18ED"/>
    <w:rsid w:val="001B1C73"/>
    <w:rsid w:val="001B1F5C"/>
    <w:rsid w:val="001B2321"/>
    <w:rsid w:val="001B2588"/>
    <w:rsid w:val="001B2675"/>
    <w:rsid w:val="001B2AB4"/>
    <w:rsid w:val="001B32C7"/>
    <w:rsid w:val="001B32ED"/>
    <w:rsid w:val="001B338C"/>
    <w:rsid w:val="001B35A1"/>
    <w:rsid w:val="001B41D1"/>
    <w:rsid w:val="001B43DF"/>
    <w:rsid w:val="001B454C"/>
    <w:rsid w:val="001B4630"/>
    <w:rsid w:val="001B47E3"/>
    <w:rsid w:val="001B4B4B"/>
    <w:rsid w:val="001B4BF3"/>
    <w:rsid w:val="001B4CA5"/>
    <w:rsid w:val="001B4F6E"/>
    <w:rsid w:val="001B5160"/>
    <w:rsid w:val="001B5599"/>
    <w:rsid w:val="001B55BD"/>
    <w:rsid w:val="001B56B9"/>
    <w:rsid w:val="001B5717"/>
    <w:rsid w:val="001B5743"/>
    <w:rsid w:val="001B5A8D"/>
    <w:rsid w:val="001B5AF7"/>
    <w:rsid w:val="001B6049"/>
    <w:rsid w:val="001B6243"/>
    <w:rsid w:val="001B6291"/>
    <w:rsid w:val="001B6441"/>
    <w:rsid w:val="001B66E3"/>
    <w:rsid w:val="001B6917"/>
    <w:rsid w:val="001B6A27"/>
    <w:rsid w:val="001B7250"/>
    <w:rsid w:val="001B75D0"/>
    <w:rsid w:val="001B7B6D"/>
    <w:rsid w:val="001B7D63"/>
    <w:rsid w:val="001C0363"/>
    <w:rsid w:val="001C0B49"/>
    <w:rsid w:val="001C1183"/>
    <w:rsid w:val="001C14C9"/>
    <w:rsid w:val="001C14E2"/>
    <w:rsid w:val="001C1789"/>
    <w:rsid w:val="001C1866"/>
    <w:rsid w:val="001C19FB"/>
    <w:rsid w:val="001C1BCD"/>
    <w:rsid w:val="001C1DBC"/>
    <w:rsid w:val="001C1ED0"/>
    <w:rsid w:val="001C226C"/>
    <w:rsid w:val="001C2553"/>
    <w:rsid w:val="001C25BF"/>
    <w:rsid w:val="001C276B"/>
    <w:rsid w:val="001C2A6C"/>
    <w:rsid w:val="001C2BAE"/>
    <w:rsid w:val="001C2CB8"/>
    <w:rsid w:val="001C2D69"/>
    <w:rsid w:val="001C2EA7"/>
    <w:rsid w:val="001C3352"/>
    <w:rsid w:val="001C38D9"/>
    <w:rsid w:val="001C3AB7"/>
    <w:rsid w:val="001C3AC5"/>
    <w:rsid w:val="001C3C02"/>
    <w:rsid w:val="001C3C61"/>
    <w:rsid w:val="001C3F9E"/>
    <w:rsid w:val="001C43AD"/>
    <w:rsid w:val="001C4475"/>
    <w:rsid w:val="001C449D"/>
    <w:rsid w:val="001C4764"/>
    <w:rsid w:val="001C4B65"/>
    <w:rsid w:val="001C5022"/>
    <w:rsid w:val="001C53F7"/>
    <w:rsid w:val="001C5468"/>
    <w:rsid w:val="001C54ED"/>
    <w:rsid w:val="001C5748"/>
    <w:rsid w:val="001C58CD"/>
    <w:rsid w:val="001C5BB2"/>
    <w:rsid w:val="001C5E7D"/>
    <w:rsid w:val="001C5F20"/>
    <w:rsid w:val="001C5F52"/>
    <w:rsid w:val="001C618A"/>
    <w:rsid w:val="001C64C6"/>
    <w:rsid w:val="001C64ED"/>
    <w:rsid w:val="001C65D8"/>
    <w:rsid w:val="001C6759"/>
    <w:rsid w:val="001C6C76"/>
    <w:rsid w:val="001C6FEF"/>
    <w:rsid w:val="001C70A6"/>
    <w:rsid w:val="001C717D"/>
    <w:rsid w:val="001C72D9"/>
    <w:rsid w:val="001C7523"/>
    <w:rsid w:val="001C762C"/>
    <w:rsid w:val="001C7B60"/>
    <w:rsid w:val="001C7EA7"/>
    <w:rsid w:val="001C7EDC"/>
    <w:rsid w:val="001D0BA0"/>
    <w:rsid w:val="001D0FA5"/>
    <w:rsid w:val="001D111D"/>
    <w:rsid w:val="001D1302"/>
    <w:rsid w:val="001D179A"/>
    <w:rsid w:val="001D197E"/>
    <w:rsid w:val="001D1CF3"/>
    <w:rsid w:val="001D1EFF"/>
    <w:rsid w:val="001D2598"/>
    <w:rsid w:val="001D2615"/>
    <w:rsid w:val="001D2631"/>
    <w:rsid w:val="001D26B7"/>
    <w:rsid w:val="001D29E2"/>
    <w:rsid w:val="001D2E06"/>
    <w:rsid w:val="001D2E46"/>
    <w:rsid w:val="001D2E69"/>
    <w:rsid w:val="001D2F07"/>
    <w:rsid w:val="001D369F"/>
    <w:rsid w:val="001D3F2C"/>
    <w:rsid w:val="001D410D"/>
    <w:rsid w:val="001D4458"/>
    <w:rsid w:val="001D458E"/>
    <w:rsid w:val="001D465F"/>
    <w:rsid w:val="001D46DA"/>
    <w:rsid w:val="001D4A13"/>
    <w:rsid w:val="001D4A8F"/>
    <w:rsid w:val="001D4BC5"/>
    <w:rsid w:val="001D4FA0"/>
    <w:rsid w:val="001D5112"/>
    <w:rsid w:val="001D54E7"/>
    <w:rsid w:val="001D5793"/>
    <w:rsid w:val="001D5CA1"/>
    <w:rsid w:val="001D61FC"/>
    <w:rsid w:val="001D657C"/>
    <w:rsid w:val="001D658C"/>
    <w:rsid w:val="001D66D8"/>
    <w:rsid w:val="001D6841"/>
    <w:rsid w:val="001D6BE0"/>
    <w:rsid w:val="001D6FFB"/>
    <w:rsid w:val="001D731C"/>
    <w:rsid w:val="001D7398"/>
    <w:rsid w:val="001D7648"/>
    <w:rsid w:val="001D768B"/>
    <w:rsid w:val="001D76B3"/>
    <w:rsid w:val="001D7742"/>
    <w:rsid w:val="001D7904"/>
    <w:rsid w:val="001D7C0B"/>
    <w:rsid w:val="001E01E5"/>
    <w:rsid w:val="001E02D9"/>
    <w:rsid w:val="001E0B7E"/>
    <w:rsid w:val="001E0D29"/>
    <w:rsid w:val="001E1228"/>
    <w:rsid w:val="001E127F"/>
    <w:rsid w:val="001E1A68"/>
    <w:rsid w:val="001E1D1A"/>
    <w:rsid w:val="001E202A"/>
    <w:rsid w:val="001E21EC"/>
    <w:rsid w:val="001E2408"/>
    <w:rsid w:val="001E25A3"/>
    <w:rsid w:val="001E25DC"/>
    <w:rsid w:val="001E2641"/>
    <w:rsid w:val="001E28B5"/>
    <w:rsid w:val="001E2AE3"/>
    <w:rsid w:val="001E2DFB"/>
    <w:rsid w:val="001E3066"/>
    <w:rsid w:val="001E3285"/>
    <w:rsid w:val="001E3484"/>
    <w:rsid w:val="001E353D"/>
    <w:rsid w:val="001E367E"/>
    <w:rsid w:val="001E3851"/>
    <w:rsid w:val="001E396F"/>
    <w:rsid w:val="001E3B87"/>
    <w:rsid w:val="001E3D43"/>
    <w:rsid w:val="001E3DEA"/>
    <w:rsid w:val="001E3E35"/>
    <w:rsid w:val="001E3E63"/>
    <w:rsid w:val="001E412E"/>
    <w:rsid w:val="001E48B4"/>
    <w:rsid w:val="001E4A33"/>
    <w:rsid w:val="001E4C25"/>
    <w:rsid w:val="001E4DDC"/>
    <w:rsid w:val="001E4DE0"/>
    <w:rsid w:val="001E4F2B"/>
    <w:rsid w:val="001E5171"/>
    <w:rsid w:val="001E5198"/>
    <w:rsid w:val="001E5356"/>
    <w:rsid w:val="001E56A9"/>
    <w:rsid w:val="001E56E7"/>
    <w:rsid w:val="001E5924"/>
    <w:rsid w:val="001E5B5B"/>
    <w:rsid w:val="001E614B"/>
    <w:rsid w:val="001E61AD"/>
    <w:rsid w:val="001E6415"/>
    <w:rsid w:val="001E6548"/>
    <w:rsid w:val="001E6FB7"/>
    <w:rsid w:val="001E7506"/>
    <w:rsid w:val="001E767A"/>
    <w:rsid w:val="001E76DE"/>
    <w:rsid w:val="001E7BCB"/>
    <w:rsid w:val="001F014F"/>
    <w:rsid w:val="001F0341"/>
    <w:rsid w:val="001F0361"/>
    <w:rsid w:val="001F051F"/>
    <w:rsid w:val="001F05DC"/>
    <w:rsid w:val="001F067A"/>
    <w:rsid w:val="001F0688"/>
    <w:rsid w:val="001F0AE3"/>
    <w:rsid w:val="001F0C26"/>
    <w:rsid w:val="001F0C56"/>
    <w:rsid w:val="001F0FDE"/>
    <w:rsid w:val="001F1291"/>
    <w:rsid w:val="001F15D5"/>
    <w:rsid w:val="001F160C"/>
    <w:rsid w:val="001F197D"/>
    <w:rsid w:val="001F20D6"/>
    <w:rsid w:val="001F2514"/>
    <w:rsid w:val="001F251B"/>
    <w:rsid w:val="001F2748"/>
    <w:rsid w:val="001F2A94"/>
    <w:rsid w:val="001F2C4C"/>
    <w:rsid w:val="001F2D99"/>
    <w:rsid w:val="001F35D7"/>
    <w:rsid w:val="001F375F"/>
    <w:rsid w:val="001F3BB4"/>
    <w:rsid w:val="001F3EA6"/>
    <w:rsid w:val="001F3FA5"/>
    <w:rsid w:val="001F40A2"/>
    <w:rsid w:val="001F41C3"/>
    <w:rsid w:val="001F42F1"/>
    <w:rsid w:val="001F47A3"/>
    <w:rsid w:val="001F4A93"/>
    <w:rsid w:val="001F4AE4"/>
    <w:rsid w:val="001F4AE5"/>
    <w:rsid w:val="001F4D0B"/>
    <w:rsid w:val="001F5013"/>
    <w:rsid w:val="001F5136"/>
    <w:rsid w:val="001F5221"/>
    <w:rsid w:val="001F5396"/>
    <w:rsid w:val="001F546D"/>
    <w:rsid w:val="001F5727"/>
    <w:rsid w:val="001F5C6F"/>
    <w:rsid w:val="001F5CCA"/>
    <w:rsid w:val="001F5EDF"/>
    <w:rsid w:val="001F6397"/>
    <w:rsid w:val="001F65C3"/>
    <w:rsid w:val="001F6953"/>
    <w:rsid w:val="001F6A8A"/>
    <w:rsid w:val="001F6C86"/>
    <w:rsid w:val="001F6CA2"/>
    <w:rsid w:val="001F6D9C"/>
    <w:rsid w:val="001F754F"/>
    <w:rsid w:val="002001F7"/>
    <w:rsid w:val="00200369"/>
    <w:rsid w:val="00200502"/>
    <w:rsid w:val="00200B0B"/>
    <w:rsid w:val="00200CA8"/>
    <w:rsid w:val="00200F09"/>
    <w:rsid w:val="00201411"/>
    <w:rsid w:val="00201646"/>
    <w:rsid w:val="00201EFC"/>
    <w:rsid w:val="0020202C"/>
    <w:rsid w:val="002021B0"/>
    <w:rsid w:val="0020221B"/>
    <w:rsid w:val="00202253"/>
    <w:rsid w:val="002023FF"/>
    <w:rsid w:val="002026CD"/>
    <w:rsid w:val="002027CA"/>
    <w:rsid w:val="00202A34"/>
    <w:rsid w:val="00202FC5"/>
    <w:rsid w:val="0020343C"/>
    <w:rsid w:val="00203E8A"/>
    <w:rsid w:val="002048CF"/>
    <w:rsid w:val="00204979"/>
    <w:rsid w:val="00204ACB"/>
    <w:rsid w:val="00204DD7"/>
    <w:rsid w:val="00204F62"/>
    <w:rsid w:val="002050E2"/>
    <w:rsid w:val="00205282"/>
    <w:rsid w:val="0020578B"/>
    <w:rsid w:val="00205C2B"/>
    <w:rsid w:val="00205D37"/>
    <w:rsid w:val="0020624F"/>
    <w:rsid w:val="002068EC"/>
    <w:rsid w:val="00206B16"/>
    <w:rsid w:val="00207229"/>
    <w:rsid w:val="0020730F"/>
    <w:rsid w:val="002074A2"/>
    <w:rsid w:val="00207837"/>
    <w:rsid w:val="00207B34"/>
    <w:rsid w:val="00207B80"/>
    <w:rsid w:val="0021009D"/>
    <w:rsid w:val="002101E6"/>
    <w:rsid w:val="002109B0"/>
    <w:rsid w:val="00210B1C"/>
    <w:rsid w:val="00210BFF"/>
    <w:rsid w:val="00210F24"/>
    <w:rsid w:val="002110FD"/>
    <w:rsid w:val="002112A3"/>
    <w:rsid w:val="00211447"/>
    <w:rsid w:val="002115E7"/>
    <w:rsid w:val="0021175B"/>
    <w:rsid w:val="00211984"/>
    <w:rsid w:val="002119EA"/>
    <w:rsid w:val="00211A85"/>
    <w:rsid w:val="00211B3F"/>
    <w:rsid w:val="00211F37"/>
    <w:rsid w:val="00211FE2"/>
    <w:rsid w:val="002120E2"/>
    <w:rsid w:val="0021245A"/>
    <w:rsid w:val="002126A0"/>
    <w:rsid w:val="00212709"/>
    <w:rsid w:val="00212CA0"/>
    <w:rsid w:val="00212DA4"/>
    <w:rsid w:val="00212DC4"/>
    <w:rsid w:val="00212ED6"/>
    <w:rsid w:val="00213218"/>
    <w:rsid w:val="002141DF"/>
    <w:rsid w:val="0021436A"/>
    <w:rsid w:val="0021445B"/>
    <w:rsid w:val="00214472"/>
    <w:rsid w:val="002145A0"/>
    <w:rsid w:val="0021471E"/>
    <w:rsid w:val="00214C7D"/>
    <w:rsid w:val="0021518D"/>
    <w:rsid w:val="00215241"/>
    <w:rsid w:val="00215352"/>
    <w:rsid w:val="00215549"/>
    <w:rsid w:val="0021562C"/>
    <w:rsid w:val="00215681"/>
    <w:rsid w:val="0021582A"/>
    <w:rsid w:val="00215E59"/>
    <w:rsid w:val="00215FCC"/>
    <w:rsid w:val="002161C8"/>
    <w:rsid w:val="00216354"/>
    <w:rsid w:val="00216389"/>
    <w:rsid w:val="00216865"/>
    <w:rsid w:val="00216870"/>
    <w:rsid w:val="00216B6C"/>
    <w:rsid w:val="00216CCC"/>
    <w:rsid w:val="00216E7D"/>
    <w:rsid w:val="00216ED5"/>
    <w:rsid w:val="00216F1A"/>
    <w:rsid w:val="00216F21"/>
    <w:rsid w:val="0021708B"/>
    <w:rsid w:val="0021769E"/>
    <w:rsid w:val="002177F1"/>
    <w:rsid w:val="00217D9C"/>
    <w:rsid w:val="002206CF"/>
    <w:rsid w:val="0022093B"/>
    <w:rsid w:val="00220A52"/>
    <w:rsid w:val="00221534"/>
    <w:rsid w:val="00221B78"/>
    <w:rsid w:val="00221D49"/>
    <w:rsid w:val="00221DBE"/>
    <w:rsid w:val="00221E45"/>
    <w:rsid w:val="00222987"/>
    <w:rsid w:val="00222BC3"/>
    <w:rsid w:val="00222BDB"/>
    <w:rsid w:val="00222CC4"/>
    <w:rsid w:val="00222CCC"/>
    <w:rsid w:val="00222DB6"/>
    <w:rsid w:val="00222E69"/>
    <w:rsid w:val="0022356D"/>
    <w:rsid w:val="00223B01"/>
    <w:rsid w:val="00223E53"/>
    <w:rsid w:val="00223EED"/>
    <w:rsid w:val="002241E7"/>
    <w:rsid w:val="00224234"/>
    <w:rsid w:val="0022432B"/>
    <w:rsid w:val="002243DE"/>
    <w:rsid w:val="00224435"/>
    <w:rsid w:val="0022466D"/>
    <w:rsid w:val="0022479F"/>
    <w:rsid w:val="002248EC"/>
    <w:rsid w:val="00224911"/>
    <w:rsid w:val="00224F2C"/>
    <w:rsid w:val="00224F4C"/>
    <w:rsid w:val="0022502A"/>
    <w:rsid w:val="002251D1"/>
    <w:rsid w:val="002251E3"/>
    <w:rsid w:val="00225283"/>
    <w:rsid w:val="00225582"/>
    <w:rsid w:val="00226184"/>
    <w:rsid w:val="002262EE"/>
    <w:rsid w:val="002264FE"/>
    <w:rsid w:val="00226600"/>
    <w:rsid w:val="00226AAB"/>
    <w:rsid w:val="00226AFE"/>
    <w:rsid w:val="00226B61"/>
    <w:rsid w:val="00227051"/>
    <w:rsid w:val="002272A7"/>
    <w:rsid w:val="00227487"/>
    <w:rsid w:val="0022782C"/>
    <w:rsid w:val="00227D44"/>
    <w:rsid w:val="00230A67"/>
    <w:rsid w:val="00230B6B"/>
    <w:rsid w:val="00230C20"/>
    <w:rsid w:val="00230F6F"/>
    <w:rsid w:val="00231475"/>
    <w:rsid w:val="0023154C"/>
    <w:rsid w:val="00231BAE"/>
    <w:rsid w:val="00231BC2"/>
    <w:rsid w:val="00231CED"/>
    <w:rsid w:val="00231FDE"/>
    <w:rsid w:val="002320BF"/>
    <w:rsid w:val="002326D1"/>
    <w:rsid w:val="002327D3"/>
    <w:rsid w:val="0023292B"/>
    <w:rsid w:val="00232F89"/>
    <w:rsid w:val="00233508"/>
    <w:rsid w:val="002338BA"/>
    <w:rsid w:val="00233CE2"/>
    <w:rsid w:val="00233F8C"/>
    <w:rsid w:val="002345E4"/>
    <w:rsid w:val="002345EA"/>
    <w:rsid w:val="00234940"/>
    <w:rsid w:val="00234941"/>
    <w:rsid w:val="00234A41"/>
    <w:rsid w:val="00234CB1"/>
    <w:rsid w:val="002351D4"/>
    <w:rsid w:val="002352F0"/>
    <w:rsid w:val="002355C2"/>
    <w:rsid w:val="0023577D"/>
    <w:rsid w:val="002358C3"/>
    <w:rsid w:val="002363AE"/>
    <w:rsid w:val="00236753"/>
    <w:rsid w:val="002367FC"/>
    <w:rsid w:val="00236AAC"/>
    <w:rsid w:val="00236DA8"/>
    <w:rsid w:val="00237355"/>
    <w:rsid w:val="00237480"/>
    <w:rsid w:val="00237559"/>
    <w:rsid w:val="00237875"/>
    <w:rsid w:val="00237D2D"/>
    <w:rsid w:val="00240018"/>
    <w:rsid w:val="002400BD"/>
    <w:rsid w:val="0024048F"/>
    <w:rsid w:val="002404F9"/>
    <w:rsid w:val="002405E9"/>
    <w:rsid w:val="00240B4D"/>
    <w:rsid w:val="00240B68"/>
    <w:rsid w:val="00240CCE"/>
    <w:rsid w:val="00240CD6"/>
    <w:rsid w:val="00240E58"/>
    <w:rsid w:val="00240E5B"/>
    <w:rsid w:val="0024169A"/>
    <w:rsid w:val="00241A46"/>
    <w:rsid w:val="00241BCF"/>
    <w:rsid w:val="00241DB6"/>
    <w:rsid w:val="00242068"/>
    <w:rsid w:val="002421E8"/>
    <w:rsid w:val="002426CF"/>
    <w:rsid w:val="0024298A"/>
    <w:rsid w:val="00242BE2"/>
    <w:rsid w:val="00242D51"/>
    <w:rsid w:val="00242E74"/>
    <w:rsid w:val="00242EE8"/>
    <w:rsid w:val="00242F8A"/>
    <w:rsid w:val="002430D4"/>
    <w:rsid w:val="002433E9"/>
    <w:rsid w:val="002436AF"/>
    <w:rsid w:val="002436BB"/>
    <w:rsid w:val="002437DE"/>
    <w:rsid w:val="00243B96"/>
    <w:rsid w:val="00243BDB"/>
    <w:rsid w:val="00243EAE"/>
    <w:rsid w:val="002440A3"/>
    <w:rsid w:val="0024469D"/>
    <w:rsid w:val="00244827"/>
    <w:rsid w:val="002449B1"/>
    <w:rsid w:val="00244B64"/>
    <w:rsid w:val="00244C63"/>
    <w:rsid w:val="00244CDE"/>
    <w:rsid w:val="00244DAC"/>
    <w:rsid w:val="002454E4"/>
    <w:rsid w:val="0024563D"/>
    <w:rsid w:val="0024566E"/>
    <w:rsid w:val="0024567C"/>
    <w:rsid w:val="00245CAC"/>
    <w:rsid w:val="00245D6D"/>
    <w:rsid w:val="00245E5B"/>
    <w:rsid w:val="00245F42"/>
    <w:rsid w:val="00246114"/>
    <w:rsid w:val="002467D6"/>
    <w:rsid w:val="00246C00"/>
    <w:rsid w:val="0024743E"/>
    <w:rsid w:val="0024793F"/>
    <w:rsid w:val="00247C89"/>
    <w:rsid w:val="00247CD9"/>
    <w:rsid w:val="00247EDE"/>
    <w:rsid w:val="0025069F"/>
    <w:rsid w:val="00250B96"/>
    <w:rsid w:val="00250F8E"/>
    <w:rsid w:val="0025124D"/>
    <w:rsid w:val="00251349"/>
    <w:rsid w:val="00251899"/>
    <w:rsid w:val="00251A4B"/>
    <w:rsid w:val="00251ADD"/>
    <w:rsid w:val="00251B33"/>
    <w:rsid w:val="00251BBE"/>
    <w:rsid w:val="00251C00"/>
    <w:rsid w:val="00252108"/>
    <w:rsid w:val="002522E5"/>
    <w:rsid w:val="002523B1"/>
    <w:rsid w:val="002526CC"/>
    <w:rsid w:val="00252858"/>
    <w:rsid w:val="00252A43"/>
    <w:rsid w:val="00252A5A"/>
    <w:rsid w:val="00252BED"/>
    <w:rsid w:val="00252DD5"/>
    <w:rsid w:val="00252E32"/>
    <w:rsid w:val="0025318B"/>
    <w:rsid w:val="00253BA4"/>
    <w:rsid w:val="00253C4C"/>
    <w:rsid w:val="0025400D"/>
    <w:rsid w:val="0025421E"/>
    <w:rsid w:val="00254714"/>
    <w:rsid w:val="00254951"/>
    <w:rsid w:val="00254CDD"/>
    <w:rsid w:val="00254D23"/>
    <w:rsid w:val="00254E48"/>
    <w:rsid w:val="00255492"/>
    <w:rsid w:val="002555F4"/>
    <w:rsid w:val="002557D5"/>
    <w:rsid w:val="0025593A"/>
    <w:rsid w:val="00255A86"/>
    <w:rsid w:val="00255B41"/>
    <w:rsid w:val="00255B7F"/>
    <w:rsid w:val="00255E64"/>
    <w:rsid w:val="00256043"/>
    <w:rsid w:val="00256045"/>
    <w:rsid w:val="00256579"/>
    <w:rsid w:val="002568E4"/>
    <w:rsid w:val="00256CEC"/>
    <w:rsid w:val="00257083"/>
    <w:rsid w:val="002576D4"/>
    <w:rsid w:val="0025782B"/>
    <w:rsid w:val="00257AE2"/>
    <w:rsid w:val="00257BC1"/>
    <w:rsid w:val="00257CB1"/>
    <w:rsid w:val="00257CF3"/>
    <w:rsid w:val="00257F0E"/>
    <w:rsid w:val="002600F4"/>
    <w:rsid w:val="00260341"/>
    <w:rsid w:val="002604CE"/>
    <w:rsid w:val="00260508"/>
    <w:rsid w:val="00260AE3"/>
    <w:rsid w:val="00260D78"/>
    <w:rsid w:val="002616A3"/>
    <w:rsid w:val="002618C2"/>
    <w:rsid w:val="002619E6"/>
    <w:rsid w:val="00261A99"/>
    <w:rsid w:val="00261C67"/>
    <w:rsid w:val="00261F64"/>
    <w:rsid w:val="00261F91"/>
    <w:rsid w:val="00261FC5"/>
    <w:rsid w:val="00262157"/>
    <w:rsid w:val="0026232A"/>
    <w:rsid w:val="002623DC"/>
    <w:rsid w:val="00262743"/>
    <w:rsid w:val="0026278C"/>
    <w:rsid w:val="00262945"/>
    <w:rsid w:val="00262A16"/>
    <w:rsid w:val="00262A93"/>
    <w:rsid w:val="00262D8F"/>
    <w:rsid w:val="00262E5A"/>
    <w:rsid w:val="002630F7"/>
    <w:rsid w:val="002633B7"/>
    <w:rsid w:val="00263486"/>
    <w:rsid w:val="00263520"/>
    <w:rsid w:val="002635D2"/>
    <w:rsid w:val="00263642"/>
    <w:rsid w:val="0026372E"/>
    <w:rsid w:val="0026388F"/>
    <w:rsid w:val="00263A83"/>
    <w:rsid w:val="00263E88"/>
    <w:rsid w:val="00264319"/>
    <w:rsid w:val="002648FA"/>
    <w:rsid w:val="00264A13"/>
    <w:rsid w:val="00264AEC"/>
    <w:rsid w:val="00264CB5"/>
    <w:rsid w:val="00265064"/>
    <w:rsid w:val="002655B8"/>
    <w:rsid w:val="00265797"/>
    <w:rsid w:val="00265839"/>
    <w:rsid w:val="00265BEB"/>
    <w:rsid w:val="00265D96"/>
    <w:rsid w:val="00265E09"/>
    <w:rsid w:val="00265F43"/>
    <w:rsid w:val="00266251"/>
    <w:rsid w:val="00266321"/>
    <w:rsid w:val="0026643C"/>
    <w:rsid w:val="0026675F"/>
    <w:rsid w:val="00266855"/>
    <w:rsid w:val="00266CA4"/>
    <w:rsid w:val="00266D26"/>
    <w:rsid w:val="00266E28"/>
    <w:rsid w:val="00266FCE"/>
    <w:rsid w:val="002670A8"/>
    <w:rsid w:val="002676C3"/>
    <w:rsid w:val="002677AB"/>
    <w:rsid w:val="00267B3A"/>
    <w:rsid w:val="00267E65"/>
    <w:rsid w:val="00267EA1"/>
    <w:rsid w:val="00267FF1"/>
    <w:rsid w:val="00270510"/>
    <w:rsid w:val="00270745"/>
    <w:rsid w:val="00270BF6"/>
    <w:rsid w:val="00270E7B"/>
    <w:rsid w:val="00271304"/>
    <w:rsid w:val="00271365"/>
    <w:rsid w:val="002713C5"/>
    <w:rsid w:val="002714E6"/>
    <w:rsid w:val="0027152E"/>
    <w:rsid w:val="002719BB"/>
    <w:rsid w:val="00272073"/>
    <w:rsid w:val="00272513"/>
    <w:rsid w:val="00272515"/>
    <w:rsid w:val="00272935"/>
    <w:rsid w:val="00272BDD"/>
    <w:rsid w:val="00272D10"/>
    <w:rsid w:val="00272E67"/>
    <w:rsid w:val="00272EF1"/>
    <w:rsid w:val="00272FAD"/>
    <w:rsid w:val="002730F9"/>
    <w:rsid w:val="002731F2"/>
    <w:rsid w:val="00273636"/>
    <w:rsid w:val="00273681"/>
    <w:rsid w:val="002736AC"/>
    <w:rsid w:val="002736DF"/>
    <w:rsid w:val="002738CE"/>
    <w:rsid w:val="00273D6E"/>
    <w:rsid w:val="00274554"/>
    <w:rsid w:val="00274727"/>
    <w:rsid w:val="00274884"/>
    <w:rsid w:val="00274DD9"/>
    <w:rsid w:val="0027535E"/>
    <w:rsid w:val="0027539B"/>
    <w:rsid w:val="00275418"/>
    <w:rsid w:val="002757F2"/>
    <w:rsid w:val="00275BF0"/>
    <w:rsid w:val="00275E89"/>
    <w:rsid w:val="00275EE5"/>
    <w:rsid w:val="00276124"/>
    <w:rsid w:val="00276546"/>
    <w:rsid w:val="002766F8"/>
    <w:rsid w:val="00276B5B"/>
    <w:rsid w:val="00276BAF"/>
    <w:rsid w:val="00276C83"/>
    <w:rsid w:val="00276EBE"/>
    <w:rsid w:val="00277482"/>
    <w:rsid w:val="00277997"/>
    <w:rsid w:val="00277A5C"/>
    <w:rsid w:val="00277E28"/>
    <w:rsid w:val="002802DB"/>
    <w:rsid w:val="0028057D"/>
    <w:rsid w:val="0028061C"/>
    <w:rsid w:val="00280965"/>
    <w:rsid w:val="00280A8A"/>
    <w:rsid w:val="00280E27"/>
    <w:rsid w:val="0028103A"/>
    <w:rsid w:val="002816A0"/>
    <w:rsid w:val="00281811"/>
    <w:rsid w:val="002819DF"/>
    <w:rsid w:val="002819F1"/>
    <w:rsid w:val="00281A5E"/>
    <w:rsid w:val="00281C8E"/>
    <w:rsid w:val="0028232D"/>
    <w:rsid w:val="002825AC"/>
    <w:rsid w:val="00282881"/>
    <w:rsid w:val="00282B8A"/>
    <w:rsid w:val="00282D64"/>
    <w:rsid w:val="00282ECA"/>
    <w:rsid w:val="00283089"/>
    <w:rsid w:val="002831AF"/>
    <w:rsid w:val="00283463"/>
    <w:rsid w:val="00284225"/>
    <w:rsid w:val="00284365"/>
    <w:rsid w:val="00284818"/>
    <w:rsid w:val="00284E65"/>
    <w:rsid w:val="002852A8"/>
    <w:rsid w:val="002852E9"/>
    <w:rsid w:val="002854B2"/>
    <w:rsid w:val="002855A4"/>
    <w:rsid w:val="00285773"/>
    <w:rsid w:val="00285AA6"/>
    <w:rsid w:val="00285B60"/>
    <w:rsid w:val="00285EF8"/>
    <w:rsid w:val="00286064"/>
    <w:rsid w:val="002861A1"/>
    <w:rsid w:val="002863D8"/>
    <w:rsid w:val="0028677B"/>
    <w:rsid w:val="00286CA1"/>
    <w:rsid w:val="0028701A"/>
    <w:rsid w:val="0028719D"/>
    <w:rsid w:val="002872C9"/>
    <w:rsid w:val="00287397"/>
    <w:rsid w:val="00287694"/>
    <w:rsid w:val="0028799E"/>
    <w:rsid w:val="00287B50"/>
    <w:rsid w:val="00287BA5"/>
    <w:rsid w:val="00287DAE"/>
    <w:rsid w:val="0029032B"/>
    <w:rsid w:val="002904AC"/>
    <w:rsid w:val="0029060E"/>
    <w:rsid w:val="00290C2F"/>
    <w:rsid w:val="00290CC9"/>
    <w:rsid w:val="00291256"/>
    <w:rsid w:val="0029140C"/>
    <w:rsid w:val="00291718"/>
    <w:rsid w:val="0029173D"/>
    <w:rsid w:val="002919D4"/>
    <w:rsid w:val="00291C49"/>
    <w:rsid w:val="00291C6C"/>
    <w:rsid w:val="00291D4B"/>
    <w:rsid w:val="0029229E"/>
    <w:rsid w:val="002922FC"/>
    <w:rsid w:val="00292311"/>
    <w:rsid w:val="00292488"/>
    <w:rsid w:val="0029260E"/>
    <w:rsid w:val="002926BC"/>
    <w:rsid w:val="00292F85"/>
    <w:rsid w:val="002930CA"/>
    <w:rsid w:val="002932EE"/>
    <w:rsid w:val="00293408"/>
    <w:rsid w:val="00293474"/>
    <w:rsid w:val="00293741"/>
    <w:rsid w:val="0029385B"/>
    <w:rsid w:val="00293B1F"/>
    <w:rsid w:val="0029423E"/>
    <w:rsid w:val="0029444F"/>
    <w:rsid w:val="002944D5"/>
    <w:rsid w:val="002944ED"/>
    <w:rsid w:val="0029460D"/>
    <w:rsid w:val="00294A38"/>
    <w:rsid w:val="00294D82"/>
    <w:rsid w:val="00294EB7"/>
    <w:rsid w:val="00294F74"/>
    <w:rsid w:val="00295248"/>
    <w:rsid w:val="00295B0E"/>
    <w:rsid w:val="00295DB9"/>
    <w:rsid w:val="0029606A"/>
    <w:rsid w:val="002963D4"/>
    <w:rsid w:val="00296638"/>
    <w:rsid w:val="002969E0"/>
    <w:rsid w:val="00296AC0"/>
    <w:rsid w:val="00296DA3"/>
    <w:rsid w:val="00296E3D"/>
    <w:rsid w:val="00297168"/>
    <w:rsid w:val="00297212"/>
    <w:rsid w:val="002974F1"/>
    <w:rsid w:val="0029755A"/>
    <w:rsid w:val="00297746"/>
    <w:rsid w:val="002977FD"/>
    <w:rsid w:val="00297B35"/>
    <w:rsid w:val="00297C12"/>
    <w:rsid w:val="00297C6F"/>
    <w:rsid w:val="00297D83"/>
    <w:rsid w:val="00297E8E"/>
    <w:rsid w:val="002A00ED"/>
    <w:rsid w:val="002A02B9"/>
    <w:rsid w:val="002A06C7"/>
    <w:rsid w:val="002A06D6"/>
    <w:rsid w:val="002A07FC"/>
    <w:rsid w:val="002A09BA"/>
    <w:rsid w:val="002A0A6A"/>
    <w:rsid w:val="002A0AD9"/>
    <w:rsid w:val="002A0B12"/>
    <w:rsid w:val="002A0BF3"/>
    <w:rsid w:val="002A13F7"/>
    <w:rsid w:val="002A1549"/>
    <w:rsid w:val="002A17DE"/>
    <w:rsid w:val="002A1951"/>
    <w:rsid w:val="002A1A0D"/>
    <w:rsid w:val="002A1A7C"/>
    <w:rsid w:val="002A1FF5"/>
    <w:rsid w:val="002A276E"/>
    <w:rsid w:val="002A28BF"/>
    <w:rsid w:val="002A28F6"/>
    <w:rsid w:val="002A306D"/>
    <w:rsid w:val="002A30BE"/>
    <w:rsid w:val="002A3140"/>
    <w:rsid w:val="002A31F9"/>
    <w:rsid w:val="002A365C"/>
    <w:rsid w:val="002A3CE8"/>
    <w:rsid w:val="002A3F8D"/>
    <w:rsid w:val="002A417A"/>
    <w:rsid w:val="002A418D"/>
    <w:rsid w:val="002A4206"/>
    <w:rsid w:val="002A4D0A"/>
    <w:rsid w:val="002A508A"/>
    <w:rsid w:val="002A5216"/>
    <w:rsid w:val="002A584E"/>
    <w:rsid w:val="002A595B"/>
    <w:rsid w:val="002A5EDC"/>
    <w:rsid w:val="002A61AE"/>
    <w:rsid w:val="002A631E"/>
    <w:rsid w:val="002A6405"/>
    <w:rsid w:val="002A6A6B"/>
    <w:rsid w:val="002A6AD3"/>
    <w:rsid w:val="002A6E0C"/>
    <w:rsid w:val="002A7491"/>
    <w:rsid w:val="002A768A"/>
    <w:rsid w:val="002A76CD"/>
    <w:rsid w:val="002A76F6"/>
    <w:rsid w:val="002A76FD"/>
    <w:rsid w:val="002A77FB"/>
    <w:rsid w:val="002A79C8"/>
    <w:rsid w:val="002B045A"/>
    <w:rsid w:val="002B0930"/>
    <w:rsid w:val="002B0DB8"/>
    <w:rsid w:val="002B0FF8"/>
    <w:rsid w:val="002B1152"/>
    <w:rsid w:val="002B1376"/>
    <w:rsid w:val="002B13F4"/>
    <w:rsid w:val="002B147C"/>
    <w:rsid w:val="002B15D7"/>
    <w:rsid w:val="002B16DC"/>
    <w:rsid w:val="002B1BBA"/>
    <w:rsid w:val="002B1C36"/>
    <w:rsid w:val="002B1CBE"/>
    <w:rsid w:val="002B1CCA"/>
    <w:rsid w:val="002B2254"/>
    <w:rsid w:val="002B2378"/>
    <w:rsid w:val="002B2A5D"/>
    <w:rsid w:val="002B2B01"/>
    <w:rsid w:val="002B2C43"/>
    <w:rsid w:val="002B2C76"/>
    <w:rsid w:val="002B2EBD"/>
    <w:rsid w:val="002B3089"/>
    <w:rsid w:val="002B3AD1"/>
    <w:rsid w:val="002B3AE6"/>
    <w:rsid w:val="002B4095"/>
    <w:rsid w:val="002B420E"/>
    <w:rsid w:val="002B4227"/>
    <w:rsid w:val="002B46F1"/>
    <w:rsid w:val="002B4876"/>
    <w:rsid w:val="002B4A45"/>
    <w:rsid w:val="002B4BD8"/>
    <w:rsid w:val="002B4CD8"/>
    <w:rsid w:val="002B4F1A"/>
    <w:rsid w:val="002B56B6"/>
    <w:rsid w:val="002B56E3"/>
    <w:rsid w:val="002B5838"/>
    <w:rsid w:val="002B59BB"/>
    <w:rsid w:val="002B59F2"/>
    <w:rsid w:val="002B5C58"/>
    <w:rsid w:val="002B5D4D"/>
    <w:rsid w:val="002B6192"/>
    <w:rsid w:val="002B62DE"/>
    <w:rsid w:val="002B72CC"/>
    <w:rsid w:val="002B7863"/>
    <w:rsid w:val="002B7FB4"/>
    <w:rsid w:val="002C0103"/>
    <w:rsid w:val="002C02EE"/>
    <w:rsid w:val="002C037C"/>
    <w:rsid w:val="002C0622"/>
    <w:rsid w:val="002C0881"/>
    <w:rsid w:val="002C092D"/>
    <w:rsid w:val="002C0FC0"/>
    <w:rsid w:val="002C120A"/>
    <w:rsid w:val="002C148D"/>
    <w:rsid w:val="002C14A8"/>
    <w:rsid w:val="002C191E"/>
    <w:rsid w:val="002C19A6"/>
    <w:rsid w:val="002C1AE2"/>
    <w:rsid w:val="002C1F73"/>
    <w:rsid w:val="002C1FB9"/>
    <w:rsid w:val="002C2051"/>
    <w:rsid w:val="002C2100"/>
    <w:rsid w:val="002C2116"/>
    <w:rsid w:val="002C2282"/>
    <w:rsid w:val="002C242C"/>
    <w:rsid w:val="002C2479"/>
    <w:rsid w:val="002C24A6"/>
    <w:rsid w:val="002C27A1"/>
    <w:rsid w:val="002C2A68"/>
    <w:rsid w:val="002C2BC2"/>
    <w:rsid w:val="002C2D92"/>
    <w:rsid w:val="002C2EDA"/>
    <w:rsid w:val="002C2EDF"/>
    <w:rsid w:val="002C360C"/>
    <w:rsid w:val="002C3700"/>
    <w:rsid w:val="002C3EE3"/>
    <w:rsid w:val="002C402A"/>
    <w:rsid w:val="002C4050"/>
    <w:rsid w:val="002C4155"/>
    <w:rsid w:val="002C4229"/>
    <w:rsid w:val="002C4289"/>
    <w:rsid w:val="002C46FB"/>
    <w:rsid w:val="002C4855"/>
    <w:rsid w:val="002C4940"/>
    <w:rsid w:val="002C4A89"/>
    <w:rsid w:val="002C500C"/>
    <w:rsid w:val="002C5753"/>
    <w:rsid w:val="002C5C2B"/>
    <w:rsid w:val="002C5E2D"/>
    <w:rsid w:val="002C5E50"/>
    <w:rsid w:val="002C61E1"/>
    <w:rsid w:val="002C6517"/>
    <w:rsid w:val="002C6977"/>
    <w:rsid w:val="002C69FF"/>
    <w:rsid w:val="002C6A66"/>
    <w:rsid w:val="002C744A"/>
    <w:rsid w:val="002C74AF"/>
    <w:rsid w:val="002C74C5"/>
    <w:rsid w:val="002C79C9"/>
    <w:rsid w:val="002C7CD6"/>
    <w:rsid w:val="002C7CFB"/>
    <w:rsid w:val="002C7E3D"/>
    <w:rsid w:val="002C7E58"/>
    <w:rsid w:val="002D000D"/>
    <w:rsid w:val="002D0099"/>
    <w:rsid w:val="002D00B5"/>
    <w:rsid w:val="002D00DF"/>
    <w:rsid w:val="002D01D7"/>
    <w:rsid w:val="002D03C5"/>
    <w:rsid w:val="002D04EF"/>
    <w:rsid w:val="002D05AA"/>
    <w:rsid w:val="002D06EB"/>
    <w:rsid w:val="002D072C"/>
    <w:rsid w:val="002D077C"/>
    <w:rsid w:val="002D0C47"/>
    <w:rsid w:val="002D0CEC"/>
    <w:rsid w:val="002D0E87"/>
    <w:rsid w:val="002D0FC6"/>
    <w:rsid w:val="002D10A8"/>
    <w:rsid w:val="002D141F"/>
    <w:rsid w:val="002D18F7"/>
    <w:rsid w:val="002D1985"/>
    <w:rsid w:val="002D1F7E"/>
    <w:rsid w:val="002D2337"/>
    <w:rsid w:val="002D2378"/>
    <w:rsid w:val="002D26DD"/>
    <w:rsid w:val="002D2746"/>
    <w:rsid w:val="002D287D"/>
    <w:rsid w:val="002D2A13"/>
    <w:rsid w:val="002D2C82"/>
    <w:rsid w:val="002D3607"/>
    <w:rsid w:val="002D374C"/>
    <w:rsid w:val="002D37C9"/>
    <w:rsid w:val="002D3C52"/>
    <w:rsid w:val="002D3DE0"/>
    <w:rsid w:val="002D3EB5"/>
    <w:rsid w:val="002D3F38"/>
    <w:rsid w:val="002D43AD"/>
    <w:rsid w:val="002D447A"/>
    <w:rsid w:val="002D456E"/>
    <w:rsid w:val="002D4710"/>
    <w:rsid w:val="002D47C6"/>
    <w:rsid w:val="002D4AC4"/>
    <w:rsid w:val="002D4C7F"/>
    <w:rsid w:val="002D4DA4"/>
    <w:rsid w:val="002D5346"/>
    <w:rsid w:val="002D53D6"/>
    <w:rsid w:val="002D5CD7"/>
    <w:rsid w:val="002D5E9D"/>
    <w:rsid w:val="002D5F20"/>
    <w:rsid w:val="002D628C"/>
    <w:rsid w:val="002D6936"/>
    <w:rsid w:val="002D6A86"/>
    <w:rsid w:val="002D6F4C"/>
    <w:rsid w:val="002D7214"/>
    <w:rsid w:val="002D7257"/>
    <w:rsid w:val="002D726B"/>
    <w:rsid w:val="002D73BB"/>
    <w:rsid w:val="002D7818"/>
    <w:rsid w:val="002D7DB3"/>
    <w:rsid w:val="002E011B"/>
    <w:rsid w:val="002E035F"/>
    <w:rsid w:val="002E04FD"/>
    <w:rsid w:val="002E0712"/>
    <w:rsid w:val="002E079F"/>
    <w:rsid w:val="002E08C8"/>
    <w:rsid w:val="002E09A3"/>
    <w:rsid w:val="002E12EA"/>
    <w:rsid w:val="002E15DC"/>
    <w:rsid w:val="002E16D1"/>
    <w:rsid w:val="002E18EC"/>
    <w:rsid w:val="002E199D"/>
    <w:rsid w:val="002E1B8F"/>
    <w:rsid w:val="002E1E5D"/>
    <w:rsid w:val="002E1F88"/>
    <w:rsid w:val="002E2311"/>
    <w:rsid w:val="002E23F5"/>
    <w:rsid w:val="002E260D"/>
    <w:rsid w:val="002E2D96"/>
    <w:rsid w:val="002E2EA2"/>
    <w:rsid w:val="002E34A4"/>
    <w:rsid w:val="002E3602"/>
    <w:rsid w:val="002E3CD0"/>
    <w:rsid w:val="002E3F76"/>
    <w:rsid w:val="002E413B"/>
    <w:rsid w:val="002E42C2"/>
    <w:rsid w:val="002E45E8"/>
    <w:rsid w:val="002E4ABF"/>
    <w:rsid w:val="002E4CE5"/>
    <w:rsid w:val="002E4DD9"/>
    <w:rsid w:val="002E54D6"/>
    <w:rsid w:val="002E5919"/>
    <w:rsid w:val="002E5BCB"/>
    <w:rsid w:val="002E6164"/>
    <w:rsid w:val="002E65DD"/>
    <w:rsid w:val="002E6992"/>
    <w:rsid w:val="002E6C93"/>
    <w:rsid w:val="002E6D97"/>
    <w:rsid w:val="002E721A"/>
    <w:rsid w:val="002E74C8"/>
    <w:rsid w:val="002E767C"/>
    <w:rsid w:val="002E7A39"/>
    <w:rsid w:val="002E7C11"/>
    <w:rsid w:val="002E7CAC"/>
    <w:rsid w:val="002E7D03"/>
    <w:rsid w:val="002E7ED5"/>
    <w:rsid w:val="002F041D"/>
    <w:rsid w:val="002F05E1"/>
    <w:rsid w:val="002F0B25"/>
    <w:rsid w:val="002F0D17"/>
    <w:rsid w:val="002F0E63"/>
    <w:rsid w:val="002F16DB"/>
    <w:rsid w:val="002F179F"/>
    <w:rsid w:val="002F1D3B"/>
    <w:rsid w:val="002F1F64"/>
    <w:rsid w:val="002F1FE6"/>
    <w:rsid w:val="002F21AB"/>
    <w:rsid w:val="002F2323"/>
    <w:rsid w:val="002F2698"/>
    <w:rsid w:val="002F2892"/>
    <w:rsid w:val="002F2C53"/>
    <w:rsid w:val="002F2E80"/>
    <w:rsid w:val="002F322A"/>
    <w:rsid w:val="002F325E"/>
    <w:rsid w:val="002F369D"/>
    <w:rsid w:val="002F3AD7"/>
    <w:rsid w:val="002F4030"/>
    <w:rsid w:val="002F4552"/>
    <w:rsid w:val="002F471D"/>
    <w:rsid w:val="002F4B2A"/>
    <w:rsid w:val="002F4B41"/>
    <w:rsid w:val="002F5161"/>
    <w:rsid w:val="002F554A"/>
    <w:rsid w:val="002F5ABB"/>
    <w:rsid w:val="002F6865"/>
    <w:rsid w:val="002F6B2F"/>
    <w:rsid w:val="002F70EA"/>
    <w:rsid w:val="002F7161"/>
    <w:rsid w:val="002F7186"/>
    <w:rsid w:val="002F71E5"/>
    <w:rsid w:val="002F753B"/>
    <w:rsid w:val="002F7881"/>
    <w:rsid w:val="002F79EF"/>
    <w:rsid w:val="002F7AF0"/>
    <w:rsid w:val="002F7C65"/>
    <w:rsid w:val="002F7C70"/>
    <w:rsid w:val="00300008"/>
    <w:rsid w:val="00300157"/>
    <w:rsid w:val="0030076E"/>
    <w:rsid w:val="00300799"/>
    <w:rsid w:val="00300D59"/>
    <w:rsid w:val="00300EE0"/>
    <w:rsid w:val="00300FD9"/>
    <w:rsid w:val="00301181"/>
    <w:rsid w:val="003011D7"/>
    <w:rsid w:val="003012BF"/>
    <w:rsid w:val="00301862"/>
    <w:rsid w:val="0030190A"/>
    <w:rsid w:val="00301C80"/>
    <w:rsid w:val="00301CA2"/>
    <w:rsid w:val="00301CB6"/>
    <w:rsid w:val="00301D40"/>
    <w:rsid w:val="00301E28"/>
    <w:rsid w:val="00302040"/>
    <w:rsid w:val="003026A2"/>
    <w:rsid w:val="003026AC"/>
    <w:rsid w:val="0030275D"/>
    <w:rsid w:val="00302AE5"/>
    <w:rsid w:val="00303007"/>
    <w:rsid w:val="003032C0"/>
    <w:rsid w:val="00303441"/>
    <w:rsid w:val="00303951"/>
    <w:rsid w:val="00303B20"/>
    <w:rsid w:val="00303C5A"/>
    <w:rsid w:val="00303CBD"/>
    <w:rsid w:val="00303D7B"/>
    <w:rsid w:val="00303DB9"/>
    <w:rsid w:val="00303DE8"/>
    <w:rsid w:val="00303EBF"/>
    <w:rsid w:val="003041C9"/>
    <w:rsid w:val="003044AF"/>
    <w:rsid w:val="003044DE"/>
    <w:rsid w:val="0030479F"/>
    <w:rsid w:val="003048F6"/>
    <w:rsid w:val="00304BF4"/>
    <w:rsid w:val="003050C9"/>
    <w:rsid w:val="003051AD"/>
    <w:rsid w:val="003051F4"/>
    <w:rsid w:val="003055C5"/>
    <w:rsid w:val="003057DC"/>
    <w:rsid w:val="00305A89"/>
    <w:rsid w:val="00305FD9"/>
    <w:rsid w:val="00306033"/>
    <w:rsid w:val="003060BD"/>
    <w:rsid w:val="003060C6"/>
    <w:rsid w:val="00306266"/>
    <w:rsid w:val="00306924"/>
    <w:rsid w:val="003069BB"/>
    <w:rsid w:val="00306A30"/>
    <w:rsid w:val="00306C9C"/>
    <w:rsid w:val="00306E84"/>
    <w:rsid w:val="00306FCC"/>
    <w:rsid w:val="00307149"/>
    <w:rsid w:val="00307208"/>
    <w:rsid w:val="00307221"/>
    <w:rsid w:val="00307249"/>
    <w:rsid w:val="0030761C"/>
    <w:rsid w:val="003100B2"/>
    <w:rsid w:val="00310468"/>
    <w:rsid w:val="0031098A"/>
    <w:rsid w:val="003110E3"/>
    <w:rsid w:val="003117F5"/>
    <w:rsid w:val="003118C2"/>
    <w:rsid w:val="00311AE5"/>
    <w:rsid w:val="003121C2"/>
    <w:rsid w:val="0031223D"/>
    <w:rsid w:val="0031240D"/>
    <w:rsid w:val="00312590"/>
    <w:rsid w:val="003126CF"/>
    <w:rsid w:val="0031277C"/>
    <w:rsid w:val="00312908"/>
    <w:rsid w:val="003129D6"/>
    <w:rsid w:val="00312CD3"/>
    <w:rsid w:val="00312EBD"/>
    <w:rsid w:val="00313065"/>
    <w:rsid w:val="003130D3"/>
    <w:rsid w:val="00313590"/>
    <w:rsid w:val="00313804"/>
    <w:rsid w:val="00313AE0"/>
    <w:rsid w:val="00313DB9"/>
    <w:rsid w:val="00313DCE"/>
    <w:rsid w:val="00313EF7"/>
    <w:rsid w:val="00313F69"/>
    <w:rsid w:val="0031490A"/>
    <w:rsid w:val="0031492A"/>
    <w:rsid w:val="00314A09"/>
    <w:rsid w:val="00314A84"/>
    <w:rsid w:val="00315052"/>
    <w:rsid w:val="00315291"/>
    <w:rsid w:val="0031541A"/>
    <w:rsid w:val="0031594F"/>
    <w:rsid w:val="003159BE"/>
    <w:rsid w:val="00315AB2"/>
    <w:rsid w:val="00315D23"/>
    <w:rsid w:val="00315D8E"/>
    <w:rsid w:val="00315FC4"/>
    <w:rsid w:val="0031613E"/>
    <w:rsid w:val="003164C3"/>
    <w:rsid w:val="00316895"/>
    <w:rsid w:val="00316D33"/>
    <w:rsid w:val="00316E6D"/>
    <w:rsid w:val="00317142"/>
    <w:rsid w:val="003172B2"/>
    <w:rsid w:val="0031739E"/>
    <w:rsid w:val="003173D8"/>
    <w:rsid w:val="0031745F"/>
    <w:rsid w:val="003174C5"/>
    <w:rsid w:val="00317BA5"/>
    <w:rsid w:val="00320937"/>
    <w:rsid w:val="00320C93"/>
    <w:rsid w:val="00321049"/>
    <w:rsid w:val="00321132"/>
    <w:rsid w:val="0032125C"/>
    <w:rsid w:val="00321271"/>
    <w:rsid w:val="003212DB"/>
    <w:rsid w:val="00321517"/>
    <w:rsid w:val="00321968"/>
    <w:rsid w:val="00321A19"/>
    <w:rsid w:val="00321BD7"/>
    <w:rsid w:val="00321E30"/>
    <w:rsid w:val="0032269F"/>
    <w:rsid w:val="00322BF5"/>
    <w:rsid w:val="00322CB0"/>
    <w:rsid w:val="00322CB7"/>
    <w:rsid w:val="00323343"/>
    <w:rsid w:val="00323756"/>
    <w:rsid w:val="00323768"/>
    <w:rsid w:val="00323AE7"/>
    <w:rsid w:val="003240A0"/>
    <w:rsid w:val="003242D8"/>
    <w:rsid w:val="003242F9"/>
    <w:rsid w:val="003243B4"/>
    <w:rsid w:val="00324685"/>
    <w:rsid w:val="00324CF2"/>
    <w:rsid w:val="00324D5E"/>
    <w:rsid w:val="00324FF3"/>
    <w:rsid w:val="0032546D"/>
    <w:rsid w:val="00326142"/>
    <w:rsid w:val="003262FD"/>
    <w:rsid w:val="00326387"/>
    <w:rsid w:val="00326396"/>
    <w:rsid w:val="003269D1"/>
    <w:rsid w:val="00326E19"/>
    <w:rsid w:val="0032709D"/>
    <w:rsid w:val="00327644"/>
    <w:rsid w:val="003276F2"/>
    <w:rsid w:val="003277D2"/>
    <w:rsid w:val="003277FA"/>
    <w:rsid w:val="00327AC9"/>
    <w:rsid w:val="00330468"/>
    <w:rsid w:val="003305FA"/>
    <w:rsid w:val="00330B73"/>
    <w:rsid w:val="00330CD8"/>
    <w:rsid w:val="00330DA0"/>
    <w:rsid w:val="0033178D"/>
    <w:rsid w:val="00331864"/>
    <w:rsid w:val="0033194D"/>
    <w:rsid w:val="003322EB"/>
    <w:rsid w:val="003326E1"/>
    <w:rsid w:val="0033271A"/>
    <w:rsid w:val="0033290E"/>
    <w:rsid w:val="00332AA2"/>
    <w:rsid w:val="0033383A"/>
    <w:rsid w:val="00333A2B"/>
    <w:rsid w:val="00333D2F"/>
    <w:rsid w:val="0033402F"/>
    <w:rsid w:val="0033418B"/>
    <w:rsid w:val="0033493A"/>
    <w:rsid w:val="00334A4F"/>
    <w:rsid w:val="00334ABF"/>
    <w:rsid w:val="0033513E"/>
    <w:rsid w:val="003355B7"/>
    <w:rsid w:val="003359DB"/>
    <w:rsid w:val="00335A23"/>
    <w:rsid w:val="00335BCF"/>
    <w:rsid w:val="00335C10"/>
    <w:rsid w:val="00336019"/>
    <w:rsid w:val="00336738"/>
    <w:rsid w:val="003368FA"/>
    <w:rsid w:val="00336D8C"/>
    <w:rsid w:val="00336F40"/>
    <w:rsid w:val="00337195"/>
    <w:rsid w:val="00337B69"/>
    <w:rsid w:val="00337BF8"/>
    <w:rsid w:val="00337CB8"/>
    <w:rsid w:val="00340510"/>
    <w:rsid w:val="00340548"/>
    <w:rsid w:val="0034054E"/>
    <w:rsid w:val="0034055B"/>
    <w:rsid w:val="003407BC"/>
    <w:rsid w:val="00340936"/>
    <w:rsid w:val="00340D15"/>
    <w:rsid w:val="003411BF"/>
    <w:rsid w:val="003416B4"/>
    <w:rsid w:val="00341773"/>
    <w:rsid w:val="00341C04"/>
    <w:rsid w:val="00341C89"/>
    <w:rsid w:val="00342188"/>
    <w:rsid w:val="00342AF0"/>
    <w:rsid w:val="00342C3B"/>
    <w:rsid w:val="00342C72"/>
    <w:rsid w:val="00343286"/>
    <w:rsid w:val="003435AD"/>
    <w:rsid w:val="003438BC"/>
    <w:rsid w:val="00343B0E"/>
    <w:rsid w:val="00343B11"/>
    <w:rsid w:val="00343EA6"/>
    <w:rsid w:val="00344049"/>
    <w:rsid w:val="00344BE0"/>
    <w:rsid w:val="00344C14"/>
    <w:rsid w:val="0034528E"/>
    <w:rsid w:val="003454FD"/>
    <w:rsid w:val="003458A9"/>
    <w:rsid w:val="00345D25"/>
    <w:rsid w:val="00345F6F"/>
    <w:rsid w:val="00345F75"/>
    <w:rsid w:val="00345F7E"/>
    <w:rsid w:val="00346ED2"/>
    <w:rsid w:val="00346FCB"/>
    <w:rsid w:val="003470B4"/>
    <w:rsid w:val="00347366"/>
    <w:rsid w:val="0034793F"/>
    <w:rsid w:val="00347A8B"/>
    <w:rsid w:val="00347DD2"/>
    <w:rsid w:val="00347DFF"/>
    <w:rsid w:val="00347FF2"/>
    <w:rsid w:val="00350199"/>
    <w:rsid w:val="00350366"/>
    <w:rsid w:val="003503BC"/>
    <w:rsid w:val="003504C3"/>
    <w:rsid w:val="00350521"/>
    <w:rsid w:val="00350600"/>
    <w:rsid w:val="003508DB"/>
    <w:rsid w:val="00350EB7"/>
    <w:rsid w:val="0035118F"/>
    <w:rsid w:val="0035146D"/>
    <w:rsid w:val="003519D3"/>
    <w:rsid w:val="00351E38"/>
    <w:rsid w:val="00351E6F"/>
    <w:rsid w:val="00351F04"/>
    <w:rsid w:val="00352154"/>
    <w:rsid w:val="0035221C"/>
    <w:rsid w:val="00352A1B"/>
    <w:rsid w:val="00352B7B"/>
    <w:rsid w:val="00352B99"/>
    <w:rsid w:val="00352D1C"/>
    <w:rsid w:val="0035306F"/>
    <w:rsid w:val="00353441"/>
    <w:rsid w:val="003534D2"/>
    <w:rsid w:val="00353713"/>
    <w:rsid w:val="00353A1D"/>
    <w:rsid w:val="00353A71"/>
    <w:rsid w:val="00353AA8"/>
    <w:rsid w:val="00353FAD"/>
    <w:rsid w:val="00354445"/>
    <w:rsid w:val="0035444C"/>
    <w:rsid w:val="0035459A"/>
    <w:rsid w:val="00354677"/>
    <w:rsid w:val="00354B90"/>
    <w:rsid w:val="00354D5E"/>
    <w:rsid w:val="00354F01"/>
    <w:rsid w:val="0035512B"/>
    <w:rsid w:val="003559BA"/>
    <w:rsid w:val="00355CD8"/>
    <w:rsid w:val="00355D6E"/>
    <w:rsid w:val="00355F7D"/>
    <w:rsid w:val="0035642C"/>
    <w:rsid w:val="0035647A"/>
    <w:rsid w:val="003565F4"/>
    <w:rsid w:val="003567DD"/>
    <w:rsid w:val="00356E98"/>
    <w:rsid w:val="003575CC"/>
    <w:rsid w:val="003576A4"/>
    <w:rsid w:val="00357B18"/>
    <w:rsid w:val="00360258"/>
    <w:rsid w:val="003602EB"/>
    <w:rsid w:val="003602FA"/>
    <w:rsid w:val="003604C9"/>
    <w:rsid w:val="00360679"/>
    <w:rsid w:val="00360D6C"/>
    <w:rsid w:val="00360F4D"/>
    <w:rsid w:val="0036135D"/>
    <w:rsid w:val="00361361"/>
    <w:rsid w:val="00361B7F"/>
    <w:rsid w:val="00361ED6"/>
    <w:rsid w:val="00361FA4"/>
    <w:rsid w:val="00362177"/>
    <w:rsid w:val="0036244D"/>
    <w:rsid w:val="003624C9"/>
    <w:rsid w:val="00362CF1"/>
    <w:rsid w:val="00363065"/>
    <w:rsid w:val="003631FB"/>
    <w:rsid w:val="0036331C"/>
    <w:rsid w:val="00363380"/>
    <w:rsid w:val="00363ACA"/>
    <w:rsid w:val="00363C18"/>
    <w:rsid w:val="00363C94"/>
    <w:rsid w:val="00363CA8"/>
    <w:rsid w:val="00363DF6"/>
    <w:rsid w:val="00364645"/>
    <w:rsid w:val="00364716"/>
    <w:rsid w:val="00364786"/>
    <w:rsid w:val="00364921"/>
    <w:rsid w:val="003649B4"/>
    <w:rsid w:val="00364A27"/>
    <w:rsid w:val="00364C0B"/>
    <w:rsid w:val="00364C2A"/>
    <w:rsid w:val="00364D3D"/>
    <w:rsid w:val="00364D5F"/>
    <w:rsid w:val="00364FA7"/>
    <w:rsid w:val="003650DA"/>
    <w:rsid w:val="00365561"/>
    <w:rsid w:val="0036568B"/>
    <w:rsid w:val="003658A5"/>
    <w:rsid w:val="00365A0A"/>
    <w:rsid w:val="00365A52"/>
    <w:rsid w:val="00365C75"/>
    <w:rsid w:val="00365CC2"/>
    <w:rsid w:val="00365FA7"/>
    <w:rsid w:val="003666C2"/>
    <w:rsid w:val="00366879"/>
    <w:rsid w:val="00366928"/>
    <w:rsid w:val="00366AAF"/>
    <w:rsid w:val="00366DB5"/>
    <w:rsid w:val="00366E23"/>
    <w:rsid w:val="00367067"/>
    <w:rsid w:val="0036731F"/>
    <w:rsid w:val="0036754F"/>
    <w:rsid w:val="003677EB"/>
    <w:rsid w:val="003678B4"/>
    <w:rsid w:val="00367946"/>
    <w:rsid w:val="00367A4F"/>
    <w:rsid w:val="00367D1F"/>
    <w:rsid w:val="00367FFB"/>
    <w:rsid w:val="00370280"/>
    <w:rsid w:val="00370347"/>
    <w:rsid w:val="00370514"/>
    <w:rsid w:val="0037066C"/>
    <w:rsid w:val="0037069F"/>
    <w:rsid w:val="003708CA"/>
    <w:rsid w:val="003708FF"/>
    <w:rsid w:val="00370A9B"/>
    <w:rsid w:val="003710BF"/>
    <w:rsid w:val="003711BF"/>
    <w:rsid w:val="00371702"/>
    <w:rsid w:val="00372BD0"/>
    <w:rsid w:val="00372CB2"/>
    <w:rsid w:val="0037325D"/>
    <w:rsid w:val="003732FC"/>
    <w:rsid w:val="003733C4"/>
    <w:rsid w:val="00373808"/>
    <w:rsid w:val="00373899"/>
    <w:rsid w:val="00373A12"/>
    <w:rsid w:val="00373D21"/>
    <w:rsid w:val="003741A4"/>
    <w:rsid w:val="003743A4"/>
    <w:rsid w:val="0037440E"/>
    <w:rsid w:val="00374551"/>
    <w:rsid w:val="0037457F"/>
    <w:rsid w:val="00374691"/>
    <w:rsid w:val="00374AC4"/>
    <w:rsid w:val="00374B9E"/>
    <w:rsid w:val="00374BD1"/>
    <w:rsid w:val="00374D51"/>
    <w:rsid w:val="00374F7C"/>
    <w:rsid w:val="003751FD"/>
    <w:rsid w:val="00375315"/>
    <w:rsid w:val="003753A0"/>
    <w:rsid w:val="0037578C"/>
    <w:rsid w:val="003758D7"/>
    <w:rsid w:val="003759F0"/>
    <w:rsid w:val="00375C71"/>
    <w:rsid w:val="00375DF4"/>
    <w:rsid w:val="00375E0D"/>
    <w:rsid w:val="003762BE"/>
    <w:rsid w:val="003762D5"/>
    <w:rsid w:val="0037681E"/>
    <w:rsid w:val="00376A2D"/>
    <w:rsid w:val="00376CB5"/>
    <w:rsid w:val="0037723B"/>
    <w:rsid w:val="00377ABC"/>
    <w:rsid w:val="00377B44"/>
    <w:rsid w:val="00377DE5"/>
    <w:rsid w:val="00377E20"/>
    <w:rsid w:val="003808DD"/>
    <w:rsid w:val="00380CEB"/>
    <w:rsid w:val="00380E18"/>
    <w:rsid w:val="00380FD7"/>
    <w:rsid w:val="003815E1"/>
    <w:rsid w:val="003819C7"/>
    <w:rsid w:val="00381B2E"/>
    <w:rsid w:val="00381C8D"/>
    <w:rsid w:val="00381FD5"/>
    <w:rsid w:val="00382103"/>
    <w:rsid w:val="003829C1"/>
    <w:rsid w:val="00383449"/>
    <w:rsid w:val="0038360D"/>
    <w:rsid w:val="00383858"/>
    <w:rsid w:val="00383FD8"/>
    <w:rsid w:val="0038424D"/>
    <w:rsid w:val="00384417"/>
    <w:rsid w:val="00384AA6"/>
    <w:rsid w:val="00384BE2"/>
    <w:rsid w:val="00384FE5"/>
    <w:rsid w:val="00385002"/>
    <w:rsid w:val="003850E1"/>
    <w:rsid w:val="00385354"/>
    <w:rsid w:val="00385A66"/>
    <w:rsid w:val="00385BEA"/>
    <w:rsid w:val="00385D19"/>
    <w:rsid w:val="00385E30"/>
    <w:rsid w:val="003860AA"/>
    <w:rsid w:val="0038644C"/>
    <w:rsid w:val="00386796"/>
    <w:rsid w:val="00386926"/>
    <w:rsid w:val="00386A4A"/>
    <w:rsid w:val="00386A8D"/>
    <w:rsid w:val="00386CEF"/>
    <w:rsid w:val="00387096"/>
    <w:rsid w:val="003870FA"/>
    <w:rsid w:val="00387854"/>
    <w:rsid w:val="00387895"/>
    <w:rsid w:val="003878D0"/>
    <w:rsid w:val="003879E6"/>
    <w:rsid w:val="00387AB3"/>
    <w:rsid w:val="00387AF9"/>
    <w:rsid w:val="00387E49"/>
    <w:rsid w:val="00387ECD"/>
    <w:rsid w:val="0039002A"/>
    <w:rsid w:val="003902F3"/>
    <w:rsid w:val="003904C6"/>
    <w:rsid w:val="00390564"/>
    <w:rsid w:val="00390631"/>
    <w:rsid w:val="003907B4"/>
    <w:rsid w:val="00390938"/>
    <w:rsid w:val="00390B2D"/>
    <w:rsid w:val="00390C2F"/>
    <w:rsid w:val="00390D95"/>
    <w:rsid w:val="00391A5C"/>
    <w:rsid w:val="00391B53"/>
    <w:rsid w:val="00392020"/>
    <w:rsid w:val="00392117"/>
    <w:rsid w:val="00392475"/>
    <w:rsid w:val="00392505"/>
    <w:rsid w:val="00392743"/>
    <w:rsid w:val="003929A6"/>
    <w:rsid w:val="00392C39"/>
    <w:rsid w:val="003932AB"/>
    <w:rsid w:val="0039349C"/>
    <w:rsid w:val="00393568"/>
    <w:rsid w:val="003935FE"/>
    <w:rsid w:val="00393DC2"/>
    <w:rsid w:val="00393FA9"/>
    <w:rsid w:val="00394161"/>
    <w:rsid w:val="003942D7"/>
    <w:rsid w:val="00394610"/>
    <w:rsid w:val="003947A0"/>
    <w:rsid w:val="0039495F"/>
    <w:rsid w:val="00394AE3"/>
    <w:rsid w:val="00394B15"/>
    <w:rsid w:val="00394D37"/>
    <w:rsid w:val="003950CE"/>
    <w:rsid w:val="00395122"/>
    <w:rsid w:val="00395159"/>
    <w:rsid w:val="003952AA"/>
    <w:rsid w:val="00395343"/>
    <w:rsid w:val="00395BB6"/>
    <w:rsid w:val="00395CE0"/>
    <w:rsid w:val="00395E12"/>
    <w:rsid w:val="003962B5"/>
    <w:rsid w:val="003965D3"/>
    <w:rsid w:val="0039674B"/>
    <w:rsid w:val="003968DD"/>
    <w:rsid w:val="00396958"/>
    <w:rsid w:val="00396B52"/>
    <w:rsid w:val="00396D3C"/>
    <w:rsid w:val="00396D67"/>
    <w:rsid w:val="00397019"/>
    <w:rsid w:val="003976EA"/>
    <w:rsid w:val="0039775B"/>
    <w:rsid w:val="00397B61"/>
    <w:rsid w:val="00397FA7"/>
    <w:rsid w:val="003A00EF"/>
    <w:rsid w:val="003A0122"/>
    <w:rsid w:val="003A0211"/>
    <w:rsid w:val="003A0294"/>
    <w:rsid w:val="003A02C2"/>
    <w:rsid w:val="003A0711"/>
    <w:rsid w:val="003A0AD0"/>
    <w:rsid w:val="003A0D5B"/>
    <w:rsid w:val="003A0F73"/>
    <w:rsid w:val="003A105D"/>
    <w:rsid w:val="003A174A"/>
    <w:rsid w:val="003A18D3"/>
    <w:rsid w:val="003A1A72"/>
    <w:rsid w:val="003A249E"/>
    <w:rsid w:val="003A258A"/>
    <w:rsid w:val="003A264A"/>
    <w:rsid w:val="003A2927"/>
    <w:rsid w:val="003A29F7"/>
    <w:rsid w:val="003A2CED"/>
    <w:rsid w:val="003A2D88"/>
    <w:rsid w:val="003A3073"/>
    <w:rsid w:val="003A34DF"/>
    <w:rsid w:val="003A385C"/>
    <w:rsid w:val="003A3962"/>
    <w:rsid w:val="003A3DA6"/>
    <w:rsid w:val="003A3E56"/>
    <w:rsid w:val="003A3FE4"/>
    <w:rsid w:val="003A4109"/>
    <w:rsid w:val="003A44D5"/>
    <w:rsid w:val="003A474E"/>
    <w:rsid w:val="003A4968"/>
    <w:rsid w:val="003A4B43"/>
    <w:rsid w:val="003A4D3A"/>
    <w:rsid w:val="003A4D9D"/>
    <w:rsid w:val="003A50CC"/>
    <w:rsid w:val="003A515D"/>
    <w:rsid w:val="003A518C"/>
    <w:rsid w:val="003A56F3"/>
    <w:rsid w:val="003A57D3"/>
    <w:rsid w:val="003A5C9E"/>
    <w:rsid w:val="003A5E91"/>
    <w:rsid w:val="003A6161"/>
    <w:rsid w:val="003A6268"/>
    <w:rsid w:val="003A63A6"/>
    <w:rsid w:val="003A642D"/>
    <w:rsid w:val="003A64CB"/>
    <w:rsid w:val="003A65D2"/>
    <w:rsid w:val="003A65E2"/>
    <w:rsid w:val="003A66D6"/>
    <w:rsid w:val="003A6999"/>
    <w:rsid w:val="003A7504"/>
    <w:rsid w:val="003A764C"/>
    <w:rsid w:val="003A7661"/>
    <w:rsid w:val="003A7711"/>
    <w:rsid w:val="003A7E53"/>
    <w:rsid w:val="003A7F06"/>
    <w:rsid w:val="003A7F59"/>
    <w:rsid w:val="003B01DD"/>
    <w:rsid w:val="003B042E"/>
    <w:rsid w:val="003B0448"/>
    <w:rsid w:val="003B0471"/>
    <w:rsid w:val="003B1724"/>
    <w:rsid w:val="003B19D6"/>
    <w:rsid w:val="003B2977"/>
    <w:rsid w:val="003B2DB5"/>
    <w:rsid w:val="003B3522"/>
    <w:rsid w:val="003B3896"/>
    <w:rsid w:val="003B3A68"/>
    <w:rsid w:val="003B3A85"/>
    <w:rsid w:val="003B3E41"/>
    <w:rsid w:val="003B4178"/>
    <w:rsid w:val="003B4195"/>
    <w:rsid w:val="003B460C"/>
    <w:rsid w:val="003B46E9"/>
    <w:rsid w:val="003B4855"/>
    <w:rsid w:val="003B4F4C"/>
    <w:rsid w:val="003B4FDD"/>
    <w:rsid w:val="003B4FEA"/>
    <w:rsid w:val="003B53C8"/>
    <w:rsid w:val="003B59BA"/>
    <w:rsid w:val="003B5A7D"/>
    <w:rsid w:val="003B5C51"/>
    <w:rsid w:val="003B5CF0"/>
    <w:rsid w:val="003B6042"/>
    <w:rsid w:val="003B60C1"/>
    <w:rsid w:val="003B6258"/>
    <w:rsid w:val="003B6265"/>
    <w:rsid w:val="003B6478"/>
    <w:rsid w:val="003B68F2"/>
    <w:rsid w:val="003B6BBB"/>
    <w:rsid w:val="003B720D"/>
    <w:rsid w:val="003B7334"/>
    <w:rsid w:val="003B7535"/>
    <w:rsid w:val="003B75D2"/>
    <w:rsid w:val="003B7875"/>
    <w:rsid w:val="003B7B6E"/>
    <w:rsid w:val="003B7C6C"/>
    <w:rsid w:val="003C026C"/>
    <w:rsid w:val="003C051D"/>
    <w:rsid w:val="003C05E1"/>
    <w:rsid w:val="003C0765"/>
    <w:rsid w:val="003C085D"/>
    <w:rsid w:val="003C0D99"/>
    <w:rsid w:val="003C0E77"/>
    <w:rsid w:val="003C11FA"/>
    <w:rsid w:val="003C1264"/>
    <w:rsid w:val="003C1595"/>
    <w:rsid w:val="003C18E1"/>
    <w:rsid w:val="003C1A7C"/>
    <w:rsid w:val="003C1BF3"/>
    <w:rsid w:val="003C1DF0"/>
    <w:rsid w:val="003C2352"/>
    <w:rsid w:val="003C237F"/>
    <w:rsid w:val="003C24DA"/>
    <w:rsid w:val="003C27F1"/>
    <w:rsid w:val="003C2911"/>
    <w:rsid w:val="003C29EB"/>
    <w:rsid w:val="003C29F5"/>
    <w:rsid w:val="003C2AF4"/>
    <w:rsid w:val="003C2E9F"/>
    <w:rsid w:val="003C2F75"/>
    <w:rsid w:val="003C33F5"/>
    <w:rsid w:val="003C34C0"/>
    <w:rsid w:val="003C367D"/>
    <w:rsid w:val="003C38D3"/>
    <w:rsid w:val="003C3ABD"/>
    <w:rsid w:val="003C40B8"/>
    <w:rsid w:val="003C40F1"/>
    <w:rsid w:val="003C444D"/>
    <w:rsid w:val="003C450B"/>
    <w:rsid w:val="003C461B"/>
    <w:rsid w:val="003C4B13"/>
    <w:rsid w:val="003C4C28"/>
    <w:rsid w:val="003C4DEB"/>
    <w:rsid w:val="003C4E3D"/>
    <w:rsid w:val="003C4F0E"/>
    <w:rsid w:val="003C53E7"/>
    <w:rsid w:val="003C5565"/>
    <w:rsid w:val="003C55CB"/>
    <w:rsid w:val="003C5654"/>
    <w:rsid w:val="003C572F"/>
    <w:rsid w:val="003C5766"/>
    <w:rsid w:val="003C5A65"/>
    <w:rsid w:val="003C6111"/>
    <w:rsid w:val="003C6335"/>
    <w:rsid w:val="003C65AF"/>
    <w:rsid w:val="003C67EA"/>
    <w:rsid w:val="003C6CF3"/>
    <w:rsid w:val="003C6DCD"/>
    <w:rsid w:val="003C705F"/>
    <w:rsid w:val="003C7143"/>
    <w:rsid w:val="003C732A"/>
    <w:rsid w:val="003C74D7"/>
    <w:rsid w:val="003C7D4D"/>
    <w:rsid w:val="003C7E15"/>
    <w:rsid w:val="003C7F26"/>
    <w:rsid w:val="003C7F80"/>
    <w:rsid w:val="003D0332"/>
    <w:rsid w:val="003D0825"/>
    <w:rsid w:val="003D0917"/>
    <w:rsid w:val="003D0D48"/>
    <w:rsid w:val="003D0DED"/>
    <w:rsid w:val="003D0F3F"/>
    <w:rsid w:val="003D1B54"/>
    <w:rsid w:val="003D1BF2"/>
    <w:rsid w:val="003D1F06"/>
    <w:rsid w:val="003D2942"/>
    <w:rsid w:val="003D294F"/>
    <w:rsid w:val="003D2B6B"/>
    <w:rsid w:val="003D2B85"/>
    <w:rsid w:val="003D3050"/>
    <w:rsid w:val="003D319D"/>
    <w:rsid w:val="003D3379"/>
    <w:rsid w:val="003D35B2"/>
    <w:rsid w:val="003D3A77"/>
    <w:rsid w:val="003D3C73"/>
    <w:rsid w:val="003D4024"/>
    <w:rsid w:val="003D42D0"/>
    <w:rsid w:val="003D432D"/>
    <w:rsid w:val="003D4474"/>
    <w:rsid w:val="003D48F5"/>
    <w:rsid w:val="003D49A9"/>
    <w:rsid w:val="003D4B49"/>
    <w:rsid w:val="003D4B68"/>
    <w:rsid w:val="003D4C7C"/>
    <w:rsid w:val="003D4CFE"/>
    <w:rsid w:val="003D5020"/>
    <w:rsid w:val="003D5282"/>
    <w:rsid w:val="003D56AB"/>
    <w:rsid w:val="003D57B7"/>
    <w:rsid w:val="003D5DA1"/>
    <w:rsid w:val="003D5E08"/>
    <w:rsid w:val="003D63BC"/>
    <w:rsid w:val="003D665A"/>
    <w:rsid w:val="003D67AA"/>
    <w:rsid w:val="003D6AB6"/>
    <w:rsid w:val="003D6C2F"/>
    <w:rsid w:val="003D6DA7"/>
    <w:rsid w:val="003D705D"/>
    <w:rsid w:val="003D7235"/>
    <w:rsid w:val="003D726E"/>
    <w:rsid w:val="003D7586"/>
    <w:rsid w:val="003D7669"/>
    <w:rsid w:val="003D768C"/>
    <w:rsid w:val="003D7BD5"/>
    <w:rsid w:val="003E01E1"/>
    <w:rsid w:val="003E0205"/>
    <w:rsid w:val="003E02FC"/>
    <w:rsid w:val="003E0337"/>
    <w:rsid w:val="003E0689"/>
    <w:rsid w:val="003E06F9"/>
    <w:rsid w:val="003E083B"/>
    <w:rsid w:val="003E0D01"/>
    <w:rsid w:val="003E1032"/>
    <w:rsid w:val="003E15D7"/>
    <w:rsid w:val="003E20A6"/>
    <w:rsid w:val="003E229F"/>
    <w:rsid w:val="003E286E"/>
    <w:rsid w:val="003E2D65"/>
    <w:rsid w:val="003E306C"/>
    <w:rsid w:val="003E33AC"/>
    <w:rsid w:val="003E3750"/>
    <w:rsid w:val="003E3D6E"/>
    <w:rsid w:val="003E4311"/>
    <w:rsid w:val="003E4392"/>
    <w:rsid w:val="003E43FA"/>
    <w:rsid w:val="003E45FD"/>
    <w:rsid w:val="003E4741"/>
    <w:rsid w:val="003E4821"/>
    <w:rsid w:val="003E4ADB"/>
    <w:rsid w:val="003E5192"/>
    <w:rsid w:val="003E5774"/>
    <w:rsid w:val="003E594F"/>
    <w:rsid w:val="003E5984"/>
    <w:rsid w:val="003E5A42"/>
    <w:rsid w:val="003E5B76"/>
    <w:rsid w:val="003E5DBD"/>
    <w:rsid w:val="003E5E21"/>
    <w:rsid w:val="003E5FF1"/>
    <w:rsid w:val="003E61C4"/>
    <w:rsid w:val="003E61F7"/>
    <w:rsid w:val="003E62D8"/>
    <w:rsid w:val="003E63EF"/>
    <w:rsid w:val="003E664D"/>
    <w:rsid w:val="003E668A"/>
    <w:rsid w:val="003E66F5"/>
    <w:rsid w:val="003E6945"/>
    <w:rsid w:val="003E6BC9"/>
    <w:rsid w:val="003E6BDC"/>
    <w:rsid w:val="003E6DE4"/>
    <w:rsid w:val="003E72FC"/>
    <w:rsid w:val="003E73A3"/>
    <w:rsid w:val="003E76F4"/>
    <w:rsid w:val="003E7F2B"/>
    <w:rsid w:val="003E7F52"/>
    <w:rsid w:val="003F0772"/>
    <w:rsid w:val="003F0906"/>
    <w:rsid w:val="003F0C3B"/>
    <w:rsid w:val="003F0D02"/>
    <w:rsid w:val="003F0EE0"/>
    <w:rsid w:val="003F0EF7"/>
    <w:rsid w:val="003F11E8"/>
    <w:rsid w:val="003F141B"/>
    <w:rsid w:val="003F145D"/>
    <w:rsid w:val="003F162D"/>
    <w:rsid w:val="003F1994"/>
    <w:rsid w:val="003F1B0D"/>
    <w:rsid w:val="003F1B44"/>
    <w:rsid w:val="003F1FBB"/>
    <w:rsid w:val="003F25F7"/>
    <w:rsid w:val="003F2A85"/>
    <w:rsid w:val="003F2CE8"/>
    <w:rsid w:val="003F3680"/>
    <w:rsid w:val="003F39DB"/>
    <w:rsid w:val="003F3DEE"/>
    <w:rsid w:val="003F4055"/>
    <w:rsid w:val="003F4097"/>
    <w:rsid w:val="003F41B7"/>
    <w:rsid w:val="003F42AE"/>
    <w:rsid w:val="003F4C20"/>
    <w:rsid w:val="003F4C41"/>
    <w:rsid w:val="003F4DF0"/>
    <w:rsid w:val="003F5072"/>
    <w:rsid w:val="003F52CA"/>
    <w:rsid w:val="003F55F7"/>
    <w:rsid w:val="003F5618"/>
    <w:rsid w:val="003F57E1"/>
    <w:rsid w:val="003F599D"/>
    <w:rsid w:val="003F5A53"/>
    <w:rsid w:val="003F5BC4"/>
    <w:rsid w:val="003F5FFC"/>
    <w:rsid w:val="003F61D8"/>
    <w:rsid w:val="003F64D8"/>
    <w:rsid w:val="003F6A0D"/>
    <w:rsid w:val="003F6D22"/>
    <w:rsid w:val="003F6F4F"/>
    <w:rsid w:val="003F7019"/>
    <w:rsid w:val="003F7189"/>
    <w:rsid w:val="003F71D1"/>
    <w:rsid w:val="00400097"/>
    <w:rsid w:val="004005AB"/>
    <w:rsid w:val="00400671"/>
    <w:rsid w:val="0040077A"/>
    <w:rsid w:val="00400818"/>
    <w:rsid w:val="00400A06"/>
    <w:rsid w:val="00400A2D"/>
    <w:rsid w:val="00400A98"/>
    <w:rsid w:val="00400C88"/>
    <w:rsid w:val="00400CFB"/>
    <w:rsid w:val="00400D01"/>
    <w:rsid w:val="00400D85"/>
    <w:rsid w:val="00400EE1"/>
    <w:rsid w:val="00400F07"/>
    <w:rsid w:val="004010CC"/>
    <w:rsid w:val="004011F5"/>
    <w:rsid w:val="0040122F"/>
    <w:rsid w:val="00401440"/>
    <w:rsid w:val="004014E5"/>
    <w:rsid w:val="0040157A"/>
    <w:rsid w:val="00401830"/>
    <w:rsid w:val="0040197B"/>
    <w:rsid w:val="00402474"/>
    <w:rsid w:val="004028D6"/>
    <w:rsid w:val="00402A3B"/>
    <w:rsid w:val="00402D37"/>
    <w:rsid w:val="00402EAF"/>
    <w:rsid w:val="004030AC"/>
    <w:rsid w:val="004032F5"/>
    <w:rsid w:val="00403315"/>
    <w:rsid w:val="0040366D"/>
    <w:rsid w:val="00403685"/>
    <w:rsid w:val="00403AEE"/>
    <w:rsid w:val="00403E2E"/>
    <w:rsid w:val="00403EC7"/>
    <w:rsid w:val="0040463E"/>
    <w:rsid w:val="00404664"/>
    <w:rsid w:val="0040483B"/>
    <w:rsid w:val="0040499F"/>
    <w:rsid w:val="00404B97"/>
    <w:rsid w:val="00404ED3"/>
    <w:rsid w:val="00405256"/>
    <w:rsid w:val="0040539E"/>
    <w:rsid w:val="004056D3"/>
    <w:rsid w:val="00405889"/>
    <w:rsid w:val="00405A3E"/>
    <w:rsid w:val="00405A7A"/>
    <w:rsid w:val="00405DB9"/>
    <w:rsid w:val="00405EF2"/>
    <w:rsid w:val="00405F04"/>
    <w:rsid w:val="00406028"/>
    <w:rsid w:val="004062F8"/>
    <w:rsid w:val="00406744"/>
    <w:rsid w:val="00406A4D"/>
    <w:rsid w:val="00406A9F"/>
    <w:rsid w:val="00406B8C"/>
    <w:rsid w:val="00407248"/>
    <w:rsid w:val="0040743A"/>
    <w:rsid w:val="004079B1"/>
    <w:rsid w:val="004079EC"/>
    <w:rsid w:val="00407A59"/>
    <w:rsid w:val="00407CAB"/>
    <w:rsid w:val="00407CD2"/>
    <w:rsid w:val="00410080"/>
    <w:rsid w:val="004100B8"/>
    <w:rsid w:val="0041017A"/>
    <w:rsid w:val="004102EC"/>
    <w:rsid w:val="004107E6"/>
    <w:rsid w:val="004109CB"/>
    <w:rsid w:val="00410BF9"/>
    <w:rsid w:val="00410DD5"/>
    <w:rsid w:val="00411213"/>
    <w:rsid w:val="0041127F"/>
    <w:rsid w:val="00411500"/>
    <w:rsid w:val="0041168F"/>
    <w:rsid w:val="00411721"/>
    <w:rsid w:val="00411932"/>
    <w:rsid w:val="00411A5E"/>
    <w:rsid w:val="00411C41"/>
    <w:rsid w:val="00412429"/>
    <w:rsid w:val="0041252E"/>
    <w:rsid w:val="0041264B"/>
    <w:rsid w:val="004126E9"/>
    <w:rsid w:val="00412977"/>
    <w:rsid w:val="00412EC3"/>
    <w:rsid w:val="00412ED4"/>
    <w:rsid w:val="004130ED"/>
    <w:rsid w:val="00413BDA"/>
    <w:rsid w:val="00413D5E"/>
    <w:rsid w:val="00413E3C"/>
    <w:rsid w:val="00413F81"/>
    <w:rsid w:val="0041427B"/>
    <w:rsid w:val="004142A0"/>
    <w:rsid w:val="004145DF"/>
    <w:rsid w:val="004148FA"/>
    <w:rsid w:val="004149F4"/>
    <w:rsid w:val="004149F9"/>
    <w:rsid w:val="00414ADA"/>
    <w:rsid w:val="00414AEF"/>
    <w:rsid w:val="00414C7F"/>
    <w:rsid w:val="00414E5E"/>
    <w:rsid w:val="00414EFC"/>
    <w:rsid w:val="00415391"/>
    <w:rsid w:val="004158BA"/>
    <w:rsid w:val="004158D8"/>
    <w:rsid w:val="00415B2B"/>
    <w:rsid w:val="0041605F"/>
    <w:rsid w:val="00416078"/>
    <w:rsid w:val="004163E3"/>
    <w:rsid w:val="0041676D"/>
    <w:rsid w:val="0041699C"/>
    <w:rsid w:val="00416D64"/>
    <w:rsid w:val="00417473"/>
    <w:rsid w:val="00417665"/>
    <w:rsid w:val="0041766A"/>
    <w:rsid w:val="00417749"/>
    <w:rsid w:val="00417CCE"/>
    <w:rsid w:val="00417CD1"/>
    <w:rsid w:val="00417EF4"/>
    <w:rsid w:val="00417EF5"/>
    <w:rsid w:val="0042009F"/>
    <w:rsid w:val="004200F8"/>
    <w:rsid w:val="0042015E"/>
    <w:rsid w:val="0042056E"/>
    <w:rsid w:val="004206EC"/>
    <w:rsid w:val="004207EB"/>
    <w:rsid w:val="00420D20"/>
    <w:rsid w:val="00420D99"/>
    <w:rsid w:val="00420E55"/>
    <w:rsid w:val="00420FF3"/>
    <w:rsid w:val="004213FC"/>
    <w:rsid w:val="004217F1"/>
    <w:rsid w:val="00421F44"/>
    <w:rsid w:val="00421F51"/>
    <w:rsid w:val="00422169"/>
    <w:rsid w:val="0042299B"/>
    <w:rsid w:val="00422B47"/>
    <w:rsid w:val="00422B6C"/>
    <w:rsid w:val="00422EC8"/>
    <w:rsid w:val="0042319F"/>
    <w:rsid w:val="00423AD0"/>
    <w:rsid w:val="00423C87"/>
    <w:rsid w:val="00423E4D"/>
    <w:rsid w:val="00424989"/>
    <w:rsid w:val="00424A9C"/>
    <w:rsid w:val="00424BDE"/>
    <w:rsid w:val="00424E64"/>
    <w:rsid w:val="00425030"/>
    <w:rsid w:val="00425228"/>
    <w:rsid w:val="004257C5"/>
    <w:rsid w:val="004257F7"/>
    <w:rsid w:val="00425888"/>
    <w:rsid w:val="00425B4E"/>
    <w:rsid w:val="0042614C"/>
    <w:rsid w:val="004267FA"/>
    <w:rsid w:val="004268E3"/>
    <w:rsid w:val="00426AF5"/>
    <w:rsid w:val="00426B1A"/>
    <w:rsid w:val="00426BFD"/>
    <w:rsid w:val="00426DB8"/>
    <w:rsid w:val="00427083"/>
    <w:rsid w:val="004270D7"/>
    <w:rsid w:val="004272AC"/>
    <w:rsid w:val="00427627"/>
    <w:rsid w:val="00427D78"/>
    <w:rsid w:val="00427F07"/>
    <w:rsid w:val="00427F22"/>
    <w:rsid w:val="0043004E"/>
    <w:rsid w:val="004301AD"/>
    <w:rsid w:val="00430549"/>
    <w:rsid w:val="00430632"/>
    <w:rsid w:val="004308A7"/>
    <w:rsid w:val="00430C2B"/>
    <w:rsid w:val="00430C5B"/>
    <w:rsid w:val="0043161E"/>
    <w:rsid w:val="00431811"/>
    <w:rsid w:val="00431EA5"/>
    <w:rsid w:val="00432221"/>
    <w:rsid w:val="00432475"/>
    <w:rsid w:val="004327B1"/>
    <w:rsid w:val="00432A23"/>
    <w:rsid w:val="00432A97"/>
    <w:rsid w:val="00432BA8"/>
    <w:rsid w:val="00432C2F"/>
    <w:rsid w:val="00432CE9"/>
    <w:rsid w:val="004330AD"/>
    <w:rsid w:val="004332AC"/>
    <w:rsid w:val="004332FE"/>
    <w:rsid w:val="004334F7"/>
    <w:rsid w:val="004335FE"/>
    <w:rsid w:val="00433AD8"/>
    <w:rsid w:val="00433C57"/>
    <w:rsid w:val="004340EA"/>
    <w:rsid w:val="00435085"/>
    <w:rsid w:val="00435266"/>
    <w:rsid w:val="004357B6"/>
    <w:rsid w:val="00435D4A"/>
    <w:rsid w:val="00436505"/>
    <w:rsid w:val="00436516"/>
    <w:rsid w:val="004365B2"/>
    <w:rsid w:val="00436645"/>
    <w:rsid w:val="00436805"/>
    <w:rsid w:val="004368BA"/>
    <w:rsid w:val="00436A3E"/>
    <w:rsid w:val="00436D47"/>
    <w:rsid w:val="00436F24"/>
    <w:rsid w:val="00436F3B"/>
    <w:rsid w:val="004370A2"/>
    <w:rsid w:val="00437167"/>
    <w:rsid w:val="00437232"/>
    <w:rsid w:val="004378F6"/>
    <w:rsid w:val="00437A41"/>
    <w:rsid w:val="00437BA9"/>
    <w:rsid w:val="00437ED3"/>
    <w:rsid w:val="0044019E"/>
    <w:rsid w:val="00440645"/>
    <w:rsid w:val="00440A1F"/>
    <w:rsid w:val="00440AA5"/>
    <w:rsid w:val="00440F57"/>
    <w:rsid w:val="00440FEF"/>
    <w:rsid w:val="004412A7"/>
    <w:rsid w:val="00441417"/>
    <w:rsid w:val="0044157E"/>
    <w:rsid w:val="004415E2"/>
    <w:rsid w:val="00441909"/>
    <w:rsid w:val="004419C4"/>
    <w:rsid w:val="00441A7E"/>
    <w:rsid w:val="004421B0"/>
    <w:rsid w:val="00442201"/>
    <w:rsid w:val="0044244D"/>
    <w:rsid w:val="004426AD"/>
    <w:rsid w:val="004429EF"/>
    <w:rsid w:val="00442AC7"/>
    <w:rsid w:val="00442B74"/>
    <w:rsid w:val="00442D04"/>
    <w:rsid w:val="004430DE"/>
    <w:rsid w:val="00443F10"/>
    <w:rsid w:val="004441AA"/>
    <w:rsid w:val="004447C7"/>
    <w:rsid w:val="004448BE"/>
    <w:rsid w:val="0044490B"/>
    <w:rsid w:val="004452D6"/>
    <w:rsid w:val="0044553A"/>
    <w:rsid w:val="00445582"/>
    <w:rsid w:val="004456DF"/>
    <w:rsid w:val="00445726"/>
    <w:rsid w:val="004457BF"/>
    <w:rsid w:val="004458C3"/>
    <w:rsid w:val="00445C6C"/>
    <w:rsid w:val="00445EDA"/>
    <w:rsid w:val="00445FCA"/>
    <w:rsid w:val="00446184"/>
    <w:rsid w:val="00446225"/>
    <w:rsid w:val="00446250"/>
    <w:rsid w:val="004463F1"/>
    <w:rsid w:val="004464F4"/>
    <w:rsid w:val="0044684C"/>
    <w:rsid w:val="00446881"/>
    <w:rsid w:val="00446BE3"/>
    <w:rsid w:val="00446C8D"/>
    <w:rsid w:val="00446D34"/>
    <w:rsid w:val="00446D7E"/>
    <w:rsid w:val="00446F1B"/>
    <w:rsid w:val="00447B0A"/>
    <w:rsid w:val="00447EF3"/>
    <w:rsid w:val="00447EFB"/>
    <w:rsid w:val="004501C1"/>
    <w:rsid w:val="00450282"/>
    <w:rsid w:val="00450537"/>
    <w:rsid w:val="00450AA4"/>
    <w:rsid w:val="0045109A"/>
    <w:rsid w:val="0045129B"/>
    <w:rsid w:val="004516BD"/>
    <w:rsid w:val="00451C2B"/>
    <w:rsid w:val="00451F10"/>
    <w:rsid w:val="0045245B"/>
    <w:rsid w:val="0045285F"/>
    <w:rsid w:val="004528EB"/>
    <w:rsid w:val="00452AD8"/>
    <w:rsid w:val="00452B51"/>
    <w:rsid w:val="00452C70"/>
    <w:rsid w:val="00452D24"/>
    <w:rsid w:val="00452D97"/>
    <w:rsid w:val="00452F4C"/>
    <w:rsid w:val="00453174"/>
    <w:rsid w:val="004531B5"/>
    <w:rsid w:val="0045320D"/>
    <w:rsid w:val="004532C6"/>
    <w:rsid w:val="00453441"/>
    <w:rsid w:val="0045353D"/>
    <w:rsid w:val="004537FE"/>
    <w:rsid w:val="00453C6D"/>
    <w:rsid w:val="00453CFA"/>
    <w:rsid w:val="004540A7"/>
    <w:rsid w:val="004545F2"/>
    <w:rsid w:val="00454A7A"/>
    <w:rsid w:val="00454B29"/>
    <w:rsid w:val="00454DE4"/>
    <w:rsid w:val="00455339"/>
    <w:rsid w:val="00455451"/>
    <w:rsid w:val="004558A6"/>
    <w:rsid w:val="00455A2D"/>
    <w:rsid w:val="00455E6E"/>
    <w:rsid w:val="00455FC8"/>
    <w:rsid w:val="00456187"/>
    <w:rsid w:val="004562E7"/>
    <w:rsid w:val="00456A86"/>
    <w:rsid w:val="0045701B"/>
    <w:rsid w:val="0045716C"/>
    <w:rsid w:val="00457212"/>
    <w:rsid w:val="00457478"/>
    <w:rsid w:val="0045748F"/>
    <w:rsid w:val="004574E4"/>
    <w:rsid w:val="00457557"/>
    <w:rsid w:val="004575EC"/>
    <w:rsid w:val="00457775"/>
    <w:rsid w:val="004577A6"/>
    <w:rsid w:val="004577D1"/>
    <w:rsid w:val="00457A72"/>
    <w:rsid w:val="00457A93"/>
    <w:rsid w:val="00457AE6"/>
    <w:rsid w:val="00457DE1"/>
    <w:rsid w:val="00457E48"/>
    <w:rsid w:val="0046023D"/>
    <w:rsid w:val="0046047F"/>
    <w:rsid w:val="00460682"/>
    <w:rsid w:val="00460CA6"/>
    <w:rsid w:val="00460D40"/>
    <w:rsid w:val="00460E06"/>
    <w:rsid w:val="00460F98"/>
    <w:rsid w:val="004611FE"/>
    <w:rsid w:val="004616C1"/>
    <w:rsid w:val="00461B35"/>
    <w:rsid w:val="00461D64"/>
    <w:rsid w:val="00461DD7"/>
    <w:rsid w:val="004620C2"/>
    <w:rsid w:val="004623DB"/>
    <w:rsid w:val="004623DC"/>
    <w:rsid w:val="004628C5"/>
    <w:rsid w:val="00462C09"/>
    <w:rsid w:val="00462E76"/>
    <w:rsid w:val="00463704"/>
    <w:rsid w:val="00463835"/>
    <w:rsid w:val="0046389B"/>
    <w:rsid w:val="00463BA0"/>
    <w:rsid w:val="00463C40"/>
    <w:rsid w:val="00464046"/>
    <w:rsid w:val="00464152"/>
    <w:rsid w:val="00464971"/>
    <w:rsid w:val="00464CDE"/>
    <w:rsid w:val="00464DB8"/>
    <w:rsid w:val="00464FA7"/>
    <w:rsid w:val="00465213"/>
    <w:rsid w:val="004653BA"/>
    <w:rsid w:val="00465977"/>
    <w:rsid w:val="004659A4"/>
    <w:rsid w:val="00465B33"/>
    <w:rsid w:val="00465B4D"/>
    <w:rsid w:val="00465C93"/>
    <w:rsid w:val="00465DA8"/>
    <w:rsid w:val="00465E0B"/>
    <w:rsid w:val="00465EE4"/>
    <w:rsid w:val="00465F70"/>
    <w:rsid w:val="0046622D"/>
    <w:rsid w:val="004662C1"/>
    <w:rsid w:val="004663C5"/>
    <w:rsid w:val="004664B6"/>
    <w:rsid w:val="00466510"/>
    <w:rsid w:val="0046669B"/>
    <w:rsid w:val="004668A5"/>
    <w:rsid w:val="00466AA2"/>
    <w:rsid w:val="00466AD0"/>
    <w:rsid w:val="00467170"/>
    <w:rsid w:val="004675AE"/>
    <w:rsid w:val="004677DE"/>
    <w:rsid w:val="00467DF8"/>
    <w:rsid w:val="00467E88"/>
    <w:rsid w:val="00467F91"/>
    <w:rsid w:val="00470087"/>
    <w:rsid w:val="00470134"/>
    <w:rsid w:val="0047024E"/>
    <w:rsid w:val="00470280"/>
    <w:rsid w:val="00470369"/>
    <w:rsid w:val="00470748"/>
    <w:rsid w:val="00470B4C"/>
    <w:rsid w:val="00470BDC"/>
    <w:rsid w:val="00470EF2"/>
    <w:rsid w:val="00470F73"/>
    <w:rsid w:val="004710C3"/>
    <w:rsid w:val="004710FC"/>
    <w:rsid w:val="0047117D"/>
    <w:rsid w:val="00471181"/>
    <w:rsid w:val="0047127A"/>
    <w:rsid w:val="00471290"/>
    <w:rsid w:val="00471396"/>
    <w:rsid w:val="0047145F"/>
    <w:rsid w:val="00471681"/>
    <w:rsid w:val="00471C75"/>
    <w:rsid w:val="00472239"/>
    <w:rsid w:val="00472921"/>
    <w:rsid w:val="00472D15"/>
    <w:rsid w:val="00472FB9"/>
    <w:rsid w:val="0047303D"/>
    <w:rsid w:val="00473342"/>
    <w:rsid w:val="004734B5"/>
    <w:rsid w:val="00473653"/>
    <w:rsid w:val="00473900"/>
    <w:rsid w:val="00473D06"/>
    <w:rsid w:val="00473D74"/>
    <w:rsid w:val="00473E89"/>
    <w:rsid w:val="00473FC0"/>
    <w:rsid w:val="0047433A"/>
    <w:rsid w:val="00475884"/>
    <w:rsid w:val="004758D3"/>
    <w:rsid w:val="00475E43"/>
    <w:rsid w:val="00476012"/>
    <w:rsid w:val="00476785"/>
    <w:rsid w:val="00476788"/>
    <w:rsid w:val="00476BC9"/>
    <w:rsid w:val="0047731B"/>
    <w:rsid w:val="004777AE"/>
    <w:rsid w:val="00477E7F"/>
    <w:rsid w:val="00480085"/>
    <w:rsid w:val="004800DC"/>
    <w:rsid w:val="00480154"/>
    <w:rsid w:val="00480280"/>
    <w:rsid w:val="0048074D"/>
    <w:rsid w:val="004808DC"/>
    <w:rsid w:val="00480D8A"/>
    <w:rsid w:val="00481058"/>
    <w:rsid w:val="00481381"/>
    <w:rsid w:val="004816C2"/>
    <w:rsid w:val="0048193E"/>
    <w:rsid w:val="00481A80"/>
    <w:rsid w:val="00481E5F"/>
    <w:rsid w:val="004824DC"/>
    <w:rsid w:val="00482629"/>
    <w:rsid w:val="004827B3"/>
    <w:rsid w:val="004827C7"/>
    <w:rsid w:val="00482935"/>
    <w:rsid w:val="00482E43"/>
    <w:rsid w:val="00482F0D"/>
    <w:rsid w:val="00483127"/>
    <w:rsid w:val="004832F1"/>
    <w:rsid w:val="0048338B"/>
    <w:rsid w:val="00483475"/>
    <w:rsid w:val="00483AFA"/>
    <w:rsid w:val="00483B4A"/>
    <w:rsid w:val="00483E44"/>
    <w:rsid w:val="00483EE1"/>
    <w:rsid w:val="00484088"/>
    <w:rsid w:val="004840EF"/>
    <w:rsid w:val="00484190"/>
    <w:rsid w:val="00484241"/>
    <w:rsid w:val="00484572"/>
    <w:rsid w:val="004847AF"/>
    <w:rsid w:val="00484A64"/>
    <w:rsid w:val="00484BF8"/>
    <w:rsid w:val="00485004"/>
    <w:rsid w:val="00485081"/>
    <w:rsid w:val="00485274"/>
    <w:rsid w:val="0048568C"/>
    <w:rsid w:val="00485799"/>
    <w:rsid w:val="00485A27"/>
    <w:rsid w:val="00485AB1"/>
    <w:rsid w:val="00485C76"/>
    <w:rsid w:val="00485D6C"/>
    <w:rsid w:val="00485EE8"/>
    <w:rsid w:val="00486080"/>
    <w:rsid w:val="004863CA"/>
    <w:rsid w:val="0048646A"/>
    <w:rsid w:val="004864C4"/>
    <w:rsid w:val="004865D1"/>
    <w:rsid w:val="00486B06"/>
    <w:rsid w:val="00486D62"/>
    <w:rsid w:val="00487213"/>
    <w:rsid w:val="004872E0"/>
    <w:rsid w:val="0048737A"/>
    <w:rsid w:val="00487473"/>
    <w:rsid w:val="004876D1"/>
    <w:rsid w:val="004902AC"/>
    <w:rsid w:val="0049034D"/>
    <w:rsid w:val="00490437"/>
    <w:rsid w:val="00490520"/>
    <w:rsid w:val="00490AA1"/>
    <w:rsid w:val="00490C41"/>
    <w:rsid w:val="00490DED"/>
    <w:rsid w:val="00490E57"/>
    <w:rsid w:val="00491190"/>
    <w:rsid w:val="00491643"/>
    <w:rsid w:val="00491AF1"/>
    <w:rsid w:val="00491BEE"/>
    <w:rsid w:val="00491DF4"/>
    <w:rsid w:val="00491FB5"/>
    <w:rsid w:val="004925D1"/>
    <w:rsid w:val="0049296C"/>
    <w:rsid w:val="00492AD8"/>
    <w:rsid w:val="00492D15"/>
    <w:rsid w:val="00492D78"/>
    <w:rsid w:val="004930D8"/>
    <w:rsid w:val="0049328F"/>
    <w:rsid w:val="004935AA"/>
    <w:rsid w:val="00493978"/>
    <w:rsid w:val="00493A2A"/>
    <w:rsid w:val="00493B0C"/>
    <w:rsid w:val="00493BE8"/>
    <w:rsid w:val="00493C10"/>
    <w:rsid w:val="00493CB5"/>
    <w:rsid w:val="00493D4C"/>
    <w:rsid w:val="00493EDA"/>
    <w:rsid w:val="00493FBE"/>
    <w:rsid w:val="004941B3"/>
    <w:rsid w:val="004942DF"/>
    <w:rsid w:val="00494661"/>
    <w:rsid w:val="00494689"/>
    <w:rsid w:val="004946AD"/>
    <w:rsid w:val="004947C6"/>
    <w:rsid w:val="004949A6"/>
    <w:rsid w:val="00494D89"/>
    <w:rsid w:val="00494F8A"/>
    <w:rsid w:val="00494FA1"/>
    <w:rsid w:val="0049508A"/>
    <w:rsid w:val="004951BD"/>
    <w:rsid w:val="00495304"/>
    <w:rsid w:val="00495489"/>
    <w:rsid w:val="004955C6"/>
    <w:rsid w:val="004956E3"/>
    <w:rsid w:val="00495790"/>
    <w:rsid w:val="00495ACB"/>
    <w:rsid w:val="00495C46"/>
    <w:rsid w:val="00495E89"/>
    <w:rsid w:val="00496447"/>
    <w:rsid w:val="004966F2"/>
    <w:rsid w:val="0049685C"/>
    <w:rsid w:val="00496869"/>
    <w:rsid w:val="00496A67"/>
    <w:rsid w:val="00496B00"/>
    <w:rsid w:val="00496B02"/>
    <w:rsid w:val="00496BC7"/>
    <w:rsid w:val="00496CBA"/>
    <w:rsid w:val="00496CDE"/>
    <w:rsid w:val="0049734D"/>
    <w:rsid w:val="00497F22"/>
    <w:rsid w:val="00497FA7"/>
    <w:rsid w:val="004A0379"/>
    <w:rsid w:val="004A0458"/>
    <w:rsid w:val="004A0594"/>
    <w:rsid w:val="004A09B6"/>
    <w:rsid w:val="004A121D"/>
    <w:rsid w:val="004A1523"/>
    <w:rsid w:val="004A18B7"/>
    <w:rsid w:val="004A1910"/>
    <w:rsid w:val="004A1977"/>
    <w:rsid w:val="004A1A86"/>
    <w:rsid w:val="004A1A88"/>
    <w:rsid w:val="004A1B7C"/>
    <w:rsid w:val="004A1DF0"/>
    <w:rsid w:val="004A1ECC"/>
    <w:rsid w:val="004A1F41"/>
    <w:rsid w:val="004A1F50"/>
    <w:rsid w:val="004A1FB9"/>
    <w:rsid w:val="004A212A"/>
    <w:rsid w:val="004A24E5"/>
    <w:rsid w:val="004A25CA"/>
    <w:rsid w:val="004A2740"/>
    <w:rsid w:val="004A2C4F"/>
    <w:rsid w:val="004A2E55"/>
    <w:rsid w:val="004A34BC"/>
    <w:rsid w:val="004A36D7"/>
    <w:rsid w:val="004A3810"/>
    <w:rsid w:val="004A38AC"/>
    <w:rsid w:val="004A3D59"/>
    <w:rsid w:val="004A40D2"/>
    <w:rsid w:val="004A4103"/>
    <w:rsid w:val="004A42BD"/>
    <w:rsid w:val="004A450E"/>
    <w:rsid w:val="004A459A"/>
    <w:rsid w:val="004A4771"/>
    <w:rsid w:val="004A4915"/>
    <w:rsid w:val="004A4A45"/>
    <w:rsid w:val="004A4C07"/>
    <w:rsid w:val="004A4C91"/>
    <w:rsid w:val="004A4CDB"/>
    <w:rsid w:val="004A532D"/>
    <w:rsid w:val="004A55BA"/>
    <w:rsid w:val="004A55C2"/>
    <w:rsid w:val="004A575D"/>
    <w:rsid w:val="004A578D"/>
    <w:rsid w:val="004A5A62"/>
    <w:rsid w:val="004A5B3E"/>
    <w:rsid w:val="004A62EA"/>
    <w:rsid w:val="004A6462"/>
    <w:rsid w:val="004A652D"/>
    <w:rsid w:val="004A67D2"/>
    <w:rsid w:val="004A6880"/>
    <w:rsid w:val="004A6B29"/>
    <w:rsid w:val="004A6E91"/>
    <w:rsid w:val="004A7BCC"/>
    <w:rsid w:val="004A7C96"/>
    <w:rsid w:val="004B049F"/>
    <w:rsid w:val="004B04EC"/>
    <w:rsid w:val="004B0616"/>
    <w:rsid w:val="004B0AF2"/>
    <w:rsid w:val="004B1216"/>
    <w:rsid w:val="004B135A"/>
    <w:rsid w:val="004B13F8"/>
    <w:rsid w:val="004B1406"/>
    <w:rsid w:val="004B1499"/>
    <w:rsid w:val="004B15B3"/>
    <w:rsid w:val="004B186D"/>
    <w:rsid w:val="004B1998"/>
    <w:rsid w:val="004B19B2"/>
    <w:rsid w:val="004B1D75"/>
    <w:rsid w:val="004B200E"/>
    <w:rsid w:val="004B2172"/>
    <w:rsid w:val="004B23AD"/>
    <w:rsid w:val="004B25C9"/>
    <w:rsid w:val="004B25DF"/>
    <w:rsid w:val="004B2859"/>
    <w:rsid w:val="004B2955"/>
    <w:rsid w:val="004B2BE4"/>
    <w:rsid w:val="004B2CD6"/>
    <w:rsid w:val="004B2E6B"/>
    <w:rsid w:val="004B31AC"/>
    <w:rsid w:val="004B37C8"/>
    <w:rsid w:val="004B3994"/>
    <w:rsid w:val="004B39B7"/>
    <w:rsid w:val="004B3D73"/>
    <w:rsid w:val="004B3FBA"/>
    <w:rsid w:val="004B4296"/>
    <w:rsid w:val="004B42F9"/>
    <w:rsid w:val="004B47CB"/>
    <w:rsid w:val="004B4EB6"/>
    <w:rsid w:val="004B4F3A"/>
    <w:rsid w:val="004B509D"/>
    <w:rsid w:val="004B50BC"/>
    <w:rsid w:val="004B5276"/>
    <w:rsid w:val="004B54D0"/>
    <w:rsid w:val="004B5641"/>
    <w:rsid w:val="004B5B9E"/>
    <w:rsid w:val="004B63E8"/>
    <w:rsid w:val="004B63FE"/>
    <w:rsid w:val="004B68E9"/>
    <w:rsid w:val="004B6A46"/>
    <w:rsid w:val="004B6EE3"/>
    <w:rsid w:val="004B71F2"/>
    <w:rsid w:val="004B74FB"/>
    <w:rsid w:val="004B76AB"/>
    <w:rsid w:val="004B76B3"/>
    <w:rsid w:val="004B7B98"/>
    <w:rsid w:val="004B7CA7"/>
    <w:rsid w:val="004B7CC5"/>
    <w:rsid w:val="004B7D04"/>
    <w:rsid w:val="004B7E09"/>
    <w:rsid w:val="004B7E8C"/>
    <w:rsid w:val="004C003C"/>
    <w:rsid w:val="004C029C"/>
    <w:rsid w:val="004C0523"/>
    <w:rsid w:val="004C05F3"/>
    <w:rsid w:val="004C06AF"/>
    <w:rsid w:val="004C0901"/>
    <w:rsid w:val="004C0F34"/>
    <w:rsid w:val="004C1141"/>
    <w:rsid w:val="004C15C1"/>
    <w:rsid w:val="004C17CE"/>
    <w:rsid w:val="004C1A13"/>
    <w:rsid w:val="004C1BFF"/>
    <w:rsid w:val="004C1FB1"/>
    <w:rsid w:val="004C225A"/>
    <w:rsid w:val="004C2360"/>
    <w:rsid w:val="004C28DB"/>
    <w:rsid w:val="004C2A4D"/>
    <w:rsid w:val="004C2A55"/>
    <w:rsid w:val="004C3141"/>
    <w:rsid w:val="004C314D"/>
    <w:rsid w:val="004C31BB"/>
    <w:rsid w:val="004C34F5"/>
    <w:rsid w:val="004C350E"/>
    <w:rsid w:val="004C3622"/>
    <w:rsid w:val="004C3731"/>
    <w:rsid w:val="004C3947"/>
    <w:rsid w:val="004C3E7E"/>
    <w:rsid w:val="004C44F9"/>
    <w:rsid w:val="004C46E9"/>
    <w:rsid w:val="004C4860"/>
    <w:rsid w:val="004C48FB"/>
    <w:rsid w:val="004C49A9"/>
    <w:rsid w:val="004C5009"/>
    <w:rsid w:val="004C5066"/>
    <w:rsid w:val="004C50BF"/>
    <w:rsid w:val="004C5307"/>
    <w:rsid w:val="004C574A"/>
    <w:rsid w:val="004C57CA"/>
    <w:rsid w:val="004C5B5C"/>
    <w:rsid w:val="004C5C7B"/>
    <w:rsid w:val="004C5D67"/>
    <w:rsid w:val="004C6062"/>
    <w:rsid w:val="004C61F6"/>
    <w:rsid w:val="004C631B"/>
    <w:rsid w:val="004C669B"/>
    <w:rsid w:val="004C6C23"/>
    <w:rsid w:val="004C6E8B"/>
    <w:rsid w:val="004C6F61"/>
    <w:rsid w:val="004C708D"/>
    <w:rsid w:val="004C72A4"/>
    <w:rsid w:val="004C7635"/>
    <w:rsid w:val="004D0341"/>
    <w:rsid w:val="004D0481"/>
    <w:rsid w:val="004D0531"/>
    <w:rsid w:val="004D05F0"/>
    <w:rsid w:val="004D0713"/>
    <w:rsid w:val="004D0B82"/>
    <w:rsid w:val="004D10C0"/>
    <w:rsid w:val="004D16A4"/>
    <w:rsid w:val="004D1F29"/>
    <w:rsid w:val="004D1FA5"/>
    <w:rsid w:val="004D25C8"/>
    <w:rsid w:val="004D261A"/>
    <w:rsid w:val="004D263A"/>
    <w:rsid w:val="004D2727"/>
    <w:rsid w:val="004D2EC5"/>
    <w:rsid w:val="004D2FF4"/>
    <w:rsid w:val="004D302E"/>
    <w:rsid w:val="004D313A"/>
    <w:rsid w:val="004D339D"/>
    <w:rsid w:val="004D3AAD"/>
    <w:rsid w:val="004D3AE2"/>
    <w:rsid w:val="004D3DBC"/>
    <w:rsid w:val="004D4017"/>
    <w:rsid w:val="004D403C"/>
    <w:rsid w:val="004D404E"/>
    <w:rsid w:val="004D434F"/>
    <w:rsid w:val="004D472F"/>
    <w:rsid w:val="004D4B31"/>
    <w:rsid w:val="004D526F"/>
    <w:rsid w:val="004D5465"/>
    <w:rsid w:val="004D572D"/>
    <w:rsid w:val="004D5B3E"/>
    <w:rsid w:val="004D5D6A"/>
    <w:rsid w:val="004D5F39"/>
    <w:rsid w:val="004D5FD7"/>
    <w:rsid w:val="004D613D"/>
    <w:rsid w:val="004D6633"/>
    <w:rsid w:val="004D6905"/>
    <w:rsid w:val="004D6AB4"/>
    <w:rsid w:val="004D6C1E"/>
    <w:rsid w:val="004D6E8E"/>
    <w:rsid w:val="004D6EA0"/>
    <w:rsid w:val="004D6F9F"/>
    <w:rsid w:val="004D7068"/>
    <w:rsid w:val="004D72C9"/>
    <w:rsid w:val="004D73AD"/>
    <w:rsid w:val="004D7725"/>
    <w:rsid w:val="004D7A60"/>
    <w:rsid w:val="004D7A7D"/>
    <w:rsid w:val="004D7E6B"/>
    <w:rsid w:val="004D7EEC"/>
    <w:rsid w:val="004D7F5F"/>
    <w:rsid w:val="004E03E6"/>
    <w:rsid w:val="004E03EF"/>
    <w:rsid w:val="004E0701"/>
    <w:rsid w:val="004E0A63"/>
    <w:rsid w:val="004E0B98"/>
    <w:rsid w:val="004E0C12"/>
    <w:rsid w:val="004E0E34"/>
    <w:rsid w:val="004E1508"/>
    <w:rsid w:val="004E175D"/>
    <w:rsid w:val="004E199D"/>
    <w:rsid w:val="004E1E67"/>
    <w:rsid w:val="004E1EB8"/>
    <w:rsid w:val="004E208F"/>
    <w:rsid w:val="004E23B4"/>
    <w:rsid w:val="004E241D"/>
    <w:rsid w:val="004E2646"/>
    <w:rsid w:val="004E27C3"/>
    <w:rsid w:val="004E2890"/>
    <w:rsid w:val="004E28D7"/>
    <w:rsid w:val="004E2940"/>
    <w:rsid w:val="004E2FA8"/>
    <w:rsid w:val="004E32B8"/>
    <w:rsid w:val="004E353B"/>
    <w:rsid w:val="004E3620"/>
    <w:rsid w:val="004E39EF"/>
    <w:rsid w:val="004E3AB7"/>
    <w:rsid w:val="004E3B20"/>
    <w:rsid w:val="004E4042"/>
    <w:rsid w:val="004E41EB"/>
    <w:rsid w:val="004E44F2"/>
    <w:rsid w:val="004E472B"/>
    <w:rsid w:val="004E4B36"/>
    <w:rsid w:val="004E4CFC"/>
    <w:rsid w:val="004E4EB2"/>
    <w:rsid w:val="004E504B"/>
    <w:rsid w:val="004E5122"/>
    <w:rsid w:val="004E51B4"/>
    <w:rsid w:val="004E5208"/>
    <w:rsid w:val="004E52B4"/>
    <w:rsid w:val="004E5489"/>
    <w:rsid w:val="004E5842"/>
    <w:rsid w:val="004E5A4B"/>
    <w:rsid w:val="004E5EE9"/>
    <w:rsid w:val="004E65B9"/>
    <w:rsid w:val="004E6860"/>
    <w:rsid w:val="004E69D0"/>
    <w:rsid w:val="004E6D59"/>
    <w:rsid w:val="004E6D77"/>
    <w:rsid w:val="004E7249"/>
    <w:rsid w:val="004E73D2"/>
    <w:rsid w:val="004E74A0"/>
    <w:rsid w:val="004E7580"/>
    <w:rsid w:val="004E76A3"/>
    <w:rsid w:val="004E7906"/>
    <w:rsid w:val="004E7B69"/>
    <w:rsid w:val="004E7DB3"/>
    <w:rsid w:val="004E7DCB"/>
    <w:rsid w:val="004F0166"/>
    <w:rsid w:val="004F02F7"/>
    <w:rsid w:val="004F0534"/>
    <w:rsid w:val="004F0C11"/>
    <w:rsid w:val="004F1614"/>
    <w:rsid w:val="004F1785"/>
    <w:rsid w:val="004F1CDF"/>
    <w:rsid w:val="004F1F55"/>
    <w:rsid w:val="004F2009"/>
    <w:rsid w:val="004F3124"/>
    <w:rsid w:val="004F3305"/>
    <w:rsid w:val="004F361F"/>
    <w:rsid w:val="004F3681"/>
    <w:rsid w:val="004F36AC"/>
    <w:rsid w:val="004F3819"/>
    <w:rsid w:val="004F388E"/>
    <w:rsid w:val="004F3BE3"/>
    <w:rsid w:val="004F3DCF"/>
    <w:rsid w:val="004F3F38"/>
    <w:rsid w:val="004F4161"/>
    <w:rsid w:val="004F4A3A"/>
    <w:rsid w:val="004F4A88"/>
    <w:rsid w:val="004F4AE6"/>
    <w:rsid w:val="004F4B99"/>
    <w:rsid w:val="004F4F25"/>
    <w:rsid w:val="004F5075"/>
    <w:rsid w:val="004F533F"/>
    <w:rsid w:val="004F53C9"/>
    <w:rsid w:val="004F5470"/>
    <w:rsid w:val="004F54EF"/>
    <w:rsid w:val="004F571D"/>
    <w:rsid w:val="004F57C1"/>
    <w:rsid w:val="004F5A08"/>
    <w:rsid w:val="004F5ACC"/>
    <w:rsid w:val="004F5FA3"/>
    <w:rsid w:val="004F5FC4"/>
    <w:rsid w:val="004F60E8"/>
    <w:rsid w:val="004F6177"/>
    <w:rsid w:val="004F62CB"/>
    <w:rsid w:val="004F62F3"/>
    <w:rsid w:val="004F6533"/>
    <w:rsid w:val="004F6665"/>
    <w:rsid w:val="004F6922"/>
    <w:rsid w:val="004F6CA8"/>
    <w:rsid w:val="004F7183"/>
    <w:rsid w:val="004F724F"/>
    <w:rsid w:val="004F767B"/>
    <w:rsid w:val="004F77B6"/>
    <w:rsid w:val="004F7D19"/>
    <w:rsid w:val="00500328"/>
    <w:rsid w:val="005003C5"/>
    <w:rsid w:val="0050061F"/>
    <w:rsid w:val="0050084C"/>
    <w:rsid w:val="005008A7"/>
    <w:rsid w:val="005009E9"/>
    <w:rsid w:val="00500A0D"/>
    <w:rsid w:val="00500BE9"/>
    <w:rsid w:val="00500E70"/>
    <w:rsid w:val="005017B9"/>
    <w:rsid w:val="00502110"/>
    <w:rsid w:val="005021C5"/>
    <w:rsid w:val="005021D2"/>
    <w:rsid w:val="00502215"/>
    <w:rsid w:val="005023C1"/>
    <w:rsid w:val="00502660"/>
    <w:rsid w:val="00502791"/>
    <w:rsid w:val="00503038"/>
    <w:rsid w:val="00503060"/>
    <w:rsid w:val="005030FB"/>
    <w:rsid w:val="0050363E"/>
    <w:rsid w:val="00503B0A"/>
    <w:rsid w:val="00503D78"/>
    <w:rsid w:val="00503F7F"/>
    <w:rsid w:val="0050430E"/>
    <w:rsid w:val="0050458E"/>
    <w:rsid w:val="0050459A"/>
    <w:rsid w:val="00504668"/>
    <w:rsid w:val="00504694"/>
    <w:rsid w:val="00504ABB"/>
    <w:rsid w:val="00504DB4"/>
    <w:rsid w:val="00504FFD"/>
    <w:rsid w:val="005050ED"/>
    <w:rsid w:val="00505184"/>
    <w:rsid w:val="00505187"/>
    <w:rsid w:val="0050519C"/>
    <w:rsid w:val="005054C8"/>
    <w:rsid w:val="005055C6"/>
    <w:rsid w:val="005055F0"/>
    <w:rsid w:val="0050579E"/>
    <w:rsid w:val="0050591C"/>
    <w:rsid w:val="00505E58"/>
    <w:rsid w:val="00505ED0"/>
    <w:rsid w:val="00505FA7"/>
    <w:rsid w:val="005065D8"/>
    <w:rsid w:val="0050686A"/>
    <w:rsid w:val="00506DAE"/>
    <w:rsid w:val="0050720A"/>
    <w:rsid w:val="0050790E"/>
    <w:rsid w:val="00507B4A"/>
    <w:rsid w:val="00507F48"/>
    <w:rsid w:val="005100A5"/>
    <w:rsid w:val="00510392"/>
    <w:rsid w:val="005107DE"/>
    <w:rsid w:val="00510BC1"/>
    <w:rsid w:val="00510DB7"/>
    <w:rsid w:val="005110C5"/>
    <w:rsid w:val="00511423"/>
    <w:rsid w:val="005115CE"/>
    <w:rsid w:val="005117FA"/>
    <w:rsid w:val="00511B5F"/>
    <w:rsid w:val="005120AD"/>
    <w:rsid w:val="0051286B"/>
    <w:rsid w:val="00512BDB"/>
    <w:rsid w:val="00512BF1"/>
    <w:rsid w:val="00513609"/>
    <w:rsid w:val="00514235"/>
    <w:rsid w:val="00514541"/>
    <w:rsid w:val="00514846"/>
    <w:rsid w:val="005148C1"/>
    <w:rsid w:val="00514DFC"/>
    <w:rsid w:val="00515131"/>
    <w:rsid w:val="00515178"/>
    <w:rsid w:val="0051526A"/>
    <w:rsid w:val="00515286"/>
    <w:rsid w:val="005157C7"/>
    <w:rsid w:val="005159D1"/>
    <w:rsid w:val="00515AAA"/>
    <w:rsid w:val="00515B48"/>
    <w:rsid w:val="005161C3"/>
    <w:rsid w:val="00516591"/>
    <w:rsid w:val="00516694"/>
    <w:rsid w:val="00516798"/>
    <w:rsid w:val="00516A09"/>
    <w:rsid w:val="00516BBE"/>
    <w:rsid w:val="00516F49"/>
    <w:rsid w:val="00516FFC"/>
    <w:rsid w:val="00516FFE"/>
    <w:rsid w:val="005174D6"/>
    <w:rsid w:val="0051778D"/>
    <w:rsid w:val="005177D9"/>
    <w:rsid w:val="00517A55"/>
    <w:rsid w:val="00517A70"/>
    <w:rsid w:val="00517A7D"/>
    <w:rsid w:val="00517AE3"/>
    <w:rsid w:val="00517B3B"/>
    <w:rsid w:val="00517C06"/>
    <w:rsid w:val="005203C2"/>
    <w:rsid w:val="00520459"/>
    <w:rsid w:val="0052058A"/>
    <w:rsid w:val="00520ADC"/>
    <w:rsid w:val="00520B87"/>
    <w:rsid w:val="00520C6E"/>
    <w:rsid w:val="00521232"/>
    <w:rsid w:val="00521ACA"/>
    <w:rsid w:val="00521CCB"/>
    <w:rsid w:val="00521D6A"/>
    <w:rsid w:val="005222EA"/>
    <w:rsid w:val="005224D8"/>
    <w:rsid w:val="005227B1"/>
    <w:rsid w:val="00522821"/>
    <w:rsid w:val="00522A89"/>
    <w:rsid w:val="00522B72"/>
    <w:rsid w:val="00522BFA"/>
    <w:rsid w:val="00523066"/>
    <w:rsid w:val="0052388F"/>
    <w:rsid w:val="00523C22"/>
    <w:rsid w:val="00523C67"/>
    <w:rsid w:val="0052412D"/>
    <w:rsid w:val="00524538"/>
    <w:rsid w:val="00524AA2"/>
    <w:rsid w:val="00524F01"/>
    <w:rsid w:val="00525187"/>
    <w:rsid w:val="005253DD"/>
    <w:rsid w:val="0052569D"/>
    <w:rsid w:val="00525717"/>
    <w:rsid w:val="00525724"/>
    <w:rsid w:val="00525C52"/>
    <w:rsid w:val="00525E42"/>
    <w:rsid w:val="00525F81"/>
    <w:rsid w:val="0052648B"/>
    <w:rsid w:val="00526530"/>
    <w:rsid w:val="0052666F"/>
    <w:rsid w:val="005267E2"/>
    <w:rsid w:val="00526880"/>
    <w:rsid w:val="00526882"/>
    <w:rsid w:val="00526AC1"/>
    <w:rsid w:val="00526ACC"/>
    <w:rsid w:val="0052703C"/>
    <w:rsid w:val="00527350"/>
    <w:rsid w:val="0052743D"/>
    <w:rsid w:val="005274B8"/>
    <w:rsid w:val="00527541"/>
    <w:rsid w:val="0052776A"/>
    <w:rsid w:val="0052790C"/>
    <w:rsid w:val="00527A5B"/>
    <w:rsid w:val="00527C4D"/>
    <w:rsid w:val="00527E6F"/>
    <w:rsid w:val="00530091"/>
    <w:rsid w:val="00530159"/>
    <w:rsid w:val="00530238"/>
    <w:rsid w:val="0053039B"/>
    <w:rsid w:val="005303D9"/>
    <w:rsid w:val="005304EE"/>
    <w:rsid w:val="0053090B"/>
    <w:rsid w:val="00530963"/>
    <w:rsid w:val="00530B1C"/>
    <w:rsid w:val="00531164"/>
    <w:rsid w:val="00531C83"/>
    <w:rsid w:val="00531CF8"/>
    <w:rsid w:val="00531F5D"/>
    <w:rsid w:val="00532B59"/>
    <w:rsid w:val="00532EC8"/>
    <w:rsid w:val="0053329F"/>
    <w:rsid w:val="00533339"/>
    <w:rsid w:val="00533923"/>
    <w:rsid w:val="005339F4"/>
    <w:rsid w:val="00533DA1"/>
    <w:rsid w:val="00533DC6"/>
    <w:rsid w:val="00533EB8"/>
    <w:rsid w:val="00534023"/>
    <w:rsid w:val="00534092"/>
    <w:rsid w:val="00534200"/>
    <w:rsid w:val="005342E6"/>
    <w:rsid w:val="00534402"/>
    <w:rsid w:val="0053451C"/>
    <w:rsid w:val="005347F6"/>
    <w:rsid w:val="00534C83"/>
    <w:rsid w:val="00534CE2"/>
    <w:rsid w:val="00534FC2"/>
    <w:rsid w:val="00535157"/>
    <w:rsid w:val="0053527C"/>
    <w:rsid w:val="005352CD"/>
    <w:rsid w:val="00535432"/>
    <w:rsid w:val="005354D9"/>
    <w:rsid w:val="00535B15"/>
    <w:rsid w:val="00535B54"/>
    <w:rsid w:val="00535E81"/>
    <w:rsid w:val="00535F27"/>
    <w:rsid w:val="00535F58"/>
    <w:rsid w:val="00536170"/>
    <w:rsid w:val="0053644F"/>
    <w:rsid w:val="0053651E"/>
    <w:rsid w:val="0053659E"/>
    <w:rsid w:val="0053663B"/>
    <w:rsid w:val="00536691"/>
    <w:rsid w:val="005366D5"/>
    <w:rsid w:val="005367BF"/>
    <w:rsid w:val="00536D33"/>
    <w:rsid w:val="00536DB2"/>
    <w:rsid w:val="00536F3C"/>
    <w:rsid w:val="00536F75"/>
    <w:rsid w:val="0053746B"/>
    <w:rsid w:val="005376E9"/>
    <w:rsid w:val="00537AEC"/>
    <w:rsid w:val="00537BF3"/>
    <w:rsid w:val="00537CB9"/>
    <w:rsid w:val="00537CC4"/>
    <w:rsid w:val="0054041F"/>
    <w:rsid w:val="00540470"/>
    <w:rsid w:val="00540932"/>
    <w:rsid w:val="00540A3C"/>
    <w:rsid w:val="00540C89"/>
    <w:rsid w:val="00540E6A"/>
    <w:rsid w:val="00540E6B"/>
    <w:rsid w:val="005412CD"/>
    <w:rsid w:val="00541685"/>
    <w:rsid w:val="005416D8"/>
    <w:rsid w:val="00541759"/>
    <w:rsid w:val="0054183F"/>
    <w:rsid w:val="005418CF"/>
    <w:rsid w:val="00541900"/>
    <w:rsid w:val="00541E7C"/>
    <w:rsid w:val="00541EE3"/>
    <w:rsid w:val="00541EF7"/>
    <w:rsid w:val="00541F7B"/>
    <w:rsid w:val="00542038"/>
    <w:rsid w:val="00542A29"/>
    <w:rsid w:val="00543286"/>
    <w:rsid w:val="005434FB"/>
    <w:rsid w:val="00543540"/>
    <w:rsid w:val="00543830"/>
    <w:rsid w:val="00543B8A"/>
    <w:rsid w:val="00543F10"/>
    <w:rsid w:val="00543F17"/>
    <w:rsid w:val="00543F7C"/>
    <w:rsid w:val="005442D8"/>
    <w:rsid w:val="0054432D"/>
    <w:rsid w:val="0054439F"/>
    <w:rsid w:val="00544F52"/>
    <w:rsid w:val="00545F01"/>
    <w:rsid w:val="0054619F"/>
    <w:rsid w:val="00546286"/>
    <w:rsid w:val="00546703"/>
    <w:rsid w:val="00547753"/>
    <w:rsid w:val="00547970"/>
    <w:rsid w:val="00547AAB"/>
    <w:rsid w:val="005500A6"/>
    <w:rsid w:val="005503FA"/>
    <w:rsid w:val="0055095D"/>
    <w:rsid w:val="00550A81"/>
    <w:rsid w:val="00550A89"/>
    <w:rsid w:val="00550BB3"/>
    <w:rsid w:val="00550CEC"/>
    <w:rsid w:val="00551154"/>
    <w:rsid w:val="005511DB"/>
    <w:rsid w:val="005513C7"/>
    <w:rsid w:val="0055142D"/>
    <w:rsid w:val="005516FC"/>
    <w:rsid w:val="0055172B"/>
    <w:rsid w:val="00551799"/>
    <w:rsid w:val="005517AB"/>
    <w:rsid w:val="00551D9B"/>
    <w:rsid w:val="00551EBD"/>
    <w:rsid w:val="00552377"/>
    <w:rsid w:val="0055251C"/>
    <w:rsid w:val="0055251E"/>
    <w:rsid w:val="005526A3"/>
    <w:rsid w:val="005526D7"/>
    <w:rsid w:val="005528B8"/>
    <w:rsid w:val="00552B8F"/>
    <w:rsid w:val="005533ED"/>
    <w:rsid w:val="0055348E"/>
    <w:rsid w:val="005534DC"/>
    <w:rsid w:val="0055377E"/>
    <w:rsid w:val="005539B4"/>
    <w:rsid w:val="00553BDB"/>
    <w:rsid w:val="00553C53"/>
    <w:rsid w:val="00553DCB"/>
    <w:rsid w:val="0055407D"/>
    <w:rsid w:val="005540C5"/>
    <w:rsid w:val="0055413A"/>
    <w:rsid w:val="00554160"/>
    <w:rsid w:val="005542AB"/>
    <w:rsid w:val="00554390"/>
    <w:rsid w:val="00554877"/>
    <w:rsid w:val="00554A74"/>
    <w:rsid w:val="00554B90"/>
    <w:rsid w:val="00554C03"/>
    <w:rsid w:val="0055508C"/>
    <w:rsid w:val="00555141"/>
    <w:rsid w:val="00555863"/>
    <w:rsid w:val="0055594C"/>
    <w:rsid w:val="0055648D"/>
    <w:rsid w:val="005565A4"/>
    <w:rsid w:val="0055665D"/>
    <w:rsid w:val="00556B03"/>
    <w:rsid w:val="00556EB2"/>
    <w:rsid w:val="005570FE"/>
    <w:rsid w:val="005571D0"/>
    <w:rsid w:val="005575E2"/>
    <w:rsid w:val="0055797C"/>
    <w:rsid w:val="00557B02"/>
    <w:rsid w:val="00557B4F"/>
    <w:rsid w:val="00557FF9"/>
    <w:rsid w:val="00560482"/>
    <w:rsid w:val="00560580"/>
    <w:rsid w:val="005608A1"/>
    <w:rsid w:val="005609C7"/>
    <w:rsid w:val="00560AE5"/>
    <w:rsid w:val="00560B98"/>
    <w:rsid w:val="00560BB7"/>
    <w:rsid w:val="005610B3"/>
    <w:rsid w:val="0056119A"/>
    <w:rsid w:val="00561291"/>
    <w:rsid w:val="005617A1"/>
    <w:rsid w:val="00561965"/>
    <w:rsid w:val="00561C5D"/>
    <w:rsid w:val="00561EE2"/>
    <w:rsid w:val="0056241D"/>
    <w:rsid w:val="005624FA"/>
    <w:rsid w:val="00562826"/>
    <w:rsid w:val="00562A5F"/>
    <w:rsid w:val="00562BBD"/>
    <w:rsid w:val="00562C3D"/>
    <w:rsid w:val="00562FBD"/>
    <w:rsid w:val="00563BDF"/>
    <w:rsid w:val="00563C65"/>
    <w:rsid w:val="00563CBC"/>
    <w:rsid w:val="00563DC8"/>
    <w:rsid w:val="00563E7F"/>
    <w:rsid w:val="00563FB5"/>
    <w:rsid w:val="00564345"/>
    <w:rsid w:val="00564800"/>
    <w:rsid w:val="00565239"/>
    <w:rsid w:val="00565555"/>
    <w:rsid w:val="0056592E"/>
    <w:rsid w:val="00565B45"/>
    <w:rsid w:val="00565CD8"/>
    <w:rsid w:val="00565CF5"/>
    <w:rsid w:val="00565E18"/>
    <w:rsid w:val="00565E38"/>
    <w:rsid w:val="00565E82"/>
    <w:rsid w:val="0056604F"/>
    <w:rsid w:val="0056605A"/>
    <w:rsid w:val="005660D4"/>
    <w:rsid w:val="0056648E"/>
    <w:rsid w:val="00566633"/>
    <w:rsid w:val="005666E6"/>
    <w:rsid w:val="00566D6D"/>
    <w:rsid w:val="00566EB6"/>
    <w:rsid w:val="00566ED9"/>
    <w:rsid w:val="005671C5"/>
    <w:rsid w:val="00567215"/>
    <w:rsid w:val="00567234"/>
    <w:rsid w:val="005673A8"/>
    <w:rsid w:val="005675F4"/>
    <w:rsid w:val="005676A0"/>
    <w:rsid w:val="0056771F"/>
    <w:rsid w:val="005677E4"/>
    <w:rsid w:val="005678D6"/>
    <w:rsid w:val="005679E0"/>
    <w:rsid w:val="00567E2C"/>
    <w:rsid w:val="00567EB6"/>
    <w:rsid w:val="00567FD3"/>
    <w:rsid w:val="00570147"/>
    <w:rsid w:val="00570158"/>
    <w:rsid w:val="00570586"/>
    <w:rsid w:val="00570E32"/>
    <w:rsid w:val="0057101B"/>
    <w:rsid w:val="0057114F"/>
    <w:rsid w:val="0057125D"/>
    <w:rsid w:val="005714B5"/>
    <w:rsid w:val="00571556"/>
    <w:rsid w:val="00571BEA"/>
    <w:rsid w:val="00571D49"/>
    <w:rsid w:val="00571EBA"/>
    <w:rsid w:val="005720DE"/>
    <w:rsid w:val="005724BC"/>
    <w:rsid w:val="005728D0"/>
    <w:rsid w:val="00572CA3"/>
    <w:rsid w:val="00572E4F"/>
    <w:rsid w:val="00572FC8"/>
    <w:rsid w:val="005734CC"/>
    <w:rsid w:val="00573C10"/>
    <w:rsid w:val="00573CAE"/>
    <w:rsid w:val="00573E4D"/>
    <w:rsid w:val="00573F78"/>
    <w:rsid w:val="0057429A"/>
    <w:rsid w:val="005742F6"/>
    <w:rsid w:val="005743CB"/>
    <w:rsid w:val="00574637"/>
    <w:rsid w:val="005748AE"/>
    <w:rsid w:val="005748EC"/>
    <w:rsid w:val="005749E1"/>
    <w:rsid w:val="00574F42"/>
    <w:rsid w:val="00575306"/>
    <w:rsid w:val="005754DD"/>
    <w:rsid w:val="0057575E"/>
    <w:rsid w:val="00575C09"/>
    <w:rsid w:val="00575D71"/>
    <w:rsid w:val="00576045"/>
    <w:rsid w:val="00576389"/>
    <w:rsid w:val="005765C9"/>
    <w:rsid w:val="005765CB"/>
    <w:rsid w:val="0057674D"/>
    <w:rsid w:val="00576CB5"/>
    <w:rsid w:val="00576E0B"/>
    <w:rsid w:val="00576E3C"/>
    <w:rsid w:val="00576F07"/>
    <w:rsid w:val="005770D6"/>
    <w:rsid w:val="0057727C"/>
    <w:rsid w:val="005772BC"/>
    <w:rsid w:val="005774A7"/>
    <w:rsid w:val="00577B44"/>
    <w:rsid w:val="00577BD7"/>
    <w:rsid w:val="00577DF2"/>
    <w:rsid w:val="00577EB8"/>
    <w:rsid w:val="00580155"/>
    <w:rsid w:val="005803A7"/>
    <w:rsid w:val="005806EB"/>
    <w:rsid w:val="0058131E"/>
    <w:rsid w:val="0058167C"/>
    <w:rsid w:val="00581A67"/>
    <w:rsid w:val="00581B46"/>
    <w:rsid w:val="00581C88"/>
    <w:rsid w:val="00581FD6"/>
    <w:rsid w:val="0058202A"/>
    <w:rsid w:val="005824A6"/>
    <w:rsid w:val="00582503"/>
    <w:rsid w:val="0058251D"/>
    <w:rsid w:val="005825D0"/>
    <w:rsid w:val="00583203"/>
    <w:rsid w:val="00583362"/>
    <w:rsid w:val="005833AE"/>
    <w:rsid w:val="00583647"/>
    <w:rsid w:val="00583C2A"/>
    <w:rsid w:val="0058408F"/>
    <w:rsid w:val="0058432A"/>
    <w:rsid w:val="005844AA"/>
    <w:rsid w:val="00584985"/>
    <w:rsid w:val="00584D6E"/>
    <w:rsid w:val="0058556E"/>
    <w:rsid w:val="00585B5A"/>
    <w:rsid w:val="00585E9B"/>
    <w:rsid w:val="0058611A"/>
    <w:rsid w:val="005864AC"/>
    <w:rsid w:val="00586571"/>
    <w:rsid w:val="0058674D"/>
    <w:rsid w:val="00586C96"/>
    <w:rsid w:val="00586F20"/>
    <w:rsid w:val="0058712A"/>
    <w:rsid w:val="005872CF"/>
    <w:rsid w:val="005874C5"/>
    <w:rsid w:val="005875EE"/>
    <w:rsid w:val="005877CC"/>
    <w:rsid w:val="00587899"/>
    <w:rsid w:val="00587F59"/>
    <w:rsid w:val="00590105"/>
    <w:rsid w:val="00590137"/>
    <w:rsid w:val="005902ED"/>
    <w:rsid w:val="005903A3"/>
    <w:rsid w:val="00590633"/>
    <w:rsid w:val="00590699"/>
    <w:rsid w:val="005907B4"/>
    <w:rsid w:val="005907F1"/>
    <w:rsid w:val="0059083D"/>
    <w:rsid w:val="0059086C"/>
    <w:rsid w:val="005908C6"/>
    <w:rsid w:val="00590937"/>
    <w:rsid w:val="00590B4C"/>
    <w:rsid w:val="00590B6A"/>
    <w:rsid w:val="00590F08"/>
    <w:rsid w:val="00590F6C"/>
    <w:rsid w:val="0059109D"/>
    <w:rsid w:val="005910E3"/>
    <w:rsid w:val="00591548"/>
    <w:rsid w:val="005917DE"/>
    <w:rsid w:val="005917FD"/>
    <w:rsid w:val="00591840"/>
    <w:rsid w:val="005918C6"/>
    <w:rsid w:val="005919B0"/>
    <w:rsid w:val="005923B1"/>
    <w:rsid w:val="005929D0"/>
    <w:rsid w:val="00592F79"/>
    <w:rsid w:val="005930EA"/>
    <w:rsid w:val="005934FD"/>
    <w:rsid w:val="00593634"/>
    <w:rsid w:val="00593670"/>
    <w:rsid w:val="00593711"/>
    <w:rsid w:val="00593B60"/>
    <w:rsid w:val="00593BC2"/>
    <w:rsid w:val="00593DA8"/>
    <w:rsid w:val="005942A6"/>
    <w:rsid w:val="00594539"/>
    <w:rsid w:val="00594696"/>
    <w:rsid w:val="0059480E"/>
    <w:rsid w:val="00594909"/>
    <w:rsid w:val="005949D3"/>
    <w:rsid w:val="00594B58"/>
    <w:rsid w:val="0059574E"/>
    <w:rsid w:val="0059577C"/>
    <w:rsid w:val="00595F62"/>
    <w:rsid w:val="0059604E"/>
    <w:rsid w:val="005963F6"/>
    <w:rsid w:val="00596457"/>
    <w:rsid w:val="0059657A"/>
    <w:rsid w:val="005965DB"/>
    <w:rsid w:val="00596CC3"/>
    <w:rsid w:val="00596F03"/>
    <w:rsid w:val="00596F83"/>
    <w:rsid w:val="0059700A"/>
    <w:rsid w:val="0059708A"/>
    <w:rsid w:val="00597649"/>
    <w:rsid w:val="00597768"/>
    <w:rsid w:val="00597873"/>
    <w:rsid w:val="00597AE9"/>
    <w:rsid w:val="00597AFC"/>
    <w:rsid w:val="00597AFE"/>
    <w:rsid w:val="00597C6A"/>
    <w:rsid w:val="00597F74"/>
    <w:rsid w:val="005A0A0E"/>
    <w:rsid w:val="005A0B65"/>
    <w:rsid w:val="005A1195"/>
    <w:rsid w:val="005A12DC"/>
    <w:rsid w:val="005A152D"/>
    <w:rsid w:val="005A160E"/>
    <w:rsid w:val="005A1928"/>
    <w:rsid w:val="005A1A7B"/>
    <w:rsid w:val="005A1A88"/>
    <w:rsid w:val="005A1D1F"/>
    <w:rsid w:val="005A1E50"/>
    <w:rsid w:val="005A224D"/>
    <w:rsid w:val="005A24D3"/>
    <w:rsid w:val="005A2612"/>
    <w:rsid w:val="005A2D4A"/>
    <w:rsid w:val="005A370F"/>
    <w:rsid w:val="005A3CC4"/>
    <w:rsid w:val="005A3DD2"/>
    <w:rsid w:val="005A3E67"/>
    <w:rsid w:val="005A3F9B"/>
    <w:rsid w:val="005A4368"/>
    <w:rsid w:val="005A43D2"/>
    <w:rsid w:val="005A4EB2"/>
    <w:rsid w:val="005A4F47"/>
    <w:rsid w:val="005A5103"/>
    <w:rsid w:val="005A536F"/>
    <w:rsid w:val="005A53E0"/>
    <w:rsid w:val="005A5460"/>
    <w:rsid w:val="005A5493"/>
    <w:rsid w:val="005A5E14"/>
    <w:rsid w:val="005A6322"/>
    <w:rsid w:val="005A64DD"/>
    <w:rsid w:val="005A6531"/>
    <w:rsid w:val="005A659A"/>
    <w:rsid w:val="005A672D"/>
    <w:rsid w:val="005A674A"/>
    <w:rsid w:val="005A6C34"/>
    <w:rsid w:val="005A726D"/>
    <w:rsid w:val="005A7585"/>
    <w:rsid w:val="005A780E"/>
    <w:rsid w:val="005A7DB4"/>
    <w:rsid w:val="005A7E3C"/>
    <w:rsid w:val="005A7E58"/>
    <w:rsid w:val="005B002D"/>
    <w:rsid w:val="005B03C5"/>
    <w:rsid w:val="005B0944"/>
    <w:rsid w:val="005B0AC3"/>
    <w:rsid w:val="005B0F86"/>
    <w:rsid w:val="005B13EF"/>
    <w:rsid w:val="005B1638"/>
    <w:rsid w:val="005B1F34"/>
    <w:rsid w:val="005B1FF7"/>
    <w:rsid w:val="005B2340"/>
    <w:rsid w:val="005B245A"/>
    <w:rsid w:val="005B2483"/>
    <w:rsid w:val="005B24A9"/>
    <w:rsid w:val="005B24E9"/>
    <w:rsid w:val="005B2601"/>
    <w:rsid w:val="005B28D2"/>
    <w:rsid w:val="005B2C36"/>
    <w:rsid w:val="005B3565"/>
    <w:rsid w:val="005B37F0"/>
    <w:rsid w:val="005B3867"/>
    <w:rsid w:val="005B3A84"/>
    <w:rsid w:val="005B3AC2"/>
    <w:rsid w:val="005B3FFD"/>
    <w:rsid w:val="005B40EF"/>
    <w:rsid w:val="005B4152"/>
    <w:rsid w:val="005B4197"/>
    <w:rsid w:val="005B42B2"/>
    <w:rsid w:val="005B42D4"/>
    <w:rsid w:val="005B4304"/>
    <w:rsid w:val="005B4446"/>
    <w:rsid w:val="005B449A"/>
    <w:rsid w:val="005B45E5"/>
    <w:rsid w:val="005B45EF"/>
    <w:rsid w:val="005B481C"/>
    <w:rsid w:val="005B4855"/>
    <w:rsid w:val="005B4C24"/>
    <w:rsid w:val="005B5048"/>
    <w:rsid w:val="005B51D1"/>
    <w:rsid w:val="005B5522"/>
    <w:rsid w:val="005B567A"/>
    <w:rsid w:val="005B57E3"/>
    <w:rsid w:val="005B5A14"/>
    <w:rsid w:val="005B5D5F"/>
    <w:rsid w:val="005B5E0D"/>
    <w:rsid w:val="005B5E7C"/>
    <w:rsid w:val="005B606E"/>
    <w:rsid w:val="005B60C6"/>
    <w:rsid w:val="005B6369"/>
    <w:rsid w:val="005B6408"/>
    <w:rsid w:val="005B659C"/>
    <w:rsid w:val="005B6AD5"/>
    <w:rsid w:val="005B6AE7"/>
    <w:rsid w:val="005B7077"/>
    <w:rsid w:val="005B7436"/>
    <w:rsid w:val="005B743E"/>
    <w:rsid w:val="005B75A9"/>
    <w:rsid w:val="005B7AAD"/>
    <w:rsid w:val="005B7CBE"/>
    <w:rsid w:val="005B7FC6"/>
    <w:rsid w:val="005C00BC"/>
    <w:rsid w:val="005C02F9"/>
    <w:rsid w:val="005C045D"/>
    <w:rsid w:val="005C087D"/>
    <w:rsid w:val="005C0925"/>
    <w:rsid w:val="005C0AED"/>
    <w:rsid w:val="005C0BE9"/>
    <w:rsid w:val="005C0C7D"/>
    <w:rsid w:val="005C0E93"/>
    <w:rsid w:val="005C0EC0"/>
    <w:rsid w:val="005C0F51"/>
    <w:rsid w:val="005C1615"/>
    <w:rsid w:val="005C1AA9"/>
    <w:rsid w:val="005C1E84"/>
    <w:rsid w:val="005C1EE1"/>
    <w:rsid w:val="005C1F2C"/>
    <w:rsid w:val="005C20A2"/>
    <w:rsid w:val="005C23EE"/>
    <w:rsid w:val="005C2402"/>
    <w:rsid w:val="005C249A"/>
    <w:rsid w:val="005C2790"/>
    <w:rsid w:val="005C2921"/>
    <w:rsid w:val="005C2A51"/>
    <w:rsid w:val="005C2D01"/>
    <w:rsid w:val="005C2FB7"/>
    <w:rsid w:val="005C2FB9"/>
    <w:rsid w:val="005C2FDE"/>
    <w:rsid w:val="005C304B"/>
    <w:rsid w:val="005C30A0"/>
    <w:rsid w:val="005C30BD"/>
    <w:rsid w:val="005C32DE"/>
    <w:rsid w:val="005C3372"/>
    <w:rsid w:val="005C3407"/>
    <w:rsid w:val="005C3A17"/>
    <w:rsid w:val="005C3BD7"/>
    <w:rsid w:val="005C4001"/>
    <w:rsid w:val="005C477D"/>
    <w:rsid w:val="005C4BB0"/>
    <w:rsid w:val="005C4F53"/>
    <w:rsid w:val="005C502E"/>
    <w:rsid w:val="005C510E"/>
    <w:rsid w:val="005C52AC"/>
    <w:rsid w:val="005C54F8"/>
    <w:rsid w:val="005C559B"/>
    <w:rsid w:val="005C5688"/>
    <w:rsid w:val="005C5F24"/>
    <w:rsid w:val="005C61A8"/>
    <w:rsid w:val="005C63E2"/>
    <w:rsid w:val="005C661C"/>
    <w:rsid w:val="005C66B0"/>
    <w:rsid w:val="005C6A7E"/>
    <w:rsid w:val="005C6CD8"/>
    <w:rsid w:val="005C6D11"/>
    <w:rsid w:val="005C7592"/>
    <w:rsid w:val="005C7659"/>
    <w:rsid w:val="005C7891"/>
    <w:rsid w:val="005C794A"/>
    <w:rsid w:val="005D00F6"/>
    <w:rsid w:val="005D0413"/>
    <w:rsid w:val="005D0479"/>
    <w:rsid w:val="005D06AB"/>
    <w:rsid w:val="005D06B6"/>
    <w:rsid w:val="005D07A6"/>
    <w:rsid w:val="005D08CE"/>
    <w:rsid w:val="005D091E"/>
    <w:rsid w:val="005D09C8"/>
    <w:rsid w:val="005D0B32"/>
    <w:rsid w:val="005D0B3E"/>
    <w:rsid w:val="005D0C67"/>
    <w:rsid w:val="005D1286"/>
    <w:rsid w:val="005D1327"/>
    <w:rsid w:val="005D176E"/>
    <w:rsid w:val="005D17E4"/>
    <w:rsid w:val="005D1A0B"/>
    <w:rsid w:val="005D1CE4"/>
    <w:rsid w:val="005D1FEA"/>
    <w:rsid w:val="005D204E"/>
    <w:rsid w:val="005D21B5"/>
    <w:rsid w:val="005D270F"/>
    <w:rsid w:val="005D2769"/>
    <w:rsid w:val="005D29A8"/>
    <w:rsid w:val="005D2A28"/>
    <w:rsid w:val="005D2BB8"/>
    <w:rsid w:val="005D32CA"/>
    <w:rsid w:val="005D33C8"/>
    <w:rsid w:val="005D344C"/>
    <w:rsid w:val="005D38BA"/>
    <w:rsid w:val="005D3FAF"/>
    <w:rsid w:val="005D4037"/>
    <w:rsid w:val="005D42B6"/>
    <w:rsid w:val="005D42EA"/>
    <w:rsid w:val="005D44BF"/>
    <w:rsid w:val="005D480C"/>
    <w:rsid w:val="005D48C6"/>
    <w:rsid w:val="005D53AD"/>
    <w:rsid w:val="005D54F0"/>
    <w:rsid w:val="005D55DF"/>
    <w:rsid w:val="005D5B4F"/>
    <w:rsid w:val="005D5DF9"/>
    <w:rsid w:val="005D608B"/>
    <w:rsid w:val="005D6256"/>
    <w:rsid w:val="005D62D5"/>
    <w:rsid w:val="005D643D"/>
    <w:rsid w:val="005D644F"/>
    <w:rsid w:val="005D645A"/>
    <w:rsid w:val="005D6466"/>
    <w:rsid w:val="005D6655"/>
    <w:rsid w:val="005D68AE"/>
    <w:rsid w:val="005D6A69"/>
    <w:rsid w:val="005D6EF0"/>
    <w:rsid w:val="005D753D"/>
    <w:rsid w:val="005D7767"/>
    <w:rsid w:val="005D78B3"/>
    <w:rsid w:val="005D78C5"/>
    <w:rsid w:val="005D7A50"/>
    <w:rsid w:val="005D7C34"/>
    <w:rsid w:val="005D7D00"/>
    <w:rsid w:val="005D7EC4"/>
    <w:rsid w:val="005D7FDB"/>
    <w:rsid w:val="005E030E"/>
    <w:rsid w:val="005E0531"/>
    <w:rsid w:val="005E0885"/>
    <w:rsid w:val="005E0908"/>
    <w:rsid w:val="005E0A3C"/>
    <w:rsid w:val="005E0B48"/>
    <w:rsid w:val="005E0B58"/>
    <w:rsid w:val="005E0CAE"/>
    <w:rsid w:val="005E1364"/>
    <w:rsid w:val="005E170E"/>
    <w:rsid w:val="005E19E8"/>
    <w:rsid w:val="005E1B22"/>
    <w:rsid w:val="005E1CC0"/>
    <w:rsid w:val="005E1DD3"/>
    <w:rsid w:val="005E208D"/>
    <w:rsid w:val="005E26DF"/>
    <w:rsid w:val="005E28F1"/>
    <w:rsid w:val="005E2A3D"/>
    <w:rsid w:val="005E3055"/>
    <w:rsid w:val="005E3A3F"/>
    <w:rsid w:val="005E3BFC"/>
    <w:rsid w:val="005E3E51"/>
    <w:rsid w:val="005E3EAF"/>
    <w:rsid w:val="005E42B1"/>
    <w:rsid w:val="005E43AD"/>
    <w:rsid w:val="005E46AC"/>
    <w:rsid w:val="005E484E"/>
    <w:rsid w:val="005E4A4C"/>
    <w:rsid w:val="005E4B0B"/>
    <w:rsid w:val="005E4C3B"/>
    <w:rsid w:val="005E4C43"/>
    <w:rsid w:val="005E4FF5"/>
    <w:rsid w:val="005E4FFA"/>
    <w:rsid w:val="005E503D"/>
    <w:rsid w:val="005E5053"/>
    <w:rsid w:val="005E5250"/>
    <w:rsid w:val="005E5568"/>
    <w:rsid w:val="005E575A"/>
    <w:rsid w:val="005E5958"/>
    <w:rsid w:val="005E6061"/>
    <w:rsid w:val="005E65AE"/>
    <w:rsid w:val="005E65FE"/>
    <w:rsid w:val="005E67F1"/>
    <w:rsid w:val="005E6A34"/>
    <w:rsid w:val="005E7005"/>
    <w:rsid w:val="005E721D"/>
    <w:rsid w:val="005E753E"/>
    <w:rsid w:val="005E775D"/>
    <w:rsid w:val="005E7B25"/>
    <w:rsid w:val="005E7C2F"/>
    <w:rsid w:val="005E7EE7"/>
    <w:rsid w:val="005E7F5C"/>
    <w:rsid w:val="005F02EC"/>
    <w:rsid w:val="005F09E8"/>
    <w:rsid w:val="005F0CB8"/>
    <w:rsid w:val="005F0D2C"/>
    <w:rsid w:val="005F11AA"/>
    <w:rsid w:val="005F1DF3"/>
    <w:rsid w:val="005F1EAB"/>
    <w:rsid w:val="005F1EAF"/>
    <w:rsid w:val="005F1F3F"/>
    <w:rsid w:val="005F1F57"/>
    <w:rsid w:val="005F1F6D"/>
    <w:rsid w:val="005F2645"/>
    <w:rsid w:val="005F26C5"/>
    <w:rsid w:val="005F275D"/>
    <w:rsid w:val="005F2B2E"/>
    <w:rsid w:val="005F2C16"/>
    <w:rsid w:val="005F2CF8"/>
    <w:rsid w:val="005F2F91"/>
    <w:rsid w:val="005F300A"/>
    <w:rsid w:val="005F30E2"/>
    <w:rsid w:val="005F3126"/>
    <w:rsid w:val="005F3298"/>
    <w:rsid w:val="005F3F51"/>
    <w:rsid w:val="005F3F53"/>
    <w:rsid w:val="005F4183"/>
    <w:rsid w:val="005F4277"/>
    <w:rsid w:val="005F4C4E"/>
    <w:rsid w:val="005F4E7D"/>
    <w:rsid w:val="005F5360"/>
    <w:rsid w:val="005F543F"/>
    <w:rsid w:val="005F5515"/>
    <w:rsid w:val="005F5530"/>
    <w:rsid w:val="005F55EF"/>
    <w:rsid w:val="005F5625"/>
    <w:rsid w:val="005F5776"/>
    <w:rsid w:val="005F5AEC"/>
    <w:rsid w:val="005F5DE2"/>
    <w:rsid w:val="005F63BC"/>
    <w:rsid w:val="005F6A1A"/>
    <w:rsid w:val="005F6B2E"/>
    <w:rsid w:val="005F6DF1"/>
    <w:rsid w:val="005F70EF"/>
    <w:rsid w:val="005F7A69"/>
    <w:rsid w:val="005F7BD4"/>
    <w:rsid w:val="005F7E78"/>
    <w:rsid w:val="0060024F"/>
    <w:rsid w:val="006005C5"/>
    <w:rsid w:val="0060097D"/>
    <w:rsid w:val="00600B06"/>
    <w:rsid w:val="00601322"/>
    <w:rsid w:val="00601A5E"/>
    <w:rsid w:val="00601B7E"/>
    <w:rsid w:val="00601D96"/>
    <w:rsid w:val="00602232"/>
    <w:rsid w:val="006022A2"/>
    <w:rsid w:val="00602317"/>
    <w:rsid w:val="006027E9"/>
    <w:rsid w:val="0060287A"/>
    <w:rsid w:val="00602B1B"/>
    <w:rsid w:val="0060382E"/>
    <w:rsid w:val="00603911"/>
    <w:rsid w:val="00603A81"/>
    <w:rsid w:val="00604009"/>
    <w:rsid w:val="006042C2"/>
    <w:rsid w:val="006043B4"/>
    <w:rsid w:val="006044D1"/>
    <w:rsid w:val="00604529"/>
    <w:rsid w:val="00604B9D"/>
    <w:rsid w:val="00604C09"/>
    <w:rsid w:val="00604F73"/>
    <w:rsid w:val="00604FAA"/>
    <w:rsid w:val="00605559"/>
    <w:rsid w:val="0060594A"/>
    <w:rsid w:val="00605D06"/>
    <w:rsid w:val="00605DF0"/>
    <w:rsid w:val="0060600D"/>
    <w:rsid w:val="0060681E"/>
    <w:rsid w:val="006069E1"/>
    <w:rsid w:val="00607230"/>
    <w:rsid w:val="006076F8"/>
    <w:rsid w:val="0060781F"/>
    <w:rsid w:val="0061007E"/>
    <w:rsid w:val="00610155"/>
    <w:rsid w:val="006103E0"/>
    <w:rsid w:val="006104BF"/>
    <w:rsid w:val="00610535"/>
    <w:rsid w:val="006105AC"/>
    <w:rsid w:val="006107CD"/>
    <w:rsid w:val="00610977"/>
    <w:rsid w:val="00610A2C"/>
    <w:rsid w:val="00610AA5"/>
    <w:rsid w:val="00610BAA"/>
    <w:rsid w:val="00610F9A"/>
    <w:rsid w:val="006110AE"/>
    <w:rsid w:val="00611390"/>
    <w:rsid w:val="00611431"/>
    <w:rsid w:val="00611527"/>
    <w:rsid w:val="00611597"/>
    <w:rsid w:val="0061173A"/>
    <w:rsid w:val="006117C0"/>
    <w:rsid w:val="00611E8B"/>
    <w:rsid w:val="006122F3"/>
    <w:rsid w:val="00612366"/>
    <w:rsid w:val="006124CA"/>
    <w:rsid w:val="00612858"/>
    <w:rsid w:val="00612890"/>
    <w:rsid w:val="0061290B"/>
    <w:rsid w:val="0061292E"/>
    <w:rsid w:val="00612BC7"/>
    <w:rsid w:val="00612D6E"/>
    <w:rsid w:val="00613465"/>
    <w:rsid w:val="00613856"/>
    <w:rsid w:val="00613C73"/>
    <w:rsid w:val="00613E52"/>
    <w:rsid w:val="006147E6"/>
    <w:rsid w:val="00614921"/>
    <w:rsid w:val="00614E38"/>
    <w:rsid w:val="00614F4C"/>
    <w:rsid w:val="00614FAB"/>
    <w:rsid w:val="00615135"/>
    <w:rsid w:val="0061515C"/>
    <w:rsid w:val="00615183"/>
    <w:rsid w:val="0061564E"/>
    <w:rsid w:val="0061566C"/>
    <w:rsid w:val="006156E2"/>
    <w:rsid w:val="0061586F"/>
    <w:rsid w:val="00615B55"/>
    <w:rsid w:val="00615CC5"/>
    <w:rsid w:val="00615DEA"/>
    <w:rsid w:val="00615FB7"/>
    <w:rsid w:val="00616247"/>
    <w:rsid w:val="0061672B"/>
    <w:rsid w:val="00616AFF"/>
    <w:rsid w:val="00616B5D"/>
    <w:rsid w:val="00616C2C"/>
    <w:rsid w:val="00616FE9"/>
    <w:rsid w:val="00617139"/>
    <w:rsid w:val="006171DE"/>
    <w:rsid w:val="00617494"/>
    <w:rsid w:val="00617653"/>
    <w:rsid w:val="006179B3"/>
    <w:rsid w:val="00617FAD"/>
    <w:rsid w:val="00620160"/>
    <w:rsid w:val="006205EB"/>
    <w:rsid w:val="00620715"/>
    <w:rsid w:val="0062078F"/>
    <w:rsid w:val="00620872"/>
    <w:rsid w:val="0062087C"/>
    <w:rsid w:val="006209B7"/>
    <w:rsid w:val="00620C0A"/>
    <w:rsid w:val="00620D78"/>
    <w:rsid w:val="006211EF"/>
    <w:rsid w:val="00621340"/>
    <w:rsid w:val="0062238A"/>
    <w:rsid w:val="00622464"/>
    <w:rsid w:val="00622B22"/>
    <w:rsid w:val="00623029"/>
    <w:rsid w:val="006233D2"/>
    <w:rsid w:val="006235EC"/>
    <w:rsid w:val="00623688"/>
    <w:rsid w:val="00623768"/>
    <w:rsid w:val="00623AF1"/>
    <w:rsid w:val="00623F74"/>
    <w:rsid w:val="006240B9"/>
    <w:rsid w:val="00624213"/>
    <w:rsid w:val="00624321"/>
    <w:rsid w:val="00624D47"/>
    <w:rsid w:val="0062553F"/>
    <w:rsid w:val="0062583E"/>
    <w:rsid w:val="00625A7D"/>
    <w:rsid w:val="00625C4B"/>
    <w:rsid w:val="00625D57"/>
    <w:rsid w:val="00625EDE"/>
    <w:rsid w:val="00626013"/>
    <w:rsid w:val="006261D4"/>
    <w:rsid w:val="00626687"/>
    <w:rsid w:val="006267D9"/>
    <w:rsid w:val="00626BB1"/>
    <w:rsid w:val="00626CCF"/>
    <w:rsid w:val="00626EB2"/>
    <w:rsid w:val="00626FDE"/>
    <w:rsid w:val="00627918"/>
    <w:rsid w:val="006279A5"/>
    <w:rsid w:val="006279B7"/>
    <w:rsid w:val="00627A08"/>
    <w:rsid w:val="00627A30"/>
    <w:rsid w:val="00627A90"/>
    <w:rsid w:val="00627B60"/>
    <w:rsid w:val="00630091"/>
    <w:rsid w:val="00630C48"/>
    <w:rsid w:val="00630F33"/>
    <w:rsid w:val="006312AC"/>
    <w:rsid w:val="006315B7"/>
    <w:rsid w:val="00631655"/>
    <w:rsid w:val="006317BC"/>
    <w:rsid w:val="0063187B"/>
    <w:rsid w:val="00631FA2"/>
    <w:rsid w:val="00631FCF"/>
    <w:rsid w:val="00632190"/>
    <w:rsid w:val="0063223B"/>
    <w:rsid w:val="00632842"/>
    <w:rsid w:val="0063302E"/>
    <w:rsid w:val="006333E3"/>
    <w:rsid w:val="00633565"/>
    <w:rsid w:val="00633679"/>
    <w:rsid w:val="006338AA"/>
    <w:rsid w:val="006338CD"/>
    <w:rsid w:val="006338D6"/>
    <w:rsid w:val="00633A8D"/>
    <w:rsid w:val="00633F47"/>
    <w:rsid w:val="006340BB"/>
    <w:rsid w:val="00634169"/>
    <w:rsid w:val="006342A9"/>
    <w:rsid w:val="0063466F"/>
    <w:rsid w:val="00634795"/>
    <w:rsid w:val="00634832"/>
    <w:rsid w:val="00634839"/>
    <w:rsid w:val="00634AC6"/>
    <w:rsid w:val="00634BFF"/>
    <w:rsid w:val="00634C04"/>
    <w:rsid w:val="00634FAE"/>
    <w:rsid w:val="0063536F"/>
    <w:rsid w:val="006355EF"/>
    <w:rsid w:val="006356F1"/>
    <w:rsid w:val="0063573A"/>
    <w:rsid w:val="00635811"/>
    <w:rsid w:val="00635852"/>
    <w:rsid w:val="00635932"/>
    <w:rsid w:val="00635BC8"/>
    <w:rsid w:val="00635D94"/>
    <w:rsid w:val="00635EDA"/>
    <w:rsid w:val="00636016"/>
    <w:rsid w:val="0063630B"/>
    <w:rsid w:val="0063647A"/>
    <w:rsid w:val="00636710"/>
    <w:rsid w:val="00636928"/>
    <w:rsid w:val="006369BB"/>
    <w:rsid w:val="00636A1D"/>
    <w:rsid w:val="00636BD3"/>
    <w:rsid w:val="00636D7A"/>
    <w:rsid w:val="006377C4"/>
    <w:rsid w:val="0063798C"/>
    <w:rsid w:val="00637B54"/>
    <w:rsid w:val="00637CF3"/>
    <w:rsid w:val="00637DBA"/>
    <w:rsid w:val="00637F0A"/>
    <w:rsid w:val="00637F11"/>
    <w:rsid w:val="00640204"/>
    <w:rsid w:val="00640581"/>
    <w:rsid w:val="006405EC"/>
    <w:rsid w:val="00640C34"/>
    <w:rsid w:val="00640F3E"/>
    <w:rsid w:val="00641068"/>
    <w:rsid w:val="006419D4"/>
    <w:rsid w:val="00641A29"/>
    <w:rsid w:val="00641C7B"/>
    <w:rsid w:val="0064266E"/>
    <w:rsid w:val="0064274B"/>
    <w:rsid w:val="0064280C"/>
    <w:rsid w:val="006429E3"/>
    <w:rsid w:val="00642B87"/>
    <w:rsid w:val="00642DD0"/>
    <w:rsid w:val="00642EF5"/>
    <w:rsid w:val="00642F98"/>
    <w:rsid w:val="00643370"/>
    <w:rsid w:val="006437F9"/>
    <w:rsid w:val="006438BD"/>
    <w:rsid w:val="006439B1"/>
    <w:rsid w:val="00643BFE"/>
    <w:rsid w:val="00643D28"/>
    <w:rsid w:val="00643D5D"/>
    <w:rsid w:val="00643D75"/>
    <w:rsid w:val="00643F37"/>
    <w:rsid w:val="006447F7"/>
    <w:rsid w:val="006451BE"/>
    <w:rsid w:val="00645A6B"/>
    <w:rsid w:val="00645E3E"/>
    <w:rsid w:val="006460DD"/>
    <w:rsid w:val="00646281"/>
    <w:rsid w:val="00646414"/>
    <w:rsid w:val="00646525"/>
    <w:rsid w:val="00646797"/>
    <w:rsid w:val="00646A1D"/>
    <w:rsid w:val="00646D99"/>
    <w:rsid w:val="00646DE5"/>
    <w:rsid w:val="006473F7"/>
    <w:rsid w:val="0064743E"/>
    <w:rsid w:val="006475B5"/>
    <w:rsid w:val="00647829"/>
    <w:rsid w:val="006479F4"/>
    <w:rsid w:val="00647CB4"/>
    <w:rsid w:val="0065007A"/>
    <w:rsid w:val="006505FA"/>
    <w:rsid w:val="00650BC0"/>
    <w:rsid w:val="00650BD3"/>
    <w:rsid w:val="00650CBE"/>
    <w:rsid w:val="00651203"/>
    <w:rsid w:val="00651684"/>
    <w:rsid w:val="00651689"/>
    <w:rsid w:val="00651911"/>
    <w:rsid w:val="0065199B"/>
    <w:rsid w:val="0065211B"/>
    <w:rsid w:val="00652350"/>
    <w:rsid w:val="006525CC"/>
    <w:rsid w:val="006528FB"/>
    <w:rsid w:val="0065297A"/>
    <w:rsid w:val="006529A5"/>
    <w:rsid w:val="00652BCD"/>
    <w:rsid w:val="00652D6F"/>
    <w:rsid w:val="00653197"/>
    <w:rsid w:val="006531C7"/>
    <w:rsid w:val="0065336A"/>
    <w:rsid w:val="00653433"/>
    <w:rsid w:val="00653699"/>
    <w:rsid w:val="006536FE"/>
    <w:rsid w:val="00653EC2"/>
    <w:rsid w:val="00653F9C"/>
    <w:rsid w:val="00653FD7"/>
    <w:rsid w:val="0065405F"/>
    <w:rsid w:val="006540D4"/>
    <w:rsid w:val="006541D9"/>
    <w:rsid w:val="00654307"/>
    <w:rsid w:val="00654377"/>
    <w:rsid w:val="00654D7B"/>
    <w:rsid w:val="00654DA8"/>
    <w:rsid w:val="00654DBE"/>
    <w:rsid w:val="006551BD"/>
    <w:rsid w:val="006551F3"/>
    <w:rsid w:val="006553CC"/>
    <w:rsid w:val="00655408"/>
    <w:rsid w:val="006555C2"/>
    <w:rsid w:val="006558B3"/>
    <w:rsid w:val="00655980"/>
    <w:rsid w:val="00655B01"/>
    <w:rsid w:val="00655B99"/>
    <w:rsid w:val="00656405"/>
    <w:rsid w:val="006565FE"/>
    <w:rsid w:val="0065683A"/>
    <w:rsid w:val="006570D2"/>
    <w:rsid w:val="0065735D"/>
    <w:rsid w:val="00657419"/>
    <w:rsid w:val="00657574"/>
    <w:rsid w:val="00657E9F"/>
    <w:rsid w:val="006604B5"/>
    <w:rsid w:val="006607BD"/>
    <w:rsid w:val="006609A2"/>
    <w:rsid w:val="00661078"/>
    <w:rsid w:val="0066114D"/>
    <w:rsid w:val="006611E3"/>
    <w:rsid w:val="00661567"/>
    <w:rsid w:val="0066162C"/>
    <w:rsid w:val="00661714"/>
    <w:rsid w:val="00661870"/>
    <w:rsid w:val="006618A8"/>
    <w:rsid w:val="00661AF4"/>
    <w:rsid w:val="00661E39"/>
    <w:rsid w:val="0066209C"/>
    <w:rsid w:val="00662177"/>
    <w:rsid w:val="00662213"/>
    <w:rsid w:val="00662295"/>
    <w:rsid w:val="00662519"/>
    <w:rsid w:val="00662575"/>
    <w:rsid w:val="00662846"/>
    <w:rsid w:val="00662981"/>
    <w:rsid w:val="00662BBA"/>
    <w:rsid w:val="00662D0D"/>
    <w:rsid w:val="00662DCA"/>
    <w:rsid w:val="00663267"/>
    <w:rsid w:val="006634D3"/>
    <w:rsid w:val="00663556"/>
    <w:rsid w:val="00663961"/>
    <w:rsid w:val="00663B91"/>
    <w:rsid w:val="0066401F"/>
    <w:rsid w:val="006643CB"/>
    <w:rsid w:val="0066452A"/>
    <w:rsid w:val="006646CB"/>
    <w:rsid w:val="006647B6"/>
    <w:rsid w:val="006648F4"/>
    <w:rsid w:val="0066494B"/>
    <w:rsid w:val="00664C54"/>
    <w:rsid w:val="00664E3D"/>
    <w:rsid w:val="006652F9"/>
    <w:rsid w:val="00665694"/>
    <w:rsid w:val="006658A1"/>
    <w:rsid w:val="0066608B"/>
    <w:rsid w:val="006665AE"/>
    <w:rsid w:val="0066664C"/>
    <w:rsid w:val="006666EB"/>
    <w:rsid w:val="006668AD"/>
    <w:rsid w:val="0066690B"/>
    <w:rsid w:val="00666BA3"/>
    <w:rsid w:val="00666CD9"/>
    <w:rsid w:val="00666ED9"/>
    <w:rsid w:val="00666F88"/>
    <w:rsid w:val="00666FDE"/>
    <w:rsid w:val="006671FC"/>
    <w:rsid w:val="006673CB"/>
    <w:rsid w:val="00667502"/>
    <w:rsid w:val="0066750B"/>
    <w:rsid w:val="00667563"/>
    <w:rsid w:val="0066771A"/>
    <w:rsid w:val="006677E9"/>
    <w:rsid w:val="006679D9"/>
    <w:rsid w:val="006679FC"/>
    <w:rsid w:val="00667B7F"/>
    <w:rsid w:val="00667B8F"/>
    <w:rsid w:val="006704B8"/>
    <w:rsid w:val="006705BB"/>
    <w:rsid w:val="00670676"/>
    <w:rsid w:val="00670A28"/>
    <w:rsid w:val="00670A7C"/>
    <w:rsid w:val="00670BCD"/>
    <w:rsid w:val="00670EF9"/>
    <w:rsid w:val="0067148D"/>
    <w:rsid w:val="00671581"/>
    <w:rsid w:val="00671807"/>
    <w:rsid w:val="00671F84"/>
    <w:rsid w:val="00672163"/>
    <w:rsid w:val="006721C9"/>
    <w:rsid w:val="0067242F"/>
    <w:rsid w:val="0067290D"/>
    <w:rsid w:val="00672F57"/>
    <w:rsid w:val="006730FB"/>
    <w:rsid w:val="0067315D"/>
    <w:rsid w:val="006733D3"/>
    <w:rsid w:val="00673AC6"/>
    <w:rsid w:val="00673C27"/>
    <w:rsid w:val="00673C6C"/>
    <w:rsid w:val="00673DCB"/>
    <w:rsid w:val="00673E16"/>
    <w:rsid w:val="00673EED"/>
    <w:rsid w:val="00674072"/>
    <w:rsid w:val="0067439B"/>
    <w:rsid w:val="00674D59"/>
    <w:rsid w:val="00675683"/>
    <w:rsid w:val="006757AE"/>
    <w:rsid w:val="00675EDE"/>
    <w:rsid w:val="00675F6F"/>
    <w:rsid w:val="0067625C"/>
    <w:rsid w:val="006764A0"/>
    <w:rsid w:val="00676649"/>
    <w:rsid w:val="0067690B"/>
    <w:rsid w:val="00676B1D"/>
    <w:rsid w:val="00676F00"/>
    <w:rsid w:val="00676FA0"/>
    <w:rsid w:val="00676FD0"/>
    <w:rsid w:val="00677276"/>
    <w:rsid w:val="006772CA"/>
    <w:rsid w:val="006775FD"/>
    <w:rsid w:val="006776F8"/>
    <w:rsid w:val="00677957"/>
    <w:rsid w:val="00677C91"/>
    <w:rsid w:val="00677D75"/>
    <w:rsid w:val="0068052C"/>
    <w:rsid w:val="006805BF"/>
    <w:rsid w:val="0068071C"/>
    <w:rsid w:val="00680891"/>
    <w:rsid w:val="006808BD"/>
    <w:rsid w:val="0068090D"/>
    <w:rsid w:val="00680AEF"/>
    <w:rsid w:val="00680C70"/>
    <w:rsid w:val="00680F1C"/>
    <w:rsid w:val="006810B3"/>
    <w:rsid w:val="00681116"/>
    <w:rsid w:val="006813F8"/>
    <w:rsid w:val="006819A8"/>
    <w:rsid w:val="00681A37"/>
    <w:rsid w:val="00681B9C"/>
    <w:rsid w:val="00681C14"/>
    <w:rsid w:val="00681D73"/>
    <w:rsid w:val="00682076"/>
    <w:rsid w:val="00682333"/>
    <w:rsid w:val="006827D5"/>
    <w:rsid w:val="00682949"/>
    <w:rsid w:val="00682C24"/>
    <w:rsid w:val="00682FEC"/>
    <w:rsid w:val="006832DB"/>
    <w:rsid w:val="00683549"/>
    <w:rsid w:val="0068396C"/>
    <w:rsid w:val="00683C7C"/>
    <w:rsid w:val="00683D95"/>
    <w:rsid w:val="006840BD"/>
    <w:rsid w:val="00684352"/>
    <w:rsid w:val="006845D1"/>
    <w:rsid w:val="0068474F"/>
    <w:rsid w:val="006847F8"/>
    <w:rsid w:val="006849B2"/>
    <w:rsid w:val="00684A82"/>
    <w:rsid w:val="00684D31"/>
    <w:rsid w:val="00684D38"/>
    <w:rsid w:val="00684F7D"/>
    <w:rsid w:val="006855DF"/>
    <w:rsid w:val="0068591C"/>
    <w:rsid w:val="00685A40"/>
    <w:rsid w:val="00685C92"/>
    <w:rsid w:val="00685CA8"/>
    <w:rsid w:val="00685EFF"/>
    <w:rsid w:val="0068638E"/>
    <w:rsid w:val="00686396"/>
    <w:rsid w:val="006868D0"/>
    <w:rsid w:val="00686BB6"/>
    <w:rsid w:val="00686E33"/>
    <w:rsid w:val="00686E36"/>
    <w:rsid w:val="00687190"/>
    <w:rsid w:val="00687455"/>
    <w:rsid w:val="006874CE"/>
    <w:rsid w:val="00687719"/>
    <w:rsid w:val="00687821"/>
    <w:rsid w:val="00687851"/>
    <w:rsid w:val="00687A29"/>
    <w:rsid w:val="00687DA6"/>
    <w:rsid w:val="00687DB6"/>
    <w:rsid w:val="00690706"/>
    <w:rsid w:val="00690B19"/>
    <w:rsid w:val="00690B95"/>
    <w:rsid w:val="00690D54"/>
    <w:rsid w:val="00690D6D"/>
    <w:rsid w:val="00690DBD"/>
    <w:rsid w:val="00690F20"/>
    <w:rsid w:val="006911FB"/>
    <w:rsid w:val="006912C3"/>
    <w:rsid w:val="0069136C"/>
    <w:rsid w:val="006913E3"/>
    <w:rsid w:val="00691521"/>
    <w:rsid w:val="006915EB"/>
    <w:rsid w:val="0069192F"/>
    <w:rsid w:val="00691CE2"/>
    <w:rsid w:val="00691D06"/>
    <w:rsid w:val="00691D28"/>
    <w:rsid w:val="00692383"/>
    <w:rsid w:val="00692988"/>
    <w:rsid w:val="00692BF7"/>
    <w:rsid w:val="00693301"/>
    <w:rsid w:val="00693424"/>
    <w:rsid w:val="0069343A"/>
    <w:rsid w:val="00693548"/>
    <w:rsid w:val="006935AC"/>
    <w:rsid w:val="006938C7"/>
    <w:rsid w:val="00693985"/>
    <w:rsid w:val="00693A4A"/>
    <w:rsid w:val="00693AB8"/>
    <w:rsid w:val="00693C2B"/>
    <w:rsid w:val="00693C43"/>
    <w:rsid w:val="00694129"/>
    <w:rsid w:val="00694891"/>
    <w:rsid w:val="0069489E"/>
    <w:rsid w:val="00694BE6"/>
    <w:rsid w:val="00694C38"/>
    <w:rsid w:val="00694FA3"/>
    <w:rsid w:val="00694FA6"/>
    <w:rsid w:val="00695058"/>
    <w:rsid w:val="00695287"/>
    <w:rsid w:val="0069536F"/>
    <w:rsid w:val="006954DB"/>
    <w:rsid w:val="00695536"/>
    <w:rsid w:val="00695665"/>
    <w:rsid w:val="00695943"/>
    <w:rsid w:val="00695CA1"/>
    <w:rsid w:val="00696070"/>
    <w:rsid w:val="00696279"/>
    <w:rsid w:val="006962DF"/>
    <w:rsid w:val="006965C1"/>
    <w:rsid w:val="00696879"/>
    <w:rsid w:val="006968B3"/>
    <w:rsid w:val="00696A2E"/>
    <w:rsid w:val="006977BA"/>
    <w:rsid w:val="006978FD"/>
    <w:rsid w:val="00697DE1"/>
    <w:rsid w:val="006A00B7"/>
    <w:rsid w:val="006A017A"/>
    <w:rsid w:val="006A0381"/>
    <w:rsid w:val="006A08B8"/>
    <w:rsid w:val="006A096D"/>
    <w:rsid w:val="006A09D3"/>
    <w:rsid w:val="006A0DDA"/>
    <w:rsid w:val="006A0EC0"/>
    <w:rsid w:val="006A10F6"/>
    <w:rsid w:val="006A14D2"/>
    <w:rsid w:val="006A1A88"/>
    <w:rsid w:val="006A22A1"/>
    <w:rsid w:val="006A2326"/>
    <w:rsid w:val="006A23EA"/>
    <w:rsid w:val="006A275A"/>
    <w:rsid w:val="006A2874"/>
    <w:rsid w:val="006A30ED"/>
    <w:rsid w:val="006A348B"/>
    <w:rsid w:val="006A3678"/>
    <w:rsid w:val="006A36DF"/>
    <w:rsid w:val="006A37D2"/>
    <w:rsid w:val="006A3834"/>
    <w:rsid w:val="006A39A7"/>
    <w:rsid w:val="006A3D3B"/>
    <w:rsid w:val="006A3FE5"/>
    <w:rsid w:val="006A4734"/>
    <w:rsid w:val="006A478A"/>
    <w:rsid w:val="006A4832"/>
    <w:rsid w:val="006A4A75"/>
    <w:rsid w:val="006A4FE6"/>
    <w:rsid w:val="006A51FB"/>
    <w:rsid w:val="006A5200"/>
    <w:rsid w:val="006A527E"/>
    <w:rsid w:val="006A53E1"/>
    <w:rsid w:val="006A580A"/>
    <w:rsid w:val="006A5937"/>
    <w:rsid w:val="006A5CF9"/>
    <w:rsid w:val="006A5E1B"/>
    <w:rsid w:val="006A5FBC"/>
    <w:rsid w:val="006A6365"/>
    <w:rsid w:val="006A64A4"/>
    <w:rsid w:val="006A6601"/>
    <w:rsid w:val="006A694C"/>
    <w:rsid w:val="006A69DC"/>
    <w:rsid w:val="006A6C8A"/>
    <w:rsid w:val="006A6D9E"/>
    <w:rsid w:val="006A6EC7"/>
    <w:rsid w:val="006A714E"/>
    <w:rsid w:val="006A731E"/>
    <w:rsid w:val="006A7483"/>
    <w:rsid w:val="006A768B"/>
    <w:rsid w:val="006A7925"/>
    <w:rsid w:val="006A7996"/>
    <w:rsid w:val="006B0227"/>
    <w:rsid w:val="006B07E0"/>
    <w:rsid w:val="006B0B2E"/>
    <w:rsid w:val="006B0B3D"/>
    <w:rsid w:val="006B0DD9"/>
    <w:rsid w:val="006B0F62"/>
    <w:rsid w:val="006B1126"/>
    <w:rsid w:val="006B157C"/>
    <w:rsid w:val="006B15EB"/>
    <w:rsid w:val="006B1E02"/>
    <w:rsid w:val="006B2340"/>
    <w:rsid w:val="006B257D"/>
    <w:rsid w:val="006B276F"/>
    <w:rsid w:val="006B2810"/>
    <w:rsid w:val="006B2828"/>
    <w:rsid w:val="006B2CAE"/>
    <w:rsid w:val="006B3C35"/>
    <w:rsid w:val="006B3C6C"/>
    <w:rsid w:val="006B3DA0"/>
    <w:rsid w:val="006B4028"/>
    <w:rsid w:val="006B40CD"/>
    <w:rsid w:val="006B432B"/>
    <w:rsid w:val="006B4681"/>
    <w:rsid w:val="006B4D0B"/>
    <w:rsid w:val="006B4DCE"/>
    <w:rsid w:val="006B4DD6"/>
    <w:rsid w:val="006B4E8F"/>
    <w:rsid w:val="006B5277"/>
    <w:rsid w:val="006B5BAA"/>
    <w:rsid w:val="006B5D57"/>
    <w:rsid w:val="006B5E8B"/>
    <w:rsid w:val="006B5FFB"/>
    <w:rsid w:val="006B65E2"/>
    <w:rsid w:val="006B673D"/>
    <w:rsid w:val="006B746B"/>
    <w:rsid w:val="006B792A"/>
    <w:rsid w:val="006B7A51"/>
    <w:rsid w:val="006B7CDC"/>
    <w:rsid w:val="006B7FD5"/>
    <w:rsid w:val="006C0178"/>
    <w:rsid w:val="006C0180"/>
    <w:rsid w:val="006C0301"/>
    <w:rsid w:val="006C0534"/>
    <w:rsid w:val="006C089C"/>
    <w:rsid w:val="006C0ACD"/>
    <w:rsid w:val="006C127E"/>
    <w:rsid w:val="006C1664"/>
    <w:rsid w:val="006C1848"/>
    <w:rsid w:val="006C18C3"/>
    <w:rsid w:val="006C1A30"/>
    <w:rsid w:val="006C1C91"/>
    <w:rsid w:val="006C1CB3"/>
    <w:rsid w:val="006C215A"/>
    <w:rsid w:val="006C21AD"/>
    <w:rsid w:val="006C22E1"/>
    <w:rsid w:val="006C26E5"/>
    <w:rsid w:val="006C28A0"/>
    <w:rsid w:val="006C2C32"/>
    <w:rsid w:val="006C2C60"/>
    <w:rsid w:val="006C2F0B"/>
    <w:rsid w:val="006C35BF"/>
    <w:rsid w:val="006C3694"/>
    <w:rsid w:val="006C4567"/>
    <w:rsid w:val="006C45B4"/>
    <w:rsid w:val="006C4730"/>
    <w:rsid w:val="006C4830"/>
    <w:rsid w:val="006C49ED"/>
    <w:rsid w:val="006C4BC9"/>
    <w:rsid w:val="006C4FE1"/>
    <w:rsid w:val="006C515A"/>
    <w:rsid w:val="006C5288"/>
    <w:rsid w:val="006C55ED"/>
    <w:rsid w:val="006C583A"/>
    <w:rsid w:val="006C58F8"/>
    <w:rsid w:val="006C5C5E"/>
    <w:rsid w:val="006C5CF9"/>
    <w:rsid w:val="006C5D9F"/>
    <w:rsid w:val="006C5DDA"/>
    <w:rsid w:val="006C5FA1"/>
    <w:rsid w:val="006C68DE"/>
    <w:rsid w:val="006C6A36"/>
    <w:rsid w:val="006C6AB9"/>
    <w:rsid w:val="006C6B8D"/>
    <w:rsid w:val="006C6C4F"/>
    <w:rsid w:val="006C6D62"/>
    <w:rsid w:val="006C7074"/>
    <w:rsid w:val="006C70FC"/>
    <w:rsid w:val="006C7531"/>
    <w:rsid w:val="006D0016"/>
    <w:rsid w:val="006D0145"/>
    <w:rsid w:val="006D017B"/>
    <w:rsid w:val="006D0514"/>
    <w:rsid w:val="006D051A"/>
    <w:rsid w:val="006D05F0"/>
    <w:rsid w:val="006D08EB"/>
    <w:rsid w:val="006D11BE"/>
    <w:rsid w:val="006D160B"/>
    <w:rsid w:val="006D191C"/>
    <w:rsid w:val="006D1C8D"/>
    <w:rsid w:val="006D1F5B"/>
    <w:rsid w:val="006D1F94"/>
    <w:rsid w:val="006D2416"/>
    <w:rsid w:val="006D2651"/>
    <w:rsid w:val="006D296E"/>
    <w:rsid w:val="006D2DAE"/>
    <w:rsid w:val="006D32C7"/>
    <w:rsid w:val="006D3869"/>
    <w:rsid w:val="006D3A4A"/>
    <w:rsid w:val="006D48EC"/>
    <w:rsid w:val="006D4AAA"/>
    <w:rsid w:val="006D4BD9"/>
    <w:rsid w:val="006D5037"/>
    <w:rsid w:val="006D51FB"/>
    <w:rsid w:val="006D5346"/>
    <w:rsid w:val="006D57DA"/>
    <w:rsid w:val="006D57ED"/>
    <w:rsid w:val="006D58B2"/>
    <w:rsid w:val="006D5BB0"/>
    <w:rsid w:val="006D5D10"/>
    <w:rsid w:val="006D603F"/>
    <w:rsid w:val="006D6453"/>
    <w:rsid w:val="006D699D"/>
    <w:rsid w:val="006D6E6E"/>
    <w:rsid w:val="006D76C7"/>
    <w:rsid w:val="006D789F"/>
    <w:rsid w:val="006D78D0"/>
    <w:rsid w:val="006D7BE6"/>
    <w:rsid w:val="006E007B"/>
    <w:rsid w:val="006E028E"/>
    <w:rsid w:val="006E035C"/>
    <w:rsid w:val="006E0452"/>
    <w:rsid w:val="006E0E8C"/>
    <w:rsid w:val="006E0EB5"/>
    <w:rsid w:val="006E0F32"/>
    <w:rsid w:val="006E12CA"/>
    <w:rsid w:val="006E12ED"/>
    <w:rsid w:val="006E13DE"/>
    <w:rsid w:val="006E193F"/>
    <w:rsid w:val="006E1E54"/>
    <w:rsid w:val="006E2018"/>
    <w:rsid w:val="006E27BB"/>
    <w:rsid w:val="006E2B97"/>
    <w:rsid w:val="006E2E19"/>
    <w:rsid w:val="006E2E2E"/>
    <w:rsid w:val="006E2F03"/>
    <w:rsid w:val="006E3196"/>
    <w:rsid w:val="006E3310"/>
    <w:rsid w:val="006E3672"/>
    <w:rsid w:val="006E38D4"/>
    <w:rsid w:val="006E3A5E"/>
    <w:rsid w:val="006E3B43"/>
    <w:rsid w:val="006E3E70"/>
    <w:rsid w:val="006E41F3"/>
    <w:rsid w:val="006E46C5"/>
    <w:rsid w:val="006E48C7"/>
    <w:rsid w:val="006E4902"/>
    <w:rsid w:val="006E4AD6"/>
    <w:rsid w:val="006E4BA0"/>
    <w:rsid w:val="006E4DE6"/>
    <w:rsid w:val="006E4ED9"/>
    <w:rsid w:val="006E4FDF"/>
    <w:rsid w:val="006E53B1"/>
    <w:rsid w:val="006E56AC"/>
    <w:rsid w:val="006E5752"/>
    <w:rsid w:val="006E5BB7"/>
    <w:rsid w:val="006E5BED"/>
    <w:rsid w:val="006E5C05"/>
    <w:rsid w:val="006E5E3B"/>
    <w:rsid w:val="006E6011"/>
    <w:rsid w:val="006E65ED"/>
    <w:rsid w:val="006E66C2"/>
    <w:rsid w:val="006E66E3"/>
    <w:rsid w:val="006E6786"/>
    <w:rsid w:val="006E6798"/>
    <w:rsid w:val="006E68D3"/>
    <w:rsid w:val="006E6C91"/>
    <w:rsid w:val="006E6E79"/>
    <w:rsid w:val="006E6F40"/>
    <w:rsid w:val="006E7400"/>
    <w:rsid w:val="006E763C"/>
    <w:rsid w:val="006E78CB"/>
    <w:rsid w:val="006E7AA2"/>
    <w:rsid w:val="006E7F9A"/>
    <w:rsid w:val="006F02B7"/>
    <w:rsid w:val="006F02FF"/>
    <w:rsid w:val="006F03AD"/>
    <w:rsid w:val="006F0513"/>
    <w:rsid w:val="006F07C5"/>
    <w:rsid w:val="006F096B"/>
    <w:rsid w:val="006F09E2"/>
    <w:rsid w:val="006F0CFE"/>
    <w:rsid w:val="006F102E"/>
    <w:rsid w:val="006F11E9"/>
    <w:rsid w:val="006F12DF"/>
    <w:rsid w:val="006F16A0"/>
    <w:rsid w:val="006F187D"/>
    <w:rsid w:val="006F1896"/>
    <w:rsid w:val="006F197D"/>
    <w:rsid w:val="006F1C30"/>
    <w:rsid w:val="006F2117"/>
    <w:rsid w:val="006F2222"/>
    <w:rsid w:val="006F24B1"/>
    <w:rsid w:val="006F280A"/>
    <w:rsid w:val="006F28C1"/>
    <w:rsid w:val="006F29B0"/>
    <w:rsid w:val="006F2A3F"/>
    <w:rsid w:val="006F2A46"/>
    <w:rsid w:val="006F2A7A"/>
    <w:rsid w:val="006F2B9F"/>
    <w:rsid w:val="006F2C6E"/>
    <w:rsid w:val="006F314C"/>
    <w:rsid w:val="006F35B0"/>
    <w:rsid w:val="006F376E"/>
    <w:rsid w:val="006F3A79"/>
    <w:rsid w:val="006F3C2E"/>
    <w:rsid w:val="006F4145"/>
    <w:rsid w:val="006F418C"/>
    <w:rsid w:val="006F41DD"/>
    <w:rsid w:val="006F4476"/>
    <w:rsid w:val="006F4745"/>
    <w:rsid w:val="006F4970"/>
    <w:rsid w:val="006F4E85"/>
    <w:rsid w:val="006F5283"/>
    <w:rsid w:val="006F5A69"/>
    <w:rsid w:val="006F6169"/>
    <w:rsid w:val="006F61C3"/>
    <w:rsid w:val="006F645F"/>
    <w:rsid w:val="006F6671"/>
    <w:rsid w:val="006F6839"/>
    <w:rsid w:val="006F6B3D"/>
    <w:rsid w:val="006F6BA5"/>
    <w:rsid w:val="006F6D1A"/>
    <w:rsid w:val="006F6E0A"/>
    <w:rsid w:val="006F6E54"/>
    <w:rsid w:val="006F6F24"/>
    <w:rsid w:val="006F702A"/>
    <w:rsid w:val="006F709D"/>
    <w:rsid w:val="006F7124"/>
    <w:rsid w:val="006F7282"/>
    <w:rsid w:val="006F7CAE"/>
    <w:rsid w:val="006F7F1F"/>
    <w:rsid w:val="006F7FE6"/>
    <w:rsid w:val="0070011E"/>
    <w:rsid w:val="00700549"/>
    <w:rsid w:val="007006C6"/>
    <w:rsid w:val="007007EB"/>
    <w:rsid w:val="00700848"/>
    <w:rsid w:val="007009CC"/>
    <w:rsid w:val="00700A1A"/>
    <w:rsid w:val="00700B57"/>
    <w:rsid w:val="00700EA0"/>
    <w:rsid w:val="00700ED2"/>
    <w:rsid w:val="00701088"/>
    <w:rsid w:val="007010E3"/>
    <w:rsid w:val="007011D0"/>
    <w:rsid w:val="0070126B"/>
    <w:rsid w:val="007013F8"/>
    <w:rsid w:val="00701BB7"/>
    <w:rsid w:val="00701F50"/>
    <w:rsid w:val="007023D4"/>
    <w:rsid w:val="00702596"/>
    <w:rsid w:val="00702784"/>
    <w:rsid w:val="00702C33"/>
    <w:rsid w:val="007030A9"/>
    <w:rsid w:val="00703111"/>
    <w:rsid w:val="0070319C"/>
    <w:rsid w:val="00703258"/>
    <w:rsid w:val="00703957"/>
    <w:rsid w:val="00703B3D"/>
    <w:rsid w:val="00704332"/>
    <w:rsid w:val="007043BC"/>
    <w:rsid w:val="007043FE"/>
    <w:rsid w:val="007046D4"/>
    <w:rsid w:val="00704C0C"/>
    <w:rsid w:val="00705018"/>
    <w:rsid w:val="00705882"/>
    <w:rsid w:val="00705887"/>
    <w:rsid w:val="007061EC"/>
    <w:rsid w:val="00706451"/>
    <w:rsid w:val="0070660C"/>
    <w:rsid w:val="007066C1"/>
    <w:rsid w:val="007069FB"/>
    <w:rsid w:val="00706C2A"/>
    <w:rsid w:val="00706DEA"/>
    <w:rsid w:val="00707A66"/>
    <w:rsid w:val="00707BB6"/>
    <w:rsid w:val="00707CC9"/>
    <w:rsid w:val="00707F0F"/>
    <w:rsid w:val="007106ED"/>
    <w:rsid w:val="0071089E"/>
    <w:rsid w:val="007108A1"/>
    <w:rsid w:val="00710A18"/>
    <w:rsid w:val="007112B8"/>
    <w:rsid w:val="00711305"/>
    <w:rsid w:val="0071179E"/>
    <w:rsid w:val="0071188F"/>
    <w:rsid w:val="00711942"/>
    <w:rsid w:val="00711B61"/>
    <w:rsid w:val="00711C5F"/>
    <w:rsid w:val="00711DBB"/>
    <w:rsid w:val="007120E3"/>
    <w:rsid w:val="0071216C"/>
    <w:rsid w:val="00712634"/>
    <w:rsid w:val="00712B3A"/>
    <w:rsid w:val="00712C17"/>
    <w:rsid w:val="00712CDB"/>
    <w:rsid w:val="00712E3E"/>
    <w:rsid w:val="00713133"/>
    <w:rsid w:val="0071351E"/>
    <w:rsid w:val="007139E8"/>
    <w:rsid w:val="00713BED"/>
    <w:rsid w:val="00713CFE"/>
    <w:rsid w:val="00713F1D"/>
    <w:rsid w:val="00713F4E"/>
    <w:rsid w:val="007141B5"/>
    <w:rsid w:val="0071429D"/>
    <w:rsid w:val="007142DA"/>
    <w:rsid w:val="0071451D"/>
    <w:rsid w:val="007147B4"/>
    <w:rsid w:val="00714C22"/>
    <w:rsid w:val="00715151"/>
    <w:rsid w:val="00715468"/>
    <w:rsid w:val="0071553C"/>
    <w:rsid w:val="0071566F"/>
    <w:rsid w:val="00715CBB"/>
    <w:rsid w:val="00715CDF"/>
    <w:rsid w:val="00715FCE"/>
    <w:rsid w:val="00716598"/>
    <w:rsid w:val="00716D6C"/>
    <w:rsid w:val="00716DAF"/>
    <w:rsid w:val="00716DE9"/>
    <w:rsid w:val="00716F0D"/>
    <w:rsid w:val="00716FA9"/>
    <w:rsid w:val="007174FB"/>
    <w:rsid w:val="00717BF1"/>
    <w:rsid w:val="00717C75"/>
    <w:rsid w:val="007201E4"/>
    <w:rsid w:val="0072057F"/>
    <w:rsid w:val="00721325"/>
    <w:rsid w:val="00721452"/>
    <w:rsid w:val="0072179F"/>
    <w:rsid w:val="0072198B"/>
    <w:rsid w:val="0072199B"/>
    <w:rsid w:val="00721A3A"/>
    <w:rsid w:val="00721D65"/>
    <w:rsid w:val="007220DF"/>
    <w:rsid w:val="007221FC"/>
    <w:rsid w:val="007227BF"/>
    <w:rsid w:val="00723325"/>
    <w:rsid w:val="00723412"/>
    <w:rsid w:val="0072343D"/>
    <w:rsid w:val="007234EA"/>
    <w:rsid w:val="0072357C"/>
    <w:rsid w:val="00723870"/>
    <w:rsid w:val="007238B0"/>
    <w:rsid w:val="00723B2C"/>
    <w:rsid w:val="00723B83"/>
    <w:rsid w:val="007246DC"/>
    <w:rsid w:val="007248D4"/>
    <w:rsid w:val="00724CF0"/>
    <w:rsid w:val="00724E7E"/>
    <w:rsid w:val="00725088"/>
    <w:rsid w:val="007252F8"/>
    <w:rsid w:val="007253CB"/>
    <w:rsid w:val="007253EA"/>
    <w:rsid w:val="007258F7"/>
    <w:rsid w:val="00725A07"/>
    <w:rsid w:val="00725A6D"/>
    <w:rsid w:val="00725E46"/>
    <w:rsid w:val="00726360"/>
    <w:rsid w:val="0072647E"/>
    <w:rsid w:val="00726993"/>
    <w:rsid w:val="00726A9D"/>
    <w:rsid w:val="00726CCF"/>
    <w:rsid w:val="00726CFD"/>
    <w:rsid w:val="007270F0"/>
    <w:rsid w:val="0072716A"/>
    <w:rsid w:val="0072750D"/>
    <w:rsid w:val="00727662"/>
    <w:rsid w:val="007278B7"/>
    <w:rsid w:val="00727A8B"/>
    <w:rsid w:val="00727BAB"/>
    <w:rsid w:val="00727D30"/>
    <w:rsid w:val="00727F6B"/>
    <w:rsid w:val="0073000B"/>
    <w:rsid w:val="0073011F"/>
    <w:rsid w:val="00731039"/>
    <w:rsid w:val="007310EB"/>
    <w:rsid w:val="00731784"/>
    <w:rsid w:val="00731993"/>
    <w:rsid w:val="007319EF"/>
    <w:rsid w:val="00731E40"/>
    <w:rsid w:val="0073214E"/>
    <w:rsid w:val="007326A7"/>
    <w:rsid w:val="007328C5"/>
    <w:rsid w:val="00732B95"/>
    <w:rsid w:val="00732CF6"/>
    <w:rsid w:val="00732CFC"/>
    <w:rsid w:val="00732DCF"/>
    <w:rsid w:val="00732F60"/>
    <w:rsid w:val="0073305E"/>
    <w:rsid w:val="00733236"/>
    <w:rsid w:val="0073336B"/>
    <w:rsid w:val="007334C1"/>
    <w:rsid w:val="0073367C"/>
    <w:rsid w:val="00733762"/>
    <w:rsid w:val="00733768"/>
    <w:rsid w:val="007337CC"/>
    <w:rsid w:val="00733963"/>
    <w:rsid w:val="00733B5C"/>
    <w:rsid w:val="00734134"/>
    <w:rsid w:val="0073426D"/>
    <w:rsid w:val="007346EC"/>
    <w:rsid w:val="0073481C"/>
    <w:rsid w:val="0073496D"/>
    <w:rsid w:val="00734BBB"/>
    <w:rsid w:val="00734EDF"/>
    <w:rsid w:val="00734FC9"/>
    <w:rsid w:val="007354C4"/>
    <w:rsid w:val="00735643"/>
    <w:rsid w:val="007359F8"/>
    <w:rsid w:val="00735A15"/>
    <w:rsid w:val="00735ACE"/>
    <w:rsid w:val="00735E43"/>
    <w:rsid w:val="00735E75"/>
    <w:rsid w:val="007364AA"/>
    <w:rsid w:val="00736548"/>
    <w:rsid w:val="007365D6"/>
    <w:rsid w:val="00736708"/>
    <w:rsid w:val="00736737"/>
    <w:rsid w:val="007367D4"/>
    <w:rsid w:val="00736959"/>
    <w:rsid w:val="00736E38"/>
    <w:rsid w:val="00737164"/>
    <w:rsid w:val="00737377"/>
    <w:rsid w:val="0073762D"/>
    <w:rsid w:val="007378A5"/>
    <w:rsid w:val="00737D35"/>
    <w:rsid w:val="00737DD8"/>
    <w:rsid w:val="00740033"/>
    <w:rsid w:val="00740234"/>
    <w:rsid w:val="00740314"/>
    <w:rsid w:val="0074037F"/>
    <w:rsid w:val="00740835"/>
    <w:rsid w:val="007408F8"/>
    <w:rsid w:val="0074095D"/>
    <w:rsid w:val="00740EC1"/>
    <w:rsid w:val="007410F4"/>
    <w:rsid w:val="00741276"/>
    <w:rsid w:val="00741F8D"/>
    <w:rsid w:val="00742029"/>
    <w:rsid w:val="0074235F"/>
    <w:rsid w:val="007426D7"/>
    <w:rsid w:val="00742ED7"/>
    <w:rsid w:val="0074347E"/>
    <w:rsid w:val="00743616"/>
    <w:rsid w:val="007439A4"/>
    <w:rsid w:val="00743A1E"/>
    <w:rsid w:val="00743ADB"/>
    <w:rsid w:val="00743CE3"/>
    <w:rsid w:val="00743D48"/>
    <w:rsid w:val="00743FB2"/>
    <w:rsid w:val="00744012"/>
    <w:rsid w:val="0074419B"/>
    <w:rsid w:val="00744472"/>
    <w:rsid w:val="0074452E"/>
    <w:rsid w:val="0074476B"/>
    <w:rsid w:val="007448F5"/>
    <w:rsid w:val="00744A6F"/>
    <w:rsid w:val="007453FE"/>
    <w:rsid w:val="00745645"/>
    <w:rsid w:val="0074580F"/>
    <w:rsid w:val="0074597B"/>
    <w:rsid w:val="00745A45"/>
    <w:rsid w:val="00745A63"/>
    <w:rsid w:val="00745DB4"/>
    <w:rsid w:val="00745FC0"/>
    <w:rsid w:val="0074601D"/>
    <w:rsid w:val="00746127"/>
    <w:rsid w:val="00746437"/>
    <w:rsid w:val="0074654F"/>
    <w:rsid w:val="00746557"/>
    <w:rsid w:val="0074656A"/>
    <w:rsid w:val="0074685F"/>
    <w:rsid w:val="00746CC6"/>
    <w:rsid w:val="00746DE7"/>
    <w:rsid w:val="007476EE"/>
    <w:rsid w:val="00747777"/>
    <w:rsid w:val="00747B43"/>
    <w:rsid w:val="007501BE"/>
    <w:rsid w:val="00750234"/>
    <w:rsid w:val="00750508"/>
    <w:rsid w:val="00750559"/>
    <w:rsid w:val="007505F9"/>
    <w:rsid w:val="007507BC"/>
    <w:rsid w:val="007509A4"/>
    <w:rsid w:val="00750D53"/>
    <w:rsid w:val="00750DD6"/>
    <w:rsid w:val="00750FDC"/>
    <w:rsid w:val="0075116D"/>
    <w:rsid w:val="00751252"/>
    <w:rsid w:val="0075189C"/>
    <w:rsid w:val="007518BB"/>
    <w:rsid w:val="00751BB8"/>
    <w:rsid w:val="00751BC1"/>
    <w:rsid w:val="00751C30"/>
    <w:rsid w:val="00751DB7"/>
    <w:rsid w:val="00752284"/>
    <w:rsid w:val="007525CD"/>
    <w:rsid w:val="0075267B"/>
    <w:rsid w:val="007527B5"/>
    <w:rsid w:val="007528F4"/>
    <w:rsid w:val="00752F2E"/>
    <w:rsid w:val="00753585"/>
    <w:rsid w:val="00753596"/>
    <w:rsid w:val="0075365E"/>
    <w:rsid w:val="00753712"/>
    <w:rsid w:val="00753AB1"/>
    <w:rsid w:val="00753B25"/>
    <w:rsid w:val="00754235"/>
    <w:rsid w:val="007551F9"/>
    <w:rsid w:val="0075532F"/>
    <w:rsid w:val="00755AF7"/>
    <w:rsid w:val="00755B6D"/>
    <w:rsid w:val="00755DA7"/>
    <w:rsid w:val="00755F58"/>
    <w:rsid w:val="00755F76"/>
    <w:rsid w:val="007564B8"/>
    <w:rsid w:val="00756664"/>
    <w:rsid w:val="00756BDA"/>
    <w:rsid w:val="00756D1F"/>
    <w:rsid w:val="00757481"/>
    <w:rsid w:val="007574A9"/>
    <w:rsid w:val="00757652"/>
    <w:rsid w:val="00757666"/>
    <w:rsid w:val="00757ACB"/>
    <w:rsid w:val="00757C08"/>
    <w:rsid w:val="00757C94"/>
    <w:rsid w:val="007601B2"/>
    <w:rsid w:val="007607B9"/>
    <w:rsid w:val="007607E1"/>
    <w:rsid w:val="00760D2F"/>
    <w:rsid w:val="007610E8"/>
    <w:rsid w:val="007615A1"/>
    <w:rsid w:val="007619DF"/>
    <w:rsid w:val="00761CC8"/>
    <w:rsid w:val="00761DE9"/>
    <w:rsid w:val="00761DF6"/>
    <w:rsid w:val="00761E7B"/>
    <w:rsid w:val="0076264D"/>
    <w:rsid w:val="00762A58"/>
    <w:rsid w:val="00762AF3"/>
    <w:rsid w:val="00762AF9"/>
    <w:rsid w:val="00762E06"/>
    <w:rsid w:val="00763361"/>
    <w:rsid w:val="007636AD"/>
    <w:rsid w:val="00763722"/>
    <w:rsid w:val="00763747"/>
    <w:rsid w:val="00763855"/>
    <w:rsid w:val="00763DAA"/>
    <w:rsid w:val="00763E65"/>
    <w:rsid w:val="00764047"/>
    <w:rsid w:val="007642E4"/>
    <w:rsid w:val="007642EE"/>
    <w:rsid w:val="007646F5"/>
    <w:rsid w:val="0076471E"/>
    <w:rsid w:val="00764EA2"/>
    <w:rsid w:val="00764F5E"/>
    <w:rsid w:val="00765428"/>
    <w:rsid w:val="007657E4"/>
    <w:rsid w:val="00765D17"/>
    <w:rsid w:val="00766150"/>
    <w:rsid w:val="0076634E"/>
    <w:rsid w:val="007665BC"/>
    <w:rsid w:val="00766672"/>
    <w:rsid w:val="00766B22"/>
    <w:rsid w:val="00766D50"/>
    <w:rsid w:val="00766D6F"/>
    <w:rsid w:val="00766DA7"/>
    <w:rsid w:val="00767201"/>
    <w:rsid w:val="0076725C"/>
    <w:rsid w:val="007672A3"/>
    <w:rsid w:val="00767317"/>
    <w:rsid w:val="007674A7"/>
    <w:rsid w:val="0076759F"/>
    <w:rsid w:val="00767E90"/>
    <w:rsid w:val="00767F78"/>
    <w:rsid w:val="00770138"/>
    <w:rsid w:val="007705A9"/>
    <w:rsid w:val="0077072B"/>
    <w:rsid w:val="00770E49"/>
    <w:rsid w:val="00770EC0"/>
    <w:rsid w:val="00770ED8"/>
    <w:rsid w:val="00770F89"/>
    <w:rsid w:val="0077127E"/>
    <w:rsid w:val="0077152F"/>
    <w:rsid w:val="007716FD"/>
    <w:rsid w:val="00771784"/>
    <w:rsid w:val="00771D90"/>
    <w:rsid w:val="00771E9A"/>
    <w:rsid w:val="00771FB6"/>
    <w:rsid w:val="00772079"/>
    <w:rsid w:val="00772162"/>
    <w:rsid w:val="00772203"/>
    <w:rsid w:val="007728AC"/>
    <w:rsid w:val="00772998"/>
    <w:rsid w:val="00772AB5"/>
    <w:rsid w:val="00772E98"/>
    <w:rsid w:val="0077309C"/>
    <w:rsid w:val="007734B8"/>
    <w:rsid w:val="00773A3C"/>
    <w:rsid w:val="00773E16"/>
    <w:rsid w:val="00774181"/>
    <w:rsid w:val="007741FD"/>
    <w:rsid w:val="00774416"/>
    <w:rsid w:val="007744DF"/>
    <w:rsid w:val="00774668"/>
    <w:rsid w:val="00774AC1"/>
    <w:rsid w:val="00774DEE"/>
    <w:rsid w:val="00774E3F"/>
    <w:rsid w:val="007755FA"/>
    <w:rsid w:val="0077591D"/>
    <w:rsid w:val="00775A00"/>
    <w:rsid w:val="00775CF2"/>
    <w:rsid w:val="00775DCC"/>
    <w:rsid w:val="007765BF"/>
    <w:rsid w:val="00776626"/>
    <w:rsid w:val="0077693A"/>
    <w:rsid w:val="00776993"/>
    <w:rsid w:val="00776A82"/>
    <w:rsid w:val="00776B51"/>
    <w:rsid w:val="00776DF6"/>
    <w:rsid w:val="007774C3"/>
    <w:rsid w:val="00777625"/>
    <w:rsid w:val="007777D2"/>
    <w:rsid w:val="00777BC3"/>
    <w:rsid w:val="00777BEB"/>
    <w:rsid w:val="00777C51"/>
    <w:rsid w:val="00777C9E"/>
    <w:rsid w:val="00780239"/>
    <w:rsid w:val="0078023C"/>
    <w:rsid w:val="007809BE"/>
    <w:rsid w:val="00780E6C"/>
    <w:rsid w:val="0078110E"/>
    <w:rsid w:val="0078116F"/>
    <w:rsid w:val="007812F2"/>
    <w:rsid w:val="00781A34"/>
    <w:rsid w:val="00781C85"/>
    <w:rsid w:val="00781DE3"/>
    <w:rsid w:val="00781E26"/>
    <w:rsid w:val="00781F46"/>
    <w:rsid w:val="00781F77"/>
    <w:rsid w:val="00781FEF"/>
    <w:rsid w:val="00782212"/>
    <w:rsid w:val="007822D9"/>
    <w:rsid w:val="00782396"/>
    <w:rsid w:val="007823B9"/>
    <w:rsid w:val="007828F9"/>
    <w:rsid w:val="00782A7B"/>
    <w:rsid w:val="00782F17"/>
    <w:rsid w:val="00783123"/>
    <w:rsid w:val="00783149"/>
    <w:rsid w:val="00783187"/>
    <w:rsid w:val="0078344E"/>
    <w:rsid w:val="0078364F"/>
    <w:rsid w:val="007837F9"/>
    <w:rsid w:val="00783C88"/>
    <w:rsid w:val="00784201"/>
    <w:rsid w:val="007845E1"/>
    <w:rsid w:val="0078469B"/>
    <w:rsid w:val="00784AAC"/>
    <w:rsid w:val="00784AB1"/>
    <w:rsid w:val="00784ABA"/>
    <w:rsid w:val="00784E26"/>
    <w:rsid w:val="00785B5F"/>
    <w:rsid w:val="00785B79"/>
    <w:rsid w:val="00785FAC"/>
    <w:rsid w:val="0078624F"/>
    <w:rsid w:val="00786807"/>
    <w:rsid w:val="00786828"/>
    <w:rsid w:val="00786BDA"/>
    <w:rsid w:val="00786C1B"/>
    <w:rsid w:val="00786D70"/>
    <w:rsid w:val="00786EA5"/>
    <w:rsid w:val="00786FA4"/>
    <w:rsid w:val="0078754B"/>
    <w:rsid w:val="0078785A"/>
    <w:rsid w:val="00787DF2"/>
    <w:rsid w:val="007901FD"/>
    <w:rsid w:val="0079022E"/>
    <w:rsid w:val="007902FC"/>
    <w:rsid w:val="007906EA"/>
    <w:rsid w:val="00790F1B"/>
    <w:rsid w:val="00791055"/>
    <w:rsid w:val="0079122F"/>
    <w:rsid w:val="00791284"/>
    <w:rsid w:val="007914DC"/>
    <w:rsid w:val="00791516"/>
    <w:rsid w:val="0079171F"/>
    <w:rsid w:val="0079194C"/>
    <w:rsid w:val="007919F7"/>
    <w:rsid w:val="00791A08"/>
    <w:rsid w:val="00791ADC"/>
    <w:rsid w:val="007921EA"/>
    <w:rsid w:val="007923ED"/>
    <w:rsid w:val="00792717"/>
    <w:rsid w:val="00792923"/>
    <w:rsid w:val="007929CD"/>
    <w:rsid w:val="00792DCE"/>
    <w:rsid w:val="0079322F"/>
    <w:rsid w:val="007932CC"/>
    <w:rsid w:val="007932E9"/>
    <w:rsid w:val="007937F1"/>
    <w:rsid w:val="007937FC"/>
    <w:rsid w:val="00793BBB"/>
    <w:rsid w:val="00793CF4"/>
    <w:rsid w:val="00794082"/>
    <w:rsid w:val="007947A7"/>
    <w:rsid w:val="00794854"/>
    <w:rsid w:val="007949AA"/>
    <w:rsid w:val="007949E0"/>
    <w:rsid w:val="007951CC"/>
    <w:rsid w:val="0079583E"/>
    <w:rsid w:val="0079588F"/>
    <w:rsid w:val="007958AA"/>
    <w:rsid w:val="00795A1A"/>
    <w:rsid w:val="00795AE2"/>
    <w:rsid w:val="00795BA9"/>
    <w:rsid w:val="00795CB4"/>
    <w:rsid w:val="00795EEB"/>
    <w:rsid w:val="00795EF4"/>
    <w:rsid w:val="00796351"/>
    <w:rsid w:val="007968D8"/>
    <w:rsid w:val="00796A5D"/>
    <w:rsid w:val="00796B50"/>
    <w:rsid w:val="00796BBC"/>
    <w:rsid w:val="007973EA"/>
    <w:rsid w:val="007973EF"/>
    <w:rsid w:val="007976E1"/>
    <w:rsid w:val="00797A62"/>
    <w:rsid w:val="007A0418"/>
    <w:rsid w:val="007A0C3D"/>
    <w:rsid w:val="007A1056"/>
    <w:rsid w:val="007A1140"/>
    <w:rsid w:val="007A13D2"/>
    <w:rsid w:val="007A147E"/>
    <w:rsid w:val="007A17C0"/>
    <w:rsid w:val="007A17F7"/>
    <w:rsid w:val="007A1810"/>
    <w:rsid w:val="007A1BB6"/>
    <w:rsid w:val="007A1C6C"/>
    <w:rsid w:val="007A1D46"/>
    <w:rsid w:val="007A1E03"/>
    <w:rsid w:val="007A254F"/>
    <w:rsid w:val="007A25A3"/>
    <w:rsid w:val="007A2684"/>
    <w:rsid w:val="007A26AE"/>
    <w:rsid w:val="007A2B21"/>
    <w:rsid w:val="007A3071"/>
    <w:rsid w:val="007A30A7"/>
    <w:rsid w:val="007A3642"/>
    <w:rsid w:val="007A3880"/>
    <w:rsid w:val="007A3A6F"/>
    <w:rsid w:val="007A3BB4"/>
    <w:rsid w:val="007A3C33"/>
    <w:rsid w:val="007A3C6B"/>
    <w:rsid w:val="007A4322"/>
    <w:rsid w:val="007A443F"/>
    <w:rsid w:val="007A4450"/>
    <w:rsid w:val="007A4518"/>
    <w:rsid w:val="007A4581"/>
    <w:rsid w:val="007A4C37"/>
    <w:rsid w:val="007A4CBF"/>
    <w:rsid w:val="007A52A1"/>
    <w:rsid w:val="007A540C"/>
    <w:rsid w:val="007A5574"/>
    <w:rsid w:val="007A5BBC"/>
    <w:rsid w:val="007A6164"/>
    <w:rsid w:val="007A6175"/>
    <w:rsid w:val="007A6583"/>
    <w:rsid w:val="007A6C94"/>
    <w:rsid w:val="007A6CD5"/>
    <w:rsid w:val="007A7474"/>
    <w:rsid w:val="007A76E5"/>
    <w:rsid w:val="007A77B0"/>
    <w:rsid w:val="007A7D96"/>
    <w:rsid w:val="007A7EBF"/>
    <w:rsid w:val="007A7ECA"/>
    <w:rsid w:val="007A7EE3"/>
    <w:rsid w:val="007B010E"/>
    <w:rsid w:val="007B01A1"/>
    <w:rsid w:val="007B01BA"/>
    <w:rsid w:val="007B025F"/>
    <w:rsid w:val="007B0264"/>
    <w:rsid w:val="007B02B8"/>
    <w:rsid w:val="007B04EE"/>
    <w:rsid w:val="007B0719"/>
    <w:rsid w:val="007B0CC9"/>
    <w:rsid w:val="007B0ECB"/>
    <w:rsid w:val="007B1172"/>
    <w:rsid w:val="007B1225"/>
    <w:rsid w:val="007B125C"/>
    <w:rsid w:val="007B137B"/>
    <w:rsid w:val="007B1694"/>
    <w:rsid w:val="007B1821"/>
    <w:rsid w:val="007B18B5"/>
    <w:rsid w:val="007B1D39"/>
    <w:rsid w:val="007B1F99"/>
    <w:rsid w:val="007B20E0"/>
    <w:rsid w:val="007B23EF"/>
    <w:rsid w:val="007B2695"/>
    <w:rsid w:val="007B2962"/>
    <w:rsid w:val="007B2A04"/>
    <w:rsid w:val="007B2D07"/>
    <w:rsid w:val="007B2E1C"/>
    <w:rsid w:val="007B2FB6"/>
    <w:rsid w:val="007B3309"/>
    <w:rsid w:val="007B356F"/>
    <w:rsid w:val="007B3798"/>
    <w:rsid w:val="007B38EC"/>
    <w:rsid w:val="007B39B9"/>
    <w:rsid w:val="007B3D43"/>
    <w:rsid w:val="007B3E8B"/>
    <w:rsid w:val="007B4045"/>
    <w:rsid w:val="007B419A"/>
    <w:rsid w:val="007B4331"/>
    <w:rsid w:val="007B4880"/>
    <w:rsid w:val="007B4A07"/>
    <w:rsid w:val="007B4DB5"/>
    <w:rsid w:val="007B4F91"/>
    <w:rsid w:val="007B50C7"/>
    <w:rsid w:val="007B5943"/>
    <w:rsid w:val="007B5B68"/>
    <w:rsid w:val="007B5D73"/>
    <w:rsid w:val="007B5D87"/>
    <w:rsid w:val="007B5DB9"/>
    <w:rsid w:val="007B5E8F"/>
    <w:rsid w:val="007B6285"/>
    <w:rsid w:val="007B63F9"/>
    <w:rsid w:val="007B65F3"/>
    <w:rsid w:val="007B6A65"/>
    <w:rsid w:val="007B6AEB"/>
    <w:rsid w:val="007B6B70"/>
    <w:rsid w:val="007B6E17"/>
    <w:rsid w:val="007B707D"/>
    <w:rsid w:val="007B7221"/>
    <w:rsid w:val="007B76D9"/>
    <w:rsid w:val="007B7837"/>
    <w:rsid w:val="007B7C66"/>
    <w:rsid w:val="007B7D08"/>
    <w:rsid w:val="007C042B"/>
    <w:rsid w:val="007C04BE"/>
    <w:rsid w:val="007C06B7"/>
    <w:rsid w:val="007C0B5B"/>
    <w:rsid w:val="007C0C79"/>
    <w:rsid w:val="007C0E61"/>
    <w:rsid w:val="007C0E89"/>
    <w:rsid w:val="007C158F"/>
    <w:rsid w:val="007C15C9"/>
    <w:rsid w:val="007C1D82"/>
    <w:rsid w:val="007C1E01"/>
    <w:rsid w:val="007C1E39"/>
    <w:rsid w:val="007C223A"/>
    <w:rsid w:val="007C2746"/>
    <w:rsid w:val="007C289D"/>
    <w:rsid w:val="007C2ADA"/>
    <w:rsid w:val="007C2F9A"/>
    <w:rsid w:val="007C3430"/>
    <w:rsid w:val="007C3883"/>
    <w:rsid w:val="007C3A0B"/>
    <w:rsid w:val="007C3AF4"/>
    <w:rsid w:val="007C3C72"/>
    <w:rsid w:val="007C3C7F"/>
    <w:rsid w:val="007C3D77"/>
    <w:rsid w:val="007C3E6B"/>
    <w:rsid w:val="007C4282"/>
    <w:rsid w:val="007C4285"/>
    <w:rsid w:val="007C467B"/>
    <w:rsid w:val="007C46F3"/>
    <w:rsid w:val="007C4A24"/>
    <w:rsid w:val="007C4C92"/>
    <w:rsid w:val="007C4FA2"/>
    <w:rsid w:val="007C501B"/>
    <w:rsid w:val="007C52C9"/>
    <w:rsid w:val="007C52F1"/>
    <w:rsid w:val="007C5865"/>
    <w:rsid w:val="007C5E99"/>
    <w:rsid w:val="007C62D0"/>
    <w:rsid w:val="007C62D7"/>
    <w:rsid w:val="007C62F8"/>
    <w:rsid w:val="007C63EB"/>
    <w:rsid w:val="007C6416"/>
    <w:rsid w:val="007C65A0"/>
    <w:rsid w:val="007C6914"/>
    <w:rsid w:val="007C6DA9"/>
    <w:rsid w:val="007C6E8A"/>
    <w:rsid w:val="007C6ED4"/>
    <w:rsid w:val="007C702B"/>
    <w:rsid w:val="007C71E9"/>
    <w:rsid w:val="007C7274"/>
    <w:rsid w:val="007C76F6"/>
    <w:rsid w:val="007C7A21"/>
    <w:rsid w:val="007C7AC1"/>
    <w:rsid w:val="007C7DB3"/>
    <w:rsid w:val="007D018F"/>
    <w:rsid w:val="007D0C1D"/>
    <w:rsid w:val="007D0D3C"/>
    <w:rsid w:val="007D0EE1"/>
    <w:rsid w:val="007D1189"/>
    <w:rsid w:val="007D1594"/>
    <w:rsid w:val="007D160D"/>
    <w:rsid w:val="007D16CC"/>
    <w:rsid w:val="007D1791"/>
    <w:rsid w:val="007D18E4"/>
    <w:rsid w:val="007D1EFA"/>
    <w:rsid w:val="007D1F21"/>
    <w:rsid w:val="007D21F6"/>
    <w:rsid w:val="007D230B"/>
    <w:rsid w:val="007D2478"/>
    <w:rsid w:val="007D2736"/>
    <w:rsid w:val="007D27AE"/>
    <w:rsid w:val="007D2867"/>
    <w:rsid w:val="007D2F2D"/>
    <w:rsid w:val="007D308A"/>
    <w:rsid w:val="007D31D9"/>
    <w:rsid w:val="007D3360"/>
    <w:rsid w:val="007D35B4"/>
    <w:rsid w:val="007D37D9"/>
    <w:rsid w:val="007D3975"/>
    <w:rsid w:val="007D3F87"/>
    <w:rsid w:val="007D3FAD"/>
    <w:rsid w:val="007D42CA"/>
    <w:rsid w:val="007D43EF"/>
    <w:rsid w:val="007D446F"/>
    <w:rsid w:val="007D45B7"/>
    <w:rsid w:val="007D46B0"/>
    <w:rsid w:val="007D4923"/>
    <w:rsid w:val="007D51EA"/>
    <w:rsid w:val="007D5419"/>
    <w:rsid w:val="007D5620"/>
    <w:rsid w:val="007D5BE1"/>
    <w:rsid w:val="007D5CBB"/>
    <w:rsid w:val="007D60F8"/>
    <w:rsid w:val="007D63D5"/>
    <w:rsid w:val="007D6482"/>
    <w:rsid w:val="007D6749"/>
    <w:rsid w:val="007D72D7"/>
    <w:rsid w:val="007D7580"/>
    <w:rsid w:val="007D75B8"/>
    <w:rsid w:val="007D7803"/>
    <w:rsid w:val="007D79C4"/>
    <w:rsid w:val="007E0204"/>
    <w:rsid w:val="007E027B"/>
    <w:rsid w:val="007E0AB0"/>
    <w:rsid w:val="007E0C28"/>
    <w:rsid w:val="007E0CDB"/>
    <w:rsid w:val="007E0DA3"/>
    <w:rsid w:val="007E139C"/>
    <w:rsid w:val="007E188A"/>
    <w:rsid w:val="007E1BDD"/>
    <w:rsid w:val="007E1CBD"/>
    <w:rsid w:val="007E1E31"/>
    <w:rsid w:val="007E20A3"/>
    <w:rsid w:val="007E2339"/>
    <w:rsid w:val="007E26C8"/>
    <w:rsid w:val="007E2CF6"/>
    <w:rsid w:val="007E2E7F"/>
    <w:rsid w:val="007E3575"/>
    <w:rsid w:val="007E3697"/>
    <w:rsid w:val="007E379F"/>
    <w:rsid w:val="007E3902"/>
    <w:rsid w:val="007E3A84"/>
    <w:rsid w:val="007E3ACA"/>
    <w:rsid w:val="007E3B54"/>
    <w:rsid w:val="007E3BCB"/>
    <w:rsid w:val="007E3C68"/>
    <w:rsid w:val="007E3C95"/>
    <w:rsid w:val="007E3CC7"/>
    <w:rsid w:val="007E40DC"/>
    <w:rsid w:val="007E4428"/>
    <w:rsid w:val="007E4714"/>
    <w:rsid w:val="007E4992"/>
    <w:rsid w:val="007E49A5"/>
    <w:rsid w:val="007E505A"/>
    <w:rsid w:val="007E50F5"/>
    <w:rsid w:val="007E5378"/>
    <w:rsid w:val="007E58C2"/>
    <w:rsid w:val="007E5AB0"/>
    <w:rsid w:val="007E5B87"/>
    <w:rsid w:val="007E60D8"/>
    <w:rsid w:val="007E66EF"/>
    <w:rsid w:val="007E6C73"/>
    <w:rsid w:val="007E6F91"/>
    <w:rsid w:val="007E6FAE"/>
    <w:rsid w:val="007E70CF"/>
    <w:rsid w:val="007E721B"/>
    <w:rsid w:val="007E729B"/>
    <w:rsid w:val="007E74C0"/>
    <w:rsid w:val="007E7500"/>
    <w:rsid w:val="007E7ADD"/>
    <w:rsid w:val="007E7D3A"/>
    <w:rsid w:val="007E7D40"/>
    <w:rsid w:val="007E7DDE"/>
    <w:rsid w:val="007F01B1"/>
    <w:rsid w:val="007F04B1"/>
    <w:rsid w:val="007F0BF2"/>
    <w:rsid w:val="007F11BB"/>
    <w:rsid w:val="007F123D"/>
    <w:rsid w:val="007F13A3"/>
    <w:rsid w:val="007F144F"/>
    <w:rsid w:val="007F15D3"/>
    <w:rsid w:val="007F162F"/>
    <w:rsid w:val="007F1884"/>
    <w:rsid w:val="007F1A6A"/>
    <w:rsid w:val="007F1BEA"/>
    <w:rsid w:val="007F24AB"/>
    <w:rsid w:val="007F2627"/>
    <w:rsid w:val="007F29BB"/>
    <w:rsid w:val="007F29D3"/>
    <w:rsid w:val="007F2B38"/>
    <w:rsid w:val="007F2C58"/>
    <w:rsid w:val="007F2DB5"/>
    <w:rsid w:val="007F2DDF"/>
    <w:rsid w:val="007F3062"/>
    <w:rsid w:val="007F310E"/>
    <w:rsid w:val="007F33E2"/>
    <w:rsid w:val="007F3441"/>
    <w:rsid w:val="007F367B"/>
    <w:rsid w:val="007F3C92"/>
    <w:rsid w:val="007F3D58"/>
    <w:rsid w:val="007F3D60"/>
    <w:rsid w:val="007F3E5B"/>
    <w:rsid w:val="007F42AD"/>
    <w:rsid w:val="007F4386"/>
    <w:rsid w:val="007F47EF"/>
    <w:rsid w:val="007F4B64"/>
    <w:rsid w:val="007F5179"/>
    <w:rsid w:val="007F5206"/>
    <w:rsid w:val="007F53E8"/>
    <w:rsid w:val="007F5562"/>
    <w:rsid w:val="007F589D"/>
    <w:rsid w:val="007F58DF"/>
    <w:rsid w:val="007F5996"/>
    <w:rsid w:val="007F59DF"/>
    <w:rsid w:val="007F5D92"/>
    <w:rsid w:val="007F5F41"/>
    <w:rsid w:val="007F6334"/>
    <w:rsid w:val="007F6700"/>
    <w:rsid w:val="007F6A35"/>
    <w:rsid w:val="007F6E23"/>
    <w:rsid w:val="007F6FD3"/>
    <w:rsid w:val="007F711A"/>
    <w:rsid w:val="007F73D7"/>
    <w:rsid w:val="007F7619"/>
    <w:rsid w:val="007F787B"/>
    <w:rsid w:val="007F7900"/>
    <w:rsid w:val="007F7BAB"/>
    <w:rsid w:val="008000C3"/>
    <w:rsid w:val="008003BD"/>
    <w:rsid w:val="008005EC"/>
    <w:rsid w:val="008006DC"/>
    <w:rsid w:val="00800928"/>
    <w:rsid w:val="00800B32"/>
    <w:rsid w:val="008010B7"/>
    <w:rsid w:val="0080111E"/>
    <w:rsid w:val="00801873"/>
    <w:rsid w:val="00801B25"/>
    <w:rsid w:val="00801B5E"/>
    <w:rsid w:val="00801E8E"/>
    <w:rsid w:val="00801E99"/>
    <w:rsid w:val="00801FB7"/>
    <w:rsid w:val="00801FDC"/>
    <w:rsid w:val="00802031"/>
    <w:rsid w:val="008028E8"/>
    <w:rsid w:val="00802A3F"/>
    <w:rsid w:val="00802E87"/>
    <w:rsid w:val="00802F9A"/>
    <w:rsid w:val="008032C9"/>
    <w:rsid w:val="008033F4"/>
    <w:rsid w:val="00803576"/>
    <w:rsid w:val="00803634"/>
    <w:rsid w:val="00803ACF"/>
    <w:rsid w:val="00803C7A"/>
    <w:rsid w:val="00803E6E"/>
    <w:rsid w:val="00803F0B"/>
    <w:rsid w:val="008040C9"/>
    <w:rsid w:val="008040DE"/>
    <w:rsid w:val="0080434A"/>
    <w:rsid w:val="008049C5"/>
    <w:rsid w:val="0080542F"/>
    <w:rsid w:val="008058CF"/>
    <w:rsid w:val="00805A56"/>
    <w:rsid w:val="00805A84"/>
    <w:rsid w:val="00805AE2"/>
    <w:rsid w:val="00805B35"/>
    <w:rsid w:val="00805BDB"/>
    <w:rsid w:val="00805F19"/>
    <w:rsid w:val="008064F6"/>
    <w:rsid w:val="0080663A"/>
    <w:rsid w:val="00806782"/>
    <w:rsid w:val="00806A4A"/>
    <w:rsid w:val="00806AD1"/>
    <w:rsid w:val="00807559"/>
    <w:rsid w:val="008078A4"/>
    <w:rsid w:val="00807A3B"/>
    <w:rsid w:val="00807AA9"/>
    <w:rsid w:val="00807E45"/>
    <w:rsid w:val="00807EA2"/>
    <w:rsid w:val="00807F44"/>
    <w:rsid w:val="008103A8"/>
    <w:rsid w:val="00810474"/>
    <w:rsid w:val="00810558"/>
    <w:rsid w:val="008105E2"/>
    <w:rsid w:val="008107CE"/>
    <w:rsid w:val="00810A8F"/>
    <w:rsid w:val="00810AA8"/>
    <w:rsid w:val="00810AC8"/>
    <w:rsid w:val="00810CCA"/>
    <w:rsid w:val="00810D97"/>
    <w:rsid w:val="00811427"/>
    <w:rsid w:val="00811508"/>
    <w:rsid w:val="008115C8"/>
    <w:rsid w:val="00811899"/>
    <w:rsid w:val="00811A2A"/>
    <w:rsid w:val="00811AE2"/>
    <w:rsid w:val="00811E33"/>
    <w:rsid w:val="00811E92"/>
    <w:rsid w:val="00811FBC"/>
    <w:rsid w:val="008120E0"/>
    <w:rsid w:val="008124F1"/>
    <w:rsid w:val="0081269E"/>
    <w:rsid w:val="00812963"/>
    <w:rsid w:val="00812A77"/>
    <w:rsid w:val="00812BA9"/>
    <w:rsid w:val="008130BA"/>
    <w:rsid w:val="008133E0"/>
    <w:rsid w:val="0081352F"/>
    <w:rsid w:val="00813598"/>
    <w:rsid w:val="0081359F"/>
    <w:rsid w:val="008135FF"/>
    <w:rsid w:val="0081361D"/>
    <w:rsid w:val="00813866"/>
    <w:rsid w:val="00813A8B"/>
    <w:rsid w:val="00813E99"/>
    <w:rsid w:val="00813FB1"/>
    <w:rsid w:val="0081435C"/>
    <w:rsid w:val="008145A8"/>
    <w:rsid w:val="008145B4"/>
    <w:rsid w:val="008146BE"/>
    <w:rsid w:val="00814A51"/>
    <w:rsid w:val="00814BDA"/>
    <w:rsid w:val="00814E3A"/>
    <w:rsid w:val="0081511B"/>
    <w:rsid w:val="0081569E"/>
    <w:rsid w:val="0081572C"/>
    <w:rsid w:val="0081575B"/>
    <w:rsid w:val="00815774"/>
    <w:rsid w:val="00815E82"/>
    <w:rsid w:val="00815F8F"/>
    <w:rsid w:val="00816011"/>
    <w:rsid w:val="0081604F"/>
    <w:rsid w:val="00816398"/>
    <w:rsid w:val="00816429"/>
    <w:rsid w:val="00816931"/>
    <w:rsid w:val="00816982"/>
    <w:rsid w:val="00816C54"/>
    <w:rsid w:val="00816D4D"/>
    <w:rsid w:val="00816F4B"/>
    <w:rsid w:val="0081744F"/>
    <w:rsid w:val="00817715"/>
    <w:rsid w:val="00817DC4"/>
    <w:rsid w:val="00817EB3"/>
    <w:rsid w:val="008201E1"/>
    <w:rsid w:val="008203E9"/>
    <w:rsid w:val="00820520"/>
    <w:rsid w:val="00820B88"/>
    <w:rsid w:val="00820E6C"/>
    <w:rsid w:val="00820F54"/>
    <w:rsid w:val="00820FD3"/>
    <w:rsid w:val="008212DA"/>
    <w:rsid w:val="008212EF"/>
    <w:rsid w:val="008213A4"/>
    <w:rsid w:val="008218EA"/>
    <w:rsid w:val="008219FE"/>
    <w:rsid w:val="00822071"/>
    <w:rsid w:val="00822444"/>
    <w:rsid w:val="0082273F"/>
    <w:rsid w:val="00822788"/>
    <w:rsid w:val="00822BC7"/>
    <w:rsid w:val="00822E00"/>
    <w:rsid w:val="008232F5"/>
    <w:rsid w:val="00823B4E"/>
    <w:rsid w:val="00823D10"/>
    <w:rsid w:val="008241F9"/>
    <w:rsid w:val="00824C4B"/>
    <w:rsid w:val="00824CDD"/>
    <w:rsid w:val="00824DAD"/>
    <w:rsid w:val="00824E9E"/>
    <w:rsid w:val="00824F6A"/>
    <w:rsid w:val="0082560E"/>
    <w:rsid w:val="00825924"/>
    <w:rsid w:val="00825C58"/>
    <w:rsid w:val="00825C59"/>
    <w:rsid w:val="00825D19"/>
    <w:rsid w:val="00825DD2"/>
    <w:rsid w:val="00825F47"/>
    <w:rsid w:val="00826589"/>
    <w:rsid w:val="00826675"/>
    <w:rsid w:val="008266E6"/>
    <w:rsid w:val="008268F0"/>
    <w:rsid w:val="00827410"/>
    <w:rsid w:val="008274E2"/>
    <w:rsid w:val="008276E4"/>
    <w:rsid w:val="00827C13"/>
    <w:rsid w:val="0083001A"/>
    <w:rsid w:val="008302A7"/>
    <w:rsid w:val="008303CA"/>
    <w:rsid w:val="008303F2"/>
    <w:rsid w:val="008307C0"/>
    <w:rsid w:val="00830826"/>
    <w:rsid w:val="0083097D"/>
    <w:rsid w:val="008309D1"/>
    <w:rsid w:val="00830DD9"/>
    <w:rsid w:val="008314F5"/>
    <w:rsid w:val="008315B6"/>
    <w:rsid w:val="0083191A"/>
    <w:rsid w:val="00831954"/>
    <w:rsid w:val="008319A3"/>
    <w:rsid w:val="008319E6"/>
    <w:rsid w:val="00832802"/>
    <w:rsid w:val="0083283E"/>
    <w:rsid w:val="00832B28"/>
    <w:rsid w:val="00832BFD"/>
    <w:rsid w:val="00833192"/>
    <w:rsid w:val="008331FD"/>
    <w:rsid w:val="00833388"/>
    <w:rsid w:val="0083348F"/>
    <w:rsid w:val="0083364C"/>
    <w:rsid w:val="00833774"/>
    <w:rsid w:val="0083385E"/>
    <w:rsid w:val="00833947"/>
    <w:rsid w:val="00833B23"/>
    <w:rsid w:val="00833D82"/>
    <w:rsid w:val="00833DCC"/>
    <w:rsid w:val="00834179"/>
    <w:rsid w:val="00834249"/>
    <w:rsid w:val="008342BF"/>
    <w:rsid w:val="008344B5"/>
    <w:rsid w:val="008346CD"/>
    <w:rsid w:val="00834C32"/>
    <w:rsid w:val="00834CB7"/>
    <w:rsid w:val="00834E56"/>
    <w:rsid w:val="00834FCD"/>
    <w:rsid w:val="0083553C"/>
    <w:rsid w:val="0083577F"/>
    <w:rsid w:val="00835DDC"/>
    <w:rsid w:val="00835F77"/>
    <w:rsid w:val="00836352"/>
    <w:rsid w:val="00836367"/>
    <w:rsid w:val="00836760"/>
    <w:rsid w:val="008369B8"/>
    <w:rsid w:val="00836A80"/>
    <w:rsid w:val="00836DFF"/>
    <w:rsid w:val="00836E53"/>
    <w:rsid w:val="00836F3E"/>
    <w:rsid w:val="00837180"/>
    <w:rsid w:val="00837783"/>
    <w:rsid w:val="00837869"/>
    <w:rsid w:val="00837BC2"/>
    <w:rsid w:val="00837E3C"/>
    <w:rsid w:val="00837E8B"/>
    <w:rsid w:val="00837EF1"/>
    <w:rsid w:val="008401A3"/>
    <w:rsid w:val="00840606"/>
    <w:rsid w:val="00840670"/>
    <w:rsid w:val="008407A5"/>
    <w:rsid w:val="0084080D"/>
    <w:rsid w:val="008409A3"/>
    <w:rsid w:val="008409BE"/>
    <w:rsid w:val="00840D80"/>
    <w:rsid w:val="0084123A"/>
    <w:rsid w:val="00841253"/>
    <w:rsid w:val="00841345"/>
    <w:rsid w:val="008413BF"/>
    <w:rsid w:val="00841644"/>
    <w:rsid w:val="00841855"/>
    <w:rsid w:val="00841D6D"/>
    <w:rsid w:val="0084222C"/>
    <w:rsid w:val="008422F4"/>
    <w:rsid w:val="00842311"/>
    <w:rsid w:val="00842443"/>
    <w:rsid w:val="008425B0"/>
    <w:rsid w:val="00842CA3"/>
    <w:rsid w:val="00842FA8"/>
    <w:rsid w:val="00843125"/>
    <w:rsid w:val="0084347C"/>
    <w:rsid w:val="008437AE"/>
    <w:rsid w:val="00843818"/>
    <w:rsid w:val="00843848"/>
    <w:rsid w:val="00843C4B"/>
    <w:rsid w:val="00843DEC"/>
    <w:rsid w:val="008443BC"/>
    <w:rsid w:val="00844465"/>
    <w:rsid w:val="008447E3"/>
    <w:rsid w:val="00844811"/>
    <w:rsid w:val="00845255"/>
    <w:rsid w:val="00845273"/>
    <w:rsid w:val="008452E2"/>
    <w:rsid w:val="00845307"/>
    <w:rsid w:val="0084556F"/>
    <w:rsid w:val="00845CC0"/>
    <w:rsid w:val="0084634E"/>
    <w:rsid w:val="008464A6"/>
    <w:rsid w:val="008467A7"/>
    <w:rsid w:val="00846AF9"/>
    <w:rsid w:val="00846B21"/>
    <w:rsid w:val="00846EE4"/>
    <w:rsid w:val="0084779C"/>
    <w:rsid w:val="0084795F"/>
    <w:rsid w:val="00847981"/>
    <w:rsid w:val="00847DEB"/>
    <w:rsid w:val="00847E86"/>
    <w:rsid w:val="00847FF0"/>
    <w:rsid w:val="00850384"/>
    <w:rsid w:val="0085046C"/>
    <w:rsid w:val="0085048B"/>
    <w:rsid w:val="00850B30"/>
    <w:rsid w:val="00850B90"/>
    <w:rsid w:val="00850E04"/>
    <w:rsid w:val="00850F1B"/>
    <w:rsid w:val="008514DB"/>
    <w:rsid w:val="00851A08"/>
    <w:rsid w:val="00851E76"/>
    <w:rsid w:val="0085201A"/>
    <w:rsid w:val="0085255C"/>
    <w:rsid w:val="008526C4"/>
    <w:rsid w:val="0085274E"/>
    <w:rsid w:val="008528B2"/>
    <w:rsid w:val="008532A2"/>
    <w:rsid w:val="008532F8"/>
    <w:rsid w:val="008533CB"/>
    <w:rsid w:val="0085396F"/>
    <w:rsid w:val="00853984"/>
    <w:rsid w:val="008539D2"/>
    <w:rsid w:val="00853CA7"/>
    <w:rsid w:val="00854379"/>
    <w:rsid w:val="00854BB5"/>
    <w:rsid w:val="008552C6"/>
    <w:rsid w:val="008557BA"/>
    <w:rsid w:val="0085592E"/>
    <w:rsid w:val="00855958"/>
    <w:rsid w:val="00855B37"/>
    <w:rsid w:val="00855C77"/>
    <w:rsid w:val="00855F71"/>
    <w:rsid w:val="00856149"/>
    <w:rsid w:val="0085625E"/>
    <w:rsid w:val="0085628F"/>
    <w:rsid w:val="008563B3"/>
    <w:rsid w:val="00856572"/>
    <w:rsid w:val="00856864"/>
    <w:rsid w:val="00856CDC"/>
    <w:rsid w:val="008570C7"/>
    <w:rsid w:val="00857549"/>
    <w:rsid w:val="008577E1"/>
    <w:rsid w:val="00857AB9"/>
    <w:rsid w:val="00857D0C"/>
    <w:rsid w:val="00857D89"/>
    <w:rsid w:val="008604D2"/>
    <w:rsid w:val="00860653"/>
    <w:rsid w:val="00860766"/>
    <w:rsid w:val="008608B8"/>
    <w:rsid w:val="008608C7"/>
    <w:rsid w:val="00860DAD"/>
    <w:rsid w:val="008610BA"/>
    <w:rsid w:val="00861450"/>
    <w:rsid w:val="008614FD"/>
    <w:rsid w:val="008615BD"/>
    <w:rsid w:val="00861642"/>
    <w:rsid w:val="00861683"/>
    <w:rsid w:val="00861EB7"/>
    <w:rsid w:val="00861F94"/>
    <w:rsid w:val="0086206B"/>
    <w:rsid w:val="0086225C"/>
    <w:rsid w:val="00862781"/>
    <w:rsid w:val="008627C7"/>
    <w:rsid w:val="008628BE"/>
    <w:rsid w:val="008629A1"/>
    <w:rsid w:val="00862B4F"/>
    <w:rsid w:val="00862CDE"/>
    <w:rsid w:val="00862F0D"/>
    <w:rsid w:val="00862F41"/>
    <w:rsid w:val="008634D2"/>
    <w:rsid w:val="008635CD"/>
    <w:rsid w:val="00863898"/>
    <w:rsid w:val="008639EF"/>
    <w:rsid w:val="00863D7A"/>
    <w:rsid w:val="0086415A"/>
    <w:rsid w:val="008642DF"/>
    <w:rsid w:val="0086436D"/>
    <w:rsid w:val="00864483"/>
    <w:rsid w:val="00864671"/>
    <w:rsid w:val="00864992"/>
    <w:rsid w:val="00864ADE"/>
    <w:rsid w:val="00864BE0"/>
    <w:rsid w:val="00864DFE"/>
    <w:rsid w:val="00865232"/>
    <w:rsid w:val="008652A5"/>
    <w:rsid w:val="00865442"/>
    <w:rsid w:val="0086555C"/>
    <w:rsid w:val="008655BE"/>
    <w:rsid w:val="008659A7"/>
    <w:rsid w:val="00865A82"/>
    <w:rsid w:val="00866295"/>
    <w:rsid w:val="0086639B"/>
    <w:rsid w:val="0086642E"/>
    <w:rsid w:val="00866B63"/>
    <w:rsid w:val="00866B67"/>
    <w:rsid w:val="00866B72"/>
    <w:rsid w:val="00866B96"/>
    <w:rsid w:val="00866D06"/>
    <w:rsid w:val="00867411"/>
    <w:rsid w:val="00867471"/>
    <w:rsid w:val="008674EE"/>
    <w:rsid w:val="008675EC"/>
    <w:rsid w:val="00867907"/>
    <w:rsid w:val="00867D36"/>
    <w:rsid w:val="008701BE"/>
    <w:rsid w:val="008705ED"/>
    <w:rsid w:val="00870B3F"/>
    <w:rsid w:val="00870C9A"/>
    <w:rsid w:val="008714B9"/>
    <w:rsid w:val="00871911"/>
    <w:rsid w:val="00871C30"/>
    <w:rsid w:val="00871ED2"/>
    <w:rsid w:val="008720DE"/>
    <w:rsid w:val="0087235E"/>
    <w:rsid w:val="008724A3"/>
    <w:rsid w:val="00872D2C"/>
    <w:rsid w:val="00872D51"/>
    <w:rsid w:val="00873088"/>
    <w:rsid w:val="0087319F"/>
    <w:rsid w:val="008732FA"/>
    <w:rsid w:val="0087356A"/>
    <w:rsid w:val="00873868"/>
    <w:rsid w:val="0087394E"/>
    <w:rsid w:val="00873B52"/>
    <w:rsid w:val="00873C1F"/>
    <w:rsid w:val="0087422B"/>
    <w:rsid w:val="00874303"/>
    <w:rsid w:val="00874619"/>
    <w:rsid w:val="008747C3"/>
    <w:rsid w:val="00874B9F"/>
    <w:rsid w:val="00874CC7"/>
    <w:rsid w:val="008750DD"/>
    <w:rsid w:val="0087556F"/>
    <w:rsid w:val="00875671"/>
    <w:rsid w:val="0087578B"/>
    <w:rsid w:val="00875AA2"/>
    <w:rsid w:val="00875CED"/>
    <w:rsid w:val="00875D7E"/>
    <w:rsid w:val="00875E4A"/>
    <w:rsid w:val="00875F85"/>
    <w:rsid w:val="008760B3"/>
    <w:rsid w:val="008761A5"/>
    <w:rsid w:val="008763FF"/>
    <w:rsid w:val="008768F2"/>
    <w:rsid w:val="00876928"/>
    <w:rsid w:val="00876CDB"/>
    <w:rsid w:val="00877168"/>
    <w:rsid w:val="008772D2"/>
    <w:rsid w:val="008773EB"/>
    <w:rsid w:val="00877865"/>
    <w:rsid w:val="00877A21"/>
    <w:rsid w:val="00877AD7"/>
    <w:rsid w:val="00877F5A"/>
    <w:rsid w:val="008801DC"/>
    <w:rsid w:val="008804E2"/>
    <w:rsid w:val="00880D04"/>
    <w:rsid w:val="00881052"/>
    <w:rsid w:val="00881C18"/>
    <w:rsid w:val="00882160"/>
    <w:rsid w:val="00882779"/>
    <w:rsid w:val="00882791"/>
    <w:rsid w:val="008827E2"/>
    <w:rsid w:val="00882B2B"/>
    <w:rsid w:val="00882BBB"/>
    <w:rsid w:val="00882D73"/>
    <w:rsid w:val="00882F38"/>
    <w:rsid w:val="008830D2"/>
    <w:rsid w:val="008839CB"/>
    <w:rsid w:val="008842CF"/>
    <w:rsid w:val="008847BD"/>
    <w:rsid w:val="008850C5"/>
    <w:rsid w:val="008854B9"/>
    <w:rsid w:val="008859B4"/>
    <w:rsid w:val="008859B9"/>
    <w:rsid w:val="008861B2"/>
    <w:rsid w:val="00886968"/>
    <w:rsid w:val="0088699F"/>
    <w:rsid w:val="00886C1D"/>
    <w:rsid w:val="00886D31"/>
    <w:rsid w:val="00886DBE"/>
    <w:rsid w:val="008873EE"/>
    <w:rsid w:val="00887C24"/>
    <w:rsid w:val="00887CDF"/>
    <w:rsid w:val="00887D8D"/>
    <w:rsid w:val="0089023E"/>
    <w:rsid w:val="00890711"/>
    <w:rsid w:val="00890A28"/>
    <w:rsid w:val="00890CE9"/>
    <w:rsid w:val="00891268"/>
    <w:rsid w:val="008912F0"/>
    <w:rsid w:val="008913AC"/>
    <w:rsid w:val="008913C9"/>
    <w:rsid w:val="00891767"/>
    <w:rsid w:val="00891839"/>
    <w:rsid w:val="00891B3F"/>
    <w:rsid w:val="00891CBB"/>
    <w:rsid w:val="00892436"/>
    <w:rsid w:val="0089267E"/>
    <w:rsid w:val="00892768"/>
    <w:rsid w:val="008927C9"/>
    <w:rsid w:val="00892A6A"/>
    <w:rsid w:val="00892B37"/>
    <w:rsid w:val="00892C86"/>
    <w:rsid w:val="00892CCD"/>
    <w:rsid w:val="00892D13"/>
    <w:rsid w:val="00893605"/>
    <w:rsid w:val="008936E4"/>
    <w:rsid w:val="00893AF3"/>
    <w:rsid w:val="00893FCE"/>
    <w:rsid w:val="00894662"/>
    <w:rsid w:val="00894744"/>
    <w:rsid w:val="008947A7"/>
    <w:rsid w:val="00894E7B"/>
    <w:rsid w:val="00895108"/>
    <w:rsid w:val="00895183"/>
    <w:rsid w:val="0089532C"/>
    <w:rsid w:val="00895A54"/>
    <w:rsid w:val="00895A7B"/>
    <w:rsid w:val="00895C8F"/>
    <w:rsid w:val="00895CB7"/>
    <w:rsid w:val="00896094"/>
    <w:rsid w:val="00896494"/>
    <w:rsid w:val="0089665C"/>
    <w:rsid w:val="0089671E"/>
    <w:rsid w:val="00896887"/>
    <w:rsid w:val="008968AE"/>
    <w:rsid w:val="008970BA"/>
    <w:rsid w:val="0089710C"/>
    <w:rsid w:val="008972B7"/>
    <w:rsid w:val="0089734F"/>
    <w:rsid w:val="008976A4"/>
    <w:rsid w:val="0089782B"/>
    <w:rsid w:val="008978D8"/>
    <w:rsid w:val="00897F1A"/>
    <w:rsid w:val="008A0053"/>
    <w:rsid w:val="008A02E8"/>
    <w:rsid w:val="008A04FB"/>
    <w:rsid w:val="008A06E9"/>
    <w:rsid w:val="008A06F7"/>
    <w:rsid w:val="008A0768"/>
    <w:rsid w:val="008A099D"/>
    <w:rsid w:val="008A0FC3"/>
    <w:rsid w:val="008A139D"/>
    <w:rsid w:val="008A1631"/>
    <w:rsid w:val="008A1CE2"/>
    <w:rsid w:val="008A2120"/>
    <w:rsid w:val="008A25BA"/>
    <w:rsid w:val="008A2752"/>
    <w:rsid w:val="008A2794"/>
    <w:rsid w:val="008A2986"/>
    <w:rsid w:val="008A2AE4"/>
    <w:rsid w:val="008A2BB5"/>
    <w:rsid w:val="008A2BD6"/>
    <w:rsid w:val="008A2CBF"/>
    <w:rsid w:val="008A3237"/>
    <w:rsid w:val="008A33CB"/>
    <w:rsid w:val="008A3505"/>
    <w:rsid w:val="008A3737"/>
    <w:rsid w:val="008A3B53"/>
    <w:rsid w:val="008A3EBA"/>
    <w:rsid w:val="008A40CF"/>
    <w:rsid w:val="008A40FC"/>
    <w:rsid w:val="008A41D9"/>
    <w:rsid w:val="008A426B"/>
    <w:rsid w:val="008A4C41"/>
    <w:rsid w:val="008A4CC9"/>
    <w:rsid w:val="008A51BA"/>
    <w:rsid w:val="008A552F"/>
    <w:rsid w:val="008A55CD"/>
    <w:rsid w:val="008A5928"/>
    <w:rsid w:val="008A59CD"/>
    <w:rsid w:val="008A5B0D"/>
    <w:rsid w:val="008A5E66"/>
    <w:rsid w:val="008A62B7"/>
    <w:rsid w:val="008A63B3"/>
    <w:rsid w:val="008A63DF"/>
    <w:rsid w:val="008A659D"/>
    <w:rsid w:val="008A65EE"/>
    <w:rsid w:val="008A6E4C"/>
    <w:rsid w:val="008A7422"/>
    <w:rsid w:val="008A7503"/>
    <w:rsid w:val="008A7883"/>
    <w:rsid w:val="008A7D82"/>
    <w:rsid w:val="008A7E65"/>
    <w:rsid w:val="008B03B2"/>
    <w:rsid w:val="008B04E7"/>
    <w:rsid w:val="008B0F3C"/>
    <w:rsid w:val="008B0F69"/>
    <w:rsid w:val="008B1114"/>
    <w:rsid w:val="008B119A"/>
    <w:rsid w:val="008B1284"/>
    <w:rsid w:val="008B16AD"/>
    <w:rsid w:val="008B17FB"/>
    <w:rsid w:val="008B2257"/>
    <w:rsid w:val="008B23CC"/>
    <w:rsid w:val="008B242B"/>
    <w:rsid w:val="008B2983"/>
    <w:rsid w:val="008B2D33"/>
    <w:rsid w:val="008B2E98"/>
    <w:rsid w:val="008B2F4B"/>
    <w:rsid w:val="008B2F70"/>
    <w:rsid w:val="008B30CA"/>
    <w:rsid w:val="008B323A"/>
    <w:rsid w:val="008B34CF"/>
    <w:rsid w:val="008B35BC"/>
    <w:rsid w:val="008B3DB7"/>
    <w:rsid w:val="008B3E8C"/>
    <w:rsid w:val="008B3F59"/>
    <w:rsid w:val="008B4119"/>
    <w:rsid w:val="008B414C"/>
    <w:rsid w:val="008B44E0"/>
    <w:rsid w:val="008B45BD"/>
    <w:rsid w:val="008B4952"/>
    <w:rsid w:val="008B4B4E"/>
    <w:rsid w:val="008B4C27"/>
    <w:rsid w:val="008B4D79"/>
    <w:rsid w:val="008B4DF9"/>
    <w:rsid w:val="008B4FDC"/>
    <w:rsid w:val="008B5053"/>
    <w:rsid w:val="008B5093"/>
    <w:rsid w:val="008B52FA"/>
    <w:rsid w:val="008B5326"/>
    <w:rsid w:val="008B5968"/>
    <w:rsid w:val="008B699F"/>
    <w:rsid w:val="008B7C24"/>
    <w:rsid w:val="008B7E0D"/>
    <w:rsid w:val="008B7E47"/>
    <w:rsid w:val="008B7EB6"/>
    <w:rsid w:val="008B7FE0"/>
    <w:rsid w:val="008C02C2"/>
    <w:rsid w:val="008C0320"/>
    <w:rsid w:val="008C03F0"/>
    <w:rsid w:val="008C062F"/>
    <w:rsid w:val="008C0747"/>
    <w:rsid w:val="008C0925"/>
    <w:rsid w:val="008C0C0A"/>
    <w:rsid w:val="008C0E26"/>
    <w:rsid w:val="008C124A"/>
    <w:rsid w:val="008C1553"/>
    <w:rsid w:val="008C16C7"/>
    <w:rsid w:val="008C176F"/>
    <w:rsid w:val="008C1B16"/>
    <w:rsid w:val="008C1B9B"/>
    <w:rsid w:val="008C1C60"/>
    <w:rsid w:val="008C1C95"/>
    <w:rsid w:val="008C1E8F"/>
    <w:rsid w:val="008C2191"/>
    <w:rsid w:val="008C2507"/>
    <w:rsid w:val="008C2ED8"/>
    <w:rsid w:val="008C30B9"/>
    <w:rsid w:val="008C32BD"/>
    <w:rsid w:val="008C3471"/>
    <w:rsid w:val="008C37F7"/>
    <w:rsid w:val="008C38DA"/>
    <w:rsid w:val="008C3B17"/>
    <w:rsid w:val="008C3EFF"/>
    <w:rsid w:val="008C4481"/>
    <w:rsid w:val="008C44CB"/>
    <w:rsid w:val="008C4742"/>
    <w:rsid w:val="008C495E"/>
    <w:rsid w:val="008C4D15"/>
    <w:rsid w:val="008C5101"/>
    <w:rsid w:val="008C5136"/>
    <w:rsid w:val="008C5292"/>
    <w:rsid w:val="008C536E"/>
    <w:rsid w:val="008C5623"/>
    <w:rsid w:val="008C5743"/>
    <w:rsid w:val="008C5775"/>
    <w:rsid w:val="008C5D21"/>
    <w:rsid w:val="008C5EA6"/>
    <w:rsid w:val="008C6092"/>
    <w:rsid w:val="008C658E"/>
    <w:rsid w:val="008C65AD"/>
    <w:rsid w:val="008C65B3"/>
    <w:rsid w:val="008C665E"/>
    <w:rsid w:val="008C6715"/>
    <w:rsid w:val="008C67A6"/>
    <w:rsid w:val="008C682F"/>
    <w:rsid w:val="008C6CFC"/>
    <w:rsid w:val="008C6E57"/>
    <w:rsid w:val="008C7586"/>
    <w:rsid w:val="008C769C"/>
    <w:rsid w:val="008C77E4"/>
    <w:rsid w:val="008C7B10"/>
    <w:rsid w:val="008C7C68"/>
    <w:rsid w:val="008D05B1"/>
    <w:rsid w:val="008D07C2"/>
    <w:rsid w:val="008D1159"/>
    <w:rsid w:val="008D131A"/>
    <w:rsid w:val="008D142C"/>
    <w:rsid w:val="008D14D7"/>
    <w:rsid w:val="008D152F"/>
    <w:rsid w:val="008D153A"/>
    <w:rsid w:val="008D1D80"/>
    <w:rsid w:val="008D28CB"/>
    <w:rsid w:val="008D2C0A"/>
    <w:rsid w:val="008D3191"/>
    <w:rsid w:val="008D31D4"/>
    <w:rsid w:val="008D32FD"/>
    <w:rsid w:val="008D36BD"/>
    <w:rsid w:val="008D3859"/>
    <w:rsid w:val="008D3C50"/>
    <w:rsid w:val="008D3CF3"/>
    <w:rsid w:val="008D3D86"/>
    <w:rsid w:val="008D401F"/>
    <w:rsid w:val="008D422B"/>
    <w:rsid w:val="008D4477"/>
    <w:rsid w:val="008D4544"/>
    <w:rsid w:val="008D47BC"/>
    <w:rsid w:val="008D47E6"/>
    <w:rsid w:val="008D49BB"/>
    <w:rsid w:val="008D50BD"/>
    <w:rsid w:val="008D554A"/>
    <w:rsid w:val="008D581B"/>
    <w:rsid w:val="008D5911"/>
    <w:rsid w:val="008D5A59"/>
    <w:rsid w:val="008D5CA6"/>
    <w:rsid w:val="008D625C"/>
    <w:rsid w:val="008D63DF"/>
    <w:rsid w:val="008D6652"/>
    <w:rsid w:val="008D6653"/>
    <w:rsid w:val="008D68C7"/>
    <w:rsid w:val="008D6B90"/>
    <w:rsid w:val="008D76CB"/>
    <w:rsid w:val="008D771F"/>
    <w:rsid w:val="008D7EEF"/>
    <w:rsid w:val="008E073A"/>
    <w:rsid w:val="008E0B1A"/>
    <w:rsid w:val="008E0B3C"/>
    <w:rsid w:val="008E12E2"/>
    <w:rsid w:val="008E1350"/>
    <w:rsid w:val="008E140D"/>
    <w:rsid w:val="008E15E5"/>
    <w:rsid w:val="008E1635"/>
    <w:rsid w:val="008E16E9"/>
    <w:rsid w:val="008E17D0"/>
    <w:rsid w:val="008E1C82"/>
    <w:rsid w:val="008E1EAF"/>
    <w:rsid w:val="008E24BF"/>
    <w:rsid w:val="008E25FD"/>
    <w:rsid w:val="008E27D7"/>
    <w:rsid w:val="008E2B33"/>
    <w:rsid w:val="008E300B"/>
    <w:rsid w:val="008E32CF"/>
    <w:rsid w:val="008E3553"/>
    <w:rsid w:val="008E37EF"/>
    <w:rsid w:val="008E3843"/>
    <w:rsid w:val="008E3C43"/>
    <w:rsid w:val="008E3E4C"/>
    <w:rsid w:val="008E40B4"/>
    <w:rsid w:val="008E429A"/>
    <w:rsid w:val="008E45AC"/>
    <w:rsid w:val="008E478D"/>
    <w:rsid w:val="008E4AA1"/>
    <w:rsid w:val="008E4BDC"/>
    <w:rsid w:val="008E4C55"/>
    <w:rsid w:val="008E4E5D"/>
    <w:rsid w:val="008E5397"/>
    <w:rsid w:val="008E5755"/>
    <w:rsid w:val="008E5F1D"/>
    <w:rsid w:val="008E6301"/>
    <w:rsid w:val="008E6448"/>
    <w:rsid w:val="008E67C2"/>
    <w:rsid w:val="008E6802"/>
    <w:rsid w:val="008E6AF8"/>
    <w:rsid w:val="008E6F25"/>
    <w:rsid w:val="008E6F44"/>
    <w:rsid w:val="008E70DA"/>
    <w:rsid w:val="008E7237"/>
    <w:rsid w:val="008E7391"/>
    <w:rsid w:val="008E763C"/>
    <w:rsid w:val="008E77AC"/>
    <w:rsid w:val="008E7C25"/>
    <w:rsid w:val="008E7E28"/>
    <w:rsid w:val="008E7F7D"/>
    <w:rsid w:val="008F00C9"/>
    <w:rsid w:val="008F017B"/>
    <w:rsid w:val="008F020A"/>
    <w:rsid w:val="008F02FD"/>
    <w:rsid w:val="008F0556"/>
    <w:rsid w:val="008F0602"/>
    <w:rsid w:val="008F0884"/>
    <w:rsid w:val="008F0A99"/>
    <w:rsid w:val="008F0B6C"/>
    <w:rsid w:val="008F0F6A"/>
    <w:rsid w:val="008F108F"/>
    <w:rsid w:val="008F1386"/>
    <w:rsid w:val="008F1624"/>
    <w:rsid w:val="008F1EC7"/>
    <w:rsid w:val="008F203F"/>
    <w:rsid w:val="008F240E"/>
    <w:rsid w:val="008F248C"/>
    <w:rsid w:val="008F2591"/>
    <w:rsid w:val="008F2B15"/>
    <w:rsid w:val="008F2B8F"/>
    <w:rsid w:val="008F3106"/>
    <w:rsid w:val="008F3590"/>
    <w:rsid w:val="008F36AE"/>
    <w:rsid w:val="008F3754"/>
    <w:rsid w:val="008F3796"/>
    <w:rsid w:val="008F3AE5"/>
    <w:rsid w:val="008F3C06"/>
    <w:rsid w:val="008F3D86"/>
    <w:rsid w:val="008F3EEF"/>
    <w:rsid w:val="008F4106"/>
    <w:rsid w:val="008F42D5"/>
    <w:rsid w:val="008F461B"/>
    <w:rsid w:val="008F466D"/>
    <w:rsid w:val="008F47D0"/>
    <w:rsid w:val="008F4EA6"/>
    <w:rsid w:val="008F5732"/>
    <w:rsid w:val="008F5BC4"/>
    <w:rsid w:val="008F5ED9"/>
    <w:rsid w:val="008F616A"/>
    <w:rsid w:val="008F620C"/>
    <w:rsid w:val="008F649F"/>
    <w:rsid w:val="008F64EF"/>
    <w:rsid w:val="008F6DCA"/>
    <w:rsid w:val="008F71CB"/>
    <w:rsid w:val="008F7374"/>
    <w:rsid w:val="008F741B"/>
    <w:rsid w:val="008F7476"/>
    <w:rsid w:val="008F78D7"/>
    <w:rsid w:val="008F7B4B"/>
    <w:rsid w:val="008F7C91"/>
    <w:rsid w:val="009000D7"/>
    <w:rsid w:val="0090037A"/>
    <w:rsid w:val="00900837"/>
    <w:rsid w:val="00900A41"/>
    <w:rsid w:val="00900ABD"/>
    <w:rsid w:val="00900B57"/>
    <w:rsid w:val="00900BD0"/>
    <w:rsid w:val="009011FE"/>
    <w:rsid w:val="00901208"/>
    <w:rsid w:val="009013C4"/>
    <w:rsid w:val="009019D7"/>
    <w:rsid w:val="00901BEC"/>
    <w:rsid w:val="00901EE5"/>
    <w:rsid w:val="009023A6"/>
    <w:rsid w:val="009025C2"/>
    <w:rsid w:val="0090277B"/>
    <w:rsid w:val="00902863"/>
    <w:rsid w:val="009028BC"/>
    <w:rsid w:val="0090290B"/>
    <w:rsid w:val="00902C67"/>
    <w:rsid w:val="00902DA4"/>
    <w:rsid w:val="00902E95"/>
    <w:rsid w:val="0090306C"/>
    <w:rsid w:val="009032F4"/>
    <w:rsid w:val="00903A44"/>
    <w:rsid w:val="00903B6A"/>
    <w:rsid w:val="00903F98"/>
    <w:rsid w:val="00904369"/>
    <w:rsid w:val="0090445E"/>
    <w:rsid w:val="0090447C"/>
    <w:rsid w:val="0090460E"/>
    <w:rsid w:val="009048E0"/>
    <w:rsid w:val="00904AAE"/>
    <w:rsid w:val="00904D5B"/>
    <w:rsid w:val="00904F9E"/>
    <w:rsid w:val="00904FB2"/>
    <w:rsid w:val="00905046"/>
    <w:rsid w:val="0090533E"/>
    <w:rsid w:val="00905516"/>
    <w:rsid w:val="00905602"/>
    <w:rsid w:val="009056CA"/>
    <w:rsid w:val="00905E17"/>
    <w:rsid w:val="00905EC5"/>
    <w:rsid w:val="0090601D"/>
    <w:rsid w:val="00906379"/>
    <w:rsid w:val="00906550"/>
    <w:rsid w:val="00906875"/>
    <w:rsid w:val="00906EE0"/>
    <w:rsid w:val="009070DC"/>
    <w:rsid w:val="0090719B"/>
    <w:rsid w:val="0090736D"/>
    <w:rsid w:val="009076B3"/>
    <w:rsid w:val="00907CBB"/>
    <w:rsid w:val="00907E89"/>
    <w:rsid w:val="0091045D"/>
    <w:rsid w:val="00910A5A"/>
    <w:rsid w:val="00910B31"/>
    <w:rsid w:val="00910E34"/>
    <w:rsid w:val="00911241"/>
    <w:rsid w:val="0091142B"/>
    <w:rsid w:val="0091149D"/>
    <w:rsid w:val="009119A5"/>
    <w:rsid w:val="00911D61"/>
    <w:rsid w:val="0091208E"/>
    <w:rsid w:val="00912120"/>
    <w:rsid w:val="009123F8"/>
    <w:rsid w:val="009124E6"/>
    <w:rsid w:val="0091251C"/>
    <w:rsid w:val="0091286F"/>
    <w:rsid w:val="00912E09"/>
    <w:rsid w:val="00912ED5"/>
    <w:rsid w:val="009135DB"/>
    <w:rsid w:val="0091366A"/>
    <w:rsid w:val="009136D2"/>
    <w:rsid w:val="009139DE"/>
    <w:rsid w:val="00913CA0"/>
    <w:rsid w:val="009142F2"/>
    <w:rsid w:val="0091434C"/>
    <w:rsid w:val="00914417"/>
    <w:rsid w:val="009145C4"/>
    <w:rsid w:val="009145D4"/>
    <w:rsid w:val="00914882"/>
    <w:rsid w:val="00914EAD"/>
    <w:rsid w:val="00915BA8"/>
    <w:rsid w:val="0091615A"/>
    <w:rsid w:val="009163C1"/>
    <w:rsid w:val="0091683B"/>
    <w:rsid w:val="00916C69"/>
    <w:rsid w:val="00916CA3"/>
    <w:rsid w:val="009170AD"/>
    <w:rsid w:val="00917253"/>
    <w:rsid w:val="00917465"/>
    <w:rsid w:val="009176BD"/>
    <w:rsid w:val="00917986"/>
    <w:rsid w:val="009179CF"/>
    <w:rsid w:val="00917BC0"/>
    <w:rsid w:val="009203A2"/>
    <w:rsid w:val="009206E4"/>
    <w:rsid w:val="00920969"/>
    <w:rsid w:val="00920CBC"/>
    <w:rsid w:val="00920CCB"/>
    <w:rsid w:val="00920D23"/>
    <w:rsid w:val="00920F65"/>
    <w:rsid w:val="00921050"/>
    <w:rsid w:val="0092119E"/>
    <w:rsid w:val="00921291"/>
    <w:rsid w:val="00921701"/>
    <w:rsid w:val="0092173C"/>
    <w:rsid w:val="009218F2"/>
    <w:rsid w:val="00921966"/>
    <w:rsid w:val="00921F7D"/>
    <w:rsid w:val="00922126"/>
    <w:rsid w:val="0092234A"/>
    <w:rsid w:val="009224A4"/>
    <w:rsid w:val="009224CB"/>
    <w:rsid w:val="00922690"/>
    <w:rsid w:val="00922925"/>
    <w:rsid w:val="0092296C"/>
    <w:rsid w:val="00922AA6"/>
    <w:rsid w:val="00922C14"/>
    <w:rsid w:val="00922D18"/>
    <w:rsid w:val="00922D3C"/>
    <w:rsid w:val="0092321D"/>
    <w:rsid w:val="0092350A"/>
    <w:rsid w:val="00923A2D"/>
    <w:rsid w:val="00923A94"/>
    <w:rsid w:val="00923B61"/>
    <w:rsid w:val="00923C1F"/>
    <w:rsid w:val="00923C8D"/>
    <w:rsid w:val="00923EEE"/>
    <w:rsid w:val="0092414A"/>
    <w:rsid w:val="009242CA"/>
    <w:rsid w:val="00924348"/>
    <w:rsid w:val="009248D6"/>
    <w:rsid w:val="00924D20"/>
    <w:rsid w:val="00924FD4"/>
    <w:rsid w:val="0092508F"/>
    <w:rsid w:val="00925407"/>
    <w:rsid w:val="009254DB"/>
    <w:rsid w:val="009255E0"/>
    <w:rsid w:val="00925626"/>
    <w:rsid w:val="009257A8"/>
    <w:rsid w:val="00925821"/>
    <w:rsid w:val="00925E9A"/>
    <w:rsid w:val="0092600F"/>
    <w:rsid w:val="00926352"/>
    <w:rsid w:val="00926516"/>
    <w:rsid w:val="009267DA"/>
    <w:rsid w:val="0092693D"/>
    <w:rsid w:val="00926B94"/>
    <w:rsid w:val="00926C98"/>
    <w:rsid w:val="00926CB8"/>
    <w:rsid w:val="00926D03"/>
    <w:rsid w:val="00926E8A"/>
    <w:rsid w:val="0092704F"/>
    <w:rsid w:val="009270D1"/>
    <w:rsid w:val="00927992"/>
    <w:rsid w:val="00927DB3"/>
    <w:rsid w:val="00927F6C"/>
    <w:rsid w:val="00927F88"/>
    <w:rsid w:val="009302FD"/>
    <w:rsid w:val="0093034C"/>
    <w:rsid w:val="0093047B"/>
    <w:rsid w:val="009304F1"/>
    <w:rsid w:val="009305B1"/>
    <w:rsid w:val="00930672"/>
    <w:rsid w:val="009307CA"/>
    <w:rsid w:val="009309A9"/>
    <w:rsid w:val="00930A67"/>
    <w:rsid w:val="00930F2A"/>
    <w:rsid w:val="00930F47"/>
    <w:rsid w:val="0093113E"/>
    <w:rsid w:val="00931356"/>
    <w:rsid w:val="00931F77"/>
    <w:rsid w:val="00931FD9"/>
    <w:rsid w:val="00932034"/>
    <w:rsid w:val="00932174"/>
    <w:rsid w:val="00932AB1"/>
    <w:rsid w:val="00932C1C"/>
    <w:rsid w:val="00933245"/>
    <w:rsid w:val="00933488"/>
    <w:rsid w:val="0093363E"/>
    <w:rsid w:val="009339E7"/>
    <w:rsid w:val="00933A03"/>
    <w:rsid w:val="00933C54"/>
    <w:rsid w:val="00933F8E"/>
    <w:rsid w:val="00934129"/>
    <w:rsid w:val="009345F6"/>
    <w:rsid w:val="00934608"/>
    <w:rsid w:val="009349AF"/>
    <w:rsid w:val="00934C0F"/>
    <w:rsid w:val="009356E8"/>
    <w:rsid w:val="009358B5"/>
    <w:rsid w:val="00935A17"/>
    <w:rsid w:val="00935EAC"/>
    <w:rsid w:val="00936070"/>
    <w:rsid w:val="00936152"/>
    <w:rsid w:val="009362AD"/>
    <w:rsid w:val="009365DF"/>
    <w:rsid w:val="00936833"/>
    <w:rsid w:val="00936C95"/>
    <w:rsid w:val="00936FD2"/>
    <w:rsid w:val="0093746A"/>
    <w:rsid w:val="0093757C"/>
    <w:rsid w:val="0093773A"/>
    <w:rsid w:val="009377A2"/>
    <w:rsid w:val="00937C92"/>
    <w:rsid w:val="00937CE0"/>
    <w:rsid w:val="00937EDD"/>
    <w:rsid w:val="00937F82"/>
    <w:rsid w:val="00940114"/>
    <w:rsid w:val="009402AC"/>
    <w:rsid w:val="009402C5"/>
    <w:rsid w:val="00940511"/>
    <w:rsid w:val="00940538"/>
    <w:rsid w:val="00940B40"/>
    <w:rsid w:val="00940F09"/>
    <w:rsid w:val="00941184"/>
    <w:rsid w:val="00941B4D"/>
    <w:rsid w:val="00941E57"/>
    <w:rsid w:val="00941F4B"/>
    <w:rsid w:val="00942057"/>
    <w:rsid w:val="00942156"/>
    <w:rsid w:val="00942179"/>
    <w:rsid w:val="0094235E"/>
    <w:rsid w:val="0094269B"/>
    <w:rsid w:val="0094275E"/>
    <w:rsid w:val="009429D3"/>
    <w:rsid w:val="00942A4F"/>
    <w:rsid w:val="00942D72"/>
    <w:rsid w:val="00942E6D"/>
    <w:rsid w:val="00942F33"/>
    <w:rsid w:val="00943119"/>
    <w:rsid w:val="00943242"/>
    <w:rsid w:val="0094346A"/>
    <w:rsid w:val="009434B1"/>
    <w:rsid w:val="009435C2"/>
    <w:rsid w:val="00943B9D"/>
    <w:rsid w:val="00943C6E"/>
    <w:rsid w:val="00943CC1"/>
    <w:rsid w:val="00943DE5"/>
    <w:rsid w:val="00943F2E"/>
    <w:rsid w:val="0094421E"/>
    <w:rsid w:val="00944261"/>
    <w:rsid w:val="00944AB9"/>
    <w:rsid w:val="00944B5B"/>
    <w:rsid w:val="00944D5C"/>
    <w:rsid w:val="00945037"/>
    <w:rsid w:val="009450F0"/>
    <w:rsid w:val="00945177"/>
    <w:rsid w:val="00945264"/>
    <w:rsid w:val="009454BA"/>
    <w:rsid w:val="0094566B"/>
    <w:rsid w:val="00945847"/>
    <w:rsid w:val="00945920"/>
    <w:rsid w:val="00945BAB"/>
    <w:rsid w:val="00945EDD"/>
    <w:rsid w:val="009460B3"/>
    <w:rsid w:val="00946597"/>
    <w:rsid w:val="0094667A"/>
    <w:rsid w:val="00946873"/>
    <w:rsid w:val="0094687C"/>
    <w:rsid w:val="00946A80"/>
    <w:rsid w:val="00946C1F"/>
    <w:rsid w:val="00946F6C"/>
    <w:rsid w:val="009472F5"/>
    <w:rsid w:val="009477F8"/>
    <w:rsid w:val="00947C2A"/>
    <w:rsid w:val="00947D4D"/>
    <w:rsid w:val="00947E7E"/>
    <w:rsid w:val="00947FDC"/>
    <w:rsid w:val="00950268"/>
    <w:rsid w:val="009502FD"/>
    <w:rsid w:val="0095061E"/>
    <w:rsid w:val="009507AE"/>
    <w:rsid w:val="009507DE"/>
    <w:rsid w:val="009507E2"/>
    <w:rsid w:val="00950A67"/>
    <w:rsid w:val="00950C40"/>
    <w:rsid w:val="0095118D"/>
    <w:rsid w:val="009512AE"/>
    <w:rsid w:val="00951519"/>
    <w:rsid w:val="009515F8"/>
    <w:rsid w:val="00951612"/>
    <w:rsid w:val="009516FA"/>
    <w:rsid w:val="00951F8D"/>
    <w:rsid w:val="00951F9E"/>
    <w:rsid w:val="0095210B"/>
    <w:rsid w:val="009529EE"/>
    <w:rsid w:val="00952B7D"/>
    <w:rsid w:val="00952E6A"/>
    <w:rsid w:val="009530FA"/>
    <w:rsid w:val="0095371B"/>
    <w:rsid w:val="00953854"/>
    <w:rsid w:val="00953A80"/>
    <w:rsid w:val="00953B8F"/>
    <w:rsid w:val="00953E3D"/>
    <w:rsid w:val="00953E6D"/>
    <w:rsid w:val="009540E4"/>
    <w:rsid w:val="0095414A"/>
    <w:rsid w:val="009541A3"/>
    <w:rsid w:val="0095479A"/>
    <w:rsid w:val="009547A2"/>
    <w:rsid w:val="009553F0"/>
    <w:rsid w:val="00955413"/>
    <w:rsid w:val="00955573"/>
    <w:rsid w:val="0095564D"/>
    <w:rsid w:val="0095567E"/>
    <w:rsid w:val="009556F5"/>
    <w:rsid w:val="00955A35"/>
    <w:rsid w:val="00955BFC"/>
    <w:rsid w:val="00955D99"/>
    <w:rsid w:val="00955E6D"/>
    <w:rsid w:val="00956DBC"/>
    <w:rsid w:val="00956E1D"/>
    <w:rsid w:val="009570BB"/>
    <w:rsid w:val="009571B7"/>
    <w:rsid w:val="00957252"/>
    <w:rsid w:val="009573F0"/>
    <w:rsid w:val="009576D5"/>
    <w:rsid w:val="00957898"/>
    <w:rsid w:val="00957C47"/>
    <w:rsid w:val="00957DEB"/>
    <w:rsid w:val="00960236"/>
    <w:rsid w:val="0096039A"/>
    <w:rsid w:val="009605C5"/>
    <w:rsid w:val="00960722"/>
    <w:rsid w:val="00960898"/>
    <w:rsid w:val="00960A84"/>
    <w:rsid w:val="00961359"/>
    <w:rsid w:val="0096168B"/>
    <w:rsid w:val="009617A5"/>
    <w:rsid w:val="009617E0"/>
    <w:rsid w:val="00961A44"/>
    <w:rsid w:val="00961CF9"/>
    <w:rsid w:val="00961FBA"/>
    <w:rsid w:val="00962186"/>
    <w:rsid w:val="009623C8"/>
    <w:rsid w:val="0096274C"/>
    <w:rsid w:val="00962B91"/>
    <w:rsid w:val="00962C5F"/>
    <w:rsid w:val="009633C2"/>
    <w:rsid w:val="009638E9"/>
    <w:rsid w:val="00963DE3"/>
    <w:rsid w:val="00963F8D"/>
    <w:rsid w:val="00963F9A"/>
    <w:rsid w:val="009641D3"/>
    <w:rsid w:val="00964285"/>
    <w:rsid w:val="00964745"/>
    <w:rsid w:val="009649C6"/>
    <w:rsid w:val="00964A7F"/>
    <w:rsid w:val="00964DF2"/>
    <w:rsid w:val="00965330"/>
    <w:rsid w:val="009658C4"/>
    <w:rsid w:val="00965B3C"/>
    <w:rsid w:val="00965BF4"/>
    <w:rsid w:val="00965C6D"/>
    <w:rsid w:val="00965D01"/>
    <w:rsid w:val="00965D8D"/>
    <w:rsid w:val="00965FD8"/>
    <w:rsid w:val="00966026"/>
    <w:rsid w:val="009662E3"/>
    <w:rsid w:val="00966869"/>
    <w:rsid w:val="00966B83"/>
    <w:rsid w:val="00966F09"/>
    <w:rsid w:val="009671FD"/>
    <w:rsid w:val="00967336"/>
    <w:rsid w:val="009677E4"/>
    <w:rsid w:val="00967966"/>
    <w:rsid w:val="00967BB3"/>
    <w:rsid w:val="00967C78"/>
    <w:rsid w:val="00970119"/>
    <w:rsid w:val="0097040D"/>
    <w:rsid w:val="009705C3"/>
    <w:rsid w:val="00970608"/>
    <w:rsid w:val="00971E90"/>
    <w:rsid w:val="00971EC3"/>
    <w:rsid w:val="009721DD"/>
    <w:rsid w:val="00972269"/>
    <w:rsid w:val="009723C3"/>
    <w:rsid w:val="00972618"/>
    <w:rsid w:val="009728A8"/>
    <w:rsid w:val="00972AB2"/>
    <w:rsid w:val="00972C49"/>
    <w:rsid w:val="00972DF5"/>
    <w:rsid w:val="00973060"/>
    <w:rsid w:val="009732A4"/>
    <w:rsid w:val="00973475"/>
    <w:rsid w:val="0097372C"/>
    <w:rsid w:val="009737C0"/>
    <w:rsid w:val="00973848"/>
    <w:rsid w:val="0097394F"/>
    <w:rsid w:val="00973FDA"/>
    <w:rsid w:val="00974135"/>
    <w:rsid w:val="009743A4"/>
    <w:rsid w:val="00974444"/>
    <w:rsid w:val="009744C0"/>
    <w:rsid w:val="009745F0"/>
    <w:rsid w:val="00974950"/>
    <w:rsid w:val="00974B71"/>
    <w:rsid w:val="00974C67"/>
    <w:rsid w:val="00974E59"/>
    <w:rsid w:val="00974E6B"/>
    <w:rsid w:val="00975296"/>
    <w:rsid w:val="00975682"/>
    <w:rsid w:val="00975CFD"/>
    <w:rsid w:val="00975D56"/>
    <w:rsid w:val="00975F12"/>
    <w:rsid w:val="00975F3A"/>
    <w:rsid w:val="0097616F"/>
    <w:rsid w:val="00976315"/>
    <w:rsid w:val="00976332"/>
    <w:rsid w:val="009763AA"/>
    <w:rsid w:val="00976535"/>
    <w:rsid w:val="00976763"/>
    <w:rsid w:val="00976796"/>
    <w:rsid w:val="009767AB"/>
    <w:rsid w:val="00976A81"/>
    <w:rsid w:val="009772FD"/>
    <w:rsid w:val="0097787D"/>
    <w:rsid w:val="009778DE"/>
    <w:rsid w:val="00980179"/>
    <w:rsid w:val="009803B1"/>
    <w:rsid w:val="00980A3D"/>
    <w:rsid w:val="00980B67"/>
    <w:rsid w:val="00980BE9"/>
    <w:rsid w:val="00981202"/>
    <w:rsid w:val="00981590"/>
    <w:rsid w:val="009816F9"/>
    <w:rsid w:val="00981820"/>
    <w:rsid w:val="00981E1B"/>
    <w:rsid w:val="00981E8E"/>
    <w:rsid w:val="00982470"/>
    <w:rsid w:val="009826B7"/>
    <w:rsid w:val="00982BCF"/>
    <w:rsid w:val="00982E25"/>
    <w:rsid w:val="009830D5"/>
    <w:rsid w:val="00983247"/>
    <w:rsid w:val="00983534"/>
    <w:rsid w:val="00983807"/>
    <w:rsid w:val="0098397C"/>
    <w:rsid w:val="00983AA2"/>
    <w:rsid w:val="00983DDF"/>
    <w:rsid w:val="0098405A"/>
    <w:rsid w:val="00984171"/>
    <w:rsid w:val="00984AB6"/>
    <w:rsid w:val="00984FB0"/>
    <w:rsid w:val="00985246"/>
    <w:rsid w:val="009855DE"/>
    <w:rsid w:val="00985A47"/>
    <w:rsid w:val="00985A4A"/>
    <w:rsid w:val="00985E37"/>
    <w:rsid w:val="00985EDE"/>
    <w:rsid w:val="009862AC"/>
    <w:rsid w:val="009862D8"/>
    <w:rsid w:val="009863B9"/>
    <w:rsid w:val="0098645B"/>
    <w:rsid w:val="00986559"/>
    <w:rsid w:val="009869B1"/>
    <w:rsid w:val="00986BB9"/>
    <w:rsid w:val="00986F4C"/>
    <w:rsid w:val="009870CF"/>
    <w:rsid w:val="00987380"/>
    <w:rsid w:val="0098755C"/>
    <w:rsid w:val="009875A9"/>
    <w:rsid w:val="0098771F"/>
    <w:rsid w:val="009878B6"/>
    <w:rsid w:val="009878F9"/>
    <w:rsid w:val="00987968"/>
    <w:rsid w:val="00987C31"/>
    <w:rsid w:val="00987F73"/>
    <w:rsid w:val="009903B3"/>
    <w:rsid w:val="00990431"/>
    <w:rsid w:val="009906E3"/>
    <w:rsid w:val="0099081F"/>
    <w:rsid w:val="0099085C"/>
    <w:rsid w:val="009909BC"/>
    <w:rsid w:val="00990C27"/>
    <w:rsid w:val="00990CC9"/>
    <w:rsid w:val="00990E49"/>
    <w:rsid w:val="00990F2F"/>
    <w:rsid w:val="0099118C"/>
    <w:rsid w:val="0099169C"/>
    <w:rsid w:val="0099179D"/>
    <w:rsid w:val="00991A66"/>
    <w:rsid w:val="00991DA0"/>
    <w:rsid w:val="00991F65"/>
    <w:rsid w:val="00992BC8"/>
    <w:rsid w:val="00992DD6"/>
    <w:rsid w:val="00992FE2"/>
    <w:rsid w:val="009931F3"/>
    <w:rsid w:val="009935F7"/>
    <w:rsid w:val="0099375A"/>
    <w:rsid w:val="009937AD"/>
    <w:rsid w:val="009937C1"/>
    <w:rsid w:val="00994367"/>
    <w:rsid w:val="0099445B"/>
    <w:rsid w:val="00994A68"/>
    <w:rsid w:val="00994AB8"/>
    <w:rsid w:val="00994B8C"/>
    <w:rsid w:val="00994E40"/>
    <w:rsid w:val="00994E9C"/>
    <w:rsid w:val="00995635"/>
    <w:rsid w:val="009956D8"/>
    <w:rsid w:val="009960E3"/>
    <w:rsid w:val="00996103"/>
    <w:rsid w:val="0099628E"/>
    <w:rsid w:val="00996859"/>
    <w:rsid w:val="00996B92"/>
    <w:rsid w:val="00996D8B"/>
    <w:rsid w:val="0099723C"/>
    <w:rsid w:val="009979FC"/>
    <w:rsid w:val="00997B0E"/>
    <w:rsid w:val="00997F77"/>
    <w:rsid w:val="009A0175"/>
    <w:rsid w:val="009A0460"/>
    <w:rsid w:val="009A0808"/>
    <w:rsid w:val="009A0E61"/>
    <w:rsid w:val="009A15A0"/>
    <w:rsid w:val="009A1609"/>
    <w:rsid w:val="009A17CB"/>
    <w:rsid w:val="009A1C7A"/>
    <w:rsid w:val="009A1E6B"/>
    <w:rsid w:val="009A2023"/>
    <w:rsid w:val="009A216D"/>
    <w:rsid w:val="009A22E1"/>
    <w:rsid w:val="009A2599"/>
    <w:rsid w:val="009A25A2"/>
    <w:rsid w:val="009A29C0"/>
    <w:rsid w:val="009A2CDB"/>
    <w:rsid w:val="009A2F28"/>
    <w:rsid w:val="009A3108"/>
    <w:rsid w:val="009A335E"/>
    <w:rsid w:val="009A34C0"/>
    <w:rsid w:val="009A3562"/>
    <w:rsid w:val="009A387D"/>
    <w:rsid w:val="009A3AA2"/>
    <w:rsid w:val="009A3C41"/>
    <w:rsid w:val="009A4435"/>
    <w:rsid w:val="009A4629"/>
    <w:rsid w:val="009A4746"/>
    <w:rsid w:val="009A4749"/>
    <w:rsid w:val="009A4A2F"/>
    <w:rsid w:val="009A4A66"/>
    <w:rsid w:val="009A4DE5"/>
    <w:rsid w:val="009A4E4D"/>
    <w:rsid w:val="009A4F22"/>
    <w:rsid w:val="009A510C"/>
    <w:rsid w:val="009A5111"/>
    <w:rsid w:val="009A61FB"/>
    <w:rsid w:val="009A65E4"/>
    <w:rsid w:val="009A68B4"/>
    <w:rsid w:val="009A69E5"/>
    <w:rsid w:val="009A6BAD"/>
    <w:rsid w:val="009A6ED7"/>
    <w:rsid w:val="009A6F2D"/>
    <w:rsid w:val="009A70FD"/>
    <w:rsid w:val="009A7407"/>
    <w:rsid w:val="009A7471"/>
    <w:rsid w:val="009A7D64"/>
    <w:rsid w:val="009B01AD"/>
    <w:rsid w:val="009B0D23"/>
    <w:rsid w:val="009B0D5D"/>
    <w:rsid w:val="009B101E"/>
    <w:rsid w:val="009B10E1"/>
    <w:rsid w:val="009B116A"/>
    <w:rsid w:val="009B12E9"/>
    <w:rsid w:val="009B13A7"/>
    <w:rsid w:val="009B1879"/>
    <w:rsid w:val="009B1CDA"/>
    <w:rsid w:val="009B1EDA"/>
    <w:rsid w:val="009B2020"/>
    <w:rsid w:val="009B227B"/>
    <w:rsid w:val="009B2324"/>
    <w:rsid w:val="009B276E"/>
    <w:rsid w:val="009B27D1"/>
    <w:rsid w:val="009B2F72"/>
    <w:rsid w:val="009B3049"/>
    <w:rsid w:val="009B36CD"/>
    <w:rsid w:val="009B3B9B"/>
    <w:rsid w:val="009B3D17"/>
    <w:rsid w:val="009B3DCA"/>
    <w:rsid w:val="009B3E5C"/>
    <w:rsid w:val="009B3EF3"/>
    <w:rsid w:val="009B400F"/>
    <w:rsid w:val="009B407C"/>
    <w:rsid w:val="009B42EC"/>
    <w:rsid w:val="009B4AB0"/>
    <w:rsid w:val="009B4AB3"/>
    <w:rsid w:val="009B4B27"/>
    <w:rsid w:val="009B55E0"/>
    <w:rsid w:val="009B56DF"/>
    <w:rsid w:val="009B5AF2"/>
    <w:rsid w:val="009B5D15"/>
    <w:rsid w:val="009B5DB7"/>
    <w:rsid w:val="009B5F01"/>
    <w:rsid w:val="009B5F32"/>
    <w:rsid w:val="009B6314"/>
    <w:rsid w:val="009B63A3"/>
    <w:rsid w:val="009B64D6"/>
    <w:rsid w:val="009B66E1"/>
    <w:rsid w:val="009B6858"/>
    <w:rsid w:val="009B6A68"/>
    <w:rsid w:val="009B6DF7"/>
    <w:rsid w:val="009B6FD2"/>
    <w:rsid w:val="009B711E"/>
    <w:rsid w:val="009B723F"/>
    <w:rsid w:val="009B733B"/>
    <w:rsid w:val="009B7514"/>
    <w:rsid w:val="009B7855"/>
    <w:rsid w:val="009B7FD1"/>
    <w:rsid w:val="009C0177"/>
    <w:rsid w:val="009C01C5"/>
    <w:rsid w:val="009C01D6"/>
    <w:rsid w:val="009C03C1"/>
    <w:rsid w:val="009C0CFB"/>
    <w:rsid w:val="009C1156"/>
    <w:rsid w:val="009C157E"/>
    <w:rsid w:val="009C1807"/>
    <w:rsid w:val="009C1947"/>
    <w:rsid w:val="009C1D5C"/>
    <w:rsid w:val="009C203F"/>
    <w:rsid w:val="009C2271"/>
    <w:rsid w:val="009C2418"/>
    <w:rsid w:val="009C2A5A"/>
    <w:rsid w:val="009C2A8C"/>
    <w:rsid w:val="009C2EE1"/>
    <w:rsid w:val="009C3359"/>
    <w:rsid w:val="009C36C0"/>
    <w:rsid w:val="009C3723"/>
    <w:rsid w:val="009C3876"/>
    <w:rsid w:val="009C3AC2"/>
    <w:rsid w:val="009C3B23"/>
    <w:rsid w:val="009C3ED6"/>
    <w:rsid w:val="009C3F3B"/>
    <w:rsid w:val="009C4267"/>
    <w:rsid w:val="009C42B1"/>
    <w:rsid w:val="009C4672"/>
    <w:rsid w:val="009C4A30"/>
    <w:rsid w:val="009C4C40"/>
    <w:rsid w:val="009C4EEA"/>
    <w:rsid w:val="009C5613"/>
    <w:rsid w:val="009C5CCE"/>
    <w:rsid w:val="009C5DCD"/>
    <w:rsid w:val="009C64E6"/>
    <w:rsid w:val="009C69BB"/>
    <w:rsid w:val="009C6A6C"/>
    <w:rsid w:val="009C6A81"/>
    <w:rsid w:val="009C6C48"/>
    <w:rsid w:val="009C6FAC"/>
    <w:rsid w:val="009C7442"/>
    <w:rsid w:val="009C74C0"/>
    <w:rsid w:val="009C759A"/>
    <w:rsid w:val="009C7886"/>
    <w:rsid w:val="009C7B78"/>
    <w:rsid w:val="009D0016"/>
    <w:rsid w:val="009D0072"/>
    <w:rsid w:val="009D0701"/>
    <w:rsid w:val="009D0911"/>
    <w:rsid w:val="009D0934"/>
    <w:rsid w:val="009D0AD3"/>
    <w:rsid w:val="009D0B1D"/>
    <w:rsid w:val="009D0ED8"/>
    <w:rsid w:val="009D0F14"/>
    <w:rsid w:val="009D1131"/>
    <w:rsid w:val="009D1379"/>
    <w:rsid w:val="009D1606"/>
    <w:rsid w:val="009D19BE"/>
    <w:rsid w:val="009D1A2E"/>
    <w:rsid w:val="009D1E5F"/>
    <w:rsid w:val="009D2107"/>
    <w:rsid w:val="009D2537"/>
    <w:rsid w:val="009D2666"/>
    <w:rsid w:val="009D27FD"/>
    <w:rsid w:val="009D289D"/>
    <w:rsid w:val="009D29EB"/>
    <w:rsid w:val="009D2C3E"/>
    <w:rsid w:val="009D31CA"/>
    <w:rsid w:val="009D3386"/>
    <w:rsid w:val="009D3672"/>
    <w:rsid w:val="009D37E9"/>
    <w:rsid w:val="009D3A09"/>
    <w:rsid w:val="009D3B1A"/>
    <w:rsid w:val="009D3C28"/>
    <w:rsid w:val="009D3D21"/>
    <w:rsid w:val="009D3E9C"/>
    <w:rsid w:val="009D4F6D"/>
    <w:rsid w:val="009D4F96"/>
    <w:rsid w:val="009D5125"/>
    <w:rsid w:val="009D5304"/>
    <w:rsid w:val="009D596D"/>
    <w:rsid w:val="009D5ABC"/>
    <w:rsid w:val="009D5C71"/>
    <w:rsid w:val="009D5E59"/>
    <w:rsid w:val="009D5EF3"/>
    <w:rsid w:val="009D6531"/>
    <w:rsid w:val="009D679A"/>
    <w:rsid w:val="009D6805"/>
    <w:rsid w:val="009D6A06"/>
    <w:rsid w:val="009D6A0D"/>
    <w:rsid w:val="009D7308"/>
    <w:rsid w:val="009D755F"/>
    <w:rsid w:val="009D77D3"/>
    <w:rsid w:val="009D792F"/>
    <w:rsid w:val="009D7C13"/>
    <w:rsid w:val="009E0CCC"/>
    <w:rsid w:val="009E114D"/>
    <w:rsid w:val="009E1176"/>
    <w:rsid w:val="009E16DE"/>
    <w:rsid w:val="009E16E0"/>
    <w:rsid w:val="009E1818"/>
    <w:rsid w:val="009E1823"/>
    <w:rsid w:val="009E1AE6"/>
    <w:rsid w:val="009E1BC9"/>
    <w:rsid w:val="009E1F4B"/>
    <w:rsid w:val="009E24B1"/>
    <w:rsid w:val="009E24FA"/>
    <w:rsid w:val="009E2B52"/>
    <w:rsid w:val="009E2B97"/>
    <w:rsid w:val="009E2C05"/>
    <w:rsid w:val="009E2F67"/>
    <w:rsid w:val="009E2FF1"/>
    <w:rsid w:val="009E402B"/>
    <w:rsid w:val="009E404D"/>
    <w:rsid w:val="009E4253"/>
    <w:rsid w:val="009E48FD"/>
    <w:rsid w:val="009E4ECE"/>
    <w:rsid w:val="009E4F30"/>
    <w:rsid w:val="009E5196"/>
    <w:rsid w:val="009E5FE4"/>
    <w:rsid w:val="009E6041"/>
    <w:rsid w:val="009E6094"/>
    <w:rsid w:val="009E64C2"/>
    <w:rsid w:val="009E681A"/>
    <w:rsid w:val="009E6AE0"/>
    <w:rsid w:val="009E6C50"/>
    <w:rsid w:val="009E72B2"/>
    <w:rsid w:val="009E747A"/>
    <w:rsid w:val="009E7503"/>
    <w:rsid w:val="009E764A"/>
    <w:rsid w:val="009E7663"/>
    <w:rsid w:val="009E76FC"/>
    <w:rsid w:val="009E7879"/>
    <w:rsid w:val="009E7A98"/>
    <w:rsid w:val="009E7ABF"/>
    <w:rsid w:val="009E7BE9"/>
    <w:rsid w:val="009F0755"/>
    <w:rsid w:val="009F0ECA"/>
    <w:rsid w:val="009F10F3"/>
    <w:rsid w:val="009F112E"/>
    <w:rsid w:val="009F11D1"/>
    <w:rsid w:val="009F11DA"/>
    <w:rsid w:val="009F19C4"/>
    <w:rsid w:val="009F1C1C"/>
    <w:rsid w:val="009F21A3"/>
    <w:rsid w:val="009F2453"/>
    <w:rsid w:val="009F2807"/>
    <w:rsid w:val="009F2C2D"/>
    <w:rsid w:val="009F2C4A"/>
    <w:rsid w:val="009F2CA7"/>
    <w:rsid w:val="009F2CD1"/>
    <w:rsid w:val="009F31F7"/>
    <w:rsid w:val="009F3359"/>
    <w:rsid w:val="009F3567"/>
    <w:rsid w:val="009F3909"/>
    <w:rsid w:val="009F3C73"/>
    <w:rsid w:val="009F3DB1"/>
    <w:rsid w:val="009F3F8D"/>
    <w:rsid w:val="009F4309"/>
    <w:rsid w:val="009F4334"/>
    <w:rsid w:val="009F4A46"/>
    <w:rsid w:val="009F4C50"/>
    <w:rsid w:val="009F4DD1"/>
    <w:rsid w:val="009F4F8A"/>
    <w:rsid w:val="009F50AC"/>
    <w:rsid w:val="009F53C8"/>
    <w:rsid w:val="009F5430"/>
    <w:rsid w:val="009F5450"/>
    <w:rsid w:val="009F556B"/>
    <w:rsid w:val="009F5764"/>
    <w:rsid w:val="009F5B1B"/>
    <w:rsid w:val="009F6006"/>
    <w:rsid w:val="009F68EF"/>
    <w:rsid w:val="009F6A40"/>
    <w:rsid w:val="009F7087"/>
    <w:rsid w:val="009F70EE"/>
    <w:rsid w:val="009F72D7"/>
    <w:rsid w:val="009F7330"/>
    <w:rsid w:val="009F745E"/>
    <w:rsid w:val="009F77CF"/>
    <w:rsid w:val="009F7D44"/>
    <w:rsid w:val="009F7ECE"/>
    <w:rsid w:val="009F7F0B"/>
    <w:rsid w:val="009F7FBB"/>
    <w:rsid w:val="00A00FA9"/>
    <w:rsid w:val="00A0105D"/>
    <w:rsid w:val="00A0114C"/>
    <w:rsid w:val="00A015C1"/>
    <w:rsid w:val="00A0204B"/>
    <w:rsid w:val="00A02068"/>
    <w:rsid w:val="00A024CD"/>
    <w:rsid w:val="00A02639"/>
    <w:rsid w:val="00A0295C"/>
    <w:rsid w:val="00A02D46"/>
    <w:rsid w:val="00A03715"/>
    <w:rsid w:val="00A039A3"/>
    <w:rsid w:val="00A03A0E"/>
    <w:rsid w:val="00A03A2F"/>
    <w:rsid w:val="00A040AE"/>
    <w:rsid w:val="00A04693"/>
    <w:rsid w:val="00A047BA"/>
    <w:rsid w:val="00A0495C"/>
    <w:rsid w:val="00A05158"/>
    <w:rsid w:val="00A054EA"/>
    <w:rsid w:val="00A058B0"/>
    <w:rsid w:val="00A062CC"/>
    <w:rsid w:val="00A062F1"/>
    <w:rsid w:val="00A069F7"/>
    <w:rsid w:val="00A06A31"/>
    <w:rsid w:val="00A06DBD"/>
    <w:rsid w:val="00A06DDB"/>
    <w:rsid w:val="00A070A4"/>
    <w:rsid w:val="00A07454"/>
    <w:rsid w:val="00A074A8"/>
    <w:rsid w:val="00A0755F"/>
    <w:rsid w:val="00A075A4"/>
    <w:rsid w:val="00A075C4"/>
    <w:rsid w:val="00A07657"/>
    <w:rsid w:val="00A07FEB"/>
    <w:rsid w:val="00A108D5"/>
    <w:rsid w:val="00A10C01"/>
    <w:rsid w:val="00A10C0F"/>
    <w:rsid w:val="00A10C4F"/>
    <w:rsid w:val="00A10F30"/>
    <w:rsid w:val="00A10F83"/>
    <w:rsid w:val="00A10FF4"/>
    <w:rsid w:val="00A110FE"/>
    <w:rsid w:val="00A1130A"/>
    <w:rsid w:val="00A113E9"/>
    <w:rsid w:val="00A11450"/>
    <w:rsid w:val="00A11B50"/>
    <w:rsid w:val="00A11BC8"/>
    <w:rsid w:val="00A11F48"/>
    <w:rsid w:val="00A11F80"/>
    <w:rsid w:val="00A11F99"/>
    <w:rsid w:val="00A126F6"/>
    <w:rsid w:val="00A1289B"/>
    <w:rsid w:val="00A12EDD"/>
    <w:rsid w:val="00A136F8"/>
    <w:rsid w:val="00A13AD6"/>
    <w:rsid w:val="00A13D87"/>
    <w:rsid w:val="00A140E7"/>
    <w:rsid w:val="00A14648"/>
    <w:rsid w:val="00A1467D"/>
    <w:rsid w:val="00A149B8"/>
    <w:rsid w:val="00A149EA"/>
    <w:rsid w:val="00A14C49"/>
    <w:rsid w:val="00A14F10"/>
    <w:rsid w:val="00A14F95"/>
    <w:rsid w:val="00A15048"/>
    <w:rsid w:val="00A152A8"/>
    <w:rsid w:val="00A155AA"/>
    <w:rsid w:val="00A1571A"/>
    <w:rsid w:val="00A159B7"/>
    <w:rsid w:val="00A15D4B"/>
    <w:rsid w:val="00A16613"/>
    <w:rsid w:val="00A166A7"/>
    <w:rsid w:val="00A16FD3"/>
    <w:rsid w:val="00A171BE"/>
    <w:rsid w:val="00A1721E"/>
    <w:rsid w:val="00A17686"/>
    <w:rsid w:val="00A17A65"/>
    <w:rsid w:val="00A17C97"/>
    <w:rsid w:val="00A17E77"/>
    <w:rsid w:val="00A2040A"/>
    <w:rsid w:val="00A2085F"/>
    <w:rsid w:val="00A20C54"/>
    <w:rsid w:val="00A20CFC"/>
    <w:rsid w:val="00A211C2"/>
    <w:rsid w:val="00A211D7"/>
    <w:rsid w:val="00A2134F"/>
    <w:rsid w:val="00A214CC"/>
    <w:rsid w:val="00A2176A"/>
    <w:rsid w:val="00A2192F"/>
    <w:rsid w:val="00A21ADB"/>
    <w:rsid w:val="00A21F5D"/>
    <w:rsid w:val="00A22534"/>
    <w:rsid w:val="00A2275B"/>
    <w:rsid w:val="00A22870"/>
    <w:rsid w:val="00A22A47"/>
    <w:rsid w:val="00A22B77"/>
    <w:rsid w:val="00A22D7B"/>
    <w:rsid w:val="00A232E1"/>
    <w:rsid w:val="00A23ABF"/>
    <w:rsid w:val="00A23AF9"/>
    <w:rsid w:val="00A23C5D"/>
    <w:rsid w:val="00A23D73"/>
    <w:rsid w:val="00A23F61"/>
    <w:rsid w:val="00A240C9"/>
    <w:rsid w:val="00A241F9"/>
    <w:rsid w:val="00A2456C"/>
    <w:rsid w:val="00A247DC"/>
    <w:rsid w:val="00A248B2"/>
    <w:rsid w:val="00A24B5A"/>
    <w:rsid w:val="00A25050"/>
    <w:rsid w:val="00A253E3"/>
    <w:rsid w:val="00A25780"/>
    <w:rsid w:val="00A25815"/>
    <w:rsid w:val="00A25945"/>
    <w:rsid w:val="00A25AD6"/>
    <w:rsid w:val="00A26A6B"/>
    <w:rsid w:val="00A26A78"/>
    <w:rsid w:val="00A26CE7"/>
    <w:rsid w:val="00A26D01"/>
    <w:rsid w:val="00A26E18"/>
    <w:rsid w:val="00A26F34"/>
    <w:rsid w:val="00A26FB2"/>
    <w:rsid w:val="00A27226"/>
    <w:rsid w:val="00A276CF"/>
    <w:rsid w:val="00A2770E"/>
    <w:rsid w:val="00A27902"/>
    <w:rsid w:val="00A27B03"/>
    <w:rsid w:val="00A27C69"/>
    <w:rsid w:val="00A27F65"/>
    <w:rsid w:val="00A27FCE"/>
    <w:rsid w:val="00A30057"/>
    <w:rsid w:val="00A30184"/>
    <w:rsid w:val="00A303CE"/>
    <w:rsid w:val="00A3048F"/>
    <w:rsid w:val="00A30802"/>
    <w:rsid w:val="00A30B6C"/>
    <w:rsid w:val="00A310DE"/>
    <w:rsid w:val="00A3122D"/>
    <w:rsid w:val="00A316CE"/>
    <w:rsid w:val="00A31905"/>
    <w:rsid w:val="00A31C17"/>
    <w:rsid w:val="00A31DDE"/>
    <w:rsid w:val="00A32006"/>
    <w:rsid w:val="00A323A6"/>
    <w:rsid w:val="00A32A27"/>
    <w:rsid w:val="00A330B9"/>
    <w:rsid w:val="00A3315F"/>
    <w:rsid w:val="00A333D9"/>
    <w:rsid w:val="00A338D1"/>
    <w:rsid w:val="00A33DA3"/>
    <w:rsid w:val="00A33E8D"/>
    <w:rsid w:val="00A34128"/>
    <w:rsid w:val="00A34264"/>
    <w:rsid w:val="00A342EF"/>
    <w:rsid w:val="00A34A99"/>
    <w:rsid w:val="00A34CFE"/>
    <w:rsid w:val="00A34F50"/>
    <w:rsid w:val="00A3523D"/>
    <w:rsid w:val="00A35592"/>
    <w:rsid w:val="00A357C4"/>
    <w:rsid w:val="00A35812"/>
    <w:rsid w:val="00A36041"/>
    <w:rsid w:val="00A36173"/>
    <w:rsid w:val="00A3631B"/>
    <w:rsid w:val="00A3631D"/>
    <w:rsid w:val="00A366FA"/>
    <w:rsid w:val="00A368DF"/>
    <w:rsid w:val="00A368E5"/>
    <w:rsid w:val="00A36D94"/>
    <w:rsid w:val="00A37101"/>
    <w:rsid w:val="00A373FB"/>
    <w:rsid w:val="00A37A70"/>
    <w:rsid w:val="00A37A73"/>
    <w:rsid w:val="00A37BB0"/>
    <w:rsid w:val="00A37BF5"/>
    <w:rsid w:val="00A37F3D"/>
    <w:rsid w:val="00A400CA"/>
    <w:rsid w:val="00A4029D"/>
    <w:rsid w:val="00A404C7"/>
    <w:rsid w:val="00A4076A"/>
    <w:rsid w:val="00A40808"/>
    <w:rsid w:val="00A409AC"/>
    <w:rsid w:val="00A41A19"/>
    <w:rsid w:val="00A41A81"/>
    <w:rsid w:val="00A41AC6"/>
    <w:rsid w:val="00A41BD3"/>
    <w:rsid w:val="00A42095"/>
    <w:rsid w:val="00A42355"/>
    <w:rsid w:val="00A42430"/>
    <w:rsid w:val="00A42620"/>
    <w:rsid w:val="00A42956"/>
    <w:rsid w:val="00A42F5A"/>
    <w:rsid w:val="00A431C5"/>
    <w:rsid w:val="00A436F9"/>
    <w:rsid w:val="00A43BBC"/>
    <w:rsid w:val="00A43DE6"/>
    <w:rsid w:val="00A43E36"/>
    <w:rsid w:val="00A44312"/>
    <w:rsid w:val="00A44805"/>
    <w:rsid w:val="00A44818"/>
    <w:rsid w:val="00A448CB"/>
    <w:rsid w:val="00A44C71"/>
    <w:rsid w:val="00A44E30"/>
    <w:rsid w:val="00A45766"/>
    <w:rsid w:val="00A45A9D"/>
    <w:rsid w:val="00A45D73"/>
    <w:rsid w:val="00A45EB9"/>
    <w:rsid w:val="00A45F70"/>
    <w:rsid w:val="00A46287"/>
    <w:rsid w:val="00A46310"/>
    <w:rsid w:val="00A467A8"/>
    <w:rsid w:val="00A467AB"/>
    <w:rsid w:val="00A46D09"/>
    <w:rsid w:val="00A46E6A"/>
    <w:rsid w:val="00A47317"/>
    <w:rsid w:val="00A47407"/>
    <w:rsid w:val="00A4762C"/>
    <w:rsid w:val="00A47773"/>
    <w:rsid w:val="00A479FD"/>
    <w:rsid w:val="00A47C36"/>
    <w:rsid w:val="00A47CF6"/>
    <w:rsid w:val="00A47D45"/>
    <w:rsid w:val="00A47FF1"/>
    <w:rsid w:val="00A5024D"/>
    <w:rsid w:val="00A5041A"/>
    <w:rsid w:val="00A506BD"/>
    <w:rsid w:val="00A506D7"/>
    <w:rsid w:val="00A513EE"/>
    <w:rsid w:val="00A51855"/>
    <w:rsid w:val="00A51886"/>
    <w:rsid w:val="00A518AA"/>
    <w:rsid w:val="00A51B41"/>
    <w:rsid w:val="00A51E33"/>
    <w:rsid w:val="00A522EC"/>
    <w:rsid w:val="00A5239C"/>
    <w:rsid w:val="00A5288E"/>
    <w:rsid w:val="00A52B0D"/>
    <w:rsid w:val="00A52C16"/>
    <w:rsid w:val="00A52E4B"/>
    <w:rsid w:val="00A53158"/>
    <w:rsid w:val="00A53225"/>
    <w:rsid w:val="00A535A7"/>
    <w:rsid w:val="00A53AE7"/>
    <w:rsid w:val="00A53E3E"/>
    <w:rsid w:val="00A53E51"/>
    <w:rsid w:val="00A5457F"/>
    <w:rsid w:val="00A5478A"/>
    <w:rsid w:val="00A5479E"/>
    <w:rsid w:val="00A548A9"/>
    <w:rsid w:val="00A54AAE"/>
    <w:rsid w:val="00A54F78"/>
    <w:rsid w:val="00A5503B"/>
    <w:rsid w:val="00A5507D"/>
    <w:rsid w:val="00A55ABB"/>
    <w:rsid w:val="00A55ACE"/>
    <w:rsid w:val="00A55B92"/>
    <w:rsid w:val="00A55B9D"/>
    <w:rsid w:val="00A55ED7"/>
    <w:rsid w:val="00A560D2"/>
    <w:rsid w:val="00A564B2"/>
    <w:rsid w:val="00A564F7"/>
    <w:rsid w:val="00A565C8"/>
    <w:rsid w:val="00A5670F"/>
    <w:rsid w:val="00A56AF1"/>
    <w:rsid w:val="00A56D97"/>
    <w:rsid w:val="00A56D9C"/>
    <w:rsid w:val="00A56F7C"/>
    <w:rsid w:val="00A57291"/>
    <w:rsid w:val="00A57383"/>
    <w:rsid w:val="00A573BF"/>
    <w:rsid w:val="00A57E0C"/>
    <w:rsid w:val="00A57F35"/>
    <w:rsid w:val="00A60A6F"/>
    <w:rsid w:val="00A60F6F"/>
    <w:rsid w:val="00A612C3"/>
    <w:rsid w:val="00A614B4"/>
    <w:rsid w:val="00A6161C"/>
    <w:rsid w:val="00A616BE"/>
    <w:rsid w:val="00A616D1"/>
    <w:rsid w:val="00A6190E"/>
    <w:rsid w:val="00A61F44"/>
    <w:rsid w:val="00A620F1"/>
    <w:rsid w:val="00A6220D"/>
    <w:rsid w:val="00A6248E"/>
    <w:rsid w:val="00A62496"/>
    <w:rsid w:val="00A62553"/>
    <w:rsid w:val="00A62A3E"/>
    <w:rsid w:val="00A62A65"/>
    <w:rsid w:val="00A62C22"/>
    <w:rsid w:val="00A62CB5"/>
    <w:rsid w:val="00A63097"/>
    <w:rsid w:val="00A632CD"/>
    <w:rsid w:val="00A63314"/>
    <w:rsid w:val="00A63857"/>
    <w:rsid w:val="00A6406D"/>
    <w:rsid w:val="00A6434D"/>
    <w:rsid w:val="00A64A39"/>
    <w:rsid w:val="00A64B8A"/>
    <w:rsid w:val="00A64C3A"/>
    <w:rsid w:val="00A657B3"/>
    <w:rsid w:val="00A66015"/>
    <w:rsid w:val="00A6660B"/>
    <w:rsid w:val="00A66674"/>
    <w:rsid w:val="00A669A8"/>
    <w:rsid w:val="00A66AF4"/>
    <w:rsid w:val="00A66DD1"/>
    <w:rsid w:val="00A66FD5"/>
    <w:rsid w:val="00A6707F"/>
    <w:rsid w:val="00A6718E"/>
    <w:rsid w:val="00A6722C"/>
    <w:rsid w:val="00A6729E"/>
    <w:rsid w:val="00A672B1"/>
    <w:rsid w:val="00A67449"/>
    <w:rsid w:val="00A675B6"/>
    <w:rsid w:val="00A67609"/>
    <w:rsid w:val="00A67955"/>
    <w:rsid w:val="00A67AE9"/>
    <w:rsid w:val="00A67B89"/>
    <w:rsid w:val="00A67C6B"/>
    <w:rsid w:val="00A67E75"/>
    <w:rsid w:val="00A67FAE"/>
    <w:rsid w:val="00A7044B"/>
    <w:rsid w:val="00A70470"/>
    <w:rsid w:val="00A704EC"/>
    <w:rsid w:val="00A70774"/>
    <w:rsid w:val="00A708AE"/>
    <w:rsid w:val="00A70CFB"/>
    <w:rsid w:val="00A71120"/>
    <w:rsid w:val="00A719B3"/>
    <w:rsid w:val="00A71F52"/>
    <w:rsid w:val="00A727DC"/>
    <w:rsid w:val="00A729FB"/>
    <w:rsid w:val="00A72B22"/>
    <w:rsid w:val="00A72BF1"/>
    <w:rsid w:val="00A72FA8"/>
    <w:rsid w:val="00A7317B"/>
    <w:rsid w:val="00A733BD"/>
    <w:rsid w:val="00A73634"/>
    <w:rsid w:val="00A737CE"/>
    <w:rsid w:val="00A738FC"/>
    <w:rsid w:val="00A7408F"/>
    <w:rsid w:val="00A742BC"/>
    <w:rsid w:val="00A74587"/>
    <w:rsid w:val="00A747DB"/>
    <w:rsid w:val="00A74912"/>
    <w:rsid w:val="00A74A7B"/>
    <w:rsid w:val="00A74AFC"/>
    <w:rsid w:val="00A74E47"/>
    <w:rsid w:val="00A7520D"/>
    <w:rsid w:val="00A759D6"/>
    <w:rsid w:val="00A76352"/>
    <w:rsid w:val="00A765D7"/>
    <w:rsid w:val="00A766AC"/>
    <w:rsid w:val="00A767CB"/>
    <w:rsid w:val="00A76ADE"/>
    <w:rsid w:val="00A76FE9"/>
    <w:rsid w:val="00A7780C"/>
    <w:rsid w:val="00A77C11"/>
    <w:rsid w:val="00A804F4"/>
    <w:rsid w:val="00A80DFE"/>
    <w:rsid w:val="00A81007"/>
    <w:rsid w:val="00A8151A"/>
    <w:rsid w:val="00A815F8"/>
    <w:rsid w:val="00A817C7"/>
    <w:rsid w:val="00A81C42"/>
    <w:rsid w:val="00A8206A"/>
    <w:rsid w:val="00A820D2"/>
    <w:rsid w:val="00A8244B"/>
    <w:rsid w:val="00A827A3"/>
    <w:rsid w:val="00A82981"/>
    <w:rsid w:val="00A82D65"/>
    <w:rsid w:val="00A82E96"/>
    <w:rsid w:val="00A8313E"/>
    <w:rsid w:val="00A83263"/>
    <w:rsid w:val="00A83388"/>
    <w:rsid w:val="00A83494"/>
    <w:rsid w:val="00A83969"/>
    <w:rsid w:val="00A8396A"/>
    <w:rsid w:val="00A8397C"/>
    <w:rsid w:val="00A83B91"/>
    <w:rsid w:val="00A84158"/>
    <w:rsid w:val="00A84459"/>
    <w:rsid w:val="00A845DF"/>
    <w:rsid w:val="00A84EE4"/>
    <w:rsid w:val="00A852B1"/>
    <w:rsid w:val="00A85CBD"/>
    <w:rsid w:val="00A86030"/>
    <w:rsid w:val="00A8654C"/>
    <w:rsid w:val="00A8654F"/>
    <w:rsid w:val="00A86598"/>
    <w:rsid w:val="00A867BF"/>
    <w:rsid w:val="00A86A5D"/>
    <w:rsid w:val="00A86AF6"/>
    <w:rsid w:val="00A873EC"/>
    <w:rsid w:val="00A87874"/>
    <w:rsid w:val="00A87AA2"/>
    <w:rsid w:val="00A87C92"/>
    <w:rsid w:val="00A901CA"/>
    <w:rsid w:val="00A90790"/>
    <w:rsid w:val="00A907F1"/>
    <w:rsid w:val="00A907F4"/>
    <w:rsid w:val="00A90845"/>
    <w:rsid w:val="00A90A0A"/>
    <w:rsid w:val="00A90ADD"/>
    <w:rsid w:val="00A90D7B"/>
    <w:rsid w:val="00A90E7A"/>
    <w:rsid w:val="00A90F16"/>
    <w:rsid w:val="00A90F8D"/>
    <w:rsid w:val="00A912D4"/>
    <w:rsid w:val="00A91336"/>
    <w:rsid w:val="00A91345"/>
    <w:rsid w:val="00A91A00"/>
    <w:rsid w:val="00A91CEC"/>
    <w:rsid w:val="00A92135"/>
    <w:rsid w:val="00A922FC"/>
    <w:rsid w:val="00A924F4"/>
    <w:rsid w:val="00A92642"/>
    <w:rsid w:val="00A92CF8"/>
    <w:rsid w:val="00A92D2E"/>
    <w:rsid w:val="00A92F33"/>
    <w:rsid w:val="00A93228"/>
    <w:rsid w:val="00A936B6"/>
    <w:rsid w:val="00A937BF"/>
    <w:rsid w:val="00A93908"/>
    <w:rsid w:val="00A93AD6"/>
    <w:rsid w:val="00A93BA8"/>
    <w:rsid w:val="00A93C6F"/>
    <w:rsid w:val="00A93F8A"/>
    <w:rsid w:val="00A94370"/>
    <w:rsid w:val="00A94766"/>
    <w:rsid w:val="00A94791"/>
    <w:rsid w:val="00A9481E"/>
    <w:rsid w:val="00A9490A"/>
    <w:rsid w:val="00A94D49"/>
    <w:rsid w:val="00A94D8C"/>
    <w:rsid w:val="00A95154"/>
    <w:rsid w:val="00A95499"/>
    <w:rsid w:val="00A95873"/>
    <w:rsid w:val="00A95E67"/>
    <w:rsid w:val="00A9616F"/>
    <w:rsid w:val="00A9622B"/>
    <w:rsid w:val="00A96324"/>
    <w:rsid w:val="00A96521"/>
    <w:rsid w:val="00A965BD"/>
    <w:rsid w:val="00A9663E"/>
    <w:rsid w:val="00A96677"/>
    <w:rsid w:val="00A966FC"/>
    <w:rsid w:val="00A968EF"/>
    <w:rsid w:val="00A96A26"/>
    <w:rsid w:val="00A97193"/>
    <w:rsid w:val="00A971F4"/>
    <w:rsid w:val="00A972F7"/>
    <w:rsid w:val="00A97D60"/>
    <w:rsid w:val="00AA007C"/>
    <w:rsid w:val="00AA00A7"/>
    <w:rsid w:val="00AA0232"/>
    <w:rsid w:val="00AA0350"/>
    <w:rsid w:val="00AA04A5"/>
    <w:rsid w:val="00AA0F3B"/>
    <w:rsid w:val="00AA1332"/>
    <w:rsid w:val="00AA19D6"/>
    <w:rsid w:val="00AA1D58"/>
    <w:rsid w:val="00AA1FAA"/>
    <w:rsid w:val="00AA21B2"/>
    <w:rsid w:val="00AA2338"/>
    <w:rsid w:val="00AA24F3"/>
    <w:rsid w:val="00AA26CE"/>
    <w:rsid w:val="00AA26FD"/>
    <w:rsid w:val="00AA2822"/>
    <w:rsid w:val="00AA2B3A"/>
    <w:rsid w:val="00AA2BC7"/>
    <w:rsid w:val="00AA3386"/>
    <w:rsid w:val="00AA3472"/>
    <w:rsid w:val="00AA34BD"/>
    <w:rsid w:val="00AA38A1"/>
    <w:rsid w:val="00AA3EC9"/>
    <w:rsid w:val="00AA4187"/>
    <w:rsid w:val="00AA4337"/>
    <w:rsid w:val="00AA45F7"/>
    <w:rsid w:val="00AA4B7A"/>
    <w:rsid w:val="00AA4BC5"/>
    <w:rsid w:val="00AA4BF6"/>
    <w:rsid w:val="00AA4E0B"/>
    <w:rsid w:val="00AA4F49"/>
    <w:rsid w:val="00AA517E"/>
    <w:rsid w:val="00AA52EA"/>
    <w:rsid w:val="00AA590E"/>
    <w:rsid w:val="00AA5B18"/>
    <w:rsid w:val="00AA5BD1"/>
    <w:rsid w:val="00AA5F9A"/>
    <w:rsid w:val="00AA614C"/>
    <w:rsid w:val="00AA61C2"/>
    <w:rsid w:val="00AA648F"/>
    <w:rsid w:val="00AA65B0"/>
    <w:rsid w:val="00AA66A5"/>
    <w:rsid w:val="00AA690A"/>
    <w:rsid w:val="00AA6E44"/>
    <w:rsid w:val="00AA71C0"/>
    <w:rsid w:val="00AA74A7"/>
    <w:rsid w:val="00AA752B"/>
    <w:rsid w:val="00AA757B"/>
    <w:rsid w:val="00AA75D2"/>
    <w:rsid w:val="00AA768B"/>
    <w:rsid w:val="00AA7706"/>
    <w:rsid w:val="00AA78C9"/>
    <w:rsid w:val="00AA7A66"/>
    <w:rsid w:val="00AA7AA9"/>
    <w:rsid w:val="00AA7B51"/>
    <w:rsid w:val="00AB01C4"/>
    <w:rsid w:val="00AB02D7"/>
    <w:rsid w:val="00AB04D1"/>
    <w:rsid w:val="00AB07B6"/>
    <w:rsid w:val="00AB1034"/>
    <w:rsid w:val="00AB1571"/>
    <w:rsid w:val="00AB1579"/>
    <w:rsid w:val="00AB1818"/>
    <w:rsid w:val="00AB2179"/>
    <w:rsid w:val="00AB24D9"/>
    <w:rsid w:val="00AB291F"/>
    <w:rsid w:val="00AB31F3"/>
    <w:rsid w:val="00AB32B3"/>
    <w:rsid w:val="00AB33A6"/>
    <w:rsid w:val="00AB33BE"/>
    <w:rsid w:val="00AB3904"/>
    <w:rsid w:val="00AB39D1"/>
    <w:rsid w:val="00AB3F96"/>
    <w:rsid w:val="00AB406A"/>
    <w:rsid w:val="00AB4533"/>
    <w:rsid w:val="00AB4605"/>
    <w:rsid w:val="00AB4701"/>
    <w:rsid w:val="00AB47D3"/>
    <w:rsid w:val="00AB4BD0"/>
    <w:rsid w:val="00AB4C11"/>
    <w:rsid w:val="00AB4EE4"/>
    <w:rsid w:val="00AB52D2"/>
    <w:rsid w:val="00AB52EA"/>
    <w:rsid w:val="00AB5ED6"/>
    <w:rsid w:val="00AB5FBB"/>
    <w:rsid w:val="00AB5FFC"/>
    <w:rsid w:val="00AB60DB"/>
    <w:rsid w:val="00AB62E6"/>
    <w:rsid w:val="00AB6550"/>
    <w:rsid w:val="00AB6568"/>
    <w:rsid w:val="00AB71B6"/>
    <w:rsid w:val="00AB71BF"/>
    <w:rsid w:val="00AB7431"/>
    <w:rsid w:val="00AB77F2"/>
    <w:rsid w:val="00AB7E01"/>
    <w:rsid w:val="00AB7E17"/>
    <w:rsid w:val="00AC0161"/>
    <w:rsid w:val="00AC019F"/>
    <w:rsid w:val="00AC01EE"/>
    <w:rsid w:val="00AC02F3"/>
    <w:rsid w:val="00AC047C"/>
    <w:rsid w:val="00AC0630"/>
    <w:rsid w:val="00AC088B"/>
    <w:rsid w:val="00AC0B4E"/>
    <w:rsid w:val="00AC11BA"/>
    <w:rsid w:val="00AC136D"/>
    <w:rsid w:val="00AC13FB"/>
    <w:rsid w:val="00AC17BC"/>
    <w:rsid w:val="00AC1830"/>
    <w:rsid w:val="00AC20B2"/>
    <w:rsid w:val="00AC2991"/>
    <w:rsid w:val="00AC2A87"/>
    <w:rsid w:val="00AC2B04"/>
    <w:rsid w:val="00AC2E8B"/>
    <w:rsid w:val="00AC300A"/>
    <w:rsid w:val="00AC3897"/>
    <w:rsid w:val="00AC3A60"/>
    <w:rsid w:val="00AC3A8F"/>
    <w:rsid w:val="00AC3FAE"/>
    <w:rsid w:val="00AC409B"/>
    <w:rsid w:val="00AC40B4"/>
    <w:rsid w:val="00AC428D"/>
    <w:rsid w:val="00AC42D3"/>
    <w:rsid w:val="00AC4356"/>
    <w:rsid w:val="00AC45E4"/>
    <w:rsid w:val="00AC45EF"/>
    <w:rsid w:val="00AC4AC6"/>
    <w:rsid w:val="00AC4B98"/>
    <w:rsid w:val="00AC4DB4"/>
    <w:rsid w:val="00AC4DB5"/>
    <w:rsid w:val="00AC53F1"/>
    <w:rsid w:val="00AC5DE7"/>
    <w:rsid w:val="00AC62F3"/>
    <w:rsid w:val="00AC65D7"/>
    <w:rsid w:val="00AC688C"/>
    <w:rsid w:val="00AC6B77"/>
    <w:rsid w:val="00AC6CCD"/>
    <w:rsid w:val="00AC71CA"/>
    <w:rsid w:val="00AC725B"/>
    <w:rsid w:val="00AC7374"/>
    <w:rsid w:val="00AC743E"/>
    <w:rsid w:val="00AC77B7"/>
    <w:rsid w:val="00AC7896"/>
    <w:rsid w:val="00AC78BB"/>
    <w:rsid w:val="00AC7B8C"/>
    <w:rsid w:val="00AC7B96"/>
    <w:rsid w:val="00AC7BDB"/>
    <w:rsid w:val="00AC7D7F"/>
    <w:rsid w:val="00AC7D9C"/>
    <w:rsid w:val="00AC7DA9"/>
    <w:rsid w:val="00AC7E1E"/>
    <w:rsid w:val="00AC7F4A"/>
    <w:rsid w:val="00AC7FA3"/>
    <w:rsid w:val="00AD000E"/>
    <w:rsid w:val="00AD0017"/>
    <w:rsid w:val="00AD00D2"/>
    <w:rsid w:val="00AD0292"/>
    <w:rsid w:val="00AD02CC"/>
    <w:rsid w:val="00AD0355"/>
    <w:rsid w:val="00AD060B"/>
    <w:rsid w:val="00AD0730"/>
    <w:rsid w:val="00AD07C7"/>
    <w:rsid w:val="00AD0A26"/>
    <w:rsid w:val="00AD0C03"/>
    <w:rsid w:val="00AD13E5"/>
    <w:rsid w:val="00AD1433"/>
    <w:rsid w:val="00AD14F1"/>
    <w:rsid w:val="00AD176D"/>
    <w:rsid w:val="00AD19A7"/>
    <w:rsid w:val="00AD2411"/>
    <w:rsid w:val="00AD24ED"/>
    <w:rsid w:val="00AD276F"/>
    <w:rsid w:val="00AD2BA1"/>
    <w:rsid w:val="00AD2F5B"/>
    <w:rsid w:val="00AD2FF6"/>
    <w:rsid w:val="00AD3307"/>
    <w:rsid w:val="00AD33FA"/>
    <w:rsid w:val="00AD375A"/>
    <w:rsid w:val="00AD39F2"/>
    <w:rsid w:val="00AD3B79"/>
    <w:rsid w:val="00AD3CA6"/>
    <w:rsid w:val="00AD3D20"/>
    <w:rsid w:val="00AD40F3"/>
    <w:rsid w:val="00AD420F"/>
    <w:rsid w:val="00AD42A1"/>
    <w:rsid w:val="00AD4384"/>
    <w:rsid w:val="00AD447E"/>
    <w:rsid w:val="00AD4529"/>
    <w:rsid w:val="00AD4928"/>
    <w:rsid w:val="00AD49B0"/>
    <w:rsid w:val="00AD49B8"/>
    <w:rsid w:val="00AD4BDB"/>
    <w:rsid w:val="00AD4C34"/>
    <w:rsid w:val="00AD4D61"/>
    <w:rsid w:val="00AD4E1C"/>
    <w:rsid w:val="00AD4EFD"/>
    <w:rsid w:val="00AD4FB0"/>
    <w:rsid w:val="00AD5412"/>
    <w:rsid w:val="00AD54BD"/>
    <w:rsid w:val="00AD54FA"/>
    <w:rsid w:val="00AD59C8"/>
    <w:rsid w:val="00AD6010"/>
    <w:rsid w:val="00AD6311"/>
    <w:rsid w:val="00AD6455"/>
    <w:rsid w:val="00AD7066"/>
    <w:rsid w:val="00AD70A1"/>
    <w:rsid w:val="00AD7D2F"/>
    <w:rsid w:val="00AE021D"/>
    <w:rsid w:val="00AE0448"/>
    <w:rsid w:val="00AE0AEC"/>
    <w:rsid w:val="00AE0B33"/>
    <w:rsid w:val="00AE0CF7"/>
    <w:rsid w:val="00AE0F5C"/>
    <w:rsid w:val="00AE12BB"/>
    <w:rsid w:val="00AE21AD"/>
    <w:rsid w:val="00AE223E"/>
    <w:rsid w:val="00AE22A0"/>
    <w:rsid w:val="00AE2483"/>
    <w:rsid w:val="00AE24AA"/>
    <w:rsid w:val="00AE2803"/>
    <w:rsid w:val="00AE2D28"/>
    <w:rsid w:val="00AE2D71"/>
    <w:rsid w:val="00AE2F37"/>
    <w:rsid w:val="00AE3139"/>
    <w:rsid w:val="00AE342E"/>
    <w:rsid w:val="00AE345E"/>
    <w:rsid w:val="00AE3B50"/>
    <w:rsid w:val="00AE3CC5"/>
    <w:rsid w:val="00AE3D7C"/>
    <w:rsid w:val="00AE40ED"/>
    <w:rsid w:val="00AE410F"/>
    <w:rsid w:val="00AE43D3"/>
    <w:rsid w:val="00AE4729"/>
    <w:rsid w:val="00AE4831"/>
    <w:rsid w:val="00AE4BDF"/>
    <w:rsid w:val="00AE4E34"/>
    <w:rsid w:val="00AE56EC"/>
    <w:rsid w:val="00AE5740"/>
    <w:rsid w:val="00AE591E"/>
    <w:rsid w:val="00AE5B17"/>
    <w:rsid w:val="00AE5B69"/>
    <w:rsid w:val="00AE6314"/>
    <w:rsid w:val="00AE64B0"/>
    <w:rsid w:val="00AE656B"/>
    <w:rsid w:val="00AE65B7"/>
    <w:rsid w:val="00AE65C5"/>
    <w:rsid w:val="00AE686F"/>
    <w:rsid w:val="00AE6A5B"/>
    <w:rsid w:val="00AE6A5C"/>
    <w:rsid w:val="00AE6F6F"/>
    <w:rsid w:val="00AE709C"/>
    <w:rsid w:val="00AE7802"/>
    <w:rsid w:val="00AE7A4A"/>
    <w:rsid w:val="00AE7DC0"/>
    <w:rsid w:val="00AE7F33"/>
    <w:rsid w:val="00AE7F9F"/>
    <w:rsid w:val="00AF0082"/>
    <w:rsid w:val="00AF04C1"/>
    <w:rsid w:val="00AF080C"/>
    <w:rsid w:val="00AF1010"/>
    <w:rsid w:val="00AF1165"/>
    <w:rsid w:val="00AF1394"/>
    <w:rsid w:val="00AF13FA"/>
    <w:rsid w:val="00AF14EC"/>
    <w:rsid w:val="00AF16A9"/>
    <w:rsid w:val="00AF17F8"/>
    <w:rsid w:val="00AF181B"/>
    <w:rsid w:val="00AF1D47"/>
    <w:rsid w:val="00AF1EC8"/>
    <w:rsid w:val="00AF2093"/>
    <w:rsid w:val="00AF220D"/>
    <w:rsid w:val="00AF2225"/>
    <w:rsid w:val="00AF2353"/>
    <w:rsid w:val="00AF24ED"/>
    <w:rsid w:val="00AF24F3"/>
    <w:rsid w:val="00AF2707"/>
    <w:rsid w:val="00AF2764"/>
    <w:rsid w:val="00AF2A95"/>
    <w:rsid w:val="00AF2BCD"/>
    <w:rsid w:val="00AF32BC"/>
    <w:rsid w:val="00AF355F"/>
    <w:rsid w:val="00AF3B58"/>
    <w:rsid w:val="00AF3BD4"/>
    <w:rsid w:val="00AF3CD4"/>
    <w:rsid w:val="00AF4588"/>
    <w:rsid w:val="00AF47E3"/>
    <w:rsid w:val="00AF4C41"/>
    <w:rsid w:val="00AF4D2D"/>
    <w:rsid w:val="00AF4E10"/>
    <w:rsid w:val="00AF4EAF"/>
    <w:rsid w:val="00AF5133"/>
    <w:rsid w:val="00AF5223"/>
    <w:rsid w:val="00AF52BA"/>
    <w:rsid w:val="00AF53C6"/>
    <w:rsid w:val="00AF54D1"/>
    <w:rsid w:val="00AF552E"/>
    <w:rsid w:val="00AF5567"/>
    <w:rsid w:val="00AF583E"/>
    <w:rsid w:val="00AF58EA"/>
    <w:rsid w:val="00AF5969"/>
    <w:rsid w:val="00AF59D4"/>
    <w:rsid w:val="00AF5A9F"/>
    <w:rsid w:val="00AF66A3"/>
    <w:rsid w:val="00AF6739"/>
    <w:rsid w:val="00AF6C20"/>
    <w:rsid w:val="00AF6D53"/>
    <w:rsid w:val="00AF6D6B"/>
    <w:rsid w:val="00AF6E3E"/>
    <w:rsid w:val="00AF7063"/>
    <w:rsid w:val="00AF713B"/>
    <w:rsid w:val="00AF73C3"/>
    <w:rsid w:val="00AF758F"/>
    <w:rsid w:val="00AF75F3"/>
    <w:rsid w:val="00AF7946"/>
    <w:rsid w:val="00AF7D41"/>
    <w:rsid w:val="00B000F4"/>
    <w:rsid w:val="00B003B5"/>
    <w:rsid w:val="00B006CE"/>
    <w:rsid w:val="00B00719"/>
    <w:rsid w:val="00B00BDD"/>
    <w:rsid w:val="00B00D67"/>
    <w:rsid w:val="00B00DA7"/>
    <w:rsid w:val="00B00DDB"/>
    <w:rsid w:val="00B00EBD"/>
    <w:rsid w:val="00B01020"/>
    <w:rsid w:val="00B0126A"/>
    <w:rsid w:val="00B01437"/>
    <w:rsid w:val="00B01891"/>
    <w:rsid w:val="00B01AFE"/>
    <w:rsid w:val="00B01B5E"/>
    <w:rsid w:val="00B01D1D"/>
    <w:rsid w:val="00B01D4D"/>
    <w:rsid w:val="00B01D5B"/>
    <w:rsid w:val="00B0233D"/>
    <w:rsid w:val="00B023D0"/>
    <w:rsid w:val="00B02478"/>
    <w:rsid w:val="00B02604"/>
    <w:rsid w:val="00B026AF"/>
    <w:rsid w:val="00B02A6A"/>
    <w:rsid w:val="00B0329A"/>
    <w:rsid w:val="00B033EE"/>
    <w:rsid w:val="00B036AF"/>
    <w:rsid w:val="00B0385D"/>
    <w:rsid w:val="00B03897"/>
    <w:rsid w:val="00B03BB0"/>
    <w:rsid w:val="00B03F05"/>
    <w:rsid w:val="00B03F1E"/>
    <w:rsid w:val="00B03F83"/>
    <w:rsid w:val="00B044D8"/>
    <w:rsid w:val="00B0460C"/>
    <w:rsid w:val="00B0466F"/>
    <w:rsid w:val="00B047E9"/>
    <w:rsid w:val="00B04AC4"/>
    <w:rsid w:val="00B04AC7"/>
    <w:rsid w:val="00B04F0B"/>
    <w:rsid w:val="00B050E6"/>
    <w:rsid w:val="00B05382"/>
    <w:rsid w:val="00B05CFE"/>
    <w:rsid w:val="00B05E19"/>
    <w:rsid w:val="00B05FDA"/>
    <w:rsid w:val="00B0606B"/>
    <w:rsid w:val="00B06264"/>
    <w:rsid w:val="00B062ED"/>
    <w:rsid w:val="00B06849"/>
    <w:rsid w:val="00B06897"/>
    <w:rsid w:val="00B06CB1"/>
    <w:rsid w:val="00B06D92"/>
    <w:rsid w:val="00B06DA6"/>
    <w:rsid w:val="00B07299"/>
    <w:rsid w:val="00B072ED"/>
    <w:rsid w:val="00B07534"/>
    <w:rsid w:val="00B0765B"/>
    <w:rsid w:val="00B078EA"/>
    <w:rsid w:val="00B079CE"/>
    <w:rsid w:val="00B07BE8"/>
    <w:rsid w:val="00B10144"/>
    <w:rsid w:val="00B104BA"/>
    <w:rsid w:val="00B107BC"/>
    <w:rsid w:val="00B107D9"/>
    <w:rsid w:val="00B109D3"/>
    <w:rsid w:val="00B10EC2"/>
    <w:rsid w:val="00B1105F"/>
    <w:rsid w:val="00B11117"/>
    <w:rsid w:val="00B1124F"/>
    <w:rsid w:val="00B1137F"/>
    <w:rsid w:val="00B114EB"/>
    <w:rsid w:val="00B119AE"/>
    <w:rsid w:val="00B11A34"/>
    <w:rsid w:val="00B122EE"/>
    <w:rsid w:val="00B125CF"/>
    <w:rsid w:val="00B1276A"/>
    <w:rsid w:val="00B127BC"/>
    <w:rsid w:val="00B12AFC"/>
    <w:rsid w:val="00B12C6E"/>
    <w:rsid w:val="00B12CAD"/>
    <w:rsid w:val="00B12D17"/>
    <w:rsid w:val="00B12DD8"/>
    <w:rsid w:val="00B13118"/>
    <w:rsid w:val="00B13296"/>
    <w:rsid w:val="00B13486"/>
    <w:rsid w:val="00B1373A"/>
    <w:rsid w:val="00B1377E"/>
    <w:rsid w:val="00B13A57"/>
    <w:rsid w:val="00B1405A"/>
    <w:rsid w:val="00B1419E"/>
    <w:rsid w:val="00B143AC"/>
    <w:rsid w:val="00B143ED"/>
    <w:rsid w:val="00B1457B"/>
    <w:rsid w:val="00B14B61"/>
    <w:rsid w:val="00B14BD9"/>
    <w:rsid w:val="00B14C92"/>
    <w:rsid w:val="00B150A4"/>
    <w:rsid w:val="00B15149"/>
    <w:rsid w:val="00B15C28"/>
    <w:rsid w:val="00B15CA7"/>
    <w:rsid w:val="00B15E74"/>
    <w:rsid w:val="00B15EC9"/>
    <w:rsid w:val="00B163C1"/>
    <w:rsid w:val="00B165E2"/>
    <w:rsid w:val="00B166D6"/>
    <w:rsid w:val="00B16F86"/>
    <w:rsid w:val="00B17226"/>
    <w:rsid w:val="00B1733A"/>
    <w:rsid w:val="00B17466"/>
    <w:rsid w:val="00B1781F"/>
    <w:rsid w:val="00B17A8C"/>
    <w:rsid w:val="00B17C91"/>
    <w:rsid w:val="00B17CEF"/>
    <w:rsid w:val="00B17EE3"/>
    <w:rsid w:val="00B200F3"/>
    <w:rsid w:val="00B20198"/>
    <w:rsid w:val="00B20500"/>
    <w:rsid w:val="00B20A10"/>
    <w:rsid w:val="00B20F87"/>
    <w:rsid w:val="00B21089"/>
    <w:rsid w:val="00B213E1"/>
    <w:rsid w:val="00B2143B"/>
    <w:rsid w:val="00B2150C"/>
    <w:rsid w:val="00B216DF"/>
    <w:rsid w:val="00B217B8"/>
    <w:rsid w:val="00B2187D"/>
    <w:rsid w:val="00B21BCD"/>
    <w:rsid w:val="00B21DF4"/>
    <w:rsid w:val="00B21E24"/>
    <w:rsid w:val="00B22027"/>
    <w:rsid w:val="00B22098"/>
    <w:rsid w:val="00B225B1"/>
    <w:rsid w:val="00B226BB"/>
    <w:rsid w:val="00B226CD"/>
    <w:rsid w:val="00B226F8"/>
    <w:rsid w:val="00B22DDE"/>
    <w:rsid w:val="00B22EF6"/>
    <w:rsid w:val="00B23498"/>
    <w:rsid w:val="00B244BD"/>
    <w:rsid w:val="00B24893"/>
    <w:rsid w:val="00B25425"/>
    <w:rsid w:val="00B256B9"/>
    <w:rsid w:val="00B256F6"/>
    <w:rsid w:val="00B25CD7"/>
    <w:rsid w:val="00B25E1B"/>
    <w:rsid w:val="00B267AB"/>
    <w:rsid w:val="00B26AC1"/>
    <w:rsid w:val="00B26C21"/>
    <w:rsid w:val="00B26C2E"/>
    <w:rsid w:val="00B26C90"/>
    <w:rsid w:val="00B26D9A"/>
    <w:rsid w:val="00B26FB4"/>
    <w:rsid w:val="00B2700B"/>
    <w:rsid w:val="00B273D5"/>
    <w:rsid w:val="00B274E9"/>
    <w:rsid w:val="00B27511"/>
    <w:rsid w:val="00B2769C"/>
    <w:rsid w:val="00B27820"/>
    <w:rsid w:val="00B278CD"/>
    <w:rsid w:val="00B27E67"/>
    <w:rsid w:val="00B27F3D"/>
    <w:rsid w:val="00B27F61"/>
    <w:rsid w:val="00B30025"/>
    <w:rsid w:val="00B30F67"/>
    <w:rsid w:val="00B311D7"/>
    <w:rsid w:val="00B311DA"/>
    <w:rsid w:val="00B313E5"/>
    <w:rsid w:val="00B314F0"/>
    <w:rsid w:val="00B31519"/>
    <w:rsid w:val="00B316CA"/>
    <w:rsid w:val="00B31A09"/>
    <w:rsid w:val="00B31ABB"/>
    <w:rsid w:val="00B31AC3"/>
    <w:rsid w:val="00B32340"/>
    <w:rsid w:val="00B329A2"/>
    <w:rsid w:val="00B32C04"/>
    <w:rsid w:val="00B32E99"/>
    <w:rsid w:val="00B32F96"/>
    <w:rsid w:val="00B330AE"/>
    <w:rsid w:val="00B3348A"/>
    <w:rsid w:val="00B33669"/>
    <w:rsid w:val="00B341E7"/>
    <w:rsid w:val="00B34402"/>
    <w:rsid w:val="00B3454B"/>
    <w:rsid w:val="00B34635"/>
    <w:rsid w:val="00B346E3"/>
    <w:rsid w:val="00B35061"/>
    <w:rsid w:val="00B353F1"/>
    <w:rsid w:val="00B3544D"/>
    <w:rsid w:val="00B35826"/>
    <w:rsid w:val="00B358F9"/>
    <w:rsid w:val="00B35A9F"/>
    <w:rsid w:val="00B35BBB"/>
    <w:rsid w:val="00B35E1C"/>
    <w:rsid w:val="00B362F3"/>
    <w:rsid w:val="00B3640D"/>
    <w:rsid w:val="00B36644"/>
    <w:rsid w:val="00B3672F"/>
    <w:rsid w:val="00B367D2"/>
    <w:rsid w:val="00B3692C"/>
    <w:rsid w:val="00B36936"/>
    <w:rsid w:val="00B3732D"/>
    <w:rsid w:val="00B3748E"/>
    <w:rsid w:val="00B37547"/>
    <w:rsid w:val="00B3772B"/>
    <w:rsid w:val="00B37CEB"/>
    <w:rsid w:val="00B37E42"/>
    <w:rsid w:val="00B37ED1"/>
    <w:rsid w:val="00B37FD7"/>
    <w:rsid w:val="00B40084"/>
    <w:rsid w:val="00B40964"/>
    <w:rsid w:val="00B40A86"/>
    <w:rsid w:val="00B40AA4"/>
    <w:rsid w:val="00B40B41"/>
    <w:rsid w:val="00B40B7A"/>
    <w:rsid w:val="00B40BDB"/>
    <w:rsid w:val="00B40C67"/>
    <w:rsid w:val="00B40D2F"/>
    <w:rsid w:val="00B41055"/>
    <w:rsid w:val="00B41506"/>
    <w:rsid w:val="00B41535"/>
    <w:rsid w:val="00B422C4"/>
    <w:rsid w:val="00B42339"/>
    <w:rsid w:val="00B426AF"/>
    <w:rsid w:val="00B42712"/>
    <w:rsid w:val="00B42839"/>
    <w:rsid w:val="00B42C80"/>
    <w:rsid w:val="00B42CEB"/>
    <w:rsid w:val="00B42F05"/>
    <w:rsid w:val="00B43049"/>
    <w:rsid w:val="00B43302"/>
    <w:rsid w:val="00B433BB"/>
    <w:rsid w:val="00B43B8C"/>
    <w:rsid w:val="00B43C17"/>
    <w:rsid w:val="00B43E11"/>
    <w:rsid w:val="00B4408D"/>
    <w:rsid w:val="00B44789"/>
    <w:rsid w:val="00B447D2"/>
    <w:rsid w:val="00B4483A"/>
    <w:rsid w:val="00B448EF"/>
    <w:rsid w:val="00B44ACC"/>
    <w:rsid w:val="00B44BE2"/>
    <w:rsid w:val="00B44FF8"/>
    <w:rsid w:val="00B4513D"/>
    <w:rsid w:val="00B45400"/>
    <w:rsid w:val="00B456E7"/>
    <w:rsid w:val="00B45790"/>
    <w:rsid w:val="00B45FF8"/>
    <w:rsid w:val="00B460C9"/>
    <w:rsid w:val="00B468CA"/>
    <w:rsid w:val="00B46963"/>
    <w:rsid w:val="00B46D21"/>
    <w:rsid w:val="00B4708E"/>
    <w:rsid w:val="00B4754A"/>
    <w:rsid w:val="00B47B74"/>
    <w:rsid w:val="00B47B7D"/>
    <w:rsid w:val="00B47BDD"/>
    <w:rsid w:val="00B47F2A"/>
    <w:rsid w:val="00B50CC7"/>
    <w:rsid w:val="00B50DB0"/>
    <w:rsid w:val="00B513DA"/>
    <w:rsid w:val="00B51B4F"/>
    <w:rsid w:val="00B51DC9"/>
    <w:rsid w:val="00B523F7"/>
    <w:rsid w:val="00B528BC"/>
    <w:rsid w:val="00B52A5C"/>
    <w:rsid w:val="00B52E0B"/>
    <w:rsid w:val="00B52E11"/>
    <w:rsid w:val="00B52FDF"/>
    <w:rsid w:val="00B53377"/>
    <w:rsid w:val="00B536CC"/>
    <w:rsid w:val="00B53868"/>
    <w:rsid w:val="00B538FA"/>
    <w:rsid w:val="00B53A06"/>
    <w:rsid w:val="00B53C2A"/>
    <w:rsid w:val="00B53F50"/>
    <w:rsid w:val="00B540F3"/>
    <w:rsid w:val="00B546EB"/>
    <w:rsid w:val="00B547E9"/>
    <w:rsid w:val="00B547F1"/>
    <w:rsid w:val="00B54E78"/>
    <w:rsid w:val="00B5509E"/>
    <w:rsid w:val="00B5532F"/>
    <w:rsid w:val="00B55444"/>
    <w:rsid w:val="00B55593"/>
    <w:rsid w:val="00B5573E"/>
    <w:rsid w:val="00B55CA7"/>
    <w:rsid w:val="00B5604D"/>
    <w:rsid w:val="00B5607C"/>
    <w:rsid w:val="00B56246"/>
    <w:rsid w:val="00B56339"/>
    <w:rsid w:val="00B566F0"/>
    <w:rsid w:val="00B56A6D"/>
    <w:rsid w:val="00B56C5F"/>
    <w:rsid w:val="00B56D2E"/>
    <w:rsid w:val="00B57336"/>
    <w:rsid w:val="00B578C5"/>
    <w:rsid w:val="00B57D12"/>
    <w:rsid w:val="00B57DC2"/>
    <w:rsid w:val="00B60010"/>
    <w:rsid w:val="00B60346"/>
    <w:rsid w:val="00B60366"/>
    <w:rsid w:val="00B6095C"/>
    <w:rsid w:val="00B60D4D"/>
    <w:rsid w:val="00B60E2A"/>
    <w:rsid w:val="00B60F70"/>
    <w:rsid w:val="00B610AD"/>
    <w:rsid w:val="00B61116"/>
    <w:rsid w:val="00B612F1"/>
    <w:rsid w:val="00B614D6"/>
    <w:rsid w:val="00B6169D"/>
    <w:rsid w:val="00B617F1"/>
    <w:rsid w:val="00B61CCA"/>
    <w:rsid w:val="00B61ED4"/>
    <w:rsid w:val="00B62467"/>
    <w:rsid w:val="00B62DDB"/>
    <w:rsid w:val="00B62EF1"/>
    <w:rsid w:val="00B62F1E"/>
    <w:rsid w:val="00B62F79"/>
    <w:rsid w:val="00B630C2"/>
    <w:rsid w:val="00B63598"/>
    <w:rsid w:val="00B636BF"/>
    <w:rsid w:val="00B636CF"/>
    <w:rsid w:val="00B63720"/>
    <w:rsid w:val="00B639FC"/>
    <w:rsid w:val="00B63D46"/>
    <w:rsid w:val="00B63DC1"/>
    <w:rsid w:val="00B6424F"/>
    <w:rsid w:val="00B642E7"/>
    <w:rsid w:val="00B642EA"/>
    <w:rsid w:val="00B642F4"/>
    <w:rsid w:val="00B64627"/>
    <w:rsid w:val="00B64A52"/>
    <w:rsid w:val="00B65337"/>
    <w:rsid w:val="00B65497"/>
    <w:rsid w:val="00B65527"/>
    <w:rsid w:val="00B65638"/>
    <w:rsid w:val="00B65B5E"/>
    <w:rsid w:val="00B65B72"/>
    <w:rsid w:val="00B65C84"/>
    <w:rsid w:val="00B65DA7"/>
    <w:rsid w:val="00B6614B"/>
    <w:rsid w:val="00B6616D"/>
    <w:rsid w:val="00B663BD"/>
    <w:rsid w:val="00B664AE"/>
    <w:rsid w:val="00B665EE"/>
    <w:rsid w:val="00B6661A"/>
    <w:rsid w:val="00B67155"/>
    <w:rsid w:val="00B67576"/>
    <w:rsid w:val="00B6788D"/>
    <w:rsid w:val="00B67A42"/>
    <w:rsid w:val="00B67CED"/>
    <w:rsid w:val="00B67D60"/>
    <w:rsid w:val="00B67DC1"/>
    <w:rsid w:val="00B67F51"/>
    <w:rsid w:val="00B70190"/>
    <w:rsid w:val="00B70A37"/>
    <w:rsid w:val="00B70BBC"/>
    <w:rsid w:val="00B7132B"/>
    <w:rsid w:val="00B71433"/>
    <w:rsid w:val="00B7164B"/>
    <w:rsid w:val="00B71F03"/>
    <w:rsid w:val="00B71F46"/>
    <w:rsid w:val="00B72097"/>
    <w:rsid w:val="00B72295"/>
    <w:rsid w:val="00B72602"/>
    <w:rsid w:val="00B72693"/>
    <w:rsid w:val="00B729C0"/>
    <w:rsid w:val="00B72C54"/>
    <w:rsid w:val="00B72CFB"/>
    <w:rsid w:val="00B73218"/>
    <w:rsid w:val="00B732DB"/>
    <w:rsid w:val="00B737DC"/>
    <w:rsid w:val="00B739F3"/>
    <w:rsid w:val="00B73AE9"/>
    <w:rsid w:val="00B73F67"/>
    <w:rsid w:val="00B74123"/>
    <w:rsid w:val="00B74A01"/>
    <w:rsid w:val="00B74A45"/>
    <w:rsid w:val="00B74EC1"/>
    <w:rsid w:val="00B75060"/>
    <w:rsid w:val="00B755D1"/>
    <w:rsid w:val="00B75B56"/>
    <w:rsid w:val="00B75C80"/>
    <w:rsid w:val="00B75F7B"/>
    <w:rsid w:val="00B76346"/>
    <w:rsid w:val="00B7695B"/>
    <w:rsid w:val="00B76E67"/>
    <w:rsid w:val="00B76F0F"/>
    <w:rsid w:val="00B76F80"/>
    <w:rsid w:val="00B77055"/>
    <w:rsid w:val="00B771A8"/>
    <w:rsid w:val="00B77306"/>
    <w:rsid w:val="00B7765A"/>
    <w:rsid w:val="00B7787C"/>
    <w:rsid w:val="00B779BB"/>
    <w:rsid w:val="00B77B60"/>
    <w:rsid w:val="00B77D82"/>
    <w:rsid w:val="00B8031C"/>
    <w:rsid w:val="00B808C3"/>
    <w:rsid w:val="00B80CE1"/>
    <w:rsid w:val="00B811C3"/>
    <w:rsid w:val="00B811E9"/>
    <w:rsid w:val="00B8159B"/>
    <w:rsid w:val="00B81C4E"/>
    <w:rsid w:val="00B81CF6"/>
    <w:rsid w:val="00B82353"/>
    <w:rsid w:val="00B82A10"/>
    <w:rsid w:val="00B82A3B"/>
    <w:rsid w:val="00B82BD2"/>
    <w:rsid w:val="00B82CA7"/>
    <w:rsid w:val="00B83160"/>
    <w:rsid w:val="00B833A2"/>
    <w:rsid w:val="00B83DF0"/>
    <w:rsid w:val="00B83F53"/>
    <w:rsid w:val="00B84062"/>
    <w:rsid w:val="00B84304"/>
    <w:rsid w:val="00B8431F"/>
    <w:rsid w:val="00B8441A"/>
    <w:rsid w:val="00B8449F"/>
    <w:rsid w:val="00B8454D"/>
    <w:rsid w:val="00B845A5"/>
    <w:rsid w:val="00B84B3B"/>
    <w:rsid w:val="00B84B9D"/>
    <w:rsid w:val="00B84F32"/>
    <w:rsid w:val="00B84F79"/>
    <w:rsid w:val="00B855E1"/>
    <w:rsid w:val="00B85731"/>
    <w:rsid w:val="00B857D0"/>
    <w:rsid w:val="00B8581A"/>
    <w:rsid w:val="00B858CB"/>
    <w:rsid w:val="00B85F36"/>
    <w:rsid w:val="00B86206"/>
    <w:rsid w:val="00B86D09"/>
    <w:rsid w:val="00B86E4D"/>
    <w:rsid w:val="00B86E68"/>
    <w:rsid w:val="00B8712A"/>
    <w:rsid w:val="00B871C3"/>
    <w:rsid w:val="00B87485"/>
    <w:rsid w:val="00B87720"/>
    <w:rsid w:val="00B87785"/>
    <w:rsid w:val="00B8797D"/>
    <w:rsid w:val="00B87AA0"/>
    <w:rsid w:val="00B87B05"/>
    <w:rsid w:val="00B87E64"/>
    <w:rsid w:val="00B90557"/>
    <w:rsid w:val="00B906C4"/>
    <w:rsid w:val="00B90911"/>
    <w:rsid w:val="00B909BE"/>
    <w:rsid w:val="00B909DC"/>
    <w:rsid w:val="00B90A2E"/>
    <w:rsid w:val="00B90FC1"/>
    <w:rsid w:val="00B915CE"/>
    <w:rsid w:val="00B916AA"/>
    <w:rsid w:val="00B9175E"/>
    <w:rsid w:val="00B91815"/>
    <w:rsid w:val="00B9184D"/>
    <w:rsid w:val="00B91CA6"/>
    <w:rsid w:val="00B91CB2"/>
    <w:rsid w:val="00B91F0E"/>
    <w:rsid w:val="00B91F4E"/>
    <w:rsid w:val="00B920E5"/>
    <w:rsid w:val="00B9211E"/>
    <w:rsid w:val="00B92270"/>
    <w:rsid w:val="00B922A7"/>
    <w:rsid w:val="00B922AB"/>
    <w:rsid w:val="00B92513"/>
    <w:rsid w:val="00B925F7"/>
    <w:rsid w:val="00B92606"/>
    <w:rsid w:val="00B92772"/>
    <w:rsid w:val="00B927D9"/>
    <w:rsid w:val="00B9280E"/>
    <w:rsid w:val="00B929AC"/>
    <w:rsid w:val="00B92CF3"/>
    <w:rsid w:val="00B92DA9"/>
    <w:rsid w:val="00B92F8A"/>
    <w:rsid w:val="00B9312A"/>
    <w:rsid w:val="00B931F2"/>
    <w:rsid w:val="00B93220"/>
    <w:rsid w:val="00B936E6"/>
    <w:rsid w:val="00B93C52"/>
    <w:rsid w:val="00B94089"/>
    <w:rsid w:val="00B9475A"/>
    <w:rsid w:val="00B9477C"/>
    <w:rsid w:val="00B9486D"/>
    <w:rsid w:val="00B948A9"/>
    <w:rsid w:val="00B9490D"/>
    <w:rsid w:val="00B94ADA"/>
    <w:rsid w:val="00B94C35"/>
    <w:rsid w:val="00B94E8F"/>
    <w:rsid w:val="00B94ECE"/>
    <w:rsid w:val="00B954B8"/>
    <w:rsid w:val="00B95574"/>
    <w:rsid w:val="00B95710"/>
    <w:rsid w:val="00B95738"/>
    <w:rsid w:val="00B959CC"/>
    <w:rsid w:val="00B95E50"/>
    <w:rsid w:val="00B95EAD"/>
    <w:rsid w:val="00B95EFA"/>
    <w:rsid w:val="00B96607"/>
    <w:rsid w:val="00B966DC"/>
    <w:rsid w:val="00B96702"/>
    <w:rsid w:val="00B96865"/>
    <w:rsid w:val="00B96AAE"/>
    <w:rsid w:val="00B96D3A"/>
    <w:rsid w:val="00B96E75"/>
    <w:rsid w:val="00B97118"/>
    <w:rsid w:val="00B973D5"/>
    <w:rsid w:val="00B9743B"/>
    <w:rsid w:val="00B97581"/>
    <w:rsid w:val="00B97714"/>
    <w:rsid w:val="00B977B9"/>
    <w:rsid w:val="00B978CD"/>
    <w:rsid w:val="00B97922"/>
    <w:rsid w:val="00B97B3B"/>
    <w:rsid w:val="00B97F1A"/>
    <w:rsid w:val="00BA01E9"/>
    <w:rsid w:val="00BA08A4"/>
    <w:rsid w:val="00BA08AA"/>
    <w:rsid w:val="00BA0914"/>
    <w:rsid w:val="00BA0AA0"/>
    <w:rsid w:val="00BA0B0F"/>
    <w:rsid w:val="00BA1252"/>
    <w:rsid w:val="00BA1463"/>
    <w:rsid w:val="00BA1F46"/>
    <w:rsid w:val="00BA1FE2"/>
    <w:rsid w:val="00BA2755"/>
    <w:rsid w:val="00BA29ED"/>
    <w:rsid w:val="00BA2B4B"/>
    <w:rsid w:val="00BA2CBE"/>
    <w:rsid w:val="00BA2DCB"/>
    <w:rsid w:val="00BA2F2F"/>
    <w:rsid w:val="00BA3567"/>
    <w:rsid w:val="00BA3CBD"/>
    <w:rsid w:val="00BA3CD7"/>
    <w:rsid w:val="00BA3CEB"/>
    <w:rsid w:val="00BA401C"/>
    <w:rsid w:val="00BA4095"/>
    <w:rsid w:val="00BA44F3"/>
    <w:rsid w:val="00BA4607"/>
    <w:rsid w:val="00BA475E"/>
    <w:rsid w:val="00BA492B"/>
    <w:rsid w:val="00BA4A71"/>
    <w:rsid w:val="00BA4C0C"/>
    <w:rsid w:val="00BA4C66"/>
    <w:rsid w:val="00BA54EA"/>
    <w:rsid w:val="00BA5530"/>
    <w:rsid w:val="00BA5A9E"/>
    <w:rsid w:val="00BA5FE7"/>
    <w:rsid w:val="00BA6FCE"/>
    <w:rsid w:val="00BA7001"/>
    <w:rsid w:val="00BA7089"/>
    <w:rsid w:val="00BA7168"/>
    <w:rsid w:val="00BA724B"/>
    <w:rsid w:val="00BA7653"/>
    <w:rsid w:val="00BA78C2"/>
    <w:rsid w:val="00BA7C49"/>
    <w:rsid w:val="00BB00A1"/>
    <w:rsid w:val="00BB0192"/>
    <w:rsid w:val="00BB0427"/>
    <w:rsid w:val="00BB04AD"/>
    <w:rsid w:val="00BB0B75"/>
    <w:rsid w:val="00BB0C46"/>
    <w:rsid w:val="00BB0DC0"/>
    <w:rsid w:val="00BB10EC"/>
    <w:rsid w:val="00BB126E"/>
    <w:rsid w:val="00BB1277"/>
    <w:rsid w:val="00BB129B"/>
    <w:rsid w:val="00BB15E4"/>
    <w:rsid w:val="00BB17DD"/>
    <w:rsid w:val="00BB180B"/>
    <w:rsid w:val="00BB19ED"/>
    <w:rsid w:val="00BB2A4F"/>
    <w:rsid w:val="00BB31D6"/>
    <w:rsid w:val="00BB332A"/>
    <w:rsid w:val="00BB39A6"/>
    <w:rsid w:val="00BB3E12"/>
    <w:rsid w:val="00BB414E"/>
    <w:rsid w:val="00BB4309"/>
    <w:rsid w:val="00BB4369"/>
    <w:rsid w:val="00BB4722"/>
    <w:rsid w:val="00BB492E"/>
    <w:rsid w:val="00BB4DF5"/>
    <w:rsid w:val="00BB4E53"/>
    <w:rsid w:val="00BB4F68"/>
    <w:rsid w:val="00BB50F1"/>
    <w:rsid w:val="00BB51FB"/>
    <w:rsid w:val="00BB641E"/>
    <w:rsid w:val="00BB6457"/>
    <w:rsid w:val="00BB65E6"/>
    <w:rsid w:val="00BB6AA6"/>
    <w:rsid w:val="00BB6AD6"/>
    <w:rsid w:val="00BB6EDD"/>
    <w:rsid w:val="00BB701B"/>
    <w:rsid w:val="00BB7224"/>
    <w:rsid w:val="00BB75A8"/>
    <w:rsid w:val="00BB77BE"/>
    <w:rsid w:val="00BB7A53"/>
    <w:rsid w:val="00BB7E52"/>
    <w:rsid w:val="00BB7FA3"/>
    <w:rsid w:val="00BC013C"/>
    <w:rsid w:val="00BC0294"/>
    <w:rsid w:val="00BC040D"/>
    <w:rsid w:val="00BC069F"/>
    <w:rsid w:val="00BC07A1"/>
    <w:rsid w:val="00BC0EFC"/>
    <w:rsid w:val="00BC112E"/>
    <w:rsid w:val="00BC1458"/>
    <w:rsid w:val="00BC1583"/>
    <w:rsid w:val="00BC1F2A"/>
    <w:rsid w:val="00BC1F7B"/>
    <w:rsid w:val="00BC22DB"/>
    <w:rsid w:val="00BC24EE"/>
    <w:rsid w:val="00BC26F8"/>
    <w:rsid w:val="00BC270F"/>
    <w:rsid w:val="00BC2908"/>
    <w:rsid w:val="00BC2B7B"/>
    <w:rsid w:val="00BC2D71"/>
    <w:rsid w:val="00BC30D7"/>
    <w:rsid w:val="00BC3413"/>
    <w:rsid w:val="00BC39C0"/>
    <w:rsid w:val="00BC3B12"/>
    <w:rsid w:val="00BC3DB6"/>
    <w:rsid w:val="00BC422D"/>
    <w:rsid w:val="00BC4551"/>
    <w:rsid w:val="00BC4A11"/>
    <w:rsid w:val="00BC4A74"/>
    <w:rsid w:val="00BC4D48"/>
    <w:rsid w:val="00BC4E11"/>
    <w:rsid w:val="00BC4FCA"/>
    <w:rsid w:val="00BC54AB"/>
    <w:rsid w:val="00BC57AC"/>
    <w:rsid w:val="00BC57CD"/>
    <w:rsid w:val="00BC5801"/>
    <w:rsid w:val="00BC588D"/>
    <w:rsid w:val="00BC5898"/>
    <w:rsid w:val="00BC5AE0"/>
    <w:rsid w:val="00BC6098"/>
    <w:rsid w:val="00BC62E5"/>
    <w:rsid w:val="00BC62ED"/>
    <w:rsid w:val="00BC6417"/>
    <w:rsid w:val="00BC643D"/>
    <w:rsid w:val="00BC65F6"/>
    <w:rsid w:val="00BC67E8"/>
    <w:rsid w:val="00BC6841"/>
    <w:rsid w:val="00BC6A3A"/>
    <w:rsid w:val="00BC6D94"/>
    <w:rsid w:val="00BC6DBC"/>
    <w:rsid w:val="00BC7005"/>
    <w:rsid w:val="00BC7868"/>
    <w:rsid w:val="00BC792F"/>
    <w:rsid w:val="00BC7B24"/>
    <w:rsid w:val="00BC7CC8"/>
    <w:rsid w:val="00BC7EEE"/>
    <w:rsid w:val="00BC7F85"/>
    <w:rsid w:val="00BD0357"/>
    <w:rsid w:val="00BD0488"/>
    <w:rsid w:val="00BD0D2B"/>
    <w:rsid w:val="00BD0D80"/>
    <w:rsid w:val="00BD0FF7"/>
    <w:rsid w:val="00BD1238"/>
    <w:rsid w:val="00BD1263"/>
    <w:rsid w:val="00BD1444"/>
    <w:rsid w:val="00BD15BC"/>
    <w:rsid w:val="00BD16F3"/>
    <w:rsid w:val="00BD170F"/>
    <w:rsid w:val="00BD17E2"/>
    <w:rsid w:val="00BD1A0D"/>
    <w:rsid w:val="00BD1A78"/>
    <w:rsid w:val="00BD1BEB"/>
    <w:rsid w:val="00BD2167"/>
    <w:rsid w:val="00BD23A6"/>
    <w:rsid w:val="00BD23AD"/>
    <w:rsid w:val="00BD24BD"/>
    <w:rsid w:val="00BD25C8"/>
    <w:rsid w:val="00BD2AD6"/>
    <w:rsid w:val="00BD2B0D"/>
    <w:rsid w:val="00BD2B27"/>
    <w:rsid w:val="00BD2D28"/>
    <w:rsid w:val="00BD2E85"/>
    <w:rsid w:val="00BD3026"/>
    <w:rsid w:val="00BD3064"/>
    <w:rsid w:val="00BD3186"/>
    <w:rsid w:val="00BD31A7"/>
    <w:rsid w:val="00BD33B9"/>
    <w:rsid w:val="00BD3DD6"/>
    <w:rsid w:val="00BD4309"/>
    <w:rsid w:val="00BD43C1"/>
    <w:rsid w:val="00BD4608"/>
    <w:rsid w:val="00BD467F"/>
    <w:rsid w:val="00BD489B"/>
    <w:rsid w:val="00BD4926"/>
    <w:rsid w:val="00BD4A9B"/>
    <w:rsid w:val="00BD4C8D"/>
    <w:rsid w:val="00BD4E97"/>
    <w:rsid w:val="00BD4FC3"/>
    <w:rsid w:val="00BD590D"/>
    <w:rsid w:val="00BD5998"/>
    <w:rsid w:val="00BD5C08"/>
    <w:rsid w:val="00BD5D26"/>
    <w:rsid w:val="00BD5D9C"/>
    <w:rsid w:val="00BD602F"/>
    <w:rsid w:val="00BD6C4C"/>
    <w:rsid w:val="00BD6D2F"/>
    <w:rsid w:val="00BD70AE"/>
    <w:rsid w:val="00BD7187"/>
    <w:rsid w:val="00BD72FA"/>
    <w:rsid w:val="00BD73FC"/>
    <w:rsid w:val="00BD75C1"/>
    <w:rsid w:val="00BD7647"/>
    <w:rsid w:val="00BD7663"/>
    <w:rsid w:val="00BD7712"/>
    <w:rsid w:val="00BD7737"/>
    <w:rsid w:val="00BD7849"/>
    <w:rsid w:val="00BD7BF8"/>
    <w:rsid w:val="00BD7C2E"/>
    <w:rsid w:val="00BD7EF7"/>
    <w:rsid w:val="00BD7F4F"/>
    <w:rsid w:val="00BE00F4"/>
    <w:rsid w:val="00BE031C"/>
    <w:rsid w:val="00BE0720"/>
    <w:rsid w:val="00BE0882"/>
    <w:rsid w:val="00BE0B9F"/>
    <w:rsid w:val="00BE0D37"/>
    <w:rsid w:val="00BE1378"/>
    <w:rsid w:val="00BE175E"/>
    <w:rsid w:val="00BE1BAC"/>
    <w:rsid w:val="00BE1C6C"/>
    <w:rsid w:val="00BE2035"/>
    <w:rsid w:val="00BE23DA"/>
    <w:rsid w:val="00BE2A6A"/>
    <w:rsid w:val="00BE2B0C"/>
    <w:rsid w:val="00BE2D10"/>
    <w:rsid w:val="00BE2DB1"/>
    <w:rsid w:val="00BE2EFD"/>
    <w:rsid w:val="00BE3261"/>
    <w:rsid w:val="00BE3A2F"/>
    <w:rsid w:val="00BE3A33"/>
    <w:rsid w:val="00BE3A61"/>
    <w:rsid w:val="00BE4590"/>
    <w:rsid w:val="00BE4805"/>
    <w:rsid w:val="00BE4814"/>
    <w:rsid w:val="00BE4AA2"/>
    <w:rsid w:val="00BE4EC3"/>
    <w:rsid w:val="00BE5049"/>
    <w:rsid w:val="00BE5520"/>
    <w:rsid w:val="00BE5777"/>
    <w:rsid w:val="00BE5886"/>
    <w:rsid w:val="00BE58EC"/>
    <w:rsid w:val="00BE5B56"/>
    <w:rsid w:val="00BE5B7D"/>
    <w:rsid w:val="00BE5BB5"/>
    <w:rsid w:val="00BE66B2"/>
    <w:rsid w:val="00BE6970"/>
    <w:rsid w:val="00BE6C7C"/>
    <w:rsid w:val="00BE6EEB"/>
    <w:rsid w:val="00BE6F7F"/>
    <w:rsid w:val="00BE708C"/>
    <w:rsid w:val="00BE7260"/>
    <w:rsid w:val="00BE72D2"/>
    <w:rsid w:val="00BE79C2"/>
    <w:rsid w:val="00BE7B2A"/>
    <w:rsid w:val="00BE7D10"/>
    <w:rsid w:val="00BF0008"/>
    <w:rsid w:val="00BF0068"/>
    <w:rsid w:val="00BF02BA"/>
    <w:rsid w:val="00BF0525"/>
    <w:rsid w:val="00BF06B6"/>
    <w:rsid w:val="00BF08F1"/>
    <w:rsid w:val="00BF0C14"/>
    <w:rsid w:val="00BF13BF"/>
    <w:rsid w:val="00BF13D5"/>
    <w:rsid w:val="00BF144B"/>
    <w:rsid w:val="00BF16C8"/>
    <w:rsid w:val="00BF17D1"/>
    <w:rsid w:val="00BF1A89"/>
    <w:rsid w:val="00BF1CB6"/>
    <w:rsid w:val="00BF1CFF"/>
    <w:rsid w:val="00BF1DA4"/>
    <w:rsid w:val="00BF1DAB"/>
    <w:rsid w:val="00BF1DD4"/>
    <w:rsid w:val="00BF24C3"/>
    <w:rsid w:val="00BF250D"/>
    <w:rsid w:val="00BF274E"/>
    <w:rsid w:val="00BF2929"/>
    <w:rsid w:val="00BF2A40"/>
    <w:rsid w:val="00BF2D5E"/>
    <w:rsid w:val="00BF2D7A"/>
    <w:rsid w:val="00BF332C"/>
    <w:rsid w:val="00BF362D"/>
    <w:rsid w:val="00BF3710"/>
    <w:rsid w:val="00BF384C"/>
    <w:rsid w:val="00BF3D4A"/>
    <w:rsid w:val="00BF3F87"/>
    <w:rsid w:val="00BF4096"/>
    <w:rsid w:val="00BF43CD"/>
    <w:rsid w:val="00BF448C"/>
    <w:rsid w:val="00BF4593"/>
    <w:rsid w:val="00BF4691"/>
    <w:rsid w:val="00BF47A3"/>
    <w:rsid w:val="00BF4A61"/>
    <w:rsid w:val="00BF4BBB"/>
    <w:rsid w:val="00BF5085"/>
    <w:rsid w:val="00BF50A8"/>
    <w:rsid w:val="00BF533D"/>
    <w:rsid w:val="00BF5438"/>
    <w:rsid w:val="00BF543A"/>
    <w:rsid w:val="00BF5509"/>
    <w:rsid w:val="00BF5800"/>
    <w:rsid w:val="00BF59CA"/>
    <w:rsid w:val="00BF5BD8"/>
    <w:rsid w:val="00BF5D20"/>
    <w:rsid w:val="00BF5DDC"/>
    <w:rsid w:val="00BF5F99"/>
    <w:rsid w:val="00BF6239"/>
    <w:rsid w:val="00BF64F0"/>
    <w:rsid w:val="00BF6C20"/>
    <w:rsid w:val="00BF6D16"/>
    <w:rsid w:val="00BF71D2"/>
    <w:rsid w:val="00BF722E"/>
    <w:rsid w:val="00BF7230"/>
    <w:rsid w:val="00BF724A"/>
    <w:rsid w:val="00BF752D"/>
    <w:rsid w:val="00BF75D2"/>
    <w:rsid w:val="00BF7752"/>
    <w:rsid w:val="00BF7BF0"/>
    <w:rsid w:val="00BF7CAE"/>
    <w:rsid w:val="00BF7D95"/>
    <w:rsid w:val="00C001A9"/>
    <w:rsid w:val="00C0066C"/>
    <w:rsid w:val="00C00745"/>
    <w:rsid w:val="00C00790"/>
    <w:rsid w:val="00C0084C"/>
    <w:rsid w:val="00C008DE"/>
    <w:rsid w:val="00C00963"/>
    <w:rsid w:val="00C00B27"/>
    <w:rsid w:val="00C00D16"/>
    <w:rsid w:val="00C01483"/>
    <w:rsid w:val="00C0153E"/>
    <w:rsid w:val="00C01CE9"/>
    <w:rsid w:val="00C021EC"/>
    <w:rsid w:val="00C02345"/>
    <w:rsid w:val="00C026A3"/>
    <w:rsid w:val="00C02C50"/>
    <w:rsid w:val="00C02FC3"/>
    <w:rsid w:val="00C0327B"/>
    <w:rsid w:val="00C032A8"/>
    <w:rsid w:val="00C0356C"/>
    <w:rsid w:val="00C03873"/>
    <w:rsid w:val="00C03C5C"/>
    <w:rsid w:val="00C03E61"/>
    <w:rsid w:val="00C03F66"/>
    <w:rsid w:val="00C0403E"/>
    <w:rsid w:val="00C043D9"/>
    <w:rsid w:val="00C04714"/>
    <w:rsid w:val="00C0565A"/>
    <w:rsid w:val="00C05F5D"/>
    <w:rsid w:val="00C062DF"/>
    <w:rsid w:val="00C06621"/>
    <w:rsid w:val="00C06A8E"/>
    <w:rsid w:val="00C06CA2"/>
    <w:rsid w:val="00C06D14"/>
    <w:rsid w:val="00C06F18"/>
    <w:rsid w:val="00C070D9"/>
    <w:rsid w:val="00C07103"/>
    <w:rsid w:val="00C072FB"/>
    <w:rsid w:val="00C0749D"/>
    <w:rsid w:val="00C075DF"/>
    <w:rsid w:val="00C076C1"/>
    <w:rsid w:val="00C07885"/>
    <w:rsid w:val="00C079F8"/>
    <w:rsid w:val="00C07A5D"/>
    <w:rsid w:val="00C07BBA"/>
    <w:rsid w:val="00C07C7C"/>
    <w:rsid w:val="00C07E41"/>
    <w:rsid w:val="00C07E69"/>
    <w:rsid w:val="00C07EB5"/>
    <w:rsid w:val="00C10129"/>
    <w:rsid w:val="00C10250"/>
    <w:rsid w:val="00C107A0"/>
    <w:rsid w:val="00C10856"/>
    <w:rsid w:val="00C10AA5"/>
    <w:rsid w:val="00C1142B"/>
    <w:rsid w:val="00C11440"/>
    <w:rsid w:val="00C11521"/>
    <w:rsid w:val="00C11C5F"/>
    <w:rsid w:val="00C12074"/>
    <w:rsid w:val="00C1211F"/>
    <w:rsid w:val="00C1215A"/>
    <w:rsid w:val="00C1246E"/>
    <w:rsid w:val="00C12884"/>
    <w:rsid w:val="00C132A0"/>
    <w:rsid w:val="00C13566"/>
    <w:rsid w:val="00C13592"/>
    <w:rsid w:val="00C13731"/>
    <w:rsid w:val="00C13BF6"/>
    <w:rsid w:val="00C1406C"/>
    <w:rsid w:val="00C140E4"/>
    <w:rsid w:val="00C1425F"/>
    <w:rsid w:val="00C1428F"/>
    <w:rsid w:val="00C142BB"/>
    <w:rsid w:val="00C14496"/>
    <w:rsid w:val="00C144E7"/>
    <w:rsid w:val="00C148EB"/>
    <w:rsid w:val="00C14AB2"/>
    <w:rsid w:val="00C14C51"/>
    <w:rsid w:val="00C150A2"/>
    <w:rsid w:val="00C15682"/>
    <w:rsid w:val="00C1597D"/>
    <w:rsid w:val="00C15A3A"/>
    <w:rsid w:val="00C15B02"/>
    <w:rsid w:val="00C15B71"/>
    <w:rsid w:val="00C1623D"/>
    <w:rsid w:val="00C1626D"/>
    <w:rsid w:val="00C163CB"/>
    <w:rsid w:val="00C166B1"/>
    <w:rsid w:val="00C166B5"/>
    <w:rsid w:val="00C168C7"/>
    <w:rsid w:val="00C16BB8"/>
    <w:rsid w:val="00C16CF9"/>
    <w:rsid w:val="00C170B8"/>
    <w:rsid w:val="00C1763D"/>
    <w:rsid w:val="00C17816"/>
    <w:rsid w:val="00C17D5A"/>
    <w:rsid w:val="00C20B57"/>
    <w:rsid w:val="00C20C36"/>
    <w:rsid w:val="00C20C4F"/>
    <w:rsid w:val="00C21216"/>
    <w:rsid w:val="00C21514"/>
    <w:rsid w:val="00C2159D"/>
    <w:rsid w:val="00C21814"/>
    <w:rsid w:val="00C21CE5"/>
    <w:rsid w:val="00C21F7E"/>
    <w:rsid w:val="00C22800"/>
    <w:rsid w:val="00C22913"/>
    <w:rsid w:val="00C22A60"/>
    <w:rsid w:val="00C22D9D"/>
    <w:rsid w:val="00C22DEA"/>
    <w:rsid w:val="00C23104"/>
    <w:rsid w:val="00C231A7"/>
    <w:rsid w:val="00C232D5"/>
    <w:rsid w:val="00C23301"/>
    <w:rsid w:val="00C23F45"/>
    <w:rsid w:val="00C23FA1"/>
    <w:rsid w:val="00C240B5"/>
    <w:rsid w:val="00C244A2"/>
    <w:rsid w:val="00C249D5"/>
    <w:rsid w:val="00C24CBF"/>
    <w:rsid w:val="00C25240"/>
    <w:rsid w:val="00C252EC"/>
    <w:rsid w:val="00C25362"/>
    <w:rsid w:val="00C25572"/>
    <w:rsid w:val="00C256C9"/>
    <w:rsid w:val="00C25834"/>
    <w:rsid w:val="00C25C2A"/>
    <w:rsid w:val="00C25FDD"/>
    <w:rsid w:val="00C26437"/>
    <w:rsid w:val="00C26487"/>
    <w:rsid w:val="00C2675B"/>
    <w:rsid w:val="00C267D3"/>
    <w:rsid w:val="00C2683A"/>
    <w:rsid w:val="00C2683F"/>
    <w:rsid w:val="00C269D8"/>
    <w:rsid w:val="00C26A03"/>
    <w:rsid w:val="00C26BBC"/>
    <w:rsid w:val="00C26F4E"/>
    <w:rsid w:val="00C2717E"/>
    <w:rsid w:val="00C273C4"/>
    <w:rsid w:val="00C27AC1"/>
    <w:rsid w:val="00C27C1E"/>
    <w:rsid w:val="00C27CB6"/>
    <w:rsid w:val="00C30141"/>
    <w:rsid w:val="00C301F8"/>
    <w:rsid w:val="00C302E3"/>
    <w:rsid w:val="00C303C5"/>
    <w:rsid w:val="00C3047F"/>
    <w:rsid w:val="00C305AB"/>
    <w:rsid w:val="00C30625"/>
    <w:rsid w:val="00C30891"/>
    <w:rsid w:val="00C31065"/>
    <w:rsid w:val="00C31163"/>
    <w:rsid w:val="00C311CD"/>
    <w:rsid w:val="00C31C95"/>
    <w:rsid w:val="00C32218"/>
    <w:rsid w:val="00C322E3"/>
    <w:rsid w:val="00C323E3"/>
    <w:rsid w:val="00C32744"/>
    <w:rsid w:val="00C3293B"/>
    <w:rsid w:val="00C32A2C"/>
    <w:rsid w:val="00C32A4B"/>
    <w:rsid w:val="00C32B0F"/>
    <w:rsid w:val="00C32C56"/>
    <w:rsid w:val="00C32D54"/>
    <w:rsid w:val="00C32E6F"/>
    <w:rsid w:val="00C32F5E"/>
    <w:rsid w:val="00C33068"/>
    <w:rsid w:val="00C33319"/>
    <w:rsid w:val="00C33517"/>
    <w:rsid w:val="00C33BF4"/>
    <w:rsid w:val="00C33CD3"/>
    <w:rsid w:val="00C3429A"/>
    <w:rsid w:val="00C3433B"/>
    <w:rsid w:val="00C3443E"/>
    <w:rsid w:val="00C346AB"/>
    <w:rsid w:val="00C34A14"/>
    <w:rsid w:val="00C34EE6"/>
    <w:rsid w:val="00C351D9"/>
    <w:rsid w:val="00C35212"/>
    <w:rsid w:val="00C355CA"/>
    <w:rsid w:val="00C35C81"/>
    <w:rsid w:val="00C35E8D"/>
    <w:rsid w:val="00C361AF"/>
    <w:rsid w:val="00C361E8"/>
    <w:rsid w:val="00C36229"/>
    <w:rsid w:val="00C362AF"/>
    <w:rsid w:val="00C36358"/>
    <w:rsid w:val="00C36A27"/>
    <w:rsid w:val="00C36D5D"/>
    <w:rsid w:val="00C36E4F"/>
    <w:rsid w:val="00C37135"/>
    <w:rsid w:val="00C37216"/>
    <w:rsid w:val="00C377E1"/>
    <w:rsid w:val="00C3789E"/>
    <w:rsid w:val="00C379C4"/>
    <w:rsid w:val="00C37AC0"/>
    <w:rsid w:val="00C37CD8"/>
    <w:rsid w:val="00C37EBC"/>
    <w:rsid w:val="00C4062B"/>
    <w:rsid w:val="00C40735"/>
    <w:rsid w:val="00C41187"/>
    <w:rsid w:val="00C41190"/>
    <w:rsid w:val="00C4132D"/>
    <w:rsid w:val="00C41574"/>
    <w:rsid w:val="00C41DD4"/>
    <w:rsid w:val="00C41FBC"/>
    <w:rsid w:val="00C4240B"/>
    <w:rsid w:val="00C42DBC"/>
    <w:rsid w:val="00C4305D"/>
    <w:rsid w:val="00C431A2"/>
    <w:rsid w:val="00C432A6"/>
    <w:rsid w:val="00C433BE"/>
    <w:rsid w:val="00C43869"/>
    <w:rsid w:val="00C439B8"/>
    <w:rsid w:val="00C43FBD"/>
    <w:rsid w:val="00C443A3"/>
    <w:rsid w:val="00C44962"/>
    <w:rsid w:val="00C449A8"/>
    <w:rsid w:val="00C44C64"/>
    <w:rsid w:val="00C44C69"/>
    <w:rsid w:val="00C44EA0"/>
    <w:rsid w:val="00C450B7"/>
    <w:rsid w:val="00C451BD"/>
    <w:rsid w:val="00C45222"/>
    <w:rsid w:val="00C4547A"/>
    <w:rsid w:val="00C456D2"/>
    <w:rsid w:val="00C45AA2"/>
    <w:rsid w:val="00C45AEC"/>
    <w:rsid w:val="00C46544"/>
    <w:rsid w:val="00C46622"/>
    <w:rsid w:val="00C46666"/>
    <w:rsid w:val="00C466B7"/>
    <w:rsid w:val="00C4696C"/>
    <w:rsid w:val="00C46C13"/>
    <w:rsid w:val="00C46C84"/>
    <w:rsid w:val="00C46E1A"/>
    <w:rsid w:val="00C47651"/>
    <w:rsid w:val="00C47811"/>
    <w:rsid w:val="00C47960"/>
    <w:rsid w:val="00C47D26"/>
    <w:rsid w:val="00C50164"/>
    <w:rsid w:val="00C50323"/>
    <w:rsid w:val="00C505E7"/>
    <w:rsid w:val="00C511CC"/>
    <w:rsid w:val="00C512E8"/>
    <w:rsid w:val="00C51640"/>
    <w:rsid w:val="00C518B1"/>
    <w:rsid w:val="00C51925"/>
    <w:rsid w:val="00C51E92"/>
    <w:rsid w:val="00C51EF2"/>
    <w:rsid w:val="00C520C2"/>
    <w:rsid w:val="00C52154"/>
    <w:rsid w:val="00C5233E"/>
    <w:rsid w:val="00C52355"/>
    <w:rsid w:val="00C52382"/>
    <w:rsid w:val="00C526DF"/>
    <w:rsid w:val="00C52E66"/>
    <w:rsid w:val="00C53113"/>
    <w:rsid w:val="00C53267"/>
    <w:rsid w:val="00C53600"/>
    <w:rsid w:val="00C5373B"/>
    <w:rsid w:val="00C537B7"/>
    <w:rsid w:val="00C538AF"/>
    <w:rsid w:val="00C539E0"/>
    <w:rsid w:val="00C53ABF"/>
    <w:rsid w:val="00C53BE5"/>
    <w:rsid w:val="00C53D33"/>
    <w:rsid w:val="00C53DF5"/>
    <w:rsid w:val="00C53EFA"/>
    <w:rsid w:val="00C54240"/>
    <w:rsid w:val="00C54329"/>
    <w:rsid w:val="00C543A3"/>
    <w:rsid w:val="00C54450"/>
    <w:rsid w:val="00C54B50"/>
    <w:rsid w:val="00C54C3E"/>
    <w:rsid w:val="00C54D76"/>
    <w:rsid w:val="00C54E3D"/>
    <w:rsid w:val="00C54EC5"/>
    <w:rsid w:val="00C54F5C"/>
    <w:rsid w:val="00C5514F"/>
    <w:rsid w:val="00C5524C"/>
    <w:rsid w:val="00C555A6"/>
    <w:rsid w:val="00C55AB2"/>
    <w:rsid w:val="00C5616A"/>
    <w:rsid w:val="00C56533"/>
    <w:rsid w:val="00C565CE"/>
    <w:rsid w:val="00C5664E"/>
    <w:rsid w:val="00C56C22"/>
    <w:rsid w:val="00C56DDD"/>
    <w:rsid w:val="00C5717E"/>
    <w:rsid w:val="00C57855"/>
    <w:rsid w:val="00C57A2C"/>
    <w:rsid w:val="00C57AE6"/>
    <w:rsid w:val="00C601EB"/>
    <w:rsid w:val="00C60633"/>
    <w:rsid w:val="00C6076E"/>
    <w:rsid w:val="00C607A8"/>
    <w:rsid w:val="00C6090F"/>
    <w:rsid w:val="00C60956"/>
    <w:rsid w:val="00C60E05"/>
    <w:rsid w:val="00C60FC4"/>
    <w:rsid w:val="00C61237"/>
    <w:rsid w:val="00C61811"/>
    <w:rsid w:val="00C61AFF"/>
    <w:rsid w:val="00C61F0A"/>
    <w:rsid w:val="00C62A46"/>
    <w:rsid w:val="00C62A4A"/>
    <w:rsid w:val="00C62AE0"/>
    <w:rsid w:val="00C62C08"/>
    <w:rsid w:val="00C62F33"/>
    <w:rsid w:val="00C63030"/>
    <w:rsid w:val="00C63044"/>
    <w:rsid w:val="00C63108"/>
    <w:rsid w:val="00C63274"/>
    <w:rsid w:val="00C633FF"/>
    <w:rsid w:val="00C63535"/>
    <w:rsid w:val="00C63726"/>
    <w:rsid w:val="00C639A8"/>
    <w:rsid w:val="00C63B65"/>
    <w:rsid w:val="00C64256"/>
    <w:rsid w:val="00C64375"/>
    <w:rsid w:val="00C644D8"/>
    <w:rsid w:val="00C64755"/>
    <w:rsid w:val="00C64832"/>
    <w:rsid w:val="00C64D1B"/>
    <w:rsid w:val="00C64E3C"/>
    <w:rsid w:val="00C654B5"/>
    <w:rsid w:val="00C6566A"/>
    <w:rsid w:val="00C656D5"/>
    <w:rsid w:val="00C65A7A"/>
    <w:rsid w:val="00C65A91"/>
    <w:rsid w:val="00C65E68"/>
    <w:rsid w:val="00C66330"/>
    <w:rsid w:val="00C6647B"/>
    <w:rsid w:val="00C6651E"/>
    <w:rsid w:val="00C6673B"/>
    <w:rsid w:val="00C667CA"/>
    <w:rsid w:val="00C6685D"/>
    <w:rsid w:val="00C6687E"/>
    <w:rsid w:val="00C668B6"/>
    <w:rsid w:val="00C66E8D"/>
    <w:rsid w:val="00C6770A"/>
    <w:rsid w:val="00C678BD"/>
    <w:rsid w:val="00C67DFE"/>
    <w:rsid w:val="00C67EDE"/>
    <w:rsid w:val="00C705DD"/>
    <w:rsid w:val="00C710E4"/>
    <w:rsid w:val="00C7114C"/>
    <w:rsid w:val="00C715A1"/>
    <w:rsid w:val="00C717F3"/>
    <w:rsid w:val="00C71ED0"/>
    <w:rsid w:val="00C72396"/>
    <w:rsid w:val="00C726FA"/>
    <w:rsid w:val="00C7291E"/>
    <w:rsid w:val="00C72B94"/>
    <w:rsid w:val="00C72F83"/>
    <w:rsid w:val="00C7313D"/>
    <w:rsid w:val="00C731E6"/>
    <w:rsid w:val="00C735D4"/>
    <w:rsid w:val="00C73671"/>
    <w:rsid w:val="00C73764"/>
    <w:rsid w:val="00C73E8D"/>
    <w:rsid w:val="00C7408A"/>
    <w:rsid w:val="00C743D7"/>
    <w:rsid w:val="00C74493"/>
    <w:rsid w:val="00C74A55"/>
    <w:rsid w:val="00C74B84"/>
    <w:rsid w:val="00C74DE5"/>
    <w:rsid w:val="00C74E38"/>
    <w:rsid w:val="00C74F4E"/>
    <w:rsid w:val="00C7502A"/>
    <w:rsid w:val="00C7520D"/>
    <w:rsid w:val="00C755F9"/>
    <w:rsid w:val="00C75FBF"/>
    <w:rsid w:val="00C76054"/>
    <w:rsid w:val="00C763A9"/>
    <w:rsid w:val="00C76556"/>
    <w:rsid w:val="00C76599"/>
    <w:rsid w:val="00C7684C"/>
    <w:rsid w:val="00C76ADC"/>
    <w:rsid w:val="00C76B21"/>
    <w:rsid w:val="00C76C61"/>
    <w:rsid w:val="00C76F49"/>
    <w:rsid w:val="00C77102"/>
    <w:rsid w:val="00C7723E"/>
    <w:rsid w:val="00C778AA"/>
    <w:rsid w:val="00C77AA9"/>
    <w:rsid w:val="00C77ABD"/>
    <w:rsid w:val="00C77E3B"/>
    <w:rsid w:val="00C77FBD"/>
    <w:rsid w:val="00C8025B"/>
    <w:rsid w:val="00C80370"/>
    <w:rsid w:val="00C807E5"/>
    <w:rsid w:val="00C80A8E"/>
    <w:rsid w:val="00C80C53"/>
    <w:rsid w:val="00C80EF7"/>
    <w:rsid w:val="00C80F62"/>
    <w:rsid w:val="00C81106"/>
    <w:rsid w:val="00C8178F"/>
    <w:rsid w:val="00C81A56"/>
    <w:rsid w:val="00C81C3C"/>
    <w:rsid w:val="00C81D23"/>
    <w:rsid w:val="00C82018"/>
    <w:rsid w:val="00C82A32"/>
    <w:rsid w:val="00C82AD1"/>
    <w:rsid w:val="00C82B5B"/>
    <w:rsid w:val="00C82C3E"/>
    <w:rsid w:val="00C83A1A"/>
    <w:rsid w:val="00C83A33"/>
    <w:rsid w:val="00C83C50"/>
    <w:rsid w:val="00C83DEB"/>
    <w:rsid w:val="00C840A0"/>
    <w:rsid w:val="00C84181"/>
    <w:rsid w:val="00C8449A"/>
    <w:rsid w:val="00C84682"/>
    <w:rsid w:val="00C84D45"/>
    <w:rsid w:val="00C84EC2"/>
    <w:rsid w:val="00C85082"/>
    <w:rsid w:val="00C85966"/>
    <w:rsid w:val="00C85A55"/>
    <w:rsid w:val="00C85E08"/>
    <w:rsid w:val="00C86255"/>
    <w:rsid w:val="00C86950"/>
    <w:rsid w:val="00C86CB0"/>
    <w:rsid w:val="00C870FD"/>
    <w:rsid w:val="00C87439"/>
    <w:rsid w:val="00C87A9F"/>
    <w:rsid w:val="00C87BC2"/>
    <w:rsid w:val="00C87F4D"/>
    <w:rsid w:val="00C90036"/>
    <w:rsid w:val="00C90274"/>
    <w:rsid w:val="00C904EB"/>
    <w:rsid w:val="00C906EF"/>
    <w:rsid w:val="00C908D8"/>
    <w:rsid w:val="00C90A7B"/>
    <w:rsid w:val="00C90CEA"/>
    <w:rsid w:val="00C90F04"/>
    <w:rsid w:val="00C912A1"/>
    <w:rsid w:val="00C91446"/>
    <w:rsid w:val="00C914EC"/>
    <w:rsid w:val="00C91543"/>
    <w:rsid w:val="00C915EB"/>
    <w:rsid w:val="00C91D3D"/>
    <w:rsid w:val="00C91FD0"/>
    <w:rsid w:val="00C923C5"/>
    <w:rsid w:val="00C9243F"/>
    <w:rsid w:val="00C926FB"/>
    <w:rsid w:val="00C92786"/>
    <w:rsid w:val="00C927D4"/>
    <w:rsid w:val="00C92BED"/>
    <w:rsid w:val="00C93397"/>
    <w:rsid w:val="00C933A3"/>
    <w:rsid w:val="00C933EA"/>
    <w:rsid w:val="00C93468"/>
    <w:rsid w:val="00C93655"/>
    <w:rsid w:val="00C941B0"/>
    <w:rsid w:val="00C945C7"/>
    <w:rsid w:val="00C949CA"/>
    <w:rsid w:val="00C949DD"/>
    <w:rsid w:val="00C94D1E"/>
    <w:rsid w:val="00C9507F"/>
    <w:rsid w:val="00C9518F"/>
    <w:rsid w:val="00C953DA"/>
    <w:rsid w:val="00C9554C"/>
    <w:rsid w:val="00C95681"/>
    <w:rsid w:val="00C964DD"/>
    <w:rsid w:val="00C96A51"/>
    <w:rsid w:val="00C96A57"/>
    <w:rsid w:val="00C96C22"/>
    <w:rsid w:val="00C96C93"/>
    <w:rsid w:val="00C975AD"/>
    <w:rsid w:val="00C97D88"/>
    <w:rsid w:val="00C97DA6"/>
    <w:rsid w:val="00C97FEE"/>
    <w:rsid w:val="00CA0012"/>
    <w:rsid w:val="00CA0A56"/>
    <w:rsid w:val="00CA0CF3"/>
    <w:rsid w:val="00CA10DF"/>
    <w:rsid w:val="00CA1144"/>
    <w:rsid w:val="00CA1444"/>
    <w:rsid w:val="00CA149C"/>
    <w:rsid w:val="00CA178C"/>
    <w:rsid w:val="00CA17E0"/>
    <w:rsid w:val="00CA1875"/>
    <w:rsid w:val="00CA1C6B"/>
    <w:rsid w:val="00CA1ED4"/>
    <w:rsid w:val="00CA234E"/>
    <w:rsid w:val="00CA2895"/>
    <w:rsid w:val="00CA28AE"/>
    <w:rsid w:val="00CA2B76"/>
    <w:rsid w:val="00CA2CEB"/>
    <w:rsid w:val="00CA2D8A"/>
    <w:rsid w:val="00CA2E0D"/>
    <w:rsid w:val="00CA2EF9"/>
    <w:rsid w:val="00CA2F60"/>
    <w:rsid w:val="00CA3115"/>
    <w:rsid w:val="00CA326A"/>
    <w:rsid w:val="00CA3448"/>
    <w:rsid w:val="00CA36F8"/>
    <w:rsid w:val="00CA3737"/>
    <w:rsid w:val="00CA3750"/>
    <w:rsid w:val="00CA3752"/>
    <w:rsid w:val="00CA39D7"/>
    <w:rsid w:val="00CA3ED9"/>
    <w:rsid w:val="00CA3EF2"/>
    <w:rsid w:val="00CA420C"/>
    <w:rsid w:val="00CA427A"/>
    <w:rsid w:val="00CA43E1"/>
    <w:rsid w:val="00CA44E7"/>
    <w:rsid w:val="00CA471F"/>
    <w:rsid w:val="00CA47CE"/>
    <w:rsid w:val="00CA4837"/>
    <w:rsid w:val="00CA48BE"/>
    <w:rsid w:val="00CA49CB"/>
    <w:rsid w:val="00CA4DB1"/>
    <w:rsid w:val="00CA4FE2"/>
    <w:rsid w:val="00CA5049"/>
    <w:rsid w:val="00CA55C9"/>
    <w:rsid w:val="00CA577D"/>
    <w:rsid w:val="00CA5CCA"/>
    <w:rsid w:val="00CA5D69"/>
    <w:rsid w:val="00CA5D86"/>
    <w:rsid w:val="00CA5F73"/>
    <w:rsid w:val="00CA623F"/>
    <w:rsid w:val="00CA62AD"/>
    <w:rsid w:val="00CA66CE"/>
    <w:rsid w:val="00CA6EEB"/>
    <w:rsid w:val="00CA711F"/>
    <w:rsid w:val="00CA7CF0"/>
    <w:rsid w:val="00CB0022"/>
    <w:rsid w:val="00CB003B"/>
    <w:rsid w:val="00CB0047"/>
    <w:rsid w:val="00CB0429"/>
    <w:rsid w:val="00CB06B8"/>
    <w:rsid w:val="00CB07D4"/>
    <w:rsid w:val="00CB0C5E"/>
    <w:rsid w:val="00CB0E44"/>
    <w:rsid w:val="00CB0E88"/>
    <w:rsid w:val="00CB11C3"/>
    <w:rsid w:val="00CB1304"/>
    <w:rsid w:val="00CB174A"/>
    <w:rsid w:val="00CB1D56"/>
    <w:rsid w:val="00CB1E74"/>
    <w:rsid w:val="00CB1E96"/>
    <w:rsid w:val="00CB1FA9"/>
    <w:rsid w:val="00CB1FE4"/>
    <w:rsid w:val="00CB2118"/>
    <w:rsid w:val="00CB2572"/>
    <w:rsid w:val="00CB26B7"/>
    <w:rsid w:val="00CB3026"/>
    <w:rsid w:val="00CB3058"/>
    <w:rsid w:val="00CB318C"/>
    <w:rsid w:val="00CB37BD"/>
    <w:rsid w:val="00CB3895"/>
    <w:rsid w:val="00CB3CBD"/>
    <w:rsid w:val="00CB3EC4"/>
    <w:rsid w:val="00CB419D"/>
    <w:rsid w:val="00CB4296"/>
    <w:rsid w:val="00CB4358"/>
    <w:rsid w:val="00CB437F"/>
    <w:rsid w:val="00CB45C0"/>
    <w:rsid w:val="00CB45C7"/>
    <w:rsid w:val="00CB471D"/>
    <w:rsid w:val="00CB4A90"/>
    <w:rsid w:val="00CB4E74"/>
    <w:rsid w:val="00CB5225"/>
    <w:rsid w:val="00CB54E9"/>
    <w:rsid w:val="00CB55F8"/>
    <w:rsid w:val="00CB5671"/>
    <w:rsid w:val="00CB5773"/>
    <w:rsid w:val="00CB5FD6"/>
    <w:rsid w:val="00CB6040"/>
    <w:rsid w:val="00CB63B0"/>
    <w:rsid w:val="00CB697E"/>
    <w:rsid w:val="00CB6B54"/>
    <w:rsid w:val="00CB6BA7"/>
    <w:rsid w:val="00CB6C17"/>
    <w:rsid w:val="00CB6C1B"/>
    <w:rsid w:val="00CB6CDD"/>
    <w:rsid w:val="00CB6F88"/>
    <w:rsid w:val="00CB72C4"/>
    <w:rsid w:val="00CB74BB"/>
    <w:rsid w:val="00CB7584"/>
    <w:rsid w:val="00CB7645"/>
    <w:rsid w:val="00CB76B1"/>
    <w:rsid w:val="00CB778A"/>
    <w:rsid w:val="00CB7A0A"/>
    <w:rsid w:val="00CB7A8A"/>
    <w:rsid w:val="00CC0258"/>
    <w:rsid w:val="00CC069C"/>
    <w:rsid w:val="00CC07D4"/>
    <w:rsid w:val="00CC081B"/>
    <w:rsid w:val="00CC0909"/>
    <w:rsid w:val="00CC0987"/>
    <w:rsid w:val="00CC0A89"/>
    <w:rsid w:val="00CC0D0C"/>
    <w:rsid w:val="00CC0F28"/>
    <w:rsid w:val="00CC10C3"/>
    <w:rsid w:val="00CC17BE"/>
    <w:rsid w:val="00CC1A13"/>
    <w:rsid w:val="00CC1B84"/>
    <w:rsid w:val="00CC1C82"/>
    <w:rsid w:val="00CC2001"/>
    <w:rsid w:val="00CC2343"/>
    <w:rsid w:val="00CC2467"/>
    <w:rsid w:val="00CC2541"/>
    <w:rsid w:val="00CC27B8"/>
    <w:rsid w:val="00CC2874"/>
    <w:rsid w:val="00CC2B13"/>
    <w:rsid w:val="00CC2B4D"/>
    <w:rsid w:val="00CC2FBB"/>
    <w:rsid w:val="00CC3299"/>
    <w:rsid w:val="00CC3764"/>
    <w:rsid w:val="00CC3789"/>
    <w:rsid w:val="00CC3B08"/>
    <w:rsid w:val="00CC3D7D"/>
    <w:rsid w:val="00CC4210"/>
    <w:rsid w:val="00CC43F3"/>
    <w:rsid w:val="00CC4A97"/>
    <w:rsid w:val="00CC4C02"/>
    <w:rsid w:val="00CC502D"/>
    <w:rsid w:val="00CC51CC"/>
    <w:rsid w:val="00CC51E3"/>
    <w:rsid w:val="00CC5267"/>
    <w:rsid w:val="00CC557A"/>
    <w:rsid w:val="00CC55EF"/>
    <w:rsid w:val="00CC584D"/>
    <w:rsid w:val="00CC5C3D"/>
    <w:rsid w:val="00CC6293"/>
    <w:rsid w:val="00CC6A74"/>
    <w:rsid w:val="00CC708B"/>
    <w:rsid w:val="00CC7195"/>
    <w:rsid w:val="00CC7237"/>
    <w:rsid w:val="00CC7372"/>
    <w:rsid w:val="00CC754B"/>
    <w:rsid w:val="00CD076B"/>
    <w:rsid w:val="00CD0D33"/>
    <w:rsid w:val="00CD14E2"/>
    <w:rsid w:val="00CD1670"/>
    <w:rsid w:val="00CD174D"/>
    <w:rsid w:val="00CD190F"/>
    <w:rsid w:val="00CD1BC6"/>
    <w:rsid w:val="00CD20CB"/>
    <w:rsid w:val="00CD2666"/>
    <w:rsid w:val="00CD28F2"/>
    <w:rsid w:val="00CD2FF1"/>
    <w:rsid w:val="00CD312E"/>
    <w:rsid w:val="00CD3180"/>
    <w:rsid w:val="00CD342D"/>
    <w:rsid w:val="00CD34CD"/>
    <w:rsid w:val="00CD36B4"/>
    <w:rsid w:val="00CD36D8"/>
    <w:rsid w:val="00CD385A"/>
    <w:rsid w:val="00CD3916"/>
    <w:rsid w:val="00CD3C18"/>
    <w:rsid w:val="00CD3D24"/>
    <w:rsid w:val="00CD3F13"/>
    <w:rsid w:val="00CD3F37"/>
    <w:rsid w:val="00CD4265"/>
    <w:rsid w:val="00CD42BE"/>
    <w:rsid w:val="00CD43AA"/>
    <w:rsid w:val="00CD4D0D"/>
    <w:rsid w:val="00CD4DC4"/>
    <w:rsid w:val="00CD500E"/>
    <w:rsid w:val="00CD504E"/>
    <w:rsid w:val="00CD50FD"/>
    <w:rsid w:val="00CD5219"/>
    <w:rsid w:val="00CD5447"/>
    <w:rsid w:val="00CD55D3"/>
    <w:rsid w:val="00CD5F3F"/>
    <w:rsid w:val="00CD64F3"/>
    <w:rsid w:val="00CD6E9E"/>
    <w:rsid w:val="00CD6EB5"/>
    <w:rsid w:val="00CD6F40"/>
    <w:rsid w:val="00CD71BE"/>
    <w:rsid w:val="00CD7282"/>
    <w:rsid w:val="00CD79F7"/>
    <w:rsid w:val="00CD7AD6"/>
    <w:rsid w:val="00CD7B4D"/>
    <w:rsid w:val="00CD7E58"/>
    <w:rsid w:val="00CE0077"/>
    <w:rsid w:val="00CE0188"/>
    <w:rsid w:val="00CE0334"/>
    <w:rsid w:val="00CE05AE"/>
    <w:rsid w:val="00CE0AE1"/>
    <w:rsid w:val="00CE0C0A"/>
    <w:rsid w:val="00CE0CF8"/>
    <w:rsid w:val="00CE0EC2"/>
    <w:rsid w:val="00CE0FB6"/>
    <w:rsid w:val="00CE137C"/>
    <w:rsid w:val="00CE1E69"/>
    <w:rsid w:val="00CE1F3F"/>
    <w:rsid w:val="00CE1FD4"/>
    <w:rsid w:val="00CE227A"/>
    <w:rsid w:val="00CE22FE"/>
    <w:rsid w:val="00CE28C6"/>
    <w:rsid w:val="00CE2AA6"/>
    <w:rsid w:val="00CE2B63"/>
    <w:rsid w:val="00CE3262"/>
    <w:rsid w:val="00CE39D6"/>
    <w:rsid w:val="00CE3A9E"/>
    <w:rsid w:val="00CE3B53"/>
    <w:rsid w:val="00CE3F4F"/>
    <w:rsid w:val="00CE43F9"/>
    <w:rsid w:val="00CE490E"/>
    <w:rsid w:val="00CE4C44"/>
    <w:rsid w:val="00CE51C3"/>
    <w:rsid w:val="00CE51E6"/>
    <w:rsid w:val="00CE5212"/>
    <w:rsid w:val="00CE550C"/>
    <w:rsid w:val="00CE5684"/>
    <w:rsid w:val="00CE56ED"/>
    <w:rsid w:val="00CE5923"/>
    <w:rsid w:val="00CE5B9F"/>
    <w:rsid w:val="00CE62B8"/>
    <w:rsid w:val="00CE63F3"/>
    <w:rsid w:val="00CE6513"/>
    <w:rsid w:val="00CE66BA"/>
    <w:rsid w:val="00CE70A9"/>
    <w:rsid w:val="00CE718E"/>
    <w:rsid w:val="00CE7CEA"/>
    <w:rsid w:val="00CE7E18"/>
    <w:rsid w:val="00CE7E3A"/>
    <w:rsid w:val="00CF00EB"/>
    <w:rsid w:val="00CF00F3"/>
    <w:rsid w:val="00CF02E8"/>
    <w:rsid w:val="00CF0473"/>
    <w:rsid w:val="00CF0945"/>
    <w:rsid w:val="00CF099C"/>
    <w:rsid w:val="00CF1141"/>
    <w:rsid w:val="00CF123D"/>
    <w:rsid w:val="00CF12C0"/>
    <w:rsid w:val="00CF1664"/>
    <w:rsid w:val="00CF16B3"/>
    <w:rsid w:val="00CF192F"/>
    <w:rsid w:val="00CF1C25"/>
    <w:rsid w:val="00CF1E82"/>
    <w:rsid w:val="00CF2129"/>
    <w:rsid w:val="00CF2459"/>
    <w:rsid w:val="00CF2560"/>
    <w:rsid w:val="00CF2F3B"/>
    <w:rsid w:val="00CF38B9"/>
    <w:rsid w:val="00CF3B5B"/>
    <w:rsid w:val="00CF3FDA"/>
    <w:rsid w:val="00CF3FE9"/>
    <w:rsid w:val="00CF4170"/>
    <w:rsid w:val="00CF478D"/>
    <w:rsid w:val="00CF51F4"/>
    <w:rsid w:val="00CF5766"/>
    <w:rsid w:val="00CF59CB"/>
    <w:rsid w:val="00CF5BFF"/>
    <w:rsid w:val="00CF5D86"/>
    <w:rsid w:val="00CF5DFD"/>
    <w:rsid w:val="00CF6149"/>
    <w:rsid w:val="00CF627E"/>
    <w:rsid w:val="00CF6458"/>
    <w:rsid w:val="00CF6502"/>
    <w:rsid w:val="00CF6806"/>
    <w:rsid w:val="00CF6E46"/>
    <w:rsid w:val="00CF70A0"/>
    <w:rsid w:val="00CF741E"/>
    <w:rsid w:val="00CF74EE"/>
    <w:rsid w:val="00CF7676"/>
    <w:rsid w:val="00CF79EE"/>
    <w:rsid w:val="00CF7A1A"/>
    <w:rsid w:val="00CF7E1A"/>
    <w:rsid w:val="00CF7EDA"/>
    <w:rsid w:val="00D00331"/>
    <w:rsid w:val="00D003AC"/>
    <w:rsid w:val="00D00445"/>
    <w:rsid w:val="00D00501"/>
    <w:rsid w:val="00D00566"/>
    <w:rsid w:val="00D00827"/>
    <w:rsid w:val="00D00A31"/>
    <w:rsid w:val="00D00ED7"/>
    <w:rsid w:val="00D00FA7"/>
    <w:rsid w:val="00D011F0"/>
    <w:rsid w:val="00D01432"/>
    <w:rsid w:val="00D01678"/>
    <w:rsid w:val="00D01911"/>
    <w:rsid w:val="00D019AB"/>
    <w:rsid w:val="00D01A6E"/>
    <w:rsid w:val="00D01CAE"/>
    <w:rsid w:val="00D02CE5"/>
    <w:rsid w:val="00D02FAC"/>
    <w:rsid w:val="00D03198"/>
    <w:rsid w:val="00D03227"/>
    <w:rsid w:val="00D03312"/>
    <w:rsid w:val="00D03320"/>
    <w:rsid w:val="00D039E1"/>
    <w:rsid w:val="00D03A23"/>
    <w:rsid w:val="00D03ACF"/>
    <w:rsid w:val="00D03EA3"/>
    <w:rsid w:val="00D03EB5"/>
    <w:rsid w:val="00D03EE0"/>
    <w:rsid w:val="00D03FDF"/>
    <w:rsid w:val="00D043A5"/>
    <w:rsid w:val="00D04469"/>
    <w:rsid w:val="00D04581"/>
    <w:rsid w:val="00D04B3C"/>
    <w:rsid w:val="00D04B3F"/>
    <w:rsid w:val="00D04CD9"/>
    <w:rsid w:val="00D04E54"/>
    <w:rsid w:val="00D04F73"/>
    <w:rsid w:val="00D050E6"/>
    <w:rsid w:val="00D05392"/>
    <w:rsid w:val="00D056F6"/>
    <w:rsid w:val="00D057AA"/>
    <w:rsid w:val="00D05AC0"/>
    <w:rsid w:val="00D05BA0"/>
    <w:rsid w:val="00D06114"/>
    <w:rsid w:val="00D068AF"/>
    <w:rsid w:val="00D068C5"/>
    <w:rsid w:val="00D06D1F"/>
    <w:rsid w:val="00D06E97"/>
    <w:rsid w:val="00D07435"/>
    <w:rsid w:val="00D07D02"/>
    <w:rsid w:val="00D102D3"/>
    <w:rsid w:val="00D1044D"/>
    <w:rsid w:val="00D10476"/>
    <w:rsid w:val="00D10AE4"/>
    <w:rsid w:val="00D11069"/>
    <w:rsid w:val="00D111DB"/>
    <w:rsid w:val="00D113E0"/>
    <w:rsid w:val="00D116B4"/>
    <w:rsid w:val="00D117B3"/>
    <w:rsid w:val="00D1181E"/>
    <w:rsid w:val="00D119D7"/>
    <w:rsid w:val="00D11F5F"/>
    <w:rsid w:val="00D1261C"/>
    <w:rsid w:val="00D128EA"/>
    <w:rsid w:val="00D12A58"/>
    <w:rsid w:val="00D12AA0"/>
    <w:rsid w:val="00D12AEF"/>
    <w:rsid w:val="00D12B13"/>
    <w:rsid w:val="00D12C72"/>
    <w:rsid w:val="00D12E1F"/>
    <w:rsid w:val="00D12E9A"/>
    <w:rsid w:val="00D12EC4"/>
    <w:rsid w:val="00D1337E"/>
    <w:rsid w:val="00D13660"/>
    <w:rsid w:val="00D13700"/>
    <w:rsid w:val="00D13935"/>
    <w:rsid w:val="00D1396D"/>
    <w:rsid w:val="00D13C50"/>
    <w:rsid w:val="00D1438D"/>
    <w:rsid w:val="00D14AF6"/>
    <w:rsid w:val="00D14BCF"/>
    <w:rsid w:val="00D14C02"/>
    <w:rsid w:val="00D14C5B"/>
    <w:rsid w:val="00D14D2E"/>
    <w:rsid w:val="00D14EB8"/>
    <w:rsid w:val="00D14F60"/>
    <w:rsid w:val="00D14FC6"/>
    <w:rsid w:val="00D150B6"/>
    <w:rsid w:val="00D15195"/>
    <w:rsid w:val="00D15439"/>
    <w:rsid w:val="00D16358"/>
    <w:rsid w:val="00D1653B"/>
    <w:rsid w:val="00D16590"/>
    <w:rsid w:val="00D168C3"/>
    <w:rsid w:val="00D16ACE"/>
    <w:rsid w:val="00D16C31"/>
    <w:rsid w:val="00D16FF3"/>
    <w:rsid w:val="00D1724B"/>
    <w:rsid w:val="00D17352"/>
    <w:rsid w:val="00D17549"/>
    <w:rsid w:val="00D17886"/>
    <w:rsid w:val="00D178B2"/>
    <w:rsid w:val="00D179A0"/>
    <w:rsid w:val="00D17B51"/>
    <w:rsid w:val="00D17BEC"/>
    <w:rsid w:val="00D17C9E"/>
    <w:rsid w:val="00D17F6B"/>
    <w:rsid w:val="00D20052"/>
    <w:rsid w:val="00D202C1"/>
    <w:rsid w:val="00D20739"/>
    <w:rsid w:val="00D20956"/>
    <w:rsid w:val="00D20DCB"/>
    <w:rsid w:val="00D20FD9"/>
    <w:rsid w:val="00D2108D"/>
    <w:rsid w:val="00D2119F"/>
    <w:rsid w:val="00D21587"/>
    <w:rsid w:val="00D21B7A"/>
    <w:rsid w:val="00D222B3"/>
    <w:rsid w:val="00D2234F"/>
    <w:rsid w:val="00D2252C"/>
    <w:rsid w:val="00D225EE"/>
    <w:rsid w:val="00D22C4B"/>
    <w:rsid w:val="00D22C7C"/>
    <w:rsid w:val="00D22D4F"/>
    <w:rsid w:val="00D2304F"/>
    <w:rsid w:val="00D230FB"/>
    <w:rsid w:val="00D23106"/>
    <w:rsid w:val="00D23949"/>
    <w:rsid w:val="00D23B13"/>
    <w:rsid w:val="00D2438F"/>
    <w:rsid w:val="00D24649"/>
    <w:rsid w:val="00D246BB"/>
    <w:rsid w:val="00D248DA"/>
    <w:rsid w:val="00D2491A"/>
    <w:rsid w:val="00D24DC2"/>
    <w:rsid w:val="00D24E5A"/>
    <w:rsid w:val="00D2515A"/>
    <w:rsid w:val="00D251BB"/>
    <w:rsid w:val="00D2592A"/>
    <w:rsid w:val="00D259F3"/>
    <w:rsid w:val="00D25AB9"/>
    <w:rsid w:val="00D25AC1"/>
    <w:rsid w:val="00D25D62"/>
    <w:rsid w:val="00D25E57"/>
    <w:rsid w:val="00D26695"/>
    <w:rsid w:val="00D26AE1"/>
    <w:rsid w:val="00D26C1B"/>
    <w:rsid w:val="00D26E2F"/>
    <w:rsid w:val="00D27387"/>
    <w:rsid w:val="00D2770D"/>
    <w:rsid w:val="00D27848"/>
    <w:rsid w:val="00D27A8B"/>
    <w:rsid w:val="00D27B84"/>
    <w:rsid w:val="00D30265"/>
    <w:rsid w:val="00D30436"/>
    <w:rsid w:val="00D30840"/>
    <w:rsid w:val="00D3086B"/>
    <w:rsid w:val="00D30F1E"/>
    <w:rsid w:val="00D31000"/>
    <w:rsid w:val="00D31118"/>
    <w:rsid w:val="00D31320"/>
    <w:rsid w:val="00D317A9"/>
    <w:rsid w:val="00D317F6"/>
    <w:rsid w:val="00D31827"/>
    <w:rsid w:val="00D31C59"/>
    <w:rsid w:val="00D31EC6"/>
    <w:rsid w:val="00D3214B"/>
    <w:rsid w:val="00D32341"/>
    <w:rsid w:val="00D323C3"/>
    <w:rsid w:val="00D328A5"/>
    <w:rsid w:val="00D32A89"/>
    <w:rsid w:val="00D32C59"/>
    <w:rsid w:val="00D32EA2"/>
    <w:rsid w:val="00D32F15"/>
    <w:rsid w:val="00D330C7"/>
    <w:rsid w:val="00D3352C"/>
    <w:rsid w:val="00D33AAC"/>
    <w:rsid w:val="00D33C84"/>
    <w:rsid w:val="00D33CD5"/>
    <w:rsid w:val="00D34413"/>
    <w:rsid w:val="00D34552"/>
    <w:rsid w:val="00D3456A"/>
    <w:rsid w:val="00D349A0"/>
    <w:rsid w:val="00D34AD4"/>
    <w:rsid w:val="00D34FEA"/>
    <w:rsid w:val="00D3514D"/>
    <w:rsid w:val="00D35759"/>
    <w:rsid w:val="00D35B27"/>
    <w:rsid w:val="00D35BE6"/>
    <w:rsid w:val="00D35EE2"/>
    <w:rsid w:val="00D3624F"/>
    <w:rsid w:val="00D36598"/>
    <w:rsid w:val="00D365AD"/>
    <w:rsid w:val="00D368CB"/>
    <w:rsid w:val="00D368F7"/>
    <w:rsid w:val="00D37310"/>
    <w:rsid w:val="00D37505"/>
    <w:rsid w:val="00D3770C"/>
    <w:rsid w:val="00D378BD"/>
    <w:rsid w:val="00D37BC4"/>
    <w:rsid w:val="00D37C7E"/>
    <w:rsid w:val="00D37DCE"/>
    <w:rsid w:val="00D37DDE"/>
    <w:rsid w:val="00D37E38"/>
    <w:rsid w:val="00D40036"/>
    <w:rsid w:val="00D40087"/>
    <w:rsid w:val="00D40258"/>
    <w:rsid w:val="00D40287"/>
    <w:rsid w:val="00D40360"/>
    <w:rsid w:val="00D40CCB"/>
    <w:rsid w:val="00D40ECF"/>
    <w:rsid w:val="00D40EE4"/>
    <w:rsid w:val="00D411AC"/>
    <w:rsid w:val="00D415B6"/>
    <w:rsid w:val="00D415DF"/>
    <w:rsid w:val="00D4161C"/>
    <w:rsid w:val="00D4167B"/>
    <w:rsid w:val="00D41D09"/>
    <w:rsid w:val="00D41D77"/>
    <w:rsid w:val="00D4202D"/>
    <w:rsid w:val="00D427FA"/>
    <w:rsid w:val="00D428A9"/>
    <w:rsid w:val="00D429E9"/>
    <w:rsid w:val="00D42A8F"/>
    <w:rsid w:val="00D42D30"/>
    <w:rsid w:val="00D42F1C"/>
    <w:rsid w:val="00D431E1"/>
    <w:rsid w:val="00D4336B"/>
    <w:rsid w:val="00D43770"/>
    <w:rsid w:val="00D43CCA"/>
    <w:rsid w:val="00D43FA5"/>
    <w:rsid w:val="00D44083"/>
    <w:rsid w:val="00D44354"/>
    <w:rsid w:val="00D445DB"/>
    <w:rsid w:val="00D446C8"/>
    <w:rsid w:val="00D44AAE"/>
    <w:rsid w:val="00D44B9C"/>
    <w:rsid w:val="00D44DED"/>
    <w:rsid w:val="00D450F3"/>
    <w:rsid w:val="00D45106"/>
    <w:rsid w:val="00D453BE"/>
    <w:rsid w:val="00D45B06"/>
    <w:rsid w:val="00D45FCF"/>
    <w:rsid w:val="00D46504"/>
    <w:rsid w:val="00D4650A"/>
    <w:rsid w:val="00D46595"/>
    <w:rsid w:val="00D46689"/>
    <w:rsid w:val="00D4699E"/>
    <w:rsid w:val="00D46D38"/>
    <w:rsid w:val="00D46E18"/>
    <w:rsid w:val="00D46F47"/>
    <w:rsid w:val="00D47035"/>
    <w:rsid w:val="00D470AE"/>
    <w:rsid w:val="00D47159"/>
    <w:rsid w:val="00D47A5B"/>
    <w:rsid w:val="00D47C0F"/>
    <w:rsid w:val="00D47F36"/>
    <w:rsid w:val="00D50004"/>
    <w:rsid w:val="00D50416"/>
    <w:rsid w:val="00D505D7"/>
    <w:rsid w:val="00D50649"/>
    <w:rsid w:val="00D50854"/>
    <w:rsid w:val="00D50A7C"/>
    <w:rsid w:val="00D50AD1"/>
    <w:rsid w:val="00D50EDE"/>
    <w:rsid w:val="00D513F3"/>
    <w:rsid w:val="00D51446"/>
    <w:rsid w:val="00D5148E"/>
    <w:rsid w:val="00D518D6"/>
    <w:rsid w:val="00D519A7"/>
    <w:rsid w:val="00D51DAE"/>
    <w:rsid w:val="00D51E29"/>
    <w:rsid w:val="00D51EF8"/>
    <w:rsid w:val="00D521BE"/>
    <w:rsid w:val="00D522BF"/>
    <w:rsid w:val="00D52625"/>
    <w:rsid w:val="00D52711"/>
    <w:rsid w:val="00D52B6D"/>
    <w:rsid w:val="00D52BF3"/>
    <w:rsid w:val="00D53263"/>
    <w:rsid w:val="00D537E5"/>
    <w:rsid w:val="00D53920"/>
    <w:rsid w:val="00D5392D"/>
    <w:rsid w:val="00D53E82"/>
    <w:rsid w:val="00D5474E"/>
    <w:rsid w:val="00D549B2"/>
    <w:rsid w:val="00D54FC3"/>
    <w:rsid w:val="00D5539A"/>
    <w:rsid w:val="00D55921"/>
    <w:rsid w:val="00D5592D"/>
    <w:rsid w:val="00D55986"/>
    <w:rsid w:val="00D55BDE"/>
    <w:rsid w:val="00D55CDD"/>
    <w:rsid w:val="00D55CFB"/>
    <w:rsid w:val="00D56C47"/>
    <w:rsid w:val="00D56CB5"/>
    <w:rsid w:val="00D56D1B"/>
    <w:rsid w:val="00D570B2"/>
    <w:rsid w:val="00D5716D"/>
    <w:rsid w:val="00D57250"/>
    <w:rsid w:val="00D576CE"/>
    <w:rsid w:val="00D57866"/>
    <w:rsid w:val="00D57B70"/>
    <w:rsid w:val="00D57F2A"/>
    <w:rsid w:val="00D60232"/>
    <w:rsid w:val="00D609C1"/>
    <w:rsid w:val="00D60B22"/>
    <w:rsid w:val="00D60BCD"/>
    <w:rsid w:val="00D60C04"/>
    <w:rsid w:val="00D60C15"/>
    <w:rsid w:val="00D60CAC"/>
    <w:rsid w:val="00D60D1A"/>
    <w:rsid w:val="00D60EAD"/>
    <w:rsid w:val="00D613F8"/>
    <w:rsid w:val="00D61A19"/>
    <w:rsid w:val="00D61C2F"/>
    <w:rsid w:val="00D61D5D"/>
    <w:rsid w:val="00D62077"/>
    <w:rsid w:val="00D6218F"/>
    <w:rsid w:val="00D62263"/>
    <w:rsid w:val="00D6232A"/>
    <w:rsid w:val="00D62788"/>
    <w:rsid w:val="00D627CB"/>
    <w:rsid w:val="00D62AF4"/>
    <w:rsid w:val="00D62C13"/>
    <w:rsid w:val="00D633A7"/>
    <w:rsid w:val="00D6382D"/>
    <w:rsid w:val="00D63EE3"/>
    <w:rsid w:val="00D641AB"/>
    <w:rsid w:val="00D64450"/>
    <w:rsid w:val="00D6480D"/>
    <w:rsid w:val="00D64F8C"/>
    <w:rsid w:val="00D652E7"/>
    <w:rsid w:val="00D65307"/>
    <w:rsid w:val="00D6585E"/>
    <w:rsid w:val="00D65BE2"/>
    <w:rsid w:val="00D65DD4"/>
    <w:rsid w:val="00D65F44"/>
    <w:rsid w:val="00D66121"/>
    <w:rsid w:val="00D661CA"/>
    <w:rsid w:val="00D668C6"/>
    <w:rsid w:val="00D66A6E"/>
    <w:rsid w:val="00D66A91"/>
    <w:rsid w:val="00D66B27"/>
    <w:rsid w:val="00D66B35"/>
    <w:rsid w:val="00D66BB9"/>
    <w:rsid w:val="00D66FD7"/>
    <w:rsid w:val="00D675F4"/>
    <w:rsid w:val="00D676DF"/>
    <w:rsid w:val="00D67BD1"/>
    <w:rsid w:val="00D67D84"/>
    <w:rsid w:val="00D67DFB"/>
    <w:rsid w:val="00D67E8C"/>
    <w:rsid w:val="00D70083"/>
    <w:rsid w:val="00D70365"/>
    <w:rsid w:val="00D7096B"/>
    <w:rsid w:val="00D709C1"/>
    <w:rsid w:val="00D70B51"/>
    <w:rsid w:val="00D70E34"/>
    <w:rsid w:val="00D710F0"/>
    <w:rsid w:val="00D71389"/>
    <w:rsid w:val="00D7140A"/>
    <w:rsid w:val="00D71601"/>
    <w:rsid w:val="00D71884"/>
    <w:rsid w:val="00D71A32"/>
    <w:rsid w:val="00D71CFE"/>
    <w:rsid w:val="00D71D84"/>
    <w:rsid w:val="00D720C9"/>
    <w:rsid w:val="00D724C2"/>
    <w:rsid w:val="00D72697"/>
    <w:rsid w:val="00D72705"/>
    <w:rsid w:val="00D72927"/>
    <w:rsid w:val="00D72939"/>
    <w:rsid w:val="00D72A4F"/>
    <w:rsid w:val="00D72DE4"/>
    <w:rsid w:val="00D72DE5"/>
    <w:rsid w:val="00D72DFD"/>
    <w:rsid w:val="00D72F11"/>
    <w:rsid w:val="00D733AF"/>
    <w:rsid w:val="00D733B5"/>
    <w:rsid w:val="00D733C6"/>
    <w:rsid w:val="00D734EA"/>
    <w:rsid w:val="00D73531"/>
    <w:rsid w:val="00D73540"/>
    <w:rsid w:val="00D73656"/>
    <w:rsid w:val="00D73A6E"/>
    <w:rsid w:val="00D73E94"/>
    <w:rsid w:val="00D7401F"/>
    <w:rsid w:val="00D74203"/>
    <w:rsid w:val="00D74283"/>
    <w:rsid w:val="00D742EB"/>
    <w:rsid w:val="00D742F7"/>
    <w:rsid w:val="00D74362"/>
    <w:rsid w:val="00D74CA2"/>
    <w:rsid w:val="00D74E22"/>
    <w:rsid w:val="00D74F82"/>
    <w:rsid w:val="00D7535E"/>
    <w:rsid w:val="00D7575D"/>
    <w:rsid w:val="00D75824"/>
    <w:rsid w:val="00D75A8F"/>
    <w:rsid w:val="00D75B25"/>
    <w:rsid w:val="00D75B7B"/>
    <w:rsid w:val="00D76840"/>
    <w:rsid w:val="00D76B40"/>
    <w:rsid w:val="00D76B67"/>
    <w:rsid w:val="00D76B8A"/>
    <w:rsid w:val="00D76E96"/>
    <w:rsid w:val="00D76EA7"/>
    <w:rsid w:val="00D770ED"/>
    <w:rsid w:val="00D771DB"/>
    <w:rsid w:val="00D77595"/>
    <w:rsid w:val="00D77607"/>
    <w:rsid w:val="00D779AB"/>
    <w:rsid w:val="00D77D76"/>
    <w:rsid w:val="00D77F6A"/>
    <w:rsid w:val="00D80198"/>
    <w:rsid w:val="00D803D2"/>
    <w:rsid w:val="00D8040C"/>
    <w:rsid w:val="00D809DB"/>
    <w:rsid w:val="00D80B6B"/>
    <w:rsid w:val="00D80D11"/>
    <w:rsid w:val="00D81193"/>
    <w:rsid w:val="00D8119F"/>
    <w:rsid w:val="00D81CEA"/>
    <w:rsid w:val="00D82046"/>
    <w:rsid w:val="00D829EC"/>
    <w:rsid w:val="00D82F8C"/>
    <w:rsid w:val="00D83145"/>
    <w:rsid w:val="00D8317B"/>
    <w:rsid w:val="00D831E7"/>
    <w:rsid w:val="00D835E4"/>
    <w:rsid w:val="00D837B7"/>
    <w:rsid w:val="00D8398A"/>
    <w:rsid w:val="00D83A01"/>
    <w:rsid w:val="00D83F5B"/>
    <w:rsid w:val="00D84250"/>
    <w:rsid w:val="00D8456C"/>
    <w:rsid w:val="00D84B7C"/>
    <w:rsid w:val="00D85025"/>
    <w:rsid w:val="00D8524F"/>
    <w:rsid w:val="00D85633"/>
    <w:rsid w:val="00D85769"/>
    <w:rsid w:val="00D85B35"/>
    <w:rsid w:val="00D85D74"/>
    <w:rsid w:val="00D86B7C"/>
    <w:rsid w:val="00D86BA7"/>
    <w:rsid w:val="00D86C58"/>
    <w:rsid w:val="00D86D5C"/>
    <w:rsid w:val="00D87158"/>
    <w:rsid w:val="00D87287"/>
    <w:rsid w:val="00D873DE"/>
    <w:rsid w:val="00D874D6"/>
    <w:rsid w:val="00D8752D"/>
    <w:rsid w:val="00D875C9"/>
    <w:rsid w:val="00D877BB"/>
    <w:rsid w:val="00D87879"/>
    <w:rsid w:val="00D87B3B"/>
    <w:rsid w:val="00D87CE4"/>
    <w:rsid w:val="00D87CF0"/>
    <w:rsid w:val="00D87D82"/>
    <w:rsid w:val="00D87EAF"/>
    <w:rsid w:val="00D90247"/>
    <w:rsid w:val="00D90318"/>
    <w:rsid w:val="00D90635"/>
    <w:rsid w:val="00D906CF"/>
    <w:rsid w:val="00D90E19"/>
    <w:rsid w:val="00D90FFF"/>
    <w:rsid w:val="00D91075"/>
    <w:rsid w:val="00D911C8"/>
    <w:rsid w:val="00D9132A"/>
    <w:rsid w:val="00D91463"/>
    <w:rsid w:val="00D91489"/>
    <w:rsid w:val="00D9178D"/>
    <w:rsid w:val="00D9180F"/>
    <w:rsid w:val="00D91A99"/>
    <w:rsid w:val="00D91B5D"/>
    <w:rsid w:val="00D91B64"/>
    <w:rsid w:val="00D91C86"/>
    <w:rsid w:val="00D92085"/>
    <w:rsid w:val="00D9222C"/>
    <w:rsid w:val="00D9229B"/>
    <w:rsid w:val="00D9256E"/>
    <w:rsid w:val="00D92651"/>
    <w:rsid w:val="00D928D3"/>
    <w:rsid w:val="00D929D4"/>
    <w:rsid w:val="00D92E5A"/>
    <w:rsid w:val="00D92FD6"/>
    <w:rsid w:val="00D930C6"/>
    <w:rsid w:val="00D93247"/>
    <w:rsid w:val="00D93575"/>
    <w:rsid w:val="00D93604"/>
    <w:rsid w:val="00D93C2E"/>
    <w:rsid w:val="00D94147"/>
    <w:rsid w:val="00D941D2"/>
    <w:rsid w:val="00D942F2"/>
    <w:rsid w:val="00D943FE"/>
    <w:rsid w:val="00D94675"/>
    <w:rsid w:val="00D947B3"/>
    <w:rsid w:val="00D94843"/>
    <w:rsid w:val="00D94A18"/>
    <w:rsid w:val="00D94BC7"/>
    <w:rsid w:val="00D94CFB"/>
    <w:rsid w:val="00D94DF8"/>
    <w:rsid w:val="00D94E93"/>
    <w:rsid w:val="00D9520F"/>
    <w:rsid w:val="00D9577A"/>
    <w:rsid w:val="00D95784"/>
    <w:rsid w:val="00D95809"/>
    <w:rsid w:val="00D959DE"/>
    <w:rsid w:val="00D95B3E"/>
    <w:rsid w:val="00D95C4A"/>
    <w:rsid w:val="00D95EE4"/>
    <w:rsid w:val="00D965D0"/>
    <w:rsid w:val="00D96A4A"/>
    <w:rsid w:val="00D96D2C"/>
    <w:rsid w:val="00D96E37"/>
    <w:rsid w:val="00D96F2D"/>
    <w:rsid w:val="00D96F5C"/>
    <w:rsid w:val="00D97066"/>
    <w:rsid w:val="00D97167"/>
    <w:rsid w:val="00D972B0"/>
    <w:rsid w:val="00D9746D"/>
    <w:rsid w:val="00D977AB"/>
    <w:rsid w:val="00D977AF"/>
    <w:rsid w:val="00D977CC"/>
    <w:rsid w:val="00D97BEF"/>
    <w:rsid w:val="00DA029F"/>
    <w:rsid w:val="00DA03B4"/>
    <w:rsid w:val="00DA03D5"/>
    <w:rsid w:val="00DA07D0"/>
    <w:rsid w:val="00DA0A2F"/>
    <w:rsid w:val="00DA0CD3"/>
    <w:rsid w:val="00DA10DD"/>
    <w:rsid w:val="00DA13B2"/>
    <w:rsid w:val="00DA16FC"/>
    <w:rsid w:val="00DA1794"/>
    <w:rsid w:val="00DA1A07"/>
    <w:rsid w:val="00DA2028"/>
    <w:rsid w:val="00DA28A1"/>
    <w:rsid w:val="00DA291F"/>
    <w:rsid w:val="00DA29E3"/>
    <w:rsid w:val="00DA2A90"/>
    <w:rsid w:val="00DA2C83"/>
    <w:rsid w:val="00DA30B2"/>
    <w:rsid w:val="00DA3145"/>
    <w:rsid w:val="00DA36F9"/>
    <w:rsid w:val="00DA380C"/>
    <w:rsid w:val="00DA3A70"/>
    <w:rsid w:val="00DA41E4"/>
    <w:rsid w:val="00DA4271"/>
    <w:rsid w:val="00DA431B"/>
    <w:rsid w:val="00DA47F9"/>
    <w:rsid w:val="00DA4A69"/>
    <w:rsid w:val="00DA4B19"/>
    <w:rsid w:val="00DA4DAC"/>
    <w:rsid w:val="00DA5005"/>
    <w:rsid w:val="00DA520D"/>
    <w:rsid w:val="00DA534F"/>
    <w:rsid w:val="00DA5648"/>
    <w:rsid w:val="00DA590F"/>
    <w:rsid w:val="00DA59E9"/>
    <w:rsid w:val="00DA5BF2"/>
    <w:rsid w:val="00DA5BF6"/>
    <w:rsid w:val="00DA5C23"/>
    <w:rsid w:val="00DA5DDE"/>
    <w:rsid w:val="00DA5E90"/>
    <w:rsid w:val="00DA6201"/>
    <w:rsid w:val="00DA6412"/>
    <w:rsid w:val="00DA667A"/>
    <w:rsid w:val="00DA6A08"/>
    <w:rsid w:val="00DA712D"/>
    <w:rsid w:val="00DA72FB"/>
    <w:rsid w:val="00DA7550"/>
    <w:rsid w:val="00DA7607"/>
    <w:rsid w:val="00DA7839"/>
    <w:rsid w:val="00DA7ADF"/>
    <w:rsid w:val="00DA7BB6"/>
    <w:rsid w:val="00DB03CC"/>
    <w:rsid w:val="00DB041F"/>
    <w:rsid w:val="00DB051C"/>
    <w:rsid w:val="00DB07A0"/>
    <w:rsid w:val="00DB0836"/>
    <w:rsid w:val="00DB08CA"/>
    <w:rsid w:val="00DB0918"/>
    <w:rsid w:val="00DB09D5"/>
    <w:rsid w:val="00DB0A1F"/>
    <w:rsid w:val="00DB0AF7"/>
    <w:rsid w:val="00DB0D5B"/>
    <w:rsid w:val="00DB0F6C"/>
    <w:rsid w:val="00DB1303"/>
    <w:rsid w:val="00DB1315"/>
    <w:rsid w:val="00DB17B2"/>
    <w:rsid w:val="00DB198F"/>
    <w:rsid w:val="00DB1ADE"/>
    <w:rsid w:val="00DB1BB7"/>
    <w:rsid w:val="00DB1BC1"/>
    <w:rsid w:val="00DB1CBB"/>
    <w:rsid w:val="00DB1CF7"/>
    <w:rsid w:val="00DB1EFB"/>
    <w:rsid w:val="00DB1F2D"/>
    <w:rsid w:val="00DB2141"/>
    <w:rsid w:val="00DB2236"/>
    <w:rsid w:val="00DB2C7E"/>
    <w:rsid w:val="00DB2E23"/>
    <w:rsid w:val="00DB2FB8"/>
    <w:rsid w:val="00DB30F2"/>
    <w:rsid w:val="00DB35AE"/>
    <w:rsid w:val="00DB373E"/>
    <w:rsid w:val="00DB3A2A"/>
    <w:rsid w:val="00DB3D24"/>
    <w:rsid w:val="00DB3E7B"/>
    <w:rsid w:val="00DB43EF"/>
    <w:rsid w:val="00DB4454"/>
    <w:rsid w:val="00DB4563"/>
    <w:rsid w:val="00DB502E"/>
    <w:rsid w:val="00DB5139"/>
    <w:rsid w:val="00DB5181"/>
    <w:rsid w:val="00DB51B4"/>
    <w:rsid w:val="00DB53CA"/>
    <w:rsid w:val="00DB5479"/>
    <w:rsid w:val="00DB5900"/>
    <w:rsid w:val="00DB5BDA"/>
    <w:rsid w:val="00DB5C1D"/>
    <w:rsid w:val="00DB6147"/>
    <w:rsid w:val="00DB67CB"/>
    <w:rsid w:val="00DB6B4C"/>
    <w:rsid w:val="00DB6DDF"/>
    <w:rsid w:val="00DB6E41"/>
    <w:rsid w:val="00DB7013"/>
    <w:rsid w:val="00DB71AE"/>
    <w:rsid w:val="00DB71F9"/>
    <w:rsid w:val="00DB7875"/>
    <w:rsid w:val="00DB7878"/>
    <w:rsid w:val="00DB78D4"/>
    <w:rsid w:val="00DB7AD8"/>
    <w:rsid w:val="00DB7BDE"/>
    <w:rsid w:val="00DB7CBB"/>
    <w:rsid w:val="00DB7CE7"/>
    <w:rsid w:val="00DC0105"/>
    <w:rsid w:val="00DC0AED"/>
    <w:rsid w:val="00DC1168"/>
    <w:rsid w:val="00DC139B"/>
    <w:rsid w:val="00DC1DFF"/>
    <w:rsid w:val="00DC2286"/>
    <w:rsid w:val="00DC25DD"/>
    <w:rsid w:val="00DC2B51"/>
    <w:rsid w:val="00DC2B79"/>
    <w:rsid w:val="00DC2C6E"/>
    <w:rsid w:val="00DC2DF5"/>
    <w:rsid w:val="00DC31E3"/>
    <w:rsid w:val="00DC32C9"/>
    <w:rsid w:val="00DC38DA"/>
    <w:rsid w:val="00DC3A3B"/>
    <w:rsid w:val="00DC3D1F"/>
    <w:rsid w:val="00DC3DA2"/>
    <w:rsid w:val="00DC416D"/>
    <w:rsid w:val="00DC43B1"/>
    <w:rsid w:val="00DC4526"/>
    <w:rsid w:val="00DC465B"/>
    <w:rsid w:val="00DC4668"/>
    <w:rsid w:val="00DC49A8"/>
    <w:rsid w:val="00DC4A35"/>
    <w:rsid w:val="00DC4B73"/>
    <w:rsid w:val="00DC4F30"/>
    <w:rsid w:val="00DC50EA"/>
    <w:rsid w:val="00DC565A"/>
    <w:rsid w:val="00DC56B0"/>
    <w:rsid w:val="00DC5BCE"/>
    <w:rsid w:val="00DC5EF1"/>
    <w:rsid w:val="00DC606F"/>
    <w:rsid w:val="00DC608D"/>
    <w:rsid w:val="00DC60A8"/>
    <w:rsid w:val="00DC6162"/>
    <w:rsid w:val="00DC65AE"/>
    <w:rsid w:val="00DC6B04"/>
    <w:rsid w:val="00DC6BCE"/>
    <w:rsid w:val="00DC6D8B"/>
    <w:rsid w:val="00DC6ED1"/>
    <w:rsid w:val="00DC6FD4"/>
    <w:rsid w:val="00DC7268"/>
    <w:rsid w:val="00DC74DF"/>
    <w:rsid w:val="00DC7515"/>
    <w:rsid w:val="00DC779A"/>
    <w:rsid w:val="00DD04C1"/>
    <w:rsid w:val="00DD065E"/>
    <w:rsid w:val="00DD06D9"/>
    <w:rsid w:val="00DD06E4"/>
    <w:rsid w:val="00DD0A86"/>
    <w:rsid w:val="00DD0B79"/>
    <w:rsid w:val="00DD0FAA"/>
    <w:rsid w:val="00DD13B5"/>
    <w:rsid w:val="00DD13C0"/>
    <w:rsid w:val="00DD15AB"/>
    <w:rsid w:val="00DD1699"/>
    <w:rsid w:val="00DD1972"/>
    <w:rsid w:val="00DD1A7A"/>
    <w:rsid w:val="00DD1AFD"/>
    <w:rsid w:val="00DD2060"/>
    <w:rsid w:val="00DD2085"/>
    <w:rsid w:val="00DD276D"/>
    <w:rsid w:val="00DD2796"/>
    <w:rsid w:val="00DD2B24"/>
    <w:rsid w:val="00DD2E72"/>
    <w:rsid w:val="00DD3116"/>
    <w:rsid w:val="00DD33A1"/>
    <w:rsid w:val="00DD3731"/>
    <w:rsid w:val="00DD377F"/>
    <w:rsid w:val="00DD3838"/>
    <w:rsid w:val="00DD39AC"/>
    <w:rsid w:val="00DD3BF1"/>
    <w:rsid w:val="00DD3BFB"/>
    <w:rsid w:val="00DD3F21"/>
    <w:rsid w:val="00DD40AB"/>
    <w:rsid w:val="00DD424E"/>
    <w:rsid w:val="00DD42A5"/>
    <w:rsid w:val="00DD4564"/>
    <w:rsid w:val="00DD45C5"/>
    <w:rsid w:val="00DD468D"/>
    <w:rsid w:val="00DD4CAB"/>
    <w:rsid w:val="00DD4DCC"/>
    <w:rsid w:val="00DD5020"/>
    <w:rsid w:val="00DD530E"/>
    <w:rsid w:val="00DD58FC"/>
    <w:rsid w:val="00DD5A15"/>
    <w:rsid w:val="00DD5AD9"/>
    <w:rsid w:val="00DD5B53"/>
    <w:rsid w:val="00DD5BD1"/>
    <w:rsid w:val="00DD6086"/>
    <w:rsid w:val="00DD6494"/>
    <w:rsid w:val="00DD664E"/>
    <w:rsid w:val="00DD66BB"/>
    <w:rsid w:val="00DD6A7F"/>
    <w:rsid w:val="00DD6CAE"/>
    <w:rsid w:val="00DD70A9"/>
    <w:rsid w:val="00DD71C8"/>
    <w:rsid w:val="00DD7556"/>
    <w:rsid w:val="00DD768B"/>
    <w:rsid w:val="00DD793C"/>
    <w:rsid w:val="00DD7D7E"/>
    <w:rsid w:val="00DE0268"/>
    <w:rsid w:val="00DE02D6"/>
    <w:rsid w:val="00DE05F3"/>
    <w:rsid w:val="00DE0773"/>
    <w:rsid w:val="00DE1060"/>
    <w:rsid w:val="00DE11C6"/>
    <w:rsid w:val="00DE1A18"/>
    <w:rsid w:val="00DE1E78"/>
    <w:rsid w:val="00DE1E96"/>
    <w:rsid w:val="00DE254C"/>
    <w:rsid w:val="00DE26DC"/>
    <w:rsid w:val="00DE27C4"/>
    <w:rsid w:val="00DE27E9"/>
    <w:rsid w:val="00DE280A"/>
    <w:rsid w:val="00DE29B0"/>
    <w:rsid w:val="00DE2C42"/>
    <w:rsid w:val="00DE2CC5"/>
    <w:rsid w:val="00DE2CE8"/>
    <w:rsid w:val="00DE2E43"/>
    <w:rsid w:val="00DE2E95"/>
    <w:rsid w:val="00DE2EE7"/>
    <w:rsid w:val="00DE3243"/>
    <w:rsid w:val="00DE327E"/>
    <w:rsid w:val="00DE3586"/>
    <w:rsid w:val="00DE37A6"/>
    <w:rsid w:val="00DE389F"/>
    <w:rsid w:val="00DE3B71"/>
    <w:rsid w:val="00DE3E4E"/>
    <w:rsid w:val="00DE44C2"/>
    <w:rsid w:val="00DE460D"/>
    <w:rsid w:val="00DE46D0"/>
    <w:rsid w:val="00DE4847"/>
    <w:rsid w:val="00DE4A4B"/>
    <w:rsid w:val="00DE4D07"/>
    <w:rsid w:val="00DE505A"/>
    <w:rsid w:val="00DE52EE"/>
    <w:rsid w:val="00DE53EB"/>
    <w:rsid w:val="00DE55E3"/>
    <w:rsid w:val="00DE5795"/>
    <w:rsid w:val="00DE5A45"/>
    <w:rsid w:val="00DE5A4C"/>
    <w:rsid w:val="00DE5AF7"/>
    <w:rsid w:val="00DE5D10"/>
    <w:rsid w:val="00DE5D2F"/>
    <w:rsid w:val="00DE5E69"/>
    <w:rsid w:val="00DE5EF0"/>
    <w:rsid w:val="00DE62B2"/>
    <w:rsid w:val="00DE63D3"/>
    <w:rsid w:val="00DE647C"/>
    <w:rsid w:val="00DE6486"/>
    <w:rsid w:val="00DE6B22"/>
    <w:rsid w:val="00DE6EFF"/>
    <w:rsid w:val="00DE7496"/>
    <w:rsid w:val="00DE78DF"/>
    <w:rsid w:val="00DE78E4"/>
    <w:rsid w:val="00DE7AB2"/>
    <w:rsid w:val="00DE7B29"/>
    <w:rsid w:val="00DE7D07"/>
    <w:rsid w:val="00DF020D"/>
    <w:rsid w:val="00DF0245"/>
    <w:rsid w:val="00DF0421"/>
    <w:rsid w:val="00DF0AC2"/>
    <w:rsid w:val="00DF1477"/>
    <w:rsid w:val="00DF161D"/>
    <w:rsid w:val="00DF1791"/>
    <w:rsid w:val="00DF1940"/>
    <w:rsid w:val="00DF1D55"/>
    <w:rsid w:val="00DF1D86"/>
    <w:rsid w:val="00DF1F66"/>
    <w:rsid w:val="00DF2102"/>
    <w:rsid w:val="00DF22C2"/>
    <w:rsid w:val="00DF23BA"/>
    <w:rsid w:val="00DF275A"/>
    <w:rsid w:val="00DF2764"/>
    <w:rsid w:val="00DF27E2"/>
    <w:rsid w:val="00DF30F4"/>
    <w:rsid w:val="00DF33A4"/>
    <w:rsid w:val="00DF341E"/>
    <w:rsid w:val="00DF348A"/>
    <w:rsid w:val="00DF3492"/>
    <w:rsid w:val="00DF3BC4"/>
    <w:rsid w:val="00DF3CB8"/>
    <w:rsid w:val="00DF3E3D"/>
    <w:rsid w:val="00DF3EAE"/>
    <w:rsid w:val="00DF410C"/>
    <w:rsid w:val="00DF4252"/>
    <w:rsid w:val="00DF491A"/>
    <w:rsid w:val="00DF5290"/>
    <w:rsid w:val="00DF54F1"/>
    <w:rsid w:val="00DF55AC"/>
    <w:rsid w:val="00DF55FD"/>
    <w:rsid w:val="00DF56DF"/>
    <w:rsid w:val="00DF57EF"/>
    <w:rsid w:val="00DF5A46"/>
    <w:rsid w:val="00DF5FA5"/>
    <w:rsid w:val="00DF63F4"/>
    <w:rsid w:val="00DF6742"/>
    <w:rsid w:val="00DF6B2D"/>
    <w:rsid w:val="00DF6BAF"/>
    <w:rsid w:val="00DF6BEF"/>
    <w:rsid w:val="00DF6D13"/>
    <w:rsid w:val="00DF6DD3"/>
    <w:rsid w:val="00DF717B"/>
    <w:rsid w:val="00DF734B"/>
    <w:rsid w:val="00DF73A9"/>
    <w:rsid w:val="00DF7549"/>
    <w:rsid w:val="00DF783C"/>
    <w:rsid w:val="00DF7A54"/>
    <w:rsid w:val="00DF7D2A"/>
    <w:rsid w:val="00DF7EA8"/>
    <w:rsid w:val="00E000D2"/>
    <w:rsid w:val="00E0041B"/>
    <w:rsid w:val="00E009F7"/>
    <w:rsid w:val="00E00E5D"/>
    <w:rsid w:val="00E00EBE"/>
    <w:rsid w:val="00E01280"/>
    <w:rsid w:val="00E0143B"/>
    <w:rsid w:val="00E017BB"/>
    <w:rsid w:val="00E01817"/>
    <w:rsid w:val="00E01BCA"/>
    <w:rsid w:val="00E01BDF"/>
    <w:rsid w:val="00E01CBD"/>
    <w:rsid w:val="00E023DF"/>
    <w:rsid w:val="00E0241F"/>
    <w:rsid w:val="00E02645"/>
    <w:rsid w:val="00E0270A"/>
    <w:rsid w:val="00E0287D"/>
    <w:rsid w:val="00E02AD8"/>
    <w:rsid w:val="00E02C92"/>
    <w:rsid w:val="00E03553"/>
    <w:rsid w:val="00E0371C"/>
    <w:rsid w:val="00E03785"/>
    <w:rsid w:val="00E039D1"/>
    <w:rsid w:val="00E03CB6"/>
    <w:rsid w:val="00E055BD"/>
    <w:rsid w:val="00E055D7"/>
    <w:rsid w:val="00E05737"/>
    <w:rsid w:val="00E05A81"/>
    <w:rsid w:val="00E05E5B"/>
    <w:rsid w:val="00E05F3F"/>
    <w:rsid w:val="00E06318"/>
    <w:rsid w:val="00E06520"/>
    <w:rsid w:val="00E069B4"/>
    <w:rsid w:val="00E06B25"/>
    <w:rsid w:val="00E06C6D"/>
    <w:rsid w:val="00E06CA1"/>
    <w:rsid w:val="00E06CFC"/>
    <w:rsid w:val="00E06D83"/>
    <w:rsid w:val="00E06DAA"/>
    <w:rsid w:val="00E078CA"/>
    <w:rsid w:val="00E07C20"/>
    <w:rsid w:val="00E07C30"/>
    <w:rsid w:val="00E07E5C"/>
    <w:rsid w:val="00E100B8"/>
    <w:rsid w:val="00E1036E"/>
    <w:rsid w:val="00E10452"/>
    <w:rsid w:val="00E10E61"/>
    <w:rsid w:val="00E11330"/>
    <w:rsid w:val="00E11587"/>
    <w:rsid w:val="00E115B9"/>
    <w:rsid w:val="00E11A88"/>
    <w:rsid w:val="00E11BA5"/>
    <w:rsid w:val="00E11C05"/>
    <w:rsid w:val="00E11F13"/>
    <w:rsid w:val="00E11F2D"/>
    <w:rsid w:val="00E1201E"/>
    <w:rsid w:val="00E122D3"/>
    <w:rsid w:val="00E122DB"/>
    <w:rsid w:val="00E123CF"/>
    <w:rsid w:val="00E12458"/>
    <w:rsid w:val="00E124EA"/>
    <w:rsid w:val="00E12557"/>
    <w:rsid w:val="00E1283A"/>
    <w:rsid w:val="00E12B68"/>
    <w:rsid w:val="00E13819"/>
    <w:rsid w:val="00E13A4B"/>
    <w:rsid w:val="00E14898"/>
    <w:rsid w:val="00E14ABE"/>
    <w:rsid w:val="00E14C59"/>
    <w:rsid w:val="00E14D64"/>
    <w:rsid w:val="00E1542F"/>
    <w:rsid w:val="00E1551D"/>
    <w:rsid w:val="00E15F21"/>
    <w:rsid w:val="00E16A60"/>
    <w:rsid w:val="00E16A69"/>
    <w:rsid w:val="00E16EA6"/>
    <w:rsid w:val="00E16F37"/>
    <w:rsid w:val="00E1726F"/>
    <w:rsid w:val="00E173A9"/>
    <w:rsid w:val="00E178CF"/>
    <w:rsid w:val="00E1799C"/>
    <w:rsid w:val="00E17D55"/>
    <w:rsid w:val="00E17D60"/>
    <w:rsid w:val="00E17EBA"/>
    <w:rsid w:val="00E200BE"/>
    <w:rsid w:val="00E200C8"/>
    <w:rsid w:val="00E200E5"/>
    <w:rsid w:val="00E2020F"/>
    <w:rsid w:val="00E20468"/>
    <w:rsid w:val="00E20627"/>
    <w:rsid w:val="00E2089E"/>
    <w:rsid w:val="00E20A8B"/>
    <w:rsid w:val="00E20E5C"/>
    <w:rsid w:val="00E2121D"/>
    <w:rsid w:val="00E21264"/>
    <w:rsid w:val="00E21576"/>
    <w:rsid w:val="00E215F9"/>
    <w:rsid w:val="00E21F4F"/>
    <w:rsid w:val="00E22175"/>
    <w:rsid w:val="00E2262E"/>
    <w:rsid w:val="00E22875"/>
    <w:rsid w:val="00E22C99"/>
    <w:rsid w:val="00E22E4A"/>
    <w:rsid w:val="00E22F7E"/>
    <w:rsid w:val="00E23234"/>
    <w:rsid w:val="00E23247"/>
    <w:rsid w:val="00E23296"/>
    <w:rsid w:val="00E2334E"/>
    <w:rsid w:val="00E233CF"/>
    <w:rsid w:val="00E23C46"/>
    <w:rsid w:val="00E23DB4"/>
    <w:rsid w:val="00E241DD"/>
    <w:rsid w:val="00E24207"/>
    <w:rsid w:val="00E2449D"/>
    <w:rsid w:val="00E24A0B"/>
    <w:rsid w:val="00E25175"/>
    <w:rsid w:val="00E25460"/>
    <w:rsid w:val="00E25B88"/>
    <w:rsid w:val="00E25EE5"/>
    <w:rsid w:val="00E2601C"/>
    <w:rsid w:val="00E260CA"/>
    <w:rsid w:val="00E26796"/>
    <w:rsid w:val="00E268D9"/>
    <w:rsid w:val="00E26A5B"/>
    <w:rsid w:val="00E26AA4"/>
    <w:rsid w:val="00E27039"/>
    <w:rsid w:val="00E270D0"/>
    <w:rsid w:val="00E27478"/>
    <w:rsid w:val="00E27967"/>
    <w:rsid w:val="00E27BAA"/>
    <w:rsid w:val="00E27D43"/>
    <w:rsid w:val="00E27D85"/>
    <w:rsid w:val="00E27DD7"/>
    <w:rsid w:val="00E27E33"/>
    <w:rsid w:val="00E27EFF"/>
    <w:rsid w:val="00E300DB"/>
    <w:rsid w:val="00E3021B"/>
    <w:rsid w:val="00E30400"/>
    <w:rsid w:val="00E309DE"/>
    <w:rsid w:val="00E31025"/>
    <w:rsid w:val="00E31108"/>
    <w:rsid w:val="00E3155E"/>
    <w:rsid w:val="00E3181F"/>
    <w:rsid w:val="00E32251"/>
    <w:rsid w:val="00E3225D"/>
    <w:rsid w:val="00E322FB"/>
    <w:rsid w:val="00E32353"/>
    <w:rsid w:val="00E323BC"/>
    <w:rsid w:val="00E32836"/>
    <w:rsid w:val="00E328B0"/>
    <w:rsid w:val="00E32B43"/>
    <w:rsid w:val="00E32C57"/>
    <w:rsid w:val="00E32E6C"/>
    <w:rsid w:val="00E3306D"/>
    <w:rsid w:val="00E33506"/>
    <w:rsid w:val="00E33783"/>
    <w:rsid w:val="00E33B2E"/>
    <w:rsid w:val="00E33D51"/>
    <w:rsid w:val="00E34074"/>
    <w:rsid w:val="00E340B4"/>
    <w:rsid w:val="00E341CC"/>
    <w:rsid w:val="00E34357"/>
    <w:rsid w:val="00E347D7"/>
    <w:rsid w:val="00E349FD"/>
    <w:rsid w:val="00E34B08"/>
    <w:rsid w:val="00E34D0C"/>
    <w:rsid w:val="00E35004"/>
    <w:rsid w:val="00E35116"/>
    <w:rsid w:val="00E352B7"/>
    <w:rsid w:val="00E352D4"/>
    <w:rsid w:val="00E3536E"/>
    <w:rsid w:val="00E357CA"/>
    <w:rsid w:val="00E3584A"/>
    <w:rsid w:val="00E35B7E"/>
    <w:rsid w:val="00E35E8B"/>
    <w:rsid w:val="00E364FC"/>
    <w:rsid w:val="00E3664A"/>
    <w:rsid w:val="00E36B50"/>
    <w:rsid w:val="00E36C1A"/>
    <w:rsid w:val="00E36E2B"/>
    <w:rsid w:val="00E36FA7"/>
    <w:rsid w:val="00E372FA"/>
    <w:rsid w:val="00E37306"/>
    <w:rsid w:val="00E3747A"/>
    <w:rsid w:val="00E3759C"/>
    <w:rsid w:val="00E37612"/>
    <w:rsid w:val="00E37980"/>
    <w:rsid w:val="00E37C56"/>
    <w:rsid w:val="00E37E19"/>
    <w:rsid w:val="00E37EDF"/>
    <w:rsid w:val="00E4007F"/>
    <w:rsid w:val="00E400AF"/>
    <w:rsid w:val="00E401CF"/>
    <w:rsid w:val="00E40306"/>
    <w:rsid w:val="00E4044F"/>
    <w:rsid w:val="00E40621"/>
    <w:rsid w:val="00E40874"/>
    <w:rsid w:val="00E412B9"/>
    <w:rsid w:val="00E41CAB"/>
    <w:rsid w:val="00E41FD1"/>
    <w:rsid w:val="00E42247"/>
    <w:rsid w:val="00E4283B"/>
    <w:rsid w:val="00E429A5"/>
    <w:rsid w:val="00E429CE"/>
    <w:rsid w:val="00E42A88"/>
    <w:rsid w:val="00E42B47"/>
    <w:rsid w:val="00E42E14"/>
    <w:rsid w:val="00E42E3C"/>
    <w:rsid w:val="00E433A7"/>
    <w:rsid w:val="00E43FF2"/>
    <w:rsid w:val="00E446F9"/>
    <w:rsid w:val="00E449A7"/>
    <w:rsid w:val="00E44AA1"/>
    <w:rsid w:val="00E44D01"/>
    <w:rsid w:val="00E44E7E"/>
    <w:rsid w:val="00E45229"/>
    <w:rsid w:val="00E45234"/>
    <w:rsid w:val="00E45314"/>
    <w:rsid w:val="00E45326"/>
    <w:rsid w:val="00E45327"/>
    <w:rsid w:val="00E45377"/>
    <w:rsid w:val="00E453EB"/>
    <w:rsid w:val="00E4560F"/>
    <w:rsid w:val="00E458C2"/>
    <w:rsid w:val="00E45EF1"/>
    <w:rsid w:val="00E462C8"/>
    <w:rsid w:val="00E4637D"/>
    <w:rsid w:val="00E463D1"/>
    <w:rsid w:val="00E466B0"/>
    <w:rsid w:val="00E468FD"/>
    <w:rsid w:val="00E46A6B"/>
    <w:rsid w:val="00E46D63"/>
    <w:rsid w:val="00E46EF2"/>
    <w:rsid w:val="00E47426"/>
    <w:rsid w:val="00E475E9"/>
    <w:rsid w:val="00E475EE"/>
    <w:rsid w:val="00E47A61"/>
    <w:rsid w:val="00E47AB0"/>
    <w:rsid w:val="00E47AC2"/>
    <w:rsid w:val="00E47BE9"/>
    <w:rsid w:val="00E47E69"/>
    <w:rsid w:val="00E5030F"/>
    <w:rsid w:val="00E50503"/>
    <w:rsid w:val="00E50626"/>
    <w:rsid w:val="00E50847"/>
    <w:rsid w:val="00E50E1B"/>
    <w:rsid w:val="00E5132D"/>
    <w:rsid w:val="00E51337"/>
    <w:rsid w:val="00E5192D"/>
    <w:rsid w:val="00E51950"/>
    <w:rsid w:val="00E519A4"/>
    <w:rsid w:val="00E51AA8"/>
    <w:rsid w:val="00E51B42"/>
    <w:rsid w:val="00E51BE5"/>
    <w:rsid w:val="00E51C36"/>
    <w:rsid w:val="00E51E5F"/>
    <w:rsid w:val="00E51FFB"/>
    <w:rsid w:val="00E5204D"/>
    <w:rsid w:val="00E523A7"/>
    <w:rsid w:val="00E52623"/>
    <w:rsid w:val="00E529D8"/>
    <w:rsid w:val="00E52A48"/>
    <w:rsid w:val="00E52F5B"/>
    <w:rsid w:val="00E52F69"/>
    <w:rsid w:val="00E532D8"/>
    <w:rsid w:val="00E53322"/>
    <w:rsid w:val="00E53680"/>
    <w:rsid w:val="00E53BEB"/>
    <w:rsid w:val="00E53D6B"/>
    <w:rsid w:val="00E53EED"/>
    <w:rsid w:val="00E53FB3"/>
    <w:rsid w:val="00E540D5"/>
    <w:rsid w:val="00E54571"/>
    <w:rsid w:val="00E5467E"/>
    <w:rsid w:val="00E54851"/>
    <w:rsid w:val="00E54ADD"/>
    <w:rsid w:val="00E54E04"/>
    <w:rsid w:val="00E55287"/>
    <w:rsid w:val="00E55360"/>
    <w:rsid w:val="00E55661"/>
    <w:rsid w:val="00E55719"/>
    <w:rsid w:val="00E55746"/>
    <w:rsid w:val="00E55E14"/>
    <w:rsid w:val="00E56387"/>
    <w:rsid w:val="00E5644B"/>
    <w:rsid w:val="00E56F68"/>
    <w:rsid w:val="00E572D1"/>
    <w:rsid w:val="00E57470"/>
    <w:rsid w:val="00E57977"/>
    <w:rsid w:val="00E57F42"/>
    <w:rsid w:val="00E57FD5"/>
    <w:rsid w:val="00E6037F"/>
    <w:rsid w:val="00E60425"/>
    <w:rsid w:val="00E60578"/>
    <w:rsid w:val="00E6072F"/>
    <w:rsid w:val="00E60735"/>
    <w:rsid w:val="00E6083E"/>
    <w:rsid w:val="00E6091B"/>
    <w:rsid w:val="00E60CE2"/>
    <w:rsid w:val="00E61222"/>
    <w:rsid w:val="00E6136F"/>
    <w:rsid w:val="00E617CA"/>
    <w:rsid w:val="00E61A38"/>
    <w:rsid w:val="00E61D05"/>
    <w:rsid w:val="00E61D27"/>
    <w:rsid w:val="00E61E14"/>
    <w:rsid w:val="00E62297"/>
    <w:rsid w:val="00E62EEA"/>
    <w:rsid w:val="00E62F3A"/>
    <w:rsid w:val="00E63133"/>
    <w:rsid w:val="00E63194"/>
    <w:rsid w:val="00E63473"/>
    <w:rsid w:val="00E63706"/>
    <w:rsid w:val="00E63821"/>
    <w:rsid w:val="00E639C0"/>
    <w:rsid w:val="00E63B6B"/>
    <w:rsid w:val="00E63D6E"/>
    <w:rsid w:val="00E6401E"/>
    <w:rsid w:val="00E6415A"/>
    <w:rsid w:val="00E64BB0"/>
    <w:rsid w:val="00E64D75"/>
    <w:rsid w:val="00E64FF3"/>
    <w:rsid w:val="00E6518D"/>
    <w:rsid w:val="00E652A7"/>
    <w:rsid w:val="00E655C4"/>
    <w:rsid w:val="00E657BF"/>
    <w:rsid w:val="00E65CA7"/>
    <w:rsid w:val="00E65F2B"/>
    <w:rsid w:val="00E65FA5"/>
    <w:rsid w:val="00E663A0"/>
    <w:rsid w:val="00E667D2"/>
    <w:rsid w:val="00E66C71"/>
    <w:rsid w:val="00E671AC"/>
    <w:rsid w:val="00E67669"/>
    <w:rsid w:val="00E676F1"/>
    <w:rsid w:val="00E67A07"/>
    <w:rsid w:val="00E67BD7"/>
    <w:rsid w:val="00E67CB8"/>
    <w:rsid w:val="00E702AF"/>
    <w:rsid w:val="00E70302"/>
    <w:rsid w:val="00E7040D"/>
    <w:rsid w:val="00E70716"/>
    <w:rsid w:val="00E709C9"/>
    <w:rsid w:val="00E70C52"/>
    <w:rsid w:val="00E70E70"/>
    <w:rsid w:val="00E7105D"/>
    <w:rsid w:val="00E71604"/>
    <w:rsid w:val="00E716D6"/>
    <w:rsid w:val="00E716E2"/>
    <w:rsid w:val="00E71C30"/>
    <w:rsid w:val="00E71E38"/>
    <w:rsid w:val="00E71EDA"/>
    <w:rsid w:val="00E727DB"/>
    <w:rsid w:val="00E7296B"/>
    <w:rsid w:val="00E730EA"/>
    <w:rsid w:val="00E732DD"/>
    <w:rsid w:val="00E738A5"/>
    <w:rsid w:val="00E73B0A"/>
    <w:rsid w:val="00E73EB1"/>
    <w:rsid w:val="00E73F0E"/>
    <w:rsid w:val="00E7412D"/>
    <w:rsid w:val="00E7430D"/>
    <w:rsid w:val="00E74874"/>
    <w:rsid w:val="00E74A1A"/>
    <w:rsid w:val="00E74D3D"/>
    <w:rsid w:val="00E74D3E"/>
    <w:rsid w:val="00E74E49"/>
    <w:rsid w:val="00E74ECB"/>
    <w:rsid w:val="00E74EE7"/>
    <w:rsid w:val="00E74F86"/>
    <w:rsid w:val="00E74FB3"/>
    <w:rsid w:val="00E757CE"/>
    <w:rsid w:val="00E75A31"/>
    <w:rsid w:val="00E75B1E"/>
    <w:rsid w:val="00E75DA6"/>
    <w:rsid w:val="00E75E0C"/>
    <w:rsid w:val="00E75F1C"/>
    <w:rsid w:val="00E75F2A"/>
    <w:rsid w:val="00E7608A"/>
    <w:rsid w:val="00E761C3"/>
    <w:rsid w:val="00E762DE"/>
    <w:rsid w:val="00E7638C"/>
    <w:rsid w:val="00E764E1"/>
    <w:rsid w:val="00E7679D"/>
    <w:rsid w:val="00E767F1"/>
    <w:rsid w:val="00E76F13"/>
    <w:rsid w:val="00E7716A"/>
    <w:rsid w:val="00E77177"/>
    <w:rsid w:val="00E7728B"/>
    <w:rsid w:val="00E7766C"/>
    <w:rsid w:val="00E777C7"/>
    <w:rsid w:val="00E77CC2"/>
    <w:rsid w:val="00E77F22"/>
    <w:rsid w:val="00E77F9F"/>
    <w:rsid w:val="00E8075C"/>
    <w:rsid w:val="00E80867"/>
    <w:rsid w:val="00E808C2"/>
    <w:rsid w:val="00E80A6B"/>
    <w:rsid w:val="00E80AD1"/>
    <w:rsid w:val="00E80D80"/>
    <w:rsid w:val="00E81310"/>
    <w:rsid w:val="00E8138B"/>
    <w:rsid w:val="00E81481"/>
    <w:rsid w:val="00E81674"/>
    <w:rsid w:val="00E81B73"/>
    <w:rsid w:val="00E81CA8"/>
    <w:rsid w:val="00E81F53"/>
    <w:rsid w:val="00E81F86"/>
    <w:rsid w:val="00E822C3"/>
    <w:rsid w:val="00E8237F"/>
    <w:rsid w:val="00E82891"/>
    <w:rsid w:val="00E82927"/>
    <w:rsid w:val="00E829F9"/>
    <w:rsid w:val="00E829FA"/>
    <w:rsid w:val="00E83159"/>
    <w:rsid w:val="00E83981"/>
    <w:rsid w:val="00E83AAF"/>
    <w:rsid w:val="00E83C1D"/>
    <w:rsid w:val="00E83D65"/>
    <w:rsid w:val="00E83DC8"/>
    <w:rsid w:val="00E83E10"/>
    <w:rsid w:val="00E84136"/>
    <w:rsid w:val="00E8428F"/>
    <w:rsid w:val="00E844E1"/>
    <w:rsid w:val="00E8467A"/>
    <w:rsid w:val="00E847DA"/>
    <w:rsid w:val="00E84DE6"/>
    <w:rsid w:val="00E84E46"/>
    <w:rsid w:val="00E85141"/>
    <w:rsid w:val="00E85145"/>
    <w:rsid w:val="00E8516B"/>
    <w:rsid w:val="00E85277"/>
    <w:rsid w:val="00E854A4"/>
    <w:rsid w:val="00E85715"/>
    <w:rsid w:val="00E85801"/>
    <w:rsid w:val="00E85A31"/>
    <w:rsid w:val="00E8609A"/>
    <w:rsid w:val="00E861E8"/>
    <w:rsid w:val="00E86366"/>
    <w:rsid w:val="00E86450"/>
    <w:rsid w:val="00E8690A"/>
    <w:rsid w:val="00E86A65"/>
    <w:rsid w:val="00E86A7F"/>
    <w:rsid w:val="00E86B30"/>
    <w:rsid w:val="00E87319"/>
    <w:rsid w:val="00E875DC"/>
    <w:rsid w:val="00E876E1"/>
    <w:rsid w:val="00E87861"/>
    <w:rsid w:val="00E87AA4"/>
    <w:rsid w:val="00E87AF6"/>
    <w:rsid w:val="00E87B3E"/>
    <w:rsid w:val="00E87B59"/>
    <w:rsid w:val="00E87BE3"/>
    <w:rsid w:val="00E87CE4"/>
    <w:rsid w:val="00E87CED"/>
    <w:rsid w:val="00E90626"/>
    <w:rsid w:val="00E90B77"/>
    <w:rsid w:val="00E90CCA"/>
    <w:rsid w:val="00E90E7D"/>
    <w:rsid w:val="00E90EBF"/>
    <w:rsid w:val="00E9122A"/>
    <w:rsid w:val="00E914CF"/>
    <w:rsid w:val="00E9188E"/>
    <w:rsid w:val="00E91AA4"/>
    <w:rsid w:val="00E91BFF"/>
    <w:rsid w:val="00E91C29"/>
    <w:rsid w:val="00E91CBF"/>
    <w:rsid w:val="00E91D1A"/>
    <w:rsid w:val="00E91DCE"/>
    <w:rsid w:val="00E92766"/>
    <w:rsid w:val="00E9355A"/>
    <w:rsid w:val="00E936F9"/>
    <w:rsid w:val="00E93D85"/>
    <w:rsid w:val="00E93E39"/>
    <w:rsid w:val="00E943CE"/>
    <w:rsid w:val="00E94539"/>
    <w:rsid w:val="00E945EB"/>
    <w:rsid w:val="00E94737"/>
    <w:rsid w:val="00E94830"/>
    <w:rsid w:val="00E948FD"/>
    <w:rsid w:val="00E94B03"/>
    <w:rsid w:val="00E94BA3"/>
    <w:rsid w:val="00E94C28"/>
    <w:rsid w:val="00E94E13"/>
    <w:rsid w:val="00E94E27"/>
    <w:rsid w:val="00E953C0"/>
    <w:rsid w:val="00E9569E"/>
    <w:rsid w:val="00E956FE"/>
    <w:rsid w:val="00E95F8B"/>
    <w:rsid w:val="00E9607D"/>
    <w:rsid w:val="00E965F6"/>
    <w:rsid w:val="00E9664D"/>
    <w:rsid w:val="00E967EE"/>
    <w:rsid w:val="00E96B9F"/>
    <w:rsid w:val="00E96CE6"/>
    <w:rsid w:val="00E972F6"/>
    <w:rsid w:val="00E97366"/>
    <w:rsid w:val="00E97462"/>
    <w:rsid w:val="00E97506"/>
    <w:rsid w:val="00E976BA"/>
    <w:rsid w:val="00E9790C"/>
    <w:rsid w:val="00E9799F"/>
    <w:rsid w:val="00E97E36"/>
    <w:rsid w:val="00EA00C0"/>
    <w:rsid w:val="00EA02B1"/>
    <w:rsid w:val="00EA05AA"/>
    <w:rsid w:val="00EA0749"/>
    <w:rsid w:val="00EA086F"/>
    <w:rsid w:val="00EA09BD"/>
    <w:rsid w:val="00EA0CE7"/>
    <w:rsid w:val="00EA0EF8"/>
    <w:rsid w:val="00EA156D"/>
    <w:rsid w:val="00EA1762"/>
    <w:rsid w:val="00EA18E3"/>
    <w:rsid w:val="00EA1D75"/>
    <w:rsid w:val="00EA2180"/>
    <w:rsid w:val="00EA234C"/>
    <w:rsid w:val="00EA237D"/>
    <w:rsid w:val="00EA2703"/>
    <w:rsid w:val="00EA2740"/>
    <w:rsid w:val="00EA29AD"/>
    <w:rsid w:val="00EA2A65"/>
    <w:rsid w:val="00EA2C75"/>
    <w:rsid w:val="00EA355C"/>
    <w:rsid w:val="00EA3A11"/>
    <w:rsid w:val="00EA4047"/>
    <w:rsid w:val="00EA409E"/>
    <w:rsid w:val="00EA4144"/>
    <w:rsid w:val="00EA44AB"/>
    <w:rsid w:val="00EA4632"/>
    <w:rsid w:val="00EA47C7"/>
    <w:rsid w:val="00EA485B"/>
    <w:rsid w:val="00EA4986"/>
    <w:rsid w:val="00EA4A0A"/>
    <w:rsid w:val="00EA4C9F"/>
    <w:rsid w:val="00EA4FA8"/>
    <w:rsid w:val="00EA503B"/>
    <w:rsid w:val="00EA534E"/>
    <w:rsid w:val="00EA5985"/>
    <w:rsid w:val="00EA59CB"/>
    <w:rsid w:val="00EA5F34"/>
    <w:rsid w:val="00EA622B"/>
    <w:rsid w:val="00EA6245"/>
    <w:rsid w:val="00EA666B"/>
    <w:rsid w:val="00EA6F3B"/>
    <w:rsid w:val="00EA76C3"/>
    <w:rsid w:val="00EA76D2"/>
    <w:rsid w:val="00EA78C5"/>
    <w:rsid w:val="00EA7944"/>
    <w:rsid w:val="00EA7F41"/>
    <w:rsid w:val="00EB004B"/>
    <w:rsid w:val="00EB0264"/>
    <w:rsid w:val="00EB0418"/>
    <w:rsid w:val="00EB073E"/>
    <w:rsid w:val="00EB096F"/>
    <w:rsid w:val="00EB1083"/>
    <w:rsid w:val="00EB10BD"/>
    <w:rsid w:val="00EB15F4"/>
    <w:rsid w:val="00EB192A"/>
    <w:rsid w:val="00EB19AA"/>
    <w:rsid w:val="00EB1DED"/>
    <w:rsid w:val="00EB1E25"/>
    <w:rsid w:val="00EB1E81"/>
    <w:rsid w:val="00EB26DC"/>
    <w:rsid w:val="00EB28CD"/>
    <w:rsid w:val="00EB2A1C"/>
    <w:rsid w:val="00EB30B0"/>
    <w:rsid w:val="00EB3970"/>
    <w:rsid w:val="00EB3E79"/>
    <w:rsid w:val="00EB3FF6"/>
    <w:rsid w:val="00EB404A"/>
    <w:rsid w:val="00EB409F"/>
    <w:rsid w:val="00EB4192"/>
    <w:rsid w:val="00EB4279"/>
    <w:rsid w:val="00EB430B"/>
    <w:rsid w:val="00EB4326"/>
    <w:rsid w:val="00EB48D7"/>
    <w:rsid w:val="00EB4B4C"/>
    <w:rsid w:val="00EB4B75"/>
    <w:rsid w:val="00EB4FC1"/>
    <w:rsid w:val="00EB5584"/>
    <w:rsid w:val="00EB5B9F"/>
    <w:rsid w:val="00EB5BE7"/>
    <w:rsid w:val="00EB5C57"/>
    <w:rsid w:val="00EB5F52"/>
    <w:rsid w:val="00EB6083"/>
    <w:rsid w:val="00EB6401"/>
    <w:rsid w:val="00EB688C"/>
    <w:rsid w:val="00EB6F60"/>
    <w:rsid w:val="00EB7478"/>
    <w:rsid w:val="00EB7597"/>
    <w:rsid w:val="00EB7762"/>
    <w:rsid w:val="00EB7D47"/>
    <w:rsid w:val="00EB7D57"/>
    <w:rsid w:val="00EB7DF7"/>
    <w:rsid w:val="00EC0063"/>
    <w:rsid w:val="00EC03C9"/>
    <w:rsid w:val="00EC0821"/>
    <w:rsid w:val="00EC0AA9"/>
    <w:rsid w:val="00EC0D07"/>
    <w:rsid w:val="00EC0E98"/>
    <w:rsid w:val="00EC1244"/>
    <w:rsid w:val="00EC12E6"/>
    <w:rsid w:val="00EC1330"/>
    <w:rsid w:val="00EC14A4"/>
    <w:rsid w:val="00EC16C3"/>
    <w:rsid w:val="00EC198F"/>
    <w:rsid w:val="00EC1A39"/>
    <w:rsid w:val="00EC1AD1"/>
    <w:rsid w:val="00EC1B56"/>
    <w:rsid w:val="00EC1E15"/>
    <w:rsid w:val="00EC2156"/>
    <w:rsid w:val="00EC2226"/>
    <w:rsid w:val="00EC2305"/>
    <w:rsid w:val="00EC2578"/>
    <w:rsid w:val="00EC27BC"/>
    <w:rsid w:val="00EC2C18"/>
    <w:rsid w:val="00EC3072"/>
    <w:rsid w:val="00EC3102"/>
    <w:rsid w:val="00EC3145"/>
    <w:rsid w:val="00EC32AA"/>
    <w:rsid w:val="00EC32C7"/>
    <w:rsid w:val="00EC36A1"/>
    <w:rsid w:val="00EC36B8"/>
    <w:rsid w:val="00EC3782"/>
    <w:rsid w:val="00EC3CE4"/>
    <w:rsid w:val="00EC3E0D"/>
    <w:rsid w:val="00EC3FF8"/>
    <w:rsid w:val="00EC4293"/>
    <w:rsid w:val="00EC43A7"/>
    <w:rsid w:val="00EC446B"/>
    <w:rsid w:val="00EC4813"/>
    <w:rsid w:val="00EC4889"/>
    <w:rsid w:val="00EC4B63"/>
    <w:rsid w:val="00EC4FA9"/>
    <w:rsid w:val="00EC5157"/>
    <w:rsid w:val="00EC53F1"/>
    <w:rsid w:val="00EC55AA"/>
    <w:rsid w:val="00EC5BCA"/>
    <w:rsid w:val="00EC5D93"/>
    <w:rsid w:val="00EC61DB"/>
    <w:rsid w:val="00EC62F3"/>
    <w:rsid w:val="00EC6321"/>
    <w:rsid w:val="00EC6798"/>
    <w:rsid w:val="00EC6A0B"/>
    <w:rsid w:val="00EC6A58"/>
    <w:rsid w:val="00EC6B5C"/>
    <w:rsid w:val="00EC6C1C"/>
    <w:rsid w:val="00EC6FD6"/>
    <w:rsid w:val="00EC72F3"/>
    <w:rsid w:val="00EC7317"/>
    <w:rsid w:val="00EC7576"/>
    <w:rsid w:val="00EC7889"/>
    <w:rsid w:val="00EC7E54"/>
    <w:rsid w:val="00ED0594"/>
    <w:rsid w:val="00ED0611"/>
    <w:rsid w:val="00ED0EE7"/>
    <w:rsid w:val="00ED0EFC"/>
    <w:rsid w:val="00ED10E0"/>
    <w:rsid w:val="00ED1B12"/>
    <w:rsid w:val="00ED233F"/>
    <w:rsid w:val="00ED2666"/>
    <w:rsid w:val="00ED2930"/>
    <w:rsid w:val="00ED2956"/>
    <w:rsid w:val="00ED2E73"/>
    <w:rsid w:val="00ED2EC7"/>
    <w:rsid w:val="00ED2F3A"/>
    <w:rsid w:val="00ED2FCF"/>
    <w:rsid w:val="00ED32D7"/>
    <w:rsid w:val="00ED3345"/>
    <w:rsid w:val="00ED34D0"/>
    <w:rsid w:val="00ED35B5"/>
    <w:rsid w:val="00ED35DA"/>
    <w:rsid w:val="00ED3D76"/>
    <w:rsid w:val="00ED3E12"/>
    <w:rsid w:val="00ED40E8"/>
    <w:rsid w:val="00ED4609"/>
    <w:rsid w:val="00ED46D9"/>
    <w:rsid w:val="00ED4743"/>
    <w:rsid w:val="00ED475F"/>
    <w:rsid w:val="00ED47DD"/>
    <w:rsid w:val="00ED4B96"/>
    <w:rsid w:val="00ED4C44"/>
    <w:rsid w:val="00ED53DB"/>
    <w:rsid w:val="00ED54B1"/>
    <w:rsid w:val="00ED56FA"/>
    <w:rsid w:val="00ED649D"/>
    <w:rsid w:val="00ED69EB"/>
    <w:rsid w:val="00ED6BEB"/>
    <w:rsid w:val="00ED6F16"/>
    <w:rsid w:val="00ED7459"/>
    <w:rsid w:val="00ED750E"/>
    <w:rsid w:val="00ED7659"/>
    <w:rsid w:val="00ED7700"/>
    <w:rsid w:val="00ED7873"/>
    <w:rsid w:val="00ED7ED1"/>
    <w:rsid w:val="00EE040A"/>
    <w:rsid w:val="00EE067F"/>
    <w:rsid w:val="00EE0844"/>
    <w:rsid w:val="00EE0C56"/>
    <w:rsid w:val="00EE0E74"/>
    <w:rsid w:val="00EE0FA0"/>
    <w:rsid w:val="00EE1078"/>
    <w:rsid w:val="00EE1276"/>
    <w:rsid w:val="00EE13DC"/>
    <w:rsid w:val="00EE1660"/>
    <w:rsid w:val="00EE19A5"/>
    <w:rsid w:val="00EE19CB"/>
    <w:rsid w:val="00EE1CF3"/>
    <w:rsid w:val="00EE1D98"/>
    <w:rsid w:val="00EE1EA0"/>
    <w:rsid w:val="00EE1F8A"/>
    <w:rsid w:val="00EE209D"/>
    <w:rsid w:val="00EE23BE"/>
    <w:rsid w:val="00EE2591"/>
    <w:rsid w:val="00EE2771"/>
    <w:rsid w:val="00EE2B6D"/>
    <w:rsid w:val="00EE2CD1"/>
    <w:rsid w:val="00EE323C"/>
    <w:rsid w:val="00EE3321"/>
    <w:rsid w:val="00EE334B"/>
    <w:rsid w:val="00EE3396"/>
    <w:rsid w:val="00EE3770"/>
    <w:rsid w:val="00EE3822"/>
    <w:rsid w:val="00EE3ED4"/>
    <w:rsid w:val="00EE4176"/>
    <w:rsid w:val="00EE45A5"/>
    <w:rsid w:val="00EE463A"/>
    <w:rsid w:val="00EE4A73"/>
    <w:rsid w:val="00EE4D31"/>
    <w:rsid w:val="00EE4F2D"/>
    <w:rsid w:val="00EE54B2"/>
    <w:rsid w:val="00EE5737"/>
    <w:rsid w:val="00EE6CAF"/>
    <w:rsid w:val="00EE6E70"/>
    <w:rsid w:val="00EE6E92"/>
    <w:rsid w:val="00EE6ECC"/>
    <w:rsid w:val="00EE71DB"/>
    <w:rsid w:val="00EE727E"/>
    <w:rsid w:val="00EE72AF"/>
    <w:rsid w:val="00EE7DF8"/>
    <w:rsid w:val="00EF02B9"/>
    <w:rsid w:val="00EF098F"/>
    <w:rsid w:val="00EF09EC"/>
    <w:rsid w:val="00EF0A42"/>
    <w:rsid w:val="00EF0C0E"/>
    <w:rsid w:val="00EF0E5D"/>
    <w:rsid w:val="00EF0FA3"/>
    <w:rsid w:val="00EF1434"/>
    <w:rsid w:val="00EF1A67"/>
    <w:rsid w:val="00EF1BE1"/>
    <w:rsid w:val="00EF1CF2"/>
    <w:rsid w:val="00EF2021"/>
    <w:rsid w:val="00EF2413"/>
    <w:rsid w:val="00EF2EC6"/>
    <w:rsid w:val="00EF30C8"/>
    <w:rsid w:val="00EF3D74"/>
    <w:rsid w:val="00EF3E8B"/>
    <w:rsid w:val="00EF41C7"/>
    <w:rsid w:val="00EF4362"/>
    <w:rsid w:val="00EF4564"/>
    <w:rsid w:val="00EF45A3"/>
    <w:rsid w:val="00EF45C2"/>
    <w:rsid w:val="00EF470C"/>
    <w:rsid w:val="00EF4B9D"/>
    <w:rsid w:val="00EF4F53"/>
    <w:rsid w:val="00EF5119"/>
    <w:rsid w:val="00EF5853"/>
    <w:rsid w:val="00EF5CE5"/>
    <w:rsid w:val="00EF625D"/>
    <w:rsid w:val="00EF62B8"/>
    <w:rsid w:val="00EF66C2"/>
    <w:rsid w:val="00EF673D"/>
    <w:rsid w:val="00EF6BEB"/>
    <w:rsid w:val="00EF6ED3"/>
    <w:rsid w:val="00EF7ECC"/>
    <w:rsid w:val="00F000FE"/>
    <w:rsid w:val="00F00429"/>
    <w:rsid w:val="00F0042D"/>
    <w:rsid w:val="00F00676"/>
    <w:rsid w:val="00F008B8"/>
    <w:rsid w:val="00F00987"/>
    <w:rsid w:val="00F00CAE"/>
    <w:rsid w:val="00F00DCF"/>
    <w:rsid w:val="00F012A7"/>
    <w:rsid w:val="00F01653"/>
    <w:rsid w:val="00F017BD"/>
    <w:rsid w:val="00F0184B"/>
    <w:rsid w:val="00F01865"/>
    <w:rsid w:val="00F01B19"/>
    <w:rsid w:val="00F01EC0"/>
    <w:rsid w:val="00F02167"/>
    <w:rsid w:val="00F024BD"/>
    <w:rsid w:val="00F02651"/>
    <w:rsid w:val="00F02652"/>
    <w:rsid w:val="00F0280D"/>
    <w:rsid w:val="00F0293D"/>
    <w:rsid w:val="00F02C29"/>
    <w:rsid w:val="00F03304"/>
    <w:rsid w:val="00F03CE4"/>
    <w:rsid w:val="00F04276"/>
    <w:rsid w:val="00F043EE"/>
    <w:rsid w:val="00F0450D"/>
    <w:rsid w:val="00F045A7"/>
    <w:rsid w:val="00F0471F"/>
    <w:rsid w:val="00F04AEF"/>
    <w:rsid w:val="00F04CF6"/>
    <w:rsid w:val="00F053C9"/>
    <w:rsid w:val="00F05665"/>
    <w:rsid w:val="00F06041"/>
    <w:rsid w:val="00F06315"/>
    <w:rsid w:val="00F06415"/>
    <w:rsid w:val="00F06458"/>
    <w:rsid w:val="00F06481"/>
    <w:rsid w:val="00F064EE"/>
    <w:rsid w:val="00F0658B"/>
    <w:rsid w:val="00F06591"/>
    <w:rsid w:val="00F065ED"/>
    <w:rsid w:val="00F0691C"/>
    <w:rsid w:val="00F06AD1"/>
    <w:rsid w:val="00F06E23"/>
    <w:rsid w:val="00F07031"/>
    <w:rsid w:val="00F07502"/>
    <w:rsid w:val="00F07AB4"/>
    <w:rsid w:val="00F07B41"/>
    <w:rsid w:val="00F07DA0"/>
    <w:rsid w:val="00F07E81"/>
    <w:rsid w:val="00F10125"/>
    <w:rsid w:val="00F103FE"/>
    <w:rsid w:val="00F10569"/>
    <w:rsid w:val="00F106B3"/>
    <w:rsid w:val="00F10935"/>
    <w:rsid w:val="00F109E3"/>
    <w:rsid w:val="00F10B44"/>
    <w:rsid w:val="00F10DD2"/>
    <w:rsid w:val="00F110B8"/>
    <w:rsid w:val="00F11396"/>
    <w:rsid w:val="00F1146A"/>
    <w:rsid w:val="00F1173E"/>
    <w:rsid w:val="00F11E63"/>
    <w:rsid w:val="00F11FA4"/>
    <w:rsid w:val="00F120B1"/>
    <w:rsid w:val="00F12911"/>
    <w:rsid w:val="00F12E1F"/>
    <w:rsid w:val="00F1302A"/>
    <w:rsid w:val="00F13443"/>
    <w:rsid w:val="00F134C4"/>
    <w:rsid w:val="00F139EF"/>
    <w:rsid w:val="00F13A80"/>
    <w:rsid w:val="00F13C2C"/>
    <w:rsid w:val="00F13E0D"/>
    <w:rsid w:val="00F14353"/>
    <w:rsid w:val="00F143A0"/>
    <w:rsid w:val="00F144D8"/>
    <w:rsid w:val="00F1461F"/>
    <w:rsid w:val="00F14844"/>
    <w:rsid w:val="00F14B63"/>
    <w:rsid w:val="00F14BA0"/>
    <w:rsid w:val="00F15094"/>
    <w:rsid w:val="00F151C4"/>
    <w:rsid w:val="00F15388"/>
    <w:rsid w:val="00F15409"/>
    <w:rsid w:val="00F15411"/>
    <w:rsid w:val="00F1551B"/>
    <w:rsid w:val="00F1553F"/>
    <w:rsid w:val="00F1594A"/>
    <w:rsid w:val="00F15A0E"/>
    <w:rsid w:val="00F15AD7"/>
    <w:rsid w:val="00F15B97"/>
    <w:rsid w:val="00F15D8F"/>
    <w:rsid w:val="00F15E01"/>
    <w:rsid w:val="00F16147"/>
    <w:rsid w:val="00F16442"/>
    <w:rsid w:val="00F1686D"/>
    <w:rsid w:val="00F16A1B"/>
    <w:rsid w:val="00F16BB7"/>
    <w:rsid w:val="00F17300"/>
    <w:rsid w:val="00F17327"/>
    <w:rsid w:val="00F17397"/>
    <w:rsid w:val="00F17493"/>
    <w:rsid w:val="00F17773"/>
    <w:rsid w:val="00F17EBB"/>
    <w:rsid w:val="00F2008C"/>
    <w:rsid w:val="00F2014E"/>
    <w:rsid w:val="00F2046E"/>
    <w:rsid w:val="00F20A7F"/>
    <w:rsid w:val="00F20C94"/>
    <w:rsid w:val="00F20D02"/>
    <w:rsid w:val="00F210F7"/>
    <w:rsid w:val="00F2129E"/>
    <w:rsid w:val="00F21596"/>
    <w:rsid w:val="00F216ED"/>
    <w:rsid w:val="00F218D4"/>
    <w:rsid w:val="00F22363"/>
    <w:rsid w:val="00F224A3"/>
    <w:rsid w:val="00F22845"/>
    <w:rsid w:val="00F22C4A"/>
    <w:rsid w:val="00F22D8B"/>
    <w:rsid w:val="00F22E7F"/>
    <w:rsid w:val="00F22F91"/>
    <w:rsid w:val="00F22F9B"/>
    <w:rsid w:val="00F23124"/>
    <w:rsid w:val="00F23177"/>
    <w:rsid w:val="00F232E4"/>
    <w:rsid w:val="00F23900"/>
    <w:rsid w:val="00F23993"/>
    <w:rsid w:val="00F23A50"/>
    <w:rsid w:val="00F23BBB"/>
    <w:rsid w:val="00F2416A"/>
    <w:rsid w:val="00F24206"/>
    <w:rsid w:val="00F24951"/>
    <w:rsid w:val="00F25126"/>
    <w:rsid w:val="00F25690"/>
    <w:rsid w:val="00F25787"/>
    <w:rsid w:val="00F25838"/>
    <w:rsid w:val="00F25BEE"/>
    <w:rsid w:val="00F25F68"/>
    <w:rsid w:val="00F261E3"/>
    <w:rsid w:val="00F264AB"/>
    <w:rsid w:val="00F266D0"/>
    <w:rsid w:val="00F26965"/>
    <w:rsid w:val="00F26ACE"/>
    <w:rsid w:val="00F26EB2"/>
    <w:rsid w:val="00F27005"/>
    <w:rsid w:val="00F27409"/>
    <w:rsid w:val="00F2760A"/>
    <w:rsid w:val="00F276E7"/>
    <w:rsid w:val="00F2775A"/>
    <w:rsid w:val="00F278E3"/>
    <w:rsid w:val="00F27B70"/>
    <w:rsid w:val="00F27E65"/>
    <w:rsid w:val="00F27EDB"/>
    <w:rsid w:val="00F305D6"/>
    <w:rsid w:val="00F30715"/>
    <w:rsid w:val="00F3082A"/>
    <w:rsid w:val="00F30980"/>
    <w:rsid w:val="00F30ABC"/>
    <w:rsid w:val="00F30AF5"/>
    <w:rsid w:val="00F30B39"/>
    <w:rsid w:val="00F30E74"/>
    <w:rsid w:val="00F3110C"/>
    <w:rsid w:val="00F31186"/>
    <w:rsid w:val="00F31448"/>
    <w:rsid w:val="00F31614"/>
    <w:rsid w:val="00F318D7"/>
    <w:rsid w:val="00F31DD1"/>
    <w:rsid w:val="00F32544"/>
    <w:rsid w:val="00F3275F"/>
    <w:rsid w:val="00F32940"/>
    <w:rsid w:val="00F32B20"/>
    <w:rsid w:val="00F32D8A"/>
    <w:rsid w:val="00F32FA7"/>
    <w:rsid w:val="00F331FD"/>
    <w:rsid w:val="00F33953"/>
    <w:rsid w:val="00F339C3"/>
    <w:rsid w:val="00F33A2C"/>
    <w:rsid w:val="00F33B47"/>
    <w:rsid w:val="00F348D8"/>
    <w:rsid w:val="00F34FEB"/>
    <w:rsid w:val="00F358A3"/>
    <w:rsid w:val="00F358FD"/>
    <w:rsid w:val="00F35933"/>
    <w:rsid w:val="00F35992"/>
    <w:rsid w:val="00F3599E"/>
    <w:rsid w:val="00F35AB4"/>
    <w:rsid w:val="00F35BF4"/>
    <w:rsid w:val="00F35C34"/>
    <w:rsid w:val="00F35E53"/>
    <w:rsid w:val="00F3610F"/>
    <w:rsid w:val="00F3639C"/>
    <w:rsid w:val="00F36E51"/>
    <w:rsid w:val="00F36E85"/>
    <w:rsid w:val="00F370FD"/>
    <w:rsid w:val="00F37320"/>
    <w:rsid w:val="00F37567"/>
    <w:rsid w:val="00F37B83"/>
    <w:rsid w:val="00F37D50"/>
    <w:rsid w:val="00F37E72"/>
    <w:rsid w:val="00F37FD9"/>
    <w:rsid w:val="00F40323"/>
    <w:rsid w:val="00F40562"/>
    <w:rsid w:val="00F40624"/>
    <w:rsid w:val="00F40681"/>
    <w:rsid w:val="00F40C37"/>
    <w:rsid w:val="00F410D7"/>
    <w:rsid w:val="00F4156B"/>
    <w:rsid w:val="00F41C50"/>
    <w:rsid w:val="00F41CCE"/>
    <w:rsid w:val="00F41D52"/>
    <w:rsid w:val="00F41D9E"/>
    <w:rsid w:val="00F41E8F"/>
    <w:rsid w:val="00F41F3E"/>
    <w:rsid w:val="00F424C8"/>
    <w:rsid w:val="00F42586"/>
    <w:rsid w:val="00F4258D"/>
    <w:rsid w:val="00F42810"/>
    <w:rsid w:val="00F4288A"/>
    <w:rsid w:val="00F42B90"/>
    <w:rsid w:val="00F42CE0"/>
    <w:rsid w:val="00F434F6"/>
    <w:rsid w:val="00F43723"/>
    <w:rsid w:val="00F438DE"/>
    <w:rsid w:val="00F43AA1"/>
    <w:rsid w:val="00F43BCC"/>
    <w:rsid w:val="00F43E60"/>
    <w:rsid w:val="00F43FA8"/>
    <w:rsid w:val="00F440D7"/>
    <w:rsid w:val="00F44113"/>
    <w:rsid w:val="00F44127"/>
    <w:rsid w:val="00F442A0"/>
    <w:rsid w:val="00F44605"/>
    <w:rsid w:val="00F447D5"/>
    <w:rsid w:val="00F44B99"/>
    <w:rsid w:val="00F45080"/>
    <w:rsid w:val="00F454D2"/>
    <w:rsid w:val="00F4563C"/>
    <w:rsid w:val="00F456CD"/>
    <w:rsid w:val="00F45934"/>
    <w:rsid w:val="00F45A0D"/>
    <w:rsid w:val="00F45A3C"/>
    <w:rsid w:val="00F45C06"/>
    <w:rsid w:val="00F45E25"/>
    <w:rsid w:val="00F46327"/>
    <w:rsid w:val="00F4632F"/>
    <w:rsid w:val="00F467D9"/>
    <w:rsid w:val="00F4684F"/>
    <w:rsid w:val="00F468BF"/>
    <w:rsid w:val="00F471A4"/>
    <w:rsid w:val="00F476A6"/>
    <w:rsid w:val="00F478CA"/>
    <w:rsid w:val="00F47CB8"/>
    <w:rsid w:val="00F47F01"/>
    <w:rsid w:val="00F47F26"/>
    <w:rsid w:val="00F500BB"/>
    <w:rsid w:val="00F5051D"/>
    <w:rsid w:val="00F507BB"/>
    <w:rsid w:val="00F508D3"/>
    <w:rsid w:val="00F50CBF"/>
    <w:rsid w:val="00F51754"/>
    <w:rsid w:val="00F51ED1"/>
    <w:rsid w:val="00F5216F"/>
    <w:rsid w:val="00F52615"/>
    <w:rsid w:val="00F52A0B"/>
    <w:rsid w:val="00F52BAE"/>
    <w:rsid w:val="00F52BC0"/>
    <w:rsid w:val="00F52E6F"/>
    <w:rsid w:val="00F530C3"/>
    <w:rsid w:val="00F530C4"/>
    <w:rsid w:val="00F53B3D"/>
    <w:rsid w:val="00F53D50"/>
    <w:rsid w:val="00F53EBD"/>
    <w:rsid w:val="00F540C6"/>
    <w:rsid w:val="00F5434C"/>
    <w:rsid w:val="00F5465C"/>
    <w:rsid w:val="00F54831"/>
    <w:rsid w:val="00F5489F"/>
    <w:rsid w:val="00F548C5"/>
    <w:rsid w:val="00F54A2D"/>
    <w:rsid w:val="00F551EA"/>
    <w:rsid w:val="00F55320"/>
    <w:rsid w:val="00F5576A"/>
    <w:rsid w:val="00F55A3E"/>
    <w:rsid w:val="00F55A5A"/>
    <w:rsid w:val="00F568B2"/>
    <w:rsid w:val="00F56B79"/>
    <w:rsid w:val="00F5706D"/>
    <w:rsid w:val="00F570C7"/>
    <w:rsid w:val="00F574BB"/>
    <w:rsid w:val="00F57942"/>
    <w:rsid w:val="00F57A1E"/>
    <w:rsid w:val="00F57A9D"/>
    <w:rsid w:val="00F57C2C"/>
    <w:rsid w:val="00F57F08"/>
    <w:rsid w:val="00F60064"/>
    <w:rsid w:val="00F6016A"/>
    <w:rsid w:val="00F601A0"/>
    <w:rsid w:val="00F602A7"/>
    <w:rsid w:val="00F60489"/>
    <w:rsid w:val="00F60540"/>
    <w:rsid w:val="00F60692"/>
    <w:rsid w:val="00F6071B"/>
    <w:rsid w:val="00F60BA5"/>
    <w:rsid w:val="00F6101C"/>
    <w:rsid w:val="00F61065"/>
    <w:rsid w:val="00F613FF"/>
    <w:rsid w:val="00F617B2"/>
    <w:rsid w:val="00F61DA9"/>
    <w:rsid w:val="00F62023"/>
    <w:rsid w:val="00F625D9"/>
    <w:rsid w:val="00F62A44"/>
    <w:rsid w:val="00F62DFC"/>
    <w:rsid w:val="00F6310A"/>
    <w:rsid w:val="00F637A6"/>
    <w:rsid w:val="00F6392B"/>
    <w:rsid w:val="00F63E04"/>
    <w:rsid w:val="00F641CC"/>
    <w:rsid w:val="00F6462D"/>
    <w:rsid w:val="00F6474C"/>
    <w:rsid w:val="00F64B91"/>
    <w:rsid w:val="00F6535D"/>
    <w:rsid w:val="00F657CE"/>
    <w:rsid w:val="00F66052"/>
    <w:rsid w:val="00F6667C"/>
    <w:rsid w:val="00F66A42"/>
    <w:rsid w:val="00F66CB8"/>
    <w:rsid w:val="00F66E28"/>
    <w:rsid w:val="00F67151"/>
    <w:rsid w:val="00F6717C"/>
    <w:rsid w:val="00F67297"/>
    <w:rsid w:val="00F6740C"/>
    <w:rsid w:val="00F6751F"/>
    <w:rsid w:val="00F67A12"/>
    <w:rsid w:val="00F67D13"/>
    <w:rsid w:val="00F67DF4"/>
    <w:rsid w:val="00F67FC2"/>
    <w:rsid w:val="00F7002E"/>
    <w:rsid w:val="00F701B4"/>
    <w:rsid w:val="00F70C57"/>
    <w:rsid w:val="00F70E97"/>
    <w:rsid w:val="00F7115C"/>
    <w:rsid w:val="00F711F3"/>
    <w:rsid w:val="00F7133F"/>
    <w:rsid w:val="00F715F9"/>
    <w:rsid w:val="00F7174C"/>
    <w:rsid w:val="00F717AB"/>
    <w:rsid w:val="00F71CA3"/>
    <w:rsid w:val="00F71E66"/>
    <w:rsid w:val="00F71F55"/>
    <w:rsid w:val="00F71FA8"/>
    <w:rsid w:val="00F7203B"/>
    <w:rsid w:val="00F726C8"/>
    <w:rsid w:val="00F72760"/>
    <w:rsid w:val="00F72908"/>
    <w:rsid w:val="00F72CA9"/>
    <w:rsid w:val="00F72E6D"/>
    <w:rsid w:val="00F72E99"/>
    <w:rsid w:val="00F72EB1"/>
    <w:rsid w:val="00F734D5"/>
    <w:rsid w:val="00F73515"/>
    <w:rsid w:val="00F737ED"/>
    <w:rsid w:val="00F73C1C"/>
    <w:rsid w:val="00F73E1C"/>
    <w:rsid w:val="00F74045"/>
    <w:rsid w:val="00F747D4"/>
    <w:rsid w:val="00F74963"/>
    <w:rsid w:val="00F74D38"/>
    <w:rsid w:val="00F75469"/>
    <w:rsid w:val="00F754D9"/>
    <w:rsid w:val="00F754FC"/>
    <w:rsid w:val="00F75688"/>
    <w:rsid w:val="00F75AFE"/>
    <w:rsid w:val="00F75B3C"/>
    <w:rsid w:val="00F75B47"/>
    <w:rsid w:val="00F75B71"/>
    <w:rsid w:val="00F75FFD"/>
    <w:rsid w:val="00F762DD"/>
    <w:rsid w:val="00F76300"/>
    <w:rsid w:val="00F76504"/>
    <w:rsid w:val="00F76FCA"/>
    <w:rsid w:val="00F7716C"/>
    <w:rsid w:val="00F77342"/>
    <w:rsid w:val="00F775A0"/>
    <w:rsid w:val="00F778D4"/>
    <w:rsid w:val="00F77D4F"/>
    <w:rsid w:val="00F77D96"/>
    <w:rsid w:val="00F77DDA"/>
    <w:rsid w:val="00F801AD"/>
    <w:rsid w:val="00F80224"/>
    <w:rsid w:val="00F805B3"/>
    <w:rsid w:val="00F80630"/>
    <w:rsid w:val="00F806A1"/>
    <w:rsid w:val="00F80CE8"/>
    <w:rsid w:val="00F80D9C"/>
    <w:rsid w:val="00F811B1"/>
    <w:rsid w:val="00F816DB"/>
    <w:rsid w:val="00F817A1"/>
    <w:rsid w:val="00F81AA0"/>
    <w:rsid w:val="00F81D15"/>
    <w:rsid w:val="00F8211C"/>
    <w:rsid w:val="00F8220E"/>
    <w:rsid w:val="00F82447"/>
    <w:rsid w:val="00F826BA"/>
    <w:rsid w:val="00F8298E"/>
    <w:rsid w:val="00F82FD8"/>
    <w:rsid w:val="00F831A1"/>
    <w:rsid w:val="00F8332B"/>
    <w:rsid w:val="00F83405"/>
    <w:rsid w:val="00F836ED"/>
    <w:rsid w:val="00F838C1"/>
    <w:rsid w:val="00F83D8F"/>
    <w:rsid w:val="00F84011"/>
    <w:rsid w:val="00F8401C"/>
    <w:rsid w:val="00F842BB"/>
    <w:rsid w:val="00F8434F"/>
    <w:rsid w:val="00F8485B"/>
    <w:rsid w:val="00F84BE9"/>
    <w:rsid w:val="00F84F1F"/>
    <w:rsid w:val="00F856B9"/>
    <w:rsid w:val="00F85AEA"/>
    <w:rsid w:val="00F85AF0"/>
    <w:rsid w:val="00F85D36"/>
    <w:rsid w:val="00F85DB1"/>
    <w:rsid w:val="00F86455"/>
    <w:rsid w:val="00F865C9"/>
    <w:rsid w:val="00F866ED"/>
    <w:rsid w:val="00F86C65"/>
    <w:rsid w:val="00F870AA"/>
    <w:rsid w:val="00F87239"/>
    <w:rsid w:val="00F8732D"/>
    <w:rsid w:val="00F87378"/>
    <w:rsid w:val="00F8744F"/>
    <w:rsid w:val="00F878FA"/>
    <w:rsid w:val="00F87E70"/>
    <w:rsid w:val="00F9041A"/>
    <w:rsid w:val="00F9051E"/>
    <w:rsid w:val="00F908AF"/>
    <w:rsid w:val="00F90978"/>
    <w:rsid w:val="00F90FD5"/>
    <w:rsid w:val="00F9121B"/>
    <w:rsid w:val="00F91286"/>
    <w:rsid w:val="00F91299"/>
    <w:rsid w:val="00F91D03"/>
    <w:rsid w:val="00F920F8"/>
    <w:rsid w:val="00F92234"/>
    <w:rsid w:val="00F92955"/>
    <w:rsid w:val="00F929B7"/>
    <w:rsid w:val="00F92B26"/>
    <w:rsid w:val="00F92FDD"/>
    <w:rsid w:val="00F93723"/>
    <w:rsid w:val="00F93E04"/>
    <w:rsid w:val="00F93F8F"/>
    <w:rsid w:val="00F94270"/>
    <w:rsid w:val="00F943E4"/>
    <w:rsid w:val="00F946B2"/>
    <w:rsid w:val="00F946DC"/>
    <w:rsid w:val="00F94B39"/>
    <w:rsid w:val="00F94B63"/>
    <w:rsid w:val="00F94C02"/>
    <w:rsid w:val="00F950A4"/>
    <w:rsid w:val="00F9561F"/>
    <w:rsid w:val="00F95C26"/>
    <w:rsid w:val="00F95DD6"/>
    <w:rsid w:val="00F95FBB"/>
    <w:rsid w:val="00F9691B"/>
    <w:rsid w:val="00F9693A"/>
    <w:rsid w:val="00F96A83"/>
    <w:rsid w:val="00F96E7B"/>
    <w:rsid w:val="00F97126"/>
    <w:rsid w:val="00F97AFF"/>
    <w:rsid w:val="00F97BF9"/>
    <w:rsid w:val="00F97C61"/>
    <w:rsid w:val="00FA0042"/>
    <w:rsid w:val="00FA01BD"/>
    <w:rsid w:val="00FA01EE"/>
    <w:rsid w:val="00FA0455"/>
    <w:rsid w:val="00FA054D"/>
    <w:rsid w:val="00FA075E"/>
    <w:rsid w:val="00FA0843"/>
    <w:rsid w:val="00FA0D16"/>
    <w:rsid w:val="00FA0F8B"/>
    <w:rsid w:val="00FA151C"/>
    <w:rsid w:val="00FA19CE"/>
    <w:rsid w:val="00FA1C04"/>
    <w:rsid w:val="00FA2084"/>
    <w:rsid w:val="00FA2206"/>
    <w:rsid w:val="00FA243E"/>
    <w:rsid w:val="00FA2732"/>
    <w:rsid w:val="00FA28F9"/>
    <w:rsid w:val="00FA2B1B"/>
    <w:rsid w:val="00FA2CFF"/>
    <w:rsid w:val="00FA2D0E"/>
    <w:rsid w:val="00FA346C"/>
    <w:rsid w:val="00FA376D"/>
    <w:rsid w:val="00FA3A39"/>
    <w:rsid w:val="00FA3A74"/>
    <w:rsid w:val="00FA3A97"/>
    <w:rsid w:val="00FA3ABE"/>
    <w:rsid w:val="00FA3CAB"/>
    <w:rsid w:val="00FA3CD0"/>
    <w:rsid w:val="00FA3D0E"/>
    <w:rsid w:val="00FA42E2"/>
    <w:rsid w:val="00FA4449"/>
    <w:rsid w:val="00FA4476"/>
    <w:rsid w:val="00FA45C7"/>
    <w:rsid w:val="00FA491D"/>
    <w:rsid w:val="00FA4CC0"/>
    <w:rsid w:val="00FA4CDA"/>
    <w:rsid w:val="00FA4DC6"/>
    <w:rsid w:val="00FA5232"/>
    <w:rsid w:val="00FA534D"/>
    <w:rsid w:val="00FA584C"/>
    <w:rsid w:val="00FA5BD5"/>
    <w:rsid w:val="00FA5E6B"/>
    <w:rsid w:val="00FA6120"/>
    <w:rsid w:val="00FA6324"/>
    <w:rsid w:val="00FA638E"/>
    <w:rsid w:val="00FA6C0F"/>
    <w:rsid w:val="00FA6DE1"/>
    <w:rsid w:val="00FA768F"/>
    <w:rsid w:val="00FA7991"/>
    <w:rsid w:val="00FA7A6A"/>
    <w:rsid w:val="00FA7BAB"/>
    <w:rsid w:val="00FA7DA0"/>
    <w:rsid w:val="00FB0083"/>
    <w:rsid w:val="00FB0127"/>
    <w:rsid w:val="00FB1526"/>
    <w:rsid w:val="00FB15E6"/>
    <w:rsid w:val="00FB1604"/>
    <w:rsid w:val="00FB22E7"/>
    <w:rsid w:val="00FB2561"/>
    <w:rsid w:val="00FB29BF"/>
    <w:rsid w:val="00FB2A99"/>
    <w:rsid w:val="00FB34FB"/>
    <w:rsid w:val="00FB363A"/>
    <w:rsid w:val="00FB382C"/>
    <w:rsid w:val="00FB39E2"/>
    <w:rsid w:val="00FB3D7B"/>
    <w:rsid w:val="00FB3FB3"/>
    <w:rsid w:val="00FB3FE1"/>
    <w:rsid w:val="00FB413E"/>
    <w:rsid w:val="00FB41D6"/>
    <w:rsid w:val="00FB470A"/>
    <w:rsid w:val="00FB4941"/>
    <w:rsid w:val="00FB495C"/>
    <w:rsid w:val="00FB4A5F"/>
    <w:rsid w:val="00FB4CC4"/>
    <w:rsid w:val="00FB4DD0"/>
    <w:rsid w:val="00FB5543"/>
    <w:rsid w:val="00FB57DA"/>
    <w:rsid w:val="00FB587F"/>
    <w:rsid w:val="00FB5B04"/>
    <w:rsid w:val="00FB5B30"/>
    <w:rsid w:val="00FB5F2C"/>
    <w:rsid w:val="00FB5FCC"/>
    <w:rsid w:val="00FB609D"/>
    <w:rsid w:val="00FB6B2A"/>
    <w:rsid w:val="00FB6E55"/>
    <w:rsid w:val="00FB6E60"/>
    <w:rsid w:val="00FB71CB"/>
    <w:rsid w:val="00FB7389"/>
    <w:rsid w:val="00FB744A"/>
    <w:rsid w:val="00FB7651"/>
    <w:rsid w:val="00FC047E"/>
    <w:rsid w:val="00FC04AB"/>
    <w:rsid w:val="00FC08FB"/>
    <w:rsid w:val="00FC0DE9"/>
    <w:rsid w:val="00FC10D0"/>
    <w:rsid w:val="00FC1181"/>
    <w:rsid w:val="00FC1379"/>
    <w:rsid w:val="00FC18E3"/>
    <w:rsid w:val="00FC19AB"/>
    <w:rsid w:val="00FC1BD4"/>
    <w:rsid w:val="00FC230F"/>
    <w:rsid w:val="00FC23E5"/>
    <w:rsid w:val="00FC25C5"/>
    <w:rsid w:val="00FC273B"/>
    <w:rsid w:val="00FC2C22"/>
    <w:rsid w:val="00FC3363"/>
    <w:rsid w:val="00FC3540"/>
    <w:rsid w:val="00FC374E"/>
    <w:rsid w:val="00FC37C0"/>
    <w:rsid w:val="00FC3A2A"/>
    <w:rsid w:val="00FC3F1D"/>
    <w:rsid w:val="00FC4127"/>
    <w:rsid w:val="00FC4544"/>
    <w:rsid w:val="00FC4786"/>
    <w:rsid w:val="00FC4A9E"/>
    <w:rsid w:val="00FC4B37"/>
    <w:rsid w:val="00FC4F30"/>
    <w:rsid w:val="00FC5203"/>
    <w:rsid w:val="00FC5564"/>
    <w:rsid w:val="00FC5584"/>
    <w:rsid w:val="00FC563C"/>
    <w:rsid w:val="00FC5880"/>
    <w:rsid w:val="00FC5AB2"/>
    <w:rsid w:val="00FC6223"/>
    <w:rsid w:val="00FC6230"/>
    <w:rsid w:val="00FC62FB"/>
    <w:rsid w:val="00FC6593"/>
    <w:rsid w:val="00FC675C"/>
    <w:rsid w:val="00FC6D80"/>
    <w:rsid w:val="00FC732C"/>
    <w:rsid w:val="00FC739F"/>
    <w:rsid w:val="00FC758D"/>
    <w:rsid w:val="00FC78CA"/>
    <w:rsid w:val="00FC794D"/>
    <w:rsid w:val="00FC7B50"/>
    <w:rsid w:val="00FC7E14"/>
    <w:rsid w:val="00FD014B"/>
    <w:rsid w:val="00FD0218"/>
    <w:rsid w:val="00FD0472"/>
    <w:rsid w:val="00FD0553"/>
    <w:rsid w:val="00FD05A0"/>
    <w:rsid w:val="00FD05DB"/>
    <w:rsid w:val="00FD061D"/>
    <w:rsid w:val="00FD089E"/>
    <w:rsid w:val="00FD08B6"/>
    <w:rsid w:val="00FD0B34"/>
    <w:rsid w:val="00FD1084"/>
    <w:rsid w:val="00FD114A"/>
    <w:rsid w:val="00FD1453"/>
    <w:rsid w:val="00FD1534"/>
    <w:rsid w:val="00FD177F"/>
    <w:rsid w:val="00FD18DD"/>
    <w:rsid w:val="00FD1E1F"/>
    <w:rsid w:val="00FD1F2B"/>
    <w:rsid w:val="00FD2028"/>
    <w:rsid w:val="00FD206E"/>
    <w:rsid w:val="00FD2161"/>
    <w:rsid w:val="00FD22FA"/>
    <w:rsid w:val="00FD2481"/>
    <w:rsid w:val="00FD25D3"/>
    <w:rsid w:val="00FD2683"/>
    <w:rsid w:val="00FD2727"/>
    <w:rsid w:val="00FD27B7"/>
    <w:rsid w:val="00FD28B2"/>
    <w:rsid w:val="00FD2B09"/>
    <w:rsid w:val="00FD2CCB"/>
    <w:rsid w:val="00FD303F"/>
    <w:rsid w:val="00FD32FE"/>
    <w:rsid w:val="00FD372F"/>
    <w:rsid w:val="00FD3B0B"/>
    <w:rsid w:val="00FD3D13"/>
    <w:rsid w:val="00FD41DA"/>
    <w:rsid w:val="00FD4471"/>
    <w:rsid w:val="00FD488F"/>
    <w:rsid w:val="00FD4B19"/>
    <w:rsid w:val="00FD4BBB"/>
    <w:rsid w:val="00FD5034"/>
    <w:rsid w:val="00FD5233"/>
    <w:rsid w:val="00FD53A3"/>
    <w:rsid w:val="00FD59BE"/>
    <w:rsid w:val="00FD5AE1"/>
    <w:rsid w:val="00FD5E58"/>
    <w:rsid w:val="00FD61A6"/>
    <w:rsid w:val="00FD61C7"/>
    <w:rsid w:val="00FD65B1"/>
    <w:rsid w:val="00FD6751"/>
    <w:rsid w:val="00FD6AA1"/>
    <w:rsid w:val="00FD6BFE"/>
    <w:rsid w:val="00FD70B1"/>
    <w:rsid w:val="00FD7335"/>
    <w:rsid w:val="00FD7768"/>
    <w:rsid w:val="00FD7942"/>
    <w:rsid w:val="00FD7F6A"/>
    <w:rsid w:val="00FD7F8E"/>
    <w:rsid w:val="00FE01DD"/>
    <w:rsid w:val="00FE0862"/>
    <w:rsid w:val="00FE086F"/>
    <w:rsid w:val="00FE0D15"/>
    <w:rsid w:val="00FE0F37"/>
    <w:rsid w:val="00FE1915"/>
    <w:rsid w:val="00FE216C"/>
    <w:rsid w:val="00FE2315"/>
    <w:rsid w:val="00FE2479"/>
    <w:rsid w:val="00FE2521"/>
    <w:rsid w:val="00FE2524"/>
    <w:rsid w:val="00FE2D2F"/>
    <w:rsid w:val="00FE2DE7"/>
    <w:rsid w:val="00FE3688"/>
    <w:rsid w:val="00FE3C9F"/>
    <w:rsid w:val="00FE3CD3"/>
    <w:rsid w:val="00FE3E06"/>
    <w:rsid w:val="00FE4AD1"/>
    <w:rsid w:val="00FE4B2A"/>
    <w:rsid w:val="00FE4CBF"/>
    <w:rsid w:val="00FE4DD3"/>
    <w:rsid w:val="00FE4FDD"/>
    <w:rsid w:val="00FE5372"/>
    <w:rsid w:val="00FE6080"/>
    <w:rsid w:val="00FE6100"/>
    <w:rsid w:val="00FE664F"/>
    <w:rsid w:val="00FE69FF"/>
    <w:rsid w:val="00FE6D0C"/>
    <w:rsid w:val="00FE6F14"/>
    <w:rsid w:val="00FE7193"/>
    <w:rsid w:val="00FE733E"/>
    <w:rsid w:val="00FE7641"/>
    <w:rsid w:val="00FE785B"/>
    <w:rsid w:val="00FE7ABD"/>
    <w:rsid w:val="00FE7D52"/>
    <w:rsid w:val="00FE7D78"/>
    <w:rsid w:val="00FF00D7"/>
    <w:rsid w:val="00FF01CD"/>
    <w:rsid w:val="00FF07E0"/>
    <w:rsid w:val="00FF0E48"/>
    <w:rsid w:val="00FF0E99"/>
    <w:rsid w:val="00FF10B7"/>
    <w:rsid w:val="00FF12CA"/>
    <w:rsid w:val="00FF13DE"/>
    <w:rsid w:val="00FF1432"/>
    <w:rsid w:val="00FF1478"/>
    <w:rsid w:val="00FF1764"/>
    <w:rsid w:val="00FF1881"/>
    <w:rsid w:val="00FF18DE"/>
    <w:rsid w:val="00FF198C"/>
    <w:rsid w:val="00FF1B5E"/>
    <w:rsid w:val="00FF20D6"/>
    <w:rsid w:val="00FF2125"/>
    <w:rsid w:val="00FF24CF"/>
    <w:rsid w:val="00FF2772"/>
    <w:rsid w:val="00FF2ACE"/>
    <w:rsid w:val="00FF2D2B"/>
    <w:rsid w:val="00FF2D33"/>
    <w:rsid w:val="00FF306F"/>
    <w:rsid w:val="00FF386E"/>
    <w:rsid w:val="00FF3A1D"/>
    <w:rsid w:val="00FF3C39"/>
    <w:rsid w:val="00FF3C56"/>
    <w:rsid w:val="00FF4298"/>
    <w:rsid w:val="00FF4397"/>
    <w:rsid w:val="00FF4631"/>
    <w:rsid w:val="00FF4762"/>
    <w:rsid w:val="00FF48A9"/>
    <w:rsid w:val="00FF49D2"/>
    <w:rsid w:val="00FF4A45"/>
    <w:rsid w:val="00FF4CE1"/>
    <w:rsid w:val="00FF504E"/>
    <w:rsid w:val="00FF5061"/>
    <w:rsid w:val="00FF51E1"/>
    <w:rsid w:val="00FF5898"/>
    <w:rsid w:val="00FF5A9A"/>
    <w:rsid w:val="00FF5AB0"/>
    <w:rsid w:val="00FF5E4D"/>
    <w:rsid w:val="00FF5EF1"/>
    <w:rsid w:val="00FF6430"/>
    <w:rsid w:val="00FF67C3"/>
    <w:rsid w:val="00FF6A32"/>
    <w:rsid w:val="00FF7030"/>
    <w:rsid w:val="00FF7117"/>
    <w:rsid w:val="00FF7208"/>
    <w:rsid w:val="00FF73B7"/>
    <w:rsid w:val="00FF7402"/>
    <w:rsid w:val="00FF7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F6"/>
    <w:pPr>
      <w:spacing w:after="100" w:line="400" w:lineRule="exact"/>
      <w:jc w:val="both"/>
    </w:pPr>
    <w:rPr>
      <w:rFonts w:ascii="Century Schoolbook" w:hAnsi="Century Schoolbook"/>
      <w:sz w:val="27"/>
    </w:rPr>
  </w:style>
  <w:style w:type="paragraph" w:styleId="Heading1">
    <w:name w:val="heading 1"/>
    <w:basedOn w:val="Normal"/>
    <w:next w:val="Normal"/>
    <w:qFormat/>
    <w:rsid w:val="00761DF6"/>
    <w:pPr>
      <w:keepNext/>
      <w:spacing w:before="140" w:line="240" w:lineRule="atLeast"/>
      <w:jc w:val="center"/>
      <w:outlineLvl w:val="0"/>
    </w:pPr>
    <w:rPr>
      <w:b/>
      <w:smallCaps/>
    </w:rPr>
  </w:style>
  <w:style w:type="paragraph" w:styleId="Heading2">
    <w:name w:val="heading 2"/>
    <w:basedOn w:val="Normal"/>
    <w:next w:val="Normal"/>
    <w:link w:val="Heading2Char"/>
    <w:qFormat/>
    <w:rsid w:val="00761DF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61DF6"/>
    <w:pPr>
      <w:keepNext/>
      <w:tabs>
        <w:tab w:val="left" w:pos="1584"/>
      </w:tabs>
      <w:spacing w:before="140" w:line="240" w:lineRule="atLeast"/>
      <w:ind w:left="1584" w:hanging="432"/>
      <w:jc w:val="left"/>
      <w:outlineLvl w:val="2"/>
    </w:pPr>
    <w:rPr>
      <w:i/>
    </w:rPr>
  </w:style>
  <w:style w:type="paragraph" w:styleId="Heading4">
    <w:name w:val="heading 4"/>
    <w:basedOn w:val="Normal"/>
    <w:rsid w:val="00761DF6"/>
    <w:pPr>
      <w:keepNext/>
      <w:tabs>
        <w:tab w:val="left" w:pos="2016"/>
      </w:tabs>
      <w:spacing w:before="140" w:line="240" w:lineRule="atLeast"/>
      <w:ind w:left="2016" w:hanging="432"/>
      <w:jc w:val="left"/>
      <w:outlineLvl w:val="3"/>
    </w:pPr>
    <w:rPr>
      <w:i/>
    </w:rPr>
  </w:style>
  <w:style w:type="paragraph" w:styleId="Heading5">
    <w:name w:val="heading 5"/>
    <w:basedOn w:val="Normal"/>
    <w:rsid w:val="00761DF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761DF6"/>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61DF6"/>
    <w:rPr>
      <w:rFonts w:ascii="Century Schoolbook" w:hAnsi="Century Schoolbook"/>
      <w:b/>
      <w:i w:val="0"/>
      <w:position w:val="4"/>
      <w:sz w:val="27"/>
      <w:vertAlign w:val="superscript"/>
    </w:rPr>
  </w:style>
  <w:style w:type="paragraph" w:styleId="FootnoteText">
    <w:name w:val="footnote text"/>
    <w:basedOn w:val="Normal"/>
    <w:link w:val="FootnoteTextChar"/>
    <w:rsid w:val="00761DF6"/>
    <w:pPr>
      <w:spacing w:line="300" w:lineRule="exact"/>
    </w:pPr>
  </w:style>
  <w:style w:type="paragraph" w:styleId="Date">
    <w:name w:val="Date"/>
    <w:basedOn w:val="Normal"/>
    <w:semiHidden/>
    <w:rsid w:val="00761DF6"/>
    <w:pPr>
      <w:jc w:val="right"/>
    </w:pPr>
  </w:style>
  <w:style w:type="paragraph" w:styleId="Header">
    <w:name w:val="header"/>
    <w:basedOn w:val="Normal"/>
    <w:link w:val="HeaderChar"/>
    <w:qFormat/>
    <w:rsid w:val="00761DF6"/>
    <w:pPr>
      <w:tabs>
        <w:tab w:val="center" w:pos="3960"/>
        <w:tab w:val="right" w:pos="10080"/>
      </w:tabs>
      <w:spacing w:after="80" w:line="240" w:lineRule="auto"/>
      <w:jc w:val="center"/>
    </w:pPr>
    <w:rPr>
      <w:sz w:val="22"/>
    </w:rPr>
  </w:style>
  <w:style w:type="paragraph" w:styleId="NormalIndent">
    <w:name w:val="Normal Indent"/>
    <w:basedOn w:val="Normal"/>
    <w:semiHidden/>
    <w:rsid w:val="00761DF6"/>
    <w:pPr>
      <w:ind w:left="720"/>
    </w:pPr>
  </w:style>
  <w:style w:type="character" w:styleId="PageNumber">
    <w:name w:val="page number"/>
    <w:basedOn w:val="DefaultParagraphFont"/>
    <w:rsid w:val="00B13486"/>
  </w:style>
  <w:style w:type="paragraph" w:customStyle="1" w:styleId="Recommend">
    <w:name w:val="Recommend"/>
    <w:basedOn w:val="Normal"/>
    <w:rsid w:val="00761DF6"/>
  </w:style>
  <w:style w:type="paragraph" w:customStyle="1" w:styleId="subject">
    <w:name w:val="subject"/>
    <w:basedOn w:val="Normal"/>
    <w:rsid w:val="00761DF6"/>
    <w:pPr>
      <w:tabs>
        <w:tab w:val="left" w:pos="1008"/>
      </w:tabs>
      <w:ind w:left="990" w:hanging="990"/>
    </w:pPr>
    <w:rPr>
      <w:b/>
    </w:rPr>
  </w:style>
  <w:style w:type="paragraph" w:customStyle="1" w:styleId="Summary">
    <w:name w:val="Summary"/>
    <w:basedOn w:val="Normal"/>
    <w:rsid w:val="00761DF6"/>
    <w:pPr>
      <w:ind w:left="2160" w:hanging="2160"/>
    </w:pPr>
  </w:style>
  <w:style w:type="paragraph" w:customStyle="1" w:styleId="Text">
    <w:name w:val="Text"/>
    <w:basedOn w:val="Normal"/>
    <w:link w:val="TextChar"/>
    <w:rsid w:val="00761DF6"/>
    <w:pPr>
      <w:tabs>
        <w:tab w:val="left" w:pos="720"/>
        <w:tab w:val="left" w:pos="1440"/>
        <w:tab w:val="left" w:pos="2160"/>
        <w:tab w:val="center" w:pos="4320"/>
      </w:tabs>
      <w:spacing w:line="480" w:lineRule="atLeast"/>
      <w:ind w:firstLine="540"/>
    </w:pPr>
  </w:style>
  <w:style w:type="paragraph" w:customStyle="1" w:styleId="Title1">
    <w:name w:val="Title1"/>
    <w:basedOn w:val="Normal"/>
    <w:rsid w:val="00761DF6"/>
    <w:pPr>
      <w:tabs>
        <w:tab w:val="left" w:pos="5760"/>
        <w:tab w:val="left" w:pos="6480"/>
      </w:tabs>
      <w:spacing w:line="240" w:lineRule="atLeast"/>
    </w:pPr>
  </w:style>
  <w:style w:type="paragraph" w:customStyle="1" w:styleId="Titles">
    <w:name w:val="Titles"/>
    <w:basedOn w:val="Normal"/>
    <w:rsid w:val="00761DF6"/>
    <w:pPr>
      <w:tabs>
        <w:tab w:val="left" w:pos="2160"/>
      </w:tabs>
      <w:ind w:left="2160" w:hanging="2160"/>
    </w:pPr>
    <w:rPr>
      <w:b/>
    </w:rPr>
  </w:style>
  <w:style w:type="paragraph" w:styleId="TOAHeading">
    <w:name w:val="toa heading"/>
    <w:basedOn w:val="Normal"/>
    <w:next w:val="Normal"/>
    <w:semiHidden/>
    <w:rsid w:val="00761DF6"/>
    <w:pPr>
      <w:spacing w:before="120"/>
    </w:pPr>
    <w:rPr>
      <w:b/>
    </w:rPr>
  </w:style>
  <w:style w:type="paragraph" w:styleId="TOC1">
    <w:name w:val="toc 1"/>
    <w:basedOn w:val="Normal"/>
    <w:next w:val="Normal"/>
    <w:autoRedefine/>
    <w:semiHidden/>
    <w:rsid w:val="00761DF6"/>
  </w:style>
  <w:style w:type="paragraph" w:styleId="TOC2">
    <w:name w:val="toc 2"/>
    <w:basedOn w:val="Normal"/>
    <w:next w:val="Normal"/>
    <w:autoRedefine/>
    <w:semiHidden/>
    <w:rsid w:val="00761DF6"/>
    <w:pPr>
      <w:ind w:left="259"/>
    </w:pPr>
  </w:style>
  <w:style w:type="paragraph" w:styleId="TOC3">
    <w:name w:val="toc 3"/>
    <w:basedOn w:val="Normal"/>
    <w:next w:val="Normal"/>
    <w:autoRedefine/>
    <w:semiHidden/>
    <w:rsid w:val="00761DF6"/>
    <w:pPr>
      <w:ind w:left="520"/>
    </w:pPr>
  </w:style>
  <w:style w:type="paragraph" w:styleId="TOC4">
    <w:name w:val="toc 4"/>
    <w:basedOn w:val="Normal"/>
    <w:next w:val="Normal"/>
    <w:autoRedefine/>
    <w:semiHidden/>
    <w:rsid w:val="00761DF6"/>
    <w:pPr>
      <w:ind w:left="780"/>
    </w:pPr>
  </w:style>
  <w:style w:type="paragraph" w:styleId="TOC5">
    <w:name w:val="toc 5"/>
    <w:basedOn w:val="Normal"/>
    <w:next w:val="Normal"/>
    <w:autoRedefine/>
    <w:semiHidden/>
    <w:rsid w:val="00761DF6"/>
    <w:pPr>
      <w:ind w:left="1040"/>
    </w:pPr>
  </w:style>
  <w:style w:type="paragraph" w:styleId="TOC6">
    <w:name w:val="toc 6"/>
    <w:basedOn w:val="Normal"/>
    <w:next w:val="Normal"/>
    <w:autoRedefine/>
    <w:semiHidden/>
    <w:rsid w:val="00761DF6"/>
    <w:pPr>
      <w:ind w:left="1300"/>
    </w:pPr>
  </w:style>
  <w:style w:type="paragraph" w:styleId="TOC7">
    <w:name w:val="toc 7"/>
    <w:basedOn w:val="Normal"/>
    <w:next w:val="Normal"/>
    <w:autoRedefine/>
    <w:semiHidden/>
    <w:rsid w:val="00761DF6"/>
    <w:pPr>
      <w:ind w:left="1560"/>
    </w:pPr>
  </w:style>
  <w:style w:type="paragraph" w:styleId="TOC8">
    <w:name w:val="toc 8"/>
    <w:basedOn w:val="Normal"/>
    <w:next w:val="Normal"/>
    <w:autoRedefine/>
    <w:semiHidden/>
    <w:rsid w:val="00761DF6"/>
    <w:pPr>
      <w:ind w:left="1820"/>
    </w:pPr>
  </w:style>
  <w:style w:type="paragraph" w:styleId="TOC9">
    <w:name w:val="toc 9"/>
    <w:basedOn w:val="Normal"/>
    <w:next w:val="Normal"/>
    <w:autoRedefine/>
    <w:semiHidden/>
    <w:rsid w:val="00761DF6"/>
    <w:pPr>
      <w:ind w:left="2080"/>
    </w:pPr>
  </w:style>
  <w:style w:type="paragraph" w:customStyle="1" w:styleId="Contents">
    <w:name w:val="Contents"/>
    <w:basedOn w:val="Normal"/>
    <w:rsid w:val="00761DF6"/>
    <w:pPr>
      <w:jc w:val="center"/>
    </w:pPr>
    <w:rPr>
      <w:b/>
      <w:spacing w:val="100"/>
    </w:rPr>
  </w:style>
  <w:style w:type="character" w:customStyle="1" w:styleId="FootnoteTextChar">
    <w:name w:val="Footnote Text Char"/>
    <w:basedOn w:val="DefaultParagraphFont"/>
    <w:link w:val="FootnoteText"/>
    <w:rsid w:val="000C4E28"/>
    <w:rPr>
      <w:rFonts w:ascii="Century Schoolbook" w:hAnsi="Century Schoolbook"/>
      <w:sz w:val="27"/>
    </w:rPr>
  </w:style>
  <w:style w:type="paragraph" w:styleId="ListParagraph">
    <w:name w:val="List Paragraph"/>
    <w:basedOn w:val="Normal"/>
    <w:uiPriority w:val="34"/>
    <w:qFormat/>
    <w:rsid w:val="007615A1"/>
    <w:pPr>
      <w:ind w:left="720"/>
      <w:contextualSpacing/>
    </w:pPr>
  </w:style>
  <w:style w:type="character" w:styleId="CommentReference">
    <w:name w:val="annotation reference"/>
    <w:basedOn w:val="DefaultParagraphFont"/>
    <w:uiPriority w:val="99"/>
    <w:semiHidden/>
    <w:unhideWhenUsed/>
    <w:rsid w:val="00272935"/>
    <w:rPr>
      <w:sz w:val="16"/>
      <w:szCs w:val="16"/>
    </w:rPr>
  </w:style>
  <w:style w:type="paragraph" w:styleId="CommentText">
    <w:name w:val="annotation text"/>
    <w:basedOn w:val="Normal"/>
    <w:link w:val="CommentTextChar"/>
    <w:uiPriority w:val="99"/>
    <w:unhideWhenUsed/>
    <w:qFormat/>
    <w:rsid w:val="00272935"/>
    <w:rPr>
      <w:sz w:val="20"/>
    </w:rPr>
  </w:style>
  <w:style w:type="character" w:customStyle="1" w:styleId="CommentTextChar">
    <w:name w:val="Comment Text Char"/>
    <w:basedOn w:val="DefaultParagraphFont"/>
    <w:link w:val="CommentText"/>
    <w:uiPriority w:val="99"/>
    <w:rsid w:val="00272935"/>
  </w:style>
  <w:style w:type="paragraph" w:styleId="CommentSubject">
    <w:name w:val="annotation subject"/>
    <w:basedOn w:val="CommentText"/>
    <w:next w:val="CommentText"/>
    <w:link w:val="CommentSubjectChar"/>
    <w:uiPriority w:val="99"/>
    <w:semiHidden/>
    <w:unhideWhenUsed/>
    <w:rsid w:val="00272935"/>
    <w:rPr>
      <w:b/>
      <w:bCs/>
    </w:rPr>
  </w:style>
  <w:style w:type="character" w:customStyle="1" w:styleId="CommentSubjectChar">
    <w:name w:val="Comment Subject Char"/>
    <w:basedOn w:val="CommentTextChar"/>
    <w:link w:val="CommentSubject"/>
    <w:uiPriority w:val="99"/>
    <w:semiHidden/>
    <w:rsid w:val="00272935"/>
    <w:rPr>
      <w:b/>
      <w:bCs/>
    </w:rPr>
  </w:style>
  <w:style w:type="paragraph" w:styleId="Revision">
    <w:name w:val="Revision"/>
    <w:hidden/>
    <w:uiPriority w:val="99"/>
    <w:semiHidden/>
    <w:rsid w:val="00272935"/>
    <w:rPr>
      <w:sz w:val="26"/>
    </w:rPr>
  </w:style>
  <w:style w:type="paragraph" w:styleId="BalloonText">
    <w:name w:val="Balloon Text"/>
    <w:basedOn w:val="Normal"/>
    <w:link w:val="BalloonTextChar"/>
    <w:uiPriority w:val="99"/>
    <w:semiHidden/>
    <w:unhideWhenUsed/>
    <w:rsid w:val="00272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35"/>
    <w:rPr>
      <w:rFonts w:ascii="Segoe UI" w:hAnsi="Segoe UI" w:cs="Segoe UI"/>
      <w:sz w:val="18"/>
      <w:szCs w:val="18"/>
    </w:rPr>
  </w:style>
  <w:style w:type="character" w:customStyle="1" w:styleId="costarpage">
    <w:name w:val="co_starpage"/>
    <w:basedOn w:val="DefaultParagraphFont"/>
    <w:rsid w:val="00C4696C"/>
  </w:style>
  <w:style w:type="character" w:styleId="Emphasis">
    <w:name w:val="Emphasis"/>
    <w:basedOn w:val="DefaultParagraphFont"/>
    <w:uiPriority w:val="20"/>
    <w:qFormat/>
    <w:rsid w:val="00C4696C"/>
    <w:rPr>
      <w:i/>
      <w:iCs/>
    </w:rPr>
  </w:style>
  <w:style w:type="character" w:styleId="Hyperlink">
    <w:name w:val="Hyperlink"/>
    <w:basedOn w:val="DefaultParagraphFont"/>
    <w:uiPriority w:val="99"/>
    <w:unhideWhenUsed/>
    <w:rsid w:val="00874303"/>
    <w:rPr>
      <w:color w:val="0000FF"/>
      <w:u w:val="single"/>
    </w:rPr>
  </w:style>
  <w:style w:type="character" w:styleId="Strong">
    <w:name w:val="Strong"/>
    <w:basedOn w:val="DefaultParagraphFont"/>
    <w:uiPriority w:val="22"/>
    <w:qFormat/>
    <w:rsid w:val="005D0B3E"/>
    <w:rPr>
      <w:b/>
      <w:bCs/>
    </w:rPr>
  </w:style>
  <w:style w:type="character" w:customStyle="1" w:styleId="coconcept121">
    <w:name w:val="co_concept_1_21"/>
    <w:basedOn w:val="DefaultParagraphFont"/>
    <w:rsid w:val="00A11450"/>
  </w:style>
  <w:style w:type="character" w:customStyle="1" w:styleId="counderline">
    <w:name w:val="co_underline"/>
    <w:basedOn w:val="DefaultParagraphFont"/>
    <w:rsid w:val="00F109E3"/>
  </w:style>
  <w:style w:type="character" w:customStyle="1" w:styleId="copinpointicon">
    <w:name w:val="co_pinpointicon"/>
    <w:basedOn w:val="DefaultParagraphFont"/>
    <w:rsid w:val="009028BC"/>
  </w:style>
  <w:style w:type="paragraph" w:styleId="NormalWeb">
    <w:name w:val="Normal (Web)"/>
    <w:basedOn w:val="Normal"/>
    <w:uiPriority w:val="99"/>
    <w:semiHidden/>
    <w:unhideWhenUsed/>
    <w:rsid w:val="00005EC6"/>
    <w:pPr>
      <w:spacing w:before="100" w:beforeAutospacing="1" w:afterAutospacing="1"/>
    </w:pPr>
    <w:rPr>
      <w:sz w:val="24"/>
      <w:szCs w:val="24"/>
    </w:rPr>
  </w:style>
  <w:style w:type="character" w:customStyle="1" w:styleId="coconcept122">
    <w:name w:val="co_concept_1_22"/>
    <w:basedOn w:val="DefaultParagraphFont"/>
    <w:rsid w:val="00B3672F"/>
  </w:style>
  <w:style w:type="character" w:customStyle="1" w:styleId="coconcept2831">
    <w:name w:val="co_concept_28_31"/>
    <w:basedOn w:val="DefaultParagraphFont"/>
    <w:rsid w:val="00B3672F"/>
  </w:style>
  <w:style w:type="character" w:customStyle="1" w:styleId="UnresolvedMention">
    <w:name w:val="Unresolved Mention"/>
    <w:basedOn w:val="DefaultParagraphFont"/>
    <w:uiPriority w:val="99"/>
    <w:semiHidden/>
    <w:unhideWhenUsed/>
    <w:rsid w:val="00BB7FA3"/>
    <w:rPr>
      <w:color w:val="605E5C"/>
      <w:shd w:val="clear" w:color="auto" w:fill="E1DFDD"/>
    </w:rPr>
  </w:style>
  <w:style w:type="character" w:customStyle="1" w:styleId="cosmallcaps">
    <w:name w:val="co_smallcaps"/>
    <w:basedOn w:val="DefaultParagraphFont"/>
    <w:rsid w:val="008B7E0D"/>
  </w:style>
  <w:style w:type="character" w:customStyle="1" w:styleId="coconcept114">
    <w:name w:val="co_concept_1_14"/>
    <w:basedOn w:val="DefaultParagraphFont"/>
    <w:rsid w:val="00833B23"/>
  </w:style>
  <w:style w:type="character" w:customStyle="1" w:styleId="coconcept1925">
    <w:name w:val="co_concept_19_25"/>
    <w:basedOn w:val="DefaultParagraphFont"/>
    <w:rsid w:val="00A02068"/>
  </w:style>
  <w:style w:type="character" w:styleId="FollowedHyperlink">
    <w:name w:val="FollowedHyperlink"/>
    <w:basedOn w:val="DefaultParagraphFont"/>
    <w:uiPriority w:val="99"/>
    <w:semiHidden/>
    <w:unhideWhenUsed/>
    <w:rsid w:val="007F5206"/>
    <w:rPr>
      <w:color w:val="800080" w:themeColor="followedHyperlink"/>
      <w:u w:val="single"/>
    </w:rPr>
  </w:style>
  <w:style w:type="character" w:customStyle="1" w:styleId="coconcept3238">
    <w:name w:val="co_concept_32_38"/>
    <w:basedOn w:val="DefaultParagraphFont"/>
    <w:rsid w:val="005949D3"/>
  </w:style>
  <w:style w:type="character" w:customStyle="1" w:styleId="coconcept116">
    <w:name w:val="co_concept_1_16"/>
    <w:basedOn w:val="DefaultParagraphFont"/>
    <w:rsid w:val="005949D3"/>
  </w:style>
  <w:style w:type="character" w:customStyle="1" w:styleId="coconcept2227">
    <w:name w:val="co_concept_22_27"/>
    <w:basedOn w:val="DefaultParagraphFont"/>
    <w:rsid w:val="005949D3"/>
  </w:style>
  <w:style w:type="character" w:customStyle="1" w:styleId="cosearchterm">
    <w:name w:val="co_searchterm"/>
    <w:basedOn w:val="DefaultParagraphFont"/>
    <w:rsid w:val="00B2150C"/>
  </w:style>
  <w:style w:type="character" w:customStyle="1" w:styleId="coconcept126">
    <w:name w:val="co_concept_1_26"/>
    <w:basedOn w:val="DefaultParagraphFont"/>
    <w:rsid w:val="00E13A4B"/>
  </w:style>
  <w:style w:type="character" w:customStyle="1" w:styleId="coconcept5057">
    <w:name w:val="co_concept_50_57"/>
    <w:basedOn w:val="DefaultParagraphFont"/>
    <w:rsid w:val="007B5DB9"/>
  </w:style>
  <w:style w:type="character" w:customStyle="1" w:styleId="coconcept4145">
    <w:name w:val="co_concept_41_45"/>
    <w:basedOn w:val="DefaultParagraphFont"/>
    <w:rsid w:val="007B5DB9"/>
  </w:style>
  <w:style w:type="character" w:customStyle="1" w:styleId="coconcept3234">
    <w:name w:val="co_concept_32_34"/>
    <w:basedOn w:val="DefaultParagraphFont"/>
    <w:rsid w:val="007B5DB9"/>
  </w:style>
  <w:style w:type="character" w:customStyle="1" w:styleId="coinlinekeyciteflag">
    <w:name w:val="co_inlinekeyciteflag"/>
    <w:basedOn w:val="DefaultParagraphFont"/>
    <w:rsid w:val="007B5DB9"/>
  </w:style>
  <w:style w:type="character" w:customStyle="1" w:styleId="coconcept3436">
    <w:name w:val="co_concept_34_36"/>
    <w:basedOn w:val="DefaultParagraphFont"/>
    <w:rsid w:val="005E4B0B"/>
  </w:style>
  <w:style w:type="character" w:customStyle="1" w:styleId="coconcept7276">
    <w:name w:val="co_concept_72_76"/>
    <w:basedOn w:val="DefaultParagraphFont"/>
    <w:rsid w:val="005E4B0B"/>
  </w:style>
  <w:style w:type="character" w:customStyle="1" w:styleId="coconcept328">
    <w:name w:val="co_concept_3_28"/>
    <w:basedOn w:val="DefaultParagraphFont"/>
    <w:rsid w:val="005E4B0B"/>
  </w:style>
  <w:style w:type="character" w:customStyle="1" w:styleId="Heading3Char">
    <w:name w:val="Heading 3 Char"/>
    <w:basedOn w:val="DefaultParagraphFont"/>
    <w:link w:val="Heading3"/>
    <w:rsid w:val="00753585"/>
    <w:rPr>
      <w:rFonts w:ascii="Century Schoolbook" w:hAnsi="Century Schoolbook"/>
      <w:i/>
      <w:sz w:val="27"/>
    </w:rPr>
  </w:style>
  <w:style w:type="character" w:customStyle="1" w:styleId="coconcept2127">
    <w:name w:val="co_concept_21_27"/>
    <w:basedOn w:val="DefaultParagraphFont"/>
    <w:rsid w:val="004C44F9"/>
  </w:style>
  <w:style w:type="character" w:customStyle="1" w:styleId="coconcept117">
    <w:name w:val="co_concept_1_17"/>
    <w:basedOn w:val="DefaultParagraphFont"/>
    <w:rsid w:val="00E47AB0"/>
  </w:style>
  <w:style w:type="character" w:customStyle="1" w:styleId="opinionconcurrance">
    <w:name w:val="opinionconcurrance"/>
    <w:basedOn w:val="DefaultParagraphFont"/>
    <w:rsid w:val="00ED34D0"/>
  </w:style>
  <w:style w:type="character" w:customStyle="1" w:styleId="cohighlightpoints">
    <w:name w:val="co_highlightpoints"/>
    <w:basedOn w:val="DefaultParagraphFont"/>
    <w:rsid w:val="00D73656"/>
  </w:style>
  <w:style w:type="character" w:customStyle="1" w:styleId="coconcept3843">
    <w:name w:val="co_concept_38_43"/>
    <w:basedOn w:val="DefaultParagraphFont"/>
    <w:rsid w:val="00B75F7B"/>
  </w:style>
  <w:style w:type="character" w:customStyle="1" w:styleId="coconcept2131">
    <w:name w:val="co_concept_21_31"/>
    <w:basedOn w:val="DefaultParagraphFont"/>
    <w:rsid w:val="00B75F7B"/>
  </w:style>
  <w:style w:type="character" w:customStyle="1" w:styleId="coconcept25">
    <w:name w:val="co_concept_2_5"/>
    <w:basedOn w:val="DefaultParagraphFont"/>
    <w:rsid w:val="00B75F7B"/>
  </w:style>
  <w:style w:type="character" w:customStyle="1" w:styleId="coconcept1016">
    <w:name w:val="co_concept_10_16"/>
    <w:basedOn w:val="DefaultParagraphFont"/>
    <w:rsid w:val="00B75F7B"/>
  </w:style>
  <w:style w:type="character" w:customStyle="1" w:styleId="coconcept28">
    <w:name w:val="co_concept_2_8"/>
    <w:basedOn w:val="DefaultParagraphFont"/>
    <w:rsid w:val="004C49A9"/>
  </w:style>
  <w:style w:type="character" w:customStyle="1" w:styleId="coconcept3847">
    <w:name w:val="co_concept_38_47"/>
    <w:basedOn w:val="DefaultParagraphFont"/>
    <w:rsid w:val="004C49A9"/>
  </w:style>
  <w:style w:type="character" w:customStyle="1" w:styleId="coconcept1323">
    <w:name w:val="co_concept_13_23"/>
    <w:basedOn w:val="DefaultParagraphFont"/>
    <w:rsid w:val="004C49A9"/>
  </w:style>
  <w:style w:type="character" w:customStyle="1" w:styleId="coconcept26">
    <w:name w:val="co_concept_2_6"/>
    <w:basedOn w:val="DefaultParagraphFont"/>
    <w:rsid w:val="004827B3"/>
  </w:style>
  <w:style w:type="character" w:customStyle="1" w:styleId="coconcept813">
    <w:name w:val="co_concept_8_13"/>
    <w:basedOn w:val="DefaultParagraphFont"/>
    <w:rsid w:val="004827B3"/>
  </w:style>
  <w:style w:type="character" w:customStyle="1" w:styleId="coconcept1120">
    <w:name w:val="co_concept_11_20"/>
    <w:basedOn w:val="DefaultParagraphFont"/>
    <w:rsid w:val="004827B3"/>
  </w:style>
  <w:style w:type="character" w:customStyle="1" w:styleId="coconcept19">
    <w:name w:val="co_concept_1_9"/>
    <w:basedOn w:val="DefaultParagraphFont"/>
    <w:rsid w:val="004827B3"/>
  </w:style>
  <w:style w:type="character" w:customStyle="1" w:styleId="coconcept2835">
    <w:name w:val="co_concept_28_35"/>
    <w:basedOn w:val="DefaultParagraphFont"/>
    <w:rsid w:val="004827B3"/>
  </w:style>
  <w:style w:type="character" w:customStyle="1" w:styleId="coconcept1720">
    <w:name w:val="co_concept_17_20"/>
    <w:basedOn w:val="DefaultParagraphFont"/>
    <w:rsid w:val="00D37DDE"/>
  </w:style>
  <w:style w:type="character" w:customStyle="1" w:styleId="coconcept2230">
    <w:name w:val="co_concept_22_30"/>
    <w:basedOn w:val="DefaultParagraphFont"/>
    <w:rsid w:val="00D37DDE"/>
  </w:style>
  <w:style w:type="character" w:customStyle="1" w:styleId="coconcept2035">
    <w:name w:val="co_concept_20_35"/>
    <w:basedOn w:val="DefaultParagraphFont"/>
    <w:rsid w:val="00BA1F46"/>
  </w:style>
  <w:style w:type="character" w:customStyle="1" w:styleId="coconcept1216">
    <w:name w:val="co_concept_12_16"/>
    <w:basedOn w:val="DefaultParagraphFont"/>
    <w:rsid w:val="007448F5"/>
  </w:style>
  <w:style w:type="paragraph" w:customStyle="1" w:styleId="Default">
    <w:name w:val="Default"/>
    <w:rsid w:val="005C1EE1"/>
    <w:pPr>
      <w:autoSpaceDE w:val="0"/>
      <w:autoSpaceDN w:val="0"/>
      <w:adjustRightInd w:val="0"/>
    </w:pPr>
    <w:rPr>
      <w:rFonts w:ascii="Century Schoolbook" w:hAnsi="Century Schoolbook" w:cs="Century Schoolbook"/>
      <w:color w:val="000000"/>
      <w:sz w:val="24"/>
      <w:szCs w:val="24"/>
    </w:rPr>
  </w:style>
  <w:style w:type="character" w:customStyle="1" w:styleId="coconcept3538">
    <w:name w:val="co_concept_35_38"/>
    <w:basedOn w:val="DefaultParagraphFont"/>
    <w:rsid w:val="00653EC2"/>
  </w:style>
  <w:style w:type="character" w:customStyle="1" w:styleId="coconcept4347">
    <w:name w:val="co_concept_43_47"/>
    <w:basedOn w:val="DefaultParagraphFont"/>
    <w:rsid w:val="00653EC2"/>
  </w:style>
  <w:style w:type="character" w:customStyle="1" w:styleId="coconcept112">
    <w:name w:val="co_concept_1_12"/>
    <w:basedOn w:val="DefaultParagraphFont"/>
    <w:rsid w:val="00653EC2"/>
  </w:style>
  <w:style w:type="character" w:customStyle="1" w:styleId="coconcept1927">
    <w:name w:val="co_concept_19_27"/>
    <w:basedOn w:val="DefaultParagraphFont"/>
    <w:rsid w:val="00653EC2"/>
  </w:style>
  <w:style w:type="character" w:customStyle="1" w:styleId="coconcept1523">
    <w:name w:val="co_concept_15_23"/>
    <w:basedOn w:val="DefaultParagraphFont"/>
    <w:rsid w:val="003E5B76"/>
  </w:style>
  <w:style w:type="character" w:customStyle="1" w:styleId="coconcept711">
    <w:name w:val="co_concept_7_11"/>
    <w:basedOn w:val="DefaultParagraphFont"/>
    <w:rsid w:val="003E5B76"/>
  </w:style>
  <w:style w:type="character" w:customStyle="1" w:styleId="coconcept2732">
    <w:name w:val="co_concept_27_32"/>
    <w:basedOn w:val="DefaultParagraphFont"/>
    <w:rsid w:val="00E46EF2"/>
  </w:style>
  <w:style w:type="character" w:customStyle="1" w:styleId="Heading2Char">
    <w:name w:val="Heading 2 Char"/>
    <w:basedOn w:val="DefaultParagraphFont"/>
    <w:link w:val="Heading2"/>
    <w:rsid w:val="006757AE"/>
    <w:rPr>
      <w:rFonts w:ascii="Century Schoolbook" w:hAnsi="Century Schoolbook"/>
      <w:b/>
      <w:sz w:val="27"/>
    </w:rPr>
  </w:style>
  <w:style w:type="character" w:customStyle="1" w:styleId="cohl">
    <w:name w:val="co_hl"/>
    <w:basedOn w:val="DefaultParagraphFont"/>
    <w:rsid w:val="009F7330"/>
  </w:style>
  <w:style w:type="character" w:customStyle="1" w:styleId="coconcept3040">
    <w:name w:val="co_concept_30_40"/>
    <w:basedOn w:val="DefaultParagraphFont"/>
    <w:rsid w:val="002A76FD"/>
  </w:style>
  <w:style w:type="character" w:customStyle="1" w:styleId="coconcept5864">
    <w:name w:val="co_concept_58_64"/>
    <w:basedOn w:val="DefaultParagraphFont"/>
    <w:rsid w:val="002A76FD"/>
  </w:style>
  <w:style w:type="character" w:customStyle="1" w:styleId="coconcept1522">
    <w:name w:val="co_concept_15_22"/>
    <w:basedOn w:val="DefaultParagraphFont"/>
    <w:rsid w:val="002A76FD"/>
  </w:style>
  <w:style w:type="character" w:customStyle="1" w:styleId="coconcept212">
    <w:name w:val="co_concept_2_12"/>
    <w:basedOn w:val="DefaultParagraphFont"/>
    <w:rsid w:val="006D32C7"/>
  </w:style>
  <w:style w:type="character" w:customStyle="1" w:styleId="coconcept1420">
    <w:name w:val="co_concept_14_20"/>
    <w:basedOn w:val="DefaultParagraphFont"/>
    <w:rsid w:val="006D32C7"/>
  </w:style>
  <w:style w:type="character" w:customStyle="1" w:styleId="coconcept4148">
    <w:name w:val="co_concept_41_48"/>
    <w:basedOn w:val="DefaultParagraphFont"/>
    <w:rsid w:val="006D32C7"/>
  </w:style>
  <w:style w:type="character" w:customStyle="1" w:styleId="coconcept2431">
    <w:name w:val="co_concept_24_31"/>
    <w:basedOn w:val="DefaultParagraphFont"/>
    <w:rsid w:val="006D32C7"/>
  </w:style>
  <w:style w:type="character" w:customStyle="1" w:styleId="coconcept3337">
    <w:name w:val="co_concept_33_37"/>
    <w:basedOn w:val="DefaultParagraphFont"/>
    <w:rsid w:val="006D32C7"/>
  </w:style>
  <w:style w:type="character" w:customStyle="1" w:styleId="coconcept1426">
    <w:name w:val="co_concept_14_26"/>
    <w:basedOn w:val="DefaultParagraphFont"/>
    <w:rsid w:val="00367067"/>
  </w:style>
  <w:style w:type="character" w:customStyle="1" w:styleId="coconcept2834">
    <w:name w:val="co_concept_28_34"/>
    <w:basedOn w:val="DefaultParagraphFont"/>
    <w:rsid w:val="00367067"/>
  </w:style>
  <w:style w:type="character" w:customStyle="1" w:styleId="coconcept210">
    <w:name w:val="co_concept_2_10"/>
    <w:basedOn w:val="DefaultParagraphFont"/>
    <w:rsid w:val="00DD4DCC"/>
  </w:style>
  <w:style w:type="character" w:customStyle="1" w:styleId="coconcept8592">
    <w:name w:val="co_concept_85_92"/>
    <w:basedOn w:val="DefaultParagraphFont"/>
    <w:rsid w:val="005D4037"/>
  </w:style>
  <w:style w:type="character" w:customStyle="1" w:styleId="coconcept3645">
    <w:name w:val="co_concept_36_45"/>
    <w:basedOn w:val="DefaultParagraphFont"/>
    <w:rsid w:val="005D4037"/>
  </w:style>
  <w:style w:type="character" w:customStyle="1" w:styleId="coconcept6368">
    <w:name w:val="co_concept_63_68"/>
    <w:basedOn w:val="DefaultParagraphFont"/>
    <w:rsid w:val="005D4037"/>
  </w:style>
  <w:style w:type="character" w:customStyle="1" w:styleId="coconcept5156">
    <w:name w:val="co_concept_51_56"/>
    <w:basedOn w:val="DefaultParagraphFont"/>
    <w:rsid w:val="00C62C08"/>
  </w:style>
  <w:style w:type="paragraph" w:customStyle="1" w:styleId="xmsonormal">
    <w:name w:val="x_msonormal"/>
    <w:basedOn w:val="Normal"/>
    <w:rsid w:val="008724A3"/>
    <w:rPr>
      <w:rFonts w:ascii="Calibri" w:hAnsi="Calibri" w:eastAsiaTheme="minorHAnsi" w:cs="Calibri"/>
      <w:sz w:val="22"/>
      <w:szCs w:val="22"/>
    </w:rPr>
  </w:style>
  <w:style w:type="character" w:customStyle="1" w:styleId="TextChar">
    <w:name w:val="Text Char"/>
    <w:basedOn w:val="DefaultParagraphFont"/>
    <w:link w:val="Text"/>
    <w:locked/>
    <w:rsid w:val="004B6EE3"/>
    <w:rPr>
      <w:rFonts w:ascii="Century Schoolbook" w:hAnsi="Century Schoolbook"/>
      <w:sz w:val="27"/>
    </w:rPr>
  </w:style>
  <w:style w:type="character" w:customStyle="1" w:styleId="coconcept2249">
    <w:name w:val="co_concept_22_49"/>
    <w:basedOn w:val="DefaultParagraphFont"/>
    <w:rsid w:val="00A07657"/>
  </w:style>
  <w:style w:type="paragraph" w:styleId="BodyText">
    <w:name w:val="Body Text"/>
    <w:basedOn w:val="Normal"/>
    <w:link w:val="BodyTextChar"/>
    <w:qFormat/>
    <w:rsid w:val="00761DF6"/>
  </w:style>
  <w:style w:type="character" w:customStyle="1" w:styleId="BodyTextChar">
    <w:name w:val="Body Text Char"/>
    <w:basedOn w:val="DefaultParagraphFont"/>
    <w:link w:val="BodyText"/>
    <w:rsid w:val="00761DF6"/>
    <w:rPr>
      <w:rFonts w:ascii="Century Schoolbook" w:hAnsi="Century Schoolbook"/>
      <w:sz w:val="27"/>
    </w:rPr>
  </w:style>
  <w:style w:type="character" w:customStyle="1" w:styleId="HeaderChar">
    <w:name w:val="Header Char"/>
    <w:link w:val="Header"/>
    <w:rsid w:val="0092704F"/>
    <w:rPr>
      <w:rFonts w:ascii="Century Schoolbook" w:hAnsi="Century Schoolbook"/>
      <w:sz w:val="22"/>
    </w:rPr>
  </w:style>
  <w:style w:type="paragraph" w:customStyle="1" w:styleId="PRComments">
    <w:name w:val="PR Comments"/>
    <w:basedOn w:val="Normal"/>
    <w:rsid w:val="00936152"/>
    <w:pPr>
      <w:spacing w:after="0" w:line="360" w:lineRule="atLeast"/>
      <w:ind w:right="-360"/>
      <w:jc w:val="left"/>
    </w:pPr>
    <w:rPr>
      <w:rFonts w:ascii="Times New Roman" w:hAnsi="Times New Roman"/>
      <w:sz w:val="26"/>
    </w:rPr>
  </w:style>
  <w:style w:type="character" w:customStyle="1" w:styleId="ssrfcpassagedeactivated">
    <w:name w:val="ss_rfcpassage_deactivated"/>
    <w:basedOn w:val="DefaultParagraphFont"/>
    <w:rsid w:val="00B3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3172-35C6-4F46-AD52-CBBE1738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12268</Words>
  <Characters>69929</Characters>
  <Application>Microsoft Office Word</Application>
  <DocSecurity>0</DocSecurity>
  <Lines>582</Lines>
  <Paragraphs>164</Paragraphs>
  <ScaleCrop>false</ScaleCrop>
  <Company/>
  <LinksUpToDate>false</LinksUpToDate>
  <CharactersWithSpaces>82033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2021-08-30T16:56:40Z</dcterms:created>
  <dcterms:modified xsi:type="dcterms:W3CDTF">2021-08-30T16:56:40Z</dcterms:modified>
</cp:coreProperties>
</file>