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42FD4" w:rsidRPr="001B41E4" w:rsidP="00042FD4" w14:paraId="0CC22159" w14:textId="77777777">
      <w:pPr>
        <w:spacing w:after="0"/>
        <w:jc w:val="center"/>
        <w:rPr>
          <w:sz w:val="36"/>
        </w:rPr>
      </w:pPr>
      <w:r w:rsidRPr="001B41E4">
        <w:rPr>
          <w:b/>
          <w:sz w:val="36"/>
        </w:rPr>
        <w:t>IN THE SUPREME COURT OF CALIFORNIA</w:t>
      </w:r>
    </w:p>
    <w:p w:rsidR="00042FD4" w:rsidRPr="001B41E4" w:rsidP="00042FD4" w14:paraId="0E8602D7" w14:textId="77777777">
      <w:pPr>
        <w:spacing w:after="0"/>
        <w:jc w:val="center"/>
      </w:pPr>
    </w:p>
    <w:p w:rsidR="00042FD4" w:rsidRPr="001B41E4" w:rsidP="00042FD4" w14:paraId="4627ABBA" w14:textId="5E17D8C4">
      <w:pPr>
        <w:spacing w:after="0"/>
        <w:jc w:val="center"/>
      </w:pPr>
      <w:r w:rsidRPr="001B41E4">
        <w:t>HILL RHF HOUSING PARTNERS, L.P., et al.,</w:t>
      </w:r>
    </w:p>
    <w:p w:rsidR="00042FD4" w:rsidRPr="001B41E4" w:rsidP="00042FD4" w14:paraId="7AF3CC31" w14:textId="6A9420E6">
      <w:pPr>
        <w:spacing w:after="0"/>
        <w:jc w:val="center"/>
      </w:pPr>
      <w:r>
        <w:t>Plaintiffs</w:t>
      </w:r>
      <w:r w:rsidRPr="001B41E4">
        <w:t xml:space="preserve"> and Appellants,</w:t>
      </w:r>
    </w:p>
    <w:p w:rsidR="00042FD4" w:rsidRPr="001B41E4" w:rsidP="00042FD4" w14:paraId="75ED7AE5" w14:textId="77777777">
      <w:pPr>
        <w:spacing w:after="0"/>
        <w:jc w:val="center"/>
      </w:pPr>
      <w:r w:rsidRPr="001B41E4">
        <w:t>v.</w:t>
      </w:r>
    </w:p>
    <w:p w:rsidR="00042FD4" w:rsidRPr="001B41E4" w:rsidP="00042FD4" w14:paraId="32909037" w14:textId="608D6F44">
      <w:pPr>
        <w:spacing w:after="0"/>
        <w:jc w:val="center"/>
      </w:pPr>
      <w:r w:rsidRPr="001B41E4">
        <w:t>CITY OF LOS ANGELES et al.,</w:t>
      </w:r>
    </w:p>
    <w:p w:rsidR="00042FD4" w:rsidRPr="001B41E4" w:rsidP="00042FD4" w14:paraId="6EF94C8B" w14:textId="05482403">
      <w:pPr>
        <w:spacing w:after="0"/>
        <w:jc w:val="center"/>
      </w:pPr>
      <w:r>
        <w:t>Defendants</w:t>
      </w:r>
      <w:r w:rsidRPr="001B41E4">
        <w:t xml:space="preserve"> and Respondents.</w:t>
      </w:r>
    </w:p>
    <w:p w:rsidR="00042FD4" w:rsidRPr="001B41E4" w:rsidP="00042FD4" w14:paraId="61D7253E" w14:textId="15BCA1BB">
      <w:pPr>
        <w:spacing w:after="0"/>
        <w:jc w:val="center"/>
      </w:pPr>
    </w:p>
    <w:p w:rsidR="00042FD4" w:rsidRPr="001B41E4" w:rsidP="00042FD4" w14:paraId="75F0BBDA" w14:textId="5EC68D9A">
      <w:pPr>
        <w:spacing w:after="0"/>
        <w:jc w:val="center"/>
      </w:pPr>
      <w:r w:rsidRPr="001B41E4">
        <w:t>MESA RHF PARTNERS L.P.,</w:t>
      </w:r>
    </w:p>
    <w:p w:rsidR="00042FD4" w:rsidRPr="001B41E4" w:rsidP="00042FD4" w14:paraId="2F637FE0" w14:textId="6B5DB2E9">
      <w:pPr>
        <w:spacing w:after="0"/>
        <w:jc w:val="center"/>
      </w:pPr>
      <w:r>
        <w:t>Plaintiff</w:t>
      </w:r>
      <w:r w:rsidRPr="001B41E4">
        <w:t xml:space="preserve"> and Appellant,</w:t>
      </w:r>
    </w:p>
    <w:p w:rsidR="00042FD4" w:rsidRPr="001B41E4" w:rsidP="00042FD4" w14:paraId="172D8620" w14:textId="77777777">
      <w:pPr>
        <w:spacing w:after="0"/>
        <w:jc w:val="center"/>
      </w:pPr>
      <w:r w:rsidRPr="001B41E4">
        <w:t>v.</w:t>
      </w:r>
    </w:p>
    <w:p w:rsidR="00042FD4" w:rsidRPr="001B41E4" w:rsidP="00042FD4" w14:paraId="487F339F" w14:textId="2CF28076">
      <w:pPr>
        <w:spacing w:after="0"/>
        <w:jc w:val="center"/>
      </w:pPr>
      <w:r w:rsidRPr="001B41E4">
        <w:t>CITY OF LOS ANGELES et al.,</w:t>
      </w:r>
    </w:p>
    <w:p w:rsidR="00042FD4" w:rsidRPr="001B41E4" w:rsidP="00042FD4" w14:paraId="52EC24DD" w14:textId="484032E5">
      <w:pPr>
        <w:spacing w:after="0"/>
        <w:jc w:val="center"/>
      </w:pPr>
      <w:r>
        <w:t>Defendants</w:t>
      </w:r>
      <w:r w:rsidRPr="001B41E4">
        <w:t xml:space="preserve"> and Respondents.</w:t>
      </w:r>
    </w:p>
    <w:p w:rsidR="00042FD4" w:rsidRPr="001B41E4" w:rsidP="00042FD4" w14:paraId="6CFA6408" w14:textId="77777777">
      <w:pPr>
        <w:spacing w:after="0"/>
        <w:jc w:val="center"/>
      </w:pPr>
    </w:p>
    <w:p w:rsidR="00042FD4" w:rsidRPr="001B41E4" w:rsidP="00042FD4" w14:paraId="5CDC8AB4" w14:textId="317C77C8">
      <w:pPr>
        <w:spacing w:after="0"/>
        <w:jc w:val="center"/>
      </w:pPr>
      <w:r w:rsidRPr="001B41E4">
        <w:t>S263734</w:t>
      </w:r>
    </w:p>
    <w:p w:rsidR="00042FD4" w:rsidRPr="001B41E4" w:rsidP="00042FD4" w14:paraId="13C208B7" w14:textId="77777777">
      <w:pPr>
        <w:spacing w:after="0"/>
        <w:jc w:val="center"/>
      </w:pPr>
    </w:p>
    <w:p w:rsidR="00042FD4" w:rsidRPr="001B41E4" w:rsidP="00042FD4" w14:paraId="15D5087C" w14:textId="622546CA">
      <w:pPr>
        <w:spacing w:after="0"/>
        <w:jc w:val="center"/>
      </w:pPr>
      <w:r w:rsidRPr="001B41E4">
        <w:t>Second Appellate District, Division One</w:t>
      </w:r>
    </w:p>
    <w:p w:rsidR="00042FD4" w:rsidRPr="001B41E4" w:rsidP="00BC55F1" w14:paraId="05A69708" w14:textId="08045418">
      <w:pPr>
        <w:spacing w:after="0"/>
        <w:jc w:val="center"/>
      </w:pPr>
      <w:r w:rsidRPr="001B41E4">
        <w:t>B295181</w:t>
      </w:r>
      <w:r w:rsidR="00BC55F1">
        <w:t xml:space="preserve">, </w:t>
      </w:r>
      <w:r w:rsidRPr="001B41E4">
        <w:t>B295315</w:t>
      </w:r>
    </w:p>
    <w:p w:rsidR="00042FD4" w:rsidRPr="001B41E4" w:rsidP="00042FD4" w14:paraId="7DAF9278" w14:textId="77777777">
      <w:pPr>
        <w:spacing w:after="0"/>
        <w:jc w:val="center"/>
      </w:pPr>
    </w:p>
    <w:p w:rsidR="00042FD4" w:rsidRPr="001B41E4" w:rsidP="00042FD4" w14:paraId="5392FCCE" w14:textId="0DE4E00D">
      <w:pPr>
        <w:spacing w:after="0"/>
        <w:jc w:val="center"/>
      </w:pPr>
      <w:r w:rsidRPr="001B41E4">
        <w:t>Los Angeles County Superior Court</w:t>
      </w:r>
    </w:p>
    <w:p w:rsidR="00042FD4" w:rsidRPr="001B41E4" w:rsidP="00BC55F1" w14:paraId="48F94460" w14:textId="759424C7">
      <w:pPr>
        <w:spacing w:after="0"/>
        <w:jc w:val="center"/>
      </w:pPr>
      <w:r w:rsidRPr="001B41E4">
        <w:t>BS170127</w:t>
      </w:r>
      <w:r w:rsidR="00BC55F1">
        <w:t xml:space="preserve">, </w:t>
      </w:r>
      <w:r w:rsidRPr="001B41E4">
        <w:t xml:space="preserve">BS170352 </w:t>
      </w:r>
    </w:p>
    <w:p w:rsidR="00042FD4" w:rsidRPr="001B41E4" w:rsidP="00042FD4" w14:paraId="1DC0F30A" w14:textId="77777777">
      <w:pPr>
        <w:pBdr>
          <w:bottom w:val="single" w:sz="4" w:space="1" w:color="auto"/>
        </w:pBdr>
        <w:tabs>
          <w:tab w:val="left" w:pos="1440"/>
          <w:tab w:val="left" w:pos="4680"/>
          <w:tab w:val="center" w:pos="7200"/>
        </w:tabs>
        <w:spacing w:after="0"/>
        <w:jc w:val="center"/>
      </w:pPr>
    </w:p>
    <w:p w:rsidR="00042FD4" w:rsidRPr="001B41E4" w:rsidP="00042FD4" w14:paraId="2A187A2B" w14:textId="649B36B6">
      <w:pPr>
        <w:tabs>
          <w:tab w:val="left" w:pos="1440"/>
          <w:tab w:val="left" w:pos="4680"/>
          <w:tab w:val="center" w:pos="7200"/>
        </w:tabs>
        <w:spacing w:after="0"/>
        <w:jc w:val="center"/>
      </w:pPr>
      <w:r w:rsidRPr="001B41E4">
        <w:t>December</w:t>
      </w:r>
      <w:r w:rsidRPr="001B41E4">
        <w:t xml:space="preserve"> </w:t>
      </w:r>
      <w:r w:rsidR="00DA5319">
        <w:t>20</w:t>
      </w:r>
      <w:r w:rsidRPr="001B41E4">
        <w:t>, 2021</w:t>
      </w:r>
    </w:p>
    <w:p w:rsidR="00042FD4" w:rsidRPr="001B41E4" w:rsidP="00042FD4" w14:paraId="08139D77" w14:textId="77777777">
      <w:pPr>
        <w:tabs>
          <w:tab w:val="left" w:pos="1440"/>
          <w:tab w:val="left" w:pos="4680"/>
          <w:tab w:val="center" w:pos="7200"/>
        </w:tabs>
        <w:spacing w:after="0"/>
        <w:jc w:val="center"/>
      </w:pPr>
    </w:p>
    <w:p w:rsidR="006C784B" w:rsidRPr="006C784B" w:rsidP="006C784B" w14:paraId="0020AC24" w14:textId="16A59726">
      <w:pPr>
        <w:tabs>
          <w:tab w:val="left" w:pos="4680"/>
        </w:tabs>
        <w:spacing w:after="0"/>
        <w:ind w:right="-90"/>
      </w:pPr>
      <w:r w:rsidRPr="001B41E4">
        <w:t xml:space="preserve">Chief Justice Cantil-Sakauye authored the opinion of the </w:t>
      </w:r>
      <w:r w:rsidRPr="001B41E4" w:rsidR="00EA6DAA">
        <w:t>Court, i</w:t>
      </w:r>
      <w:r w:rsidRPr="001B41E4">
        <w:t xml:space="preserve">n which </w:t>
      </w:r>
      <w:r w:rsidRPr="001B41E4" w:rsidR="00EA6DAA">
        <w:t xml:space="preserve">Justices </w:t>
      </w:r>
      <w:r w:rsidR="00DA5319">
        <w:t>Corrigan, Liu, Kruger, Groban, Jenkins</w:t>
      </w:r>
      <w:r w:rsidRPr="001B41E4" w:rsidR="00EA6DAA">
        <w:t xml:space="preserve">, and </w:t>
      </w:r>
      <w:r w:rsidR="00DA5319">
        <w:t>Haller</w:t>
      </w:r>
      <w:r>
        <w:t>, J.</w:t>
      </w:r>
      <w:r>
        <w:rPr>
          <w:rStyle w:val="FootnoteReference"/>
        </w:rPr>
        <w:footnoteReference w:id="3"/>
      </w:r>
      <w:r w:rsidRPr="001B41E4">
        <w:t xml:space="preserve"> concurred. </w:t>
      </w:r>
    </w:p>
    <w:p w:rsidR="0023145B" w:rsidRPr="001B41E4" w:rsidP="00864D72" w14:paraId="5EB5E4CF" w14:textId="76A82704">
      <w:pPr>
        <w:pBdr>
          <w:bottom w:val="single" w:sz="4" w:space="1" w:color="auto"/>
        </w:pBdr>
        <w:spacing w:before="100" w:beforeAutospacing="1" w:after="10"/>
        <w:jc w:val="left"/>
        <w:rPr>
          <w:spacing w:val="100"/>
          <w:szCs w:val="28"/>
        </w:rPr>
        <w:sectPr w:rsidSect="00053160">
          <w:headerReference w:type="even" r:id="rId6"/>
          <w:headerReference w:type="default" r:id="rId7"/>
          <w:footerReference w:type="even" r:id="rId8"/>
          <w:footerReference w:type="default" r:id="rId9"/>
          <w:headerReference w:type="first" r:id="rId10"/>
          <w:footerReference w:type="first" r:id="rId11"/>
          <w:footnotePr>
            <w:numFmt w:val="chicago"/>
          </w:footnotePr>
          <w:pgSz w:w="12240" w:h="15840"/>
          <w:pgMar w:top="1800" w:right="2160" w:bottom="1440" w:left="2160" w:header="720" w:footer="720" w:gutter="0"/>
          <w:cols w:space="720"/>
          <w:docGrid w:linePitch="367"/>
        </w:sectPr>
      </w:pPr>
      <w:bookmarkStart w:id="0" w:name="Return"/>
      <w:bookmarkEnd w:id="0"/>
    </w:p>
    <w:p w:rsidR="0052276A" w:rsidRPr="001B41E4" w:rsidP="0052276A" w14:paraId="62E4A803" w14:textId="328E754E">
      <w:pPr>
        <w:tabs>
          <w:tab w:val="left" w:leader="underscore" w:pos="4680"/>
        </w:tabs>
        <w:jc w:val="center"/>
      </w:pPr>
      <w:bookmarkStart w:id="1" w:name="_Hlk43185139"/>
      <w:bookmarkStart w:id="2" w:name="_Hlk43185531"/>
      <w:r w:rsidRPr="001B41E4">
        <w:t>H</w:t>
      </w:r>
      <w:r w:rsidRPr="001B41E4" w:rsidR="005D2BD9">
        <w:t>ILL</w:t>
      </w:r>
      <w:r w:rsidRPr="001B41E4">
        <w:t xml:space="preserve"> RHF HOUSING PARTNERS, L.P.</w:t>
      </w:r>
      <w:r w:rsidR="00BC55F1">
        <w:t xml:space="preserve"> </w:t>
      </w:r>
      <w:r w:rsidRPr="001B41E4">
        <w:t xml:space="preserve">v. </w:t>
      </w:r>
      <w:r w:rsidRPr="001B41E4" w:rsidR="00DA56BE">
        <w:br/>
      </w:r>
      <w:r w:rsidRPr="001B41E4">
        <w:t>CITY OF LOS ANGELES</w:t>
      </w:r>
    </w:p>
    <w:bookmarkEnd w:id="1"/>
    <w:p w:rsidR="0052276A" w:rsidRPr="001B41E4" w:rsidP="0052276A" w14:paraId="790E75E5" w14:textId="0FFF5DC8">
      <w:pPr>
        <w:tabs>
          <w:tab w:val="left" w:leader="underscore" w:pos="4680"/>
        </w:tabs>
        <w:jc w:val="center"/>
      </w:pPr>
      <w:r w:rsidRPr="001B41E4">
        <w:t>S2</w:t>
      </w:r>
      <w:bookmarkEnd w:id="2"/>
      <w:r w:rsidRPr="001B41E4">
        <w:t>63734</w:t>
      </w:r>
    </w:p>
    <w:p w:rsidR="0052276A" w:rsidRPr="001B41E4" w:rsidP="0052276A" w14:paraId="3ACDC73B" w14:textId="77777777">
      <w:pPr>
        <w:tabs>
          <w:tab w:val="left" w:leader="underscore" w:pos="4680"/>
        </w:tabs>
        <w:jc w:val="center"/>
      </w:pPr>
    </w:p>
    <w:p w:rsidR="0052276A" w:rsidRPr="001B41E4" w:rsidP="0052276A" w14:paraId="0360F1C9" w14:textId="77777777">
      <w:pPr>
        <w:tabs>
          <w:tab w:val="left" w:leader="underscore" w:pos="4680"/>
        </w:tabs>
        <w:jc w:val="center"/>
      </w:pPr>
      <w:r w:rsidRPr="001B41E4">
        <w:t>Opinion of the Court by Cantil-Sakauye, C. J.</w:t>
      </w:r>
    </w:p>
    <w:p w:rsidR="00BA330A" w:rsidRPr="001B41E4" w:rsidP="0023145B" w14:paraId="6C3715EA" w14:textId="631D622D">
      <w:pPr>
        <w:tabs>
          <w:tab w:val="left" w:pos="4680"/>
        </w:tabs>
        <w:rPr>
          <w:szCs w:val="26"/>
        </w:rPr>
      </w:pPr>
      <w:r w:rsidRPr="001B41E4">
        <w:rPr>
          <w:szCs w:val="26"/>
        </w:rPr>
        <w:tab/>
      </w:r>
    </w:p>
    <w:p w:rsidR="00041EC8" w:rsidRPr="001B41E4" w:rsidP="0023145B" w14:paraId="50BD1905" w14:textId="21400911">
      <w:pPr>
        <w:ind w:firstLine="720"/>
      </w:pPr>
      <w:r w:rsidRPr="001B41E4">
        <w:t>State law provides for the formation of business improvement districts, or BID</w:t>
      </w:r>
      <w:r w:rsidRPr="001B41E4" w:rsidR="00641A52">
        <w:t>s</w:t>
      </w:r>
      <w:r w:rsidRPr="001B41E4" w:rsidR="00E40AC6">
        <w:t>, through which services, activities, and improvements may be funded by assessments</w:t>
      </w:r>
      <w:r w:rsidRPr="001B41E4" w:rsidR="008C4E79">
        <w:t xml:space="preserve"> imposed</w:t>
      </w:r>
      <w:r w:rsidRPr="001B41E4" w:rsidR="00E40AC6">
        <w:t xml:space="preserve"> on benefitted businesses or properties</w:t>
      </w:r>
      <w:r w:rsidRPr="001B41E4" w:rsidR="003B0FF9">
        <w:t xml:space="preserve">.  </w:t>
      </w:r>
      <w:r w:rsidRPr="001B41E4" w:rsidR="00E40AC6">
        <w:t xml:space="preserve">When a </w:t>
      </w:r>
      <w:r w:rsidRPr="001B41E4" w:rsidR="00E33F06">
        <w:t xml:space="preserve">BID </w:t>
      </w:r>
      <w:r w:rsidRPr="001B41E4" w:rsidR="00E40AC6">
        <w:t>is</w:t>
      </w:r>
      <w:r w:rsidRPr="001B41E4" w:rsidR="00E33F06">
        <w:t xml:space="preserve"> </w:t>
      </w:r>
      <w:r w:rsidRPr="001B41E4" w:rsidR="00D25DD7">
        <w:t>subsidized</w:t>
      </w:r>
      <w:r w:rsidRPr="001B41E4" w:rsidR="00E33F06">
        <w:t xml:space="preserve"> by assessments upon </w:t>
      </w:r>
      <w:r w:rsidRPr="001B41E4" w:rsidR="00966558">
        <w:t xml:space="preserve">real </w:t>
      </w:r>
      <w:r w:rsidRPr="001B41E4" w:rsidR="00E33F06">
        <w:t>property</w:t>
      </w:r>
      <w:r w:rsidRPr="001B41E4" w:rsidR="00E40AC6">
        <w:t>,</w:t>
      </w:r>
      <w:r w:rsidRPr="001B41E4" w:rsidR="00B7391F">
        <w:t xml:space="preserve"> </w:t>
      </w:r>
      <w:r w:rsidRPr="001B41E4" w:rsidR="00E40AC6">
        <w:t xml:space="preserve">these </w:t>
      </w:r>
      <w:r w:rsidRPr="001B41E4" w:rsidR="008C4E79">
        <w:t xml:space="preserve">levies </w:t>
      </w:r>
      <w:r w:rsidRPr="001B41E4" w:rsidR="00B21154">
        <w:t xml:space="preserve">must comply with the Right to Vote on Taxes Act, an initiative measure </w:t>
      </w:r>
      <w:r w:rsidRPr="001B41E4" w:rsidR="00B7391F">
        <w:t>more commonly</w:t>
      </w:r>
      <w:r w:rsidRPr="001B41E4" w:rsidR="00B21154">
        <w:t xml:space="preserve"> known as Proposition 218. </w:t>
      </w:r>
      <w:r w:rsidRPr="001B41E4" w:rsidR="00E33F06">
        <w:t xml:space="preserve"> </w:t>
      </w:r>
      <w:r w:rsidRPr="001B41E4" w:rsidR="006D0E0F">
        <w:t>The question before us is whether</w:t>
      </w:r>
      <w:r w:rsidRPr="001B41E4" w:rsidR="00B21154">
        <w:t xml:space="preserve"> </w:t>
      </w:r>
      <w:r w:rsidRPr="001B41E4" w:rsidR="00B7391F">
        <w:t xml:space="preserve">courts will entertain </w:t>
      </w:r>
      <w:r w:rsidRPr="001B41E4" w:rsidR="005C22E7">
        <w:t>argument</w:t>
      </w:r>
      <w:r w:rsidRPr="001B41E4" w:rsidR="00314961">
        <w:t>s</w:t>
      </w:r>
      <w:r w:rsidRPr="001B41E4" w:rsidR="00B21154">
        <w:t xml:space="preserve"> that a BID’s assessment scheme violates </w:t>
      </w:r>
      <w:r w:rsidR="000069CE">
        <w:t xml:space="preserve">certain </w:t>
      </w:r>
      <w:r w:rsidR="002A7C73">
        <w:t>provisions</w:t>
      </w:r>
      <w:r w:rsidR="000069CE">
        <w:t xml:space="preserve"> of </w:t>
      </w:r>
      <w:r w:rsidRPr="001B41E4" w:rsidR="00B21154">
        <w:t xml:space="preserve">Proposition 218 </w:t>
      </w:r>
      <w:r w:rsidRPr="001B41E4" w:rsidR="00B7391F">
        <w:t xml:space="preserve">when </w:t>
      </w:r>
      <w:r w:rsidR="008E63C1">
        <w:t>raised</w:t>
      </w:r>
      <w:r w:rsidRPr="001B41E4" w:rsidR="00966558">
        <w:t xml:space="preserve"> by a</w:t>
      </w:r>
      <w:r w:rsidRPr="001B41E4" w:rsidR="00B7391F">
        <w:t xml:space="preserve"> </w:t>
      </w:r>
      <w:r w:rsidRPr="001B41E4" w:rsidR="006B6D58">
        <w:t>party</w:t>
      </w:r>
      <w:r w:rsidRPr="001B41E4" w:rsidR="00966558">
        <w:t xml:space="preserve"> </w:t>
      </w:r>
      <w:r w:rsidRPr="001B41E4" w:rsidR="00314961">
        <w:t>who</w:t>
      </w:r>
      <w:r w:rsidRPr="001B41E4" w:rsidR="00B7391F">
        <w:t xml:space="preserve"> did not </w:t>
      </w:r>
      <w:r w:rsidR="008E63C1">
        <w:t>articulate</w:t>
      </w:r>
      <w:r w:rsidRPr="001B41E4" w:rsidR="005C22E7">
        <w:t xml:space="preserve"> </w:t>
      </w:r>
      <w:r w:rsidR="00F5165A">
        <w:t>these</w:t>
      </w:r>
      <w:r w:rsidRPr="001B41E4" w:rsidR="005C22E7">
        <w:t xml:space="preserve"> objections</w:t>
      </w:r>
      <w:r w:rsidRPr="001B41E4" w:rsidR="00B7391F">
        <w:t xml:space="preserve"> </w:t>
      </w:r>
      <w:r w:rsidRPr="001B41E4" w:rsidR="006D0E0F">
        <w:t xml:space="preserve">at the </w:t>
      </w:r>
      <w:r w:rsidRPr="001B41E4" w:rsidR="006B6D58">
        <w:t xml:space="preserve">noticed </w:t>
      </w:r>
      <w:r w:rsidRPr="001B41E4" w:rsidR="006D0E0F">
        <w:t>public hearing</w:t>
      </w:r>
      <w:r w:rsidRPr="001B41E4" w:rsidR="00B7391F">
        <w:t xml:space="preserve"> at which protests </w:t>
      </w:r>
      <w:r w:rsidRPr="001B41E4" w:rsidR="00A4702F">
        <w:t>regarding</w:t>
      </w:r>
      <w:r w:rsidRPr="001B41E4" w:rsidR="00B7391F">
        <w:t xml:space="preserve"> a BID are to be considered by lawmakers.  (</w:t>
      </w:r>
      <w:r w:rsidRPr="001B41E4" w:rsidR="0034510E">
        <w:t>Cal. Const., a</w:t>
      </w:r>
      <w:r w:rsidRPr="001B41E4" w:rsidR="00B7391F">
        <w:t>rt. XIII</w:t>
      </w:r>
      <w:r w:rsidRPr="001B41E4" w:rsidR="00A4702F">
        <w:t> </w:t>
      </w:r>
      <w:r w:rsidRPr="001B41E4" w:rsidR="00B7391F">
        <w:t>D, § 4, subd. (</w:t>
      </w:r>
      <w:r w:rsidRPr="001B41E4" w:rsidR="005D768D">
        <w:t>e</w:t>
      </w:r>
      <w:r w:rsidRPr="001B41E4" w:rsidR="00B7391F">
        <w:t>); see also Gov. Code, § 53753</w:t>
      </w:r>
      <w:r w:rsidRPr="001B41E4" w:rsidR="00A31626">
        <w:t>, subd. (d)</w:t>
      </w:r>
      <w:r w:rsidRPr="001B41E4" w:rsidR="00B7391F">
        <w:t>.)</w:t>
      </w:r>
      <w:r>
        <w:rPr>
          <w:rStyle w:val="FootnoteReference"/>
          <w:bCs/>
        </w:rPr>
        <w:footnoteReference w:id="4"/>
      </w:r>
      <w:r w:rsidRPr="001B41E4" w:rsidR="003B0FF9">
        <w:t xml:space="preserve">  </w:t>
      </w:r>
    </w:p>
    <w:p w:rsidR="0013471F" w:rsidRPr="001B41E4" w:rsidP="0023145B" w14:paraId="5CD89D8F" w14:textId="7EB9CE8E">
      <w:pPr>
        <w:ind w:firstLine="720"/>
      </w:pPr>
      <w:r w:rsidRPr="001B41E4">
        <w:t>In proceedings below,</w:t>
      </w:r>
      <w:r w:rsidRPr="001B41E4" w:rsidR="003B0FF9">
        <w:t xml:space="preserve"> </w:t>
      </w:r>
      <w:r w:rsidRPr="001B41E4">
        <w:t>the</w:t>
      </w:r>
      <w:r w:rsidRPr="001B41E4" w:rsidR="003B0FF9">
        <w:t xml:space="preserve"> Court of Appeal concluded</w:t>
      </w:r>
      <w:r w:rsidRPr="001B41E4">
        <w:t xml:space="preserve"> that </w:t>
      </w:r>
      <w:r w:rsidRPr="001B41E4" w:rsidR="003B0FF9">
        <w:t>petitioners</w:t>
      </w:r>
      <w:r w:rsidRPr="001B41E4">
        <w:t xml:space="preserve">’ failure to </w:t>
      </w:r>
      <w:r w:rsidRPr="001B41E4" w:rsidR="005C22E7">
        <w:t>present</w:t>
      </w:r>
      <w:r w:rsidRPr="001B41E4">
        <w:t xml:space="preserve"> </w:t>
      </w:r>
      <w:r w:rsidRPr="001B41E4" w:rsidR="00A4702F">
        <w:t xml:space="preserve">their </w:t>
      </w:r>
      <w:r w:rsidRPr="001B41E4">
        <w:t xml:space="preserve">objections </w:t>
      </w:r>
      <w:r w:rsidRPr="001B41E4" w:rsidR="00B21154">
        <w:t xml:space="preserve">to </w:t>
      </w:r>
      <w:r w:rsidRPr="001B41E4" w:rsidR="00B7391F">
        <w:t>BIDs</w:t>
      </w:r>
      <w:r w:rsidRPr="001B41E4" w:rsidR="00B21154">
        <w:t xml:space="preserve"> </w:t>
      </w:r>
      <w:r w:rsidRPr="001B41E4">
        <w:t>at the appropriate public hearings</w:t>
      </w:r>
      <w:r w:rsidRPr="001B41E4" w:rsidR="00A8151D">
        <w:t xml:space="preserve"> meant they had not exhausted their </w:t>
      </w:r>
      <w:r w:rsidRPr="001B41E4" w:rsidR="00ED5E1B">
        <w:t>extrajudicial</w:t>
      </w:r>
      <w:r w:rsidRPr="001B41E4" w:rsidR="00A8151D">
        <w:t xml:space="preserve"> remedies,</w:t>
      </w:r>
      <w:r w:rsidRPr="001B41E4" w:rsidR="00041EC8">
        <w:t xml:space="preserve"> </w:t>
      </w:r>
      <w:r w:rsidRPr="001B41E4" w:rsidR="00ED5E1B">
        <w:t>a lapse that</w:t>
      </w:r>
      <w:r w:rsidRPr="001B41E4" w:rsidR="00041EC8">
        <w:t xml:space="preserve"> prevented the court from deciding petitioners’ claims on the merits</w:t>
      </w:r>
      <w:r w:rsidRPr="001B41E4" w:rsidR="00B21154">
        <w:t>.</w:t>
      </w:r>
      <w:r w:rsidRPr="001B41E4" w:rsidR="00B7391F">
        <w:t xml:space="preserve">  </w:t>
      </w:r>
      <w:r w:rsidRPr="001B41E4" w:rsidR="008467CC">
        <w:t>We</w:t>
      </w:r>
      <w:r w:rsidRPr="001B41E4" w:rsidR="00ED5E1B">
        <w:t xml:space="preserve"> disagree</w:t>
      </w:r>
      <w:r w:rsidRPr="001B41E4">
        <w:t xml:space="preserve">.  </w:t>
      </w:r>
      <w:r w:rsidRPr="001B41E4" w:rsidR="007F3F81">
        <w:t xml:space="preserve">The opportunity to comment on a proposed BID does not involve </w:t>
      </w:r>
      <w:r w:rsidRPr="001B41E4" w:rsidR="000E7510">
        <w:t>the</w:t>
      </w:r>
      <w:r w:rsidRPr="001B41E4" w:rsidR="008D21FA">
        <w:t xml:space="preserve"> sort of</w:t>
      </w:r>
      <w:r w:rsidRPr="001B41E4" w:rsidR="007F3F81">
        <w:t xml:space="preserve"> </w:t>
      </w:r>
      <w:r w:rsidRPr="001B41E4" w:rsidR="00A8151D">
        <w:rPr>
          <w:szCs w:val="26"/>
        </w:rPr>
        <w:t>“</w:t>
      </w:r>
      <w:r w:rsidRPr="001B41E4" w:rsidR="008D21FA">
        <w:rPr>
          <w:szCs w:val="26"/>
        </w:rPr>
        <w:t xml:space="preserve">clearly defined </w:t>
      </w:r>
      <w:r w:rsidRPr="001B41E4" w:rsidR="00A8151D">
        <w:rPr>
          <w:szCs w:val="26"/>
        </w:rPr>
        <w:t xml:space="preserve">machinery for the submission, evaluation </w:t>
      </w:r>
      <w:r w:rsidRPr="001B41E4" w:rsidR="00A8151D">
        <w:rPr>
          <w:szCs w:val="26"/>
        </w:rPr>
        <w:t>and resolution of complaints by aggrieved parties”</w:t>
      </w:r>
      <w:r w:rsidRPr="001B41E4" w:rsidR="007F3F81">
        <w:rPr>
          <w:szCs w:val="26"/>
        </w:rPr>
        <w:t xml:space="preserve"> </w:t>
      </w:r>
      <w:r w:rsidRPr="001B41E4" w:rsidR="00A8151D">
        <w:rPr>
          <w:szCs w:val="26"/>
        </w:rPr>
        <w:t>(</w:t>
      </w:r>
      <w:r w:rsidRPr="001B41E4" w:rsidR="00A8151D">
        <w:rPr>
          <w:i/>
          <w:iCs/>
          <w:szCs w:val="26"/>
        </w:rPr>
        <w:t>Rosenfield v. Malcolm</w:t>
      </w:r>
      <w:r w:rsidRPr="001B41E4" w:rsidR="00A8151D">
        <w:rPr>
          <w:szCs w:val="26"/>
        </w:rPr>
        <w:t xml:space="preserve"> (1967) 65 Cal.2d 559, 566 (</w:t>
      </w:r>
      <w:r w:rsidRPr="001B41E4" w:rsidR="00A8151D">
        <w:rPr>
          <w:i/>
          <w:iCs/>
          <w:szCs w:val="26"/>
        </w:rPr>
        <w:t>Rosenfield</w:t>
      </w:r>
      <w:r w:rsidRPr="001B41E4" w:rsidR="00A8151D">
        <w:rPr>
          <w:szCs w:val="26"/>
        </w:rPr>
        <w:t>)</w:t>
      </w:r>
      <w:r w:rsidRPr="001B41E4" w:rsidR="00ED5E1B">
        <w:rPr>
          <w:szCs w:val="26"/>
        </w:rPr>
        <w:t xml:space="preserve">) </w:t>
      </w:r>
      <w:r w:rsidR="00F5165A">
        <w:rPr>
          <w:szCs w:val="26"/>
        </w:rPr>
        <w:t>that has allowed us to</w:t>
      </w:r>
      <w:r w:rsidRPr="001B41E4" w:rsidR="00DA485C">
        <w:rPr>
          <w:szCs w:val="26"/>
        </w:rPr>
        <w:t xml:space="preserve"> infer </w:t>
      </w:r>
      <w:r w:rsidR="00F5165A">
        <w:rPr>
          <w:szCs w:val="26"/>
        </w:rPr>
        <w:t xml:space="preserve">an exhaustion requirement in other </w:t>
      </w:r>
      <w:r w:rsidR="00AB6153">
        <w:rPr>
          <w:szCs w:val="26"/>
        </w:rPr>
        <w:t>contexts</w:t>
      </w:r>
      <w:r w:rsidRPr="001B41E4" w:rsidR="00DA485C">
        <w:rPr>
          <w:szCs w:val="26"/>
        </w:rPr>
        <w:t xml:space="preserve">. </w:t>
      </w:r>
      <w:r w:rsidRPr="001B41E4" w:rsidR="007F3F81">
        <w:rPr>
          <w:szCs w:val="26"/>
        </w:rPr>
        <w:t xml:space="preserve"> Furthermore, </w:t>
      </w:r>
      <w:r w:rsidRPr="001B41E4" w:rsidR="003D0C32">
        <w:t>the</w:t>
      </w:r>
      <w:r w:rsidRPr="001B41E4" w:rsidR="00ED5E1B">
        <w:t xml:space="preserve"> Court of Appeal’s</w:t>
      </w:r>
      <w:r w:rsidRPr="001B41E4" w:rsidR="003D0C32">
        <w:t xml:space="preserve"> exhaustion</w:t>
      </w:r>
      <w:r w:rsidRPr="001B41E4">
        <w:t xml:space="preserve"> </w:t>
      </w:r>
      <w:r w:rsidRPr="001B41E4" w:rsidR="00A716DC">
        <w:t xml:space="preserve">analysis </w:t>
      </w:r>
      <w:r w:rsidRPr="001B41E4" w:rsidR="00A97245">
        <w:t xml:space="preserve">does not find support in the policy rationales </w:t>
      </w:r>
      <w:r w:rsidRPr="001B41E4" w:rsidR="00B21154">
        <w:t xml:space="preserve">that </w:t>
      </w:r>
      <w:r w:rsidRPr="001B41E4" w:rsidR="003D0C32">
        <w:t>inform</w:t>
      </w:r>
      <w:r w:rsidRPr="001B41E4" w:rsidR="00B21154">
        <w:t xml:space="preserve"> </w:t>
      </w:r>
      <w:r w:rsidRPr="001B41E4" w:rsidR="003D0C32">
        <w:t>the</w:t>
      </w:r>
      <w:r w:rsidRPr="001B41E4">
        <w:t xml:space="preserve"> exhaustion </w:t>
      </w:r>
      <w:r w:rsidRPr="001B41E4" w:rsidR="003D0C32">
        <w:t>doctrine</w:t>
      </w:r>
      <w:r w:rsidRPr="001B41E4" w:rsidR="00A716DC">
        <w:t xml:space="preserve"> nor in the intentions behind Proposition 218</w:t>
      </w:r>
      <w:r w:rsidRPr="001B41E4" w:rsidR="003D0C32">
        <w:t>.</w:t>
      </w:r>
      <w:r w:rsidRPr="001B41E4">
        <w:t xml:space="preserve"> </w:t>
      </w:r>
      <w:r w:rsidRPr="001B41E4" w:rsidR="00ED5E1B">
        <w:t xml:space="preserve"> </w:t>
      </w:r>
      <w:r w:rsidR="000069CE">
        <w:t>T</w:t>
      </w:r>
      <w:r w:rsidRPr="001B41E4" w:rsidR="00A97245">
        <w:t xml:space="preserve">hese </w:t>
      </w:r>
      <w:r w:rsidRPr="001B41E4" w:rsidR="001519BD">
        <w:t xml:space="preserve">considerations </w:t>
      </w:r>
      <w:r w:rsidRPr="001B41E4" w:rsidR="008467CC">
        <w:t>lead us to</w:t>
      </w:r>
      <w:r w:rsidRPr="001B41E4" w:rsidR="00A97245">
        <w:t xml:space="preserve"> </w:t>
      </w:r>
      <w:r w:rsidRPr="001B41E4" w:rsidR="00ED5E1B">
        <w:t>hold that petitioners need not have raised their specific objections to the BIDs at the public hearings in order to subsequently advance these arguments in court</w:t>
      </w:r>
      <w:r w:rsidRPr="001B41E4" w:rsidR="001519BD">
        <w:t xml:space="preserve">.  </w:t>
      </w:r>
      <w:r w:rsidRPr="001B41E4" w:rsidR="00D25DD7">
        <w:t>W</w:t>
      </w:r>
      <w:r w:rsidRPr="001B41E4" w:rsidR="00CC55FE">
        <w:t>e</w:t>
      </w:r>
      <w:r w:rsidRPr="001B41E4" w:rsidR="00D25DD7">
        <w:t xml:space="preserve"> therefore</w:t>
      </w:r>
      <w:r w:rsidRPr="001B41E4" w:rsidR="00CC55FE">
        <w:t xml:space="preserve"> </w:t>
      </w:r>
      <w:r w:rsidRPr="001B41E4" w:rsidR="00ED5E1B">
        <w:t xml:space="preserve">reverse the judgment </w:t>
      </w:r>
      <w:r w:rsidRPr="001B41E4" w:rsidR="00A97245">
        <w:t>of the Court of Appeal</w:t>
      </w:r>
      <w:r w:rsidRPr="001B41E4" w:rsidR="00ED5E1B">
        <w:t xml:space="preserve">. </w:t>
      </w:r>
    </w:p>
    <w:p w:rsidR="003B0FF9" w:rsidRPr="001B41E4" w:rsidP="0023145B" w14:paraId="40942BAA" w14:textId="61C9905F">
      <w:pPr>
        <w:pStyle w:val="Heading1"/>
        <w:rPr>
          <w:b w:val="0"/>
          <w:bCs/>
          <w:smallCaps w:val="0"/>
          <w:szCs w:val="26"/>
        </w:rPr>
      </w:pPr>
      <w:r w:rsidRPr="001B41E4">
        <w:rPr>
          <w:bCs/>
          <w:szCs w:val="26"/>
        </w:rPr>
        <w:t xml:space="preserve">I.  </w:t>
      </w:r>
      <w:r w:rsidRPr="001B41E4" w:rsidR="00093448">
        <w:rPr>
          <w:bCs/>
          <w:szCs w:val="26"/>
        </w:rPr>
        <w:t>Factual and Procedural Background</w:t>
      </w:r>
    </w:p>
    <w:p w:rsidR="00526A8F" w:rsidRPr="001B41E4" w:rsidP="0023145B" w14:paraId="42611C91" w14:textId="1F0C4E89">
      <w:pPr>
        <w:ind w:firstLine="720"/>
      </w:pPr>
      <w:r w:rsidRPr="001B41E4">
        <w:t>Petitioners Mesa RHF Partners L</w:t>
      </w:r>
      <w:r w:rsidRPr="001B41E4" w:rsidR="0034510E">
        <w:t>.</w:t>
      </w:r>
      <w:r w:rsidRPr="001B41E4">
        <w:t>P</w:t>
      </w:r>
      <w:r w:rsidRPr="001B41E4" w:rsidR="0034510E">
        <w:t>.</w:t>
      </w:r>
      <w:r w:rsidRPr="001B41E4">
        <w:t xml:space="preserve"> (Mesa), Hill RHF Housing Partners, L.P. (Hill), and Olive RHF Housing Partners, L.P. (Olive) (collectively, petitioners) are nonprofit providers of housing and services to low-income seniors.  Mesa owns </w:t>
      </w:r>
      <w:r w:rsidRPr="001B41E4" w:rsidR="007B5B8A">
        <w:t xml:space="preserve">real </w:t>
      </w:r>
      <w:r w:rsidRPr="001B41E4">
        <w:t xml:space="preserve">property, </w:t>
      </w:r>
      <w:r w:rsidRPr="001B41E4" w:rsidR="0037155A">
        <w:t>known</w:t>
      </w:r>
      <w:r w:rsidRPr="001B41E4">
        <w:t xml:space="preserve"> as Harbor Tower, in San Pedro.</w:t>
      </w:r>
      <w:r w:rsidRPr="001B41E4" w:rsidR="007C35FE">
        <w:t xml:space="preserve"> </w:t>
      </w:r>
      <w:r w:rsidRPr="001B41E4" w:rsidR="007B5B8A">
        <w:t xml:space="preserve"> Hill own</w:t>
      </w:r>
      <w:r w:rsidRPr="001B41E4" w:rsidR="00F0308B">
        <w:t>s a property known</w:t>
      </w:r>
      <w:r w:rsidRPr="001B41E4" w:rsidR="007B5B8A">
        <w:t xml:space="preserve"> as Angelus Plaza and</w:t>
      </w:r>
      <w:r w:rsidRPr="001B41E4" w:rsidR="00F0308B">
        <w:t xml:space="preserve"> Olive owns</w:t>
      </w:r>
      <w:r w:rsidRPr="001B41E4" w:rsidR="007B5B8A">
        <w:t xml:space="preserve"> </w:t>
      </w:r>
      <w:r w:rsidRPr="001B41E4" w:rsidR="00F82A73">
        <w:t>a</w:t>
      </w:r>
      <w:r w:rsidRPr="001B41E4" w:rsidR="00A716DC">
        <w:t xml:space="preserve">nother </w:t>
      </w:r>
      <w:r w:rsidRPr="001B41E4" w:rsidR="005C22E7">
        <w:t>property</w:t>
      </w:r>
      <w:r w:rsidRPr="001B41E4" w:rsidR="00A4702F">
        <w:t xml:space="preserve">, </w:t>
      </w:r>
      <w:r w:rsidRPr="001B41E4" w:rsidR="007B5B8A">
        <w:t>Angelus Plaza North</w:t>
      </w:r>
      <w:r w:rsidRPr="001B41E4" w:rsidR="00A4702F">
        <w:t>,</w:t>
      </w:r>
      <w:r w:rsidRPr="001B41E4" w:rsidR="00F0308B">
        <w:t xml:space="preserve"> </w:t>
      </w:r>
      <w:r w:rsidRPr="001B41E4" w:rsidR="007B5B8A">
        <w:t>in downtown Los Angeles.  Harbor Tower is within the boundaries of the San Pedro Historic Waterfront Property and Business Improvement District (</w:t>
      </w:r>
      <w:r w:rsidRPr="001B41E4" w:rsidR="007C35FE">
        <w:t xml:space="preserve">the </w:t>
      </w:r>
      <w:r w:rsidRPr="001B41E4" w:rsidR="007B5B8A">
        <w:t>San Pedro BID), and the Angelus Plaza and Angelus Plaza North properties are within the Downtown Center Business Improvement District (</w:t>
      </w:r>
      <w:r w:rsidRPr="001B41E4" w:rsidR="007C35FE">
        <w:t xml:space="preserve">the </w:t>
      </w:r>
      <w:r w:rsidRPr="001B41E4" w:rsidR="007B5B8A">
        <w:t xml:space="preserve">Downtown Center BID).  </w:t>
      </w:r>
    </w:p>
    <w:p w:rsidR="00093448" w:rsidRPr="001B41E4" w:rsidP="0023145B" w14:paraId="38F79D56" w14:textId="49A1C721">
      <w:pPr>
        <w:ind w:firstLine="720"/>
      </w:pPr>
      <w:r w:rsidRPr="001B41E4">
        <w:t>These two BIDs were created pursuant to the Property and Business Improvement District Law of 1994 (</w:t>
      </w:r>
      <w:r w:rsidRPr="001B41E4" w:rsidR="000A3439">
        <w:rPr>
          <w:shd w:val="clear" w:color="auto" w:fill="FFFFFF"/>
        </w:rPr>
        <w:t>Sts. &amp; Hy.</w:t>
      </w:r>
      <w:r w:rsidRPr="001B41E4">
        <w:t xml:space="preserve"> Code, §</w:t>
      </w:r>
      <w:r w:rsidRPr="001B41E4" w:rsidR="00041EC8">
        <w:t> </w:t>
      </w:r>
      <w:r w:rsidRPr="001B41E4">
        <w:t>36600 et seq.</w:t>
      </w:r>
      <w:r w:rsidRPr="001B41E4" w:rsidR="001F4215">
        <w:t xml:space="preserve">, </w:t>
      </w:r>
      <w:r w:rsidR="00BC55F1">
        <w:t xml:space="preserve">added by </w:t>
      </w:r>
      <w:r w:rsidRPr="001B41E4" w:rsidR="001F4215">
        <w:t>Stats. 1994, ch. 897</w:t>
      </w:r>
      <w:r w:rsidR="00BC55F1">
        <w:t>, § 1</w:t>
      </w:r>
      <w:r w:rsidRPr="001B41E4">
        <w:t xml:space="preserve">; hereinafter referred to as the PBID Law). </w:t>
      </w:r>
      <w:r w:rsidRPr="001B41E4" w:rsidR="0005583E">
        <w:t xml:space="preserve"> </w:t>
      </w:r>
      <w:r w:rsidRPr="001B41E4" w:rsidR="004201F6">
        <w:t>The San Pedro</w:t>
      </w:r>
      <w:r w:rsidRPr="001B41E4" w:rsidR="007B5B8A">
        <w:t xml:space="preserve"> BID</w:t>
      </w:r>
      <w:r w:rsidRPr="001B41E4" w:rsidR="004201F6">
        <w:t xml:space="preserve"> was</w:t>
      </w:r>
      <w:r w:rsidRPr="001B41E4" w:rsidR="007B5B8A">
        <w:t xml:space="preserve"> </w:t>
      </w:r>
      <w:r w:rsidRPr="001B41E4" w:rsidR="007C35FE">
        <w:t>originally</w:t>
      </w:r>
      <w:r w:rsidRPr="001B41E4">
        <w:t xml:space="preserve"> </w:t>
      </w:r>
      <w:r w:rsidRPr="001B41E4" w:rsidR="007B5B8A">
        <w:t xml:space="preserve">established in </w:t>
      </w:r>
      <w:r w:rsidRPr="001B41E4" w:rsidR="004201F6">
        <w:t>2012; the Downtown Center BID in 1998</w:t>
      </w:r>
      <w:r w:rsidRPr="001B41E4" w:rsidR="007B5B8A">
        <w:t xml:space="preserve">.  </w:t>
      </w:r>
      <w:r w:rsidRPr="001B41E4" w:rsidR="004201F6">
        <w:t>In</w:t>
      </w:r>
      <w:r w:rsidRPr="001B41E4" w:rsidR="00D50877">
        <w:t> </w:t>
      </w:r>
      <w:r w:rsidRPr="001B41E4" w:rsidR="004201F6">
        <w:t xml:space="preserve">2012, </w:t>
      </w:r>
      <w:r w:rsidRPr="001B41E4" w:rsidR="000E1D2B">
        <w:t>petitioners</w:t>
      </w:r>
      <w:r w:rsidRPr="001B41E4" w:rsidR="003D0C32">
        <w:t xml:space="preserve"> brought legal challenge</w:t>
      </w:r>
      <w:r w:rsidRPr="001B41E4" w:rsidR="000E1D2B">
        <w:t>s</w:t>
      </w:r>
      <w:r w:rsidRPr="001B41E4" w:rsidR="003D0C32">
        <w:t xml:space="preserve"> against </w:t>
      </w:r>
      <w:r w:rsidRPr="001B41E4" w:rsidR="000E1D2B">
        <w:t xml:space="preserve">these BIDs.  </w:t>
      </w:r>
      <w:r w:rsidRPr="001B41E4" w:rsidR="00302E11">
        <w:t>T</w:t>
      </w:r>
      <w:r w:rsidRPr="001B41E4" w:rsidR="0005583E">
        <w:t>h</w:t>
      </w:r>
      <w:r w:rsidR="000F6082">
        <w:t>o</w:t>
      </w:r>
      <w:r w:rsidRPr="001B41E4" w:rsidR="0005583E">
        <w:t xml:space="preserve">se </w:t>
      </w:r>
      <w:r w:rsidRPr="001B41E4" w:rsidR="003D0C32">
        <w:t xml:space="preserve">disputes </w:t>
      </w:r>
      <w:r w:rsidRPr="001B41E4" w:rsidR="0005583E">
        <w:t xml:space="preserve">were </w:t>
      </w:r>
      <w:r w:rsidRPr="001B41E4" w:rsidR="007B5B8A">
        <w:t>resolved through</w:t>
      </w:r>
      <w:r w:rsidRPr="001B41E4" w:rsidR="004201F6">
        <w:t xml:space="preserve"> </w:t>
      </w:r>
      <w:r w:rsidRPr="001B41E4" w:rsidR="007B5B8A">
        <w:t>settlement</w:t>
      </w:r>
      <w:r w:rsidRPr="001B41E4" w:rsidR="00B658DC">
        <w:t xml:space="preserve"> agreements, reached in 2013,</w:t>
      </w:r>
      <w:r w:rsidRPr="001B41E4" w:rsidR="007B5B8A">
        <w:t xml:space="preserve"> in which it was </w:t>
      </w:r>
      <w:r w:rsidRPr="001B41E4" w:rsidR="00E40AC6">
        <w:t xml:space="preserve">determined </w:t>
      </w:r>
      <w:r w:rsidRPr="001B41E4" w:rsidR="007B5B8A">
        <w:t xml:space="preserve">that the City of Los Angeles would reimburse </w:t>
      </w:r>
      <w:r w:rsidRPr="001B41E4" w:rsidR="004201F6">
        <w:t>petitioners for their</w:t>
      </w:r>
      <w:r w:rsidRPr="001B41E4" w:rsidR="00F82A73">
        <w:t xml:space="preserve"> BID</w:t>
      </w:r>
      <w:r w:rsidRPr="001B41E4" w:rsidR="004201F6">
        <w:t xml:space="preserve"> assessmen</w:t>
      </w:r>
      <w:r w:rsidRPr="001B41E4" w:rsidR="00F82A73">
        <w:t>t payment</w:t>
      </w:r>
      <w:r w:rsidRPr="001B41E4" w:rsidR="004201F6">
        <w:t xml:space="preserve">s.  </w:t>
      </w:r>
    </w:p>
    <w:p w:rsidR="003E29B6" w:rsidRPr="001B41E4" w:rsidP="0023145B" w14:paraId="5F40A437" w14:textId="12F1881D">
      <w:pPr>
        <w:ind w:firstLine="720"/>
        <w:rPr>
          <w:spacing w:val="-1"/>
        </w:rPr>
      </w:pPr>
      <w:r w:rsidRPr="001B41E4">
        <w:rPr>
          <w:spacing w:val="-1"/>
        </w:rPr>
        <w:t xml:space="preserve">In 2017 it was proposed that the </w:t>
      </w:r>
      <w:r w:rsidRPr="001B41E4" w:rsidR="000E1D2B">
        <w:rPr>
          <w:spacing w:val="-1"/>
        </w:rPr>
        <w:t xml:space="preserve">San Pedro and Downtown Center </w:t>
      </w:r>
      <w:r w:rsidRPr="001B41E4">
        <w:rPr>
          <w:spacing w:val="-1"/>
        </w:rPr>
        <w:t>BIDs</w:t>
      </w:r>
      <w:r w:rsidRPr="001B41E4" w:rsidR="000E1D2B">
        <w:rPr>
          <w:spacing w:val="-1"/>
        </w:rPr>
        <w:t xml:space="preserve"> </w:t>
      </w:r>
      <w:r w:rsidRPr="001B41E4">
        <w:rPr>
          <w:spacing w:val="-1"/>
        </w:rPr>
        <w:t>be renewed for ten</w:t>
      </w:r>
      <w:r w:rsidRPr="001B41E4" w:rsidR="007E27AD">
        <w:rPr>
          <w:spacing w:val="-1"/>
        </w:rPr>
        <w:t>-</w:t>
      </w:r>
      <w:r w:rsidRPr="001B41E4">
        <w:rPr>
          <w:spacing w:val="-1"/>
        </w:rPr>
        <w:t>year</w:t>
      </w:r>
      <w:r w:rsidRPr="001B41E4" w:rsidR="007E27AD">
        <w:rPr>
          <w:spacing w:val="-1"/>
        </w:rPr>
        <w:t xml:space="preserve"> terms</w:t>
      </w:r>
      <w:r w:rsidRPr="001B41E4" w:rsidR="00F12EE8">
        <w:rPr>
          <w:spacing w:val="-1"/>
        </w:rPr>
        <w:t xml:space="preserve">. </w:t>
      </w:r>
      <w:r w:rsidRPr="001B41E4" w:rsidR="007C35FE">
        <w:rPr>
          <w:spacing w:val="-1"/>
        </w:rPr>
        <w:t xml:space="preserve"> </w:t>
      </w:r>
      <w:r w:rsidRPr="001B41E4" w:rsidR="00A716DC">
        <w:rPr>
          <w:spacing w:val="-1"/>
        </w:rPr>
        <w:t>Each</w:t>
      </w:r>
      <w:r w:rsidRPr="001B41E4" w:rsidR="00F12EE8">
        <w:rPr>
          <w:spacing w:val="-1"/>
        </w:rPr>
        <w:t xml:space="preserve"> proposal </w:t>
      </w:r>
      <w:r w:rsidRPr="001B41E4" w:rsidR="001C518C">
        <w:rPr>
          <w:spacing w:val="-1"/>
        </w:rPr>
        <w:t>engaged</w:t>
      </w:r>
      <w:r w:rsidRPr="001B41E4" w:rsidR="007C35FE">
        <w:rPr>
          <w:spacing w:val="-1"/>
        </w:rPr>
        <w:t xml:space="preserve"> </w:t>
      </w:r>
      <w:r w:rsidRPr="001B41E4" w:rsidR="00F12EE8">
        <w:rPr>
          <w:spacing w:val="-1"/>
        </w:rPr>
        <w:t>the</w:t>
      </w:r>
      <w:r w:rsidRPr="001B41E4" w:rsidR="007C35FE">
        <w:rPr>
          <w:spacing w:val="-1"/>
        </w:rPr>
        <w:t xml:space="preserve"> process</w:t>
      </w:r>
      <w:r w:rsidRPr="001B41E4" w:rsidR="00F12EE8">
        <w:rPr>
          <w:spacing w:val="-1"/>
        </w:rPr>
        <w:t xml:space="preserve"> for approving a BID</w:t>
      </w:r>
      <w:r w:rsidRPr="001B41E4" w:rsidR="0005583E">
        <w:rPr>
          <w:spacing w:val="-1"/>
        </w:rPr>
        <w:t>,</w:t>
      </w:r>
      <w:r w:rsidRPr="001B41E4" w:rsidR="00F12EE8">
        <w:rPr>
          <w:spacing w:val="-1"/>
        </w:rPr>
        <w:t xml:space="preserve"> as</w:t>
      </w:r>
      <w:r w:rsidRPr="001B41E4" w:rsidR="007C35FE">
        <w:rPr>
          <w:spacing w:val="-1"/>
        </w:rPr>
        <w:t xml:space="preserve"> set out in the PBID Law, Proposition 218, and the Proposition 218</w:t>
      </w:r>
      <w:r w:rsidRPr="001B41E4" w:rsidR="000912B9">
        <w:rPr>
          <w:spacing w:val="-1"/>
        </w:rPr>
        <w:t xml:space="preserve"> Omnibus</w:t>
      </w:r>
      <w:r w:rsidRPr="001B41E4" w:rsidR="007C35FE">
        <w:rPr>
          <w:spacing w:val="-1"/>
        </w:rPr>
        <w:t xml:space="preserve"> Implementation Act (Gov. Code, § 53750</w:t>
      </w:r>
      <w:r w:rsidRPr="001B41E4" w:rsidR="000E1D2B">
        <w:rPr>
          <w:spacing w:val="-1"/>
        </w:rPr>
        <w:t xml:space="preserve"> et seq</w:t>
      </w:r>
      <w:r w:rsidRPr="001B41E4" w:rsidR="00F82A73">
        <w:rPr>
          <w:spacing w:val="-1"/>
        </w:rPr>
        <w:t>.; hereinafter</w:t>
      </w:r>
      <w:r w:rsidRPr="001B41E4" w:rsidR="00564768">
        <w:rPr>
          <w:spacing w:val="-1"/>
        </w:rPr>
        <w:t xml:space="preserve"> referred to as the </w:t>
      </w:r>
      <w:r w:rsidRPr="001B41E4" w:rsidR="007C5977">
        <w:rPr>
          <w:spacing w:val="-1"/>
        </w:rPr>
        <w:t>Implementation Act</w:t>
      </w:r>
      <w:r w:rsidRPr="001B41E4" w:rsidR="00F82A73">
        <w:rPr>
          <w:spacing w:val="-1"/>
        </w:rPr>
        <w:t>)</w:t>
      </w:r>
      <w:r w:rsidRPr="001B41E4">
        <w:rPr>
          <w:spacing w:val="-1"/>
        </w:rPr>
        <w:t xml:space="preserve">.  </w:t>
      </w:r>
      <w:r w:rsidRPr="001B41E4" w:rsidR="007C35FE">
        <w:rPr>
          <w:spacing w:val="-1"/>
        </w:rPr>
        <w:t>As part of this process, t</w:t>
      </w:r>
      <w:r w:rsidRPr="001B41E4">
        <w:rPr>
          <w:spacing w:val="-1"/>
        </w:rPr>
        <w:t xml:space="preserve">he Los </w:t>
      </w:r>
      <w:r w:rsidRPr="001B41E4" w:rsidR="00F82A73">
        <w:rPr>
          <w:spacing w:val="-1"/>
        </w:rPr>
        <w:t>Angeles City Council</w:t>
      </w:r>
      <w:r w:rsidRPr="001B41E4">
        <w:rPr>
          <w:spacing w:val="-1"/>
        </w:rPr>
        <w:t xml:space="preserve"> </w:t>
      </w:r>
      <w:r w:rsidR="000F6082">
        <w:rPr>
          <w:spacing w:val="-1"/>
        </w:rPr>
        <w:t xml:space="preserve">(hereinafter sometimes referred to as the City Council) </w:t>
      </w:r>
      <w:r w:rsidRPr="001B41E4">
        <w:rPr>
          <w:spacing w:val="-1"/>
        </w:rPr>
        <w:t>adopted</w:t>
      </w:r>
      <w:r w:rsidRPr="001B41E4" w:rsidR="00AC7B82">
        <w:rPr>
          <w:spacing w:val="-1"/>
        </w:rPr>
        <w:t xml:space="preserve"> </w:t>
      </w:r>
      <w:r w:rsidRPr="001B41E4" w:rsidR="000E1D2B">
        <w:rPr>
          <w:spacing w:val="-1"/>
        </w:rPr>
        <w:t xml:space="preserve">two </w:t>
      </w:r>
      <w:r w:rsidRPr="001B41E4">
        <w:rPr>
          <w:spacing w:val="-1"/>
        </w:rPr>
        <w:t>ordinances</w:t>
      </w:r>
      <w:r w:rsidRPr="001B41E4" w:rsidR="000E1D2B">
        <w:rPr>
          <w:spacing w:val="-1"/>
        </w:rPr>
        <w:t>, one for each BID,</w:t>
      </w:r>
      <w:r w:rsidRPr="001B41E4">
        <w:rPr>
          <w:spacing w:val="-1"/>
        </w:rPr>
        <w:t xml:space="preserve"> </w:t>
      </w:r>
      <w:r w:rsidRPr="001B41E4" w:rsidR="00AC7B82">
        <w:rPr>
          <w:spacing w:val="-1"/>
        </w:rPr>
        <w:t xml:space="preserve">expressing </w:t>
      </w:r>
      <w:r w:rsidRPr="001B41E4" w:rsidR="00F82A73">
        <w:rPr>
          <w:spacing w:val="-1"/>
        </w:rPr>
        <w:t>an</w:t>
      </w:r>
      <w:r w:rsidRPr="001B41E4" w:rsidR="00AC7B82">
        <w:rPr>
          <w:spacing w:val="-1"/>
        </w:rPr>
        <w:t xml:space="preserve"> intent to consider the establishment of the BID.  Each </w:t>
      </w:r>
      <w:r w:rsidRPr="001B41E4" w:rsidR="00A716DC">
        <w:rPr>
          <w:spacing w:val="-1"/>
        </w:rPr>
        <w:t xml:space="preserve">of these </w:t>
      </w:r>
      <w:r w:rsidRPr="001B41E4" w:rsidR="00AC7B82">
        <w:rPr>
          <w:spacing w:val="-1"/>
        </w:rPr>
        <w:t>ordinance</w:t>
      </w:r>
      <w:r w:rsidRPr="001B41E4" w:rsidR="00A716DC">
        <w:rPr>
          <w:spacing w:val="-1"/>
        </w:rPr>
        <w:t>s</w:t>
      </w:r>
      <w:r w:rsidRPr="001B41E4" w:rsidR="00F12EE8">
        <w:rPr>
          <w:spacing w:val="-1"/>
        </w:rPr>
        <w:t xml:space="preserve"> </w:t>
      </w:r>
      <w:r w:rsidRPr="001B41E4" w:rsidR="00AC7B82">
        <w:rPr>
          <w:spacing w:val="-1"/>
        </w:rPr>
        <w:t xml:space="preserve">adopted and approved </w:t>
      </w:r>
      <w:r w:rsidRPr="001B41E4" w:rsidR="007C35FE">
        <w:rPr>
          <w:spacing w:val="-1"/>
        </w:rPr>
        <w:t>a</w:t>
      </w:r>
      <w:r w:rsidRPr="001B41E4" w:rsidR="00AC7B82">
        <w:rPr>
          <w:spacing w:val="-1"/>
        </w:rPr>
        <w:t xml:space="preserve"> </w:t>
      </w:r>
      <w:r w:rsidRPr="001B41E4" w:rsidR="007C35FE">
        <w:rPr>
          <w:spacing w:val="-1"/>
        </w:rPr>
        <w:t>detailed m</w:t>
      </w:r>
      <w:r w:rsidRPr="001B41E4" w:rsidR="00AC7B82">
        <w:rPr>
          <w:spacing w:val="-1"/>
        </w:rPr>
        <w:t xml:space="preserve">anagement </w:t>
      </w:r>
      <w:r w:rsidRPr="001B41E4" w:rsidR="007C35FE">
        <w:rPr>
          <w:spacing w:val="-1"/>
        </w:rPr>
        <w:t>d</w:t>
      </w:r>
      <w:r w:rsidRPr="001B41E4" w:rsidR="00AC7B82">
        <w:rPr>
          <w:spacing w:val="-1"/>
        </w:rPr>
        <w:t xml:space="preserve">istrict </w:t>
      </w:r>
      <w:r w:rsidRPr="001B41E4" w:rsidR="007C35FE">
        <w:rPr>
          <w:spacing w:val="-1"/>
        </w:rPr>
        <w:t>p</w:t>
      </w:r>
      <w:r w:rsidRPr="001B41E4" w:rsidR="00AC7B82">
        <w:rPr>
          <w:spacing w:val="-1"/>
        </w:rPr>
        <w:t xml:space="preserve">lan and associated </w:t>
      </w:r>
      <w:r w:rsidRPr="001B41E4" w:rsidR="007C35FE">
        <w:rPr>
          <w:spacing w:val="-1"/>
        </w:rPr>
        <w:t>e</w:t>
      </w:r>
      <w:r w:rsidRPr="001B41E4" w:rsidR="00AC7B82">
        <w:rPr>
          <w:spacing w:val="-1"/>
        </w:rPr>
        <w:t xml:space="preserve">ngineer’s </w:t>
      </w:r>
      <w:r w:rsidRPr="001B41E4" w:rsidR="007C35FE">
        <w:rPr>
          <w:spacing w:val="-1"/>
        </w:rPr>
        <w:t>r</w:t>
      </w:r>
      <w:r w:rsidRPr="001B41E4" w:rsidR="00AC7B82">
        <w:rPr>
          <w:spacing w:val="-1"/>
        </w:rPr>
        <w:t>eport</w:t>
      </w:r>
      <w:r w:rsidRPr="001B41E4" w:rsidR="000E1D2B">
        <w:rPr>
          <w:spacing w:val="-1"/>
        </w:rPr>
        <w:t xml:space="preserve"> for the</w:t>
      </w:r>
      <w:r w:rsidRPr="001B41E4" w:rsidR="00A716DC">
        <w:rPr>
          <w:spacing w:val="-1"/>
        </w:rPr>
        <w:t xml:space="preserve"> </w:t>
      </w:r>
      <w:r w:rsidRPr="001B41E4" w:rsidR="0018159F">
        <w:rPr>
          <w:spacing w:val="-1"/>
        </w:rPr>
        <w:t>relevant</w:t>
      </w:r>
      <w:r w:rsidRPr="001B41E4" w:rsidR="000E1D2B">
        <w:rPr>
          <w:spacing w:val="-1"/>
        </w:rPr>
        <w:t xml:space="preserve"> BID</w:t>
      </w:r>
      <w:r w:rsidRPr="001B41E4" w:rsidR="00D35518">
        <w:rPr>
          <w:spacing w:val="-1"/>
        </w:rPr>
        <w:t xml:space="preserve">, </w:t>
      </w:r>
      <w:r w:rsidR="007617A6">
        <w:rPr>
          <w:spacing w:val="-1"/>
        </w:rPr>
        <w:t xml:space="preserve">provided a general description of the BID’s boundaries, </w:t>
      </w:r>
      <w:r w:rsidRPr="001B41E4" w:rsidR="00B7725A">
        <w:rPr>
          <w:spacing w:val="-1"/>
        </w:rPr>
        <w:t>gave the total projected assessment for the BID over its</w:t>
      </w:r>
      <w:r w:rsidRPr="001B41E4" w:rsidR="00F82A73">
        <w:rPr>
          <w:spacing w:val="-1"/>
        </w:rPr>
        <w:t xml:space="preserve"> </w:t>
      </w:r>
      <w:r w:rsidRPr="001B41E4" w:rsidR="00B7725A">
        <w:rPr>
          <w:spacing w:val="-1"/>
        </w:rPr>
        <w:t xml:space="preserve">ten-year </w:t>
      </w:r>
      <w:r w:rsidRPr="001B41E4" w:rsidR="00F0308B">
        <w:rPr>
          <w:spacing w:val="-1"/>
        </w:rPr>
        <w:t>term</w:t>
      </w:r>
      <w:r w:rsidRPr="001B41E4" w:rsidR="00B7725A">
        <w:rPr>
          <w:spacing w:val="-1"/>
        </w:rPr>
        <w:t xml:space="preserve"> as well as </w:t>
      </w:r>
      <w:r w:rsidRPr="001B41E4" w:rsidR="00A4702F">
        <w:rPr>
          <w:spacing w:val="-1"/>
        </w:rPr>
        <w:t xml:space="preserve">for </w:t>
      </w:r>
      <w:r w:rsidRPr="001B41E4" w:rsidR="00B7725A">
        <w:rPr>
          <w:spacing w:val="-1"/>
        </w:rPr>
        <w:t>its first year</w:t>
      </w:r>
      <w:r w:rsidRPr="001B41E4" w:rsidR="00F12EE8">
        <w:rPr>
          <w:spacing w:val="-1"/>
        </w:rPr>
        <w:t>,</w:t>
      </w:r>
      <w:r w:rsidRPr="001B41E4" w:rsidR="00B7725A">
        <w:rPr>
          <w:spacing w:val="-1"/>
        </w:rPr>
        <w:t xml:space="preserve"> </w:t>
      </w:r>
      <w:r w:rsidRPr="001B41E4" w:rsidR="00AC7B82">
        <w:rPr>
          <w:spacing w:val="-1"/>
        </w:rPr>
        <w:t xml:space="preserve">identified the number of assessed parcels in the proposed BID (804 parcels owned by 270 stakeholders for the San Pedro BID; 2,865 parcels owned by 1,710 stakeholders for the Downtown Center BID), and summarized the improvements and activities to be undertaken </w:t>
      </w:r>
      <w:r w:rsidR="00C03A7D">
        <w:rPr>
          <w:spacing w:val="-1"/>
        </w:rPr>
        <w:t>through</w:t>
      </w:r>
      <w:r w:rsidRPr="001B41E4" w:rsidR="00AC7B82">
        <w:rPr>
          <w:spacing w:val="-1"/>
        </w:rPr>
        <w:t xml:space="preserve"> the BI</w:t>
      </w:r>
      <w:r w:rsidRPr="001B41E4" w:rsidR="00F12EE8">
        <w:rPr>
          <w:spacing w:val="-1"/>
        </w:rPr>
        <w:t>D</w:t>
      </w:r>
      <w:r w:rsidRPr="001B41E4" w:rsidR="00AC7B82">
        <w:rPr>
          <w:spacing w:val="-1"/>
        </w:rPr>
        <w:t xml:space="preserve">.  </w:t>
      </w:r>
      <w:r w:rsidRPr="001B41E4" w:rsidR="007E27AD">
        <w:rPr>
          <w:spacing w:val="-1"/>
        </w:rPr>
        <w:t>For</w:t>
      </w:r>
      <w:r w:rsidRPr="001B41E4" w:rsidR="000E1D2B">
        <w:rPr>
          <w:spacing w:val="-1"/>
        </w:rPr>
        <w:t xml:space="preserve"> each BID, the </w:t>
      </w:r>
      <w:r w:rsidRPr="001B41E4" w:rsidR="0018159F">
        <w:rPr>
          <w:spacing w:val="-1"/>
        </w:rPr>
        <w:t>appropriate</w:t>
      </w:r>
      <w:r w:rsidRPr="001B41E4" w:rsidR="00AC7B82">
        <w:rPr>
          <w:spacing w:val="-1"/>
        </w:rPr>
        <w:t xml:space="preserve"> ordinance</w:t>
      </w:r>
      <w:r w:rsidRPr="001B41E4" w:rsidR="001C518C">
        <w:rPr>
          <w:spacing w:val="-1"/>
        </w:rPr>
        <w:t xml:space="preserve"> also</w:t>
      </w:r>
      <w:r w:rsidRPr="001B41E4" w:rsidR="00AC7B82">
        <w:rPr>
          <w:spacing w:val="-1"/>
        </w:rPr>
        <w:t xml:space="preserve"> announced the date, time, and place </w:t>
      </w:r>
      <w:r w:rsidRPr="001B41E4" w:rsidR="000E1D2B">
        <w:rPr>
          <w:spacing w:val="-1"/>
        </w:rPr>
        <w:t>of</w:t>
      </w:r>
      <w:r w:rsidRPr="001B41E4" w:rsidR="00AC7B82">
        <w:rPr>
          <w:spacing w:val="-1"/>
        </w:rPr>
        <w:t xml:space="preserve"> a public hearing</w:t>
      </w:r>
      <w:r w:rsidRPr="001B41E4" w:rsidR="00B7725A">
        <w:rPr>
          <w:spacing w:val="-1"/>
        </w:rPr>
        <w:t xml:space="preserve"> before the City Council</w:t>
      </w:r>
      <w:r w:rsidRPr="001B41E4" w:rsidR="00AC7B82">
        <w:rPr>
          <w:spacing w:val="-1"/>
        </w:rPr>
        <w:t xml:space="preserve"> at which, per the ordinances, “all interested persons will be permitted to present written or oral testimony, and the City Council will consider all objections or protests to the proposed assessment”</w:t>
      </w:r>
      <w:r w:rsidRPr="001B41E4" w:rsidR="000E1D2B">
        <w:rPr>
          <w:spacing w:val="-1"/>
        </w:rPr>
        <w:t xml:space="preserve"> used to fund the BID.</w:t>
      </w:r>
      <w:r w:rsidRPr="001B41E4" w:rsidR="00AC7B82">
        <w:rPr>
          <w:spacing w:val="-1"/>
        </w:rPr>
        <w:t xml:space="preserve">  </w:t>
      </w:r>
    </w:p>
    <w:p w:rsidR="004201F6" w:rsidRPr="001B41E4" w:rsidP="0023145B" w14:paraId="463039BD" w14:textId="075569CA">
      <w:pPr>
        <w:ind w:firstLine="720"/>
      </w:pPr>
      <w:r w:rsidRPr="001B41E4">
        <w:t>Mesa received written notice of the public hearing before the Los Angeles City Council on the San Pedro BID; Hill and Oliv</w:t>
      </w:r>
      <w:r w:rsidRPr="001B41E4" w:rsidR="0005583E">
        <w:t>e</w:t>
      </w:r>
      <w:r w:rsidRPr="001B41E4">
        <w:t xml:space="preserve"> received notice of the public hearing </w:t>
      </w:r>
      <w:r w:rsidRPr="001B41E4" w:rsidR="00F0308B">
        <w:t xml:space="preserve">before the City Council </w:t>
      </w:r>
      <w:r w:rsidRPr="001B41E4">
        <w:t>on the Downtown Center BID.</w:t>
      </w:r>
      <w:r w:rsidRPr="001B41E4" w:rsidR="0005583E">
        <w:t xml:space="preserve">  </w:t>
      </w:r>
      <w:r w:rsidRPr="001B41E4" w:rsidR="0005122A">
        <w:t>Each</w:t>
      </w:r>
      <w:r w:rsidRPr="001B41E4" w:rsidR="00D409F3">
        <w:t xml:space="preserve"> notice</w:t>
      </w:r>
      <w:r w:rsidRPr="001B41E4" w:rsidR="00D560FA">
        <w:t xml:space="preserve"> </w:t>
      </w:r>
      <w:r w:rsidRPr="001B41E4" w:rsidR="00F0308B">
        <w:t>stated</w:t>
      </w:r>
      <w:r w:rsidRPr="001B41E4" w:rsidR="00D409F3">
        <w:t xml:space="preserve"> that at the </w:t>
      </w:r>
      <w:r w:rsidR="00436A69">
        <w:t>designated</w:t>
      </w:r>
      <w:r w:rsidRPr="001B41E4" w:rsidR="00021C4B">
        <w:t xml:space="preserve"> </w:t>
      </w:r>
      <w:r w:rsidRPr="001B41E4" w:rsidR="00D409F3">
        <w:t xml:space="preserve">hearing, “the City Council will hear all interested persons for or against establishment of the District, the extent of the District, and the furnishing of specified types of improvements or activities and may correct minor defects in the proceedings.” </w:t>
      </w:r>
      <w:r w:rsidRPr="001B41E4" w:rsidR="000D5908">
        <w:t xml:space="preserve"> </w:t>
      </w:r>
      <w:r w:rsidRPr="001B41E4" w:rsidR="00F0308B">
        <w:t>The</w:t>
      </w:r>
      <w:r w:rsidRPr="001B41E4" w:rsidR="00A3145A">
        <w:t xml:space="preserve"> notice</w:t>
      </w:r>
      <w:r w:rsidRPr="001B41E4" w:rsidR="00F0308B">
        <w:t>s</w:t>
      </w:r>
      <w:r w:rsidRPr="001B41E4" w:rsidR="00A6328B">
        <w:t xml:space="preserve"> </w:t>
      </w:r>
      <w:r w:rsidRPr="001B41E4" w:rsidR="00F0308B">
        <w:t>explained</w:t>
      </w:r>
      <w:r w:rsidRPr="001B41E4" w:rsidR="00D409F3">
        <w:t xml:space="preserve"> that no assessment for the BID would be imposed if there was a majority protest</w:t>
      </w:r>
      <w:r w:rsidRPr="001B41E4" w:rsidR="00A4702F">
        <w:t>.</w:t>
      </w:r>
      <w:r w:rsidRPr="001B41E4" w:rsidR="00A6328B">
        <w:t xml:space="preserve"> </w:t>
      </w:r>
      <w:r w:rsidRPr="001B41E4" w:rsidR="00A4702F">
        <w:t xml:space="preserve"> Each notice </w:t>
      </w:r>
      <w:r w:rsidRPr="001B41E4" w:rsidR="005C1A57">
        <w:t>was</w:t>
      </w:r>
      <w:r w:rsidRPr="001B41E4" w:rsidR="00D409F3">
        <w:t xml:space="preserve"> accompanied by </w:t>
      </w:r>
      <w:r w:rsidRPr="001B41E4" w:rsidR="005C1A57">
        <w:t xml:space="preserve">a </w:t>
      </w:r>
      <w:r w:rsidRPr="001B41E4" w:rsidR="00D409F3">
        <w:t>ballo</w:t>
      </w:r>
      <w:r w:rsidRPr="001B41E4" w:rsidR="00A6328B">
        <w:t>t for voting on the BID</w:t>
      </w:r>
      <w:r w:rsidRPr="001B41E4" w:rsidR="00D409F3">
        <w:t xml:space="preserve">, along with instructions </w:t>
      </w:r>
      <w:r w:rsidRPr="001B41E4" w:rsidR="00A6328B">
        <w:t>regarding</w:t>
      </w:r>
      <w:r w:rsidRPr="001B41E4" w:rsidR="00D409F3">
        <w:t xml:space="preserve"> how to return </w:t>
      </w:r>
      <w:r w:rsidRPr="001B41E4" w:rsidR="005C1A57">
        <w:t>it</w:t>
      </w:r>
      <w:r w:rsidRPr="001B41E4" w:rsidR="00D409F3">
        <w:t xml:space="preserve">.  </w:t>
      </w:r>
      <w:r w:rsidRPr="001B41E4" w:rsidR="00D72B76">
        <w:t xml:space="preserve">Also </w:t>
      </w:r>
      <w:r w:rsidRPr="001B41E4" w:rsidR="00A6328B">
        <w:t xml:space="preserve">enclosed with </w:t>
      </w:r>
      <w:r w:rsidRPr="001B41E4" w:rsidR="00F0308B">
        <w:t>each</w:t>
      </w:r>
      <w:r w:rsidRPr="001B41E4" w:rsidR="00A6328B">
        <w:t xml:space="preserve"> notice</w:t>
      </w:r>
      <w:r w:rsidRPr="001B41E4" w:rsidR="00D72B76">
        <w:t xml:space="preserve"> </w:t>
      </w:r>
      <w:r w:rsidRPr="001B41E4" w:rsidR="00B7725A">
        <w:t>was</w:t>
      </w:r>
      <w:r w:rsidRPr="001B41E4" w:rsidR="00D72B76">
        <w:t xml:space="preserve"> </w:t>
      </w:r>
      <w:r w:rsidRPr="001B41E4" w:rsidR="00B7725A">
        <w:t xml:space="preserve">a </w:t>
      </w:r>
      <w:r w:rsidRPr="001B41E4" w:rsidR="00D72B76">
        <w:t>summa</w:t>
      </w:r>
      <w:r w:rsidRPr="001B41E4" w:rsidR="00B7725A">
        <w:t>ry</w:t>
      </w:r>
      <w:r w:rsidRPr="001B41E4" w:rsidR="00D72B76">
        <w:t xml:space="preserve"> of the</w:t>
      </w:r>
      <w:r w:rsidRPr="001B41E4" w:rsidR="005A5858">
        <w:t xml:space="preserve"> </w:t>
      </w:r>
      <w:r w:rsidRPr="001B41E4" w:rsidR="00D72B76">
        <w:t xml:space="preserve">BID’s </w:t>
      </w:r>
      <w:r w:rsidRPr="001B41E4" w:rsidR="00AF5271">
        <w:t>m</w:t>
      </w:r>
      <w:r w:rsidRPr="001B41E4" w:rsidR="00D72B76">
        <w:t xml:space="preserve">anagement </w:t>
      </w:r>
      <w:r w:rsidRPr="001B41E4" w:rsidR="00AF5271">
        <w:t>district p</w:t>
      </w:r>
      <w:r w:rsidRPr="001B41E4" w:rsidR="00D72B76">
        <w:t xml:space="preserve">lan, </w:t>
      </w:r>
      <w:r w:rsidRPr="001B41E4" w:rsidR="00B7725A">
        <w:t>contain</w:t>
      </w:r>
      <w:r w:rsidRPr="001B41E4" w:rsidR="00564768">
        <w:t xml:space="preserve">ing </w:t>
      </w:r>
      <w:r w:rsidRPr="001B41E4" w:rsidR="005A5858">
        <w:t>information including the reasons for the assessment,</w:t>
      </w:r>
      <w:r w:rsidRPr="001B41E4" w:rsidR="00D72B76">
        <w:t xml:space="preserve"> </w:t>
      </w:r>
      <w:r w:rsidRPr="001B41E4" w:rsidR="005A5858">
        <w:t xml:space="preserve">a breakdown of the BID’s proposed activities, </w:t>
      </w:r>
      <w:r w:rsidRPr="001B41E4" w:rsidR="00D72B76">
        <w:t xml:space="preserve">the </w:t>
      </w:r>
      <w:r w:rsidRPr="001B41E4" w:rsidR="005A5858">
        <w:t>total amount of the assessment</w:t>
      </w:r>
      <w:r w:rsidRPr="001B41E4" w:rsidR="00C36B02">
        <w:t xml:space="preserve"> chargeable to the district</w:t>
      </w:r>
      <w:r w:rsidRPr="001B41E4" w:rsidR="005A5858">
        <w:t xml:space="preserve">, </w:t>
      </w:r>
      <w:r w:rsidRPr="001B41E4" w:rsidR="007617A6">
        <w:t>the basis upon which the assessment had been calculated</w:t>
      </w:r>
      <w:r w:rsidR="007617A6">
        <w:t xml:space="preserve">, </w:t>
      </w:r>
      <w:r w:rsidRPr="001B41E4" w:rsidR="00C36B02">
        <w:t xml:space="preserve">a description of the BID’s boundaries, </w:t>
      </w:r>
      <w:r w:rsidR="007617A6">
        <w:t>and a list of the parcels included in the BID</w:t>
      </w:r>
      <w:r w:rsidRPr="001B41E4" w:rsidR="00A6328B">
        <w:t>.</w:t>
      </w:r>
      <w:r w:rsidRPr="007617A6" w:rsidR="00A6328B">
        <w:t xml:space="preserve"> </w:t>
      </w:r>
      <w:r w:rsidRPr="001B41E4" w:rsidR="005A5858">
        <w:t xml:space="preserve"> </w:t>
      </w:r>
    </w:p>
    <w:p w:rsidR="00D03020" w:rsidRPr="001B41E4" w:rsidP="0023145B" w14:paraId="30F6CA3F" w14:textId="57E16EF0">
      <w:pPr>
        <w:ind w:firstLine="720"/>
      </w:pPr>
      <w:r>
        <w:t>Petitioners’</w:t>
      </w:r>
      <w:r w:rsidRPr="001B41E4" w:rsidR="00D409F3">
        <w:t xml:space="preserve"> authorized representative voted against the San Pedro </w:t>
      </w:r>
      <w:r w:rsidRPr="001B41E4" w:rsidR="00964C95">
        <w:t>BID</w:t>
      </w:r>
      <w:r w:rsidRPr="001B41E4" w:rsidR="00D409F3">
        <w:t xml:space="preserve"> and the Downtown Center BID.  </w:t>
      </w:r>
      <w:r w:rsidRPr="001B41E4" w:rsidR="007D54F7">
        <w:t>Petitioners did not</w:t>
      </w:r>
      <w:r w:rsidRPr="001B41E4" w:rsidR="00273271">
        <w:t xml:space="preserve"> </w:t>
      </w:r>
      <w:r w:rsidRPr="001B41E4" w:rsidR="007D54F7">
        <w:t xml:space="preserve">raise any </w:t>
      </w:r>
      <w:r w:rsidR="000F6082">
        <w:t>specific</w:t>
      </w:r>
      <w:r w:rsidRPr="001B41E4" w:rsidR="007D54F7">
        <w:t xml:space="preserve"> </w:t>
      </w:r>
      <w:r w:rsidRPr="001B41E4" w:rsidR="00D25DD7">
        <w:t>challenges</w:t>
      </w:r>
      <w:r w:rsidR="000F6082">
        <w:t xml:space="preserve"> </w:t>
      </w:r>
      <w:r w:rsidRPr="001B41E4" w:rsidR="00D822AB">
        <w:t>to the BIDs</w:t>
      </w:r>
      <w:r w:rsidRPr="001B41E4" w:rsidR="008A4D49">
        <w:t xml:space="preserve"> </w:t>
      </w:r>
      <w:r w:rsidRPr="001B41E4" w:rsidR="00D25DD7">
        <w:t xml:space="preserve">at </w:t>
      </w:r>
      <w:r w:rsidRPr="001B41E4" w:rsidR="00D409F3">
        <w:t>the public hearings</w:t>
      </w:r>
      <w:r w:rsidRPr="001B41E4" w:rsidR="00A4702F">
        <w:t xml:space="preserve"> before the City Council</w:t>
      </w:r>
      <w:r w:rsidRPr="001B41E4" w:rsidR="00D25DD7">
        <w:t>.  N</w:t>
      </w:r>
      <w:r w:rsidRPr="001B41E4" w:rsidR="00273271">
        <w:t>or</w:t>
      </w:r>
      <w:r w:rsidRPr="001B41E4" w:rsidR="007D54F7">
        <w:t xml:space="preserve"> is there any indication in the administrative records that</w:t>
      </w:r>
      <w:r w:rsidRPr="001B41E4" w:rsidR="00273271">
        <w:t xml:space="preserve"> any legal arguments against the BIDs</w:t>
      </w:r>
      <w:r w:rsidRPr="001B41E4" w:rsidR="007D54F7">
        <w:t xml:space="preserve"> were presented by anyone else</w:t>
      </w:r>
      <w:r w:rsidRPr="001B41E4" w:rsidR="00273271">
        <w:t xml:space="preserve"> at these sessions</w:t>
      </w:r>
      <w:r w:rsidRPr="001B41E4" w:rsidR="007D54F7">
        <w:t>.</w:t>
      </w:r>
      <w:r w:rsidRPr="001B41E4" w:rsidR="0003190E">
        <w:t xml:space="preserve"> </w:t>
      </w:r>
      <w:r w:rsidRPr="001B41E4" w:rsidR="000D5908">
        <w:t xml:space="preserve"> </w:t>
      </w:r>
      <w:r w:rsidRPr="001B41E4">
        <w:t>Meanwhile, on the same day as the hearing on the San Pedro BID (</w:t>
      </w:r>
      <w:r w:rsidRPr="001B41E4" w:rsidR="00DE6121">
        <w:t xml:space="preserve">which took place </w:t>
      </w:r>
      <w:r w:rsidRPr="001B41E4">
        <w:t xml:space="preserve">three weeks after the hearing on the Downtown Center BID), </w:t>
      </w:r>
      <w:r w:rsidRPr="001B41E4" w:rsidR="00DE6121">
        <w:t>a</w:t>
      </w:r>
      <w:r w:rsidRPr="001B41E4">
        <w:t xml:space="preserve"> City of Los Angeles</w:t>
      </w:r>
      <w:r w:rsidRPr="001B41E4" w:rsidR="00DE6121">
        <w:t xml:space="preserve"> representative</w:t>
      </w:r>
      <w:r w:rsidRPr="001B41E4">
        <w:t xml:space="preserve"> advised petitioners’ counsel that due to differences between the BIDs as </w:t>
      </w:r>
      <w:r w:rsidRPr="001B41E4" w:rsidR="00AA1495">
        <w:t>formerly</w:t>
      </w:r>
      <w:r w:rsidRPr="001B41E4">
        <w:t xml:space="preserve"> </w:t>
      </w:r>
      <w:r w:rsidRPr="001B41E4" w:rsidR="00AA1495">
        <w:t>constituted</w:t>
      </w:r>
      <w:r w:rsidRPr="001B41E4">
        <w:t xml:space="preserve"> and as renewed, the previously negotiated 2013 settlement agreements</w:t>
      </w:r>
      <w:r w:rsidR="00BC55F1">
        <w:t> </w:t>
      </w:r>
      <w:r w:rsidRPr="001B41E4">
        <w:t xml:space="preserve">— which by their terms applied for so long as the earlier-established BIDs “continue[d] in </w:t>
      </w:r>
      <w:r w:rsidR="007617A6">
        <w:t>[</w:t>
      </w:r>
      <w:r w:rsidRPr="001B41E4">
        <w:t>their</w:t>
      </w:r>
      <w:r w:rsidR="007617A6">
        <w:t>]</w:t>
      </w:r>
      <w:r w:rsidRPr="001B41E4">
        <w:t xml:space="preserve"> current formulation[s]”</w:t>
      </w:r>
      <w:r w:rsidR="00BC55F1">
        <w:rPr>
          <w:sz w:val="24"/>
          <w:szCs w:val="18"/>
        </w:rPr>
        <w:t> </w:t>
      </w:r>
      <w:r w:rsidRPr="001B41E4">
        <w:t>— were no longer in effect</w:t>
      </w:r>
      <w:r w:rsidRPr="001B41E4" w:rsidR="00DE6121">
        <w:t>.</w:t>
      </w:r>
      <w:r w:rsidRPr="001B41E4">
        <w:t xml:space="preserve">  </w:t>
      </w:r>
    </w:p>
    <w:p w:rsidR="00D409F3" w:rsidRPr="001B41E4" w:rsidP="0023145B" w14:paraId="57C8AFDF" w14:textId="7A1022E8">
      <w:pPr>
        <w:ind w:firstLine="720"/>
      </w:pPr>
      <w:r w:rsidRPr="001B41E4">
        <w:t xml:space="preserve">When </w:t>
      </w:r>
      <w:r w:rsidRPr="001B41E4" w:rsidR="00D03020">
        <w:t xml:space="preserve">all </w:t>
      </w:r>
      <w:r w:rsidRPr="001B41E4">
        <w:t>ballots</w:t>
      </w:r>
      <w:r w:rsidRPr="001B41E4" w:rsidR="00D03020">
        <w:t xml:space="preserve"> </w:t>
      </w:r>
      <w:r w:rsidRPr="001B41E4">
        <w:t>were counted, petitioners were substantially outvoted</w:t>
      </w:r>
      <w:r w:rsidRPr="001B41E4" w:rsidR="00F0621C">
        <w:t>; there was no majority protest</w:t>
      </w:r>
      <w:r w:rsidRPr="001B41E4" w:rsidR="00A6328B">
        <w:t xml:space="preserve"> </w:t>
      </w:r>
      <w:r w:rsidRPr="001B41E4" w:rsidR="00F927A9">
        <w:t>against</w:t>
      </w:r>
      <w:r w:rsidRPr="001B41E4" w:rsidR="00A6328B">
        <w:t xml:space="preserve"> either BID</w:t>
      </w:r>
      <w:r w:rsidRPr="001B41E4">
        <w:t>.</w:t>
      </w:r>
      <w:r w:rsidRPr="001B41E4" w:rsidR="00065DDB">
        <w:t xml:space="preserve"> </w:t>
      </w:r>
      <w:r w:rsidRPr="001B41E4" w:rsidR="00F0621C">
        <w:t xml:space="preserve"> </w:t>
      </w:r>
      <w:r w:rsidRPr="001B41E4" w:rsidR="00DE6121">
        <w:t>Shortly after each</w:t>
      </w:r>
      <w:r w:rsidRPr="001B41E4" w:rsidR="00A6328B">
        <w:t xml:space="preserve"> tabulation, </w:t>
      </w:r>
      <w:r w:rsidRPr="001B41E4" w:rsidR="00564768">
        <w:t xml:space="preserve">the City Council adopted </w:t>
      </w:r>
      <w:r w:rsidRPr="001B41E4" w:rsidR="00A6328B">
        <w:t>an</w:t>
      </w:r>
      <w:r w:rsidRPr="001B41E4" w:rsidR="00136D76">
        <w:t xml:space="preserve"> </w:t>
      </w:r>
      <w:r w:rsidRPr="001B41E4" w:rsidR="00065DDB">
        <w:t>ordinance</w:t>
      </w:r>
      <w:r w:rsidRPr="001B41E4" w:rsidR="00A6328B">
        <w:t xml:space="preserve"> </w:t>
      </w:r>
      <w:r w:rsidRPr="001B41E4" w:rsidR="00564768">
        <w:t xml:space="preserve">regarding </w:t>
      </w:r>
      <w:r w:rsidRPr="001B41E4" w:rsidR="00DE6121">
        <w:t xml:space="preserve">the relevant </w:t>
      </w:r>
      <w:r w:rsidRPr="001B41E4" w:rsidR="00564768">
        <w:t>BID</w:t>
      </w:r>
      <w:r w:rsidRPr="001B41E4" w:rsidR="00DE6121">
        <w:t>,</w:t>
      </w:r>
      <w:r w:rsidRPr="001B41E4" w:rsidR="00564768">
        <w:t xml:space="preserve"> announcing</w:t>
      </w:r>
      <w:r w:rsidRPr="001B41E4" w:rsidR="00AA1495">
        <w:t xml:space="preserve"> in each instance</w:t>
      </w:r>
      <w:r w:rsidRPr="001B41E4" w:rsidR="00564768">
        <w:t xml:space="preserve"> </w:t>
      </w:r>
      <w:r w:rsidRPr="001B41E4" w:rsidR="00A4702F">
        <w:t>that</w:t>
      </w:r>
      <w:r w:rsidRPr="001B41E4" w:rsidR="00065DDB">
        <w:t xml:space="preserve"> the </w:t>
      </w:r>
      <w:r w:rsidR="00BC55F1">
        <w:t xml:space="preserve">City </w:t>
      </w:r>
      <w:r w:rsidRPr="001B41E4" w:rsidR="00065DDB">
        <w:t>Council had “heard all testimony and received all evidence concerning the establishment of the District and desires to establish the District.”</w:t>
      </w:r>
      <w:r w:rsidRPr="001B41E4">
        <w:t xml:space="preserve">  </w:t>
      </w:r>
    </w:p>
    <w:p w:rsidR="00206E9B" w:rsidRPr="001B41E4" w:rsidP="0023145B" w14:paraId="5ADBADEC" w14:textId="047D0949">
      <w:pPr>
        <w:ind w:firstLine="720"/>
      </w:pPr>
      <w:r w:rsidRPr="001B41E4">
        <w:t xml:space="preserve">Petitioners </w:t>
      </w:r>
      <w:r w:rsidRPr="001B41E4" w:rsidR="00136D76">
        <w:t>then initiated two actions</w:t>
      </w:r>
      <w:r w:rsidRPr="001B41E4" w:rsidR="00F0621C">
        <w:t>, each</w:t>
      </w:r>
      <w:r w:rsidRPr="001B41E4" w:rsidR="00DD2733">
        <w:t xml:space="preserve"> within the 30-day time frame prescribed by section 36633 of the Streets and Highways Code,</w:t>
      </w:r>
      <w:r>
        <w:rPr>
          <w:rStyle w:val="FootnoteReference"/>
          <w:bCs/>
        </w:rPr>
        <w:footnoteReference w:id="5"/>
      </w:r>
      <w:r w:rsidRPr="001B41E4" w:rsidR="00DD2733">
        <w:t xml:space="preserve"> </w:t>
      </w:r>
      <w:r w:rsidRPr="001B41E4" w:rsidR="00136D76">
        <w:t xml:space="preserve">with Mesa </w:t>
      </w:r>
      <w:r w:rsidRPr="001B41E4" w:rsidR="00DD2733">
        <w:t>challenging</w:t>
      </w:r>
      <w:r w:rsidRPr="001B41E4" w:rsidR="00136D76">
        <w:t xml:space="preserve"> the San Pedro BID and Hill and Olive attacking the Downtown Center BID</w:t>
      </w:r>
      <w:r w:rsidRPr="001B41E4">
        <w:t xml:space="preserve">.  </w:t>
      </w:r>
      <w:r w:rsidRPr="001B41E4" w:rsidR="005F749A">
        <w:t>The</w:t>
      </w:r>
      <w:r w:rsidRPr="001B41E4" w:rsidR="00F0581A">
        <w:t xml:space="preserve"> verified pleadings</w:t>
      </w:r>
      <w:r w:rsidRPr="001B41E4" w:rsidR="005F749A">
        <w:t xml:space="preserve"> </w:t>
      </w:r>
      <w:r w:rsidRPr="001B41E4" w:rsidR="00941ADE">
        <w:t>contain</w:t>
      </w:r>
      <w:r w:rsidRPr="001B41E4" w:rsidR="005F749A">
        <w:t xml:space="preserve"> similar allegations, with each averring that </w:t>
      </w:r>
      <w:r w:rsidRPr="001B41E4" w:rsidR="00B2788B">
        <w:t xml:space="preserve">the </w:t>
      </w:r>
      <w:r w:rsidRPr="001B41E4">
        <w:t>BID</w:t>
      </w:r>
      <w:r w:rsidRPr="001B41E4" w:rsidR="005F749A">
        <w:t xml:space="preserve"> in question violates</w:t>
      </w:r>
      <w:r w:rsidRPr="001B41E4" w:rsidR="00F0581A">
        <w:t xml:space="preserve"> Proposition 218</w:t>
      </w:r>
      <w:r w:rsidRPr="001B41E4" w:rsidR="0003190E">
        <w:t xml:space="preserve">.  </w:t>
      </w:r>
      <w:r w:rsidRPr="001B41E4" w:rsidR="00DE6121">
        <w:t>Boiled down</w:t>
      </w:r>
      <w:r w:rsidRPr="001B41E4" w:rsidR="0003190E">
        <w:t>, petitioners assert that</w:t>
      </w:r>
      <w:r w:rsidRPr="001B41E4" w:rsidR="00F0581A">
        <w:t xml:space="preserve"> </w:t>
      </w:r>
      <w:r w:rsidRPr="001B41E4" w:rsidR="0003190E">
        <w:t>the assessments</w:t>
      </w:r>
      <w:r w:rsidRPr="001B41E4" w:rsidR="008C7F24">
        <w:t xml:space="preserve"> imposed for the BIDs</w:t>
      </w:r>
      <w:r w:rsidRPr="001B41E4" w:rsidR="00F0581A">
        <w:t xml:space="preserve"> </w:t>
      </w:r>
      <w:r w:rsidRPr="001B41E4" w:rsidR="00607E79">
        <w:t>contravene the initiative because they are</w:t>
      </w:r>
      <w:r w:rsidRPr="001B41E4" w:rsidR="0075459B">
        <w:t xml:space="preserve"> premised on an incorrect</w:t>
      </w:r>
      <w:r w:rsidRPr="001B41E4" w:rsidR="0003190E">
        <w:t xml:space="preserve"> and inadequately supported</w:t>
      </w:r>
      <w:r w:rsidRPr="001B41E4" w:rsidR="0075459B">
        <w:t xml:space="preserve"> understanding of the “special” versus “general” benefits that will accrue from </w:t>
      </w:r>
      <w:r w:rsidRPr="001B41E4" w:rsidR="00F0581A">
        <w:t>each</w:t>
      </w:r>
      <w:r w:rsidRPr="001B41E4" w:rsidR="0075459B">
        <w:t xml:space="preserve"> BID’s activities</w:t>
      </w:r>
      <w:r w:rsidR="00BC55F1">
        <w:t> </w:t>
      </w:r>
      <w:r w:rsidRPr="001B41E4" w:rsidR="002C7B32">
        <w:t>—</w:t>
      </w:r>
      <w:r w:rsidRPr="001B41E4" w:rsidR="00D72B76">
        <w:t xml:space="preserve"> </w:t>
      </w:r>
      <w:r w:rsidRPr="001B41E4" w:rsidR="0075459B">
        <w:t xml:space="preserve">treating as “special” what </w:t>
      </w:r>
      <w:r w:rsidRPr="001B41E4" w:rsidR="00D72B76">
        <w:t xml:space="preserve">petitioners </w:t>
      </w:r>
      <w:r w:rsidRPr="001B41E4" w:rsidR="007E7BA4">
        <w:t>contend</w:t>
      </w:r>
      <w:r w:rsidRPr="001B41E4" w:rsidR="00D72B76">
        <w:t xml:space="preserve"> </w:t>
      </w:r>
      <w:r w:rsidRPr="001B41E4" w:rsidR="0075459B">
        <w:t>are in fact “general” benefits</w:t>
      </w:r>
      <w:r w:rsidRPr="001B41E4" w:rsidR="00607E79">
        <w:t xml:space="preserve">, a distinction that will be explained later in this </w:t>
      </w:r>
      <w:r w:rsidRPr="001B41E4" w:rsidR="00AA1495">
        <w:t>opinion</w:t>
      </w:r>
      <w:r w:rsidR="00BC55F1">
        <w:t> </w:t>
      </w:r>
      <w:r w:rsidRPr="001B41E4" w:rsidR="002C7B32">
        <w:t>—</w:t>
      </w:r>
      <w:r w:rsidRPr="001B41E4" w:rsidR="0075459B">
        <w:t xml:space="preserve"> and </w:t>
      </w:r>
      <w:r w:rsidR="000F6082">
        <w:t xml:space="preserve">because the assessments imposed on petitioners </w:t>
      </w:r>
      <w:r w:rsidRPr="001B41E4" w:rsidR="0075459B">
        <w:t>exceed the reasonable cost of the proportional special benefit</w:t>
      </w:r>
      <w:r w:rsidRPr="001B41E4" w:rsidR="000A3439">
        <w:t>s</w:t>
      </w:r>
      <w:r w:rsidRPr="001B41E4" w:rsidR="0075459B">
        <w:t xml:space="preserve"> conferred on</w:t>
      </w:r>
      <w:r w:rsidRPr="001B41E4" w:rsidR="00D72B76">
        <w:t xml:space="preserve"> </w:t>
      </w:r>
      <w:r w:rsidR="000F6082">
        <w:t>their</w:t>
      </w:r>
      <w:r w:rsidRPr="001B41E4" w:rsidR="0075459B">
        <w:t xml:space="preserve"> parcels.  </w:t>
      </w:r>
      <w:r w:rsidRPr="001B41E4" w:rsidR="00A62BF6">
        <w:t>P</w:t>
      </w:r>
      <w:r w:rsidRPr="001B41E4">
        <w:t xml:space="preserve">etitioners seek various forms of relief that would remove any obligation </w:t>
      </w:r>
      <w:r w:rsidRPr="001B41E4" w:rsidR="00A62BF6">
        <w:t>t</w:t>
      </w:r>
      <w:r w:rsidRPr="001B41E4" w:rsidR="0069602A">
        <w:t>hat they</w:t>
      </w:r>
      <w:r w:rsidRPr="001B41E4">
        <w:t xml:space="preserve"> pay assessments </w:t>
      </w:r>
      <w:r w:rsidRPr="001B41E4" w:rsidR="0069602A">
        <w:t>for</w:t>
      </w:r>
      <w:r w:rsidRPr="001B41E4">
        <w:t xml:space="preserve"> the BIDs.</w:t>
      </w:r>
      <w:r>
        <w:rPr>
          <w:rStyle w:val="FootnoteReference"/>
          <w:bCs/>
        </w:rPr>
        <w:footnoteReference w:id="6"/>
      </w:r>
      <w:r w:rsidRPr="001B41E4">
        <w:t xml:space="preserve">  </w:t>
      </w:r>
    </w:p>
    <w:p w:rsidR="00E41DCA" w:rsidRPr="001B41E4" w:rsidP="0023145B" w14:paraId="5EF68493" w14:textId="1B64AEE1">
      <w:pPr>
        <w:ind w:firstLine="720"/>
      </w:pPr>
      <w:r w:rsidRPr="001B41E4">
        <w:t>Petitioners allege</w:t>
      </w:r>
      <w:r w:rsidRPr="001B41E4" w:rsidR="001C1D5F">
        <w:t xml:space="preserve"> in their </w:t>
      </w:r>
      <w:r w:rsidRPr="001B41E4" w:rsidR="000A3439">
        <w:t>pleadings</w:t>
      </w:r>
      <w:r w:rsidRPr="001B41E4">
        <w:t xml:space="preserve"> that they exhausted their administrative remedies. </w:t>
      </w:r>
      <w:r w:rsidRPr="001B41E4" w:rsidR="00206E9B">
        <w:t xml:space="preserve"> </w:t>
      </w:r>
      <w:r w:rsidRPr="001B41E4">
        <w:t>Respondents</w:t>
      </w:r>
      <w:r w:rsidRPr="001B41E4" w:rsidR="00E13E99">
        <w:t xml:space="preserve"> (the City of Los Angeles</w:t>
      </w:r>
      <w:r w:rsidRPr="001B41E4" w:rsidR="00D978F6">
        <w:t xml:space="preserve"> </w:t>
      </w:r>
      <w:r w:rsidRPr="001B41E4" w:rsidR="00E13E99">
        <w:t>and the San Pedro Property Owners Alliance in the action brought by Mesa; the City</w:t>
      </w:r>
      <w:r w:rsidRPr="001B41E4" w:rsidR="00D978F6">
        <w:t xml:space="preserve"> and </w:t>
      </w:r>
      <w:r w:rsidRPr="001B41E4" w:rsidR="00E13E99">
        <w:t>the Downtown Center Business Improvement District Management Corporation in the action brought by Hill and Olive)</w:t>
      </w:r>
      <w:r w:rsidRPr="001B41E4">
        <w:t xml:space="preserve"> disagree, asserting a failure to exhaust in their answers. </w:t>
      </w:r>
      <w:r w:rsidRPr="001B41E4" w:rsidR="00206E9B">
        <w:t xml:space="preserve"> </w:t>
      </w:r>
      <w:r w:rsidRPr="001B41E4" w:rsidR="00E13E99">
        <w:t>At</w:t>
      </w:r>
      <w:r w:rsidRPr="001B41E4">
        <w:t xml:space="preserve"> the</w:t>
      </w:r>
      <w:r w:rsidRPr="001B41E4">
        <w:t xml:space="preserve"> </w:t>
      </w:r>
      <w:r w:rsidRPr="001B41E4">
        <w:t xml:space="preserve">hearing </w:t>
      </w:r>
      <w:r w:rsidRPr="001B41E4" w:rsidR="00D978F6">
        <w:t xml:space="preserve">before the superior court </w:t>
      </w:r>
      <w:r w:rsidRPr="001B41E4">
        <w:t xml:space="preserve">on the </w:t>
      </w:r>
      <w:r w:rsidRPr="001B41E4" w:rsidR="00F0581A">
        <w:t>petitions</w:t>
      </w:r>
      <w:r w:rsidRPr="001B41E4" w:rsidR="00E13E99">
        <w:t>,</w:t>
      </w:r>
      <w:r w:rsidRPr="001B41E4">
        <w:t xml:space="preserve"> the court opined that petitioners had satisfied whatever exhaustion requirement might apply to them by casting ballots against the BIDs. </w:t>
      </w:r>
      <w:r w:rsidRPr="001B41E4" w:rsidR="00DD2733">
        <w:t xml:space="preserve"> </w:t>
      </w:r>
      <w:r w:rsidRPr="001B41E4" w:rsidR="003C4B73">
        <w:t>Consistent with this view, t</w:t>
      </w:r>
      <w:r w:rsidRPr="001B41E4">
        <w:t>he court’s order</w:t>
      </w:r>
      <w:r w:rsidRPr="001B41E4" w:rsidR="003C4B73">
        <w:t xml:space="preserve"> </w:t>
      </w:r>
      <w:r w:rsidRPr="001B41E4" w:rsidR="00206E9B">
        <w:t>following</w:t>
      </w:r>
      <w:r w:rsidRPr="001B41E4" w:rsidR="003C4B73">
        <w:t xml:space="preserve"> the hearing</w:t>
      </w:r>
      <w:r w:rsidRPr="001B41E4">
        <w:t xml:space="preserve"> did not discuss exhaustion</w:t>
      </w:r>
      <w:r w:rsidRPr="001B41E4" w:rsidR="003C4B73">
        <w:t xml:space="preserve">.  The order </w:t>
      </w:r>
      <w:r w:rsidRPr="001B41E4">
        <w:t xml:space="preserve">instead </w:t>
      </w:r>
      <w:r w:rsidRPr="001B41E4" w:rsidR="003C4B73">
        <w:t>reached the merits of</w:t>
      </w:r>
      <w:r w:rsidRPr="001B41E4">
        <w:t xml:space="preserve"> petitioners’ claims</w:t>
      </w:r>
      <w:r w:rsidRPr="001B41E4" w:rsidR="003C4B73">
        <w:t>, ultimately den</w:t>
      </w:r>
      <w:r w:rsidRPr="001B41E4" w:rsidR="00F0581A">
        <w:t>ying</w:t>
      </w:r>
      <w:r w:rsidRPr="001B41E4" w:rsidR="003C4B73">
        <w:t xml:space="preserve"> the petition</w:t>
      </w:r>
      <w:r w:rsidRPr="001B41E4" w:rsidR="00F0581A">
        <w:t>s</w:t>
      </w:r>
      <w:r w:rsidRPr="001B41E4" w:rsidR="003C4B73">
        <w:t xml:space="preserve"> in full.</w:t>
      </w:r>
    </w:p>
    <w:p w:rsidR="00956966" w:rsidRPr="001B41E4" w:rsidP="0023145B" w14:paraId="5CED67C9" w14:textId="1E663A1F">
      <w:pPr>
        <w:ind w:firstLine="720"/>
      </w:pPr>
      <w:r w:rsidRPr="001B41E4">
        <w:t>The Court of Appeal saw the exhaustion issue differently</w:t>
      </w:r>
      <w:r w:rsidRPr="001B41E4" w:rsidR="006B3AB7">
        <w:t>.  It declined to address petitioners’ claims on the merits</w:t>
      </w:r>
      <w:r w:rsidRPr="001B41E4">
        <w:t xml:space="preserve"> </w:t>
      </w:r>
      <w:r w:rsidRPr="001B41E4" w:rsidR="006B3AB7">
        <w:t>because, the</w:t>
      </w:r>
      <w:r w:rsidRPr="001B41E4" w:rsidR="00A106ED">
        <w:t xml:space="preserve"> appellate</w:t>
      </w:r>
      <w:r w:rsidRPr="001B41E4" w:rsidR="006B3AB7">
        <w:t xml:space="preserve"> court </w:t>
      </w:r>
      <w:r w:rsidRPr="001B41E4" w:rsidR="00A106ED">
        <w:t>concluded</w:t>
      </w:r>
      <w:r w:rsidRPr="001B41E4" w:rsidR="006B3AB7">
        <w:t>, petitioners</w:t>
      </w:r>
      <w:r w:rsidRPr="001B41E4">
        <w:t xml:space="preserve"> </w:t>
      </w:r>
      <w:r w:rsidRPr="001B41E4" w:rsidR="006B3AB7">
        <w:t>had failed to</w:t>
      </w:r>
      <w:r w:rsidRPr="001B41E4">
        <w:t xml:space="preserve"> exhaust </w:t>
      </w:r>
      <w:r w:rsidRPr="001B41E4" w:rsidR="006B3AB7">
        <w:t xml:space="preserve">their </w:t>
      </w:r>
      <w:r w:rsidRPr="001B41E4">
        <w:t xml:space="preserve">extrajudicial remedies.  </w:t>
      </w:r>
      <w:r w:rsidRPr="001B41E4" w:rsidR="006B3AB7">
        <w:t>(</w:t>
      </w:r>
      <w:r w:rsidRPr="001B41E4" w:rsidR="006B3AB7">
        <w:rPr>
          <w:i/>
          <w:iCs/>
        </w:rPr>
        <w:t>Hill RHF Housing Partners, L.P. v. City of Los Angeles</w:t>
      </w:r>
      <w:r w:rsidRPr="001B41E4" w:rsidR="006B3AB7">
        <w:t xml:space="preserve"> (2020) 51 Cal.App.5th 621, 627 (</w:t>
      </w:r>
      <w:r w:rsidRPr="001B41E4" w:rsidR="006B3AB7">
        <w:rPr>
          <w:i/>
          <w:iCs/>
        </w:rPr>
        <w:t>Hill RHF</w:t>
      </w:r>
      <w:r w:rsidRPr="001B41E4" w:rsidR="006B3AB7">
        <w:t xml:space="preserve">).) </w:t>
      </w:r>
      <w:r w:rsidRPr="001B41E4" w:rsidR="00F0581A">
        <w:t xml:space="preserve"> </w:t>
      </w:r>
      <w:r w:rsidRPr="001B41E4">
        <w:t xml:space="preserve">Looking to our decision in </w:t>
      </w:r>
      <w:r w:rsidRPr="001B41E4">
        <w:rPr>
          <w:i/>
          <w:iCs/>
        </w:rPr>
        <w:t>Williams &amp; Fickett v. County of Fresno</w:t>
      </w:r>
      <w:r w:rsidRPr="001B41E4">
        <w:t xml:space="preserve"> (201</w:t>
      </w:r>
      <w:r w:rsidRPr="001B41E4" w:rsidR="00F0581A">
        <w:t>7</w:t>
      </w:r>
      <w:r w:rsidRPr="001B41E4">
        <w:t xml:space="preserve">) </w:t>
      </w:r>
      <w:r w:rsidRPr="001B41E4" w:rsidR="008D01EB">
        <w:t>2</w:t>
      </w:r>
      <w:r w:rsidRPr="001B41E4">
        <w:t xml:space="preserve"> Cal.5th </w:t>
      </w:r>
      <w:r w:rsidRPr="001B41E4" w:rsidR="008D01EB">
        <w:t>1258</w:t>
      </w:r>
      <w:r w:rsidRPr="001B41E4">
        <w:t xml:space="preserve"> (</w:t>
      </w:r>
      <w:r w:rsidRPr="001B41E4">
        <w:rPr>
          <w:i/>
          <w:iCs/>
        </w:rPr>
        <w:t>Williams &amp; Fickett</w:t>
      </w:r>
      <w:r w:rsidRPr="001B41E4">
        <w:t xml:space="preserve">) for guidance, </w:t>
      </w:r>
      <w:r w:rsidR="007A7422">
        <w:t xml:space="preserve">the </w:t>
      </w:r>
      <w:r w:rsidRPr="001B41E4">
        <w:t>Court of Appeal reasoned</w:t>
      </w:r>
      <w:r w:rsidRPr="001B41E4">
        <w:t xml:space="preserve"> that</w:t>
      </w:r>
      <w:r w:rsidRPr="001B41E4">
        <w:t xml:space="preserve"> </w:t>
      </w:r>
      <w:r w:rsidRPr="001B41E4" w:rsidR="002E1301">
        <w:t>“[</w:t>
      </w:r>
      <w:r w:rsidRPr="001B41E4">
        <w:t>t</w:t>
      </w:r>
      <w:r w:rsidRPr="001B41E4" w:rsidR="002E1301">
        <w:t>]</w:t>
      </w:r>
      <w:r w:rsidRPr="001B41E4">
        <w:t>he PBID Law’s detailed administrative procedural requirements ‘provide affirmative indications of the Legislature’s desire’ that agencies be allowed to consider in the first instance issue</w:t>
      </w:r>
      <w:r w:rsidRPr="001B41E4" w:rsidR="00966558">
        <w:t>s</w:t>
      </w:r>
      <w:r w:rsidRPr="001B41E4">
        <w:t xml:space="preserve"> raised during </w:t>
      </w:r>
      <w:r w:rsidRPr="001B41E4">
        <w:t xml:space="preserve">[the BID approval] </w:t>
      </w:r>
      <w:r w:rsidRPr="001B41E4">
        <w:t xml:space="preserve">process.  [Citation.]  As in </w:t>
      </w:r>
      <w:r w:rsidRPr="001B41E4">
        <w:rPr>
          <w:i/>
          <w:iCs/>
        </w:rPr>
        <w:t>Williams &amp; Fickett</w:t>
      </w:r>
      <w:r w:rsidRPr="001B41E4">
        <w:t>, we conclude that the procedure outlined in the PBID Law ‘bespeaks a legislative determination that</w:t>
      </w:r>
      <w:r w:rsidRPr="001B41E4">
        <w:t xml:space="preserve"> </w:t>
      </w:r>
      <w:r w:rsidRPr="001B41E4">
        <w:t>the [City] should, in the first instance, pass on’ the questions Hill, Olive, and Mesa present in their petitions, ‘or decide that it need not do so.’ ”  (</w:t>
      </w:r>
      <w:r w:rsidRPr="001B41E4">
        <w:rPr>
          <w:i/>
          <w:iCs/>
        </w:rPr>
        <w:t>Hill RHF</w:t>
      </w:r>
      <w:r w:rsidRPr="001B41E4">
        <w:t xml:space="preserve">, </w:t>
      </w:r>
      <w:r w:rsidRPr="001B41E4" w:rsidR="006B3AB7">
        <w:t>at p. 632,</w:t>
      </w:r>
      <w:r w:rsidRPr="001B41E4">
        <w:t xml:space="preserve"> quoting </w:t>
      </w:r>
      <w:r w:rsidRPr="001B41E4">
        <w:rPr>
          <w:i/>
          <w:iCs/>
        </w:rPr>
        <w:t>Williams &amp; Fickett</w:t>
      </w:r>
      <w:r w:rsidRPr="001B41E4">
        <w:t>, at p.</w:t>
      </w:r>
      <w:r w:rsidRPr="001B41E4" w:rsidR="0008084F">
        <w:t> </w:t>
      </w:r>
      <w:r w:rsidRPr="001B41E4">
        <w:t xml:space="preserve">1271.)  </w:t>
      </w:r>
    </w:p>
    <w:p w:rsidR="00956966" w:rsidRPr="001B41E4" w:rsidP="0023145B" w14:paraId="1B232A83" w14:textId="2C996E7F">
      <w:pPr>
        <w:ind w:firstLine="720"/>
      </w:pPr>
      <w:r w:rsidRPr="001B41E4">
        <w:t xml:space="preserve">The Court of Appeal </w:t>
      </w:r>
      <w:r w:rsidRPr="001B41E4" w:rsidR="007035D7">
        <w:t>determined</w:t>
      </w:r>
      <w:r w:rsidRPr="001B41E4">
        <w:t xml:space="preserve"> that</w:t>
      </w:r>
      <w:r w:rsidRPr="001B41E4" w:rsidR="007035D7">
        <w:t xml:space="preserve"> with </w:t>
      </w:r>
      <w:r w:rsidRPr="001B41E4" w:rsidR="00AB3FDE">
        <w:t>this</w:t>
      </w:r>
      <w:r w:rsidRPr="001B41E4" w:rsidR="007035D7">
        <w:t xml:space="preserve"> framework in place,</w:t>
      </w:r>
      <w:r w:rsidRPr="001B41E4">
        <w:t xml:space="preserve"> petitioners </w:t>
      </w:r>
      <w:r w:rsidRPr="001B41E4" w:rsidR="007035D7">
        <w:t>could not be heard to raise their arguments in court without first having</w:t>
      </w:r>
      <w:r w:rsidRPr="001B41E4">
        <w:t xml:space="preserve"> present</w:t>
      </w:r>
      <w:r w:rsidRPr="001B41E4" w:rsidR="007035D7">
        <w:t>ed</w:t>
      </w:r>
      <w:r w:rsidRPr="001B41E4">
        <w:t xml:space="preserve"> </w:t>
      </w:r>
      <w:r w:rsidRPr="001B41E4" w:rsidR="007035D7">
        <w:t xml:space="preserve">these </w:t>
      </w:r>
      <w:r w:rsidRPr="001B41E4">
        <w:t>objections</w:t>
      </w:r>
      <w:r w:rsidRPr="001B41E4" w:rsidR="00425790">
        <w:t xml:space="preserve"> </w:t>
      </w:r>
      <w:r w:rsidRPr="001B41E4">
        <w:t>at the appropriate public hearing.  (</w:t>
      </w:r>
      <w:r w:rsidRPr="001B41E4">
        <w:rPr>
          <w:i/>
          <w:iCs/>
        </w:rPr>
        <w:t>Hill RHF</w:t>
      </w:r>
      <w:r w:rsidRPr="001B41E4">
        <w:t xml:space="preserve">, </w:t>
      </w:r>
      <w:r w:rsidRPr="001B41E4">
        <w:rPr>
          <w:i/>
          <w:iCs/>
        </w:rPr>
        <w:t>supra</w:t>
      </w:r>
      <w:r w:rsidRPr="001B41E4">
        <w:t xml:space="preserve">, 51 Cal.App.5th </w:t>
      </w:r>
      <w:r w:rsidRPr="001B41E4">
        <w:t>at p</w:t>
      </w:r>
      <w:r w:rsidRPr="001B41E4" w:rsidR="00A106ED">
        <w:t>p</w:t>
      </w:r>
      <w:r w:rsidRPr="001B41E4">
        <w:t>.</w:t>
      </w:r>
      <w:r w:rsidRPr="001B41E4" w:rsidR="00425790">
        <w:t> </w:t>
      </w:r>
      <w:r w:rsidRPr="001B41E4" w:rsidR="00A106ED">
        <w:t>627, 634</w:t>
      </w:r>
      <w:r w:rsidRPr="001B41E4">
        <w:t>.)</w:t>
      </w:r>
      <w:r w:rsidRPr="001B41E4" w:rsidR="007035D7">
        <w:t xml:space="preserve">  In reaching this result, the Court of Appeal rejected petitioners’ </w:t>
      </w:r>
      <w:r w:rsidRPr="001B41E4" w:rsidR="00D12D38">
        <w:t>assertion</w:t>
      </w:r>
      <w:r w:rsidRPr="001B41E4" w:rsidR="007035D7">
        <w:t xml:space="preserve"> that they had exhausted their administrative remedies by voting against the BIDs.  The court explained, “[e]xhaustion of administrative remedies in this context requires nothing more of a property owner than submitting a ballot opposing the assessment </w:t>
      </w:r>
      <w:r w:rsidRPr="001B41E4" w:rsidR="007035D7">
        <w:rPr>
          <w:i/>
          <w:iCs/>
        </w:rPr>
        <w:t>and</w:t>
      </w:r>
      <w:r w:rsidRPr="001B41E4" w:rsidR="007035D7">
        <w:t xml:space="preserve"> presenting to the agency at the designated public hearing the specific reasons for its objection to the establishment of a BID in a manner the agency can consider and either incorporate into its decision or decline to act on.”  (</w:t>
      </w:r>
      <w:r w:rsidRPr="001B41E4" w:rsidR="007035D7">
        <w:rPr>
          <w:i/>
          <w:iCs/>
        </w:rPr>
        <w:t>Id</w:t>
      </w:r>
      <w:r w:rsidRPr="001B41E4" w:rsidR="007035D7">
        <w:t>., at p. 634, italics added.)</w:t>
      </w:r>
    </w:p>
    <w:p w:rsidR="00956966" w:rsidRPr="001B41E4" w:rsidP="0023145B" w14:paraId="1691A14A" w14:textId="46CC0115">
      <w:pPr>
        <w:ind w:firstLine="720"/>
      </w:pPr>
      <w:r w:rsidRPr="001B41E4">
        <w:t>We granted review.</w:t>
      </w:r>
      <w:r w:rsidRPr="001B41E4" w:rsidR="007035D7">
        <w:t xml:space="preserve">  </w:t>
      </w:r>
      <w:r w:rsidRPr="001B41E4" w:rsidR="00526A8F">
        <w:t xml:space="preserve"> </w:t>
      </w:r>
    </w:p>
    <w:p w:rsidR="00DB7ED3" w:rsidRPr="001B41E4" w:rsidP="0023145B" w14:paraId="6A727BAA" w14:textId="02CDAAE6">
      <w:pPr>
        <w:pStyle w:val="Heading1"/>
        <w:rPr>
          <w:b w:val="0"/>
          <w:bCs/>
          <w:smallCaps w:val="0"/>
          <w:szCs w:val="26"/>
        </w:rPr>
      </w:pPr>
      <w:r w:rsidRPr="001B41E4">
        <w:rPr>
          <w:bCs/>
          <w:szCs w:val="26"/>
        </w:rPr>
        <w:t xml:space="preserve">II.  </w:t>
      </w:r>
      <w:r w:rsidRPr="001B41E4">
        <w:rPr>
          <w:bCs/>
          <w:szCs w:val="26"/>
        </w:rPr>
        <w:t>Discussion</w:t>
      </w:r>
    </w:p>
    <w:p w:rsidR="004A1D7B" w:rsidRPr="001B41E4" w:rsidP="0023145B" w14:paraId="2FD2A3F3" w14:textId="6823E298">
      <w:pPr>
        <w:pStyle w:val="ListParagraph"/>
        <w:tabs>
          <w:tab w:val="left" w:pos="720"/>
        </w:tabs>
        <w:ind w:left="0" w:firstLine="720"/>
      </w:pPr>
      <w:r w:rsidRPr="001B41E4">
        <w:t>The discussion below begins by surveying the relevant provisions of</w:t>
      </w:r>
      <w:r w:rsidRPr="001B41E4" w:rsidR="00B37C69">
        <w:t xml:space="preserve"> </w:t>
      </w:r>
      <w:r w:rsidRPr="001B41E4" w:rsidR="0047211B">
        <w:t>Proposition 218</w:t>
      </w:r>
      <w:r w:rsidRPr="001B41E4" w:rsidR="00B37C69">
        <w:t>, the PBID Law,</w:t>
      </w:r>
      <w:r w:rsidRPr="001B41E4" w:rsidR="0047211B">
        <w:t xml:space="preserve"> and the </w:t>
      </w:r>
      <w:r w:rsidRPr="001B41E4" w:rsidR="007C5977">
        <w:t>Implementation Act</w:t>
      </w:r>
      <w:r w:rsidRPr="001B41E4" w:rsidR="0047211B">
        <w:t xml:space="preserve">.  </w:t>
      </w:r>
      <w:r w:rsidRPr="001B41E4" w:rsidR="006E41D4">
        <w:t>The</w:t>
      </w:r>
      <w:r w:rsidRPr="001B41E4" w:rsidR="00A56FF6">
        <w:t xml:space="preserve"> analysis then </w:t>
      </w:r>
      <w:r w:rsidRPr="001B41E4" w:rsidR="006E41D4">
        <w:t>turns to</w:t>
      </w:r>
      <w:r w:rsidRPr="001B41E4" w:rsidR="00A56FF6">
        <w:t xml:space="preserve"> the exhaustion </w:t>
      </w:r>
      <w:r w:rsidRPr="001B41E4" w:rsidR="00B37C69">
        <w:t>doctrine</w:t>
      </w:r>
      <w:r w:rsidRPr="001B41E4" w:rsidR="006E41D4">
        <w:t xml:space="preserve">, explicating </w:t>
      </w:r>
      <w:r w:rsidRPr="001B41E4" w:rsidR="00A62BF6">
        <w:t>this rule</w:t>
      </w:r>
      <w:r w:rsidRPr="001B41E4" w:rsidR="0018159F">
        <w:t xml:space="preserve"> </w:t>
      </w:r>
      <w:r w:rsidRPr="001B41E4" w:rsidR="00A56FF6">
        <w:t xml:space="preserve">before considering whether </w:t>
      </w:r>
      <w:r w:rsidRPr="001B41E4" w:rsidR="00425790">
        <w:t>petitioners had to present</w:t>
      </w:r>
      <w:r w:rsidRPr="001B41E4" w:rsidR="00A56FF6">
        <w:t xml:space="preserve"> their specific objections</w:t>
      </w:r>
      <w:r w:rsidRPr="001B41E4" w:rsidR="006E41D4">
        <w:t xml:space="preserve"> </w:t>
      </w:r>
      <w:r w:rsidRPr="001B41E4" w:rsidR="00425790">
        <w:t xml:space="preserve">to the BIDs </w:t>
      </w:r>
      <w:r w:rsidRPr="001B41E4" w:rsidR="00A56FF6">
        <w:t xml:space="preserve">at the </w:t>
      </w:r>
      <w:r w:rsidRPr="001B41E4" w:rsidR="00ED5E1B">
        <w:t xml:space="preserve">appropriate </w:t>
      </w:r>
      <w:r w:rsidRPr="001B41E4" w:rsidR="00A56FF6">
        <w:t>public hearings</w:t>
      </w:r>
      <w:r w:rsidRPr="001B41E4" w:rsidR="007C5977">
        <w:t xml:space="preserve"> for</w:t>
      </w:r>
      <w:r w:rsidRPr="001B41E4" w:rsidR="00A56FF6">
        <w:t xml:space="preserve"> </w:t>
      </w:r>
      <w:r w:rsidRPr="001B41E4" w:rsidR="006E41D4">
        <w:t>these</w:t>
      </w:r>
      <w:r w:rsidRPr="001B41E4" w:rsidR="00A56FF6">
        <w:t xml:space="preserve"> arguments </w:t>
      </w:r>
      <w:r w:rsidRPr="001B41E4" w:rsidR="007C5977">
        <w:t xml:space="preserve">to </w:t>
      </w:r>
      <w:r w:rsidRPr="001B41E4" w:rsidR="00ED5E1B">
        <w:t xml:space="preserve">later </w:t>
      </w:r>
      <w:r w:rsidRPr="001B41E4" w:rsidR="007C5977">
        <w:t xml:space="preserve">be </w:t>
      </w:r>
      <w:r w:rsidRPr="001B41E4" w:rsidR="00A56FF6">
        <w:t>heard</w:t>
      </w:r>
      <w:r w:rsidRPr="001B41E4" w:rsidR="007C5977">
        <w:t xml:space="preserve"> on the merits</w:t>
      </w:r>
      <w:r w:rsidRPr="001B41E4" w:rsidR="00A56FF6">
        <w:t xml:space="preserve"> </w:t>
      </w:r>
      <w:r w:rsidRPr="001B41E4" w:rsidR="00B37C69">
        <w:t>in court</w:t>
      </w:r>
      <w:r w:rsidRPr="001B41E4" w:rsidR="00A56FF6">
        <w:t xml:space="preserve">. </w:t>
      </w:r>
      <w:r w:rsidRPr="001B41E4" w:rsidR="00425790">
        <w:t xml:space="preserve"> </w:t>
      </w:r>
      <w:r w:rsidRPr="001B41E4" w:rsidR="008467CC">
        <w:t>We</w:t>
      </w:r>
      <w:r w:rsidRPr="001B41E4" w:rsidR="00021C4B">
        <w:t xml:space="preserve"> conclude that petitioners were not required to </w:t>
      </w:r>
      <w:r w:rsidRPr="001B41E4" w:rsidR="00D12D38">
        <w:t>take this step</w:t>
      </w:r>
      <w:r w:rsidRPr="001B41E4" w:rsidR="00021C4B">
        <w:t xml:space="preserve"> before instituting these actions.  </w:t>
      </w:r>
    </w:p>
    <w:p w:rsidR="00A56FF6" w:rsidRPr="001B41E4" w:rsidP="0023145B" w14:paraId="77B33FDF" w14:textId="47E6739D">
      <w:pPr>
        <w:pStyle w:val="ListParagraph"/>
        <w:keepNext/>
        <w:keepLines/>
        <w:numPr>
          <w:ilvl w:val="0"/>
          <w:numId w:val="8"/>
        </w:numPr>
        <w:tabs>
          <w:tab w:val="left" w:pos="720"/>
        </w:tabs>
        <w:rPr>
          <w:b/>
          <w:bCs/>
        </w:rPr>
      </w:pPr>
      <w:r w:rsidRPr="001B41E4">
        <w:rPr>
          <w:b/>
          <w:bCs/>
        </w:rPr>
        <w:t>Constitutional and Statutory Framework</w:t>
      </w:r>
    </w:p>
    <w:p w:rsidR="00EE4001" w:rsidRPr="001B41E4" w:rsidP="0023145B" w14:paraId="760D83C4" w14:textId="28CACF88">
      <w:pPr>
        <w:pStyle w:val="ListParagraph"/>
        <w:keepNext/>
        <w:keepLines/>
        <w:numPr>
          <w:ilvl w:val="0"/>
          <w:numId w:val="7"/>
        </w:numPr>
        <w:tabs>
          <w:tab w:val="left" w:pos="720"/>
          <w:tab w:val="left" w:pos="1350"/>
        </w:tabs>
        <w:ind w:left="1440"/>
        <w:rPr>
          <w:i/>
          <w:iCs/>
        </w:rPr>
      </w:pPr>
      <w:r w:rsidRPr="001B41E4">
        <w:rPr>
          <w:i/>
          <w:iCs/>
        </w:rPr>
        <w:t>Proposition 218</w:t>
      </w:r>
    </w:p>
    <w:p w:rsidR="00EE4001" w:rsidRPr="001B41E4" w:rsidP="0023145B" w14:paraId="071ABC98" w14:textId="1E3E8B23">
      <w:pPr>
        <w:pStyle w:val="xmsonormal"/>
        <w:shd w:val="clear" w:color="auto" w:fill="FFFFFF"/>
        <w:spacing w:before="0" w:beforeAutospacing="0" w:afterAutospacing="0" w:line="400" w:lineRule="exact"/>
        <w:ind w:firstLine="720"/>
        <w:rPr>
          <w:rFonts w:ascii="Century Schoolbook" w:hAnsi="Century Schoolbook"/>
          <w:sz w:val="27"/>
        </w:rPr>
      </w:pPr>
      <w:r w:rsidRPr="001B41E4">
        <w:rPr>
          <w:rFonts w:ascii="Century Schoolbook" w:hAnsi="Century Schoolbook"/>
          <w:sz w:val="27"/>
        </w:rPr>
        <w:t>We have in prior decisions describe</w:t>
      </w:r>
      <w:r w:rsidRPr="001B41E4" w:rsidR="0048017C">
        <w:rPr>
          <w:rFonts w:ascii="Century Schoolbook" w:hAnsi="Century Schoolbook"/>
          <w:sz w:val="27"/>
        </w:rPr>
        <w:t>d</w:t>
      </w:r>
      <w:r w:rsidRPr="001B41E4">
        <w:rPr>
          <w:rFonts w:ascii="Century Schoolbook" w:hAnsi="Century Schoolbook"/>
          <w:sz w:val="27"/>
        </w:rPr>
        <w:t xml:space="preserve"> the origins </w:t>
      </w:r>
      <w:r w:rsidRPr="001B41E4" w:rsidR="00314961">
        <w:rPr>
          <w:rFonts w:ascii="Century Schoolbook" w:hAnsi="Century Schoolbook"/>
          <w:sz w:val="27"/>
        </w:rPr>
        <w:t xml:space="preserve">and aims </w:t>
      </w:r>
      <w:r w:rsidRPr="001B41E4">
        <w:rPr>
          <w:rFonts w:ascii="Century Schoolbook" w:hAnsi="Century Schoolbook"/>
          <w:sz w:val="27"/>
        </w:rPr>
        <w:t xml:space="preserve">of Proposition 218.  This </w:t>
      </w:r>
      <w:r w:rsidRPr="001B41E4" w:rsidR="00852879">
        <w:rPr>
          <w:rFonts w:ascii="Century Schoolbook" w:hAnsi="Century Schoolbook"/>
          <w:sz w:val="27"/>
        </w:rPr>
        <w:t>measure</w:t>
      </w:r>
      <w:r w:rsidRPr="001B41E4">
        <w:rPr>
          <w:rFonts w:ascii="Century Schoolbook" w:hAnsi="Century Schoolbook"/>
          <w:sz w:val="27"/>
        </w:rPr>
        <w:t xml:space="preserve">, </w:t>
      </w:r>
      <w:r w:rsidRPr="001B41E4">
        <w:rPr>
          <w:rFonts w:ascii="Century Schoolbook" w:hAnsi="Century Schoolbook"/>
          <w:sz w:val="27"/>
        </w:rPr>
        <w:t>“</w:t>
      </w:r>
      <w:r w:rsidRPr="001B41E4">
        <w:rPr>
          <w:rFonts w:ascii="Century Schoolbook" w:hAnsi="Century Schoolbook"/>
          <w:sz w:val="27"/>
        </w:rPr>
        <w:t>approved by voters in 1996, is one of a series of voter initiatives restricting the ability of state and local governments to impose taxes and fees.  [Citation.]  The first of these measures was Proposition 13, adopted in 1978, which limited ad valorem property taxes to 1</w:t>
      </w:r>
      <w:r w:rsidRPr="001B41E4" w:rsidR="00D50877">
        <w:rPr>
          <w:rFonts w:ascii="Century Schoolbook" w:hAnsi="Century Schoolbook"/>
          <w:sz w:val="27"/>
        </w:rPr>
        <w:t> </w:t>
      </w:r>
      <w:r w:rsidRPr="001B41E4">
        <w:rPr>
          <w:rFonts w:ascii="Century Schoolbook" w:hAnsi="Century Schoolbook"/>
          <w:sz w:val="27"/>
        </w:rPr>
        <w:t>percent of a property</w:t>
      </w:r>
      <w:r w:rsidRPr="001B41E4" w:rsidR="00607E79">
        <w:rPr>
          <w:rFonts w:ascii="Century Schoolbook" w:hAnsi="Century Schoolbook"/>
          <w:sz w:val="27"/>
        </w:rPr>
        <w:t>’</w:t>
      </w:r>
      <w:r w:rsidRPr="001B41E4">
        <w:rPr>
          <w:rFonts w:ascii="Century Schoolbook" w:hAnsi="Century Schoolbook"/>
          <w:sz w:val="27"/>
        </w:rPr>
        <w:t>s assessed valuation and limited annual increases in valuation to 2</w:t>
      </w:r>
      <w:r w:rsidRPr="001B41E4" w:rsidR="00D50877">
        <w:rPr>
          <w:rFonts w:ascii="Century Schoolbook" w:hAnsi="Century Schoolbook"/>
          <w:sz w:val="27"/>
        </w:rPr>
        <w:t> </w:t>
      </w:r>
      <w:r w:rsidRPr="001B41E4">
        <w:rPr>
          <w:rFonts w:ascii="Century Schoolbook" w:hAnsi="Century Schoolbook"/>
          <w:sz w:val="27"/>
        </w:rPr>
        <w:t>percent without a change in ownership.  [Citations.]  To prevent local governments from increasing special taxes to offset restrictions on ad valorem property taxes, Proposition 13 prohibited counties, cities, and special districts from imposing special taxes without a two-thirds vote of the electorate.  [Citations.]  But local governments were able to circumvent Proposition 13</w:t>
      </w:r>
      <w:r w:rsidRPr="001B41E4" w:rsidR="00195319">
        <w:rPr>
          <w:rFonts w:ascii="Century Schoolbook" w:hAnsi="Century Schoolbook"/>
          <w:sz w:val="27"/>
        </w:rPr>
        <w:t>’</w:t>
      </w:r>
      <w:r w:rsidRPr="001B41E4">
        <w:rPr>
          <w:rFonts w:ascii="Century Schoolbook" w:hAnsi="Century Schoolbook"/>
          <w:sz w:val="27"/>
        </w:rPr>
        <w:t xml:space="preserve">s limitations by relying on </w:t>
      </w:r>
      <w:r w:rsidRPr="001B41E4">
        <w:rPr>
          <w:rFonts w:ascii="Century Schoolbook" w:hAnsi="Century Schoolbook"/>
          <w:i/>
          <w:iCs/>
          <w:sz w:val="27"/>
        </w:rPr>
        <w:t>Knox v. City of Orland</w:t>
      </w:r>
      <w:r w:rsidRPr="001B41E4">
        <w:rPr>
          <w:rFonts w:ascii="Century Schoolbook" w:hAnsi="Century Schoolbook"/>
          <w:sz w:val="27"/>
        </w:rPr>
        <w:t xml:space="preserve"> (1992) 4 Cal.4th 132, 141 .</w:t>
      </w:r>
      <w:r w:rsidRPr="001B41E4">
        <w:rPr>
          <w:rFonts w:ascii="Century Schoolbook" w:hAnsi="Century Schoolbook"/>
          <w:sz w:val="27"/>
        </w:rPr>
        <w:t> </w:t>
      </w:r>
      <w:r w:rsidRPr="001B41E4">
        <w:rPr>
          <w:rFonts w:ascii="Century Schoolbook" w:hAnsi="Century Schoolbook"/>
          <w:sz w:val="27"/>
        </w:rPr>
        <w:t>.</w:t>
      </w:r>
      <w:r w:rsidRPr="001B41E4">
        <w:rPr>
          <w:rFonts w:ascii="Century Schoolbook" w:hAnsi="Century Schoolbook"/>
          <w:sz w:val="27"/>
        </w:rPr>
        <w:t> </w:t>
      </w:r>
      <w:r w:rsidRPr="001B41E4">
        <w:rPr>
          <w:rFonts w:ascii="Century Schoolbook" w:hAnsi="Century Schoolbook"/>
          <w:sz w:val="27"/>
        </w:rPr>
        <w:t>.</w:t>
      </w:r>
      <w:r w:rsidRPr="001B41E4" w:rsidR="00D12D38">
        <w:rPr>
          <w:rFonts w:ascii="Century Schoolbook" w:hAnsi="Century Schoolbook"/>
          <w:sz w:val="27"/>
        </w:rPr>
        <w:t> </w:t>
      </w:r>
      <w:r w:rsidRPr="001B41E4">
        <w:rPr>
          <w:rFonts w:ascii="Century Schoolbook" w:hAnsi="Century Schoolbook"/>
          <w:sz w:val="27"/>
        </w:rPr>
        <w:t xml:space="preserve">, which held a </w:t>
      </w:r>
      <w:r w:rsidRPr="001B41E4" w:rsidR="00607E79">
        <w:rPr>
          <w:rFonts w:ascii="Century Schoolbook" w:hAnsi="Century Schoolbook"/>
          <w:sz w:val="27"/>
        </w:rPr>
        <w:t>‘</w:t>
      </w:r>
      <w:r w:rsidRPr="001B41E4">
        <w:rPr>
          <w:rFonts w:ascii="Century Schoolbook" w:hAnsi="Century Schoolbook"/>
          <w:sz w:val="27"/>
        </w:rPr>
        <w:t>special assessment</w:t>
      </w:r>
      <w:r w:rsidRPr="001B41E4" w:rsidR="00607E79">
        <w:rPr>
          <w:rFonts w:ascii="Century Schoolbook" w:hAnsi="Century Schoolbook"/>
          <w:sz w:val="27"/>
        </w:rPr>
        <w:t>’</w:t>
      </w:r>
      <w:r w:rsidRPr="001B41E4">
        <w:rPr>
          <w:rFonts w:ascii="Century Schoolbook" w:hAnsi="Century Schoolbook"/>
          <w:sz w:val="27"/>
        </w:rPr>
        <w:t xml:space="preserve"> was not a </w:t>
      </w:r>
      <w:r w:rsidRPr="001B41E4" w:rsidR="00607E79">
        <w:rPr>
          <w:rFonts w:ascii="Century Schoolbook" w:hAnsi="Century Schoolbook"/>
          <w:sz w:val="27"/>
        </w:rPr>
        <w:t>‘</w:t>
      </w:r>
      <w:r w:rsidRPr="001B41E4">
        <w:rPr>
          <w:rFonts w:ascii="Century Schoolbook" w:hAnsi="Century Schoolbook"/>
          <w:sz w:val="27"/>
        </w:rPr>
        <w:t>special tax</w:t>
      </w:r>
      <w:r w:rsidRPr="001B41E4" w:rsidR="00607E79">
        <w:rPr>
          <w:rFonts w:ascii="Century Schoolbook" w:hAnsi="Century Schoolbook"/>
          <w:sz w:val="27"/>
        </w:rPr>
        <w:t>’</w:t>
      </w:r>
      <w:r w:rsidRPr="001B41E4">
        <w:rPr>
          <w:rFonts w:ascii="Century Schoolbook" w:hAnsi="Century Schoolbook"/>
          <w:sz w:val="27"/>
        </w:rPr>
        <w:t xml:space="preserve"> within the meaning of Proposition 13.  [Citation.]  Consequently, without voter approval, local governments were able to increase rates for services by labeling them fees, charges, or assessments rather than taxes.  [Citation.]</w:t>
      </w:r>
      <w:r w:rsidRPr="001B41E4" w:rsidR="00607E79">
        <w:rPr>
          <w:rFonts w:ascii="Century Schoolbook" w:hAnsi="Century Schoolbook"/>
          <w:sz w:val="27"/>
        </w:rPr>
        <w:t xml:space="preserve">  [¶]  </w:t>
      </w:r>
      <w:r w:rsidRPr="001B41E4">
        <w:rPr>
          <w:rFonts w:ascii="Century Schoolbook" w:hAnsi="Century Schoolbook"/>
          <w:sz w:val="27"/>
        </w:rPr>
        <w:t xml:space="preserve">To address these and related concerns, voters approved Proposition 218, known as the </w:t>
      </w:r>
      <w:r w:rsidRPr="001B41E4">
        <w:rPr>
          <w:rFonts w:ascii="Century Schoolbook" w:hAnsi="Century Schoolbook"/>
          <w:sz w:val="27"/>
        </w:rPr>
        <w:t>‘</w:t>
      </w:r>
      <w:r w:rsidRPr="001B41E4">
        <w:rPr>
          <w:rFonts w:ascii="Century Schoolbook" w:hAnsi="Century Schoolbook"/>
          <w:sz w:val="27"/>
        </w:rPr>
        <w:t>Right to Vote on Taxes Act,</w:t>
      </w:r>
      <w:r w:rsidRPr="001B41E4">
        <w:rPr>
          <w:rFonts w:ascii="Century Schoolbook" w:hAnsi="Century Schoolbook"/>
          <w:sz w:val="27"/>
        </w:rPr>
        <w:t>’</w:t>
      </w:r>
      <w:r w:rsidRPr="001B41E4">
        <w:rPr>
          <w:rFonts w:ascii="Century Schoolbook" w:hAnsi="Century Schoolbook"/>
          <w:sz w:val="27"/>
        </w:rPr>
        <w:t xml:space="preserve"> which added articles XIII C and XIII D to the California Constitution.  [Citation.]  Article XIII C concerns voter approval for many types of local taxes other than property taxes.</w:t>
      </w:r>
      <w:r w:rsidRPr="001B41E4" w:rsidR="00021C4B">
        <w:rPr>
          <w:rFonts w:ascii="Century Schoolbook" w:hAnsi="Century Schoolbook"/>
          <w:sz w:val="27"/>
        </w:rPr>
        <w:t xml:space="preserve"> </w:t>
      </w:r>
      <w:r w:rsidRPr="001B41E4">
        <w:rPr>
          <w:rFonts w:ascii="Century Schoolbook" w:hAnsi="Century Schoolbook"/>
          <w:sz w:val="27"/>
        </w:rPr>
        <w:t xml:space="preserve"> Article XIII D addresses property-based taxes and fees.  [¶]  Article XIII D allows only four types of local property taxes: (1) an ad valorem tax, (2) a special tax, (3) an assessment, and (4) a property-related fee. </w:t>
      </w:r>
      <w:r w:rsidRPr="001B41E4" w:rsidR="00195319">
        <w:rPr>
          <w:rFonts w:ascii="Century Schoolbook" w:hAnsi="Century Schoolbook"/>
          <w:sz w:val="27"/>
        </w:rPr>
        <w:t xml:space="preserve"> </w:t>
      </w:r>
      <w:r w:rsidRPr="001B41E4">
        <w:rPr>
          <w:rFonts w:ascii="Century Schoolbook" w:hAnsi="Century Schoolbook"/>
          <w:sz w:val="27"/>
        </w:rPr>
        <w:t>(Art. XIII D, § 3, subd. (a).)  Proposition 218 supplements Proposition 13</w:t>
      </w:r>
      <w:r w:rsidRPr="001B41E4">
        <w:rPr>
          <w:rFonts w:ascii="Century Schoolbook" w:hAnsi="Century Schoolbook"/>
          <w:sz w:val="27"/>
        </w:rPr>
        <w:t>’</w:t>
      </w:r>
      <w:r w:rsidRPr="001B41E4">
        <w:rPr>
          <w:rFonts w:ascii="Century Schoolbook" w:hAnsi="Century Schoolbook"/>
          <w:sz w:val="27"/>
        </w:rPr>
        <w:t>s limitations on ad valorem and special taxes by placing similar restrictions on assessments and property-related fees.”  (</w:t>
      </w:r>
      <w:r w:rsidRPr="001B41E4">
        <w:rPr>
          <w:rFonts w:ascii="Century Schoolbook" w:hAnsi="Century Schoolbook"/>
          <w:i/>
          <w:iCs/>
          <w:sz w:val="27"/>
        </w:rPr>
        <w:t>Plantier v. Ramona Municipal Water Dist.</w:t>
      </w:r>
      <w:r w:rsidRPr="001B41E4">
        <w:rPr>
          <w:rFonts w:ascii="Century Schoolbook" w:hAnsi="Century Schoolbook"/>
          <w:sz w:val="27"/>
        </w:rPr>
        <w:t xml:space="preserve"> (2019) 7 Cal.5th 372, 380</w:t>
      </w:r>
      <w:r w:rsidRPr="001B41E4" w:rsidR="00B02BD0">
        <w:rPr>
          <w:rFonts w:ascii="Century Schoolbook" w:hAnsi="Century Schoolbook"/>
          <w:sz w:val="27"/>
        </w:rPr>
        <w:t>–</w:t>
      </w:r>
      <w:r w:rsidRPr="001B41E4">
        <w:rPr>
          <w:rFonts w:ascii="Century Schoolbook" w:hAnsi="Century Schoolbook"/>
          <w:sz w:val="27"/>
        </w:rPr>
        <w:t>381</w:t>
      </w:r>
      <w:r w:rsidRPr="001B41E4" w:rsidR="000912B9">
        <w:rPr>
          <w:rFonts w:ascii="Century Schoolbook" w:hAnsi="Century Schoolbook"/>
          <w:sz w:val="27"/>
        </w:rPr>
        <w:t>, f</w:t>
      </w:r>
      <w:r w:rsidR="00BC55F1">
        <w:rPr>
          <w:rFonts w:ascii="Century Schoolbook" w:hAnsi="Century Schoolbook"/>
          <w:sz w:val="27"/>
        </w:rPr>
        <w:t>n.</w:t>
      </w:r>
      <w:r w:rsidRPr="001B41E4" w:rsidR="000912B9">
        <w:rPr>
          <w:rFonts w:ascii="Century Schoolbook" w:hAnsi="Century Schoolbook"/>
          <w:sz w:val="27"/>
        </w:rPr>
        <w:t xml:space="preserve"> </w:t>
      </w:r>
      <w:r w:rsidR="00BC55F1">
        <w:rPr>
          <w:rFonts w:ascii="Century Schoolbook" w:hAnsi="Century Schoolbook"/>
          <w:sz w:val="27"/>
        </w:rPr>
        <w:t>o</w:t>
      </w:r>
      <w:r w:rsidRPr="001B41E4" w:rsidR="000912B9">
        <w:rPr>
          <w:rFonts w:ascii="Century Schoolbook" w:hAnsi="Century Schoolbook"/>
          <w:sz w:val="27"/>
        </w:rPr>
        <w:t>mitted</w:t>
      </w:r>
      <w:r w:rsidR="00BC55F1">
        <w:rPr>
          <w:rFonts w:ascii="Century Schoolbook" w:hAnsi="Century Schoolbook"/>
          <w:sz w:val="27"/>
        </w:rPr>
        <w:t xml:space="preserve"> </w:t>
      </w:r>
      <w:r w:rsidRPr="001B41E4" w:rsidR="00BC55F1">
        <w:rPr>
          <w:rFonts w:ascii="Century Schoolbook" w:hAnsi="Century Schoolbook"/>
          <w:sz w:val="27"/>
        </w:rPr>
        <w:t>(</w:t>
      </w:r>
      <w:r w:rsidRPr="001B41E4" w:rsidR="00BC55F1">
        <w:rPr>
          <w:rFonts w:ascii="Century Schoolbook" w:hAnsi="Century Schoolbook"/>
          <w:i/>
          <w:iCs/>
          <w:sz w:val="27"/>
        </w:rPr>
        <w:t>Plantier</w:t>
      </w:r>
      <w:r w:rsidRPr="001B41E4" w:rsidR="00BC55F1">
        <w:rPr>
          <w:rFonts w:ascii="Century Schoolbook" w:hAnsi="Century Schoolbook"/>
          <w:sz w:val="27"/>
        </w:rPr>
        <w:t>)</w:t>
      </w:r>
      <w:r w:rsidRPr="001B41E4">
        <w:rPr>
          <w:rFonts w:ascii="Century Schoolbook" w:hAnsi="Century Schoolbook"/>
          <w:sz w:val="27"/>
        </w:rPr>
        <w:t xml:space="preserve">.)  </w:t>
      </w:r>
    </w:p>
    <w:p w:rsidR="000B4588" w:rsidRPr="001B41E4" w:rsidP="0023145B" w14:paraId="6E83FB20" w14:textId="50ECEDDE">
      <w:pPr>
        <w:pStyle w:val="xmsonormal"/>
        <w:shd w:val="clear" w:color="auto" w:fill="FFFFFF"/>
        <w:spacing w:before="0" w:beforeAutospacing="0" w:afterAutospacing="0" w:line="400" w:lineRule="exact"/>
        <w:ind w:firstLine="720"/>
        <w:rPr>
          <w:rFonts w:ascii="Century Schoolbook" w:hAnsi="Century Schoolbook"/>
          <w:sz w:val="27"/>
          <w:szCs w:val="26"/>
          <w:shd w:val="clear" w:color="auto" w:fill="FFFFFF"/>
        </w:rPr>
      </w:pPr>
      <w:r w:rsidRPr="001B41E4">
        <w:rPr>
          <w:rFonts w:ascii="Century Schoolbook" w:hAnsi="Century Schoolbook"/>
          <w:sz w:val="27"/>
        </w:rPr>
        <w:t>Section 4 of Proposition 218</w:t>
      </w:r>
      <w:r w:rsidRPr="001B41E4" w:rsidR="00195319">
        <w:rPr>
          <w:rFonts w:ascii="Century Schoolbook" w:hAnsi="Century Schoolbook"/>
          <w:sz w:val="27"/>
        </w:rPr>
        <w:t xml:space="preserve"> (art. XIII D, § 4)</w:t>
      </w:r>
      <w:r w:rsidRPr="001B41E4">
        <w:rPr>
          <w:rFonts w:ascii="Century Schoolbook" w:hAnsi="Century Schoolbook"/>
          <w:sz w:val="27"/>
        </w:rPr>
        <w:t xml:space="preserve"> is specifically concerned with assessments.  </w:t>
      </w:r>
      <w:r w:rsidRPr="001B41E4" w:rsidR="0084492F">
        <w:rPr>
          <w:rFonts w:ascii="Century Schoolbook" w:hAnsi="Century Schoolbook"/>
          <w:sz w:val="27"/>
        </w:rPr>
        <w:t xml:space="preserve">Regarding </w:t>
      </w:r>
      <w:r w:rsidRPr="001B41E4">
        <w:rPr>
          <w:rFonts w:ascii="Century Schoolbook" w:hAnsi="Century Schoolbook"/>
          <w:sz w:val="27"/>
        </w:rPr>
        <w:t>these levies</w:t>
      </w:r>
      <w:r w:rsidRPr="001B41E4" w:rsidR="0084492F">
        <w:rPr>
          <w:rFonts w:ascii="Century Schoolbook" w:hAnsi="Century Schoolbook"/>
          <w:sz w:val="27"/>
        </w:rPr>
        <w:t xml:space="preserve">, Proposition 218 </w:t>
      </w:r>
      <w:r w:rsidRPr="001B41E4" w:rsidR="0084492F">
        <w:rPr>
          <w:rFonts w:ascii="Century Schoolbook" w:hAnsi="Century Schoolbook"/>
          <w:sz w:val="27"/>
          <w:szCs w:val="26"/>
          <w:shd w:val="clear" w:color="auto" w:fill="FFFFFF"/>
        </w:rPr>
        <w:t xml:space="preserve">“was designed to: </w:t>
      </w:r>
      <w:r w:rsidR="007617A6">
        <w:rPr>
          <w:rFonts w:ascii="Century Schoolbook" w:hAnsi="Century Schoolbook"/>
          <w:sz w:val="27"/>
          <w:szCs w:val="26"/>
          <w:shd w:val="clear" w:color="auto" w:fill="FFFFFF"/>
        </w:rPr>
        <w:t>constrain</w:t>
      </w:r>
      <w:r w:rsidRPr="001B41E4" w:rsidR="0084492F">
        <w:rPr>
          <w:rFonts w:ascii="Century Schoolbook" w:hAnsi="Century Schoolbook"/>
          <w:sz w:val="27"/>
          <w:szCs w:val="26"/>
          <w:shd w:val="clear" w:color="auto" w:fill="FFFFFF"/>
        </w:rPr>
        <w:t xml:space="preserve"> local governments’ ability to impose assessments; place extensive requirements on local governments charging assessments; shift the burden of demonstrating assessments’ legality to local government; make it easier for taxpayers to win lawsuits; and limit the methods by which local governments exact revenue from taxpayers without their consent.”  </w:t>
      </w:r>
      <w:r w:rsidRPr="001B41E4" w:rsidR="0084492F">
        <w:rPr>
          <w:rFonts w:ascii="Century Schoolbook" w:hAnsi="Century Schoolbook"/>
          <w:sz w:val="27"/>
        </w:rPr>
        <w:t>(</w:t>
      </w:r>
      <w:r w:rsidRPr="001B41E4" w:rsidR="0084492F">
        <w:rPr>
          <w:rFonts w:ascii="Century Schoolbook" w:hAnsi="Century Schoolbook"/>
          <w:i/>
          <w:iCs/>
          <w:sz w:val="27"/>
          <w:szCs w:val="26"/>
          <w:shd w:val="clear" w:color="auto" w:fill="FFFFFF"/>
        </w:rPr>
        <w:t>Silicon Valley Taxpayers’ Assn.</w:t>
      </w:r>
      <w:r w:rsidRPr="001B41E4" w:rsidR="000912B9">
        <w:rPr>
          <w:rFonts w:ascii="Century Schoolbook" w:hAnsi="Century Schoolbook"/>
          <w:i/>
          <w:iCs/>
          <w:sz w:val="27"/>
          <w:szCs w:val="26"/>
          <w:shd w:val="clear" w:color="auto" w:fill="FFFFFF"/>
        </w:rPr>
        <w:t>, Inc.</w:t>
      </w:r>
      <w:r w:rsidRPr="001B41E4" w:rsidR="0084492F">
        <w:rPr>
          <w:rFonts w:ascii="Century Schoolbook" w:hAnsi="Century Schoolbook"/>
          <w:i/>
          <w:iCs/>
          <w:sz w:val="27"/>
          <w:szCs w:val="26"/>
          <w:shd w:val="clear" w:color="auto" w:fill="FFFFFF"/>
        </w:rPr>
        <w:t xml:space="preserve"> v. Santa Clara County Open Space Authority</w:t>
      </w:r>
      <w:r w:rsidRPr="001B41E4" w:rsidR="0084492F">
        <w:rPr>
          <w:rFonts w:ascii="Century Schoolbook" w:hAnsi="Century Schoolbook"/>
          <w:sz w:val="27"/>
          <w:szCs w:val="26"/>
          <w:shd w:val="clear" w:color="auto" w:fill="FFFFFF"/>
        </w:rPr>
        <w:t xml:space="preserve"> (2008) 44 Cal.4th 431, 448 (</w:t>
      </w:r>
      <w:r w:rsidRPr="001B41E4" w:rsidR="0084492F">
        <w:rPr>
          <w:rFonts w:ascii="Century Schoolbook" w:hAnsi="Century Schoolbook"/>
          <w:i/>
          <w:iCs/>
          <w:sz w:val="27"/>
          <w:szCs w:val="26"/>
          <w:shd w:val="clear" w:color="auto" w:fill="FFFFFF"/>
        </w:rPr>
        <w:t>Silicon Valley Taxpayers’ Assn.</w:t>
      </w:r>
      <w:r w:rsidRPr="001B41E4" w:rsidR="0084492F">
        <w:rPr>
          <w:rFonts w:ascii="Century Schoolbook" w:hAnsi="Century Schoolbook"/>
          <w:sz w:val="27"/>
          <w:szCs w:val="26"/>
          <w:shd w:val="clear" w:color="auto" w:fill="FFFFFF"/>
        </w:rPr>
        <w:t xml:space="preserve">).)  </w:t>
      </w:r>
    </w:p>
    <w:p w:rsidR="002338AC" w:rsidRPr="001B41E4" w:rsidP="0023145B" w14:paraId="40C3A630" w14:textId="2578A2F1">
      <w:pPr>
        <w:pStyle w:val="xmsonormal"/>
        <w:shd w:val="clear" w:color="auto" w:fill="FFFFFF"/>
        <w:spacing w:before="0" w:beforeAutospacing="0" w:afterAutospacing="0" w:line="400" w:lineRule="exact"/>
        <w:ind w:firstLine="720"/>
        <w:rPr>
          <w:rFonts w:ascii="Century Schoolbook" w:hAnsi="Century Schoolbook"/>
          <w:sz w:val="27"/>
          <w:szCs w:val="26"/>
          <w:shd w:val="clear" w:color="auto" w:fill="FFFFFF"/>
        </w:rPr>
      </w:pPr>
      <w:r w:rsidRPr="001B41E4">
        <w:rPr>
          <w:rFonts w:ascii="Century Schoolbook" w:hAnsi="Century Schoolbook"/>
          <w:sz w:val="27"/>
        </w:rPr>
        <w:t xml:space="preserve">Proposition 218 </w:t>
      </w:r>
      <w:r w:rsidRPr="001B41E4" w:rsidR="00AE065D">
        <w:rPr>
          <w:rFonts w:ascii="Century Schoolbook" w:hAnsi="Century Schoolbook"/>
          <w:sz w:val="27"/>
        </w:rPr>
        <w:t xml:space="preserve">has both substantive and procedural </w:t>
      </w:r>
      <w:r w:rsidRPr="001B41E4" w:rsidR="004F66CF">
        <w:rPr>
          <w:rFonts w:ascii="Century Schoolbook" w:hAnsi="Century Schoolbook"/>
          <w:sz w:val="27"/>
        </w:rPr>
        <w:t>ramifications</w:t>
      </w:r>
      <w:r w:rsidRPr="001B41E4" w:rsidR="000B4588">
        <w:rPr>
          <w:rFonts w:ascii="Century Schoolbook" w:hAnsi="Century Schoolbook"/>
          <w:sz w:val="27"/>
        </w:rPr>
        <w:t xml:space="preserve"> for assessments</w:t>
      </w:r>
      <w:r w:rsidRPr="001B41E4">
        <w:rPr>
          <w:rFonts w:ascii="Century Schoolbook" w:hAnsi="Century Schoolbook"/>
          <w:sz w:val="27"/>
        </w:rPr>
        <w:t>.  Substantively,</w:t>
      </w:r>
      <w:r w:rsidRPr="001B41E4" w:rsidR="007B7003">
        <w:rPr>
          <w:rFonts w:ascii="Century Schoolbook" w:hAnsi="Century Schoolbook"/>
          <w:sz w:val="27"/>
        </w:rPr>
        <w:t xml:space="preserve"> </w:t>
      </w:r>
      <w:r w:rsidRPr="001B41E4">
        <w:rPr>
          <w:rFonts w:ascii="Century Schoolbook" w:hAnsi="Century Schoolbook"/>
          <w:sz w:val="27"/>
        </w:rPr>
        <w:t xml:space="preserve">it </w:t>
      </w:r>
      <w:r w:rsidRPr="001B41E4" w:rsidR="007B7003">
        <w:rPr>
          <w:rFonts w:ascii="Century Schoolbook" w:hAnsi="Century Schoolbook"/>
          <w:sz w:val="27"/>
        </w:rPr>
        <w:t>“</w:t>
      </w:r>
      <w:r w:rsidRPr="001B41E4" w:rsidR="007B7003">
        <w:rPr>
          <w:rFonts w:ascii="Century Schoolbook" w:hAnsi="Century Schoolbook"/>
          <w:sz w:val="27"/>
          <w:szCs w:val="26"/>
          <w:shd w:val="clear" w:color="auto" w:fill="FFFFFF"/>
        </w:rPr>
        <w:t>restricts government</w:t>
      </w:r>
      <w:r w:rsidRPr="001B41E4" w:rsidR="000B4588">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s ability to impose assessments in several important ways.  First, it tightens the definition of the two key findings necessary to support an assessment: special benefit and proportionality.  An assessment can be imposed</w:t>
      </w:r>
      <w:r w:rsidRPr="001B41E4" w:rsidR="004D008E">
        <w:rPr>
          <w:rFonts w:ascii="Century Schoolbook" w:hAnsi="Century Schoolbook"/>
          <w:sz w:val="27"/>
          <w:szCs w:val="26"/>
          <w:shd w:val="clear" w:color="auto" w:fill="FFFFFF"/>
        </w:rPr>
        <w:t xml:space="preserve"> </w:t>
      </w:r>
      <w:r w:rsidRPr="001B41E4" w:rsidR="007B7003">
        <w:rPr>
          <w:rStyle w:val="Emphasis"/>
          <w:rFonts w:ascii="Century Schoolbook" w:hAnsi="Century Schoolbook"/>
          <w:sz w:val="27"/>
          <w:szCs w:val="26"/>
          <w:bdr w:val="none" w:sz="0" w:space="0" w:color="auto" w:frame="1"/>
          <w:shd w:val="clear" w:color="auto" w:fill="FFFFFF"/>
        </w:rPr>
        <w:t>only</w:t>
      </w:r>
      <w:r w:rsidRPr="001B41E4" w:rsidR="004D008E">
        <w:rPr>
          <w:rStyle w:val="Emphasis"/>
          <w:rFonts w:ascii="Century Schoolbook" w:hAnsi="Century Schoolbook"/>
          <w:sz w:val="27"/>
          <w:szCs w:val="26"/>
          <w:bdr w:val="none" w:sz="0" w:space="0" w:color="auto" w:frame="1"/>
          <w:shd w:val="clear" w:color="auto" w:fill="FFFFFF"/>
        </w:rPr>
        <w:t xml:space="preserve"> </w:t>
      </w:r>
      <w:r w:rsidRPr="001B41E4" w:rsidR="007B7003">
        <w:rPr>
          <w:rFonts w:ascii="Century Schoolbook" w:hAnsi="Century Schoolbook"/>
          <w:sz w:val="27"/>
          <w:szCs w:val="26"/>
          <w:shd w:val="clear" w:color="auto" w:fill="FFFFFF"/>
        </w:rPr>
        <w:t xml:space="preserve">for a </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special benefit</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 xml:space="preserve"> conferred on a particular property.  (</w:t>
      </w:r>
      <w:r w:rsidRPr="001B41E4" w:rsidR="0018159F">
        <w:rPr>
          <w:rFonts w:ascii="Century Schoolbook" w:hAnsi="Century Schoolbook"/>
          <w:sz w:val="27"/>
          <w:szCs w:val="26"/>
          <w:shd w:val="clear" w:color="auto" w:fill="FFFFFF"/>
        </w:rPr>
        <w:t>A</w:t>
      </w:r>
      <w:r w:rsidRPr="001B41E4" w:rsidR="007B7003">
        <w:rPr>
          <w:rFonts w:ascii="Century Schoolbook" w:hAnsi="Century Schoolbook"/>
          <w:sz w:val="27"/>
          <w:szCs w:val="26"/>
          <w:shd w:val="clear" w:color="auto" w:fill="FFFFFF"/>
        </w:rPr>
        <w:t>rt. XIII</w:t>
      </w:r>
      <w:r w:rsidRPr="001B41E4" w:rsidR="00195319">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D, §§</w:t>
      </w:r>
      <w:r w:rsidRPr="001B41E4" w:rsidR="003B166A">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 xml:space="preserve">2, subd. (b), 4, subd. (a).)  A special benefit is </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a particular and distinct benefit over and above general benefits conferred on real property located in the district or to the public at large.</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 xml:space="preserve">  (</w:t>
      </w:r>
      <w:r w:rsidRPr="001B41E4" w:rsidR="0018159F">
        <w:rPr>
          <w:rFonts w:ascii="Century Schoolbook" w:hAnsi="Century Schoolbook"/>
          <w:sz w:val="27"/>
        </w:rPr>
        <w:t>Art. XIII D</w:t>
      </w:r>
      <w:r w:rsidRPr="001B41E4" w:rsidR="007B7003">
        <w:rPr>
          <w:rFonts w:ascii="Century Schoolbook" w:hAnsi="Century Schoolbook"/>
          <w:sz w:val="27"/>
          <w:szCs w:val="26"/>
          <w:shd w:val="clear" w:color="auto" w:fill="FFFFFF"/>
        </w:rPr>
        <w:t>, §</w:t>
      </w:r>
      <w:r w:rsidRPr="001B41E4" w:rsidR="003B166A">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2, subd. (i).)</w:t>
      </w:r>
      <w:r w:rsidRPr="001B41E4" w:rsidR="0084492F">
        <w:rPr>
          <w:rFonts w:ascii="Century Schoolbook" w:hAnsi="Century Schoolbook"/>
          <w:sz w:val="27"/>
          <w:szCs w:val="26"/>
          <w:shd w:val="clear" w:color="auto" w:fill="FFFFFF"/>
        </w:rPr>
        <w:t xml:space="preserve"> </w:t>
      </w:r>
      <w:r w:rsidRPr="001B41E4" w:rsidR="007B7003">
        <w:rPr>
          <w:rFonts w:ascii="Century Schoolbook" w:hAnsi="Century Schoolbook"/>
          <w:sz w:val="27"/>
          <w:szCs w:val="26"/>
          <w:shd w:val="clear" w:color="auto" w:fill="FFFFFF"/>
        </w:rPr>
        <w:t xml:space="preserve"> The definition specifically provides that </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 xml:space="preserve">[g]eneral enhancement of property value does not constitute </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special benefit.</w:t>
      </w:r>
      <w:r w:rsidRPr="001B41E4" w:rsidR="00607E79">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  (</w:t>
      </w:r>
      <w:r w:rsidRPr="001B41E4" w:rsidR="007B7003">
        <w:rPr>
          <w:rStyle w:val="Emphasis"/>
          <w:rFonts w:ascii="Century Schoolbook" w:hAnsi="Century Schoolbook"/>
          <w:sz w:val="27"/>
          <w:szCs w:val="26"/>
          <w:bdr w:val="none" w:sz="0" w:space="0" w:color="auto" w:frame="1"/>
          <w:shd w:val="clear" w:color="auto" w:fill="FFFFFF"/>
        </w:rPr>
        <w:t>Ibid.</w:t>
      </w:r>
      <w:r w:rsidRPr="001B41E4" w:rsidR="007B7003">
        <w:rPr>
          <w:rFonts w:ascii="Century Schoolbook" w:hAnsi="Century Schoolbook"/>
          <w:sz w:val="27"/>
          <w:szCs w:val="26"/>
          <w:shd w:val="clear" w:color="auto" w:fill="FFFFFF"/>
        </w:rPr>
        <w:t xml:space="preserve">)  Further, an assessment on any given parcel must be in proportion to the special benefit conferred on that parcel: </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No assessment shall be imposed on any parcel which exceeds the reasonable cost of the proportional special benefit conferred on that parcel.</w:t>
      </w:r>
      <w:r w:rsidRPr="001B41E4" w:rsidR="0084492F">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 xml:space="preserve">  (</w:t>
      </w:r>
      <w:r w:rsidRPr="001B41E4" w:rsidR="0018159F">
        <w:rPr>
          <w:rFonts w:ascii="Century Schoolbook" w:hAnsi="Century Schoolbook"/>
          <w:sz w:val="27"/>
        </w:rPr>
        <w:t>Art. XIII D</w:t>
      </w:r>
      <w:r w:rsidRPr="001B41E4" w:rsidR="007B7003">
        <w:rPr>
          <w:rFonts w:ascii="Century Schoolbook" w:hAnsi="Century Schoolbook"/>
          <w:sz w:val="27"/>
          <w:szCs w:val="26"/>
          <w:shd w:val="clear" w:color="auto" w:fill="FFFFFF"/>
        </w:rPr>
        <w:t>, §</w:t>
      </w:r>
      <w:r w:rsidRPr="001B41E4" w:rsidR="003B166A">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4, subd.</w:t>
      </w:r>
      <w:r w:rsidRPr="001B41E4" w:rsidR="007C50E5">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(a).)</w:t>
      </w:r>
      <w:r w:rsidRPr="001B41E4" w:rsidR="0084492F">
        <w:rPr>
          <w:rFonts w:ascii="Century Schoolbook" w:hAnsi="Century Schoolbook"/>
          <w:sz w:val="27"/>
          <w:szCs w:val="26"/>
          <w:shd w:val="clear" w:color="auto" w:fill="FFFFFF"/>
        </w:rPr>
        <w:t> </w:t>
      </w:r>
      <w:r w:rsidR="00305202">
        <w:rPr>
          <w:rFonts w:ascii="Century Schoolbook" w:hAnsi="Century Schoolbook"/>
          <w:sz w:val="27"/>
          <w:szCs w:val="26"/>
          <w:shd w:val="clear" w:color="auto" w:fill="FFFFFF"/>
        </w:rPr>
        <w:t> </w:t>
      </w:r>
      <w:r w:rsidRPr="001B41E4" w:rsidR="0084492F">
        <w:rPr>
          <w:rFonts w:ascii="Century Schoolbook" w:hAnsi="Century Schoolbook"/>
          <w:sz w:val="27"/>
          <w:szCs w:val="26"/>
          <w:shd w:val="clear" w:color="auto" w:fill="FFFFFF"/>
        </w:rPr>
        <w:t>. . .</w:t>
      </w:r>
      <w:r w:rsidRPr="001B41E4" w:rsidR="00151A53">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 xml:space="preserve"> Because only special benefits are assessable, and public improvements often provide both general benefits to the community and special benefits to a particular property, the assessing agency must first </w:t>
      </w:r>
      <w:r w:rsidRPr="001B41E4" w:rsidR="000912B9">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separate the general benefits from the special benefits conferred on a parcel</w:t>
      </w:r>
      <w:r w:rsidRPr="001B41E4" w:rsidR="000912B9">
        <w:rPr>
          <w:rFonts w:ascii="Century Schoolbook" w:hAnsi="Century Schoolbook"/>
          <w:sz w:val="27"/>
          <w:szCs w:val="26"/>
          <w:shd w:val="clear" w:color="auto" w:fill="FFFFFF"/>
        </w:rPr>
        <w:t xml:space="preserve">’ </w:t>
      </w:r>
      <w:r w:rsidRPr="001B41E4" w:rsidR="007B7003">
        <w:rPr>
          <w:rFonts w:ascii="Century Schoolbook" w:hAnsi="Century Schoolbook"/>
          <w:sz w:val="27"/>
          <w:szCs w:val="26"/>
          <w:shd w:val="clear" w:color="auto" w:fill="FFFFFF"/>
        </w:rPr>
        <w:t>and impose the assessment only for the special benefits.  (</w:t>
      </w:r>
      <w:r w:rsidRPr="001B41E4" w:rsidR="00E371B2">
        <w:rPr>
          <w:rFonts w:ascii="Century Schoolbook" w:hAnsi="Century Schoolbook"/>
          <w:sz w:val="27"/>
          <w:szCs w:val="26"/>
          <w:shd w:val="clear" w:color="auto" w:fill="FFFFFF"/>
        </w:rPr>
        <w:t>[</w:t>
      </w:r>
      <w:r w:rsidRPr="001B41E4" w:rsidR="00E371B2">
        <w:rPr>
          <w:rFonts w:ascii="Century Schoolbook" w:hAnsi="Century Schoolbook"/>
          <w:i/>
          <w:iCs/>
          <w:sz w:val="27"/>
          <w:szCs w:val="26"/>
          <w:shd w:val="clear" w:color="auto" w:fill="FFFFFF"/>
        </w:rPr>
        <w:t>Ibid</w:t>
      </w:r>
      <w:r w:rsidRPr="001B41E4" w:rsidR="00E371B2">
        <w:rPr>
          <w:rFonts w:ascii="Century Schoolbook" w:hAnsi="Century Schoolbook"/>
          <w:sz w:val="27"/>
          <w:szCs w:val="26"/>
          <w:shd w:val="clear" w:color="auto" w:fill="FFFFFF"/>
        </w:rPr>
        <w:t>.]</w:t>
      </w:r>
      <w:r w:rsidRPr="001B41E4" w:rsidR="007B7003">
        <w:rPr>
          <w:rFonts w:ascii="Century Schoolbook" w:hAnsi="Century Schoolbook"/>
          <w:sz w:val="27"/>
          <w:szCs w:val="26"/>
          <w:shd w:val="clear" w:color="auto" w:fill="FFFFFF"/>
        </w:rPr>
        <w:t>.)”</w:t>
      </w:r>
      <w:r w:rsidRPr="001B41E4" w:rsidR="007B7003">
        <w:rPr>
          <w:rFonts w:ascii="Century Schoolbook" w:hAnsi="Century Schoolbook"/>
          <w:sz w:val="27"/>
        </w:rPr>
        <w:t xml:space="preserve">  (</w:t>
      </w:r>
      <w:r w:rsidRPr="001B41E4" w:rsidR="007B7003">
        <w:rPr>
          <w:rFonts w:ascii="Century Schoolbook" w:hAnsi="Century Schoolbook"/>
          <w:i/>
          <w:iCs/>
          <w:sz w:val="27"/>
          <w:szCs w:val="26"/>
          <w:shd w:val="clear" w:color="auto" w:fill="FFFFFF"/>
        </w:rPr>
        <w:t>Silicon Valley Taxpayers’ Assn.</w:t>
      </w:r>
      <w:r w:rsidRPr="001B41E4" w:rsidR="0084492F">
        <w:rPr>
          <w:rFonts w:ascii="Century Schoolbook" w:hAnsi="Century Schoolbook"/>
          <w:sz w:val="27"/>
          <w:szCs w:val="26"/>
          <w:shd w:val="clear" w:color="auto" w:fill="FFFFFF"/>
        </w:rPr>
        <w:t xml:space="preserve">, </w:t>
      </w:r>
      <w:r w:rsidRPr="001B41E4" w:rsidR="00195319">
        <w:rPr>
          <w:rFonts w:ascii="Century Schoolbook" w:hAnsi="Century Schoolbook"/>
          <w:i/>
          <w:iCs/>
          <w:sz w:val="27"/>
          <w:szCs w:val="26"/>
          <w:shd w:val="clear" w:color="auto" w:fill="FFFFFF"/>
        </w:rPr>
        <w:t>supra</w:t>
      </w:r>
      <w:r w:rsidRPr="001B41E4" w:rsidR="00195319">
        <w:rPr>
          <w:rFonts w:ascii="Century Schoolbook" w:hAnsi="Century Schoolbook"/>
          <w:sz w:val="27"/>
          <w:szCs w:val="26"/>
          <w:shd w:val="clear" w:color="auto" w:fill="FFFFFF"/>
        </w:rPr>
        <w:t xml:space="preserve">, </w:t>
      </w:r>
      <w:r w:rsidRPr="001B41E4" w:rsidR="007B7003">
        <w:rPr>
          <w:rFonts w:ascii="Century Schoolbook" w:hAnsi="Century Schoolbook"/>
          <w:sz w:val="27"/>
          <w:szCs w:val="26"/>
          <w:shd w:val="clear" w:color="auto" w:fill="FFFFFF"/>
        </w:rPr>
        <w:t xml:space="preserve">44 Cal.4th </w:t>
      </w:r>
      <w:r w:rsidRPr="001B41E4" w:rsidR="0084492F">
        <w:rPr>
          <w:rFonts w:ascii="Century Schoolbook" w:hAnsi="Century Schoolbook"/>
          <w:sz w:val="27"/>
          <w:szCs w:val="26"/>
          <w:shd w:val="clear" w:color="auto" w:fill="FFFFFF"/>
        </w:rPr>
        <w:t>at p.</w:t>
      </w:r>
      <w:r w:rsidRPr="001B41E4" w:rsidR="00E371B2">
        <w:rPr>
          <w:rFonts w:ascii="Century Schoolbook" w:hAnsi="Century Schoolbook"/>
          <w:sz w:val="27"/>
          <w:szCs w:val="26"/>
          <w:shd w:val="clear" w:color="auto" w:fill="FFFFFF"/>
        </w:rPr>
        <w:t> </w:t>
      </w:r>
      <w:r w:rsidRPr="001B41E4" w:rsidR="007B7003">
        <w:rPr>
          <w:rFonts w:ascii="Century Schoolbook" w:hAnsi="Century Schoolbook"/>
          <w:sz w:val="27"/>
          <w:szCs w:val="26"/>
          <w:shd w:val="clear" w:color="auto" w:fill="FFFFFF"/>
        </w:rPr>
        <w:t>443.)</w:t>
      </w:r>
      <w:r>
        <w:rPr>
          <w:rStyle w:val="FootnoteReference"/>
          <w:bCs/>
          <w:szCs w:val="26"/>
          <w:shd w:val="clear" w:color="auto" w:fill="FFFFFF"/>
        </w:rPr>
        <w:footnoteReference w:id="7"/>
      </w:r>
    </w:p>
    <w:p w:rsidR="00AE065D" w:rsidRPr="001B41E4" w:rsidP="0023145B" w14:paraId="3CA01215" w14:textId="2CC70650">
      <w:pPr>
        <w:tabs>
          <w:tab w:val="left" w:pos="720"/>
        </w:tabs>
        <w:ind w:firstLine="720"/>
      </w:pPr>
      <w:r w:rsidRPr="001B41E4">
        <w:t xml:space="preserve">Procedurally, </w:t>
      </w:r>
      <w:r w:rsidRPr="001B41E4" w:rsidR="008C378A">
        <w:t>all assessments captured by Proposition 218 “shall be supported by a detailed engineer’s report prepared by a register</w:t>
      </w:r>
      <w:r w:rsidRPr="001B41E4" w:rsidR="009D2AF2">
        <w:t>ed,” state</w:t>
      </w:r>
      <w:r w:rsidRPr="001B41E4" w:rsidR="00D12D38">
        <w:t>-</w:t>
      </w:r>
      <w:r w:rsidRPr="001B41E4" w:rsidR="009D2AF2">
        <w:t>certified</w:t>
      </w:r>
      <w:r w:rsidRPr="001B41E4" w:rsidR="008C378A">
        <w:t xml:space="preserve"> professional engineer.  </w:t>
      </w:r>
      <w:r w:rsidRPr="001B41E4" w:rsidR="009D2AF2">
        <w:t xml:space="preserve">(Art. XIII D, § 4, subd. (b).)  </w:t>
      </w:r>
      <w:r w:rsidRPr="001B41E4" w:rsidR="00275CEA">
        <w:t>Also,</w:t>
      </w:r>
      <w:r w:rsidRPr="001B41E4" w:rsidR="009D2AF2">
        <w:t xml:space="preserve"> </w:t>
      </w:r>
      <w:r w:rsidRPr="001B41E4" w:rsidR="000B4588">
        <w:t>before</w:t>
      </w:r>
      <w:r w:rsidRPr="001B41E4">
        <w:t xml:space="preserve"> an assessment</w:t>
      </w:r>
      <w:r w:rsidRPr="001B41E4" w:rsidR="000B4588">
        <w:t xml:space="preserve"> is imposed</w:t>
      </w:r>
      <w:r w:rsidRPr="001B41E4" w:rsidR="00DA21BD">
        <w:t>,</w:t>
      </w:r>
      <w:r w:rsidRPr="001B41E4">
        <w:t xml:space="preserve"> “[t]he amount of the proposed assessment for each identified parcel shall be calculated and the record owner of each parcel shall be given written notice by mail of the proposed assessment, the total amount thereof chargeable to the entire district, the amount chargeable to the owner’s particular parcel, the duration of the payments, the reason for the assessment and the basis upon which the amount of the proposed assessment was calculated, together with the date, time, and location of a public hearing on the proposed assessment.</w:t>
      </w:r>
      <w:r w:rsidRPr="001B41E4" w:rsidR="00507304">
        <w:t>”  (</w:t>
      </w:r>
      <w:r w:rsidRPr="001B41E4" w:rsidR="009D2AF2">
        <w:rPr>
          <w:i/>
          <w:iCs/>
        </w:rPr>
        <w:t>Id</w:t>
      </w:r>
      <w:r w:rsidRPr="001B41E4" w:rsidR="009D2AF2">
        <w:t>.</w:t>
      </w:r>
      <w:r w:rsidRPr="001B41E4" w:rsidR="00507304">
        <w:t>, subd. (c).)</w:t>
      </w:r>
      <w:r w:rsidRPr="001B41E4" w:rsidR="00D34E05">
        <w:t xml:space="preserve"> </w:t>
      </w:r>
      <w:r w:rsidRPr="001B41E4" w:rsidR="00507304">
        <w:t xml:space="preserve"> This hearing is to occur “not less than 45 days after mailing the notice of the proposed assessment to record owners of each identified parcel.”  (</w:t>
      </w:r>
      <w:r w:rsidRPr="001B41E4" w:rsidR="00507304">
        <w:rPr>
          <w:i/>
          <w:iCs/>
        </w:rPr>
        <w:t>Id</w:t>
      </w:r>
      <w:r w:rsidRPr="001B41E4" w:rsidR="00507304">
        <w:t>., subd. (e).)</w:t>
      </w:r>
      <w:r w:rsidRPr="001B41E4">
        <w:t xml:space="preserve">  </w:t>
      </w:r>
      <w:r w:rsidRPr="001B41E4" w:rsidR="00507304">
        <w:t>“</w:t>
      </w:r>
      <w:r w:rsidRPr="001B41E4">
        <w:t>Each notice shall also include, in a conspicuous place thereon, a summary of the procedures applicable to the completion, return, and tabulation of</w:t>
      </w:r>
      <w:r w:rsidRPr="001B41E4" w:rsidR="00507304">
        <w:t>” a ballot that is to be provided to the parcel owner, on which “the owner may indicate his or her name, reasonable identification of the parcel, and his or her support or opposition to the proposed assessment.”  (</w:t>
      </w:r>
      <w:r w:rsidRPr="001B41E4" w:rsidR="00507304">
        <w:rPr>
          <w:i/>
          <w:iCs/>
        </w:rPr>
        <w:t>Id</w:t>
      </w:r>
      <w:r w:rsidRPr="001B41E4" w:rsidR="00507304">
        <w:t xml:space="preserve">., subds. (c), (d).)  </w:t>
      </w:r>
      <w:r w:rsidR="007617A6">
        <w:t>A</w:t>
      </w:r>
      <w:r w:rsidRPr="001B41E4" w:rsidR="00AB5CDA">
        <w:t>t the public hearing on an assessment,</w:t>
      </w:r>
      <w:r w:rsidRPr="001B41E4">
        <w:t xml:space="preserve"> </w:t>
      </w:r>
      <w:r w:rsidRPr="001B41E4" w:rsidR="00AB5CDA">
        <w:t>“</w:t>
      </w:r>
      <w:r w:rsidRPr="001B41E4">
        <w:t>the agency shall consider all protests against the proposed assessment and tabulate the ballots.”  (</w:t>
      </w:r>
      <w:r w:rsidRPr="001B41E4" w:rsidR="008C378A">
        <w:rPr>
          <w:i/>
          <w:iCs/>
        </w:rPr>
        <w:t>Id</w:t>
      </w:r>
      <w:r w:rsidRPr="001B41E4" w:rsidR="008C378A">
        <w:t>.</w:t>
      </w:r>
      <w:r w:rsidRPr="001B41E4">
        <w:t>, subd. (e).)  An assessment shall not be imposed by an agency if there is a majority protest, which “exists if, upon the conclusion of the hearing, ballots submitted in opposition to the assessment exceed the ballots submitted in favor of the assessment.</w:t>
      </w:r>
      <w:r w:rsidRPr="001B41E4" w:rsidR="00E371B2">
        <w:t>”  (</w:t>
      </w:r>
      <w:r w:rsidRPr="001B41E4" w:rsidR="00E371B2">
        <w:rPr>
          <w:i/>
          <w:iCs/>
        </w:rPr>
        <w:t>Ibid</w:t>
      </w:r>
      <w:r w:rsidRPr="001B41E4" w:rsidR="00E371B2">
        <w:t>.)</w:t>
      </w:r>
      <w:r w:rsidRPr="001B41E4">
        <w:t xml:space="preserve"> </w:t>
      </w:r>
      <w:r w:rsidRPr="001B41E4" w:rsidR="00AB5CDA">
        <w:t xml:space="preserve"> </w:t>
      </w:r>
      <w:r w:rsidRPr="001B41E4" w:rsidR="00E371B2">
        <w:t>“</w:t>
      </w:r>
      <w:r w:rsidRPr="001B41E4">
        <w:t>In tabulating the ballots, the ballots shall be weighted according to the proportional financial obligation of the affected property.”  (</w:t>
      </w:r>
      <w:r w:rsidRPr="001B41E4">
        <w:rPr>
          <w:i/>
          <w:iCs/>
        </w:rPr>
        <w:t>Ibid</w:t>
      </w:r>
      <w:r w:rsidRPr="001B41E4">
        <w:t xml:space="preserve">.) </w:t>
      </w:r>
    </w:p>
    <w:p w:rsidR="00AE065D" w:rsidRPr="001B41E4" w:rsidP="0023145B" w14:paraId="2578BD4E" w14:textId="5A8D4245">
      <w:pPr>
        <w:tabs>
          <w:tab w:val="left" w:pos="720"/>
        </w:tabs>
        <w:ind w:firstLine="720"/>
      </w:pPr>
      <w:r w:rsidRPr="001B41E4">
        <w:t xml:space="preserve">Proposition 218 </w:t>
      </w:r>
      <w:r w:rsidRPr="001B41E4" w:rsidR="00D12D38">
        <w:t xml:space="preserve">also </w:t>
      </w:r>
      <w:r w:rsidRPr="001B41E4">
        <w:t xml:space="preserve">includes a provision </w:t>
      </w:r>
      <w:r w:rsidRPr="001B41E4" w:rsidR="00D12D38">
        <w:t>addressing</w:t>
      </w:r>
      <w:r w:rsidRPr="001B41E4">
        <w:t xml:space="preserve"> judicial review of assessments.  </w:t>
      </w:r>
      <w:r w:rsidRPr="001B41E4">
        <w:t>“</w:t>
      </w:r>
      <w:r w:rsidRPr="001B41E4">
        <w:rPr>
          <w:szCs w:val="26"/>
          <w:shd w:val="clear" w:color="auto" w:fill="FFFFFF"/>
        </w:rPr>
        <w:t>[T]</w:t>
      </w:r>
      <w:r w:rsidRPr="001B41E4">
        <w:rPr>
          <w:szCs w:val="26"/>
          <w:shd w:val="clear" w:color="auto" w:fill="FFFFFF"/>
        </w:rPr>
        <w:t>o make it more difficult for an assessment to be validated in a court proceeding” (</w:t>
      </w:r>
      <w:r w:rsidRPr="001B41E4">
        <w:rPr>
          <w:i/>
          <w:iCs/>
          <w:szCs w:val="26"/>
          <w:shd w:val="clear" w:color="auto" w:fill="FFFFFF"/>
        </w:rPr>
        <w:t>Silicon Valley Taxpayers’ Assn.</w:t>
      </w:r>
      <w:r w:rsidRPr="001B41E4">
        <w:rPr>
          <w:szCs w:val="26"/>
          <w:shd w:val="clear" w:color="auto" w:fill="FFFFFF"/>
        </w:rPr>
        <w:t xml:space="preserve">, </w:t>
      </w:r>
      <w:r w:rsidRPr="001B41E4">
        <w:rPr>
          <w:i/>
          <w:iCs/>
          <w:szCs w:val="26"/>
          <w:shd w:val="clear" w:color="auto" w:fill="FFFFFF"/>
        </w:rPr>
        <w:t>supra</w:t>
      </w:r>
      <w:r w:rsidRPr="001B41E4">
        <w:rPr>
          <w:szCs w:val="26"/>
          <w:shd w:val="clear" w:color="auto" w:fill="FFFFFF"/>
        </w:rPr>
        <w:t xml:space="preserve">, 44 Cal.4th at p. 445), </w:t>
      </w:r>
      <w:r w:rsidRPr="001B41E4" w:rsidR="00594A59">
        <w:rPr>
          <w:szCs w:val="26"/>
          <w:shd w:val="clear" w:color="auto" w:fill="FFFFFF"/>
        </w:rPr>
        <w:t xml:space="preserve">the measure </w:t>
      </w:r>
      <w:r w:rsidRPr="001B41E4" w:rsidR="000B4588">
        <w:rPr>
          <w:szCs w:val="26"/>
          <w:shd w:val="clear" w:color="auto" w:fill="FFFFFF"/>
        </w:rPr>
        <w:t>provides</w:t>
      </w:r>
      <w:r w:rsidRPr="001B41E4">
        <w:rPr>
          <w:szCs w:val="26"/>
          <w:shd w:val="clear" w:color="auto" w:fill="FFFFFF"/>
        </w:rPr>
        <w:t xml:space="preserve"> that “[i]</w:t>
      </w:r>
      <w:r w:rsidRPr="001B41E4">
        <w:rPr>
          <w:shd w:val="clear" w:color="auto" w:fill="FFFFFF"/>
        </w:rPr>
        <w:t>n any legal action contesting the validity of any assessment, the burden shall be on the agency to demonstrate that the property or properties in question receive a special benefit over and above the benefits conferred on the public at large and that the amount of any contested assessment is proportional to, and no greater than, the benefits conferred on the property or properties in question.</w:t>
      </w:r>
      <w:r w:rsidRPr="001B41E4" w:rsidR="000B4588">
        <w:rPr>
          <w:shd w:val="clear" w:color="auto" w:fill="FFFFFF"/>
        </w:rPr>
        <w:t>”</w:t>
      </w:r>
      <w:r w:rsidRPr="001B41E4">
        <w:rPr>
          <w:shd w:val="clear" w:color="auto" w:fill="FFFFFF"/>
        </w:rPr>
        <w:t xml:space="preserve">  </w:t>
      </w:r>
      <w:r w:rsidRPr="001B41E4">
        <w:t>(</w:t>
      </w:r>
      <w:r w:rsidRPr="001B41E4" w:rsidR="005D768D">
        <w:t>A</w:t>
      </w:r>
      <w:r w:rsidRPr="001B41E4">
        <w:t>rt. XIII</w:t>
      </w:r>
      <w:r w:rsidRPr="001B41E4" w:rsidR="003B166A">
        <w:t> </w:t>
      </w:r>
      <w:r w:rsidRPr="001B41E4">
        <w:t xml:space="preserve">D, § 4, subd. (f).)  We have determined that, consistent with </w:t>
      </w:r>
      <w:r w:rsidRPr="001B41E4" w:rsidR="000B4588">
        <w:t>the proposition’s</w:t>
      </w:r>
      <w:r w:rsidRPr="001B41E4">
        <w:t xml:space="preserve"> stated intent</w:t>
      </w:r>
      <w:r w:rsidRPr="001B41E4" w:rsidR="000B4588">
        <w:t xml:space="preserve"> </w:t>
      </w:r>
      <w:r w:rsidRPr="001B41E4" w:rsidR="000B4588">
        <w:rPr>
          <w:szCs w:val="26"/>
        </w:rPr>
        <w:t>that its provisions “shall be liberally construed to effectuate its purposes of limiting local government</w:t>
      </w:r>
      <w:r w:rsidR="007617A6">
        <w:rPr>
          <w:szCs w:val="26"/>
        </w:rPr>
        <w:t xml:space="preserve"> revenue</w:t>
      </w:r>
      <w:r w:rsidRPr="001B41E4" w:rsidR="000B4588">
        <w:rPr>
          <w:szCs w:val="26"/>
        </w:rPr>
        <w:t xml:space="preserve"> and enhancing taxpayer consent” (</w:t>
      </w:r>
      <w:r w:rsidRPr="001B41E4" w:rsidR="000128D9">
        <w:rPr>
          <w:szCs w:val="26"/>
        </w:rPr>
        <w:t>Ballot Pamp.</w:t>
      </w:r>
      <w:r w:rsidRPr="001B41E4" w:rsidR="000B4588">
        <w:rPr>
          <w:szCs w:val="26"/>
        </w:rPr>
        <w:t>, Gen. Elec. (Nov. 5, 1996) text of Prop. 218, § 5, p. 109)</w:t>
      </w:r>
      <w:r w:rsidRPr="001B41E4" w:rsidR="00195319">
        <w:rPr>
          <w:szCs w:val="26"/>
        </w:rPr>
        <w:t xml:space="preserve"> and </w:t>
      </w:r>
      <w:r w:rsidRPr="001B41E4" w:rsidR="00AB5CDA">
        <w:rPr>
          <w:szCs w:val="26"/>
        </w:rPr>
        <w:t xml:space="preserve">other </w:t>
      </w:r>
      <w:r w:rsidRPr="001B41E4" w:rsidR="00195319">
        <w:rPr>
          <w:szCs w:val="26"/>
        </w:rPr>
        <w:t xml:space="preserve">indicia of the measure’s </w:t>
      </w:r>
      <w:r w:rsidRPr="001B41E4" w:rsidR="00877F2B">
        <w:rPr>
          <w:szCs w:val="26"/>
        </w:rPr>
        <w:t xml:space="preserve">purpose </w:t>
      </w:r>
      <w:r w:rsidRPr="001B41E4" w:rsidR="00195319">
        <w:rPr>
          <w:szCs w:val="26"/>
        </w:rPr>
        <w:t xml:space="preserve">found within relevant ballot materials (e.g., </w:t>
      </w:r>
      <w:r w:rsidRPr="001B41E4" w:rsidR="000128D9">
        <w:rPr>
          <w:i/>
          <w:iCs/>
          <w:szCs w:val="26"/>
        </w:rPr>
        <w:t>id</w:t>
      </w:r>
      <w:r w:rsidRPr="001B41E4" w:rsidR="000128D9">
        <w:rPr>
          <w:szCs w:val="26"/>
        </w:rPr>
        <w:t>., analysis of Prop. 218 by Legis. Analyst, p. 73 [“This measure would constrain local governments’ ability to impose fees, assessments, and taxes”]</w:t>
      </w:r>
      <w:r w:rsidRPr="001B41E4" w:rsidR="00195319">
        <w:rPr>
          <w:szCs w:val="26"/>
        </w:rPr>
        <w:t>)</w:t>
      </w:r>
      <w:r w:rsidRPr="001B41E4">
        <w:t>, “courts should exercise their independent judgment in reviewing whether assessments that local agencies impose violate article XIII</w:t>
      </w:r>
      <w:r w:rsidRPr="001B41E4" w:rsidR="004F66CF">
        <w:t> </w:t>
      </w:r>
      <w:r w:rsidRPr="001B41E4">
        <w:t>D” (</w:t>
      </w:r>
      <w:r w:rsidRPr="001B41E4">
        <w:rPr>
          <w:i/>
          <w:iCs/>
        </w:rPr>
        <w:t>Silicon Valley Taxpayers’ Assn.</w:t>
      </w:r>
      <w:r w:rsidRPr="001B41E4">
        <w:t>, at p. 450)</w:t>
      </w:r>
      <w:r w:rsidRPr="001B41E4" w:rsidR="00AB5CDA">
        <w:t xml:space="preserve">, </w:t>
      </w:r>
      <w:r w:rsidRPr="001B41E4" w:rsidR="008E2363">
        <w:t xml:space="preserve">instead of </w:t>
      </w:r>
      <w:r w:rsidRPr="001B41E4" w:rsidR="00AB5CDA">
        <w:t>a deferential standard of review</w:t>
      </w:r>
      <w:r w:rsidRPr="001B41E4">
        <w:t>.</w:t>
      </w:r>
    </w:p>
    <w:p w:rsidR="003B166A" w:rsidRPr="001B41E4" w:rsidP="0023145B" w14:paraId="0D0C51B6" w14:textId="6ED7A86A">
      <w:pPr>
        <w:pStyle w:val="ListParagraph"/>
        <w:numPr>
          <w:ilvl w:val="0"/>
          <w:numId w:val="7"/>
        </w:numPr>
        <w:tabs>
          <w:tab w:val="left" w:pos="720"/>
        </w:tabs>
        <w:ind w:firstLine="0"/>
        <w:rPr>
          <w:i/>
          <w:iCs/>
        </w:rPr>
      </w:pPr>
      <w:r w:rsidRPr="001B41E4">
        <w:rPr>
          <w:i/>
          <w:iCs/>
        </w:rPr>
        <w:t>The PBID Law and Implementation Act</w:t>
      </w:r>
    </w:p>
    <w:p w:rsidR="003B166A" w:rsidRPr="001B41E4" w:rsidP="0023145B" w14:paraId="2CA75A02" w14:textId="5FD957BA">
      <w:pPr>
        <w:tabs>
          <w:tab w:val="left" w:pos="720"/>
        </w:tabs>
        <w:ind w:firstLine="720"/>
      </w:pPr>
      <w:r w:rsidRPr="001B41E4">
        <w:t>The PBID Law provides a framework for the establishment and operation of BIDs in this state</w:t>
      </w:r>
      <w:r w:rsidRPr="001B41E4" w:rsidR="008E2363">
        <w:t xml:space="preserve">.  The statute </w:t>
      </w:r>
      <w:r w:rsidRPr="001B41E4">
        <w:t xml:space="preserve">reflects </w:t>
      </w:r>
      <w:r w:rsidRPr="001B41E4" w:rsidR="008E2363">
        <w:t xml:space="preserve">and furthers </w:t>
      </w:r>
      <w:r w:rsidRPr="001B41E4">
        <w:t>the Legislature’s view that “</w:t>
      </w:r>
      <w:r w:rsidRPr="001B41E4">
        <w:rPr>
          <w:shd w:val="clear" w:color="auto" w:fill="FFFFFF"/>
        </w:rPr>
        <w:t>[i]t is of particular local benefit to allow business districts to fund business related improvements, maintenance, and activities through the levy of assessments upon the businesses or real property that receive benefits from those improvements.”  (Sts. &amp; Hy. Code, § 36601, subd. (</w:t>
      </w:r>
      <w:r w:rsidRPr="001B41E4" w:rsidR="000912B9">
        <w:rPr>
          <w:shd w:val="clear" w:color="auto" w:fill="FFFFFF"/>
        </w:rPr>
        <w:t>c</w:t>
      </w:r>
      <w:r w:rsidRPr="001B41E4">
        <w:rPr>
          <w:shd w:val="clear" w:color="auto" w:fill="FFFFFF"/>
        </w:rPr>
        <w:t>).)  The “activities” contemplated by the PBID Law include</w:t>
      </w:r>
      <w:r w:rsidR="007617A6">
        <w:rPr>
          <w:shd w:val="clear" w:color="auto" w:fill="FFFFFF"/>
        </w:rPr>
        <w:t>, but are not limited to,</w:t>
      </w:r>
      <w:r w:rsidRPr="001B41E4">
        <w:rPr>
          <w:shd w:val="clear" w:color="auto" w:fill="FFFFFF"/>
        </w:rPr>
        <w:t xml:space="preserve"> the </w:t>
      </w:r>
      <w:r w:rsidR="007617A6">
        <w:rPr>
          <w:shd w:val="clear" w:color="auto" w:fill="FFFFFF"/>
        </w:rPr>
        <w:t>“[</w:t>
      </w:r>
      <w:r w:rsidRPr="001B41E4">
        <w:rPr>
          <w:shd w:val="clear" w:color="auto" w:fill="FFFFFF"/>
        </w:rPr>
        <w:t>p</w:t>
      </w:r>
      <w:r w:rsidR="007617A6">
        <w:rPr>
          <w:shd w:val="clear" w:color="auto" w:fill="FFFFFF"/>
        </w:rPr>
        <w:t>]</w:t>
      </w:r>
      <w:r w:rsidRPr="001B41E4">
        <w:rPr>
          <w:shd w:val="clear" w:color="auto" w:fill="FFFFFF"/>
        </w:rPr>
        <w:t>romotion of public events</w:t>
      </w:r>
      <w:r w:rsidR="007617A6">
        <w:rPr>
          <w:shd w:val="clear" w:color="auto" w:fill="FFFFFF"/>
        </w:rPr>
        <w:t>”</w:t>
      </w:r>
      <w:r w:rsidRPr="001B41E4" w:rsidR="00852879">
        <w:rPr>
          <w:shd w:val="clear" w:color="auto" w:fill="FFFFFF"/>
        </w:rPr>
        <w:t xml:space="preserve"> and </w:t>
      </w:r>
      <w:r w:rsidRPr="001B41E4">
        <w:rPr>
          <w:shd w:val="clear" w:color="auto" w:fill="FFFFFF"/>
        </w:rPr>
        <w:t xml:space="preserve">tourism within </w:t>
      </w:r>
      <w:r w:rsidRPr="001B41E4" w:rsidR="00D12D38">
        <w:rPr>
          <w:shd w:val="clear" w:color="auto" w:fill="FFFFFF"/>
        </w:rPr>
        <w:t>a</w:t>
      </w:r>
      <w:r w:rsidRPr="001B41E4">
        <w:rPr>
          <w:shd w:val="clear" w:color="auto" w:fill="FFFFFF"/>
        </w:rPr>
        <w:t xml:space="preserve"> district, </w:t>
      </w:r>
      <w:r w:rsidRPr="001B41E4" w:rsidR="000912B9">
        <w:rPr>
          <w:shd w:val="clear" w:color="auto" w:fill="FFFFFF"/>
        </w:rPr>
        <w:t>“</w:t>
      </w:r>
      <w:r w:rsidR="007617A6">
        <w:rPr>
          <w:shd w:val="clear" w:color="auto" w:fill="FFFFFF"/>
        </w:rPr>
        <w:t>[</w:t>
      </w:r>
      <w:r w:rsidRPr="001B41E4" w:rsidR="000912B9">
        <w:rPr>
          <w:shd w:val="clear" w:color="auto" w:fill="FFFFFF"/>
        </w:rPr>
        <w:t>f</w:t>
      </w:r>
      <w:r w:rsidR="007617A6">
        <w:rPr>
          <w:shd w:val="clear" w:color="auto" w:fill="FFFFFF"/>
        </w:rPr>
        <w:t>]</w:t>
      </w:r>
      <w:r w:rsidRPr="001B41E4" w:rsidR="000912B9">
        <w:rPr>
          <w:shd w:val="clear" w:color="auto" w:fill="FFFFFF"/>
        </w:rPr>
        <w:t>urnishing</w:t>
      </w:r>
      <w:r w:rsidR="00BC55F1">
        <w:rPr>
          <w:shd w:val="clear" w:color="auto" w:fill="FFFFFF"/>
        </w:rPr>
        <w:t xml:space="preserve"> of</w:t>
      </w:r>
      <w:r w:rsidRPr="001B41E4" w:rsidR="000912B9">
        <w:rPr>
          <w:shd w:val="clear" w:color="auto" w:fill="FFFFFF"/>
        </w:rPr>
        <w:t xml:space="preserve"> music in any public place,” “</w:t>
      </w:r>
      <w:r w:rsidR="007617A6">
        <w:rPr>
          <w:shd w:val="clear" w:color="auto" w:fill="FFFFFF"/>
        </w:rPr>
        <w:t>[</w:t>
      </w:r>
      <w:r w:rsidRPr="001B41E4">
        <w:rPr>
          <w:shd w:val="clear" w:color="auto" w:fill="FFFFFF"/>
        </w:rPr>
        <w:t>m</w:t>
      </w:r>
      <w:r w:rsidR="007617A6">
        <w:rPr>
          <w:shd w:val="clear" w:color="auto" w:fill="FFFFFF"/>
        </w:rPr>
        <w:t>]</w:t>
      </w:r>
      <w:r w:rsidRPr="001B41E4">
        <w:rPr>
          <w:shd w:val="clear" w:color="auto" w:fill="FFFFFF"/>
        </w:rPr>
        <w:t>arketing and economic development,</w:t>
      </w:r>
      <w:r w:rsidRPr="001B41E4" w:rsidR="000912B9">
        <w:rPr>
          <w:shd w:val="clear" w:color="auto" w:fill="FFFFFF"/>
        </w:rPr>
        <w:t>”</w:t>
      </w:r>
      <w:r w:rsidRPr="001B41E4">
        <w:rPr>
          <w:shd w:val="clear" w:color="auto" w:fill="FFFFFF"/>
        </w:rPr>
        <w:t xml:space="preserve"> and “[p]roviding security, sanitation, graffiti removal, street and sidewalk cleaning, and other municipal services supplemental to those normally provided by the municipality.”  (</w:t>
      </w:r>
      <w:r w:rsidRPr="001B41E4" w:rsidR="003131FD">
        <w:rPr>
          <w:shd w:val="clear" w:color="auto" w:fill="FFFFFF"/>
        </w:rPr>
        <w:t>Sts. &amp; Hy. Code</w:t>
      </w:r>
      <w:r w:rsidRPr="001B41E4">
        <w:rPr>
          <w:shd w:val="clear" w:color="auto" w:fill="FFFFFF"/>
        </w:rPr>
        <w:t>, § 36606</w:t>
      </w:r>
      <w:r w:rsidR="00BC55F1">
        <w:rPr>
          <w:shd w:val="clear" w:color="auto" w:fill="FFFFFF"/>
        </w:rPr>
        <w:t>, subds. (a), (b), (d), (e)</w:t>
      </w:r>
      <w:r w:rsidRPr="001B41E4">
        <w:rPr>
          <w:shd w:val="clear" w:color="auto" w:fill="FFFFFF"/>
        </w:rPr>
        <w:t>.)  The “improvements” referenced by the law include</w:t>
      </w:r>
      <w:r w:rsidR="007617A6">
        <w:rPr>
          <w:shd w:val="clear" w:color="auto" w:fill="FFFFFF"/>
        </w:rPr>
        <w:t>, but again are not limited to,</w:t>
      </w:r>
      <w:r w:rsidRPr="001B41E4">
        <w:rPr>
          <w:shd w:val="clear" w:color="auto" w:fill="FFFFFF"/>
        </w:rPr>
        <w:t xml:space="preserve"> parking facilities, benches and kiosks, </w:t>
      </w:r>
      <w:r w:rsidRPr="001B41E4" w:rsidR="000912B9">
        <w:rPr>
          <w:shd w:val="clear" w:color="auto" w:fill="FFFFFF"/>
        </w:rPr>
        <w:t xml:space="preserve">trash receptacles and public restrooms, </w:t>
      </w:r>
      <w:r w:rsidRPr="001B41E4">
        <w:rPr>
          <w:shd w:val="clear" w:color="auto" w:fill="FFFFFF"/>
        </w:rPr>
        <w:t>lighting and heating facilities, decorations, parks, fountains, and planting areas.  (</w:t>
      </w:r>
      <w:r w:rsidRPr="001B41E4" w:rsidR="003131FD">
        <w:rPr>
          <w:shd w:val="clear" w:color="auto" w:fill="FFFFFF"/>
        </w:rPr>
        <w:t>Sts. &amp; Hy. Code</w:t>
      </w:r>
      <w:r w:rsidRPr="001B41E4">
        <w:rPr>
          <w:shd w:val="clear" w:color="auto" w:fill="FFFFFF"/>
        </w:rPr>
        <w:t xml:space="preserve">, § 36610.) </w:t>
      </w:r>
    </w:p>
    <w:p w:rsidR="00D12E85" w:rsidP="0023145B" w14:paraId="485F27DE" w14:textId="77777777">
      <w:pPr>
        <w:tabs>
          <w:tab w:val="left" w:pos="720"/>
        </w:tabs>
        <w:ind w:firstLine="720"/>
        <w:rPr>
          <w:shd w:val="clear" w:color="auto" w:fill="FFFFFF"/>
        </w:rPr>
      </w:pPr>
      <w:r w:rsidRPr="001B41E4">
        <w:rPr>
          <w:shd w:val="clear" w:color="auto" w:fill="FFFFFF"/>
        </w:rPr>
        <w:t>The process</w:t>
      </w:r>
      <w:r w:rsidRPr="001B41E4" w:rsidR="00AE27A8">
        <w:rPr>
          <w:shd w:val="clear" w:color="auto" w:fill="FFFFFF"/>
        </w:rPr>
        <w:t xml:space="preserve"> set out in the PBID Law</w:t>
      </w:r>
      <w:r w:rsidRPr="001B41E4">
        <w:rPr>
          <w:shd w:val="clear" w:color="auto" w:fill="FFFFFF"/>
        </w:rPr>
        <w:t xml:space="preserve"> for creating a BID begins with </w:t>
      </w:r>
      <w:r w:rsidRPr="001B41E4" w:rsidR="003B166A">
        <w:rPr>
          <w:shd w:val="clear" w:color="auto" w:fill="FFFFFF"/>
        </w:rPr>
        <w:t xml:space="preserve">the submission of a written petition signed by property or business owners in the proposed district who </w:t>
      </w:r>
      <w:r w:rsidRPr="001B41E4" w:rsidR="00D062E1">
        <w:rPr>
          <w:shd w:val="clear" w:color="auto" w:fill="FFFFFF"/>
        </w:rPr>
        <w:t xml:space="preserve">would </w:t>
      </w:r>
      <w:r w:rsidRPr="001B41E4" w:rsidR="003B166A">
        <w:rPr>
          <w:shd w:val="clear" w:color="auto" w:fill="FFFFFF"/>
        </w:rPr>
        <w:t>pay more than 50 percent of the assessments to be levied</w:t>
      </w:r>
      <w:r w:rsidRPr="001B41E4">
        <w:rPr>
          <w:shd w:val="clear" w:color="auto" w:fill="FFFFFF"/>
        </w:rPr>
        <w:t>.  (Sts. &amp; Hy. Code, § 36621, subd. (a).)  This petition must include a summary of the proposed BID’s management district plan</w:t>
      </w:r>
      <w:r w:rsidR="00C03A7D">
        <w:rPr>
          <w:shd w:val="clear" w:color="auto" w:fill="FFFFFF"/>
        </w:rPr>
        <w:t xml:space="preserve"> </w:t>
      </w:r>
      <w:r w:rsidRPr="001B41E4" w:rsidR="000B5436">
        <w:rPr>
          <w:shd w:val="clear" w:color="auto" w:fill="FFFFFF"/>
        </w:rPr>
        <w:t xml:space="preserve">and </w:t>
      </w:r>
      <w:r w:rsidRPr="001B41E4" w:rsidR="00D12D38">
        <w:rPr>
          <w:shd w:val="clear" w:color="auto" w:fill="FFFFFF"/>
        </w:rPr>
        <w:t>an advisement explaining</w:t>
      </w:r>
      <w:r w:rsidRPr="001B41E4" w:rsidR="000B5436">
        <w:rPr>
          <w:shd w:val="clear" w:color="auto" w:fill="FFFFFF"/>
        </w:rPr>
        <w:t xml:space="preserve"> how the complete plan can be obtained</w:t>
      </w:r>
      <w:r w:rsidRPr="001B41E4" w:rsidR="003A1D77">
        <w:rPr>
          <w:shd w:val="clear" w:color="auto" w:fill="FFFFFF"/>
        </w:rPr>
        <w:t>.  (</w:t>
      </w:r>
      <w:r w:rsidRPr="001B41E4" w:rsidR="003A1D77">
        <w:rPr>
          <w:i/>
          <w:iCs/>
          <w:shd w:val="clear" w:color="auto" w:fill="FFFFFF"/>
        </w:rPr>
        <w:t>Id</w:t>
      </w:r>
      <w:r w:rsidRPr="001B41E4" w:rsidR="003A1D77">
        <w:rPr>
          <w:shd w:val="clear" w:color="auto" w:fill="FFFFFF"/>
        </w:rPr>
        <w:t xml:space="preserve">., subd. (b).)  The </w:t>
      </w:r>
      <w:r w:rsidRPr="001B41E4" w:rsidR="000B5436">
        <w:rPr>
          <w:shd w:val="clear" w:color="auto" w:fill="FFFFFF"/>
        </w:rPr>
        <w:t>full</w:t>
      </w:r>
      <w:r w:rsidRPr="001B41E4">
        <w:rPr>
          <w:shd w:val="clear" w:color="auto" w:fill="FFFFFF"/>
        </w:rPr>
        <w:t xml:space="preserve"> </w:t>
      </w:r>
      <w:r w:rsidRPr="001B41E4" w:rsidR="003A1D77">
        <w:rPr>
          <w:shd w:val="clear" w:color="auto" w:fill="FFFFFF"/>
        </w:rPr>
        <w:t>management district plan</w:t>
      </w:r>
      <w:r w:rsidRPr="001B41E4">
        <w:rPr>
          <w:shd w:val="clear" w:color="auto" w:fill="FFFFFF"/>
        </w:rPr>
        <w:t xml:space="preserve"> </w:t>
      </w:r>
      <w:r w:rsidRPr="001B41E4" w:rsidR="003A1D77">
        <w:rPr>
          <w:shd w:val="clear" w:color="auto" w:fill="FFFFFF"/>
        </w:rPr>
        <w:t>must contain information such as</w:t>
      </w:r>
      <w:r w:rsidRPr="001B41E4">
        <w:rPr>
          <w:shd w:val="clear" w:color="auto" w:fill="FFFFFF"/>
        </w:rPr>
        <w:t xml:space="preserve"> </w:t>
      </w:r>
      <w:r w:rsidR="00C03A7D">
        <w:rPr>
          <w:shd w:val="clear" w:color="auto" w:fill="FFFFFF"/>
        </w:rPr>
        <w:t xml:space="preserve">a description of </w:t>
      </w:r>
      <w:r w:rsidRPr="001B41E4">
        <w:rPr>
          <w:shd w:val="clear" w:color="auto" w:fill="FFFFFF"/>
        </w:rPr>
        <w:t xml:space="preserve">the </w:t>
      </w:r>
      <w:r w:rsidRPr="001B41E4" w:rsidR="000B5436">
        <w:rPr>
          <w:shd w:val="clear" w:color="auto" w:fill="FFFFFF"/>
        </w:rPr>
        <w:t xml:space="preserve">proposed </w:t>
      </w:r>
      <w:r w:rsidRPr="001B41E4">
        <w:rPr>
          <w:shd w:val="clear" w:color="auto" w:fill="FFFFFF"/>
        </w:rPr>
        <w:t>BID</w:t>
      </w:r>
      <w:r w:rsidRPr="001B41E4" w:rsidR="003A1D77">
        <w:rPr>
          <w:shd w:val="clear" w:color="auto" w:fill="FFFFFF"/>
        </w:rPr>
        <w:t>’s boundaries (</w:t>
      </w:r>
      <w:r w:rsidRPr="001B41E4" w:rsidR="00293717">
        <w:rPr>
          <w:shd w:val="clear" w:color="auto" w:fill="FFFFFF"/>
        </w:rPr>
        <w:t xml:space="preserve">Sts. &amp; Hy. Code, </w:t>
      </w:r>
      <w:r w:rsidRPr="001B41E4" w:rsidR="003A1D77">
        <w:rPr>
          <w:shd w:val="clear" w:color="auto" w:fill="FFFFFF"/>
        </w:rPr>
        <w:t xml:space="preserve">§ 36622, subd. (c)); the improvements, maintenance, and activities to be </w:t>
      </w:r>
      <w:r w:rsidR="00C03A7D">
        <w:rPr>
          <w:shd w:val="clear" w:color="auto" w:fill="FFFFFF"/>
        </w:rPr>
        <w:t>performed</w:t>
      </w:r>
      <w:r w:rsidRPr="001B41E4" w:rsidR="003A1D77">
        <w:rPr>
          <w:shd w:val="clear" w:color="auto" w:fill="FFFFFF"/>
        </w:rPr>
        <w:t xml:space="preserve"> </w:t>
      </w:r>
      <w:r w:rsidR="00C03A7D">
        <w:rPr>
          <w:shd w:val="clear" w:color="auto" w:fill="FFFFFF"/>
        </w:rPr>
        <w:t>through</w:t>
      </w:r>
      <w:r w:rsidRPr="001B41E4" w:rsidR="003A1D77">
        <w:rPr>
          <w:shd w:val="clear" w:color="auto" w:fill="FFFFFF"/>
        </w:rPr>
        <w:t xml:space="preserve"> the BID (</w:t>
      </w:r>
      <w:r w:rsidRPr="001B41E4" w:rsidR="003A1D77">
        <w:rPr>
          <w:i/>
          <w:iCs/>
          <w:shd w:val="clear" w:color="auto" w:fill="FFFFFF"/>
        </w:rPr>
        <w:t>id</w:t>
      </w:r>
      <w:r w:rsidRPr="001B41E4" w:rsidR="003A1D77">
        <w:rPr>
          <w:shd w:val="clear" w:color="auto" w:fill="FFFFFF"/>
        </w:rPr>
        <w:t xml:space="preserve">., subd. (d)); </w:t>
      </w:r>
      <w:r w:rsidRPr="001B41E4" w:rsidR="000912B9">
        <w:rPr>
          <w:shd w:val="clear" w:color="auto" w:fill="FFFFFF"/>
        </w:rPr>
        <w:t>the total amount proposed to be expended for these services for each year of the BID’s operations (</w:t>
      </w:r>
      <w:r w:rsidRPr="001B41E4" w:rsidR="000912B9">
        <w:rPr>
          <w:i/>
          <w:iCs/>
          <w:shd w:val="clear" w:color="auto" w:fill="FFFFFF"/>
        </w:rPr>
        <w:t>id</w:t>
      </w:r>
      <w:r w:rsidRPr="001B41E4" w:rsidR="000912B9">
        <w:rPr>
          <w:shd w:val="clear" w:color="auto" w:fill="FFFFFF"/>
        </w:rPr>
        <w:t>., subd. (e))</w:t>
      </w:r>
      <w:r w:rsidRPr="001B41E4" w:rsidR="00293717">
        <w:rPr>
          <w:shd w:val="clear" w:color="auto" w:fill="FFFFFF"/>
        </w:rPr>
        <w:t>;</w:t>
      </w:r>
      <w:r w:rsidRPr="001B41E4" w:rsidR="000912B9">
        <w:rPr>
          <w:shd w:val="clear" w:color="auto" w:fill="FFFFFF"/>
        </w:rPr>
        <w:t xml:space="preserve"> </w:t>
      </w:r>
      <w:r w:rsidRPr="001B41E4" w:rsidR="003A1D77">
        <w:rPr>
          <w:shd w:val="clear" w:color="auto" w:fill="FFFFFF"/>
        </w:rPr>
        <w:t>“[t]he proposed source or sources of financing</w:t>
      </w:r>
      <w:r w:rsidRPr="001B41E4" w:rsidR="000B5436">
        <w:rPr>
          <w:shd w:val="clear" w:color="auto" w:fill="FFFFFF"/>
        </w:rPr>
        <w:t xml:space="preserve"> [</w:t>
      </w:r>
      <w:r w:rsidRPr="001B41E4" w:rsidR="00D55E9A">
        <w:rPr>
          <w:shd w:val="clear" w:color="auto" w:fill="FFFFFF"/>
        </w:rPr>
        <w:t xml:space="preserve">of </w:t>
      </w:r>
      <w:r w:rsidRPr="001B41E4" w:rsidR="000B5436">
        <w:rPr>
          <w:shd w:val="clear" w:color="auto" w:fill="FFFFFF"/>
        </w:rPr>
        <w:t>the BID]</w:t>
      </w:r>
      <w:r w:rsidRPr="001B41E4" w:rsidR="003A1D77">
        <w:rPr>
          <w:shd w:val="clear" w:color="auto" w:fill="FFFFFF"/>
        </w:rPr>
        <w:t>, including the proposed method and basis of levying the assessment in sufficient detail to allow each property or business owner to calculate the amount of the assessment to be levied against his or her property or business” (</w:t>
      </w:r>
      <w:r w:rsidRPr="001B41E4" w:rsidR="003A1D77">
        <w:rPr>
          <w:i/>
          <w:iCs/>
          <w:shd w:val="clear" w:color="auto" w:fill="FFFFFF"/>
        </w:rPr>
        <w:t>id</w:t>
      </w:r>
      <w:r w:rsidRPr="001B41E4" w:rsidR="003A1D77">
        <w:rPr>
          <w:shd w:val="clear" w:color="auto" w:fill="FFFFFF"/>
        </w:rPr>
        <w:t>., subd. (f)); and “[a] list of the properties or businesses to be assessed, including the assessor</w:t>
      </w:r>
      <w:r w:rsidRPr="001B41E4" w:rsidR="000B5436">
        <w:rPr>
          <w:shd w:val="clear" w:color="auto" w:fill="FFFFFF"/>
        </w:rPr>
        <w:t>’</w:t>
      </w:r>
      <w:r w:rsidRPr="001B41E4" w:rsidR="003A1D77">
        <w:rPr>
          <w:shd w:val="clear" w:color="auto" w:fill="FFFFFF"/>
        </w:rPr>
        <w:t>s parcel numbers for properties to be assessed, and a statement of the method or methods by which the expenses of a district will be imposed upon benefited real property or businesses, in proportion to the benefit received by the property or business, to defray the cost thereof” (</w:t>
      </w:r>
      <w:r w:rsidRPr="001B41E4" w:rsidR="003A1D77">
        <w:rPr>
          <w:i/>
          <w:iCs/>
          <w:shd w:val="clear" w:color="auto" w:fill="FFFFFF"/>
        </w:rPr>
        <w:t>id</w:t>
      </w:r>
      <w:r w:rsidRPr="001B41E4" w:rsidR="003A1D77">
        <w:rPr>
          <w:shd w:val="clear" w:color="auto" w:fill="FFFFFF"/>
        </w:rPr>
        <w:t>., subd. (k)(1))</w:t>
      </w:r>
      <w:r w:rsidR="00C03A7D">
        <w:rPr>
          <w:shd w:val="clear" w:color="auto" w:fill="FFFFFF"/>
        </w:rPr>
        <w:t>, among other details</w:t>
      </w:r>
      <w:r w:rsidRPr="001B41E4" w:rsidR="003A1D77">
        <w:rPr>
          <w:shd w:val="clear" w:color="auto" w:fill="FFFFFF"/>
        </w:rPr>
        <w:t>.</w:t>
      </w:r>
      <w:r w:rsidRPr="001B41E4">
        <w:rPr>
          <w:shd w:val="clear" w:color="auto" w:fill="FFFFFF"/>
        </w:rPr>
        <w:t xml:space="preserve">  </w:t>
      </w:r>
    </w:p>
    <w:p w:rsidR="00016CF4" w:rsidRPr="001B41E4" w:rsidP="0023145B" w14:paraId="75EF9B7A" w14:textId="25168E57">
      <w:pPr>
        <w:tabs>
          <w:tab w:val="left" w:pos="720"/>
        </w:tabs>
        <w:ind w:firstLine="720"/>
        <w:rPr>
          <w:shd w:val="clear" w:color="auto" w:fill="FFFFFF"/>
        </w:rPr>
      </w:pPr>
      <w:r w:rsidRPr="001B41E4">
        <w:rPr>
          <w:shd w:val="clear" w:color="auto" w:fill="FFFFFF"/>
        </w:rPr>
        <w:t xml:space="preserve">Upon receipt of </w:t>
      </w:r>
      <w:r w:rsidRPr="001B41E4" w:rsidR="00D23F51">
        <w:rPr>
          <w:shd w:val="clear" w:color="auto" w:fill="FFFFFF"/>
        </w:rPr>
        <w:t>th</w:t>
      </w:r>
      <w:r w:rsidRPr="001B41E4" w:rsidR="0062344F">
        <w:rPr>
          <w:shd w:val="clear" w:color="auto" w:fill="FFFFFF"/>
        </w:rPr>
        <w:t>is</w:t>
      </w:r>
      <w:r w:rsidRPr="001B41E4">
        <w:rPr>
          <w:shd w:val="clear" w:color="auto" w:fill="FFFFFF"/>
        </w:rPr>
        <w:t xml:space="preserve"> petition</w:t>
      </w:r>
      <w:r w:rsidRPr="001B41E4" w:rsidR="003B166A">
        <w:rPr>
          <w:shd w:val="clear" w:color="auto" w:fill="FFFFFF"/>
        </w:rPr>
        <w:t xml:space="preserve">, a city council may </w:t>
      </w:r>
      <w:r w:rsidRPr="001B41E4" w:rsidR="00AE27A8">
        <w:rPr>
          <w:shd w:val="clear" w:color="auto" w:fill="FFFFFF"/>
        </w:rPr>
        <w:t>adopt</w:t>
      </w:r>
      <w:r w:rsidRPr="001B41E4" w:rsidR="003B166A">
        <w:rPr>
          <w:shd w:val="clear" w:color="auto" w:fill="FFFFFF"/>
        </w:rPr>
        <w:t xml:space="preserve"> a resolution expressing an intention</w:t>
      </w:r>
      <w:r w:rsidRPr="001B41E4" w:rsidR="00AE27A8">
        <w:rPr>
          <w:shd w:val="clear" w:color="auto" w:fill="FFFFFF"/>
        </w:rPr>
        <w:t xml:space="preserve"> to form a </w:t>
      </w:r>
      <w:r w:rsidR="00C03A7D">
        <w:rPr>
          <w:shd w:val="clear" w:color="auto" w:fill="FFFFFF"/>
        </w:rPr>
        <w:t>BID.  (</w:t>
      </w:r>
      <w:r w:rsidRPr="001B41E4" w:rsidR="00C03A7D">
        <w:rPr>
          <w:shd w:val="clear" w:color="auto" w:fill="FFFFFF"/>
        </w:rPr>
        <w:t>Sts. &amp; Hy. Code, § 36621, subd. (a)</w:t>
      </w:r>
      <w:r w:rsidR="00C03A7D">
        <w:rPr>
          <w:shd w:val="clear" w:color="auto" w:fill="FFFFFF"/>
        </w:rPr>
        <w:t xml:space="preserve">.)  This resolution is to contain information concerning the </w:t>
      </w:r>
      <w:r w:rsidR="00D12E85">
        <w:rPr>
          <w:shd w:val="clear" w:color="auto" w:fill="FFFFFF"/>
        </w:rPr>
        <w:t xml:space="preserve">BID </w:t>
      </w:r>
      <w:r w:rsidR="00C03A7D">
        <w:rPr>
          <w:shd w:val="clear" w:color="auto" w:fill="FFFFFF"/>
        </w:rPr>
        <w:t>proposal that is sufficient to “</w:t>
      </w:r>
      <w:r w:rsidRPr="00C03A7D" w:rsidR="00C03A7D">
        <w:rPr>
          <w:shd w:val="clear" w:color="auto" w:fill="FFFFFF"/>
        </w:rPr>
        <w:t>enable an owner to generally identify the nature and extent of the improvements, maintenance, and activities</w:t>
      </w:r>
      <w:r w:rsidR="00AE40D2">
        <w:rPr>
          <w:shd w:val="clear" w:color="auto" w:fill="FFFFFF"/>
        </w:rPr>
        <w:t xml:space="preserve"> [of the BID], and</w:t>
      </w:r>
      <w:r w:rsidRPr="00C03A7D" w:rsidR="00C03A7D">
        <w:rPr>
          <w:shd w:val="clear" w:color="auto" w:fill="FFFFFF"/>
        </w:rPr>
        <w:t xml:space="preserve"> the location and extent of the proposed district</w:t>
      </w:r>
      <w:r w:rsidRPr="001B41E4" w:rsidR="003B166A">
        <w:rPr>
          <w:shd w:val="clear" w:color="auto" w:fill="FFFFFF"/>
        </w:rPr>
        <w:t>.</w:t>
      </w:r>
      <w:r w:rsidR="00C03A7D">
        <w:rPr>
          <w:shd w:val="clear" w:color="auto" w:fill="FFFFFF"/>
        </w:rPr>
        <w:t>”</w:t>
      </w:r>
      <w:r w:rsidRPr="001B41E4" w:rsidR="003B166A">
        <w:rPr>
          <w:shd w:val="clear" w:color="auto" w:fill="FFFFFF"/>
        </w:rPr>
        <w:t xml:space="preserve">  (</w:t>
      </w:r>
      <w:r w:rsidRPr="00C03A7D" w:rsidR="00C03A7D">
        <w:rPr>
          <w:i/>
          <w:iCs/>
          <w:shd w:val="clear" w:color="auto" w:fill="FFFFFF"/>
        </w:rPr>
        <w:t>Id</w:t>
      </w:r>
      <w:r w:rsidR="00C03A7D">
        <w:rPr>
          <w:shd w:val="clear" w:color="auto" w:fill="FFFFFF"/>
        </w:rPr>
        <w:t>.</w:t>
      </w:r>
      <w:r w:rsidRPr="001B41E4" w:rsidR="003B166A">
        <w:rPr>
          <w:shd w:val="clear" w:color="auto" w:fill="FFFFFF"/>
        </w:rPr>
        <w:t>, subd.</w:t>
      </w:r>
      <w:r w:rsidR="00C03A7D">
        <w:rPr>
          <w:shd w:val="clear" w:color="auto" w:fill="FFFFFF"/>
        </w:rPr>
        <w:t xml:space="preserve"> (c)</w:t>
      </w:r>
      <w:r w:rsidR="00BC55F1">
        <w:rPr>
          <w:shd w:val="clear" w:color="auto" w:fill="FFFFFF"/>
        </w:rPr>
        <w:t>(1)</w:t>
      </w:r>
      <w:r w:rsidRPr="001B41E4" w:rsidR="003B166A">
        <w:rPr>
          <w:shd w:val="clear" w:color="auto" w:fill="FFFFFF"/>
        </w:rPr>
        <w:t xml:space="preserve">.)  </w:t>
      </w:r>
    </w:p>
    <w:p w:rsidR="003B166A" w:rsidRPr="001B41E4" w:rsidP="0023145B" w14:paraId="2134D497" w14:textId="08516648">
      <w:pPr>
        <w:tabs>
          <w:tab w:val="left" w:pos="720"/>
        </w:tabs>
        <w:ind w:firstLine="720"/>
        <w:rPr>
          <w:shd w:val="clear" w:color="auto" w:fill="FFFFFF"/>
        </w:rPr>
      </w:pPr>
      <w:r w:rsidRPr="001B41E4">
        <w:rPr>
          <w:shd w:val="clear" w:color="auto" w:fill="FFFFFF"/>
        </w:rPr>
        <w:t>T</w:t>
      </w:r>
      <w:r w:rsidRPr="001B41E4" w:rsidR="00DA21BD">
        <w:rPr>
          <w:shd w:val="clear" w:color="auto" w:fill="FFFFFF"/>
        </w:rPr>
        <w:t xml:space="preserve">he PBID Law provides for a noticed hearing on a BID proposal, the time and place </w:t>
      </w:r>
      <w:r w:rsidRPr="001B41E4" w:rsidR="008E2363">
        <w:rPr>
          <w:shd w:val="clear" w:color="auto" w:fill="FFFFFF"/>
        </w:rPr>
        <w:t>of</w:t>
      </w:r>
      <w:r w:rsidRPr="001B41E4" w:rsidR="00DA21BD">
        <w:rPr>
          <w:shd w:val="clear" w:color="auto" w:fill="FFFFFF"/>
        </w:rPr>
        <w:t xml:space="preserve"> which are to be </w:t>
      </w:r>
      <w:r w:rsidRPr="001B41E4" w:rsidR="00AE27A8">
        <w:rPr>
          <w:shd w:val="clear" w:color="auto" w:fill="FFFFFF"/>
        </w:rPr>
        <w:t>provided</w:t>
      </w:r>
      <w:r w:rsidRPr="001B41E4" w:rsidR="00DA21BD">
        <w:rPr>
          <w:shd w:val="clear" w:color="auto" w:fill="FFFFFF"/>
        </w:rPr>
        <w:t xml:space="preserve"> in the resolution</w:t>
      </w:r>
      <w:r w:rsidRPr="001B41E4" w:rsidR="000B5436">
        <w:rPr>
          <w:shd w:val="clear" w:color="auto" w:fill="FFFFFF"/>
        </w:rPr>
        <w:t xml:space="preserve"> described above</w:t>
      </w:r>
      <w:r w:rsidRPr="001B41E4" w:rsidR="00DA21BD">
        <w:rPr>
          <w:shd w:val="clear" w:color="auto" w:fill="FFFFFF"/>
        </w:rPr>
        <w:t>.  (</w:t>
      </w:r>
      <w:r w:rsidRPr="001B41E4" w:rsidR="00CF0641">
        <w:rPr>
          <w:shd w:val="clear" w:color="auto" w:fill="FFFFFF"/>
        </w:rPr>
        <w:t xml:space="preserve">Sts. &amp; Hy. Code, § 36621, </w:t>
      </w:r>
      <w:r w:rsidRPr="001B41E4" w:rsidR="00DA21BD">
        <w:rPr>
          <w:shd w:val="clear" w:color="auto" w:fill="FFFFFF"/>
        </w:rPr>
        <w:t xml:space="preserve">subd. (c)(2).) </w:t>
      </w:r>
      <w:r w:rsidRPr="001B41E4">
        <w:rPr>
          <w:shd w:val="clear" w:color="auto" w:fill="FFFFFF"/>
        </w:rPr>
        <w:t xml:space="preserve"> Section 36623, subdivision (a)</w:t>
      </w:r>
      <w:r w:rsidRPr="001B41E4" w:rsidR="00DA21BD">
        <w:rPr>
          <w:shd w:val="clear" w:color="auto" w:fill="FFFFFF"/>
        </w:rPr>
        <w:t xml:space="preserve"> </w:t>
      </w:r>
      <w:r w:rsidRPr="001B41E4">
        <w:rPr>
          <w:shd w:val="clear" w:color="auto" w:fill="FFFFFF"/>
        </w:rPr>
        <w:t>of th</w:t>
      </w:r>
      <w:r w:rsidRPr="001B41E4" w:rsidR="00F12578">
        <w:rPr>
          <w:shd w:val="clear" w:color="auto" w:fill="FFFFFF"/>
        </w:rPr>
        <w:t>is</w:t>
      </w:r>
      <w:r w:rsidRPr="001B41E4">
        <w:rPr>
          <w:shd w:val="clear" w:color="auto" w:fill="FFFFFF"/>
        </w:rPr>
        <w:t xml:space="preserve"> </w:t>
      </w:r>
      <w:r w:rsidRPr="001B41E4" w:rsidR="00F12578">
        <w:rPr>
          <w:shd w:val="clear" w:color="auto" w:fill="FFFFFF"/>
        </w:rPr>
        <w:t>statute</w:t>
      </w:r>
      <w:r w:rsidRPr="001B41E4">
        <w:rPr>
          <w:shd w:val="clear" w:color="auto" w:fill="FFFFFF"/>
        </w:rPr>
        <w:t xml:space="preserve"> </w:t>
      </w:r>
      <w:r w:rsidRPr="001B41E4">
        <w:rPr>
          <w:shd w:val="clear" w:color="auto" w:fill="FFFFFF"/>
        </w:rPr>
        <w:t xml:space="preserve">provides that when a BID proposal involves a new or increased property assessment, </w:t>
      </w:r>
      <w:r w:rsidRPr="001B41E4">
        <w:rPr>
          <w:shd w:val="clear" w:color="auto" w:fill="FFFFFF"/>
        </w:rPr>
        <w:t>the</w:t>
      </w:r>
      <w:r w:rsidRPr="001B41E4" w:rsidR="00750E4B">
        <w:rPr>
          <w:shd w:val="clear" w:color="auto" w:fill="FFFFFF"/>
        </w:rPr>
        <w:t xml:space="preserve"> </w:t>
      </w:r>
      <w:r w:rsidRPr="001B41E4" w:rsidR="001A52C0">
        <w:rPr>
          <w:shd w:val="clear" w:color="auto" w:fill="FFFFFF"/>
        </w:rPr>
        <w:t xml:space="preserve">prehearing and hearing </w:t>
      </w:r>
      <w:r w:rsidRPr="001B41E4">
        <w:rPr>
          <w:shd w:val="clear" w:color="auto" w:fill="FFFFFF"/>
        </w:rPr>
        <w:t xml:space="preserve">procedures set out in the Implementation Act </w:t>
      </w:r>
      <w:r w:rsidRPr="001B41E4" w:rsidR="00FB6604">
        <w:rPr>
          <w:shd w:val="clear" w:color="auto" w:fill="FFFFFF"/>
        </w:rPr>
        <w:t>(</w:t>
      </w:r>
      <w:r w:rsidRPr="001B41E4">
        <w:rPr>
          <w:shd w:val="clear" w:color="auto" w:fill="FFFFFF"/>
        </w:rPr>
        <w:t>Gov. Code, § 53753)</w:t>
      </w:r>
      <w:r w:rsidRPr="001B41E4">
        <w:rPr>
          <w:shd w:val="clear" w:color="auto" w:fill="FFFFFF"/>
        </w:rPr>
        <w:t xml:space="preserve"> come into play.  </w:t>
      </w:r>
      <w:r w:rsidRPr="001B41E4" w:rsidR="001A52C0">
        <w:rPr>
          <w:shd w:val="clear" w:color="auto" w:fill="FFFFFF"/>
        </w:rPr>
        <w:t xml:space="preserve">Many of </w:t>
      </w:r>
      <w:r w:rsidR="00537E7F">
        <w:rPr>
          <w:shd w:val="clear" w:color="auto" w:fill="FFFFFF"/>
        </w:rPr>
        <w:t>these</w:t>
      </w:r>
      <w:r w:rsidRPr="001B41E4" w:rsidR="001A52C0">
        <w:rPr>
          <w:shd w:val="clear" w:color="auto" w:fill="FFFFFF"/>
        </w:rPr>
        <w:t xml:space="preserve"> procedures elaborate upon Proposition 218</w:t>
      </w:r>
      <w:r w:rsidR="00537E7F">
        <w:rPr>
          <w:shd w:val="clear" w:color="auto" w:fill="FFFFFF"/>
        </w:rPr>
        <w:t>’s specifications</w:t>
      </w:r>
      <w:r w:rsidRPr="001B41E4" w:rsidR="001A52C0">
        <w:rPr>
          <w:shd w:val="clear" w:color="auto" w:fill="FFFFFF"/>
        </w:rPr>
        <w:t>, including the Implementation Act’s requirement of individualized advanced notice to those who would be subject to a proposed assessment and</w:t>
      </w:r>
      <w:r w:rsidRPr="001B41E4" w:rsidR="001B41E4">
        <w:rPr>
          <w:shd w:val="clear" w:color="auto" w:fill="FFFFFF"/>
        </w:rPr>
        <w:t xml:space="preserve"> its description of</w:t>
      </w:r>
      <w:r w:rsidRPr="001B41E4" w:rsidR="001A52C0">
        <w:rPr>
          <w:shd w:val="clear" w:color="auto" w:fill="FFFFFF"/>
        </w:rPr>
        <w:t xml:space="preserve"> </w:t>
      </w:r>
      <w:r w:rsidRPr="001B41E4" w:rsidR="001B41E4">
        <w:rPr>
          <w:shd w:val="clear" w:color="auto" w:fill="FFFFFF"/>
        </w:rPr>
        <w:t>the</w:t>
      </w:r>
      <w:r w:rsidRPr="001B41E4" w:rsidR="001A52C0">
        <w:rPr>
          <w:shd w:val="clear" w:color="auto" w:fill="FFFFFF"/>
        </w:rPr>
        <w:t xml:space="preserve"> information </w:t>
      </w:r>
      <w:r w:rsidRPr="001B41E4" w:rsidR="001B41E4">
        <w:rPr>
          <w:shd w:val="clear" w:color="auto" w:fill="FFFFFF"/>
        </w:rPr>
        <w:t>and</w:t>
      </w:r>
      <w:r w:rsidRPr="001B41E4" w:rsidR="001A52C0">
        <w:rPr>
          <w:shd w:val="clear" w:color="auto" w:fill="FFFFFF"/>
        </w:rPr>
        <w:t xml:space="preserve"> instructions this notice and the accompanying ballot are to </w:t>
      </w:r>
      <w:r w:rsidRPr="001B41E4" w:rsidR="00103B43">
        <w:rPr>
          <w:shd w:val="clear" w:color="auto" w:fill="FFFFFF"/>
        </w:rPr>
        <w:t>provide</w:t>
      </w:r>
      <w:r w:rsidRPr="001B41E4" w:rsidR="001A52C0">
        <w:rPr>
          <w:shd w:val="clear" w:color="auto" w:fill="FFFFFF"/>
        </w:rPr>
        <w:t>.  (</w:t>
      </w:r>
      <w:r w:rsidRPr="001B41E4" w:rsidR="00877F2B">
        <w:rPr>
          <w:shd w:val="clear" w:color="auto" w:fill="FFFFFF"/>
        </w:rPr>
        <w:t>Gov. Code, § 53753,</w:t>
      </w:r>
      <w:r w:rsidRPr="001B41E4" w:rsidR="001A52C0">
        <w:rPr>
          <w:shd w:val="clear" w:color="auto" w:fill="FFFFFF"/>
        </w:rPr>
        <w:t xml:space="preserve"> subds. (b), (c).)  S</w:t>
      </w:r>
      <w:r w:rsidRPr="001B41E4">
        <w:t>ection 53753, subdivision (d) of the Government Code</w:t>
      </w:r>
      <w:r w:rsidRPr="001B41E4" w:rsidR="001A52C0">
        <w:t xml:space="preserve"> </w:t>
      </w:r>
      <w:r w:rsidRPr="001B41E4" w:rsidR="00F12578">
        <w:t>states further</w:t>
      </w:r>
      <w:r w:rsidRPr="001B41E4" w:rsidR="00103B43">
        <w:t xml:space="preserve"> </w:t>
      </w:r>
      <w:r w:rsidRPr="001B41E4">
        <w:t>that</w:t>
      </w:r>
      <w:r w:rsidRPr="001B41E4">
        <w:rPr>
          <w:shd w:val="clear" w:color="auto" w:fill="FFFFFF"/>
        </w:rPr>
        <w:t xml:space="preserve"> </w:t>
      </w:r>
      <w:r w:rsidRPr="001B41E4" w:rsidR="001A52C0">
        <w:rPr>
          <w:shd w:val="clear" w:color="auto" w:fill="FFFFFF"/>
        </w:rPr>
        <w:t>at the</w:t>
      </w:r>
      <w:r w:rsidRPr="001B41E4">
        <w:rPr>
          <w:shd w:val="clear" w:color="auto" w:fill="FFFFFF"/>
        </w:rPr>
        <w:t xml:space="preserve"> public hearing </w:t>
      </w:r>
      <w:r w:rsidRPr="001B41E4" w:rsidR="001A52C0">
        <w:rPr>
          <w:shd w:val="clear" w:color="auto" w:fill="FFFFFF"/>
        </w:rPr>
        <w:t xml:space="preserve">on a </w:t>
      </w:r>
      <w:r w:rsidRPr="001B41E4">
        <w:rPr>
          <w:shd w:val="clear" w:color="auto" w:fill="FFFFFF"/>
        </w:rPr>
        <w:t>proposed assessment</w:t>
      </w:r>
      <w:r w:rsidRPr="001B41E4" w:rsidR="001A52C0">
        <w:rPr>
          <w:shd w:val="clear" w:color="auto" w:fill="FFFFFF"/>
        </w:rPr>
        <w:t>, “</w:t>
      </w:r>
      <w:r w:rsidRPr="001B41E4">
        <w:rPr>
          <w:shd w:val="clear" w:color="auto" w:fill="FFFFFF"/>
        </w:rPr>
        <w:t>the agency shall consider all objections or protests, if any, to the proposed assessment.  At the public hearing, any person shall be permitted to present written or oral testimony.  The public hearing may be continued from time to time.</w:t>
      </w:r>
      <w:r w:rsidRPr="001B41E4">
        <w:t xml:space="preserve">”  </w:t>
      </w:r>
    </w:p>
    <w:p w:rsidR="003B166A" w:rsidRPr="001B41E4" w:rsidP="0023145B" w14:paraId="5D6BD662" w14:textId="4209B882">
      <w:pPr>
        <w:tabs>
          <w:tab w:val="left" w:pos="720"/>
        </w:tabs>
        <w:ind w:firstLine="720"/>
        <w:rPr>
          <w:shd w:val="clear" w:color="auto" w:fill="FFFFFF"/>
        </w:rPr>
      </w:pPr>
      <w:r w:rsidRPr="001B41E4">
        <w:rPr>
          <w:shd w:val="clear" w:color="auto" w:fill="FFFFFF"/>
        </w:rPr>
        <w:t>The PBID Law explains what is to follow: “</w:t>
      </w:r>
      <w:r w:rsidRPr="001B41E4" w:rsidR="00D062E1">
        <w:rPr>
          <w:shd w:val="clear" w:color="auto" w:fill="FFFFFF"/>
        </w:rPr>
        <w:t>A</w:t>
      </w:r>
      <w:r w:rsidRPr="001B41E4">
        <w:rPr>
          <w:shd w:val="clear" w:color="auto" w:fill="FFFFFF"/>
        </w:rPr>
        <w:t xml:space="preserve">t the conclusion of the public hearing to establish the district, the city council may adopt, revise, change, reduce, or modify the proposed assessment or the type or types of improvements, maintenance, and activities to be funded with the revenues from the assessments.  Proposed assessments may only be revised by reducing any or all of them.  At the public hearing, the city council may only make changes in, to, or from the boundaries of the proposed property and business improvement district that will exclude territory that will not benefit from the proposed improvements, maintenance, and activities.”  (Sts. &amp; Hy. Code, § 36624.)  “If the city council, following the public hearing, decides to establish a proposed property and business improvement district, the city council shall adopt a resolution of formation that shall include, but is not limited to” </w:t>
      </w:r>
      <w:r w:rsidRPr="001B41E4" w:rsidR="00AE40D2">
        <w:rPr>
          <w:shd w:val="clear" w:color="auto" w:fill="FFFFFF"/>
        </w:rPr>
        <w:t>(Sts. &amp; Hy. Code, § 36625, subd. (a)</w:t>
      </w:r>
      <w:r w:rsidR="00AE40D2">
        <w:rPr>
          <w:shd w:val="clear" w:color="auto" w:fill="FFFFFF"/>
        </w:rPr>
        <w:t xml:space="preserve">) </w:t>
      </w:r>
      <w:r w:rsidRPr="001B41E4">
        <w:rPr>
          <w:shd w:val="clear" w:color="auto" w:fill="FFFFFF"/>
        </w:rPr>
        <w:t>information such as “[a] brief description of the proposed improvements, maintenance, and activities, the amount of the proposed assessment, a statement as to whether the assessment will be levied on property, businesses, or both within the district, a statement on whether bonds will be issued, and a description of the exterior boundaries of the proposed district”</w:t>
      </w:r>
      <w:r w:rsidR="00AE40D2">
        <w:rPr>
          <w:shd w:val="clear" w:color="auto" w:fill="FFFFFF"/>
        </w:rPr>
        <w:t xml:space="preserve"> (</w:t>
      </w:r>
      <w:r w:rsidR="00AE40D2">
        <w:rPr>
          <w:i/>
          <w:iCs/>
          <w:shd w:val="clear" w:color="auto" w:fill="FFFFFF"/>
        </w:rPr>
        <w:t>i</w:t>
      </w:r>
      <w:r w:rsidRPr="00AE40D2" w:rsidR="00AE40D2">
        <w:rPr>
          <w:i/>
          <w:iCs/>
          <w:shd w:val="clear" w:color="auto" w:fill="FFFFFF"/>
        </w:rPr>
        <w:t>d</w:t>
      </w:r>
      <w:r w:rsidR="00AE40D2">
        <w:rPr>
          <w:shd w:val="clear" w:color="auto" w:fill="FFFFFF"/>
        </w:rPr>
        <w:t>.</w:t>
      </w:r>
      <w:r w:rsidRPr="001B41E4" w:rsidR="00AE40D2">
        <w:rPr>
          <w:shd w:val="clear" w:color="auto" w:fill="FFFFFF"/>
        </w:rPr>
        <w:t>, subd. (a)(1)</w:t>
      </w:r>
      <w:r w:rsidR="00AE40D2">
        <w:rPr>
          <w:shd w:val="clear" w:color="auto" w:fill="FFFFFF"/>
        </w:rPr>
        <w:t xml:space="preserve">). </w:t>
      </w:r>
      <w:r w:rsidRPr="001B41E4">
        <w:rPr>
          <w:shd w:val="clear" w:color="auto" w:fill="FFFFFF"/>
        </w:rPr>
        <w:t xml:space="preserve"> </w:t>
      </w:r>
      <w:r w:rsidR="00AE40D2">
        <w:rPr>
          <w:shd w:val="clear" w:color="auto" w:fill="FFFFFF"/>
        </w:rPr>
        <w:t>The city must also render</w:t>
      </w:r>
      <w:r w:rsidRPr="001B41E4" w:rsidR="004D5613">
        <w:rPr>
          <w:shd w:val="clear" w:color="auto" w:fill="FFFFFF"/>
        </w:rPr>
        <w:t xml:space="preserve"> </w:t>
      </w:r>
      <w:r w:rsidRPr="001B41E4">
        <w:rPr>
          <w:shd w:val="clear" w:color="auto" w:fill="FFFFFF"/>
        </w:rPr>
        <w:t>“[a] determination regarding any protests received</w:t>
      </w:r>
      <w:r w:rsidR="00AE40D2">
        <w:rPr>
          <w:shd w:val="clear" w:color="auto" w:fill="FFFFFF"/>
        </w:rPr>
        <w:t>,</w:t>
      </w:r>
      <w:r w:rsidRPr="001B41E4">
        <w:rPr>
          <w:shd w:val="clear" w:color="auto" w:fill="FFFFFF"/>
        </w:rPr>
        <w:t>”</w:t>
      </w:r>
      <w:r w:rsidR="00AE40D2">
        <w:rPr>
          <w:shd w:val="clear" w:color="auto" w:fill="FFFFFF"/>
        </w:rPr>
        <w:t xml:space="preserve"> and “shall not establish the district or levy assessments if a majority protest was received.” </w:t>
      </w:r>
      <w:r w:rsidRPr="001B41E4">
        <w:rPr>
          <w:shd w:val="clear" w:color="auto" w:fill="FFFFFF"/>
        </w:rPr>
        <w:t xml:space="preserve"> (</w:t>
      </w:r>
      <w:r w:rsidRPr="00AE40D2" w:rsidR="00AE40D2">
        <w:rPr>
          <w:i/>
          <w:iCs/>
          <w:shd w:val="clear" w:color="auto" w:fill="FFFFFF"/>
        </w:rPr>
        <w:t>Id</w:t>
      </w:r>
      <w:r w:rsidR="00AE40D2">
        <w:rPr>
          <w:shd w:val="clear" w:color="auto" w:fill="FFFFFF"/>
        </w:rPr>
        <w:t>.</w:t>
      </w:r>
      <w:r w:rsidRPr="001B41E4">
        <w:rPr>
          <w:shd w:val="clear" w:color="auto" w:fill="FFFFFF"/>
        </w:rPr>
        <w:t>, subd. (a)(4).)</w:t>
      </w:r>
    </w:p>
    <w:p w:rsidR="008E5CAA" w:rsidRPr="001B41E4" w:rsidP="0023145B" w14:paraId="78ABCE28" w14:textId="31A1AB1B">
      <w:pPr>
        <w:pStyle w:val="ListParagraph"/>
        <w:numPr>
          <w:ilvl w:val="0"/>
          <w:numId w:val="8"/>
        </w:numPr>
        <w:tabs>
          <w:tab w:val="left" w:pos="720"/>
        </w:tabs>
        <w:rPr>
          <w:b/>
          <w:bCs/>
        </w:rPr>
      </w:pPr>
      <w:r w:rsidRPr="001B41E4">
        <w:rPr>
          <w:b/>
          <w:bCs/>
        </w:rPr>
        <w:t>Exhaustion of Remedies</w:t>
      </w:r>
    </w:p>
    <w:p w:rsidR="00DA21D8" w:rsidRPr="001B41E4" w:rsidP="0023145B" w14:paraId="5349C5CC" w14:textId="41424113">
      <w:pPr>
        <w:pStyle w:val="xmsonormal"/>
        <w:numPr>
          <w:ilvl w:val="0"/>
          <w:numId w:val="9"/>
        </w:numPr>
        <w:shd w:val="clear" w:color="auto" w:fill="FFFFFF"/>
        <w:spacing w:before="0" w:beforeAutospacing="0" w:afterAutospacing="0" w:line="400" w:lineRule="exact"/>
        <w:ind w:left="1440"/>
        <w:rPr>
          <w:rFonts w:ascii="Century Schoolbook" w:hAnsi="Century Schoolbook"/>
          <w:i/>
          <w:iCs/>
          <w:sz w:val="27"/>
          <w:szCs w:val="26"/>
        </w:rPr>
      </w:pPr>
      <w:r w:rsidRPr="001B41E4">
        <w:rPr>
          <w:rFonts w:ascii="Century Schoolbook" w:hAnsi="Century Schoolbook"/>
          <w:i/>
          <w:iCs/>
          <w:sz w:val="27"/>
          <w:szCs w:val="26"/>
        </w:rPr>
        <w:t>General Principles</w:t>
      </w:r>
    </w:p>
    <w:p w:rsidR="008E5CAA" w:rsidRPr="001B41E4" w:rsidP="001B41E4" w14:paraId="3BF087B2" w14:textId="6D5F6F8D">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 xml:space="preserve">As a general </w:t>
      </w:r>
      <w:r w:rsidRPr="001B41E4" w:rsidR="008E2363">
        <w:rPr>
          <w:rFonts w:ascii="Century Schoolbook" w:hAnsi="Century Schoolbook"/>
          <w:sz w:val="27"/>
          <w:szCs w:val="26"/>
        </w:rPr>
        <w:t>rule</w:t>
      </w:r>
      <w:r w:rsidRPr="001B41E4">
        <w:rPr>
          <w:rFonts w:ascii="Century Schoolbook" w:hAnsi="Century Schoolbook"/>
          <w:sz w:val="27"/>
          <w:szCs w:val="26"/>
        </w:rPr>
        <w:t>, “</w:t>
      </w:r>
      <w:r w:rsidRPr="001B41E4" w:rsidR="008E2363">
        <w:rPr>
          <w:rFonts w:ascii="Century Schoolbook" w:hAnsi="Century Schoolbook"/>
          <w:sz w:val="27"/>
          <w:szCs w:val="26"/>
        </w:rPr>
        <w:t> </w:t>
      </w:r>
      <w:r w:rsidRPr="001B41E4">
        <w:rPr>
          <w:rFonts w:ascii="Century Schoolbook" w:hAnsi="Century Schoolbook"/>
          <w:sz w:val="27"/>
          <w:szCs w:val="26"/>
        </w:rPr>
        <w:t>‘a party must exhaust administrative remedies before resorting to the courts.</w:t>
      </w:r>
      <w:r w:rsidRPr="001B41E4" w:rsidR="00AA0DE9">
        <w:rPr>
          <w:rFonts w:ascii="Century Schoolbook" w:hAnsi="Century Schoolbook"/>
          <w:sz w:val="27"/>
          <w:szCs w:val="26"/>
        </w:rPr>
        <w:t xml:space="preserve"> </w:t>
      </w:r>
      <w:r w:rsidRPr="001B41E4">
        <w:rPr>
          <w:rFonts w:ascii="Century Schoolbook" w:hAnsi="Century Schoolbook"/>
          <w:sz w:val="27"/>
          <w:szCs w:val="26"/>
        </w:rPr>
        <w:t xml:space="preserve"> [Citations.]</w:t>
      </w:r>
      <w:r w:rsidRPr="001B41E4" w:rsidR="00AA0DE9">
        <w:rPr>
          <w:rFonts w:ascii="Century Schoolbook" w:hAnsi="Century Schoolbook"/>
          <w:sz w:val="27"/>
          <w:szCs w:val="26"/>
        </w:rPr>
        <w:t xml:space="preserve"> </w:t>
      </w:r>
      <w:r w:rsidRPr="001B41E4">
        <w:rPr>
          <w:rFonts w:ascii="Century Schoolbook" w:hAnsi="Century Schoolbook"/>
          <w:sz w:val="27"/>
          <w:szCs w:val="26"/>
        </w:rPr>
        <w:t xml:space="preserve"> Under this rule, an administrative remedy is exhausted only upon “termination of all available, nonduplicative administrative review procedures.” ’ ”  (</w:t>
      </w:r>
      <w:r w:rsidRPr="001B41E4">
        <w:rPr>
          <w:rFonts w:ascii="Century Schoolbook" w:hAnsi="Century Schoolbook"/>
          <w:i/>
          <w:iCs/>
          <w:sz w:val="27"/>
          <w:szCs w:val="26"/>
        </w:rPr>
        <w:t>Plantier</w:t>
      </w:r>
      <w:r w:rsidRPr="001B41E4" w:rsidR="00AB5CDA">
        <w:rPr>
          <w:rFonts w:ascii="Century Schoolbook" w:hAnsi="Century Schoolbook"/>
          <w:sz w:val="27"/>
          <w:szCs w:val="26"/>
        </w:rPr>
        <w:t xml:space="preserve">, </w:t>
      </w:r>
      <w:r w:rsidRPr="001B41E4" w:rsidR="00AB5CDA">
        <w:rPr>
          <w:rFonts w:ascii="Century Schoolbook" w:hAnsi="Century Schoolbook"/>
          <w:i/>
          <w:iCs/>
          <w:sz w:val="27"/>
          <w:szCs w:val="26"/>
        </w:rPr>
        <w:t>supra</w:t>
      </w:r>
      <w:r w:rsidRPr="001B41E4" w:rsidR="00AB5CDA">
        <w:rPr>
          <w:rFonts w:ascii="Century Schoolbook" w:hAnsi="Century Schoolbook"/>
          <w:sz w:val="27"/>
          <w:szCs w:val="26"/>
        </w:rPr>
        <w:t xml:space="preserve">, </w:t>
      </w:r>
      <w:r w:rsidRPr="001B41E4">
        <w:rPr>
          <w:rFonts w:ascii="Century Schoolbook" w:hAnsi="Century Schoolbook"/>
          <w:sz w:val="27"/>
          <w:szCs w:val="26"/>
        </w:rPr>
        <w:t xml:space="preserve">7 Cal.5th </w:t>
      </w:r>
      <w:r w:rsidRPr="001B41E4" w:rsidR="00AB5CDA">
        <w:rPr>
          <w:rFonts w:ascii="Century Schoolbook" w:hAnsi="Century Schoolbook"/>
          <w:sz w:val="27"/>
          <w:szCs w:val="26"/>
        </w:rPr>
        <w:t xml:space="preserve">at p. </w:t>
      </w:r>
      <w:r w:rsidRPr="001B41E4">
        <w:rPr>
          <w:rFonts w:ascii="Century Schoolbook" w:hAnsi="Century Schoolbook"/>
          <w:sz w:val="27"/>
          <w:szCs w:val="26"/>
        </w:rPr>
        <w:t>382.)</w:t>
      </w:r>
      <w:r w:rsidRPr="001B41E4" w:rsidR="00AA0DE9">
        <w:rPr>
          <w:rFonts w:ascii="Century Schoolbook" w:hAnsi="Century Schoolbook"/>
          <w:sz w:val="27"/>
          <w:szCs w:val="26"/>
        </w:rPr>
        <w:t xml:space="preserve"> </w:t>
      </w:r>
      <w:r w:rsidRPr="001B41E4">
        <w:rPr>
          <w:rFonts w:ascii="Century Schoolbook" w:hAnsi="Century Schoolbook"/>
          <w:sz w:val="27"/>
          <w:szCs w:val="26"/>
        </w:rPr>
        <w:t xml:space="preserve"> </w:t>
      </w:r>
      <w:r w:rsidRPr="001B41E4" w:rsidR="001B41E4">
        <w:rPr>
          <w:rFonts w:ascii="Century Schoolbook" w:hAnsi="Century Schoolbook"/>
          <w:sz w:val="27"/>
          <w:szCs w:val="26"/>
        </w:rPr>
        <w:t>An</w:t>
      </w:r>
      <w:r w:rsidRPr="001B41E4" w:rsidR="00204278">
        <w:rPr>
          <w:rFonts w:ascii="Century Schoolbook" w:hAnsi="Century Schoolbook"/>
          <w:sz w:val="27"/>
          <w:szCs w:val="26"/>
        </w:rPr>
        <w:t xml:space="preserve"> exhaustion rule is </w:t>
      </w:r>
      <w:r w:rsidRPr="001B41E4" w:rsidR="001B41E4">
        <w:rPr>
          <w:rFonts w:ascii="Century Schoolbook" w:hAnsi="Century Schoolbook"/>
          <w:sz w:val="27"/>
          <w:szCs w:val="26"/>
        </w:rPr>
        <w:t xml:space="preserve">perhaps </w:t>
      </w:r>
      <w:r w:rsidRPr="001B41E4" w:rsidR="00204278">
        <w:rPr>
          <w:rFonts w:ascii="Century Schoolbook" w:hAnsi="Century Schoolbook"/>
          <w:sz w:val="27"/>
          <w:szCs w:val="26"/>
        </w:rPr>
        <w:t>most closely associated with quasi-adjudicative actions</w:t>
      </w:r>
      <w:r w:rsidR="009B635B">
        <w:rPr>
          <w:rFonts w:ascii="Century Schoolbook" w:hAnsi="Century Schoolbook"/>
          <w:sz w:val="27"/>
          <w:szCs w:val="26"/>
        </w:rPr>
        <w:t xml:space="preserve"> taken</w:t>
      </w:r>
      <w:r w:rsidRPr="001B41E4" w:rsidR="00204278">
        <w:rPr>
          <w:rFonts w:ascii="Century Schoolbook" w:hAnsi="Century Schoolbook"/>
          <w:sz w:val="27"/>
          <w:szCs w:val="26"/>
        </w:rPr>
        <w:t xml:space="preserve"> by </w:t>
      </w:r>
      <w:r w:rsidR="004F3850">
        <w:rPr>
          <w:rFonts w:ascii="Century Schoolbook" w:hAnsi="Century Schoolbook"/>
          <w:sz w:val="27"/>
          <w:szCs w:val="26"/>
        </w:rPr>
        <w:t>administrative</w:t>
      </w:r>
      <w:r w:rsidRPr="001B41E4" w:rsidR="00204278">
        <w:rPr>
          <w:rFonts w:ascii="Century Schoolbook" w:hAnsi="Century Schoolbook"/>
          <w:sz w:val="27"/>
          <w:szCs w:val="26"/>
        </w:rPr>
        <w:t xml:space="preserve"> agencies, but</w:t>
      </w:r>
      <w:r w:rsidRPr="001B41E4" w:rsidR="001B41E4">
        <w:rPr>
          <w:rFonts w:ascii="Century Schoolbook" w:hAnsi="Century Schoolbook"/>
          <w:sz w:val="27"/>
          <w:szCs w:val="26"/>
        </w:rPr>
        <w:t xml:space="preserve"> </w:t>
      </w:r>
      <w:r w:rsidR="00D12E85">
        <w:rPr>
          <w:rFonts w:ascii="Century Schoolbook" w:hAnsi="Century Schoolbook"/>
          <w:sz w:val="27"/>
          <w:szCs w:val="26"/>
        </w:rPr>
        <w:t>the doctrine</w:t>
      </w:r>
      <w:r w:rsidRPr="001B41E4" w:rsidR="00204278">
        <w:rPr>
          <w:rFonts w:ascii="Century Schoolbook" w:hAnsi="Century Schoolbook"/>
          <w:sz w:val="27"/>
          <w:szCs w:val="26"/>
        </w:rPr>
        <w:t xml:space="preserve"> </w:t>
      </w:r>
      <w:r w:rsidRPr="001B41E4" w:rsidR="00871AC7">
        <w:rPr>
          <w:rFonts w:ascii="Century Schoolbook" w:hAnsi="Century Schoolbook"/>
          <w:sz w:val="27"/>
          <w:szCs w:val="26"/>
        </w:rPr>
        <w:t xml:space="preserve">is not strictly limited to </w:t>
      </w:r>
      <w:r w:rsidRPr="001B41E4" w:rsidR="00AB3FDE">
        <w:rPr>
          <w:rFonts w:ascii="Century Schoolbook" w:hAnsi="Century Schoolbook"/>
          <w:sz w:val="27"/>
          <w:szCs w:val="26"/>
        </w:rPr>
        <w:t>that</w:t>
      </w:r>
      <w:r w:rsidRPr="001B41E4" w:rsidR="00871AC7">
        <w:rPr>
          <w:rFonts w:ascii="Century Schoolbook" w:hAnsi="Century Schoolbook"/>
          <w:sz w:val="27"/>
          <w:szCs w:val="26"/>
        </w:rPr>
        <w:t xml:space="preserve"> context</w:t>
      </w:r>
      <w:r w:rsidRPr="001B41E4" w:rsidR="00204278">
        <w:rPr>
          <w:rFonts w:ascii="Century Schoolbook" w:hAnsi="Century Schoolbook"/>
          <w:sz w:val="27"/>
          <w:szCs w:val="26"/>
        </w:rPr>
        <w:t>.</w:t>
      </w:r>
      <w:r>
        <w:rPr>
          <w:rStyle w:val="FootnoteReference"/>
          <w:bCs/>
          <w:szCs w:val="26"/>
        </w:rPr>
        <w:footnoteReference w:id="8"/>
      </w:r>
      <w:r w:rsidRPr="001B41E4" w:rsidR="00204278">
        <w:rPr>
          <w:rFonts w:ascii="Century Schoolbook" w:hAnsi="Century Schoolbook"/>
          <w:sz w:val="27"/>
          <w:szCs w:val="26"/>
        </w:rPr>
        <w:t xml:space="preserve">  </w:t>
      </w:r>
    </w:p>
    <w:p w:rsidR="00F12578" w:rsidRPr="001B41E4" w:rsidP="00F12578" w14:paraId="1B55211E" w14:textId="125BF9DE">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Some statut</w:t>
      </w:r>
      <w:r w:rsidRPr="001B41E4" w:rsidR="00AB5CDA">
        <w:rPr>
          <w:rFonts w:ascii="Century Schoolbook" w:hAnsi="Century Schoolbook"/>
          <w:sz w:val="27"/>
          <w:szCs w:val="26"/>
        </w:rPr>
        <w:t xml:space="preserve">es </w:t>
      </w:r>
      <w:r w:rsidRPr="001B41E4">
        <w:rPr>
          <w:rFonts w:ascii="Century Schoolbook" w:hAnsi="Century Schoolbook"/>
          <w:sz w:val="27"/>
          <w:szCs w:val="26"/>
        </w:rPr>
        <w:t xml:space="preserve">expressly require the exhaustion of an extrajudicial </w:t>
      </w:r>
      <w:r w:rsidRPr="001B41E4" w:rsidR="003A4B6C">
        <w:rPr>
          <w:rFonts w:ascii="Century Schoolbook" w:hAnsi="Century Schoolbook"/>
          <w:sz w:val="27"/>
          <w:szCs w:val="26"/>
        </w:rPr>
        <w:t>procedure</w:t>
      </w:r>
      <w:r w:rsidRPr="001B41E4">
        <w:rPr>
          <w:rFonts w:ascii="Century Schoolbook" w:hAnsi="Century Schoolbook"/>
          <w:sz w:val="27"/>
          <w:szCs w:val="26"/>
        </w:rPr>
        <w:t xml:space="preserve"> as a prerequisite to presenting a claim in court.</w:t>
      </w:r>
      <w:r w:rsidRPr="001B41E4" w:rsidR="003B45D1">
        <w:rPr>
          <w:rFonts w:ascii="Century Schoolbook" w:hAnsi="Century Schoolbook"/>
          <w:sz w:val="27"/>
          <w:szCs w:val="26"/>
        </w:rPr>
        <w:t xml:space="preserve"> </w:t>
      </w:r>
      <w:r w:rsidRPr="001B41E4">
        <w:rPr>
          <w:rFonts w:ascii="Century Schoolbook" w:hAnsi="Century Schoolbook"/>
          <w:sz w:val="27"/>
          <w:szCs w:val="26"/>
        </w:rPr>
        <w:t xml:space="preserve"> (E.g., Gov. Code, § 65009, subd. (b)</w:t>
      </w:r>
      <w:r w:rsidRPr="001B41E4" w:rsidR="00414614">
        <w:rPr>
          <w:rFonts w:ascii="Century Schoolbook" w:hAnsi="Century Schoolbook"/>
          <w:sz w:val="27"/>
          <w:szCs w:val="26"/>
        </w:rPr>
        <w:t>(1)</w:t>
      </w:r>
      <w:r w:rsidRPr="001B41E4">
        <w:rPr>
          <w:rFonts w:ascii="Century Schoolbook" w:hAnsi="Century Schoolbook"/>
          <w:sz w:val="27"/>
          <w:szCs w:val="26"/>
        </w:rPr>
        <w:t xml:space="preserve"> [exhaustion requirement for challenges to zoning decisions]; Pub. Res</w:t>
      </w:r>
      <w:r w:rsidR="00BC55F1">
        <w:rPr>
          <w:rFonts w:ascii="Century Schoolbook" w:hAnsi="Century Schoolbook"/>
          <w:sz w:val="27"/>
          <w:szCs w:val="26"/>
        </w:rPr>
        <w:t>ources</w:t>
      </w:r>
      <w:r w:rsidRPr="001B41E4">
        <w:rPr>
          <w:rFonts w:ascii="Century Schoolbook" w:hAnsi="Century Schoolbook"/>
          <w:sz w:val="27"/>
          <w:szCs w:val="26"/>
        </w:rPr>
        <w:t xml:space="preserve"> Code, § 21177, subd</w:t>
      </w:r>
      <w:r w:rsidRPr="001B41E4" w:rsidR="0008278D">
        <w:rPr>
          <w:rFonts w:ascii="Century Schoolbook" w:hAnsi="Century Schoolbook"/>
          <w:sz w:val="27"/>
          <w:szCs w:val="26"/>
        </w:rPr>
        <w:t>.</w:t>
      </w:r>
      <w:r w:rsidRPr="001B41E4">
        <w:rPr>
          <w:rFonts w:ascii="Century Schoolbook" w:hAnsi="Century Schoolbook"/>
          <w:sz w:val="27"/>
          <w:szCs w:val="26"/>
        </w:rPr>
        <w:t xml:space="preserve"> (a) [exhaustion requirement under the California Environmental Quality Act]; </w:t>
      </w:r>
      <w:r w:rsidRPr="001B41E4" w:rsidR="000A3439">
        <w:rPr>
          <w:rFonts w:ascii="Century Schoolbook" w:hAnsi="Century Schoolbook"/>
          <w:sz w:val="27"/>
          <w:shd w:val="clear" w:color="auto" w:fill="FFFFFF"/>
        </w:rPr>
        <w:t xml:space="preserve">Sts. &amp; Hy. </w:t>
      </w:r>
      <w:r w:rsidRPr="001B41E4">
        <w:rPr>
          <w:rFonts w:ascii="Century Schoolbook" w:hAnsi="Century Schoolbook"/>
          <w:sz w:val="27"/>
          <w:szCs w:val="26"/>
        </w:rPr>
        <w:t>Code, § 5366</w:t>
      </w:r>
      <w:r w:rsidRPr="001B41E4" w:rsidR="00C2376F">
        <w:rPr>
          <w:rFonts w:ascii="Century Schoolbook" w:hAnsi="Century Schoolbook"/>
          <w:sz w:val="27"/>
          <w:szCs w:val="26"/>
        </w:rPr>
        <w:t xml:space="preserve"> [exhaustion requirement under the Improvement Act of 1911]; </w:t>
      </w:r>
      <w:r w:rsidRPr="001B41E4" w:rsidR="00ED6D6D">
        <w:rPr>
          <w:rFonts w:ascii="Century Schoolbook" w:hAnsi="Century Schoolbook"/>
          <w:sz w:val="27"/>
          <w:szCs w:val="26"/>
        </w:rPr>
        <w:t>cf.</w:t>
      </w:r>
      <w:r w:rsidRPr="001B41E4" w:rsidR="00C2376F">
        <w:rPr>
          <w:rFonts w:ascii="Century Schoolbook" w:hAnsi="Century Schoolbook"/>
          <w:sz w:val="27"/>
          <w:szCs w:val="26"/>
        </w:rPr>
        <w:t xml:space="preserve"> Lubbers, </w:t>
      </w:r>
      <w:r w:rsidRPr="001B41E4" w:rsidR="00C2376F">
        <w:rPr>
          <w:rFonts w:ascii="Century Schoolbook" w:hAnsi="Century Schoolbook"/>
          <w:i/>
          <w:iCs/>
          <w:sz w:val="27"/>
          <w:szCs w:val="26"/>
        </w:rPr>
        <w:t>Fail to Comment at Your Own Risk: Does Issue Exhaustion Have a Place in Judicial Review of Rules?</w:t>
      </w:r>
      <w:r w:rsidRPr="001B41E4" w:rsidR="00C2376F">
        <w:rPr>
          <w:rFonts w:ascii="Century Schoolbook" w:hAnsi="Century Schoolbook"/>
          <w:sz w:val="27"/>
          <w:szCs w:val="26"/>
        </w:rPr>
        <w:t xml:space="preserve"> (2018) 70</w:t>
      </w:r>
      <w:r w:rsidRPr="001B41E4" w:rsidR="00D50877">
        <w:rPr>
          <w:rFonts w:ascii="Century Schoolbook" w:hAnsi="Century Schoolbook"/>
          <w:sz w:val="27"/>
          <w:szCs w:val="26"/>
        </w:rPr>
        <w:t> </w:t>
      </w:r>
      <w:r w:rsidRPr="001B41E4" w:rsidR="00C2376F">
        <w:rPr>
          <w:rFonts w:ascii="Century Schoolbook" w:hAnsi="Century Schoolbook"/>
          <w:sz w:val="27"/>
          <w:szCs w:val="26"/>
        </w:rPr>
        <w:t>Admin. L.Rev. 109, 114</w:t>
      </w:r>
      <w:r w:rsidRPr="001B41E4" w:rsidR="00CF0641">
        <w:rPr>
          <w:rFonts w:ascii="Century Schoolbook" w:hAnsi="Century Schoolbook"/>
          <w:sz w:val="27"/>
          <w:szCs w:val="26"/>
        </w:rPr>
        <w:t>–</w:t>
      </w:r>
      <w:r w:rsidRPr="001B41E4" w:rsidR="00C2376F">
        <w:rPr>
          <w:rFonts w:ascii="Century Schoolbook" w:hAnsi="Century Schoolbook"/>
          <w:sz w:val="27"/>
          <w:szCs w:val="26"/>
        </w:rPr>
        <w:t xml:space="preserve">118 </w:t>
      </w:r>
      <w:r w:rsidRPr="001B41E4" w:rsidR="00EB5C69">
        <w:rPr>
          <w:rFonts w:ascii="Century Schoolbook" w:hAnsi="Century Schoolbook"/>
          <w:sz w:val="27"/>
          <w:szCs w:val="26"/>
        </w:rPr>
        <w:t xml:space="preserve">(Lubbers) </w:t>
      </w:r>
      <w:r w:rsidRPr="001B41E4" w:rsidR="00C2376F">
        <w:rPr>
          <w:rFonts w:ascii="Century Schoolbook" w:hAnsi="Century Schoolbook"/>
          <w:sz w:val="27"/>
          <w:szCs w:val="26"/>
        </w:rPr>
        <w:t>[listing federal statutes requiring exhaustion]</w:t>
      </w:r>
      <w:r w:rsidRPr="001B41E4">
        <w:rPr>
          <w:rFonts w:ascii="Century Schoolbook" w:hAnsi="Century Schoolbook"/>
          <w:sz w:val="27"/>
          <w:szCs w:val="26"/>
        </w:rPr>
        <w:t>.)</w:t>
      </w:r>
      <w:r w:rsidRPr="001B41E4" w:rsidR="00A06274">
        <w:rPr>
          <w:rFonts w:ascii="Century Schoolbook" w:hAnsi="Century Schoolbook"/>
          <w:sz w:val="27"/>
          <w:szCs w:val="26"/>
        </w:rPr>
        <w:t xml:space="preserve"> </w:t>
      </w:r>
      <w:r w:rsidRPr="001B41E4">
        <w:rPr>
          <w:rFonts w:ascii="Century Schoolbook" w:hAnsi="Century Schoolbook"/>
          <w:sz w:val="27"/>
          <w:szCs w:val="26"/>
        </w:rPr>
        <w:t xml:space="preserve"> </w:t>
      </w:r>
    </w:p>
    <w:p w:rsidR="00C16396" w:rsidRPr="001B41E4" w:rsidP="00F12578" w14:paraId="3D05AA6E" w14:textId="6DAF8EE0">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 xml:space="preserve">In appropriate </w:t>
      </w:r>
      <w:r w:rsidR="00393045">
        <w:rPr>
          <w:rFonts w:ascii="Century Schoolbook" w:hAnsi="Century Schoolbook"/>
          <w:sz w:val="27"/>
          <w:szCs w:val="26"/>
        </w:rPr>
        <w:t>circumstances</w:t>
      </w:r>
      <w:r w:rsidR="0055798A">
        <w:rPr>
          <w:rFonts w:ascii="Century Schoolbook" w:hAnsi="Century Schoolbook"/>
          <w:sz w:val="27"/>
          <w:szCs w:val="26"/>
        </w:rPr>
        <w:t>,</w:t>
      </w:r>
      <w:r w:rsidRPr="001B41E4">
        <w:rPr>
          <w:rFonts w:ascii="Century Schoolbook" w:hAnsi="Century Schoolbook"/>
          <w:sz w:val="27"/>
          <w:szCs w:val="26"/>
        </w:rPr>
        <w:t xml:space="preserve"> w</w:t>
      </w:r>
      <w:r w:rsidRPr="001B41E4" w:rsidR="00ED6D6D">
        <w:rPr>
          <w:rFonts w:ascii="Century Schoolbook" w:hAnsi="Century Schoolbook"/>
          <w:sz w:val="27"/>
          <w:szCs w:val="26"/>
        </w:rPr>
        <w:t>e also</w:t>
      </w:r>
      <w:r w:rsidRPr="001B41E4" w:rsidR="008E5CAA">
        <w:rPr>
          <w:rFonts w:ascii="Century Schoolbook" w:hAnsi="Century Schoolbook"/>
          <w:sz w:val="27"/>
          <w:szCs w:val="26"/>
        </w:rPr>
        <w:t xml:space="preserve"> have inferred an exhaustion requirement </w:t>
      </w:r>
      <w:r w:rsidRPr="001B41E4" w:rsidR="00ED6D6D">
        <w:rPr>
          <w:rFonts w:ascii="Century Schoolbook" w:hAnsi="Century Schoolbook"/>
          <w:sz w:val="27"/>
          <w:szCs w:val="26"/>
        </w:rPr>
        <w:t xml:space="preserve">in </w:t>
      </w:r>
      <w:r w:rsidRPr="001B41E4" w:rsidR="00046DBB">
        <w:rPr>
          <w:rFonts w:ascii="Century Schoolbook" w:hAnsi="Century Schoolbook"/>
          <w:sz w:val="27"/>
          <w:szCs w:val="26"/>
        </w:rPr>
        <w:t xml:space="preserve">statutory </w:t>
      </w:r>
      <w:r w:rsidR="005917DE">
        <w:rPr>
          <w:rFonts w:ascii="Century Schoolbook" w:hAnsi="Century Schoolbook"/>
          <w:sz w:val="27"/>
          <w:szCs w:val="26"/>
        </w:rPr>
        <w:t xml:space="preserve">and regulatory </w:t>
      </w:r>
      <w:r w:rsidRPr="001B41E4" w:rsidR="00046DBB">
        <w:rPr>
          <w:rFonts w:ascii="Century Schoolbook" w:hAnsi="Century Schoolbook"/>
          <w:sz w:val="27"/>
          <w:szCs w:val="26"/>
        </w:rPr>
        <w:t>schemes</w:t>
      </w:r>
      <w:r w:rsidRPr="001B41E4" w:rsidR="008E5CAA">
        <w:rPr>
          <w:rFonts w:ascii="Century Schoolbook" w:hAnsi="Century Schoolbook"/>
          <w:sz w:val="27"/>
          <w:szCs w:val="26"/>
        </w:rPr>
        <w:t xml:space="preserve"> </w:t>
      </w:r>
      <w:r w:rsidR="00D12E85">
        <w:rPr>
          <w:rFonts w:ascii="Century Schoolbook" w:hAnsi="Century Schoolbook"/>
          <w:sz w:val="27"/>
          <w:szCs w:val="26"/>
        </w:rPr>
        <w:t>that do not contain</w:t>
      </w:r>
      <w:r w:rsidR="00AB6153">
        <w:rPr>
          <w:rFonts w:ascii="Century Schoolbook" w:hAnsi="Century Schoolbook"/>
          <w:sz w:val="27"/>
          <w:szCs w:val="26"/>
        </w:rPr>
        <w:t xml:space="preserve"> any express</w:t>
      </w:r>
      <w:r w:rsidRPr="001B41E4" w:rsidR="008E5CAA">
        <w:rPr>
          <w:rFonts w:ascii="Century Schoolbook" w:hAnsi="Century Schoolbook"/>
          <w:sz w:val="27"/>
          <w:szCs w:val="26"/>
        </w:rPr>
        <w:t xml:space="preserve"> </w:t>
      </w:r>
      <w:r w:rsidR="00F5165A">
        <w:rPr>
          <w:rFonts w:ascii="Century Schoolbook" w:hAnsi="Century Schoolbook"/>
          <w:sz w:val="27"/>
          <w:szCs w:val="26"/>
        </w:rPr>
        <w:t>command</w:t>
      </w:r>
      <w:r w:rsidRPr="001B41E4" w:rsidR="008E5CAA">
        <w:rPr>
          <w:rFonts w:ascii="Century Schoolbook" w:hAnsi="Century Schoolbook"/>
          <w:sz w:val="27"/>
          <w:szCs w:val="26"/>
        </w:rPr>
        <w:t xml:space="preserve"> </w:t>
      </w:r>
      <w:r w:rsidR="00F5165A">
        <w:rPr>
          <w:rFonts w:ascii="Century Schoolbook" w:hAnsi="Century Schoolbook"/>
          <w:sz w:val="27"/>
          <w:szCs w:val="26"/>
        </w:rPr>
        <w:t>that</w:t>
      </w:r>
      <w:r w:rsidRPr="001B41E4" w:rsidR="008E5CAA">
        <w:rPr>
          <w:rFonts w:ascii="Century Schoolbook" w:hAnsi="Century Schoolbook"/>
          <w:sz w:val="27"/>
          <w:szCs w:val="26"/>
        </w:rPr>
        <w:t xml:space="preserve"> </w:t>
      </w:r>
      <w:r w:rsidRPr="001B41E4" w:rsidR="008A59DA">
        <w:rPr>
          <w:rFonts w:ascii="Century Schoolbook" w:hAnsi="Century Schoolbook"/>
          <w:sz w:val="27"/>
          <w:szCs w:val="26"/>
        </w:rPr>
        <w:t xml:space="preserve">available </w:t>
      </w:r>
      <w:r w:rsidRPr="001B41E4" w:rsidR="00AB5CDA">
        <w:rPr>
          <w:rFonts w:ascii="Century Schoolbook" w:hAnsi="Century Schoolbook"/>
          <w:sz w:val="27"/>
          <w:szCs w:val="26"/>
        </w:rPr>
        <w:t>administrative</w:t>
      </w:r>
      <w:r w:rsidRPr="001B41E4" w:rsidR="008E5CAA">
        <w:rPr>
          <w:rFonts w:ascii="Century Schoolbook" w:hAnsi="Century Schoolbook"/>
          <w:sz w:val="27"/>
          <w:szCs w:val="26"/>
        </w:rPr>
        <w:t xml:space="preserve"> procedures </w:t>
      </w:r>
      <w:r w:rsidR="00F5165A">
        <w:rPr>
          <w:rFonts w:ascii="Century Schoolbook" w:hAnsi="Century Schoolbook"/>
          <w:sz w:val="27"/>
          <w:szCs w:val="26"/>
        </w:rPr>
        <w:t>be</w:t>
      </w:r>
      <w:r w:rsidR="00AB6153">
        <w:rPr>
          <w:rFonts w:ascii="Century Schoolbook" w:hAnsi="Century Schoolbook"/>
          <w:sz w:val="27"/>
          <w:szCs w:val="26"/>
        </w:rPr>
        <w:t xml:space="preserve"> </w:t>
      </w:r>
      <w:r w:rsidR="00F5165A">
        <w:rPr>
          <w:rFonts w:ascii="Century Schoolbook" w:hAnsi="Century Schoolbook"/>
          <w:sz w:val="27"/>
          <w:szCs w:val="26"/>
        </w:rPr>
        <w:t xml:space="preserve">engaged </w:t>
      </w:r>
      <w:r w:rsidRPr="001B41E4" w:rsidR="008E5CAA">
        <w:rPr>
          <w:rFonts w:ascii="Century Schoolbook" w:hAnsi="Century Schoolbook"/>
          <w:sz w:val="27"/>
          <w:szCs w:val="26"/>
        </w:rPr>
        <w:t>before relief</w:t>
      </w:r>
      <w:r w:rsidRPr="001B41E4" w:rsidR="00046DBB">
        <w:rPr>
          <w:rFonts w:ascii="Century Schoolbook" w:hAnsi="Century Schoolbook"/>
          <w:sz w:val="27"/>
          <w:szCs w:val="26"/>
        </w:rPr>
        <w:t xml:space="preserve"> </w:t>
      </w:r>
      <w:r w:rsidR="00AB6153">
        <w:rPr>
          <w:rFonts w:ascii="Century Schoolbook" w:hAnsi="Century Schoolbook"/>
          <w:sz w:val="27"/>
          <w:szCs w:val="26"/>
        </w:rPr>
        <w:t>may</w:t>
      </w:r>
      <w:r w:rsidRPr="001B41E4" w:rsidR="00046DBB">
        <w:rPr>
          <w:rFonts w:ascii="Century Schoolbook" w:hAnsi="Century Schoolbook"/>
          <w:sz w:val="27"/>
          <w:szCs w:val="26"/>
        </w:rPr>
        <w:t xml:space="preserve"> be sought</w:t>
      </w:r>
      <w:r w:rsidRPr="001B41E4" w:rsidR="008E5CAA">
        <w:rPr>
          <w:rFonts w:ascii="Century Schoolbook" w:hAnsi="Century Schoolbook"/>
          <w:sz w:val="27"/>
          <w:szCs w:val="26"/>
        </w:rPr>
        <w:t xml:space="preserve"> in court. </w:t>
      </w:r>
      <w:r w:rsidRPr="001B41E4" w:rsidR="00046DBB">
        <w:rPr>
          <w:rFonts w:ascii="Century Schoolbook" w:hAnsi="Century Schoolbook"/>
          <w:sz w:val="27"/>
          <w:szCs w:val="26"/>
        </w:rPr>
        <w:t xml:space="preserve"> (</w:t>
      </w:r>
      <w:r w:rsidR="00F01439">
        <w:rPr>
          <w:rFonts w:ascii="Century Schoolbook" w:hAnsi="Century Schoolbook"/>
          <w:sz w:val="27"/>
          <w:szCs w:val="26"/>
        </w:rPr>
        <w:t>E.</w:t>
      </w:r>
      <w:r w:rsidRPr="001B41E4" w:rsidR="00F12578">
        <w:rPr>
          <w:rFonts w:ascii="Century Schoolbook" w:hAnsi="Century Schoolbook"/>
          <w:sz w:val="27"/>
          <w:szCs w:val="26"/>
        </w:rPr>
        <w:t xml:space="preserve">g., </w:t>
      </w:r>
      <w:r w:rsidRPr="001B41E4" w:rsidR="007E5F00">
        <w:rPr>
          <w:rFonts w:ascii="Century Schoolbook" w:hAnsi="Century Schoolbook"/>
          <w:i/>
          <w:iCs/>
          <w:sz w:val="27"/>
          <w:szCs w:val="26"/>
        </w:rPr>
        <w:t xml:space="preserve">Flores v. Los Angeles Turf Club </w:t>
      </w:r>
      <w:r w:rsidRPr="001B41E4" w:rsidR="007E5F00">
        <w:rPr>
          <w:rFonts w:ascii="Century Schoolbook" w:hAnsi="Century Schoolbook"/>
          <w:sz w:val="27"/>
          <w:szCs w:val="26"/>
        </w:rPr>
        <w:t>(1961) 55</w:t>
      </w:r>
      <w:r w:rsidR="00611133">
        <w:rPr>
          <w:rFonts w:ascii="Century Schoolbook" w:hAnsi="Century Schoolbook"/>
          <w:sz w:val="27"/>
          <w:szCs w:val="26"/>
        </w:rPr>
        <w:t> </w:t>
      </w:r>
      <w:r w:rsidRPr="001B41E4" w:rsidR="007E5F00">
        <w:rPr>
          <w:rFonts w:ascii="Century Schoolbook" w:hAnsi="Century Schoolbook"/>
          <w:sz w:val="27"/>
          <w:szCs w:val="26"/>
        </w:rPr>
        <w:t>Cal.2d 736, 746–747</w:t>
      </w:r>
      <w:r w:rsidRPr="001B41E4" w:rsidR="0015476F">
        <w:rPr>
          <w:rFonts w:ascii="Century Schoolbook" w:hAnsi="Century Schoolbook"/>
          <w:sz w:val="27"/>
          <w:szCs w:val="26"/>
        </w:rPr>
        <w:t xml:space="preserve"> (</w:t>
      </w:r>
      <w:r w:rsidRPr="001B41E4" w:rsidR="0015476F">
        <w:rPr>
          <w:rFonts w:ascii="Century Schoolbook" w:hAnsi="Century Schoolbook"/>
          <w:i/>
          <w:iCs/>
          <w:sz w:val="27"/>
          <w:szCs w:val="26"/>
        </w:rPr>
        <w:t>Flores</w:t>
      </w:r>
      <w:r w:rsidRPr="001B41E4" w:rsidR="0015476F">
        <w:rPr>
          <w:rFonts w:ascii="Century Schoolbook" w:hAnsi="Century Schoolbook"/>
          <w:sz w:val="27"/>
          <w:szCs w:val="26"/>
        </w:rPr>
        <w:t>)</w:t>
      </w:r>
      <w:r w:rsidRPr="001B41E4" w:rsidR="003E426D">
        <w:rPr>
          <w:rFonts w:ascii="Century Schoolbook" w:hAnsi="Century Schoolbook"/>
          <w:sz w:val="27"/>
          <w:szCs w:val="26"/>
        </w:rPr>
        <w:t>.)</w:t>
      </w:r>
      <w:r w:rsidRPr="001B41E4" w:rsidR="00F51F58">
        <w:rPr>
          <w:rFonts w:ascii="Century Schoolbook" w:hAnsi="Century Schoolbook"/>
          <w:b/>
          <w:bCs/>
          <w:sz w:val="27"/>
          <w:szCs w:val="26"/>
        </w:rPr>
        <w:t xml:space="preserve"> </w:t>
      </w:r>
      <w:r w:rsidRPr="001B41E4" w:rsidR="00F12578">
        <w:rPr>
          <w:rFonts w:ascii="Century Schoolbook" w:hAnsi="Century Schoolbook"/>
          <w:sz w:val="27"/>
          <w:szCs w:val="26"/>
        </w:rPr>
        <w:t xml:space="preserve"> </w:t>
      </w:r>
      <w:r w:rsidR="002F0325">
        <w:rPr>
          <w:rFonts w:ascii="Century Schoolbook" w:hAnsi="Century Schoolbook"/>
          <w:sz w:val="27"/>
          <w:szCs w:val="26"/>
        </w:rPr>
        <w:t>In deciding whether to draw such an inference,</w:t>
      </w:r>
      <w:r w:rsidR="00F01439">
        <w:rPr>
          <w:rFonts w:ascii="Century Schoolbook" w:hAnsi="Century Schoolbook"/>
          <w:sz w:val="27"/>
          <w:szCs w:val="26"/>
        </w:rPr>
        <w:t xml:space="preserve"> </w:t>
      </w:r>
      <w:r w:rsidR="002F0325">
        <w:rPr>
          <w:rFonts w:ascii="Century Schoolbook" w:hAnsi="Century Schoolbook"/>
          <w:sz w:val="27"/>
          <w:szCs w:val="26"/>
        </w:rPr>
        <w:t xml:space="preserve">we </w:t>
      </w:r>
      <w:r w:rsidR="00B5551B">
        <w:rPr>
          <w:rFonts w:ascii="Century Schoolbook" w:hAnsi="Century Schoolbook"/>
          <w:sz w:val="27"/>
          <w:szCs w:val="26"/>
        </w:rPr>
        <w:t>give due consideration to</w:t>
      </w:r>
      <w:r w:rsidR="002F0325">
        <w:rPr>
          <w:rFonts w:ascii="Century Schoolbook" w:hAnsi="Century Schoolbook"/>
          <w:sz w:val="27"/>
          <w:szCs w:val="26"/>
        </w:rPr>
        <w:t xml:space="preserve"> the</w:t>
      </w:r>
      <w:r w:rsidR="000069CE">
        <w:rPr>
          <w:rFonts w:ascii="Century Schoolbook" w:hAnsi="Century Schoolbook"/>
          <w:sz w:val="27"/>
          <w:szCs w:val="26"/>
        </w:rPr>
        <w:t xml:space="preserve"> </w:t>
      </w:r>
      <w:r w:rsidR="00393045">
        <w:rPr>
          <w:rFonts w:ascii="Century Schoolbook" w:hAnsi="Century Schoolbook"/>
          <w:sz w:val="27"/>
          <w:szCs w:val="26"/>
        </w:rPr>
        <w:t xml:space="preserve">extrajudicial </w:t>
      </w:r>
      <w:r w:rsidR="000069CE">
        <w:rPr>
          <w:rFonts w:ascii="Century Schoolbook" w:hAnsi="Century Schoolbook"/>
          <w:sz w:val="27"/>
          <w:szCs w:val="26"/>
        </w:rPr>
        <w:t xml:space="preserve">procedures </w:t>
      </w:r>
      <w:r w:rsidR="002F0325">
        <w:rPr>
          <w:rFonts w:ascii="Century Schoolbook" w:hAnsi="Century Schoolbook"/>
          <w:sz w:val="27"/>
          <w:szCs w:val="26"/>
        </w:rPr>
        <w:t>involved</w:t>
      </w:r>
      <w:r w:rsidR="0055798A">
        <w:rPr>
          <w:rFonts w:ascii="Century Schoolbook" w:hAnsi="Century Schoolbook"/>
          <w:sz w:val="27"/>
          <w:szCs w:val="26"/>
        </w:rPr>
        <w:t xml:space="preserve"> and</w:t>
      </w:r>
      <w:r w:rsidR="002F0325">
        <w:rPr>
          <w:rFonts w:ascii="Century Schoolbook" w:hAnsi="Century Schoolbook"/>
          <w:sz w:val="27"/>
          <w:szCs w:val="26"/>
        </w:rPr>
        <w:t xml:space="preserve"> </w:t>
      </w:r>
      <w:r w:rsidR="00B5551B">
        <w:rPr>
          <w:rFonts w:ascii="Century Schoolbook" w:hAnsi="Century Schoolbook"/>
          <w:sz w:val="27"/>
          <w:szCs w:val="26"/>
        </w:rPr>
        <w:t xml:space="preserve">to </w:t>
      </w:r>
      <w:r w:rsidR="002F0325">
        <w:rPr>
          <w:rFonts w:ascii="Century Schoolbook" w:hAnsi="Century Schoolbook"/>
          <w:sz w:val="27"/>
          <w:szCs w:val="26"/>
        </w:rPr>
        <w:t>whether</w:t>
      </w:r>
      <w:r w:rsidR="0055798A">
        <w:rPr>
          <w:rFonts w:ascii="Century Schoolbook" w:hAnsi="Century Schoolbook"/>
          <w:sz w:val="27"/>
          <w:szCs w:val="26"/>
        </w:rPr>
        <w:t xml:space="preserve"> recognition of </w:t>
      </w:r>
      <w:r w:rsidR="004F3850">
        <w:rPr>
          <w:rFonts w:ascii="Century Schoolbook" w:hAnsi="Century Schoolbook"/>
          <w:sz w:val="27"/>
          <w:szCs w:val="26"/>
        </w:rPr>
        <w:t xml:space="preserve">an </w:t>
      </w:r>
      <w:r w:rsidRPr="001B41E4">
        <w:rPr>
          <w:rFonts w:ascii="Century Schoolbook" w:hAnsi="Century Schoolbook"/>
          <w:sz w:val="27"/>
          <w:shd w:val="clear" w:color="auto" w:fill="FFFFFF"/>
        </w:rPr>
        <w:t xml:space="preserve">exhaustion requirement “would comport with the statutory scheme and advance the general purposes served by the exhaustion rule.”  </w:t>
      </w:r>
      <w:r w:rsidRPr="001B41E4">
        <w:rPr>
          <w:rFonts w:ascii="Century Schoolbook" w:hAnsi="Century Schoolbook"/>
          <w:sz w:val="27"/>
          <w:szCs w:val="26"/>
        </w:rPr>
        <w:t>(</w:t>
      </w:r>
      <w:r w:rsidRPr="001B41E4">
        <w:rPr>
          <w:rFonts w:ascii="Century Schoolbook" w:hAnsi="Century Schoolbook"/>
          <w:i/>
          <w:iCs/>
          <w:sz w:val="27"/>
          <w:szCs w:val="27"/>
        </w:rPr>
        <w:t>Williams &amp; Fickett</w:t>
      </w:r>
      <w:r w:rsidRPr="001B41E4">
        <w:rPr>
          <w:rFonts w:ascii="Century Schoolbook" w:hAnsi="Century Schoolbook"/>
          <w:sz w:val="27"/>
          <w:szCs w:val="27"/>
        </w:rPr>
        <w:t xml:space="preserve">, </w:t>
      </w:r>
      <w:r w:rsidRPr="001B41E4" w:rsidR="00F01439">
        <w:rPr>
          <w:rFonts w:ascii="Century Schoolbook" w:hAnsi="Century Schoolbook"/>
          <w:i/>
          <w:iCs/>
          <w:sz w:val="27"/>
          <w:szCs w:val="26"/>
        </w:rPr>
        <w:t>supra</w:t>
      </w:r>
      <w:r w:rsidRPr="001B41E4" w:rsidR="00F01439">
        <w:rPr>
          <w:rFonts w:ascii="Century Schoolbook" w:hAnsi="Century Schoolbook"/>
          <w:sz w:val="27"/>
          <w:szCs w:val="26"/>
        </w:rPr>
        <w:t xml:space="preserve">, 2 Cal.5th </w:t>
      </w:r>
      <w:r w:rsidRPr="001B41E4">
        <w:rPr>
          <w:rFonts w:ascii="Century Schoolbook" w:hAnsi="Century Schoolbook"/>
          <w:sz w:val="27"/>
          <w:szCs w:val="27"/>
        </w:rPr>
        <w:t xml:space="preserve">at p. 1274; see also </w:t>
      </w:r>
      <w:r w:rsidRPr="001B41E4">
        <w:rPr>
          <w:rFonts w:ascii="Century Schoolbook" w:hAnsi="Century Schoolbook"/>
          <w:i/>
          <w:iCs/>
          <w:sz w:val="27"/>
          <w:szCs w:val="27"/>
        </w:rPr>
        <w:t>Flores</w:t>
      </w:r>
      <w:r w:rsidRPr="001B41E4">
        <w:rPr>
          <w:rFonts w:ascii="Century Schoolbook" w:hAnsi="Century Schoolbook"/>
          <w:sz w:val="27"/>
          <w:szCs w:val="27"/>
        </w:rPr>
        <w:t>, at pp. 746–747</w:t>
      </w:r>
      <w:r w:rsidR="00CB6B40">
        <w:rPr>
          <w:rFonts w:ascii="Century Schoolbook" w:hAnsi="Century Schoolbook"/>
          <w:sz w:val="27"/>
          <w:szCs w:val="27"/>
        </w:rPr>
        <w:t>.</w:t>
      </w:r>
      <w:r w:rsidRPr="001B41E4">
        <w:rPr>
          <w:rFonts w:ascii="Century Schoolbook" w:hAnsi="Century Schoolbook"/>
          <w:sz w:val="27"/>
          <w:szCs w:val="27"/>
        </w:rPr>
        <w:t>)</w:t>
      </w:r>
      <w:r w:rsidR="00CB6B40">
        <w:rPr>
          <w:rFonts w:ascii="Century Schoolbook" w:hAnsi="Century Schoolbook"/>
          <w:sz w:val="27"/>
          <w:szCs w:val="27"/>
        </w:rPr>
        <w:t xml:space="preserve">  </w:t>
      </w:r>
      <w:r w:rsidR="002F0325">
        <w:rPr>
          <w:rFonts w:ascii="Century Schoolbook" w:hAnsi="Century Schoolbook"/>
          <w:sz w:val="27"/>
          <w:szCs w:val="27"/>
        </w:rPr>
        <w:t xml:space="preserve">This analysis </w:t>
      </w:r>
      <w:r w:rsidR="007211E3">
        <w:rPr>
          <w:rFonts w:ascii="Century Schoolbook" w:hAnsi="Century Schoolbook"/>
          <w:sz w:val="27"/>
          <w:szCs w:val="27"/>
        </w:rPr>
        <w:t>also must</w:t>
      </w:r>
      <w:r w:rsidR="002F0325">
        <w:rPr>
          <w:rFonts w:ascii="Century Schoolbook" w:hAnsi="Century Schoolbook"/>
          <w:sz w:val="27"/>
          <w:szCs w:val="27"/>
        </w:rPr>
        <w:t xml:space="preserve"> </w:t>
      </w:r>
      <w:r w:rsidR="007211E3">
        <w:rPr>
          <w:rFonts w:ascii="Century Schoolbook" w:hAnsi="Century Schoolbook"/>
          <w:sz w:val="27"/>
          <w:szCs w:val="27"/>
        </w:rPr>
        <w:t xml:space="preserve">recognize </w:t>
      </w:r>
      <w:r w:rsidR="002F0325">
        <w:rPr>
          <w:rFonts w:ascii="Century Schoolbook" w:hAnsi="Century Schoolbook"/>
          <w:sz w:val="27"/>
          <w:szCs w:val="27"/>
        </w:rPr>
        <w:t xml:space="preserve">that when </w:t>
      </w:r>
      <w:r w:rsidR="007211E3">
        <w:rPr>
          <w:rFonts w:ascii="Century Schoolbook" w:hAnsi="Century Schoolbook"/>
          <w:sz w:val="27"/>
          <w:szCs w:val="27"/>
        </w:rPr>
        <w:t>the Legislature has provided for</w:t>
      </w:r>
      <w:r w:rsidR="00316B3A">
        <w:rPr>
          <w:rFonts w:ascii="Century Schoolbook" w:hAnsi="Century Schoolbook"/>
          <w:sz w:val="27"/>
          <w:szCs w:val="27"/>
        </w:rPr>
        <w:t xml:space="preserve"> an</w:t>
      </w:r>
      <w:r w:rsidR="002F0325">
        <w:rPr>
          <w:rFonts w:ascii="Century Schoolbook" w:hAnsi="Century Schoolbook"/>
          <w:sz w:val="27"/>
          <w:szCs w:val="27"/>
        </w:rPr>
        <w:t xml:space="preserve"> </w:t>
      </w:r>
      <w:r w:rsidR="00316B3A">
        <w:rPr>
          <w:rFonts w:ascii="Century Schoolbook" w:hAnsi="Century Schoolbook"/>
          <w:sz w:val="27"/>
          <w:szCs w:val="27"/>
        </w:rPr>
        <w:t>adequate remedy</w:t>
      </w:r>
      <w:r w:rsidR="002F0325">
        <w:rPr>
          <w:rFonts w:ascii="Century Schoolbook" w:hAnsi="Century Schoolbook"/>
          <w:sz w:val="27"/>
          <w:szCs w:val="27"/>
        </w:rPr>
        <w:t>, “a</w:t>
      </w:r>
      <w:r w:rsidRPr="002F0325" w:rsidR="002F0325">
        <w:rPr>
          <w:rFonts w:ascii="Century Schoolbook" w:hAnsi="Century Schoolbook"/>
          <w:sz w:val="27"/>
          <w:szCs w:val="27"/>
        </w:rPr>
        <w:t>bsent a clear indication of legislative intent, we should refrain from inferring a statutory exemption from our settled rule requiring exhaustion of administrative remedies</w:t>
      </w:r>
      <w:r w:rsidR="002F0325">
        <w:rPr>
          <w:rFonts w:ascii="Century Schoolbook" w:hAnsi="Century Schoolbook"/>
          <w:sz w:val="27"/>
          <w:szCs w:val="27"/>
        </w:rPr>
        <w:t>.”</w:t>
      </w:r>
      <w:r w:rsidR="00316B3A">
        <w:rPr>
          <w:rFonts w:ascii="Century Schoolbook" w:hAnsi="Century Schoolbook"/>
          <w:sz w:val="27"/>
          <w:szCs w:val="27"/>
        </w:rPr>
        <w:t xml:space="preserve"> </w:t>
      </w:r>
      <w:r w:rsidR="002F0325">
        <w:rPr>
          <w:rFonts w:ascii="Century Schoolbook" w:hAnsi="Century Schoolbook"/>
          <w:sz w:val="27"/>
          <w:szCs w:val="27"/>
        </w:rPr>
        <w:t xml:space="preserve"> (</w:t>
      </w:r>
      <w:r w:rsidRPr="002F0325" w:rsidR="002F0325">
        <w:rPr>
          <w:rFonts w:ascii="Century Schoolbook" w:hAnsi="Century Schoolbook"/>
          <w:i/>
          <w:iCs/>
          <w:sz w:val="27"/>
          <w:szCs w:val="27"/>
        </w:rPr>
        <w:t>C</w:t>
      </w:r>
      <w:r w:rsidRPr="001B41E4" w:rsidR="002F0325">
        <w:rPr>
          <w:rFonts w:ascii="Century Schoolbook" w:hAnsi="Century Schoolbook"/>
          <w:i/>
          <w:iCs/>
          <w:sz w:val="27"/>
          <w:szCs w:val="26"/>
        </w:rPr>
        <w:t>ampbell v. Regents of University of California</w:t>
      </w:r>
      <w:r w:rsidRPr="001B41E4" w:rsidR="002F0325">
        <w:rPr>
          <w:rFonts w:ascii="Century Schoolbook" w:hAnsi="Century Schoolbook"/>
          <w:sz w:val="27"/>
          <w:szCs w:val="26"/>
        </w:rPr>
        <w:t xml:space="preserve"> (2005) 35 Cal.4th 311, 3</w:t>
      </w:r>
      <w:r w:rsidR="002F0325">
        <w:rPr>
          <w:rFonts w:ascii="Century Schoolbook" w:hAnsi="Century Schoolbook"/>
          <w:sz w:val="27"/>
          <w:szCs w:val="26"/>
        </w:rPr>
        <w:t>3</w:t>
      </w:r>
      <w:r w:rsidRPr="001B41E4" w:rsidR="002F0325">
        <w:rPr>
          <w:rFonts w:ascii="Century Schoolbook" w:hAnsi="Century Schoolbook"/>
          <w:sz w:val="27"/>
          <w:szCs w:val="26"/>
        </w:rPr>
        <w:t>3 (</w:t>
      </w:r>
      <w:r w:rsidRPr="001B41E4" w:rsidR="002F0325">
        <w:rPr>
          <w:rFonts w:ascii="Century Schoolbook" w:hAnsi="Century Schoolbook"/>
          <w:i/>
          <w:iCs/>
          <w:sz w:val="27"/>
          <w:szCs w:val="26"/>
        </w:rPr>
        <w:t>Campbell</w:t>
      </w:r>
      <w:r w:rsidRPr="001B41E4" w:rsidR="002F0325">
        <w:rPr>
          <w:rFonts w:ascii="Century Schoolbook" w:hAnsi="Century Schoolbook"/>
          <w:sz w:val="27"/>
          <w:szCs w:val="26"/>
        </w:rPr>
        <w:t>)</w:t>
      </w:r>
      <w:r w:rsidR="002F0325">
        <w:rPr>
          <w:rFonts w:ascii="Century Schoolbook" w:hAnsi="Century Schoolbook"/>
          <w:sz w:val="27"/>
          <w:szCs w:val="26"/>
        </w:rPr>
        <w:t>.)</w:t>
      </w:r>
    </w:p>
    <w:p w:rsidR="008E5CAA" w:rsidRPr="001B41E4" w:rsidP="00393045" w14:paraId="042309D1" w14:textId="68F03025">
      <w:pPr>
        <w:pStyle w:val="xmsonormal"/>
        <w:shd w:val="clear" w:color="auto" w:fill="FFFFFF"/>
        <w:spacing w:before="0" w:beforeAutospacing="0" w:afterAutospacing="0" w:line="400" w:lineRule="exact"/>
        <w:ind w:firstLine="720"/>
        <w:rPr>
          <w:rFonts w:ascii="Century Schoolbook" w:hAnsi="Century Schoolbook"/>
          <w:sz w:val="27"/>
          <w:szCs w:val="26"/>
        </w:rPr>
      </w:pPr>
      <w:r>
        <w:rPr>
          <w:rFonts w:ascii="Century Schoolbook" w:hAnsi="Century Schoolbook"/>
          <w:sz w:val="27"/>
          <w:szCs w:val="27"/>
        </w:rPr>
        <w:t>S</w:t>
      </w:r>
      <w:r w:rsidR="005917DE">
        <w:rPr>
          <w:rFonts w:ascii="Century Schoolbook" w:hAnsi="Century Schoolbook"/>
          <w:sz w:val="27"/>
          <w:szCs w:val="27"/>
        </w:rPr>
        <w:t xml:space="preserve">everal rationales exist for requiring exhaustion of an available </w:t>
      </w:r>
      <w:r w:rsidR="00D12E85">
        <w:rPr>
          <w:rFonts w:ascii="Century Schoolbook" w:hAnsi="Century Schoolbook"/>
          <w:sz w:val="27"/>
          <w:szCs w:val="27"/>
        </w:rPr>
        <w:t>administrative</w:t>
      </w:r>
      <w:r w:rsidR="00393045">
        <w:rPr>
          <w:rFonts w:ascii="Century Schoolbook" w:hAnsi="Century Schoolbook"/>
          <w:sz w:val="27"/>
          <w:szCs w:val="27"/>
        </w:rPr>
        <w:t xml:space="preserve"> </w:t>
      </w:r>
      <w:r w:rsidR="00D12E85">
        <w:rPr>
          <w:rFonts w:ascii="Century Schoolbook" w:hAnsi="Century Schoolbook"/>
          <w:sz w:val="27"/>
          <w:szCs w:val="27"/>
        </w:rPr>
        <w:t>remedy</w:t>
      </w:r>
      <w:r w:rsidR="00393045">
        <w:rPr>
          <w:rFonts w:ascii="Century Schoolbook" w:hAnsi="Century Schoolbook"/>
          <w:sz w:val="27"/>
          <w:szCs w:val="27"/>
        </w:rPr>
        <w:t xml:space="preserve"> </w:t>
      </w:r>
      <w:r w:rsidRPr="001B41E4" w:rsidR="00F12578">
        <w:rPr>
          <w:rFonts w:ascii="Century Schoolbook" w:hAnsi="Century Schoolbook"/>
          <w:sz w:val="27"/>
          <w:szCs w:val="27"/>
        </w:rPr>
        <w:t xml:space="preserve">even in the absence of an </w:t>
      </w:r>
      <w:r w:rsidR="00393045">
        <w:rPr>
          <w:rFonts w:ascii="Century Schoolbook" w:hAnsi="Century Schoolbook"/>
          <w:sz w:val="27"/>
          <w:szCs w:val="27"/>
        </w:rPr>
        <w:t>explicit</w:t>
      </w:r>
      <w:r w:rsidRPr="001B41E4" w:rsidR="00F12578">
        <w:rPr>
          <w:rFonts w:ascii="Century Schoolbook" w:hAnsi="Century Schoolbook"/>
          <w:sz w:val="27"/>
          <w:szCs w:val="27"/>
        </w:rPr>
        <w:t xml:space="preserve"> directive that </w:t>
      </w:r>
      <w:r w:rsidR="006A105E">
        <w:rPr>
          <w:rFonts w:ascii="Century Schoolbook" w:hAnsi="Century Schoolbook"/>
          <w:sz w:val="27"/>
          <w:szCs w:val="27"/>
        </w:rPr>
        <w:t>this</w:t>
      </w:r>
      <w:r w:rsidR="005917DE">
        <w:rPr>
          <w:rFonts w:ascii="Century Schoolbook" w:hAnsi="Century Schoolbook"/>
          <w:sz w:val="27"/>
          <w:szCs w:val="27"/>
        </w:rPr>
        <w:t xml:space="preserve"> </w:t>
      </w:r>
      <w:r w:rsidR="00393045">
        <w:rPr>
          <w:rFonts w:ascii="Century Schoolbook" w:hAnsi="Century Schoolbook"/>
          <w:sz w:val="27"/>
          <w:szCs w:val="27"/>
        </w:rPr>
        <w:t>process</w:t>
      </w:r>
      <w:r w:rsidRPr="001B41E4" w:rsidR="00F12578">
        <w:rPr>
          <w:rFonts w:ascii="Century Schoolbook" w:hAnsi="Century Schoolbook"/>
          <w:sz w:val="27"/>
          <w:szCs w:val="27"/>
        </w:rPr>
        <w:t xml:space="preserve"> be </w:t>
      </w:r>
      <w:r w:rsidR="00F01439">
        <w:rPr>
          <w:rFonts w:ascii="Century Schoolbook" w:hAnsi="Century Schoolbook"/>
          <w:sz w:val="27"/>
          <w:szCs w:val="27"/>
        </w:rPr>
        <w:t>completed</w:t>
      </w:r>
      <w:r w:rsidRPr="001B41E4" w:rsidR="00DA485C">
        <w:rPr>
          <w:rFonts w:ascii="Century Schoolbook" w:hAnsi="Century Schoolbook"/>
          <w:sz w:val="27"/>
          <w:szCs w:val="27"/>
        </w:rPr>
        <w:t xml:space="preserve"> </w:t>
      </w:r>
      <w:r w:rsidRPr="001B41E4" w:rsidR="00F12578">
        <w:rPr>
          <w:rFonts w:ascii="Century Schoolbook" w:hAnsi="Century Schoolbook"/>
          <w:sz w:val="27"/>
          <w:szCs w:val="27"/>
        </w:rPr>
        <w:t xml:space="preserve">prior to the commencement of a judicial proceeding.  Requiring initial resort to an administrative </w:t>
      </w:r>
      <w:r w:rsidR="00393045">
        <w:rPr>
          <w:rFonts w:ascii="Century Schoolbook" w:hAnsi="Century Schoolbook"/>
          <w:sz w:val="27"/>
          <w:szCs w:val="27"/>
        </w:rPr>
        <w:t xml:space="preserve">procedure </w:t>
      </w:r>
      <w:r w:rsidRPr="001B41E4" w:rsidR="00F12578">
        <w:rPr>
          <w:rFonts w:ascii="Century Schoolbook" w:hAnsi="Century Schoolbook"/>
          <w:sz w:val="27"/>
          <w:szCs w:val="27"/>
        </w:rPr>
        <w:t xml:space="preserve">in </w:t>
      </w:r>
      <w:r w:rsidR="006A105E">
        <w:rPr>
          <w:rFonts w:ascii="Century Schoolbook" w:hAnsi="Century Schoolbook"/>
          <w:sz w:val="27"/>
          <w:szCs w:val="27"/>
        </w:rPr>
        <w:t>such</w:t>
      </w:r>
      <w:r w:rsidRPr="001B41E4" w:rsidR="00F12578">
        <w:rPr>
          <w:rFonts w:ascii="Century Schoolbook" w:hAnsi="Century Schoolbook"/>
          <w:sz w:val="27"/>
          <w:szCs w:val="27"/>
        </w:rPr>
        <w:t xml:space="preserve"> situations can be understood as vindicating legislative intent to provide an</w:t>
      </w:r>
      <w:r w:rsidR="00393045">
        <w:rPr>
          <w:rFonts w:ascii="Century Schoolbook" w:hAnsi="Century Schoolbook"/>
          <w:sz w:val="27"/>
          <w:szCs w:val="27"/>
        </w:rPr>
        <w:t>other</w:t>
      </w:r>
      <w:r w:rsidRPr="001B41E4" w:rsidR="00F12578">
        <w:rPr>
          <w:rFonts w:ascii="Century Schoolbook" w:hAnsi="Century Schoolbook"/>
          <w:sz w:val="27"/>
          <w:szCs w:val="27"/>
        </w:rPr>
        <w:t xml:space="preserve"> </w:t>
      </w:r>
      <w:r w:rsidR="00393045">
        <w:rPr>
          <w:rFonts w:ascii="Century Schoolbook" w:hAnsi="Century Schoolbook"/>
          <w:sz w:val="27"/>
          <w:szCs w:val="27"/>
        </w:rPr>
        <w:t>avenue for resolving disputes</w:t>
      </w:r>
      <w:r w:rsidRPr="001B41E4" w:rsidR="00F12578">
        <w:rPr>
          <w:rFonts w:ascii="Century Schoolbook" w:hAnsi="Century Schoolbook"/>
          <w:sz w:val="27"/>
          <w:szCs w:val="27"/>
        </w:rPr>
        <w:t xml:space="preserve">, which might be frustrated if </w:t>
      </w:r>
      <w:r w:rsidR="006A105E">
        <w:rPr>
          <w:rFonts w:ascii="Century Schoolbook" w:hAnsi="Century Schoolbook"/>
          <w:sz w:val="27"/>
          <w:szCs w:val="27"/>
        </w:rPr>
        <w:t>that mechanism</w:t>
      </w:r>
      <w:r w:rsidRPr="001B41E4" w:rsidR="00F12578">
        <w:rPr>
          <w:rFonts w:ascii="Century Schoolbook" w:hAnsi="Century Schoolbook"/>
          <w:sz w:val="27"/>
          <w:szCs w:val="27"/>
        </w:rPr>
        <w:t xml:space="preserve"> could be routinely avoided.  </w:t>
      </w:r>
      <w:r w:rsidR="006A105E">
        <w:rPr>
          <w:rFonts w:ascii="Century Schoolbook" w:hAnsi="Century Schoolbook"/>
          <w:sz w:val="27"/>
          <w:szCs w:val="27"/>
        </w:rPr>
        <w:t>T</w:t>
      </w:r>
      <w:r w:rsidRPr="001B41E4" w:rsidR="00393045">
        <w:rPr>
          <w:rFonts w:ascii="Century Schoolbook" w:hAnsi="Century Schoolbook"/>
          <w:sz w:val="27"/>
          <w:szCs w:val="26"/>
        </w:rPr>
        <w:t>he</w:t>
      </w:r>
      <w:r w:rsidR="006A105E">
        <w:rPr>
          <w:rFonts w:ascii="Century Schoolbook" w:hAnsi="Century Schoolbook"/>
          <w:sz w:val="27"/>
          <w:szCs w:val="26"/>
        </w:rPr>
        <w:t xml:space="preserve"> exhaustion</w:t>
      </w:r>
      <w:r w:rsidRPr="001B41E4" w:rsidR="00393045">
        <w:rPr>
          <w:rFonts w:ascii="Century Schoolbook" w:hAnsi="Century Schoolbook"/>
          <w:sz w:val="27"/>
          <w:szCs w:val="26"/>
        </w:rPr>
        <w:t xml:space="preserve"> doctrine </w:t>
      </w:r>
      <w:r w:rsidR="00393045">
        <w:rPr>
          <w:rFonts w:ascii="Century Schoolbook" w:hAnsi="Century Schoolbook"/>
          <w:sz w:val="27"/>
          <w:szCs w:val="26"/>
        </w:rPr>
        <w:t xml:space="preserve">also </w:t>
      </w:r>
      <w:r w:rsidRPr="001B41E4" w:rsidR="00393045">
        <w:rPr>
          <w:rFonts w:ascii="Century Schoolbook" w:hAnsi="Century Schoolbook"/>
          <w:sz w:val="27"/>
          <w:szCs w:val="26"/>
        </w:rPr>
        <w:t>recognizes and gives due respect to the autonomy of the executive and legislative branches,</w:t>
      </w:r>
      <w:r w:rsidR="00393045">
        <w:rPr>
          <w:rFonts w:ascii="Century Schoolbook" w:hAnsi="Century Schoolbook"/>
          <w:sz w:val="27"/>
          <w:szCs w:val="26"/>
        </w:rPr>
        <w:t xml:space="preserve"> and</w:t>
      </w:r>
      <w:r w:rsidRPr="001B41E4" w:rsidR="00393045">
        <w:rPr>
          <w:rFonts w:ascii="Century Schoolbook" w:hAnsi="Century Schoolbook"/>
          <w:sz w:val="27"/>
          <w:szCs w:val="26"/>
        </w:rPr>
        <w:t xml:space="preserve"> </w:t>
      </w:r>
      <w:r w:rsidR="00393045">
        <w:rPr>
          <w:rFonts w:ascii="Century Schoolbook" w:hAnsi="Century Schoolbook"/>
          <w:sz w:val="27"/>
          <w:szCs w:val="26"/>
        </w:rPr>
        <w:t xml:space="preserve">can </w:t>
      </w:r>
      <w:r w:rsidRPr="001B41E4" w:rsidR="00393045">
        <w:rPr>
          <w:rFonts w:ascii="Century Schoolbook" w:hAnsi="Century Schoolbook"/>
          <w:sz w:val="27"/>
          <w:szCs w:val="26"/>
        </w:rPr>
        <w:t xml:space="preserve">secure the benefit of agency expertise, </w:t>
      </w:r>
      <w:r w:rsidR="000739CB">
        <w:rPr>
          <w:rFonts w:ascii="Century Schoolbook" w:hAnsi="Century Schoolbook"/>
          <w:sz w:val="27"/>
          <w:szCs w:val="26"/>
        </w:rPr>
        <w:t xml:space="preserve">mitigate damages, </w:t>
      </w:r>
      <w:r w:rsidRPr="001B41E4" w:rsidR="00393045">
        <w:rPr>
          <w:rFonts w:ascii="Century Schoolbook" w:hAnsi="Century Schoolbook"/>
          <w:sz w:val="27"/>
          <w:szCs w:val="26"/>
        </w:rPr>
        <w:t xml:space="preserve">relieve burdens that might otherwise be imposed on the court system, and promote the development of a robust record conducive to meaningful judicial review.  </w:t>
      </w:r>
      <w:r w:rsidRPr="001B41E4" w:rsidR="00AB5CDA">
        <w:rPr>
          <w:rFonts w:ascii="Century Schoolbook" w:hAnsi="Century Schoolbook"/>
          <w:sz w:val="27"/>
          <w:szCs w:val="26"/>
        </w:rPr>
        <w:t xml:space="preserve">(See </w:t>
      </w:r>
      <w:r w:rsidRPr="001B41E4" w:rsidR="00393045">
        <w:rPr>
          <w:rFonts w:ascii="Century Schoolbook" w:hAnsi="Century Schoolbook"/>
          <w:i/>
          <w:iCs/>
          <w:sz w:val="27"/>
          <w:szCs w:val="26"/>
        </w:rPr>
        <w:t>Plantier</w:t>
      </w:r>
      <w:r w:rsidRPr="001B41E4" w:rsidR="00393045">
        <w:rPr>
          <w:rFonts w:ascii="Century Schoolbook" w:hAnsi="Century Schoolbook"/>
          <w:sz w:val="27"/>
          <w:szCs w:val="26"/>
        </w:rPr>
        <w:t xml:space="preserve">, </w:t>
      </w:r>
      <w:r w:rsidRPr="001B41E4" w:rsidR="00393045">
        <w:rPr>
          <w:rFonts w:ascii="Century Schoolbook" w:hAnsi="Century Schoolbook"/>
          <w:i/>
          <w:iCs/>
          <w:sz w:val="27"/>
          <w:szCs w:val="26"/>
        </w:rPr>
        <w:t>supra</w:t>
      </w:r>
      <w:r w:rsidRPr="001B41E4" w:rsidR="00393045">
        <w:rPr>
          <w:rFonts w:ascii="Century Schoolbook" w:hAnsi="Century Schoolbook"/>
          <w:sz w:val="27"/>
          <w:szCs w:val="26"/>
        </w:rPr>
        <w:t>, 7 Cal.5th at p.</w:t>
      </w:r>
      <w:r w:rsidR="00F01439">
        <w:rPr>
          <w:rFonts w:ascii="Century Schoolbook" w:hAnsi="Century Schoolbook"/>
          <w:sz w:val="27"/>
          <w:szCs w:val="26"/>
        </w:rPr>
        <w:t> </w:t>
      </w:r>
      <w:r w:rsidRPr="001B41E4" w:rsidR="00393045">
        <w:rPr>
          <w:rFonts w:ascii="Century Schoolbook" w:hAnsi="Century Schoolbook"/>
          <w:sz w:val="27"/>
          <w:szCs w:val="26"/>
        </w:rPr>
        <w:t xml:space="preserve">383; </w:t>
      </w:r>
      <w:r w:rsidRPr="001B41E4" w:rsidR="00AB5CDA">
        <w:rPr>
          <w:rFonts w:ascii="Century Schoolbook" w:hAnsi="Century Schoolbook"/>
          <w:i/>
          <w:iCs/>
          <w:sz w:val="27"/>
          <w:szCs w:val="26"/>
        </w:rPr>
        <w:t>Williams &amp; Fickett</w:t>
      </w:r>
      <w:r w:rsidRPr="001B41E4" w:rsidR="00AB5CDA">
        <w:rPr>
          <w:rFonts w:ascii="Century Schoolbook" w:hAnsi="Century Schoolbook"/>
          <w:sz w:val="27"/>
          <w:szCs w:val="26"/>
        </w:rPr>
        <w:t xml:space="preserve">, </w:t>
      </w:r>
      <w:r w:rsidRPr="001B41E4" w:rsidR="00AB5CDA">
        <w:rPr>
          <w:rFonts w:ascii="Century Schoolbook" w:hAnsi="Century Schoolbook"/>
          <w:i/>
          <w:iCs/>
          <w:sz w:val="27"/>
          <w:szCs w:val="26"/>
        </w:rPr>
        <w:t>supra</w:t>
      </w:r>
      <w:r w:rsidRPr="001B41E4" w:rsidR="00AB5CDA">
        <w:rPr>
          <w:rFonts w:ascii="Century Schoolbook" w:hAnsi="Century Schoolbook"/>
          <w:sz w:val="27"/>
          <w:szCs w:val="26"/>
        </w:rPr>
        <w:t>, 2</w:t>
      </w:r>
      <w:r w:rsidRPr="001B41E4" w:rsidR="00D50877">
        <w:rPr>
          <w:rFonts w:ascii="Century Schoolbook" w:hAnsi="Century Schoolbook"/>
          <w:sz w:val="27"/>
          <w:szCs w:val="26"/>
        </w:rPr>
        <w:t> </w:t>
      </w:r>
      <w:r w:rsidRPr="001B41E4" w:rsidR="00AB5CDA">
        <w:rPr>
          <w:rFonts w:ascii="Century Schoolbook" w:hAnsi="Century Schoolbook"/>
          <w:sz w:val="27"/>
          <w:szCs w:val="26"/>
        </w:rPr>
        <w:t xml:space="preserve">Cal.5th at p. 1268; </w:t>
      </w:r>
      <w:r w:rsidRPr="001B41E4" w:rsidR="00AB5CDA">
        <w:rPr>
          <w:rFonts w:ascii="Century Schoolbook" w:hAnsi="Century Schoolbook"/>
          <w:i/>
          <w:iCs/>
          <w:sz w:val="27"/>
          <w:szCs w:val="26"/>
        </w:rPr>
        <w:t>Farmers Ins. Exchange v. Superior Court</w:t>
      </w:r>
      <w:r w:rsidRPr="001B41E4" w:rsidR="00AB5CDA">
        <w:rPr>
          <w:rFonts w:ascii="Century Schoolbook" w:hAnsi="Century Schoolbook"/>
          <w:sz w:val="27"/>
          <w:szCs w:val="26"/>
        </w:rPr>
        <w:t xml:space="preserve"> (1992) 2 Cal.4th 377, 391; </w:t>
      </w:r>
      <w:r w:rsidRPr="001B41E4" w:rsidR="00AB5CDA">
        <w:rPr>
          <w:rFonts w:ascii="Century Schoolbook" w:hAnsi="Century Schoolbook"/>
          <w:i/>
          <w:iCs/>
          <w:sz w:val="27"/>
          <w:szCs w:val="26"/>
        </w:rPr>
        <w:t>Rojo v. Kliger</w:t>
      </w:r>
      <w:r w:rsidRPr="001B41E4" w:rsidR="00AB5CDA">
        <w:rPr>
          <w:rFonts w:ascii="Century Schoolbook" w:hAnsi="Century Schoolbook"/>
          <w:sz w:val="27"/>
          <w:szCs w:val="26"/>
        </w:rPr>
        <w:t xml:space="preserve"> (1990) 52 Cal.3d 65, 8</w:t>
      </w:r>
      <w:r w:rsidR="00AE40D2">
        <w:rPr>
          <w:rFonts w:ascii="Century Schoolbook" w:hAnsi="Century Schoolbook"/>
          <w:sz w:val="27"/>
          <w:szCs w:val="26"/>
        </w:rPr>
        <w:t>6</w:t>
      </w:r>
      <w:r w:rsidRPr="001B41E4" w:rsidR="003131FD">
        <w:rPr>
          <w:rFonts w:ascii="Century Schoolbook" w:hAnsi="Century Schoolbook"/>
          <w:sz w:val="27"/>
          <w:szCs w:val="26"/>
        </w:rPr>
        <w:t xml:space="preserve"> (</w:t>
      </w:r>
      <w:r w:rsidRPr="001B41E4" w:rsidR="003131FD">
        <w:rPr>
          <w:rFonts w:ascii="Century Schoolbook" w:hAnsi="Century Schoolbook"/>
          <w:i/>
          <w:iCs/>
          <w:sz w:val="27"/>
          <w:szCs w:val="26"/>
        </w:rPr>
        <w:t>Rojo</w:t>
      </w:r>
      <w:r w:rsidRPr="001B41E4" w:rsidR="003131FD">
        <w:rPr>
          <w:rFonts w:ascii="Century Schoolbook" w:hAnsi="Century Schoolbook"/>
          <w:sz w:val="27"/>
          <w:szCs w:val="26"/>
        </w:rPr>
        <w:t>)</w:t>
      </w:r>
      <w:r w:rsidR="000739CB">
        <w:rPr>
          <w:rFonts w:ascii="Century Schoolbook" w:hAnsi="Century Schoolbook"/>
          <w:sz w:val="27"/>
          <w:szCs w:val="26"/>
        </w:rPr>
        <w:t xml:space="preserve">; </w:t>
      </w:r>
      <w:r w:rsidRPr="001B41E4" w:rsidR="000739CB">
        <w:rPr>
          <w:rFonts w:ascii="Century Schoolbook" w:hAnsi="Century Schoolbook"/>
          <w:i/>
          <w:iCs/>
          <w:sz w:val="27"/>
          <w:szCs w:val="27"/>
        </w:rPr>
        <w:t>Westlake Community Hosp. v. Superior Court</w:t>
      </w:r>
      <w:r w:rsidRPr="001B41E4" w:rsidR="000739CB">
        <w:rPr>
          <w:rFonts w:ascii="Century Schoolbook" w:hAnsi="Century Schoolbook"/>
          <w:sz w:val="27"/>
          <w:szCs w:val="27"/>
        </w:rPr>
        <w:t xml:space="preserve"> (1976) 17 Cal.3d 465, 476</w:t>
      </w:r>
      <w:r w:rsidR="000739CB">
        <w:rPr>
          <w:rFonts w:ascii="Century Schoolbook" w:hAnsi="Century Schoolbook"/>
          <w:sz w:val="27"/>
          <w:szCs w:val="27"/>
        </w:rPr>
        <w:t xml:space="preserve"> </w:t>
      </w:r>
      <w:r w:rsidRPr="001B41E4" w:rsidR="000739CB">
        <w:rPr>
          <w:rFonts w:ascii="Century Schoolbook" w:hAnsi="Century Schoolbook"/>
          <w:sz w:val="27"/>
          <w:szCs w:val="27"/>
        </w:rPr>
        <w:t>(</w:t>
      </w:r>
      <w:r w:rsidRPr="001B41E4" w:rsidR="000739CB">
        <w:rPr>
          <w:rFonts w:ascii="Century Schoolbook" w:hAnsi="Century Schoolbook"/>
          <w:i/>
          <w:iCs/>
          <w:sz w:val="27"/>
          <w:szCs w:val="27"/>
        </w:rPr>
        <w:t>Westlake Community Hosp.</w:t>
      </w:r>
      <w:r w:rsidRPr="001B41E4" w:rsidR="000739CB">
        <w:rPr>
          <w:rFonts w:ascii="Century Schoolbook" w:hAnsi="Century Schoolbook"/>
          <w:sz w:val="27"/>
          <w:szCs w:val="27"/>
        </w:rPr>
        <w:t>)</w:t>
      </w:r>
      <w:r w:rsidRPr="001B41E4" w:rsidR="00AB5CDA">
        <w:rPr>
          <w:rFonts w:ascii="Century Schoolbook" w:hAnsi="Century Schoolbook"/>
          <w:sz w:val="27"/>
          <w:szCs w:val="26"/>
        </w:rPr>
        <w:t xml:space="preserve">.)  </w:t>
      </w:r>
      <w:r w:rsidRPr="001B41E4" w:rsidR="00815115">
        <w:rPr>
          <w:rFonts w:ascii="Century Schoolbook" w:hAnsi="Century Schoolbook"/>
          <w:sz w:val="27"/>
          <w:szCs w:val="26"/>
        </w:rPr>
        <w:t>Additionally</w:t>
      </w:r>
      <w:r w:rsidRPr="001B41E4">
        <w:rPr>
          <w:rFonts w:ascii="Century Schoolbook" w:hAnsi="Century Schoolbook"/>
          <w:sz w:val="27"/>
          <w:szCs w:val="26"/>
        </w:rPr>
        <w:t xml:space="preserve">, absent an exhaustion rule, a litigant </w:t>
      </w:r>
      <w:r w:rsidRPr="001B41E4" w:rsidR="00D5434A">
        <w:rPr>
          <w:rFonts w:ascii="Century Schoolbook" w:hAnsi="Century Schoolbook"/>
          <w:sz w:val="27"/>
          <w:szCs w:val="26"/>
        </w:rPr>
        <w:t>might</w:t>
      </w:r>
      <w:r w:rsidRPr="001B41E4">
        <w:rPr>
          <w:rFonts w:ascii="Century Schoolbook" w:hAnsi="Century Schoolbook"/>
          <w:sz w:val="27"/>
          <w:szCs w:val="26"/>
        </w:rPr>
        <w:t xml:space="preserve"> have an incentive to “sandbag”</w:t>
      </w:r>
      <w:r w:rsidR="00BC55F1">
        <w:rPr>
          <w:rFonts w:ascii="Century Schoolbook" w:hAnsi="Century Schoolbook"/>
          <w:sz w:val="27"/>
          <w:szCs w:val="26"/>
        </w:rPr>
        <w:t> </w:t>
      </w:r>
      <w:r w:rsidRPr="001B41E4">
        <w:rPr>
          <w:rFonts w:ascii="Century Schoolbook" w:hAnsi="Century Schoolbook"/>
          <w:sz w:val="27"/>
          <w:szCs w:val="26"/>
        </w:rPr>
        <w:t>— in other words, to “avoid securing an agency decision that might later be afforded deference”</w:t>
      </w:r>
      <w:r w:rsidRPr="001B41E4" w:rsidR="00D5434A">
        <w:rPr>
          <w:rFonts w:ascii="Century Schoolbook" w:hAnsi="Century Schoolbook"/>
          <w:sz w:val="27"/>
          <w:szCs w:val="26"/>
        </w:rPr>
        <w:t xml:space="preserve"> by sidestepping an available administrative remedy.</w:t>
      </w:r>
      <w:r w:rsidRPr="001B41E4">
        <w:rPr>
          <w:rFonts w:ascii="Century Schoolbook" w:hAnsi="Century Schoolbook"/>
          <w:sz w:val="27"/>
          <w:szCs w:val="26"/>
        </w:rPr>
        <w:t xml:space="preserve"> </w:t>
      </w:r>
      <w:r w:rsidRPr="001B41E4" w:rsidR="00D5434A">
        <w:rPr>
          <w:rFonts w:ascii="Century Schoolbook" w:hAnsi="Century Schoolbook"/>
          <w:sz w:val="27"/>
          <w:szCs w:val="26"/>
        </w:rPr>
        <w:t xml:space="preserve"> </w:t>
      </w:r>
      <w:r w:rsidRPr="001B41E4">
        <w:rPr>
          <w:rFonts w:ascii="Century Schoolbook" w:hAnsi="Century Schoolbook"/>
          <w:sz w:val="27"/>
          <w:szCs w:val="26"/>
        </w:rPr>
        <w:t>(</w:t>
      </w:r>
      <w:r w:rsidRPr="001B41E4">
        <w:rPr>
          <w:rFonts w:ascii="Century Schoolbook" w:hAnsi="Century Schoolbook"/>
          <w:i/>
          <w:iCs/>
          <w:sz w:val="27"/>
          <w:szCs w:val="26"/>
        </w:rPr>
        <w:t>Plantier</w:t>
      </w:r>
      <w:r w:rsidRPr="001B41E4">
        <w:rPr>
          <w:rFonts w:ascii="Century Schoolbook" w:hAnsi="Century Schoolbook"/>
          <w:sz w:val="27"/>
          <w:szCs w:val="26"/>
        </w:rPr>
        <w:t>, at p. 383.) </w:t>
      </w:r>
    </w:p>
    <w:p w:rsidR="00DA21D8" w:rsidRPr="001B41E4" w:rsidP="0023145B" w14:paraId="3A1D872C" w14:textId="20C9A444">
      <w:pPr>
        <w:pStyle w:val="xmsonormal"/>
        <w:shd w:val="clear" w:color="auto" w:fill="FFFFFF"/>
        <w:spacing w:before="0" w:beforeAutospacing="0" w:afterAutospacing="0" w:line="400" w:lineRule="exact"/>
        <w:ind w:firstLine="720"/>
        <w:rPr>
          <w:rFonts w:ascii="Century Schoolbook" w:hAnsi="Century Schoolbook"/>
          <w:i/>
          <w:iCs/>
          <w:sz w:val="27"/>
          <w:szCs w:val="26"/>
        </w:rPr>
      </w:pPr>
      <w:r w:rsidRPr="001B41E4">
        <w:rPr>
          <w:rFonts w:ascii="Century Schoolbook" w:hAnsi="Century Schoolbook"/>
          <w:sz w:val="27"/>
          <w:szCs w:val="26"/>
        </w:rPr>
        <w:t xml:space="preserve">In concluding that petitioners’ votes against the BIDs were </w:t>
      </w:r>
      <w:r w:rsidRPr="001B41E4" w:rsidR="00E40AC6">
        <w:rPr>
          <w:rFonts w:ascii="Century Schoolbook" w:hAnsi="Century Schoolbook"/>
          <w:sz w:val="27"/>
          <w:szCs w:val="26"/>
        </w:rPr>
        <w:t>insufficient</w:t>
      </w:r>
      <w:r w:rsidRPr="001B41E4">
        <w:rPr>
          <w:rFonts w:ascii="Century Schoolbook" w:hAnsi="Century Schoolbook"/>
          <w:sz w:val="27"/>
          <w:szCs w:val="26"/>
        </w:rPr>
        <w:t xml:space="preserve"> to preserve their arguments regarding the invalidity of the assessments</w:t>
      </w:r>
      <w:r w:rsidRPr="001B41E4" w:rsidR="00A77C3E">
        <w:rPr>
          <w:rFonts w:ascii="Century Schoolbook" w:hAnsi="Century Schoolbook"/>
          <w:sz w:val="27"/>
          <w:szCs w:val="26"/>
        </w:rPr>
        <w:t xml:space="preserve"> (</w:t>
      </w:r>
      <w:r w:rsidRPr="001B41E4" w:rsidR="00A77C3E">
        <w:rPr>
          <w:rFonts w:ascii="Century Schoolbook" w:hAnsi="Century Schoolbook"/>
          <w:i/>
          <w:iCs/>
          <w:sz w:val="27"/>
          <w:szCs w:val="26"/>
        </w:rPr>
        <w:t>Hill</w:t>
      </w:r>
      <w:r w:rsidRPr="001B41E4" w:rsidR="00A77C3E">
        <w:rPr>
          <w:rFonts w:ascii="Century Schoolbook" w:hAnsi="Century Schoolbook"/>
          <w:sz w:val="27"/>
          <w:szCs w:val="26"/>
        </w:rPr>
        <w:t xml:space="preserve"> </w:t>
      </w:r>
      <w:r w:rsidRPr="001B41E4" w:rsidR="00A77C3E">
        <w:rPr>
          <w:rFonts w:ascii="Century Schoolbook" w:hAnsi="Century Schoolbook"/>
          <w:i/>
          <w:iCs/>
          <w:sz w:val="27"/>
          <w:szCs w:val="26"/>
        </w:rPr>
        <w:t>RHF</w:t>
      </w:r>
      <w:r w:rsidRPr="001B41E4" w:rsidR="00A77C3E">
        <w:rPr>
          <w:rFonts w:ascii="Century Schoolbook" w:hAnsi="Century Schoolbook"/>
          <w:sz w:val="27"/>
          <w:szCs w:val="26"/>
        </w:rPr>
        <w:t xml:space="preserve">, </w:t>
      </w:r>
      <w:r w:rsidRPr="001B41E4" w:rsidR="00A77C3E">
        <w:rPr>
          <w:rFonts w:ascii="Century Schoolbook" w:hAnsi="Century Schoolbook"/>
          <w:i/>
          <w:iCs/>
          <w:sz w:val="27"/>
          <w:szCs w:val="26"/>
        </w:rPr>
        <w:t>supra</w:t>
      </w:r>
      <w:r w:rsidRPr="001B41E4" w:rsidR="00A77C3E">
        <w:rPr>
          <w:rFonts w:ascii="Century Schoolbook" w:hAnsi="Century Schoolbook"/>
          <w:sz w:val="27"/>
          <w:szCs w:val="26"/>
        </w:rPr>
        <w:t>, 51</w:t>
      </w:r>
      <w:r w:rsidRPr="001B41E4" w:rsidR="007C50E5">
        <w:rPr>
          <w:rFonts w:ascii="Century Schoolbook" w:hAnsi="Century Schoolbook"/>
          <w:sz w:val="27"/>
          <w:szCs w:val="26"/>
        </w:rPr>
        <w:t> </w:t>
      </w:r>
      <w:r w:rsidRPr="001B41E4" w:rsidR="00A77C3E">
        <w:rPr>
          <w:rFonts w:ascii="Century Schoolbook" w:hAnsi="Century Schoolbook"/>
          <w:sz w:val="27"/>
          <w:szCs w:val="26"/>
        </w:rPr>
        <w:t>Cal.App.5th at p. 634)</w:t>
      </w:r>
      <w:r w:rsidRPr="001B41E4">
        <w:rPr>
          <w:rFonts w:ascii="Century Schoolbook" w:hAnsi="Century Schoolbook"/>
          <w:sz w:val="27"/>
          <w:szCs w:val="26"/>
        </w:rPr>
        <w:t xml:space="preserve">, the Court of Appeal applied a </w:t>
      </w:r>
      <w:r w:rsidRPr="001B41E4" w:rsidR="003131FD">
        <w:rPr>
          <w:rFonts w:ascii="Century Schoolbook" w:hAnsi="Century Schoolbook"/>
          <w:sz w:val="27"/>
          <w:szCs w:val="26"/>
        </w:rPr>
        <w:t>branch</w:t>
      </w:r>
      <w:r w:rsidRPr="001B41E4">
        <w:rPr>
          <w:rFonts w:ascii="Century Schoolbook" w:hAnsi="Century Schoolbook"/>
          <w:sz w:val="27"/>
          <w:szCs w:val="26"/>
        </w:rPr>
        <w:t xml:space="preserve"> of the exhaustion </w:t>
      </w:r>
      <w:r w:rsidRPr="001B41E4" w:rsidR="003131FD">
        <w:rPr>
          <w:rFonts w:ascii="Century Schoolbook" w:hAnsi="Century Schoolbook"/>
          <w:sz w:val="27"/>
          <w:szCs w:val="26"/>
        </w:rPr>
        <w:t>doctrine</w:t>
      </w:r>
      <w:r w:rsidRPr="001B41E4">
        <w:rPr>
          <w:rFonts w:ascii="Century Schoolbook" w:hAnsi="Century Schoolbook"/>
          <w:sz w:val="27"/>
          <w:szCs w:val="26"/>
        </w:rPr>
        <w:t xml:space="preserve"> known as issue exhaustion.  Issue exhaustion means that “[a]dministrative agencies must be given the opportunity to reach a reasoned and final conclusion on </w:t>
      </w:r>
      <w:r w:rsidRPr="001B41E4">
        <w:rPr>
          <w:rFonts w:ascii="Century Schoolbook" w:hAnsi="Century Schoolbook"/>
          <w:i/>
          <w:iCs/>
          <w:sz w:val="27"/>
          <w:szCs w:val="26"/>
        </w:rPr>
        <w:t>each and every issue</w:t>
      </w:r>
      <w:r w:rsidRPr="001B41E4">
        <w:rPr>
          <w:rFonts w:ascii="Century Schoolbook" w:hAnsi="Century Schoolbook"/>
          <w:sz w:val="27"/>
          <w:szCs w:val="26"/>
        </w:rPr>
        <w:t xml:space="preserve"> upon which they have jurisdiction to act before those issues are raised in a judicial forum.”  (</w:t>
      </w:r>
      <w:r w:rsidRPr="001B41E4">
        <w:rPr>
          <w:rFonts w:ascii="Century Schoolbook" w:hAnsi="Century Schoolbook"/>
          <w:i/>
          <w:iCs/>
          <w:sz w:val="27"/>
          <w:szCs w:val="26"/>
        </w:rPr>
        <w:t>Sierra Club v. San Joaquin Local Agency Formation Com.</w:t>
      </w:r>
      <w:r w:rsidRPr="001B41E4">
        <w:rPr>
          <w:rFonts w:ascii="Century Schoolbook" w:hAnsi="Century Schoolbook"/>
          <w:sz w:val="27"/>
          <w:szCs w:val="26"/>
        </w:rPr>
        <w:t xml:space="preserve"> (1999) 21</w:t>
      </w:r>
      <w:r w:rsidRPr="001B41E4" w:rsidR="007C50E5">
        <w:rPr>
          <w:rFonts w:ascii="Century Schoolbook" w:hAnsi="Century Schoolbook"/>
          <w:sz w:val="27"/>
          <w:szCs w:val="26"/>
        </w:rPr>
        <w:t> </w:t>
      </w:r>
      <w:r w:rsidRPr="001B41E4">
        <w:rPr>
          <w:rFonts w:ascii="Century Schoolbook" w:hAnsi="Century Schoolbook"/>
          <w:sz w:val="27"/>
          <w:szCs w:val="26"/>
        </w:rPr>
        <w:t>Cal.4th 489, 510, italics added</w:t>
      </w:r>
      <w:r w:rsidR="00BC55F1">
        <w:rPr>
          <w:rFonts w:ascii="Century Schoolbook" w:hAnsi="Century Schoolbook"/>
          <w:sz w:val="27"/>
          <w:szCs w:val="26"/>
        </w:rPr>
        <w:t xml:space="preserve"> </w:t>
      </w:r>
      <w:r w:rsidRPr="001B41E4" w:rsidR="00BC55F1">
        <w:rPr>
          <w:rFonts w:ascii="Century Schoolbook" w:hAnsi="Century Schoolbook"/>
          <w:sz w:val="27"/>
          <w:szCs w:val="26"/>
        </w:rPr>
        <w:t>(</w:t>
      </w:r>
      <w:r w:rsidRPr="001B41E4" w:rsidR="00BC55F1">
        <w:rPr>
          <w:rFonts w:ascii="Century Schoolbook" w:hAnsi="Century Schoolbook"/>
          <w:i/>
          <w:iCs/>
          <w:sz w:val="27"/>
          <w:szCs w:val="26"/>
        </w:rPr>
        <w:t>Sierra Club</w:t>
      </w:r>
      <w:r w:rsidRPr="001B41E4" w:rsidR="00BC55F1">
        <w:rPr>
          <w:rFonts w:ascii="Century Schoolbook" w:hAnsi="Century Schoolbook"/>
          <w:sz w:val="27"/>
          <w:szCs w:val="26"/>
        </w:rPr>
        <w:t>)</w:t>
      </w:r>
      <w:r w:rsidRPr="001B41E4">
        <w:rPr>
          <w:rFonts w:ascii="Century Schoolbook" w:hAnsi="Century Schoolbook"/>
          <w:sz w:val="27"/>
          <w:szCs w:val="26"/>
        </w:rPr>
        <w:t xml:space="preserve">.)  </w:t>
      </w:r>
      <w:r w:rsidRPr="001B41E4" w:rsidR="00393045">
        <w:rPr>
          <w:rFonts w:ascii="Century Schoolbook" w:hAnsi="Century Schoolbook"/>
          <w:sz w:val="27"/>
          <w:szCs w:val="27"/>
        </w:rPr>
        <w:t>Th</w:t>
      </w:r>
      <w:r w:rsidR="00393045">
        <w:rPr>
          <w:rFonts w:ascii="Century Schoolbook" w:hAnsi="Century Schoolbook"/>
          <w:sz w:val="27"/>
          <w:szCs w:val="27"/>
        </w:rPr>
        <w:t>is</w:t>
      </w:r>
      <w:r w:rsidRPr="001B41E4" w:rsidR="00393045">
        <w:rPr>
          <w:rFonts w:ascii="Century Schoolbook" w:hAnsi="Century Schoolbook"/>
          <w:sz w:val="27"/>
          <w:szCs w:val="27"/>
        </w:rPr>
        <w:t xml:space="preserve"> doctrin</w:t>
      </w:r>
      <w:r w:rsidR="00393045">
        <w:rPr>
          <w:rFonts w:ascii="Century Schoolbook" w:hAnsi="Century Schoolbook"/>
          <w:sz w:val="27"/>
          <w:szCs w:val="27"/>
        </w:rPr>
        <w:t xml:space="preserve">e </w:t>
      </w:r>
      <w:r w:rsidRPr="001B41E4" w:rsidR="00393045">
        <w:rPr>
          <w:rFonts w:ascii="Century Schoolbook" w:hAnsi="Century Schoolbook"/>
          <w:sz w:val="27"/>
          <w:szCs w:val="27"/>
        </w:rPr>
        <w:t xml:space="preserve">bears some resemblance to the judicial rule that an argument that was not presented to a lower tribunal will not be entertained by a reviewing court.  (See </w:t>
      </w:r>
      <w:r w:rsidRPr="001B41E4" w:rsidR="00393045">
        <w:rPr>
          <w:rFonts w:ascii="Century Schoolbook" w:hAnsi="Century Schoolbook"/>
          <w:i/>
          <w:iCs/>
          <w:sz w:val="27"/>
          <w:szCs w:val="27"/>
        </w:rPr>
        <w:t>Sims v. Apfel</w:t>
      </w:r>
      <w:r w:rsidRPr="001B41E4" w:rsidR="00393045">
        <w:rPr>
          <w:rFonts w:ascii="Century Schoolbook" w:hAnsi="Century Schoolbook"/>
          <w:sz w:val="27"/>
          <w:szCs w:val="27"/>
        </w:rPr>
        <w:t xml:space="preserve"> (2000) 530 U.S. 103, 108–109 (plur</w:t>
      </w:r>
      <w:r w:rsidR="00A70DFE">
        <w:rPr>
          <w:rFonts w:ascii="Century Schoolbook" w:hAnsi="Century Schoolbook"/>
          <w:sz w:val="27"/>
          <w:szCs w:val="27"/>
        </w:rPr>
        <w:t>.</w:t>
      </w:r>
      <w:r w:rsidRPr="001B41E4" w:rsidR="00393045">
        <w:rPr>
          <w:rFonts w:ascii="Century Schoolbook" w:hAnsi="Century Schoolbook"/>
          <w:sz w:val="27"/>
          <w:szCs w:val="27"/>
        </w:rPr>
        <w:t xml:space="preserve"> opn.</w:t>
      </w:r>
      <w:r w:rsidR="00A70DFE">
        <w:rPr>
          <w:rFonts w:ascii="Century Schoolbook" w:hAnsi="Century Schoolbook"/>
          <w:sz w:val="27"/>
          <w:szCs w:val="27"/>
        </w:rPr>
        <w:t xml:space="preserve"> of Thomas, J.</w:t>
      </w:r>
      <w:r w:rsidRPr="001B41E4" w:rsidR="00393045">
        <w:rPr>
          <w:rFonts w:ascii="Century Schoolbook" w:hAnsi="Century Schoolbook"/>
          <w:sz w:val="27"/>
          <w:szCs w:val="27"/>
        </w:rPr>
        <w:t xml:space="preserve">).)  </w:t>
      </w:r>
      <w:r w:rsidR="005955DC">
        <w:rPr>
          <w:rFonts w:ascii="Century Schoolbook" w:hAnsi="Century Schoolbook"/>
          <w:sz w:val="27"/>
          <w:szCs w:val="26"/>
        </w:rPr>
        <w:t xml:space="preserve">When </w:t>
      </w:r>
      <w:r w:rsidR="00393045">
        <w:rPr>
          <w:rFonts w:ascii="Century Schoolbook" w:hAnsi="Century Schoolbook"/>
          <w:sz w:val="27"/>
          <w:szCs w:val="26"/>
        </w:rPr>
        <w:t>it applies, an issue exhaustion requirement</w:t>
      </w:r>
      <w:r w:rsidRPr="001B41E4" w:rsidR="008A59DA">
        <w:rPr>
          <w:rFonts w:ascii="Century Schoolbook" w:hAnsi="Century Schoolbook"/>
          <w:sz w:val="27"/>
          <w:szCs w:val="26"/>
        </w:rPr>
        <w:t xml:space="preserve"> </w:t>
      </w:r>
      <w:r w:rsidRPr="001B41E4" w:rsidR="0094375D">
        <w:rPr>
          <w:rFonts w:ascii="Century Schoolbook" w:hAnsi="Century Schoolbook"/>
          <w:sz w:val="27"/>
          <w:szCs w:val="26"/>
        </w:rPr>
        <w:t>advances the</w:t>
      </w:r>
      <w:r w:rsidR="00393045">
        <w:rPr>
          <w:rFonts w:ascii="Century Schoolbook" w:hAnsi="Century Schoolbook"/>
          <w:sz w:val="27"/>
          <w:szCs w:val="26"/>
        </w:rPr>
        <w:t xml:space="preserve"> general</w:t>
      </w:r>
      <w:r w:rsidRPr="001B41E4" w:rsidR="0094375D">
        <w:rPr>
          <w:rFonts w:ascii="Century Schoolbook" w:hAnsi="Century Schoolbook"/>
          <w:sz w:val="27"/>
          <w:szCs w:val="26"/>
        </w:rPr>
        <w:t xml:space="preserve"> purposes of the exhaustion rule</w:t>
      </w:r>
      <w:r w:rsidRPr="001B41E4">
        <w:rPr>
          <w:rFonts w:ascii="Century Schoolbook" w:hAnsi="Century Schoolbook"/>
          <w:sz w:val="27"/>
          <w:szCs w:val="26"/>
        </w:rPr>
        <w:t xml:space="preserve"> </w:t>
      </w:r>
      <w:r w:rsidRPr="001B41E4" w:rsidR="0094375D">
        <w:rPr>
          <w:rFonts w:ascii="Century Schoolbook" w:hAnsi="Century Schoolbook"/>
          <w:sz w:val="27"/>
          <w:szCs w:val="26"/>
        </w:rPr>
        <w:t>by</w:t>
      </w:r>
      <w:r w:rsidRPr="001B41E4" w:rsidR="00852879">
        <w:rPr>
          <w:rFonts w:ascii="Century Schoolbook" w:hAnsi="Century Schoolbook"/>
          <w:sz w:val="27"/>
          <w:szCs w:val="26"/>
        </w:rPr>
        <w:t>, among other things,</w:t>
      </w:r>
      <w:r w:rsidRPr="001B41E4" w:rsidR="0094375D">
        <w:rPr>
          <w:rFonts w:ascii="Century Schoolbook" w:hAnsi="Century Schoolbook"/>
          <w:sz w:val="27"/>
          <w:szCs w:val="26"/>
        </w:rPr>
        <w:t xml:space="preserve"> discouraging</w:t>
      </w:r>
      <w:r w:rsidRPr="001B41E4">
        <w:rPr>
          <w:rFonts w:ascii="Century Schoolbook" w:hAnsi="Century Schoolbook"/>
          <w:sz w:val="27"/>
          <w:szCs w:val="26"/>
        </w:rPr>
        <w:t xml:space="preserve"> the presentation of </w:t>
      </w:r>
      <w:r w:rsidRPr="001B41E4" w:rsidR="0094375D">
        <w:rPr>
          <w:rFonts w:ascii="Century Schoolbook" w:hAnsi="Century Schoolbook"/>
          <w:sz w:val="27"/>
          <w:szCs w:val="26"/>
        </w:rPr>
        <w:t xml:space="preserve">skimpy </w:t>
      </w:r>
      <w:r w:rsidRPr="001B41E4">
        <w:rPr>
          <w:rFonts w:ascii="Century Schoolbook" w:hAnsi="Century Schoolbook"/>
          <w:sz w:val="27"/>
          <w:szCs w:val="26"/>
        </w:rPr>
        <w:t>“</w:t>
      </w:r>
      <w:r w:rsidR="00AE40D2">
        <w:rPr>
          <w:rFonts w:ascii="Century Schoolbook" w:hAnsi="Century Schoolbook"/>
          <w:sz w:val="27"/>
          <w:szCs w:val="26"/>
        </w:rPr>
        <w:t> ‘</w:t>
      </w:r>
      <w:r w:rsidRPr="001B41E4">
        <w:rPr>
          <w:rFonts w:ascii="Century Schoolbook" w:hAnsi="Century Schoolbook"/>
          <w:sz w:val="27"/>
          <w:szCs w:val="26"/>
        </w:rPr>
        <w:t>skeleton</w:t>
      </w:r>
      <w:r w:rsidR="00AE40D2">
        <w:rPr>
          <w:rFonts w:ascii="Century Schoolbook" w:hAnsi="Century Schoolbook"/>
          <w:sz w:val="27"/>
          <w:szCs w:val="26"/>
        </w:rPr>
        <w:t>’ </w:t>
      </w:r>
      <w:r w:rsidRPr="001B41E4">
        <w:rPr>
          <w:rFonts w:ascii="Century Schoolbook" w:hAnsi="Century Schoolbook"/>
          <w:sz w:val="27"/>
          <w:szCs w:val="26"/>
        </w:rPr>
        <w:t xml:space="preserve">” arguments </w:t>
      </w:r>
      <w:r w:rsidRPr="001B41E4" w:rsidR="008A59DA">
        <w:rPr>
          <w:rFonts w:ascii="Century Schoolbook" w:hAnsi="Century Schoolbook"/>
          <w:sz w:val="27"/>
          <w:szCs w:val="26"/>
        </w:rPr>
        <w:t>to an administrative agency</w:t>
      </w:r>
      <w:r w:rsidRPr="001B41E4">
        <w:rPr>
          <w:rFonts w:ascii="Century Schoolbook" w:hAnsi="Century Schoolbook"/>
          <w:sz w:val="27"/>
          <w:szCs w:val="26"/>
        </w:rPr>
        <w:t>.  (</w:t>
      </w:r>
      <w:r w:rsidRPr="001B41E4">
        <w:rPr>
          <w:rFonts w:ascii="Century Schoolbook" w:hAnsi="Century Schoolbook"/>
          <w:i/>
          <w:iCs/>
          <w:sz w:val="27"/>
          <w:szCs w:val="26"/>
        </w:rPr>
        <w:t>Dare v. Bd. of Med</w:t>
      </w:r>
      <w:r w:rsidR="00AE40D2">
        <w:rPr>
          <w:rFonts w:ascii="Century Schoolbook" w:hAnsi="Century Schoolbook"/>
          <w:i/>
          <w:iCs/>
          <w:sz w:val="27"/>
          <w:szCs w:val="26"/>
        </w:rPr>
        <w:t>ical</w:t>
      </w:r>
      <w:r w:rsidRPr="001B41E4">
        <w:rPr>
          <w:rFonts w:ascii="Century Schoolbook" w:hAnsi="Century Schoolbook"/>
          <w:i/>
          <w:iCs/>
          <w:sz w:val="27"/>
          <w:szCs w:val="26"/>
        </w:rPr>
        <w:t xml:space="preserve"> Examiners</w:t>
      </w:r>
      <w:r w:rsidRPr="001B41E4">
        <w:rPr>
          <w:rFonts w:ascii="Century Schoolbook" w:hAnsi="Century Schoolbook"/>
          <w:sz w:val="27"/>
          <w:szCs w:val="26"/>
        </w:rPr>
        <w:t xml:space="preserve"> (1943) 21 Cal.2d 790, 799.) </w:t>
      </w:r>
      <w:r w:rsidR="00393045">
        <w:rPr>
          <w:rFonts w:ascii="Century Schoolbook" w:hAnsi="Century Schoolbook"/>
          <w:sz w:val="27"/>
          <w:szCs w:val="26"/>
        </w:rPr>
        <w:t xml:space="preserve"> </w:t>
      </w:r>
    </w:p>
    <w:p w:rsidR="005D0F65" w:rsidRPr="001B41E4" w:rsidP="0023145B" w14:paraId="09A7180B" w14:textId="7717DD53">
      <w:pPr>
        <w:pStyle w:val="xmsonormal"/>
        <w:shd w:val="clear" w:color="auto" w:fill="FFFFFF"/>
        <w:spacing w:before="0" w:beforeAutospacing="0" w:afterAutospacing="0" w:line="400" w:lineRule="exact"/>
        <w:ind w:firstLine="720"/>
        <w:rPr>
          <w:rFonts w:ascii="Century Schoolbook" w:hAnsi="Century Schoolbook"/>
          <w:sz w:val="27"/>
          <w:szCs w:val="27"/>
        </w:rPr>
      </w:pPr>
      <w:r w:rsidRPr="001B41E4">
        <w:rPr>
          <w:rFonts w:ascii="Century Schoolbook" w:hAnsi="Century Schoolbook"/>
          <w:sz w:val="27"/>
          <w:szCs w:val="26"/>
        </w:rPr>
        <w:t xml:space="preserve">There are important limits to the exhaustion doctrine.  Among them, </w:t>
      </w:r>
      <w:r w:rsidR="007958D2">
        <w:rPr>
          <w:rFonts w:ascii="Century Schoolbook" w:hAnsi="Century Schoolbook"/>
          <w:sz w:val="27"/>
          <w:szCs w:val="26"/>
        </w:rPr>
        <w:t xml:space="preserve">we have declined to </w:t>
      </w:r>
      <w:r w:rsidR="00B5551B">
        <w:rPr>
          <w:rFonts w:ascii="Century Schoolbook" w:hAnsi="Century Schoolbook"/>
          <w:sz w:val="27"/>
          <w:szCs w:val="26"/>
        </w:rPr>
        <w:t>impose</w:t>
      </w:r>
      <w:r w:rsidR="007958D2">
        <w:rPr>
          <w:rFonts w:ascii="Century Schoolbook" w:hAnsi="Century Schoolbook"/>
          <w:sz w:val="27"/>
          <w:szCs w:val="26"/>
        </w:rPr>
        <w:t xml:space="preserve"> </w:t>
      </w:r>
      <w:r w:rsidRPr="001B41E4">
        <w:rPr>
          <w:rFonts w:ascii="Century Schoolbook" w:hAnsi="Century Schoolbook"/>
          <w:sz w:val="27"/>
          <w:szCs w:val="26"/>
        </w:rPr>
        <w:t>a</w:t>
      </w:r>
      <w:r w:rsidRPr="001B41E4" w:rsidR="008D5DCC">
        <w:rPr>
          <w:rFonts w:ascii="Century Schoolbook" w:hAnsi="Century Schoolbook"/>
          <w:sz w:val="27"/>
          <w:szCs w:val="26"/>
        </w:rPr>
        <w:t xml:space="preserve">n exhaustion requirement </w:t>
      </w:r>
      <w:r w:rsidR="00E6275D">
        <w:rPr>
          <w:rFonts w:ascii="Century Schoolbook" w:hAnsi="Century Schoolbook"/>
          <w:sz w:val="27"/>
          <w:szCs w:val="26"/>
        </w:rPr>
        <w:t>when</w:t>
      </w:r>
      <w:r w:rsidRPr="001B41E4" w:rsidR="008D5DCC">
        <w:rPr>
          <w:rFonts w:ascii="Century Schoolbook" w:hAnsi="Century Schoolbook"/>
          <w:sz w:val="27"/>
          <w:szCs w:val="26"/>
        </w:rPr>
        <w:t xml:space="preserve"> a purported</w:t>
      </w:r>
      <w:r w:rsidR="007958D2">
        <w:rPr>
          <w:rFonts w:ascii="Century Schoolbook" w:hAnsi="Century Schoolbook"/>
          <w:sz w:val="27"/>
          <w:szCs w:val="26"/>
        </w:rPr>
        <w:t xml:space="preserve"> administrative</w:t>
      </w:r>
      <w:r w:rsidRPr="001B41E4" w:rsidR="008D5DCC">
        <w:rPr>
          <w:rFonts w:ascii="Century Schoolbook" w:hAnsi="Century Schoolbook"/>
          <w:sz w:val="27"/>
          <w:szCs w:val="26"/>
        </w:rPr>
        <w:t xml:space="preserve"> remedy </w:t>
      </w:r>
      <w:r w:rsidR="007958D2">
        <w:rPr>
          <w:rFonts w:ascii="Century Schoolbook" w:hAnsi="Century Schoolbook"/>
          <w:sz w:val="27"/>
          <w:szCs w:val="26"/>
        </w:rPr>
        <w:t xml:space="preserve">did not </w:t>
      </w:r>
      <w:r w:rsidRPr="001B41E4" w:rsidR="0018159F">
        <w:rPr>
          <w:rFonts w:ascii="Century Schoolbook" w:hAnsi="Century Schoolbook"/>
          <w:sz w:val="27"/>
          <w:szCs w:val="26"/>
        </w:rPr>
        <w:t>incorporate</w:t>
      </w:r>
      <w:r w:rsidRPr="001B41E4" w:rsidR="008D5DCC">
        <w:rPr>
          <w:rFonts w:ascii="Century Schoolbook" w:hAnsi="Century Schoolbook"/>
          <w:sz w:val="27"/>
          <w:szCs w:val="26"/>
        </w:rPr>
        <w:t xml:space="preserve"> “clearly defined machinery for the submission, evaluation and resolution of complaints by aggrieved parties.”  (</w:t>
      </w:r>
      <w:r w:rsidRPr="001B41E4" w:rsidR="008D5DCC">
        <w:rPr>
          <w:rFonts w:ascii="Century Schoolbook" w:hAnsi="Century Schoolbook"/>
          <w:i/>
          <w:iCs/>
          <w:sz w:val="27"/>
          <w:szCs w:val="26"/>
        </w:rPr>
        <w:t>Rosenfield</w:t>
      </w:r>
      <w:r w:rsidRPr="001B41E4" w:rsidR="008D5DCC">
        <w:rPr>
          <w:rFonts w:ascii="Century Schoolbook" w:hAnsi="Century Schoolbook"/>
          <w:sz w:val="27"/>
          <w:szCs w:val="26"/>
        </w:rPr>
        <w:t xml:space="preserve">, </w:t>
      </w:r>
      <w:r w:rsidRPr="001B41E4" w:rsidR="008D5DCC">
        <w:rPr>
          <w:rFonts w:ascii="Century Schoolbook" w:hAnsi="Century Schoolbook"/>
          <w:i/>
          <w:iCs/>
          <w:sz w:val="27"/>
          <w:szCs w:val="26"/>
        </w:rPr>
        <w:t>supra</w:t>
      </w:r>
      <w:r w:rsidRPr="001B41E4" w:rsidR="008D5DCC">
        <w:rPr>
          <w:rFonts w:ascii="Century Schoolbook" w:hAnsi="Century Schoolbook"/>
          <w:sz w:val="27"/>
          <w:szCs w:val="26"/>
        </w:rPr>
        <w:t xml:space="preserve">, 65 Cal.2d at p. 566; see also </w:t>
      </w:r>
      <w:r w:rsidRPr="001B41E4" w:rsidR="008D5DCC">
        <w:rPr>
          <w:rFonts w:ascii="Century Schoolbook" w:hAnsi="Century Schoolbook"/>
          <w:i/>
          <w:iCs/>
          <w:sz w:val="27"/>
          <w:szCs w:val="26"/>
        </w:rPr>
        <w:t>Endler v. Schutzbank</w:t>
      </w:r>
      <w:r w:rsidRPr="001B41E4" w:rsidR="008D5DCC">
        <w:rPr>
          <w:rFonts w:ascii="Century Schoolbook" w:hAnsi="Century Schoolbook"/>
          <w:sz w:val="27"/>
          <w:szCs w:val="26"/>
        </w:rPr>
        <w:t xml:space="preserve"> (1968) 68 Cal.2d 162, 168.)  </w:t>
      </w:r>
      <w:r w:rsidRPr="001B41E4">
        <w:rPr>
          <w:rFonts w:ascii="Century Schoolbook" w:hAnsi="Century Schoolbook"/>
          <w:sz w:val="27"/>
          <w:szCs w:val="26"/>
        </w:rPr>
        <w:t>In other words</w:t>
      </w:r>
      <w:r w:rsidRPr="001B41E4" w:rsidR="008D5DCC">
        <w:rPr>
          <w:rFonts w:ascii="Century Schoolbook" w:hAnsi="Century Schoolbook"/>
          <w:sz w:val="27"/>
          <w:szCs w:val="26"/>
        </w:rPr>
        <w:t xml:space="preserve">, </w:t>
      </w:r>
      <w:r w:rsidR="00B72969">
        <w:rPr>
          <w:rFonts w:ascii="Century Schoolbook" w:hAnsi="Century Schoolbook"/>
          <w:sz w:val="27"/>
          <w:szCs w:val="26"/>
        </w:rPr>
        <w:t>unless there is</w:t>
      </w:r>
      <w:r w:rsidR="00436A69">
        <w:rPr>
          <w:rFonts w:ascii="Century Schoolbook" w:hAnsi="Century Schoolbook"/>
          <w:sz w:val="27"/>
          <w:szCs w:val="26"/>
        </w:rPr>
        <w:t xml:space="preserve"> clear </w:t>
      </w:r>
      <w:r w:rsidR="00C24FC1">
        <w:rPr>
          <w:rFonts w:ascii="Century Schoolbook" w:hAnsi="Century Schoolbook"/>
          <w:sz w:val="27"/>
          <w:szCs w:val="26"/>
        </w:rPr>
        <w:t>legislative</w:t>
      </w:r>
      <w:r w:rsidR="00436A69">
        <w:rPr>
          <w:rFonts w:ascii="Century Schoolbook" w:hAnsi="Century Schoolbook"/>
          <w:sz w:val="27"/>
          <w:szCs w:val="26"/>
        </w:rPr>
        <w:t xml:space="preserve"> direction to the contrary,</w:t>
      </w:r>
      <w:r w:rsidRPr="001B41E4" w:rsidR="00436A69">
        <w:rPr>
          <w:rFonts w:ascii="Century Schoolbook" w:hAnsi="Century Schoolbook"/>
          <w:sz w:val="27"/>
          <w:szCs w:val="26"/>
        </w:rPr>
        <w:t xml:space="preserve"> </w:t>
      </w:r>
      <w:r w:rsidRPr="001B41E4" w:rsidR="008D5DCC">
        <w:rPr>
          <w:rFonts w:ascii="Century Schoolbook" w:hAnsi="Century Schoolbook"/>
          <w:sz w:val="27"/>
          <w:szCs w:val="26"/>
        </w:rPr>
        <w:t xml:space="preserve">a </w:t>
      </w:r>
      <w:r w:rsidRPr="001B41E4">
        <w:rPr>
          <w:rFonts w:ascii="Century Schoolbook" w:hAnsi="Century Schoolbook"/>
          <w:sz w:val="27"/>
          <w:szCs w:val="26"/>
        </w:rPr>
        <w:t xml:space="preserve">process </w:t>
      </w:r>
      <w:r w:rsidR="007958D2">
        <w:rPr>
          <w:rFonts w:ascii="Century Schoolbook" w:hAnsi="Century Schoolbook"/>
          <w:sz w:val="27"/>
          <w:szCs w:val="26"/>
        </w:rPr>
        <w:t>proffered as</w:t>
      </w:r>
      <w:r w:rsidR="001B41E4">
        <w:rPr>
          <w:rFonts w:ascii="Century Schoolbook" w:hAnsi="Century Schoolbook"/>
          <w:sz w:val="27"/>
          <w:szCs w:val="26"/>
        </w:rPr>
        <w:t xml:space="preserve"> </w:t>
      </w:r>
      <w:r w:rsidRPr="001B41E4">
        <w:rPr>
          <w:rFonts w:ascii="Century Schoolbook" w:hAnsi="Century Schoolbook"/>
          <w:sz w:val="27"/>
          <w:szCs w:val="26"/>
        </w:rPr>
        <w:t>a</w:t>
      </w:r>
      <w:r w:rsidR="007958D2">
        <w:rPr>
          <w:rFonts w:ascii="Century Schoolbook" w:hAnsi="Century Schoolbook"/>
          <w:sz w:val="27"/>
          <w:szCs w:val="26"/>
        </w:rPr>
        <w:t>n</w:t>
      </w:r>
      <w:r w:rsidRPr="001B41E4" w:rsidR="008D5DCC">
        <w:rPr>
          <w:rFonts w:ascii="Century Schoolbook" w:hAnsi="Century Schoolbook"/>
          <w:sz w:val="27"/>
          <w:szCs w:val="26"/>
        </w:rPr>
        <w:t xml:space="preserve"> </w:t>
      </w:r>
      <w:r w:rsidR="007958D2">
        <w:rPr>
          <w:rFonts w:ascii="Century Schoolbook" w:hAnsi="Century Schoolbook"/>
          <w:sz w:val="27"/>
          <w:szCs w:val="26"/>
        </w:rPr>
        <w:t xml:space="preserve">administrative </w:t>
      </w:r>
      <w:r w:rsidRPr="001B41E4" w:rsidR="008D5DCC">
        <w:rPr>
          <w:rFonts w:ascii="Century Schoolbook" w:hAnsi="Century Schoolbook"/>
          <w:sz w:val="27"/>
          <w:szCs w:val="26"/>
        </w:rPr>
        <w:t>remedy does not have to be exhausted</w:t>
      </w:r>
      <w:r w:rsidR="00436A69">
        <w:rPr>
          <w:rFonts w:ascii="Century Schoolbook" w:hAnsi="Century Schoolbook"/>
          <w:sz w:val="27"/>
          <w:szCs w:val="26"/>
        </w:rPr>
        <w:t xml:space="preserve"> </w:t>
      </w:r>
      <w:r w:rsidRPr="001B41E4" w:rsidR="008D5DCC">
        <w:rPr>
          <w:rFonts w:ascii="Century Schoolbook" w:hAnsi="Century Schoolbook"/>
          <w:sz w:val="27"/>
          <w:szCs w:val="26"/>
        </w:rPr>
        <w:t xml:space="preserve">when </w:t>
      </w:r>
      <w:r w:rsidR="00436A69">
        <w:rPr>
          <w:rFonts w:ascii="Century Schoolbook" w:hAnsi="Century Schoolbook"/>
          <w:sz w:val="27"/>
          <w:szCs w:val="26"/>
        </w:rPr>
        <w:t xml:space="preserve">its dispute resolution procedures are so </w:t>
      </w:r>
      <w:r w:rsidR="00B72969">
        <w:rPr>
          <w:rFonts w:ascii="Century Schoolbook" w:hAnsi="Century Schoolbook"/>
          <w:sz w:val="27"/>
          <w:szCs w:val="26"/>
        </w:rPr>
        <w:t>meager</w:t>
      </w:r>
      <w:r w:rsidR="00436A69">
        <w:rPr>
          <w:rFonts w:ascii="Century Schoolbook" w:hAnsi="Century Schoolbook"/>
          <w:sz w:val="27"/>
          <w:szCs w:val="26"/>
        </w:rPr>
        <w:t xml:space="preserve"> that </w:t>
      </w:r>
      <w:r w:rsidRPr="001B41E4" w:rsidR="0018159F">
        <w:rPr>
          <w:rFonts w:ascii="Century Schoolbook" w:hAnsi="Century Schoolbook"/>
          <w:sz w:val="27"/>
          <w:szCs w:val="26"/>
        </w:rPr>
        <w:t>it</w:t>
      </w:r>
      <w:r w:rsidRPr="001B41E4" w:rsidR="004C582B">
        <w:rPr>
          <w:rFonts w:ascii="Century Schoolbook" w:hAnsi="Century Schoolbook"/>
          <w:sz w:val="27"/>
          <w:szCs w:val="26"/>
        </w:rPr>
        <w:t xml:space="preserve"> </w:t>
      </w:r>
      <w:r w:rsidRPr="001B41E4">
        <w:rPr>
          <w:rFonts w:ascii="Century Schoolbook" w:hAnsi="Century Schoolbook"/>
          <w:sz w:val="27"/>
          <w:szCs w:val="26"/>
        </w:rPr>
        <w:t>cannot fairly be regarded as a remedy at all</w:t>
      </w:r>
      <w:r w:rsidRPr="001B41E4" w:rsidR="0018159F">
        <w:rPr>
          <w:rFonts w:ascii="Century Schoolbook" w:hAnsi="Century Schoolbook"/>
          <w:sz w:val="27"/>
          <w:szCs w:val="26"/>
        </w:rPr>
        <w:t>.</w:t>
      </w:r>
      <w:r w:rsidRPr="001B41E4">
        <w:rPr>
          <w:rFonts w:ascii="Century Schoolbook" w:hAnsi="Century Schoolbook"/>
          <w:sz w:val="27"/>
          <w:szCs w:val="26"/>
        </w:rPr>
        <w:t xml:space="preserve">  </w:t>
      </w:r>
      <w:r w:rsidRPr="001B41E4" w:rsidR="00DC3A44">
        <w:rPr>
          <w:rFonts w:ascii="Century Schoolbook" w:hAnsi="Century Schoolbook"/>
          <w:sz w:val="27"/>
          <w:szCs w:val="26"/>
        </w:rPr>
        <w:t xml:space="preserve">(But cf. </w:t>
      </w:r>
      <w:r w:rsidRPr="001B41E4" w:rsidR="00C16396">
        <w:rPr>
          <w:rFonts w:ascii="Century Schoolbook" w:hAnsi="Century Schoolbook"/>
          <w:i/>
          <w:iCs/>
          <w:sz w:val="27"/>
          <w:szCs w:val="26"/>
        </w:rPr>
        <w:t>Campbell</w:t>
      </w:r>
      <w:r w:rsidR="002F0325">
        <w:rPr>
          <w:rFonts w:ascii="Century Schoolbook" w:hAnsi="Century Schoolbook"/>
          <w:sz w:val="27"/>
          <w:szCs w:val="26"/>
        </w:rPr>
        <w:t xml:space="preserve">, </w:t>
      </w:r>
      <w:r w:rsidRPr="002F0325" w:rsidR="002F0325">
        <w:rPr>
          <w:rFonts w:ascii="Century Schoolbook" w:hAnsi="Century Schoolbook"/>
          <w:i/>
          <w:iCs/>
          <w:sz w:val="27"/>
          <w:szCs w:val="26"/>
        </w:rPr>
        <w:t>supra</w:t>
      </w:r>
      <w:r w:rsidR="002F0325">
        <w:rPr>
          <w:rFonts w:ascii="Century Schoolbook" w:hAnsi="Century Schoolbook"/>
          <w:sz w:val="27"/>
          <w:szCs w:val="26"/>
        </w:rPr>
        <w:t>,</w:t>
      </w:r>
      <w:r w:rsidRPr="001B41E4" w:rsidR="00C16396">
        <w:rPr>
          <w:rFonts w:ascii="Century Schoolbook" w:hAnsi="Century Schoolbook"/>
          <w:i/>
          <w:iCs/>
          <w:sz w:val="27"/>
          <w:szCs w:val="26"/>
        </w:rPr>
        <w:t xml:space="preserve"> </w:t>
      </w:r>
      <w:r w:rsidRPr="001B41E4" w:rsidR="00C16396">
        <w:rPr>
          <w:rFonts w:ascii="Century Schoolbook" w:hAnsi="Century Schoolbook"/>
          <w:sz w:val="27"/>
          <w:szCs w:val="26"/>
        </w:rPr>
        <w:t xml:space="preserve">35 Cal.4th </w:t>
      </w:r>
      <w:r w:rsidR="002F0325">
        <w:rPr>
          <w:rFonts w:ascii="Century Schoolbook" w:hAnsi="Century Schoolbook"/>
          <w:sz w:val="27"/>
          <w:szCs w:val="26"/>
        </w:rPr>
        <w:t>at p</w:t>
      </w:r>
      <w:r w:rsidR="00AE40D2">
        <w:rPr>
          <w:rFonts w:ascii="Century Schoolbook" w:hAnsi="Century Schoolbook"/>
          <w:sz w:val="27"/>
          <w:szCs w:val="26"/>
        </w:rPr>
        <w:t>p</w:t>
      </w:r>
      <w:r w:rsidR="002F0325">
        <w:rPr>
          <w:rFonts w:ascii="Century Schoolbook" w:hAnsi="Century Schoolbook"/>
          <w:sz w:val="27"/>
          <w:szCs w:val="26"/>
        </w:rPr>
        <w:t>.</w:t>
      </w:r>
      <w:r w:rsidRPr="001B41E4" w:rsidR="00C16396">
        <w:rPr>
          <w:rFonts w:ascii="Century Schoolbook" w:hAnsi="Century Schoolbook"/>
          <w:sz w:val="27"/>
          <w:szCs w:val="26"/>
        </w:rPr>
        <w:t xml:space="preserve"> 323</w:t>
      </w:r>
      <w:r w:rsidR="00AE40D2">
        <w:rPr>
          <w:rFonts w:ascii="Century Schoolbook" w:hAnsi="Century Schoolbook"/>
          <w:sz w:val="27"/>
          <w:szCs w:val="26"/>
        </w:rPr>
        <w:t>, 333</w:t>
      </w:r>
      <w:r w:rsidRPr="001B41E4" w:rsidR="00C16396">
        <w:rPr>
          <w:rFonts w:ascii="Century Schoolbook" w:hAnsi="Century Schoolbook"/>
          <w:sz w:val="27"/>
          <w:szCs w:val="26"/>
        </w:rPr>
        <w:t xml:space="preserve"> </w:t>
      </w:r>
      <w:r w:rsidRPr="001B41E4" w:rsidR="00DC3A44">
        <w:rPr>
          <w:rFonts w:ascii="Century Schoolbook" w:hAnsi="Century Schoolbook"/>
          <w:sz w:val="27"/>
          <w:szCs w:val="26"/>
        </w:rPr>
        <w:t>[</w:t>
      </w:r>
      <w:r w:rsidR="00E6275D">
        <w:rPr>
          <w:rFonts w:ascii="Century Schoolbook" w:hAnsi="Century Schoolbook"/>
          <w:sz w:val="27"/>
          <w:szCs w:val="26"/>
        </w:rPr>
        <w:t>requiring exhaustion notwithstanding the</w:t>
      </w:r>
      <w:r w:rsidRPr="001B41E4" w:rsidR="00DC3A44">
        <w:rPr>
          <w:rFonts w:ascii="Century Schoolbook" w:hAnsi="Century Schoolbook"/>
          <w:sz w:val="27"/>
          <w:szCs w:val="26"/>
        </w:rPr>
        <w:t xml:space="preserve"> unavailability of money damages </w:t>
      </w:r>
      <w:r w:rsidRPr="001B41E4" w:rsidR="007E5F00">
        <w:rPr>
          <w:rFonts w:ascii="Century Schoolbook" w:hAnsi="Century Schoolbook"/>
          <w:sz w:val="27"/>
          <w:szCs w:val="26"/>
        </w:rPr>
        <w:t xml:space="preserve">through </w:t>
      </w:r>
      <w:r w:rsidR="00436A69">
        <w:rPr>
          <w:rFonts w:ascii="Century Schoolbook" w:hAnsi="Century Schoolbook"/>
          <w:sz w:val="27"/>
          <w:szCs w:val="26"/>
        </w:rPr>
        <w:t>an</w:t>
      </w:r>
      <w:r w:rsidR="007958D2">
        <w:rPr>
          <w:rFonts w:ascii="Century Schoolbook" w:hAnsi="Century Schoolbook"/>
          <w:sz w:val="27"/>
          <w:szCs w:val="26"/>
        </w:rPr>
        <w:t xml:space="preserve"> </w:t>
      </w:r>
      <w:r w:rsidRPr="001B41E4" w:rsidR="007E5F00">
        <w:rPr>
          <w:rFonts w:ascii="Century Schoolbook" w:hAnsi="Century Schoolbook"/>
          <w:sz w:val="27"/>
          <w:szCs w:val="26"/>
        </w:rPr>
        <w:t>administrative remedy</w:t>
      </w:r>
      <w:r w:rsidRPr="001B41E4" w:rsidR="00DC3A44">
        <w:rPr>
          <w:rFonts w:ascii="Century Schoolbook" w:hAnsi="Century Schoolbook"/>
          <w:sz w:val="27"/>
          <w:szCs w:val="27"/>
        </w:rPr>
        <w:t xml:space="preserve">]; </w:t>
      </w:r>
      <w:r w:rsidRPr="001B41E4" w:rsidR="00DC3A44">
        <w:rPr>
          <w:rFonts w:ascii="Century Schoolbook" w:hAnsi="Century Schoolbook"/>
          <w:i/>
          <w:iCs/>
          <w:sz w:val="27"/>
          <w:szCs w:val="27"/>
        </w:rPr>
        <w:t>Westlake Community Hosp.</w:t>
      </w:r>
      <w:r w:rsidR="000739CB">
        <w:rPr>
          <w:rFonts w:ascii="Century Schoolbook" w:hAnsi="Century Schoolbook"/>
          <w:sz w:val="27"/>
          <w:szCs w:val="27"/>
        </w:rPr>
        <w:t xml:space="preserve">, </w:t>
      </w:r>
      <w:r w:rsidRPr="000739CB" w:rsidR="000739CB">
        <w:rPr>
          <w:rFonts w:ascii="Century Schoolbook" w:hAnsi="Century Schoolbook"/>
          <w:i/>
          <w:iCs/>
          <w:sz w:val="27"/>
          <w:szCs w:val="27"/>
        </w:rPr>
        <w:t>supra</w:t>
      </w:r>
      <w:r w:rsidR="000739CB">
        <w:rPr>
          <w:rFonts w:ascii="Century Schoolbook" w:hAnsi="Century Schoolbook"/>
          <w:sz w:val="27"/>
          <w:szCs w:val="27"/>
        </w:rPr>
        <w:t xml:space="preserve">, </w:t>
      </w:r>
      <w:r w:rsidRPr="001B41E4" w:rsidR="00DC3A44">
        <w:rPr>
          <w:rFonts w:ascii="Century Schoolbook" w:hAnsi="Century Schoolbook"/>
          <w:sz w:val="27"/>
          <w:szCs w:val="27"/>
        </w:rPr>
        <w:t xml:space="preserve">17 Cal.3d </w:t>
      </w:r>
      <w:r w:rsidR="000739CB">
        <w:rPr>
          <w:rFonts w:ascii="Century Schoolbook" w:hAnsi="Century Schoolbook"/>
          <w:sz w:val="27"/>
          <w:szCs w:val="27"/>
        </w:rPr>
        <w:t>at p.</w:t>
      </w:r>
      <w:r w:rsidRPr="001B41E4" w:rsidR="00DC3A44">
        <w:rPr>
          <w:rFonts w:ascii="Century Schoolbook" w:hAnsi="Century Schoolbook"/>
          <w:sz w:val="27"/>
          <w:szCs w:val="27"/>
        </w:rPr>
        <w:t xml:space="preserve"> 476.)  </w:t>
      </w:r>
      <w:r w:rsidRPr="001B41E4">
        <w:rPr>
          <w:rFonts w:ascii="Century Schoolbook" w:hAnsi="Century Schoolbook"/>
          <w:sz w:val="27"/>
          <w:szCs w:val="27"/>
        </w:rPr>
        <w:t xml:space="preserve">When </w:t>
      </w:r>
      <w:r w:rsidR="00E6275D">
        <w:rPr>
          <w:rFonts w:ascii="Century Schoolbook" w:hAnsi="Century Schoolbook"/>
          <w:sz w:val="27"/>
          <w:szCs w:val="27"/>
        </w:rPr>
        <w:t xml:space="preserve">the relevant extrajudicial procedures are so clearly </w:t>
      </w:r>
      <w:r w:rsidR="00537E7F">
        <w:rPr>
          <w:rFonts w:ascii="Century Schoolbook" w:hAnsi="Century Schoolbook"/>
          <w:sz w:val="27"/>
          <w:szCs w:val="27"/>
        </w:rPr>
        <w:t>wanting</w:t>
      </w:r>
      <w:r w:rsidRPr="001B41E4">
        <w:rPr>
          <w:rFonts w:ascii="Century Schoolbook" w:hAnsi="Century Schoolbook"/>
          <w:sz w:val="27"/>
          <w:szCs w:val="27"/>
        </w:rPr>
        <w:t>, the exhaustion rule</w:t>
      </w:r>
      <w:r w:rsidRPr="001B41E4">
        <w:rPr>
          <w:rFonts w:ascii="Century Schoolbook" w:hAnsi="Century Schoolbook"/>
          <w:sz w:val="27"/>
          <w:szCs w:val="27"/>
        </w:rPr>
        <w:t xml:space="preserve"> </w:t>
      </w:r>
      <w:r w:rsidRPr="001B41E4">
        <w:rPr>
          <w:rFonts w:ascii="Century Schoolbook" w:hAnsi="Century Schoolbook"/>
          <w:sz w:val="27"/>
          <w:szCs w:val="27"/>
        </w:rPr>
        <w:t xml:space="preserve">does not come into play because it has been determined there is no </w:t>
      </w:r>
      <w:r w:rsidRPr="001B41E4">
        <w:rPr>
          <w:rFonts w:ascii="Century Schoolbook" w:hAnsi="Century Schoolbook"/>
          <w:sz w:val="27"/>
          <w:szCs w:val="27"/>
        </w:rPr>
        <w:t xml:space="preserve">genuine </w:t>
      </w:r>
      <w:r w:rsidRPr="001B41E4">
        <w:rPr>
          <w:rFonts w:ascii="Century Schoolbook" w:hAnsi="Century Schoolbook"/>
          <w:sz w:val="27"/>
          <w:szCs w:val="27"/>
        </w:rPr>
        <w:t xml:space="preserve">remedy to exhaust.  </w:t>
      </w:r>
    </w:p>
    <w:p w:rsidR="008E5CAA" w:rsidRPr="001B41E4" w:rsidP="0023145B" w14:paraId="590A4B8D" w14:textId="51A3E089">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7"/>
        </w:rPr>
        <w:t>There</w:t>
      </w:r>
      <w:r w:rsidRPr="001B41E4" w:rsidR="0018159F">
        <w:rPr>
          <w:rFonts w:ascii="Century Schoolbook" w:hAnsi="Century Schoolbook"/>
          <w:sz w:val="27"/>
          <w:szCs w:val="27"/>
        </w:rPr>
        <w:t xml:space="preserve"> are</w:t>
      </w:r>
      <w:r w:rsidRPr="001B41E4">
        <w:rPr>
          <w:rFonts w:ascii="Century Schoolbook" w:hAnsi="Century Schoolbook"/>
          <w:sz w:val="27"/>
          <w:szCs w:val="27"/>
        </w:rPr>
        <w:t xml:space="preserve"> also</w:t>
      </w:r>
      <w:r w:rsidRPr="001B41E4" w:rsidR="0018159F">
        <w:rPr>
          <w:rFonts w:ascii="Century Schoolbook" w:hAnsi="Century Schoolbook"/>
          <w:sz w:val="27"/>
          <w:szCs w:val="27"/>
        </w:rPr>
        <w:t xml:space="preserve"> several</w:t>
      </w:r>
      <w:r w:rsidRPr="001B41E4" w:rsidR="0018159F">
        <w:rPr>
          <w:rFonts w:ascii="Century Schoolbook" w:hAnsi="Century Schoolbook"/>
          <w:sz w:val="27"/>
          <w:szCs w:val="26"/>
        </w:rPr>
        <w:t xml:space="preserve"> </w:t>
      </w:r>
      <w:r w:rsidRPr="001B41E4" w:rsidR="005D0F65">
        <w:rPr>
          <w:rFonts w:ascii="Century Schoolbook" w:hAnsi="Century Schoolbook"/>
          <w:sz w:val="27"/>
          <w:szCs w:val="26"/>
        </w:rPr>
        <w:t xml:space="preserve">true </w:t>
      </w:r>
      <w:r w:rsidRPr="001B41E4" w:rsidR="0018159F">
        <w:rPr>
          <w:rFonts w:ascii="Century Schoolbook" w:hAnsi="Century Schoolbook"/>
          <w:sz w:val="27"/>
          <w:szCs w:val="26"/>
        </w:rPr>
        <w:t>exceptions to the exhaustion rule.  (</w:t>
      </w:r>
      <w:r w:rsidRPr="001B41E4" w:rsidR="0018159F">
        <w:rPr>
          <w:rFonts w:ascii="Century Schoolbook" w:hAnsi="Century Schoolbook"/>
          <w:i/>
          <w:iCs/>
          <w:sz w:val="27"/>
          <w:szCs w:val="26"/>
        </w:rPr>
        <w:t>Williams &amp; Fickett</w:t>
      </w:r>
      <w:r w:rsidRPr="001B41E4" w:rsidR="0018159F">
        <w:rPr>
          <w:rFonts w:ascii="Century Schoolbook" w:hAnsi="Century Schoolbook"/>
          <w:sz w:val="27"/>
          <w:szCs w:val="26"/>
        </w:rPr>
        <w:t xml:space="preserve">, </w:t>
      </w:r>
      <w:r w:rsidRPr="001B41E4" w:rsidR="0018159F">
        <w:rPr>
          <w:rFonts w:ascii="Century Schoolbook" w:hAnsi="Century Schoolbook"/>
          <w:i/>
          <w:iCs/>
          <w:sz w:val="27"/>
          <w:szCs w:val="26"/>
        </w:rPr>
        <w:t>supra</w:t>
      </w:r>
      <w:r w:rsidRPr="001B41E4" w:rsidR="0018159F">
        <w:rPr>
          <w:rFonts w:ascii="Century Schoolbook" w:hAnsi="Century Schoolbook"/>
          <w:sz w:val="27"/>
          <w:szCs w:val="26"/>
        </w:rPr>
        <w:t>, 2 Cal.5th at p. 1274.)  We have described these exceptions as “flexible.”  (</w:t>
      </w:r>
      <w:r w:rsidRPr="001B41E4" w:rsidR="0018159F">
        <w:rPr>
          <w:rFonts w:ascii="Century Schoolbook" w:hAnsi="Century Schoolbook"/>
          <w:i/>
          <w:iCs/>
          <w:sz w:val="27"/>
          <w:szCs w:val="26"/>
        </w:rPr>
        <w:t>Campbell</w:t>
      </w:r>
      <w:r w:rsidRPr="001B41E4" w:rsidR="0018159F">
        <w:rPr>
          <w:rFonts w:ascii="Century Schoolbook" w:hAnsi="Century Schoolbook"/>
          <w:sz w:val="27"/>
          <w:szCs w:val="26"/>
        </w:rPr>
        <w:t xml:space="preserve">, </w:t>
      </w:r>
      <w:r w:rsidRPr="001B41E4" w:rsidR="0018159F">
        <w:rPr>
          <w:rFonts w:ascii="Century Schoolbook" w:hAnsi="Century Schoolbook"/>
          <w:i/>
          <w:iCs/>
          <w:sz w:val="27"/>
          <w:szCs w:val="26"/>
        </w:rPr>
        <w:t>supra</w:t>
      </w:r>
      <w:r w:rsidRPr="001B41E4" w:rsidR="0018159F">
        <w:rPr>
          <w:rFonts w:ascii="Century Schoolbook" w:hAnsi="Century Schoolbook"/>
          <w:sz w:val="27"/>
          <w:szCs w:val="26"/>
        </w:rPr>
        <w:t>, 35</w:t>
      </w:r>
      <w:r w:rsidRPr="001B41E4" w:rsidR="00D50877">
        <w:rPr>
          <w:rFonts w:ascii="Century Schoolbook" w:hAnsi="Century Schoolbook"/>
          <w:sz w:val="27"/>
          <w:szCs w:val="26"/>
        </w:rPr>
        <w:t> </w:t>
      </w:r>
      <w:r w:rsidRPr="001B41E4" w:rsidR="0018159F">
        <w:rPr>
          <w:rFonts w:ascii="Century Schoolbook" w:hAnsi="Century Schoolbook"/>
          <w:sz w:val="27"/>
          <w:szCs w:val="26"/>
        </w:rPr>
        <w:t xml:space="preserve">Cal.4th at p. 322; see also </w:t>
      </w:r>
      <w:r w:rsidRPr="001B41E4" w:rsidR="0018159F">
        <w:rPr>
          <w:rFonts w:ascii="Century Schoolbook" w:hAnsi="Century Schoolbook"/>
          <w:i/>
          <w:iCs/>
          <w:sz w:val="27"/>
          <w:szCs w:val="26"/>
        </w:rPr>
        <w:t>Sail’er Inn, Inc. v. Kirby</w:t>
      </w:r>
      <w:r w:rsidRPr="001B41E4" w:rsidR="0018159F">
        <w:rPr>
          <w:rFonts w:ascii="Century Schoolbook" w:hAnsi="Century Schoolbook"/>
          <w:sz w:val="27"/>
          <w:szCs w:val="26"/>
        </w:rPr>
        <w:t xml:space="preserve"> (1971) 5</w:t>
      </w:r>
      <w:r w:rsidRPr="001B41E4" w:rsidR="00D50877">
        <w:rPr>
          <w:rFonts w:ascii="Century Schoolbook" w:hAnsi="Century Schoolbook"/>
          <w:sz w:val="27"/>
          <w:szCs w:val="26"/>
        </w:rPr>
        <w:t> </w:t>
      </w:r>
      <w:r w:rsidRPr="001B41E4" w:rsidR="0018159F">
        <w:rPr>
          <w:rFonts w:ascii="Century Schoolbook" w:hAnsi="Century Schoolbook"/>
          <w:sz w:val="27"/>
          <w:szCs w:val="26"/>
        </w:rPr>
        <w:t>Cal.3d 1, 7 [declining to require exhaustion due to “extraordinary circumstances”].)  One exception</w:t>
      </w:r>
      <w:r w:rsidRPr="001B41E4" w:rsidR="00235FF7">
        <w:rPr>
          <w:rFonts w:ascii="Century Schoolbook" w:hAnsi="Century Schoolbook"/>
          <w:sz w:val="27"/>
          <w:szCs w:val="26"/>
        </w:rPr>
        <w:t xml:space="preserve"> applies when</w:t>
      </w:r>
      <w:r w:rsidRPr="001B41E4" w:rsidR="0018159F">
        <w:rPr>
          <w:rFonts w:ascii="Century Schoolbook" w:hAnsi="Century Schoolbook"/>
          <w:sz w:val="27"/>
          <w:szCs w:val="26"/>
        </w:rPr>
        <w:t xml:space="preserve"> </w:t>
      </w:r>
      <w:r w:rsidRPr="001B41E4" w:rsidR="00235FF7">
        <w:rPr>
          <w:rFonts w:ascii="Century Schoolbook" w:hAnsi="Century Schoolbook"/>
          <w:sz w:val="27"/>
          <w:szCs w:val="26"/>
        </w:rPr>
        <w:t>the claimed remedy m</w:t>
      </w:r>
      <w:r w:rsidRPr="001B41E4" w:rsidR="00734E75">
        <w:rPr>
          <w:rFonts w:ascii="Century Schoolbook" w:hAnsi="Century Schoolbook"/>
          <w:sz w:val="27"/>
          <w:szCs w:val="26"/>
        </w:rPr>
        <w:t xml:space="preserve">ight </w:t>
      </w:r>
      <w:r w:rsidRPr="001B41E4" w:rsidR="00235FF7">
        <w:rPr>
          <w:rFonts w:ascii="Century Schoolbook" w:hAnsi="Century Schoolbook"/>
          <w:sz w:val="27"/>
          <w:szCs w:val="26"/>
        </w:rPr>
        <w:t>involve “clearly defined machinery for the submission, evaluation and resolution</w:t>
      </w:r>
      <w:r w:rsidRPr="001B41E4" w:rsidR="00734E75">
        <w:rPr>
          <w:rFonts w:ascii="Century Schoolbook" w:hAnsi="Century Schoolbook"/>
          <w:sz w:val="27"/>
          <w:szCs w:val="26"/>
        </w:rPr>
        <w:t>”</w:t>
      </w:r>
      <w:r w:rsidRPr="001B41E4" w:rsidR="00235FF7">
        <w:rPr>
          <w:rFonts w:ascii="Century Schoolbook" w:hAnsi="Century Schoolbook"/>
          <w:sz w:val="27"/>
          <w:szCs w:val="26"/>
        </w:rPr>
        <w:t xml:space="preserve"> of</w:t>
      </w:r>
      <w:r w:rsidRPr="001B41E4" w:rsidR="00734E75">
        <w:rPr>
          <w:rFonts w:ascii="Century Schoolbook" w:hAnsi="Century Schoolbook"/>
          <w:sz w:val="27"/>
          <w:szCs w:val="26"/>
        </w:rPr>
        <w:t xml:space="preserve"> at least </w:t>
      </w:r>
      <w:r w:rsidRPr="006A105E" w:rsidR="00734E75">
        <w:rPr>
          <w:rFonts w:ascii="Century Schoolbook" w:hAnsi="Century Schoolbook"/>
          <w:sz w:val="27"/>
          <w:szCs w:val="26"/>
        </w:rPr>
        <w:t>some</w:t>
      </w:r>
      <w:r w:rsidRPr="001B41E4" w:rsidR="00235FF7">
        <w:rPr>
          <w:rFonts w:ascii="Century Schoolbook" w:hAnsi="Century Schoolbook"/>
          <w:sz w:val="27"/>
          <w:szCs w:val="26"/>
        </w:rPr>
        <w:t xml:space="preserve"> </w:t>
      </w:r>
      <w:r w:rsidRPr="001B41E4" w:rsidR="00734E75">
        <w:rPr>
          <w:rFonts w:ascii="Century Schoolbook" w:hAnsi="Century Schoolbook"/>
          <w:sz w:val="27"/>
          <w:szCs w:val="26"/>
        </w:rPr>
        <w:t>“</w:t>
      </w:r>
      <w:r w:rsidRPr="001B41E4" w:rsidR="00235FF7">
        <w:rPr>
          <w:rFonts w:ascii="Century Schoolbook" w:hAnsi="Century Schoolbook"/>
          <w:sz w:val="27"/>
          <w:szCs w:val="26"/>
        </w:rPr>
        <w:t>complaints by aggrieved parties” (</w:t>
      </w:r>
      <w:r w:rsidRPr="001B41E4" w:rsidR="00235FF7">
        <w:rPr>
          <w:rFonts w:ascii="Century Schoolbook" w:hAnsi="Century Schoolbook"/>
          <w:i/>
          <w:iCs/>
          <w:sz w:val="27"/>
          <w:szCs w:val="26"/>
        </w:rPr>
        <w:t>Rosenfield</w:t>
      </w:r>
      <w:r w:rsidRPr="001B41E4" w:rsidR="00235FF7">
        <w:rPr>
          <w:rFonts w:ascii="Century Schoolbook" w:hAnsi="Century Schoolbook"/>
          <w:sz w:val="27"/>
          <w:szCs w:val="26"/>
        </w:rPr>
        <w:t xml:space="preserve">, </w:t>
      </w:r>
      <w:r w:rsidRPr="001B41E4" w:rsidR="00235FF7">
        <w:rPr>
          <w:rFonts w:ascii="Century Schoolbook" w:hAnsi="Century Schoolbook"/>
          <w:i/>
          <w:iCs/>
          <w:sz w:val="27"/>
          <w:szCs w:val="26"/>
        </w:rPr>
        <w:t>supra</w:t>
      </w:r>
      <w:r w:rsidRPr="001B41E4" w:rsidR="00235FF7">
        <w:rPr>
          <w:rFonts w:ascii="Century Schoolbook" w:hAnsi="Century Schoolbook"/>
          <w:sz w:val="27"/>
          <w:szCs w:val="26"/>
        </w:rPr>
        <w:t xml:space="preserve">, 65 Cal.2d at p. 566), but these procedures are </w:t>
      </w:r>
      <w:r w:rsidRPr="001B41E4" w:rsidR="000E6DEE">
        <w:rPr>
          <w:rFonts w:ascii="Century Schoolbook" w:hAnsi="Century Schoolbook"/>
          <w:sz w:val="27"/>
          <w:szCs w:val="26"/>
        </w:rPr>
        <w:t>deemed inadequate</w:t>
      </w:r>
      <w:r w:rsidRPr="001B41E4" w:rsidR="008D5DCC">
        <w:rPr>
          <w:rFonts w:ascii="Century Schoolbook" w:hAnsi="Century Schoolbook"/>
          <w:sz w:val="27"/>
          <w:szCs w:val="26"/>
        </w:rPr>
        <w:t xml:space="preserve"> in relation to the </w:t>
      </w:r>
      <w:r w:rsidRPr="006A105E" w:rsidR="005D0F65">
        <w:rPr>
          <w:rFonts w:ascii="Century Schoolbook" w:hAnsi="Century Schoolbook"/>
          <w:sz w:val="27"/>
          <w:szCs w:val="26"/>
        </w:rPr>
        <w:t>specific</w:t>
      </w:r>
      <w:r w:rsidRPr="001B41E4" w:rsidR="008D5DCC">
        <w:rPr>
          <w:rFonts w:ascii="Century Schoolbook" w:hAnsi="Century Schoolbook"/>
          <w:sz w:val="27"/>
          <w:szCs w:val="26"/>
        </w:rPr>
        <w:t xml:space="preserve"> claim or claims being advanced</w:t>
      </w:r>
      <w:r w:rsidRPr="001B41E4" w:rsidR="005D0F65">
        <w:rPr>
          <w:rFonts w:ascii="Century Schoolbook" w:hAnsi="Century Schoolbook"/>
          <w:sz w:val="27"/>
          <w:szCs w:val="26"/>
        </w:rPr>
        <w:t xml:space="preserve"> in a particular case</w:t>
      </w:r>
      <w:r w:rsidRPr="001B41E4">
        <w:rPr>
          <w:rFonts w:ascii="Century Schoolbook" w:hAnsi="Century Schoolbook"/>
          <w:sz w:val="27"/>
          <w:szCs w:val="26"/>
        </w:rPr>
        <w:t>.  (</w:t>
      </w:r>
      <w:r w:rsidRPr="001B41E4" w:rsidR="000E6DEE">
        <w:rPr>
          <w:rFonts w:ascii="Century Schoolbook" w:hAnsi="Century Schoolbook"/>
          <w:sz w:val="27"/>
          <w:szCs w:val="26"/>
        </w:rPr>
        <w:t xml:space="preserve">See </w:t>
      </w:r>
      <w:r w:rsidRPr="001B41E4" w:rsidR="008D5DCC">
        <w:rPr>
          <w:rFonts w:ascii="Century Schoolbook" w:hAnsi="Century Schoolbook"/>
          <w:i/>
          <w:iCs/>
          <w:sz w:val="27"/>
          <w:szCs w:val="26"/>
        </w:rPr>
        <w:t>Plantier</w:t>
      </w:r>
      <w:r w:rsidRPr="001B41E4" w:rsidR="008D5DCC">
        <w:rPr>
          <w:rFonts w:ascii="Century Schoolbook" w:hAnsi="Century Schoolbook"/>
          <w:sz w:val="27"/>
          <w:szCs w:val="26"/>
        </w:rPr>
        <w:t xml:space="preserve">, </w:t>
      </w:r>
      <w:r w:rsidRPr="001B41E4" w:rsidR="008D5DCC">
        <w:rPr>
          <w:rFonts w:ascii="Century Schoolbook" w:hAnsi="Century Schoolbook"/>
          <w:i/>
          <w:iCs/>
          <w:sz w:val="27"/>
          <w:szCs w:val="26"/>
        </w:rPr>
        <w:t>supra</w:t>
      </w:r>
      <w:r w:rsidRPr="001B41E4" w:rsidR="008D5DCC">
        <w:rPr>
          <w:rFonts w:ascii="Century Schoolbook" w:hAnsi="Century Schoolbook"/>
          <w:sz w:val="27"/>
          <w:szCs w:val="26"/>
        </w:rPr>
        <w:t>, 7 Cal.5th at pp. 384, 387</w:t>
      </w:r>
      <w:r w:rsidRPr="001B41E4">
        <w:rPr>
          <w:rFonts w:ascii="Century Schoolbook" w:hAnsi="Century Schoolbook"/>
          <w:sz w:val="27"/>
          <w:szCs w:val="26"/>
        </w:rPr>
        <w:t>.)</w:t>
      </w:r>
      <w:r w:rsidRPr="001B41E4" w:rsidR="00921E6C">
        <w:rPr>
          <w:rFonts w:ascii="Century Schoolbook" w:hAnsi="Century Schoolbook"/>
          <w:sz w:val="27"/>
          <w:szCs w:val="26"/>
        </w:rPr>
        <w:t xml:space="preserve"> </w:t>
      </w:r>
      <w:r w:rsidRPr="001B41E4">
        <w:rPr>
          <w:rFonts w:ascii="Century Schoolbook" w:hAnsi="Century Schoolbook"/>
          <w:sz w:val="27"/>
          <w:szCs w:val="26"/>
        </w:rPr>
        <w:t xml:space="preserve"> </w:t>
      </w:r>
      <w:r w:rsidRPr="001B41E4" w:rsidR="005D0F65">
        <w:rPr>
          <w:rFonts w:ascii="Century Schoolbook" w:hAnsi="Century Schoolbook"/>
          <w:sz w:val="27"/>
          <w:szCs w:val="26"/>
        </w:rPr>
        <w:t>This</w:t>
      </w:r>
      <w:r w:rsidRPr="001B41E4" w:rsidR="00803570">
        <w:rPr>
          <w:rFonts w:ascii="Century Schoolbook" w:hAnsi="Century Schoolbook"/>
          <w:sz w:val="27"/>
          <w:szCs w:val="26"/>
        </w:rPr>
        <w:t xml:space="preserve"> </w:t>
      </w:r>
      <w:r w:rsidRPr="001B41E4" w:rsidR="005D0F65">
        <w:rPr>
          <w:rFonts w:ascii="Century Schoolbook" w:hAnsi="Century Schoolbook"/>
          <w:sz w:val="27"/>
          <w:szCs w:val="26"/>
        </w:rPr>
        <w:t xml:space="preserve">analytical </w:t>
      </w:r>
      <w:r w:rsidRPr="001B41E4" w:rsidR="00803570">
        <w:rPr>
          <w:rFonts w:ascii="Century Schoolbook" w:hAnsi="Century Schoolbook"/>
          <w:sz w:val="27"/>
          <w:szCs w:val="26"/>
        </w:rPr>
        <w:t xml:space="preserve">path </w:t>
      </w:r>
      <w:r w:rsidRPr="001B41E4" w:rsidR="00734E75">
        <w:rPr>
          <w:rFonts w:ascii="Century Schoolbook" w:hAnsi="Century Schoolbook"/>
          <w:sz w:val="27"/>
          <w:szCs w:val="26"/>
        </w:rPr>
        <w:t>is</w:t>
      </w:r>
      <w:r w:rsidRPr="001B41E4" w:rsidR="00803570">
        <w:rPr>
          <w:rFonts w:ascii="Century Schoolbook" w:hAnsi="Century Schoolbook"/>
          <w:sz w:val="27"/>
          <w:szCs w:val="26"/>
        </w:rPr>
        <w:t xml:space="preserve"> narrower </w:t>
      </w:r>
      <w:r w:rsidRPr="001B41E4" w:rsidR="005D0F65">
        <w:rPr>
          <w:rFonts w:ascii="Century Schoolbook" w:hAnsi="Century Schoolbook"/>
          <w:sz w:val="27"/>
          <w:szCs w:val="26"/>
        </w:rPr>
        <w:t>than a finding of categorical deficiency</w:t>
      </w:r>
      <w:r w:rsidRPr="001B41E4" w:rsidR="00734E75">
        <w:rPr>
          <w:rFonts w:ascii="Century Schoolbook" w:hAnsi="Century Schoolbook"/>
          <w:sz w:val="27"/>
          <w:szCs w:val="26"/>
        </w:rPr>
        <w:t xml:space="preserve">.  </w:t>
      </w:r>
      <w:r w:rsidR="00E6275D">
        <w:rPr>
          <w:rFonts w:ascii="Century Schoolbook" w:hAnsi="Century Schoolbook"/>
          <w:sz w:val="27"/>
          <w:szCs w:val="26"/>
        </w:rPr>
        <w:t>A</w:t>
      </w:r>
      <w:r w:rsidRPr="001B41E4" w:rsidR="00803570">
        <w:rPr>
          <w:rFonts w:ascii="Century Schoolbook" w:hAnsi="Century Schoolbook"/>
          <w:sz w:val="27"/>
          <w:szCs w:val="26"/>
        </w:rPr>
        <w:t xml:space="preserve"> court may </w:t>
      </w:r>
      <w:r w:rsidRPr="001B41E4" w:rsidR="005D0F65">
        <w:rPr>
          <w:rFonts w:ascii="Century Schoolbook" w:hAnsi="Century Schoolbook"/>
          <w:sz w:val="27"/>
          <w:szCs w:val="26"/>
        </w:rPr>
        <w:t>regard</w:t>
      </w:r>
      <w:r w:rsidRPr="001B41E4" w:rsidR="00803570">
        <w:rPr>
          <w:rFonts w:ascii="Century Schoolbook" w:hAnsi="Century Schoolbook"/>
          <w:sz w:val="27"/>
          <w:szCs w:val="26"/>
        </w:rPr>
        <w:t xml:space="preserve"> a given </w:t>
      </w:r>
      <w:r w:rsidRPr="001B41E4" w:rsidR="00734E75">
        <w:rPr>
          <w:rFonts w:ascii="Century Schoolbook" w:hAnsi="Century Schoolbook"/>
          <w:sz w:val="27"/>
          <w:szCs w:val="26"/>
        </w:rPr>
        <w:t xml:space="preserve">extrajudicial </w:t>
      </w:r>
      <w:r w:rsidRPr="001B41E4" w:rsidR="00803570">
        <w:rPr>
          <w:rFonts w:ascii="Century Schoolbook" w:hAnsi="Century Schoolbook"/>
          <w:sz w:val="27"/>
          <w:szCs w:val="26"/>
        </w:rPr>
        <w:t>procedure</w:t>
      </w:r>
      <w:r w:rsidRPr="001B41E4" w:rsidR="005D0F65">
        <w:rPr>
          <w:rFonts w:ascii="Century Schoolbook" w:hAnsi="Century Schoolbook"/>
          <w:sz w:val="27"/>
          <w:szCs w:val="26"/>
        </w:rPr>
        <w:t xml:space="preserve"> as</w:t>
      </w:r>
      <w:r w:rsidRPr="001B41E4" w:rsidR="00803570">
        <w:rPr>
          <w:rFonts w:ascii="Century Schoolbook" w:hAnsi="Century Schoolbook"/>
          <w:sz w:val="27"/>
          <w:szCs w:val="26"/>
        </w:rPr>
        <w:t xml:space="preserve"> </w:t>
      </w:r>
      <w:r w:rsidR="00991930">
        <w:rPr>
          <w:rFonts w:ascii="Century Schoolbook" w:hAnsi="Century Schoolbook"/>
          <w:sz w:val="27"/>
          <w:szCs w:val="26"/>
        </w:rPr>
        <w:t>insufficient</w:t>
      </w:r>
      <w:r w:rsidRPr="001B41E4" w:rsidR="00803570">
        <w:rPr>
          <w:rFonts w:ascii="Century Schoolbook" w:hAnsi="Century Schoolbook"/>
          <w:sz w:val="27"/>
          <w:szCs w:val="26"/>
        </w:rPr>
        <w:t xml:space="preserve"> to justify application of the exhaustion rule in a particular case</w:t>
      </w:r>
      <w:r w:rsidRPr="001B41E4" w:rsidR="005D0F65">
        <w:rPr>
          <w:rFonts w:ascii="Century Schoolbook" w:hAnsi="Century Schoolbook"/>
          <w:sz w:val="27"/>
          <w:szCs w:val="26"/>
        </w:rPr>
        <w:t>, or class of cases,</w:t>
      </w:r>
      <w:r w:rsidRPr="001B41E4" w:rsidR="00803570">
        <w:rPr>
          <w:rFonts w:ascii="Century Schoolbook" w:hAnsi="Century Schoolbook"/>
          <w:sz w:val="27"/>
          <w:szCs w:val="26"/>
        </w:rPr>
        <w:t xml:space="preserve"> without</w:t>
      </w:r>
      <w:r w:rsidRPr="001B41E4" w:rsidR="00734E75">
        <w:rPr>
          <w:rFonts w:ascii="Century Schoolbook" w:hAnsi="Century Schoolbook"/>
          <w:sz w:val="27"/>
          <w:szCs w:val="26"/>
        </w:rPr>
        <w:t xml:space="preserve"> going further and</w:t>
      </w:r>
      <w:r w:rsidRPr="001B41E4" w:rsidR="00803570">
        <w:rPr>
          <w:rFonts w:ascii="Century Schoolbook" w:hAnsi="Century Schoolbook"/>
          <w:sz w:val="27"/>
          <w:szCs w:val="26"/>
        </w:rPr>
        <w:t xml:space="preserve"> </w:t>
      </w:r>
      <w:r w:rsidRPr="001B41E4" w:rsidR="00CC5835">
        <w:rPr>
          <w:rFonts w:ascii="Century Schoolbook" w:hAnsi="Century Schoolbook"/>
          <w:sz w:val="27"/>
          <w:szCs w:val="26"/>
        </w:rPr>
        <w:t>determining</w:t>
      </w:r>
      <w:r w:rsidRPr="001B41E4" w:rsidR="00803570">
        <w:rPr>
          <w:rFonts w:ascii="Century Schoolbook" w:hAnsi="Century Schoolbook"/>
          <w:sz w:val="27"/>
          <w:szCs w:val="26"/>
        </w:rPr>
        <w:t xml:space="preserve"> whether </w:t>
      </w:r>
      <w:r w:rsidRPr="001B41E4" w:rsidR="00734E75">
        <w:rPr>
          <w:rFonts w:ascii="Century Schoolbook" w:hAnsi="Century Schoolbook"/>
          <w:sz w:val="27"/>
          <w:szCs w:val="26"/>
        </w:rPr>
        <w:t>the process</w:t>
      </w:r>
      <w:r w:rsidRPr="001B41E4" w:rsidR="00803570">
        <w:rPr>
          <w:rFonts w:ascii="Century Schoolbook" w:hAnsi="Century Schoolbook"/>
          <w:sz w:val="27"/>
          <w:szCs w:val="26"/>
        </w:rPr>
        <w:t xml:space="preserve"> can </w:t>
      </w:r>
      <w:r w:rsidRPr="001B41E4" w:rsidR="00803570">
        <w:rPr>
          <w:rFonts w:ascii="Century Schoolbook" w:hAnsi="Century Schoolbook"/>
          <w:i/>
          <w:iCs/>
          <w:sz w:val="27"/>
          <w:szCs w:val="26"/>
        </w:rPr>
        <w:t>ever</w:t>
      </w:r>
      <w:r w:rsidRPr="001B41E4" w:rsidR="00803570">
        <w:rPr>
          <w:rFonts w:ascii="Century Schoolbook" w:hAnsi="Century Schoolbook"/>
          <w:sz w:val="27"/>
          <w:szCs w:val="26"/>
        </w:rPr>
        <w:t xml:space="preserve"> be regarded as a</w:t>
      </w:r>
      <w:r w:rsidRPr="001B41E4" w:rsidR="00734E75">
        <w:rPr>
          <w:rFonts w:ascii="Century Schoolbook" w:hAnsi="Century Schoolbook"/>
          <w:sz w:val="27"/>
          <w:szCs w:val="26"/>
        </w:rPr>
        <w:t xml:space="preserve">n administrative </w:t>
      </w:r>
      <w:r w:rsidRPr="001B41E4" w:rsidR="00803570">
        <w:rPr>
          <w:rFonts w:ascii="Century Schoolbook" w:hAnsi="Century Schoolbook"/>
          <w:sz w:val="27"/>
          <w:szCs w:val="26"/>
        </w:rPr>
        <w:t>remedy</w:t>
      </w:r>
      <w:r w:rsidRPr="001B41E4" w:rsidR="00CC5835">
        <w:rPr>
          <w:rFonts w:ascii="Century Schoolbook" w:hAnsi="Century Schoolbook"/>
          <w:sz w:val="27"/>
          <w:szCs w:val="26"/>
        </w:rPr>
        <w:t>.  O</w:t>
      </w:r>
      <w:r w:rsidRPr="001B41E4" w:rsidR="00803570">
        <w:rPr>
          <w:rFonts w:ascii="Century Schoolbook" w:hAnsi="Century Schoolbook"/>
          <w:sz w:val="27"/>
          <w:szCs w:val="26"/>
        </w:rPr>
        <w:t xml:space="preserve">ur recent decision in </w:t>
      </w:r>
      <w:r w:rsidRPr="001B41E4" w:rsidR="00803570">
        <w:rPr>
          <w:rFonts w:ascii="Century Schoolbook" w:hAnsi="Century Schoolbook"/>
          <w:i/>
          <w:iCs/>
          <w:sz w:val="27"/>
          <w:szCs w:val="26"/>
        </w:rPr>
        <w:t>Plantier</w:t>
      </w:r>
      <w:r w:rsidRPr="001B41E4" w:rsidR="0058408A">
        <w:rPr>
          <w:rFonts w:ascii="Century Schoolbook" w:hAnsi="Century Schoolbook"/>
          <w:sz w:val="27"/>
          <w:szCs w:val="26"/>
        </w:rPr>
        <w:t xml:space="preserve">, which will be discussed in the next portion of this opinion, </w:t>
      </w:r>
      <w:r w:rsidRPr="001B41E4" w:rsidR="005D0F65">
        <w:rPr>
          <w:rFonts w:ascii="Century Schoolbook" w:hAnsi="Century Schoolbook"/>
          <w:sz w:val="27"/>
          <w:szCs w:val="26"/>
        </w:rPr>
        <w:t>provides an example of</w:t>
      </w:r>
      <w:r w:rsidRPr="001B41E4" w:rsidR="00803570">
        <w:rPr>
          <w:rFonts w:ascii="Century Schoolbook" w:hAnsi="Century Schoolbook"/>
          <w:sz w:val="27"/>
          <w:szCs w:val="26"/>
        </w:rPr>
        <w:t xml:space="preserve"> this approach.  (</w:t>
      </w:r>
      <w:r w:rsidRPr="001B41E4" w:rsidR="00803570">
        <w:rPr>
          <w:rFonts w:ascii="Century Schoolbook" w:hAnsi="Century Schoolbook"/>
          <w:i/>
          <w:iCs/>
          <w:sz w:val="27"/>
          <w:szCs w:val="26"/>
        </w:rPr>
        <w:t>Plantier</w:t>
      </w:r>
      <w:r w:rsidRPr="001B41E4" w:rsidR="00803570">
        <w:rPr>
          <w:rFonts w:ascii="Century Schoolbook" w:hAnsi="Century Schoolbook"/>
          <w:sz w:val="27"/>
          <w:szCs w:val="26"/>
        </w:rPr>
        <w:t xml:space="preserve">, </w:t>
      </w:r>
      <w:r w:rsidRPr="001B41E4" w:rsidR="00803570">
        <w:rPr>
          <w:rFonts w:ascii="Century Schoolbook" w:hAnsi="Century Schoolbook"/>
          <w:sz w:val="27"/>
          <w:szCs w:val="26"/>
          <w:shd w:val="clear" w:color="auto" w:fill="FFFFFF"/>
        </w:rPr>
        <w:t>at pp.</w:t>
      </w:r>
      <w:r w:rsidRPr="001B41E4" w:rsidR="00D50877">
        <w:rPr>
          <w:rFonts w:ascii="Century Schoolbook" w:hAnsi="Century Schoolbook"/>
          <w:sz w:val="27"/>
          <w:szCs w:val="26"/>
          <w:shd w:val="clear" w:color="auto" w:fill="FFFFFF"/>
        </w:rPr>
        <w:t> </w:t>
      </w:r>
      <w:r w:rsidRPr="001B41E4" w:rsidR="00803570">
        <w:rPr>
          <w:rFonts w:ascii="Century Schoolbook" w:hAnsi="Century Schoolbook"/>
          <w:sz w:val="27"/>
          <w:szCs w:val="26"/>
          <w:shd w:val="clear" w:color="auto" w:fill="FFFFFF"/>
        </w:rPr>
        <w:t>383–38</w:t>
      </w:r>
      <w:r w:rsidR="00AE40D2">
        <w:rPr>
          <w:rFonts w:ascii="Century Schoolbook" w:hAnsi="Century Schoolbook"/>
          <w:sz w:val="27"/>
          <w:szCs w:val="26"/>
          <w:shd w:val="clear" w:color="auto" w:fill="FFFFFF"/>
        </w:rPr>
        <w:t>7</w:t>
      </w:r>
      <w:r w:rsidRPr="001B41E4" w:rsidR="00803570">
        <w:rPr>
          <w:rFonts w:ascii="Century Schoolbook" w:hAnsi="Century Schoolbook"/>
          <w:sz w:val="27"/>
          <w:szCs w:val="26"/>
          <w:shd w:val="clear" w:color="auto" w:fill="FFFFFF"/>
        </w:rPr>
        <w:t>.)</w:t>
      </w:r>
    </w:p>
    <w:p w:rsidR="00DA21D8" w:rsidRPr="001B41E4" w:rsidP="00803570" w14:paraId="704FDBB4" w14:textId="73B3E3D5">
      <w:pPr>
        <w:pStyle w:val="xmsonormal"/>
        <w:keepNext/>
        <w:keepLines/>
        <w:numPr>
          <w:ilvl w:val="0"/>
          <w:numId w:val="9"/>
        </w:numPr>
        <w:shd w:val="clear" w:color="auto" w:fill="FFFFFF"/>
        <w:spacing w:before="0" w:beforeAutospacing="0" w:afterAutospacing="0" w:line="400" w:lineRule="exact"/>
        <w:ind w:left="1440"/>
        <w:rPr>
          <w:rFonts w:ascii="Century Schoolbook" w:hAnsi="Century Schoolbook"/>
          <w:i/>
          <w:iCs/>
          <w:sz w:val="27"/>
          <w:szCs w:val="26"/>
        </w:rPr>
      </w:pPr>
      <w:r w:rsidRPr="001B41E4">
        <w:rPr>
          <w:rFonts w:ascii="Century Schoolbook" w:hAnsi="Century Schoolbook"/>
          <w:i/>
          <w:iCs/>
          <w:sz w:val="27"/>
          <w:szCs w:val="26"/>
        </w:rPr>
        <w:t>The Exhaustion Doctrine and Opportunities to Comment</w:t>
      </w:r>
    </w:p>
    <w:p w:rsidR="0083287E" w:rsidRPr="001B41E4" w:rsidP="00792374" w14:paraId="6BD0EA01" w14:textId="355FDE42">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Our prior case law</w:t>
      </w:r>
      <w:r w:rsidRPr="001B41E4" w:rsidR="005375F1">
        <w:rPr>
          <w:rFonts w:ascii="Century Schoolbook" w:hAnsi="Century Schoolbook"/>
          <w:sz w:val="27"/>
          <w:szCs w:val="26"/>
        </w:rPr>
        <w:t xml:space="preserve"> has </w:t>
      </w:r>
      <w:r w:rsidRPr="001B41E4">
        <w:rPr>
          <w:rFonts w:ascii="Century Schoolbook" w:hAnsi="Century Schoolbook"/>
          <w:sz w:val="27"/>
          <w:szCs w:val="26"/>
        </w:rPr>
        <w:t xml:space="preserve">noted </w:t>
      </w:r>
      <w:r w:rsidRPr="001B41E4" w:rsidR="005375F1">
        <w:rPr>
          <w:rFonts w:ascii="Century Schoolbook" w:hAnsi="Century Schoolbook"/>
          <w:sz w:val="27"/>
          <w:szCs w:val="26"/>
        </w:rPr>
        <w:t xml:space="preserve">exhaustion </w:t>
      </w:r>
      <w:r w:rsidRPr="001B41E4">
        <w:rPr>
          <w:rFonts w:ascii="Century Schoolbook" w:hAnsi="Century Schoolbook"/>
          <w:sz w:val="27"/>
          <w:szCs w:val="26"/>
        </w:rPr>
        <w:t>issues</w:t>
      </w:r>
      <w:r w:rsidRPr="001B41E4" w:rsidR="00792374">
        <w:rPr>
          <w:rFonts w:ascii="Century Schoolbook" w:hAnsi="Century Schoolbook"/>
          <w:sz w:val="27"/>
          <w:szCs w:val="26"/>
        </w:rPr>
        <w:t xml:space="preserve"> similar to the </w:t>
      </w:r>
      <w:r w:rsidR="004F3850">
        <w:rPr>
          <w:rFonts w:ascii="Century Schoolbook" w:hAnsi="Century Schoolbook"/>
          <w:sz w:val="27"/>
          <w:szCs w:val="26"/>
        </w:rPr>
        <w:t>question</w:t>
      </w:r>
      <w:r w:rsidRPr="001B41E4" w:rsidR="00792374">
        <w:rPr>
          <w:rFonts w:ascii="Century Schoolbook" w:hAnsi="Century Schoolbook"/>
          <w:sz w:val="27"/>
          <w:szCs w:val="26"/>
        </w:rPr>
        <w:t xml:space="preserve"> presented here</w:t>
      </w:r>
      <w:r w:rsidRPr="001B41E4" w:rsidR="005375F1">
        <w:rPr>
          <w:rFonts w:ascii="Century Schoolbook" w:hAnsi="Century Schoolbook"/>
          <w:sz w:val="27"/>
          <w:szCs w:val="26"/>
        </w:rPr>
        <w:t>,</w:t>
      </w:r>
      <w:r w:rsidRPr="001B41E4">
        <w:rPr>
          <w:rFonts w:ascii="Century Schoolbook" w:hAnsi="Century Schoolbook"/>
          <w:sz w:val="27"/>
          <w:szCs w:val="26"/>
        </w:rPr>
        <w:t xml:space="preserve"> only to leave them for another day.</w:t>
      </w:r>
      <w:r w:rsidRPr="001B41E4" w:rsidR="00CA6617">
        <w:rPr>
          <w:rFonts w:ascii="Century Schoolbook" w:hAnsi="Century Schoolbook"/>
          <w:sz w:val="27"/>
          <w:szCs w:val="26"/>
        </w:rPr>
        <w:t xml:space="preserve"> </w:t>
      </w:r>
      <w:r w:rsidRPr="001B41E4" w:rsidR="008E5CAA">
        <w:rPr>
          <w:rFonts w:ascii="Century Schoolbook" w:hAnsi="Century Schoolbook"/>
          <w:sz w:val="27"/>
          <w:szCs w:val="26"/>
        </w:rPr>
        <w:t xml:space="preserve"> </w:t>
      </w:r>
      <w:r w:rsidRPr="001B41E4" w:rsidR="002C7676">
        <w:rPr>
          <w:rFonts w:ascii="Century Schoolbook" w:hAnsi="Century Schoolbook"/>
          <w:sz w:val="27"/>
          <w:szCs w:val="26"/>
        </w:rPr>
        <w:t>I</w:t>
      </w:r>
      <w:r w:rsidRPr="001B41E4" w:rsidR="008E5CAA">
        <w:rPr>
          <w:rFonts w:ascii="Century Schoolbook" w:hAnsi="Century Schoolbook"/>
          <w:sz w:val="27"/>
          <w:szCs w:val="26"/>
        </w:rPr>
        <w:t xml:space="preserve">n a </w:t>
      </w:r>
      <w:r w:rsidRPr="001B41E4" w:rsidR="00134A96">
        <w:rPr>
          <w:rFonts w:ascii="Century Schoolbook" w:hAnsi="Century Schoolbook"/>
          <w:sz w:val="27"/>
          <w:szCs w:val="26"/>
        </w:rPr>
        <w:t>matter</w:t>
      </w:r>
      <w:r w:rsidRPr="001B41E4" w:rsidR="008E5CAA">
        <w:rPr>
          <w:rFonts w:ascii="Century Schoolbook" w:hAnsi="Century Schoolbook"/>
          <w:sz w:val="27"/>
          <w:szCs w:val="26"/>
        </w:rPr>
        <w:t xml:space="preserve"> </w:t>
      </w:r>
      <w:r w:rsidRPr="001B41E4" w:rsidR="009766D0">
        <w:rPr>
          <w:rFonts w:ascii="Century Schoolbook" w:hAnsi="Century Schoolbook"/>
          <w:sz w:val="27"/>
          <w:szCs w:val="26"/>
        </w:rPr>
        <w:t>decided</w:t>
      </w:r>
      <w:r w:rsidRPr="001B41E4" w:rsidR="008E5CAA">
        <w:rPr>
          <w:rFonts w:ascii="Century Schoolbook" w:hAnsi="Century Schoolbook"/>
          <w:sz w:val="27"/>
          <w:szCs w:val="26"/>
        </w:rPr>
        <w:t xml:space="preserve"> prior to Proposition 218</w:t>
      </w:r>
      <w:r w:rsidRPr="001B41E4" w:rsidR="002C7676">
        <w:rPr>
          <w:rFonts w:ascii="Century Schoolbook" w:hAnsi="Century Schoolbook"/>
          <w:sz w:val="27"/>
          <w:szCs w:val="26"/>
        </w:rPr>
        <w:t>, we assumed</w:t>
      </w:r>
      <w:r w:rsidRPr="001B41E4" w:rsidR="009766D0">
        <w:rPr>
          <w:rFonts w:ascii="Century Schoolbook" w:hAnsi="Century Schoolbook"/>
          <w:sz w:val="27"/>
          <w:szCs w:val="26"/>
        </w:rPr>
        <w:t xml:space="preserve"> for sake of argument</w:t>
      </w:r>
      <w:r w:rsidRPr="001B41E4" w:rsidR="002C7676">
        <w:rPr>
          <w:rFonts w:ascii="Century Schoolbook" w:hAnsi="Century Schoolbook"/>
          <w:sz w:val="27"/>
          <w:szCs w:val="26"/>
        </w:rPr>
        <w:t xml:space="preserve"> that </w:t>
      </w:r>
      <w:r w:rsidRPr="001B41E4" w:rsidR="00C359C4">
        <w:rPr>
          <w:rFonts w:ascii="Century Schoolbook" w:hAnsi="Century Schoolbook"/>
          <w:sz w:val="27"/>
          <w:szCs w:val="26"/>
        </w:rPr>
        <w:t>a</w:t>
      </w:r>
      <w:r w:rsidRPr="001B41E4" w:rsidR="00CA6617">
        <w:rPr>
          <w:rFonts w:ascii="Century Schoolbook" w:hAnsi="Century Schoolbook"/>
          <w:sz w:val="27"/>
          <w:szCs w:val="26"/>
        </w:rPr>
        <w:t xml:space="preserve"> judicial</w:t>
      </w:r>
      <w:r w:rsidRPr="001B41E4" w:rsidR="00C359C4">
        <w:rPr>
          <w:rFonts w:ascii="Century Schoolbook" w:hAnsi="Century Schoolbook"/>
          <w:sz w:val="27"/>
          <w:szCs w:val="26"/>
        </w:rPr>
        <w:t xml:space="preserve"> action </w:t>
      </w:r>
      <w:r w:rsidRPr="001B41E4" w:rsidR="00134A96">
        <w:rPr>
          <w:rFonts w:ascii="Century Schoolbook" w:hAnsi="Century Schoolbook"/>
          <w:sz w:val="27"/>
          <w:szCs w:val="26"/>
        </w:rPr>
        <w:t>challenging</w:t>
      </w:r>
      <w:r w:rsidRPr="001B41E4" w:rsidR="002C7676">
        <w:rPr>
          <w:rFonts w:ascii="Century Schoolbook" w:hAnsi="Century Schoolbook"/>
          <w:sz w:val="27"/>
          <w:szCs w:val="26"/>
        </w:rPr>
        <w:t xml:space="preserve"> a</w:t>
      </w:r>
      <w:r w:rsidRPr="001B41E4" w:rsidR="00CA6617">
        <w:rPr>
          <w:rFonts w:ascii="Century Schoolbook" w:hAnsi="Century Schoolbook"/>
          <w:sz w:val="27"/>
          <w:szCs w:val="26"/>
        </w:rPr>
        <w:t xml:space="preserve"> property</w:t>
      </w:r>
      <w:r w:rsidRPr="001B41E4" w:rsidR="002C7676">
        <w:rPr>
          <w:rFonts w:ascii="Century Schoolbook" w:hAnsi="Century Schoolbook"/>
          <w:sz w:val="27"/>
          <w:szCs w:val="26"/>
        </w:rPr>
        <w:t xml:space="preserve"> assessment</w:t>
      </w:r>
      <w:r w:rsidRPr="001B41E4" w:rsidR="00BA1C0B">
        <w:rPr>
          <w:rFonts w:ascii="Century Schoolbook" w:hAnsi="Century Schoolbook"/>
          <w:sz w:val="27"/>
          <w:szCs w:val="26"/>
        </w:rPr>
        <w:t xml:space="preserve"> as invalid under Proposition 13</w:t>
      </w:r>
      <w:r w:rsidRPr="001B41E4" w:rsidR="002C7676">
        <w:rPr>
          <w:rFonts w:ascii="Century Schoolbook" w:hAnsi="Century Schoolbook"/>
          <w:sz w:val="27"/>
          <w:szCs w:val="26"/>
        </w:rPr>
        <w:t xml:space="preserve"> was </w:t>
      </w:r>
      <w:r w:rsidRPr="001B41E4" w:rsidR="009766D0">
        <w:rPr>
          <w:rFonts w:ascii="Century Schoolbook" w:hAnsi="Century Schoolbook"/>
          <w:sz w:val="27"/>
          <w:szCs w:val="26"/>
        </w:rPr>
        <w:t>not</w:t>
      </w:r>
      <w:r w:rsidRPr="001B41E4" w:rsidR="002C7676">
        <w:rPr>
          <w:rFonts w:ascii="Century Schoolbook" w:hAnsi="Century Schoolbook"/>
          <w:sz w:val="27"/>
          <w:szCs w:val="26"/>
        </w:rPr>
        <w:t xml:space="preserve"> </w:t>
      </w:r>
      <w:r w:rsidRPr="001B41E4" w:rsidR="009766D0">
        <w:rPr>
          <w:rFonts w:ascii="Century Schoolbook" w:hAnsi="Century Schoolbook"/>
          <w:sz w:val="27"/>
          <w:szCs w:val="26"/>
        </w:rPr>
        <w:t>foreclosed</w:t>
      </w:r>
      <w:r w:rsidRPr="001B41E4" w:rsidR="002C7676">
        <w:rPr>
          <w:rFonts w:ascii="Century Schoolbook" w:hAnsi="Century Schoolbook"/>
          <w:sz w:val="27"/>
          <w:szCs w:val="26"/>
        </w:rPr>
        <w:t xml:space="preserve"> by the petitioners’ failure to raise their objections at an earlier public hearing</w:t>
      </w:r>
      <w:r w:rsidRPr="001B41E4" w:rsidR="001C47EC">
        <w:rPr>
          <w:rFonts w:ascii="Century Schoolbook" w:hAnsi="Century Schoolbook"/>
          <w:sz w:val="27"/>
          <w:szCs w:val="26"/>
        </w:rPr>
        <w:t xml:space="preserve"> convened by the city</w:t>
      </w:r>
      <w:r w:rsidRPr="001B41E4" w:rsidR="00456AC6">
        <w:rPr>
          <w:rFonts w:ascii="Century Schoolbook" w:hAnsi="Century Schoolbook"/>
          <w:sz w:val="27"/>
          <w:szCs w:val="26"/>
        </w:rPr>
        <w:t xml:space="preserve"> (the exhaustion issue not having been </w:t>
      </w:r>
      <w:r w:rsidRPr="001B41E4" w:rsidR="000D6AB5">
        <w:rPr>
          <w:rFonts w:ascii="Century Schoolbook" w:hAnsi="Century Schoolbook"/>
          <w:sz w:val="27"/>
          <w:szCs w:val="26"/>
        </w:rPr>
        <w:t xml:space="preserve">addressed by the courts </w:t>
      </w:r>
      <w:r w:rsidRPr="001B41E4" w:rsidR="00456AC6">
        <w:rPr>
          <w:rFonts w:ascii="Century Schoolbook" w:hAnsi="Century Schoolbook"/>
          <w:sz w:val="27"/>
          <w:szCs w:val="26"/>
        </w:rPr>
        <w:t>below)</w:t>
      </w:r>
      <w:r w:rsidRPr="001B41E4" w:rsidR="00BA1C0B">
        <w:rPr>
          <w:rFonts w:ascii="Century Schoolbook" w:hAnsi="Century Schoolbook"/>
          <w:sz w:val="27"/>
          <w:szCs w:val="26"/>
        </w:rPr>
        <w:t>.  (</w:t>
      </w:r>
      <w:r w:rsidRPr="001B41E4" w:rsidR="00BA1C0B">
        <w:rPr>
          <w:rFonts w:ascii="Century Schoolbook" w:hAnsi="Century Schoolbook"/>
          <w:i/>
          <w:iCs/>
          <w:sz w:val="27"/>
          <w:szCs w:val="26"/>
        </w:rPr>
        <w:t>Knox v. City of Orland</w:t>
      </w:r>
      <w:r w:rsidRPr="001B41E4" w:rsidR="00BA1C0B">
        <w:rPr>
          <w:rFonts w:ascii="Century Schoolbook" w:hAnsi="Century Schoolbook"/>
          <w:sz w:val="27"/>
          <w:szCs w:val="26"/>
        </w:rPr>
        <w:t xml:space="preserve"> (1992) 4 Cal.4th 132, 14</w:t>
      </w:r>
      <w:r w:rsidR="00AE40D2">
        <w:rPr>
          <w:rFonts w:ascii="Century Schoolbook" w:hAnsi="Century Schoolbook"/>
          <w:sz w:val="27"/>
          <w:szCs w:val="26"/>
        </w:rPr>
        <w:t>8</w:t>
      </w:r>
      <w:r w:rsidRPr="001B41E4" w:rsidR="00414614">
        <w:rPr>
          <w:rFonts w:ascii="Century Schoolbook" w:hAnsi="Century Schoolbook"/>
          <w:sz w:val="27"/>
          <w:szCs w:val="26"/>
        </w:rPr>
        <w:t xml:space="preserve"> &amp; fn. 22</w:t>
      </w:r>
      <w:r w:rsidRPr="001B41E4" w:rsidR="00BA1C0B">
        <w:rPr>
          <w:rFonts w:ascii="Century Schoolbook" w:hAnsi="Century Schoolbook"/>
          <w:sz w:val="27"/>
          <w:szCs w:val="26"/>
        </w:rPr>
        <w:t xml:space="preserve"> (</w:t>
      </w:r>
      <w:r w:rsidRPr="001B41E4" w:rsidR="00BA1C0B">
        <w:rPr>
          <w:rFonts w:ascii="Century Schoolbook" w:hAnsi="Century Schoolbook"/>
          <w:i/>
          <w:iCs/>
          <w:sz w:val="27"/>
          <w:szCs w:val="26"/>
        </w:rPr>
        <w:t>Knox</w:t>
      </w:r>
      <w:r w:rsidRPr="001B41E4" w:rsidR="00BA1C0B">
        <w:rPr>
          <w:rFonts w:ascii="Century Schoolbook" w:hAnsi="Century Schoolbook"/>
          <w:sz w:val="27"/>
          <w:szCs w:val="26"/>
        </w:rPr>
        <w:t xml:space="preserve">), superseded by constitutional amendment as noted in </w:t>
      </w:r>
      <w:r w:rsidRPr="001B41E4" w:rsidR="00BA1C0B">
        <w:rPr>
          <w:rFonts w:ascii="Century Schoolbook" w:hAnsi="Century Schoolbook"/>
          <w:i/>
          <w:iCs/>
          <w:sz w:val="27"/>
          <w:szCs w:val="26"/>
        </w:rPr>
        <w:t>Silicon Valley</w:t>
      </w:r>
      <w:r w:rsidR="00BC55F1">
        <w:rPr>
          <w:rFonts w:ascii="Century Schoolbook" w:hAnsi="Century Schoolbook"/>
          <w:i/>
          <w:iCs/>
          <w:sz w:val="27"/>
          <w:szCs w:val="26"/>
        </w:rPr>
        <w:t xml:space="preserve"> Taxpayers’ Assn.</w:t>
      </w:r>
      <w:r w:rsidRPr="001B41E4" w:rsidR="00BA1C0B">
        <w:rPr>
          <w:rFonts w:ascii="Century Schoolbook" w:hAnsi="Century Schoolbook"/>
          <w:sz w:val="27"/>
          <w:szCs w:val="26"/>
        </w:rPr>
        <w:t xml:space="preserve">, </w:t>
      </w:r>
      <w:r w:rsidRPr="001B41E4" w:rsidR="00BA1C0B">
        <w:rPr>
          <w:rFonts w:ascii="Century Schoolbook" w:hAnsi="Century Schoolbook"/>
          <w:i/>
          <w:iCs/>
          <w:sz w:val="27"/>
          <w:szCs w:val="26"/>
        </w:rPr>
        <w:t>supra</w:t>
      </w:r>
      <w:r w:rsidRPr="001B41E4" w:rsidR="00BA1C0B">
        <w:rPr>
          <w:rFonts w:ascii="Century Schoolbook" w:hAnsi="Century Schoolbook"/>
          <w:sz w:val="27"/>
          <w:szCs w:val="26"/>
        </w:rPr>
        <w:t>, 44</w:t>
      </w:r>
      <w:r w:rsidRPr="001B41E4" w:rsidR="00D50877">
        <w:rPr>
          <w:rFonts w:ascii="Century Schoolbook" w:hAnsi="Century Schoolbook"/>
          <w:sz w:val="27"/>
          <w:szCs w:val="26"/>
        </w:rPr>
        <w:t> </w:t>
      </w:r>
      <w:r w:rsidRPr="001B41E4" w:rsidR="00BA1C0B">
        <w:rPr>
          <w:rFonts w:ascii="Century Schoolbook" w:hAnsi="Century Schoolbook"/>
          <w:sz w:val="27"/>
          <w:szCs w:val="26"/>
        </w:rPr>
        <w:t xml:space="preserve">Cal.4th at p. 446.)  </w:t>
      </w:r>
      <w:r w:rsidRPr="001B41E4" w:rsidR="00B02BD0">
        <w:rPr>
          <w:rFonts w:ascii="Century Schoolbook" w:hAnsi="Century Schoolbook"/>
          <w:sz w:val="27"/>
          <w:szCs w:val="26"/>
        </w:rPr>
        <w:t xml:space="preserve">More recently, in </w:t>
      </w:r>
      <w:r w:rsidRPr="001B41E4" w:rsidR="00B02BD0">
        <w:rPr>
          <w:rFonts w:ascii="Century Schoolbook" w:hAnsi="Century Schoolbook"/>
          <w:i/>
          <w:iCs/>
          <w:sz w:val="27"/>
          <w:szCs w:val="26"/>
        </w:rPr>
        <w:t>Plantier</w:t>
      </w:r>
      <w:r w:rsidRPr="001B41E4" w:rsidR="00B02BD0">
        <w:rPr>
          <w:rFonts w:ascii="Century Schoolbook" w:hAnsi="Century Schoolbook"/>
          <w:sz w:val="27"/>
          <w:szCs w:val="26"/>
        </w:rPr>
        <w:t xml:space="preserve">, </w:t>
      </w:r>
      <w:r w:rsidRPr="001B41E4" w:rsidR="00B02BD0">
        <w:rPr>
          <w:rFonts w:ascii="Century Schoolbook" w:hAnsi="Century Schoolbook"/>
          <w:i/>
          <w:iCs/>
          <w:sz w:val="27"/>
          <w:szCs w:val="26"/>
        </w:rPr>
        <w:t>supra</w:t>
      </w:r>
      <w:r w:rsidRPr="001B41E4" w:rsidR="00B02BD0">
        <w:rPr>
          <w:rFonts w:ascii="Century Schoolbook" w:hAnsi="Century Schoolbook"/>
          <w:sz w:val="27"/>
          <w:szCs w:val="26"/>
        </w:rPr>
        <w:t>, 7</w:t>
      </w:r>
      <w:r w:rsidRPr="001B41E4" w:rsidR="00D50877">
        <w:rPr>
          <w:rFonts w:ascii="Century Schoolbook" w:hAnsi="Century Schoolbook"/>
          <w:sz w:val="27"/>
          <w:szCs w:val="26"/>
        </w:rPr>
        <w:t> </w:t>
      </w:r>
      <w:r w:rsidRPr="001B41E4" w:rsidR="00B02BD0">
        <w:rPr>
          <w:rFonts w:ascii="Century Schoolbook" w:hAnsi="Century Schoolbook"/>
          <w:sz w:val="27"/>
          <w:szCs w:val="26"/>
        </w:rPr>
        <w:t>Cal.5th 372</w:t>
      </w:r>
      <w:r w:rsidRPr="001B41E4" w:rsidR="00A2045F">
        <w:rPr>
          <w:rFonts w:ascii="Century Schoolbook" w:hAnsi="Century Schoolbook"/>
          <w:sz w:val="27"/>
          <w:szCs w:val="26"/>
        </w:rPr>
        <w:t>,</w:t>
      </w:r>
      <w:r w:rsidRPr="001B41E4" w:rsidR="00B02BD0">
        <w:rPr>
          <w:rFonts w:ascii="Century Schoolbook" w:hAnsi="Century Schoolbook"/>
          <w:sz w:val="27"/>
          <w:szCs w:val="26"/>
        </w:rPr>
        <w:t xml:space="preserve"> we </w:t>
      </w:r>
      <w:r w:rsidRPr="001B41E4" w:rsidR="000D6AB5">
        <w:rPr>
          <w:rFonts w:ascii="Century Schoolbook" w:hAnsi="Century Schoolbook"/>
          <w:sz w:val="27"/>
          <w:szCs w:val="26"/>
        </w:rPr>
        <w:t xml:space="preserve">assumed </w:t>
      </w:r>
      <w:r w:rsidRPr="001B41E4" w:rsidR="00B02BD0">
        <w:rPr>
          <w:rFonts w:ascii="Century Schoolbook" w:hAnsi="Century Schoolbook"/>
          <w:sz w:val="27"/>
          <w:szCs w:val="26"/>
        </w:rPr>
        <w:t xml:space="preserve">for purposes of our analysis that a </w:t>
      </w:r>
      <w:r w:rsidRPr="001B41E4" w:rsidR="000D6AB5">
        <w:rPr>
          <w:rFonts w:ascii="Century Schoolbook" w:hAnsi="Century Schoolbook"/>
          <w:sz w:val="27"/>
          <w:szCs w:val="26"/>
        </w:rPr>
        <w:t xml:space="preserve">local water district’s </w:t>
      </w:r>
      <w:r w:rsidRPr="001B41E4" w:rsidR="00B02BD0">
        <w:rPr>
          <w:rFonts w:ascii="Century Schoolbook" w:hAnsi="Century Schoolbook"/>
          <w:sz w:val="27"/>
          <w:szCs w:val="26"/>
        </w:rPr>
        <w:t>rate hearing under</w:t>
      </w:r>
      <w:r w:rsidRPr="001B41E4" w:rsidR="00A2045F">
        <w:rPr>
          <w:rFonts w:ascii="Century Schoolbook" w:hAnsi="Century Schoolbook"/>
          <w:sz w:val="27"/>
          <w:szCs w:val="26"/>
        </w:rPr>
        <w:t xml:space="preserve"> section 6 of</w:t>
      </w:r>
      <w:r w:rsidRPr="001B41E4" w:rsidR="00B02BD0">
        <w:rPr>
          <w:rFonts w:ascii="Century Schoolbook" w:hAnsi="Century Schoolbook"/>
          <w:sz w:val="27"/>
          <w:szCs w:val="26"/>
        </w:rPr>
        <w:t xml:space="preserve"> Proposition 218 </w:t>
      </w:r>
      <w:r w:rsidRPr="001B41E4" w:rsidR="00A2045F">
        <w:rPr>
          <w:rFonts w:ascii="Century Schoolbook" w:hAnsi="Century Schoolbook"/>
          <w:sz w:val="27"/>
          <w:szCs w:val="26"/>
        </w:rPr>
        <w:t xml:space="preserve">(art. XIII D, § 6) </w:t>
      </w:r>
      <w:r w:rsidRPr="001B41E4" w:rsidR="00B02BD0">
        <w:rPr>
          <w:rFonts w:ascii="Century Schoolbook" w:hAnsi="Century Schoolbook"/>
          <w:sz w:val="27"/>
          <w:szCs w:val="26"/>
        </w:rPr>
        <w:t>was an administrative remedy,</w:t>
      </w:r>
      <w:r w:rsidRPr="001B41E4" w:rsidR="000D6AB5">
        <w:rPr>
          <w:rFonts w:ascii="Century Schoolbook" w:hAnsi="Century Schoolbook"/>
          <w:sz w:val="27"/>
          <w:szCs w:val="26"/>
        </w:rPr>
        <w:t xml:space="preserve"> because that was how the parties and the lower courts had framed the</w:t>
      </w:r>
      <w:r w:rsidRPr="001B41E4" w:rsidR="004D5613">
        <w:rPr>
          <w:rFonts w:ascii="Century Schoolbook" w:hAnsi="Century Schoolbook"/>
          <w:sz w:val="27"/>
          <w:szCs w:val="26"/>
        </w:rPr>
        <w:t xml:space="preserve"> </w:t>
      </w:r>
      <w:r w:rsidRPr="001B41E4" w:rsidR="000D6AB5">
        <w:rPr>
          <w:rFonts w:ascii="Century Schoolbook" w:hAnsi="Century Schoolbook"/>
          <w:sz w:val="27"/>
          <w:szCs w:val="26"/>
        </w:rPr>
        <w:t>issue presented for our review.  (</w:t>
      </w:r>
      <w:r w:rsidRPr="001B41E4" w:rsidR="000D6AB5">
        <w:rPr>
          <w:rFonts w:ascii="Century Schoolbook" w:hAnsi="Century Schoolbook"/>
          <w:i/>
          <w:iCs/>
          <w:sz w:val="27"/>
          <w:szCs w:val="26"/>
          <w:shd w:val="clear" w:color="auto" w:fill="FFFFFF"/>
        </w:rPr>
        <w:t>Plantier</w:t>
      </w:r>
      <w:r w:rsidRPr="001B41E4" w:rsidR="000D6AB5">
        <w:rPr>
          <w:rFonts w:ascii="Century Schoolbook" w:hAnsi="Century Schoolbook"/>
          <w:sz w:val="27"/>
          <w:szCs w:val="26"/>
          <w:shd w:val="clear" w:color="auto" w:fill="FFFFFF"/>
        </w:rPr>
        <w:t xml:space="preserve">, at pp. 383–384.) </w:t>
      </w:r>
      <w:r w:rsidRPr="001B41E4" w:rsidR="00B02BD0">
        <w:rPr>
          <w:rFonts w:ascii="Century Schoolbook" w:hAnsi="Century Schoolbook"/>
          <w:sz w:val="27"/>
          <w:szCs w:val="26"/>
        </w:rPr>
        <w:t xml:space="preserve"> </w:t>
      </w:r>
      <w:r w:rsidR="001B41E4">
        <w:rPr>
          <w:rFonts w:ascii="Century Schoolbook" w:hAnsi="Century Schoolbook"/>
          <w:sz w:val="27"/>
          <w:szCs w:val="26"/>
        </w:rPr>
        <w:t xml:space="preserve">But in </w:t>
      </w:r>
      <w:r w:rsidRPr="001B41E4" w:rsidR="007C14F8">
        <w:rPr>
          <w:rFonts w:ascii="Century Schoolbook" w:hAnsi="Century Schoolbook"/>
          <w:sz w:val="27"/>
          <w:szCs w:val="26"/>
        </w:rPr>
        <w:t>determin</w:t>
      </w:r>
      <w:r w:rsidR="001B41E4">
        <w:rPr>
          <w:rFonts w:ascii="Century Schoolbook" w:hAnsi="Century Schoolbook"/>
          <w:sz w:val="27"/>
          <w:szCs w:val="26"/>
        </w:rPr>
        <w:t>ing</w:t>
      </w:r>
      <w:r w:rsidRPr="001B41E4" w:rsidR="007C14F8">
        <w:rPr>
          <w:rFonts w:ascii="Century Schoolbook" w:hAnsi="Century Schoolbook"/>
          <w:sz w:val="27"/>
          <w:szCs w:val="26"/>
        </w:rPr>
        <w:t xml:space="preserve"> in </w:t>
      </w:r>
      <w:r w:rsidRPr="001B41E4" w:rsidR="007C14F8">
        <w:rPr>
          <w:rFonts w:ascii="Century Schoolbook" w:hAnsi="Century Schoolbook"/>
          <w:i/>
          <w:iCs/>
          <w:sz w:val="27"/>
          <w:szCs w:val="26"/>
        </w:rPr>
        <w:t xml:space="preserve">Plantier </w:t>
      </w:r>
      <w:r w:rsidRPr="001B41E4" w:rsidR="007C14F8">
        <w:rPr>
          <w:rFonts w:ascii="Century Schoolbook" w:hAnsi="Century Schoolbook"/>
          <w:sz w:val="27"/>
          <w:szCs w:val="26"/>
        </w:rPr>
        <w:t>that a courtroom challenge to the methodology through which user fees were calculated by a water district was not barred by the exhaustion doctrine for failure to raise this objection at a public hearing convened to consider only a proposed increase in existing rates (</w:t>
      </w:r>
      <w:r w:rsidR="001B41E4">
        <w:rPr>
          <w:rFonts w:ascii="Century Schoolbook" w:hAnsi="Century Schoolbook"/>
          <w:i/>
          <w:iCs/>
          <w:sz w:val="27"/>
          <w:szCs w:val="26"/>
        </w:rPr>
        <w:t>i</w:t>
      </w:r>
      <w:r w:rsidRPr="001B41E4" w:rsidR="007C14F8">
        <w:rPr>
          <w:rFonts w:ascii="Century Schoolbook" w:hAnsi="Century Schoolbook"/>
          <w:i/>
          <w:iCs/>
          <w:sz w:val="27"/>
          <w:szCs w:val="26"/>
        </w:rPr>
        <w:t>d</w:t>
      </w:r>
      <w:r w:rsidRPr="001B41E4" w:rsidR="007C14F8">
        <w:rPr>
          <w:rFonts w:ascii="Century Schoolbook" w:hAnsi="Century Schoolbook"/>
          <w:sz w:val="27"/>
          <w:szCs w:val="26"/>
        </w:rPr>
        <w:t xml:space="preserve">., at </w:t>
      </w:r>
      <w:r w:rsidRPr="001B41E4" w:rsidR="00AE40D2">
        <w:rPr>
          <w:rFonts w:ascii="Century Schoolbook" w:hAnsi="Century Schoolbook"/>
          <w:sz w:val="27"/>
          <w:szCs w:val="26"/>
          <w:shd w:val="clear" w:color="auto" w:fill="FFFFFF"/>
        </w:rPr>
        <w:t>pp.</w:t>
      </w:r>
      <w:r w:rsidR="00611133">
        <w:rPr>
          <w:rFonts w:ascii="Century Schoolbook" w:hAnsi="Century Schoolbook"/>
          <w:sz w:val="27"/>
          <w:szCs w:val="26"/>
          <w:shd w:val="clear" w:color="auto" w:fill="FFFFFF"/>
        </w:rPr>
        <w:t> </w:t>
      </w:r>
      <w:r w:rsidRPr="001B41E4" w:rsidR="00AE40D2">
        <w:rPr>
          <w:rFonts w:ascii="Century Schoolbook" w:hAnsi="Century Schoolbook"/>
          <w:sz w:val="27"/>
          <w:szCs w:val="26"/>
          <w:shd w:val="clear" w:color="auto" w:fill="FFFFFF"/>
        </w:rPr>
        <w:t>38</w:t>
      </w:r>
      <w:r w:rsidR="00AE40D2">
        <w:rPr>
          <w:rFonts w:ascii="Century Schoolbook" w:hAnsi="Century Schoolbook"/>
          <w:sz w:val="27"/>
          <w:szCs w:val="26"/>
          <w:shd w:val="clear" w:color="auto" w:fill="FFFFFF"/>
        </w:rPr>
        <w:t>4</w:t>
      </w:r>
      <w:r w:rsidRPr="001B41E4" w:rsidR="00AE40D2">
        <w:rPr>
          <w:rFonts w:ascii="Century Schoolbook" w:hAnsi="Century Schoolbook"/>
          <w:sz w:val="27"/>
          <w:szCs w:val="26"/>
          <w:shd w:val="clear" w:color="auto" w:fill="FFFFFF"/>
        </w:rPr>
        <w:t>–</w:t>
      </w:r>
      <w:r w:rsidRPr="001B41E4" w:rsidR="007C14F8">
        <w:rPr>
          <w:rFonts w:ascii="Century Schoolbook" w:hAnsi="Century Schoolbook"/>
          <w:sz w:val="27"/>
          <w:szCs w:val="26"/>
        </w:rPr>
        <w:t>387)</w:t>
      </w:r>
      <w:r w:rsidR="001B41E4">
        <w:rPr>
          <w:rFonts w:ascii="Century Schoolbook" w:hAnsi="Century Schoolbook"/>
          <w:sz w:val="27"/>
          <w:szCs w:val="26"/>
        </w:rPr>
        <w:t>,</w:t>
      </w:r>
      <w:r w:rsidRPr="001B41E4" w:rsidR="007C14F8">
        <w:rPr>
          <w:rFonts w:ascii="Century Schoolbook" w:hAnsi="Century Schoolbook"/>
          <w:sz w:val="27"/>
          <w:szCs w:val="26"/>
        </w:rPr>
        <w:t xml:space="preserve"> </w:t>
      </w:r>
      <w:r w:rsidR="001B41E4">
        <w:rPr>
          <w:rFonts w:ascii="Century Schoolbook" w:hAnsi="Century Schoolbook"/>
          <w:sz w:val="27"/>
          <w:szCs w:val="26"/>
        </w:rPr>
        <w:t xml:space="preserve">we </w:t>
      </w:r>
      <w:r w:rsidRPr="001B41E4" w:rsidR="00B02BD0">
        <w:rPr>
          <w:rFonts w:ascii="Century Schoolbook" w:hAnsi="Century Schoolbook"/>
          <w:sz w:val="27"/>
          <w:szCs w:val="26"/>
        </w:rPr>
        <w:t>made it clear</w:t>
      </w:r>
      <w:r w:rsidR="001B41E4">
        <w:rPr>
          <w:rFonts w:ascii="Century Schoolbook" w:hAnsi="Century Schoolbook"/>
          <w:sz w:val="27"/>
          <w:szCs w:val="26"/>
        </w:rPr>
        <w:t xml:space="preserve"> </w:t>
      </w:r>
      <w:r w:rsidRPr="001B41E4" w:rsidR="00B02BD0">
        <w:rPr>
          <w:rFonts w:ascii="Century Schoolbook" w:hAnsi="Century Schoolbook"/>
          <w:sz w:val="27"/>
          <w:szCs w:val="26"/>
        </w:rPr>
        <w:t xml:space="preserve">that we </w:t>
      </w:r>
      <w:r w:rsidRPr="001B41E4" w:rsidR="00C56E48">
        <w:rPr>
          <w:rFonts w:ascii="Century Schoolbook" w:hAnsi="Century Schoolbook"/>
          <w:sz w:val="27"/>
          <w:szCs w:val="26"/>
        </w:rPr>
        <w:t>were not</w:t>
      </w:r>
      <w:r w:rsidRPr="001B41E4" w:rsidR="00B02BD0">
        <w:rPr>
          <w:rFonts w:ascii="Century Schoolbook" w:hAnsi="Century Schoolbook"/>
          <w:sz w:val="27"/>
          <w:szCs w:val="26"/>
        </w:rPr>
        <w:t xml:space="preserve"> </w:t>
      </w:r>
      <w:r w:rsidRPr="001B41E4" w:rsidR="00B02BD0">
        <w:rPr>
          <w:rFonts w:ascii="Century Schoolbook" w:hAnsi="Century Schoolbook"/>
          <w:sz w:val="27"/>
          <w:szCs w:val="26"/>
          <w:shd w:val="clear" w:color="auto" w:fill="FFFFFF"/>
        </w:rPr>
        <w:t>decid</w:t>
      </w:r>
      <w:r w:rsidRPr="001B41E4" w:rsidR="00C56E48">
        <w:rPr>
          <w:rFonts w:ascii="Century Schoolbook" w:hAnsi="Century Schoolbook"/>
          <w:sz w:val="27"/>
          <w:szCs w:val="26"/>
          <w:shd w:val="clear" w:color="auto" w:fill="FFFFFF"/>
        </w:rPr>
        <w:t>ing</w:t>
      </w:r>
      <w:r w:rsidRPr="001B41E4" w:rsidR="00B02BD0">
        <w:rPr>
          <w:rFonts w:ascii="Century Schoolbook" w:hAnsi="Century Schoolbook"/>
          <w:sz w:val="27"/>
          <w:szCs w:val="26"/>
          <w:shd w:val="clear" w:color="auto" w:fill="FFFFFF"/>
        </w:rPr>
        <w:t xml:space="preserve"> the </w:t>
      </w:r>
      <w:r w:rsidRPr="001B41E4" w:rsidR="00C56E48">
        <w:rPr>
          <w:rFonts w:ascii="Century Schoolbook" w:hAnsi="Century Schoolbook"/>
          <w:sz w:val="27"/>
          <w:szCs w:val="26"/>
          <w:shd w:val="clear" w:color="auto" w:fill="FFFFFF"/>
        </w:rPr>
        <w:t>“</w:t>
      </w:r>
      <w:r w:rsidRPr="001B41E4" w:rsidR="00414614">
        <w:rPr>
          <w:rFonts w:ascii="Century Schoolbook" w:hAnsi="Century Schoolbook"/>
          <w:sz w:val="27"/>
          <w:szCs w:val="26"/>
          <w:shd w:val="clear" w:color="auto" w:fill="FFFFFF"/>
        </w:rPr>
        <w:t xml:space="preserve">broader </w:t>
      </w:r>
      <w:r w:rsidRPr="001B41E4" w:rsidR="00B02BD0">
        <w:rPr>
          <w:rFonts w:ascii="Century Schoolbook" w:hAnsi="Century Schoolbook"/>
          <w:sz w:val="27"/>
          <w:szCs w:val="26"/>
          <w:shd w:val="clear" w:color="auto" w:fill="FFFFFF"/>
        </w:rPr>
        <w:t>question of whether, when, and under what circumstances a public comment process may be considered an administrative remedy”  (</w:t>
      </w:r>
      <w:r w:rsidR="001B41E4">
        <w:rPr>
          <w:rFonts w:ascii="Century Schoolbook" w:hAnsi="Century Schoolbook"/>
          <w:i/>
          <w:iCs/>
          <w:sz w:val="27"/>
          <w:szCs w:val="26"/>
          <w:shd w:val="clear" w:color="auto" w:fill="FFFFFF"/>
        </w:rPr>
        <w:t>i</w:t>
      </w:r>
      <w:r w:rsidRPr="001B41E4" w:rsidR="000D6AB5">
        <w:rPr>
          <w:rFonts w:ascii="Century Schoolbook" w:hAnsi="Century Schoolbook"/>
          <w:i/>
          <w:iCs/>
          <w:sz w:val="27"/>
          <w:szCs w:val="26"/>
          <w:shd w:val="clear" w:color="auto" w:fill="FFFFFF"/>
        </w:rPr>
        <w:t>d</w:t>
      </w:r>
      <w:r w:rsidRPr="001B41E4" w:rsidR="000D6AB5">
        <w:rPr>
          <w:rFonts w:ascii="Century Schoolbook" w:hAnsi="Century Schoolbook"/>
          <w:sz w:val="27"/>
          <w:szCs w:val="26"/>
          <w:shd w:val="clear" w:color="auto" w:fill="FFFFFF"/>
        </w:rPr>
        <w:t>.</w:t>
      </w:r>
      <w:r w:rsidRPr="001B41E4" w:rsidR="00B02BD0">
        <w:rPr>
          <w:rFonts w:ascii="Century Schoolbook" w:hAnsi="Century Schoolbook"/>
          <w:sz w:val="27"/>
          <w:szCs w:val="26"/>
          <w:shd w:val="clear" w:color="auto" w:fill="FFFFFF"/>
        </w:rPr>
        <w:t>, at p.</w:t>
      </w:r>
      <w:r w:rsidRPr="001B41E4" w:rsidR="004D5613">
        <w:rPr>
          <w:rFonts w:ascii="Century Schoolbook" w:hAnsi="Century Schoolbook"/>
          <w:sz w:val="27"/>
          <w:szCs w:val="26"/>
          <w:shd w:val="clear" w:color="auto" w:fill="FFFFFF"/>
        </w:rPr>
        <w:t> </w:t>
      </w:r>
      <w:r w:rsidRPr="001B41E4" w:rsidR="00B02BD0">
        <w:rPr>
          <w:rFonts w:ascii="Century Schoolbook" w:hAnsi="Century Schoolbook"/>
          <w:sz w:val="27"/>
          <w:szCs w:val="26"/>
          <w:shd w:val="clear" w:color="auto" w:fill="FFFFFF"/>
        </w:rPr>
        <w:t>384)</w:t>
      </w:r>
      <w:r w:rsidR="001B41E4">
        <w:rPr>
          <w:rFonts w:ascii="Century Schoolbook" w:hAnsi="Century Schoolbook"/>
          <w:sz w:val="27"/>
          <w:szCs w:val="26"/>
          <w:shd w:val="clear" w:color="auto" w:fill="FFFFFF"/>
        </w:rPr>
        <w:t>.</w:t>
      </w:r>
      <w:r>
        <w:rPr>
          <w:rStyle w:val="FootnoteReference"/>
          <w:bCs/>
          <w:szCs w:val="26"/>
          <w:shd w:val="clear" w:color="auto" w:fill="FFFFFF"/>
        </w:rPr>
        <w:footnoteReference w:id="9"/>
      </w:r>
    </w:p>
    <w:p w:rsidR="008E5CAA" w:rsidRPr="001B41E4" w:rsidP="0023145B" w14:paraId="308BCB26" w14:textId="544B28D2">
      <w:pPr>
        <w:pStyle w:val="xmsonormal"/>
        <w:shd w:val="clear" w:color="auto" w:fill="FFFFFF"/>
        <w:spacing w:before="0" w:beforeAutospacing="0" w:afterAutospacing="0" w:line="400" w:lineRule="exact"/>
        <w:ind w:firstLine="720"/>
        <w:rPr>
          <w:rFonts w:ascii="Century Schoolbook" w:hAnsi="Century Schoolbook"/>
          <w:sz w:val="27"/>
          <w:szCs w:val="26"/>
        </w:rPr>
      </w:pPr>
      <w:r>
        <w:rPr>
          <w:rFonts w:ascii="Century Schoolbook" w:hAnsi="Century Schoolbook"/>
          <w:sz w:val="27"/>
          <w:szCs w:val="26"/>
        </w:rPr>
        <w:t>O</w:t>
      </w:r>
      <w:r w:rsidRPr="001B41E4" w:rsidR="0058408A">
        <w:rPr>
          <w:rFonts w:ascii="Century Schoolbook" w:hAnsi="Century Schoolbook"/>
          <w:sz w:val="27"/>
          <w:szCs w:val="26"/>
        </w:rPr>
        <w:t>utside of the assessment context</w:t>
      </w:r>
      <w:r w:rsidRPr="001B41E4" w:rsidR="007C14F8">
        <w:rPr>
          <w:rFonts w:ascii="Century Schoolbook" w:hAnsi="Century Schoolbook"/>
          <w:sz w:val="27"/>
          <w:szCs w:val="26"/>
        </w:rPr>
        <w:t>,</w:t>
      </w:r>
      <w:r w:rsidRPr="001B41E4" w:rsidR="0058408A">
        <w:rPr>
          <w:rFonts w:ascii="Century Schoolbook" w:hAnsi="Century Schoolbook"/>
          <w:sz w:val="27"/>
          <w:szCs w:val="26"/>
        </w:rPr>
        <w:t xml:space="preserve"> s</w:t>
      </w:r>
      <w:r w:rsidRPr="001B41E4">
        <w:rPr>
          <w:rFonts w:ascii="Century Schoolbook" w:hAnsi="Century Schoolbook"/>
          <w:sz w:val="27"/>
          <w:szCs w:val="26"/>
        </w:rPr>
        <w:t>ome decisions by the Courts of Appeal</w:t>
      </w:r>
      <w:r w:rsidRPr="001B41E4" w:rsidR="0058408A">
        <w:rPr>
          <w:rFonts w:ascii="Century Schoolbook" w:hAnsi="Century Schoolbook"/>
          <w:sz w:val="27"/>
          <w:szCs w:val="26"/>
        </w:rPr>
        <w:t xml:space="preserve"> </w:t>
      </w:r>
      <w:r w:rsidRPr="001B41E4">
        <w:rPr>
          <w:rFonts w:ascii="Century Schoolbook" w:hAnsi="Century Schoolbook"/>
          <w:sz w:val="27"/>
          <w:szCs w:val="26"/>
        </w:rPr>
        <w:t xml:space="preserve">have rejected </w:t>
      </w:r>
      <w:r w:rsidRPr="001B41E4" w:rsidR="007422A4">
        <w:rPr>
          <w:rFonts w:ascii="Century Schoolbook" w:hAnsi="Century Schoolbook"/>
          <w:sz w:val="27"/>
          <w:szCs w:val="26"/>
        </w:rPr>
        <w:t>arguments</w:t>
      </w:r>
      <w:r w:rsidRPr="001B41E4">
        <w:rPr>
          <w:rFonts w:ascii="Century Schoolbook" w:hAnsi="Century Schoolbook"/>
          <w:sz w:val="27"/>
          <w:szCs w:val="26"/>
        </w:rPr>
        <w:t xml:space="preserve"> </w:t>
      </w:r>
      <w:r w:rsidRPr="001B41E4" w:rsidR="0083287E">
        <w:rPr>
          <w:rFonts w:ascii="Century Schoolbook" w:hAnsi="Century Schoolbook"/>
          <w:sz w:val="27"/>
          <w:szCs w:val="26"/>
        </w:rPr>
        <w:t xml:space="preserve">that an issue </w:t>
      </w:r>
      <w:r w:rsidRPr="001B41E4" w:rsidR="00A2045F">
        <w:rPr>
          <w:rFonts w:ascii="Century Schoolbook" w:hAnsi="Century Schoolbook"/>
          <w:sz w:val="27"/>
          <w:szCs w:val="26"/>
        </w:rPr>
        <w:t xml:space="preserve">or objection </w:t>
      </w:r>
      <w:r w:rsidRPr="001B41E4" w:rsidR="007422A4">
        <w:rPr>
          <w:rFonts w:ascii="Century Schoolbook" w:hAnsi="Century Schoolbook"/>
          <w:sz w:val="27"/>
          <w:szCs w:val="26"/>
        </w:rPr>
        <w:t>had to</w:t>
      </w:r>
      <w:r w:rsidRPr="001B41E4" w:rsidR="00A2045F">
        <w:rPr>
          <w:rFonts w:ascii="Century Schoolbook" w:hAnsi="Century Schoolbook"/>
          <w:sz w:val="27"/>
          <w:szCs w:val="26"/>
        </w:rPr>
        <w:t xml:space="preserve"> be</w:t>
      </w:r>
      <w:r w:rsidRPr="001B41E4" w:rsidR="0083287E">
        <w:rPr>
          <w:rFonts w:ascii="Century Schoolbook" w:hAnsi="Century Schoolbook"/>
          <w:sz w:val="27"/>
          <w:szCs w:val="26"/>
        </w:rPr>
        <w:t xml:space="preserve"> </w:t>
      </w:r>
      <w:r w:rsidRPr="001B41E4" w:rsidR="00C56E48">
        <w:rPr>
          <w:rFonts w:ascii="Century Schoolbook" w:hAnsi="Century Schoolbook"/>
          <w:sz w:val="27"/>
          <w:szCs w:val="26"/>
        </w:rPr>
        <w:t>articulated</w:t>
      </w:r>
      <w:r w:rsidRPr="001B41E4">
        <w:rPr>
          <w:rFonts w:ascii="Century Schoolbook" w:hAnsi="Century Schoolbook"/>
          <w:sz w:val="27"/>
          <w:szCs w:val="26"/>
        </w:rPr>
        <w:t xml:space="preserve"> </w:t>
      </w:r>
      <w:r w:rsidRPr="001B41E4" w:rsidR="00A2045F">
        <w:rPr>
          <w:rFonts w:ascii="Century Schoolbook" w:hAnsi="Century Schoolbook"/>
          <w:sz w:val="27"/>
          <w:szCs w:val="26"/>
        </w:rPr>
        <w:t>during</w:t>
      </w:r>
      <w:r w:rsidRPr="001B41E4">
        <w:rPr>
          <w:rFonts w:ascii="Century Schoolbook" w:hAnsi="Century Schoolbook"/>
          <w:sz w:val="27"/>
          <w:szCs w:val="26"/>
        </w:rPr>
        <w:t xml:space="preserve"> a public comment</w:t>
      </w:r>
      <w:r w:rsidRPr="001B41E4" w:rsidR="00A2045F">
        <w:rPr>
          <w:rFonts w:ascii="Century Schoolbook" w:hAnsi="Century Schoolbook"/>
          <w:sz w:val="27"/>
          <w:szCs w:val="26"/>
        </w:rPr>
        <w:t xml:space="preserve"> </w:t>
      </w:r>
      <w:r w:rsidRPr="001B41E4" w:rsidR="001C47EC">
        <w:rPr>
          <w:rFonts w:ascii="Century Schoolbook" w:hAnsi="Century Schoolbook"/>
          <w:sz w:val="27"/>
          <w:szCs w:val="26"/>
        </w:rPr>
        <w:t>session</w:t>
      </w:r>
      <w:r w:rsidRPr="001B41E4" w:rsidR="00A2045F">
        <w:rPr>
          <w:rFonts w:ascii="Century Schoolbook" w:hAnsi="Century Schoolbook"/>
          <w:sz w:val="27"/>
          <w:szCs w:val="26"/>
        </w:rPr>
        <w:t xml:space="preserve"> </w:t>
      </w:r>
      <w:r w:rsidRPr="001B41E4" w:rsidR="00C56E48">
        <w:rPr>
          <w:rFonts w:ascii="Century Schoolbook" w:hAnsi="Century Schoolbook"/>
          <w:sz w:val="27"/>
          <w:szCs w:val="26"/>
        </w:rPr>
        <w:t>to be preserved for</w:t>
      </w:r>
      <w:r w:rsidRPr="001B41E4" w:rsidR="00CD13CF">
        <w:rPr>
          <w:rFonts w:ascii="Century Schoolbook" w:hAnsi="Century Schoolbook"/>
          <w:sz w:val="27"/>
          <w:szCs w:val="26"/>
        </w:rPr>
        <w:t xml:space="preserve"> </w:t>
      </w:r>
      <w:r w:rsidRPr="001B41E4" w:rsidR="0024115E">
        <w:rPr>
          <w:rFonts w:ascii="Century Schoolbook" w:hAnsi="Century Schoolbook"/>
          <w:sz w:val="27"/>
          <w:szCs w:val="26"/>
        </w:rPr>
        <w:t xml:space="preserve">presentation in </w:t>
      </w:r>
      <w:r w:rsidRPr="001B41E4" w:rsidR="0083287E">
        <w:rPr>
          <w:rFonts w:ascii="Century Schoolbook" w:hAnsi="Century Schoolbook"/>
          <w:sz w:val="27"/>
          <w:szCs w:val="26"/>
        </w:rPr>
        <w:t>a subsequent judicial proceeding</w:t>
      </w:r>
      <w:r w:rsidRPr="001B41E4" w:rsidR="00A2045F">
        <w:rPr>
          <w:rFonts w:ascii="Century Schoolbook" w:hAnsi="Century Schoolbook"/>
          <w:sz w:val="27"/>
          <w:szCs w:val="26"/>
        </w:rPr>
        <w:t xml:space="preserve">.  </w:t>
      </w:r>
      <w:r w:rsidRPr="001B41E4">
        <w:rPr>
          <w:rFonts w:ascii="Century Schoolbook" w:hAnsi="Century Schoolbook"/>
          <w:sz w:val="27"/>
          <w:szCs w:val="26"/>
        </w:rPr>
        <w:t>The respondent in</w:t>
      </w:r>
      <w:r w:rsidRPr="001B41E4" w:rsidR="00F57EF5">
        <w:rPr>
          <w:rFonts w:ascii="Century Schoolbook" w:hAnsi="Century Schoolbook"/>
          <w:sz w:val="27"/>
          <w:szCs w:val="26"/>
        </w:rPr>
        <w:t xml:space="preserve"> </w:t>
      </w:r>
      <w:r w:rsidRPr="001B41E4">
        <w:rPr>
          <w:rFonts w:ascii="Century Schoolbook" w:hAnsi="Century Schoolbook"/>
          <w:i/>
          <w:iCs/>
          <w:sz w:val="27"/>
          <w:szCs w:val="26"/>
        </w:rPr>
        <w:t>Lindelli v. Town of San Anselmo</w:t>
      </w:r>
      <w:r w:rsidRPr="001B41E4" w:rsidR="00F57EF5">
        <w:rPr>
          <w:rFonts w:ascii="Century Schoolbook" w:hAnsi="Century Schoolbook"/>
          <w:i/>
          <w:iCs/>
          <w:sz w:val="27"/>
          <w:szCs w:val="26"/>
        </w:rPr>
        <w:t xml:space="preserve"> </w:t>
      </w:r>
      <w:r w:rsidRPr="001B41E4">
        <w:rPr>
          <w:rFonts w:ascii="Century Schoolbook" w:hAnsi="Century Schoolbook"/>
          <w:sz w:val="27"/>
          <w:szCs w:val="26"/>
        </w:rPr>
        <w:t>(2003) 111 Cal.App.4th 1099</w:t>
      </w:r>
      <w:r w:rsidRPr="001B41E4" w:rsidR="008D01EB">
        <w:rPr>
          <w:rFonts w:ascii="Century Schoolbook" w:hAnsi="Century Schoolbook"/>
          <w:sz w:val="27"/>
          <w:szCs w:val="26"/>
        </w:rPr>
        <w:t xml:space="preserve"> (</w:t>
      </w:r>
      <w:r w:rsidRPr="001B41E4" w:rsidR="008D01EB">
        <w:rPr>
          <w:rFonts w:ascii="Century Schoolbook" w:hAnsi="Century Schoolbook"/>
          <w:i/>
          <w:iCs/>
          <w:sz w:val="27"/>
          <w:szCs w:val="26"/>
        </w:rPr>
        <w:t>Lindelli</w:t>
      </w:r>
      <w:r w:rsidRPr="001B41E4" w:rsidR="008D01EB">
        <w:rPr>
          <w:rFonts w:ascii="Century Schoolbook" w:hAnsi="Century Schoolbook"/>
          <w:sz w:val="27"/>
          <w:szCs w:val="26"/>
        </w:rPr>
        <w:t>)</w:t>
      </w:r>
      <w:r w:rsidRPr="001B41E4">
        <w:rPr>
          <w:rFonts w:ascii="Century Schoolbook" w:hAnsi="Century Schoolbook"/>
          <w:sz w:val="27"/>
          <w:szCs w:val="26"/>
        </w:rPr>
        <w:t xml:space="preserve">, for example, asserted that the petitioners had failed to exhaust their administrative remedies because they did not raise their objection to a proposed </w:t>
      </w:r>
      <w:r w:rsidRPr="001B41E4" w:rsidR="0083287E">
        <w:rPr>
          <w:rFonts w:ascii="Century Schoolbook" w:hAnsi="Century Schoolbook"/>
          <w:sz w:val="27"/>
          <w:szCs w:val="26"/>
        </w:rPr>
        <w:t xml:space="preserve">municipal </w:t>
      </w:r>
      <w:r w:rsidRPr="001B41E4">
        <w:rPr>
          <w:rFonts w:ascii="Century Schoolbook" w:hAnsi="Century Schoolbook"/>
          <w:sz w:val="27"/>
          <w:szCs w:val="26"/>
        </w:rPr>
        <w:t>contract at the</w:t>
      </w:r>
      <w:r w:rsidRPr="001B41E4" w:rsidR="00194165">
        <w:rPr>
          <w:rFonts w:ascii="Century Schoolbook" w:hAnsi="Century Schoolbook"/>
          <w:sz w:val="27"/>
          <w:szCs w:val="26"/>
        </w:rPr>
        <w:t xml:space="preserve"> city council’s</w:t>
      </w:r>
      <w:r w:rsidRPr="001B41E4">
        <w:rPr>
          <w:rFonts w:ascii="Century Schoolbook" w:hAnsi="Century Schoolbook"/>
          <w:sz w:val="27"/>
          <w:szCs w:val="26"/>
        </w:rPr>
        <w:t xml:space="preserve"> public hearing</w:t>
      </w:r>
      <w:r w:rsidRPr="001B41E4" w:rsidR="00194165">
        <w:rPr>
          <w:rFonts w:ascii="Century Schoolbook" w:hAnsi="Century Schoolbook"/>
          <w:sz w:val="27"/>
          <w:szCs w:val="26"/>
        </w:rPr>
        <w:t xml:space="preserve"> on the agreement</w:t>
      </w:r>
      <w:r w:rsidRPr="001B41E4">
        <w:rPr>
          <w:rFonts w:ascii="Century Schoolbook" w:hAnsi="Century Schoolbook"/>
          <w:sz w:val="27"/>
          <w:szCs w:val="26"/>
        </w:rPr>
        <w:t>.</w:t>
      </w:r>
      <w:r w:rsidRPr="001B41E4" w:rsidR="001D795C">
        <w:rPr>
          <w:rFonts w:ascii="Century Schoolbook" w:hAnsi="Century Schoolbook"/>
          <w:sz w:val="27"/>
          <w:szCs w:val="26"/>
        </w:rPr>
        <w:t xml:space="preserve"> </w:t>
      </w:r>
      <w:r w:rsidRPr="001B41E4">
        <w:rPr>
          <w:rFonts w:ascii="Century Schoolbook" w:hAnsi="Century Schoolbook"/>
          <w:sz w:val="27"/>
          <w:szCs w:val="26"/>
        </w:rPr>
        <w:t xml:space="preserve"> </w:t>
      </w:r>
      <w:r w:rsidR="00AE40D2">
        <w:rPr>
          <w:rFonts w:ascii="Century Schoolbook" w:hAnsi="Century Schoolbook"/>
          <w:sz w:val="27"/>
          <w:szCs w:val="26"/>
        </w:rPr>
        <w:t>(</w:t>
      </w:r>
      <w:r w:rsidRPr="00AE40D2" w:rsidR="00AE40D2">
        <w:rPr>
          <w:rFonts w:ascii="Century Schoolbook" w:hAnsi="Century Schoolbook"/>
          <w:i/>
          <w:iCs/>
          <w:sz w:val="27"/>
          <w:szCs w:val="26"/>
        </w:rPr>
        <w:t>Id</w:t>
      </w:r>
      <w:r w:rsidR="00AE40D2">
        <w:rPr>
          <w:rFonts w:ascii="Century Schoolbook" w:hAnsi="Century Schoolbook"/>
          <w:sz w:val="27"/>
          <w:szCs w:val="26"/>
        </w:rPr>
        <w:t xml:space="preserve">., at p. 1105.)  </w:t>
      </w:r>
      <w:r w:rsidRPr="001B41E4">
        <w:rPr>
          <w:rFonts w:ascii="Century Schoolbook" w:hAnsi="Century Schoolbook"/>
          <w:sz w:val="27"/>
          <w:szCs w:val="26"/>
        </w:rPr>
        <w:t>The Court of Appeal</w:t>
      </w:r>
      <w:r w:rsidRPr="001B41E4" w:rsidR="00305269">
        <w:rPr>
          <w:rFonts w:ascii="Century Schoolbook" w:hAnsi="Century Schoolbook"/>
          <w:sz w:val="27"/>
          <w:szCs w:val="26"/>
        </w:rPr>
        <w:t xml:space="preserve"> </w:t>
      </w:r>
      <w:r w:rsidRPr="001B41E4" w:rsidR="00B9468E">
        <w:rPr>
          <w:rFonts w:ascii="Century Schoolbook" w:hAnsi="Century Schoolbook"/>
          <w:sz w:val="27"/>
          <w:szCs w:val="26"/>
        </w:rPr>
        <w:t>determined</w:t>
      </w:r>
      <w:r w:rsidRPr="001B41E4" w:rsidR="00194165">
        <w:rPr>
          <w:rFonts w:ascii="Century Schoolbook" w:hAnsi="Century Schoolbook"/>
          <w:sz w:val="27"/>
          <w:szCs w:val="26"/>
        </w:rPr>
        <w:t xml:space="preserve"> that the </w:t>
      </w:r>
      <w:r w:rsidRPr="001B41E4" w:rsidR="00A869EB">
        <w:rPr>
          <w:rFonts w:ascii="Century Schoolbook" w:hAnsi="Century Schoolbook"/>
          <w:sz w:val="27"/>
          <w:szCs w:val="26"/>
        </w:rPr>
        <w:t>exhaustion</w:t>
      </w:r>
      <w:r w:rsidRPr="001B41E4" w:rsidR="00194165">
        <w:rPr>
          <w:rFonts w:ascii="Century Schoolbook" w:hAnsi="Century Schoolbook"/>
          <w:sz w:val="27"/>
          <w:szCs w:val="26"/>
        </w:rPr>
        <w:t xml:space="preserve"> doctrine did not apply </w:t>
      </w:r>
      <w:r w:rsidRPr="001B41E4" w:rsidR="00B9468E">
        <w:rPr>
          <w:rFonts w:ascii="Century Schoolbook" w:hAnsi="Century Schoolbook"/>
          <w:sz w:val="27"/>
          <w:szCs w:val="26"/>
        </w:rPr>
        <w:t>to</w:t>
      </w:r>
      <w:r w:rsidRPr="001B41E4" w:rsidR="00194165">
        <w:rPr>
          <w:rFonts w:ascii="Century Schoolbook" w:hAnsi="Century Schoolbook"/>
          <w:sz w:val="27"/>
          <w:szCs w:val="26"/>
        </w:rPr>
        <w:t xml:space="preserve"> the circumstances</w:t>
      </w:r>
      <w:r w:rsidRPr="001B41E4" w:rsidR="00B9468E">
        <w:rPr>
          <w:rFonts w:ascii="Century Schoolbook" w:hAnsi="Century Schoolbook"/>
          <w:sz w:val="27"/>
          <w:szCs w:val="26"/>
        </w:rPr>
        <w:t xml:space="preserve"> before it</w:t>
      </w:r>
      <w:r w:rsidRPr="001B41E4" w:rsidR="00414614">
        <w:rPr>
          <w:rFonts w:ascii="Century Schoolbook" w:hAnsi="Century Schoolbook"/>
          <w:sz w:val="27"/>
          <w:szCs w:val="26"/>
        </w:rPr>
        <w:t>, concluding instead that “[t]he opportunity to participate in a public hearing prior to a legislative act</w:t>
      </w:r>
      <w:r w:rsidR="006D7B0F">
        <w:rPr>
          <w:rFonts w:ascii="Century Schoolbook" w:hAnsi="Century Schoolbook"/>
          <w:sz w:val="27"/>
          <w:szCs w:val="26"/>
        </w:rPr>
        <w:t>ion</w:t>
      </w:r>
      <w:r w:rsidRPr="001B41E4" w:rsidR="00414614">
        <w:rPr>
          <w:rFonts w:ascii="Century Schoolbook" w:hAnsi="Century Schoolbook"/>
          <w:sz w:val="27"/>
          <w:szCs w:val="26"/>
        </w:rPr>
        <w:t xml:space="preserve"> does not constitute an administrative remedy subject to exhaustion.”  (</w:t>
      </w:r>
      <w:r w:rsidR="00AE40D2">
        <w:rPr>
          <w:rFonts w:ascii="Century Schoolbook" w:hAnsi="Century Schoolbook"/>
          <w:i/>
          <w:iCs/>
          <w:sz w:val="27"/>
          <w:szCs w:val="26"/>
        </w:rPr>
        <w:t>Ibid</w:t>
      </w:r>
      <w:r w:rsidRPr="001B41E4" w:rsidR="00414614">
        <w:rPr>
          <w:rFonts w:ascii="Century Schoolbook" w:hAnsi="Century Schoolbook"/>
          <w:sz w:val="27"/>
          <w:szCs w:val="26"/>
        </w:rPr>
        <w:t>.)  In regarding</w:t>
      </w:r>
      <w:r w:rsidRPr="001B41E4" w:rsidR="00C5783A">
        <w:rPr>
          <w:rFonts w:ascii="Century Schoolbook" w:hAnsi="Century Schoolbook"/>
          <w:sz w:val="27"/>
          <w:szCs w:val="26"/>
        </w:rPr>
        <w:t xml:space="preserve"> the opportunity to offer public comment </w:t>
      </w:r>
      <w:r w:rsidRPr="001B41E4" w:rsidR="00414614">
        <w:rPr>
          <w:rFonts w:ascii="Century Schoolbook" w:hAnsi="Century Schoolbook"/>
          <w:sz w:val="27"/>
          <w:szCs w:val="26"/>
        </w:rPr>
        <w:t xml:space="preserve">before </w:t>
      </w:r>
      <w:r w:rsidRPr="001B41E4" w:rsidR="00081914">
        <w:rPr>
          <w:rFonts w:ascii="Century Schoolbook" w:hAnsi="Century Schoolbook"/>
          <w:sz w:val="27"/>
          <w:szCs w:val="26"/>
        </w:rPr>
        <w:t>lawmakers</w:t>
      </w:r>
      <w:r w:rsidRPr="001B41E4" w:rsidR="00414614">
        <w:rPr>
          <w:rFonts w:ascii="Century Schoolbook" w:hAnsi="Century Schoolbook"/>
          <w:sz w:val="27"/>
          <w:szCs w:val="26"/>
        </w:rPr>
        <w:t xml:space="preserve"> </w:t>
      </w:r>
      <w:r w:rsidRPr="001B41E4" w:rsidR="00C5783A">
        <w:rPr>
          <w:rFonts w:ascii="Century Schoolbook" w:hAnsi="Century Schoolbook"/>
          <w:sz w:val="27"/>
          <w:szCs w:val="26"/>
        </w:rPr>
        <w:t xml:space="preserve">as </w:t>
      </w:r>
      <w:r w:rsidRPr="001B41E4" w:rsidR="00414614">
        <w:rPr>
          <w:rFonts w:ascii="Century Schoolbook" w:hAnsi="Century Schoolbook"/>
          <w:sz w:val="27"/>
          <w:szCs w:val="26"/>
        </w:rPr>
        <w:t xml:space="preserve">an insufficient </w:t>
      </w:r>
      <w:r w:rsidRPr="001B41E4" w:rsidR="004D5613">
        <w:rPr>
          <w:rFonts w:ascii="Century Schoolbook" w:hAnsi="Century Schoolbook"/>
          <w:sz w:val="27"/>
          <w:szCs w:val="26"/>
        </w:rPr>
        <w:t>premise</w:t>
      </w:r>
      <w:r w:rsidRPr="001B41E4" w:rsidR="00414614">
        <w:rPr>
          <w:rFonts w:ascii="Century Schoolbook" w:hAnsi="Century Schoolbook"/>
          <w:sz w:val="27"/>
          <w:szCs w:val="26"/>
        </w:rPr>
        <w:t xml:space="preserve"> for inferring an exhaustion requirement, the </w:t>
      </w:r>
      <w:r w:rsidRPr="001B41E4" w:rsidR="00414614">
        <w:rPr>
          <w:rFonts w:ascii="Century Schoolbook" w:hAnsi="Century Schoolbook"/>
          <w:i/>
          <w:iCs/>
          <w:sz w:val="27"/>
          <w:szCs w:val="26"/>
        </w:rPr>
        <w:t>Lindelli</w:t>
      </w:r>
      <w:r w:rsidRPr="001B41E4" w:rsidR="00414614">
        <w:rPr>
          <w:rFonts w:ascii="Century Schoolbook" w:hAnsi="Century Schoolbook"/>
          <w:sz w:val="27"/>
          <w:szCs w:val="26"/>
        </w:rPr>
        <w:t xml:space="preserve"> court </w:t>
      </w:r>
      <w:r w:rsidRPr="001B41E4" w:rsidR="00C5783A">
        <w:rPr>
          <w:rFonts w:ascii="Century Schoolbook" w:hAnsi="Century Schoolbook"/>
          <w:sz w:val="27"/>
          <w:szCs w:val="26"/>
        </w:rPr>
        <w:t>emphasiz</w:t>
      </w:r>
      <w:r w:rsidRPr="001B41E4" w:rsidR="00414614">
        <w:rPr>
          <w:rFonts w:ascii="Century Schoolbook" w:hAnsi="Century Schoolbook"/>
          <w:sz w:val="27"/>
          <w:szCs w:val="26"/>
        </w:rPr>
        <w:t>ed</w:t>
      </w:r>
      <w:r w:rsidRPr="001B41E4" w:rsidR="001C47EC">
        <w:rPr>
          <w:rFonts w:ascii="Century Schoolbook" w:hAnsi="Century Schoolbook"/>
          <w:sz w:val="27"/>
          <w:szCs w:val="26"/>
        </w:rPr>
        <w:t xml:space="preserve"> </w:t>
      </w:r>
      <w:r w:rsidRPr="001B41E4" w:rsidR="00C5783A">
        <w:rPr>
          <w:rFonts w:ascii="Century Schoolbook" w:hAnsi="Century Schoolbook"/>
          <w:sz w:val="27"/>
          <w:szCs w:val="26"/>
        </w:rPr>
        <w:t>that</w:t>
      </w:r>
      <w:r w:rsidRPr="001B41E4" w:rsidR="00305269">
        <w:rPr>
          <w:rFonts w:ascii="Century Schoolbook" w:hAnsi="Century Schoolbook"/>
          <w:sz w:val="27"/>
          <w:szCs w:val="26"/>
        </w:rPr>
        <w:t xml:space="preserve"> the “city council was not required to </w:t>
      </w:r>
      <w:r w:rsidRPr="006D7B0F" w:rsidR="00305269">
        <w:rPr>
          <w:rFonts w:ascii="Century Schoolbook" w:hAnsi="Century Schoolbook"/>
          <w:sz w:val="27"/>
          <w:szCs w:val="26"/>
        </w:rPr>
        <w:t>do</w:t>
      </w:r>
      <w:r w:rsidRPr="001B41E4" w:rsidR="00305269">
        <w:rPr>
          <w:rFonts w:ascii="Century Schoolbook" w:hAnsi="Century Schoolbook"/>
          <w:sz w:val="27"/>
          <w:szCs w:val="26"/>
        </w:rPr>
        <w:t xml:space="preserve"> anything in response to </w:t>
      </w:r>
      <w:r w:rsidRPr="001B41E4" w:rsidR="00B9468E">
        <w:rPr>
          <w:rFonts w:ascii="Century Schoolbook" w:hAnsi="Century Schoolbook"/>
          <w:sz w:val="27"/>
          <w:szCs w:val="26"/>
        </w:rPr>
        <w:t>[this]</w:t>
      </w:r>
      <w:r w:rsidRPr="001B41E4" w:rsidR="00305269">
        <w:rPr>
          <w:rFonts w:ascii="Century Schoolbook" w:hAnsi="Century Schoolbook"/>
          <w:sz w:val="27"/>
          <w:szCs w:val="26"/>
        </w:rPr>
        <w:t xml:space="preserve"> participation.”  </w:t>
      </w:r>
      <w:r w:rsidRPr="001B41E4" w:rsidR="00C5783A">
        <w:rPr>
          <w:rFonts w:ascii="Century Schoolbook" w:hAnsi="Century Schoolbook"/>
          <w:sz w:val="27"/>
          <w:szCs w:val="26"/>
        </w:rPr>
        <w:t>(</w:t>
      </w:r>
      <w:r w:rsidRPr="001B41E4" w:rsidR="00C5783A">
        <w:rPr>
          <w:rFonts w:ascii="Century Schoolbook" w:hAnsi="Century Schoolbook"/>
          <w:i/>
          <w:iCs/>
          <w:sz w:val="27"/>
          <w:szCs w:val="26"/>
        </w:rPr>
        <w:t>Id</w:t>
      </w:r>
      <w:r w:rsidRPr="001B41E4" w:rsidR="00C5783A">
        <w:rPr>
          <w:rFonts w:ascii="Century Schoolbook" w:hAnsi="Century Schoolbook"/>
          <w:sz w:val="27"/>
          <w:szCs w:val="26"/>
        </w:rPr>
        <w:t xml:space="preserve">., at p. 1106; </w:t>
      </w:r>
      <w:r w:rsidRPr="001B41E4">
        <w:rPr>
          <w:rFonts w:ascii="Century Schoolbook" w:hAnsi="Century Schoolbook"/>
          <w:sz w:val="27"/>
          <w:szCs w:val="26"/>
        </w:rPr>
        <w:t>see also</w:t>
      </w:r>
      <w:r w:rsidRPr="001B41E4" w:rsidR="00F56F97">
        <w:rPr>
          <w:rFonts w:ascii="Century Schoolbook" w:hAnsi="Century Schoolbook"/>
          <w:i/>
          <w:iCs/>
          <w:sz w:val="27"/>
          <w:szCs w:val="26"/>
        </w:rPr>
        <w:t xml:space="preserve"> </w:t>
      </w:r>
      <w:r w:rsidRPr="001B41E4" w:rsidR="008C4E79">
        <w:rPr>
          <w:rFonts w:ascii="Century Schoolbook" w:hAnsi="Century Schoolbook"/>
          <w:i/>
          <w:iCs/>
          <w:sz w:val="27"/>
          <w:szCs w:val="26"/>
        </w:rPr>
        <w:t>Howard</w:t>
      </w:r>
      <w:r w:rsidRPr="001B41E4" w:rsidR="00111E0C">
        <w:rPr>
          <w:rFonts w:ascii="Century Schoolbook" w:hAnsi="Century Schoolbook"/>
          <w:sz w:val="27"/>
          <w:szCs w:val="26"/>
        </w:rPr>
        <w:t xml:space="preserve">, </w:t>
      </w:r>
      <w:r w:rsidRPr="001B41E4" w:rsidR="00111E0C">
        <w:rPr>
          <w:rFonts w:ascii="Century Schoolbook" w:hAnsi="Century Schoolbook"/>
          <w:i/>
          <w:iCs/>
          <w:sz w:val="27"/>
          <w:szCs w:val="26"/>
        </w:rPr>
        <w:t>supra</w:t>
      </w:r>
      <w:r w:rsidRPr="001B41E4" w:rsidR="00111E0C">
        <w:rPr>
          <w:rFonts w:ascii="Century Schoolbook" w:hAnsi="Century Schoolbook"/>
          <w:sz w:val="27"/>
          <w:szCs w:val="26"/>
        </w:rPr>
        <w:t xml:space="preserve">, </w:t>
      </w:r>
      <w:r w:rsidRPr="001B41E4" w:rsidR="008C4E79">
        <w:rPr>
          <w:rFonts w:ascii="Century Schoolbook" w:hAnsi="Century Schoolbook"/>
          <w:sz w:val="27"/>
          <w:szCs w:val="26"/>
        </w:rPr>
        <w:t>184</w:t>
      </w:r>
      <w:r w:rsidR="00611133">
        <w:rPr>
          <w:rFonts w:ascii="Century Schoolbook" w:hAnsi="Century Schoolbook"/>
          <w:sz w:val="27"/>
          <w:szCs w:val="26"/>
        </w:rPr>
        <w:t> </w:t>
      </w:r>
      <w:r w:rsidRPr="001B41E4" w:rsidR="008C4E79">
        <w:rPr>
          <w:rFonts w:ascii="Century Schoolbook" w:hAnsi="Century Schoolbook"/>
          <w:sz w:val="27"/>
          <w:szCs w:val="26"/>
        </w:rPr>
        <w:t xml:space="preserve">Cal.App.4th </w:t>
      </w:r>
      <w:r w:rsidRPr="001B41E4" w:rsidR="00111E0C">
        <w:rPr>
          <w:rFonts w:ascii="Century Schoolbook" w:hAnsi="Century Schoolbook"/>
          <w:sz w:val="27"/>
          <w:szCs w:val="26"/>
        </w:rPr>
        <w:t>at p.</w:t>
      </w:r>
      <w:r w:rsidRPr="001B41E4" w:rsidR="008C4E79">
        <w:rPr>
          <w:rFonts w:ascii="Century Schoolbook" w:hAnsi="Century Schoolbook"/>
          <w:sz w:val="27"/>
          <w:szCs w:val="26"/>
        </w:rPr>
        <w:t xml:space="preserve"> 1432; </w:t>
      </w:r>
      <w:r w:rsidRPr="001B41E4" w:rsidR="008C4E79">
        <w:rPr>
          <w:rFonts w:ascii="Century Schoolbook" w:hAnsi="Century Schoolbook"/>
          <w:i/>
          <w:iCs/>
          <w:sz w:val="27"/>
          <w:szCs w:val="26"/>
        </w:rPr>
        <w:t>Hoffman Street, LLC v. City of West Hollywood</w:t>
      </w:r>
      <w:r w:rsidRPr="001B41E4" w:rsidR="008C4E79">
        <w:rPr>
          <w:rFonts w:ascii="Century Schoolbook" w:hAnsi="Century Schoolbook"/>
          <w:sz w:val="27"/>
          <w:szCs w:val="26"/>
        </w:rPr>
        <w:t xml:space="preserve"> (2009) 179 Cal.App.4th 754, 7</w:t>
      </w:r>
      <w:r w:rsidR="006D7B0F">
        <w:rPr>
          <w:rFonts w:ascii="Century Schoolbook" w:hAnsi="Century Schoolbook"/>
          <w:sz w:val="27"/>
          <w:szCs w:val="26"/>
        </w:rPr>
        <w:t>6</w:t>
      </w:r>
      <w:r w:rsidRPr="001B41E4" w:rsidR="008C4E79">
        <w:rPr>
          <w:rFonts w:ascii="Century Schoolbook" w:hAnsi="Century Schoolbook"/>
          <w:sz w:val="27"/>
          <w:szCs w:val="26"/>
        </w:rPr>
        <w:t xml:space="preserve">9, fn. 8; </w:t>
      </w:r>
      <w:r w:rsidRPr="001B41E4">
        <w:rPr>
          <w:rFonts w:ascii="Century Schoolbook" w:hAnsi="Century Schoolbook"/>
          <w:i/>
          <w:iCs/>
          <w:sz w:val="27"/>
          <w:szCs w:val="26"/>
        </w:rPr>
        <w:t>City of Coachella v. Riverside County Airport Land Use Com.</w:t>
      </w:r>
      <w:r w:rsidRPr="001B41E4" w:rsidR="00F56F97">
        <w:rPr>
          <w:rFonts w:ascii="Century Schoolbook" w:hAnsi="Century Schoolbook"/>
          <w:i/>
          <w:iCs/>
          <w:sz w:val="27"/>
          <w:szCs w:val="26"/>
        </w:rPr>
        <w:t xml:space="preserve"> </w:t>
      </w:r>
      <w:r w:rsidRPr="001B41E4">
        <w:rPr>
          <w:rFonts w:ascii="Century Schoolbook" w:hAnsi="Century Schoolbook"/>
          <w:sz w:val="27"/>
          <w:szCs w:val="26"/>
        </w:rPr>
        <w:t>(1989) 210</w:t>
      </w:r>
      <w:r w:rsidR="00611133">
        <w:rPr>
          <w:rFonts w:ascii="Century Schoolbook" w:hAnsi="Century Schoolbook"/>
          <w:sz w:val="27"/>
          <w:szCs w:val="26"/>
        </w:rPr>
        <w:t> </w:t>
      </w:r>
      <w:r w:rsidRPr="001B41E4">
        <w:rPr>
          <w:rFonts w:ascii="Century Schoolbook" w:hAnsi="Century Schoolbook"/>
          <w:sz w:val="27"/>
          <w:szCs w:val="26"/>
        </w:rPr>
        <w:t xml:space="preserve">Cal.App.3d 1277, 1287 </w:t>
      </w:r>
      <w:r w:rsidRPr="001B41E4" w:rsidR="00D2054E">
        <w:rPr>
          <w:rFonts w:ascii="Century Schoolbook" w:hAnsi="Century Schoolbook"/>
          <w:sz w:val="27"/>
          <w:szCs w:val="26"/>
        </w:rPr>
        <w:t>(</w:t>
      </w:r>
      <w:r w:rsidRPr="001B41E4" w:rsidR="00D2054E">
        <w:rPr>
          <w:rFonts w:ascii="Century Schoolbook" w:hAnsi="Century Schoolbook"/>
          <w:i/>
          <w:iCs/>
          <w:sz w:val="27"/>
          <w:szCs w:val="26"/>
        </w:rPr>
        <w:t>City of Coachella</w:t>
      </w:r>
      <w:r w:rsidRPr="001B41E4" w:rsidR="00D2054E">
        <w:rPr>
          <w:rFonts w:ascii="Century Schoolbook" w:hAnsi="Century Schoolbook"/>
          <w:sz w:val="27"/>
          <w:szCs w:val="26"/>
        </w:rPr>
        <w:t xml:space="preserve">) </w:t>
      </w:r>
      <w:r w:rsidRPr="001B41E4">
        <w:rPr>
          <w:rFonts w:ascii="Century Schoolbook" w:hAnsi="Century Schoolbook"/>
          <w:sz w:val="27"/>
          <w:szCs w:val="26"/>
        </w:rPr>
        <w:t xml:space="preserve">[“An administrative remedy is provided only in those instances where the administrative body is required to actually accept, evaluate and resolve disputes or complaints”].)  </w:t>
      </w:r>
    </w:p>
    <w:p w:rsidR="008E5CAA" w:rsidRPr="001B41E4" w:rsidP="0023145B" w14:paraId="3D4282A0" w14:textId="78B89BF6">
      <w:pPr>
        <w:pStyle w:val="xmsonormal"/>
        <w:keepNext/>
        <w:numPr>
          <w:ilvl w:val="0"/>
          <w:numId w:val="8"/>
        </w:numPr>
        <w:shd w:val="clear" w:color="auto" w:fill="FFFFFF"/>
        <w:spacing w:before="0" w:beforeAutospacing="0" w:afterAutospacing="0" w:line="400" w:lineRule="exact"/>
        <w:rPr>
          <w:rFonts w:ascii="Century Schoolbook" w:hAnsi="Century Schoolbook"/>
          <w:b/>
          <w:bCs/>
          <w:sz w:val="27"/>
          <w:szCs w:val="26"/>
        </w:rPr>
      </w:pPr>
      <w:r w:rsidRPr="001B41E4">
        <w:rPr>
          <w:rFonts w:ascii="Century Schoolbook" w:hAnsi="Century Schoolbook"/>
          <w:b/>
          <w:bCs/>
          <w:sz w:val="27"/>
          <w:szCs w:val="26"/>
        </w:rPr>
        <w:t>Issue</w:t>
      </w:r>
      <w:r w:rsidRPr="001B41E4">
        <w:rPr>
          <w:rFonts w:ascii="Century Schoolbook" w:hAnsi="Century Schoolbook"/>
          <w:b/>
          <w:bCs/>
          <w:sz w:val="27"/>
          <w:szCs w:val="26"/>
        </w:rPr>
        <w:t xml:space="preserve"> Exhaustion Does Not Apply Here</w:t>
      </w:r>
    </w:p>
    <w:p w:rsidR="000E7510" w:rsidRPr="001B41E4" w:rsidP="0098784E" w14:paraId="7F234833" w14:textId="29F897AE">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This</w:t>
      </w:r>
      <w:r w:rsidRPr="001B41E4" w:rsidR="00CE3300">
        <w:rPr>
          <w:rFonts w:ascii="Century Schoolbook" w:hAnsi="Century Schoolbook"/>
          <w:sz w:val="27"/>
          <w:szCs w:val="26"/>
        </w:rPr>
        <w:t xml:space="preserve"> </w:t>
      </w:r>
      <w:r w:rsidR="00CA2ABB">
        <w:rPr>
          <w:rFonts w:ascii="Century Schoolbook" w:hAnsi="Century Schoolbook"/>
          <w:sz w:val="27"/>
          <w:szCs w:val="26"/>
        </w:rPr>
        <w:t>matter</w:t>
      </w:r>
      <w:r w:rsidRPr="001B41E4" w:rsidR="00CE3300">
        <w:rPr>
          <w:rFonts w:ascii="Century Schoolbook" w:hAnsi="Century Schoolbook"/>
          <w:sz w:val="27"/>
          <w:szCs w:val="26"/>
        </w:rPr>
        <w:t xml:space="preserve"> </w:t>
      </w:r>
      <w:r w:rsidRPr="001B41E4" w:rsidR="00785D6B">
        <w:rPr>
          <w:rFonts w:ascii="Century Schoolbook" w:hAnsi="Century Schoolbook"/>
          <w:sz w:val="27"/>
          <w:szCs w:val="26"/>
        </w:rPr>
        <w:t>concerns</w:t>
      </w:r>
      <w:r w:rsidRPr="001B41E4" w:rsidR="00CE3300">
        <w:rPr>
          <w:rFonts w:ascii="Century Schoolbook" w:hAnsi="Century Schoolbook"/>
          <w:sz w:val="27"/>
          <w:szCs w:val="26"/>
        </w:rPr>
        <w:t xml:space="preserve"> an assessment rather than a fee, </w:t>
      </w:r>
      <w:r w:rsidRPr="001B41E4">
        <w:rPr>
          <w:rFonts w:ascii="Century Schoolbook" w:hAnsi="Century Schoolbook"/>
          <w:sz w:val="27"/>
          <w:szCs w:val="26"/>
        </w:rPr>
        <w:t>but</w:t>
      </w:r>
      <w:r w:rsidRPr="001B41E4" w:rsidR="00CE3300">
        <w:rPr>
          <w:rFonts w:ascii="Century Schoolbook" w:hAnsi="Century Schoolbook"/>
          <w:sz w:val="27"/>
          <w:szCs w:val="26"/>
        </w:rPr>
        <w:t xml:space="preserve"> otherwise picks up where our decision in </w:t>
      </w:r>
      <w:r w:rsidRPr="001B41E4" w:rsidR="00CE3300">
        <w:rPr>
          <w:rFonts w:ascii="Century Schoolbook" w:hAnsi="Century Schoolbook"/>
          <w:i/>
          <w:iCs/>
          <w:sz w:val="27"/>
          <w:szCs w:val="26"/>
        </w:rPr>
        <w:t>Plantier</w:t>
      </w:r>
      <w:r w:rsidRPr="001B41E4" w:rsidR="00CE3300">
        <w:rPr>
          <w:rFonts w:ascii="Century Schoolbook" w:hAnsi="Century Schoolbook"/>
          <w:sz w:val="27"/>
          <w:szCs w:val="26"/>
        </w:rPr>
        <w:t xml:space="preserve"> left off</w:t>
      </w:r>
      <w:r w:rsidRPr="001B41E4" w:rsidR="00792374">
        <w:rPr>
          <w:rFonts w:ascii="Century Schoolbook" w:hAnsi="Century Schoolbook"/>
          <w:sz w:val="27"/>
          <w:szCs w:val="26"/>
        </w:rPr>
        <w:t xml:space="preserve">.  Although </w:t>
      </w:r>
      <w:r w:rsidRPr="001B41E4" w:rsidR="00792374">
        <w:rPr>
          <w:rFonts w:ascii="Century Schoolbook" w:hAnsi="Century Schoolbook"/>
          <w:i/>
          <w:iCs/>
          <w:sz w:val="27"/>
          <w:szCs w:val="26"/>
        </w:rPr>
        <w:t>Plantier</w:t>
      </w:r>
      <w:r w:rsidRPr="001B41E4" w:rsidR="00792374">
        <w:rPr>
          <w:rFonts w:ascii="Century Schoolbook" w:hAnsi="Century Schoolbook"/>
          <w:sz w:val="27"/>
          <w:szCs w:val="26"/>
        </w:rPr>
        <w:t xml:space="preserve"> involved a related exhaustion issue, its analysis is not </w:t>
      </w:r>
      <w:r w:rsidRPr="001B41E4" w:rsidR="009422A8">
        <w:rPr>
          <w:rFonts w:ascii="Century Schoolbook" w:hAnsi="Century Schoolbook"/>
          <w:sz w:val="27"/>
          <w:szCs w:val="26"/>
        </w:rPr>
        <w:t>determinative of</w:t>
      </w:r>
      <w:r w:rsidRPr="001B41E4" w:rsidR="00792374">
        <w:rPr>
          <w:rFonts w:ascii="Century Schoolbook" w:hAnsi="Century Schoolbook"/>
          <w:sz w:val="27"/>
          <w:szCs w:val="26"/>
        </w:rPr>
        <w:t xml:space="preserve"> </w:t>
      </w:r>
      <w:r w:rsidR="004F3850">
        <w:rPr>
          <w:rFonts w:ascii="Century Schoolbook" w:hAnsi="Century Schoolbook"/>
          <w:sz w:val="27"/>
          <w:szCs w:val="26"/>
        </w:rPr>
        <w:t xml:space="preserve">the outcome </w:t>
      </w:r>
      <w:r w:rsidR="00920C4A">
        <w:rPr>
          <w:rFonts w:ascii="Century Schoolbook" w:hAnsi="Century Schoolbook"/>
          <w:sz w:val="27"/>
          <w:szCs w:val="26"/>
        </w:rPr>
        <w:t>here</w:t>
      </w:r>
      <w:r w:rsidRPr="001B41E4" w:rsidR="009422A8">
        <w:rPr>
          <w:rFonts w:ascii="Century Schoolbook" w:hAnsi="Century Schoolbook"/>
          <w:sz w:val="27"/>
          <w:szCs w:val="26"/>
        </w:rPr>
        <w:t>.</w:t>
      </w:r>
      <w:r w:rsidRPr="001B41E4" w:rsidR="00792374">
        <w:rPr>
          <w:rFonts w:ascii="Century Schoolbook" w:hAnsi="Century Schoolbook"/>
          <w:sz w:val="27"/>
          <w:szCs w:val="26"/>
        </w:rPr>
        <w:t xml:space="preserve">  </w:t>
      </w:r>
      <w:r w:rsidR="004F3850">
        <w:rPr>
          <w:rFonts w:ascii="Century Schoolbook" w:hAnsi="Century Schoolbook"/>
          <w:sz w:val="27"/>
          <w:szCs w:val="26"/>
        </w:rPr>
        <w:t>T</w:t>
      </w:r>
      <w:r w:rsidRPr="001B41E4" w:rsidR="00CC5835">
        <w:rPr>
          <w:rFonts w:ascii="Century Schoolbook" w:hAnsi="Century Schoolbook"/>
          <w:sz w:val="27"/>
          <w:szCs w:val="26"/>
        </w:rPr>
        <w:t xml:space="preserve">here was a clear misfit </w:t>
      </w:r>
      <w:r w:rsidRPr="001B41E4" w:rsidR="00CC5835">
        <w:rPr>
          <w:rFonts w:ascii="Century Schoolbook" w:hAnsi="Century Schoolbook"/>
          <w:sz w:val="27"/>
          <w:szCs w:val="27"/>
        </w:rPr>
        <w:t xml:space="preserve">between the </w:t>
      </w:r>
      <w:r w:rsidRPr="001B41E4" w:rsidR="003271FF">
        <w:rPr>
          <w:rFonts w:ascii="Century Schoolbook" w:hAnsi="Century Schoolbook"/>
          <w:sz w:val="27"/>
          <w:szCs w:val="27"/>
        </w:rPr>
        <w:t xml:space="preserve">procedure in </w:t>
      </w:r>
      <w:r w:rsidRPr="001B41E4" w:rsidR="003271FF">
        <w:rPr>
          <w:rFonts w:ascii="Century Schoolbook" w:hAnsi="Century Schoolbook"/>
          <w:i/>
          <w:iCs/>
          <w:sz w:val="27"/>
          <w:szCs w:val="27"/>
        </w:rPr>
        <w:t>Plantier</w:t>
      </w:r>
      <w:r w:rsidRPr="001B41E4" w:rsidR="003271FF">
        <w:rPr>
          <w:rFonts w:ascii="Century Schoolbook" w:hAnsi="Century Schoolbook"/>
          <w:sz w:val="27"/>
          <w:szCs w:val="27"/>
        </w:rPr>
        <w:t xml:space="preserve"> and the arguments being advanced by the petitioner in that case</w:t>
      </w:r>
      <w:r w:rsidR="004F3850">
        <w:rPr>
          <w:rFonts w:ascii="Century Schoolbook" w:hAnsi="Century Schoolbook"/>
          <w:sz w:val="27"/>
          <w:szCs w:val="27"/>
        </w:rPr>
        <w:t>.</w:t>
      </w:r>
      <w:r w:rsidRPr="001B41E4" w:rsidR="003271FF">
        <w:rPr>
          <w:rFonts w:ascii="Century Schoolbook" w:hAnsi="Century Schoolbook"/>
          <w:sz w:val="27"/>
          <w:szCs w:val="27"/>
        </w:rPr>
        <w:t xml:space="preserve"> </w:t>
      </w:r>
      <w:r w:rsidR="004F3850">
        <w:rPr>
          <w:rFonts w:ascii="Century Schoolbook" w:hAnsi="Century Schoolbook"/>
          <w:sz w:val="27"/>
          <w:szCs w:val="27"/>
        </w:rPr>
        <w:t xml:space="preserve"> Here, i</w:t>
      </w:r>
      <w:r w:rsidRPr="001B41E4" w:rsidR="003271FF">
        <w:rPr>
          <w:rFonts w:ascii="Century Schoolbook" w:hAnsi="Century Schoolbook"/>
          <w:sz w:val="27"/>
          <w:szCs w:val="27"/>
        </w:rPr>
        <w:t xml:space="preserve">t seems possible that had the City Council heard petitioners’ objections to the BIDs at the </w:t>
      </w:r>
      <w:r w:rsidRPr="001B41E4" w:rsidR="008445F7">
        <w:rPr>
          <w:rFonts w:ascii="Century Schoolbook" w:hAnsi="Century Schoolbook"/>
          <w:sz w:val="27"/>
          <w:szCs w:val="27"/>
        </w:rPr>
        <w:t xml:space="preserve">appropriate </w:t>
      </w:r>
      <w:r w:rsidRPr="001B41E4" w:rsidR="003271FF">
        <w:rPr>
          <w:rFonts w:ascii="Century Schoolbook" w:hAnsi="Century Schoolbook"/>
          <w:sz w:val="27"/>
          <w:szCs w:val="27"/>
        </w:rPr>
        <w:t xml:space="preserve">public hearings, that body could have removed their properties from the districts, decided not to renew the BIDs, maintained the arrangements provided for in the 2013 settlement agreements, or otherwise afforded petitioners relief that might have averted these proceedings.  </w:t>
      </w:r>
      <w:r w:rsidR="00C6761A">
        <w:rPr>
          <w:rFonts w:ascii="Century Schoolbook" w:hAnsi="Century Schoolbook"/>
          <w:sz w:val="27"/>
          <w:szCs w:val="27"/>
        </w:rPr>
        <w:t xml:space="preserve">Our analysis therefore must proceed on a somewhat different plane from the one on which </w:t>
      </w:r>
      <w:r w:rsidRPr="00C6761A" w:rsidR="00C6761A">
        <w:rPr>
          <w:rFonts w:ascii="Century Schoolbook" w:hAnsi="Century Schoolbook"/>
          <w:i/>
          <w:iCs/>
          <w:sz w:val="27"/>
          <w:szCs w:val="27"/>
        </w:rPr>
        <w:t>Plantier</w:t>
      </w:r>
      <w:r w:rsidR="00C6761A">
        <w:rPr>
          <w:rFonts w:ascii="Century Schoolbook" w:hAnsi="Century Schoolbook"/>
          <w:sz w:val="27"/>
          <w:szCs w:val="27"/>
        </w:rPr>
        <w:t xml:space="preserve"> was decided.</w:t>
      </w:r>
    </w:p>
    <w:p w:rsidR="00AC5FDD" w:rsidRPr="001B41E4" w:rsidP="0023145B" w14:paraId="1E06659C" w14:textId="11852348">
      <w:pPr>
        <w:pStyle w:val="ListParagraph"/>
        <w:keepNext/>
        <w:keepLines/>
        <w:numPr>
          <w:ilvl w:val="0"/>
          <w:numId w:val="11"/>
        </w:numPr>
        <w:ind w:left="1440"/>
        <w:rPr>
          <w:i/>
          <w:iCs/>
        </w:rPr>
      </w:pPr>
      <w:r>
        <w:rPr>
          <w:i/>
          <w:iCs/>
        </w:rPr>
        <w:t xml:space="preserve">Provision of an </w:t>
      </w:r>
      <w:r w:rsidRPr="001B41E4" w:rsidR="00AB4D6A">
        <w:rPr>
          <w:i/>
          <w:iCs/>
        </w:rPr>
        <w:t xml:space="preserve">Opportunity to Comment </w:t>
      </w:r>
      <w:r w:rsidR="00884DF1">
        <w:rPr>
          <w:i/>
          <w:iCs/>
        </w:rPr>
        <w:t xml:space="preserve">on a BID </w:t>
      </w:r>
      <w:r w:rsidRPr="001B41E4" w:rsidR="008D0AC7">
        <w:rPr>
          <w:i/>
          <w:iCs/>
        </w:rPr>
        <w:t xml:space="preserve">Does Not </w:t>
      </w:r>
      <w:r>
        <w:rPr>
          <w:i/>
          <w:iCs/>
        </w:rPr>
        <w:t>Convey</w:t>
      </w:r>
      <w:r w:rsidRPr="001B41E4" w:rsidR="00492A70">
        <w:rPr>
          <w:i/>
          <w:iCs/>
        </w:rPr>
        <w:t xml:space="preserve"> </w:t>
      </w:r>
      <w:r w:rsidRPr="001B41E4" w:rsidR="00371A38">
        <w:rPr>
          <w:i/>
          <w:iCs/>
        </w:rPr>
        <w:t xml:space="preserve">an </w:t>
      </w:r>
      <w:r>
        <w:rPr>
          <w:i/>
          <w:iCs/>
        </w:rPr>
        <w:t>Issue Exhaustion Requirement</w:t>
      </w:r>
      <w:r w:rsidRPr="001B41E4" w:rsidR="00F627D9">
        <w:rPr>
          <w:i/>
          <w:iCs/>
        </w:rPr>
        <w:t xml:space="preserve"> </w:t>
      </w:r>
    </w:p>
    <w:p w:rsidR="00C6761A" w:rsidRPr="001B41E4" w:rsidP="00C6761A" w14:paraId="3D8EC426" w14:textId="588AD190">
      <w:pPr>
        <w:pStyle w:val="xmsonormal"/>
        <w:shd w:val="clear" w:color="auto" w:fill="FFFFFF"/>
        <w:spacing w:before="0" w:beforeAutospacing="0" w:afterAutospacing="0" w:line="400" w:lineRule="exact"/>
        <w:ind w:firstLine="720"/>
        <w:rPr>
          <w:rFonts w:ascii="Century Schoolbook" w:hAnsi="Century Schoolbook"/>
          <w:sz w:val="27"/>
          <w:szCs w:val="26"/>
        </w:rPr>
      </w:pPr>
      <w:r w:rsidRPr="00C6761A">
        <w:rPr>
          <w:rFonts w:ascii="Century Schoolbook" w:hAnsi="Century Schoolbook"/>
          <w:sz w:val="27"/>
          <w:szCs w:val="27"/>
        </w:rPr>
        <w:t xml:space="preserve">We begin </w:t>
      </w:r>
      <w:r w:rsidRPr="00C6761A" w:rsidR="00C16396">
        <w:rPr>
          <w:rFonts w:ascii="Century Schoolbook" w:hAnsi="Century Schoolbook"/>
          <w:sz w:val="27"/>
          <w:szCs w:val="27"/>
        </w:rPr>
        <w:t>our assessment of the constitutional and statutory scheme by</w:t>
      </w:r>
      <w:r w:rsidRPr="00C6761A">
        <w:rPr>
          <w:rFonts w:ascii="Century Schoolbook" w:hAnsi="Century Schoolbook"/>
          <w:sz w:val="27"/>
          <w:szCs w:val="27"/>
        </w:rPr>
        <w:t xml:space="preserve"> </w:t>
      </w:r>
      <w:r w:rsidRPr="00C6761A">
        <w:rPr>
          <w:rFonts w:ascii="Century Schoolbook" w:hAnsi="Century Schoolbook"/>
          <w:sz w:val="27"/>
          <w:szCs w:val="27"/>
          <w:shd w:val="clear" w:color="auto" w:fill="FFFFFF"/>
        </w:rPr>
        <w:t>recognizing that</w:t>
      </w:r>
      <w:r w:rsidRPr="001B41E4">
        <w:rPr>
          <w:rFonts w:ascii="Century Schoolbook" w:hAnsi="Century Schoolbook"/>
          <w:sz w:val="27"/>
          <w:shd w:val="clear" w:color="auto" w:fill="FFFFFF"/>
        </w:rPr>
        <w:t xml:space="preserve"> the relevant provisions of Proposition 218 and the surrounding statutes do not explicitly limit judicial actions to issues previously presented to an agency in the same way that certain other laws do.  But</w:t>
      </w:r>
      <w:r w:rsidR="0055798A">
        <w:rPr>
          <w:rFonts w:ascii="Century Schoolbook" w:hAnsi="Century Schoolbook"/>
          <w:sz w:val="27"/>
          <w:shd w:val="clear" w:color="auto" w:fill="FFFFFF"/>
        </w:rPr>
        <w:t xml:space="preserve">, again, </w:t>
      </w:r>
      <w:r w:rsidRPr="001B41E4">
        <w:rPr>
          <w:rFonts w:ascii="Century Schoolbook" w:hAnsi="Century Schoolbook"/>
          <w:sz w:val="27"/>
          <w:shd w:val="clear" w:color="auto" w:fill="FFFFFF"/>
        </w:rPr>
        <w:t>the absence of such language is not determinative of the exhaustion question</w:t>
      </w:r>
      <w:r w:rsidR="00E6275D">
        <w:rPr>
          <w:rFonts w:ascii="Century Schoolbook" w:hAnsi="Century Schoolbook"/>
          <w:sz w:val="27"/>
          <w:shd w:val="clear" w:color="auto" w:fill="FFFFFF"/>
        </w:rPr>
        <w:t>.  I</w:t>
      </w:r>
      <w:r w:rsidRPr="001B41E4">
        <w:rPr>
          <w:rFonts w:ascii="Century Schoolbook" w:hAnsi="Century Schoolbook"/>
          <w:sz w:val="27"/>
          <w:shd w:val="clear" w:color="auto" w:fill="FFFFFF"/>
        </w:rPr>
        <w:t xml:space="preserve">f there is a viable remedy, we </w:t>
      </w:r>
      <w:r w:rsidR="008F487C">
        <w:rPr>
          <w:rFonts w:ascii="Century Schoolbook" w:hAnsi="Century Schoolbook"/>
          <w:sz w:val="27"/>
          <w:shd w:val="clear" w:color="auto" w:fill="FFFFFF"/>
        </w:rPr>
        <w:t>may infer</w:t>
      </w:r>
      <w:r w:rsidRPr="001B41E4">
        <w:rPr>
          <w:rFonts w:ascii="Century Schoolbook" w:hAnsi="Century Schoolbook"/>
          <w:sz w:val="27"/>
          <w:shd w:val="clear" w:color="auto" w:fill="FFFFFF"/>
        </w:rPr>
        <w:t xml:space="preserve"> an exhaustion requirement not appearing on the face of a statute </w:t>
      </w:r>
      <w:r w:rsidR="00316B3A">
        <w:rPr>
          <w:rFonts w:ascii="Century Schoolbook" w:hAnsi="Century Schoolbook"/>
          <w:sz w:val="27"/>
          <w:shd w:val="clear" w:color="auto" w:fill="FFFFFF"/>
        </w:rPr>
        <w:t>upon appropriate consideration of whether such an inference</w:t>
      </w:r>
      <w:r w:rsidRPr="001B41E4">
        <w:rPr>
          <w:rFonts w:ascii="Century Schoolbook" w:hAnsi="Century Schoolbook"/>
          <w:sz w:val="27"/>
          <w:shd w:val="clear" w:color="auto" w:fill="FFFFFF"/>
        </w:rPr>
        <w:t xml:space="preserve"> “would comport with the statutory scheme and advance the general purposes served by the exhaustion rule.”  </w:t>
      </w:r>
      <w:r w:rsidRPr="001B41E4">
        <w:rPr>
          <w:rFonts w:ascii="Century Schoolbook" w:hAnsi="Century Schoolbook"/>
          <w:sz w:val="27"/>
          <w:szCs w:val="26"/>
        </w:rPr>
        <w:t>(</w:t>
      </w:r>
      <w:r w:rsidRPr="001B41E4">
        <w:rPr>
          <w:rFonts w:ascii="Century Schoolbook" w:hAnsi="Century Schoolbook"/>
          <w:i/>
          <w:iCs/>
          <w:sz w:val="27"/>
          <w:szCs w:val="27"/>
        </w:rPr>
        <w:t>Williams &amp; Fickett</w:t>
      </w:r>
      <w:r w:rsidRPr="001B41E4">
        <w:rPr>
          <w:rFonts w:ascii="Century Schoolbook" w:hAnsi="Century Schoolbook"/>
          <w:sz w:val="27"/>
          <w:szCs w:val="27"/>
        </w:rPr>
        <w:t xml:space="preserve">, </w:t>
      </w:r>
      <w:r w:rsidRPr="001B41E4">
        <w:rPr>
          <w:rFonts w:ascii="Century Schoolbook" w:hAnsi="Century Schoolbook"/>
          <w:i/>
          <w:iCs/>
          <w:sz w:val="27"/>
          <w:szCs w:val="27"/>
        </w:rPr>
        <w:t>supra</w:t>
      </w:r>
      <w:r w:rsidRPr="001B41E4">
        <w:rPr>
          <w:rFonts w:ascii="Century Schoolbook" w:hAnsi="Century Schoolbook"/>
          <w:sz w:val="27"/>
          <w:szCs w:val="27"/>
        </w:rPr>
        <w:t>, 2 Cal.5th at p. 1274.)</w:t>
      </w:r>
      <w:r w:rsidRPr="001B41E4">
        <w:rPr>
          <w:rFonts w:ascii="Century Schoolbook" w:hAnsi="Century Schoolbook"/>
          <w:sz w:val="27"/>
          <w:szCs w:val="26"/>
        </w:rPr>
        <w:t xml:space="preserve"> </w:t>
      </w:r>
    </w:p>
    <w:p w:rsidR="00E83612" w:rsidRPr="001B41E4" w:rsidP="00C6761A" w14:paraId="30478C67" w14:textId="72962990">
      <w:pPr>
        <w:ind w:firstLine="720"/>
      </w:pPr>
      <w:r>
        <w:rPr>
          <w:szCs w:val="26"/>
        </w:rPr>
        <w:t>We therefore focus, first, upon</w:t>
      </w:r>
      <w:r w:rsidRPr="001B41E4" w:rsidR="00492A70">
        <w:rPr>
          <w:szCs w:val="26"/>
        </w:rPr>
        <w:t xml:space="preserve"> the basic nature of the purported remedy</w:t>
      </w:r>
      <w:r w:rsidR="00BC55F1">
        <w:rPr>
          <w:szCs w:val="26"/>
        </w:rPr>
        <w:t> </w:t>
      </w:r>
      <w:r w:rsidRPr="001B41E4" w:rsidR="00492A70">
        <w:rPr>
          <w:szCs w:val="26"/>
        </w:rPr>
        <w:t>— a noticed opportunity to</w:t>
      </w:r>
      <w:r w:rsidR="00A70DFE">
        <w:rPr>
          <w:szCs w:val="26"/>
        </w:rPr>
        <w:t xml:space="preserve"> participate in a public comment session</w:t>
      </w:r>
      <w:r w:rsidRPr="001B41E4" w:rsidR="00492A70">
        <w:rPr>
          <w:szCs w:val="26"/>
        </w:rPr>
        <w:t xml:space="preserve"> </w:t>
      </w:r>
      <w:r w:rsidR="00A70DFE">
        <w:rPr>
          <w:szCs w:val="26"/>
        </w:rPr>
        <w:t>concerning</w:t>
      </w:r>
      <w:r w:rsidRPr="001B41E4" w:rsidR="00492A70">
        <w:rPr>
          <w:szCs w:val="26"/>
        </w:rPr>
        <w:t xml:space="preserve"> a proposed legislative act </w:t>
      </w:r>
      <w:r w:rsidR="007A2D67">
        <w:rPr>
          <w:szCs w:val="26"/>
        </w:rPr>
        <w:t>under</w:t>
      </w:r>
      <w:r w:rsidRPr="001B41E4" w:rsidR="00492A70">
        <w:rPr>
          <w:szCs w:val="26"/>
        </w:rPr>
        <w:t xml:space="preserve"> consideration by </w:t>
      </w:r>
      <w:r w:rsidRPr="001B41E4" w:rsidR="00081914">
        <w:rPr>
          <w:szCs w:val="26"/>
        </w:rPr>
        <w:t>local officials</w:t>
      </w:r>
      <w:r w:rsidRPr="001B41E4" w:rsidR="00492A70">
        <w:rPr>
          <w:szCs w:val="26"/>
        </w:rPr>
        <w:t xml:space="preserve">.  If </w:t>
      </w:r>
      <w:r w:rsidRPr="001B41E4" w:rsidR="00371A38">
        <w:rPr>
          <w:szCs w:val="26"/>
        </w:rPr>
        <w:t>this chance to comment</w:t>
      </w:r>
      <w:r w:rsidRPr="001B41E4" w:rsidR="00492A70">
        <w:rPr>
          <w:szCs w:val="26"/>
        </w:rPr>
        <w:t xml:space="preserve"> </w:t>
      </w:r>
      <w:r w:rsidRPr="001B41E4" w:rsidR="00371A38">
        <w:rPr>
          <w:szCs w:val="26"/>
        </w:rPr>
        <w:t xml:space="preserve">amounts to </w:t>
      </w:r>
      <w:r w:rsidRPr="001B41E4" w:rsidR="00AC5FDD">
        <w:rPr>
          <w:szCs w:val="26"/>
        </w:rPr>
        <w:t xml:space="preserve">“clearly defined machinery for the submission, evaluation and resolution </w:t>
      </w:r>
      <w:r w:rsidRPr="001B41E4">
        <w:rPr>
          <w:szCs w:val="26"/>
        </w:rPr>
        <w:t xml:space="preserve">of </w:t>
      </w:r>
      <w:r w:rsidRPr="001B41E4" w:rsidR="0097289B">
        <w:rPr>
          <w:szCs w:val="26"/>
        </w:rPr>
        <w:t>complaints”</w:t>
      </w:r>
      <w:r w:rsidRPr="001B41E4">
        <w:rPr>
          <w:szCs w:val="26"/>
        </w:rPr>
        <w:t xml:space="preserve"> </w:t>
      </w:r>
      <w:r w:rsidRPr="001B41E4" w:rsidR="00AC5FDD">
        <w:t>(</w:t>
      </w:r>
      <w:r w:rsidRPr="001B41E4" w:rsidR="00AC5FDD">
        <w:rPr>
          <w:i/>
          <w:iCs/>
        </w:rPr>
        <w:t>Rosenfield</w:t>
      </w:r>
      <w:r w:rsidRPr="001B41E4" w:rsidR="00AC5FDD">
        <w:t xml:space="preserve">, </w:t>
      </w:r>
      <w:r w:rsidRPr="001B41E4" w:rsidR="00AC5FDD">
        <w:rPr>
          <w:i/>
          <w:iCs/>
        </w:rPr>
        <w:t>supra</w:t>
      </w:r>
      <w:r w:rsidRPr="001B41E4" w:rsidR="00AC5FDD">
        <w:t>, 65</w:t>
      </w:r>
      <w:r w:rsidRPr="001B41E4" w:rsidR="007C50E5">
        <w:t> </w:t>
      </w:r>
      <w:r w:rsidRPr="001B41E4" w:rsidR="00AC5FDD">
        <w:t>Cal.2d at p. 566)</w:t>
      </w:r>
      <w:r w:rsidRPr="001B41E4" w:rsidR="00A54EF0">
        <w:t xml:space="preserve">, </w:t>
      </w:r>
      <w:r w:rsidRPr="001B41E4" w:rsidR="00371A38">
        <w:t xml:space="preserve">it could </w:t>
      </w:r>
      <w:r w:rsidRPr="001B41E4" w:rsidR="00C16396">
        <w:t>convey</w:t>
      </w:r>
      <w:r w:rsidR="00FF30D6">
        <w:t xml:space="preserve"> (as the Court of Appeal below found) </w:t>
      </w:r>
      <w:r w:rsidRPr="001B41E4" w:rsidR="00A54EF0">
        <w:t xml:space="preserve">an implied </w:t>
      </w:r>
      <w:r w:rsidRPr="001B41E4" w:rsidR="00C16396">
        <w:t>intent that</w:t>
      </w:r>
      <w:r w:rsidRPr="001B41E4" w:rsidR="00492A70">
        <w:t xml:space="preserve"> </w:t>
      </w:r>
      <w:r w:rsidRPr="001B41E4" w:rsidR="00A54EF0">
        <w:t xml:space="preserve">objections </w:t>
      </w:r>
      <w:r w:rsidRPr="001B41E4" w:rsidR="00371A38">
        <w:t xml:space="preserve">be presented </w:t>
      </w:r>
      <w:r w:rsidRPr="001B41E4" w:rsidR="00A54EF0">
        <w:t xml:space="preserve">to the </w:t>
      </w:r>
      <w:r w:rsidRPr="001B41E4" w:rsidR="00371A38">
        <w:t>relevant agency</w:t>
      </w:r>
      <w:r w:rsidRPr="001B41E4" w:rsidR="00A54EF0">
        <w:t xml:space="preserve"> before </w:t>
      </w:r>
      <w:r w:rsidRPr="001B41E4" w:rsidR="00492A70">
        <w:t xml:space="preserve">they can </w:t>
      </w:r>
      <w:r w:rsidRPr="001B41E4" w:rsidR="00371A38">
        <w:t>be advanced</w:t>
      </w:r>
      <w:r w:rsidRPr="001B41E4" w:rsidR="00A54EF0">
        <w:t xml:space="preserve"> in court</w:t>
      </w:r>
      <w:r w:rsidR="00B72969">
        <w:rPr>
          <w:szCs w:val="26"/>
        </w:rPr>
        <w:t>.</w:t>
      </w:r>
      <w:r w:rsidRPr="001B41E4">
        <w:t xml:space="preserve"> </w:t>
      </w:r>
      <w:r w:rsidRPr="001B41E4" w:rsidR="00FE3A88">
        <w:t xml:space="preserve"> </w:t>
      </w:r>
      <w:r w:rsidRPr="001B41E4" w:rsidR="00492A70">
        <w:t>But</w:t>
      </w:r>
      <w:r w:rsidRPr="001B41E4" w:rsidR="00371A38">
        <w:t xml:space="preserve"> as</w:t>
      </w:r>
      <w:r w:rsidR="001B41E4">
        <w:t xml:space="preserve"> we will</w:t>
      </w:r>
      <w:r w:rsidRPr="001B41E4" w:rsidR="00371A38">
        <w:t xml:space="preserve"> explain,</w:t>
      </w:r>
      <w:r w:rsidRPr="001B41E4" w:rsidR="00492A70">
        <w:t xml:space="preserve"> it is difficult to </w:t>
      </w:r>
      <w:r w:rsidR="001B41E4">
        <w:t>assign such significance to</w:t>
      </w:r>
      <w:r w:rsidRPr="001B41E4" w:rsidR="00492A70">
        <w:t xml:space="preserve"> the </w:t>
      </w:r>
      <w:r w:rsidR="001B41E4">
        <w:t>modest “</w:t>
      </w:r>
      <w:r w:rsidRPr="001B41E4" w:rsidR="00492A70">
        <w:t>machinery</w:t>
      </w:r>
      <w:r w:rsidR="001B41E4">
        <w:t>”</w:t>
      </w:r>
      <w:r w:rsidRPr="001B41E4" w:rsidR="00C16396">
        <w:t xml:space="preserve"> </w:t>
      </w:r>
      <w:r w:rsidRPr="001B41E4" w:rsidR="001B41E4">
        <w:t>(</w:t>
      </w:r>
      <w:r w:rsidR="00BC55F1">
        <w:rPr>
          <w:i/>
          <w:iCs/>
        </w:rPr>
        <w:t>ibid</w:t>
      </w:r>
      <w:r w:rsidR="00BC55F1">
        <w:t>.</w:t>
      </w:r>
      <w:r w:rsidRPr="001B41E4" w:rsidR="001B41E4">
        <w:t>)</w:t>
      </w:r>
      <w:r w:rsidR="001B41E4">
        <w:t xml:space="preserve"> </w:t>
      </w:r>
      <w:r w:rsidRPr="001B41E4" w:rsidR="00941ADE">
        <w:t>that is involved here</w:t>
      </w:r>
      <w:r w:rsidRPr="001B41E4" w:rsidR="00492A70">
        <w:t xml:space="preserve">. </w:t>
      </w:r>
    </w:p>
    <w:p w:rsidR="007B37B2" w:rsidRPr="001B41E4" w:rsidP="007B37B2" w14:paraId="67C36729" w14:textId="420FC1AE">
      <w:pPr>
        <w:ind w:firstLine="720"/>
        <w:rPr>
          <w:szCs w:val="26"/>
        </w:rPr>
      </w:pPr>
      <w:r>
        <w:rPr>
          <w:szCs w:val="26"/>
        </w:rPr>
        <w:t>The</w:t>
      </w:r>
      <w:r w:rsidRPr="001B41E4">
        <w:rPr>
          <w:szCs w:val="26"/>
        </w:rPr>
        <w:t xml:space="preserve"> “machinery</w:t>
      </w:r>
      <w:r w:rsidR="001B41E4">
        <w:rPr>
          <w:szCs w:val="26"/>
        </w:rPr>
        <w:t xml:space="preserve">” </w:t>
      </w:r>
      <w:r>
        <w:rPr>
          <w:szCs w:val="26"/>
        </w:rPr>
        <w:t>associated with the public comment process before us</w:t>
      </w:r>
      <w:r w:rsidR="001B41E4">
        <w:rPr>
          <w:szCs w:val="26"/>
        </w:rPr>
        <w:t xml:space="preserve"> </w:t>
      </w:r>
      <w:r>
        <w:rPr>
          <w:szCs w:val="26"/>
        </w:rPr>
        <w:t xml:space="preserve">is not as </w:t>
      </w:r>
      <w:r w:rsidR="00033FA4">
        <w:rPr>
          <w:szCs w:val="26"/>
        </w:rPr>
        <w:t xml:space="preserve">suggestive of a scheme </w:t>
      </w:r>
      <w:r w:rsidR="007A2D67">
        <w:rPr>
          <w:szCs w:val="26"/>
        </w:rPr>
        <w:t>purposed for</w:t>
      </w:r>
      <w:r w:rsidRPr="001B41E4">
        <w:rPr>
          <w:szCs w:val="26"/>
        </w:rPr>
        <w:t xml:space="preserve"> </w:t>
      </w:r>
      <w:r w:rsidR="001B41E4">
        <w:rPr>
          <w:szCs w:val="26"/>
        </w:rPr>
        <w:t>“</w:t>
      </w:r>
      <w:r w:rsidRPr="001B41E4">
        <w:rPr>
          <w:szCs w:val="26"/>
        </w:rPr>
        <w:t xml:space="preserve">the submission, evaluation and resolution of complaints” </w:t>
      </w:r>
      <w:r w:rsidRPr="001B41E4">
        <w:t>(</w:t>
      </w:r>
      <w:r w:rsidRPr="001B41E4">
        <w:rPr>
          <w:i/>
          <w:iCs/>
        </w:rPr>
        <w:t>Rosenfield</w:t>
      </w:r>
      <w:r w:rsidRPr="001B41E4">
        <w:t xml:space="preserve">, </w:t>
      </w:r>
      <w:r w:rsidRPr="001B41E4">
        <w:rPr>
          <w:i/>
          <w:iCs/>
        </w:rPr>
        <w:t>supra</w:t>
      </w:r>
      <w:r w:rsidRPr="001B41E4">
        <w:t xml:space="preserve">, 65 Cal.2d at p. 566) </w:t>
      </w:r>
      <w:r>
        <w:t>as</w:t>
      </w:r>
      <w:r w:rsidRPr="001B41E4" w:rsidR="00371A38">
        <w:t xml:space="preserve"> </w:t>
      </w:r>
      <w:r w:rsidR="002B7DAD">
        <w:t xml:space="preserve">were </w:t>
      </w:r>
      <w:r>
        <w:t xml:space="preserve">the procedures </w:t>
      </w:r>
      <w:r w:rsidRPr="001B41E4">
        <w:t xml:space="preserve">in </w:t>
      </w:r>
      <w:r>
        <w:t>prior cases</w:t>
      </w:r>
      <w:r w:rsidRPr="001B41E4">
        <w:t xml:space="preserve"> </w:t>
      </w:r>
      <w:r w:rsidR="001B41E4">
        <w:t>in which</w:t>
      </w:r>
      <w:r w:rsidRPr="001B41E4">
        <w:t xml:space="preserve"> we have </w:t>
      </w:r>
      <w:r w:rsidR="008F487C">
        <w:t>recognized</w:t>
      </w:r>
      <w:r w:rsidR="00AA36E4">
        <w:t xml:space="preserve"> an intent to</w:t>
      </w:r>
      <w:r w:rsidRPr="001B41E4">
        <w:t xml:space="preserve"> </w:t>
      </w:r>
      <w:r w:rsidR="00AA36E4">
        <w:t>require</w:t>
      </w:r>
      <w:r w:rsidRPr="001B41E4">
        <w:t xml:space="preserve"> exhaustion.  In </w:t>
      </w:r>
      <w:r w:rsidRPr="001B41E4">
        <w:rPr>
          <w:i/>
          <w:iCs/>
          <w:shd w:val="clear" w:color="auto" w:fill="FFFFFF"/>
        </w:rPr>
        <w:t>Williams &amp; Fickett</w:t>
      </w:r>
      <w:r w:rsidRPr="001B41E4">
        <w:rPr>
          <w:shd w:val="clear" w:color="auto" w:fill="FFFFFF"/>
        </w:rPr>
        <w:t xml:space="preserve">, </w:t>
      </w:r>
      <w:r w:rsidRPr="001B41E4">
        <w:rPr>
          <w:i/>
          <w:iCs/>
          <w:shd w:val="clear" w:color="auto" w:fill="FFFFFF"/>
        </w:rPr>
        <w:t>supra</w:t>
      </w:r>
      <w:r w:rsidRPr="001B41E4">
        <w:rPr>
          <w:shd w:val="clear" w:color="auto" w:fill="FFFFFF"/>
        </w:rPr>
        <w:t xml:space="preserve">, 2 Cal.5th 1258, for example, the </w:t>
      </w:r>
      <w:r w:rsidRPr="001B41E4">
        <w:rPr>
          <w:szCs w:val="26"/>
        </w:rPr>
        <w:t xml:space="preserve">assessment appeal process could </w:t>
      </w:r>
      <w:r w:rsidRPr="001B41E4" w:rsidR="00785D6B">
        <w:rPr>
          <w:szCs w:val="26"/>
        </w:rPr>
        <w:t>include</w:t>
      </w:r>
      <w:r w:rsidRPr="001B41E4">
        <w:rPr>
          <w:szCs w:val="26"/>
        </w:rPr>
        <w:t xml:space="preserve"> an evidentiary hearing, exchanges of information between the taxpayer and the government, examinations under oath, and the collection and introduction of evidence.  (</w:t>
      </w:r>
      <w:r w:rsidRPr="001B41E4">
        <w:rPr>
          <w:i/>
          <w:iCs/>
          <w:szCs w:val="26"/>
        </w:rPr>
        <w:t>Id</w:t>
      </w:r>
      <w:r w:rsidRPr="001B41E4">
        <w:rPr>
          <w:szCs w:val="26"/>
        </w:rPr>
        <w:t xml:space="preserve">., at p. 1269, citing Rev. &amp; Tax. Code, §§ 1603, </w:t>
      </w:r>
      <w:r w:rsidR="006D7B0F">
        <w:rPr>
          <w:szCs w:val="26"/>
        </w:rPr>
        <w:t xml:space="preserve">1605.4, 1605.6, </w:t>
      </w:r>
      <w:r w:rsidRPr="001B41E4">
        <w:rPr>
          <w:szCs w:val="26"/>
        </w:rPr>
        <w:t xml:space="preserve">1606, 1607, 1609, 1609.4, 1609.5, 1610.2.)  </w:t>
      </w:r>
      <w:r w:rsidRPr="001B41E4" w:rsidR="00371A38">
        <w:rPr>
          <w:szCs w:val="26"/>
        </w:rPr>
        <w:t>These relatively robust procedures</w:t>
      </w:r>
      <w:r w:rsidRPr="001B41E4" w:rsidR="00DA485C">
        <w:rPr>
          <w:szCs w:val="26"/>
        </w:rPr>
        <w:t xml:space="preserve">, together with </w:t>
      </w:r>
      <w:r w:rsidR="008B205B">
        <w:rPr>
          <w:szCs w:val="26"/>
        </w:rPr>
        <w:t>another aspect</w:t>
      </w:r>
      <w:r w:rsidRPr="001B41E4" w:rsidR="00DA485C">
        <w:rPr>
          <w:szCs w:val="26"/>
        </w:rPr>
        <w:t xml:space="preserve"> of the statutory scheme</w:t>
      </w:r>
      <w:r w:rsidRPr="001B41E4" w:rsidR="00190923">
        <w:rPr>
          <w:szCs w:val="26"/>
        </w:rPr>
        <w:t xml:space="preserve"> </w:t>
      </w:r>
      <w:r w:rsidR="008B205B">
        <w:rPr>
          <w:szCs w:val="26"/>
        </w:rPr>
        <w:t xml:space="preserve">(to wit, an administrative stipulation process) </w:t>
      </w:r>
      <w:r w:rsidRPr="001B41E4" w:rsidR="00190923">
        <w:rPr>
          <w:szCs w:val="26"/>
        </w:rPr>
        <w:t xml:space="preserve">communicating an expectation that </w:t>
      </w:r>
      <w:r w:rsidR="008F487C">
        <w:rPr>
          <w:szCs w:val="26"/>
        </w:rPr>
        <w:t xml:space="preserve">claims such as the ones we addressed had to be presented to the administrative </w:t>
      </w:r>
      <w:r w:rsidR="00AA36E4">
        <w:rPr>
          <w:szCs w:val="26"/>
        </w:rPr>
        <w:t>body</w:t>
      </w:r>
      <w:r w:rsidR="008F487C">
        <w:rPr>
          <w:szCs w:val="26"/>
        </w:rPr>
        <w:t xml:space="preserve"> in the first instance</w:t>
      </w:r>
      <w:r w:rsidRPr="001B41E4" w:rsidR="00DA485C">
        <w:rPr>
          <w:szCs w:val="26"/>
        </w:rPr>
        <w:t xml:space="preserve">, </w:t>
      </w:r>
      <w:r w:rsidR="0054108F">
        <w:rPr>
          <w:szCs w:val="26"/>
        </w:rPr>
        <w:t xml:space="preserve">supported our conclusion </w:t>
      </w:r>
      <w:r w:rsidR="008F487C">
        <w:rPr>
          <w:szCs w:val="26"/>
        </w:rPr>
        <w:t>that an exhaustion requirement</w:t>
      </w:r>
      <w:r w:rsidR="00AA36E4">
        <w:rPr>
          <w:szCs w:val="26"/>
        </w:rPr>
        <w:t xml:space="preserve"> was intended</w:t>
      </w:r>
      <w:r w:rsidRPr="001B41E4" w:rsidR="00371A38">
        <w:rPr>
          <w:szCs w:val="26"/>
        </w:rPr>
        <w:t xml:space="preserve">.  </w:t>
      </w:r>
      <w:r w:rsidRPr="001B41E4" w:rsidR="003A4B6C">
        <w:rPr>
          <w:szCs w:val="26"/>
        </w:rPr>
        <w:t>(</w:t>
      </w:r>
      <w:r w:rsidRPr="001B41E4" w:rsidR="003A4B6C">
        <w:rPr>
          <w:i/>
          <w:iCs/>
          <w:szCs w:val="26"/>
        </w:rPr>
        <w:t>Williams &amp; Fickett</w:t>
      </w:r>
      <w:r w:rsidRPr="001B41E4" w:rsidR="003A4B6C">
        <w:rPr>
          <w:szCs w:val="26"/>
        </w:rPr>
        <w:t>, 2</w:t>
      </w:r>
      <w:r w:rsidR="007A2D67">
        <w:rPr>
          <w:szCs w:val="26"/>
        </w:rPr>
        <w:t> </w:t>
      </w:r>
      <w:r w:rsidRPr="001B41E4" w:rsidR="003A4B6C">
        <w:rPr>
          <w:szCs w:val="26"/>
        </w:rPr>
        <w:t xml:space="preserve">Cal.5th at </w:t>
      </w:r>
      <w:r w:rsidR="008F487C">
        <w:rPr>
          <w:szCs w:val="26"/>
        </w:rPr>
        <w:t>p</w:t>
      </w:r>
      <w:r w:rsidRPr="001B41E4" w:rsidR="003A4B6C">
        <w:rPr>
          <w:szCs w:val="26"/>
        </w:rPr>
        <w:t>p. 12</w:t>
      </w:r>
      <w:r w:rsidR="008F487C">
        <w:rPr>
          <w:szCs w:val="26"/>
        </w:rPr>
        <w:t>69–1272</w:t>
      </w:r>
      <w:r w:rsidRPr="001B41E4" w:rsidR="00372D81">
        <w:rPr>
          <w:szCs w:val="26"/>
        </w:rPr>
        <w:t xml:space="preserve">; see also </w:t>
      </w:r>
      <w:r w:rsidRPr="001B41E4" w:rsidR="00372D81">
        <w:rPr>
          <w:i/>
          <w:iCs/>
        </w:rPr>
        <w:t>Flores</w:t>
      </w:r>
      <w:r w:rsidRPr="001B41E4" w:rsidR="00372D81">
        <w:t xml:space="preserve">, </w:t>
      </w:r>
      <w:r w:rsidRPr="001B41E4" w:rsidR="00372D81">
        <w:rPr>
          <w:i/>
          <w:iCs/>
        </w:rPr>
        <w:t>supra</w:t>
      </w:r>
      <w:r w:rsidRPr="001B41E4" w:rsidR="00372D81">
        <w:t>, 55 Cal.2d at p. 746</w:t>
      </w:r>
      <w:r w:rsidR="00F064A6">
        <w:t xml:space="preserve"> [inferring an intent to require exhaustion from a “</w:t>
      </w:r>
      <w:r w:rsidRPr="00F064A6" w:rsidR="00F064A6">
        <w:t xml:space="preserve">pervasive </w:t>
      </w:r>
      <w:r w:rsidR="00F064A6">
        <w:t>. . .</w:t>
      </w:r>
      <w:r w:rsidRPr="00F064A6" w:rsidR="00F064A6">
        <w:t xml:space="preserve"> system of administrative procedure</w:t>
      </w:r>
      <w:r w:rsidR="00F064A6">
        <w:t xml:space="preserve">”]; </w:t>
      </w:r>
      <w:r w:rsidRPr="001B41E4" w:rsidR="00D12E85">
        <w:rPr>
          <w:i/>
          <w:iCs/>
          <w:szCs w:val="26"/>
        </w:rPr>
        <w:t xml:space="preserve">San Joaquin etc. Irr. Co. v. Stanislaus </w:t>
      </w:r>
      <w:r w:rsidRPr="001B41E4" w:rsidR="00D12E85">
        <w:rPr>
          <w:szCs w:val="26"/>
        </w:rPr>
        <w:t xml:space="preserve">(1908) 155 Cal. 21, </w:t>
      </w:r>
      <w:r w:rsidR="00D12E85">
        <w:rPr>
          <w:szCs w:val="26"/>
        </w:rPr>
        <w:t xml:space="preserve">26–29 </w:t>
      </w:r>
      <w:r w:rsidR="00F064A6">
        <w:t>[inferring an exhaustion requirement from a statutory petition process that, when initiated, would trigger renewed ratemaking]</w:t>
      </w:r>
      <w:r w:rsidRPr="001B41E4" w:rsidR="00372D81">
        <w:t>.</w:t>
      </w:r>
      <w:r w:rsidRPr="001B41E4" w:rsidR="003A4B6C">
        <w:rPr>
          <w:szCs w:val="26"/>
        </w:rPr>
        <w:t xml:space="preserve">)  </w:t>
      </w:r>
      <w:r w:rsidR="00A57D93">
        <w:rPr>
          <w:szCs w:val="26"/>
        </w:rPr>
        <w:t>T</w:t>
      </w:r>
      <w:r w:rsidRPr="001B41E4" w:rsidR="003A4B6C">
        <w:rPr>
          <w:szCs w:val="26"/>
        </w:rPr>
        <w:t>he full array of</w:t>
      </w:r>
      <w:r w:rsidRPr="001B41E4">
        <w:rPr>
          <w:szCs w:val="26"/>
        </w:rPr>
        <w:t xml:space="preserve"> procedures </w:t>
      </w:r>
      <w:r w:rsidRPr="001B41E4" w:rsidR="005A1752">
        <w:rPr>
          <w:szCs w:val="26"/>
        </w:rPr>
        <w:t>involved</w:t>
      </w:r>
      <w:r w:rsidRPr="001B41E4" w:rsidR="003A4B6C">
        <w:rPr>
          <w:szCs w:val="26"/>
        </w:rPr>
        <w:t xml:space="preserve"> in </w:t>
      </w:r>
      <w:r w:rsidRPr="001B41E4" w:rsidR="003A4B6C">
        <w:rPr>
          <w:i/>
          <w:iCs/>
          <w:szCs w:val="26"/>
        </w:rPr>
        <w:t>Williams &amp; Fickett</w:t>
      </w:r>
      <w:r w:rsidRPr="001B41E4" w:rsidR="003A4B6C">
        <w:rPr>
          <w:szCs w:val="26"/>
        </w:rPr>
        <w:t xml:space="preserve"> </w:t>
      </w:r>
      <w:r w:rsidRPr="001B41E4">
        <w:rPr>
          <w:szCs w:val="26"/>
        </w:rPr>
        <w:t>may not</w:t>
      </w:r>
      <w:r w:rsidRPr="001B41E4" w:rsidR="00372D81">
        <w:rPr>
          <w:szCs w:val="26"/>
        </w:rPr>
        <w:t xml:space="preserve"> all</w:t>
      </w:r>
      <w:r w:rsidRPr="001B41E4">
        <w:rPr>
          <w:szCs w:val="26"/>
        </w:rPr>
        <w:t xml:space="preserve"> be </w:t>
      </w:r>
      <w:r w:rsidR="00033FA4">
        <w:rPr>
          <w:szCs w:val="26"/>
        </w:rPr>
        <w:t>necessary to find that a remedy exists</w:t>
      </w:r>
      <w:r w:rsidR="00264831">
        <w:rPr>
          <w:szCs w:val="26"/>
        </w:rPr>
        <w:t xml:space="preserve"> </w:t>
      </w:r>
      <w:r w:rsidR="00033FA4">
        <w:rPr>
          <w:szCs w:val="26"/>
        </w:rPr>
        <w:t>and must be exhausted prior to suit</w:t>
      </w:r>
      <w:r w:rsidR="00264831">
        <w:rPr>
          <w:szCs w:val="26"/>
        </w:rPr>
        <w:t>.</w:t>
      </w:r>
      <w:r w:rsidR="00842126">
        <w:rPr>
          <w:szCs w:val="26"/>
        </w:rPr>
        <w:t xml:space="preserve"> </w:t>
      </w:r>
      <w:r w:rsidR="00033FA4">
        <w:rPr>
          <w:szCs w:val="26"/>
        </w:rPr>
        <w:t xml:space="preserve"> </w:t>
      </w:r>
      <w:r w:rsidR="00A57D93">
        <w:rPr>
          <w:szCs w:val="26"/>
        </w:rPr>
        <w:t>But</w:t>
      </w:r>
      <w:r w:rsidRPr="001B41E4">
        <w:rPr>
          <w:szCs w:val="26"/>
        </w:rPr>
        <w:t xml:space="preserve"> </w:t>
      </w:r>
      <w:r w:rsidRPr="001B41E4" w:rsidR="005A1752">
        <w:rPr>
          <w:szCs w:val="26"/>
        </w:rPr>
        <w:t xml:space="preserve">the </w:t>
      </w:r>
      <w:r w:rsidR="00264831">
        <w:rPr>
          <w:szCs w:val="26"/>
        </w:rPr>
        <w:t>significant gap between the procedures involved here and those</w:t>
      </w:r>
      <w:r w:rsidR="00A51B8A">
        <w:rPr>
          <w:szCs w:val="26"/>
        </w:rPr>
        <w:t xml:space="preserve"> present</w:t>
      </w:r>
      <w:r w:rsidRPr="001B41E4" w:rsidR="005A1752">
        <w:rPr>
          <w:szCs w:val="26"/>
        </w:rPr>
        <w:t xml:space="preserve"> </w:t>
      </w:r>
      <w:r w:rsidR="00264831">
        <w:rPr>
          <w:szCs w:val="26"/>
        </w:rPr>
        <w:t xml:space="preserve">in </w:t>
      </w:r>
      <w:r w:rsidRPr="00264831" w:rsidR="00264831">
        <w:rPr>
          <w:i/>
          <w:iCs/>
          <w:szCs w:val="26"/>
        </w:rPr>
        <w:t>Williams &amp; Fickett</w:t>
      </w:r>
      <w:r w:rsidR="00264831">
        <w:rPr>
          <w:szCs w:val="26"/>
        </w:rPr>
        <w:t xml:space="preserve"> and other cases in which an</w:t>
      </w:r>
      <w:r w:rsidR="00A57D93">
        <w:rPr>
          <w:szCs w:val="26"/>
        </w:rPr>
        <w:t xml:space="preserve"> exhaustion requirement</w:t>
      </w:r>
      <w:r w:rsidR="00264831">
        <w:rPr>
          <w:szCs w:val="26"/>
        </w:rPr>
        <w:t xml:space="preserve"> has been inferred</w:t>
      </w:r>
      <w:r w:rsidR="00A57D93">
        <w:rPr>
          <w:szCs w:val="26"/>
        </w:rPr>
        <w:t xml:space="preserve"> </w:t>
      </w:r>
      <w:r w:rsidR="00A030E6">
        <w:rPr>
          <w:szCs w:val="26"/>
        </w:rPr>
        <w:t>provides an indication</w:t>
      </w:r>
      <w:r w:rsidRPr="001B41E4">
        <w:rPr>
          <w:szCs w:val="26"/>
        </w:rPr>
        <w:t xml:space="preserve"> that the public comment process</w:t>
      </w:r>
      <w:r w:rsidR="00A57D93">
        <w:rPr>
          <w:szCs w:val="26"/>
        </w:rPr>
        <w:t xml:space="preserve"> we are concerned with</w:t>
      </w:r>
      <w:r w:rsidRPr="001B41E4">
        <w:rPr>
          <w:szCs w:val="26"/>
        </w:rPr>
        <w:t xml:space="preserve"> was not intended to </w:t>
      </w:r>
      <w:r w:rsidR="00A57D93">
        <w:rPr>
          <w:szCs w:val="26"/>
        </w:rPr>
        <w:t>give rise to a broad issue</w:t>
      </w:r>
      <w:r w:rsidR="007A2D67">
        <w:rPr>
          <w:szCs w:val="26"/>
        </w:rPr>
        <w:t xml:space="preserve"> </w:t>
      </w:r>
      <w:r w:rsidR="00A57D93">
        <w:rPr>
          <w:szCs w:val="26"/>
        </w:rPr>
        <w:t>exhaustion requirement</w:t>
      </w:r>
      <w:r w:rsidR="00264831">
        <w:rPr>
          <w:szCs w:val="26"/>
        </w:rPr>
        <w:t>, and should not be regarded as having that effect</w:t>
      </w:r>
      <w:r w:rsidRPr="001B41E4">
        <w:rPr>
          <w:szCs w:val="26"/>
        </w:rPr>
        <w:t xml:space="preserve">.  </w:t>
      </w:r>
    </w:p>
    <w:p w:rsidR="00F30BB6" w:rsidRPr="001B41E4" w:rsidP="00F30BB6" w14:paraId="46801042" w14:textId="49F4EAA7">
      <w:pPr>
        <w:ind w:firstLine="720"/>
        <w:rPr>
          <w:szCs w:val="26"/>
        </w:rPr>
      </w:pPr>
      <w:r>
        <w:t xml:space="preserve">Perhaps most notably, </w:t>
      </w:r>
      <w:r w:rsidR="002072E4">
        <w:t>a public</w:t>
      </w:r>
      <w:r>
        <w:t xml:space="preserve"> comment </w:t>
      </w:r>
      <w:r w:rsidR="002072E4">
        <w:t>session concerning</w:t>
      </w:r>
      <w:r>
        <w:t xml:space="preserve"> a </w:t>
      </w:r>
      <w:r w:rsidR="002072E4">
        <w:t xml:space="preserve">proposed </w:t>
      </w:r>
      <w:r>
        <w:t>legislative act</w:t>
      </w:r>
      <w:r w:rsidR="00264831">
        <w:t>, without more,</w:t>
      </w:r>
      <w:r>
        <w:t xml:space="preserve"> </w:t>
      </w:r>
      <w:r w:rsidR="00264831">
        <w:t xml:space="preserve">is not </w:t>
      </w:r>
      <w:r w:rsidR="00A030E6">
        <w:t xml:space="preserve">obviously </w:t>
      </w:r>
      <w:r w:rsidR="00264831">
        <w:t>geared toward</w:t>
      </w:r>
      <w:r>
        <w:t xml:space="preserve"> the “resolution” of objections such as those raised by petitioners.  </w:t>
      </w:r>
      <w:r w:rsidRPr="001B41E4">
        <w:t>(</w:t>
      </w:r>
      <w:r w:rsidRPr="001B41E4">
        <w:rPr>
          <w:i/>
          <w:iCs/>
        </w:rPr>
        <w:t>Rosenfield</w:t>
      </w:r>
      <w:r w:rsidRPr="001B41E4">
        <w:t xml:space="preserve">, </w:t>
      </w:r>
      <w:r w:rsidRPr="001B41E4">
        <w:rPr>
          <w:i/>
          <w:iCs/>
        </w:rPr>
        <w:t>supra</w:t>
      </w:r>
      <w:r w:rsidRPr="001B41E4">
        <w:t>, 65 Cal.2d at p.</w:t>
      </w:r>
      <w:r w:rsidR="008F3CE1">
        <w:t> </w:t>
      </w:r>
      <w:r w:rsidRPr="001B41E4">
        <w:t>566</w:t>
      </w:r>
      <w:r>
        <w:t>.</w:t>
      </w:r>
      <w:r w:rsidRPr="001B41E4">
        <w:t xml:space="preserve">) </w:t>
      </w:r>
      <w:r>
        <w:t xml:space="preserve"> </w:t>
      </w:r>
      <w:r w:rsidRPr="001B41E4" w:rsidR="00D6272B">
        <w:t xml:space="preserve">In arguing </w:t>
      </w:r>
      <w:r>
        <w:t>the opposite</w:t>
      </w:r>
      <w:r w:rsidRPr="001B41E4" w:rsidR="00D6272B">
        <w:t xml:space="preserve">, respondents assert that the requirement within Proposition 218 that an agency consider all </w:t>
      </w:r>
      <w:r w:rsidRPr="001B41E4">
        <w:t>“protests”</w:t>
      </w:r>
      <w:r w:rsidRPr="001B41E4" w:rsidR="00D6272B">
        <w:t xml:space="preserve"> (art. XIII D, § 4, subd. (e)) provides sufficient assurance that </w:t>
      </w:r>
      <w:r w:rsidRPr="001B41E4">
        <w:t>objections</w:t>
      </w:r>
      <w:r w:rsidR="00264831">
        <w:t xml:space="preserve"> to BIDs</w:t>
      </w:r>
      <w:r w:rsidRPr="001B41E4" w:rsidR="00D6272B">
        <w:t xml:space="preserve"> will be resolved through the application of agency expertise.  </w:t>
      </w:r>
      <w:r w:rsidRPr="001B41E4">
        <w:rPr>
          <w:szCs w:val="26"/>
        </w:rPr>
        <w:t>Their argument proceeds from the position that although the proposition refers only to “protests,” the consideration requirement naturally extends to objections that may be articulated at the hearing, too, as more clearly captured by Implementation Act’s specification that at the hearing on a BID, “</w:t>
      </w:r>
      <w:r w:rsidRPr="001B41E4">
        <w:rPr>
          <w:szCs w:val="22"/>
          <w:shd w:val="clear" w:color="auto" w:fill="FFFFFF"/>
        </w:rPr>
        <w:t>any person shall be permitted to present written or oral testimony” and the agency “shall consider all objections or protests, if any, to the proposed assessment.”</w:t>
      </w:r>
      <w:r w:rsidRPr="001B41E4">
        <w:rPr>
          <w:shd w:val="clear" w:color="auto" w:fill="FFFFFF"/>
        </w:rPr>
        <w:t xml:space="preserve">  </w:t>
      </w:r>
      <w:r w:rsidRPr="001B41E4">
        <w:rPr>
          <w:szCs w:val="22"/>
          <w:shd w:val="clear" w:color="auto" w:fill="FFFFFF"/>
        </w:rPr>
        <w:t xml:space="preserve">(Gov. Code, § 53753, subd. (d).)   </w:t>
      </w:r>
    </w:p>
    <w:p w:rsidR="00F30BB6" w:rsidRPr="001B41E4" w:rsidP="00F30BB6" w14:paraId="2B8D0034" w14:textId="3F619934">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 xml:space="preserve">As a threshold matter, we agree with respondents’ interpretation of </w:t>
      </w:r>
      <w:r w:rsidR="00B4590C">
        <w:rPr>
          <w:rFonts w:ascii="Century Schoolbook" w:hAnsi="Century Schoolbook"/>
          <w:sz w:val="27"/>
          <w:szCs w:val="26"/>
        </w:rPr>
        <w:t xml:space="preserve">section 4 of </w:t>
      </w:r>
      <w:r w:rsidRPr="001B41E4">
        <w:rPr>
          <w:rFonts w:ascii="Century Schoolbook" w:hAnsi="Century Schoolbook"/>
          <w:sz w:val="27"/>
          <w:szCs w:val="26"/>
        </w:rPr>
        <w:t xml:space="preserve">Proposition 218 </w:t>
      </w:r>
      <w:r w:rsidR="00B4590C">
        <w:rPr>
          <w:rFonts w:ascii="Century Schoolbook" w:hAnsi="Century Schoolbook"/>
          <w:sz w:val="27"/>
          <w:szCs w:val="26"/>
        </w:rPr>
        <w:t xml:space="preserve">and section 53753, subdivision (d) of the Government Code </w:t>
      </w:r>
      <w:r w:rsidRPr="001B41E4">
        <w:rPr>
          <w:rFonts w:ascii="Century Schoolbook" w:hAnsi="Century Schoolbook"/>
          <w:sz w:val="27"/>
          <w:szCs w:val="26"/>
        </w:rPr>
        <w:t xml:space="preserve">as requiring consideration of both protest votes </w:t>
      </w:r>
      <w:r w:rsidRPr="00B4590C">
        <w:rPr>
          <w:rFonts w:ascii="Century Schoolbook" w:hAnsi="Century Schoolbook"/>
          <w:sz w:val="27"/>
          <w:szCs w:val="26"/>
        </w:rPr>
        <w:t>and</w:t>
      </w:r>
      <w:r w:rsidRPr="001B41E4">
        <w:rPr>
          <w:rFonts w:ascii="Century Schoolbook" w:hAnsi="Century Schoolbook"/>
          <w:sz w:val="27"/>
          <w:szCs w:val="26"/>
        </w:rPr>
        <w:t xml:space="preserve"> any oral and written objections presented at the hearing on an assessment.  This construction </w:t>
      </w:r>
      <w:r w:rsidR="00537E7F">
        <w:rPr>
          <w:rFonts w:ascii="Century Schoolbook" w:hAnsi="Century Schoolbook"/>
          <w:sz w:val="27"/>
          <w:szCs w:val="26"/>
        </w:rPr>
        <w:t>is in harmony</w:t>
      </w:r>
      <w:r w:rsidRPr="001B41E4">
        <w:rPr>
          <w:rFonts w:ascii="Century Schoolbook" w:hAnsi="Century Schoolbook"/>
          <w:sz w:val="27"/>
          <w:szCs w:val="26"/>
        </w:rPr>
        <w:t xml:space="preserve"> with </w:t>
      </w:r>
      <w:r w:rsidR="00B4590C">
        <w:rPr>
          <w:rFonts w:ascii="Century Schoolbook" w:hAnsi="Century Schoolbook"/>
          <w:sz w:val="27"/>
          <w:szCs w:val="26"/>
        </w:rPr>
        <w:t xml:space="preserve">our </w:t>
      </w:r>
      <w:r w:rsidR="00537E7F">
        <w:rPr>
          <w:rFonts w:ascii="Century Schoolbook" w:hAnsi="Century Schoolbook"/>
          <w:sz w:val="27"/>
          <w:szCs w:val="26"/>
        </w:rPr>
        <w:t>interpretation</w:t>
      </w:r>
      <w:r w:rsidR="00B4590C">
        <w:rPr>
          <w:rFonts w:ascii="Century Schoolbook" w:hAnsi="Century Schoolbook"/>
          <w:sz w:val="27"/>
          <w:szCs w:val="26"/>
        </w:rPr>
        <w:t xml:space="preserve"> of</w:t>
      </w:r>
      <w:r w:rsidRPr="001B41E4">
        <w:rPr>
          <w:rFonts w:ascii="Century Schoolbook" w:hAnsi="Century Schoolbook"/>
          <w:sz w:val="27"/>
          <w:szCs w:val="26"/>
        </w:rPr>
        <w:t xml:space="preserve"> section 6 of </w:t>
      </w:r>
      <w:r w:rsidR="00B4590C">
        <w:rPr>
          <w:rFonts w:ascii="Century Schoolbook" w:hAnsi="Century Schoolbook"/>
          <w:sz w:val="27"/>
          <w:szCs w:val="26"/>
        </w:rPr>
        <w:t xml:space="preserve">Proposition 218 </w:t>
      </w:r>
      <w:r w:rsidRPr="001B41E4">
        <w:rPr>
          <w:rFonts w:ascii="Century Schoolbook" w:hAnsi="Century Schoolbook"/>
          <w:sz w:val="27"/>
          <w:szCs w:val="26"/>
        </w:rPr>
        <w:t xml:space="preserve">in </w:t>
      </w:r>
      <w:r w:rsidRPr="001B41E4">
        <w:rPr>
          <w:rFonts w:ascii="Century Schoolbook" w:hAnsi="Century Schoolbook"/>
          <w:i/>
          <w:iCs/>
          <w:sz w:val="27"/>
          <w:szCs w:val="26"/>
        </w:rPr>
        <w:t>Plantier</w:t>
      </w:r>
      <w:r w:rsidRPr="001B41E4">
        <w:rPr>
          <w:rFonts w:ascii="Century Schoolbook" w:hAnsi="Century Schoolbook"/>
          <w:sz w:val="27"/>
          <w:szCs w:val="26"/>
        </w:rPr>
        <w:t xml:space="preserve">, </w:t>
      </w:r>
      <w:r w:rsidRPr="001B41E4">
        <w:rPr>
          <w:rFonts w:ascii="Century Schoolbook" w:hAnsi="Century Schoolbook"/>
          <w:i/>
          <w:iCs/>
          <w:sz w:val="27"/>
          <w:szCs w:val="26"/>
        </w:rPr>
        <w:t>supra</w:t>
      </w:r>
      <w:r w:rsidRPr="001B41E4">
        <w:rPr>
          <w:rFonts w:ascii="Century Schoolbook" w:hAnsi="Century Schoolbook"/>
          <w:sz w:val="27"/>
          <w:szCs w:val="26"/>
        </w:rPr>
        <w:t>, 7 Cal.5th 372.  There, we determined that “[t]he requirement to ‘consider all protests’ (art. XIII D, § 6, subd. (a)(2)) at a Proposition 218 hearing compels an agency</w:t>
      </w:r>
      <w:r w:rsidR="00842126">
        <w:rPr>
          <w:rFonts w:ascii="Century Schoolbook" w:hAnsi="Century Schoolbook"/>
          <w:sz w:val="27"/>
          <w:szCs w:val="26"/>
        </w:rPr>
        <w:t xml:space="preserve"> </w:t>
      </w:r>
      <w:r w:rsidR="006D7B0F">
        <w:rPr>
          <w:rFonts w:ascii="Century Schoolbook" w:hAnsi="Century Schoolbook"/>
          <w:sz w:val="27"/>
          <w:szCs w:val="26"/>
        </w:rPr>
        <w:t xml:space="preserve">to </w:t>
      </w:r>
      <w:r w:rsidR="00842126">
        <w:rPr>
          <w:rFonts w:ascii="Century Schoolbook" w:hAnsi="Century Schoolbook"/>
          <w:sz w:val="27"/>
          <w:szCs w:val="26"/>
        </w:rPr>
        <w:t>not only</w:t>
      </w:r>
      <w:r w:rsidRPr="001B41E4">
        <w:rPr>
          <w:rFonts w:ascii="Century Schoolbook" w:hAnsi="Century Schoolbook"/>
          <w:sz w:val="27"/>
          <w:szCs w:val="26"/>
        </w:rPr>
        <w:t xml:space="preserve"> receive written protests and hear oral ones, but</w:t>
      </w:r>
      <w:r w:rsidR="00842126">
        <w:rPr>
          <w:rFonts w:ascii="Century Schoolbook" w:hAnsi="Century Schoolbook"/>
          <w:sz w:val="27"/>
          <w:szCs w:val="26"/>
        </w:rPr>
        <w:t xml:space="preserve"> </w:t>
      </w:r>
      <w:r w:rsidRPr="001B41E4">
        <w:rPr>
          <w:rFonts w:ascii="Century Schoolbook" w:hAnsi="Century Schoolbook"/>
          <w:sz w:val="27"/>
          <w:szCs w:val="26"/>
        </w:rPr>
        <w:t>to take all protests into account when deciding whether to approve the proposed fee, even if the written protest</w:t>
      </w:r>
      <w:r w:rsidR="00BB0B7D">
        <w:rPr>
          <w:rFonts w:ascii="Century Schoolbook" w:hAnsi="Century Schoolbook"/>
          <w:sz w:val="27"/>
          <w:szCs w:val="26"/>
        </w:rPr>
        <w:t>e</w:t>
      </w:r>
      <w:r w:rsidRPr="001B41E4">
        <w:rPr>
          <w:rFonts w:ascii="Century Schoolbook" w:hAnsi="Century Schoolbook"/>
          <w:sz w:val="27"/>
          <w:szCs w:val="26"/>
        </w:rPr>
        <w:t>rs do not constitute a majority.”  (</w:t>
      </w:r>
      <w:r w:rsidRPr="001B41E4" w:rsidR="00A57D93">
        <w:rPr>
          <w:rFonts w:ascii="Century Schoolbook" w:hAnsi="Century Schoolbook"/>
          <w:i/>
          <w:iCs/>
          <w:sz w:val="27"/>
          <w:szCs w:val="26"/>
        </w:rPr>
        <w:t>Plantier</w:t>
      </w:r>
      <w:r w:rsidRPr="001B41E4">
        <w:rPr>
          <w:rFonts w:ascii="Century Schoolbook" w:hAnsi="Century Schoolbook"/>
          <w:sz w:val="27"/>
          <w:szCs w:val="26"/>
        </w:rPr>
        <w:t xml:space="preserve">, at p. 386.)  </w:t>
      </w:r>
    </w:p>
    <w:p w:rsidR="00D6272B" w:rsidRPr="001B41E4" w:rsidP="00F30BB6" w14:paraId="1F9D5BA8" w14:textId="66CCE775">
      <w:pPr>
        <w:pStyle w:val="xmsonormal"/>
        <w:shd w:val="clear" w:color="auto" w:fill="FFFFFF"/>
        <w:spacing w:before="0" w:beforeAutospacing="0" w:afterAutospacing="0" w:line="400" w:lineRule="exact"/>
        <w:ind w:firstLine="720"/>
        <w:rPr>
          <w:rFonts w:ascii="Century Schoolbook" w:hAnsi="Century Schoolbook"/>
          <w:sz w:val="27"/>
          <w:szCs w:val="27"/>
        </w:rPr>
      </w:pPr>
      <w:r w:rsidRPr="001B41E4">
        <w:rPr>
          <w:rFonts w:ascii="Century Schoolbook" w:hAnsi="Century Schoolbook"/>
          <w:sz w:val="27"/>
          <w:shd w:val="clear" w:color="auto" w:fill="FFFFFF"/>
        </w:rPr>
        <w:t xml:space="preserve">Yet even if respondents </w:t>
      </w:r>
      <w:r w:rsidR="00B4590C">
        <w:rPr>
          <w:rFonts w:ascii="Century Schoolbook" w:hAnsi="Century Schoolbook"/>
          <w:sz w:val="27"/>
          <w:shd w:val="clear" w:color="auto" w:fill="FFFFFF"/>
        </w:rPr>
        <w:t xml:space="preserve">are correct </w:t>
      </w:r>
      <w:r w:rsidRPr="001B41E4">
        <w:rPr>
          <w:rFonts w:ascii="Century Schoolbook" w:hAnsi="Century Schoolbook"/>
          <w:sz w:val="27"/>
          <w:shd w:val="clear" w:color="auto" w:fill="FFFFFF"/>
        </w:rPr>
        <w:t xml:space="preserve">in this one respect, that does not settle the more fundamental question of whether the process here had to be exhausted through the presentation of </w:t>
      </w:r>
      <w:r w:rsidR="002B7DAD">
        <w:rPr>
          <w:rFonts w:ascii="Century Schoolbook" w:hAnsi="Century Schoolbook"/>
          <w:sz w:val="27"/>
          <w:shd w:val="clear" w:color="auto" w:fill="FFFFFF"/>
        </w:rPr>
        <w:t xml:space="preserve">specific </w:t>
      </w:r>
      <w:r w:rsidRPr="001B41E4">
        <w:rPr>
          <w:rFonts w:ascii="Century Schoolbook" w:hAnsi="Century Schoolbook"/>
          <w:sz w:val="27"/>
          <w:shd w:val="clear" w:color="auto" w:fill="FFFFFF"/>
        </w:rPr>
        <w:t xml:space="preserve">objections at the appropriate public </w:t>
      </w:r>
      <w:r w:rsidRPr="001B41E4">
        <w:rPr>
          <w:rFonts w:ascii="Century Schoolbook" w:hAnsi="Century Schoolbook"/>
          <w:sz w:val="27"/>
          <w:szCs w:val="27"/>
          <w:shd w:val="clear" w:color="auto" w:fill="FFFFFF"/>
        </w:rPr>
        <w:t xml:space="preserve">hearing.  </w:t>
      </w:r>
      <w:r w:rsidR="00A57D93">
        <w:rPr>
          <w:rFonts w:ascii="Century Schoolbook" w:hAnsi="Century Schoolbook"/>
          <w:sz w:val="27"/>
          <w:szCs w:val="27"/>
          <w:shd w:val="clear" w:color="auto" w:fill="FFFFFF"/>
        </w:rPr>
        <w:t>On this issue, we find it significant that</w:t>
      </w:r>
      <w:r w:rsidRPr="001B41E4">
        <w:rPr>
          <w:rFonts w:ascii="Century Schoolbook" w:hAnsi="Century Schoolbook"/>
          <w:sz w:val="27"/>
          <w:szCs w:val="27"/>
        </w:rPr>
        <w:t xml:space="preserve"> a requirement that objections be </w:t>
      </w:r>
      <w:r w:rsidRPr="00B4590C">
        <w:rPr>
          <w:rFonts w:ascii="Century Schoolbook" w:hAnsi="Century Schoolbook"/>
          <w:i/>
          <w:iCs/>
          <w:sz w:val="27"/>
          <w:szCs w:val="27"/>
        </w:rPr>
        <w:t>considered</w:t>
      </w:r>
      <w:r w:rsidRPr="001B41E4">
        <w:rPr>
          <w:rFonts w:ascii="Century Schoolbook" w:hAnsi="Century Schoolbook"/>
          <w:sz w:val="27"/>
          <w:szCs w:val="27"/>
        </w:rPr>
        <w:t>, by itself,</w:t>
      </w:r>
      <w:r w:rsidRPr="001B41E4">
        <w:rPr>
          <w:rFonts w:ascii="Century Schoolbook" w:hAnsi="Century Schoolbook"/>
          <w:sz w:val="27"/>
          <w:szCs w:val="27"/>
        </w:rPr>
        <w:t xml:space="preserve"> </w:t>
      </w:r>
      <w:r w:rsidRPr="001B41E4">
        <w:rPr>
          <w:rFonts w:ascii="Century Schoolbook" w:hAnsi="Century Schoolbook"/>
          <w:sz w:val="27"/>
          <w:szCs w:val="27"/>
        </w:rPr>
        <w:t>places</w:t>
      </w:r>
      <w:r w:rsidRPr="001B41E4">
        <w:rPr>
          <w:rFonts w:ascii="Century Schoolbook" w:hAnsi="Century Schoolbook"/>
          <w:sz w:val="27"/>
          <w:szCs w:val="27"/>
        </w:rPr>
        <w:t xml:space="preserve"> no legal obligation upon an agency to actually </w:t>
      </w:r>
      <w:r w:rsidRPr="00B4590C">
        <w:rPr>
          <w:rFonts w:ascii="Century Schoolbook" w:hAnsi="Century Schoolbook"/>
          <w:i/>
          <w:iCs/>
          <w:sz w:val="27"/>
          <w:szCs w:val="27"/>
        </w:rPr>
        <w:t>respond</w:t>
      </w:r>
      <w:r w:rsidRPr="001B41E4">
        <w:rPr>
          <w:rFonts w:ascii="Century Schoolbook" w:hAnsi="Century Schoolbook"/>
          <w:sz w:val="27"/>
          <w:szCs w:val="27"/>
        </w:rPr>
        <w:t xml:space="preserve"> to whatever comments it might receive.  (See </w:t>
      </w:r>
      <w:r w:rsidRPr="001B41E4">
        <w:rPr>
          <w:rFonts w:ascii="Century Schoolbook" w:hAnsi="Century Schoolbook"/>
          <w:i/>
          <w:iCs/>
          <w:sz w:val="27"/>
          <w:szCs w:val="27"/>
        </w:rPr>
        <w:t>Lindelli</w:t>
      </w:r>
      <w:r w:rsidRPr="001B41E4">
        <w:rPr>
          <w:rFonts w:ascii="Century Schoolbook" w:hAnsi="Century Schoolbook"/>
          <w:sz w:val="27"/>
          <w:szCs w:val="27"/>
        </w:rPr>
        <w:t xml:space="preserve">, </w:t>
      </w:r>
      <w:r w:rsidRPr="001B41E4">
        <w:rPr>
          <w:rFonts w:ascii="Century Schoolbook" w:hAnsi="Century Schoolbook"/>
          <w:i/>
          <w:iCs/>
          <w:sz w:val="27"/>
          <w:szCs w:val="27"/>
        </w:rPr>
        <w:t>supra</w:t>
      </w:r>
      <w:r w:rsidRPr="001B41E4">
        <w:rPr>
          <w:rFonts w:ascii="Century Schoolbook" w:hAnsi="Century Schoolbook"/>
          <w:sz w:val="27"/>
          <w:szCs w:val="27"/>
        </w:rPr>
        <w:t xml:space="preserve">, 111 Cal.App.4th at p. 1106; </w:t>
      </w:r>
      <w:r w:rsidRPr="001B41E4" w:rsidR="00941ADE">
        <w:rPr>
          <w:rFonts w:ascii="Century Schoolbook" w:hAnsi="Century Schoolbook"/>
          <w:i/>
          <w:iCs/>
          <w:sz w:val="27"/>
          <w:szCs w:val="27"/>
        </w:rPr>
        <w:t>City of Coachella</w:t>
      </w:r>
      <w:r w:rsidRPr="001B41E4" w:rsidR="00941ADE">
        <w:rPr>
          <w:rFonts w:ascii="Century Schoolbook" w:hAnsi="Century Schoolbook"/>
          <w:sz w:val="27"/>
          <w:szCs w:val="27"/>
        </w:rPr>
        <w:t xml:space="preserve">, </w:t>
      </w:r>
      <w:r w:rsidRPr="00BB0B7D" w:rsidR="00BB0B7D">
        <w:rPr>
          <w:rFonts w:ascii="Century Schoolbook" w:hAnsi="Century Schoolbook"/>
          <w:i/>
          <w:iCs/>
          <w:sz w:val="27"/>
          <w:szCs w:val="27"/>
        </w:rPr>
        <w:t>supra</w:t>
      </w:r>
      <w:r w:rsidR="00BB0B7D">
        <w:rPr>
          <w:rFonts w:ascii="Century Schoolbook" w:hAnsi="Century Schoolbook"/>
          <w:sz w:val="27"/>
          <w:szCs w:val="27"/>
        </w:rPr>
        <w:t xml:space="preserve">, </w:t>
      </w:r>
      <w:r w:rsidRPr="001B41E4" w:rsidR="00941ADE">
        <w:rPr>
          <w:rFonts w:ascii="Century Schoolbook" w:hAnsi="Century Schoolbook"/>
          <w:sz w:val="27"/>
          <w:szCs w:val="27"/>
        </w:rPr>
        <w:t>210 Cal.App.3d at p. 1287</w:t>
      </w:r>
      <w:r w:rsidRPr="001B41E4">
        <w:rPr>
          <w:rFonts w:ascii="Century Schoolbook" w:hAnsi="Century Schoolbook"/>
          <w:sz w:val="27"/>
          <w:szCs w:val="27"/>
        </w:rPr>
        <w:t>.)  A</w:t>
      </w:r>
      <w:r w:rsidR="00A57D93">
        <w:rPr>
          <w:rFonts w:ascii="Century Schoolbook" w:hAnsi="Century Schoolbook"/>
          <w:sz w:val="27"/>
          <w:szCs w:val="27"/>
        </w:rPr>
        <w:t>nd a</w:t>
      </w:r>
      <w:r w:rsidRPr="001B41E4">
        <w:rPr>
          <w:rFonts w:ascii="Century Schoolbook" w:hAnsi="Century Schoolbook"/>
          <w:sz w:val="27"/>
          <w:szCs w:val="27"/>
        </w:rPr>
        <w:t xml:space="preserve">s we explained in </w:t>
      </w:r>
      <w:r w:rsidRPr="001B41E4">
        <w:rPr>
          <w:rFonts w:ascii="Century Schoolbook" w:hAnsi="Century Schoolbook"/>
          <w:i/>
          <w:iCs/>
          <w:sz w:val="27"/>
          <w:szCs w:val="27"/>
        </w:rPr>
        <w:t>Plantier</w:t>
      </w:r>
      <w:r w:rsidRPr="001B41E4">
        <w:rPr>
          <w:rFonts w:ascii="Century Schoolbook" w:hAnsi="Century Schoolbook"/>
          <w:sz w:val="27"/>
          <w:szCs w:val="27"/>
        </w:rPr>
        <w:t xml:space="preserve">, </w:t>
      </w:r>
      <w:r w:rsidRPr="001B41E4">
        <w:rPr>
          <w:rFonts w:ascii="Century Schoolbook" w:hAnsi="Century Schoolbook"/>
          <w:i/>
          <w:iCs/>
          <w:sz w:val="27"/>
          <w:szCs w:val="27"/>
        </w:rPr>
        <w:t>supra</w:t>
      </w:r>
      <w:r w:rsidRPr="001B41E4">
        <w:rPr>
          <w:rFonts w:ascii="Century Schoolbook" w:hAnsi="Century Schoolbook"/>
          <w:sz w:val="27"/>
          <w:szCs w:val="27"/>
        </w:rPr>
        <w:t xml:space="preserve">, 7 Cal.5th at page 386, “nothing in Proposition 218 or the legislation implementing it defines </w:t>
      </w:r>
      <w:r w:rsidRPr="001B41E4">
        <w:rPr>
          <w:rFonts w:ascii="Century Schoolbook" w:hAnsi="Century Schoolbook"/>
          <w:i/>
          <w:iCs/>
          <w:sz w:val="27"/>
          <w:szCs w:val="27"/>
        </w:rPr>
        <w:t>what level</w:t>
      </w:r>
      <w:r w:rsidRPr="001B41E4">
        <w:rPr>
          <w:rFonts w:ascii="Century Schoolbook" w:hAnsi="Century Schoolbook"/>
          <w:sz w:val="27"/>
          <w:szCs w:val="27"/>
        </w:rPr>
        <w:t xml:space="preserve"> of consideration must be given” to these protests.  (Italics added.)  If anything, Proposition 218’s specification that protests are to be considered “[a]t the </w:t>
      </w:r>
      <w:r w:rsidR="00BB0B7D">
        <w:rPr>
          <w:rFonts w:ascii="Century Schoolbook" w:hAnsi="Century Schoolbook"/>
          <w:sz w:val="27"/>
          <w:szCs w:val="27"/>
        </w:rPr>
        <w:t xml:space="preserve">public </w:t>
      </w:r>
      <w:r w:rsidRPr="001B41E4">
        <w:rPr>
          <w:rFonts w:ascii="Century Schoolbook" w:hAnsi="Century Schoolbook"/>
          <w:sz w:val="27"/>
          <w:szCs w:val="27"/>
        </w:rPr>
        <w:t>hearing”</w:t>
      </w:r>
      <w:r w:rsidR="00B4590C">
        <w:rPr>
          <w:rFonts w:ascii="Century Schoolbook" w:hAnsi="Century Schoolbook"/>
          <w:sz w:val="27"/>
          <w:szCs w:val="27"/>
        </w:rPr>
        <w:t xml:space="preserve"> (a</w:t>
      </w:r>
      <w:r w:rsidRPr="001B41E4" w:rsidR="00B4590C">
        <w:rPr>
          <w:rFonts w:ascii="Century Schoolbook" w:hAnsi="Century Schoolbook"/>
          <w:sz w:val="27"/>
          <w:szCs w:val="27"/>
        </w:rPr>
        <w:t>rt. XIII D, § 4, subd. (e)</w:t>
      </w:r>
      <w:r w:rsidR="00B4590C">
        <w:rPr>
          <w:rFonts w:ascii="Century Schoolbook" w:hAnsi="Century Schoolbook"/>
          <w:sz w:val="27"/>
          <w:szCs w:val="27"/>
        </w:rPr>
        <w:t>)</w:t>
      </w:r>
      <w:r w:rsidRPr="001B41E4">
        <w:rPr>
          <w:rFonts w:ascii="Century Schoolbook" w:hAnsi="Century Schoolbook"/>
          <w:sz w:val="27"/>
          <w:szCs w:val="27"/>
        </w:rPr>
        <w:t xml:space="preserve"> suggests that the voters did not expect especially careful parsing of any detailed critiques that might be presented in that setting.  (</w:t>
      </w:r>
      <w:r w:rsidR="00B4590C">
        <w:rPr>
          <w:rFonts w:ascii="Century Schoolbook" w:hAnsi="Century Schoolbook"/>
          <w:sz w:val="27"/>
          <w:szCs w:val="27"/>
        </w:rPr>
        <w:t xml:space="preserve">See </w:t>
      </w:r>
      <w:r w:rsidRPr="00B4590C" w:rsidR="00B4590C">
        <w:rPr>
          <w:rFonts w:ascii="Century Schoolbook" w:hAnsi="Century Schoolbook"/>
          <w:i/>
          <w:iCs/>
          <w:sz w:val="27"/>
          <w:szCs w:val="27"/>
        </w:rPr>
        <w:t>Plantier</w:t>
      </w:r>
      <w:r w:rsidR="00B4590C">
        <w:rPr>
          <w:rFonts w:ascii="Century Schoolbook" w:hAnsi="Century Schoolbook"/>
          <w:sz w:val="27"/>
          <w:szCs w:val="27"/>
        </w:rPr>
        <w:t>, at p. 386</w:t>
      </w:r>
      <w:r w:rsidRPr="001B41E4">
        <w:rPr>
          <w:rFonts w:ascii="Century Schoolbook" w:hAnsi="Century Schoolbook"/>
          <w:sz w:val="27"/>
          <w:szCs w:val="27"/>
        </w:rPr>
        <w:t>.)</w:t>
      </w:r>
      <w:r w:rsidRPr="001B41E4" w:rsidR="0097289B">
        <w:rPr>
          <w:rFonts w:ascii="Century Schoolbook" w:hAnsi="Century Schoolbook"/>
          <w:sz w:val="27"/>
          <w:szCs w:val="27"/>
        </w:rPr>
        <w:t xml:space="preserve">  </w:t>
      </w:r>
      <w:r w:rsidR="00A030E6">
        <w:rPr>
          <w:rFonts w:ascii="Century Schoolbook" w:hAnsi="Century Schoolbook"/>
          <w:sz w:val="27"/>
          <w:szCs w:val="27"/>
        </w:rPr>
        <w:t>Lacking</w:t>
      </w:r>
      <w:r w:rsidR="00B4590C">
        <w:rPr>
          <w:rFonts w:ascii="Century Schoolbook" w:hAnsi="Century Schoolbook"/>
          <w:sz w:val="27"/>
          <w:szCs w:val="27"/>
        </w:rPr>
        <w:t xml:space="preserve"> more</w:t>
      </w:r>
      <w:r w:rsidR="00A57D93">
        <w:rPr>
          <w:rFonts w:ascii="Century Schoolbook" w:hAnsi="Century Schoolbook"/>
          <w:sz w:val="27"/>
          <w:szCs w:val="27"/>
        </w:rPr>
        <w:t>, t</w:t>
      </w:r>
      <w:r w:rsidRPr="001B41E4" w:rsidR="003003C4">
        <w:rPr>
          <w:rFonts w:ascii="Century Schoolbook" w:hAnsi="Century Schoolbook"/>
          <w:sz w:val="27"/>
          <w:szCs w:val="27"/>
        </w:rPr>
        <w:t xml:space="preserve">he requirement </w:t>
      </w:r>
      <w:r w:rsidR="00B4590C">
        <w:rPr>
          <w:rFonts w:ascii="Century Schoolbook" w:hAnsi="Century Schoolbook"/>
          <w:sz w:val="27"/>
          <w:szCs w:val="27"/>
        </w:rPr>
        <w:t xml:space="preserve">within the constitutional and statutory scheme </w:t>
      </w:r>
      <w:r w:rsidRPr="001B41E4" w:rsidR="003003C4">
        <w:rPr>
          <w:rFonts w:ascii="Century Schoolbook" w:hAnsi="Century Schoolbook"/>
          <w:sz w:val="27"/>
          <w:szCs w:val="27"/>
        </w:rPr>
        <w:t>that objection</w:t>
      </w:r>
      <w:r w:rsidR="00B4590C">
        <w:rPr>
          <w:rFonts w:ascii="Century Schoolbook" w:hAnsi="Century Schoolbook"/>
          <w:sz w:val="27"/>
          <w:szCs w:val="27"/>
        </w:rPr>
        <w:t>s</w:t>
      </w:r>
      <w:r w:rsidR="00A57D93">
        <w:rPr>
          <w:rFonts w:ascii="Century Schoolbook" w:hAnsi="Century Schoolbook"/>
          <w:sz w:val="27"/>
          <w:szCs w:val="27"/>
        </w:rPr>
        <w:t xml:space="preserve"> </w:t>
      </w:r>
      <w:r w:rsidR="00A030E6">
        <w:rPr>
          <w:rFonts w:ascii="Century Schoolbook" w:hAnsi="Century Schoolbook"/>
          <w:sz w:val="27"/>
          <w:szCs w:val="27"/>
        </w:rPr>
        <w:t xml:space="preserve">to a BID </w:t>
      </w:r>
      <w:r w:rsidR="00A57D93">
        <w:rPr>
          <w:rFonts w:ascii="Century Schoolbook" w:hAnsi="Century Schoolbook"/>
          <w:sz w:val="27"/>
          <w:szCs w:val="27"/>
        </w:rPr>
        <w:t>be considered by an agency</w:t>
      </w:r>
      <w:r w:rsidR="002B7DAD">
        <w:rPr>
          <w:rFonts w:ascii="Century Schoolbook" w:hAnsi="Century Schoolbook"/>
          <w:sz w:val="27"/>
          <w:szCs w:val="27"/>
        </w:rPr>
        <w:t xml:space="preserve"> at the appropriate hearing</w:t>
      </w:r>
      <w:r w:rsidRPr="001B41E4" w:rsidR="003003C4">
        <w:rPr>
          <w:rFonts w:ascii="Century Schoolbook" w:hAnsi="Century Schoolbook"/>
          <w:sz w:val="27"/>
          <w:szCs w:val="27"/>
        </w:rPr>
        <w:t xml:space="preserve"> does not </w:t>
      </w:r>
      <w:r w:rsidR="00A030E6">
        <w:rPr>
          <w:rFonts w:ascii="Century Schoolbook" w:hAnsi="Century Schoolbook"/>
          <w:sz w:val="27"/>
          <w:szCs w:val="27"/>
        </w:rPr>
        <w:t>involve</w:t>
      </w:r>
      <w:r w:rsidRPr="001B41E4" w:rsidR="003003C4">
        <w:rPr>
          <w:rFonts w:ascii="Century Schoolbook" w:hAnsi="Century Schoolbook"/>
          <w:sz w:val="27"/>
          <w:szCs w:val="27"/>
        </w:rPr>
        <w:t xml:space="preserve"> “clearly defined machinery” conducive to the “resolution of complaints” (</w:t>
      </w:r>
      <w:r w:rsidRPr="001B41E4" w:rsidR="003003C4">
        <w:rPr>
          <w:rFonts w:ascii="Century Schoolbook" w:hAnsi="Century Schoolbook"/>
          <w:i/>
          <w:iCs/>
          <w:sz w:val="27"/>
          <w:szCs w:val="27"/>
        </w:rPr>
        <w:t>Rosenfield</w:t>
      </w:r>
      <w:r w:rsidRPr="001B41E4" w:rsidR="003003C4">
        <w:rPr>
          <w:rFonts w:ascii="Century Schoolbook" w:hAnsi="Century Schoolbook"/>
          <w:sz w:val="27"/>
          <w:szCs w:val="27"/>
        </w:rPr>
        <w:t xml:space="preserve">, </w:t>
      </w:r>
      <w:r w:rsidRPr="001B41E4" w:rsidR="003003C4">
        <w:rPr>
          <w:rFonts w:ascii="Century Schoolbook" w:hAnsi="Century Schoolbook"/>
          <w:i/>
          <w:iCs/>
          <w:sz w:val="27"/>
          <w:szCs w:val="27"/>
        </w:rPr>
        <w:t>supra</w:t>
      </w:r>
      <w:r w:rsidRPr="001B41E4" w:rsidR="003003C4">
        <w:rPr>
          <w:rFonts w:ascii="Century Schoolbook" w:hAnsi="Century Schoolbook"/>
          <w:sz w:val="27"/>
          <w:szCs w:val="27"/>
        </w:rPr>
        <w:t>, 65 Cal.2d at p.</w:t>
      </w:r>
      <w:r w:rsidR="00A030E6">
        <w:rPr>
          <w:rFonts w:ascii="Century Schoolbook" w:hAnsi="Century Schoolbook"/>
          <w:sz w:val="27"/>
          <w:szCs w:val="27"/>
        </w:rPr>
        <w:t> </w:t>
      </w:r>
      <w:r w:rsidRPr="001B41E4" w:rsidR="003003C4">
        <w:rPr>
          <w:rFonts w:ascii="Century Schoolbook" w:hAnsi="Century Schoolbook"/>
          <w:sz w:val="27"/>
          <w:szCs w:val="27"/>
        </w:rPr>
        <w:t xml:space="preserve">566) </w:t>
      </w:r>
      <w:r w:rsidR="00A030E6">
        <w:rPr>
          <w:rFonts w:ascii="Century Schoolbook" w:hAnsi="Century Schoolbook"/>
          <w:sz w:val="27"/>
          <w:szCs w:val="27"/>
        </w:rPr>
        <w:t xml:space="preserve">comparable to </w:t>
      </w:r>
      <w:r w:rsidRPr="001B41E4" w:rsidR="003003C4">
        <w:rPr>
          <w:rFonts w:ascii="Century Schoolbook" w:hAnsi="Century Schoolbook"/>
          <w:sz w:val="27"/>
          <w:szCs w:val="27"/>
        </w:rPr>
        <w:t>that</w:t>
      </w:r>
      <w:r w:rsidR="00A030E6">
        <w:rPr>
          <w:rFonts w:ascii="Century Schoolbook" w:hAnsi="Century Schoolbook"/>
          <w:sz w:val="27"/>
          <w:szCs w:val="27"/>
        </w:rPr>
        <w:t xml:space="preserve"> which</w:t>
      </w:r>
      <w:r w:rsidRPr="001B41E4" w:rsidR="003003C4">
        <w:rPr>
          <w:rFonts w:ascii="Century Schoolbook" w:hAnsi="Century Schoolbook"/>
          <w:sz w:val="27"/>
          <w:szCs w:val="27"/>
        </w:rPr>
        <w:t xml:space="preserve"> has in other instances </w:t>
      </w:r>
      <w:r w:rsidR="00A57D93">
        <w:rPr>
          <w:rFonts w:ascii="Century Schoolbook" w:hAnsi="Century Schoolbook"/>
          <w:sz w:val="27"/>
          <w:szCs w:val="27"/>
        </w:rPr>
        <w:t>provided a</w:t>
      </w:r>
      <w:r w:rsidR="00A030E6">
        <w:rPr>
          <w:rFonts w:ascii="Century Schoolbook" w:hAnsi="Century Schoolbook"/>
          <w:sz w:val="27"/>
          <w:szCs w:val="27"/>
        </w:rPr>
        <w:t xml:space="preserve"> sufficient </w:t>
      </w:r>
      <w:r w:rsidR="00A57D93">
        <w:rPr>
          <w:rFonts w:ascii="Century Schoolbook" w:hAnsi="Century Schoolbook"/>
          <w:sz w:val="27"/>
          <w:szCs w:val="27"/>
        </w:rPr>
        <w:t xml:space="preserve">basis for </w:t>
      </w:r>
      <w:r w:rsidR="00552BBC">
        <w:rPr>
          <w:rFonts w:ascii="Century Schoolbook" w:hAnsi="Century Schoolbook"/>
          <w:sz w:val="27"/>
          <w:szCs w:val="27"/>
        </w:rPr>
        <w:t>recognizing</w:t>
      </w:r>
      <w:r w:rsidR="00A57D93">
        <w:rPr>
          <w:rFonts w:ascii="Century Schoolbook" w:hAnsi="Century Schoolbook"/>
          <w:sz w:val="27"/>
          <w:szCs w:val="27"/>
        </w:rPr>
        <w:t xml:space="preserve"> an exhaustion requirement</w:t>
      </w:r>
      <w:r w:rsidRPr="001B41E4" w:rsidR="003003C4">
        <w:rPr>
          <w:rFonts w:ascii="Century Schoolbook" w:hAnsi="Century Schoolbook"/>
          <w:sz w:val="27"/>
          <w:szCs w:val="27"/>
        </w:rPr>
        <w:t>.</w:t>
      </w:r>
      <w:r>
        <w:rPr>
          <w:rStyle w:val="FootnoteReference"/>
          <w:bCs/>
          <w:szCs w:val="27"/>
        </w:rPr>
        <w:footnoteReference w:id="10"/>
      </w:r>
    </w:p>
    <w:p w:rsidR="00956E0E" w:rsidP="00956E0E" w14:paraId="666EBAF3" w14:textId="07C99E68">
      <w:pPr>
        <w:ind w:firstLine="720"/>
        <w:rPr>
          <w:szCs w:val="27"/>
        </w:rPr>
      </w:pPr>
      <w:r w:rsidRPr="001B41E4">
        <w:rPr>
          <w:szCs w:val="27"/>
        </w:rPr>
        <w:t xml:space="preserve">Nor is there </w:t>
      </w:r>
      <w:r w:rsidR="009501F7">
        <w:rPr>
          <w:szCs w:val="27"/>
        </w:rPr>
        <w:t>good</w:t>
      </w:r>
      <w:r w:rsidRPr="001B41E4">
        <w:rPr>
          <w:szCs w:val="27"/>
        </w:rPr>
        <w:t xml:space="preserve"> reason to infer</w:t>
      </w:r>
      <w:r w:rsidR="00B648EA">
        <w:rPr>
          <w:szCs w:val="27"/>
        </w:rPr>
        <w:t xml:space="preserve"> </w:t>
      </w:r>
      <w:r w:rsidRPr="001B41E4">
        <w:rPr>
          <w:szCs w:val="27"/>
        </w:rPr>
        <w:t>that the electorate</w:t>
      </w:r>
      <w:r w:rsidRPr="001B41E4">
        <w:t xml:space="preserve"> and lawmakers regarded </w:t>
      </w:r>
      <w:r w:rsidR="001F0779">
        <w:t>the</w:t>
      </w:r>
      <w:r w:rsidRPr="001B41E4" w:rsidR="00D6272B">
        <w:t xml:space="preserve"> noticed</w:t>
      </w:r>
      <w:r w:rsidRPr="001B41E4">
        <w:t xml:space="preserve"> opportunity to </w:t>
      </w:r>
      <w:r w:rsidR="00B648EA">
        <w:t xml:space="preserve">participate in a public </w:t>
      </w:r>
      <w:r w:rsidRPr="001B41E4">
        <w:t xml:space="preserve">comment </w:t>
      </w:r>
      <w:r w:rsidR="00B648EA">
        <w:t>session regarding</w:t>
      </w:r>
      <w:r w:rsidRPr="001B41E4">
        <w:t xml:space="preserve"> a</w:t>
      </w:r>
      <w:r w:rsidR="00B648EA">
        <w:t xml:space="preserve"> proposed</w:t>
      </w:r>
      <w:r w:rsidRPr="001B41E4">
        <w:t xml:space="preserve"> BID</w:t>
      </w:r>
      <w:r w:rsidR="001F0779">
        <w:t xml:space="preserve"> </w:t>
      </w:r>
      <w:r w:rsidRPr="001B41E4">
        <w:t>as</w:t>
      </w:r>
      <w:r w:rsidR="00A57D93">
        <w:t xml:space="preserve"> </w:t>
      </w:r>
      <w:r w:rsidRPr="001B41E4" w:rsidR="00D6272B">
        <w:t>a procedure</w:t>
      </w:r>
      <w:r w:rsidRPr="001B41E4">
        <w:t xml:space="preserve"> that must be exhausted</w:t>
      </w:r>
      <w:r w:rsidR="008F487C">
        <w:t>,</w:t>
      </w:r>
      <w:r w:rsidRPr="001B41E4" w:rsidR="003A4B6C">
        <w:t xml:space="preserve"> </w:t>
      </w:r>
      <w:r w:rsidRPr="001B41E4">
        <w:t xml:space="preserve">notwithstanding </w:t>
      </w:r>
      <w:r w:rsidR="00D55427">
        <w:t>this process’s</w:t>
      </w:r>
      <w:r w:rsidR="001A0D84">
        <w:t xml:space="preserve"> </w:t>
      </w:r>
      <w:r w:rsidRPr="001B41E4">
        <w:t>limitations as a</w:t>
      </w:r>
      <w:r w:rsidRPr="001B41E4" w:rsidR="003A4B6C">
        <w:t xml:space="preserve">n avenue </w:t>
      </w:r>
      <w:r w:rsidRPr="001B41E4">
        <w:t xml:space="preserve">for the </w:t>
      </w:r>
      <w:r w:rsidRPr="001B41E4">
        <w:rPr>
          <w:szCs w:val="26"/>
        </w:rPr>
        <w:t>“submission, evaluation and resolution of complaints</w:t>
      </w:r>
      <w:r w:rsidRPr="001B41E4" w:rsidR="0097289B">
        <w:rPr>
          <w:szCs w:val="26"/>
        </w:rPr>
        <w:t>.</w:t>
      </w:r>
      <w:r w:rsidRPr="001B41E4">
        <w:rPr>
          <w:szCs w:val="26"/>
        </w:rPr>
        <w:t xml:space="preserve">” </w:t>
      </w:r>
      <w:r w:rsidRPr="001B41E4" w:rsidR="0097289B">
        <w:rPr>
          <w:szCs w:val="26"/>
        </w:rPr>
        <w:t xml:space="preserve"> </w:t>
      </w:r>
      <w:r w:rsidRPr="001B41E4">
        <w:t>(</w:t>
      </w:r>
      <w:r w:rsidRPr="001B41E4">
        <w:rPr>
          <w:i/>
          <w:iCs/>
        </w:rPr>
        <w:t>Rosenfield</w:t>
      </w:r>
      <w:r w:rsidRPr="001B41E4">
        <w:t xml:space="preserve">, </w:t>
      </w:r>
      <w:r w:rsidRPr="001B41E4">
        <w:rPr>
          <w:i/>
          <w:iCs/>
        </w:rPr>
        <w:t>supra</w:t>
      </w:r>
      <w:r w:rsidRPr="001B41E4">
        <w:t>, 65 Cal.2d at p.</w:t>
      </w:r>
      <w:r w:rsidR="00B648EA">
        <w:t> </w:t>
      </w:r>
      <w:r w:rsidRPr="001B41E4">
        <w:t>566</w:t>
      </w:r>
      <w:r w:rsidRPr="001B41E4" w:rsidR="0097289B">
        <w:t>.</w:t>
      </w:r>
      <w:r w:rsidRPr="001B41E4">
        <w:t xml:space="preserve">)  </w:t>
      </w:r>
      <w:r w:rsidR="00552BBC">
        <w:t xml:space="preserve">Unlike the situation in </w:t>
      </w:r>
      <w:r w:rsidRPr="00552BBC" w:rsidR="00552BBC">
        <w:rPr>
          <w:i/>
          <w:iCs/>
        </w:rPr>
        <w:t>Williams &amp; Fickett</w:t>
      </w:r>
      <w:r w:rsidR="00552BBC">
        <w:t xml:space="preserve">, </w:t>
      </w:r>
      <w:r w:rsidRPr="00552BBC" w:rsidR="00552BBC">
        <w:rPr>
          <w:i/>
          <w:iCs/>
        </w:rPr>
        <w:t>supra</w:t>
      </w:r>
      <w:r w:rsidR="00552BBC">
        <w:t>, 2 Cal.5</w:t>
      </w:r>
      <w:r w:rsidRPr="00552BBC" w:rsidR="00552BBC">
        <w:t>th</w:t>
      </w:r>
      <w:r w:rsidR="00552BBC">
        <w:t xml:space="preserve"> 1258, t</w:t>
      </w:r>
      <w:r w:rsidR="008B205B">
        <w:t xml:space="preserve">he constitutional and statutory scheme </w:t>
      </w:r>
      <w:r w:rsidR="00601933">
        <w:t xml:space="preserve">we address </w:t>
      </w:r>
      <w:r w:rsidR="008B205B">
        <w:t xml:space="preserve">here includes nothing </w:t>
      </w:r>
      <w:r w:rsidR="00552BBC">
        <w:t xml:space="preserve">that </w:t>
      </w:r>
      <w:r w:rsidR="008F487C">
        <w:t xml:space="preserve">implicitly </w:t>
      </w:r>
      <w:r w:rsidR="008B205B">
        <w:t>convey</w:t>
      </w:r>
      <w:r w:rsidR="00552BBC">
        <w:t>s</w:t>
      </w:r>
      <w:r w:rsidR="008B205B">
        <w:t xml:space="preserve"> </w:t>
      </w:r>
      <w:r w:rsidR="008F3CE1">
        <w:t>an</w:t>
      </w:r>
      <w:r w:rsidR="008F487C">
        <w:t xml:space="preserve"> </w:t>
      </w:r>
      <w:r w:rsidR="008B205B">
        <w:t xml:space="preserve">expectation that exhaustion </w:t>
      </w:r>
      <w:r w:rsidR="00D55427">
        <w:t>must</w:t>
      </w:r>
      <w:r w:rsidR="008B205B">
        <w:t xml:space="preserve"> occur</w:t>
      </w:r>
      <w:r w:rsidR="00A54874">
        <w:t xml:space="preserve">.  </w:t>
      </w:r>
      <w:r w:rsidR="00AF1A2B">
        <w:t xml:space="preserve">Nor is there any shared understanding that </w:t>
      </w:r>
      <w:r w:rsidR="00AF1A2B">
        <w:rPr>
          <w:szCs w:val="26"/>
        </w:rPr>
        <w:t>t</w:t>
      </w:r>
      <w:r w:rsidR="00B47262">
        <w:rPr>
          <w:szCs w:val="26"/>
        </w:rPr>
        <w:t>he opportunity to</w:t>
      </w:r>
      <w:r w:rsidR="001A0D84">
        <w:rPr>
          <w:szCs w:val="26"/>
        </w:rPr>
        <w:t xml:space="preserve"> appear befo</w:t>
      </w:r>
      <w:r w:rsidR="00A51B8A">
        <w:rPr>
          <w:szCs w:val="26"/>
        </w:rPr>
        <w:t>re</w:t>
      </w:r>
      <w:r w:rsidR="001A0D84">
        <w:rPr>
          <w:szCs w:val="26"/>
        </w:rPr>
        <w:t xml:space="preserve"> decisionmakers</w:t>
      </w:r>
      <w:r w:rsidR="00A51B8A">
        <w:rPr>
          <w:szCs w:val="26"/>
        </w:rPr>
        <w:t xml:space="preserve"> as an interested member of the public</w:t>
      </w:r>
      <w:r w:rsidR="001A0D84">
        <w:rPr>
          <w:szCs w:val="26"/>
        </w:rPr>
        <w:t xml:space="preserve"> to</w:t>
      </w:r>
      <w:r w:rsidR="00B648EA">
        <w:rPr>
          <w:szCs w:val="26"/>
        </w:rPr>
        <w:t xml:space="preserve"> </w:t>
      </w:r>
      <w:r w:rsidR="00B47262">
        <w:rPr>
          <w:szCs w:val="26"/>
        </w:rPr>
        <w:t>praise and encourage</w:t>
      </w:r>
      <w:r w:rsidR="00BB0B7D">
        <w:rPr>
          <w:szCs w:val="26"/>
        </w:rPr>
        <w:t> </w:t>
      </w:r>
      <w:r w:rsidR="00B47262">
        <w:rPr>
          <w:color w:val="333333"/>
          <w:szCs w:val="27"/>
          <w:shd w:val="clear" w:color="auto" w:fill="FFFFFF"/>
        </w:rPr>
        <w:t>—</w:t>
      </w:r>
      <w:r w:rsidR="00B47262">
        <w:rPr>
          <w:szCs w:val="26"/>
        </w:rPr>
        <w:t xml:space="preserve"> or critique and condemn </w:t>
      </w:r>
      <w:r w:rsidR="00B47262">
        <w:rPr>
          <w:color w:val="333333"/>
          <w:szCs w:val="27"/>
          <w:shd w:val="clear" w:color="auto" w:fill="FFFFFF"/>
        </w:rPr>
        <w:t>—</w:t>
      </w:r>
      <w:r w:rsidRPr="001B41E4">
        <w:rPr>
          <w:szCs w:val="26"/>
        </w:rPr>
        <w:t xml:space="preserve"> </w:t>
      </w:r>
      <w:r w:rsidR="004E4D6B">
        <w:rPr>
          <w:szCs w:val="26"/>
        </w:rPr>
        <w:t xml:space="preserve">a </w:t>
      </w:r>
      <w:r w:rsidRPr="001B41E4">
        <w:rPr>
          <w:szCs w:val="26"/>
        </w:rPr>
        <w:t>proposed legislative act</w:t>
      </w:r>
      <w:r w:rsidR="00B648EA">
        <w:rPr>
          <w:szCs w:val="26"/>
        </w:rPr>
        <w:t xml:space="preserve">, </w:t>
      </w:r>
      <w:r w:rsidR="00AF1A2B">
        <w:rPr>
          <w:szCs w:val="26"/>
        </w:rPr>
        <w:t xml:space="preserve">a </w:t>
      </w:r>
      <w:r w:rsidRPr="001B41E4" w:rsidR="00AF1A2B">
        <w:rPr>
          <w:szCs w:val="27"/>
        </w:rPr>
        <w:t xml:space="preserve">basic </w:t>
      </w:r>
      <w:r w:rsidR="00AF1A2B">
        <w:rPr>
          <w:szCs w:val="27"/>
        </w:rPr>
        <w:t>feature</w:t>
      </w:r>
      <w:r w:rsidRPr="001B41E4" w:rsidR="00AF1A2B">
        <w:rPr>
          <w:szCs w:val="27"/>
        </w:rPr>
        <w:t xml:space="preserve"> of </w:t>
      </w:r>
      <w:r w:rsidR="00AF1A2B">
        <w:rPr>
          <w:szCs w:val="27"/>
        </w:rPr>
        <w:t>representative democracy</w:t>
      </w:r>
      <w:r w:rsidRPr="001B41E4" w:rsidR="00AF1A2B">
        <w:rPr>
          <w:szCs w:val="27"/>
        </w:rPr>
        <w:t xml:space="preserve"> in this state </w:t>
      </w:r>
      <w:r w:rsidRPr="001B41E4" w:rsidR="00B648EA">
        <w:rPr>
          <w:szCs w:val="27"/>
        </w:rPr>
        <w:t>(</w:t>
      </w:r>
      <w:r w:rsidR="00B648EA">
        <w:rPr>
          <w:szCs w:val="27"/>
        </w:rPr>
        <w:t>s</w:t>
      </w:r>
      <w:r w:rsidRPr="001B41E4" w:rsidR="00B648EA">
        <w:rPr>
          <w:szCs w:val="27"/>
        </w:rPr>
        <w:t>ee, e.g., Gov. Code, § 54954.3)</w:t>
      </w:r>
      <w:r w:rsidR="006108B3">
        <w:rPr>
          <w:szCs w:val="27"/>
        </w:rPr>
        <w:t>,</w:t>
      </w:r>
      <w:r w:rsidR="00AF1A2B">
        <w:rPr>
          <w:szCs w:val="27"/>
        </w:rPr>
        <w:t xml:space="preserve"> </w:t>
      </w:r>
      <w:r w:rsidR="009501F7">
        <w:rPr>
          <w:szCs w:val="27"/>
        </w:rPr>
        <w:t xml:space="preserve">inherently </w:t>
      </w:r>
      <w:r w:rsidRPr="001B41E4" w:rsidR="001E19C6">
        <w:rPr>
          <w:szCs w:val="27"/>
        </w:rPr>
        <w:t xml:space="preserve">carries a preclusive edge and </w:t>
      </w:r>
      <w:r w:rsidRPr="001B41E4" w:rsidR="003A4B6C">
        <w:rPr>
          <w:szCs w:val="27"/>
        </w:rPr>
        <w:t>must</w:t>
      </w:r>
      <w:r w:rsidRPr="001B41E4" w:rsidR="00372D81">
        <w:rPr>
          <w:szCs w:val="27"/>
        </w:rPr>
        <w:t xml:space="preserve"> in the normal course</w:t>
      </w:r>
      <w:r w:rsidRPr="001B41E4" w:rsidR="003A4B6C">
        <w:rPr>
          <w:szCs w:val="27"/>
        </w:rPr>
        <w:t xml:space="preserve"> be fully exploited</w:t>
      </w:r>
      <w:r w:rsidRPr="001B41E4" w:rsidR="00190923">
        <w:rPr>
          <w:szCs w:val="27"/>
        </w:rPr>
        <w:t xml:space="preserve"> in order </w:t>
      </w:r>
      <w:r w:rsidRPr="001B41E4" w:rsidR="00081914">
        <w:rPr>
          <w:szCs w:val="27"/>
        </w:rPr>
        <w:t xml:space="preserve">to preserve </w:t>
      </w:r>
      <w:r w:rsidR="002B7DAD">
        <w:rPr>
          <w:szCs w:val="27"/>
        </w:rPr>
        <w:t xml:space="preserve">objections </w:t>
      </w:r>
      <w:r w:rsidRPr="001B41E4" w:rsidR="00081914">
        <w:rPr>
          <w:szCs w:val="27"/>
        </w:rPr>
        <w:t>for a later lawsuit</w:t>
      </w:r>
      <w:r w:rsidRPr="001B41E4" w:rsidR="003A4B6C">
        <w:rPr>
          <w:szCs w:val="27"/>
        </w:rPr>
        <w:t xml:space="preserve">. </w:t>
      </w:r>
      <w:r w:rsidRPr="001B41E4" w:rsidR="00081914">
        <w:rPr>
          <w:szCs w:val="27"/>
        </w:rPr>
        <w:t xml:space="preserve"> </w:t>
      </w:r>
    </w:p>
    <w:p w:rsidR="00956E0E" w:rsidRPr="00956E0E" w:rsidP="00956E0E" w14:paraId="7A4DB831" w14:textId="57D8044F">
      <w:pPr>
        <w:ind w:firstLine="720"/>
        <w:rPr>
          <w:szCs w:val="27"/>
        </w:rPr>
      </w:pPr>
      <w:r>
        <w:rPr>
          <w:szCs w:val="27"/>
        </w:rPr>
        <w:t>It follows from the above that we</w:t>
      </w:r>
      <w:r w:rsidR="00B2448D">
        <w:rPr>
          <w:szCs w:val="27"/>
        </w:rPr>
        <w:t xml:space="preserve"> cannot readily infer an intent that the public comment process set out in Proposition 218 and the relevant statutes </w:t>
      </w:r>
      <w:r>
        <w:rPr>
          <w:szCs w:val="27"/>
        </w:rPr>
        <w:t>should give</w:t>
      </w:r>
      <w:r w:rsidR="003500A2">
        <w:rPr>
          <w:szCs w:val="27"/>
        </w:rPr>
        <w:t xml:space="preserve"> rise to an</w:t>
      </w:r>
      <w:r>
        <w:rPr>
          <w:szCs w:val="27"/>
        </w:rPr>
        <w:t xml:space="preserve"> issue</w:t>
      </w:r>
      <w:r w:rsidR="003500A2">
        <w:rPr>
          <w:szCs w:val="27"/>
        </w:rPr>
        <w:t xml:space="preserve"> exhaustion requirement</w:t>
      </w:r>
      <w:r>
        <w:rPr>
          <w:szCs w:val="27"/>
        </w:rPr>
        <w:t xml:space="preserve">.  If anything, the </w:t>
      </w:r>
      <w:r w:rsidR="009501F7">
        <w:rPr>
          <w:szCs w:val="27"/>
        </w:rPr>
        <w:t>limited</w:t>
      </w:r>
      <w:r>
        <w:rPr>
          <w:szCs w:val="27"/>
        </w:rPr>
        <w:t xml:space="preserve"> nature of the procedures involved here </w:t>
      </w:r>
      <w:r w:rsidR="009501F7">
        <w:rPr>
          <w:szCs w:val="27"/>
        </w:rPr>
        <w:t>points toward</w:t>
      </w:r>
      <w:r>
        <w:rPr>
          <w:szCs w:val="27"/>
        </w:rPr>
        <w:t xml:space="preserve"> the opposite </w:t>
      </w:r>
      <w:r w:rsidR="009501F7">
        <w:rPr>
          <w:szCs w:val="27"/>
        </w:rPr>
        <w:t>conclusion</w:t>
      </w:r>
      <w:r>
        <w:rPr>
          <w:szCs w:val="27"/>
        </w:rPr>
        <w:t xml:space="preserve">:  that objections to a BID proposal such as those raised by petitioners need not be </w:t>
      </w:r>
      <w:r w:rsidR="00CA2ABB">
        <w:rPr>
          <w:szCs w:val="27"/>
        </w:rPr>
        <w:t>articulate</w:t>
      </w:r>
      <w:r>
        <w:rPr>
          <w:szCs w:val="27"/>
        </w:rPr>
        <w:t xml:space="preserve">d at the </w:t>
      </w:r>
      <w:r w:rsidR="00CA2ABB">
        <w:rPr>
          <w:szCs w:val="27"/>
        </w:rPr>
        <w:t>appropriate</w:t>
      </w:r>
      <w:r>
        <w:rPr>
          <w:szCs w:val="27"/>
        </w:rPr>
        <w:t xml:space="preserve"> public hearing as a prerequisite to their becoming the subjects of suit.  </w:t>
      </w:r>
      <w:r w:rsidR="003500A2">
        <w:rPr>
          <w:szCs w:val="27"/>
        </w:rPr>
        <w:t>And</w:t>
      </w:r>
      <w:r w:rsidR="000A44D3">
        <w:rPr>
          <w:szCs w:val="27"/>
        </w:rPr>
        <w:t xml:space="preserve"> if</w:t>
      </w:r>
      <w:r w:rsidR="00A51B8A">
        <w:rPr>
          <w:szCs w:val="27"/>
        </w:rPr>
        <w:t xml:space="preserve"> we were to assume</w:t>
      </w:r>
      <w:r w:rsidR="000A44D3">
        <w:rPr>
          <w:szCs w:val="27"/>
        </w:rPr>
        <w:t xml:space="preserve"> this </w:t>
      </w:r>
      <w:r w:rsidR="001A0D84">
        <w:rPr>
          <w:szCs w:val="27"/>
        </w:rPr>
        <w:t xml:space="preserve">appraisal of the </w:t>
      </w:r>
      <w:r w:rsidR="00552BBC">
        <w:rPr>
          <w:szCs w:val="27"/>
        </w:rPr>
        <w:t>public comment process</w:t>
      </w:r>
      <w:r w:rsidR="001A0D84">
        <w:rPr>
          <w:szCs w:val="27"/>
        </w:rPr>
        <w:t xml:space="preserve"> is not</w:t>
      </w:r>
      <w:r w:rsidR="001F0779">
        <w:rPr>
          <w:szCs w:val="27"/>
        </w:rPr>
        <w:t xml:space="preserve"> by itself</w:t>
      </w:r>
      <w:r w:rsidR="000A44D3">
        <w:rPr>
          <w:szCs w:val="27"/>
        </w:rPr>
        <w:t xml:space="preserve"> </w:t>
      </w:r>
      <w:r w:rsidR="001F0779">
        <w:rPr>
          <w:szCs w:val="27"/>
        </w:rPr>
        <w:t>determinative</w:t>
      </w:r>
      <w:r w:rsidR="000A44D3">
        <w:rPr>
          <w:szCs w:val="27"/>
        </w:rPr>
        <w:t xml:space="preserve"> of the </w:t>
      </w:r>
      <w:r w:rsidR="00552BBC">
        <w:rPr>
          <w:szCs w:val="27"/>
        </w:rPr>
        <w:t>question</w:t>
      </w:r>
      <w:r w:rsidR="000A44D3">
        <w:rPr>
          <w:szCs w:val="27"/>
        </w:rPr>
        <w:t xml:space="preserve"> before us, as will be explained next</w:t>
      </w:r>
      <w:r w:rsidR="005F5C76">
        <w:rPr>
          <w:szCs w:val="27"/>
        </w:rPr>
        <w:t>,</w:t>
      </w:r>
      <w:r w:rsidR="000A44D3">
        <w:rPr>
          <w:szCs w:val="27"/>
        </w:rPr>
        <w:t xml:space="preserve"> the</w:t>
      </w:r>
      <w:r w:rsidR="00B2448D">
        <w:rPr>
          <w:szCs w:val="27"/>
        </w:rPr>
        <w:t xml:space="preserve"> </w:t>
      </w:r>
      <w:r w:rsidR="001F0779">
        <w:rPr>
          <w:szCs w:val="27"/>
        </w:rPr>
        <w:t>pertinent</w:t>
      </w:r>
      <w:r w:rsidR="00B2448D">
        <w:rPr>
          <w:szCs w:val="27"/>
        </w:rPr>
        <w:t xml:space="preserve"> circumstances </w:t>
      </w:r>
      <w:r w:rsidR="001A0D84">
        <w:rPr>
          <w:szCs w:val="27"/>
        </w:rPr>
        <w:t>cement the outcome insofar as they provide</w:t>
      </w:r>
      <w:r w:rsidR="00A22212">
        <w:rPr>
          <w:szCs w:val="27"/>
        </w:rPr>
        <w:t xml:space="preserve"> no compelling policy </w:t>
      </w:r>
      <w:r>
        <w:rPr>
          <w:szCs w:val="27"/>
        </w:rPr>
        <w:t>arguments for i</w:t>
      </w:r>
      <w:r w:rsidR="00CA2ABB">
        <w:rPr>
          <w:szCs w:val="27"/>
        </w:rPr>
        <w:t>mposing an</w:t>
      </w:r>
      <w:r>
        <w:rPr>
          <w:szCs w:val="27"/>
        </w:rPr>
        <w:t xml:space="preserve"> issue exhaustion </w:t>
      </w:r>
      <w:r w:rsidR="00CA2ABB">
        <w:rPr>
          <w:szCs w:val="27"/>
        </w:rPr>
        <w:t>rule</w:t>
      </w:r>
      <w:r w:rsidR="001A0D84">
        <w:t xml:space="preserve"> in this context.</w:t>
      </w:r>
    </w:p>
    <w:p w:rsidR="00AC5FDD" w:rsidRPr="001B41E4" w:rsidP="0023145B" w14:paraId="3D653323" w14:textId="36F92935">
      <w:pPr>
        <w:pStyle w:val="ListParagraph"/>
        <w:keepNext/>
        <w:keepLines/>
        <w:numPr>
          <w:ilvl w:val="0"/>
          <w:numId w:val="11"/>
        </w:numPr>
        <w:ind w:left="1440"/>
        <w:rPr>
          <w:i/>
          <w:iCs/>
        </w:rPr>
      </w:pPr>
      <w:r w:rsidRPr="001B41E4">
        <w:rPr>
          <w:i/>
          <w:iCs/>
        </w:rPr>
        <w:t xml:space="preserve">The Policy Rationales for Requiring </w:t>
      </w:r>
      <w:r w:rsidR="00CA2ABB">
        <w:rPr>
          <w:i/>
          <w:iCs/>
        </w:rPr>
        <w:t xml:space="preserve">Issue </w:t>
      </w:r>
      <w:r w:rsidRPr="001B41E4">
        <w:rPr>
          <w:i/>
          <w:iCs/>
        </w:rPr>
        <w:t xml:space="preserve">Exhaustion </w:t>
      </w:r>
      <w:r w:rsidR="000A44D3">
        <w:rPr>
          <w:i/>
          <w:iCs/>
        </w:rPr>
        <w:t>A</w:t>
      </w:r>
      <w:r w:rsidRPr="001B41E4">
        <w:rPr>
          <w:i/>
          <w:iCs/>
        </w:rPr>
        <w:t xml:space="preserve">re Not Compelling </w:t>
      </w:r>
      <w:r w:rsidR="00552BBC">
        <w:rPr>
          <w:i/>
          <w:iCs/>
        </w:rPr>
        <w:t>Here</w:t>
      </w:r>
    </w:p>
    <w:p w:rsidR="0045032F" w:rsidRPr="001B41E4" w:rsidP="00A8295C" w14:paraId="70A38630" w14:textId="5109AF1A">
      <w:pPr>
        <w:ind w:firstLine="720"/>
        <w:rPr>
          <w:szCs w:val="26"/>
        </w:rPr>
      </w:pPr>
      <w:r>
        <w:rPr>
          <w:szCs w:val="26"/>
        </w:rPr>
        <w:t>We now consider</w:t>
      </w:r>
      <w:r w:rsidR="00A22212">
        <w:rPr>
          <w:szCs w:val="26"/>
        </w:rPr>
        <w:t xml:space="preserve"> whether recognition of an issue</w:t>
      </w:r>
      <w:r w:rsidR="00CA2ABB">
        <w:rPr>
          <w:szCs w:val="26"/>
        </w:rPr>
        <w:t xml:space="preserve"> </w:t>
      </w:r>
      <w:r w:rsidR="00A22212">
        <w:rPr>
          <w:szCs w:val="26"/>
        </w:rPr>
        <w:t xml:space="preserve">exhaustion requirement </w:t>
      </w:r>
      <w:r w:rsidR="004C416A">
        <w:rPr>
          <w:szCs w:val="26"/>
        </w:rPr>
        <w:t xml:space="preserve">here </w:t>
      </w:r>
      <w:r w:rsidR="00A22212">
        <w:rPr>
          <w:szCs w:val="26"/>
        </w:rPr>
        <w:t>would “</w:t>
      </w:r>
      <w:r w:rsidRPr="001B41E4" w:rsidR="00A22212">
        <w:rPr>
          <w:shd w:val="clear" w:color="auto" w:fill="FFFFFF"/>
        </w:rPr>
        <w:t>advance the general purposes served by the exhaustion rule</w:t>
      </w:r>
      <w:r>
        <w:rPr>
          <w:shd w:val="clear" w:color="auto" w:fill="FFFFFF"/>
        </w:rPr>
        <w:t>.</w:t>
      </w:r>
      <w:r w:rsidRPr="001B41E4" w:rsidR="00A22212">
        <w:rPr>
          <w:shd w:val="clear" w:color="auto" w:fill="FFFFFF"/>
        </w:rPr>
        <w:t>”</w:t>
      </w:r>
      <w:r w:rsidR="00A22212">
        <w:rPr>
          <w:shd w:val="clear" w:color="auto" w:fill="FFFFFF"/>
        </w:rPr>
        <w:t xml:space="preserve"> </w:t>
      </w:r>
      <w:r>
        <w:rPr>
          <w:shd w:val="clear" w:color="auto" w:fill="FFFFFF"/>
        </w:rPr>
        <w:t xml:space="preserve"> </w:t>
      </w:r>
      <w:r w:rsidRPr="001B41E4" w:rsidR="00A22212">
        <w:rPr>
          <w:szCs w:val="26"/>
        </w:rPr>
        <w:t>(</w:t>
      </w:r>
      <w:r w:rsidRPr="001B41E4" w:rsidR="00A22212">
        <w:rPr>
          <w:i/>
          <w:iCs/>
          <w:szCs w:val="27"/>
        </w:rPr>
        <w:t>Williams &amp; Fickett</w:t>
      </w:r>
      <w:r w:rsidRPr="001B41E4" w:rsidR="00A22212">
        <w:rPr>
          <w:szCs w:val="27"/>
        </w:rPr>
        <w:t xml:space="preserve">, </w:t>
      </w:r>
      <w:r w:rsidRPr="001B41E4" w:rsidR="00A22212">
        <w:rPr>
          <w:i/>
          <w:iCs/>
          <w:szCs w:val="27"/>
        </w:rPr>
        <w:t>supra</w:t>
      </w:r>
      <w:r w:rsidRPr="001B41E4" w:rsidR="00A22212">
        <w:rPr>
          <w:szCs w:val="27"/>
        </w:rPr>
        <w:t>, 2 Cal.5th at p. 1274</w:t>
      </w:r>
      <w:r>
        <w:rPr>
          <w:szCs w:val="27"/>
        </w:rPr>
        <w:t>.)  W</w:t>
      </w:r>
      <w:r w:rsidR="00A22212">
        <w:rPr>
          <w:szCs w:val="27"/>
        </w:rPr>
        <w:t xml:space="preserve">e conclude that </w:t>
      </w:r>
      <w:r w:rsidR="00435E6A">
        <w:rPr>
          <w:szCs w:val="26"/>
        </w:rPr>
        <w:t>t</w:t>
      </w:r>
      <w:r w:rsidR="00857923">
        <w:rPr>
          <w:szCs w:val="26"/>
        </w:rPr>
        <w:t xml:space="preserve">he limitations of the procedures </w:t>
      </w:r>
      <w:r>
        <w:rPr>
          <w:szCs w:val="26"/>
        </w:rPr>
        <w:t>we are concerned with</w:t>
      </w:r>
      <w:r w:rsidR="00857923">
        <w:rPr>
          <w:szCs w:val="26"/>
        </w:rPr>
        <w:t xml:space="preserve">, as well as other relevant circumstances, </w:t>
      </w:r>
      <w:r w:rsidR="00435E6A">
        <w:rPr>
          <w:szCs w:val="26"/>
        </w:rPr>
        <w:t xml:space="preserve">reduce the potency of </w:t>
      </w:r>
      <w:r>
        <w:rPr>
          <w:szCs w:val="26"/>
        </w:rPr>
        <w:t>various</w:t>
      </w:r>
      <w:r w:rsidR="00435E6A">
        <w:rPr>
          <w:szCs w:val="26"/>
        </w:rPr>
        <w:t xml:space="preserve"> policy justifications for requiring exhaustion, so that these arguments carry </w:t>
      </w:r>
      <w:r w:rsidRPr="000A44D3" w:rsidR="00435E6A">
        <w:rPr>
          <w:szCs w:val="26"/>
        </w:rPr>
        <w:t>less</w:t>
      </w:r>
      <w:r w:rsidR="00435E6A">
        <w:rPr>
          <w:szCs w:val="26"/>
        </w:rPr>
        <w:t xml:space="preserve"> force than they have in other situations in which an exhaustion requirement has been inferred.  </w:t>
      </w:r>
    </w:p>
    <w:p w:rsidR="006A27EA" w:rsidRPr="001B41E4" w:rsidP="00BF63F4" w14:paraId="366804EF" w14:textId="03F87A15">
      <w:pPr>
        <w:ind w:firstLine="720"/>
        <w:rPr>
          <w:szCs w:val="26"/>
        </w:rPr>
      </w:pPr>
      <w:r>
        <w:rPr>
          <w:szCs w:val="26"/>
        </w:rPr>
        <w:t>Specifically, w</w:t>
      </w:r>
      <w:r w:rsidRPr="001B41E4" w:rsidR="00EC3F21">
        <w:rPr>
          <w:szCs w:val="26"/>
        </w:rPr>
        <w:t>e have explained</w:t>
      </w:r>
      <w:r>
        <w:rPr>
          <w:szCs w:val="26"/>
        </w:rPr>
        <w:t xml:space="preserve"> </w:t>
      </w:r>
      <w:r w:rsidRPr="001B41E4" w:rsidR="00EC3F21">
        <w:rPr>
          <w:szCs w:val="26"/>
        </w:rPr>
        <w:t>that</w:t>
      </w:r>
      <w:r w:rsidRPr="001B41E4" w:rsidR="00674A39">
        <w:rPr>
          <w:szCs w:val="26"/>
        </w:rPr>
        <w:t xml:space="preserve"> </w:t>
      </w:r>
      <w:r w:rsidRPr="001B41E4" w:rsidR="00165B5B">
        <w:rPr>
          <w:szCs w:val="26"/>
        </w:rPr>
        <w:t>exhaustion of an administrative remedy</w:t>
      </w:r>
      <w:r w:rsidRPr="001B41E4" w:rsidR="00674A39">
        <w:rPr>
          <w:szCs w:val="26"/>
        </w:rPr>
        <w:t xml:space="preserve"> can</w:t>
      </w:r>
      <w:r w:rsidRPr="001B41E4" w:rsidR="00165B5B">
        <w:rPr>
          <w:szCs w:val="26"/>
        </w:rPr>
        <w:t xml:space="preserve"> </w:t>
      </w:r>
      <w:r w:rsidRPr="001B41E4" w:rsidR="00EC3F21">
        <w:rPr>
          <w:szCs w:val="26"/>
        </w:rPr>
        <w:t>promote the development of</w:t>
      </w:r>
      <w:r w:rsidRPr="001B41E4" w:rsidR="00600CED">
        <w:rPr>
          <w:szCs w:val="26"/>
        </w:rPr>
        <w:t xml:space="preserve"> a record </w:t>
      </w:r>
      <w:r w:rsidRPr="001B41E4" w:rsidR="00EC3F21">
        <w:rPr>
          <w:szCs w:val="26"/>
        </w:rPr>
        <w:t>suitable for judicial review</w:t>
      </w:r>
      <w:r w:rsidRPr="001B41E4" w:rsidR="00600CED">
        <w:rPr>
          <w:szCs w:val="26"/>
        </w:rPr>
        <w:t>.  (</w:t>
      </w:r>
      <w:r w:rsidRPr="001B41E4" w:rsidR="0025258B">
        <w:rPr>
          <w:szCs w:val="26"/>
        </w:rPr>
        <w:t xml:space="preserve">E.g., </w:t>
      </w:r>
      <w:r w:rsidRPr="001B41E4" w:rsidR="00600CED">
        <w:rPr>
          <w:i/>
          <w:iCs/>
          <w:szCs w:val="26"/>
        </w:rPr>
        <w:t>Westlake</w:t>
      </w:r>
      <w:r w:rsidRPr="001B41E4" w:rsidR="006B7206">
        <w:rPr>
          <w:i/>
          <w:iCs/>
          <w:szCs w:val="26"/>
        </w:rPr>
        <w:t xml:space="preserve"> Community Hosp</w:t>
      </w:r>
      <w:r w:rsidRPr="001B41E4" w:rsidR="00DC3A44">
        <w:rPr>
          <w:i/>
          <w:iCs/>
          <w:szCs w:val="26"/>
        </w:rPr>
        <w:t>.</w:t>
      </w:r>
      <w:r w:rsidRPr="001B41E4" w:rsidR="00DC3A44">
        <w:rPr>
          <w:szCs w:val="26"/>
        </w:rPr>
        <w:t>,</w:t>
      </w:r>
      <w:r w:rsidRPr="001B41E4" w:rsidR="00DC3A44">
        <w:rPr>
          <w:i/>
          <w:iCs/>
          <w:szCs w:val="26"/>
        </w:rPr>
        <w:t xml:space="preserve"> supra</w:t>
      </w:r>
      <w:r w:rsidRPr="001B41E4" w:rsidR="00DC3A44">
        <w:rPr>
          <w:szCs w:val="26"/>
        </w:rPr>
        <w:t>,</w:t>
      </w:r>
      <w:r w:rsidRPr="001B41E4" w:rsidR="00DC3A44">
        <w:rPr>
          <w:i/>
          <w:iCs/>
          <w:szCs w:val="26"/>
        </w:rPr>
        <w:t xml:space="preserve"> </w:t>
      </w:r>
      <w:r w:rsidRPr="001B41E4" w:rsidR="00600CED">
        <w:rPr>
          <w:szCs w:val="26"/>
        </w:rPr>
        <w:t xml:space="preserve">17 Cal.3d </w:t>
      </w:r>
      <w:r w:rsidRPr="001B41E4" w:rsidR="00DC3A44">
        <w:rPr>
          <w:szCs w:val="26"/>
        </w:rPr>
        <w:t>at p.</w:t>
      </w:r>
      <w:r w:rsidRPr="001B41E4" w:rsidR="00600CED">
        <w:rPr>
          <w:szCs w:val="26"/>
        </w:rPr>
        <w:t xml:space="preserve"> 476.)</w:t>
      </w:r>
      <w:r w:rsidRPr="001B41E4" w:rsidR="00EC3F21">
        <w:rPr>
          <w:szCs w:val="26"/>
        </w:rPr>
        <w:t xml:space="preserve">  With or without public comment</w:t>
      </w:r>
      <w:r w:rsidR="002072E4">
        <w:rPr>
          <w:szCs w:val="26"/>
        </w:rPr>
        <w:t>s</w:t>
      </w:r>
      <w:r w:rsidRPr="001B41E4" w:rsidR="00EC3F21">
        <w:rPr>
          <w:szCs w:val="26"/>
        </w:rPr>
        <w:t xml:space="preserve">, however, </w:t>
      </w:r>
      <w:r w:rsidRPr="001B41E4" w:rsidR="00720228">
        <w:rPr>
          <w:szCs w:val="26"/>
        </w:rPr>
        <w:t>as previously discussed</w:t>
      </w:r>
      <w:r w:rsidRPr="001B41E4" w:rsidR="0025258B">
        <w:rPr>
          <w:szCs w:val="26"/>
        </w:rPr>
        <w:t xml:space="preserve"> </w:t>
      </w:r>
      <w:r w:rsidRPr="001B41E4" w:rsidR="005126A2">
        <w:rPr>
          <w:szCs w:val="26"/>
        </w:rPr>
        <w:t>the</w:t>
      </w:r>
      <w:r w:rsidRPr="001B41E4" w:rsidR="00EC3F21">
        <w:rPr>
          <w:szCs w:val="26"/>
        </w:rPr>
        <w:t xml:space="preserve"> PBID Law require</w:t>
      </w:r>
      <w:r w:rsidRPr="001B41E4" w:rsidR="005126A2">
        <w:rPr>
          <w:szCs w:val="26"/>
        </w:rPr>
        <w:t>s</w:t>
      </w:r>
      <w:r w:rsidRPr="001B41E4" w:rsidR="00EC3F21">
        <w:rPr>
          <w:szCs w:val="26"/>
        </w:rPr>
        <w:t xml:space="preserve"> the preparation of a</w:t>
      </w:r>
      <w:r w:rsidRPr="001B41E4" w:rsidR="008D21FA">
        <w:rPr>
          <w:szCs w:val="26"/>
        </w:rPr>
        <w:t xml:space="preserve"> </w:t>
      </w:r>
      <w:r w:rsidRPr="001B41E4" w:rsidR="00875C21">
        <w:rPr>
          <w:szCs w:val="26"/>
        </w:rPr>
        <w:t>comprehensive</w:t>
      </w:r>
      <w:r w:rsidRPr="001B41E4" w:rsidR="008D21FA">
        <w:rPr>
          <w:szCs w:val="26"/>
        </w:rPr>
        <w:t xml:space="preserve"> </w:t>
      </w:r>
      <w:r w:rsidRPr="001B41E4" w:rsidR="00EC3F21">
        <w:rPr>
          <w:szCs w:val="26"/>
        </w:rPr>
        <w:t xml:space="preserve">management district </w:t>
      </w:r>
      <w:r w:rsidRPr="001B41E4" w:rsidR="009C0B88">
        <w:rPr>
          <w:szCs w:val="26"/>
        </w:rPr>
        <w:t>plan</w:t>
      </w:r>
      <w:r w:rsidRPr="001B41E4" w:rsidR="00EA1BF7">
        <w:rPr>
          <w:szCs w:val="26"/>
        </w:rPr>
        <w:t xml:space="preserve"> (Sts. &amp; Hy. Code, § 36622)</w:t>
      </w:r>
      <w:r w:rsidRPr="001B41E4" w:rsidR="005126A2">
        <w:rPr>
          <w:szCs w:val="26"/>
        </w:rPr>
        <w:t xml:space="preserve"> and Proposition 218 directs that all assessments</w:t>
      </w:r>
      <w:r w:rsidRPr="001B41E4" w:rsidR="008D21FA">
        <w:rPr>
          <w:szCs w:val="26"/>
        </w:rPr>
        <w:t xml:space="preserve"> covered by the initiative also</w:t>
      </w:r>
      <w:r w:rsidRPr="001B41E4" w:rsidR="005126A2">
        <w:rPr>
          <w:szCs w:val="26"/>
        </w:rPr>
        <w:t xml:space="preserve"> “be supported by a detailed </w:t>
      </w:r>
      <w:r w:rsidRPr="001B41E4" w:rsidR="00EC3F21">
        <w:rPr>
          <w:szCs w:val="26"/>
        </w:rPr>
        <w:t>engineer’s report</w:t>
      </w:r>
      <w:r w:rsidRPr="001B41E4" w:rsidR="005126A2">
        <w:rPr>
          <w:szCs w:val="26"/>
        </w:rPr>
        <w:t xml:space="preserve">” (art. </w:t>
      </w:r>
      <w:r w:rsidRPr="001B41E4" w:rsidR="00CC1D87">
        <w:rPr>
          <w:szCs w:val="26"/>
        </w:rPr>
        <w:t>XIII D, § 4, subd. (b)</w:t>
      </w:r>
      <w:r w:rsidRPr="001B41E4" w:rsidR="00720228">
        <w:rPr>
          <w:szCs w:val="26"/>
        </w:rPr>
        <w:t>; see also Sts. &amp; Hy. Code, § 36622, subd. (n)</w:t>
      </w:r>
      <w:r w:rsidRPr="001B41E4" w:rsidR="00CC1D87">
        <w:rPr>
          <w:szCs w:val="26"/>
        </w:rPr>
        <w:t>)</w:t>
      </w:r>
      <w:r w:rsidRPr="001B41E4" w:rsidR="00EA1BF7">
        <w:rPr>
          <w:szCs w:val="26"/>
        </w:rPr>
        <w:t>.</w:t>
      </w:r>
      <w:r w:rsidRPr="001B41E4" w:rsidR="00CC1D87">
        <w:rPr>
          <w:szCs w:val="26"/>
        </w:rPr>
        <w:t xml:space="preserve">  These documents </w:t>
      </w:r>
      <w:r w:rsidRPr="001B41E4" w:rsidR="009C7488">
        <w:rPr>
          <w:szCs w:val="26"/>
        </w:rPr>
        <w:t>may by themselves provide a substantial record for purposes of judicial review</w:t>
      </w:r>
      <w:r w:rsidRPr="001B41E4" w:rsidR="00CC1D87">
        <w:rPr>
          <w:szCs w:val="26"/>
        </w:rPr>
        <w:t xml:space="preserve">.  </w:t>
      </w:r>
      <w:r w:rsidR="004C416A">
        <w:rPr>
          <w:szCs w:val="26"/>
        </w:rPr>
        <w:t>Meanwhile, the absence of any requirement</w:t>
      </w:r>
      <w:r w:rsidR="00BF63F4">
        <w:rPr>
          <w:szCs w:val="26"/>
        </w:rPr>
        <w:t xml:space="preserve"> </w:t>
      </w:r>
      <w:r w:rsidR="004C416A">
        <w:rPr>
          <w:szCs w:val="26"/>
        </w:rPr>
        <w:t xml:space="preserve">that an agency </w:t>
      </w:r>
      <w:r w:rsidR="00BF63F4">
        <w:rPr>
          <w:szCs w:val="26"/>
        </w:rPr>
        <w:t xml:space="preserve">actually </w:t>
      </w:r>
      <w:r w:rsidR="004C416A">
        <w:rPr>
          <w:szCs w:val="26"/>
        </w:rPr>
        <w:t xml:space="preserve">respond to </w:t>
      </w:r>
      <w:r w:rsidR="00BF63F4">
        <w:rPr>
          <w:szCs w:val="26"/>
        </w:rPr>
        <w:t>objections</w:t>
      </w:r>
      <w:r>
        <w:rPr>
          <w:szCs w:val="26"/>
        </w:rPr>
        <w:t xml:space="preserve"> articulated at a public hearing on a BID proposal</w:t>
      </w:r>
      <w:r w:rsidR="004C416A">
        <w:rPr>
          <w:szCs w:val="26"/>
        </w:rPr>
        <w:t xml:space="preserve"> </w:t>
      </w:r>
      <w:r w:rsidR="00BF63F4">
        <w:rPr>
          <w:szCs w:val="26"/>
        </w:rPr>
        <w:t xml:space="preserve">calls into question whether an exhaustion rule would routinely lead to better developed records and the application of agency expertise </w:t>
      </w:r>
      <w:r w:rsidRPr="001B41E4" w:rsidR="004C416A">
        <w:rPr>
          <w:szCs w:val="26"/>
        </w:rPr>
        <w:t>(</w:t>
      </w:r>
      <w:r w:rsidR="00BF63F4">
        <w:rPr>
          <w:szCs w:val="26"/>
        </w:rPr>
        <w:t>s</w:t>
      </w:r>
      <w:r w:rsidRPr="001B41E4" w:rsidR="004C416A">
        <w:rPr>
          <w:szCs w:val="26"/>
        </w:rPr>
        <w:t xml:space="preserve">ee </w:t>
      </w:r>
      <w:r w:rsidRPr="001B41E4" w:rsidR="004C416A">
        <w:rPr>
          <w:i/>
          <w:iCs/>
          <w:szCs w:val="26"/>
        </w:rPr>
        <w:t>Rojo</w:t>
      </w:r>
      <w:r w:rsidRPr="001B41E4" w:rsidR="004C416A">
        <w:rPr>
          <w:szCs w:val="26"/>
        </w:rPr>
        <w:t xml:space="preserve">, </w:t>
      </w:r>
      <w:r w:rsidRPr="001B41E4" w:rsidR="004C416A">
        <w:rPr>
          <w:i/>
          <w:iCs/>
          <w:szCs w:val="26"/>
        </w:rPr>
        <w:t>supra</w:t>
      </w:r>
      <w:r w:rsidRPr="001B41E4" w:rsidR="004C416A">
        <w:rPr>
          <w:szCs w:val="26"/>
        </w:rPr>
        <w:t>, 52</w:t>
      </w:r>
      <w:r w:rsidR="00611133">
        <w:rPr>
          <w:szCs w:val="26"/>
        </w:rPr>
        <w:t> </w:t>
      </w:r>
      <w:r w:rsidRPr="001B41E4" w:rsidR="004C416A">
        <w:rPr>
          <w:szCs w:val="26"/>
        </w:rPr>
        <w:t xml:space="preserve">Cal.3d at p. 86; </w:t>
      </w:r>
      <w:r w:rsidRPr="001B41E4" w:rsidR="004C416A">
        <w:rPr>
          <w:i/>
          <w:iCs/>
          <w:szCs w:val="26"/>
        </w:rPr>
        <w:t>Westlake Community Hosp.</w:t>
      </w:r>
      <w:r w:rsidRPr="001B41E4" w:rsidR="004C416A">
        <w:rPr>
          <w:szCs w:val="26"/>
        </w:rPr>
        <w:t>, at p. 476)</w:t>
      </w:r>
      <w:r w:rsidR="004C416A">
        <w:rPr>
          <w:szCs w:val="26"/>
        </w:rPr>
        <w:t xml:space="preserve">, and </w:t>
      </w:r>
      <w:r w:rsidR="002072E4">
        <w:rPr>
          <w:szCs w:val="26"/>
        </w:rPr>
        <w:t>likely</w:t>
      </w:r>
      <w:r w:rsidR="004C416A">
        <w:rPr>
          <w:szCs w:val="26"/>
        </w:rPr>
        <w:t xml:space="preserve"> </w:t>
      </w:r>
      <w:r w:rsidR="00BF63F4">
        <w:rPr>
          <w:szCs w:val="26"/>
        </w:rPr>
        <w:t>reduce</w:t>
      </w:r>
      <w:r w:rsidR="002072E4">
        <w:rPr>
          <w:szCs w:val="26"/>
        </w:rPr>
        <w:t>s</w:t>
      </w:r>
      <w:r w:rsidR="00BF63F4">
        <w:rPr>
          <w:szCs w:val="26"/>
        </w:rPr>
        <w:t xml:space="preserve"> the</w:t>
      </w:r>
      <w:r w:rsidR="004C416A">
        <w:rPr>
          <w:szCs w:val="26"/>
        </w:rPr>
        <w:t xml:space="preserve"> comment process</w:t>
      </w:r>
      <w:r w:rsidR="00BF63F4">
        <w:rPr>
          <w:szCs w:val="26"/>
        </w:rPr>
        <w:t>’s</w:t>
      </w:r>
      <w:r w:rsidR="004C416A">
        <w:rPr>
          <w:szCs w:val="26"/>
        </w:rPr>
        <w:t xml:space="preserve"> effective</w:t>
      </w:r>
      <w:r w:rsidR="00BF63F4">
        <w:rPr>
          <w:szCs w:val="26"/>
        </w:rPr>
        <w:t>ness</w:t>
      </w:r>
      <w:r w:rsidR="004C416A">
        <w:rPr>
          <w:szCs w:val="26"/>
        </w:rPr>
        <w:t xml:space="preserve"> as a vehicle for resolving disputes</w:t>
      </w:r>
      <w:r w:rsidR="00BF63F4">
        <w:rPr>
          <w:szCs w:val="26"/>
        </w:rPr>
        <w:t xml:space="preserve"> short of judicial </w:t>
      </w:r>
      <w:r w:rsidR="00A51B8A">
        <w:rPr>
          <w:szCs w:val="26"/>
        </w:rPr>
        <w:t>involvement</w:t>
      </w:r>
      <w:r w:rsidR="00BF63F4">
        <w:rPr>
          <w:szCs w:val="26"/>
        </w:rPr>
        <w:t xml:space="preserve"> </w:t>
      </w:r>
      <w:r w:rsidR="004C416A">
        <w:rPr>
          <w:szCs w:val="26"/>
        </w:rPr>
        <w:t>(</w:t>
      </w:r>
      <w:r w:rsidR="00BF63F4">
        <w:rPr>
          <w:szCs w:val="26"/>
        </w:rPr>
        <w:t>s</w:t>
      </w:r>
      <w:r w:rsidR="004C416A">
        <w:rPr>
          <w:szCs w:val="26"/>
        </w:rPr>
        <w:t xml:space="preserve">ee </w:t>
      </w:r>
      <w:r w:rsidRPr="001B41E4" w:rsidR="004C416A">
        <w:rPr>
          <w:szCs w:val="27"/>
        </w:rPr>
        <w:t xml:space="preserve">Friendly, </w:t>
      </w:r>
      <w:r w:rsidRPr="001B41E4" w:rsidR="004C416A">
        <w:rPr>
          <w:i/>
          <w:iCs/>
          <w:szCs w:val="27"/>
        </w:rPr>
        <w:t>“Some Kind of Hearing”</w:t>
      </w:r>
      <w:r w:rsidRPr="001B41E4" w:rsidR="004C416A">
        <w:rPr>
          <w:szCs w:val="27"/>
        </w:rPr>
        <w:t xml:space="preserve"> (1975) 123 U.Pa.</w:t>
      </w:r>
      <w:r w:rsidR="00BB0B7D">
        <w:rPr>
          <w:szCs w:val="27"/>
        </w:rPr>
        <w:t xml:space="preserve"> </w:t>
      </w:r>
      <w:r w:rsidRPr="001B41E4" w:rsidR="004C416A">
        <w:rPr>
          <w:szCs w:val="27"/>
        </w:rPr>
        <w:t>L.Rev. 1267, 1292 [discussing how statements of reasons may alleviate concerns regarding a decision or ruling]</w:t>
      </w:r>
      <w:r w:rsidR="004C416A">
        <w:rPr>
          <w:szCs w:val="27"/>
        </w:rPr>
        <w:t>)</w:t>
      </w:r>
      <w:r w:rsidR="00BF63F4">
        <w:rPr>
          <w:szCs w:val="27"/>
        </w:rPr>
        <w:t>.</w:t>
      </w:r>
    </w:p>
    <w:p w:rsidR="00875C21" w:rsidRPr="001B41E4" w:rsidP="000E6DEE" w14:paraId="1589A977" w14:textId="3910CF8C">
      <w:pPr>
        <w:ind w:firstLine="720"/>
        <w:rPr>
          <w:szCs w:val="26"/>
        </w:rPr>
      </w:pPr>
      <w:r>
        <w:rPr>
          <w:szCs w:val="26"/>
        </w:rPr>
        <w:t>Other circumstances</w:t>
      </w:r>
      <w:r w:rsidR="002072E4">
        <w:rPr>
          <w:szCs w:val="26"/>
        </w:rPr>
        <w:t xml:space="preserve"> </w:t>
      </w:r>
      <w:r>
        <w:rPr>
          <w:szCs w:val="26"/>
        </w:rPr>
        <w:t xml:space="preserve">relevant to these proceedings </w:t>
      </w:r>
      <w:r w:rsidR="0075411D">
        <w:rPr>
          <w:szCs w:val="26"/>
        </w:rPr>
        <w:t>also function to blunt</w:t>
      </w:r>
      <w:r w:rsidR="00AA0C98">
        <w:rPr>
          <w:szCs w:val="26"/>
        </w:rPr>
        <w:t xml:space="preserve"> policy arguments that have in other situations supported recognition of an exhaustion requirement. </w:t>
      </w:r>
      <w:r w:rsidRPr="001B41E4" w:rsidR="00CC1D87">
        <w:rPr>
          <w:szCs w:val="26"/>
        </w:rPr>
        <w:t xml:space="preserve"> </w:t>
      </w:r>
      <w:r w:rsidR="00AA0C98">
        <w:rPr>
          <w:szCs w:val="26"/>
        </w:rPr>
        <w:t>A</w:t>
      </w:r>
      <w:r w:rsidRPr="001B41E4" w:rsidR="00CC1D87">
        <w:rPr>
          <w:szCs w:val="26"/>
        </w:rPr>
        <w:t>lthough the exhaustion rule can serve to mitigate damages and disruption by requiring the prompt presentation of objections</w:t>
      </w:r>
      <w:r w:rsidRPr="001B41E4" w:rsidR="006D40C7">
        <w:rPr>
          <w:szCs w:val="26"/>
        </w:rPr>
        <w:t xml:space="preserve"> to an agency</w:t>
      </w:r>
      <w:r w:rsidR="000739CB">
        <w:rPr>
          <w:szCs w:val="26"/>
        </w:rPr>
        <w:t xml:space="preserve"> (</w:t>
      </w:r>
      <w:r w:rsidRPr="001B41E4" w:rsidR="000739CB">
        <w:rPr>
          <w:i/>
          <w:iCs/>
          <w:szCs w:val="27"/>
        </w:rPr>
        <w:t>Westlake Community Hosp.</w:t>
      </w:r>
      <w:r w:rsidR="000739CB">
        <w:rPr>
          <w:szCs w:val="27"/>
        </w:rPr>
        <w:t xml:space="preserve">, </w:t>
      </w:r>
      <w:r w:rsidRPr="000739CB" w:rsidR="000739CB">
        <w:rPr>
          <w:i/>
          <w:iCs/>
          <w:szCs w:val="27"/>
        </w:rPr>
        <w:t>supra</w:t>
      </w:r>
      <w:r w:rsidR="000739CB">
        <w:rPr>
          <w:szCs w:val="27"/>
        </w:rPr>
        <w:t>, 17 Cal.3d at p.</w:t>
      </w:r>
      <w:r w:rsidR="006657D4">
        <w:rPr>
          <w:szCs w:val="27"/>
        </w:rPr>
        <w:t> </w:t>
      </w:r>
      <w:r w:rsidR="000739CB">
        <w:rPr>
          <w:szCs w:val="27"/>
        </w:rPr>
        <w:t>476</w:t>
      </w:r>
      <w:r w:rsidRPr="001B41E4" w:rsidR="000739CB">
        <w:rPr>
          <w:szCs w:val="27"/>
        </w:rPr>
        <w:t>)</w:t>
      </w:r>
      <w:r w:rsidRPr="001B41E4" w:rsidR="00CC1D87">
        <w:rPr>
          <w:szCs w:val="26"/>
        </w:rPr>
        <w:t>,</w:t>
      </w:r>
      <w:r w:rsidRPr="001B41E4" w:rsidR="006D40C7">
        <w:rPr>
          <w:szCs w:val="26"/>
        </w:rPr>
        <w:t xml:space="preserve"> the</w:t>
      </w:r>
      <w:r w:rsidRPr="001B41E4" w:rsidR="00CC1D87">
        <w:rPr>
          <w:szCs w:val="26"/>
        </w:rPr>
        <w:t xml:space="preserve"> 30-day deadline</w:t>
      </w:r>
      <w:r w:rsidRPr="001B41E4" w:rsidR="00786EFC">
        <w:rPr>
          <w:szCs w:val="26"/>
        </w:rPr>
        <w:t xml:space="preserve"> for challenging an assessment</w:t>
      </w:r>
      <w:r w:rsidRPr="001B41E4" w:rsidR="00CC1D87">
        <w:rPr>
          <w:szCs w:val="26"/>
        </w:rPr>
        <w:t xml:space="preserve"> set out in section 36633 of the Streets and Highways Code, which petitioners complied with</w:t>
      </w:r>
      <w:r w:rsidR="000739CB">
        <w:rPr>
          <w:szCs w:val="26"/>
        </w:rPr>
        <w:t>, can have a similar effect</w:t>
      </w:r>
      <w:r w:rsidRPr="001B41E4" w:rsidR="00CC1D87">
        <w:rPr>
          <w:szCs w:val="26"/>
        </w:rPr>
        <w:t xml:space="preserve">.  </w:t>
      </w:r>
      <w:r w:rsidR="000739CB">
        <w:rPr>
          <w:szCs w:val="26"/>
        </w:rPr>
        <w:t>Furthermore</w:t>
      </w:r>
      <w:r w:rsidR="006B09CE">
        <w:rPr>
          <w:szCs w:val="26"/>
        </w:rPr>
        <w:t>,</w:t>
      </w:r>
      <w:r w:rsidR="005261E2">
        <w:rPr>
          <w:szCs w:val="26"/>
        </w:rPr>
        <w:t xml:space="preserve"> </w:t>
      </w:r>
      <w:r w:rsidR="00267CB7">
        <w:rPr>
          <w:szCs w:val="26"/>
        </w:rPr>
        <w:t>when</w:t>
      </w:r>
      <w:r w:rsidR="005261E2">
        <w:rPr>
          <w:szCs w:val="26"/>
        </w:rPr>
        <w:t xml:space="preserve"> it is alleged that an agency has not </w:t>
      </w:r>
      <w:r w:rsidRPr="001B41E4" w:rsidR="005261E2">
        <w:rPr>
          <w:szCs w:val="26"/>
        </w:rPr>
        <w:t>met its burden</w:t>
      </w:r>
      <w:r w:rsidR="00817BA5">
        <w:rPr>
          <w:szCs w:val="26"/>
        </w:rPr>
        <w:t>s</w:t>
      </w:r>
      <w:r w:rsidRPr="001B41E4" w:rsidR="005261E2">
        <w:rPr>
          <w:szCs w:val="26"/>
        </w:rPr>
        <w:t xml:space="preserve"> under section 4, subdivision (f) of the initiative </w:t>
      </w:r>
      <w:r w:rsidRPr="001B41E4" w:rsidR="005261E2">
        <w:t>(</w:t>
      </w:r>
      <w:r w:rsidRPr="001B41E4" w:rsidR="005261E2">
        <w:rPr>
          <w:szCs w:val="26"/>
        </w:rPr>
        <w:t xml:space="preserve">art. XIII D, § 4, subd. </w:t>
      </w:r>
      <w:r w:rsidR="005261E2">
        <w:rPr>
          <w:szCs w:val="26"/>
        </w:rPr>
        <w:t>(f)),</w:t>
      </w:r>
      <w:r w:rsidRPr="001B41E4" w:rsidR="00CC1D87">
        <w:rPr>
          <w:szCs w:val="26"/>
        </w:rPr>
        <w:t xml:space="preserve"> </w:t>
      </w:r>
      <w:r w:rsidR="00267CB7">
        <w:rPr>
          <w:szCs w:val="26"/>
        </w:rPr>
        <w:t>the application of an</w:t>
      </w:r>
      <w:r w:rsidRPr="001B41E4" w:rsidR="006D40C7">
        <w:rPr>
          <w:szCs w:val="26"/>
        </w:rPr>
        <w:t xml:space="preserve"> independent judgment </w:t>
      </w:r>
      <w:r w:rsidR="00267CB7">
        <w:rPr>
          <w:szCs w:val="26"/>
        </w:rPr>
        <w:t>standard of review</w:t>
      </w:r>
      <w:r w:rsidR="00881372">
        <w:rPr>
          <w:szCs w:val="26"/>
        </w:rPr>
        <w:t xml:space="preserve"> to such claims</w:t>
      </w:r>
      <w:r w:rsidR="00267CB7">
        <w:rPr>
          <w:szCs w:val="26"/>
        </w:rPr>
        <w:t xml:space="preserve"> </w:t>
      </w:r>
      <w:r w:rsidR="005261E2">
        <w:rPr>
          <w:szCs w:val="26"/>
        </w:rPr>
        <w:t>(</w:t>
      </w:r>
      <w:r w:rsidRPr="001B41E4" w:rsidR="00B96830">
        <w:rPr>
          <w:i/>
          <w:iCs/>
        </w:rPr>
        <w:t>Silicon Valley Taxpayers’ Assn.</w:t>
      </w:r>
      <w:r w:rsidRPr="001B41E4" w:rsidR="00B96830">
        <w:t xml:space="preserve">, </w:t>
      </w:r>
      <w:r w:rsidRPr="001B41E4" w:rsidR="00B96830">
        <w:rPr>
          <w:i/>
          <w:iCs/>
        </w:rPr>
        <w:t>supra</w:t>
      </w:r>
      <w:r w:rsidRPr="001B41E4" w:rsidR="00B96830">
        <w:t>, 44 Cal.4th at p.</w:t>
      </w:r>
      <w:r w:rsidRPr="001B41E4" w:rsidR="00FC079E">
        <w:t> </w:t>
      </w:r>
      <w:r w:rsidRPr="001B41E4" w:rsidR="00B96830">
        <w:t>450)</w:t>
      </w:r>
      <w:r w:rsidR="006E0545">
        <w:t xml:space="preserve"> </w:t>
      </w:r>
      <w:r w:rsidRPr="001B41E4" w:rsidR="008E0758">
        <w:t>mitigate</w:t>
      </w:r>
      <w:r w:rsidR="004C416A">
        <w:t>s</w:t>
      </w:r>
      <w:r w:rsidRPr="001B41E4" w:rsidR="006D40C7">
        <w:t xml:space="preserve"> the common concern</w:t>
      </w:r>
      <w:r w:rsidR="005261E2">
        <w:t xml:space="preserve"> </w:t>
      </w:r>
      <w:r w:rsidRPr="001B41E4" w:rsidR="006D40C7">
        <w:t>that a litigant will avoid an administrative remedy so as not to elicit a factual finding that would receive deference upon judicial review</w:t>
      </w:r>
      <w:r w:rsidRPr="001B41E4" w:rsidR="00CC1D87">
        <w:rPr>
          <w:szCs w:val="26"/>
        </w:rPr>
        <w:t xml:space="preserve">. </w:t>
      </w:r>
      <w:r w:rsidR="00A974B4">
        <w:rPr>
          <w:szCs w:val="26"/>
        </w:rPr>
        <w:t xml:space="preserve"> </w:t>
      </w:r>
    </w:p>
    <w:p w:rsidR="00A8295C" w:rsidP="00CA0A6C" w14:paraId="6795ADB6" w14:textId="6101732B">
      <w:pPr>
        <w:ind w:firstLine="720"/>
        <w:rPr>
          <w:shd w:val="clear" w:color="auto" w:fill="FFFFFF"/>
        </w:rPr>
      </w:pPr>
      <w:r>
        <w:rPr>
          <w:szCs w:val="26"/>
        </w:rPr>
        <w:t>All t</w:t>
      </w:r>
      <w:r w:rsidRPr="001B41E4" w:rsidR="00C7130C">
        <w:rPr>
          <w:szCs w:val="26"/>
        </w:rPr>
        <w:t>his is not to say th</w:t>
      </w:r>
      <w:r w:rsidRPr="001B41E4" w:rsidR="00550308">
        <w:rPr>
          <w:szCs w:val="26"/>
        </w:rPr>
        <w:t xml:space="preserve">at </w:t>
      </w:r>
      <w:r>
        <w:rPr>
          <w:szCs w:val="26"/>
        </w:rPr>
        <w:t>a rule requiring the</w:t>
      </w:r>
      <w:r w:rsidRPr="001B41E4" w:rsidR="00550308">
        <w:rPr>
          <w:szCs w:val="26"/>
        </w:rPr>
        <w:t xml:space="preserve"> presentation of </w:t>
      </w:r>
      <w:r w:rsidR="00AA0C98">
        <w:rPr>
          <w:szCs w:val="26"/>
        </w:rPr>
        <w:t xml:space="preserve">specific </w:t>
      </w:r>
      <w:r w:rsidRPr="001B41E4" w:rsidR="00550308">
        <w:rPr>
          <w:szCs w:val="26"/>
        </w:rPr>
        <w:t xml:space="preserve">objections </w:t>
      </w:r>
      <w:r w:rsidR="00AA0C98">
        <w:rPr>
          <w:szCs w:val="26"/>
        </w:rPr>
        <w:t xml:space="preserve">regarding a BID to </w:t>
      </w:r>
      <w:r w:rsidR="00A51B8A">
        <w:rPr>
          <w:szCs w:val="26"/>
        </w:rPr>
        <w:t>an</w:t>
      </w:r>
      <w:r w:rsidR="00AA0C98">
        <w:rPr>
          <w:szCs w:val="26"/>
        </w:rPr>
        <w:t xml:space="preserve"> agency</w:t>
      </w:r>
      <w:r w:rsidRPr="001B41E4" w:rsidR="00550308">
        <w:rPr>
          <w:szCs w:val="26"/>
        </w:rPr>
        <w:t xml:space="preserve"> </w:t>
      </w:r>
      <w:r w:rsidR="00AA0C98">
        <w:rPr>
          <w:szCs w:val="26"/>
        </w:rPr>
        <w:t>at the</w:t>
      </w:r>
      <w:r w:rsidR="00A51B8A">
        <w:rPr>
          <w:szCs w:val="26"/>
        </w:rPr>
        <w:t xml:space="preserve"> appropriate</w:t>
      </w:r>
      <w:r w:rsidR="00AA0C98">
        <w:rPr>
          <w:szCs w:val="26"/>
        </w:rPr>
        <w:t xml:space="preserve"> </w:t>
      </w:r>
      <w:r w:rsidRPr="001B41E4" w:rsidR="00550308">
        <w:rPr>
          <w:szCs w:val="26"/>
        </w:rPr>
        <w:t xml:space="preserve">public hearing </w:t>
      </w:r>
      <w:r w:rsidRPr="001B41E4" w:rsidR="00ED1015">
        <w:rPr>
          <w:szCs w:val="26"/>
        </w:rPr>
        <w:t xml:space="preserve">certainly </w:t>
      </w:r>
      <w:r w:rsidRPr="001B41E4" w:rsidR="0045032F">
        <w:rPr>
          <w:szCs w:val="26"/>
        </w:rPr>
        <w:t>would have no</w:t>
      </w:r>
      <w:r w:rsidRPr="001B41E4" w:rsidR="00550308">
        <w:rPr>
          <w:szCs w:val="26"/>
        </w:rPr>
        <w:t xml:space="preserve"> </w:t>
      </w:r>
      <w:r>
        <w:rPr>
          <w:szCs w:val="26"/>
        </w:rPr>
        <w:t>value</w:t>
      </w:r>
      <w:r w:rsidRPr="001B41E4" w:rsidR="00550308">
        <w:rPr>
          <w:szCs w:val="26"/>
        </w:rPr>
        <w:t xml:space="preserve"> whatsoever</w:t>
      </w:r>
      <w:r>
        <w:rPr>
          <w:szCs w:val="26"/>
        </w:rPr>
        <w:t xml:space="preserve"> as applied to disputes such as </w:t>
      </w:r>
      <w:r w:rsidR="00A974B4">
        <w:rPr>
          <w:szCs w:val="26"/>
        </w:rPr>
        <w:t>those</w:t>
      </w:r>
      <w:r>
        <w:rPr>
          <w:szCs w:val="26"/>
        </w:rPr>
        <w:t xml:space="preserve"> at bar</w:t>
      </w:r>
      <w:r w:rsidRPr="001B41E4" w:rsidR="00C7130C">
        <w:rPr>
          <w:szCs w:val="26"/>
        </w:rPr>
        <w:t>.</w:t>
      </w:r>
      <w:r w:rsidR="00A52AD1">
        <w:rPr>
          <w:szCs w:val="26"/>
        </w:rPr>
        <w:t xml:space="preserve">  </w:t>
      </w:r>
      <w:r w:rsidRPr="001B41E4" w:rsidR="00CC5241">
        <w:rPr>
          <w:szCs w:val="26"/>
        </w:rPr>
        <w:t>As respondents argue, t</w:t>
      </w:r>
      <w:r w:rsidRPr="001B41E4" w:rsidR="00C7130C">
        <w:rPr>
          <w:szCs w:val="26"/>
        </w:rPr>
        <w:t>he</w:t>
      </w:r>
      <w:r w:rsidRPr="001B41E4" w:rsidR="00BE323A">
        <w:rPr>
          <w:szCs w:val="26"/>
        </w:rPr>
        <w:t xml:space="preserve"> </w:t>
      </w:r>
      <w:r w:rsidR="0075411D">
        <w:rPr>
          <w:szCs w:val="26"/>
        </w:rPr>
        <w:t xml:space="preserve">precise </w:t>
      </w:r>
      <w:r w:rsidRPr="001B41E4" w:rsidR="00BE323A">
        <w:rPr>
          <w:szCs w:val="26"/>
        </w:rPr>
        <w:t xml:space="preserve">articulation of </w:t>
      </w:r>
      <w:r w:rsidRPr="001B41E4" w:rsidR="008E0758">
        <w:rPr>
          <w:szCs w:val="26"/>
        </w:rPr>
        <w:t>concerns regarding</w:t>
      </w:r>
      <w:r w:rsidRPr="001B41E4" w:rsidR="00BE323A">
        <w:rPr>
          <w:szCs w:val="26"/>
        </w:rPr>
        <w:t xml:space="preserve"> a BID</w:t>
      </w:r>
      <w:r w:rsidRPr="001B41E4" w:rsidR="00ED1015">
        <w:rPr>
          <w:szCs w:val="26"/>
        </w:rPr>
        <w:t xml:space="preserve"> proposal</w:t>
      </w:r>
      <w:r w:rsidRPr="001B41E4" w:rsidR="00BE323A">
        <w:rPr>
          <w:szCs w:val="26"/>
        </w:rPr>
        <w:t xml:space="preserve"> at </w:t>
      </w:r>
      <w:r w:rsidRPr="001B41E4" w:rsidR="008E0758">
        <w:rPr>
          <w:szCs w:val="26"/>
        </w:rPr>
        <w:t>that juncture</w:t>
      </w:r>
      <w:r w:rsidRPr="001B41E4" w:rsidR="00BE323A">
        <w:rPr>
          <w:szCs w:val="26"/>
        </w:rPr>
        <w:t xml:space="preserve"> could lead to fixes, compromises, or explanations that </w:t>
      </w:r>
      <w:r w:rsidRPr="00A974B4" w:rsidR="00550308">
        <w:rPr>
          <w:szCs w:val="26"/>
        </w:rPr>
        <w:t>might</w:t>
      </w:r>
      <w:r w:rsidRPr="001B41E4" w:rsidR="00BE323A">
        <w:rPr>
          <w:szCs w:val="26"/>
        </w:rPr>
        <w:t xml:space="preserve"> </w:t>
      </w:r>
      <w:r w:rsidRPr="001B41E4" w:rsidR="00072E4E">
        <w:rPr>
          <w:szCs w:val="26"/>
        </w:rPr>
        <w:t>avoid</w:t>
      </w:r>
      <w:r w:rsidR="00A43BC9">
        <w:rPr>
          <w:szCs w:val="26"/>
        </w:rPr>
        <w:t>, expedite,</w:t>
      </w:r>
      <w:r w:rsidRPr="001B41E4" w:rsidR="00072E4E">
        <w:rPr>
          <w:szCs w:val="26"/>
        </w:rPr>
        <w:t xml:space="preserve"> </w:t>
      </w:r>
      <w:r w:rsidR="00A974B4">
        <w:rPr>
          <w:szCs w:val="26"/>
        </w:rPr>
        <w:t xml:space="preserve">or </w:t>
      </w:r>
      <w:r w:rsidR="00A43BC9">
        <w:rPr>
          <w:szCs w:val="26"/>
        </w:rPr>
        <w:t>enhanc</w:t>
      </w:r>
      <w:r w:rsidR="00A974B4">
        <w:rPr>
          <w:szCs w:val="26"/>
        </w:rPr>
        <w:t>e subsequent litigation</w:t>
      </w:r>
      <w:r w:rsidRPr="001B41E4" w:rsidR="00BE323A">
        <w:rPr>
          <w:szCs w:val="26"/>
        </w:rPr>
        <w:t xml:space="preserve">.  But the exhaustion doctrine does not apply in every situation in which </w:t>
      </w:r>
      <w:r w:rsidRPr="001B41E4" w:rsidR="00072E4E">
        <w:rPr>
          <w:szCs w:val="26"/>
        </w:rPr>
        <w:t>an</w:t>
      </w:r>
      <w:r w:rsidRPr="001B41E4" w:rsidR="00072E4E">
        <w:rPr>
          <w:shd w:val="clear" w:color="auto" w:fill="FFFFFF"/>
        </w:rPr>
        <w:t xml:space="preserve"> </w:t>
      </w:r>
      <w:r w:rsidRPr="001B41E4" w:rsidR="00BE323A">
        <w:rPr>
          <w:shd w:val="clear" w:color="auto" w:fill="FFFFFF"/>
        </w:rPr>
        <w:t>abstract possibility exists that a</w:t>
      </w:r>
      <w:r w:rsidRPr="001B41E4" w:rsidR="00072E4E">
        <w:rPr>
          <w:shd w:val="clear" w:color="auto" w:fill="FFFFFF"/>
        </w:rPr>
        <w:t>n</w:t>
      </w:r>
      <w:r w:rsidRPr="001B41E4" w:rsidR="00BE323A">
        <w:rPr>
          <w:shd w:val="clear" w:color="auto" w:fill="FFFFFF"/>
        </w:rPr>
        <w:t xml:space="preserve"> objection </w:t>
      </w:r>
      <w:r w:rsidR="0075411D">
        <w:rPr>
          <w:shd w:val="clear" w:color="auto" w:fill="FFFFFF"/>
        </w:rPr>
        <w:t xml:space="preserve">lodged </w:t>
      </w:r>
      <w:r w:rsidRPr="001B41E4" w:rsidR="002E3A03">
        <w:rPr>
          <w:shd w:val="clear" w:color="auto" w:fill="FFFFFF"/>
        </w:rPr>
        <w:t xml:space="preserve">through some channel </w:t>
      </w:r>
      <w:r w:rsidRPr="001B41E4" w:rsidR="00BE323A">
        <w:rPr>
          <w:shd w:val="clear" w:color="auto" w:fill="FFFFFF"/>
        </w:rPr>
        <w:t xml:space="preserve">will alter </w:t>
      </w:r>
      <w:r w:rsidR="00CC7A86">
        <w:rPr>
          <w:shd w:val="clear" w:color="auto" w:fill="FFFFFF"/>
        </w:rPr>
        <w:t>or otherwise affect an</w:t>
      </w:r>
      <w:r w:rsidRPr="001B41E4" w:rsidR="00BE323A">
        <w:rPr>
          <w:shd w:val="clear" w:color="auto" w:fill="FFFFFF"/>
        </w:rPr>
        <w:t xml:space="preserve"> agency action.  (See </w:t>
      </w:r>
      <w:r w:rsidRPr="001B41E4" w:rsidR="00BE323A">
        <w:rPr>
          <w:i/>
          <w:iCs/>
          <w:shd w:val="clear" w:color="auto" w:fill="FFFFFF"/>
        </w:rPr>
        <w:t>Sierra Club</w:t>
      </w:r>
      <w:r w:rsidRPr="001B41E4" w:rsidR="00BE323A">
        <w:rPr>
          <w:shd w:val="clear" w:color="auto" w:fill="FFFFFF"/>
        </w:rPr>
        <w:t xml:space="preserve">, </w:t>
      </w:r>
      <w:r w:rsidRPr="001B41E4" w:rsidR="00BE323A">
        <w:rPr>
          <w:i/>
          <w:iCs/>
          <w:shd w:val="clear" w:color="auto" w:fill="FFFFFF"/>
        </w:rPr>
        <w:t>supra</w:t>
      </w:r>
      <w:r w:rsidRPr="001B41E4" w:rsidR="00BE323A">
        <w:rPr>
          <w:shd w:val="clear" w:color="auto" w:fill="FFFFFF"/>
        </w:rPr>
        <w:t>, 21 Cal.4th at p.</w:t>
      </w:r>
      <w:r w:rsidRPr="001B41E4" w:rsidR="00EA6DAA">
        <w:rPr>
          <w:shd w:val="clear" w:color="auto" w:fill="FFFFFF"/>
        </w:rPr>
        <w:t> </w:t>
      </w:r>
      <w:r w:rsidRPr="001B41E4" w:rsidR="00BE323A">
        <w:rPr>
          <w:shd w:val="clear" w:color="auto" w:fill="FFFFFF"/>
        </w:rPr>
        <w:t xml:space="preserve">502 [exhaustion does not require a petition </w:t>
      </w:r>
      <w:r w:rsidRPr="001B41E4" w:rsidR="0020171C">
        <w:rPr>
          <w:shd w:val="clear" w:color="auto" w:fill="FFFFFF"/>
        </w:rPr>
        <w:t xml:space="preserve">seeking reconsideration of a decision by </w:t>
      </w:r>
      <w:r w:rsidRPr="001B41E4" w:rsidR="00BE323A">
        <w:rPr>
          <w:shd w:val="clear" w:color="auto" w:fill="FFFFFF"/>
        </w:rPr>
        <w:t>an administrative agency</w:t>
      </w:r>
      <w:r w:rsidRPr="001B41E4" w:rsidR="005C6450">
        <w:rPr>
          <w:shd w:val="clear" w:color="auto" w:fill="FFFFFF"/>
        </w:rPr>
        <w:t>, even though a petition might give an agency an opportunity to address a</w:t>
      </w:r>
      <w:r w:rsidRPr="001B41E4" w:rsidR="008D21FA">
        <w:rPr>
          <w:shd w:val="clear" w:color="auto" w:fill="FFFFFF"/>
        </w:rPr>
        <w:t xml:space="preserve"> prior </w:t>
      </w:r>
      <w:r w:rsidRPr="001B41E4" w:rsidR="005C6450">
        <w:rPr>
          <w:shd w:val="clear" w:color="auto" w:fill="FFFFFF"/>
        </w:rPr>
        <w:t>error</w:t>
      </w:r>
      <w:r w:rsidRPr="001B41E4" w:rsidR="00BE323A">
        <w:rPr>
          <w:shd w:val="clear" w:color="auto" w:fill="FFFFFF"/>
        </w:rPr>
        <w:t>]</w:t>
      </w:r>
      <w:r w:rsidRPr="001B41E4" w:rsidR="0020171C">
        <w:rPr>
          <w:shd w:val="clear" w:color="auto" w:fill="FFFFFF"/>
        </w:rPr>
        <w:t xml:space="preserve">; </w:t>
      </w:r>
      <w:r w:rsidRPr="001B41E4" w:rsidR="0020171C">
        <w:rPr>
          <w:i/>
          <w:iCs/>
          <w:shd w:val="clear" w:color="auto" w:fill="FFFFFF"/>
        </w:rPr>
        <w:t>Rosenfield</w:t>
      </w:r>
      <w:r w:rsidRPr="001B41E4" w:rsidR="0020171C">
        <w:rPr>
          <w:shd w:val="clear" w:color="auto" w:fill="FFFFFF"/>
        </w:rPr>
        <w:t xml:space="preserve">, </w:t>
      </w:r>
      <w:r w:rsidRPr="001B41E4" w:rsidR="0020171C">
        <w:rPr>
          <w:i/>
          <w:iCs/>
          <w:shd w:val="clear" w:color="auto" w:fill="FFFFFF"/>
        </w:rPr>
        <w:t>supra</w:t>
      </w:r>
      <w:r w:rsidRPr="001B41E4" w:rsidR="0020171C">
        <w:rPr>
          <w:shd w:val="clear" w:color="auto" w:fill="FFFFFF"/>
        </w:rPr>
        <w:t>, 65</w:t>
      </w:r>
      <w:r w:rsidR="00611133">
        <w:rPr>
          <w:shd w:val="clear" w:color="auto" w:fill="FFFFFF"/>
        </w:rPr>
        <w:t> </w:t>
      </w:r>
      <w:r w:rsidRPr="001B41E4" w:rsidR="0020171C">
        <w:rPr>
          <w:shd w:val="clear" w:color="auto" w:fill="FFFFFF"/>
        </w:rPr>
        <w:t xml:space="preserve">Cal.2d at p. 566 [observing that an agency’s possession of ongoing supervisory or investigatory power does not </w:t>
      </w:r>
      <w:r w:rsidRPr="001B41E4" w:rsidR="0097289B">
        <w:rPr>
          <w:shd w:val="clear" w:color="auto" w:fill="FFFFFF"/>
        </w:rPr>
        <w:t>on its own</w:t>
      </w:r>
      <w:r w:rsidRPr="001B41E4" w:rsidR="0020171C">
        <w:rPr>
          <w:shd w:val="clear" w:color="auto" w:fill="FFFFFF"/>
        </w:rPr>
        <w:t xml:space="preserve"> trigger an exhaustion requirement]</w:t>
      </w:r>
      <w:r w:rsidRPr="001B41E4" w:rsidR="00BE323A">
        <w:rPr>
          <w:shd w:val="clear" w:color="auto" w:fill="FFFFFF"/>
        </w:rPr>
        <w:t>.)</w:t>
      </w:r>
      <w:r w:rsidR="0075411D">
        <w:rPr>
          <w:shd w:val="clear" w:color="auto" w:fill="FFFFFF"/>
        </w:rPr>
        <w:t xml:space="preserve">  </w:t>
      </w:r>
      <w:r w:rsidR="005F5C76">
        <w:rPr>
          <w:shd w:val="clear" w:color="auto" w:fill="FFFFFF"/>
        </w:rPr>
        <w:t>Whatever likelihood there may be that an exhaustion requirement could avert litigation</w:t>
      </w:r>
      <w:r w:rsidR="00CA0A6C">
        <w:rPr>
          <w:shd w:val="clear" w:color="auto" w:fill="FFFFFF"/>
        </w:rPr>
        <w:t xml:space="preserve"> such as that before us</w:t>
      </w:r>
      <w:r w:rsidR="00A43BC9">
        <w:rPr>
          <w:shd w:val="clear" w:color="auto" w:fill="FFFFFF"/>
        </w:rPr>
        <w:t>,</w:t>
      </w:r>
      <w:r w:rsidR="00CA0A6C">
        <w:rPr>
          <w:shd w:val="clear" w:color="auto" w:fill="FFFFFF"/>
        </w:rPr>
        <w:t xml:space="preserve"> or have other </w:t>
      </w:r>
      <w:r w:rsidR="00A43BC9">
        <w:rPr>
          <w:shd w:val="clear" w:color="auto" w:fill="FFFFFF"/>
        </w:rPr>
        <w:t>useful consequences</w:t>
      </w:r>
      <w:r w:rsidR="005F5C76">
        <w:rPr>
          <w:shd w:val="clear" w:color="auto" w:fill="FFFFFF"/>
        </w:rPr>
        <w:t xml:space="preserve">, it </w:t>
      </w:r>
      <w:r w:rsidR="00CA0A6C">
        <w:rPr>
          <w:shd w:val="clear" w:color="auto" w:fill="FFFFFF"/>
        </w:rPr>
        <w:t xml:space="preserve">is more </w:t>
      </w:r>
      <w:r w:rsidR="00A43BC9">
        <w:rPr>
          <w:shd w:val="clear" w:color="auto" w:fill="FFFFFF"/>
        </w:rPr>
        <w:t xml:space="preserve">significant to the legal question </w:t>
      </w:r>
      <w:r w:rsidR="001A0306">
        <w:rPr>
          <w:shd w:val="clear" w:color="auto" w:fill="FFFFFF"/>
        </w:rPr>
        <w:t>we address</w:t>
      </w:r>
      <w:r w:rsidR="00CA0A6C">
        <w:rPr>
          <w:shd w:val="clear" w:color="auto" w:fill="FFFFFF"/>
        </w:rPr>
        <w:t xml:space="preserve"> </w:t>
      </w:r>
      <w:r w:rsidR="005F5C76">
        <w:rPr>
          <w:shd w:val="clear" w:color="auto" w:fill="FFFFFF"/>
        </w:rPr>
        <w:t xml:space="preserve">that the overall array of benefits likely to flow from such </w:t>
      </w:r>
      <w:r w:rsidR="00A43BC9">
        <w:rPr>
          <w:shd w:val="clear" w:color="auto" w:fill="FFFFFF"/>
        </w:rPr>
        <w:t>a directive</w:t>
      </w:r>
      <w:r w:rsidR="00537E7F">
        <w:rPr>
          <w:shd w:val="clear" w:color="auto" w:fill="FFFFFF"/>
        </w:rPr>
        <w:t xml:space="preserve"> here</w:t>
      </w:r>
      <w:r w:rsidR="005F5C76">
        <w:rPr>
          <w:shd w:val="clear" w:color="auto" w:fill="FFFFFF"/>
        </w:rPr>
        <w:t xml:space="preserve"> is both more modest and more speculative than </w:t>
      </w:r>
      <w:r w:rsidR="00CA0A6C">
        <w:rPr>
          <w:shd w:val="clear" w:color="auto" w:fill="FFFFFF"/>
        </w:rPr>
        <w:t xml:space="preserve">has </w:t>
      </w:r>
      <w:r w:rsidR="007B288E">
        <w:rPr>
          <w:shd w:val="clear" w:color="auto" w:fill="FFFFFF"/>
        </w:rPr>
        <w:t>ordinarily</w:t>
      </w:r>
      <w:r w:rsidR="00CA0A6C">
        <w:rPr>
          <w:shd w:val="clear" w:color="auto" w:fill="FFFFFF"/>
        </w:rPr>
        <w:t xml:space="preserve"> been the case in situations in which we have foreclosed a claim or lawsuit due to a party’s failure to exploit an extrajudicial remedy</w:t>
      </w:r>
      <w:r w:rsidR="00A974B4">
        <w:rPr>
          <w:shd w:val="clear" w:color="auto" w:fill="FFFFFF"/>
        </w:rPr>
        <w:t xml:space="preserve">.  </w:t>
      </w:r>
    </w:p>
    <w:p w:rsidR="00A8295C" w:rsidRPr="001B41E4" w:rsidP="00A8295C" w14:paraId="36E1D6BD" w14:textId="7E38226B">
      <w:pPr>
        <w:pStyle w:val="ListParagraph"/>
        <w:keepNext/>
        <w:keepLines/>
        <w:numPr>
          <w:ilvl w:val="0"/>
          <w:numId w:val="11"/>
        </w:numPr>
        <w:ind w:left="1440"/>
        <w:rPr>
          <w:i/>
          <w:iCs/>
        </w:rPr>
      </w:pPr>
      <w:r w:rsidRPr="001B41E4">
        <w:rPr>
          <w:i/>
          <w:iCs/>
        </w:rPr>
        <w:t xml:space="preserve">Not </w:t>
      </w:r>
      <w:r w:rsidRPr="001B41E4">
        <w:rPr>
          <w:i/>
          <w:iCs/>
        </w:rPr>
        <w:t xml:space="preserve">Requiring Exhaustion </w:t>
      </w:r>
      <w:r w:rsidRPr="001B41E4">
        <w:rPr>
          <w:i/>
          <w:iCs/>
        </w:rPr>
        <w:t>Comports with</w:t>
      </w:r>
      <w:r w:rsidRPr="001B41E4">
        <w:rPr>
          <w:i/>
          <w:iCs/>
        </w:rPr>
        <w:t xml:space="preserve"> </w:t>
      </w:r>
      <w:r w:rsidRPr="001B41E4">
        <w:rPr>
          <w:i/>
        </w:rPr>
        <w:t>Proposition 218</w:t>
      </w:r>
    </w:p>
    <w:p w:rsidR="00A8295C" w:rsidRPr="001B41E4" w:rsidP="00A8295C" w14:paraId="10F7ECE6" w14:textId="62D514F2">
      <w:pPr>
        <w:ind w:firstLine="720"/>
      </w:pPr>
      <w:r w:rsidRPr="001B41E4">
        <w:t xml:space="preserve">Although </w:t>
      </w:r>
      <w:r w:rsidRPr="001B41E4" w:rsidR="00BA1F5A">
        <w:t xml:space="preserve">this </w:t>
      </w:r>
      <w:r w:rsidR="00CA2ABB">
        <w:t>matter</w:t>
      </w:r>
      <w:r w:rsidRPr="001B41E4" w:rsidR="00BA1F5A">
        <w:t xml:space="preserve"> might be resolved on the basis of the foregoing considerations</w:t>
      </w:r>
      <w:r w:rsidRPr="001B41E4" w:rsidR="00EA5DD1">
        <w:t>,</w:t>
      </w:r>
      <w:r w:rsidRPr="001B41E4">
        <w:t xml:space="preserve"> </w:t>
      </w:r>
      <w:r w:rsidRPr="001B41E4" w:rsidR="008445F7">
        <w:t xml:space="preserve">we also observe that </w:t>
      </w:r>
      <w:r w:rsidR="00A974B4">
        <w:t>a</w:t>
      </w:r>
      <w:r w:rsidRPr="001B41E4" w:rsidR="008445F7">
        <w:t xml:space="preserve"> conclusion that issue exhaustion does not apply here is in synch with our previous</w:t>
      </w:r>
      <w:r w:rsidR="00CA0A6C">
        <w:t>ly articulated</w:t>
      </w:r>
      <w:r w:rsidRPr="001B41E4" w:rsidR="008445F7">
        <w:t xml:space="preserve"> </w:t>
      </w:r>
      <w:r w:rsidR="00CA0A6C">
        <w:t>understanding</w:t>
      </w:r>
      <w:r w:rsidRPr="001B41E4" w:rsidR="00ED1015">
        <w:t xml:space="preserve"> of P</w:t>
      </w:r>
      <w:r w:rsidRPr="001B41E4" w:rsidR="008445F7">
        <w:t>roposition 218’s aims</w:t>
      </w:r>
      <w:r w:rsidRPr="001B41E4">
        <w:t>.</w:t>
      </w:r>
      <w:r w:rsidR="003813F6">
        <w:t xml:space="preserve">  With the initiative having the goal of facilitating challenges to assessments, </w:t>
      </w:r>
      <w:r w:rsidR="00537E7F">
        <w:t>this would be</w:t>
      </w:r>
      <w:r w:rsidR="003813F6">
        <w:t xml:space="preserve"> odd </w:t>
      </w:r>
      <w:r w:rsidR="00537E7F">
        <w:t xml:space="preserve">terrain in which </w:t>
      </w:r>
      <w:r w:rsidR="003813F6">
        <w:t xml:space="preserve">to </w:t>
      </w:r>
      <w:r w:rsidR="009160B3">
        <w:t>expand the exhaustion doctrine</w:t>
      </w:r>
      <w:r w:rsidR="003813F6">
        <w:t xml:space="preserve"> </w:t>
      </w:r>
      <w:r w:rsidRPr="001B41E4" w:rsidR="003813F6">
        <w:t>by regarding a public comment process such as the one before us as an adequate remedy that must be exhausted prior to suit</w:t>
      </w:r>
      <w:r w:rsidR="003813F6">
        <w:t>, especially when there are no</w:t>
      </w:r>
      <w:r w:rsidR="00FE6FA3">
        <w:t xml:space="preserve"> especially</w:t>
      </w:r>
      <w:r w:rsidR="003813F6">
        <w:t xml:space="preserve"> compelling policy justifications for doing so.</w:t>
      </w:r>
      <w:r>
        <w:rPr>
          <w:rStyle w:val="FootnoteReference"/>
        </w:rPr>
        <w:footnoteReference w:id="11"/>
      </w:r>
    </w:p>
    <w:p w:rsidR="002C68D0" w:rsidP="006A27EA" w14:paraId="50D582DC" w14:textId="77777777">
      <w:pPr>
        <w:ind w:firstLine="720"/>
        <w:rPr>
          <w:szCs w:val="26"/>
          <w:shd w:val="clear" w:color="auto" w:fill="FFFFFF"/>
        </w:rPr>
      </w:pPr>
      <w:r w:rsidRPr="001B41E4">
        <w:rPr>
          <w:szCs w:val="26"/>
        </w:rPr>
        <w:t xml:space="preserve">As we explained in </w:t>
      </w:r>
      <w:r w:rsidRPr="001B41E4">
        <w:rPr>
          <w:i/>
          <w:iCs/>
          <w:szCs w:val="26"/>
          <w:shd w:val="clear" w:color="auto" w:fill="FFFFFF"/>
        </w:rPr>
        <w:t>Silicon Valley Taxpayers’ Assn.</w:t>
      </w:r>
      <w:r w:rsidRPr="001B41E4">
        <w:rPr>
          <w:szCs w:val="26"/>
          <w:shd w:val="clear" w:color="auto" w:fill="FFFFFF"/>
        </w:rPr>
        <w:t xml:space="preserve">, </w:t>
      </w:r>
      <w:r w:rsidRPr="001B41E4">
        <w:rPr>
          <w:i/>
          <w:iCs/>
          <w:szCs w:val="26"/>
          <w:shd w:val="clear" w:color="auto" w:fill="FFFFFF"/>
        </w:rPr>
        <w:t>supra</w:t>
      </w:r>
      <w:r w:rsidRPr="001B41E4">
        <w:rPr>
          <w:szCs w:val="26"/>
          <w:shd w:val="clear" w:color="auto" w:fill="FFFFFF"/>
        </w:rPr>
        <w:t>, 44 Cal.4th 431</w:t>
      </w:r>
      <w:r w:rsidRPr="001B41E4">
        <w:rPr>
          <w:szCs w:val="26"/>
        </w:rPr>
        <w:t>, “[i]n passing Proposition 218, the voters clearly sought to limit local government’s ability to exact revenue under the rubric of special assessments” (</w:t>
      </w:r>
      <w:r w:rsidRPr="001B41E4">
        <w:rPr>
          <w:i/>
          <w:iCs/>
          <w:szCs w:val="26"/>
        </w:rPr>
        <w:t>id</w:t>
      </w:r>
      <w:r w:rsidRPr="001B41E4">
        <w:rPr>
          <w:szCs w:val="26"/>
        </w:rPr>
        <w:t xml:space="preserve">., at p. 446), and toward this end, the proposition </w:t>
      </w:r>
      <w:r w:rsidR="006D7B0F">
        <w:rPr>
          <w:szCs w:val="26"/>
        </w:rPr>
        <w:t>was intended to make</w:t>
      </w:r>
      <w:r w:rsidRPr="001B41E4">
        <w:rPr>
          <w:szCs w:val="26"/>
        </w:rPr>
        <w:t xml:space="preserve"> it “</w:t>
      </w:r>
      <w:r w:rsidRPr="001B41E4">
        <w:rPr>
          <w:szCs w:val="26"/>
          <w:shd w:val="clear" w:color="auto" w:fill="FFFFFF"/>
        </w:rPr>
        <w:t>more difficult for an assessment to be validated in a court proceeding” (</w:t>
      </w:r>
      <w:r w:rsidRPr="001B41E4">
        <w:rPr>
          <w:i/>
          <w:iCs/>
          <w:szCs w:val="26"/>
          <w:shd w:val="clear" w:color="auto" w:fill="FFFFFF"/>
        </w:rPr>
        <w:t>id</w:t>
      </w:r>
      <w:r w:rsidRPr="001B41E4">
        <w:rPr>
          <w:szCs w:val="26"/>
          <w:shd w:val="clear" w:color="auto" w:fill="FFFFFF"/>
        </w:rPr>
        <w:t xml:space="preserve">., at p. 445).  (See also </w:t>
      </w:r>
      <w:r w:rsidRPr="001B41E4">
        <w:rPr>
          <w:i/>
          <w:iCs/>
          <w:szCs w:val="26"/>
          <w:shd w:val="clear" w:color="auto" w:fill="FFFFFF"/>
        </w:rPr>
        <w:t>id</w:t>
      </w:r>
      <w:r w:rsidRPr="001B41E4">
        <w:rPr>
          <w:szCs w:val="26"/>
          <w:shd w:val="clear" w:color="auto" w:fill="FFFFFF"/>
        </w:rPr>
        <w:t xml:space="preserve">., at p. 448.)  </w:t>
      </w:r>
      <w:r w:rsidR="00817BA5">
        <w:rPr>
          <w:szCs w:val="26"/>
          <w:shd w:val="clear" w:color="auto" w:fill="FFFFFF"/>
        </w:rPr>
        <w:t>And as previously described in this opinion, w</w:t>
      </w:r>
      <w:r w:rsidRPr="001B41E4">
        <w:rPr>
          <w:szCs w:val="26"/>
          <w:shd w:val="clear" w:color="auto" w:fill="FFFFFF"/>
        </w:rPr>
        <w:t xml:space="preserve">e held in </w:t>
      </w:r>
      <w:r w:rsidRPr="001B41E4">
        <w:rPr>
          <w:i/>
          <w:iCs/>
          <w:szCs w:val="26"/>
          <w:shd w:val="clear" w:color="auto" w:fill="FFFFFF"/>
        </w:rPr>
        <w:t>Silicon Valley Taxpayers</w:t>
      </w:r>
      <w:r w:rsidR="007617A6">
        <w:rPr>
          <w:i/>
          <w:iCs/>
          <w:szCs w:val="26"/>
          <w:shd w:val="clear" w:color="auto" w:fill="FFFFFF"/>
        </w:rPr>
        <w:t>’</w:t>
      </w:r>
      <w:r w:rsidRPr="001B41E4">
        <w:rPr>
          <w:i/>
          <w:iCs/>
          <w:szCs w:val="26"/>
          <w:shd w:val="clear" w:color="auto" w:fill="FFFFFF"/>
        </w:rPr>
        <w:t xml:space="preserve"> Assn.</w:t>
      </w:r>
      <w:r w:rsidRPr="001B41E4">
        <w:rPr>
          <w:szCs w:val="26"/>
          <w:shd w:val="clear" w:color="auto" w:fill="FFFFFF"/>
        </w:rPr>
        <w:t xml:space="preserve"> that to stay true to the proposition’s intent, courts must apply their independent judgment when determining whether an agency has met the burdens assigned to it by </w:t>
      </w:r>
      <w:r w:rsidR="001A0D84">
        <w:rPr>
          <w:szCs w:val="26"/>
          <w:shd w:val="clear" w:color="auto" w:fill="FFFFFF"/>
        </w:rPr>
        <w:t xml:space="preserve">section 4, subdivision (f) of </w:t>
      </w:r>
      <w:r w:rsidRPr="001B41E4">
        <w:rPr>
          <w:szCs w:val="26"/>
          <w:shd w:val="clear" w:color="auto" w:fill="FFFFFF"/>
        </w:rPr>
        <w:t>the initiative</w:t>
      </w:r>
      <w:r w:rsidR="003813F6">
        <w:rPr>
          <w:szCs w:val="26"/>
          <w:shd w:val="clear" w:color="auto" w:fill="FFFFFF"/>
        </w:rPr>
        <w:t xml:space="preserve"> </w:t>
      </w:r>
      <w:r w:rsidR="003813F6">
        <w:t>(a</w:t>
      </w:r>
      <w:r w:rsidRPr="001B41E4" w:rsidR="003813F6">
        <w:t>rt. XIII D, § 4, subd. (f))</w:t>
      </w:r>
      <w:r w:rsidRPr="001B41E4" w:rsidR="00EA6DAA">
        <w:rPr>
          <w:szCs w:val="26"/>
          <w:shd w:val="clear" w:color="auto" w:fill="FFFFFF"/>
        </w:rPr>
        <w:t> </w:t>
      </w:r>
      <w:r w:rsidRPr="001B41E4">
        <w:rPr>
          <w:szCs w:val="26"/>
          <w:shd w:val="clear" w:color="auto" w:fill="FFFFFF"/>
        </w:rPr>
        <w:t xml:space="preserve">— a substantially less deferential standard than the one we had applied in </w:t>
      </w:r>
      <w:r w:rsidRPr="001B41E4">
        <w:rPr>
          <w:i/>
          <w:iCs/>
          <w:szCs w:val="26"/>
          <w:shd w:val="clear" w:color="auto" w:fill="FFFFFF"/>
        </w:rPr>
        <w:t>Knox</w:t>
      </w:r>
      <w:r w:rsidRPr="001B41E4">
        <w:rPr>
          <w:szCs w:val="26"/>
          <w:shd w:val="clear" w:color="auto" w:fill="FFFFFF"/>
        </w:rPr>
        <w:t xml:space="preserve">, </w:t>
      </w:r>
      <w:r w:rsidRPr="001B41E4">
        <w:rPr>
          <w:i/>
          <w:iCs/>
          <w:szCs w:val="26"/>
          <w:shd w:val="clear" w:color="auto" w:fill="FFFFFF"/>
        </w:rPr>
        <w:t>supra</w:t>
      </w:r>
      <w:r w:rsidRPr="001B41E4">
        <w:rPr>
          <w:szCs w:val="26"/>
          <w:shd w:val="clear" w:color="auto" w:fill="FFFFFF"/>
        </w:rPr>
        <w:t>, 4 Cal.4th at pages 146–14</w:t>
      </w:r>
      <w:r w:rsidR="006D7B0F">
        <w:rPr>
          <w:szCs w:val="26"/>
          <w:shd w:val="clear" w:color="auto" w:fill="FFFFFF"/>
        </w:rPr>
        <w:t>9</w:t>
      </w:r>
      <w:r w:rsidRPr="001B41E4">
        <w:rPr>
          <w:szCs w:val="26"/>
          <w:shd w:val="clear" w:color="auto" w:fill="FFFFFF"/>
        </w:rPr>
        <w:t>.  (</w:t>
      </w:r>
      <w:r w:rsidRPr="001B41E4">
        <w:rPr>
          <w:i/>
          <w:iCs/>
          <w:szCs w:val="26"/>
          <w:shd w:val="clear" w:color="auto" w:fill="FFFFFF"/>
        </w:rPr>
        <w:t>Silicon Valley Taxpayers</w:t>
      </w:r>
      <w:r w:rsidR="007617A6">
        <w:rPr>
          <w:i/>
          <w:iCs/>
          <w:szCs w:val="26"/>
          <w:shd w:val="clear" w:color="auto" w:fill="FFFFFF"/>
        </w:rPr>
        <w:t>’</w:t>
      </w:r>
      <w:r w:rsidRPr="001B41E4">
        <w:rPr>
          <w:i/>
          <w:iCs/>
          <w:szCs w:val="26"/>
          <w:shd w:val="clear" w:color="auto" w:fill="FFFFFF"/>
        </w:rPr>
        <w:t xml:space="preserve"> Assn.</w:t>
      </w:r>
      <w:r w:rsidRPr="001B41E4">
        <w:rPr>
          <w:szCs w:val="26"/>
          <w:shd w:val="clear" w:color="auto" w:fill="FFFFFF"/>
        </w:rPr>
        <w:t>, at p.</w:t>
      </w:r>
      <w:r w:rsidRPr="001B41E4" w:rsidR="00EA6DAA">
        <w:rPr>
          <w:szCs w:val="26"/>
          <w:shd w:val="clear" w:color="auto" w:fill="FFFFFF"/>
        </w:rPr>
        <w:t> </w:t>
      </w:r>
      <w:r w:rsidRPr="001B41E4">
        <w:rPr>
          <w:szCs w:val="26"/>
          <w:shd w:val="clear" w:color="auto" w:fill="FFFFFF"/>
        </w:rPr>
        <w:t xml:space="preserve">450.)  </w:t>
      </w:r>
    </w:p>
    <w:p w:rsidR="008B33D8" w:rsidRPr="002C68D0" w:rsidP="002C68D0" w14:paraId="1020FACE" w14:textId="5E3DE6BC">
      <w:pPr>
        <w:ind w:firstLine="720"/>
        <w:rPr>
          <w:szCs w:val="26"/>
        </w:rPr>
      </w:pPr>
      <w:r w:rsidRPr="001B41E4">
        <w:rPr>
          <w:szCs w:val="26"/>
          <w:shd w:val="clear" w:color="auto" w:fill="FFFFFF"/>
        </w:rPr>
        <w:t>Having so construed the measure, it would be</w:t>
      </w:r>
      <w:r w:rsidR="009659BA">
        <w:rPr>
          <w:szCs w:val="26"/>
          <w:shd w:val="clear" w:color="auto" w:fill="FFFFFF"/>
        </w:rPr>
        <w:t xml:space="preserve"> </w:t>
      </w:r>
      <w:r w:rsidR="001A0306">
        <w:rPr>
          <w:szCs w:val="26"/>
          <w:shd w:val="clear" w:color="auto" w:fill="FFFFFF"/>
        </w:rPr>
        <w:t xml:space="preserve">somewhat </w:t>
      </w:r>
      <w:r w:rsidR="00A974B4">
        <w:rPr>
          <w:szCs w:val="26"/>
          <w:shd w:val="clear" w:color="auto" w:fill="FFFFFF"/>
        </w:rPr>
        <w:t>curious</w:t>
      </w:r>
      <w:r w:rsidRPr="001B41E4" w:rsidR="008445F7">
        <w:rPr>
          <w:szCs w:val="26"/>
          <w:shd w:val="clear" w:color="auto" w:fill="FFFFFF"/>
        </w:rPr>
        <w:t xml:space="preserve"> </w:t>
      </w:r>
      <w:r w:rsidRPr="001B41E4">
        <w:rPr>
          <w:szCs w:val="26"/>
          <w:shd w:val="clear" w:color="auto" w:fill="FFFFFF"/>
        </w:rPr>
        <w:t>for us to</w:t>
      </w:r>
      <w:r w:rsidR="006D7B0F">
        <w:rPr>
          <w:szCs w:val="26"/>
          <w:shd w:val="clear" w:color="auto" w:fill="FFFFFF"/>
        </w:rPr>
        <w:t xml:space="preserve"> now</w:t>
      </w:r>
      <w:r w:rsidRPr="001B41E4">
        <w:rPr>
          <w:szCs w:val="26"/>
          <w:shd w:val="clear" w:color="auto" w:fill="FFFFFF"/>
        </w:rPr>
        <w:t xml:space="preserve"> adopt an expansive view of issue exhaustion</w:t>
      </w:r>
      <w:r w:rsidR="006D7B0F">
        <w:rPr>
          <w:szCs w:val="26"/>
          <w:shd w:val="clear" w:color="auto" w:fill="FFFFFF"/>
        </w:rPr>
        <w:t xml:space="preserve"> in this context</w:t>
      </w:r>
      <w:r w:rsidRPr="001B41E4">
        <w:rPr>
          <w:szCs w:val="26"/>
        </w:rPr>
        <w:t xml:space="preserve">.  </w:t>
      </w:r>
      <w:r w:rsidR="00FE6FA3">
        <w:rPr>
          <w:szCs w:val="26"/>
        </w:rPr>
        <w:t xml:space="preserve">Such a rule would resolve an issue we left open in </w:t>
      </w:r>
      <w:r w:rsidRPr="00FE6FA3" w:rsidR="00FE6FA3">
        <w:rPr>
          <w:i/>
          <w:iCs/>
          <w:szCs w:val="26"/>
        </w:rPr>
        <w:t>Knox</w:t>
      </w:r>
      <w:r w:rsidR="002C68D0">
        <w:rPr>
          <w:szCs w:val="26"/>
        </w:rPr>
        <w:t xml:space="preserve">, </w:t>
      </w:r>
      <w:r w:rsidRPr="002C68D0" w:rsidR="002C68D0">
        <w:rPr>
          <w:i/>
          <w:iCs/>
          <w:szCs w:val="26"/>
        </w:rPr>
        <w:t>supra</w:t>
      </w:r>
      <w:r w:rsidR="002C68D0">
        <w:rPr>
          <w:szCs w:val="26"/>
        </w:rPr>
        <w:t>, 4 Cal.4</w:t>
      </w:r>
      <w:r w:rsidRPr="002C68D0" w:rsidR="002C68D0">
        <w:rPr>
          <w:szCs w:val="26"/>
        </w:rPr>
        <w:t>th</w:t>
      </w:r>
      <w:r w:rsidR="002C68D0">
        <w:rPr>
          <w:szCs w:val="26"/>
        </w:rPr>
        <w:t xml:space="preserve"> at page 148</w:t>
      </w:r>
      <w:r w:rsidR="00BB0B7D">
        <w:rPr>
          <w:szCs w:val="26"/>
        </w:rPr>
        <w:t> </w:t>
      </w:r>
      <w:r w:rsidR="002C68D0">
        <w:rPr>
          <w:szCs w:val="26"/>
        </w:rPr>
        <w:t>—</w:t>
      </w:r>
      <w:r w:rsidR="00644E77">
        <w:rPr>
          <w:szCs w:val="26"/>
        </w:rPr>
        <w:t xml:space="preserve"> a decision the proposition countermanded </w:t>
      </w:r>
      <w:r w:rsidR="002C68D0">
        <w:rPr>
          <w:szCs w:val="26"/>
        </w:rPr>
        <w:t>because of the deference it extended to assessment schemes</w:t>
      </w:r>
      <w:r w:rsidR="00BB0B7D">
        <w:rPr>
          <w:szCs w:val="26"/>
        </w:rPr>
        <w:t> </w:t>
      </w:r>
      <w:r w:rsidR="002C68D0">
        <w:rPr>
          <w:szCs w:val="26"/>
        </w:rPr>
        <w:t xml:space="preserve">— </w:t>
      </w:r>
      <w:r w:rsidR="00FE6FA3">
        <w:rPr>
          <w:szCs w:val="26"/>
        </w:rPr>
        <w:t xml:space="preserve">in a manner </w:t>
      </w:r>
      <w:r w:rsidRPr="00644E77" w:rsidR="00FE6FA3">
        <w:rPr>
          <w:szCs w:val="26"/>
        </w:rPr>
        <w:t>adverse</w:t>
      </w:r>
      <w:r w:rsidR="00FE6FA3">
        <w:rPr>
          <w:szCs w:val="26"/>
        </w:rPr>
        <w:t xml:space="preserve"> to challenges to assessments covered by the </w:t>
      </w:r>
      <w:r w:rsidR="002C68D0">
        <w:rPr>
          <w:szCs w:val="26"/>
        </w:rPr>
        <w:t>initiative</w:t>
      </w:r>
      <w:r w:rsidR="00644E77">
        <w:rPr>
          <w:szCs w:val="26"/>
        </w:rPr>
        <w:t xml:space="preserve">.  </w:t>
      </w:r>
      <w:r w:rsidRPr="001B41E4" w:rsidR="006A27EA">
        <w:rPr>
          <w:szCs w:val="26"/>
        </w:rPr>
        <w:t>An insistence on</w:t>
      </w:r>
      <w:r w:rsidRPr="001B41E4">
        <w:rPr>
          <w:szCs w:val="26"/>
        </w:rPr>
        <w:t xml:space="preserve"> issue exhaustion</w:t>
      </w:r>
      <w:r w:rsidR="00935BAE">
        <w:rPr>
          <w:szCs w:val="26"/>
        </w:rPr>
        <w:t xml:space="preserve"> </w:t>
      </w:r>
      <w:r w:rsidR="001A0D84">
        <w:rPr>
          <w:szCs w:val="26"/>
        </w:rPr>
        <w:t>here</w:t>
      </w:r>
      <w:r w:rsidRPr="001B41E4">
        <w:rPr>
          <w:szCs w:val="26"/>
        </w:rPr>
        <w:t xml:space="preserve"> </w:t>
      </w:r>
      <w:r w:rsidRPr="001B41E4" w:rsidR="006A27EA">
        <w:rPr>
          <w:szCs w:val="26"/>
        </w:rPr>
        <w:t xml:space="preserve">could have </w:t>
      </w:r>
      <w:r w:rsidR="00626BF2">
        <w:rPr>
          <w:szCs w:val="26"/>
        </w:rPr>
        <w:t>important</w:t>
      </w:r>
      <w:r w:rsidRPr="001B41E4" w:rsidR="006A27EA">
        <w:rPr>
          <w:szCs w:val="26"/>
        </w:rPr>
        <w:t xml:space="preserve"> consequences, too</w:t>
      </w:r>
      <w:r w:rsidR="002C68D0">
        <w:rPr>
          <w:szCs w:val="26"/>
        </w:rPr>
        <w:t>.  W</w:t>
      </w:r>
      <w:r w:rsidRPr="001B41E4">
        <w:rPr>
          <w:szCs w:val="26"/>
        </w:rPr>
        <w:t>e question the Court of Appeal’s downplaying of the burdens attendant to “</w:t>
      </w:r>
      <w:r w:rsidRPr="001B41E4">
        <w:t>submitting a ballot opposing the assessment and presenting to the agency at the designated public hearing the specific reasons for [an] objection to the establishment of a BID in a manner the agency can consider and either incorporate into its decision or decline to act on.”  (</w:t>
      </w:r>
      <w:r w:rsidRPr="001B41E4">
        <w:rPr>
          <w:i/>
          <w:iCs/>
        </w:rPr>
        <w:t>Hill RHF</w:t>
      </w:r>
      <w:r w:rsidRPr="001B41E4">
        <w:t xml:space="preserve">, </w:t>
      </w:r>
      <w:r w:rsidRPr="001B41E4">
        <w:rPr>
          <w:i/>
          <w:iCs/>
        </w:rPr>
        <w:t>supra</w:t>
      </w:r>
      <w:r w:rsidRPr="001B41E4">
        <w:t>, 51</w:t>
      </w:r>
      <w:r w:rsidRPr="001B41E4" w:rsidR="00EA6DAA">
        <w:t> </w:t>
      </w:r>
      <w:r w:rsidRPr="001B41E4">
        <w:t>Cal.App.5th at p. 634.)  The development and presentation of “specific reasons for [an] objection” (</w:t>
      </w:r>
      <w:r w:rsidRPr="001B41E4">
        <w:rPr>
          <w:i/>
          <w:iCs/>
        </w:rPr>
        <w:t>ibid</w:t>
      </w:r>
      <w:r w:rsidRPr="001B41E4">
        <w:t>.) at the appropriate hearing may be far easier said than done.</w:t>
      </w:r>
      <w:r>
        <w:rPr>
          <w:rStyle w:val="FootnoteReference"/>
          <w:bCs/>
        </w:rPr>
        <w:footnoteReference w:id="12"/>
      </w:r>
      <w:r w:rsidRPr="001B41E4">
        <w:rPr>
          <w:b/>
          <w:bCs/>
        </w:rPr>
        <w:t xml:space="preserve"> </w:t>
      </w:r>
      <w:r w:rsidRPr="001B41E4">
        <w:rPr>
          <w:b/>
          <w:bCs/>
        </w:rPr>
        <w:t xml:space="preserve"> </w:t>
      </w:r>
    </w:p>
    <w:p w:rsidR="00BE323A" w:rsidRPr="001B41E4" w:rsidP="00A8295C" w14:paraId="688A4E6B" w14:textId="447CFCA4">
      <w:pPr>
        <w:pStyle w:val="ListParagraph"/>
        <w:keepNext/>
        <w:numPr>
          <w:ilvl w:val="0"/>
          <w:numId w:val="11"/>
        </w:numPr>
        <w:tabs>
          <w:tab w:val="left" w:pos="1440"/>
        </w:tabs>
        <w:ind w:left="1440"/>
        <w:rPr>
          <w:i/>
          <w:iCs/>
        </w:rPr>
      </w:pPr>
      <w:r w:rsidRPr="001B41E4">
        <w:rPr>
          <w:i/>
          <w:iCs/>
        </w:rPr>
        <w:t>Conclusion</w:t>
      </w:r>
    </w:p>
    <w:p w:rsidR="00F83537" w:rsidRPr="001B41E4" w:rsidP="00A974B4" w14:paraId="6EF0243F" w14:textId="14EB4661">
      <w:pPr>
        <w:ind w:firstLine="720"/>
        <w:rPr>
          <w:szCs w:val="26"/>
        </w:rPr>
      </w:pPr>
      <w:r w:rsidRPr="001B41E4">
        <w:rPr>
          <w:szCs w:val="26"/>
        </w:rPr>
        <w:t>To</w:t>
      </w:r>
      <w:r w:rsidRPr="001B41E4" w:rsidR="00803F66">
        <w:rPr>
          <w:szCs w:val="26"/>
        </w:rPr>
        <w:t xml:space="preserve"> </w:t>
      </w:r>
      <w:r w:rsidRPr="001B41E4">
        <w:rPr>
          <w:szCs w:val="26"/>
        </w:rPr>
        <w:t>summarize</w:t>
      </w:r>
      <w:r w:rsidRPr="001B41E4" w:rsidR="00803F66">
        <w:rPr>
          <w:szCs w:val="26"/>
        </w:rPr>
        <w:t xml:space="preserve">, </w:t>
      </w:r>
      <w:r w:rsidRPr="001B41E4" w:rsidR="001B2FB1">
        <w:rPr>
          <w:szCs w:val="26"/>
        </w:rPr>
        <w:t>t</w:t>
      </w:r>
      <w:r w:rsidRPr="001B41E4" w:rsidR="00803F66">
        <w:rPr>
          <w:szCs w:val="26"/>
        </w:rPr>
        <w:t xml:space="preserve">he opportunity to </w:t>
      </w:r>
      <w:r w:rsidR="001A0306">
        <w:rPr>
          <w:szCs w:val="26"/>
        </w:rPr>
        <w:t>participate in a public comment session regarding a BID proposal</w:t>
      </w:r>
      <w:r w:rsidRPr="001B41E4" w:rsidR="00803F66">
        <w:rPr>
          <w:szCs w:val="26"/>
        </w:rPr>
        <w:t xml:space="preserve"> </w:t>
      </w:r>
      <w:r w:rsidRPr="001B41E4" w:rsidR="008B33D8">
        <w:rPr>
          <w:szCs w:val="26"/>
        </w:rPr>
        <w:t xml:space="preserve">does not </w:t>
      </w:r>
      <w:r w:rsidR="00A974B4">
        <w:rPr>
          <w:szCs w:val="26"/>
        </w:rPr>
        <w:t>involve</w:t>
      </w:r>
      <w:r w:rsidRPr="001B41E4" w:rsidR="008B33D8">
        <w:rPr>
          <w:szCs w:val="26"/>
        </w:rPr>
        <w:t xml:space="preserve"> procedures </w:t>
      </w:r>
      <w:r w:rsidR="001A0306">
        <w:rPr>
          <w:szCs w:val="26"/>
        </w:rPr>
        <w:t>conducive to</w:t>
      </w:r>
      <w:r w:rsidRPr="001B41E4" w:rsidR="008B33D8">
        <w:rPr>
          <w:szCs w:val="26"/>
        </w:rPr>
        <w:t xml:space="preserve"> the </w:t>
      </w:r>
      <w:r w:rsidR="001A0306">
        <w:rPr>
          <w:szCs w:val="26"/>
        </w:rPr>
        <w:t>“submission</w:t>
      </w:r>
      <w:r w:rsidRPr="001B41E4" w:rsidR="008B33D8">
        <w:rPr>
          <w:szCs w:val="26"/>
        </w:rPr>
        <w:t>, evaluation,</w:t>
      </w:r>
      <w:r w:rsidR="001A0306">
        <w:rPr>
          <w:szCs w:val="26"/>
        </w:rPr>
        <w:t>”</w:t>
      </w:r>
      <w:r w:rsidRPr="001B41E4" w:rsidR="008B33D8">
        <w:rPr>
          <w:szCs w:val="26"/>
        </w:rPr>
        <w:t xml:space="preserve"> </w:t>
      </w:r>
      <w:r w:rsidRPr="001B41E4" w:rsidR="008C7348">
        <w:rPr>
          <w:szCs w:val="26"/>
        </w:rPr>
        <w:t>and</w:t>
      </w:r>
      <w:r w:rsidR="004B3D6C">
        <w:rPr>
          <w:szCs w:val="26"/>
        </w:rPr>
        <w:t xml:space="preserve"> especially the</w:t>
      </w:r>
      <w:r w:rsidRPr="001B41E4" w:rsidR="008B33D8">
        <w:rPr>
          <w:szCs w:val="26"/>
        </w:rPr>
        <w:t xml:space="preserve"> </w:t>
      </w:r>
      <w:r w:rsidR="001A0306">
        <w:rPr>
          <w:szCs w:val="26"/>
        </w:rPr>
        <w:t>“</w:t>
      </w:r>
      <w:r w:rsidRPr="001B41E4" w:rsidR="008B33D8">
        <w:rPr>
          <w:szCs w:val="26"/>
        </w:rPr>
        <w:t>resolution</w:t>
      </w:r>
      <w:r w:rsidR="001A0306">
        <w:rPr>
          <w:szCs w:val="26"/>
        </w:rPr>
        <w:t>”</w:t>
      </w:r>
      <w:r w:rsidRPr="001B41E4" w:rsidR="008B33D8">
        <w:rPr>
          <w:szCs w:val="26"/>
        </w:rPr>
        <w:t xml:space="preserve"> of disputes</w:t>
      </w:r>
      <w:r w:rsidR="001A0306">
        <w:rPr>
          <w:szCs w:val="26"/>
        </w:rPr>
        <w:t xml:space="preserve"> (</w:t>
      </w:r>
      <w:r w:rsidRPr="001B41E4" w:rsidR="001A0306">
        <w:rPr>
          <w:i/>
          <w:iCs/>
          <w:szCs w:val="26"/>
        </w:rPr>
        <w:t>Rosenfield</w:t>
      </w:r>
      <w:r w:rsidRPr="001B41E4" w:rsidR="001A0306">
        <w:rPr>
          <w:szCs w:val="26"/>
        </w:rPr>
        <w:t xml:space="preserve">, </w:t>
      </w:r>
      <w:r w:rsidRPr="001B41E4" w:rsidR="001A0306">
        <w:rPr>
          <w:i/>
          <w:iCs/>
          <w:szCs w:val="26"/>
        </w:rPr>
        <w:t>supra</w:t>
      </w:r>
      <w:r w:rsidRPr="001B41E4" w:rsidR="001A0306">
        <w:rPr>
          <w:szCs w:val="26"/>
        </w:rPr>
        <w:t>, 65 Cal.2d at p</w:t>
      </w:r>
      <w:r w:rsidR="00BB0B7D">
        <w:rPr>
          <w:szCs w:val="26"/>
        </w:rPr>
        <w:t>.</w:t>
      </w:r>
      <w:r w:rsidRPr="001B41E4" w:rsidR="001A0306">
        <w:rPr>
          <w:szCs w:val="26"/>
        </w:rPr>
        <w:t xml:space="preserve"> 566</w:t>
      </w:r>
      <w:r w:rsidR="001A0306">
        <w:rPr>
          <w:szCs w:val="26"/>
        </w:rPr>
        <w:t>) comparable to those that are commonly found in administrative remedies</w:t>
      </w:r>
      <w:r w:rsidR="00817BA5">
        <w:rPr>
          <w:szCs w:val="26"/>
        </w:rPr>
        <w:t xml:space="preserve"> that must be exhausted</w:t>
      </w:r>
      <w:r w:rsidRPr="001B41E4" w:rsidR="008C7348">
        <w:rPr>
          <w:szCs w:val="26"/>
        </w:rPr>
        <w:t>;</w:t>
      </w:r>
      <w:r w:rsidRPr="001B41E4" w:rsidR="00803F66">
        <w:rPr>
          <w:szCs w:val="26"/>
        </w:rPr>
        <w:t xml:space="preserve"> </w:t>
      </w:r>
      <w:r w:rsidR="001A0306">
        <w:rPr>
          <w:szCs w:val="26"/>
        </w:rPr>
        <w:t xml:space="preserve">the </w:t>
      </w:r>
      <w:r w:rsidRPr="001B41E4">
        <w:rPr>
          <w:szCs w:val="26"/>
        </w:rPr>
        <w:t xml:space="preserve">policy arguments </w:t>
      </w:r>
      <w:r w:rsidR="001A0306">
        <w:rPr>
          <w:szCs w:val="26"/>
        </w:rPr>
        <w:t>for</w:t>
      </w:r>
      <w:r w:rsidR="00817BA5">
        <w:rPr>
          <w:szCs w:val="26"/>
        </w:rPr>
        <w:t xml:space="preserve"> recognizing</w:t>
      </w:r>
      <w:r w:rsidR="001A0306">
        <w:rPr>
          <w:szCs w:val="26"/>
        </w:rPr>
        <w:t xml:space="preserve"> </w:t>
      </w:r>
      <w:r w:rsidRPr="001B41E4">
        <w:rPr>
          <w:szCs w:val="26"/>
        </w:rPr>
        <w:t>an exhaustion requirement</w:t>
      </w:r>
      <w:r w:rsidRPr="001B41E4" w:rsidR="00BA1F5A">
        <w:rPr>
          <w:szCs w:val="26"/>
        </w:rPr>
        <w:t xml:space="preserve"> do not </w:t>
      </w:r>
      <w:r w:rsidRPr="001B41E4" w:rsidR="00973408">
        <w:rPr>
          <w:szCs w:val="26"/>
        </w:rPr>
        <w:t>carry</w:t>
      </w:r>
      <w:r w:rsidRPr="001B41E4" w:rsidR="00BA1F5A">
        <w:rPr>
          <w:szCs w:val="26"/>
        </w:rPr>
        <w:t xml:space="preserve"> </w:t>
      </w:r>
      <w:r w:rsidR="001A0306">
        <w:rPr>
          <w:szCs w:val="26"/>
        </w:rPr>
        <w:t>great</w:t>
      </w:r>
      <w:r w:rsidRPr="001B41E4" w:rsidR="00BA1F5A">
        <w:rPr>
          <w:szCs w:val="26"/>
        </w:rPr>
        <w:t xml:space="preserve"> force here</w:t>
      </w:r>
      <w:r w:rsidRPr="001B41E4" w:rsidR="008C7348">
        <w:rPr>
          <w:szCs w:val="26"/>
        </w:rPr>
        <w:t>;</w:t>
      </w:r>
      <w:r w:rsidRPr="001B41E4" w:rsidR="00BA1F5A">
        <w:rPr>
          <w:szCs w:val="26"/>
        </w:rPr>
        <w:t xml:space="preserve"> and</w:t>
      </w:r>
      <w:r w:rsidRPr="001B41E4" w:rsidR="00973408">
        <w:rPr>
          <w:szCs w:val="26"/>
        </w:rPr>
        <w:t xml:space="preserve"> </w:t>
      </w:r>
      <w:r w:rsidR="00D72E38">
        <w:rPr>
          <w:szCs w:val="26"/>
        </w:rPr>
        <w:t xml:space="preserve">declining to </w:t>
      </w:r>
      <w:r w:rsidR="00817BA5">
        <w:rPr>
          <w:szCs w:val="26"/>
        </w:rPr>
        <w:t>require</w:t>
      </w:r>
      <w:r w:rsidR="00D72E38">
        <w:rPr>
          <w:szCs w:val="26"/>
        </w:rPr>
        <w:t xml:space="preserve"> exhaustion </w:t>
      </w:r>
      <w:r w:rsidR="006E0545">
        <w:rPr>
          <w:szCs w:val="26"/>
        </w:rPr>
        <w:t>creates no tension</w:t>
      </w:r>
      <w:r w:rsidR="00D72E38">
        <w:rPr>
          <w:szCs w:val="26"/>
        </w:rPr>
        <w:t xml:space="preserve"> with our previously articulated understanding of</w:t>
      </w:r>
      <w:r w:rsidRPr="001B41E4" w:rsidR="00BA1F5A">
        <w:rPr>
          <w:szCs w:val="26"/>
        </w:rPr>
        <w:t xml:space="preserve"> Proposition 218</w:t>
      </w:r>
      <w:r w:rsidR="00D72E38">
        <w:rPr>
          <w:szCs w:val="26"/>
        </w:rPr>
        <w:t>’s goals</w:t>
      </w:r>
      <w:r w:rsidRPr="001B41E4" w:rsidR="00803F66">
        <w:rPr>
          <w:szCs w:val="26"/>
        </w:rPr>
        <w:t xml:space="preserve">. </w:t>
      </w:r>
      <w:r w:rsidRPr="001B41E4" w:rsidR="00677BF2">
        <w:rPr>
          <w:szCs w:val="26"/>
        </w:rPr>
        <w:t xml:space="preserve"> </w:t>
      </w:r>
      <w:r w:rsidR="00A974B4">
        <w:rPr>
          <w:shd w:val="clear" w:color="auto" w:fill="FFFFFF"/>
        </w:rPr>
        <w:t>The</w:t>
      </w:r>
      <w:r w:rsidRPr="001B41E4" w:rsidR="00A974B4">
        <w:rPr>
          <w:shd w:val="clear" w:color="auto" w:fill="FFFFFF"/>
        </w:rPr>
        <w:t xml:space="preserve"> purported remedy</w:t>
      </w:r>
      <w:r w:rsidR="00A974B4">
        <w:rPr>
          <w:shd w:val="clear" w:color="auto" w:fill="FFFFFF"/>
        </w:rPr>
        <w:t xml:space="preserve"> here</w:t>
      </w:r>
      <w:r w:rsidRPr="001B41E4" w:rsidR="00A974B4">
        <w:rPr>
          <w:shd w:val="clear" w:color="auto" w:fill="FFFFFF"/>
        </w:rPr>
        <w:t xml:space="preserve"> is </w:t>
      </w:r>
      <w:r w:rsidR="00A974B4">
        <w:rPr>
          <w:shd w:val="clear" w:color="auto" w:fill="FFFFFF"/>
        </w:rPr>
        <w:t>just</w:t>
      </w:r>
      <w:r w:rsidRPr="001B41E4" w:rsidR="00A974B4">
        <w:rPr>
          <w:shd w:val="clear" w:color="auto" w:fill="FFFFFF"/>
        </w:rPr>
        <w:t xml:space="preserve"> too thin, and the policy justifications for demanding exhaustion too weak, </w:t>
      </w:r>
      <w:r w:rsidR="00A974B4">
        <w:rPr>
          <w:shd w:val="clear" w:color="auto" w:fill="FFFFFF"/>
        </w:rPr>
        <w:t xml:space="preserve">to insist that petitioners have presented their objections as public comments in order to secure their </w:t>
      </w:r>
      <w:r w:rsidR="00CA0A6C">
        <w:rPr>
          <w:shd w:val="clear" w:color="auto" w:fill="FFFFFF"/>
        </w:rPr>
        <w:t>evaluation</w:t>
      </w:r>
      <w:r w:rsidR="00A974B4">
        <w:rPr>
          <w:shd w:val="clear" w:color="auto" w:fill="FFFFFF"/>
        </w:rPr>
        <w:t xml:space="preserve"> in court</w:t>
      </w:r>
      <w:r w:rsidRPr="001B41E4" w:rsidR="00A974B4">
        <w:rPr>
          <w:shd w:val="clear" w:color="auto" w:fill="FFFFFF"/>
        </w:rPr>
        <w:t>.</w:t>
      </w:r>
      <w:r w:rsidR="00A974B4">
        <w:rPr>
          <w:szCs w:val="26"/>
        </w:rPr>
        <w:t xml:space="preserve">  </w:t>
      </w:r>
      <w:r w:rsidR="00D72E38">
        <w:rPr>
          <w:szCs w:val="26"/>
        </w:rPr>
        <w:t>We therefore</w:t>
      </w:r>
      <w:r w:rsidRPr="001B41E4" w:rsidR="00677BF2">
        <w:rPr>
          <w:szCs w:val="26"/>
        </w:rPr>
        <w:t xml:space="preserve"> </w:t>
      </w:r>
      <w:r w:rsidR="00D72E38">
        <w:rPr>
          <w:szCs w:val="26"/>
        </w:rPr>
        <w:t>conclude</w:t>
      </w:r>
      <w:r w:rsidRPr="001B41E4" w:rsidR="00803F66">
        <w:rPr>
          <w:szCs w:val="26"/>
        </w:rPr>
        <w:t xml:space="preserve"> that the Court of Appeal erred in rejecting petitioners’ appeal</w:t>
      </w:r>
      <w:r w:rsidRPr="001B41E4" w:rsidR="00677BF2">
        <w:rPr>
          <w:szCs w:val="26"/>
        </w:rPr>
        <w:t xml:space="preserve"> </w:t>
      </w:r>
      <w:r w:rsidRPr="001B41E4" w:rsidR="00803F66">
        <w:rPr>
          <w:szCs w:val="26"/>
        </w:rPr>
        <w:t>on the ground they had not exhausted their administrative remedies</w:t>
      </w:r>
      <w:r w:rsidRPr="001B41E4" w:rsidR="00BA7C18">
        <w:rPr>
          <w:szCs w:val="26"/>
        </w:rPr>
        <w:t>.</w:t>
      </w:r>
      <w:r w:rsidRPr="001B41E4" w:rsidR="00803F66">
        <w:rPr>
          <w:szCs w:val="26"/>
        </w:rPr>
        <w:t xml:space="preserve"> </w:t>
      </w:r>
    </w:p>
    <w:p w:rsidR="00A021E2" w:rsidRPr="001B41E4" w:rsidP="0023145B" w14:paraId="3A804DC7" w14:textId="08DADD92">
      <w:pPr>
        <w:pStyle w:val="xmsonormal"/>
        <w:keepNext/>
        <w:keepLines/>
        <w:numPr>
          <w:ilvl w:val="0"/>
          <w:numId w:val="8"/>
        </w:numPr>
        <w:shd w:val="clear" w:color="auto" w:fill="FFFFFF"/>
        <w:spacing w:before="0" w:beforeAutospacing="0" w:afterAutospacing="0" w:line="400" w:lineRule="exact"/>
        <w:rPr>
          <w:rFonts w:ascii="Century Schoolbook" w:hAnsi="Century Schoolbook"/>
          <w:b/>
          <w:bCs/>
          <w:sz w:val="27"/>
          <w:szCs w:val="22"/>
          <w:shd w:val="clear" w:color="auto" w:fill="FFFFFF"/>
        </w:rPr>
      </w:pPr>
      <w:r w:rsidRPr="001B41E4">
        <w:rPr>
          <w:rFonts w:ascii="Century Schoolbook" w:hAnsi="Century Schoolbook"/>
          <w:b/>
          <w:bCs/>
          <w:sz w:val="27"/>
          <w:szCs w:val="22"/>
          <w:shd w:val="clear" w:color="auto" w:fill="FFFFFF"/>
        </w:rPr>
        <w:t xml:space="preserve">Other </w:t>
      </w:r>
      <w:r w:rsidRPr="001B41E4" w:rsidR="008D7695">
        <w:rPr>
          <w:rFonts w:ascii="Century Schoolbook" w:hAnsi="Century Schoolbook"/>
          <w:b/>
          <w:bCs/>
          <w:sz w:val="27"/>
          <w:szCs w:val="22"/>
          <w:shd w:val="clear" w:color="auto" w:fill="FFFFFF"/>
        </w:rPr>
        <w:t>A</w:t>
      </w:r>
      <w:r w:rsidRPr="001B41E4">
        <w:rPr>
          <w:rFonts w:ascii="Century Schoolbook" w:hAnsi="Century Schoolbook"/>
          <w:b/>
          <w:bCs/>
          <w:sz w:val="27"/>
          <w:szCs w:val="22"/>
          <w:shd w:val="clear" w:color="auto" w:fill="FFFFFF"/>
        </w:rPr>
        <w:t>rguments</w:t>
      </w:r>
      <w:r w:rsidRPr="001B41E4">
        <w:rPr>
          <w:rFonts w:ascii="Century Schoolbook" w:hAnsi="Century Schoolbook"/>
          <w:b/>
          <w:bCs/>
          <w:sz w:val="27"/>
          <w:szCs w:val="22"/>
          <w:shd w:val="clear" w:color="auto" w:fill="FFFFFF"/>
        </w:rPr>
        <w:t xml:space="preserve"> Advanced by Respondents and Amici Curiae</w:t>
      </w:r>
      <w:r w:rsidRPr="001B41E4">
        <w:rPr>
          <w:rFonts w:ascii="Century Schoolbook" w:hAnsi="Century Schoolbook"/>
          <w:b/>
          <w:bCs/>
          <w:sz w:val="27"/>
          <w:szCs w:val="22"/>
          <w:shd w:val="clear" w:color="auto" w:fill="FFFFFF"/>
        </w:rPr>
        <w:t xml:space="preserve"> </w:t>
      </w:r>
      <w:r w:rsidRPr="001B41E4" w:rsidR="002450AC">
        <w:rPr>
          <w:rFonts w:ascii="Century Schoolbook" w:hAnsi="Century Schoolbook"/>
          <w:b/>
          <w:bCs/>
          <w:sz w:val="27"/>
          <w:szCs w:val="22"/>
          <w:shd w:val="clear" w:color="auto" w:fill="FFFFFF"/>
        </w:rPr>
        <w:t>Do Not Justify an Exhaustion Requirement</w:t>
      </w:r>
    </w:p>
    <w:p w:rsidR="00A021E2" w:rsidRPr="001B41E4" w:rsidP="0023145B" w14:paraId="045FA311" w14:textId="760B32FA">
      <w:pPr>
        <w:pStyle w:val="xmsonormal"/>
        <w:shd w:val="clear" w:color="auto" w:fill="FFFFFF"/>
        <w:spacing w:before="0" w:beforeAutospacing="0" w:afterAutospacing="0" w:line="400" w:lineRule="exact"/>
        <w:ind w:firstLine="720"/>
        <w:rPr>
          <w:rFonts w:ascii="Century Schoolbook" w:hAnsi="Century Schoolbook"/>
          <w:sz w:val="27"/>
          <w:szCs w:val="22"/>
          <w:shd w:val="clear" w:color="auto" w:fill="FFFFFF"/>
        </w:rPr>
      </w:pPr>
      <w:r w:rsidRPr="001B41E4">
        <w:rPr>
          <w:rFonts w:ascii="Century Schoolbook" w:hAnsi="Century Schoolbook"/>
          <w:sz w:val="27"/>
          <w:szCs w:val="22"/>
          <w:shd w:val="clear" w:color="auto" w:fill="FFFFFF"/>
        </w:rPr>
        <w:t xml:space="preserve">Respondents </w:t>
      </w:r>
      <w:r w:rsidRPr="001B41E4" w:rsidR="004F039D">
        <w:rPr>
          <w:rFonts w:ascii="Century Schoolbook" w:hAnsi="Century Schoolbook"/>
          <w:sz w:val="27"/>
          <w:szCs w:val="22"/>
          <w:shd w:val="clear" w:color="auto" w:fill="FFFFFF"/>
        </w:rPr>
        <w:t xml:space="preserve">and their supporting amici curiae (the League of California Cities, the Association of California Water Agencies, the California State Association of Counties, and the California Special Districts Association) </w:t>
      </w:r>
      <w:r w:rsidRPr="001B41E4" w:rsidR="00857BB7">
        <w:rPr>
          <w:rFonts w:ascii="Century Schoolbook" w:hAnsi="Century Schoolbook"/>
          <w:sz w:val="27"/>
          <w:szCs w:val="22"/>
          <w:shd w:val="clear" w:color="auto" w:fill="FFFFFF"/>
        </w:rPr>
        <w:t>advance</w:t>
      </w:r>
      <w:r w:rsidRPr="001B41E4" w:rsidR="00803F66">
        <w:rPr>
          <w:rFonts w:ascii="Century Schoolbook" w:hAnsi="Century Schoolbook"/>
          <w:sz w:val="27"/>
          <w:szCs w:val="22"/>
          <w:shd w:val="clear" w:color="auto" w:fill="FFFFFF"/>
        </w:rPr>
        <w:t xml:space="preserve"> </w:t>
      </w:r>
      <w:r w:rsidRPr="001B41E4" w:rsidR="00857BB7">
        <w:rPr>
          <w:rFonts w:ascii="Century Schoolbook" w:hAnsi="Century Schoolbook"/>
          <w:sz w:val="27"/>
          <w:szCs w:val="22"/>
          <w:shd w:val="clear" w:color="auto" w:fill="FFFFFF"/>
        </w:rPr>
        <w:t>other</w:t>
      </w:r>
      <w:r w:rsidRPr="001B41E4" w:rsidR="00803F66">
        <w:rPr>
          <w:rFonts w:ascii="Century Schoolbook" w:hAnsi="Century Schoolbook"/>
          <w:sz w:val="27"/>
          <w:szCs w:val="22"/>
          <w:shd w:val="clear" w:color="auto" w:fill="FFFFFF"/>
        </w:rPr>
        <w:t xml:space="preserve"> reasons why issue exhaustion should apply here, but</w:t>
      </w:r>
      <w:r w:rsidRPr="001B41E4">
        <w:rPr>
          <w:rFonts w:ascii="Century Schoolbook" w:hAnsi="Century Schoolbook"/>
          <w:sz w:val="27"/>
          <w:szCs w:val="22"/>
          <w:shd w:val="clear" w:color="auto" w:fill="FFFFFF"/>
        </w:rPr>
        <w:t xml:space="preserve"> </w:t>
      </w:r>
      <w:r w:rsidRPr="001B41E4" w:rsidR="00803F66">
        <w:rPr>
          <w:rFonts w:ascii="Century Schoolbook" w:hAnsi="Century Schoolbook"/>
          <w:sz w:val="27"/>
          <w:szCs w:val="22"/>
          <w:shd w:val="clear" w:color="auto" w:fill="FFFFFF"/>
        </w:rPr>
        <w:t xml:space="preserve">none of these arguments </w:t>
      </w:r>
      <w:r w:rsidRPr="001B41E4">
        <w:rPr>
          <w:rFonts w:ascii="Century Schoolbook" w:hAnsi="Century Schoolbook"/>
          <w:sz w:val="27"/>
          <w:szCs w:val="22"/>
          <w:shd w:val="clear" w:color="auto" w:fill="FFFFFF"/>
        </w:rPr>
        <w:t>suppl</w:t>
      </w:r>
      <w:r w:rsidRPr="001B41E4" w:rsidR="007503BB">
        <w:rPr>
          <w:rFonts w:ascii="Century Schoolbook" w:hAnsi="Century Schoolbook"/>
          <w:sz w:val="27"/>
          <w:szCs w:val="22"/>
          <w:shd w:val="clear" w:color="auto" w:fill="FFFFFF"/>
        </w:rPr>
        <w:t>ies</w:t>
      </w:r>
      <w:r w:rsidRPr="001B41E4">
        <w:rPr>
          <w:rFonts w:ascii="Century Schoolbook" w:hAnsi="Century Schoolbook"/>
          <w:sz w:val="27"/>
          <w:szCs w:val="22"/>
          <w:shd w:val="clear" w:color="auto" w:fill="FFFFFF"/>
        </w:rPr>
        <w:t xml:space="preserve"> a persuasive basis for</w:t>
      </w:r>
      <w:r w:rsidRPr="001B41E4" w:rsidR="00324B30">
        <w:rPr>
          <w:rFonts w:ascii="Century Schoolbook" w:hAnsi="Century Schoolbook"/>
          <w:sz w:val="27"/>
          <w:szCs w:val="22"/>
          <w:shd w:val="clear" w:color="auto" w:fill="FFFFFF"/>
        </w:rPr>
        <w:t xml:space="preserve"> adopting</w:t>
      </w:r>
      <w:r w:rsidRPr="001B41E4" w:rsidR="009A3740">
        <w:rPr>
          <w:rFonts w:ascii="Century Schoolbook" w:hAnsi="Century Schoolbook"/>
          <w:sz w:val="27"/>
          <w:szCs w:val="22"/>
          <w:shd w:val="clear" w:color="auto" w:fill="FFFFFF"/>
        </w:rPr>
        <w:t xml:space="preserve"> </w:t>
      </w:r>
      <w:r w:rsidRPr="001B41E4" w:rsidR="00876086">
        <w:rPr>
          <w:rFonts w:ascii="Century Schoolbook" w:hAnsi="Century Schoolbook"/>
          <w:sz w:val="27"/>
          <w:szCs w:val="22"/>
          <w:shd w:val="clear" w:color="auto" w:fill="FFFFFF"/>
        </w:rPr>
        <w:t>their</w:t>
      </w:r>
      <w:r w:rsidRPr="001B41E4" w:rsidR="00803F66">
        <w:rPr>
          <w:rFonts w:ascii="Century Schoolbook" w:hAnsi="Century Schoolbook"/>
          <w:sz w:val="27"/>
          <w:szCs w:val="22"/>
          <w:shd w:val="clear" w:color="auto" w:fill="FFFFFF"/>
        </w:rPr>
        <w:t xml:space="preserve"> </w:t>
      </w:r>
      <w:r w:rsidRPr="001B41E4" w:rsidR="009A3740">
        <w:rPr>
          <w:rFonts w:ascii="Century Schoolbook" w:hAnsi="Century Schoolbook"/>
          <w:sz w:val="27"/>
          <w:szCs w:val="22"/>
          <w:shd w:val="clear" w:color="auto" w:fill="FFFFFF"/>
        </w:rPr>
        <w:t>position</w:t>
      </w:r>
      <w:r w:rsidRPr="001B41E4">
        <w:rPr>
          <w:rFonts w:ascii="Century Schoolbook" w:hAnsi="Century Schoolbook"/>
          <w:sz w:val="27"/>
          <w:szCs w:val="22"/>
          <w:shd w:val="clear" w:color="auto" w:fill="FFFFFF"/>
        </w:rPr>
        <w:t>.</w:t>
      </w:r>
    </w:p>
    <w:p w:rsidR="009A3740" w:rsidRPr="001B41E4" w:rsidP="0023145B" w14:paraId="23671466" w14:textId="43A35CFD">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Beginning with the text of Proposition 218</w:t>
      </w:r>
      <w:r w:rsidRPr="001B41E4" w:rsidR="004C17A9">
        <w:rPr>
          <w:rFonts w:ascii="Century Schoolbook" w:hAnsi="Century Schoolbook"/>
          <w:sz w:val="27"/>
          <w:szCs w:val="26"/>
        </w:rPr>
        <w:t xml:space="preserve"> and the Implementation Act</w:t>
      </w:r>
      <w:r w:rsidRPr="001B41E4">
        <w:rPr>
          <w:rFonts w:ascii="Century Schoolbook" w:hAnsi="Century Schoolbook"/>
          <w:sz w:val="27"/>
          <w:szCs w:val="26"/>
        </w:rPr>
        <w:t xml:space="preserve">, </w:t>
      </w:r>
      <w:r w:rsidRPr="001B41E4">
        <w:rPr>
          <w:rFonts w:ascii="Century Schoolbook" w:hAnsi="Century Schoolbook"/>
          <w:sz w:val="27"/>
          <w:szCs w:val="26"/>
          <w:shd w:val="clear" w:color="auto" w:fill="FFFFFF"/>
        </w:rPr>
        <w:t xml:space="preserve">respondents argue that </w:t>
      </w:r>
      <w:r w:rsidRPr="001B41E4" w:rsidR="00A85A59">
        <w:rPr>
          <w:rFonts w:ascii="Century Schoolbook" w:hAnsi="Century Schoolbook"/>
          <w:sz w:val="27"/>
          <w:szCs w:val="26"/>
          <w:shd w:val="clear" w:color="auto" w:fill="FFFFFF"/>
        </w:rPr>
        <w:t xml:space="preserve">it </w:t>
      </w:r>
      <w:r w:rsidRPr="001B41E4">
        <w:rPr>
          <w:rFonts w:ascii="Century Schoolbook" w:hAnsi="Century Schoolbook"/>
          <w:sz w:val="27"/>
          <w:szCs w:val="26"/>
          <w:shd w:val="clear" w:color="auto" w:fill="FFFFFF"/>
        </w:rPr>
        <w:t xml:space="preserve">would </w:t>
      </w:r>
      <w:r w:rsidRPr="001B41E4" w:rsidR="004C17A9">
        <w:rPr>
          <w:rFonts w:ascii="Century Schoolbook" w:hAnsi="Century Schoolbook"/>
          <w:sz w:val="27"/>
          <w:szCs w:val="26"/>
          <w:shd w:val="clear" w:color="auto" w:fill="FFFFFF"/>
        </w:rPr>
        <w:t>give short shrift to the</w:t>
      </w:r>
      <w:r w:rsidRPr="001B41E4">
        <w:rPr>
          <w:rFonts w:ascii="Century Schoolbook" w:hAnsi="Century Schoolbook"/>
          <w:sz w:val="27"/>
          <w:szCs w:val="26"/>
          <w:shd w:val="clear" w:color="auto" w:fill="FFFFFF"/>
        </w:rPr>
        <w:t xml:space="preserve"> </w:t>
      </w:r>
      <w:r w:rsidRPr="001B41E4" w:rsidR="00CF5FBF">
        <w:rPr>
          <w:rFonts w:ascii="Century Schoolbook" w:hAnsi="Century Schoolbook"/>
          <w:sz w:val="27"/>
          <w:szCs w:val="26"/>
          <w:shd w:val="clear" w:color="auto" w:fill="FFFFFF"/>
        </w:rPr>
        <w:t xml:space="preserve">provisions </w:t>
      </w:r>
      <w:r w:rsidR="0072763E">
        <w:rPr>
          <w:rFonts w:ascii="Century Schoolbook" w:hAnsi="Century Schoolbook"/>
          <w:sz w:val="27"/>
          <w:szCs w:val="26"/>
          <w:shd w:val="clear" w:color="auto" w:fill="FFFFFF"/>
        </w:rPr>
        <w:t xml:space="preserve">therein </w:t>
      </w:r>
      <w:r w:rsidRPr="001B41E4">
        <w:rPr>
          <w:rFonts w:ascii="Century Schoolbook" w:hAnsi="Century Schoolbook"/>
          <w:sz w:val="27"/>
          <w:szCs w:val="26"/>
          <w:shd w:val="clear" w:color="auto" w:fill="FFFFFF"/>
        </w:rPr>
        <w:t xml:space="preserve">that </w:t>
      </w:r>
      <w:r w:rsidRPr="001B41E4" w:rsidR="004C17A9">
        <w:rPr>
          <w:rFonts w:ascii="Century Schoolbook" w:hAnsi="Century Schoolbook"/>
          <w:sz w:val="27"/>
          <w:szCs w:val="26"/>
          <w:shd w:val="clear" w:color="auto" w:fill="FFFFFF"/>
        </w:rPr>
        <w:t>protests and objections</w:t>
      </w:r>
      <w:r w:rsidRPr="001B41E4" w:rsidR="00CF5FBF">
        <w:rPr>
          <w:rFonts w:ascii="Century Schoolbook" w:hAnsi="Century Schoolbook"/>
          <w:sz w:val="27"/>
          <w:szCs w:val="26"/>
          <w:shd w:val="clear" w:color="auto" w:fill="FFFFFF"/>
        </w:rPr>
        <w:t xml:space="preserve"> may be raised and shall</w:t>
      </w:r>
      <w:r w:rsidRPr="001B41E4" w:rsidR="004C17A9">
        <w:rPr>
          <w:rFonts w:ascii="Century Schoolbook" w:hAnsi="Century Schoolbook"/>
          <w:sz w:val="27"/>
          <w:szCs w:val="26"/>
          <w:shd w:val="clear" w:color="auto" w:fill="FFFFFF"/>
        </w:rPr>
        <w:t xml:space="preserve"> </w:t>
      </w:r>
      <w:r w:rsidRPr="001B41E4">
        <w:rPr>
          <w:rFonts w:ascii="Century Schoolbook" w:hAnsi="Century Schoolbook"/>
          <w:sz w:val="27"/>
          <w:szCs w:val="26"/>
          <w:shd w:val="clear" w:color="auto" w:fill="FFFFFF"/>
        </w:rPr>
        <w:t xml:space="preserve">be “consider[ed]” </w:t>
      </w:r>
      <w:r w:rsidRPr="001B41E4">
        <w:rPr>
          <w:rFonts w:ascii="Century Schoolbook" w:hAnsi="Century Schoolbook"/>
          <w:sz w:val="27"/>
        </w:rPr>
        <w:t>(art. XIII D, § 4, subd. (e)</w:t>
      </w:r>
      <w:r w:rsidRPr="001B41E4" w:rsidR="004C17A9">
        <w:rPr>
          <w:rFonts w:ascii="Century Schoolbook" w:hAnsi="Century Schoolbook"/>
          <w:sz w:val="27"/>
        </w:rPr>
        <w:t>; Gov. Code, § 53753, subd. (d)</w:t>
      </w:r>
      <w:r w:rsidRPr="001B41E4">
        <w:rPr>
          <w:rFonts w:ascii="Century Schoolbook" w:hAnsi="Century Schoolbook"/>
          <w:sz w:val="27"/>
        </w:rPr>
        <w:t>)</w:t>
      </w:r>
      <w:r w:rsidRPr="001B41E4" w:rsidR="00324B30">
        <w:rPr>
          <w:rFonts w:ascii="Century Schoolbook" w:hAnsi="Century Schoolbook"/>
          <w:sz w:val="27"/>
        </w:rPr>
        <w:t xml:space="preserve"> at the public hearing on a BID</w:t>
      </w:r>
      <w:r w:rsidRPr="001B41E4" w:rsidR="00A85A59">
        <w:rPr>
          <w:rFonts w:ascii="Century Schoolbook" w:hAnsi="Century Schoolbook"/>
          <w:sz w:val="27"/>
          <w:szCs w:val="26"/>
          <w:shd w:val="clear" w:color="auto" w:fill="FFFFFF"/>
        </w:rPr>
        <w:t xml:space="preserve"> if </w:t>
      </w:r>
      <w:r w:rsidRPr="001B41E4">
        <w:rPr>
          <w:rFonts w:ascii="Century Schoolbook" w:hAnsi="Century Schoolbook"/>
          <w:sz w:val="27"/>
          <w:szCs w:val="26"/>
          <w:shd w:val="clear" w:color="auto" w:fill="FFFFFF"/>
        </w:rPr>
        <w:t>objectors could</w:t>
      </w:r>
      <w:r w:rsidRPr="001B41E4" w:rsidR="00CC5241">
        <w:rPr>
          <w:rFonts w:ascii="Century Schoolbook" w:hAnsi="Century Schoolbook"/>
          <w:sz w:val="27"/>
          <w:szCs w:val="26"/>
          <w:shd w:val="clear" w:color="auto" w:fill="FFFFFF"/>
        </w:rPr>
        <w:t xml:space="preserve"> just</w:t>
      </w:r>
      <w:r w:rsidRPr="001B41E4">
        <w:rPr>
          <w:rFonts w:ascii="Century Schoolbook" w:hAnsi="Century Schoolbook"/>
          <w:sz w:val="27"/>
          <w:szCs w:val="26"/>
          <w:shd w:val="clear" w:color="auto" w:fill="FFFFFF"/>
        </w:rPr>
        <w:t xml:space="preserve"> ignore the hearing</w:t>
      </w:r>
      <w:r w:rsidRPr="001B41E4" w:rsidR="00857BB7">
        <w:rPr>
          <w:rFonts w:ascii="Century Schoolbook" w:hAnsi="Century Schoolbook"/>
          <w:sz w:val="27"/>
          <w:szCs w:val="26"/>
          <w:shd w:val="clear" w:color="auto" w:fill="FFFFFF"/>
        </w:rPr>
        <w:t xml:space="preserve"> </w:t>
      </w:r>
      <w:r w:rsidRPr="001B41E4">
        <w:rPr>
          <w:rFonts w:ascii="Century Schoolbook" w:hAnsi="Century Schoolbook"/>
          <w:sz w:val="27"/>
          <w:szCs w:val="26"/>
          <w:shd w:val="clear" w:color="auto" w:fill="FFFFFF"/>
        </w:rPr>
        <w:t>and proceed directly to court</w:t>
      </w:r>
      <w:r w:rsidRPr="001B41E4" w:rsidR="00CF5FBF">
        <w:rPr>
          <w:rFonts w:ascii="Century Schoolbook" w:hAnsi="Century Schoolbook"/>
          <w:sz w:val="27"/>
          <w:szCs w:val="26"/>
          <w:shd w:val="clear" w:color="auto" w:fill="FFFFFF"/>
        </w:rPr>
        <w:t xml:space="preserve"> if the BID is approved</w:t>
      </w:r>
      <w:r w:rsidRPr="001B41E4">
        <w:rPr>
          <w:rFonts w:ascii="Century Schoolbook" w:hAnsi="Century Schoolbook"/>
          <w:sz w:val="27"/>
          <w:szCs w:val="26"/>
          <w:shd w:val="clear" w:color="auto" w:fill="FFFFFF"/>
        </w:rPr>
        <w:t xml:space="preserve">.  </w:t>
      </w:r>
      <w:r w:rsidRPr="001B41E4" w:rsidR="004C17A9">
        <w:rPr>
          <w:rFonts w:ascii="Century Schoolbook" w:hAnsi="Century Schoolbook"/>
          <w:sz w:val="27"/>
          <w:szCs w:val="26"/>
          <w:shd w:val="clear" w:color="auto" w:fill="FFFFFF"/>
        </w:rPr>
        <w:t>But</w:t>
      </w:r>
      <w:r w:rsidRPr="001B41E4" w:rsidR="00B636D8">
        <w:rPr>
          <w:rFonts w:ascii="Century Schoolbook" w:hAnsi="Century Schoolbook"/>
          <w:sz w:val="27"/>
          <w:szCs w:val="26"/>
          <w:shd w:val="clear" w:color="auto" w:fill="FFFFFF"/>
        </w:rPr>
        <w:t xml:space="preserve"> our holding does not </w:t>
      </w:r>
      <w:r w:rsidRPr="001B41E4" w:rsidR="00AB3FDE">
        <w:rPr>
          <w:rFonts w:ascii="Century Schoolbook" w:hAnsi="Century Schoolbook"/>
          <w:sz w:val="27"/>
          <w:szCs w:val="26"/>
          <w:shd w:val="clear" w:color="auto" w:fill="FFFFFF"/>
        </w:rPr>
        <w:t>transform</w:t>
      </w:r>
      <w:r w:rsidRPr="001B41E4" w:rsidR="00B636D8">
        <w:rPr>
          <w:rFonts w:ascii="Century Schoolbook" w:hAnsi="Century Schoolbook"/>
          <w:sz w:val="27"/>
          <w:szCs w:val="26"/>
          <w:shd w:val="clear" w:color="auto" w:fill="FFFFFF"/>
        </w:rPr>
        <w:t xml:space="preserve"> </w:t>
      </w:r>
      <w:r w:rsidRPr="001B41E4" w:rsidR="008C7348">
        <w:rPr>
          <w:rFonts w:ascii="Century Schoolbook" w:hAnsi="Century Schoolbook"/>
          <w:sz w:val="27"/>
          <w:szCs w:val="26"/>
          <w:shd w:val="clear" w:color="auto" w:fill="FFFFFF"/>
        </w:rPr>
        <w:t>these</w:t>
      </w:r>
      <w:r w:rsidRPr="001B41E4" w:rsidR="00B636D8">
        <w:rPr>
          <w:rFonts w:ascii="Century Schoolbook" w:hAnsi="Century Schoolbook"/>
          <w:sz w:val="27"/>
          <w:szCs w:val="26"/>
          <w:shd w:val="clear" w:color="auto" w:fill="FFFFFF"/>
        </w:rPr>
        <w:t xml:space="preserve"> provision</w:t>
      </w:r>
      <w:r w:rsidRPr="001B41E4" w:rsidR="008C7348">
        <w:rPr>
          <w:rFonts w:ascii="Century Schoolbook" w:hAnsi="Century Schoolbook"/>
          <w:sz w:val="27"/>
          <w:szCs w:val="26"/>
          <w:shd w:val="clear" w:color="auto" w:fill="FFFFFF"/>
        </w:rPr>
        <w:t>s</w:t>
      </w:r>
      <w:r w:rsidRPr="001B41E4" w:rsidR="00B636D8">
        <w:rPr>
          <w:rFonts w:ascii="Century Schoolbook" w:hAnsi="Century Schoolbook"/>
          <w:sz w:val="27"/>
          <w:szCs w:val="26"/>
          <w:shd w:val="clear" w:color="auto" w:fill="FFFFFF"/>
        </w:rPr>
        <w:t xml:space="preserve"> </w:t>
      </w:r>
      <w:r w:rsidRPr="001B41E4" w:rsidR="00AB3FDE">
        <w:rPr>
          <w:rFonts w:ascii="Century Schoolbook" w:hAnsi="Century Schoolbook"/>
          <w:sz w:val="27"/>
          <w:szCs w:val="26"/>
          <w:shd w:val="clear" w:color="auto" w:fill="FFFFFF"/>
        </w:rPr>
        <w:t xml:space="preserve">into </w:t>
      </w:r>
      <w:r w:rsidRPr="001B41E4" w:rsidR="00B636D8">
        <w:rPr>
          <w:rFonts w:ascii="Century Schoolbook" w:hAnsi="Century Schoolbook"/>
          <w:sz w:val="27"/>
          <w:szCs w:val="26"/>
          <w:shd w:val="clear" w:color="auto" w:fill="FFFFFF"/>
        </w:rPr>
        <w:t>nullit</w:t>
      </w:r>
      <w:r w:rsidRPr="001B41E4" w:rsidR="008C7348">
        <w:rPr>
          <w:rFonts w:ascii="Century Schoolbook" w:hAnsi="Century Schoolbook"/>
          <w:sz w:val="27"/>
          <w:szCs w:val="26"/>
          <w:shd w:val="clear" w:color="auto" w:fill="FFFFFF"/>
        </w:rPr>
        <w:t>ies</w:t>
      </w:r>
      <w:r w:rsidRPr="001B41E4" w:rsidR="00AB3FDE">
        <w:rPr>
          <w:rFonts w:ascii="Century Schoolbook" w:hAnsi="Century Schoolbook"/>
          <w:sz w:val="27"/>
          <w:szCs w:val="26"/>
          <w:shd w:val="clear" w:color="auto" w:fill="FFFFFF"/>
        </w:rPr>
        <w:t xml:space="preserve">.  </w:t>
      </w:r>
      <w:r w:rsidRPr="001B41E4" w:rsidR="00B636D8">
        <w:rPr>
          <w:rFonts w:ascii="Century Schoolbook" w:hAnsi="Century Schoolbook"/>
          <w:sz w:val="27"/>
          <w:szCs w:val="26"/>
          <w:shd w:val="clear" w:color="auto" w:fill="FFFFFF"/>
        </w:rPr>
        <w:t>T</w:t>
      </w:r>
      <w:r w:rsidRPr="001B41E4">
        <w:rPr>
          <w:rFonts w:ascii="Century Schoolbook" w:hAnsi="Century Schoolbook"/>
          <w:sz w:val="27"/>
          <w:szCs w:val="26"/>
          <w:shd w:val="clear" w:color="auto" w:fill="FFFFFF"/>
        </w:rPr>
        <w:t xml:space="preserve">here </w:t>
      </w:r>
      <w:r w:rsidRPr="001B41E4" w:rsidR="004F039D">
        <w:rPr>
          <w:rFonts w:ascii="Century Schoolbook" w:hAnsi="Century Schoolbook"/>
          <w:sz w:val="27"/>
          <w:szCs w:val="26"/>
          <w:shd w:val="clear" w:color="auto" w:fill="FFFFFF"/>
        </w:rPr>
        <w:t>are</w:t>
      </w:r>
      <w:r w:rsidRPr="001B41E4">
        <w:rPr>
          <w:rFonts w:ascii="Century Schoolbook" w:hAnsi="Century Schoolbook"/>
          <w:sz w:val="27"/>
          <w:szCs w:val="26"/>
          <w:shd w:val="clear" w:color="auto" w:fill="FFFFFF"/>
        </w:rPr>
        <w:t xml:space="preserve"> good reasons </w:t>
      </w:r>
      <w:r w:rsidRPr="001B41E4" w:rsidR="000D2BA8">
        <w:rPr>
          <w:rFonts w:ascii="Century Schoolbook" w:hAnsi="Century Schoolbook"/>
          <w:sz w:val="27"/>
          <w:szCs w:val="26"/>
          <w:shd w:val="clear" w:color="auto" w:fill="FFFFFF"/>
        </w:rPr>
        <w:t>why</w:t>
      </w:r>
      <w:r w:rsidRPr="001B41E4">
        <w:rPr>
          <w:rFonts w:ascii="Century Schoolbook" w:hAnsi="Century Schoolbook"/>
          <w:sz w:val="27"/>
          <w:szCs w:val="26"/>
          <w:shd w:val="clear" w:color="auto" w:fill="FFFFFF"/>
        </w:rPr>
        <w:t xml:space="preserve"> property owners </w:t>
      </w:r>
      <w:r w:rsidRPr="001B41E4" w:rsidR="000D2BA8">
        <w:rPr>
          <w:rFonts w:ascii="Century Schoolbook" w:hAnsi="Century Schoolbook"/>
          <w:sz w:val="27"/>
          <w:szCs w:val="26"/>
          <w:shd w:val="clear" w:color="auto" w:fill="FFFFFF"/>
        </w:rPr>
        <w:t>might</w:t>
      </w:r>
      <w:r w:rsidRPr="001B41E4">
        <w:rPr>
          <w:rFonts w:ascii="Century Schoolbook" w:hAnsi="Century Schoolbook"/>
          <w:sz w:val="27"/>
          <w:szCs w:val="26"/>
          <w:shd w:val="clear" w:color="auto" w:fill="FFFFFF"/>
        </w:rPr>
        <w:t xml:space="preserve"> </w:t>
      </w:r>
      <w:r w:rsidRPr="001B41E4" w:rsidR="00CC5241">
        <w:rPr>
          <w:rFonts w:ascii="Century Schoolbook" w:hAnsi="Century Schoolbook"/>
          <w:sz w:val="27"/>
          <w:szCs w:val="26"/>
          <w:shd w:val="clear" w:color="auto" w:fill="FFFFFF"/>
        </w:rPr>
        <w:t>raise their complaints</w:t>
      </w:r>
      <w:r w:rsidRPr="001B41E4" w:rsidR="004C17A9">
        <w:rPr>
          <w:rFonts w:ascii="Century Schoolbook" w:hAnsi="Century Schoolbook"/>
          <w:sz w:val="27"/>
          <w:szCs w:val="26"/>
          <w:shd w:val="clear" w:color="auto" w:fill="FFFFFF"/>
        </w:rPr>
        <w:t xml:space="preserve"> </w:t>
      </w:r>
      <w:r w:rsidRPr="001B41E4" w:rsidR="00CC5241">
        <w:rPr>
          <w:rFonts w:ascii="Century Schoolbook" w:hAnsi="Century Schoolbook"/>
          <w:sz w:val="27"/>
          <w:szCs w:val="26"/>
          <w:shd w:val="clear" w:color="auto" w:fill="FFFFFF"/>
        </w:rPr>
        <w:t>at the</w:t>
      </w:r>
      <w:r w:rsidRPr="001B41E4" w:rsidR="00857BB7">
        <w:rPr>
          <w:rFonts w:ascii="Century Schoolbook" w:hAnsi="Century Schoolbook"/>
          <w:sz w:val="27"/>
          <w:szCs w:val="26"/>
          <w:shd w:val="clear" w:color="auto" w:fill="FFFFFF"/>
        </w:rPr>
        <w:t xml:space="preserve"> </w:t>
      </w:r>
      <w:r w:rsidRPr="001B41E4" w:rsidR="00B636D8">
        <w:rPr>
          <w:rFonts w:ascii="Century Schoolbook" w:hAnsi="Century Schoolbook"/>
          <w:sz w:val="27"/>
          <w:szCs w:val="26"/>
          <w:shd w:val="clear" w:color="auto" w:fill="FFFFFF"/>
        </w:rPr>
        <w:t>appropriate</w:t>
      </w:r>
      <w:r w:rsidRPr="001B41E4">
        <w:rPr>
          <w:rFonts w:ascii="Century Schoolbook" w:hAnsi="Century Schoolbook"/>
          <w:sz w:val="27"/>
          <w:szCs w:val="26"/>
          <w:shd w:val="clear" w:color="auto" w:fill="FFFFFF"/>
        </w:rPr>
        <w:t xml:space="preserve"> </w:t>
      </w:r>
      <w:r w:rsidRPr="001B41E4" w:rsidR="00CC5241">
        <w:rPr>
          <w:rFonts w:ascii="Century Schoolbook" w:hAnsi="Century Schoolbook"/>
          <w:sz w:val="27"/>
          <w:szCs w:val="26"/>
          <w:shd w:val="clear" w:color="auto" w:fill="FFFFFF"/>
        </w:rPr>
        <w:t>hearing</w:t>
      </w:r>
      <w:r w:rsidRPr="001B41E4" w:rsidR="00B636D8">
        <w:rPr>
          <w:rFonts w:ascii="Century Schoolbook" w:hAnsi="Century Schoolbook"/>
          <w:sz w:val="27"/>
          <w:szCs w:val="26"/>
          <w:shd w:val="clear" w:color="auto" w:fill="FFFFFF"/>
        </w:rPr>
        <w:t>s</w:t>
      </w:r>
      <w:r w:rsidR="00CC7A86">
        <w:rPr>
          <w:rFonts w:ascii="Century Schoolbook" w:hAnsi="Century Schoolbook"/>
          <w:sz w:val="27"/>
          <w:szCs w:val="26"/>
          <w:shd w:val="clear" w:color="auto" w:fill="FFFFFF"/>
        </w:rPr>
        <w:t>, and why agencies are bound to consider these objections when made,</w:t>
      </w:r>
      <w:r w:rsidRPr="001B41E4" w:rsidR="0062037B">
        <w:rPr>
          <w:rFonts w:ascii="Century Schoolbook" w:hAnsi="Century Schoolbook"/>
          <w:sz w:val="27"/>
          <w:szCs w:val="26"/>
          <w:shd w:val="clear" w:color="auto" w:fill="FFFFFF"/>
        </w:rPr>
        <w:t xml:space="preserve"> even if the </w:t>
      </w:r>
      <w:r w:rsidR="00857923">
        <w:rPr>
          <w:rFonts w:ascii="Century Schoolbook" w:hAnsi="Century Schoolbook"/>
          <w:sz w:val="27"/>
          <w:szCs w:val="26"/>
          <w:shd w:val="clear" w:color="auto" w:fill="FFFFFF"/>
        </w:rPr>
        <w:t>articulation</w:t>
      </w:r>
      <w:r w:rsidRPr="001B41E4" w:rsidR="0062037B">
        <w:rPr>
          <w:rFonts w:ascii="Century Schoolbook" w:hAnsi="Century Schoolbook"/>
          <w:sz w:val="27"/>
          <w:szCs w:val="26"/>
          <w:shd w:val="clear" w:color="auto" w:fill="FFFFFF"/>
        </w:rPr>
        <w:t xml:space="preserve"> of </w:t>
      </w:r>
      <w:r w:rsidR="00CC7A86">
        <w:rPr>
          <w:rFonts w:ascii="Century Schoolbook" w:hAnsi="Century Schoolbook"/>
          <w:sz w:val="27"/>
          <w:szCs w:val="26"/>
          <w:shd w:val="clear" w:color="auto" w:fill="FFFFFF"/>
        </w:rPr>
        <w:t>issues</w:t>
      </w:r>
      <w:r w:rsidRPr="001B41E4" w:rsidR="0062037B">
        <w:rPr>
          <w:rFonts w:ascii="Century Schoolbook" w:hAnsi="Century Schoolbook"/>
          <w:sz w:val="27"/>
          <w:szCs w:val="26"/>
          <w:shd w:val="clear" w:color="auto" w:fill="FFFFFF"/>
        </w:rPr>
        <w:t xml:space="preserve"> </w:t>
      </w:r>
      <w:r w:rsidR="00CC7A86">
        <w:rPr>
          <w:rFonts w:ascii="Century Schoolbook" w:hAnsi="Century Schoolbook"/>
          <w:sz w:val="27"/>
          <w:szCs w:val="26"/>
          <w:shd w:val="clear" w:color="auto" w:fill="FFFFFF"/>
        </w:rPr>
        <w:t>at</w:t>
      </w:r>
      <w:r w:rsidRPr="001B41E4" w:rsidR="0062037B">
        <w:rPr>
          <w:rFonts w:ascii="Century Schoolbook" w:hAnsi="Century Schoolbook"/>
          <w:sz w:val="27"/>
          <w:szCs w:val="26"/>
          <w:shd w:val="clear" w:color="auto" w:fill="FFFFFF"/>
        </w:rPr>
        <w:t xml:space="preserve"> </w:t>
      </w:r>
      <w:r w:rsidRPr="001B41E4" w:rsidR="00B636D8">
        <w:rPr>
          <w:rFonts w:ascii="Century Schoolbook" w:hAnsi="Century Schoolbook"/>
          <w:sz w:val="27"/>
          <w:szCs w:val="26"/>
          <w:shd w:val="clear" w:color="auto" w:fill="FFFFFF"/>
        </w:rPr>
        <w:t>these</w:t>
      </w:r>
      <w:r w:rsidRPr="001B41E4" w:rsidR="0062037B">
        <w:rPr>
          <w:rFonts w:ascii="Century Schoolbook" w:hAnsi="Century Schoolbook"/>
          <w:sz w:val="27"/>
          <w:szCs w:val="26"/>
          <w:shd w:val="clear" w:color="auto" w:fill="FFFFFF"/>
        </w:rPr>
        <w:t xml:space="preserve"> forum</w:t>
      </w:r>
      <w:r w:rsidRPr="001B41E4" w:rsidR="00B636D8">
        <w:rPr>
          <w:rFonts w:ascii="Century Schoolbook" w:hAnsi="Century Schoolbook"/>
          <w:sz w:val="27"/>
          <w:szCs w:val="26"/>
          <w:shd w:val="clear" w:color="auto" w:fill="FFFFFF"/>
        </w:rPr>
        <w:t>s</w:t>
      </w:r>
      <w:r w:rsidRPr="001B41E4" w:rsidR="0062037B">
        <w:rPr>
          <w:rFonts w:ascii="Century Schoolbook" w:hAnsi="Century Schoolbook"/>
          <w:sz w:val="27"/>
          <w:szCs w:val="26"/>
          <w:shd w:val="clear" w:color="auto" w:fill="FFFFFF"/>
        </w:rPr>
        <w:t xml:space="preserve"> is not an absolute prerequisite for </w:t>
      </w:r>
      <w:r w:rsidR="00CC7A86">
        <w:rPr>
          <w:rFonts w:ascii="Century Schoolbook" w:hAnsi="Century Schoolbook"/>
          <w:sz w:val="27"/>
          <w:szCs w:val="26"/>
          <w:shd w:val="clear" w:color="auto" w:fill="FFFFFF"/>
        </w:rPr>
        <w:t xml:space="preserve">their subsequent </w:t>
      </w:r>
      <w:r w:rsidR="00857923">
        <w:rPr>
          <w:rFonts w:ascii="Century Schoolbook" w:hAnsi="Century Schoolbook"/>
          <w:sz w:val="27"/>
          <w:szCs w:val="26"/>
          <w:shd w:val="clear" w:color="auto" w:fill="FFFFFF"/>
        </w:rPr>
        <w:t>presentation</w:t>
      </w:r>
      <w:r w:rsidR="00CC7A86">
        <w:rPr>
          <w:rFonts w:ascii="Century Schoolbook" w:hAnsi="Century Schoolbook"/>
          <w:sz w:val="27"/>
          <w:szCs w:val="26"/>
          <w:shd w:val="clear" w:color="auto" w:fill="FFFFFF"/>
        </w:rPr>
        <w:t xml:space="preserve"> in court</w:t>
      </w:r>
      <w:r w:rsidRPr="001B41E4" w:rsidR="0062037B">
        <w:rPr>
          <w:rFonts w:ascii="Century Schoolbook" w:hAnsi="Century Schoolbook"/>
          <w:sz w:val="27"/>
          <w:szCs w:val="26"/>
          <w:shd w:val="clear" w:color="auto" w:fill="FFFFFF"/>
        </w:rPr>
        <w:t>.</w:t>
      </w:r>
      <w:r w:rsidRPr="001B41E4" w:rsidR="00CC5241">
        <w:rPr>
          <w:rFonts w:ascii="Century Schoolbook" w:hAnsi="Century Schoolbook"/>
          <w:sz w:val="27"/>
          <w:szCs w:val="26"/>
          <w:shd w:val="clear" w:color="auto" w:fill="FFFFFF"/>
        </w:rPr>
        <w:t xml:space="preserve"> </w:t>
      </w:r>
      <w:r w:rsidRPr="001B41E4" w:rsidR="00B636D8">
        <w:rPr>
          <w:rFonts w:ascii="Century Schoolbook" w:hAnsi="Century Schoolbook"/>
          <w:sz w:val="27"/>
          <w:szCs w:val="26"/>
          <w:shd w:val="clear" w:color="auto" w:fill="FFFFFF"/>
        </w:rPr>
        <w:t xml:space="preserve"> </w:t>
      </w:r>
      <w:r w:rsidR="00A43BC9">
        <w:rPr>
          <w:rFonts w:ascii="Century Schoolbook" w:hAnsi="Century Schoolbook"/>
          <w:sz w:val="27"/>
          <w:szCs w:val="26"/>
          <w:shd w:val="clear" w:color="auto" w:fill="FFFFFF"/>
        </w:rPr>
        <w:t xml:space="preserve">As has been </w:t>
      </w:r>
      <w:r w:rsidR="00CC7A86">
        <w:rPr>
          <w:rFonts w:ascii="Century Schoolbook" w:hAnsi="Century Schoolbook"/>
          <w:sz w:val="27"/>
          <w:szCs w:val="26"/>
          <w:shd w:val="clear" w:color="auto" w:fill="FFFFFF"/>
        </w:rPr>
        <w:t>acknowledged</w:t>
      </w:r>
      <w:r w:rsidR="00A43BC9">
        <w:rPr>
          <w:rFonts w:ascii="Century Schoolbook" w:hAnsi="Century Schoolbook"/>
          <w:sz w:val="27"/>
          <w:szCs w:val="26"/>
          <w:shd w:val="clear" w:color="auto" w:fill="FFFFFF"/>
        </w:rPr>
        <w:t>, s</w:t>
      </w:r>
      <w:r w:rsidRPr="001B41E4" w:rsidR="00CC5241">
        <w:rPr>
          <w:rFonts w:ascii="Century Schoolbook" w:hAnsi="Century Schoolbook"/>
          <w:sz w:val="27"/>
          <w:szCs w:val="26"/>
          <w:shd w:val="clear" w:color="auto" w:fill="FFFFFF"/>
        </w:rPr>
        <w:t xml:space="preserve">uch engagement conceivably could </w:t>
      </w:r>
      <w:r w:rsidRPr="001B41E4">
        <w:rPr>
          <w:rFonts w:ascii="Century Schoolbook" w:hAnsi="Century Schoolbook"/>
          <w:sz w:val="27"/>
          <w:szCs w:val="26"/>
          <w:shd w:val="clear" w:color="auto" w:fill="FFFFFF"/>
        </w:rPr>
        <w:t xml:space="preserve">secure </w:t>
      </w:r>
      <w:r w:rsidRPr="001B41E4" w:rsidR="0062037B">
        <w:rPr>
          <w:rFonts w:ascii="Century Schoolbook" w:hAnsi="Century Schoolbook"/>
          <w:sz w:val="27"/>
          <w:szCs w:val="26"/>
          <w:shd w:val="clear" w:color="auto" w:fill="FFFFFF"/>
        </w:rPr>
        <w:t>protesters relief</w:t>
      </w:r>
      <w:r w:rsidRPr="001B41E4" w:rsidR="00B636D8">
        <w:rPr>
          <w:rFonts w:ascii="Century Schoolbook" w:hAnsi="Century Schoolbook"/>
          <w:sz w:val="27"/>
          <w:szCs w:val="26"/>
          <w:shd w:val="clear" w:color="auto" w:fill="FFFFFF"/>
        </w:rPr>
        <w:t xml:space="preserve"> and resolve a</w:t>
      </w:r>
      <w:r w:rsidR="00A43BC9">
        <w:rPr>
          <w:rFonts w:ascii="Century Schoolbook" w:hAnsi="Century Schoolbook"/>
          <w:sz w:val="27"/>
          <w:szCs w:val="26"/>
          <w:shd w:val="clear" w:color="auto" w:fill="FFFFFF"/>
        </w:rPr>
        <w:t xml:space="preserve"> brewing</w:t>
      </w:r>
      <w:r w:rsidRPr="001B41E4" w:rsidR="00B636D8">
        <w:rPr>
          <w:rFonts w:ascii="Century Schoolbook" w:hAnsi="Century Schoolbook"/>
          <w:sz w:val="27"/>
          <w:szCs w:val="26"/>
          <w:shd w:val="clear" w:color="auto" w:fill="FFFFFF"/>
        </w:rPr>
        <w:t xml:space="preserve"> dispute</w:t>
      </w:r>
      <w:r w:rsidR="00A43BC9">
        <w:rPr>
          <w:rFonts w:ascii="Century Schoolbook" w:hAnsi="Century Schoolbook"/>
          <w:sz w:val="27"/>
          <w:szCs w:val="26"/>
          <w:shd w:val="clear" w:color="auto" w:fill="FFFFFF"/>
        </w:rPr>
        <w:t xml:space="preserve">, </w:t>
      </w:r>
      <w:r w:rsidRPr="001B41E4" w:rsidR="00B636D8">
        <w:rPr>
          <w:rFonts w:ascii="Century Schoolbook" w:hAnsi="Century Schoolbook"/>
          <w:sz w:val="27"/>
          <w:szCs w:val="26"/>
          <w:shd w:val="clear" w:color="auto" w:fill="FFFFFF"/>
        </w:rPr>
        <w:t>and for that reason</w:t>
      </w:r>
      <w:r w:rsidR="00CC7A86">
        <w:rPr>
          <w:rFonts w:ascii="Century Schoolbook" w:hAnsi="Century Schoolbook"/>
          <w:sz w:val="27"/>
          <w:szCs w:val="26"/>
          <w:shd w:val="clear" w:color="auto" w:fill="FFFFFF"/>
        </w:rPr>
        <w:t xml:space="preserve"> and others</w:t>
      </w:r>
      <w:r w:rsidRPr="001B41E4" w:rsidR="00B636D8">
        <w:rPr>
          <w:rFonts w:ascii="Century Schoolbook" w:hAnsi="Century Schoolbook"/>
          <w:sz w:val="27"/>
          <w:szCs w:val="26"/>
          <w:shd w:val="clear" w:color="auto" w:fill="FFFFFF"/>
        </w:rPr>
        <w:t xml:space="preserve"> might be encouraged and facilitated under the law even if exhaustion is not required</w:t>
      </w:r>
      <w:r w:rsidRPr="001B41E4">
        <w:rPr>
          <w:rFonts w:ascii="Century Schoolbook" w:hAnsi="Century Schoolbook"/>
          <w:sz w:val="27"/>
          <w:szCs w:val="26"/>
          <w:shd w:val="clear" w:color="auto" w:fill="FFFFFF"/>
        </w:rPr>
        <w:t xml:space="preserve">.  </w:t>
      </w:r>
      <w:r w:rsidR="007F366E">
        <w:rPr>
          <w:rFonts w:ascii="Century Schoolbook" w:hAnsi="Century Schoolbook"/>
          <w:sz w:val="27"/>
          <w:szCs w:val="26"/>
          <w:shd w:val="clear" w:color="auto" w:fill="FFFFFF"/>
        </w:rPr>
        <w:t>N</w:t>
      </w:r>
      <w:r w:rsidRPr="001B41E4" w:rsidR="0062037B">
        <w:rPr>
          <w:rFonts w:ascii="Century Schoolbook" w:hAnsi="Century Schoolbook"/>
          <w:sz w:val="27"/>
          <w:szCs w:val="26"/>
          <w:shd w:val="clear" w:color="auto" w:fill="FFFFFF"/>
        </w:rPr>
        <w:t>otably</w:t>
      </w:r>
      <w:r w:rsidRPr="001B41E4">
        <w:rPr>
          <w:rFonts w:ascii="Century Schoolbook" w:hAnsi="Century Schoolbook"/>
          <w:sz w:val="27"/>
          <w:szCs w:val="26"/>
          <w:shd w:val="clear" w:color="auto" w:fill="FFFFFF"/>
        </w:rPr>
        <w:t xml:space="preserve">, some </w:t>
      </w:r>
      <w:r w:rsidRPr="001B41E4" w:rsidR="00857BB7">
        <w:rPr>
          <w:rFonts w:ascii="Century Schoolbook" w:hAnsi="Century Schoolbook"/>
          <w:sz w:val="27"/>
          <w:szCs w:val="26"/>
          <w:shd w:val="clear" w:color="auto" w:fill="FFFFFF"/>
        </w:rPr>
        <w:t>objections</w:t>
      </w:r>
      <w:r w:rsidRPr="001B41E4">
        <w:rPr>
          <w:rFonts w:ascii="Century Schoolbook" w:hAnsi="Century Schoolbook"/>
          <w:sz w:val="27"/>
          <w:szCs w:val="26"/>
          <w:shd w:val="clear" w:color="auto" w:fill="FFFFFF"/>
        </w:rPr>
        <w:t xml:space="preserve"> to a BID may not lend themselves to a courtroom challenge</w:t>
      </w:r>
      <w:r w:rsidRPr="001B41E4" w:rsidR="00857BB7">
        <w:rPr>
          <w:rFonts w:ascii="Century Schoolbook" w:hAnsi="Century Schoolbook"/>
          <w:sz w:val="27"/>
          <w:szCs w:val="26"/>
          <w:shd w:val="clear" w:color="auto" w:fill="FFFFFF"/>
        </w:rPr>
        <w:t>, meaning they may gain traction only at the public hearing</w:t>
      </w:r>
      <w:r w:rsidRPr="001B41E4">
        <w:rPr>
          <w:rFonts w:ascii="Century Schoolbook" w:hAnsi="Century Schoolbook"/>
          <w:sz w:val="27"/>
          <w:szCs w:val="26"/>
          <w:shd w:val="clear" w:color="auto" w:fill="FFFFFF"/>
        </w:rPr>
        <w:t>.  Testimony that proposed assessments would be</w:t>
      </w:r>
      <w:r w:rsidRPr="001B41E4" w:rsidR="004F039D">
        <w:rPr>
          <w:rFonts w:ascii="Century Schoolbook" w:hAnsi="Century Schoolbook"/>
          <w:sz w:val="27"/>
          <w:szCs w:val="26"/>
          <w:shd w:val="clear" w:color="auto" w:fill="FFFFFF"/>
        </w:rPr>
        <w:t xml:space="preserve"> financially</w:t>
      </w:r>
      <w:r w:rsidRPr="001B41E4">
        <w:rPr>
          <w:rFonts w:ascii="Century Schoolbook" w:hAnsi="Century Schoolbook"/>
          <w:sz w:val="27"/>
          <w:szCs w:val="26"/>
          <w:shd w:val="clear" w:color="auto" w:fill="FFFFFF"/>
        </w:rPr>
        <w:t xml:space="preserve"> onerous</w:t>
      </w:r>
      <w:r w:rsidRPr="001B41E4" w:rsidR="00A644A5">
        <w:rPr>
          <w:rFonts w:ascii="Century Schoolbook" w:hAnsi="Century Schoolbook"/>
          <w:sz w:val="27"/>
          <w:szCs w:val="26"/>
          <w:shd w:val="clear" w:color="auto" w:fill="FFFFFF"/>
        </w:rPr>
        <w:t xml:space="preserve"> to </w:t>
      </w:r>
      <w:r w:rsidRPr="001B41E4" w:rsidR="00CF5FBF">
        <w:rPr>
          <w:rFonts w:ascii="Century Schoolbook" w:hAnsi="Century Schoolbook"/>
          <w:sz w:val="27"/>
          <w:szCs w:val="26"/>
          <w:shd w:val="clear" w:color="auto" w:fill="FFFFFF"/>
        </w:rPr>
        <w:t>property</w:t>
      </w:r>
      <w:r w:rsidRPr="001B41E4" w:rsidR="00A644A5">
        <w:rPr>
          <w:rFonts w:ascii="Century Schoolbook" w:hAnsi="Century Schoolbook"/>
          <w:sz w:val="27"/>
          <w:szCs w:val="26"/>
          <w:shd w:val="clear" w:color="auto" w:fill="FFFFFF"/>
        </w:rPr>
        <w:t xml:space="preserve"> owners</w:t>
      </w:r>
      <w:r w:rsidRPr="001B41E4">
        <w:rPr>
          <w:rFonts w:ascii="Century Schoolbook" w:hAnsi="Century Schoolbook"/>
          <w:sz w:val="27"/>
          <w:szCs w:val="26"/>
          <w:shd w:val="clear" w:color="auto" w:fill="FFFFFF"/>
        </w:rPr>
        <w:t xml:space="preserve">, for </w:t>
      </w:r>
      <w:r w:rsidR="004B3D6C">
        <w:rPr>
          <w:rFonts w:ascii="Century Schoolbook" w:hAnsi="Century Schoolbook"/>
          <w:sz w:val="27"/>
          <w:szCs w:val="26"/>
          <w:shd w:val="clear" w:color="auto" w:fill="FFFFFF"/>
        </w:rPr>
        <w:t>instance</w:t>
      </w:r>
      <w:r w:rsidRPr="001B41E4">
        <w:rPr>
          <w:rFonts w:ascii="Century Schoolbook" w:hAnsi="Century Schoolbook"/>
          <w:sz w:val="27"/>
          <w:szCs w:val="26"/>
          <w:shd w:val="clear" w:color="auto" w:fill="FFFFFF"/>
        </w:rPr>
        <w:t xml:space="preserve">, might persuade an agency to reject or revise a BID </w:t>
      </w:r>
      <w:r w:rsidRPr="001B41E4" w:rsidR="004F039D">
        <w:rPr>
          <w:rFonts w:ascii="Century Schoolbook" w:hAnsi="Century Schoolbook"/>
          <w:sz w:val="27"/>
          <w:szCs w:val="26"/>
          <w:shd w:val="clear" w:color="auto" w:fill="FFFFFF"/>
        </w:rPr>
        <w:t xml:space="preserve">proposal </w:t>
      </w:r>
      <w:r w:rsidRPr="001B41E4">
        <w:rPr>
          <w:rFonts w:ascii="Century Schoolbook" w:hAnsi="Century Schoolbook"/>
          <w:sz w:val="27"/>
          <w:szCs w:val="26"/>
          <w:shd w:val="clear" w:color="auto" w:fill="FFFFFF"/>
        </w:rPr>
        <w:t xml:space="preserve">even if these same arguments </w:t>
      </w:r>
      <w:r w:rsidRPr="001B41E4" w:rsidR="00FC6960">
        <w:rPr>
          <w:rFonts w:ascii="Century Schoolbook" w:hAnsi="Century Schoolbook"/>
          <w:sz w:val="27"/>
          <w:szCs w:val="26"/>
          <w:shd w:val="clear" w:color="auto" w:fill="FFFFFF"/>
        </w:rPr>
        <w:t xml:space="preserve">would </w:t>
      </w:r>
      <w:r w:rsidRPr="001B41E4">
        <w:rPr>
          <w:rFonts w:ascii="Century Schoolbook" w:hAnsi="Century Schoolbook"/>
          <w:sz w:val="27"/>
          <w:szCs w:val="26"/>
          <w:shd w:val="clear" w:color="auto" w:fill="FFFFFF"/>
        </w:rPr>
        <w:t xml:space="preserve">not </w:t>
      </w:r>
      <w:r w:rsidRPr="001B41E4" w:rsidR="008D21FA">
        <w:rPr>
          <w:rFonts w:ascii="Century Schoolbook" w:hAnsi="Century Schoolbook"/>
          <w:sz w:val="27"/>
          <w:szCs w:val="26"/>
          <w:shd w:val="clear" w:color="auto" w:fill="FFFFFF"/>
        </w:rPr>
        <w:t>provide</w:t>
      </w:r>
      <w:r w:rsidRPr="001B41E4">
        <w:rPr>
          <w:rFonts w:ascii="Century Schoolbook" w:hAnsi="Century Schoolbook"/>
          <w:sz w:val="27"/>
          <w:szCs w:val="26"/>
          <w:shd w:val="clear" w:color="auto" w:fill="FFFFFF"/>
        </w:rPr>
        <w:t xml:space="preserve"> a viable </w:t>
      </w:r>
      <w:r w:rsidRPr="001B41E4" w:rsidR="008D21FA">
        <w:rPr>
          <w:rFonts w:ascii="Century Schoolbook" w:hAnsi="Century Schoolbook"/>
          <w:sz w:val="27"/>
          <w:szCs w:val="26"/>
          <w:shd w:val="clear" w:color="auto" w:fill="FFFFFF"/>
        </w:rPr>
        <w:t>basis for</w:t>
      </w:r>
      <w:r w:rsidRPr="001B41E4">
        <w:rPr>
          <w:rFonts w:ascii="Century Schoolbook" w:hAnsi="Century Schoolbook"/>
          <w:sz w:val="27"/>
          <w:szCs w:val="26"/>
          <w:shd w:val="clear" w:color="auto" w:fill="FFFFFF"/>
        </w:rPr>
        <w:t xml:space="preserve"> attacking the BID</w:t>
      </w:r>
      <w:r w:rsidRPr="001B41E4" w:rsidR="008C7348">
        <w:rPr>
          <w:rFonts w:ascii="Century Schoolbook" w:hAnsi="Century Schoolbook"/>
          <w:sz w:val="27"/>
          <w:szCs w:val="26"/>
          <w:shd w:val="clear" w:color="auto" w:fill="FFFFFF"/>
        </w:rPr>
        <w:t xml:space="preserve"> as unlawful</w:t>
      </w:r>
      <w:r w:rsidRPr="001B41E4">
        <w:rPr>
          <w:rFonts w:ascii="Century Schoolbook" w:hAnsi="Century Schoolbook"/>
          <w:sz w:val="27"/>
          <w:szCs w:val="26"/>
          <w:shd w:val="clear" w:color="auto" w:fill="FFFFFF"/>
        </w:rPr>
        <w:t xml:space="preserve">. </w:t>
      </w:r>
    </w:p>
    <w:p w:rsidR="00843938" w:rsidRPr="001B41E4" w:rsidP="0023145B" w14:paraId="715AA064" w14:textId="0D818707">
      <w:pPr>
        <w:pStyle w:val="xmsonormal"/>
        <w:shd w:val="clear" w:color="auto" w:fill="FFFFFF"/>
        <w:spacing w:before="0" w:beforeAutospacing="0" w:afterAutospacing="0" w:line="400" w:lineRule="exact"/>
        <w:ind w:firstLine="720"/>
        <w:rPr>
          <w:rFonts w:ascii="Century Schoolbook" w:hAnsi="Century Schoolbook"/>
          <w:sz w:val="27"/>
          <w:szCs w:val="22"/>
          <w:shd w:val="clear" w:color="auto" w:fill="FFFFFF"/>
        </w:rPr>
      </w:pPr>
      <w:r w:rsidRPr="001B41E4">
        <w:rPr>
          <w:rFonts w:ascii="Century Schoolbook" w:hAnsi="Century Schoolbook"/>
          <w:sz w:val="27"/>
          <w:szCs w:val="22"/>
          <w:shd w:val="clear" w:color="auto" w:fill="FFFFFF"/>
        </w:rPr>
        <w:t>Next</w:t>
      </w:r>
      <w:r w:rsidRPr="001B41E4">
        <w:rPr>
          <w:rFonts w:ascii="Century Schoolbook" w:hAnsi="Century Schoolbook"/>
          <w:sz w:val="27"/>
          <w:szCs w:val="22"/>
          <w:shd w:val="clear" w:color="auto" w:fill="FFFFFF"/>
        </w:rPr>
        <w:t xml:space="preserve">, respondents </w:t>
      </w:r>
      <w:r w:rsidRPr="001B41E4" w:rsidR="002108FC">
        <w:rPr>
          <w:rFonts w:ascii="Century Schoolbook" w:hAnsi="Century Schoolbook"/>
          <w:sz w:val="27"/>
          <w:szCs w:val="22"/>
          <w:shd w:val="clear" w:color="auto" w:fill="FFFFFF"/>
        </w:rPr>
        <w:t xml:space="preserve">and their supporting amici curiae </w:t>
      </w:r>
      <w:r w:rsidRPr="001B41E4">
        <w:rPr>
          <w:rFonts w:ascii="Century Schoolbook" w:hAnsi="Century Schoolbook"/>
          <w:sz w:val="27"/>
          <w:szCs w:val="22"/>
          <w:shd w:val="clear" w:color="auto" w:fill="FFFFFF"/>
        </w:rPr>
        <w:t xml:space="preserve">assert that </w:t>
      </w:r>
      <w:r w:rsidRPr="001B41E4" w:rsidR="005F48CA">
        <w:rPr>
          <w:rFonts w:ascii="Century Schoolbook" w:hAnsi="Century Schoolbook"/>
          <w:sz w:val="27"/>
          <w:szCs w:val="22"/>
          <w:shd w:val="clear" w:color="auto" w:fill="FFFFFF"/>
        </w:rPr>
        <w:t>an issue</w:t>
      </w:r>
      <w:r w:rsidRPr="001B41E4">
        <w:rPr>
          <w:rFonts w:ascii="Century Schoolbook" w:hAnsi="Century Schoolbook"/>
          <w:sz w:val="27"/>
          <w:szCs w:val="22"/>
          <w:shd w:val="clear" w:color="auto" w:fill="FFFFFF"/>
        </w:rPr>
        <w:t xml:space="preserve"> exhaustion requirement must apply</w:t>
      </w:r>
      <w:r w:rsidRPr="001B41E4" w:rsidR="00CD11B3">
        <w:rPr>
          <w:rFonts w:ascii="Century Schoolbook" w:hAnsi="Century Schoolbook"/>
          <w:sz w:val="27"/>
          <w:szCs w:val="22"/>
          <w:shd w:val="clear" w:color="auto" w:fill="FFFFFF"/>
        </w:rPr>
        <w:t xml:space="preserve"> here</w:t>
      </w:r>
      <w:r w:rsidRPr="001B41E4">
        <w:rPr>
          <w:rFonts w:ascii="Century Schoolbook" w:hAnsi="Century Schoolbook"/>
          <w:sz w:val="27"/>
          <w:szCs w:val="22"/>
          <w:shd w:val="clear" w:color="auto" w:fill="FFFFFF"/>
        </w:rPr>
        <w:t xml:space="preserve"> because that is the only way to adhere to the rule that judicial review</w:t>
      </w:r>
      <w:r w:rsidRPr="001B41E4" w:rsidR="00276A26">
        <w:rPr>
          <w:rFonts w:ascii="Century Schoolbook" w:hAnsi="Century Schoolbook"/>
          <w:sz w:val="27"/>
          <w:szCs w:val="22"/>
          <w:shd w:val="clear" w:color="auto" w:fill="FFFFFF"/>
        </w:rPr>
        <w:t xml:space="preserve"> </w:t>
      </w:r>
      <w:r w:rsidRPr="001B41E4">
        <w:rPr>
          <w:rFonts w:ascii="Century Schoolbook" w:hAnsi="Century Schoolbook"/>
          <w:sz w:val="27"/>
          <w:szCs w:val="22"/>
          <w:shd w:val="clear" w:color="auto" w:fill="FFFFFF"/>
        </w:rPr>
        <w:t>is</w:t>
      </w:r>
      <w:r w:rsidRPr="001B41E4" w:rsidR="00276A26">
        <w:rPr>
          <w:rFonts w:ascii="Century Schoolbook" w:hAnsi="Century Schoolbook"/>
          <w:sz w:val="27"/>
          <w:szCs w:val="22"/>
          <w:shd w:val="clear" w:color="auto" w:fill="FFFFFF"/>
        </w:rPr>
        <w:t xml:space="preserve"> generally</w:t>
      </w:r>
      <w:r w:rsidRPr="001B41E4">
        <w:rPr>
          <w:rFonts w:ascii="Century Schoolbook" w:hAnsi="Century Schoolbook"/>
          <w:sz w:val="27"/>
          <w:szCs w:val="22"/>
          <w:shd w:val="clear" w:color="auto" w:fill="FFFFFF"/>
        </w:rPr>
        <w:t xml:space="preserve"> limited to the administrative record in mandate proceedings</w:t>
      </w:r>
      <w:r w:rsidRPr="001B41E4" w:rsidR="00CD11B3">
        <w:rPr>
          <w:rFonts w:ascii="Century Schoolbook" w:hAnsi="Century Schoolbook"/>
          <w:sz w:val="27"/>
          <w:szCs w:val="22"/>
          <w:shd w:val="clear" w:color="auto" w:fill="FFFFFF"/>
        </w:rPr>
        <w:t xml:space="preserve"> brought to challenge a </w:t>
      </w:r>
      <w:r w:rsidRPr="001B41E4" w:rsidR="005F48CA">
        <w:rPr>
          <w:rFonts w:ascii="Century Schoolbook" w:hAnsi="Century Schoolbook"/>
          <w:sz w:val="27"/>
          <w:szCs w:val="22"/>
          <w:shd w:val="clear" w:color="auto" w:fill="FFFFFF"/>
        </w:rPr>
        <w:t>quasi-legislative action by an agency</w:t>
      </w:r>
      <w:r w:rsidRPr="001B41E4">
        <w:rPr>
          <w:rFonts w:ascii="Century Schoolbook" w:hAnsi="Century Schoolbook"/>
          <w:sz w:val="27"/>
          <w:szCs w:val="22"/>
          <w:shd w:val="clear" w:color="auto" w:fill="FFFFFF"/>
        </w:rPr>
        <w:t>.  (</w:t>
      </w:r>
      <w:r w:rsidRPr="001B41E4">
        <w:rPr>
          <w:rFonts w:ascii="Century Schoolbook" w:hAnsi="Century Schoolbook"/>
          <w:i/>
          <w:iCs/>
          <w:sz w:val="27"/>
          <w:szCs w:val="22"/>
          <w:shd w:val="clear" w:color="auto" w:fill="FFFFFF"/>
        </w:rPr>
        <w:t>Western States Petroleum Assn. v. Superior Court</w:t>
      </w:r>
      <w:r w:rsidRPr="001B41E4">
        <w:rPr>
          <w:rFonts w:ascii="Century Schoolbook" w:hAnsi="Century Schoolbook"/>
          <w:sz w:val="27"/>
          <w:szCs w:val="22"/>
          <w:shd w:val="clear" w:color="auto" w:fill="FFFFFF"/>
        </w:rPr>
        <w:t xml:space="preserve"> (1995) 9 Cal.4th 559</w:t>
      </w:r>
      <w:r w:rsidRPr="001B41E4" w:rsidR="00CD11B3">
        <w:rPr>
          <w:rFonts w:ascii="Century Schoolbook" w:hAnsi="Century Schoolbook"/>
          <w:sz w:val="27"/>
          <w:szCs w:val="22"/>
          <w:shd w:val="clear" w:color="auto" w:fill="FFFFFF"/>
        </w:rPr>
        <w:t>, 573</w:t>
      </w:r>
      <w:r w:rsidRPr="001B41E4">
        <w:rPr>
          <w:rFonts w:ascii="Century Schoolbook" w:hAnsi="Century Schoolbook"/>
          <w:sz w:val="27"/>
          <w:szCs w:val="22"/>
          <w:shd w:val="clear" w:color="auto" w:fill="FFFFFF"/>
        </w:rPr>
        <w:t xml:space="preserve"> (</w:t>
      </w:r>
      <w:r w:rsidR="00BB0B7D">
        <w:rPr>
          <w:rFonts w:ascii="Century Schoolbook" w:hAnsi="Century Schoolbook"/>
          <w:i/>
          <w:iCs/>
          <w:sz w:val="27"/>
          <w:szCs w:val="22"/>
          <w:shd w:val="clear" w:color="auto" w:fill="FFFFFF"/>
        </w:rPr>
        <w:t>Western States</w:t>
      </w:r>
      <w:r w:rsidRPr="001B41E4">
        <w:rPr>
          <w:rFonts w:ascii="Century Schoolbook" w:hAnsi="Century Schoolbook"/>
          <w:sz w:val="27"/>
          <w:szCs w:val="22"/>
          <w:shd w:val="clear" w:color="auto" w:fill="FFFFFF"/>
        </w:rPr>
        <w:t xml:space="preserve">); </w:t>
      </w:r>
      <w:r w:rsidRPr="001B41E4">
        <w:rPr>
          <w:rFonts w:ascii="Century Schoolbook" w:hAnsi="Century Schoolbook"/>
          <w:i/>
          <w:iCs/>
          <w:sz w:val="27"/>
          <w:szCs w:val="22"/>
          <w:shd w:val="clear" w:color="auto" w:fill="FFFFFF"/>
        </w:rPr>
        <w:t>Ford Dealers Assn. v. Department of Motor Vehicles</w:t>
      </w:r>
      <w:r w:rsidRPr="001B41E4">
        <w:rPr>
          <w:rFonts w:ascii="Century Schoolbook" w:hAnsi="Century Schoolbook"/>
          <w:sz w:val="27"/>
          <w:szCs w:val="22"/>
          <w:shd w:val="clear" w:color="auto" w:fill="FFFFFF"/>
        </w:rPr>
        <w:t xml:space="preserve"> (1982) 32 Cal.3d 347, 365, fn. 11.)  If parties could sue upon unexhausted objections to an assessment, the argument goes, they would have to </w:t>
      </w:r>
      <w:r w:rsidRPr="001B41E4" w:rsidR="002108FC">
        <w:rPr>
          <w:rFonts w:ascii="Century Schoolbook" w:hAnsi="Century Schoolbook"/>
          <w:sz w:val="27"/>
          <w:szCs w:val="22"/>
          <w:shd w:val="clear" w:color="auto" w:fill="FFFFFF"/>
        </w:rPr>
        <w:t xml:space="preserve">rely on facts outside </w:t>
      </w:r>
      <w:r w:rsidRPr="001B41E4">
        <w:rPr>
          <w:rFonts w:ascii="Century Schoolbook" w:hAnsi="Century Schoolbook"/>
          <w:sz w:val="27"/>
          <w:szCs w:val="22"/>
          <w:shd w:val="clear" w:color="auto" w:fill="FFFFFF"/>
        </w:rPr>
        <w:t>th</w:t>
      </w:r>
      <w:r w:rsidRPr="001B41E4" w:rsidR="002108FC">
        <w:rPr>
          <w:rFonts w:ascii="Century Schoolbook" w:hAnsi="Century Schoolbook"/>
          <w:sz w:val="27"/>
          <w:szCs w:val="22"/>
          <w:shd w:val="clear" w:color="auto" w:fill="FFFFFF"/>
        </w:rPr>
        <w:t>e</w:t>
      </w:r>
      <w:r w:rsidRPr="001B41E4">
        <w:rPr>
          <w:rFonts w:ascii="Century Schoolbook" w:hAnsi="Century Schoolbook"/>
          <w:sz w:val="27"/>
          <w:szCs w:val="22"/>
          <w:shd w:val="clear" w:color="auto" w:fill="FFFFFF"/>
        </w:rPr>
        <w:t xml:space="preserve"> record </w:t>
      </w:r>
      <w:r w:rsidRPr="001B41E4" w:rsidR="002108FC">
        <w:rPr>
          <w:rFonts w:ascii="Century Schoolbook" w:hAnsi="Century Schoolbook"/>
          <w:sz w:val="27"/>
          <w:szCs w:val="22"/>
          <w:shd w:val="clear" w:color="auto" w:fill="FFFFFF"/>
        </w:rPr>
        <w:t xml:space="preserve">to </w:t>
      </w:r>
      <w:r w:rsidRPr="001B41E4">
        <w:rPr>
          <w:rFonts w:ascii="Century Schoolbook" w:hAnsi="Century Schoolbook"/>
          <w:sz w:val="27"/>
          <w:szCs w:val="22"/>
          <w:shd w:val="clear" w:color="auto" w:fill="FFFFFF"/>
        </w:rPr>
        <w:t>develop their claims, and the agency</w:t>
      </w:r>
      <w:r w:rsidRPr="001B41E4" w:rsidR="002108FC">
        <w:rPr>
          <w:rFonts w:ascii="Century Schoolbook" w:hAnsi="Century Schoolbook"/>
          <w:sz w:val="27"/>
          <w:szCs w:val="22"/>
          <w:shd w:val="clear" w:color="auto" w:fill="FFFFFF"/>
        </w:rPr>
        <w:t xml:space="preserve"> named as a respondent</w:t>
      </w:r>
      <w:r w:rsidRPr="001B41E4">
        <w:rPr>
          <w:rFonts w:ascii="Century Schoolbook" w:hAnsi="Century Schoolbook"/>
          <w:sz w:val="27"/>
          <w:szCs w:val="22"/>
          <w:shd w:val="clear" w:color="auto" w:fill="FFFFFF"/>
        </w:rPr>
        <w:t xml:space="preserve"> would have to </w:t>
      </w:r>
      <w:r w:rsidRPr="001B41E4" w:rsidR="0062037B">
        <w:rPr>
          <w:rFonts w:ascii="Century Schoolbook" w:hAnsi="Century Schoolbook"/>
          <w:sz w:val="27"/>
          <w:szCs w:val="22"/>
          <w:shd w:val="clear" w:color="auto" w:fill="FFFFFF"/>
        </w:rPr>
        <w:t>do likewise</w:t>
      </w:r>
      <w:r w:rsidRPr="001B41E4">
        <w:rPr>
          <w:rFonts w:ascii="Century Schoolbook" w:hAnsi="Century Schoolbook"/>
          <w:sz w:val="27"/>
          <w:szCs w:val="22"/>
          <w:shd w:val="clear" w:color="auto" w:fill="FFFFFF"/>
        </w:rPr>
        <w:t xml:space="preserve"> to rebut these </w:t>
      </w:r>
      <w:r w:rsidRPr="001B41E4" w:rsidR="002108FC">
        <w:rPr>
          <w:rFonts w:ascii="Century Schoolbook" w:hAnsi="Century Schoolbook"/>
          <w:sz w:val="27"/>
          <w:szCs w:val="22"/>
          <w:shd w:val="clear" w:color="auto" w:fill="FFFFFF"/>
        </w:rPr>
        <w:t>contentions</w:t>
      </w:r>
      <w:r w:rsidRPr="001B41E4">
        <w:rPr>
          <w:rFonts w:ascii="Century Schoolbook" w:hAnsi="Century Schoolbook"/>
          <w:sz w:val="27"/>
          <w:szCs w:val="22"/>
          <w:shd w:val="clear" w:color="auto" w:fill="FFFFFF"/>
        </w:rPr>
        <w:t xml:space="preserve">. </w:t>
      </w:r>
    </w:p>
    <w:p w:rsidR="008215EB" w:rsidRPr="001F76FF" w:rsidP="00EB6A80" w14:paraId="6D40C639" w14:textId="7C67BBB4">
      <w:pPr>
        <w:pStyle w:val="xmsonormal"/>
        <w:shd w:val="clear" w:color="auto" w:fill="FFFFFF"/>
        <w:spacing w:before="0" w:beforeAutospacing="0" w:afterAutospacing="0" w:line="400" w:lineRule="exact"/>
        <w:ind w:firstLine="720"/>
        <w:rPr>
          <w:rFonts w:ascii="Century Schoolbook" w:hAnsi="Century Schoolbook"/>
          <w:sz w:val="27"/>
          <w:szCs w:val="22"/>
          <w:shd w:val="clear" w:color="auto" w:fill="FFFFFF"/>
        </w:rPr>
      </w:pPr>
      <w:r w:rsidRPr="001B41E4">
        <w:rPr>
          <w:rFonts w:ascii="Century Schoolbook" w:hAnsi="Century Schoolbook"/>
          <w:sz w:val="27"/>
          <w:szCs w:val="22"/>
          <w:shd w:val="clear" w:color="auto" w:fill="FFFFFF"/>
        </w:rPr>
        <w:t>We</w:t>
      </w:r>
      <w:r w:rsidRPr="001B41E4" w:rsidR="00843938">
        <w:rPr>
          <w:rFonts w:ascii="Century Schoolbook" w:hAnsi="Century Schoolbook"/>
          <w:sz w:val="27"/>
          <w:szCs w:val="22"/>
          <w:shd w:val="clear" w:color="auto" w:fill="FFFFFF"/>
        </w:rPr>
        <w:t xml:space="preserve"> do not find this argument persuasive.  </w:t>
      </w:r>
      <w:r w:rsidR="001F76FF">
        <w:rPr>
          <w:rFonts w:ascii="Century Schoolbook" w:hAnsi="Century Schoolbook"/>
          <w:sz w:val="27"/>
          <w:szCs w:val="22"/>
          <w:shd w:val="clear" w:color="auto" w:fill="FFFFFF"/>
        </w:rPr>
        <w:t xml:space="preserve">There may be additional grounds upon which to critique respondents’ assertion </w:t>
      </w:r>
      <w:r w:rsidRPr="001B41E4" w:rsidR="001E19C6">
        <w:rPr>
          <w:rFonts w:ascii="Century Schoolbook" w:hAnsi="Century Schoolbook"/>
          <w:sz w:val="27"/>
          <w:szCs w:val="22"/>
          <w:shd w:val="clear" w:color="auto" w:fill="FFFFFF"/>
        </w:rPr>
        <w:t>(</w:t>
      </w:r>
      <w:r w:rsidR="001F76FF">
        <w:rPr>
          <w:rFonts w:ascii="Century Schoolbook" w:hAnsi="Century Schoolbook"/>
          <w:sz w:val="27"/>
          <w:szCs w:val="22"/>
          <w:shd w:val="clear" w:color="auto" w:fill="FFFFFF"/>
        </w:rPr>
        <w:t>s</w:t>
      </w:r>
      <w:r w:rsidRPr="001B41E4" w:rsidR="001E19C6">
        <w:rPr>
          <w:rFonts w:ascii="Century Schoolbook" w:hAnsi="Century Schoolbook"/>
          <w:sz w:val="27"/>
          <w:szCs w:val="22"/>
          <w:shd w:val="clear" w:color="auto" w:fill="FFFFFF"/>
        </w:rPr>
        <w:t xml:space="preserve">ee </w:t>
      </w:r>
      <w:r w:rsidRPr="001B41E4" w:rsidR="001E19C6">
        <w:rPr>
          <w:rFonts w:ascii="Century Schoolbook" w:hAnsi="Century Schoolbook"/>
          <w:i/>
          <w:iCs/>
          <w:sz w:val="27"/>
          <w:szCs w:val="22"/>
          <w:shd w:val="clear" w:color="auto" w:fill="FFFFFF"/>
        </w:rPr>
        <w:t xml:space="preserve">Malott v. Summerland Sanitary Dist. </w:t>
      </w:r>
      <w:r w:rsidRPr="001B41E4" w:rsidR="001E19C6">
        <w:rPr>
          <w:rFonts w:ascii="Century Schoolbook" w:hAnsi="Century Schoolbook"/>
          <w:sz w:val="27"/>
          <w:szCs w:val="22"/>
          <w:shd w:val="clear" w:color="auto" w:fill="FFFFFF"/>
        </w:rPr>
        <w:t>(2020) 55</w:t>
      </w:r>
      <w:r w:rsidR="00611133">
        <w:rPr>
          <w:rFonts w:ascii="Century Schoolbook" w:hAnsi="Century Schoolbook"/>
          <w:sz w:val="27"/>
          <w:szCs w:val="22"/>
          <w:shd w:val="clear" w:color="auto" w:fill="FFFFFF"/>
        </w:rPr>
        <w:t> </w:t>
      </w:r>
      <w:r w:rsidRPr="001B41E4" w:rsidR="001E19C6">
        <w:rPr>
          <w:rFonts w:ascii="Century Schoolbook" w:hAnsi="Century Schoolbook"/>
          <w:sz w:val="27"/>
          <w:szCs w:val="22"/>
          <w:shd w:val="clear" w:color="auto" w:fill="FFFFFF"/>
        </w:rPr>
        <w:t xml:space="preserve">Cal.App.5th 1102, </w:t>
      </w:r>
      <w:r w:rsidR="00FA3FE9">
        <w:rPr>
          <w:rFonts w:ascii="Century Schoolbook" w:hAnsi="Century Schoolbook"/>
          <w:sz w:val="27"/>
          <w:szCs w:val="22"/>
          <w:shd w:val="clear" w:color="auto" w:fill="FFFFFF"/>
        </w:rPr>
        <w:t>1110–</w:t>
      </w:r>
      <w:r w:rsidRPr="001B41E4" w:rsidR="001E19C6">
        <w:rPr>
          <w:rFonts w:ascii="Century Schoolbook" w:hAnsi="Century Schoolbook"/>
          <w:sz w:val="27"/>
          <w:szCs w:val="22"/>
          <w:shd w:val="clear" w:color="auto" w:fill="FFFFFF"/>
        </w:rPr>
        <w:t>1111</w:t>
      </w:r>
      <w:r w:rsidR="00FA3FE9">
        <w:rPr>
          <w:rFonts w:ascii="Century Schoolbook" w:hAnsi="Century Schoolbook"/>
          <w:sz w:val="27"/>
          <w:szCs w:val="22"/>
          <w:shd w:val="clear" w:color="auto" w:fill="FFFFFF"/>
        </w:rPr>
        <w:t xml:space="preserve"> </w:t>
      </w:r>
      <w:r w:rsidRPr="00FA3FE9" w:rsidR="00FA3FE9">
        <w:rPr>
          <w:rFonts w:ascii="Century Schoolbook" w:hAnsi="Century Schoolbook"/>
          <w:sz w:val="27"/>
          <w:szCs w:val="22"/>
          <w:shd w:val="clear" w:color="auto" w:fill="FFFFFF"/>
        </w:rPr>
        <w:t>[allowing the plaintiff in an administrative mandamus challenge to an assessment</w:t>
      </w:r>
      <w:r w:rsidR="006A2616">
        <w:rPr>
          <w:rFonts w:ascii="Century Schoolbook" w:hAnsi="Century Schoolbook"/>
          <w:sz w:val="27"/>
          <w:szCs w:val="22"/>
          <w:shd w:val="clear" w:color="auto" w:fill="FFFFFF"/>
        </w:rPr>
        <w:t xml:space="preserve"> </w:t>
      </w:r>
      <w:r w:rsidRPr="00FA3FE9" w:rsidR="00FA3FE9">
        <w:rPr>
          <w:rFonts w:ascii="Century Schoolbook" w:hAnsi="Century Schoolbook"/>
          <w:sz w:val="27"/>
          <w:szCs w:val="22"/>
          <w:shd w:val="clear" w:color="auto" w:fill="FFFFFF"/>
        </w:rPr>
        <w:t>under Proposition 218 to submit evidence not previously presented to the responsible agency]</w:t>
      </w:r>
      <w:r w:rsidRPr="001B41E4" w:rsidR="001E19C6">
        <w:rPr>
          <w:rFonts w:ascii="Century Schoolbook" w:hAnsi="Century Schoolbook"/>
          <w:sz w:val="27"/>
          <w:szCs w:val="22"/>
          <w:shd w:val="clear" w:color="auto" w:fill="FFFFFF"/>
        </w:rPr>
        <w:t>)</w:t>
      </w:r>
      <w:r w:rsidR="001F76FF">
        <w:rPr>
          <w:rFonts w:ascii="Century Schoolbook" w:hAnsi="Century Schoolbook"/>
          <w:sz w:val="27"/>
          <w:szCs w:val="22"/>
          <w:shd w:val="clear" w:color="auto" w:fill="FFFFFF"/>
        </w:rPr>
        <w:t>, but it suffices here to</w:t>
      </w:r>
      <w:r w:rsidRPr="001B41E4" w:rsidR="00B636D8">
        <w:rPr>
          <w:rFonts w:ascii="Century Schoolbook" w:hAnsi="Century Schoolbook"/>
          <w:sz w:val="27"/>
          <w:szCs w:val="22"/>
          <w:shd w:val="clear" w:color="auto" w:fill="FFFFFF"/>
        </w:rPr>
        <w:t xml:space="preserve"> </w:t>
      </w:r>
      <w:r w:rsidR="001F76FF">
        <w:rPr>
          <w:rFonts w:ascii="Century Schoolbook" w:hAnsi="Century Schoolbook"/>
          <w:sz w:val="27"/>
          <w:szCs w:val="22"/>
          <w:shd w:val="clear" w:color="auto" w:fill="FFFFFF"/>
        </w:rPr>
        <w:t xml:space="preserve">observe, first, that </w:t>
      </w:r>
      <w:r w:rsidRPr="001B41E4" w:rsidR="00B636D8">
        <w:rPr>
          <w:rFonts w:ascii="Century Schoolbook" w:hAnsi="Century Schoolbook"/>
          <w:sz w:val="27"/>
          <w:szCs w:val="22"/>
          <w:shd w:val="clear" w:color="auto" w:fill="FFFFFF"/>
        </w:rPr>
        <w:t>t</w:t>
      </w:r>
      <w:r w:rsidRPr="001B41E4" w:rsidR="00843938">
        <w:rPr>
          <w:rFonts w:ascii="Century Schoolbook" w:hAnsi="Century Schoolbook"/>
          <w:sz w:val="27"/>
          <w:szCs w:val="22"/>
          <w:shd w:val="clear" w:color="auto" w:fill="FFFFFF"/>
        </w:rPr>
        <w:t xml:space="preserve">here is no necessary congruence between </w:t>
      </w:r>
      <w:r w:rsidRPr="001B41E4" w:rsidR="00843938">
        <w:rPr>
          <w:rFonts w:ascii="Century Schoolbook" w:hAnsi="Century Schoolbook"/>
          <w:i/>
          <w:iCs/>
          <w:sz w:val="27"/>
          <w:szCs w:val="22"/>
          <w:shd w:val="clear" w:color="auto" w:fill="FFFFFF"/>
        </w:rPr>
        <w:t>issue</w:t>
      </w:r>
      <w:r w:rsidRPr="001B41E4" w:rsidR="00843938">
        <w:rPr>
          <w:rFonts w:ascii="Century Schoolbook" w:hAnsi="Century Schoolbook"/>
          <w:sz w:val="27"/>
          <w:szCs w:val="22"/>
          <w:shd w:val="clear" w:color="auto" w:fill="FFFFFF"/>
        </w:rPr>
        <w:t xml:space="preserve"> exhaustion and a rule limiting judicial review to </w:t>
      </w:r>
      <w:r w:rsidRPr="001B41E4" w:rsidR="00843938">
        <w:rPr>
          <w:rFonts w:ascii="Century Schoolbook" w:hAnsi="Century Schoolbook"/>
          <w:i/>
          <w:iCs/>
          <w:sz w:val="27"/>
          <w:szCs w:val="22"/>
          <w:shd w:val="clear" w:color="auto" w:fill="FFFFFF"/>
        </w:rPr>
        <w:t>evidence</w:t>
      </w:r>
      <w:r w:rsidRPr="001B41E4" w:rsidR="00843938">
        <w:rPr>
          <w:rFonts w:ascii="Century Schoolbook" w:hAnsi="Century Schoolbook"/>
          <w:sz w:val="27"/>
          <w:szCs w:val="22"/>
          <w:shd w:val="clear" w:color="auto" w:fill="FFFFFF"/>
        </w:rPr>
        <w:t xml:space="preserve"> in the administrative record.  </w:t>
      </w:r>
      <w:r w:rsidRPr="001B41E4" w:rsidR="00583B24">
        <w:rPr>
          <w:rFonts w:ascii="Century Schoolbook" w:hAnsi="Century Schoolbook"/>
          <w:sz w:val="27"/>
          <w:szCs w:val="22"/>
          <w:shd w:val="clear" w:color="auto" w:fill="FFFFFF"/>
        </w:rPr>
        <w:t xml:space="preserve">In </w:t>
      </w:r>
      <w:r w:rsidRPr="001B41E4" w:rsidR="005146D5">
        <w:rPr>
          <w:rFonts w:ascii="Century Schoolbook" w:hAnsi="Century Schoolbook"/>
          <w:i/>
          <w:iCs/>
          <w:sz w:val="27"/>
          <w:szCs w:val="22"/>
          <w:shd w:val="clear" w:color="auto" w:fill="FFFFFF"/>
        </w:rPr>
        <w:t>Knox</w:t>
      </w:r>
      <w:r w:rsidRPr="001B41E4" w:rsidR="005146D5">
        <w:rPr>
          <w:rFonts w:ascii="Century Schoolbook" w:hAnsi="Century Schoolbook"/>
          <w:sz w:val="27"/>
          <w:szCs w:val="22"/>
          <w:shd w:val="clear" w:color="auto" w:fill="FFFFFF"/>
        </w:rPr>
        <w:t xml:space="preserve">, </w:t>
      </w:r>
      <w:r w:rsidRPr="001B41E4" w:rsidR="005146D5">
        <w:rPr>
          <w:rFonts w:ascii="Century Schoolbook" w:hAnsi="Century Schoolbook"/>
          <w:i/>
          <w:iCs/>
          <w:sz w:val="27"/>
          <w:szCs w:val="22"/>
          <w:shd w:val="clear" w:color="auto" w:fill="FFFFFF"/>
        </w:rPr>
        <w:t>supra</w:t>
      </w:r>
      <w:r w:rsidRPr="001B41E4" w:rsidR="005146D5">
        <w:rPr>
          <w:rFonts w:ascii="Century Schoolbook" w:hAnsi="Century Schoolbook"/>
          <w:sz w:val="27"/>
          <w:szCs w:val="22"/>
          <w:shd w:val="clear" w:color="auto" w:fill="FFFFFF"/>
        </w:rPr>
        <w:t>, 4 Cal.4th at</w:t>
      </w:r>
      <w:r w:rsidRPr="001B41E4" w:rsidR="00843938">
        <w:rPr>
          <w:rFonts w:ascii="Century Schoolbook" w:hAnsi="Century Schoolbook"/>
          <w:sz w:val="27"/>
          <w:szCs w:val="22"/>
          <w:shd w:val="clear" w:color="auto" w:fill="FFFFFF"/>
        </w:rPr>
        <w:t xml:space="preserve"> </w:t>
      </w:r>
      <w:r w:rsidRPr="001B41E4" w:rsidR="005146D5">
        <w:rPr>
          <w:rFonts w:ascii="Century Schoolbook" w:hAnsi="Century Schoolbook"/>
          <w:sz w:val="27"/>
          <w:szCs w:val="22"/>
          <w:shd w:val="clear" w:color="auto" w:fill="FFFFFF"/>
        </w:rPr>
        <w:t xml:space="preserve">pages </w:t>
      </w:r>
      <w:r w:rsidRPr="001B41E4" w:rsidR="005146D5">
        <w:rPr>
          <w:rFonts w:ascii="Century Schoolbook" w:hAnsi="Century Schoolbook"/>
          <w:sz w:val="27"/>
          <w:szCs w:val="26"/>
        </w:rPr>
        <w:t xml:space="preserve">147–148, </w:t>
      </w:r>
      <w:r w:rsidRPr="001B41E4" w:rsidR="00583B24">
        <w:rPr>
          <w:rFonts w:ascii="Century Schoolbook" w:hAnsi="Century Schoolbook"/>
          <w:sz w:val="27"/>
          <w:szCs w:val="26"/>
        </w:rPr>
        <w:t>for example, we entertained arguments that were not</w:t>
      </w:r>
      <w:r w:rsidRPr="001B41E4" w:rsidR="002108FC">
        <w:rPr>
          <w:rFonts w:ascii="Century Schoolbook" w:hAnsi="Century Schoolbook"/>
          <w:sz w:val="27"/>
          <w:szCs w:val="26"/>
        </w:rPr>
        <w:t xml:space="preserve"> known to have been</w:t>
      </w:r>
      <w:r w:rsidRPr="001B41E4" w:rsidR="00583B24">
        <w:rPr>
          <w:rFonts w:ascii="Century Schoolbook" w:hAnsi="Century Schoolbook"/>
          <w:sz w:val="27"/>
          <w:szCs w:val="26"/>
        </w:rPr>
        <w:t xml:space="preserve"> presented to the respondent government entity, but in doing so</w:t>
      </w:r>
      <w:r w:rsidRPr="001B41E4" w:rsidR="002108FC">
        <w:rPr>
          <w:rFonts w:ascii="Century Schoolbook" w:hAnsi="Century Schoolbook"/>
          <w:sz w:val="27"/>
          <w:szCs w:val="26"/>
        </w:rPr>
        <w:t xml:space="preserve">, </w:t>
      </w:r>
      <w:r w:rsidRPr="001B41E4" w:rsidR="00583B24">
        <w:rPr>
          <w:rFonts w:ascii="Century Schoolbook" w:hAnsi="Century Schoolbook"/>
          <w:sz w:val="27"/>
          <w:szCs w:val="26"/>
        </w:rPr>
        <w:t>we considered only evidence found in the administrative record</w:t>
      </w:r>
      <w:r w:rsidRPr="001B41E4" w:rsidR="008639A5">
        <w:rPr>
          <w:rFonts w:ascii="Century Schoolbook" w:hAnsi="Century Schoolbook"/>
          <w:sz w:val="27"/>
          <w:szCs w:val="26"/>
        </w:rPr>
        <w:t>,</w:t>
      </w:r>
      <w:r w:rsidRPr="001B41E4" w:rsidR="00583B24">
        <w:rPr>
          <w:rFonts w:ascii="Century Schoolbook" w:hAnsi="Century Schoolbook"/>
          <w:sz w:val="27"/>
          <w:szCs w:val="26"/>
        </w:rPr>
        <w:t xml:space="preserve"> </w:t>
      </w:r>
      <w:r w:rsidRPr="001B41E4" w:rsidR="008639A5">
        <w:rPr>
          <w:rFonts w:ascii="Century Schoolbook" w:hAnsi="Century Schoolbook"/>
          <w:sz w:val="27"/>
          <w:szCs w:val="26"/>
        </w:rPr>
        <w:t>as well as</w:t>
      </w:r>
      <w:r w:rsidRPr="001B41E4" w:rsidR="00583B24">
        <w:rPr>
          <w:rFonts w:ascii="Century Schoolbook" w:hAnsi="Century Schoolbook"/>
          <w:sz w:val="27"/>
          <w:szCs w:val="26"/>
        </w:rPr>
        <w:t xml:space="preserve"> judicially noticeable facts.</w:t>
      </w:r>
      <w:r w:rsidR="001F76FF">
        <w:rPr>
          <w:rFonts w:ascii="Century Schoolbook" w:hAnsi="Century Schoolbook"/>
          <w:sz w:val="27"/>
          <w:szCs w:val="22"/>
          <w:shd w:val="clear" w:color="auto" w:fill="FFFFFF"/>
        </w:rPr>
        <w:t xml:space="preserve">  </w:t>
      </w:r>
      <w:r w:rsidRPr="001B41E4">
        <w:rPr>
          <w:rFonts w:ascii="Century Schoolbook" w:hAnsi="Century Schoolbook"/>
          <w:sz w:val="27"/>
          <w:szCs w:val="22"/>
          <w:shd w:val="clear" w:color="auto" w:fill="FFFFFF"/>
        </w:rPr>
        <w:t xml:space="preserve">What is more, </w:t>
      </w:r>
      <w:r w:rsidR="00BB0B7D">
        <w:rPr>
          <w:rFonts w:ascii="Century Schoolbook" w:hAnsi="Century Schoolbook"/>
          <w:i/>
          <w:iCs/>
          <w:sz w:val="27"/>
          <w:szCs w:val="22"/>
          <w:shd w:val="clear" w:color="auto" w:fill="FFFFFF"/>
        </w:rPr>
        <w:t>Western States</w:t>
      </w:r>
      <w:r w:rsidRPr="001B41E4" w:rsidR="002108FC">
        <w:rPr>
          <w:rFonts w:ascii="Century Schoolbook" w:hAnsi="Century Schoolbook"/>
          <w:sz w:val="27"/>
          <w:szCs w:val="22"/>
          <w:shd w:val="clear" w:color="auto" w:fill="FFFFFF"/>
        </w:rPr>
        <w:t xml:space="preserve">, </w:t>
      </w:r>
      <w:r w:rsidRPr="001B41E4" w:rsidR="002108FC">
        <w:rPr>
          <w:rFonts w:ascii="Century Schoolbook" w:hAnsi="Century Schoolbook"/>
          <w:i/>
          <w:iCs/>
          <w:sz w:val="27"/>
          <w:szCs w:val="22"/>
          <w:shd w:val="clear" w:color="auto" w:fill="FFFFFF"/>
        </w:rPr>
        <w:t>supra</w:t>
      </w:r>
      <w:r w:rsidRPr="001B41E4" w:rsidR="002108FC">
        <w:rPr>
          <w:rFonts w:ascii="Century Schoolbook" w:hAnsi="Century Schoolbook"/>
          <w:sz w:val="27"/>
          <w:szCs w:val="22"/>
          <w:shd w:val="clear" w:color="auto" w:fill="FFFFFF"/>
        </w:rPr>
        <w:t xml:space="preserve">, 9 Cal.4th 559 </w:t>
      </w:r>
      <w:r w:rsidR="004B3D6C">
        <w:rPr>
          <w:rFonts w:ascii="Century Schoolbook" w:hAnsi="Century Schoolbook"/>
          <w:sz w:val="27"/>
          <w:szCs w:val="22"/>
          <w:shd w:val="clear" w:color="auto" w:fill="FFFFFF"/>
        </w:rPr>
        <w:t>addressed</w:t>
      </w:r>
      <w:r w:rsidRPr="001B41E4">
        <w:rPr>
          <w:rFonts w:ascii="Century Schoolbook" w:hAnsi="Century Schoolbook"/>
          <w:sz w:val="27"/>
          <w:szCs w:val="22"/>
          <w:shd w:val="clear" w:color="auto" w:fill="FFFFFF"/>
        </w:rPr>
        <w:t xml:space="preserve"> challenges to agency action as either unsupported by substantial evidence in the record, an abuse of discretion, or arbitrary and capricious; we concluded that to allow extra-record evidence in support of such claims would be contrary to the deference associated with these standards of review.  (</w:t>
      </w:r>
      <w:r w:rsidRPr="001B41E4" w:rsidR="002108FC">
        <w:rPr>
          <w:rFonts w:ascii="Century Schoolbook" w:hAnsi="Century Schoolbook"/>
          <w:i/>
          <w:iCs/>
          <w:sz w:val="27"/>
          <w:szCs w:val="22"/>
          <w:shd w:val="clear" w:color="auto" w:fill="FFFFFF"/>
        </w:rPr>
        <w:t>Id</w:t>
      </w:r>
      <w:r w:rsidRPr="001B41E4" w:rsidR="002108FC">
        <w:rPr>
          <w:rFonts w:ascii="Century Schoolbook" w:hAnsi="Century Schoolbook"/>
          <w:sz w:val="27"/>
          <w:szCs w:val="22"/>
          <w:shd w:val="clear" w:color="auto" w:fill="FFFFFF"/>
        </w:rPr>
        <w:t>.</w:t>
      </w:r>
      <w:r w:rsidRPr="001B41E4">
        <w:rPr>
          <w:rFonts w:ascii="Century Schoolbook" w:hAnsi="Century Schoolbook"/>
          <w:sz w:val="27"/>
          <w:szCs w:val="22"/>
          <w:shd w:val="clear" w:color="auto" w:fill="FFFFFF"/>
        </w:rPr>
        <w:t>, at pp. 573</w:t>
      </w:r>
      <w:r w:rsidRPr="001B41E4" w:rsidR="008639A5">
        <w:rPr>
          <w:rFonts w:ascii="Century Schoolbook" w:hAnsi="Century Schoolbook"/>
          <w:sz w:val="27"/>
          <w:szCs w:val="22"/>
          <w:shd w:val="clear" w:color="auto" w:fill="FFFFFF"/>
        </w:rPr>
        <w:t>,</w:t>
      </w:r>
      <w:r w:rsidRPr="001B41E4">
        <w:rPr>
          <w:rFonts w:ascii="Century Schoolbook" w:hAnsi="Century Schoolbook"/>
          <w:sz w:val="27"/>
          <w:szCs w:val="22"/>
          <w:shd w:val="clear" w:color="auto" w:fill="FFFFFF"/>
        </w:rPr>
        <w:t xml:space="preserve"> 574, 576.)  </w:t>
      </w:r>
      <w:r w:rsidR="00D72E38">
        <w:rPr>
          <w:rFonts w:ascii="Century Schoolbook" w:hAnsi="Century Schoolbook"/>
          <w:sz w:val="27"/>
          <w:szCs w:val="22"/>
          <w:shd w:val="clear" w:color="auto" w:fill="FFFFFF"/>
        </w:rPr>
        <w:t>U</w:t>
      </w:r>
      <w:r w:rsidRPr="001B41E4" w:rsidR="008D21FA">
        <w:rPr>
          <w:rFonts w:ascii="Century Schoolbook" w:hAnsi="Century Schoolbook"/>
          <w:sz w:val="27"/>
          <w:szCs w:val="22"/>
          <w:shd w:val="clear" w:color="auto" w:fill="FFFFFF"/>
        </w:rPr>
        <w:t>nder Proposition 218</w:t>
      </w:r>
      <w:r w:rsidRPr="001B41E4">
        <w:rPr>
          <w:rFonts w:ascii="Century Schoolbook" w:hAnsi="Century Schoolbook"/>
          <w:sz w:val="27"/>
          <w:szCs w:val="22"/>
          <w:shd w:val="clear" w:color="auto" w:fill="FFFFFF"/>
        </w:rPr>
        <w:t xml:space="preserve">, </w:t>
      </w:r>
      <w:r w:rsidR="00D72E38">
        <w:rPr>
          <w:rFonts w:ascii="Century Schoolbook" w:hAnsi="Century Schoolbook"/>
          <w:sz w:val="27"/>
          <w:szCs w:val="22"/>
          <w:shd w:val="clear" w:color="auto" w:fill="FFFFFF"/>
        </w:rPr>
        <w:t xml:space="preserve">in contrast, </w:t>
      </w:r>
      <w:r w:rsidRPr="001B41E4">
        <w:rPr>
          <w:rFonts w:ascii="Century Schoolbook" w:hAnsi="Century Schoolbook"/>
          <w:sz w:val="27"/>
          <w:szCs w:val="22"/>
          <w:shd w:val="clear" w:color="auto" w:fill="FFFFFF"/>
        </w:rPr>
        <w:t xml:space="preserve">as </w:t>
      </w:r>
      <w:r w:rsidRPr="001B41E4" w:rsidR="00B636D8">
        <w:rPr>
          <w:rFonts w:ascii="Century Schoolbook" w:hAnsi="Century Schoolbook"/>
          <w:sz w:val="27"/>
          <w:szCs w:val="22"/>
          <w:shd w:val="clear" w:color="auto" w:fill="FFFFFF"/>
        </w:rPr>
        <w:t>we have already</w:t>
      </w:r>
      <w:r w:rsidRPr="001B41E4">
        <w:rPr>
          <w:rFonts w:ascii="Century Schoolbook" w:hAnsi="Century Schoolbook"/>
          <w:sz w:val="27"/>
          <w:szCs w:val="22"/>
          <w:shd w:val="clear" w:color="auto" w:fill="FFFFFF"/>
        </w:rPr>
        <w:t xml:space="preserve"> emphasized</w:t>
      </w:r>
      <w:r w:rsidRPr="001B41E4" w:rsidR="00B636D8">
        <w:rPr>
          <w:rFonts w:ascii="Century Schoolbook" w:hAnsi="Century Schoolbook"/>
          <w:sz w:val="27"/>
          <w:szCs w:val="22"/>
          <w:shd w:val="clear" w:color="auto" w:fill="FFFFFF"/>
        </w:rPr>
        <w:t xml:space="preserve"> in this opinion</w:t>
      </w:r>
      <w:r w:rsidRPr="001B41E4" w:rsidR="008D21FA">
        <w:rPr>
          <w:rFonts w:ascii="Century Schoolbook" w:hAnsi="Century Schoolbook"/>
          <w:sz w:val="27"/>
          <w:szCs w:val="22"/>
          <w:shd w:val="clear" w:color="auto" w:fill="FFFFFF"/>
        </w:rPr>
        <w:t xml:space="preserve"> </w:t>
      </w:r>
      <w:r w:rsidRPr="001B41E4">
        <w:rPr>
          <w:rFonts w:ascii="Century Schoolbook" w:hAnsi="Century Schoolbook"/>
          <w:sz w:val="27"/>
          <w:szCs w:val="22"/>
          <w:shd w:val="clear" w:color="auto" w:fill="FFFFFF"/>
        </w:rPr>
        <w:t xml:space="preserve">the </w:t>
      </w:r>
      <w:r w:rsidRPr="001B41E4">
        <w:rPr>
          <w:rFonts w:ascii="Century Schoolbook" w:hAnsi="Century Schoolbook"/>
          <w:i/>
          <w:iCs/>
          <w:sz w:val="27"/>
          <w:szCs w:val="22"/>
          <w:shd w:val="clear" w:color="auto" w:fill="FFFFFF"/>
        </w:rPr>
        <w:t>agency</w:t>
      </w:r>
      <w:r w:rsidRPr="001B41E4">
        <w:rPr>
          <w:rFonts w:ascii="Century Schoolbook" w:hAnsi="Century Schoolbook"/>
          <w:sz w:val="27"/>
          <w:szCs w:val="22"/>
          <w:shd w:val="clear" w:color="auto" w:fill="FFFFFF"/>
        </w:rPr>
        <w:t xml:space="preserve"> must “demonstrate that the property or properties in question receive a special benefit over and above the benefits conferred on the public at large and that the amount of any contested assessment is proportional to, and no greater than, the benefits conferred on the property or properties in question</w:t>
      </w:r>
      <w:r w:rsidRPr="001B41E4">
        <w:rPr>
          <w:rFonts w:ascii="Century Schoolbook" w:hAnsi="Century Schoolbook"/>
          <w:sz w:val="27"/>
          <w:shd w:val="clear" w:color="auto" w:fill="FFFFFF"/>
        </w:rPr>
        <w:t xml:space="preserve">” </w:t>
      </w:r>
      <w:r w:rsidRPr="001B41E4">
        <w:rPr>
          <w:rFonts w:ascii="Century Schoolbook" w:hAnsi="Century Schoolbook"/>
          <w:sz w:val="27"/>
          <w:szCs w:val="22"/>
        </w:rPr>
        <w:t>(</w:t>
      </w:r>
      <w:r w:rsidRPr="001B41E4">
        <w:rPr>
          <w:rFonts w:ascii="Century Schoolbook" w:hAnsi="Century Schoolbook"/>
          <w:sz w:val="27"/>
        </w:rPr>
        <w:t>art. XIII D, § 4</w:t>
      </w:r>
      <w:r w:rsidRPr="001B41E4">
        <w:rPr>
          <w:rFonts w:ascii="Century Schoolbook" w:hAnsi="Century Schoolbook"/>
          <w:sz w:val="27"/>
          <w:szCs w:val="22"/>
        </w:rPr>
        <w:t>, subd. (</w:t>
      </w:r>
      <w:r w:rsidRPr="001B41E4">
        <w:rPr>
          <w:rFonts w:ascii="Century Schoolbook" w:hAnsi="Century Schoolbook"/>
          <w:sz w:val="27"/>
        </w:rPr>
        <w:t>f</w:t>
      </w:r>
      <w:r w:rsidRPr="001B41E4">
        <w:rPr>
          <w:rFonts w:ascii="Century Schoolbook" w:hAnsi="Century Schoolbook"/>
          <w:sz w:val="27"/>
          <w:szCs w:val="22"/>
        </w:rPr>
        <w:t>))</w:t>
      </w:r>
      <w:r w:rsidR="004B3D6C">
        <w:rPr>
          <w:rFonts w:ascii="Century Schoolbook" w:hAnsi="Century Schoolbook"/>
          <w:sz w:val="27"/>
          <w:szCs w:val="22"/>
        </w:rPr>
        <w:t>,</w:t>
      </w:r>
      <w:r w:rsidRPr="001B41E4">
        <w:rPr>
          <w:rFonts w:ascii="Century Schoolbook" w:hAnsi="Century Schoolbook"/>
          <w:sz w:val="27"/>
          <w:szCs w:val="22"/>
        </w:rPr>
        <w:t xml:space="preserve"> and courts are to exercise their independent judgment in determining whether </w:t>
      </w:r>
      <w:r w:rsidRPr="001B41E4" w:rsidR="00AB3FDE">
        <w:rPr>
          <w:rFonts w:ascii="Century Schoolbook" w:hAnsi="Century Schoolbook"/>
          <w:sz w:val="27"/>
          <w:szCs w:val="22"/>
        </w:rPr>
        <w:t>this</w:t>
      </w:r>
      <w:r w:rsidRPr="001B41E4">
        <w:rPr>
          <w:rFonts w:ascii="Century Schoolbook" w:hAnsi="Century Schoolbook"/>
          <w:sz w:val="27"/>
          <w:szCs w:val="22"/>
        </w:rPr>
        <w:t xml:space="preserve"> demonstration has been made (</w:t>
      </w:r>
      <w:r w:rsidRPr="001B41E4">
        <w:rPr>
          <w:rFonts w:ascii="Century Schoolbook" w:hAnsi="Century Schoolbook"/>
          <w:i/>
          <w:iCs/>
          <w:sz w:val="27"/>
        </w:rPr>
        <w:t>Silicon Valley Taxpayers’ Assn.</w:t>
      </w:r>
      <w:r w:rsidRPr="001B41E4">
        <w:rPr>
          <w:rFonts w:ascii="Century Schoolbook" w:hAnsi="Century Schoolbook"/>
          <w:sz w:val="27"/>
        </w:rPr>
        <w:t xml:space="preserve">, </w:t>
      </w:r>
      <w:r w:rsidRPr="001B41E4">
        <w:rPr>
          <w:rFonts w:ascii="Century Schoolbook" w:hAnsi="Century Schoolbook"/>
          <w:i/>
          <w:iCs/>
          <w:sz w:val="27"/>
        </w:rPr>
        <w:t>supra</w:t>
      </w:r>
      <w:r w:rsidRPr="001B41E4">
        <w:rPr>
          <w:rFonts w:ascii="Century Schoolbook" w:hAnsi="Century Schoolbook"/>
          <w:sz w:val="27"/>
        </w:rPr>
        <w:t>, 44 Cal.4th at p. 450)</w:t>
      </w:r>
      <w:r w:rsidRPr="001B41E4">
        <w:rPr>
          <w:rFonts w:ascii="Century Schoolbook" w:hAnsi="Century Schoolbook"/>
          <w:sz w:val="27"/>
          <w:szCs w:val="22"/>
        </w:rPr>
        <w:t xml:space="preserve">.  </w:t>
      </w:r>
      <w:r w:rsidR="005261E2">
        <w:rPr>
          <w:rFonts w:ascii="Century Schoolbook" w:hAnsi="Century Schoolbook"/>
          <w:sz w:val="27"/>
          <w:szCs w:val="22"/>
        </w:rPr>
        <w:t>The interest in extending due</w:t>
      </w:r>
      <w:r w:rsidR="00CC7A86">
        <w:rPr>
          <w:rFonts w:ascii="Century Schoolbook" w:hAnsi="Century Schoolbook"/>
          <w:sz w:val="27"/>
          <w:szCs w:val="22"/>
        </w:rPr>
        <w:t xml:space="preserve"> deference to agency determinations that </w:t>
      </w:r>
      <w:r w:rsidR="005261E2">
        <w:rPr>
          <w:rFonts w:ascii="Century Schoolbook" w:hAnsi="Century Schoolbook"/>
          <w:sz w:val="27"/>
          <w:szCs w:val="22"/>
        </w:rPr>
        <w:t xml:space="preserve">informed the analysis in </w:t>
      </w:r>
      <w:r w:rsidR="00BB0B7D">
        <w:rPr>
          <w:rFonts w:ascii="Century Schoolbook" w:hAnsi="Century Schoolbook"/>
          <w:i/>
          <w:iCs/>
          <w:sz w:val="27"/>
          <w:szCs w:val="22"/>
          <w:shd w:val="clear" w:color="auto" w:fill="FFFFFF"/>
        </w:rPr>
        <w:t>Western States</w:t>
      </w:r>
      <w:r w:rsidR="00BB0B7D">
        <w:rPr>
          <w:rFonts w:ascii="Century Schoolbook" w:hAnsi="Century Schoolbook"/>
          <w:sz w:val="27"/>
          <w:szCs w:val="22"/>
        </w:rPr>
        <w:t xml:space="preserve"> </w:t>
      </w:r>
      <w:r w:rsidR="00D72E38">
        <w:rPr>
          <w:rFonts w:ascii="Century Schoolbook" w:hAnsi="Century Schoolbook"/>
          <w:sz w:val="27"/>
          <w:szCs w:val="22"/>
        </w:rPr>
        <w:t>does</w:t>
      </w:r>
      <w:r w:rsidRPr="001B41E4">
        <w:rPr>
          <w:rFonts w:ascii="Century Schoolbook" w:hAnsi="Century Schoolbook"/>
          <w:sz w:val="27"/>
          <w:szCs w:val="22"/>
        </w:rPr>
        <w:t xml:space="preserve"> not carry the same weight </w:t>
      </w:r>
      <w:r w:rsidR="005261E2">
        <w:rPr>
          <w:rFonts w:ascii="Century Schoolbook" w:hAnsi="Century Schoolbook"/>
          <w:sz w:val="27"/>
          <w:szCs w:val="22"/>
        </w:rPr>
        <w:t>with regard to these</w:t>
      </w:r>
      <w:r w:rsidR="003617D3">
        <w:rPr>
          <w:rFonts w:ascii="Century Schoolbook" w:hAnsi="Century Schoolbook"/>
          <w:sz w:val="27"/>
          <w:szCs w:val="22"/>
        </w:rPr>
        <w:t xml:space="preserve"> kinds of</w:t>
      </w:r>
      <w:r w:rsidR="005261E2">
        <w:rPr>
          <w:rFonts w:ascii="Century Schoolbook" w:hAnsi="Century Schoolbook"/>
          <w:sz w:val="27"/>
          <w:szCs w:val="22"/>
        </w:rPr>
        <w:t xml:space="preserve"> claims under the proposition</w:t>
      </w:r>
      <w:r w:rsidRPr="001B41E4">
        <w:rPr>
          <w:rFonts w:ascii="Century Schoolbook" w:hAnsi="Century Schoolbook"/>
          <w:sz w:val="27"/>
          <w:szCs w:val="22"/>
        </w:rPr>
        <w:t>.</w:t>
      </w:r>
    </w:p>
    <w:p w:rsidR="007C14F8" w:rsidRPr="001B41E4" w:rsidP="007C14F8" w14:paraId="032358C8" w14:textId="142633E6">
      <w:pPr>
        <w:pStyle w:val="xmsonormal"/>
        <w:shd w:val="clear" w:color="auto" w:fill="FFFFFF"/>
        <w:spacing w:before="0" w:beforeAutospacing="0" w:afterAutospacing="0" w:line="400" w:lineRule="exact"/>
        <w:ind w:firstLine="720"/>
        <w:rPr>
          <w:rFonts w:ascii="Century Schoolbook" w:hAnsi="Century Schoolbook"/>
          <w:sz w:val="27"/>
          <w:szCs w:val="26"/>
        </w:rPr>
      </w:pPr>
      <w:r>
        <w:rPr>
          <w:rFonts w:ascii="Century Schoolbook" w:hAnsi="Century Schoolbook"/>
          <w:sz w:val="27"/>
          <w:szCs w:val="26"/>
        </w:rPr>
        <w:t>R</w:t>
      </w:r>
      <w:r w:rsidRPr="001B41E4">
        <w:rPr>
          <w:rFonts w:ascii="Century Schoolbook" w:hAnsi="Century Schoolbook"/>
          <w:sz w:val="27"/>
          <w:szCs w:val="26"/>
        </w:rPr>
        <w:t>espondents</w:t>
      </w:r>
      <w:r>
        <w:rPr>
          <w:rFonts w:ascii="Century Schoolbook" w:hAnsi="Century Schoolbook"/>
          <w:sz w:val="27"/>
          <w:szCs w:val="26"/>
        </w:rPr>
        <w:t xml:space="preserve"> </w:t>
      </w:r>
      <w:r w:rsidR="0007696B">
        <w:rPr>
          <w:rFonts w:ascii="Century Schoolbook" w:hAnsi="Century Schoolbook"/>
          <w:sz w:val="27"/>
          <w:szCs w:val="26"/>
        </w:rPr>
        <w:t xml:space="preserve">and amici curiae </w:t>
      </w:r>
      <w:r>
        <w:rPr>
          <w:rFonts w:ascii="Century Schoolbook" w:hAnsi="Century Schoolbook"/>
          <w:sz w:val="27"/>
          <w:szCs w:val="26"/>
        </w:rPr>
        <w:t>also</w:t>
      </w:r>
      <w:r w:rsidRPr="001B41E4">
        <w:rPr>
          <w:rFonts w:ascii="Century Schoolbook" w:hAnsi="Century Schoolbook"/>
          <w:sz w:val="27"/>
          <w:szCs w:val="26"/>
        </w:rPr>
        <w:t xml:space="preserve"> rely upon </w:t>
      </w:r>
      <w:r w:rsidR="00793B72">
        <w:rPr>
          <w:rFonts w:ascii="Century Schoolbook" w:hAnsi="Century Schoolbook"/>
          <w:sz w:val="27"/>
          <w:szCs w:val="26"/>
        </w:rPr>
        <w:t>cases</w:t>
      </w:r>
      <w:r w:rsidRPr="001B41E4">
        <w:rPr>
          <w:rFonts w:ascii="Century Schoolbook" w:hAnsi="Century Schoolbook"/>
          <w:sz w:val="27"/>
          <w:szCs w:val="26"/>
        </w:rPr>
        <w:t xml:space="preserve"> in which the seizure of an opportunity to raise objections at a public hearing </w:t>
      </w:r>
      <w:r w:rsidR="006E0545">
        <w:rPr>
          <w:rFonts w:ascii="Century Schoolbook" w:hAnsi="Century Schoolbook"/>
          <w:sz w:val="27"/>
          <w:szCs w:val="26"/>
        </w:rPr>
        <w:t>was</w:t>
      </w:r>
      <w:r w:rsidRPr="001B41E4">
        <w:rPr>
          <w:rFonts w:ascii="Century Schoolbook" w:hAnsi="Century Schoolbook"/>
          <w:sz w:val="27"/>
          <w:szCs w:val="26"/>
        </w:rPr>
        <w:t xml:space="preserve"> regarded as </w:t>
      </w:r>
      <w:r w:rsidR="00793B72">
        <w:rPr>
          <w:rFonts w:ascii="Century Schoolbook" w:hAnsi="Century Schoolbook"/>
          <w:sz w:val="27"/>
          <w:szCs w:val="26"/>
        </w:rPr>
        <w:t>necessary</w:t>
      </w:r>
      <w:r w:rsidRPr="001B41E4">
        <w:rPr>
          <w:rFonts w:ascii="Century Schoolbook" w:hAnsi="Century Schoolbook"/>
          <w:sz w:val="27"/>
          <w:szCs w:val="26"/>
        </w:rPr>
        <w:t xml:space="preserve"> to preserv</w:t>
      </w:r>
      <w:r w:rsidR="00793B72">
        <w:rPr>
          <w:rFonts w:ascii="Century Schoolbook" w:hAnsi="Century Schoolbook"/>
          <w:sz w:val="27"/>
          <w:szCs w:val="26"/>
        </w:rPr>
        <w:t>e</w:t>
      </w:r>
      <w:r w:rsidRPr="001B41E4">
        <w:rPr>
          <w:rFonts w:ascii="Century Schoolbook" w:hAnsi="Century Schoolbook"/>
          <w:sz w:val="27"/>
          <w:szCs w:val="26"/>
        </w:rPr>
        <w:t xml:space="preserve"> an issue for judicial review.  </w:t>
      </w:r>
      <w:r w:rsidR="0007696B">
        <w:rPr>
          <w:rFonts w:ascii="Century Schoolbook" w:hAnsi="Century Schoolbook"/>
          <w:sz w:val="27"/>
          <w:szCs w:val="26"/>
        </w:rPr>
        <w:t>T</w:t>
      </w:r>
      <w:r w:rsidRPr="001B41E4">
        <w:rPr>
          <w:rFonts w:ascii="Century Schoolbook" w:hAnsi="Century Schoolbook"/>
          <w:sz w:val="27"/>
          <w:szCs w:val="26"/>
        </w:rPr>
        <w:t>h</w:t>
      </w:r>
      <w:r w:rsidR="00DF4504">
        <w:rPr>
          <w:rFonts w:ascii="Century Schoolbook" w:hAnsi="Century Schoolbook"/>
          <w:sz w:val="27"/>
          <w:szCs w:val="26"/>
        </w:rPr>
        <w:t>o</w:t>
      </w:r>
      <w:r w:rsidRPr="001B41E4">
        <w:rPr>
          <w:rFonts w:ascii="Century Schoolbook" w:hAnsi="Century Schoolbook"/>
          <w:sz w:val="27"/>
          <w:szCs w:val="26"/>
        </w:rPr>
        <w:t xml:space="preserve">se </w:t>
      </w:r>
      <w:r w:rsidR="00793B72">
        <w:rPr>
          <w:rFonts w:ascii="Century Schoolbook" w:hAnsi="Century Schoolbook"/>
          <w:sz w:val="27"/>
          <w:szCs w:val="26"/>
        </w:rPr>
        <w:t>cases</w:t>
      </w:r>
      <w:r w:rsidRPr="001B41E4">
        <w:rPr>
          <w:rFonts w:ascii="Century Schoolbook" w:hAnsi="Century Schoolbook"/>
          <w:sz w:val="27"/>
          <w:szCs w:val="26"/>
        </w:rPr>
        <w:t xml:space="preserve"> are distinguishable, however</w:t>
      </w:r>
      <w:r w:rsidR="0007696B">
        <w:rPr>
          <w:rFonts w:ascii="Century Schoolbook" w:hAnsi="Century Schoolbook"/>
          <w:sz w:val="27"/>
          <w:szCs w:val="26"/>
        </w:rPr>
        <w:t xml:space="preserve">, with only three </w:t>
      </w:r>
      <w:r w:rsidR="00BE5E42">
        <w:rPr>
          <w:rFonts w:ascii="Century Schoolbook" w:hAnsi="Century Schoolbook"/>
          <w:sz w:val="27"/>
          <w:szCs w:val="26"/>
        </w:rPr>
        <w:t>meriting</w:t>
      </w:r>
      <w:r w:rsidR="0007696B">
        <w:rPr>
          <w:rFonts w:ascii="Century Schoolbook" w:hAnsi="Century Schoolbook"/>
          <w:sz w:val="27"/>
          <w:szCs w:val="26"/>
        </w:rPr>
        <w:t xml:space="preserve"> </w:t>
      </w:r>
      <w:r w:rsidR="00211D0C">
        <w:rPr>
          <w:rFonts w:ascii="Century Schoolbook" w:hAnsi="Century Schoolbook"/>
          <w:sz w:val="27"/>
          <w:szCs w:val="26"/>
        </w:rPr>
        <w:t>significant</w:t>
      </w:r>
      <w:r w:rsidR="00BE5E42">
        <w:rPr>
          <w:rFonts w:ascii="Century Schoolbook" w:hAnsi="Century Schoolbook"/>
          <w:sz w:val="27"/>
          <w:szCs w:val="26"/>
        </w:rPr>
        <w:t xml:space="preserve"> discussion</w:t>
      </w:r>
      <w:r w:rsidR="0007696B">
        <w:rPr>
          <w:rFonts w:ascii="Century Schoolbook" w:hAnsi="Century Schoolbook"/>
          <w:sz w:val="27"/>
          <w:szCs w:val="26"/>
        </w:rPr>
        <w:t>.</w:t>
      </w:r>
      <w:r w:rsidRPr="001B41E4">
        <w:rPr>
          <w:rFonts w:ascii="Century Schoolbook" w:hAnsi="Century Schoolbook"/>
          <w:sz w:val="27"/>
          <w:szCs w:val="26"/>
        </w:rPr>
        <w:t xml:space="preserve">  In </w:t>
      </w:r>
      <w:r w:rsidRPr="001B41E4">
        <w:rPr>
          <w:rFonts w:ascii="Century Schoolbook" w:hAnsi="Century Schoolbook"/>
          <w:i/>
          <w:iCs/>
          <w:sz w:val="27"/>
          <w:szCs w:val="26"/>
        </w:rPr>
        <w:t>Wallich’s Ranch Co. v. Kern County Citrus Pest Control Dist.</w:t>
      </w:r>
      <w:r w:rsidRPr="001B41E4">
        <w:rPr>
          <w:rFonts w:ascii="Century Schoolbook" w:hAnsi="Century Schoolbook"/>
          <w:sz w:val="27"/>
          <w:szCs w:val="26"/>
        </w:rPr>
        <w:t xml:space="preserve"> (2001) 87</w:t>
      </w:r>
      <w:r w:rsidR="00611133">
        <w:rPr>
          <w:rFonts w:ascii="Century Schoolbook" w:hAnsi="Century Schoolbook"/>
          <w:sz w:val="27"/>
          <w:szCs w:val="26"/>
        </w:rPr>
        <w:t> </w:t>
      </w:r>
      <w:r w:rsidRPr="001B41E4">
        <w:rPr>
          <w:rFonts w:ascii="Century Schoolbook" w:hAnsi="Century Schoolbook"/>
          <w:sz w:val="27"/>
          <w:szCs w:val="26"/>
        </w:rPr>
        <w:t>Cal.App.4th 878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the Court of Appeal construed the Citrus Pest District Control Law (Food &amp; Agr. Code, § 8401 et seq.; </w:t>
      </w:r>
      <w:r w:rsidR="00211D0C">
        <w:rPr>
          <w:rFonts w:ascii="Century Schoolbook" w:hAnsi="Century Schoolbook"/>
          <w:sz w:val="27"/>
          <w:szCs w:val="26"/>
        </w:rPr>
        <w:t xml:space="preserve">hereinafter referred to as </w:t>
      </w:r>
      <w:r w:rsidRPr="001B41E4">
        <w:rPr>
          <w:rFonts w:ascii="Century Schoolbook" w:hAnsi="Century Schoolbook"/>
          <w:sz w:val="27"/>
          <w:szCs w:val="26"/>
        </w:rPr>
        <w:t>the Pest Control Law), relevant provisions of which (1) allow for the presentation of protests against a pest district’s annual budget “or any item in it” at the hearing of the district’s board of directors at which the budget is presented for consideration and approval (</w:t>
      </w:r>
      <w:r w:rsidRPr="001B41E4">
        <w:rPr>
          <w:rFonts w:ascii="Century Schoolbook" w:hAnsi="Century Schoolbook"/>
          <w:i/>
          <w:iCs/>
          <w:sz w:val="27"/>
          <w:szCs w:val="26"/>
        </w:rPr>
        <w:t>id</w:t>
      </w:r>
      <w:r w:rsidRPr="001B41E4">
        <w:rPr>
          <w:rFonts w:ascii="Century Schoolbook" w:hAnsi="Century Schoolbook"/>
          <w:sz w:val="27"/>
          <w:szCs w:val="26"/>
        </w:rPr>
        <w:t>., §</w:t>
      </w:r>
      <w:r w:rsidR="003617D3">
        <w:rPr>
          <w:rFonts w:ascii="Century Schoolbook" w:hAnsi="Century Schoolbook"/>
          <w:sz w:val="27"/>
          <w:szCs w:val="26"/>
        </w:rPr>
        <w:t> </w:t>
      </w:r>
      <w:r w:rsidRPr="001B41E4">
        <w:rPr>
          <w:rFonts w:ascii="Century Schoolbook" w:hAnsi="Century Schoolbook"/>
          <w:sz w:val="27"/>
          <w:szCs w:val="26"/>
        </w:rPr>
        <w:t>8564), and (2) specify that “[a]t the time set for hearing protests [regarding the budget], the board shall proceed to hear and pass upon all protests so made and its decision on the protests shall be final and conclusive” (</w:t>
      </w:r>
      <w:r w:rsidRPr="001B41E4">
        <w:rPr>
          <w:rFonts w:ascii="Century Schoolbook" w:hAnsi="Century Schoolbook"/>
          <w:i/>
          <w:iCs/>
          <w:sz w:val="27"/>
          <w:szCs w:val="26"/>
        </w:rPr>
        <w:t>id</w:t>
      </w:r>
      <w:r w:rsidRPr="001B41E4">
        <w:rPr>
          <w:rFonts w:ascii="Century Schoolbook" w:hAnsi="Century Schoolbook"/>
          <w:sz w:val="27"/>
          <w:szCs w:val="26"/>
        </w:rPr>
        <w:t xml:space="preserve">., § 8565).  Addressing a grower’s challenge to assessments imposed over a three-year span, which contributed to the district’s budget over this period, the court in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determined that these objections should have been presented at the appropriate budget hearings, and the grower’s failure to so object barred it from later challenging the assessments in court.  (</w:t>
      </w:r>
      <w:r w:rsidRPr="001B41E4">
        <w:rPr>
          <w:rFonts w:ascii="Century Schoolbook" w:hAnsi="Century Schoolbook"/>
          <w:i/>
          <w:iCs/>
          <w:sz w:val="27"/>
          <w:szCs w:val="26"/>
        </w:rPr>
        <w:t>Wallich’s Ranch</w:t>
      </w:r>
      <w:r w:rsidRPr="001B41E4">
        <w:rPr>
          <w:rFonts w:ascii="Century Schoolbook" w:hAnsi="Century Schoolbook"/>
          <w:sz w:val="27"/>
          <w:szCs w:val="26"/>
        </w:rPr>
        <w:t>, at pp.</w:t>
      </w:r>
      <w:r w:rsidR="00611133">
        <w:rPr>
          <w:rFonts w:ascii="Century Schoolbook" w:hAnsi="Century Schoolbook"/>
          <w:sz w:val="27"/>
          <w:szCs w:val="26"/>
        </w:rPr>
        <w:t> </w:t>
      </w:r>
      <w:r w:rsidRPr="001B41E4">
        <w:rPr>
          <w:rFonts w:ascii="Century Schoolbook" w:hAnsi="Century Schoolbook"/>
          <w:sz w:val="27"/>
          <w:szCs w:val="26"/>
        </w:rPr>
        <w:t xml:space="preserve">884–885.)  </w:t>
      </w:r>
    </w:p>
    <w:p w:rsidR="007C14F8" w:rsidRPr="001B41E4" w:rsidP="007C14F8" w14:paraId="7E119B10" w14:textId="77777777">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 xml:space="preserve">The analysis in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w:t>
      </w:r>
      <w:r w:rsidRPr="001B41E4">
        <w:rPr>
          <w:rFonts w:ascii="Century Schoolbook" w:hAnsi="Century Schoolbook"/>
          <w:i/>
          <w:iCs/>
          <w:sz w:val="27"/>
          <w:szCs w:val="26"/>
        </w:rPr>
        <w:t>supra</w:t>
      </w:r>
      <w:r w:rsidRPr="001B41E4">
        <w:rPr>
          <w:rFonts w:ascii="Century Schoolbook" w:hAnsi="Century Schoolbook"/>
          <w:sz w:val="27"/>
          <w:szCs w:val="26"/>
        </w:rPr>
        <w:t xml:space="preserve">, 87 Cal.App.4th 878 relied upon the reasoning in </w:t>
      </w:r>
      <w:r w:rsidRPr="001B41E4">
        <w:rPr>
          <w:rFonts w:ascii="Century Schoolbook" w:hAnsi="Century Schoolbook"/>
          <w:i/>
          <w:iCs/>
          <w:sz w:val="27"/>
          <w:szCs w:val="26"/>
        </w:rPr>
        <w:t>People ex rel. Lockyer v. Sun Pacific Farming Co.</w:t>
      </w:r>
      <w:r w:rsidRPr="001B41E4">
        <w:rPr>
          <w:rFonts w:ascii="Century Schoolbook" w:hAnsi="Century Schoolbook"/>
          <w:sz w:val="27"/>
          <w:szCs w:val="26"/>
        </w:rPr>
        <w:t xml:space="preserve"> (2000) 77 Cal.App.4th 619, 641–642 (</w:t>
      </w:r>
      <w:r w:rsidRPr="001B41E4">
        <w:rPr>
          <w:rFonts w:ascii="Century Schoolbook" w:hAnsi="Century Schoolbook"/>
          <w:i/>
          <w:iCs/>
          <w:sz w:val="27"/>
          <w:szCs w:val="26"/>
        </w:rPr>
        <w:t>Sun Pacific</w:t>
      </w:r>
      <w:r w:rsidRPr="001B41E4">
        <w:rPr>
          <w:rFonts w:ascii="Century Schoolbook" w:hAnsi="Century Schoolbook"/>
          <w:sz w:val="27"/>
          <w:szCs w:val="26"/>
        </w:rPr>
        <w:t xml:space="preserve">), in which the Court of Appeal upheld a trial court’s refusal to allow the defendant in a nuisance proceeding to introduce evidence regarding the efficacy of a Pest Control Law abatement program because the defendant had not previously challenged the program at the appropriate annual budget hearings.  </w:t>
      </w:r>
      <w:r w:rsidRPr="001B41E4">
        <w:rPr>
          <w:rFonts w:ascii="Century Schoolbook" w:hAnsi="Century Schoolbook"/>
          <w:i/>
          <w:iCs/>
          <w:sz w:val="27"/>
          <w:szCs w:val="26"/>
        </w:rPr>
        <w:t>Sun Pacific</w:t>
      </w:r>
      <w:r w:rsidRPr="001B41E4">
        <w:rPr>
          <w:rFonts w:ascii="Century Schoolbook" w:hAnsi="Century Schoolbook"/>
          <w:sz w:val="27"/>
          <w:szCs w:val="26"/>
        </w:rPr>
        <w:t xml:space="preserve"> found the exhaustion rule applicable “[g]iven the public health and safety issues inherent in the Pest Control Law, in addition to the policy of resolving disputes expeditiously.”  (</w:t>
      </w:r>
      <w:r w:rsidRPr="001B41E4">
        <w:rPr>
          <w:rFonts w:ascii="Century Schoolbook" w:hAnsi="Century Schoolbook"/>
          <w:i/>
          <w:iCs/>
          <w:sz w:val="27"/>
          <w:szCs w:val="26"/>
        </w:rPr>
        <w:t>Id</w:t>
      </w:r>
      <w:r w:rsidRPr="001B41E4">
        <w:rPr>
          <w:rFonts w:ascii="Century Schoolbook" w:hAnsi="Century Schoolbook"/>
          <w:sz w:val="27"/>
          <w:szCs w:val="26"/>
        </w:rPr>
        <w:t xml:space="preserve">., at p. 641.)  This view was echoed by the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court (</w:t>
      </w:r>
      <w:r w:rsidRPr="001B41E4">
        <w:rPr>
          <w:rFonts w:ascii="Century Schoolbook" w:hAnsi="Century Schoolbook"/>
          <w:i/>
          <w:iCs/>
          <w:sz w:val="27"/>
          <w:szCs w:val="26"/>
        </w:rPr>
        <w:t>Wallich’s Ranch</w:t>
      </w:r>
      <w:r w:rsidRPr="001B41E4">
        <w:rPr>
          <w:rFonts w:ascii="Century Schoolbook" w:hAnsi="Century Schoolbook"/>
          <w:sz w:val="27"/>
          <w:szCs w:val="26"/>
        </w:rPr>
        <w:t>, at p. 884), which also observed that raising appropriate objections to an assessment at the designated budget hearing gives a district “an opportunity to address the perceived problems and formulate a resolution” (</w:t>
      </w:r>
      <w:r w:rsidRPr="001B41E4">
        <w:rPr>
          <w:rFonts w:ascii="Century Schoolbook" w:hAnsi="Century Schoolbook"/>
          <w:i/>
          <w:iCs/>
          <w:sz w:val="27"/>
          <w:szCs w:val="26"/>
        </w:rPr>
        <w:t>id</w:t>
      </w:r>
      <w:r w:rsidRPr="001B41E4">
        <w:rPr>
          <w:rFonts w:ascii="Century Schoolbook" w:hAnsi="Century Schoolbook"/>
          <w:sz w:val="27"/>
          <w:szCs w:val="26"/>
        </w:rPr>
        <w:t>., at p. 885).</w:t>
      </w:r>
    </w:p>
    <w:p w:rsidR="00876122" w:rsidRPr="001B41E4" w:rsidP="007C14F8" w14:paraId="7AE0603B" w14:textId="06A5F8F7">
      <w:pPr>
        <w:pStyle w:val="xmsonormal"/>
        <w:shd w:val="clear" w:color="auto" w:fill="FFFFFF"/>
        <w:spacing w:before="0" w:beforeAutospacing="0" w:afterAutospacing="0" w:line="400" w:lineRule="exact"/>
        <w:ind w:firstLine="720"/>
        <w:rPr>
          <w:rFonts w:ascii="Century Schoolbook" w:hAnsi="Century Schoolbook"/>
          <w:sz w:val="27"/>
          <w:szCs w:val="26"/>
        </w:rPr>
      </w:pPr>
      <w:r w:rsidRPr="001B41E4">
        <w:rPr>
          <w:rFonts w:ascii="Century Schoolbook" w:hAnsi="Century Schoolbook"/>
          <w:sz w:val="27"/>
          <w:szCs w:val="26"/>
        </w:rPr>
        <w:t xml:space="preserve">In </w:t>
      </w:r>
      <w:r w:rsidRPr="001B41E4">
        <w:rPr>
          <w:rFonts w:ascii="Century Schoolbook" w:hAnsi="Century Schoolbook"/>
          <w:i/>
          <w:iCs/>
          <w:sz w:val="27"/>
          <w:szCs w:val="26"/>
        </w:rPr>
        <w:t>Plantier</w:t>
      </w:r>
      <w:r w:rsidRPr="001B41E4">
        <w:rPr>
          <w:rFonts w:ascii="Century Schoolbook" w:hAnsi="Century Schoolbook"/>
          <w:sz w:val="27"/>
          <w:szCs w:val="26"/>
        </w:rPr>
        <w:t xml:space="preserve">, </w:t>
      </w:r>
      <w:r w:rsidRPr="001B41E4">
        <w:rPr>
          <w:rFonts w:ascii="Century Schoolbook" w:hAnsi="Century Schoolbook"/>
          <w:i/>
          <w:iCs/>
          <w:sz w:val="27"/>
          <w:szCs w:val="26"/>
        </w:rPr>
        <w:t>supra</w:t>
      </w:r>
      <w:r w:rsidRPr="001B41E4">
        <w:rPr>
          <w:rFonts w:ascii="Century Schoolbook" w:hAnsi="Century Schoolbook"/>
          <w:sz w:val="27"/>
          <w:szCs w:val="26"/>
        </w:rPr>
        <w:t>, 7 Cal.5th</w:t>
      </w:r>
      <w:r w:rsidRPr="001B41E4">
        <w:rPr>
          <w:rFonts w:ascii="Century Schoolbook" w:hAnsi="Century Schoolbook"/>
          <w:sz w:val="27"/>
          <w:szCs w:val="26"/>
          <w:vertAlign w:val="superscript"/>
        </w:rPr>
        <w:t xml:space="preserve"> </w:t>
      </w:r>
      <w:r w:rsidRPr="001B41E4">
        <w:rPr>
          <w:rFonts w:ascii="Century Schoolbook" w:hAnsi="Century Schoolbook"/>
          <w:sz w:val="27"/>
          <w:szCs w:val="26"/>
        </w:rPr>
        <w:t xml:space="preserve">372, we found it unnecessary to decide whether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was correctly decided because we regarded that case as distinguishable on several grounds.  (</w:t>
      </w:r>
      <w:r w:rsidRPr="001B41E4">
        <w:rPr>
          <w:rFonts w:ascii="Century Schoolbook" w:hAnsi="Century Schoolbook"/>
          <w:i/>
          <w:iCs/>
          <w:sz w:val="27"/>
          <w:szCs w:val="26"/>
        </w:rPr>
        <w:t>Plantier</w:t>
      </w:r>
      <w:r w:rsidRPr="001B41E4">
        <w:rPr>
          <w:rFonts w:ascii="Century Schoolbook" w:hAnsi="Century Schoolbook"/>
          <w:sz w:val="27"/>
          <w:szCs w:val="26"/>
        </w:rPr>
        <w:t>, at p. 389 &amp; fn. 12.)  The same is true here</w:t>
      </w:r>
      <w:r w:rsidRPr="001B41E4" w:rsidR="00391067">
        <w:rPr>
          <w:rFonts w:ascii="Century Schoolbook" w:hAnsi="Century Schoolbook"/>
          <w:sz w:val="27"/>
          <w:szCs w:val="26"/>
        </w:rPr>
        <w:t xml:space="preserve">.  As we explained in </w:t>
      </w:r>
      <w:r w:rsidRPr="001B41E4" w:rsidR="00391067">
        <w:rPr>
          <w:rFonts w:ascii="Century Schoolbook" w:hAnsi="Century Schoolbook"/>
          <w:i/>
          <w:iCs/>
          <w:sz w:val="27"/>
          <w:szCs w:val="26"/>
        </w:rPr>
        <w:t>Plantier</w:t>
      </w:r>
      <w:r w:rsidRPr="001B41E4" w:rsidR="00391067">
        <w:rPr>
          <w:rFonts w:ascii="Century Schoolbook" w:hAnsi="Century Schoolbook"/>
          <w:sz w:val="27"/>
          <w:szCs w:val="26"/>
        </w:rPr>
        <w:t>, 7</w:t>
      </w:r>
      <w:r w:rsidRPr="001B41E4" w:rsidR="005825B5">
        <w:rPr>
          <w:rFonts w:ascii="Century Schoolbook" w:hAnsi="Century Schoolbook"/>
          <w:sz w:val="27"/>
          <w:szCs w:val="26"/>
        </w:rPr>
        <w:t> </w:t>
      </w:r>
      <w:r w:rsidRPr="001B41E4" w:rsidR="00391067">
        <w:rPr>
          <w:rFonts w:ascii="Century Schoolbook" w:hAnsi="Century Schoolbook"/>
          <w:sz w:val="27"/>
          <w:szCs w:val="26"/>
        </w:rPr>
        <w:t xml:space="preserve">Cal.5th </w:t>
      </w:r>
      <w:r w:rsidRPr="001B41E4" w:rsidR="007503BB">
        <w:rPr>
          <w:rFonts w:ascii="Century Schoolbook" w:hAnsi="Century Schoolbook"/>
          <w:sz w:val="27"/>
          <w:szCs w:val="26"/>
        </w:rPr>
        <w:t>at page 389</w:t>
      </w:r>
      <w:r w:rsidRPr="001B41E4" w:rsidR="00391067">
        <w:rPr>
          <w:rFonts w:ascii="Century Schoolbook" w:hAnsi="Century Schoolbook"/>
          <w:sz w:val="27"/>
          <w:szCs w:val="26"/>
        </w:rPr>
        <w:t>,</w:t>
      </w:r>
      <w:r w:rsidRPr="001B41E4" w:rsidR="006A658E">
        <w:rPr>
          <w:rFonts w:ascii="Century Schoolbook" w:hAnsi="Century Schoolbook"/>
          <w:sz w:val="27"/>
          <w:szCs w:val="26"/>
        </w:rPr>
        <w:t xml:space="preserve"> the </w:t>
      </w:r>
      <w:r w:rsidRPr="001B41E4" w:rsidR="001C0003">
        <w:rPr>
          <w:rFonts w:ascii="Century Schoolbook" w:hAnsi="Century Schoolbook"/>
          <w:sz w:val="27"/>
          <w:szCs w:val="26"/>
        </w:rPr>
        <w:t xml:space="preserve">statute addressed in </w:t>
      </w:r>
      <w:r w:rsidRPr="001B41E4">
        <w:rPr>
          <w:rFonts w:ascii="Century Schoolbook" w:hAnsi="Century Schoolbook"/>
          <w:i/>
          <w:iCs/>
          <w:sz w:val="27"/>
          <w:szCs w:val="26"/>
        </w:rPr>
        <w:t>Wallich’s Ranch</w:t>
      </w:r>
      <w:r w:rsidRPr="001B41E4">
        <w:rPr>
          <w:rFonts w:ascii="Century Schoolbook" w:hAnsi="Century Schoolbook"/>
          <w:sz w:val="27"/>
          <w:szCs w:val="26"/>
        </w:rPr>
        <w:t xml:space="preserve"> and </w:t>
      </w:r>
      <w:r w:rsidRPr="001B41E4">
        <w:rPr>
          <w:rFonts w:ascii="Century Schoolbook" w:hAnsi="Century Schoolbook"/>
          <w:i/>
          <w:iCs/>
          <w:sz w:val="27"/>
          <w:szCs w:val="26"/>
        </w:rPr>
        <w:t>Sun Pacific</w:t>
      </w:r>
      <w:r w:rsidRPr="001B41E4">
        <w:rPr>
          <w:rFonts w:ascii="Century Schoolbook" w:hAnsi="Century Schoolbook"/>
          <w:sz w:val="27"/>
          <w:szCs w:val="26"/>
        </w:rPr>
        <w:t xml:space="preserve"> </w:t>
      </w:r>
      <w:r w:rsidRPr="001B41E4" w:rsidR="00391067">
        <w:rPr>
          <w:rFonts w:ascii="Century Schoolbook" w:hAnsi="Century Schoolbook"/>
          <w:sz w:val="27"/>
          <w:szCs w:val="26"/>
        </w:rPr>
        <w:t>differs from the statutory and constitutional scheme before us</w:t>
      </w:r>
      <w:r w:rsidRPr="001B41E4" w:rsidR="00857BB7">
        <w:rPr>
          <w:rFonts w:ascii="Century Schoolbook" w:hAnsi="Century Schoolbook"/>
          <w:sz w:val="27"/>
          <w:szCs w:val="26"/>
        </w:rPr>
        <w:t xml:space="preserve"> in </w:t>
      </w:r>
      <w:r w:rsidRPr="001B41E4" w:rsidR="008639A5">
        <w:rPr>
          <w:rFonts w:ascii="Century Schoolbook" w:hAnsi="Century Schoolbook"/>
          <w:sz w:val="27"/>
          <w:szCs w:val="26"/>
        </w:rPr>
        <w:t xml:space="preserve">that </w:t>
      </w:r>
      <w:r w:rsidRPr="001B41E4" w:rsidR="00857BB7">
        <w:rPr>
          <w:rFonts w:ascii="Century Schoolbook" w:hAnsi="Century Schoolbook"/>
          <w:sz w:val="27"/>
          <w:szCs w:val="26"/>
        </w:rPr>
        <w:t>the Pest Control Law</w:t>
      </w:r>
      <w:r w:rsidRPr="001B41E4" w:rsidR="008639A5">
        <w:rPr>
          <w:rFonts w:ascii="Century Schoolbook" w:hAnsi="Century Schoolbook"/>
          <w:sz w:val="27"/>
          <w:szCs w:val="26"/>
        </w:rPr>
        <w:t xml:space="preserve"> </w:t>
      </w:r>
      <w:r w:rsidRPr="001B41E4" w:rsidR="00EC00CA">
        <w:rPr>
          <w:rFonts w:ascii="Century Schoolbook" w:hAnsi="Century Schoolbook"/>
          <w:sz w:val="27"/>
          <w:szCs w:val="26"/>
        </w:rPr>
        <w:t>direct</w:t>
      </w:r>
      <w:r w:rsidRPr="001B41E4" w:rsidR="00857BB7">
        <w:rPr>
          <w:rFonts w:ascii="Century Schoolbook" w:hAnsi="Century Schoolbook"/>
          <w:sz w:val="27"/>
          <w:szCs w:val="26"/>
        </w:rPr>
        <w:t>s</w:t>
      </w:r>
      <w:r w:rsidRPr="001B41E4" w:rsidR="006A658E">
        <w:rPr>
          <w:rFonts w:ascii="Century Schoolbook" w:hAnsi="Century Schoolbook"/>
          <w:sz w:val="27"/>
          <w:szCs w:val="26"/>
        </w:rPr>
        <w:t xml:space="preserve"> local boards to “pass upon” objections</w:t>
      </w:r>
      <w:r w:rsidRPr="001B41E4" w:rsidR="00857BB7">
        <w:rPr>
          <w:rFonts w:ascii="Century Schoolbook" w:hAnsi="Century Schoolbook"/>
          <w:sz w:val="27"/>
          <w:szCs w:val="26"/>
        </w:rPr>
        <w:t xml:space="preserve"> (Food &amp; Agr. Code, § 8565)</w:t>
      </w:r>
      <w:r w:rsidRPr="001B41E4" w:rsidR="006A658E">
        <w:rPr>
          <w:rFonts w:ascii="Century Schoolbook" w:hAnsi="Century Schoolbook"/>
          <w:sz w:val="27"/>
          <w:szCs w:val="26"/>
        </w:rPr>
        <w:t xml:space="preserve">, not </w:t>
      </w:r>
      <w:r w:rsidR="004B3D6C">
        <w:rPr>
          <w:rFonts w:ascii="Century Schoolbook" w:hAnsi="Century Schoolbook"/>
          <w:sz w:val="27"/>
          <w:szCs w:val="26"/>
        </w:rPr>
        <w:t>just</w:t>
      </w:r>
      <w:r w:rsidRPr="001B41E4" w:rsidR="006A658E">
        <w:rPr>
          <w:rFonts w:ascii="Century Schoolbook" w:hAnsi="Century Schoolbook"/>
          <w:sz w:val="27"/>
          <w:szCs w:val="26"/>
        </w:rPr>
        <w:t xml:space="preserve"> </w:t>
      </w:r>
      <w:r w:rsidR="004B3D6C">
        <w:rPr>
          <w:rFonts w:ascii="Century Schoolbook" w:hAnsi="Century Schoolbook"/>
          <w:sz w:val="27"/>
          <w:szCs w:val="26"/>
        </w:rPr>
        <w:t>“</w:t>
      </w:r>
      <w:r w:rsidRPr="001B41E4" w:rsidR="006A658E">
        <w:rPr>
          <w:rFonts w:ascii="Century Schoolbook" w:hAnsi="Century Schoolbook"/>
          <w:sz w:val="27"/>
          <w:szCs w:val="26"/>
        </w:rPr>
        <w:t>consider</w:t>
      </w:r>
      <w:r w:rsidR="004B3D6C">
        <w:rPr>
          <w:rFonts w:ascii="Century Schoolbook" w:hAnsi="Century Schoolbook"/>
          <w:sz w:val="27"/>
          <w:szCs w:val="26"/>
        </w:rPr>
        <w:t>”</w:t>
      </w:r>
      <w:r w:rsidRPr="001B41E4" w:rsidR="006A658E">
        <w:rPr>
          <w:rFonts w:ascii="Century Schoolbook" w:hAnsi="Century Schoolbook"/>
          <w:sz w:val="27"/>
          <w:szCs w:val="26"/>
        </w:rPr>
        <w:t xml:space="preserve"> </w:t>
      </w:r>
      <w:r w:rsidRPr="001B41E4" w:rsidR="00F50830">
        <w:rPr>
          <w:rFonts w:ascii="Century Schoolbook" w:hAnsi="Century Schoolbook"/>
          <w:sz w:val="27"/>
          <w:szCs w:val="26"/>
        </w:rPr>
        <w:t>protests</w:t>
      </w:r>
      <w:r w:rsidRPr="001B41E4" w:rsidR="00857BB7">
        <w:rPr>
          <w:rFonts w:ascii="Century Schoolbook" w:hAnsi="Century Schoolbook"/>
          <w:sz w:val="27"/>
          <w:szCs w:val="26"/>
        </w:rPr>
        <w:t xml:space="preserve"> </w:t>
      </w:r>
      <w:r w:rsidRPr="001B41E4" w:rsidR="00857BB7">
        <w:rPr>
          <w:rFonts w:ascii="Century Schoolbook" w:hAnsi="Century Schoolbook"/>
          <w:sz w:val="27"/>
        </w:rPr>
        <w:t>(art. XIII D, § 4, subd. (e); Gov. Code, § 53753, subd. (d))</w:t>
      </w:r>
      <w:r w:rsidRPr="001B41E4" w:rsidR="006A658E">
        <w:rPr>
          <w:rFonts w:ascii="Century Schoolbook" w:hAnsi="Century Schoolbook"/>
          <w:sz w:val="27"/>
          <w:szCs w:val="26"/>
        </w:rPr>
        <w:t xml:space="preserve">.  </w:t>
      </w:r>
      <w:r w:rsidRPr="001B41E4" w:rsidR="00391067">
        <w:rPr>
          <w:rFonts w:ascii="Century Schoolbook" w:hAnsi="Century Schoolbook"/>
          <w:sz w:val="27"/>
          <w:szCs w:val="26"/>
        </w:rPr>
        <w:t xml:space="preserve">Moreover, neither </w:t>
      </w:r>
      <w:r w:rsidRPr="001B41E4" w:rsidR="00391067">
        <w:rPr>
          <w:rFonts w:ascii="Century Schoolbook" w:hAnsi="Century Schoolbook"/>
          <w:i/>
          <w:iCs/>
          <w:sz w:val="27"/>
          <w:szCs w:val="26"/>
        </w:rPr>
        <w:t xml:space="preserve">Sun </w:t>
      </w:r>
      <w:r w:rsidR="00211D0C">
        <w:rPr>
          <w:rFonts w:ascii="Century Schoolbook" w:hAnsi="Century Schoolbook"/>
          <w:i/>
          <w:iCs/>
          <w:sz w:val="27"/>
          <w:szCs w:val="26"/>
        </w:rPr>
        <w:t>Pacific</w:t>
      </w:r>
      <w:r w:rsidRPr="001B41E4" w:rsidR="00391067">
        <w:rPr>
          <w:rFonts w:ascii="Century Schoolbook" w:hAnsi="Century Schoolbook"/>
          <w:sz w:val="27"/>
          <w:szCs w:val="26"/>
        </w:rPr>
        <w:t xml:space="preserve"> nor </w:t>
      </w:r>
      <w:r w:rsidRPr="001B41E4" w:rsidR="00391067">
        <w:rPr>
          <w:rFonts w:ascii="Century Schoolbook" w:hAnsi="Century Schoolbook"/>
          <w:i/>
          <w:iCs/>
          <w:sz w:val="27"/>
          <w:szCs w:val="26"/>
        </w:rPr>
        <w:t>Wallich’s Ranch</w:t>
      </w:r>
      <w:r w:rsidRPr="001B41E4" w:rsidR="00391067">
        <w:rPr>
          <w:rFonts w:ascii="Century Schoolbook" w:hAnsi="Century Schoolbook"/>
          <w:sz w:val="27"/>
          <w:szCs w:val="26"/>
        </w:rPr>
        <w:t xml:space="preserve"> </w:t>
      </w:r>
      <w:r w:rsidRPr="001B41E4" w:rsidR="001A13CB">
        <w:rPr>
          <w:rFonts w:ascii="Century Schoolbook" w:hAnsi="Century Schoolbook"/>
          <w:sz w:val="27"/>
          <w:szCs w:val="26"/>
        </w:rPr>
        <w:t>considered</w:t>
      </w:r>
      <w:r w:rsidRPr="001B41E4" w:rsidR="00391067">
        <w:rPr>
          <w:rFonts w:ascii="Century Schoolbook" w:hAnsi="Century Schoolbook"/>
          <w:sz w:val="27"/>
          <w:szCs w:val="26"/>
        </w:rPr>
        <w:t xml:space="preserve"> whether </w:t>
      </w:r>
      <w:r w:rsidRPr="001B41E4" w:rsidR="00857BB7">
        <w:rPr>
          <w:rFonts w:ascii="Century Schoolbook" w:hAnsi="Century Schoolbook"/>
          <w:sz w:val="27"/>
          <w:szCs w:val="26"/>
        </w:rPr>
        <w:t>the</w:t>
      </w:r>
      <w:r w:rsidRPr="001B41E4" w:rsidR="00391067">
        <w:rPr>
          <w:rFonts w:ascii="Century Schoolbook" w:hAnsi="Century Schoolbook"/>
          <w:sz w:val="27"/>
          <w:szCs w:val="26"/>
        </w:rPr>
        <w:t xml:space="preserve"> exhaustion requirement</w:t>
      </w:r>
      <w:r w:rsidRPr="001B41E4" w:rsidR="00857BB7">
        <w:rPr>
          <w:rFonts w:ascii="Century Schoolbook" w:hAnsi="Century Schoolbook"/>
          <w:sz w:val="27"/>
          <w:szCs w:val="26"/>
        </w:rPr>
        <w:t xml:space="preserve"> they read into</w:t>
      </w:r>
      <w:r w:rsidRPr="001B41E4" w:rsidR="00391067">
        <w:rPr>
          <w:rFonts w:ascii="Century Schoolbook" w:hAnsi="Century Schoolbook"/>
          <w:sz w:val="27"/>
          <w:szCs w:val="26"/>
        </w:rPr>
        <w:t xml:space="preserve"> </w:t>
      </w:r>
      <w:r w:rsidRPr="001B41E4" w:rsidR="00857BB7">
        <w:rPr>
          <w:rFonts w:ascii="Century Schoolbook" w:hAnsi="Century Schoolbook"/>
          <w:sz w:val="27"/>
          <w:szCs w:val="26"/>
        </w:rPr>
        <w:t xml:space="preserve">the Pest Control Law </w:t>
      </w:r>
      <w:r w:rsidRPr="001B41E4" w:rsidR="00391067">
        <w:rPr>
          <w:rFonts w:ascii="Century Schoolbook" w:hAnsi="Century Schoolbook"/>
          <w:sz w:val="27"/>
          <w:szCs w:val="26"/>
        </w:rPr>
        <w:t>comported with Proposition 218</w:t>
      </w:r>
      <w:r w:rsidRPr="001B41E4" w:rsidR="001A13CB">
        <w:rPr>
          <w:rFonts w:ascii="Century Schoolbook" w:hAnsi="Century Schoolbook"/>
          <w:sz w:val="27"/>
          <w:szCs w:val="26"/>
        </w:rPr>
        <w:t xml:space="preserve">, or whether the opportunity to object under the Pest Control Law represented an adequate remedy under the standard announced in </w:t>
      </w:r>
      <w:r w:rsidRPr="001B41E4" w:rsidR="001A13CB">
        <w:rPr>
          <w:rFonts w:ascii="Century Schoolbook" w:hAnsi="Century Schoolbook"/>
          <w:i/>
          <w:iCs/>
          <w:sz w:val="27"/>
          <w:szCs w:val="26"/>
        </w:rPr>
        <w:t>Rosenfield</w:t>
      </w:r>
      <w:r w:rsidRPr="001B41E4" w:rsidR="001A13CB">
        <w:rPr>
          <w:rFonts w:ascii="Century Schoolbook" w:hAnsi="Century Schoolbook"/>
          <w:sz w:val="27"/>
          <w:szCs w:val="26"/>
        </w:rPr>
        <w:t xml:space="preserve">, </w:t>
      </w:r>
      <w:r w:rsidRPr="001B41E4" w:rsidR="001A13CB">
        <w:rPr>
          <w:rFonts w:ascii="Century Schoolbook" w:hAnsi="Century Schoolbook"/>
          <w:i/>
          <w:iCs/>
          <w:sz w:val="27"/>
          <w:szCs w:val="26"/>
        </w:rPr>
        <w:t>supra</w:t>
      </w:r>
      <w:r w:rsidRPr="001B41E4" w:rsidR="001A13CB">
        <w:rPr>
          <w:rFonts w:ascii="Century Schoolbook" w:hAnsi="Century Schoolbook"/>
          <w:sz w:val="27"/>
          <w:szCs w:val="26"/>
        </w:rPr>
        <w:t>, 65</w:t>
      </w:r>
      <w:r w:rsidRPr="001B41E4" w:rsidR="00EA6DAA">
        <w:rPr>
          <w:rFonts w:ascii="Century Schoolbook" w:hAnsi="Century Schoolbook"/>
          <w:sz w:val="27"/>
          <w:szCs w:val="26"/>
        </w:rPr>
        <w:t> </w:t>
      </w:r>
      <w:r w:rsidRPr="001B41E4" w:rsidR="001A13CB">
        <w:rPr>
          <w:rFonts w:ascii="Century Schoolbook" w:hAnsi="Century Schoolbook"/>
          <w:sz w:val="27"/>
          <w:szCs w:val="26"/>
        </w:rPr>
        <w:t>Cal.2d at page 566</w:t>
      </w:r>
      <w:r w:rsidRPr="001B41E4" w:rsidR="008639A5">
        <w:rPr>
          <w:rFonts w:ascii="Century Schoolbook" w:hAnsi="Century Schoolbook"/>
          <w:sz w:val="27"/>
          <w:szCs w:val="26"/>
        </w:rPr>
        <w:t xml:space="preserve">.  </w:t>
      </w:r>
      <w:r w:rsidRPr="001B41E4" w:rsidR="00B43AC2">
        <w:rPr>
          <w:rFonts w:ascii="Century Schoolbook" w:hAnsi="Century Schoolbook"/>
          <w:sz w:val="27"/>
          <w:szCs w:val="26"/>
        </w:rPr>
        <w:t>In light of the distinguishing characteristics of the statutory scheme addressed in</w:t>
      </w:r>
      <w:r w:rsidRPr="001B41E4" w:rsidR="00914867">
        <w:rPr>
          <w:rFonts w:ascii="Century Schoolbook" w:hAnsi="Century Schoolbook"/>
          <w:sz w:val="27"/>
          <w:szCs w:val="26"/>
        </w:rPr>
        <w:t xml:space="preserve"> </w:t>
      </w:r>
      <w:r w:rsidRPr="001B41E4" w:rsidR="00914867">
        <w:rPr>
          <w:rFonts w:ascii="Century Schoolbook" w:hAnsi="Century Schoolbook"/>
          <w:i/>
          <w:iCs/>
          <w:sz w:val="27"/>
          <w:szCs w:val="26"/>
        </w:rPr>
        <w:t xml:space="preserve">Sun Pacific </w:t>
      </w:r>
      <w:r w:rsidRPr="001B41E4" w:rsidR="00914867">
        <w:rPr>
          <w:rFonts w:ascii="Century Schoolbook" w:hAnsi="Century Schoolbook"/>
          <w:sz w:val="27"/>
          <w:szCs w:val="26"/>
        </w:rPr>
        <w:t xml:space="preserve">and </w:t>
      </w:r>
      <w:r w:rsidRPr="001B41E4" w:rsidR="00914867">
        <w:rPr>
          <w:rFonts w:ascii="Century Schoolbook" w:hAnsi="Century Schoolbook"/>
          <w:i/>
          <w:iCs/>
          <w:sz w:val="27"/>
          <w:szCs w:val="26"/>
        </w:rPr>
        <w:t>Wallich’s Ranch</w:t>
      </w:r>
      <w:r w:rsidRPr="001B41E4" w:rsidR="00914867">
        <w:rPr>
          <w:rFonts w:ascii="Century Schoolbook" w:hAnsi="Century Schoolbook"/>
          <w:sz w:val="27"/>
          <w:szCs w:val="26"/>
        </w:rPr>
        <w:t xml:space="preserve"> </w:t>
      </w:r>
      <w:r w:rsidRPr="001B41E4" w:rsidR="00B43AC2">
        <w:rPr>
          <w:rFonts w:ascii="Century Schoolbook" w:hAnsi="Century Schoolbook"/>
          <w:sz w:val="27"/>
          <w:szCs w:val="26"/>
        </w:rPr>
        <w:t>and the limited analysis within those opinions,</w:t>
      </w:r>
      <w:r w:rsidRPr="001B41E4" w:rsidR="00AC7833">
        <w:rPr>
          <w:rFonts w:ascii="Century Schoolbook" w:hAnsi="Century Schoolbook"/>
          <w:sz w:val="27"/>
          <w:szCs w:val="26"/>
        </w:rPr>
        <w:t xml:space="preserve"> </w:t>
      </w:r>
      <w:r w:rsidRPr="001B41E4" w:rsidR="00B43AC2">
        <w:rPr>
          <w:rFonts w:ascii="Century Schoolbook" w:hAnsi="Century Schoolbook"/>
          <w:sz w:val="27"/>
          <w:szCs w:val="26"/>
        </w:rPr>
        <w:t xml:space="preserve">we need not </w:t>
      </w:r>
      <w:r w:rsidR="00B50E17">
        <w:rPr>
          <w:rFonts w:ascii="Century Schoolbook" w:hAnsi="Century Schoolbook"/>
          <w:sz w:val="27"/>
          <w:szCs w:val="26"/>
        </w:rPr>
        <w:t>determine</w:t>
      </w:r>
      <w:r w:rsidRPr="001B41E4" w:rsidR="00B43AC2">
        <w:rPr>
          <w:rFonts w:ascii="Century Schoolbook" w:hAnsi="Century Schoolbook"/>
          <w:sz w:val="27"/>
          <w:szCs w:val="26"/>
        </w:rPr>
        <w:t xml:space="preserve"> the correctness of those decisions in order to conclude that exhaustion</w:t>
      </w:r>
      <w:r w:rsidRPr="001B41E4" w:rsidR="00AC7833">
        <w:rPr>
          <w:rFonts w:ascii="Century Schoolbook" w:hAnsi="Century Schoolbook"/>
          <w:sz w:val="27"/>
          <w:szCs w:val="26"/>
        </w:rPr>
        <w:t xml:space="preserve"> through the presentation of specific objections at the BID hearings</w:t>
      </w:r>
      <w:r w:rsidRPr="001B41E4" w:rsidR="00914867">
        <w:rPr>
          <w:rFonts w:ascii="Century Schoolbook" w:hAnsi="Century Schoolbook"/>
          <w:sz w:val="27"/>
          <w:szCs w:val="26"/>
        </w:rPr>
        <w:t xml:space="preserve"> was </w:t>
      </w:r>
      <w:r w:rsidRPr="001B41E4" w:rsidR="000912B9">
        <w:rPr>
          <w:rFonts w:ascii="Century Schoolbook" w:hAnsi="Century Schoolbook"/>
          <w:sz w:val="27"/>
          <w:szCs w:val="26"/>
        </w:rPr>
        <w:t xml:space="preserve">not required </w:t>
      </w:r>
      <w:r w:rsidRPr="001B41E4" w:rsidR="00914867">
        <w:rPr>
          <w:rFonts w:ascii="Century Schoolbook" w:hAnsi="Century Schoolbook"/>
          <w:sz w:val="27"/>
          <w:szCs w:val="26"/>
        </w:rPr>
        <w:t>here.</w:t>
      </w:r>
    </w:p>
    <w:p w:rsidR="00D6272B" w:rsidRPr="001B41E4" w:rsidP="00D6272B" w14:paraId="5B0E173E" w14:textId="0360292F">
      <w:pPr>
        <w:pStyle w:val="FootnoteText"/>
        <w:spacing w:line="400" w:lineRule="exact"/>
        <w:ind w:firstLine="720"/>
        <w:rPr>
          <w:szCs w:val="27"/>
        </w:rPr>
      </w:pPr>
      <w:r w:rsidRPr="001B41E4">
        <w:t>Finally, respondents also claim to find support for their position in</w:t>
      </w:r>
      <w:r w:rsidRPr="001B41E4">
        <w:rPr>
          <w:szCs w:val="27"/>
        </w:rPr>
        <w:t xml:space="preserve"> </w:t>
      </w:r>
      <w:r w:rsidRPr="001B41E4">
        <w:rPr>
          <w:i/>
          <w:iCs/>
          <w:szCs w:val="27"/>
        </w:rPr>
        <w:t>Roth v. City of Los Angeles</w:t>
      </w:r>
      <w:r w:rsidRPr="001B41E4">
        <w:rPr>
          <w:szCs w:val="27"/>
        </w:rPr>
        <w:t xml:space="preserve"> (1975) 53 Cal.App.3d 679</w:t>
      </w:r>
      <w:r w:rsidR="00BB0B7D">
        <w:rPr>
          <w:szCs w:val="27"/>
        </w:rPr>
        <w:t xml:space="preserve"> (</w:t>
      </w:r>
      <w:r w:rsidRPr="00BB0B7D" w:rsidR="00BB0B7D">
        <w:rPr>
          <w:i/>
          <w:iCs/>
          <w:szCs w:val="27"/>
        </w:rPr>
        <w:t>Roth</w:t>
      </w:r>
      <w:r w:rsidR="00BB0B7D">
        <w:rPr>
          <w:szCs w:val="27"/>
        </w:rPr>
        <w:t>)</w:t>
      </w:r>
      <w:r w:rsidRPr="001B41E4">
        <w:rPr>
          <w:szCs w:val="27"/>
        </w:rPr>
        <w:t xml:space="preserve">, but that case is likewise distinguishable.  The plaintiffs in </w:t>
      </w:r>
      <w:r w:rsidRPr="001B41E4">
        <w:rPr>
          <w:i/>
          <w:iCs/>
          <w:szCs w:val="27"/>
        </w:rPr>
        <w:t>Roth</w:t>
      </w:r>
      <w:r w:rsidRPr="001B41E4">
        <w:rPr>
          <w:szCs w:val="27"/>
        </w:rPr>
        <w:t xml:space="preserve"> owned certain real property in Los Angeles County.  (</w:t>
      </w:r>
      <w:r w:rsidRPr="001B41E4">
        <w:rPr>
          <w:i/>
          <w:iCs/>
          <w:szCs w:val="27"/>
        </w:rPr>
        <w:t>Id</w:t>
      </w:r>
      <w:r w:rsidRPr="001B41E4">
        <w:rPr>
          <w:szCs w:val="27"/>
        </w:rPr>
        <w:t>., at p.</w:t>
      </w:r>
      <w:r w:rsidR="004B3D6C">
        <w:rPr>
          <w:szCs w:val="27"/>
        </w:rPr>
        <w:t> </w:t>
      </w:r>
      <w:r w:rsidRPr="001B41E4">
        <w:rPr>
          <w:szCs w:val="27"/>
        </w:rPr>
        <w:t>682.)  They were notified by authorities that vegetation on their property violated the municipal code, and that if they did not clear the brush themselves, penalties and other consequences might result.  (</w:t>
      </w:r>
      <w:r w:rsidRPr="001B41E4">
        <w:rPr>
          <w:i/>
          <w:iCs/>
          <w:szCs w:val="27"/>
        </w:rPr>
        <w:t>Ibid</w:t>
      </w:r>
      <w:r w:rsidRPr="001B41E4">
        <w:rPr>
          <w:szCs w:val="27"/>
        </w:rPr>
        <w:t>.)  When the plaintiffs did not respond, the Los Angeles City Council passed an ordinance pursuant to Government Code sections 395</w:t>
      </w:r>
      <w:r w:rsidR="00B50E17">
        <w:rPr>
          <w:szCs w:val="27"/>
        </w:rPr>
        <w:t>6</w:t>
      </w:r>
      <w:r w:rsidRPr="001B41E4">
        <w:rPr>
          <w:szCs w:val="27"/>
        </w:rPr>
        <w:t>1 through 395</w:t>
      </w:r>
      <w:r w:rsidR="00B50E17">
        <w:rPr>
          <w:szCs w:val="27"/>
        </w:rPr>
        <w:t>6</w:t>
      </w:r>
      <w:r w:rsidRPr="001B41E4">
        <w:rPr>
          <w:szCs w:val="27"/>
        </w:rPr>
        <w:t>3, declaring that weeds on specified properties, including the plaintiffs’, constituted a public nuisance that the city intended to abate.  (</w:t>
      </w:r>
      <w:r w:rsidRPr="001B41E4">
        <w:rPr>
          <w:i/>
          <w:iCs/>
          <w:szCs w:val="27"/>
        </w:rPr>
        <w:t>Roth</w:t>
      </w:r>
      <w:r w:rsidRPr="001B41E4">
        <w:rPr>
          <w:szCs w:val="27"/>
        </w:rPr>
        <w:t>, at p. 682.)  Notice of this ordinance and an opportunity to object at an upcoming city council meeting was sent to the plaintiffs.  (</w:t>
      </w:r>
      <w:r w:rsidRPr="001B41E4">
        <w:rPr>
          <w:i/>
          <w:iCs/>
          <w:szCs w:val="27"/>
        </w:rPr>
        <w:t>Id</w:t>
      </w:r>
      <w:r w:rsidRPr="001B41E4">
        <w:rPr>
          <w:szCs w:val="27"/>
        </w:rPr>
        <w:t xml:space="preserve">., at p. 683.)  The plaintiffs did not attend the designated meeting, at which the </w:t>
      </w:r>
      <w:r w:rsidR="00BB0B7D">
        <w:rPr>
          <w:szCs w:val="27"/>
        </w:rPr>
        <w:t>c</w:t>
      </w:r>
      <w:r w:rsidRPr="001B41E4">
        <w:rPr>
          <w:szCs w:val="27"/>
        </w:rPr>
        <w:t xml:space="preserve">ity </w:t>
      </w:r>
      <w:r w:rsidR="00BB0B7D">
        <w:rPr>
          <w:szCs w:val="27"/>
        </w:rPr>
        <w:t>c</w:t>
      </w:r>
      <w:r w:rsidRPr="001B41E4">
        <w:rPr>
          <w:szCs w:val="27"/>
        </w:rPr>
        <w:t>ouncil was required by statute not only to “hear and consider all objections to the proposed removal” (Gov. Code, § 395</w:t>
      </w:r>
      <w:r w:rsidR="00211D0C">
        <w:rPr>
          <w:szCs w:val="27"/>
        </w:rPr>
        <w:t>68</w:t>
      </w:r>
      <w:r w:rsidRPr="001B41E4">
        <w:rPr>
          <w:szCs w:val="27"/>
        </w:rPr>
        <w:t xml:space="preserve">) but also to “[b]y motion or resolution at the conclusion of the hearing . . . allow or overrule any objections” </w:t>
      </w:r>
      <w:r w:rsidRPr="001B41E4" w:rsidR="00211D0C">
        <w:rPr>
          <w:szCs w:val="27"/>
        </w:rPr>
        <w:t>(Gov. Code, § 395</w:t>
      </w:r>
      <w:r w:rsidR="00211D0C">
        <w:rPr>
          <w:szCs w:val="27"/>
        </w:rPr>
        <w:t>69</w:t>
      </w:r>
      <w:r w:rsidRPr="001B41E4" w:rsidR="00211D0C">
        <w:rPr>
          <w:szCs w:val="27"/>
        </w:rPr>
        <w:t>)</w:t>
      </w:r>
      <w:r w:rsidR="00211D0C">
        <w:rPr>
          <w:szCs w:val="27"/>
        </w:rPr>
        <w:t xml:space="preserve"> </w:t>
      </w:r>
      <w:r w:rsidRPr="001B41E4">
        <w:rPr>
          <w:szCs w:val="27"/>
        </w:rPr>
        <w:t>before proceeding further.  (</w:t>
      </w:r>
      <w:r w:rsidRPr="001B41E4">
        <w:rPr>
          <w:i/>
          <w:iCs/>
          <w:szCs w:val="27"/>
        </w:rPr>
        <w:t>Roth</w:t>
      </w:r>
      <w:r w:rsidRPr="001B41E4">
        <w:rPr>
          <w:szCs w:val="27"/>
        </w:rPr>
        <w:t xml:space="preserve">, at p. 683.)  At the conclusion of this hearing, the city council adopted another ordinance that ordered the abatement of the nuisance on </w:t>
      </w:r>
      <w:r w:rsidR="006E0545">
        <w:rPr>
          <w:szCs w:val="27"/>
        </w:rPr>
        <w:t>the plaintiffs’</w:t>
      </w:r>
      <w:r w:rsidRPr="001B41E4">
        <w:rPr>
          <w:szCs w:val="27"/>
        </w:rPr>
        <w:t xml:space="preserve"> property.  (</w:t>
      </w:r>
      <w:r w:rsidRPr="001B41E4">
        <w:rPr>
          <w:i/>
          <w:iCs/>
          <w:szCs w:val="27"/>
        </w:rPr>
        <w:t>Ibid</w:t>
      </w:r>
      <w:r w:rsidRPr="001B41E4">
        <w:rPr>
          <w:szCs w:val="27"/>
        </w:rPr>
        <w:t>.)  After being assessed for the costs of the abatement, the plaintiffs brought suit, alleging that the statutory procedure violated due process.  (</w:t>
      </w:r>
      <w:r w:rsidRPr="001B41E4">
        <w:rPr>
          <w:i/>
          <w:iCs/>
          <w:szCs w:val="27"/>
        </w:rPr>
        <w:t>Ibid</w:t>
      </w:r>
      <w:r w:rsidRPr="001B41E4">
        <w:rPr>
          <w:szCs w:val="27"/>
        </w:rPr>
        <w:t xml:space="preserve">.)  </w:t>
      </w:r>
    </w:p>
    <w:p w:rsidR="00D6272B" w:rsidRPr="001B41E4" w:rsidP="00D6272B" w14:paraId="61E2F641" w14:textId="108D5A90">
      <w:pPr>
        <w:pStyle w:val="FootnoteText"/>
        <w:spacing w:line="400" w:lineRule="exact"/>
        <w:ind w:firstLine="720"/>
        <w:rPr>
          <w:szCs w:val="27"/>
        </w:rPr>
      </w:pPr>
      <w:r w:rsidRPr="001B41E4">
        <w:rPr>
          <w:szCs w:val="27"/>
        </w:rPr>
        <w:t xml:space="preserve">The Court of Appeal in </w:t>
      </w:r>
      <w:r w:rsidRPr="001B41E4">
        <w:rPr>
          <w:i/>
          <w:iCs/>
          <w:szCs w:val="27"/>
        </w:rPr>
        <w:t>Roth</w:t>
      </w:r>
      <w:r w:rsidRPr="001B41E4">
        <w:rPr>
          <w:szCs w:val="27"/>
        </w:rPr>
        <w:t xml:space="preserve">, </w:t>
      </w:r>
      <w:r w:rsidRPr="001B41E4">
        <w:rPr>
          <w:i/>
          <w:iCs/>
          <w:szCs w:val="27"/>
        </w:rPr>
        <w:t>supra</w:t>
      </w:r>
      <w:r w:rsidRPr="001B41E4">
        <w:rPr>
          <w:szCs w:val="27"/>
        </w:rPr>
        <w:t>, 53 Cal.App.3d 679 determined that the plaintiffs’ “failure to exhaust their administrative remedy through the city council hearing [was] fatal to their attack on the abatement procedure.”  (</w:t>
      </w:r>
      <w:r w:rsidRPr="001B41E4">
        <w:rPr>
          <w:i/>
          <w:iCs/>
          <w:szCs w:val="27"/>
        </w:rPr>
        <w:t>Id</w:t>
      </w:r>
      <w:r w:rsidRPr="001B41E4">
        <w:rPr>
          <w:szCs w:val="27"/>
        </w:rPr>
        <w:t xml:space="preserve">., at p. 692.)  </w:t>
      </w:r>
      <w:r w:rsidR="00E449AE">
        <w:rPr>
          <w:szCs w:val="27"/>
        </w:rPr>
        <w:t>Here again, we need not decide whether this conclusion was correctly drawn, because</w:t>
      </w:r>
      <w:r w:rsidRPr="001B41E4">
        <w:rPr>
          <w:szCs w:val="27"/>
        </w:rPr>
        <w:t xml:space="preserve"> aspects of the </w:t>
      </w:r>
      <w:r w:rsidRPr="001B41E4">
        <w:rPr>
          <w:i/>
          <w:iCs/>
          <w:szCs w:val="27"/>
        </w:rPr>
        <w:t>Roth</w:t>
      </w:r>
      <w:r w:rsidRPr="001B41E4">
        <w:rPr>
          <w:szCs w:val="27"/>
        </w:rPr>
        <w:t xml:space="preserve"> case function to distinguish it from the situation </w:t>
      </w:r>
      <w:r w:rsidR="002B7DAD">
        <w:rPr>
          <w:szCs w:val="27"/>
        </w:rPr>
        <w:t>here</w:t>
      </w:r>
      <w:r w:rsidRPr="001B41E4">
        <w:rPr>
          <w:szCs w:val="27"/>
        </w:rPr>
        <w:t xml:space="preserve">.  </w:t>
      </w:r>
      <w:r w:rsidR="00E341F4">
        <w:rPr>
          <w:szCs w:val="27"/>
        </w:rPr>
        <w:t>In particular</w:t>
      </w:r>
      <w:r w:rsidR="006E66D4">
        <w:rPr>
          <w:szCs w:val="27"/>
        </w:rPr>
        <w:t>, t</w:t>
      </w:r>
      <w:r w:rsidR="00B86A75">
        <w:rPr>
          <w:szCs w:val="27"/>
        </w:rPr>
        <w:t xml:space="preserve">he </w:t>
      </w:r>
      <w:r w:rsidR="006E66D4">
        <w:rPr>
          <w:szCs w:val="27"/>
        </w:rPr>
        <w:t xml:space="preserve">circumstances in </w:t>
      </w:r>
      <w:r w:rsidRPr="006E66D4" w:rsidR="006E66D4">
        <w:rPr>
          <w:i/>
          <w:iCs/>
          <w:szCs w:val="27"/>
        </w:rPr>
        <w:t>Roth</w:t>
      </w:r>
      <w:r w:rsidR="006E66D4">
        <w:rPr>
          <w:szCs w:val="27"/>
        </w:rPr>
        <w:t xml:space="preserve"> provided additional assurances that</w:t>
      </w:r>
      <w:r w:rsidR="00B86A75">
        <w:rPr>
          <w:szCs w:val="27"/>
        </w:rPr>
        <w:t xml:space="preserve"> </w:t>
      </w:r>
      <w:r w:rsidR="00EB6A80">
        <w:rPr>
          <w:szCs w:val="27"/>
        </w:rPr>
        <w:t>any</w:t>
      </w:r>
      <w:r w:rsidR="00B86A75">
        <w:rPr>
          <w:szCs w:val="27"/>
        </w:rPr>
        <w:t xml:space="preserve"> objections to specific nuisance determinations would be evaluated and addressed by council members at the designated meeting</w:t>
      </w:r>
      <w:r w:rsidRPr="001B41E4">
        <w:rPr>
          <w:szCs w:val="27"/>
        </w:rPr>
        <w:t xml:space="preserve">. </w:t>
      </w:r>
      <w:r w:rsidR="006E66D4">
        <w:rPr>
          <w:szCs w:val="27"/>
        </w:rPr>
        <w:t xml:space="preserve"> </w:t>
      </w:r>
      <w:r w:rsidR="003617D3">
        <w:rPr>
          <w:szCs w:val="27"/>
        </w:rPr>
        <w:t>T</w:t>
      </w:r>
      <w:r w:rsidR="00EB6A80">
        <w:rPr>
          <w:szCs w:val="27"/>
        </w:rPr>
        <w:t>his meeting</w:t>
      </w:r>
      <w:r w:rsidR="006E66D4">
        <w:rPr>
          <w:szCs w:val="27"/>
        </w:rPr>
        <w:t xml:space="preserve"> w</w:t>
      </w:r>
      <w:r w:rsidR="00EB6A80">
        <w:rPr>
          <w:szCs w:val="27"/>
        </w:rPr>
        <w:t>as</w:t>
      </w:r>
      <w:r w:rsidR="008C1613">
        <w:rPr>
          <w:szCs w:val="27"/>
        </w:rPr>
        <w:t xml:space="preserve"> </w:t>
      </w:r>
      <w:r w:rsidR="003617D3">
        <w:rPr>
          <w:szCs w:val="27"/>
        </w:rPr>
        <w:t xml:space="preserve">squarely </w:t>
      </w:r>
      <w:r w:rsidR="006E66D4">
        <w:rPr>
          <w:szCs w:val="27"/>
        </w:rPr>
        <w:t>attuned to</w:t>
      </w:r>
      <w:r w:rsidR="00E341F4">
        <w:rPr>
          <w:szCs w:val="27"/>
        </w:rPr>
        <w:t xml:space="preserve"> and designed to address</w:t>
      </w:r>
      <w:r w:rsidR="00E449AE">
        <w:rPr>
          <w:szCs w:val="27"/>
        </w:rPr>
        <w:t xml:space="preserve"> these</w:t>
      </w:r>
      <w:r w:rsidR="00FA5217">
        <w:rPr>
          <w:szCs w:val="27"/>
        </w:rPr>
        <w:t xml:space="preserve"> </w:t>
      </w:r>
      <w:r w:rsidR="003C2A71">
        <w:rPr>
          <w:szCs w:val="27"/>
        </w:rPr>
        <w:t>individual</w:t>
      </w:r>
      <w:r w:rsidR="00E449AE">
        <w:rPr>
          <w:szCs w:val="27"/>
        </w:rPr>
        <w:t>ized</w:t>
      </w:r>
      <w:r w:rsidR="003C2A71">
        <w:rPr>
          <w:szCs w:val="27"/>
        </w:rPr>
        <w:t xml:space="preserve"> </w:t>
      </w:r>
      <w:r w:rsidR="006E66D4">
        <w:rPr>
          <w:szCs w:val="27"/>
        </w:rPr>
        <w:t>objection</w:t>
      </w:r>
      <w:r w:rsidR="00FA5217">
        <w:rPr>
          <w:szCs w:val="27"/>
        </w:rPr>
        <w:t>s, rather than being concerned with a more fundamental policy decision</w:t>
      </w:r>
      <w:r w:rsidR="00211D0C">
        <w:rPr>
          <w:szCs w:val="27"/>
        </w:rPr>
        <w:t>.</w:t>
      </w:r>
      <w:r w:rsidR="006E66D4">
        <w:rPr>
          <w:szCs w:val="27"/>
        </w:rPr>
        <w:t xml:space="preserve"> </w:t>
      </w:r>
      <w:r w:rsidR="00211D0C">
        <w:rPr>
          <w:szCs w:val="27"/>
        </w:rPr>
        <w:t xml:space="preserve"> Furthermore,</w:t>
      </w:r>
      <w:r w:rsidR="00516A35">
        <w:rPr>
          <w:szCs w:val="27"/>
        </w:rPr>
        <w:t xml:space="preserve"> </w:t>
      </w:r>
      <w:r w:rsidR="00211D0C">
        <w:rPr>
          <w:szCs w:val="27"/>
        </w:rPr>
        <w:t>s</w:t>
      </w:r>
      <w:r w:rsidRPr="001B41E4">
        <w:rPr>
          <w:szCs w:val="27"/>
        </w:rPr>
        <w:t xml:space="preserve">imilar to the Pest Control Law’s specification that </w:t>
      </w:r>
      <w:r w:rsidRPr="001B41E4">
        <w:rPr>
          <w:szCs w:val="26"/>
        </w:rPr>
        <w:t xml:space="preserve">local boards are to “pass upon” </w:t>
      </w:r>
      <w:r w:rsidR="00211D0C">
        <w:rPr>
          <w:szCs w:val="26"/>
        </w:rPr>
        <w:t>protests</w:t>
      </w:r>
      <w:r w:rsidRPr="001B41E4">
        <w:rPr>
          <w:szCs w:val="26"/>
        </w:rPr>
        <w:t xml:space="preserve"> (Food &amp; Agr. Code, § 8565), the instruction </w:t>
      </w:r>
      <w:r w:rsidR="00211D0C">
        <w:rPr>
          <w:szCs w:val="26"/>
        </w:rPr>
        <w:t xml:space="preserve">within the statutory scheme involved in </w:t>
      </w:r>
      <w:r w:rsidRPr="00211D0C" w:rsidR="00211D0C">
        <w:rPr>
          <w:i/>
          <w:iCs/>
          <w:szCs w:val="26"/>
        </w:rPr>
        <w:t>Roth</w:t>
      </w:r>
      <w:r w:rsidR="00B5025A">
        <w:rPr>
          <w:szCs w:val="26"/>
        </w:rPr>
        <w:t xml:space="preserve"> </w:t>
      </w:r>
      <w:r w:rsidRPr="001B41E4">
        <w:rPr>
          <w:szCs w:val="26"/>
        </w:rPr>
        <w:t xml:space="preserve">that </w:t>
      </w:r>
      <w:r w:rsidR="00FA5217">
        <w:rPr>
          <w:szCs w:val="26"/>
        </w:rPr>
        <w:t>lawmakers</w:t>
      </w:r>
      <w:r w:rsidR="00211D0C">
        <w:rPr>
          <w:szCs w:val="26"/>
        </w:rPr>
        <w:t xml:space="preserve"> were to</w:t>
      </w:r>
      <w:r w:rsidRPr="001B41E4">
        <w:rPr>
          <w:szCs w:val="26"/>
        </w:rPr>
        <w:t xml:space="preserve"> </w:t>
      </w:r>
      <w:r w:rsidRPr="001B41E4">
        <w:rPr>
          <w:szCs w:val="27"/>
        </w:rPr>
        <w:t xml:space="preserve">“allow or overrule any objections” </w:t>
      </w:r>
      <w:r w:rsidRPr="001B41E4" w:rsidR="00990EA2">
        <w:rPr>
          <w:szCs w:val="27"/>
        </w:rPr>
        <w:t>(Gov. Code, § 395</w:t>
      </w:r>
      <w:r w:rsidR="00FA5217">
        <w:rPr>
          <w:szCs w:val="27"/>
        </w:rPr>
        <w:t>6</w:t>
      </w:r>
      <w:r w:rsidRPr="001B41E4" w:rsidR="00990EA2">
        <w:rPr>
          <w:szCs w:val="27"/>
        </w:rPr>
        <w:t>9)</w:t>
      </w:r>
      <w:r w:rsidR="00990EA2">
        <w:rPr>
          <w:szCs w:val="27"/>
        </w:rPr>
        <w:t xml:space="preserve"> </w:t>
      </w:r>
      <w:r w:rsidRPr="001B41E4">
        <w:rPr>
          <w:szCs w:val="27"/>
        </w:rPr>
        <w:t xml:space="preserve">before </w:t>
      </w:r>
      <w:r w:rsidR="003C2A71">
        <w:rPr>
          <w:szCs w:val="27"/>
        </w:rPr>
        <w:t>ordering</w:t>
      </w:r>
      <w:r w:rsidRPr="001B41E4">
        <w:rPr>
          <w:szCs w:val="27"/>
        </w:rPr>
        <w:t xml:space="preserve"> a nuisance</w:t>
      </w:r>
      <w:r w:rsidR="003C2A71">
        <w:rPr>
          <w:szCs w:val="27"/>
        </w:rPr>
        <w:t xml:space="preserve"> abated</w:t>
      </w:r>
      <w:r w:rsidRPr="001B41E4">
        <w:rPr>
          <w:szCs w:val="27"/>
        </w:rPr>
        <w:t xml:space="preserve"> </w:t>
      </w:r>
      <w:r w:rsidR="00A328A8">
        <w:rPr>
          <w:szCs w:val="27"/>
        </w:rPr>
        <w:t>encouraged</w:t>
      </w:r>
      <w:r w:rsidRPr="001B41E4">
        <w:rPr>
          <w:szCs w:val="27"/>
        </w:rPr>
        <w:t xml:space="preserve"> the resolution of disputes through the hearing procedures </w:t>
      </w:r>
      <w:r w:rsidR="00A328A8">
        <w:rPr>
          <w:szCs w:val="27"/>
        </w:rPr>
        <w:t xml:space="preserve">and the development of an administrative record </w:t>
      </w:r>
      <w:r w:rsidRPr="001B41E4">
        <w:rPr>
          <w:szCs w:val="27"/>
        </w:rPr>
        <w:t>to a greater degree than can be said of the process involved here, which does not provide comparable direction</w:t>
      </w:r>
      <w:r w:rsidR="00FA5217">
        <w:rPr>
          <w:szCs w:val="27"/>
        </w:rPr>
        <w:t xml:space="preserve"> to agencies</w:t>
      </w:r>
      <w:r w:rsidRPr="001B41E4">
        <w:rPr>
          <w:szCs w:val="27"/>
        </w:rPr>
        <w:t>.</w:t>
      </w:r>
    </w:p>
    <w:p w:rsidR="00A45C64" w:rsidRPr="001B41E4" w:rsidP="0023145B" w14:paraId="3694A366" w14:textId="4385E5D1">
      <w:pPr>
        <w:pStyle w:val="Heading1"/>
        <w:rPr>
          <w:b w:val="0"/>
          <w:bCs/>
          <w:smallCaps w:val="0"/>
          <w:szCs w:val="26"/>
          <w:shd w:val="clear" w:color="auto" w:fill="FFFFFF"/>
        </w:rPr>
      </w:pPr>
      <w:r w:rsidRPr="001B41E4">
        <w:rPr>
          <w:bCs/>
          <w:szCs w:val="26"/>
        </w:rPr>
        <w:t>III.  Disposition</w:t>
      </w:r>
    </w:p>
    <w:p w:rsidR="00A45C64" w:rsidRPr="001B41E4" w:rsidP="0023145B" w14:paraId="12F78887" w14:textId="34BE7A7B">
      <w:pPr>
        <w:pStyle w:val="xmsonormal"/>
        <w:keepNext/>
        <w:keepLines/>
        <w:shd w:val="clear" w:color="auto" w:fill="FFFFFF"/>
        <w:tabs>
          <w:tab w:val="left" w:pos="720"/>
        </w:tabs>
        <w:spacing w:before="0" w:beforeAutospacing="0" w:afterAutospacing="0" w:line="400" w:lineRule="exact"/>
        <w:ind w:firstLine="720"/>
        <w:rPr>
          <w:rFonts w:ascii="Century Schoolbook" w:hAnsi="Century Schoolbook"/>
          <w:sz w:val="27"/>
          <w:szCs w:val="26"/>
        </w:rPr>
      </w:pPr>
      <w:r>
        <w:rPr>
          <w:rFonts w:ascii="Century Schoolbook" w:hAnsi="Century Schoolbook"/>
          <w:sz w:val="27"/>
          <w:szCs w:val="26"/>
        </w:rPr>
        <w:t xml:space="preserve">Petitioners </w:t>
      </w:r>
      <w:r w:rsidR="00920C4A">
        <w:rPr>
          <w:rFonts w:ascii="Century Schoolbook" w:hAnsi="Century Schoolbook"/>
          <w:sz w:val="27"/>
          <w:szCs w:val="26"/>
        </w:rPr>
        <w:t>did not have to</w:t>
      </w:r>
      <w:r>
        <w:rPr>
          <w:rFonts w:ascii="Century Schoolbook" w:hAnsi="Century Schoolbook"/>
          <w:sz w:val="27"/>
          <w:szCs w:val="26"/>
        </w:rPr>
        <w:t xml:space="preserve"> articulate their objections to the </w:t>
      </w:r>
      <w:r w:rsidR="00920C4A">
        <w:rPr>
          <w:rFonts w:ascii="Century Schoolbook" w:hAnsi="Century Schoolbook"/>
          <w:sz w:val="27"/>
          <w:szCs w:val="26"/>
        </w:rPr>
        <w:t xml:space="preserve">BID </w:t>
      </w:r>
      <w:r>
        <w:rPr>
          <w:rFonts w:ascii="Century Schoolbook" w:hAnsi="Century Schoolbook"/>
          <w:sz w:val="27"/>
          <w:szCs w:val="26"/>
        </w:rPr>
        <w:t xml:space="preserve">assessment schemes </w:t>
      </w:r>
      <w:r w:rsidR="003C2A71">
        <w:rPr>
          <w:rFonts w:ascii="Century Schoolbook" w:hAnsi="Century Schoolbook"/>
          <w:sz w:val="27"/>
          <w:szCs w:val="26"/>
        </w:rPr>
        <w:t xml:space="preserve">at the </w:t>
      </w:r>
      <w:r w:rsidR="00AB6153">
        <w:rPr>
          <w:rFonts w:ascii="Century Schoolbook" w:hAnsi="Century Schoolbook"/>
          <w:sz w:val="27"/>
          <w:szCs w:val="26"/>
        </w:rPr>
        <w:t>public</w:t>
      </w:r>
      <w:r w:rsidR="003C2A71">
        <w:rPr>
          <w:rFonts w:ascii="Century Schoolbook" w:hAnsi="Century Schoolbook"/>
          <w:sz w:val="27"/>
          <w:szCs w:val="26"/>
        </w:rPr>
        <w:t xml:space="preserve"> hearings before the City Council</w:t>
      </w:r>
      <w:r>
        <w:rPr>
          <w:rFonts w:ascii="Century Schoolbook" w:hAnsi="Century Schoolbook"/>
          <w:sz w:val="27"/>
          <w:szCs w:val="26"/>
        </w:rPr>
        <w:t xml:space="preserve"> to subsequently present </w:t>
      </w:r>
      <w:r w:rsidR="005261E2">
        <w:rPr>
          <w:rFonts w:ascii="Century Schoolbook" w:hAnsi="Century Schoolbook"/>
          <w:sz w:val="27"/>
          <w:szCs w:val="26"/>
        </w:rPr>
        <w:t>their</w:t>
      </w:r>
      <w:r>
        <w:rPr>
          <w:rFonts w:ascii="Century Schoolbook" w:hAnsi="Century Schoolbook"/>
          <w:sz w:val="27"/>
          <w:szCs w:val="26"/>
        </w:rPr>
        <w:t xml:space="preserve"> arguments in these </w:t>
      </w:r>
      <w:r w:rsidR="00DF4504">
        <w:rPr>
          <w:rFonts w:ascii="Century Schoolbook" w:hAnsi="Century Schoolbook"/>
          <w:sz w:val="27"/>
          <w:szCs w:val="26"/>
        </w:rPr>
        <w:t>proceedings</w:t>
      </w:r>
      <w:r>
        <w:rPr>
          <w:rFonts w:ascii="Century Schoolbook" w:hAnsi="Century Schoolbook"/>
          <w:sz w:val="27"/>
          <w:szCs w:val="26"/>
        </w:rPr>
        <w:t xml:space="preserve">.  </w:t>
      </w:r>
      <w:r w:rsidRPr="001B41E4" w:rsidR="008467CC">
        <w:rPr>
          <w:rFonts w:ascii="Century Schoolbook" w:hAnsi="Century Schoolbook"/>
          <w:sz w:val="27"/>
          <w:szCs w:val="26"/>
        </w:rPr>
        <w:t>W</w:t>
      </w:r>
      <w:r w:rsidRPr="001B41E4">
        <w:rPr>
          <w:rFonts w:ascii="Century Schoolbook" w:hAnsi="Century Schoolbook"/>
          <w:sz w:val="27"/>
          <w:szCs w:val="26"/>
        </w:rPr>
        <w:t>e reverse the judgment below and remand for further proceedings consistent with our decision.</w:t>
      </w:r>
    </w:p>
    <w:p w:rsidR="00930F72" w:rsidRPr="001B41E4" w:rsidP="0023145B" w14:paraId="08FF77CE" w14:textId="222634E4">
      <w:pPr>
        <w:pStyle w:val="xmsonormal"/>
        <w:keepNext/>
        <w:keepLines/>
        <w:shd w:val="clear" w:color="auto" w:fill="FFFFFF"/>
        <w:spacing w:before="0" w:beforeAutospacing="0" w:afterAutospacing="0" w:line="400" w:lineRule="exact"/>
        <w:rPr>
          <w:rFonts w:ascii="Century Schoolbook" w:hAnsi="Century Schoolbook"/>
          <w:sz w:val="27"/>
          <w:szCs w:val="26"/>
          <w:shd w:val="clear" w:color="auto" w:fill="FFFFFF"/>
        </w:rPr>
      </w:pPr>
    </w:p>
    <w:p w:rsidR="009E623D" w:rsidRPr="001B41E4" w:rsidP="00864D72" w14:paraId="2EC7E586" w14:textId="42BD6218">
      <w:pPr>
        <w:pStyle w:val="xmsonormal"/>
        <w:keepNext/>
        <w:keepLines/>
        <w:shd w:val="clear" w:color="auto" w:fill="FFFFFF"/>
        <w:spacing w:before="0" w:beforeAutospacing="0" w:afterAutospacing="0" w:line="400" w:lineRule="exact"/>
        <w:ind w:left="4320"/>
        <w:rPr>
          <w:rFonts w:ascii="Century Schoolbook" w:hAnsi="Century Schoolbook"/>
          <w:b/>
          <w:bCs/>
          <w:sz w:val="27"/>
          <w:szCs w:val="26"/>
          <w:shd w:val="clear" w:color="auto" w:fill="FFFFFF"/>
        </w:rPr>
      </w:pPr>
      <w:r w:rsidRPr="001B41E4">
        <w:rPr>
          <w:rFonts w:ascii="Century Schoolbook" w:hAnsi="Century Schoolbook"/>
          <w:b/>
          <w:bCs/>
          <w:sz w:val="27"/>
          <w:szCs w:val="26"/>
          <w:shd w:val="clear" w:color="auto" w:fill="FFFFFF"/>
        </w:rPr>
        <w:t>CANTIL-SAKAUYE, C. J.</w:t>
      </w:r>
    </w:p>
    <w:p w:rsidR="00030F1B" w:rsidRPr="001B41E4" w:rsidP="0023145B" w14:paraId="76691373" w14:textId="712F4928">
      <w:pPr>
        <w:pStyle w:val="xmsonormal"/>
        <w:keepNext/>
        <w:keepLines/>
        <w:shd w:val="clear" w:color="auto" w:fill="FFFFFF"/>
        <w:spacing w:before="0" w:beforeAutospacing="0" w:afterAutospacing="0" w:line="400" w:lineRule="exact"/>
        <w:rPr>
          <w:rFonts w:ascii="Century Schoolbook" w:hAnsi="Century Schoolbook"/>
          <w:b/>
          <w:bCs/>
          <w:sz w:val="27"/>
          <w:szCs w:val="26"/>
          <w:shd w:val="clear" w:color="auto" w:fill="FFFFFF"/>
        </w:rPr>
      </w:pPr>
    </w:p>
    <w:p w:rsidR="00030F1B" w:rsidP="0023145B" w14:paraId="27940A3E" w14:textId="71BDD59A">
      <w:pPr>
        <w:pStyle w:val="xmsonormal"/>
        <w:keepNext/>
        <w:keepLines/>
        <w:shd w:val="clear" w:color="auto" w:fill="FFFFFF"/>
        <w:spacing w:before="0" w:beforeAutospacing="0" w:afterAutospacing="0" w:line="400" w:lineRule="exact"/>
        <w:rPr>
          <w:rFonts w:ascii="Century Schoolbook" w:hAnsi="Century Schoolbook"/>
          <w:b/>
          <w:bCs/>
          <w:sz w:val="27"/>
          <w:szCs w:val="26"/>
          <w:shd w:val="clear" w:color="auto" w:fill="FFFFFF"/>
        </w:rPr>
      </w:pPr>
      <w:r w:rsidRPr="001B41E4">
        <w:rPr>
          <w:rFonts w:ascii="Century Schoolbook" w:hAnsi="Century Schoolbook"/>
          <w:b/>
          <w:bCs/>
          <w:sz w:val="27"/>
          <w:szCs w:val="26"/>
          <w:shd w:val="clear" w:color="auto" w:fill="FFFFFF"/>
        </w:rPr>
        <w:t>We Concur:</w:t>
      </w:r>
    </w:p>
    <w:p w:rsidR="006C784B" w:rsidP="006C784B" w14:paraId="45AF1027" w14:textId="5106803C">
      <w:pPr>
        <w:pStyle w:val="xmsonormal"/>
        <w:keepNext/>
        <w:keepLines/>
        <w:shd w:val="clear" w:color="auto" w:fill="FFFFFF"/>
        <w:spacing w:before="0" w:beforeAutospacing="0" w:afterAutospacing="0" w:line="400" w:lineRule="exact"/>
        <w:jc w:val="left"/>
        <w:rPr>
          <w:rFonts w:ascii="Century Schoolbook" w:hAnsi="Century Schoolbook"/>
          <w:b/>
          <w:bCs/>
          <w:sz w:val="27"/>
          <w:szCs w:val="26"/>
          <w:shd w:val="clear" w:color="auto" w:fill="FFFFFF"/>
        </w:rPr>
      </w:pPr>
      <w:r>
        <w:rPr>
          <w:rFonts w:ascii="Century Schoolbook" w:hAnsi="Century Schoolbook"/>
          <w:b/>
          <w:bCs/>
          <w:sz w:val="27"/>
          <w:szCs w:val="26"/>
          <w:shd w:val="clear" w:color="auto" w:fill="FFFFFF"/>
        </w:rPr>
        <w:t>CORRIGAN, J.</w:t>
      </w:r>
      <w:r>
        <w:rPr>
          <w:rFonts w:ascii="Century Schoolbook" w:hAnsi="Century Schoolbook"/>
          <w:b/>
          <w:bCs/>
          <w:sz w:val="27"/>
          <w:szCs w:val="26"/>
          <w:shd w:val="clear" w:color="auto" w:fill="FFFFFF"/>
        </w:rPr>
        <w:br/>
        <w:t>LIU, J.</w:t>
      </w:r>
      <w:r>
        <w:rPr>
          <w:rFonts w:ascii="Century Schoolbook" w:hAnsi="Century Schoolbook"/>
          <w:b/>
          <w:bCs/>
          <w:sz w:val="27"/>
          <w:szCs w:val="26"/>
          <w:shd w:val="clear" w:color="auto" w:fill="FFFFFF"/>
        </w:rPr>
        <w:br/>
        <w:t>KRUGER, J.</w:t>
      </w:r>
      <w:r>
        <w:rPr>
          <w:rFonts w:ascii="Century Schoolbook" w:hAnsi="Century Schoolbook"/>
          <w:b/>
          <w:bCs/>
          <w:sz w:val="27"/>
          <w:szCs w:val="26"/>
          <w:shd w:val="clear" w:color="auto" w:fill="FFFFFF"/>
        </w:rPr>
        <w:br/>
        <w:t>GROBAN, J.</w:t>
      </w:r>
      <w:r>
        <w:rPr>
          <w:rFonts w:ascii="Century Schoolbook" w:hAnsi="Century Schoolbook"/>
          <w:b/>
          <w:bCs/>
          <w:sz w:val="27"/>
          <w:szCs w:val="26"/>
          <w:shd w:val="clear" w:color="auto" w:fill="FFFFFF"/>
        </w:rPr>
        <w:br/>
        <w:t>JENKINS, J.</w:t>
      </w:r>
      <w:r>
        <w:rPr>
          <w:rFonts w:ascii="Century Schoolbook" w:hAnsi="Century Schoolbook"/>
          <w:b/>
          <w:bCs/>
          <w:sz w:val="27"/>
          <w:szCs w:val="26"/>
          <w:shd w:val="clear" w:color="auto" w:fill="FFFFFF"/>
        </w:rPr>
        <w:br/>
        <w:t>HALLER, J.</w:t>
      </w:r>
      <w:r w:rsidRPr="003D27BD">
        <w:rPr>
          <w:rFonts w:ascii="Century Schoolbook" w:hAnsi="Century Schoolbook"/>
          <w:b/>
          <w:bCs/>
          <w:sz w:val="27"/>
          <w:szCs w:val="26"/>
          <w:shd w:val="clear" w:color="auto" w:fill="FFFFFF"/>
          <w:vertAlign w:val="superscript"/>
        </w:rPr>
        <w:t>*</w:t>
      </w:r>
    </w:p>
    <w:p w:rsidR="006C784B" w:rsidRPr="006C784B" w:rsidP="006C784B" w14:paraId="01725791" w14:textId="1A9607A8"/>
    <w:p w:rsidR="006C784B" w:rsidRPr="006C784B" w:rsidP="006C784B" w14:paraId="5AC35F0A" w14:textId="1421F20E"/>
    <w:p w:rsidR="006C784B" w:rsidRPr="006C784B" w:rsidP="006C784B" w14:paraId="754FBA61" w14:textId="0EAE1D64"/>
    <w:p w:rsidR="006C784B" w:rsidRPr="00E22A2C" w:rsidP="006C784B" w14:paraId="1F03FEA4" w14:textId="77777777">
      <w:pPr>
        <w:rPr>
          <w:b/>
          <w:caps/>
          <w:szCs w:val="27"/>
        </w:rPr>
      </w:pPr>
      <w:r w:rsidRPr="00E22A2C">
        <w:rPr>
          <w:b/>
          <w:caps/>
          <w:szCs w:val="27"/>
        </w:rPr>
        <w:t>__________________________</w:t>
      </w:r>
    </w:p>
    <w:p w:rsidR="003D27BD" w:rsidP="006C784B" w14:paraId="2C806D1B" w14:textId="77777777">
      <w:pPr>
        <w:pStyle w:val="ListParagraph"/>
        <w:spacing w:after="0" w:line="240" w:lineRule="auto"/>
        <w:ind w:left="0"/>
        <w:rPr>
          <w:szCs w:val="27"/>
        </w:rPr>
        <w:sectPr w:rsidSect="00F459B2">
          <w:headerReference w:type="default" r:id="rId12"/>
          <w:footerReference w:type="defaul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r w:rsidRPr="003D27BD">
        <w:rPr>
          <w:szCs w:val="27"/>
          <w:vertAlign w:val="superscript"/>
        </w:rPr>
        <w:t>*</w:t>
      </w:r>
      <w:r w:rsidRPr="00E22A2C">
        <w:rPr>
          <w:szCs w:val="27"/>
        </w:rPr>
        <w:tab/>
        <w:t xml:space="preserve">Associate Justice of the Court of Appeal, Fourth Appellate District, </w:t>
      </w:r>
      <w:r w:rsidRPr="00E22A2C">
        <w:rPr>
          <w:rFonts w:cs="Arial"/>
          <w:szCs w:val="27"/>
        </w:rPr>
        <w:t>Division</w:t>
      </w:r>
      <w:r w:rsidRPr="00E22A2C">
        <w:rPr>
          <w:szCs w:val="27"/>
        </w:rPr>
        <w:t xml:space="preserve"> One, assigned by the Chief Justice pursuant to article VI, section 6 of the California Constitution.</w:t>
      </w:r>
    </w:p>
    <w:p w:rsidR="00BD0D50" w:rsidRPr="00BD0D50" w:rsidP="00BD0D50" w14:paraId="6C277A17" w14:textId="77777777">
      <w:pPr>
        <w:spacing w:after="0" w:line="240" w:lineRule="auto"/>
        <w:jc w:val="left"/>
        <w:rPr>
          <w:i/>
          <w:sz w:val="24"/>
          <w:szCs w:val="24"/>
        </w:rPr>
      </w:pPr>
      <w:r w:rsidRPr="00BD0D50">
        <w:rPr>
          <w:i/>
          <w:sz w:val="24"/>
          <w:szCs w:val="24"/>
        </w:rPr>
        <w:t>See next page for addresses and telephone numbers for counsel who argued in Supreme Court.</w:t>
      </w:r>
    </w:p>
    <w:p w:rsidR="00BD0D50" w:rsidRPr="00BD0D50" w:rsidP="00BD0D50" w14:paraId="4183BB31" w14:textId="77777777">
      <w:pPr>
        <w:spacing w:after="0" w:line="240" w:lineRule="auto"/>
        <w:jc w:val="left"/>
        <w:rPr>
          <w:i/>
          <w:sz w:val="24"/>
          <w:szCs w:val="24"/>
        </w:rPr>
      </w:pPr>
    </w:p>
    <w:p w:rsidR="00BD0D50" w:rsidRPr="00BD0D50" w:rsidP="00BD0D50" w14:paraId="75B123EF" w14:textId="77777777">
      <w:pPr>
        <w:spacing w:after="0" w:line="240" w:lineRule="auto"/>
        <w:jc w:val="left"/>
        <w:rPr>
          <w:bCs/>
          <w:sz w:val="24"/>
          <w:szCs w:val="24"/>
        </w:rPr>
      </w:pPr>
      <w:r w:rsidRPr="00BD0D50">
        <w:rPr>
          <w:b/>
          <w:sz w:val="24"/>
          <w:szCs w:val="24"/>
        </w:rPr>
        <w:t xml:space="preserve">Name of Opinion </w:t>
      </w:r>
      <w:r w:rsidRPr="00BD0D50">
        <w:rPr>
          <w:bCs/>
          <w:sz w:val="24"/>
          <w:szCs w:val="24"/>
        </w:rPr>
        <w:t xml:space="preserve"> Hill RHF Housing Partners, L.P. v. City of Los Angeles</w:t>
      </w:r>
    </w:p>
    <w:p w:rsidR="00BD0D50" w:rsidRPr="00BD0D50" w:rsidP="00BD0D50" w14:paraId="27BC7F90" w14:textId="77777777">
      <w:pPr>
        <w:spacing w:after="0" w:line="240" w:lineRule="auto"/>
        <w:jc w:val="left"/>
        <w:rPr>
          <w:b/>
          <w:sz w:val="24"/>
          <w:szCs w:val="24"/>
        </w:rPr>
      </w:pPr>
      <w:r w:rsidRPr="00BD0D50">
        <w:rPr>
          <w:b/>
          <w:sz w:val="24"/>
          <w:szCs w:val="24"/>
        </w:rPr>
        <w:t xml:space="preserve">__________________________________________________________ </w:t>
      </w:r>
    </w:p>
    <w:p w:rsidR="00BD0D50" w:rsidRPr="00BD0D50" w:rsidP="00BD0D50" w14:paraId="057674FB" w14:textId="77777777">
      <w:pPr>
        <w:spacing w:after="0" w:line="240" w:lineRule="auto"/>
        <w:jc w:val="left"/>
        <w:rPr>
          <w:b/>
          <w:sz w:val="24"/>
          <w:szCs w:val="24"/>
        </w:rPr>
      </w:pPr>
    </w:p>
    <w:p w:rsidR="00BD0D50" w:rsidRPr="00BD0D50" w:rsidP="00BD0D50" w14:paraId="2C728778" w14:textId="77777777">
      <w:pPr>
        <w:spacing w:after="0" w:line="240" w:lineRule="auto"/>
        <w:jc w:val="left"/>
        <w:rPr>
          <w:sz w:val="24"/>
          <w:szCs w:val="24"/>
        </w:rPr>
      </w:pPr>
      <w:r w:rsidRPr="00BD0D50">
        <w:rPr>
          <w:b/>
          <w:bCs/>
          <w:sz w:val="24"/>
          <w:szCs w:val="24"/>
          <w:u w:val="single"/>
        </w:rPr>
        <w:t>Procedural Posture</w:t>
      </w:r>
      <w:r w:rsidRPr="00BD0D50">
        <w:rPr>
          <w:b/>
          <w:bCs/>
          <w:sz w:val="24"/>
          <w:szCs w:val="24"/>
        </w:rPr>
        <w:t xml:space="preserve"> </w:t>
      </w:r>
      <w:r w:rsidRPr="00BD0D50">
        <w:rPr>
          <w:sz w:val="24"/>
          <w:szCs w:val="24"/>
        </w:rPr>
        <w:t>(see XX below)</w:t>
      </w:r>
    </w:p>
    <w:p w:rsidR="00BD0D50" w:rsidRPr="00BD0D50" w:rsidP="00BD0D50" w14:paraId="40C3C89B" w14:textId="77777777">
      <w:pPr>
        <w:spacing w:after="0" w:line="240" w:lineRule="auto"/>
        <w:jc w:val="left"/>
        <w:rPr>
          <w:sz w:val="24"/>
          <w:szCs w:val="24"/>
        </w:rPr>
      </w:pPr>
      <w:r w:rsidRPr="00BD0D50">
        <w:rPr>
          <w:b/>
          <w:bCs/>
          <w:sz w:val="24"/>
          <w:szCs w:val="24"/>
        </w:rPr>
        <w:t>Original Appeal</w:t>
      </w:r>
      <w:r w:rsidRPr="00BD0D50">
        <w:rPr>
          <w:sz w:val="24"/>
          <w:szCs w:val="24"/>
        </w:rPr>
        <w:t xml:space="preserve"> </w:t>
      </w:r>
    </w:p>
    <w:p w:rsidR="00BD0D50" w:rsidRPr="00BD0D50" w:rsidP="00BD0D50" w14:paraId="31F3BD1F" w14:textId="77777777">
      <w:pPr>
        <w:spacing w:after="0" w:line="240" w:lineRule="auto"/>
        <w:jc w:val="left"/>
        <w:rPr>
          <w:b/>
          <w:bCs/>
          <w:sz w:val="24"/>
          <w:szCs w:val="24"/>
        </w:rPr>
      </w:pPr>
      <w:r w:rsidRPr="00BD0D50">
        <w:rPr>
          <w:b/>
          <w:bCs/>
          <w:sz w:val="24"/>
          <w:szCs w:val="24"/>
        </w:rPr>
        <w:t>Original Proceeding</w:t>
      </w:r>
    </w:p>
    <w:p w:rsidR="00BD0D50" w:rsidRPr="00BD0D50" w:rsidP="00BD0D50" w14:paraId="6EAB2DCB" w14:textId="77777777">
      <w:pPr>
        <w:spacing w:after="0" w:line="240" w:lineRule="auto"/>
        <w:jc w:val="left"/>
        <w:rPr>
          <w:sz w:val="24"/>
          <w:szCs w:val="24"/>
        </w:rPr>
      </w:pPr>
      <w:r w:rsidRPr="00BD0D50">
        <w:rPr>
          <w:b/>
          <w:bCs/>
          <w:sz w:val="24"/>
          <w:szCs w:val="24"/>
        </w:rPr>
        <w:t>Review Granted</w:t>
      </w:r>
      <w:r w:rsidRPr="00BD0D50">
        <w:rPr>
          <w:sz w:val="24"/>
          <w:szCs w:val="24"/>
        </w:rPr>
        <w:t xml:space="preserve"> </w:t>
      </w:r>
      <w:r w:rsidRPr="00BD0D50">
        <w:rPr>
          <w:b/>
          <w:bCs/>
          <w:sz w:val="24"/>
          <w:szCs w:val="24"/>
        </w:rPr>
        <w:t xml:space="preserve">(published) </w:t>
      </w:r>
      <w:r w:rsidRPr="00BD0D50">
        <w:rPr>
          <w:sz w:val="24"/>
          <w:szCs w:val="24"/>
        </w:rPr>
        <w:t>XX 51 Cal.App.5th 621</w:t>
      </w:r>
    </w:p>
    <w:p w:rsidR="00BD0D50" w:rsidRPr="00BD0D50" w:rsidP="00BD0D50" w14:paraId="3808B54A" w14:textId="77777777">
      <w:pPr>
        <w:spacing w:after="0" w:line="240" w:lineRule="auto"/>
        <w:jc w:val="left"/>
        <w:rPr>
          <w:sz w:val="24"/>
          <w:szCs w:val="24"/>
        </w:rPr>
      </w:pPr>
      <w:r w:rsidRPr="00BD0D50">
        <w:rPr>
          <w:b/>
          <w:bCs/>
          <w:sz w:val="24"/>
          <w:szCs w:val="24"/>
        </w:rPr>
        <w:t xml:space="preserve">Review Granted (unpublished) </w:t>
      </w:r>
    </w:p>
    <w:p w:rsidR="00BD0D50" w:rsidRPr="00BD0D50" w:rsidP="00BD0D50" w14:paraId="411FAB21" w14:textId="77777777">
      <w:pPr>
        <w:spacing w:after="0" w:line="240" w:lineRule="auto"/>
        <w:jc w:val="left"/>
        <w:rPr>
          <w:b/>
          <w:bCs/>
          <w:sz w:val="24"/>
          <w:szCs w:val="24"/>
        </w:rPr>
      </w:pPr>
      <w:r w:rsidRPr="00BD0D50">
        <w:rPr>
          <w:b/>
          <w:bCs/>
          <w:sz w:val="24"/>
          <w:szCs w:val="24"/>
        </w:rPr>
        <w:t>Rehearing Granted</w:t>
      </w:r>
    </w:p>
    <w:p w:rsidR="00BD0D50" w:rsidRPr="00BD0D50" w:rsidP="00BD0D50" w14:paraId="76F4E342" w14:textId="77777777">
      <w:pPr>
        <w:spacing w:after="0" w:line="240" w:lineRule="auto"/>
        <w:jc w:val="left"/>
        <w:rPr>
          <w:b/>
          <w:sz w:val="24"/>
          <w:szCs w:val="24"/>
        </w:rPr>
      </w:pPr>
      <w:r w:rsidRPr="00BD0D50">
        <w:rPr>
          <w:b/>
          <w:sz w:val="24"/>
          <w:szCs w:val="24"/>
        </w:rPr>
        <w:t xml:space="preserve">__________________________________________________________ </w:t>
      </w:r>
    </w:p>
    <w:p w:rsidR="00BD0D50" w:rsidRPr="00BD0D50" w:rsidP="00BD0D50" w14:paraId="2BBF45C0" w14:textId="77777777">
      <w:pPr>
        <w:spacing w:after="0" w:line="240" w:lineRule="auto"/>
        <w:jc w:val="left"/>
        <w:rPr>
          <w:b/>
          <w:sz w:val="24"/>
          <w:szCs w:val="24"/>
        </w:rPr>
      </w:pPr>
    </w:p>
    <w:p w:rsidR="00BD0D50" w:rsidRPr="00BD0D50" w:rsidP="00BD0D50" w14:paraId="63E3AA71" w14:textId="77777777">
      <w:pPr>
        <w:spacing w:after="0" w:line="240" w:lineRule="auto"/>
        <w:jc w:val="left"/>
        <w:rPr>
          <w:bCs/>
          <w:sz w:val="24"/>
          <w:szCs w:val="24"/>
        </w:rPr>
      </w:pPr>
      <w:r w:rsidRPr="00BD0D50">
        <w:rPr>
          <w:b/>
          <w:sz w:val="24"/>
          <w:szCs w:val="24"/>
        </w:rPr>
        <w:t>Opinion No.</w:t>
      </w:r>
      <w:r w:rsidRPr="00BD0D50">
        <w:rPr>
          <w:sz w:val="24"/>
          <w:szCs w:val="24"/>
        </w:rPr>
        <w:t xml:space="preserve"> S263734</w:t>
      </w:r>
    </w:p>
    <w:p w:rsidR="00BD0D50" w:rsidRPr="00BD0D50" w:rsidP="00BD0D50" w14:paraId="300EAD22" w14:textId="77777777">
      <w:pPr>
        <w:spacing w:after="0" w:line="240" w:lineRule="auto"/>
        <w:jc w:val="left"/>
        <w:rPr>
          <w:bCs/>
          <w:sz w:val="24"/>
          <w:szCs w:val="24"/>
        </w:rPr>
      </w:pPr>
      <w:r w:rsidRPr="00BD0D50">
        <w:rPr>
          <w:b/>
          <w:sz w:val="24"/>
          <w:szCs w:val="24"/>
        </w:rPr>
        <w:t>Date Filed:</w:t>
      </w:r>
      <w:r w:rsidRPr="00BD0D50">
        <w:rPr>
          <w:sz w:val="24"/>
          <w:szCs w:val="24"/>
        </w:rPr>
        <w:t xml:space="preserve">  December 20, 2021</w:t>
      </w:r>
    </w:p>
    <w:p w:rsidR="00BD0D50" w:rsidRPr="00BD0D50" w:rsidP="00BD0D50" w14:paraId="3E14C366" w14:textId="77777777">
      <w:pPr>
        <w:spacing w:after="0" w:line="240" w:lineRule="auto"/>
        <w:jc w:val="left"/>
        <w:rPr>
          <w:b/>
          <w:sz w:val="24"/>
          <w:szCs w:val="24"/>
        </w:rPr>
      </w:pPr>
      <w:r w:rsidRPr="00BD0D50">
        <w:rPr>
          <w:b/>
          <w:sz w:val="24"/>
          <w:szCs w:val="24"/>
        </w:rPr>
        <w:t xml:space="preserve">__________________________________________________________ </w:t>
      </w:r>
    </w:p>
    <w:p w:rsidR="00BD0D50" w:rsidRPr="00BD0D50" w:rsidP="00BD0D50" w14:paraId="3D98F5EC" w14:textId="77777777">
      <w:pPr>
        <w:spacing w:after="0" w:line="240" w:lineRule="auto"/>
        <w:jc w:val="left"/>
        <w:rPr>
          <w:b/>
          <w:sz w:val="24"/>
          <w:szCs w:val="24"/>
        </w:rPr>
      </w:pPr>
    </w:p>
    <w:p w:rsidR="00BD0D50" w:rsidRPr="00BD0D50" w:rsidP="00BD0D50" w14:paraId="301F3EB8" w14:textId="77777777">
      <w:pPr>
        <w:spacing w:after="0" w:line="240" w:lineRule="auto"/>
        <w:jc w:val="left"/>
        <w:rPr>
          <w:bCs/>
          <w:sz w:val="24"/>
          <w:szCs w:val="24"/>
        </w:rPr>
      </w:pPr>
      <w:r w:rsidRPr="00BD0D50">
        <w:rPr>
          <w:b/>
          <w:sz w:val="24"/>
          <w:szCs w:val="24"/>
        </w:rPr>
        <w:t xml:space="preserve">Court:  </w:t>
      </w:r>
      <w:r w:rsidRPr="00BD0D50">
        <w:rPr>
          <w:bCs/>
          <w:sz w:val="24"/>
          <w:szCs w:val="24"/>
        </w:rPr>
        <w:t>Superior</w:t>
      </w:r>
      <w:r w:rsidRPr="00BD0D50">
        <w:rPr>
          <w:b/>
          <w:sz w:val="24"/>
          <w:szCs w:val="24"/>
        </w:rPr>
        <w:t xml:space="preserve"> </w:t>
      </w:r>
    </w:p>
    <w:p w:rsidR="00BD0D50" w:rsidRPr="00BD0D50" w:rsidP="00BD0D50" w14:paraId="39B5E678" w14:textId="77777777">
      <w:pPr>
        <w:spacing w:after="0" w:line="240" w:lineRule="auto"/>
        <w:jc w:val="left"/>
        <w:rPr>
          <w:bCs/>
          <w:sz w:val="24"/>
          <w:szCs w:val="24"/>
        </w:rPr>
      </w:pPr>
      <w:r w:rsidRPr="00BD0D50">
        <w:rPr>
          <w:b/>
          <w:sz w:val="24"/>
          <w:szCs w:val="24"/>
        </w:rPr>
        <w:t xml:space="preserve">County:  </w:t>
      </w:r>
      <w:r w:rsidRPr="00BD0D50">
        <w:rPr>
          <w:bCs/>
          <w:sz w:val="24"/>
          <w:szCs w:val="24"/>
        </w:rPr>
        <w:t>Los Angeles</w:t>
      </w:r>
    </w:p>
    <w:p w:rsidR="00BD0D50" w:rsidRPr="00BD0D50" w:rsidP="00BD0D50" w14:paraId="12576A54" w14:textId="77777777">
      <w:pPr>
        <w:spacing w:after="0" w:line="240" w:lineRule="auto"/>
        <w:ind w:left="720" w:hanging="720"/>
        <w:jc w:val="left"/>
        <w:rPr>
          <w:bCs/>
          <w:sz w:val="24"/>
          <w:szCs w:val="24"/>
        </w:rPr>
      </w:pPr>
      <w:r w:rsidRPr="00BD0D50">
        <w:rPr>
          <w:b/>
          <w:sz w:val="24"/>
          <w:szCs w:val="24"/>
        </w:rPr>
        <w:t xml:space="preserve">Judge:  </w:t>
      </w:r>
      <w:r w:rsidRPr="00BD0D50">
        <w:rPr>
          <w:bCs/>
          <w:sz w:val="24"/>
          <w:szCs w:val="24"/>
        </w:rPr>
        <w:t>Mitchell L. Beckloff</w:t>
      </w:r>
    </w:p>
    <w:p w:rsidR="00BD0D50" w:rsidRPr="00BD0D50" w:rsidP="00BD0D50" w14:paraId="3E96DF19" w14:textId="77777777">
      <w:pPr>
        <w:spacing w:after="0" w:line="240" w:lineRule="auto"/>
        <w:jc w:val="left"/>
        <w:rPr>
          <w:b/>
          <w:sz w:val="24"/>
          <w:szCs w:val="24"/>
        </w:rPr>
      </w:pPr>
      <w:r w:rsidRPr="00BD0D50">
        <w:rPr>
          <w:b/>
          <w:sz w:val="24"/>
          <w:szCs w:val="24"/>
        </w:rPr>
        <w:t xml:space="preserve">__________________________________________________________  </w:t>
      </w:r>
    </w:p>
    <w:p w:rsidR="00BD0D50" w:rsidRPr="00BD0D50" w:rsidP="00BD0D50" w14:paraId="3CF99FF8" w14:textId="77777777">
      <w:pPr>
        <w:spacing w:after="0" w:line="240" w:lineRule="auto"/>
        <w:jc w:val="left"/>
        <w:rPr>
          <w:b/>
          <w:sz w:val="24"/>
          <w:szCs w:val="24"/>
        </w:rPr>
      </w:pPr>
    </w:p>
    <w:p w:rsidR="00BD0D50" w:rsidRPr="00BD0D50" w:rsidP="00BD0D50" w14:paraId="4F7AB76C" w14:textId="77777777">
      <w:pPr>
        <w:spacing w:after="0" w:line="240" w:lineRule="auto"/>
        <w:jc w:val="left"/>
        <w:rPr>
          <w:b/>
          <w:sz w:val="24"/>
          <w:szCs w:val="24"/>
        </w:rPr>
      </w:pPr>
      <w:r w:rsidRPr="00BD0D50">
        <w:rPr>
          <w:b/>
          <w:sz w:val="24"/>
          <w:szCs w:val="24"/>
        </w:rPr>
        <w:t>Counsel:</w:t>
      </w:r>
    </w:p>
    <w:p w:rsidR="00BD0D50" w:rsidRPr="00BD0D50" w:rsidP="00BD0D50" w14:paraId="31DB8B45" w14:textId="77777777">
      <w:pPr>
        <w:spacing w:after="0" w:line="240" w:lineRule="auto"/>
        <w:jc w:val="left"/>
        <w:rPr>
          <w:b/>
          <w:sz w:val="24"/>
          <w:szCs w:val="24"/>
        </w:rPr>
      </w:pPr>
    </w:p>
    <w:p w:rsidR="00BD0D50" w:rsidRPr="00BD0D50" w:rsidP="00BD0D50" w14:paraId="4E7A9229" w14:textId="77777777">
      <w:pPr>
        <w:spacing w:after="0" w:line="240" w:lineRule="auto"/>
        <w:jc w:val="left"/>
        <w:rPr>
          <w:sz w:val="24"/>
          <w:szCs w:val="24"/>
          <w:bdr w:val="none" w:sz="0" w:space="0" w:color="auto" w:frame="1"/>
        </w:rPr>
      </w:pPr>
      <w:r w:rsidRPr="00BD0D50">
        <w:rPr>
          <w:sz w:val="24"/>
          <w:szCs w:val="24"/>
          <w:bdr w:val="none" w:sz="0" w:space="0" w:color="auto" w:frame="1"/>
        </w:rPr>
        <w:t>Reuben Raucher &amp; Blum, Timothy D. Reuben, Stephen L. Raucher and Michael T. Gluk for Plaintiffs and Appellants.</w:t>
      </w:r>
    </w:p>
    <w:p w:rsidR="00BD0D50" w:rsidRPr="00BD0D50" w:rsidP="00BD0D50" w14:paraId="4F45FC4B" w14:textId="77777777">
      <w:pPr>
        <w:spacing w:after="0" w:line="240" w:lineRule="auto"/>
        <w:jc w:val="left"/>
        <w:rPr>
          <w:sz w:val="24"/>
          <w:szCs w:val="24"/>
          <w:bdr w:val="none" w:sz="0" w:space="0" w:color="auto" w:frame="1"/>
        </w:rPr>
      </w:pPr>
    </w:p>
    <w:p w:rsidR="00BD0D50" w:rsidRPr="00BD0D50" w:rsidP="00BD0D50" w14:paraId="4AECBB70" w14:textId="77777777">
      <w:pPr>
        <w:spacing w:after="0" w:line="240" w:lineRule="auto"/>
        <w:jc w:val="left"/>
        <w:rPr>
          <w:sz w:val="24"/>
          <w:szCs w:val="24"/>
          <w:bdr w:val="none" w:sz="0" w:space="0" w:color="auto" w:frame="1"/>
        </w:rPr>
      </w:pPr>
      <w:r w:rsidRPr="00BD0D50">
        <w:rPr>
          <w:sz w:val="24"/>
          <w:szCs w:val="24"/>
          <w:bdr w:val="none" w:sz="0" w:space="0" w:color="auto" w:frame="1"/>
        </w:rPr>
        <w:t>Eric J. Benink and Vincent D. Slavens for Benink &amp; Slavens, LLP, as Amicus Curiae on behalf of Plaintiffs and Appellants.</w:t>
      </w:r>
    </w:p>
    <w:p w:rsidR="00BD0D50" w:rsidRPr="00BD0D50" w:rsidP="00BD0D50" w14:paraId="76DF8AA1" w14:textId="77777777">
      <w:pPr>
        <w:spacing w:after="0" w:line="240" w:lineRule="auto"/>
        <w:jc w:val="left"/>
        <w:rPr>
          <w:sz w:val="24"/>
          <w:szCs w:val="24"/>
          <w:bdr w:val="none" w:sz="0" w:space="0" w:color="auto" w:frame="1"/>
        </w:rPr>
      </w:pPr>
    </w:p>
    <w:p w:rsidR="00BD0D50" w:rsidRPr="00BD0D50" w:rsidP="00BD0D50" w14:paraId="78D6459C" w14:textId="77777777">
      <w:pPr>
        <w:spacing w:after="0" w:line="240" w:lineRule="auto"/>
        <w:jc w:val="left"/>
        <w:rPr>
          <w:sz w:val="24"/>
          <w:szCs w:val="24"/>
          <w:bdr w:val="none" w:sz="0" w:space="0" w:color="auto" w:frame="1"/>
        </w:rPr>
      </w:pPr>
      <w:r w:rsidRPr="00BD0D50">
        <w:rPr>
          <w:sz w:val="24"/>
          <w:szCs w:val="24"/>
          <w:bdr w:val="none" w:sz="0" w:space="0" w:color="auto" w:frame="1"/>
        </w:rPr>
        <w:t>Jonathan M. Coupal, Timothy A. Bittle and Laura E. Dougherty for Howard Jarvis Taxpayers Association as Amicus Curiae on behalf of Plaintiffs and Appellants.</w:t>
      </w:r>
    </w:p>
    <w:p w:rsidR="00BD0D50" w:rsidRPr="00BD0D50" w:rsidP="00BD0D50" w14:paraId="4F396D14" w14:textId="77777777">
      <w:pPr>
        <w:spacing w:after="0" w:line="240" w:lineRule="auto"/>
        <w:jc w:val="left"/>
        <w:rPr>
          <w:sz w:val="24"/>
          <w:szCs w:val="24"/>
          <w:bdr w:val="none" w:sz="0" w:space="0" w:color="auto" w:frame="1"/>
        </w:rPr>
      </w:pPr>
    </w:p>
    <w:p w:rsidR="00BD0D50" w:rsidRPr="00BD0D50" w:rsidP="00BD0D50" w14:paraId="691A7865" w14:textId="77777777">
      <w:pPr>
        <w:spacing w:after="0" w:line="240" w:lineRule="auto"/>
        <w:jc w:val="left"/>
        <w:rPr>
          <w:sz w:val="24"/>
          <w:szCs w:val="24"/>
          <w:bdr w:val="none" w:sz="0" w:space="0" w:color="auto" w:frame="1"/>
        </w:rPr>
      </w:pPr>
      <w:r w:rsidRPr="00BD0D50">
        <w:rPr>
          <w:sz w:val="24"/>
          <w:szCs w:val="24"/>
          <w:bdr w:val="none" w:sz="0" w:space="0" w:color="auto" w:frame="1"/>
        </w:rPr>
        <w:t>Michael N. Feuer, City Attorney, Beverly A. Cook, Assistant City Attorney, and Daniel M. Whitley, Deputy City Attorney, for Defendant and Respondent City of Los Angeles.</w:t>
      </w:r>
    </w:p>
    <w:p w:rsidR="00BD0D50" w:rsidRPr="00BD0D50" w:rsidP="00BD0D50" w14:paraId="3789BC9E" w14:textId="77777777">
      <w:pPr>
        <w:spacing w:after="0" w:line="240" w:lineRule="auto"/>
        <w:jc w:val="left"/>
        <w:rPr>
          <w:sz w:val="24"/>
          <w:szCs w:val="24"/>
          <w:bdr w:val="none" w:sz="0" w:space="0" w:color="auto" w:frame="1"/>
        </w:rPr>
      </w:pPr>
    </w:p>
    <w:p w:rsidR="00BD0D50" w:rsidRPr="00BD0D50" w:rsidP="00BD0D50" w14:paraId="3A15D1E4" w14:textId="77777777">
      <w:pPr>
        <w:spacing w:after="0" w:line="240" w:lineRule="auto"/>
        <w:jc w:val="left"/>
        <w:rPr>
          <w:sz w:val="24"/>
          <w:szCs w:val="24"/>
          <w:bdr w:val="none" w:sz="0" w:space="0" w:color="auto" w:frame="1"/>
        </w:rPr>
      </w:pPr>
      <w:r w:rsidRPr="00BD0D50">
        <w:rPr>
          <w:sz w:val="24"/>
          <w:szCs w:val="24"/>
          <w:bdr w:val="none" w:sz="0" w:space="0" w:color="auto" w:frame="1"/>
        </w:rPr>
        <w:t>Colantuono, Highsmith &amp; Whatley, Michael G. Colantuono, Holly O. Whatley and Pamela K. Graham for Defendants and Respondents Downtown Center Business Improvement District Management Corporation and San Pedro Property Owners Alliance.</w:t>
      </w:r>
    </w:p>
    <w:p w:rsidR="00BD0D50" w:rsidRPr="00BD0D50" w:rsidP="00BD0D50" w14:paraId="7221DF28" w14:textId="77777777">
      <w:pPr>
        <w:spacing w:after="0" w:line="240" w:lineRule="auto"/>
        <w:jc w:val="left"/>
        <w:rPr>
          <w:sz w:val="24"/>
          <w:szCs w:val="24"/>
          <w:bdr w:val="none" w:sz="0" w:space="0" w:color="auto" w:frame="1"/>
        </w:rPr>
      </w:pPr>
    </w:p>
    <w:p w:rsidR="00BD0D50" w:rsidRPr="00BD0D50" w:rsidP="00BD0D50" w14:paraId="187AFEBD" w14:textId="77777777">
      <w:pPr>
        <w:spacing w:after="0" w:line="240" w:lineRule="auto"/>
        <w:jc w:val="left"/>
        <w:rPr>
          <w:sz w:val="24"/>
          <w:szCs w:val="24"/>
          <w:bdr w:val="none" w:sz="0" w:space="0" w:color="auto" w:frame="1"/>
        </w:rPr>
      </w:pPr>
      <w:r w:rsidRPr="00BD0D50">
        <w:rPr>
          <w:sz w:val="24"/>
          <w:szCs w:val="24"/>
          <w:bdr w:val="none" w:sz="0" w:space="0" w:color="auto" w:frame="1"/>
        </w:rPr>
        <w:t>Burke, Williams &amp; Sorensen, Kevin D. Siegel and Tamar M. Burke for League of California Cities, Association of California Water Agencies, California State Association of Counties and California Special Districts Association as Amici Curiae on behalf of Defendants and Respondents.</w:t>
      </w:r>
    </w:p>
    <w:p w:rsidR="00BD0D50" w:rsidRPr="00BD0D50" w:rsidP="00BD0D50" w14:paraId="418B6038" w14:textId="77777777">
      <w:pPr>
        <w:spacing w:after="0" w:line="240" w:lineRule="auto"/>
        <w:jc w:val="left"/>
        <w:rPr>
          <w:sz w:val="24"/>
          <w:szCs w:val="24"/>
          <w:bdr w:val="none" w:sz="0" w:space="0" w:color="auto" w:frame="1"/>
        </w:rPr>
      </w:pPr>
    </w:p>
    <w:p w:rsidR="00BD0D50" w:rsidRPr="00BD0D50" w:rsidP="00BD0D50" w14:paraId="1AF709BB" w14:textId="77777777">
      <w:pPr>
        <w:spacing w:after="0" w:line="240" w:lineRule="auto"/>
        <w:jc w:val="left"/>
        <w:rPr>
          <w:b/>
          <w:sz w:val="24"/>
          <w:szCs w:val="24"/>
        </w:rPr>
      </w:pPr>
    </w:p>
    <w:p w:rsidR="00BD0D50" w:rsidRPr="00BD0D50" w:rsidP="00BD0D50" w14:paraId="123D060E" w14:textId="77777777">
      <w:pPr>
        <w:spacing w:after="0" w:line="240" w:lineRule="auto"/>
        <w:jc w:val="left"/>
        <w:rPr>
          <w:b/>
          <w:sz w:val="24"/>
          <w:szCs w:val="24"/>
        </w:rPr>
      </w:pPr>
      <w:r w:rsidRPr="00BD0D50">
        <w:rPr>
          <w:color w:val="212121"/>
          <w:sz w:val="24"/>
          <w:szCs w:val="24"/>
          <w:shd w:val="clear" w:color="auto" w:fill="FFFFFF"/>
        </w:rPr>
        <w:br w:type="page"/>
      </w:r>
      <w:r w:rsidRPr="00BD0D50">
        <w:rPr>
          <w:b/>
          <w:sz w:val="24"/>
          <w:szCs w:val="24"/>
        </w:rPr>
        <w:t>Counsel who argued in Supreme Court (not intended for publication with opinion):</w:t>
      </w:r>
    </w:p>
    <w:p w:rsidR="00BD0D50" w:rsidRPr="00BD0D50" w:rsidP="00BD0D50" w14:paraId="4A1E06A0" w14:textId="77777777">
      <w:pPr>
        <w:spacing w:after="0" w:line="240" w:lineRule="auto"/>
        <w:jc w:val="left"/>
        <w:rPr>
          <w:b/>
          <w:sz w:val="24"/>
          <w:szCs w:val="24"/>
        </w:rPr>
      </w:pPr>
    </w:p>
    <w:p w:rsidR="00BD0D50" w:rsidRPr="00BD0D50" w:rsidP="00BD0D50" w14:paraId="7CF10329" w14:textId="77777777">
      <w:pPr>
        <w:spacing w:after="0" w:line="240" w:lineRule="auto"/>
        <w:jc w:val="left"/>
        <w:rPr>
          <w:sz w:val="24"/>
          <w:szCs w:val="24"/>
        </w:rPr>
      </w:pPr>
      <w:r w:rsidRPr="00BD0D50">
        <w:rPr>
          <w:sz w:val="24"/>
          <w:szCs w:val="24"/>
        </w:rPr>
        <w:t>Stephen L. Raucher</w:t>
      </w:r>
    </w:p>
    <w:p w:rsidR="00BD0D50" w:rsidRPr="00BD0D50" w:rsidP="00BD0D50" w14:paraId="45133055" w14:textId="77777777">
      <w:pPr>
        <w:spacing w:after="0" w:line="240" w:lineRule="auto"/>
        <w:jc w:val="left"/>
        <w:rPr>
          <w:sz w:val="24"/>
          <w:szCs w:val="24"/>
        </w:rPr>
      </w:pPr>
      <w:r w:rsidRPr="00BD0D50">
        <w:rPr>
          <w:sz w:val="24"/>
          <w:szCs w:val="24"/>
        </w:rPr>
        <w:t>Reuben Raucher &amp; Blum</w:t>
      </w:r>
    </w:p>
    <w:p w:rsidR="00BD0D50" w:rsidRPr="00BD0D50" w:rsidP="00BD0D50" w14:paraId="0C321136" w14:textId="77777777">
      <w:pPr>
        <w:spacing w:after="0" w:line="240" w:lineRule="auto"/>
        <w:jc w:val="left"/>
        <w:rPr>
          <w:sz w:val="24"/>
          <w:szCs w:val="24"/>
        </w:rPr>
      </w:pPr>
      <w:r w:rsidRPr="00BD0D50">
        <w:rPr>
          <w:sz w:val="24"/>
          <w:szCs w:val="24"/>
        </w:rPr>
        <w:t>12400 Wilshire Boulevard, Suite 800</w:t>
      </w:r>
    </w:p>
    <w:p w:rsidR="00BD0D50" w:rsidRPr="00BD0D50" w:rsidP="00BD0D50" w14:paraId="77CB0068" w14:textId="77777777">
      <w:pPr>
        <w:spacing w:after="0" w:line="240" w:lineRule="auto"/>
        <w:jc w:val="left"/>
        <w:rPr>
          <w:sz w:val="24"/>
          <w:szCs w:val="24"/>
        </w:rPr>
      </w:pPr>
      <w:r w:rsidRPr="00BD0D50">
        <w:rPr>
          <w:sz w:val="24"/>
          <w:szCs w:val="24"/>
        </w:rPr>
        <w:t>Los Angeles, CA 90025</w:t>
      </w:r>
    </w:p>
    <w:p w:rsidR="00BD0D50" w:rsidRPr="00BD0D50" w:rsidP="00BD0D50" w14:paraId="41DB9409" w14:textId="77777777">
      <w:pPr>
        <w:spacing w:after="0" w:line="240" w:lineRule="auto"/>
        <w:jc w:val="left"/>
        <w:rPr>
          <w:sz w:val="24"/>
          <w:szCs w:val="24"/>
        </w:rPr>
      </w:pPr>
      <w:r w:rsidRPr="00BD0D50">
        <w:rPr>
          <w:sz w:val="24"/>
          <w:szCs w:val="24"/>
        </w:rPr>
        <w:t>(310) 777-1990</w:t>
      </w:r>
    </w:p>
    <w:p w:rsidR="00BD0D50" w:rsidRPr="00BD0D50" w:rsidP="00BD0D50" w14:paraId="1FCAF9A9" w14:textId="77777777">
      <w:pPr>
        <w:spacing w:after="0" w:line="240" w:lineRule="auto"/>
        <w:jc w:val="left"/>
        <w:rPr>
          <w:sz w:val="24"/>
          <w:szCs w:val="24"/>
        </w:rPr>
      </w:pPr>
    </w:p>
    <w:p w:rsidR="00BD0D50" w:rsidRPr="00BD0D50" w:rsidP="00BD0D50" w14:paraId="48D87A72" w14:textId="77777777">
      <w:pPr>
        <w:spacing w:after="0" w:line="240" w:lineRule="auto"/>
        <w:jc w:val="left"/>
        <w:rPr>
          <w:sz w:val="24"/>
          <w:szCs w:val="24"/>
        </w:rPr>
      </w:pPr>
      <w:r w:rsidRPr="00BD0D50">
        <w:rPr>
          <w:sz w:val="24"/>
          <w:szCs w:val="24"/>
        </w:rPr>
        <w:t>Holly O. Whatley</w:t>
      </w:r>
    </w:p>
    <w:p w:rsidR="00BD0D50" w:rsidRPr="00BD0D50" w:rsidP="00BD0D50" w14:paraId="33DE4E24" w14:textId="77777777">
      <w:pPr>
        <w:spacing w:after="0" w:line="240" w:lineRule="auto"/>
        <w:jc w:val="left"/>
        <w:rPr>
          <w:sz w:val="24"/>
          <w:szCs w:val="24"/>
        </w:rPr>
      </w:pPr>
      <w:r w:rsidRPr="00BD0D50">
        <w:rPr>
          <w:sz w:val="24"/>
          <w:szCs w:val="24"/>
        </w:rPr>
        <w:t>Colantuono, Highsmith &amp; Whatley</w:t>
      </w:r>
    </w:p>
    <w:p w:rsidR="00BD0D50" w:rsidRPr="00BD0D50" w:rsidP="00BD0D50" w14:paraId="7268960A" w14:textId="77777777">
      <w:pPr>
        <w:spacing w:after="0" w:line="240" w:lineRule="auto"/>
        <w:jc w:val="left"/>
        <w:rPr>
          <w:sz w:val="24"/>
          <w:szCs w:val="24"/>
        </w:rPr>
      </w:pPr>
      <w:r w:rsidRPr="00BD0D50">
        <w:rPr>
          <w:sz w:val="24"/>
          <w:szCs w:val="24"/>
        </w:rPr>
        <w:t>790 E. Colorado Boulevard, Suite 850</w:t>
      </w:r>
    </w:p>
    <w:p w:rsidR="00BD0D50" w:rsidRPr="00BD0D50" w:rsidP="00BD0D50" w14:paraId="3150EB1B" w14:textId="77777777">
      <w:pPr>
        <w:spacing w:after="0" w:line="240" w:lineRule="auto"/>
        <w:jc w:val="left"/>
        <w:rPr>
          <w:sz w:val="24"/>
          <w:szCs w:val="24"/>
        </w:rPr>
      </w:pPr>
      <w:r w:rsidRPr="00BD0D50">
        <w:rPr>
          <w:sz w:val="24"/>
          <w:szCs w:val="24"/>
        </w:rPr>
        <w:t>Pasadena, CA 91101</w:t>
      </w:r>
    </w:p>
    <w:p w:rsidR="00BD0D50" w:rsidRPr="00BD0D50" w:rsidP="00BD0D50" w14:paraId="08582CD3" w14:textId="77777777">
      <w:pPr>
        <w:spacing w:after="0" w:line="240" w:lineRule="auto"/>
        <w:jc w:val="left"/>
        <w:rPr>
          <w:sz w:val="24"/>
          <w:szCs w:val="24"/>
        </w:rPr>
      </w:pPr>
      <w:r w:rsidRPr="00BD0D50">
        <w:rPr>
          <w:sz w:val="24"/>
          <w:szCs w:val="24"/>
        </w:rPr>
        <w:t>(213) 542-5704</w:t>
      </w:r>
    </w:p>
    <w:p w:rsidR="00BD0D50" w:rsidRPr="00BD0D50" w:rsidP="00BD0D50" w14:paraId="39BC4F1A" w14:textId="77777777">
      <w:pPr>
        <w:spacing w:after="0" w:line="240" w:lineRule="auto"/>
        <w:jc w:val="left"/>
        <w:rPr>
          <w:sz w:val="24"/>
          <w:szCs w:val="24"/>
        </w:rPr>
      </w:pPr>
    </w:p>
    <w:p w:rsidR="00BD0D50" w:rsidRPr="00BD0D50" w:rsidP="00BD0D50" w14:paraId="083377FC" w14:textId="77777777">
      <w:pPr>
        <w:spacing w:after="0" w:line="240" w:lineRule="auto"/>
        <w:jc w:val="left"/>
        <w:rPr>
          <w:sz w:val="24"/>
          <w:szCs w:val="24"/>
        </w:rPr>
      </w:pPr>
    </w:p>
    <w:p w:rsidR="00BD0D50" w:rsidRPr="00BD0D50" w:rsidP="00BD0D50" w14:paraId="398EA25D" w14:textId="77777777">
      <w:pPr>
        <w:spacing w:after="0" w:line="240" w:lineRule="auto"/>
        <w:jc w:val="left"/>
        <w:rPr>
          <w:sz w:val="24"/>
          <w:szCs w:val="24"/>
        </w:rPr>
      </w:pPr>
    </w:p>
    <w:p w:rsidR="00BD0D50" w:rsidRPr="00BD0D50" w:rsidP="00BD0D50" w14:paraId="2FF79CE2" w14:textId="77777777">
      <w:pPr>
        <w:spacing w:after="0" w:line="240" w:lineRule="auto"/>
        <w:jc w:val="left"/>
        <w:rPr>
          <w:sz w:val="24"/>
          <w:szCs w:val="24"/>
        </w:rPr>
      </w:pPr>
      <w:r w:rsidRPr="00BD0D50">
        <w:rPr>
          <w:sz w:val="24"/>
          <w:szCs w:val="24"/>
        </w:rPr>
        <w:t xml:space="preserve"> </w:t>
      </w:r>
    </w:p>
    <w:p w:rsidR="006C784B" w:rsidRPr="006C784B" w:rsidP="006C784B" w14:paraId="48AA4C6F" w14:textId="4A3348E6">
      <w:pPr>
        <w:pStyle w:val="ListParagraph"/>
        <w:spacing w:after="0" w:line="240" w:lineRule="auto"/>
        <w:ind w:left="0"/>
      </w:pPr>
    </w:p>
    <w:sectPr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2CA94B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0E1A5FE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0E511BE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A25" w:rsidRPr="00C66A25" w14:paraId="1A7AF409" w14:textId="77777777">
    <w:pPr>
      <w:pStyle w:val="Footer"/>
      <w:rPr>
        <w:caps/>
        <w:noProof/>
      </w:rPr>
    </w:pPr>
    <w:r w:rsidRPr="00C66A25">
      <w:rPr>
        <w:caps/>
      </w:rPr>
      <w:fldChar w:fldCharType="begin"/>
    </w:r>
    <w:r w:rsidRPr="00C66A25">
      <w:rPr>
        <w:caps/>
      </w:rPr>
      <w:instrText xml:space="preserve"> PAGE   \* MERGEFORMAT </w:instrText>
    </w:r>
    <w:r w:rsidRPr="00C66A25">
      <w:rPr>
        <w:caps/>
      </w:rPr>
      <w:fldChar w:fldCharType="separate"/>
    </w:r>
    <w:r w:rsidRPr="00C66A25">
      <w:rPr>
        <w:caps/>
        <w:noProof/>
      </w:rPr>
      <w:t>2</w:t>
    </w:r>
    <w:r w:rsidRPr="00C66A25">
      <w:rPr>
        <w:cap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0923276"/>
      <w:docPartObj>
        <w:docPartGallery w:val="Page Numbers (Bottom of Page)"/>
        <w:docPartUnique/>
      </w:docPartObj>
    </w:sdtPr>
    <w:sdtEndPr>
      <w:rPr>
        <w:noProof/>
      </w:rPr>
    </w:sdtEndPr>
    <w:sdtContent>
      <w:p w:rsidR="00F459B2" w14:paraId="21050926" w14:textId="076E9D0E">
        <w:pPr>
          <w:pStyle w:val="Footer"/>
        </w:pPr>
        <w:r>
          <w:fldChar w:fldCharType="begin"/>
        </w:r>
        <w:r>
          <w:instrText xml:space="preserve"> PAGE   \* MERGEFORMAT </w:instrText>
        </w:r>
        <w:r>
          <w:fldChar w:fldCharType="separate"/>
        </w:r>
        <w:r>
          <w:rPr>
            <w:noProof/>
          </w:rPr>
          <w:t>2</w:t>
        </w:r>
        <w:r>
          <w:rPr>
            <w:noProof/>
          </w:rPr>
          <w:fldChar w:fldCharType="end"/>
        </w:r>
      </w:p>
    </w:sdtContent>
  </w:sdt>
  <w:p w:rsidR="0023145B" w14:paraId="75733E1D" w14:textId="01FDB2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04946AA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2F82985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2FA003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7A91" w:rsidP="0075459B" w14:paraId="5B41F0A2" w14:textId="77777777">
      <w:pPr>
        <w:spacing w:after="0" w:line="240" w:lineRule="auto"/>
      </w:pPr>
      <w:r>
        <w:separator/>
      </w:r>
    </w:p>
  </w:footnote>
  <w:footnote w:type="continuationSeparator" w:id="1">
    <w:p w:rsidR="00D07A91" w:rsidP="0075459B" w14:paraId="6216C86A" w14:textId="77777777">
      <w:pPr>
        <w:spacing w:after="0" w:line="240" w:lineRule="auto"/>
      </w:pPr>
      <w:r>
        <w:continuationSeparator/>
      </w:r>
    </w:p>
  </w:footnote>
  <w:footnote w:type="continuationNotice" w:id="2">
    <w:p w:rsidR="00D07A91" w14:paraId="4A758888" w14:textId="77777777">
      <w:pPr>
        <w:spacing w:after="0" w:line="240" w:lineRule="auto"/>
      </w:pPr>
    </w:p>
  </w:footnote>
  <w:footnote w:id="3">
    <w:p w:rsidR="006C784B" w:rsidP="006C784B" w14:paraId="657813A1" w14:textId="17DF451F">
      <w:pPr>
        <w:pStyle w:val="FootnoteText"/>
        <w:spacing w:after="0" w:line="240" w:lineRule="auto"/>
      </w:pPr>
      <w:r>
        <w:rPr>
          <w:rStyle w:val="FootnoteReference"/>
        </w:rPr>
        <w:footnoteRef/>
      </w:r>
      <w:r>
        <w:t xml:space="preserve"> </w:t>
      </w:r>
      <w:r>
        <w:tab/>
      </w:r>
      <w:r w:rsidRPr="00E22A2C">
        <w:rPr>
          <w:szCs w:val="27"/>
        </w:rPr>
        <w:t xml:space="preserve">Associate Justice of the Court of Appeal, Fourth Appellate District, </w:t>
      </w:r>
      <w:r w:rsidRPr="00E22A2C">
        <w:rPr>
          <w:rFonts w:cs="Arial"/>
          <w:szCs w:val="27"/>
        </w:rPr>
        <w:t>Division</w:t>
      </w:r>
      <w:r w:rsidRPr="00E22A2C">
        <w:rPr>
          <w:szCs w:val="27"/>
        </w:rPr>
        <w:t xml:space="preserve"> One, assigned by the Chief Justice pursuant to article VI, section 6 of the California Constitution.</w:t>
      </w:r>
    </w:p>
  </w:footnote>
  <w:footnote w:id="4">
    <w:p w:rsidR="005D768D" w:rsidRPr="008467CC" w:rsidP="00D50877" w14:paraId="1F8D2585" w14:textId="064F34DA">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t xml:space="preserve">Unspecified references to “article” in this </w:t>
      </w:r>
      <w:r w:rsidR="0018159F">
        <w:rPr>
          <w:szCs w:val="27"/>
        </w:rPr>
        <w:t>opinion</w:t>
      </w:r>
      <w:r w:rsidRPr="008467CC">
        <w:rPr>
          <w:szCs w:val="27"/>
        </w:rPr>
        <w:t xml:space="preserve"> refer to articles of the California Constitution.</w:t>
      </w:r>
    </w:p>
  </w:footnote>
  <w:footnote w:id="5">
    <w:p w:rsidR="00F82A73" w:rsidRPr="008467CC" w:rsidP="00F9793A" w14:paraId="187664A8" w14:textId="75C41C1E">
      <w:pPr>
        <w:pStyle w:val="FootnoteText"/>
        <w:rPr>
          <w:szCs w:val="27"/>
        </w:rPr>
      </w:pPr>
      <w:r w:rsidRPr="008467CC">
        <w:rPr>
          <w:rStyle w:val="FootnoteReference"/>
          <w:bCs/>
          <w:szCs w:val="27"/>
        </w:rPr>
        <w:footnoteRef/>
      </w:r>
      <w:r w:rsidRPr="008467CC">
        <w:rPr>
          <w:b/>
          <w:bCs/>
          <w:szCs w:val="27"/>
        </w:rPr>
        <w:t xml:space="preserve"> </w:t>
      </w:r>
      <w:r w:rsidRPr="008467CC">
        <w:rPr>
          <w:b/>
          <w:bCs/>
          <w:szCs w:val="27"/>
        </w:rPr>
        <w:tab/>
      </w:r>
      <w:r w:rsidRPr="008467CC">
        <w:rPr>
          <w:szCs w:val="27"/>
        </w:rPr>
        <w:t xml:space="preserve">This section of the PBID </w:t>
      </w:r>
      <w:r w:rsidRPr="008467CC" w:rsidR="00261683">
        <w:rPr>
          <w:szCs w:val="27"/>
        </w:rPr>
        <w:t>L</w:t>
      </w:r>
      <w:r w:rsidRPr="008467CC">
        <w:rPr>
          <w:szCs w:val="27"/>
        </w:rPr>
        <w:t>aw provides, “The validity of an assessment levied under this part shall not be contested in an action or proceeding unless the action or proceeding is commenced within 30 days after the resolution levying the assessment is adopted</w:t>
      </w:r>
      <w:r w:rsidR="00BC55F1">
        <w:rPr>
          <w:szCs w:val="27"/>
        </w:rPr>
        <w:t> . . . </w:t>
      </w:r>
      <w:r w:rsidRPr="008467CC">
        <w:rPr>
          <w:szCs w:val="27"/>
        </w:rPr>
        <w:t>.”</w:t>
      </w:r>
      <w:r w:rsidRPr="008467CC" w:rsidR="00966558">
        <w:rPr>
          <w:szCs w:val="27"/>
        </w:rPr>
        <w:t xml:space="preserve">  (</w:t>
      </w:r>
      <w:r w:rsidRPr="008467CC" w:rsidR="00966558">
        <w:rPr>
          <w:szCs w:val="27"/>
          <w:shd w:val="clear" w:color="auto" w:fill="FFFFFF"/>
        </w:rPr>
        <w:t>Sts. &amp; Hy.</w:t>
      </w:r>
      <w:r w:rsidRPr="008467CC" w:rsidR="00966558">
        <w:rPr>
          <w:szCs w:val="27"/>
        </w:rPr>
        <w:t xml:space="preserve"> Code, § 36633.)</w:t>
      </w:r>
    </w:p>
  </w:footnote>
  <w:footnote w:id="6">
    <w:p w:rsidR="00206E9B" w:rsidRPr="008467CC" w:rsidP="00D50877" w14:paraId="3C9182BD" w14:textId="383B6113">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t xml:space="preserve">Both pleadings also allege two causes of action that petitioners did not pursue in proceedings below, and for that reason are no longer of concern to us.  The first </w:t>
      </w:r>
      <w:r w:rsidR="007617A6">
        <w:rPr>
          <w:szCs w:val="27"/>
        </w:rPr>
        <w:t>such</w:t>
      </w:r>
      <w:r w:rsidRPr="008467CC">
        <w:rPr>
          <w:szCs w:val="27"/>
        </w:rPr>
        <w:t xml:space="preserve"> claim assert</w:t>
      </w:r>
      <w:r w:rsidR="000F6082">
        <w:rPr>
          <w:szCs w:val="27"/>
        </w:rPr>
        <w:t>ed</w:t>
      </w:r>
      <w:r w:rsidRPr="008467CC">
        <w:rPr>
          <w:szCs w:val="27"/>
        </w:rPr>
        <w:t xml:space="preserve"> that the assessments </w:t>
      </w:r>
      <w:r w:rsidRPr="008467CC" w:rsidR="00425790">
        <w:rPr>
          <w:szCs w:val="27"/>
        </w:rPr>
        <w:t xml:space="preserve">for the San Pedro and Downtown Center BIDs </w:t>
      </w:r>
      <w:r w:rsidRPr="008467CC">
        <w:rPr>
          <w:szCs w:val="27"/>
        </w:rPr>
        <w:t>violate section 36632</w:t>
      </w:r>
      <w:r w:rsidRPr="008467CC" w:rsidR="00425790">
        <w:rPr>
          <w:szCs w:val="27"/>
        </w:rPr>
        <w:t>, subdivision (a)</w:t>
      </w:r>
      <w:r w:rsidRPr="008467CC">
        <w:rPr>
          <w:szCs w:val="27"/>
        </w:rPr>
        <w:t xml:space="preserve"> of the Streets and Highways Code, which provides in relevant part that assessments levied on real property pursuant to the PBID Law “shall be levied on the</w:t>
      </w:r>
      <w:r w:rsidR="007617A6">
        <w:rPr>
          <w:szCs w:val="27"/>
        </w:rPr>
        <w:t xml:space="preserve"> basis of the</w:t>
      </w:r>
      <w:r w:rsidRPr="008467CC">
        <w:rPr>
          <w:szCs w:val="27"/>
        </w:rPr>
        <w:t xml:space="preserve"> estimated benefit to the real property within the property and business improvement district.” </w:t>
      </w:r>
      <w:r w:rsidRPr="008467CC" w:rsidR="0069602A">
        <w:rPr>
          <w:szCs w:val="27"/>
        </w:rPr>
        <w:t>Petitioners did not press this</w:t>
      </w:r>
      <w:r w:rsidR="00D25DD7">
        <w:rPr>
          <w:szCs w:val="27"/>
        </w:rPr>
        <w:t xml:space="preserve"> argument as a distinct</w:t>
      </w:r>
      <w:r w:rsidRPr="008467CC" w:rsidR="0069602A">
        <w:rPr>
          <w:szCs w:val="27"/>
        </w:rPr>
        <w:t xml:space="preserve"> theory in their briefing before the superior court or the Court of Appeal. </w:t>
      </w:r>
      <w:r w:rsidRPr="008467CC">
        <w:rPr>
          <w:szCs w:val="27"/>
        </w:rPr>
        <w:t xml:space="preserve"> The second</w:t>
      </w:r>
      <w:r w:rsidRPr="008467CC" w:rsidR="00425790">
        <w:rPr>
          <w:szCs w:val="27"/>
        </w:rPr>
        <w:t xml:space="preserve"> claim</w:t>
      </w:r>
      <w:r w:rsidRPr="008467CC">
        <w:rPr>
          <w:szCs w:val="27"/>
        </w:rPr>
        <w:t>, which was dismissed prior to the</w:t>
      </w:r>
      <w:r w:rsidRPr="008467CC" w:rsidR="00852879">
        <w:rPr>
          <w:szCs w:val="27"/>
        </w:rPr>
        <w:t xml:space="preserve"> trial court’s</w:t>
      </w:r>
      <w:r w:rsidRPr="008467CC">
        <w:rPr>
          <w:szCs w:val="27"/>
        </w:rPr>
        <w:t xml:space="preserve"> hearing on the petitions, sought declarations that the 2013 settlement agreements, including their reimbursement provisions, applied to the BIDs as renewed.</w:t>
      </w:r>
    </w:p>
  </w:footnote>
  <w:footnote w:id="7">
    <w:p w:rsidR="00085406" w:rsidRPr="008467CC" w:rsidP="00D50877" w14:paraId="6A91D4A6" w14:textId="7A82FAA5">
      <w:pPr>
        <w:pStyle w:val="FootnoteText"/>
        <w:spacing w:after="120"/>
        <w:rPr>
          <w:szCs w:val="27"/>
        </w:rPr>
      </w:pPr>
      <w:r w:rsidRPr="008467CC">
        <w:rPr>
          <w:rStyle w:val="FootnoteReference"/>
          <w:bCs/>
          <w:szCs w:val="27"/>
        </w:rPr>
        <w:footnoteRef/>
      </w:r>
      <w:r w:rsidRPr="008467CC">
        <w:rPr>
          <w:b/>
          <w:bCs/>
          <w:szCs w:val="27"/>
        </w:rPr>
        <w:t xml:space="preserve"> </w:t>
      </w:r>
      <w:r w:rsidRPr="008467CC">
        <w:rPr>
          <w:b/>
          <w:bCs/>
          <w:szCs w:val="27"/>
        </w:rPr>
        <w:tab/>
      </w:r>
      <w:r w:rsidRPr="008467CC">
        <w:rPr>
          <w:szCs w:val="27"/>
        </w:rPr>
        <w:t xml:space="preserve">For purposes of Proposition 218, an “agency” means “any county, </w:t>
      </w:r>
      <w:r w:rsidR="00BC55F1">
        <w:rPr>
          <w:szCs w:val="27"/>
        </w:rPr>
        <w:t xml:space="preserve">city, </w:t>
      </w:r>
      <w:r w:rsidRPr="008467CC">
        <w:rPr>
          <w:szCs w:val="27"/>
        </w:rPr>
        <w:t>city and county, including a charter city or county, any special district, or any other local or regional government</w:t>
      </w:r>
      <w:r w:rsidR="00BC55F1">
        <w:rPr>
          <w:szCs w:val="27"/>
        </w:rPr>
        <w:t>al</w:t>
      </w:r>
      <w:r w:rsidRPr="008467CC">
        <w:rPr>
          <w:szCs w:val="27"/>
        </w:rPr>
        <w:t xml:space="preserve"> entity.”  (</w:t>
      </w:r>
      <w:r w:rsidRPr="008467CC" w:rsidR="005D768D">
        <w:rPr>
          <w:szCs w:val="27"/>
        </w:rPr>
        <w:t>A</w:t>
      </w:r>
      <w:r w:rsidRPr="008467CC">
        <w:rPr>
          <w:szCs w:val="27"/>
        </w:rPr>
        <w:t>rt. XIII C, § 1, subd. (</w:t>
      </w:r>
      <w:r w:rsidRPr="008467CC" w:rsidR="008C378A">
        <w:rPr>
          <w:szCs w:val="27"/>
        </w:rPr>
        <w:t>b</w:t>
      </w:r>
      <w:r w:rsidRPr="008467CC">
        <w:rPr>
          <w:szCs w:val="27"/>
        </w:rPr>
        <w:t>); art. XIII D, § 2, subd. (a).)</w:t>
      </w:r>
    </w:p>
  </w:footnote>
  <w:footnote w:id="8">
    <w:p w:rsidR="005375F1" w:rsidRPr="008467CC" w:rsidP="00D50877" w14:paraId="55C5081D" w14:textId="0D7A55F8">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r>
      <w:r>
        <w:rPr>
          <w:szCs w:val="27"/>
        </w:rPr>
        <w:t xml:space="preserve">A </w:t>
      </w:r>
      <w:r w:rsidR="001B41E4">
        <w:rPr>
          <w:szCs w:val="27"/>
        </w:rPr>
        <w:t xml:space="preserve">quasi-adjudicative or </w:t>
      </w:r>
      <w:r w:rsidRPr="008467CC">
        <w:rPr>
          <w:szCs w:val="27"/>
        </w:rPr>
        <w:t>quasi-judicial act by a nonjudicial entity</w:t>
      </w:r>
      <w:r w:rsidR="00111E0C">
        <w:rPr>
          <w:szCs w:val="27"/>
        </w:rPr>
        <w:t xml:space="preserve"> has been </w:t>
      </w:r>
      <w:r w:rsidRPr="00111E0C" w:rsidR="00111E0C">
        <w:rPr>
          <w:szCs w:val="27"/>
        </w:rPr>
        <w:t>described as an act that</w:t>
      </w:r>
      <w:r w:rsidRPr="00111E0C">
        <w:rPr>
          <w:szCs w:val="27"/>
        </w:rPr>
        <w:t xml:space="preserve"> “ ‘involve[s] the determination and application of facts peculiar to an individual case,’ ” </w:t>
      </w:r>
      <w:r w:rsidR="00A51933">
        <w:rPr>
          <w:szCs w:val="27"/>
        </w:rPr>
        <w:t>whereas</w:t>
      </w:r>
      <w:r w:rsidRPr="00111E0C">
        <w:rPr>
          <w:szCs w:val="27"/>
        </w:rPr>
        <w:t xml:space="preserve"> a legislative or quasi-legislative act “ ‘involve[s] the adoption of rules of general application on the basis of broad public policy.’ ”  (</w:t>
      </w:r>
      <w:r w:rsidRPr="00111E0C">
        <w:rPr>
          <w:i/>
          <w:iCs/>
          <w:szCs w:val="27"/>
        </w:rPr>
        <w:t>Nasha v. City of Los Angeles</w:t>
      </w:r>
      <w:r w:rsidRPr="00111E0C">
        <w:rPr>
          <w:szCs w:val="27"/>
        </w:rPr>
        <w:t xml:space="preserve"> (2004) 125</w:t>
      </w:r>
      <w:r w:rsidR="00611133">
        <w:rPr>
          <w:szCs w:val="27"/>
        </w:rPr>
        <w:t> </w:t>
      </w:r>
      <w:r w:rsidRPr="00111E0C">
        <w:rPr>
          <w:szCs w:val="27"/>
        </w:rPr>
        <w:t xml:space="preserve">Cal.App.4th 470, 482; see also </w:t>
      </w:r>
      <w:r w:rsidRPr="00111E0C">
        <w:rPr>
          <w:i/>
          <w:iCs/>
          <w:szCs w:val="27"/>
        </w:rPr>
        <w:t>San Diego Bldg. Contractors Assn. v. City Council</w:t>
      </w:r>
      <w:r w:rsidRPr="00111E0C">
        <w:rPr>
          <w:szCs w:val="27"/>
        </w:rPr>
        <w:t xml:space="preserve"> (1974) 13 Cal.3d 205, 212 &amp; fn.</w:t>
      </w:r>
      <w:r w:rsidR="00D50877">
        <w:rPr>
          <w:szCs w:val="27"/>
        </w:rPr>
        <w:t> </w:t>
      </w:r>
      <w:r w:rsidRPr="00111E0C">
        <w:rPr>
          <w:szCs w:val="27"/>
        </w:rPr>
        <w:t>5 [discussing legislative and adjudicative acts, and providing examples of both]</w:t>
      </w:r>
      <w:r w:rsidRPr="00111E0C" w:rsidR="00111E0C">
        <w:rPr>
          <w:szCs w:val="27"/>
        </w:rPr>
        <w:t xml:space="preserve">; </w:t>
      </w:r>
      <w:r w:rsidRPr="00111E0C" w:rsidR="00111E0C">
        <w:rPr>
          <w:i/>
          <w:iCs/>
          <w:szCs w:val="27"/>
        </w:rPr>
        <w:t>Howard v. County of San Diego</w:t>
      </w:r>
      <w:r w:rsidRPr="00111E0C" w:rsidR="00111E0C">
        <w:rPr>
          <w:szCs w:val="27"/>
        </w:rPr>
        <w:t xml:space="preserve"> (2010) 184</w:t>
      </w:r>
      <w:r w:rsidR="00D50877">
        <w:rPr>
          <w:szCs w:val="27"/>
        </w:rPr>
        <w:t> </w:t>
      </w:r>
      <w:r w:rsidRPr="00111E0C" w:rsidR="00111E0C">
        <w:rPr>
          <w:szCs w:val="27"/>
        </w:rPr>
        <w:t xml:space="preserve">Cal.App.4th 1422, </w:t>
      </w:r>
      <w:r w:rsidR="00AE40D2">
        <w:rPr>
          <w:szCs w:val="27"/>
        </w:rPr>
        <w:t>1431–</w:t>
      </w:r>
      <w:r w:rsidRPr="00111E0C" w:rsidR="00111E0C">
        <w:rPr>
          <w:szCs w:val="27"/>
        </w:rPr>
        <w:t>1432</w:t>
      </w:r>
      <w:r w:rsidR="00111E0C">
        <w:rPr>
          <w:szCs w:val="27"/>
        </w:rPr>
        <w:t xml:space="preserve"> (</w:t>
      </w:r>
      <w:r w:rsidRPr="00111E0C" w:rsidR="00111E0C">
        <w:rPr>
          <w:i/>
          <w:iCs/>
          <w:szCs w:val="27"/>
        </w:rPr>
        <w:t>Howard</w:t>
      </w:r>
      <w:r w:rsidR="00111E0C">
        <w:rPr>
          <w:szCs w:val="27"/>
        </w:rPr>
        <w:t>)</w:t>
      </w:r>
      <w:r w:rsidRPr="00111E0C" w:rsidR="00111E0C">
        <w:rPr>
          <w:szCs w:val="27"/>
        </w:rPr>
        <w:t xml:space="preserve"> [describing “[</w:t>
      </w:r>
      <w:r w:rsidRPr="00111E0C" w:rsidR="00111E0C">
        <w:rPr>
          <w:color w:val="3D3D3D"/>
          <w:szCs w:val="27"/>
          <w:shd w:val="clear" w:color="auto" w:fill="FFFFFF"/>
        </w:rPr>
        <w:t>l]egislative actions” as “political in nature, ‘declar[ing] a public purpose and mak[ing] provisions for the ways and means of its accomplishment,’ ” as contrasted with “</w:t>
      </w:r>
      <w:r w:rsidRPr="00111E0C" w:rsidR="00111E0C">
        <w:rPr>
          <w:szCs w:val="27"/>
        </w:rPr>
        <w:t>administrative or adjudicative actions,” which “apply law that already exists to determine ‘specific rights based upon specific facts ascertained from evidence adduced at a hearing’ ”].</w:t>
      </w:r>
      <w:r w:rsidRPr="00111E0C">
        <w:rPr>
          <w:szCs w:val="27"/>
        </w:rPr>
        <w:t>)</w:t>
      </w:r>
      <w:r w:rsidRPr="008467CC">
        <w:rPr>
          <w:szCs w:val="27"/>
        </w:rPr>
        <w:t xml:space="preserve">  </w:t>
      </w:r>
    </w:p>
  </w:footnote>
  <w:footnote w:id="9">
    <w:p w:rsidR="003D712F" w:rsidRPr="008467CC" w:rsidP="00D50877" w14:paraId="7C5B26CB" w14:textId="1EE6D5E3">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t xml:space="preserve">It is </w:t>
      </w:r>
      <w:r w:rsidRPr="008467CC" w:rsidR="00FB6604">
        <w:rPr>
          <w:szCs w:val="27"/>
        </w:rPr>
        <w:t>also</w:t>
      </w:r>
      <w:r w:rsidRPr="008467CC">
        <w:rPr>
          <w:szCs w:val="27"/>
        </w:rPr>
        <w:t xml:space="preserve"> </w:t>
      </w:r>
      <w:r w:rsidRPr="008467CC" w:rsidR="00750E4B">
        <w:rPr>
          <w:szCs w:val="27"/>
        </w:rPr>
        <w:t>not firmly established</w:t>
      </w:r>
      <w:r w:rsidRPr="008467CC">
        <w:rPr>
          <w:szCs w:val="27"/>
        </w:rPr>
        <w:t xml:space="preserve"> how </w:t>
      </w:r>
      <w:r w:rsidRPr="008467CC" w:rsidR="00750E4B">
        <w:rPr>
          <w:szCs w:val="27"/>
        </w:rPr>
        <w:t>issue</w:t>
      </w:r>
      <w:r w:rsidRPr="008467CC" w:rsidR="00A2045F">
        <w:rPr>
          <w:szCs w:val="27"/>
        </w:rPr>
        <w:t xml:space="preserve"> </w:t>
      </w:r>
      <w:r w:rsidRPr="008467CC" w:rsidR="006A5AB7">
        <w:rPr>
          <w:szCs w:val="27"/>
        </w:rPr>
        <w:t xml:space="preserve">exhaustion </w:t>
      </w:r>
      <w:r w:rsidRPr="008467CC" w:rsidR="00A869EB">
        <w:rPr>
          <w:szCs w:val="27"/>
        </w:rPr>
        <w:t>relates</w:t>
      </w:r>
      <w:r w:rsidRPr="008467CC" w:rsidR="006A5AB7">
        <w:rPr>
          <w:szCs w:val="27"/>
        </w:rPr>
        <w:t xml:space="preserve"> to the</w:t>
      </w:r>
      <w:r w:rsidRPr="008467CC">
        <w:rPr>
          <w:szCs w:val="27"/>
        </w:rPr>
        <w:t xml:space="preserve"> </w:t>
      </w:r>
      <w:r w:rsidRPr="008467CC" w:rsidR="00A869EB">
        <w:rPr>
          <w:szCs w:val="27"/>
        </w:rPr>
        <w:t>opportunity to</w:t>
      </w:r>
      <w:r w:rsidRPr="008467CC">
        <w:rPr>
          <w:szCs w:val="27"/>
        </w:rPr>
        <w:t xml:space="preserve"> comment </w:t>
      </w:r>
      <w:r w:rsidRPr="008467CC" w:rsidR="00A869EB">
        <w:rPr>
          <w:szCs w:val="27"/>
        </w:rPr>
        <w:t>on</w:t>
      </w:r>
      <w:r w:rsidRPr="008467CC" w:rsidR="000D6AB5">
        <w:rPr>
          <w:szCs w:val="27"/>
        </w:rPr>
        <w:t xml:space="preserve"> proposed</w:t>
      </w:r>
      <w:r w:rsidRPr="008467CC" w:rsidR="00A869EB">
        <w:rPr>
          <w:szCs w:val="27"/>
        </w:rPr>
        <w:t xml:space="preserve"> regulations</w:t>
      </w:r>
      <w:r w:rsidRPr="008467CC" w:rsidR="00E62605">
        <w:rPr>
          <w:szCs w:val="27"/>
        </w:rPr>
        <w:t xml:space="preserve"> that are</w:t>
      </w:r>
      <w:r w:rsidRPr="008467CC" w:rsidR="00EB5C69">
        <w:rPr>
          <w:szCs w:val="27"/>
        </w:rPr>
        <w:t xml:space="preserve"> </w:t>
      </w:r>
      <w:r w:rsidRPr="008467CC" w:rsidR="00A869EB">
        <w:rPr>
          <w:szCs w:val="27"/>
        </w:rPr>
        <w:t>subject to</w:t>
      </w:r>
      <w:r w:rsidRPr="008467CC" w:rsidR="00EB5C69">
        <w:rPr>
          <w:szCs w:val="27"/>
        </w:rPr>
        <w:t xml:space="preserve"> the provisions of</w:t>
      </w:r>
      <w:r w:rsidRPr="008467CC">
        <w:rPr>
          <w:szCs w:val="27"/>
        </w:rPr>
        <w:t xml:space="preserve"> the Administrative Procedure Act</w:t>
      </w:r>
      <w:r w:rsidR="00EB6A80">
        <w:rPr>
          <w:szCs w:val="27"/>
        </w:rPr>
        <w:t xml:space="preserve"> </w:t>
      </w:r>
      <w:r w:rsidRPr="008467CC">
        <w:rPr>
          <w:szCs w:val="27"/>
        </w:rPr>
        <w:t>(Gov. Code</w:t>
      </w:r>
      <w:r w:rsidRPr="008467CC" w:rsidR="00C56E48">
        <w:rPr>
          <w:szCs w:val="27"/>
        </w:rPr>
        <w:t>, § </w:t>
      </w:r>
      <w:r w:rsidRPr="008467CC">
        <w:rPr>
          <w:szCs w:val="27"/>
        </w:rPr>
        <w:t>1</w:t>
      </w:r>
      <w:r w:rsidRPr="008467CC" w:rsidR="006A5AB7">
        <w:rPr>
          <w:szCs w:val="27"/>
        </w:rPr>
        <w:t>1</w:t>
      </w:r>
      <w:r w:rsidRPr="008467CC">
        <w:rPr>
          <w:szCs w:val="27"/>
        </w:rPr>
        <w:t>340 et seq.)</w:t>
      </w:r>
      <w:r w:rsidRPr="008467CC" w:rsidR="006A5AB7">
        <w:rPr>
          <w:szCs w:val="27"/>
        </w:rPr>
        <w:t xml:space="preserve">. </w:t>
      </w:r>
      <w:r w:rsidRPr="008467CC">
        <w:rPr>
          <w:szCs w:val="27"/>
        </w:rPr>
        <w:t xml:space="preserve"> (See </w:t>
      </w:r>
      <w:r w:rsidRPr="008467CC" w:rsidR="005D0F65">
        <w:rPr>
          <w:szCs w:val="27"/>
        </w:rPr>
        <w:t>Gov. Code</w:t>
      </w:r>
      <w:r w:rsidRPr="008467CC" w:rsidR="00A869EB">
        <w:rPr>
          <w:szCs w:val="27"/>
        </w:rPr>
        <w:t>, §</w:t>
      </w:r>
      <w:r w:rsidRPr="008467CC" w:rsidR="004265E9">
        <w:rPr>
          <w:szCs w:val="27"/>
        </w:rPr>
        <w:t>§</w:t>
      </w:r>
      <w:r w:rsidRPr="008467CC" w:rsidR="00A869EB">
        <w:rPr>
          <w:szCs w:val="27"/>
        </w:rPr>
        <w:t> </w:t>
      </w:r>
      <w:r w:rsidRPr="008467CC" w:rsidR="004265E9">
        <w:rPr>
          <w:szCs w:val="27"/>
        </w:rPr>
        <w:t>11346.</w:t>
      </w:r>
      <w:r w:rsidRPr="008467CC" w:rsidR="00414614">
        <w:rPr>
          <w:szCs w:val="27"/>
        </w:rPr>
        <w:t>5, subd. (a)(15), (17)</w:t>
      </w:r>
      <w:r w:rsidRPr="008467CC" w:rsidR="004265E9">
        <w:rPr>
          <w:szCs w:val="27"/>
        </w:rPr>
        <w:t>,</w:t>
      </w:r>
      <w:r w:rsidRPr="008467CC" w:rsidR="00414614">
        <w:rPr>
          <w:szCs w:val="27"/>
        </w:rPr>
        <w:t xml:space="preserve"> 11346.8,</w:t>
      </w:r>
      <w:r w:rsidRPr="008467CC" w:rsidR="004265E9">
        <w:rPr>
          <w:szCs w:val="27"/>
        </w:rPr>
        <w:t xml:space="preserve"> 11346.9</w:t>
      </w:r>
      <w:r w:rsidRPr="008467CC" w:rsidR="00414614">
        <w:rPr>
          <w:szCs w:val="27"/>
        </w:rPr>
        <w:t>, subd. (a)(3)</w:t>
      </w:r>
      <w:r w:rsidRPr="008467CC" w:rsidR="004265E9">
        <w:rPr>
          <w:szCs w:val="27"/>
        </w:rPr>
        <w:t>;</w:t>
      </w:r>
      <w:r w:rsidRPr="008467CC">
        <w:rPr>
          <w:szCs w:val="27"/>
        </w:rPr>
        <w:t xml:space="preserve"> </w:t>
      </w:r>
      <w:r w:rsidRPr="008467CC">
        <w:rPr>
          <w:i/>
          <w:iCs/>
          <w:szCs w:val="27"/>
        </w:rPr>
        <w:t xml:space="preserve">Coastside Fishing Club v. California Fish </w:t>
      </w:r>
      <w:r w:rsidR="006D7B0F">
        <w:rPr>
          <w:i/>
          <w:iCs/>
          <w:szCs w:val="27"/>
        </w:rPr>
        <w:t>&amp;</w:t>
      </w:r>
      <w:r w:rsidRPr="008467CC">
        <w:rPr>
          <w:i/>
          <w:iCs/>
          <w:szCs w:val="27"/>
        </w:rPr>
        <w:t xml:space="preserve"> Game Com.</w:t>
      </w:r>
      <w:r w:rsidRPr="008467CC">
        <w:rPr>
          <w:szCs w:val="27"/>
        </w:rPr>
        <w:t xml:space="preserve"> (2013) 215 Cal.App.4th 397, 415 [“We have found no authority for the proposition that the public comment and response-to-comment requirements of the </w:t>
      </w:r>
      <w:r w:rsidRPr="008467CC" w:rsidR="00A869EB">
        <w:rPr>
          <w:szCs w:val="27"/>
        </w:rPr>
        <w:t>[</w:t>
      </w:r>
      <w:r w:rsidRPr="008467CC" w:rsidR="000D6AB5">
        <w:rPr>
          <w:szCs w:val="27"/>
        </w:rPr>
        <w:t xml:space="preserve">Administrative Procedure </w:t>
      </w:r>
      <w:r w:rsidRPr="008467CC" w:rsidR="00A869EB">
        <w:rPr>
          <w:szCs w:val="27"/>
        </w:rPr>
        <w:t>Act]</w:t>
      </w:r>
      <w:r w:rsidRPr="008467CC">
        <w:rPr>
          <w:szCs w:val="27"/>
        </w:rPr>
        <w:t xml:space="preserve"> constitute an administrative remedy that must be exhausted before challenging the validity of an administrative regulation in a judicial action or proceeding”]</w:t>
      </w:r>
      <w:r w:rsidRPr="008467CC" w:rsidR="00EB5C69">
        <w:rPr>
          <w:szCs w:val="27"/>
        </w:rPr>
        <w:t xml:space="preserve">; </w:t>
      </w:r>
      <w:r w:rsidRPr="008467CC" w:rsidR="00C846AC">
        <w:rPr>
          <w:szCs w:val="27"/>
        </w:rPr>
        <w:t xml:space="preserve">Asimow et al., Cal. Practice Guide: Administrative Law (The Rutter Group 2020) ¶ 15.540; </w:t>
      </w:r>
      <w:r w:rsidRPr="008467CC" w:rsidR="00EB5C69">
        <w:rPr>
          <w:szCs w:val="27"/>
        </w:rPr>
        <w:t xml:space="preserve">cf. Lubbers, </w:t>
      </w:r>
      <w:r w:rsidRPr="008467CC" w:rsidR="00EB5C69">
        <w:rPr>
          <w:i/>
          <w:iCs/>
          <w:szCs w:val="27"/>
        </w:rPr>
        <w:t>supra</w:t>
      </w:r>
      <w:r w:rsidRPr="008467CC" w:rsidR="00EB5C69">
        <w:rPr>
          <w:szCs w:val="27"/>
        </w:rPr>
        <w:t>, 70 Admin. L.Rev. at pp. 136</w:t>
      </w:r>
      <w:r w:rsidRPr="008467CC" w:rsidR="00B9468E">
        <w:rPr>
          <w:szCs w:val="27"/>
        </w:rPr>
        <w:t>–</w:t>
      </w:r>
      <w:r w:rsidRPr="008467CC" w:rsidR="00EB5C69">
        <w:rPr>
          <w:szCs w:val="27"/>
        </w:rPr>
        <w:t xml:space="preserve">142, 144–149 [discussing the application of the issue exhaustion </w:t>
      </w:r>
      <w:r w:rsidRPr="008467CC" w:rsidR="000D6AB5">
        <w:rPr>
          <w:szCs w:val="27"/>
        </w:rPr>
        <w:t xml:space="preserve">doctrine in </w:t>
      </w:r>
      <w:r w:rsidRPr="008467CC" w:rsidR="00EB5C69">
        <w:rPr>
          <w:szCs w:val="27"/>
        </w:rPr>
        <w:t>challenges</w:t>
      </w:r>
      <w:r w:rsidRPr="008467CC" w:rsidR="000D6AB5">
        <w:rPr>
          <w:szCs w:val="27"/>
        </w:rPr>
        <w:t xml:space="preserve"> to federal regulations</w:t>
      </w:r>
      <w:r w:rsidRPr="008467CC" w:rsidR="00EB5C69">
        <w:rPr>
          <w:szCs w:val="27"/>
        </w:rPr>
        <w:t xml:space="preserve"> brought in federal court]</w:t>
      </w:r>
      <w:r w:rsidRPr="008467CC">
        <w:rPr>
          <w:szCs w:val="27"/>
        </w:rPr>
        <w:t xml:space="preserve">.)  </w:t>
      </w:r>
      <w:r w:rsidR="008F0AF8">
        <w:rPr>
          <w:szCs w:val="27"/>
        </w:rPr>
        <w:t xml:space="preserve">We express no </w:t>
      </w:r>
      <w:r w:rsidR="00A70DFE">
        <w:rPr>
          <w:szCs w:val="27"/>
        </w:rPr>
        <w:t>opinion</w:t>
      </w:r>
      <w:r w:rsidR="008F0AF8">
        <w:rPr>
          <w:szCs w:val="27"/>
        </w:rPr>
        <w:t xml:space="preserve"> here regarding this distinct issue.</w:t>
      </w:r>
    </w:p>
  </w:footnote>
  <w:footnote w:id="10">
    <w:p w:rsidR="00842126" w:rsidRPr="00D50877" w:rsidP="00842126" w14:paraId="76CB5B5B" w14:textId="11357D6C">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t xml:space="preserve">As </w:t>
      </w:r>
      <w:r>
        <w:rPr>
          <w:szCs w:val="27"/>
        </w:rPr>
        <w:t>has been</w:t>
      </w:r>
      <w:r w:rsidRPr="008467CC">
        <w:rPr>
          <w:szCs w:val="27"/>
        </w:rPr>
        <w:t xml:space="preserve"> observed, the PBID Law provides </w:t>
      </w:r>
      <w:r>
        <w:rPr>
          <w:szCs w:val="27"/>
        </w:rPr>
        <w:t>that a city must make</w:t>
      </w:r>
      <w:r w:rsidRPr="008467CC">
        <w:rPr>
          <w:color w:val="333333"/>
          <w:szCs w:val="27"/>
          <w:shd w:val="clear" w:color="auto" w:fill="FFFFFF"/>
        </w:rPr>
        <w:t xml:space="preserve"> “[a] determination regarding any protests received” at the conclusion of the public hearing on a BID</w:t>
      </w:r>
      <w:r>
        <w:rPr>
          <w:color w:val="333333"/>
          <w:szCs w:val="27"/>
          <w:shd w:val="clear" w:color="auto" w:fill="FFFFFF"/>
        </w:rPr>
        <w:t>, and further specifies that “[t]he city shall not establish the district or levy assessments if a majority protest was received</w:t>
      </w:r>
      <w:r w:rsidRPr="008467CC">
        <w:rPr>
          <w:color w:val="333333"/>
          <w:szCs w:val="27"/>
          <w:shd w:val="clear" w:color="auto" w:fill="FFFFFF"/>
        </w:rPr>
        <w:t>.</w:t>
      </w:r>
      <w:r>
        <w:rPr>
          <w:color w:val="333333"/>
          <w:szCs w:val="27"/>
          <w:shd w:val="clear" w:color="auto" w:fill="FFFFFF"/>
        </w:rPr>
        <w:t>”</w:t>
      </w:r>
      <w:r w:rsidRPr="008467CC">
        <w:rPr>
          <w:color w:val="333333"/>
          <w:szCs w:val="27"/>
          <w:shd w:val="clear" w:color="auto" w:fill="FFFFFF"/>
        </w:rPr>
        <w:t xml:space="preserve">  (Sts. &amp; Hy. Code, § 36625, subd. (a)(4).)  </w:t>
      </w:r>
      <w:r>
        <w:rPr>
          <w:color w:val="333333"/>
          <w:szCs w:val="27"/>
          <w:shd w:val="clear" w:color="auto" w:fill="FFFFFF"/>
        </w:rPr>
        <w:t>We read t</w:t>
      </w:r>
      <w:r w:rsidRPr="008467CC">
        <w:rPr>
          <w:color w:val="333333"/>
          <w:szCs w:val="27"/>
          <w:shd w:val="clear" w:color="auto" w:fill="FFFFFF"/>
        </w:rPr>
        <w:t xml:space="preserve">his provision, which was added to the PBID Law in response to Proposition 218 (Stats. 1999, ch. 871, § 6, p. 6237) </w:t>
      </w:r>
      <w:r>
        <w:rPr>
          <w:color w:val="333333"/>
          <w:szCs w:val="27"/>
          <w:shd w:val="clear" w:color="auto" w:fill="FFFFFF"/>
        </w:rPr>
        <w:t>as requiring</w:t>
      </w:r>
      <w:r w:rsidRPr="008467CC">
        <w:rPr>
          <w:color w:val="333333"/>
          <w:szCs w:val="27"/>
          <w:shd w:val="clear" w:color="auto" w:fill="FFFFFF"/>
        </w:rPr>
        <w:t xml:space="preserve"> a finding concerning the existence or absence of a majority protest</w:t>
      </w:r>
      <w:r w:rsidR="00BB0B7D">
        <w:rPr>
          <w:color w:val="333333"/>
          <w:szCs w:val="27"/>
          <w:shd w:val="clear" w:color="auto" w:fill="FFFFFF"/>
        </w:rPr>
        <w:t> </w:t>
      </w:r>
      <w:r>
        <w:rPr>
          <w:color w:val="333333"/>
          <w:szCs w:val="27"/>
          <w:shd w:val="clear" w:color="auto" w:fill="FFFFFF"/>
        </w:rPr>
        <w:t>— the “protests” referred to in the subdivision’s first clause being the ballots that could sum to a majority protest, as referenced in the provision’s second clause</w:t>
      </w:r>
      <w:r w:rsidR="00BB0B7D">
        <w:t> </w:t>
      </w:r>
      <w:r>
        <w:rPr>
          <w:color w:val="333333"/>
          <w:szCs w:val="27"/>
          <w:shd w:val="clear" w:color="auto" w:fill="FFFFFF"/>
        </w:rPr>
        <w:t xml:space="preserve">— </w:t>
      </w:r>
      <w:r w:rsidRPr="008467CC">
        <w:rPr>
          <w:color w:val="333333"/>
          <w:szCs w:val="27"/>
          <w:shd w:val="clear" w:color="auto" w:fill="FFFFFF"/>
        </w:rPr>
        <w:t xml:space="preserve">not a response to any specific objections that may be raised </w:t>
      </w:r>
      <w:r>
        <w:rPr>
          <w:color w:val="333333"/>
          <w:szCs w:val="27"/>
          <w:shd w:val="clear" w:color="auto" w:fill="FFFFFF"/>
        </w:rPr>
        <w:t>incident to</w:t>
      </w:r>
      <w:r w:rsidRPr="008467CC">
        <w:rPr>
          <w:color w:val="333333"/>
          <w:szCs w:val="27"/>
          <w:shd w:val="clear" w:color="auto" w:fill="FFFFFF"/>
        </w:rPr>
        <w:t xml:space="preserve"> the public hearing on a BID. </w:t>
      </w:r>
      <w:r>
        <w:rPr>
          <w:color w:val="333333"/>
          <w:szCs w:val="27"/>
          <w:shd w:val="clear" w:color="auto" w:fill="FFFFFF"/>
        </w:rPr>
        <w:t xml:space="preserve"> This language differs from the phrasing within Proposition 218 (art. XIII D, §</w:t>
      </w:r>
      <w:r w:rsidR="00A030E6">
        <w:rPr>
          <w:color w:val="333333"/>
          <w:szCs w:val="27"/>
          <w:shd w:val="clear" w:color="auto" w:fill="FFFFFF"/>
        </w:rPr>
        <w:t>§</w:t>
      </w:r>
      <w:r>
        <w:rPr>
          <w:color w:val="333333"/>
          <w:szCs w:val="27"/>
          <w:shd w:val="clear" w:color="auto" w:fill="FFFFFF"/>
        </w:rPr>
        <w:t> 4, subd. (e)</w:t>
      </w:r>
      <w:r w:rsidR="00A030E6">
        <w:rPr>
          <w:color w:val="333333"/>
          <w:szCs w:val="27"/>
          <w:shd w:val="clear" w:color="auto" w:fill="FFFFFF"/>
        </w:rPr>
        <w:t>, 6, subd. (a</w:t>
      </w:r>
      <w:r>
        <w:rPr>
          <w:color w:val="333333"/>
          <w:szCs w:val="27"/>
          <w:shd w:val="clear" w:color="auto" w:fill="FFFFFF"/>
        </w:rPr>
        <w:t>)</w:t>
      </w:r>
      <w:r w:rsidR="00A030E6">
        <w:rPr>
          <w:color w:val="333333"/>
          <w:szCs w:val="27"/>
          <w:shd w:val="clear" w:color="auto" w:fill="FFFFFF"/>
        </w:rPr>
        <w:t>(2))</w:t>
      </w:r>
      <w:r>
        <w:rPr>
          <w:color w:val="333333"/>
          <w:szCs w:val="27"/>
          <w:shd w:val="clear" w:color="auto" w:fill="FFFFFF"/>
        </w:rPr>
        <w:t xml:space="preserve">, in which the requirement that an agency “consider” all protests carries meaning above and beyond a tabulation requirement.  (See </w:t>
      </w:r>
      <w:r w:rsidRPr="00F146CA">
        <w:rPr>
          <w:i/>
          <w:iCs/>
          <w:color w:val="333333"/>
          <w:szCs w:val="27"/>
          <w:shd w:val="clear" w:color="auto" w:fill="FFFFFF"/>
        </w:rPr>
        <w:t>Plantier</w:t>
      </w:r>
      <w:r>
        <w:rPr>
          <w:color w:val="333333"/>
          <w:szCs w:val="27"/>
          <w:shd w:val="clear" w:color="auto" w:fill="FFFFFF"/>
        </w:rPr>
        <w:t xml:space="preserve">, </w:t>
      </w:r>
      <w:r w:rsidRPr="00F146CA">
        <w:rPr>
          <w:i/>
          <w:iCs/>
          <w:color w:val="333333"/>
          <w:szCs w:val="27"/>
          <w:shd w:val="clear" w:color="auto" w:fill="FFFFFF"/>
        </w:rPr>
        <w:t>supra</w:t>
      </w:r>
      <w:r>
        <w:rPr>
          <w:color w:val="333333"/>
          <w:szCs w:val="27"/>
          <w:shd w:val="clear" w:color="auto" w:fill="FFFFFF"/>
        </w:rPr>
        <w:t>, 7</w:t>
      </w:r>
      <w:r w:rsidR="00611133">
        <w:rPr>
          <w:color w:val="333333"/>
          <w:szCs w:val="27"/>
          <w:shd w:val="clear" w:color="auto" w:fill="FFFFFF"/>
        </w:rPr>
        <w:t> </w:t>
      </w:r>
      <w:r>
        <w:rPr>
          <w:color w:val="333333"/>
          <w:szCs w:val="27"/>
          <w:shd w:val="clear" w:color="auto" w:fill="FFFFFF"/>
        </w:rPr>
        <w:t>Cal.5</w:t>
      </w:r>
      <w:r w:rsidRPr="00F146CA">
        <w:rPr>
          <w:color w:val="333333"/>
          <w:szCs w:val="27"/>
          <w:shd w:val="clear" w:color="auto" w:fill="FFFFFF"/>
        </w:rPr>
        <w:t>th</w:t>
      </w:r>
      <w:r>
        <w:rPr>
          <w:color w:val="333333"/>
          <w:szCs w:val="27"/>
          <w:shd w:val="clear" w:color="auto" w:fill="FFFFFF"/>
        </w:rPr>
        <w:t xml:space="preserve"> at pp. 385–386.)</w:t>
      </w:r>
    </w:p>
  </w:footnote>
  <w:footnote w:id="11">
    <w:p w:rsidR="003813F6" w:rsidP="003813F6" w14:paraId="12871DA8" w14:textId="23A7810D">
      <w:pPr>
        <w:pStyle w:val="FootnoteText"/>
        <w:spacing w:after="120"/>
      </w:pPr>
      <w:r>
        <w:rPr>
          <w:rStyle w:val="FootnoteReference"/>
        </w:rPr>
        <w:footnoteRef/>
      </w:r>
      <w:r>
        <w:t xml:space="preserve"> </w:t>
      </w:r>
      <w:r>
        <w:tab/>
        <w:t xml:space="preserve">Given the other considerations </w:t>
      </w:r>
      <w:r w:rsidR="00817BA5">
        <w:t>behind</w:t>
      </w:r>
      <w:r>
        <w:t xml:space="preserve"> our holding, we need not decide whether an exhaustion requirement of some kind could be reconciled with Proposition 218 under materially different circumstances.  </w:t>
      </w:r>
    </w:p>
  </w:footnote>
  <w:footnote w:id="12">
    <w:p w:rsidR="00A8295C" w:rsidRPr="008467CC" w:rsidP="00D50877" w14:paraId="12DE6A84" w14:textId="5D3DDB77">
      <w:pPr>
        <w:pStyle w:val="FootnoteText"/>
        <w:spacing w:after="120"/>
        <w:rPr>
          <w:szCs w:val="27"/>
        </w:rPr>
      </w:pPr>
      <w:r w:rsidRPr="008467CC">
        <w:rPr>
          <w:rStyle w:val="FootnoteReference"/>
          <w:bCs/>
          <w:szCs w:val="27"/>
        </w:rPr>
        <w:footnoteRef/>
      </w:r>
      <w:r w:rsidRPr="008467CC">
        <w:rPr>
          <w:b/>
          <w:bCs/>
          <w:szCs w:val="27"/>
        </w:rPr>
        <w:t xml:space="preserve"> </w:t>
      </w:r>
      <w:r w:rsidRPr="008467CC">
        <w:rPr>
          <w:szCs w:val="27"/>
        </w:rPr>
        <w:tab/>
        <w:t xml:space="preserve">Respondents contend it would be consistent with the intent behind Proposition 218 to </w:t>
      </w:r>
      <w:r w:rsidRPr="00D72E38">
        <w:rPr>
          <w:szCs w:val="27"/>
        </w:rPr>
        <w:t>require</w:t>
      </w:r>
      <w:r w:rsidRPr="008467CC">
        <w:rPr>
          <w:szCs w:val="27"/>
        </w:rPr>
        <w:t xml:space="preserve"> exhaustion here.  Respondents assert that </w:t>
      </w:r>
      <w:r w:rsidR="00AB3FDE">
        <w:rPr>
          <w:szCs w:val="27"/>
        </w:rPr>
        <w:t xml:space="preserve">enforcement of an exhaustion requirement </w:t>
      </w:r>
      <w:r w:rsidRPr="008467CC">
        <w:rPr>
          <w:szCs w:val="27"/>
        </w:rPr>
        <w:t>would enhance public discussion</w:t>
      </w:r>
      <w:r w:rsidR="008C7348">
        <w:rPr>
          <w:szCs w:val="27"/>
        </w:rPr>
        <w:t>s</w:t>
      </w:r>
      <w:r w:rsidRPr="008467CC">
        <w:rPr>
          <w:szCs w:val="27"/>
        </w:rPr>
        <w:t xml:space="preserve"> of assessments and afford those who support a levy an expanded opportunity to address objections voiced at these hearings.  Without entirely gainsaying these objectives, as guideposts for discerning and implementing the electorate’s intent they do not carry the same weight as</w:t>
      </w:r>
      <w:r w:rsidR="00D72E38">
        <w:rPr>
          <w:szCs w:val="27"/>
        </w:rPr>
        <w:t xml:space="preserve"> </w:t>
      </w:r>
      <w:r w:rsidRPr="00B86A75" w:rsidR="00B738D0">
        <w:rPr>
          <w:szCs w:val="27"/>
        </w:rPr>
        <w:t>the</w:t>
      </w:r>
      <w:r w:rsidR="00B738D0">
        <w:rPr>
          <w:szCs w:val="27"/>
        </w:rPr>
        <w:t xml:space="preserve"> </w:t>
      </w:r>
      <w:r w:rsidR="00D72E38">
        <w:rPr>
          <w:szCs w:val="27"/>
        </w:rPr>
        <w:t>proposition’s provisions and</w:t>
      </w:r>
      <w:r w:rsidRPr="008467CC">
        <w:rPr>
          <w:szCs w:val="27"/>
        </w:rPr>
        <w:t xml:space="preserve"> </w:t>
      </w:r>
      <w:r w:rsidR="00D72E38">
        <w:rPr>
          <w:szCs w:val="27"/>
        </w:rPr>
        <w:t>its</w:t>
      </w:r>
      <w:r w:rsidRPr="008467CC">
        <w:rPr>
          <w:szCs w:val="27"/>
        </w:rPr>
        <w:t xml:space="preserve"> goal of limiting assessments, as detailed in the main text. </w:t>
      </w:r>
      <w:r w:rsidRPr="008467CC">
        <w:rPr>
          <w:szCs w:val="27"/>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359B29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021CE3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B05" w14:paraId="60010FE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0D5" w14:paraId="00389628" w14:textId="569E8AFC">
    <w:pPr>
      <w:pStyle w:val="Header"/>
    </w:pPr>
    <w:r>
      <w:t>HILL RHF HOUSING PARTNERS, L.P. v. CITY OF LOS ANGELES</w:t>
    </w:r>
  </w:p>
  <w:p w:rsidR="003B60D5" w14:paraId="08428D21" w14:textId="536DAD1E">
    <w:pPr>
      <w:pStyle w:val="Header"/>
    </w:pPr>
    <w:r>
      <w:t xml:space="preserve">Opinion of the Court by Cantil-Sakauye, </w:t>
    </w:r>
    <w:r w:rsidR="00213EE6">
      <w:t>C. J.</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494A4E7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71E43B79"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7B9" w14:paraId="6E6B2E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B6C54"/>
    <w:multiLevelType w:val="hybridMultilevel"/>
    <w:tmpl w:val="E546589E"/>
    <w:lvl w:ilvl="0">
      <w:start w:val="1"/>
      <w:numFmt w:val="upperLetter"/>
      <w:lvlText w:val="%1."/>
      <w:lvlJc w:val="left"/>
      <w:pPr>
        <w:ind w:left="2700" w:hanging="360"/>
      </w:pPr>
      <w:rPr>
        <w:rFonts w:hint="default"/>
      </w:r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
    <w:nsid w:val="06A35B5E"/>
    <w:multiLevelType w:val="hybridMultilevel"/>
    <w:tmpl w:val="8A9059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832755"/>
    <w:multiLevelType w:val="hybridMultilevel"/>
    <w:tmpl w:val="C36CAE8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80047D"/>
    <w:multiLevelType w:val="hybridMultilevel"/>
    <w:tmpl w:val="4C969A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644961"/>
    <w:multiLevelType w:val="hybridMultilevel"/>
    <w:tmpl w:val="136097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467C1B"/>
    <w:multiLevelType w:val="hybridMultilevel"/>
    <w:tmpl w:val="478A0B66"/>
    <w:lvl w:ilvl="0">
      <w:start w:val="3"/>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614854"/>
    <w:multiLevelType w:val="hybridMultilevel"/>
    <w:tmpl w:val="8A9059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9784E5F"/>
    <w:multiLevelType w:val="hybridMultilevel"/>
    <w:tmpl w:val="7E6C9C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9986645"/>
    <w:multiLevelType w:val="hybridMultilevel"/>
    <w:tmpl w:val="7AA2F69C"/>
    <w:lvl w:ilvl="0">
      <w:start w:val="3"/>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8A4E86"/>
    <w:multiLevelType w:val="hybridMultilevel"/>
    <w:tmpl w:val="1AFEE2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21630DB"/>
    <w:multiLevelType w:val="hybridMultilevel"/>
    <w:tmpl w:val="11D0D18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A34824"/>
    <w:multiLevelType w:val="hybridMultilevel"/>
    <w:tmpl w:val="91BA20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8035810"/>
    <w:multiLevelType w:val="hybridMultilevel"/>
    <w:tmpl w:val="4C969A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B651C19"/>
    <w:multiLevelType w:val="hybridMultilevel"/>
    <w:tmpl w:val="0EB46CB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FF4AE5"/>
    <w:multiLevelType w:val="hybridMultilevel"/>
    <w:tmpl w:val="11D0CD1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E336A7"/>
    <w:multiLevelType w:val="hybridMultilevel"/>
    <w:tmpl w:val="5D700C8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3BB7934"/>
    <w:multiLevelType w:val="hybridMultilevel"/>
    <w:tmpl w:val="15ACC0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E2C0EB0"/>
    <w:multiLevelType w:val="hybridMultilevel"/>
    <w:tmpl w:val="E662F60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46B25FC"/>
    <w:multiLevelType w:val="hybridMultilevel"/>
    <w:tmpl w:val="C768747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0"/>
  </w:num>
  <w:num w:numId="7">
    <w:abstractNumId w:val="12"/>
  </w:num>
  <w:num w:numId="8">
    <w:abstractNumId w:val="7"/>
  </w:num>
  <w:num w:numId="9">
    <w:abstractNumId w:val="9"/>
  </w:num>
  <w:num w:numId="10">
    <w:abstractNumId w:val="3"/>
  </w:num>
  <w:num w:numId="11">
    <w:abstractNumId w:val="1"/>
  </w:num>
  <w:num w:numId="12">
    <w:abstractNumId w:val="16"/>
  </w:num>
  <w:num w:numId="13">
    <w:abstractNumId w:val="14"/>
  </w:num>
  <w:num w:numId="14">
    <w:abstractNumId w:val="6"/>
  </w:num>
  <w:num w:numId="15">
    <w:abstractNumId w:val="2"/>
  </w:num>
  <w:num w:numId="16">
    <w:abstractNumId w:val="17"/>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2"/>
    <w:rsid w:val="00002932"/>
    <w:rsid w:val="000031EB"/>
    <w:rsid w:val="000069CE"/>
    <w:rsid w:val="00010247"/>
    <w:rsid w:val="00010981"/>
    <w:rsid w:val="00011140"/>
    <w:rsid w:val="00011E6F"/>
    <w:rsid w:val="00012326"/>
    <w:rsid w:val="000128D9"/>
    <w:rsid w:val="00013113"/>
    <w:rsid w:val="00016B75"/>
    <w:rsid w:val="00016CF4"/>
    <w:rsid w:val="00016CFE"/>
    <w:rsid w:val="00020DC1"/>
    <w:rsid w:val="0002152C"/>
    <w:rsid w:val="00021955"/>
    <w:rsid w:val="00021C4B"/>
    <w:rsid w:val="00021E62"/>
    <w:rsid w:val="000225AA"/>
    <w:rsid w:val="000248C0"/>
    <w:rsid w:val="00025C1E"/>
    <w:rsid w:val="0002652B"/>
    <w:rsid w:val="00030F1B"/>
    <w:rsid w:val="0003190E"/>
    <w:rsid w:val="00033FA4"/>
    <w:rsid w:val="00034CA5"/>
    <w:rsid w:val="00034E53"/>
    <w:rsid w:val="000359A7"/>
    <w:rsid w:val="00037152"/>
    <w:rsid w:val="00037B0A"/>
    <w:rsid w:val="00040453"/>
    <w:rsid w:val="000407B0"/>
    <w:rsid w:val="000408A2"/>
    <w:rsid w:val="00041EC8"/>
    <w:rsid w:val="00042FD4"/>
    <w:rsid w:val="000459FA"/>
    <w:rsid w:val="00046DBB"/>
    <w:rsid w:val="00047167"/>
    <w:rsid w:val="0005122A"/>
    <w:rsid w:val="00051564"/>
    <w:rsid w:val="00053160"/>
    <w:rsid w:val="0005355A"/>
    <w:rsid w:val="0005583E"/>
    <w:rsid w:val="00063307"/>
    <w:rsid w:val="00065DDB"/>
    <w:rsid w:val="00067166"/>
    <w:rsid w:val="00072E4E"/>
    <w:rsid w:val="000739CB"/>
    <w:rsid w:val="0007696B"/>
    <w:rsid w:val="00076F12"/>
    <w:rsid w:val="0008084F"/>
    <w:rsid w:val="00081914"/>
    <w:rsid w:val="0008278D"/>
    <w:rsid w:val="00085406"/>
    <w:rsid w:val="00087AE0"/>
    <w:rsid w:val="000912B9"/>
    <w:rsid w:val="00092E53"/>
    <w:rsid w:val="00093448"/>
    <w:rsid w:val="00093BF4"/>
    <w:rsid w:val="00094B18"/>
    <w:rsid w:val="000A2624"/>
    <w:rsid w:val="000A2E1E"/>
    <w:rsid w:val="000A3439"/>
    <w:rsid w:val="000A44D3"/>
    <w:rsid w:val="000A6F43"/>
    <w:rsid w:val="000A6FF7"/>
    <w:rsid w:val="000B0EF7"/>
    <w:rsid w:val="000B17A8"/>
    <w:rsid w:val="000B1ECC"/>
    <w:rsid w:val="000B2AB9"/>
    <w:rsid w:val="000B3AE2"/>
    <w:rsid w:val="000B4588"/>
    <w:rsid w:val="000B5436"/>
    <w:rsid w:val="000C005B"/>
    <w:rsid w:val="000C05FE"/>
    <w:rsid w:val="000C3C3D"/>
    <w:rsid w:val="000D2BA8"/>
    <w:rsid w:val="000D311F"/>
    <w:rsid w:val="000D5908"/>
    <w:rsid w:val="000D6AB5"/>
    <w:rsid w:val="000E0C0C"/>
    <w:rsid w:val="000E1D2B"/>
    <w:rsid w:val="000E2085"/>
    <w:rsid w:val="000E347B"/>
    <w:rsid w:val="000E3920"/>
    <w:rsid w:val="000E6DEE"/>
    <w:rsid w:val="000E7510"/>
    <w:rsid w:val="000E7DE8"/>
    <w:rsid w:val="000F0E34"/>
    <w:rsid w:val="000F4B9B"/>
    <w:rsid w:val="000F4BA5"/>
    <w:rsid w:val="000F6082"/>
    <w:rsid w:val="000F65B5"/>
    <w:rsid w:val="00102871"/>
    <w:rsid w:val="001034E9"/>
    <w:rsid w:val="00103B43"/>
    <w:rsid w:val="00104135"/>
    <w:rsid w:val="00105B25"/>
    <w:rsid w:val="0010692B"/>
    <w:rsid w:val="00107904"/>
    <w:rsid w:val="00111E0C"/>
    <w:rsid w:val="00114859"/>
    <w:rsid w:val="00116945"/>
    <w:rsid w:val="00116F0E"/>
    <w:rsid w:val="001177E4"/>
    <w:rsid w:val="001179FE"/>
    <w:rsid w:val="00121868"/>
    <w:rsid w:val="00125E34"/>
    <w:rsid w:val="00127327"/>
    <w:rsid w:val="00130438"/>
    <w:rsid w:val="001317AD"/>
    <w:rsid w:val="00132D67"/>
    <w:rsid w:val="0013471F"/>
    <w:rsid w:val="00134A96"/>
    <w:rsid w:val="00136D76"/>
    <w:rsid w:val="0014297E"/>
    <w:rsid w:val="001458F7"/>
    <w:rsid w:val="001471CF"/>
    <w:rsid w:val="00150F12"/>
    <w:rsid w:val="001519BD"/>
    <w:rsid w:val="00151A53"/>
    <w:rsid w:val="00151E36"/>
    <w:rsid w:val="001544A6"/>
    <w:rsid w:val="0015476F"/>
    <w:rsid w:val="00164ABD"/>
    <w:rsid w:val="00165B5B"/>
    <w:rsid w:val="00172F77"/>
    <w:rsid w:val="00174DAC"/>
    <w:rsid w:val="001756B3"/>
    <w:rsid w:val="00177822"/>
    <w:rsid w:val="0018159F"/>
    <w:rsid w:val="00181EDA"/>
    <w:rsid w:val="001823F5"/>
    <w:rsid w:val="0018495E"/>
    <w:rsid w:val="00187C9D"/>
    <w:rsid w:val="00190923"/>
    <w:rsid w:val="00194165"/>
    <w:rsid w:val="00195319"/>
    <w:rsid w:val="001961B0"/>
    <w:rsid w:val="001A0306"/>
    <w:rsid w:val="001A0D84"/>
    <w:rsid w:val="001A13CB"/>
    <w:rsid w:val="001A1AF1"/>
    <w:rsid w:val="001A2AE1"/>
    <w:rsid w:val="001A3748"/>
    <w:rsid w:val="001A52C0"/>
    <w:rsid w:val="001A6DFE"/>
    <w:rsid w:val="001A7918"/>
    <w:rsid w:val="001B2FB1"/>
    <w:rsid w:val="001B41E4"/>
    <w:rsid w:val="001B43AC"/>
    <w:rsid w:val="001B770B"/>
    <w:rsid w:val="001C0003"/>
    <w:rsid w:val="001C08DF"/>
    <w:rsid w:val="001C0AF3"/>
    <w:rsid w:val="001C11A3"/>
    <w:rsid w:val="001C1D5F"/>
    <w:rsid w:val="001C2D0F"/>
    <w:rsid w:val="001C47EC"/>
    <w:rsid w:val="001C518C"/>
    <w:rsid w:val="001C69C0"/>
    <w:rsid w:val="001C77CA"/>
    <w:rsid w:val="001C7914"/>
    <w:rsid w:val="001D1E32"/>
    <w:rsid w:val="001D2F29"/>
    <w:rsid w:val="001D675F"/>
    <w:rsid w:val="001D795C"/>
    <w:rsid w:val="001E19C6"/>
    <w:rsid w:val="001E215B"/>
    <w:rsid w:val="001E311E"/>
    <w:rsid w:val="001E5236"/>
    <w:rsid w:val="001E584A"/>
    <w:rsid w:val="001E596F"/>
    <w:rsid w:val="001E6810"/>
    <w:rsid w:val="001E75D7"/>
    <w:rsid w:val="001F0779"/>
    <w:rsid w:val="001F279F"/>
    <w:rsid w:val="001F4215"/>
    <w:rsid w:val="001F42EA"/>
    <w:rsid w:val="001F73A3"/>
    <w:rsid w:val="001F76FF"/>
    <w:rsid w:val="001F7913"/>
    <w:rsid w:val="001F7E48"/>
    <w:rsid w:val="001F7F7B"/>
    <w:rsid w:val="0020171C"/>
    <w:rsid w:val="00203DD4"/>
    <w:rsid w:val="00204278"/>
    <w:rsid w:val="00204DD0"/>
    <w:rsid w:val="002060F5"/>
    <w:rsid w:val="00206E9B"/>
    <w:rsid w:val="002072E4"/>
    <w:rsid w:val="002076E7"/>
    <w:rsid w:val="002108FC"/>
    <w:rsid w:val="00210C56"/>
    <w:rsid w:val="00211D0C"/>
    <w:rsid w:val="00212AA8"/>
    <w:rsid w:val="00213EE6"/>
    <w:rsid w:val="00220F70"/>
    <w:rsid w:val="00221A69"/>
    <w:rsid w:val="0022209F"/>
    <w:rsid w:val="002244BD"/>
    <w:rsid w:val="00224F23"/>
    <w:rsid w:val="0022544D"/>
    <w:rsid w:val="00227C7A"/>
    <w:rsid w:val="0023145B"/>
    <w:rsid w:val="0023213F"/>
    <w:rsid w:val="00232C0D"/>
    <w:rsid w:val="002338AC"/>
    <w:rsid w:val="00234A71"/>
    <w:rsid w:val="00234DA6"/>
    <w:rsid w:val="00235FF7"/>
    <w:rsid w:val="00237744"/>
    <w:rsid w:val="00237FD9"/>
    <w:rsid w:val="0024085E"/>
    <w:rsid w:val="0024115E"/>
    <w:rsid w:val="00243B91"/>
    <w:rsid w:val="00244FE7"/>
    <w:rsid w:val="002450AC"/>
    <w:rsid w:val="002469E8"/>
    <w:rsid w:val="0025258B"/>
    <w:rsid w:val="0025346E"/>
    <w:rsid w:val="00254204"/>
    <w:rsid w:val="00254A7D"/>
    <w:rsid w:val="00260F59"/>
    <w:rsid w:val="00261683"/>
    <w:rsid w:val="00264831"/>
    <w:rsid w:val="00266F3A"/>
    <w:rsid w:val="00267CB7"/>
    <w:rsid w:val="00270DC3"/>
    <w:rsid w:val="00271A2A"/>
    <w:rsid w:val="0027236E"/>
    <w:rsid w:val="00273271"/>
    <w:rsid w:val="00273E24"/>
    <w:rsid w:val="00274BC1"/>
    <w:rsid w:val="00275CEA"/>
    <w:rsid w:val="00276A26"/>
    <w:rsid w:val="0027719D"/>
    <w:rsid w:val="00277535"/>
    <w:rsid w:val="002823E3"/>
    <w:rsid w:val="00282DD6"/>
    <w:rsid w:val="00285B32"/>
    <w:rsid w:val="00287470"/>
    <w:rsid w:val="00290D9C"/>
    <w:rsid w:val="00293717"/>
    <w:rsid w:val="00294BCB"/>
    <w:rsid w:val="002A12EC"/>
    <w:rsid w:val="002A1361"/>
    <w:rsid w:val="002A77B9"/>
    <w:rsid w:val="002A7998"/>
    <w:rsid w:val="002A7C73"/>
    <w:rsid w:val="002A7E7E"/>
    <w:rsid w:val="002B4DD9"/>
    <w:rsid w:val="002B6B35"/>
    <w:rsid w:val="002B71FF"/>
    <w:rsid w:val="002B7DAD"/>
    <w:rsid w:val="002C0805"/>
    <w:rsid w:val="002C1CDE"/>
    <w:rsid w:val="002C24F5"/>
    <w:rsid w:val="002C53F3"/>
    <w:rsid w:val="002C59C4"/>
    <w:rsid w:val="002C68D0"/>
    <w:rsid w:val="002C7676"/>
    <w:rsid w:val="002C7B32"/>
    <w:rsid w:val="002D354B"/>
    <w:rsid w:val="002E0939"/>
    <w:rsid w:val="002E0F03"/>
    <w:rsid w:val="002E1301"/>
    <w:rsid w:val="002E2658"/>
    <w:rsid w:val="002E3351"/>
    <w:rsid w:val="002E39E8"/>
    <w:rsid w:val="002E3A03"/>
    <w:rsid w:val="002E3C49"/>
    <w:rsid w:val="002E5122"/>
    <w:rsid w:val="002F0325"/>
    <w:rsid w:val="002F1369"/>
    <w:rsid w:val="002F1876"/>
    <w:rsid w:val="002F54FA"/>
    <w:rsid w:val="002F6E76"/>
    <w:rsid w:val="003003BC"/>
    <w:rsid w:val="003003C4"/>
    <w:rsid w:val="00300B83"/>
    <w:rsid w:val="00302E11"/>
    <w:rsid w:val="00305202"/>
    <w:rsid w:val="00305269"/>
    <w:rsid w:val="00306A45"/>
    <w:rsid w:val="00306C8D"/>
    <w:rsid w:val="00310DCC"/>
    <w:rsid w:val="00311DE3"/>
    <w:rsid w:val="003131FD"/>
    <w:rsid w:val="00314961"/>
    <w:rsid w:val="003163DE"/>
    <w:rsid w:val="003164DA"/>
    <w:rsid w:val="00316556"/>
    <w:rsid w:val="00316B3A"/>
    <w:rsid w:val="00316CAE"/>
    <w:rsid w:val="00321BCD"/>
    <w:rsid w:val="0032231E"/>
    <w:rsid w:val="00324B30"/>
    <w:rsid w:val="00326536"/>
    <w:rsid w:val="00326D41"/>
    <w:rsid w:val="003271FF"/>
    <w:rsid w:val="003307FA"/>
    <w:rsid w:val="003336FC"/>
    <w:rsid w:val="0034510E"/>
    <w:rsid w:val="0034567B"/>
    <w:rsid w:val="00345B29"/>
    <w:rsid w:val="00346880"/>
    <w:rsid w:val="00347CC7"/>
    <w:rsid w:val="003500A2"/>
    <w:rsid w:val="00350F98"/>
    <w:rsid w:val="003546E7"/>
    <w:rsid w:val="00356624"/>
    <w:rsid w:val="00356BB5"/>
    <w:rsid w:val="00357DE4"/>
    <w:rsid w:val="00361518"/>
    <w:rsid w:val="003617D3"/>
    <w:rsid w:val="00367036"/>
    <w:rsid w:val="00367376"/>
    <w:rsid w:val="00367C3B"/>
    <w:rsid w:val="0037155A"/>
    <w:rsid w:val="00371739"/>
    <w:rsid w:val="00371A38"/>
    <w:rsid w:val="00372D81"/>
    <w:rsid w:val="00377328"/>
    <w:rsid w:val="00377F22"/>
    <w:rsid w:val="003813F6"/>
    <w:rsid w:val="00383911"/>
    <w:rsid w:val="00384833"/>
    <w:rsid w:val="003860D4"/>
    <w:rsid w:val="00387413"/>
    <w:rsid w:val="00391067"/>
    <w:rsid w:val="00393045"/>
    <w:rsid w:val="00393195"/>
    <w:rsid w:val="00393720"/>
    <w:rsid w:val="003A0932"/>
    <w:rsid w:val="003A0BBE"/>
    <w:rsid w:val="003A142A"/>
    <w:rsid w:val="003A1D77"/>
    <w:rsid w:val="003A2935"/>
    <w:rsid w:val="003A3941"/>
    <w:rsid w:val="003A4B6C"/>
    <w:rsid w:val="003A6EBD"/>
    <w:rsid w:val="003B07E4"/>
    <w:rsid w:val="003B0977"/>
    <w:rsid w:val="003B0FF9"/>
    <w:rsid w:val="003B166A"/>
    <w:rsid w:val="003B1FEC"/>
    <w:rsid w:val="003B22D9"/>
    <w:rsid w:val="003B3311"/>
    <w:rsid w:val="003B45D1"/>
    <w:rsid w:val="003B60D5"/>
    <w:rsid w:val="003C00B2"/>
    <w:rsid w:val="003C078B"/>
    <w:rsid w:val="003C106B"/>
    <w:rsid w:val="003C2A71"/>
    <w:rsid w:val="003C4B73"/>
    <w:rsid w:val="003C6F92"/>
    <w:rsid w:val="003D045D"/>
    <w:rsid w:val="003D0C32"/>
    <w:rsid w:val="003D27BD"/>
    <w:rsid w:val="003D712F"/>
    <w:rsid w:val="003E03CD"/>
    <w:rsid w:val="003E0E79"/>
    <w:rsid w:val="003E29B6"/>
    <w:rsid w:val="003E3C34"/>
    <w:rsid w:val="003E401E"/>
    <w:rsid w:val="003E426D"/>
    <w:rsid w:val="003E454B"/>
    <w:rsid w:val="003E4A13"/>
    <w:rsid w:val="003E4A39"/>
    <w:rsid w:val="003E5AE2"/>
    <w:rsid w:val="003E6EF1"/>
    <w:rsid w:val="003F0C9B"/>
    <w:rsid w:val="003F4332"/>
    <w:rsid w:val="003F593A"/>
    <w:rsid w:val="0040060D"/>
    <w:rsid w:val="00400A4B"/>
    <w:rsid w:val="00400C0C"/>
    <w:rsid w:val="0040357C"/>
    <w:rsid w:val="00405BDE"/>
    <w:rsid w:val="00406774"/>
    <w:rsid w:val="00414614"/>
    <w:rsid w:val="004201F6"/>
    <w:rsid w:val="00421D99"/>
    <w:rsid w:val="00425790"/>
    <w:rsid w:val="00425815"/>
    <w:rsid w:val="004265E9"/>
    <w:rsid w:val="004276A7"/>
    <w:rsid w:val="00431BB3"/>
    <w:rsid w:val="00435E6A"/>
    <w:rsid w:val="00436A69"/>
    <w:rsid w:val="00441896"/>
    <w:rsid w:val="00442558"/>
    <w:rsid w:val="0044276A"/>
    <w:rsid w:val="00442ADF"/>
    <w:rsid w:val="004455B3"/>
    <w:rsid w:val="0044617E"/>
    <w:rsid w:val="00446ABA"/>
    <w:rsid w:val="00447018"/>
    <w:rsid w:val="0045032F"/>
    <w:rsid w:val="00450C56"/>
    <w:rsid w:val="00453A2F"/>
    <w:rsid w:val="00455C7E"/>
    <w:rsid w:val="00456AC6"/>
    <w:rsid w:val="00465122"/>
    <w:rsid w:val="0047211B"/>
    <w:rsid w:val="00472836"/>
    <w:rsid w:val="00474B1D"/>
    <w:rsid w:val="004767EF"/>
    <w:rsid w:val="00477FD7"/>
    <w:rsid w:val="0048017C"/>
    <w:rsid w:val="00480908"/>
    <w:rsid w:val="00481071"/>
    <w:rsid w:val="00485A89"/>
    <w:rsid w:val="0048797F"/>
    <w:rsid w:val="00491C91"/>
    <w:rsid w:val="00492146"/>
    <w:rsid w:val="00492278"/>
    <w:rsid w:val="00492A70"/>
    <w:rsid w:val="004940E2"/>
    <w:rsid w:val="00494692"/>
    <w:rsid w:val="00496C1F"/>
    <w:rsid w:val="0049710F"/>
    <w:rsid w:val="004A0B40"/>
    <w:rsid w:val="004A1D7B"/>
    <w:rsid w:val="004A4B1B"/>
    <w:rsid w:val="004B2C29"/>
    <w:rsid w:val="004B2CD7"/>
    <w:rsid w:val="004B3D6C"/>
    <w:rsid w:val="004C17A9"/>
    <w:rsid w:val="004C2F6C"/>
    <w:rsid w:val="004C416A"/>
    <w:rsid w:val="004C582B"/>
    <w:rsid w:val="004C5DB9"/>
    <w:rsid w:val="004C6B08"/>
    <w:rsid w:val="004C6BB9"/>
    <w:rsid w:val="004C7050"/>
    <w:rsid w:val="004D008E"/>
    <w:rsid w:val="004D047C"/>
    <w:rsid w:val="004D0BDD"/>
    <w:rsid w:val="004D111E"/>
    <w:rsid w:val="004D1903"/>
    <w:rsid w:val="004D1A33"/>
    <w:rsid w:val="004D3CCC"/>
    <w:rsid w:val="004D47F3"/>
    <w:rsid w:val="004D5613"/>
    <w:rsid w:val="004D59AF"/>
    <w:rsid w:val="004D7E1F"/>
    <w:rsid w:val="004E39BD"/>
    <w:rsid w:val="004E4D6B"/>
    <w:rsid w:val="004F039D"/>
    <w:rsid w:val="004F3850"/>
    <w:rsid w:val="004F3F51"/>
    <w:rsid w:val="004F66CF"/>
    <w:rsid w:val="00500AB2"/>
    <w:rsid w:val="00503B16"/>
    <w:rsid w:val="00504517"/>
    <w:rsid w:val="005059C6"/>
    <w:rsid w:val="00507304"/>
    <w:rsid w:val="00510444"/>
    <w:rsid w:val="005126A2"/>
    <w:rsid w:val="005146D5"/>
    <w:rsid w:val="00515B79"/>
    <w:rsid w:val="00516258"/>
    <w:rsid w:val="0051630E"/>
    <w:rsid w:val="00516A35"/>
    <w:rsid w:val="0052276A"/>
    <w:rsid w:val="00522797"/>
    <w:rsid w:val="00524C17"/>
    <w:rsid w:val="00525FC5"/>
    <w:rsid w:val="005261E2"/>
    <w:rsid w:val="00526A8F"/>
    <w:rsid w:val="00527DC9"/>
    <w:rsid w:val="0053273F"/>
    <w:rsid w:val="00533DF0"/>
    <w:rsid w:val="00534151"/>
    <w:rsid w:val="00534F8F"/>
    <w:rsid w:val="005375F1"/>
    <w:rsid w:val="0053769E"/>
    <w:rsid w:val="00537E7F"/>
    <w:rsid w:val="0054108F"/>
    <w:rsid w:val="00544D30"/>
    <w:rsid w:val="005476A3"/>
    <w:rsid w:val="00550308"/>
    <w:rsid w:val="00551DE9"/>
    <w:rsid w:val="00552BBC"/>
    <w:rsid w:val="00552BD7"/>
    <w:rsid w:val="0055327D"/>
    <w:rsid w:val="00553753"/>
    <w:rsid w:val="005564C9"/>
    <w:rsid w:val="0055798A"/>
    <w:rsid w:val="00557B5B"/>
    <w:rsid w:val="0056014E"/>
    <w:rsid w:val="005622F9"/>
    <w:rsid w:val="00562943"/>
    <w:rsid w:val="00563E05"/>
    <w:rsid w:val="00564768"/>
    <w:rsid w:val="00566049"/>
    <w:rsid w:val="0056785D"/>
    <w:rsid w:val="00573EB6"/>
    <w:rsid w:val="00575E84"/>
    <w:rsid w:val="00576024"/>
    <w:rsid w:val="00577A2D"/>
    <w:rsid w:val="005809A2"/>
    <w:rsid w:val="005825B5"/>
    <w:rsid w:val="00583ABD"/>
    <w:rsid w:val="00583B24"/>
    <w:rsid w:val="00583FEC"/>
    <w:rsid w:val="0058408A"/>
    <w:rsid w:val="005878B9"/>
    <w:rsid w:val="00587A7B"/>
    <w:rsid w:val="005915DC"/>
    <w:rsid w:val="005917DE"/>
    <w:rsid w:val="00594A59"/>
    <w:rsid w:val="00594DB7"/>
    <w:rsid w:val="005955DC"/>
    <w:rsid w:val="00597243"/>
    <w:rsid w:val="005A1752"/>
    <w:rsid w:val="005A25C3"/>
    <w:rsid w:val="005A5858"/>
    <w:rsid w:val="005A69F5"/>
    <w:rsid w:val="005B38AE"/>
    <w:rsid w:val="005B6C14"/>
    <w:rsid w:val="005C1A57"/>
    <w:rsid w:val="005C22E7"/>
    <w:rsid w:val="005C4CDA"/>
    <w:rsid w:val="005C5342"/>
    <w:rsid w:val="005C56EB"/>
    <w:rsid w:val="005C602B"/>
    <w:rsid w:val="005C6450"/>
    <w:rsid w:val="005C775F"/>
    <w:rsid w:val="005D0881"/>
    <w:rsid w:val="005D0E3D"/>
    <w:rsid w:val="005D0F65"/>
    <w:rsid w:val="005D2BD9"/>
    <w:rsid w:val="005D3731"/>
    <w:rsid w:val="005D3F73"/>
    <w:rsid w:val="005D519D"/>
    <w:rsid w:val="005D768D"/>
    <w:rsid w:val="005D7A63"/>
    <w:rsid w:val="005D7FBE"/>
    <w:rsid w:val="005E0CFE"/>
    <w:rsid w:val="005E1634"/>
    <w:rsid w:val="005F09B7"/>
    <w:rsid w:val="005F2587"/>
    <w:rsid w:val="005F2E29"/>
    <w:rsid w:val="005F48CA"/>
    <w:rsid w:val="005F5C76"/>
    <w:rsid w:val="005F749A"/>
    <w:rsid w:val="00600CED"/>
    <w:rsid w:val="00601449"/>
    <w:rsid w:val="0060160C"/>
    <w:rsid w:val="00601933"/>
    <w:rsid w:val="00603A0E"/>
    <w:rsid w:val="00603CC9"/>
    <w:rsid w:val="00604459"/>
    <w:rsid w:val="00605F82"/>
    <w:rsid w:val="00607E79"/>
    <w:rsid w:val="006108B3"/>
    <w:rsid w:val="00611133"/>
    <w:rsid w:val="006127D1"/>
    <w:rsid w:val="006130B4"/>
    <w:rsid w:val="006137B1"/>
    <w:rsid w:val="00617026"/>
    <w:rsid w:val="0062037B"/>
    <w:rsid w:val="00622134"/>
    <w:rsid w:val="00622705"/>
    <w:rsid w:val="0062344F"/>
    <w:rsid w:val="006235CB"/>
    <w:rsid w:val="00626BF2"/>
    <w:rsid w:val="006278AA"/>
    <w:rsid w:val="006415A7"/>
    <w:rsid w:val="00641A52"/>
    <w:rsid w:val="00643B79"/>
    <w:rsid w:val="00644E77"/>
    <w:rsid w:val="0064729E"/>
    <w:rsid w:val="006474CF"/>
    <w:rsid w:val="006537FA"/>
    <w:rsid w:val="00654FAD"/>
    <w:rsid w:val="006559F2"/>
    <w:rsid w:val="00663227"/>
    <w:rsid w:val="00663AC8"/>
    <w:rsid w:val="006657D4"/>
    <w:rsid w:val="00667D01"/>
    <w:rsid w:val="00667FDB"/>
    <w:rsid w:val="00671531"/>
    <w:rsid w:val="006724E3"/>
    <w:rsid w:val="006728B0"/>
    <w:rsid w:val="00674A39"/>
    <w:rsid w:val="006753DB"/>
    <w:rsid w:val="006772FD"/>
    <w:rsid w:val="00677906"/>
    <w:rsid w:val="00677BF2"/>
    <w:rsid w:val="006830B5"/>
    <w:rsid w:val="00683FBE"/>
    <w:rsid w:val="00686ABD"/>
    <w:rsid w:val="00686FA2"/>
    <w:rsid w:val="00692DB3"/>
    <w:rsid w:val="00693DC2"/>
    <w:rsid w:val="0069602A"/>
    <w:rsid w:val="00696279"/>
    <w:rsid w:val="00696483"/>
    <w:rsid w:val="00697A5B"/>
    <w:rsid w:val="006A03E2"/>
    <w:rsid w:val="006A105E"/>
    <w:rsid w:val="006A22D9"/>
    <w:rsid w:val="006A2616"/>
    <w:rsid w:val="006A27EA"/>
    <w:rsid w:val="006A2FC5"/>
    <w:rsid w:val="006A318B"/>
    <w:rsid w:val="006A59E4"/>
    <w:rsid w:val="006A5AB7"/>
    <w:rsid w:val="006A658E"/>
    <w:rsid w:val="006A6BDF"/>
    <w:rsid w:val="006A74A7"/>
    <w:rsid w:val="006B09CE"/>
    <w:rsid w:val="006B3AB7"/>
    <w:rsid w:val="006B6D58"/>
    <w:rsid w:val="006B7206"/>
    <w:rsid w:val="006C269A"/>
    <w:rsid w:val="006C3391"/>
    <w:rsid w:val="006C517D"/>
    <w:rsid w:val="006C6ED5"/>
    <w:rsid w:val="006C784B"/>
    <w:rsid w:val="006D0E0F"/>
    <w:rsid w:val="006D1D10"/>
    <w:rsid w:val="006D40C7"/>
    <w:rsid w:val="006D5412"/>
    <w:rsid w:val="006D5927"/>
    <w:rsid w:val="006D7B0F"/>
    <w:rsid w:val="006E0545"/>
    <w:rsid w:val="006E0692"/>
    <w:rsid w:val="006E41D4"/>
    <w:rsid w:val="006E5394"/>
    <w:rsid w:val="006E66D4"/>
    <w:rsid w:val="006F0134"/>
    <w:rsid w:val="006F09FB"/>
    <w:rsid w:val="006F0D7F"/>
    <w:rsid w:val="007012EC"/>
    <w:rsid w:val="007035D7"/>
    <w:rsid w:val="0071318F"/>
    <w:rsid w:val="0071327D"/>
    <w:rsid w:val="00720228"/>
    <w:rsid w:val="0072090D"/>
    <w:rsid w:val="007211E3"/>
    <w:rsid w:val="0072167E"/>
    <w:rsid w:val="00722595"/>
    <w:rsid w:val="00722C4B"/>
    <w:rsid w:val="00723D73"/>
    <w:rsid w:val="00724546"/>
    <w:rsid w:val="0072763E"/>
    <w:rsid w:val="00732929"/>
    <w:rsid w:val="00733067"/>
    <w:rsid w:val="00734E75"/>
    <w:rsid w:val="00735639"/>
    <w:rsid w:val="00736172"/>
    <w:rsid w:val="007377CB"/>
    <w:rsid w:val="007422A4"/>
    <w:rsid w:val="00746576"/>
    <w:rsid w:val="00746662"/>
    <w:rsid w:val="0074716C"/>
    <w:rsid w:val="007503BB"/>
    <w:rsid w:val="00750E4B"/>
    <w:rsid w:val="00752241"/>
    <w:rsid w:val="0075237C"/>
    <w:rsid w:val="0075411D"/>
    <w:rsid w:val="0075459B"/>
    <w:rsid w:val="007617A6"/>
    <w:rsid w:val="00770D2B"/>
    <w:rsid w:val="00771F61"/>
    <w:rsid w:val="00772B1F"/>
    <w:rsid w:val="00773F6A"/>
    <w:rsid w:val="007831DA"/>
    <w:rsid w:val="0078444E"/>
    <w:rsid w:val="00785D6B"/>
    <w:rsid w:val="00785E19"/>
    <w:rsid w:val="00786A0D"/>
    <w:rsid w:val="00786EFC"/>
    <w:rsid w:val="00791A2A"/>
    <w:rsid w:val="00792374"/>
    <w:rsid w:val="007937B7"/>
    <w:rsid w:val="00793B72"/>
    <w:rsid w:val="007941B2"/>
    <w:rsid w:val="0079456F"/>
    <w:rsid w:val="007958D2"/>
    <w:rsid w:val="007966F3"/>
    <w:rsid w:val="00796B7A"/>
    <w:rsid w:val="007A2D67"/>
    <w:rsid w:val="007A2E0E"/>
    <w:rsid w:val="007A3A1A"/>
    <w:rsid w:val="007A3C4B"/>
    <w:rsid w:val="007A40D6"/>
    <w:rsid w:val="007A7422"/>
    <w:rsid w:val="007B14FC"/>
    <w:rsid w:val="007B1B14"/>
    <w:rsid w:val="007B288E"/>
    <w:rsid w:val="007B37B2"/>
    <w:rsid w:val="007B5649"/>
    <w:rsid w:val="007B5B8A"/>
    <w:rsid w:val="007B6DDB"/>
    <w:rsid w:val="007B7003"/>
    <w:rsid w:val="007B7A04"/>
    <w:rsid w:val="007C1215"/>
    <w:rsid w:val="007C14F8"/>
    <w:rsid w:val="007C16D5"/>
    <w:rsid w:val="007C35FE"/>
    <w:rsid w:val="007C50E5"/>
    <w:rsid w:val="007C5977"/>
    <w:rsid w:val="007D54F7"/>
    <w:rsid w:val="007D77F8"/>
    <w:rsid w:val="007E14A6"/>
    <w:rsid w:val="007E27AD"/>
    <w:rsid w:val="007E5F00"/>
    <w:rsid w:val="007E7BA4"/>
    <w:rsid w:val="007E7CD1"/>
    <w:rsid w:val="007F366E"/>
    <w:rsid w:val="007F3F81"/>
    <w:rsid w:val="00801160"/>
    <w:rsid w:val="00803570"/>
    <w:rsid w:val="00803F66"/>
    <w:rsid w:val="008041CE"/>
    <w:rsid w:val="0080611E"/>
    <w:rsid w:val="00813A7D"/>
    <w:rsid w:val="00813D29"/>
    <w:rsid w:val="008149B5"/>
    <w:rsid w:val="00815115"/>
    <w:rsid w:val="00817BA5"/>
    <w:rsid w:val="0082009C"/>
    <w:rsid w:val="008215EB"/>
    <w:rsid w:val="00821A32"/>
    <w:rsid w:val="008229DA"/>
    <w:rsid w:val="00823F80"/>
    <w:rsid w:val="0082664E"/>
    <w:rsid w:val="008318DF"/>
    <w:rsid w:val="00831F79"/>
    <w:rsid w:val="008325A4"/>
    <w:rsid w:val="0083287E"/>
    <w:rsid w:val="00832DB0"/>
    <w:rsid w:val="008336F0"/>
    <w:rsid w:val="0083549B"/>
    <w:rsid w:val="00840207"/>
    <w:rsid w:val="008412FB"/>
    <w:rsid w:val="00842126"/>
    <w:rsid w:val="00843938"/>
    <w:rsid w:val="008445F7"/>
    <w:rsid w:val="0084492F"/>
    <w:rsid w:val="008467CC"/>
    <w:rsid w:val="00847E07"/>
    <w:rsid w:val="00852879"/>
    <w:rsid w:val="0085689E"/>
    <w:rsid w:val="008569F8"/>
    <w:rsid w:val="00857923"/>
    <w:rsid w:val="00857BB7"/>
    <w:rsid w:val="008623F8"/>
    <w:rsid w:val="00862D45"/>
    <w:rsid w:val="008637A8"/>
    <w:rsid w:val="0086396F"/>
    <w:rsid w:val="008639A5"/>
    <w:rsid w:val="00864D72"/>
    <w:rsid w:val="00864F10"/>
    <w:rsid w:val="00867825"/>
    <w:rsid w:val="008710DF"/>
    <w:rsid w:val="00871AC7"/>
    <w:rsid w:val="0087345D"/>
    <w:rsid w:val="00873C08"/>
    <w:rsid w:val="008742FD"/>
    <w:rsid w:val="00875C21"/>
    <w:rsid w:val="00876086"/>
    <w:rsid w:val="00876122"/>
    <w:rsid w:val="00877F2B"/>
    <w:rsid w:val="00880AEC"/>
    <w:rsid w:val="00881372"/>
    <w:rsid w:val="00883332"/>
    <w:rsid w:val="00884DF1"/>
    <w:rsid w:val="0089171C"/>
    <w:rsid w:val="00891CCC"/>
    <w:rsid w:val="0089224A"/>
    <w:rsid w:val="00892B9C"/>
    <w:rsid w:val="00896A4B"/>
    <w:rsid w:val="008979CF"/>
    <w:rsid w:val="00897BFF"/>
    <w:rsid w:val="008A35FA"/>
    <w:rsid w:val="008A4D49"/>
    <w:rsid w:val="008A59DA"/>
    <w:rsid w:val="008A6887"/>
    <w:rsid w:val="008A6F8D"/>
    <w:rsid w:val="008B039F"/>
    <w:rsid w:val="008B205B"/>
    <w:rsid w:val="008B28CB"/>
    <w:rsid w:val="008B33D8"/>
    <w:rsid w:val="008B38D6"/>
    <w:rsid w:val="008B458E"/>
    <w:rsid w:val="008B4F16"/>
    <w:rsid w:val="008B502D"/>
    <w:rsid w:val="008C1613"/>
    <w:rsid w:val="008C20EA"/>
    <w:rsid w:val="008C378A"/>
    <w:rsid w:val="008C4144"/>
    <w:rsid w:val="008C4E79"/>
    <w:rsid w:val="008C5228"/>
    <w:rsid w:val="008C7062"/>
    <w:rsid w:val="008C7348"/>
    <w:rsid w:val="008C7F24"/>
    <w:rsid w:val="008D01EB"/>
    <w:rsid w:val="008D0AC7"/>
    <w:rsid w:val="008D21FA"/>
    <w:rsid w:val="008D22CA"/>
    <w:rsid w:val="008D3FBE"/>
    <w:rsid w:val="008D54C0"/>
    <w:rsid w:val="008D5DCC"/>
    <w:rsid w:val="008D7695"/>
    <w:rsid w:val="008E0758"/>
    <w:rsid w:val="008E07B9"/>
    <w:rsid w:val="008E2363"/>
    <w:rsid w:val="008E4DFE"/>
    <w:rsid w:val="008E5779"/>
    <w:rsid w:val="008E5CAA"/>
    <w:rsid w:val="008E63C1"/>
    <w:rsid w:val="008E6A45"/>
    <w:rsid w:val="008E6B5B"/>
    <w:rsid w:val="008F0AF8"/>
    <w:rsid w:val="008F225C"/>
    <w:rsid w:val="008F31F3"/>
    <w:rsid w:val="008F3CE1"/>
    <w:rsid w:val="008F487C"/>
    <w:rsid w:val="008F7088"/>
    <w:rsid w:val="009059B1"/>
    <w:rsid w:val="00912D1E"/>
    <w:rsid w:val="00914867"/>
    <w:rsid w:val="009160B3"/>
    <w:rsid w:val="00916BED"/>
    <w:rsid w:val="00920C4A"/>
    <w:rsid w:val="00921B13"/>
    <w:rsid w:val="00921E6C"/>
    <w:rsid w:val="00923B6F"/>
    <w:rsid w:val="00925F3D"/>
    <w:rsid w:val="009269FE"/>
    <w:rsid w:val="0093072D"/>
    <w:rsid w:val="00930F72"/>
    <w:rsid w:val="0093235B"/>
    <w:rsid w:val="00935BAE"/>
    <w:rsid w:val="00941ADE"/>
    <w:rsid w:val="009422A8"/>
    <w:rsid w:val="0094375D"/>
    <w:rsid w:val="009444B2"/>
    <w:rsid w:val="009501F7"/>
    <w:rsid w:val="0095217E"/>
    <w:rsid w:val="0095325D"/>
    <w:rsid w:val="00956966"/>
    <w:rsid w:val="00956E0E"/>
    <w:rsid w:val="009624CA"/>
    <w:rsid w:val="00962DCC"/>
    <w:rsid w:val="00964C95"/>
    <w:rsid w:val="009657FE"/>
    <w:rsid w:val="009659BA"/>
    <w:rsid w:val="00966558"/>
    <w:rsid w:val="0096667E"/>
    <w:rsid w:val="009671F6"/>
    <w:rsid w:val="00970FB6"/>
    <w:rsid w:val="00972668"/>
    <w:rsid w:val="0097289B"/>
    <w:rsid w:val="00973408"/>
    <w:rsid w:val="0097490A"/>
    <w:rsid w:val="009766D0"/>
    <w:rsid w:val="00984213"/>
    <w:rsid w:val="0098784E"/>
    <w:rsid w:val="00990EA2"/>
    <w:rsid w:val="00991930"/>
    <w:rsid w:val="009928EB"/>
    <w:rsid w:val="009966E0"/>
    <w:rsid w:val="00997A2F"/>
    <w:rsid w:val="00997C83"/>
    <w:rsid w:val="009A0536"/>
    <w:rsid w:val="009A10A4"/>
    <w:rsid w:val="009A11E1"/>
    <w:rsid w:val="009A1A16"/>
    <w:rsid w:val="009A3740"/>
    <w:rsid w:val="009A44CA"/>
    <w:rsid w:val="009A4D8B"/>
    <w:rsid w:val="009A6251"/>
    <w:rsid w:val="009B289B"/>
    <w:rsid w:val="009B61A1"/>
    <w:rsid w:val="009B635B"/>
    <w:rsid w:val="009B7623"/>
    <w:rsid w:val="009C0B88"/>
    <w:rsid w:val="009C17AC"/>
    <w:rsid w:val="009C1B29"/>
    <w:rsid w:val="009C3973"/>
    <w:rsid w:val="009C54DE"/>
    <w:rsid w:val="009C58C8"/>
    <w:rsid w:val="009C7488"/>
    <w:rsid w:val="009D0A36"/>
    <w:rsid w:val="009D1F08"/>
    <w:rsid w:val="009D2AF2"/>
    <w:rsid w:val="009D4A2B"/>
    <w:rsid w:val="009D741E"/>
    <w:rsid w:val="009E09EC"/>
    <w:rsid w:val="009E39EC"/>
    <w:rsid w:val="009E51E7"/>
    <w:rsid w:val="009E623D"/>
    <w:rsid w:val="009F222D"/>
    <w:rsid w:val="009F45F3"/>
    <w:rsid w:val="00A00ED1"/>
    <w:rsid w:val="00A01EE3"/>
    <w:rsid w:val="00A021E2"/>
    <w:rsid w:val="00A030E6"/>
    <w:rsid w:val="00A059D6"/>
    <w:rsid w:val="00A06274"/>
    <w:rsid w:val="00A106ED"/>
    <w:rsid w:val="00A11C81"/>
    <w:rsid w:val="00A13064"/>
    <w:rsid w:val="00A2045F"/>
    <w:rsid w:val="00A219EB"/>
    <w:rsid w:val="00A22212"/>
    <w:rsid w:val="00A2432E"/>
    <w:rsid w:val="00A2564D"/>
    <w:rsid w:val="00A25B05"/>
    <w:rsid w:val="00A26576"/>
    <w:rsid w:val="00A3145A"/>
    <w:rsid w:val="00A31626"/>
    <w:rsid w:val="00A328A8"/>
    <w:rsid w:val="00A337AE"/>
    <w:rsid w:val="00A42473"/>
    <w:rsid w:val="00A42941"/>
    <w:rsid w:val="00A43BC9"/>
    <w:rsid w:val="00A44789"/>
    <w:rsid w:val="00A44899"/>
    <w:rsid w:val="00A451D3"/>
    <w:rsid w:val="00A45A4F"/>
    <w:rsid w:val="00A45C64"/>
    <w:rsid w:val="00A4702F"/>
    <w:rsid w:val="00A50021"/>
    <w:rsid w:val="00A51933"/>
    <w:rsid w:val="00A51B8A"/>
    <w:rsid w:val="00A52AD1"/>
    <w:rsid w:val="00A53E44"/>
    <w:rsid w:val="00A54874"/>
    <w:rsid w:val="00A54EF0"/>
    <w:rsid w:val="00A569B7"/>
    <w:rsid w:val="00A56FF6"/>
    <w:rsid w:val="00A57578"/>
    <w:rsid w:val="00A57D93"/>
    <w:rsid w:val="00A60895"/>
    <w:rsid w:val="00A627C2"/>
    <w:rsid w:val="00A62BF6"/>
    <w:rsid w:val="00A6312B"/>
    <w:rsid w:val="00A6328B"/>
    <w:rsid w:val="00A644A5"/>
    <w:rsid w:val="00A6668A"/>
    <w:rsid w:val="00A66DC9"/>
    <w:rsid w:val="00A67A43"/>
    <w:rsid w:val="00A70DFE"/>
    <w:rsid w:val="00A70F72"/>
    <w:rsid w:val="00A716DC"/>
    <w:rsid w:val="00A71C29"/>
    <w:rsid w:val="00A77C3E"/>
    <w:rsid w:val="00A8151D"/>
    <w:rsid w:val="00A8295C"/>
    <w:rsid w:val="00A85A59"/>
    <w:rsid w:val="00A869EB"/>
    <w:rsid w:val="00A91C54"/>
    <w:rsid w:val="00A92EF9"/>
    <w:rsid w:val="00A94E0C"/>
    <w:rsid w:val="00A97245"/>
    <w:rsid w:val="00A974B4"/>
    <w:rsid w:val="00AA0984"/>
    <w:rsid w:val="00AA0C98"/>
    <w:rsid w:val="00AA0DE9"/>
    <w:rsid w:val="00AA1495"/>
    <w:rsid w:val="00AA1B70"/>
    <w:rsid w:val="00AA28A8"/>
    <w:rsid w:val="00AA36E4"/>
    <w:rsid w:val="00AA41C4"/>
    <w:rsid w:val="00AA542F"/>
    <w:rsid w:val="00AA6910"/>
    <w:rsid w:val="00AA74E3"/>
    <w:rsid w:val="00AB1487"/>
    <w:rsid w:val="00AB2881"/>
    <w:rsid w:val="00AB3FDE"/>
    <w:rsid w:val="00AB4D6A"/>
    <w:rsid w:val="00AB5B85"/>
    <w:rsid w:val="00AB5CDA"/>
    <w:rsid w:val="00AB6153"/>
    <w:rsid w:val="00AB6A72"/>
    <w:rsid w:val="00AC59F5"/>
    <w:rsid w:val="00AC5FDD"/>
    <w:rsid w:val="00AC6D9A"/>
    <w:rsid w:val="00AC7833"/>
    <w:rsid w:val="00AC7B82"/>
    <w:rsid w:val="00AC7F23"/>
    <w:rsid w:val="00AD3327"/>
    <w:rsid w:val="00AE065D"/>
    <w:rsid w:val="00AE1F28"/>
    <w:rsid w:val="00AE20EF"/>
    <w:rsid w:val="00AE27A8"/>
    <w:rsid w:val="00AE40D2"/>
    <w:rsid w:val="00AE6471"/>
    <w:rsid w:val="00AF1722"/>
    <w:rsid w:val="00AF1A2B"/>
    <w:rsid w:val="00AF5271"/>
    <w:rsid w:val="00B01E51"/>
    <w:rsid w:val="00B02BD0"/>
    <w:rsid w:val="00B032D0"/>
    <w:rsid w:val="00B05E7F"/>
    <w:rsid w:val="00B05F7E"/>
    <w:rsid w:val="00B062BE"/>
    <w:rsid w:val="00B115D8"/>
    <w:rsid w:val="00B14732"/>
    <w:rsid w:val="00B173D7"/>
    <w:rsid w:val="00B21154"/>
    <w:rsid w:val="00B21D67"/>
    <w:rsid w:val="00B2448D"/>
    <w:rsid w:val="00B25F66"/>
    <w:rsid w:val="00B26FF4"/>
    <w:rsid w:val="00B2788B"/>
    <w:rsid w:val="00B33207"/>
    <w:rsid w:val="00B334B4"/>
    <w:rsid w:val="00B33E0F"/>
    <w:rsid w:val="00B33FBE"/>
    <w:rsid w:val="00B342AD"/>
    <w:rsid w:val="00B371C8"/>
    <w:rsid w:val="00B37C69"/>
    <w:rsid w:val="00B406E1"/>
    <w:rsid w:val="00B43AC2"/>
    <w:rsid w:val="00B4590C"/>
    <w:rsid w:val="00B468CB"/>
    <w:rsid w:val="00B46D00"/>
    <w:rsid w:val="00B47262"/>
    <w:rsid w:val="00B5025A"/>
    <w:rsid w:val="00B503DC"/>
    <w:rsid w:val="00B50E17"/>
    <w:rsid w:val="00B54DCC"/>
    <w:rsid w:val="00B5551B"/>
    <w:rsid w:val="00B5552A"/>
    <w:rsid w:val="00B5583A"/>
    <w:rsid w:val="00B636D8"/>
    <w:rsid w:val="00B648EA"/>
    <w:rsid w:val="00B65513"/>
    <w:rsid w:val="00B658DC"/>
    <w:rsid w:val="00B6649D"/>
    <w:rsid w:val="00B71278"/>
    <w:rsid w:val="00B7131E"/>
    <w:rsid w:val="00B72969"/>
    <w:rsid w:val="00B738D0"/>
    <w:rsid w:val="00B7391F"/>
    <w:rsid w:val="00B7609C"/>
    <w:rsid w:val="00B769CA"/>
    <w:rsid w:val="00B7725A"/>
    <w:rsid w:val="00B827DE"/>
    <w:rsid w:val="00B85ECD"/>
    <w:rsid w:val="00B86A75"/>
    <w:rsid w:val="00B86EAA"/>
    <w:rsid w:val="00B90432"/>
    <w:rsid w:val="00B924FF"/>
    <w:rsid w:val="00B9468E"/>
    <w:rsid w:val="00B95340"/>
    <w:rsid w:val="00B96830"/>
    <w:rsid w:val="00BA0C79"/>
    <w:rsid w:val="00BA1C0B"/>
    <w:rsid w:val="00BA1F5A"/>
    <w:rsid w:val="00BA2359"/>
    <w:rsid w:val="00BA330A"/>
    <w:rsid w:val="00BA6E3E"/>
    <w:rsid w:val="00BA7969"/>
    <w:rsid w:val="00BA7C18"/>
    <w:rsid w:val="00BB0B7D"/>
    <w:rsid w:val="00BB3838"/>
    <w:rsid w:val="00BB6DD1"/>
    <w:rsid w:val="00BC21D1"/>
    <w:rsid w:val="00BC3EB8"/>
    <w:rsid w:val="00BC55F1"/>
    <w:rsid w:val="00BC6868"/>
    <w:rsid w:val="00BD0D50"/>
    <w:rsid w:val="00BE1C20"/>
    <w:rsid w:val="00BE323A"/>
    <w:rsid w:val="00BE5E42"/>
    <w:rsid w:val="00BF63F4"/>
    <w:rsid w:val="00C01397"/>
    <w:rsid w:val="00C02046"/>
    <w:rsid w:val="00C02936"/>
    <w:rsid w:val="00C03A7D"/>
    <w:rsid w:val="00C04BC2"/>
    <w:rsid w:val="00C072FD"/>
    <w:rsid w:val="00C11608"/>
    <w:rsid w:val="00C127AC"/>
    <w:rsid w:val="00C137EA"/>
    <w:rsid w:val="00C15667"/>
    <w:rsid w:val="00C16396"/>
    <w:rsid w:val="00C21C6D"/>
    <w:rsid w:val="00C2376F"/>
    <w:rsid w:val="00C24FC1"/>
    <w:rsid w:val="00C27258"/>
    <w:rsid w:val="00C27A77"/>
    <w:rsid w:val="00C303A1"/>
    <w:rsid w:val="00C349A2"/>
    <w:rsid w:val="00C359C4"/>
    <w:rsid w:val="00C360F2"/>
    <w:rsid w:val="00C36A58"/>
    <w:rsid w:val="00C36B02"/>
    <w:rsid w:val="00C37B0B"/>
    <w:rsid w:val="00C41601"/>
    <w:rsid w:val="00C45AEB"/>
    <w:rsid w:val="00C5267E"/>
    <w:rsid w:val="00C54933"/>
    <w:rsid w:val="00C55730"/>
    <w:rsid w:val="00C55C17"/>
    <w:rsid w:val="00C56E48"/>
    <w:rsid w:val="00C5783A"/>
    <w:rsid w:val="00C669DF"/>
    <w:rsid w:val="00C66A25"/>
    <w:rsid w:val="00C6761A"/>
    <w:rsid w:val="00C679DF"/>
    <w:rsid w:val="00C7130C"/>
    <w:rsid w:val="00C71BB3"/>
    <w:rsid w:val="00C71F0A"/>
    <w:rsid w:val="00C72983"/>
    <w:rsid w:val="00C76A0E"/>
    <w:rsid w:val="00C836A7"/>
    <w:rsid w:val="00C83E85"/>
    <w:rsid w:val="00C846AC"/>
    <w:rsid w:val="00C86BD6"/>
    <w:rsid w:val="00C90094"/>
    <w:rsid w:val="00C9356B"/>
    <w:rsid w:val="00CA03F5"/>
    <w:rsid w:val="00CA0A6C"/>
    <w:rsid w:val="00CA2ABB"/>
    <w:rsid w:val="00CA51F9"/>
    <w:rsid w:val="00CA5C2E"/>
    <w:rsid w:val="00CA6617"/>
    <w:rsid w:val="00CB3AA3"/>
    <w:rsid w:val="00CB6B40"/>
    <w:rsid w:val="00CC12F2"/>
    <w:rsid w:val="00CC1D87"/>
    <w:rsid w:val="00CC46A4"/>
    <w:rsid w:val="00CC5241"/>
    <w:rsid w:val="00CC55FE"/>
    <w:rsid w:val="00CC5835"/>
    <w:rsid w:val="00CC7A86"/>
    <w:rsid w:val="00CD11B3"/>
    <w:rsid w:val="00CD13CF"/>
    <w:rsid w:val="00CD44EE"/>
    <w:rsid w:val="00CD4E15"/>
    <w:rsid w:val="00CD64A2"/>
    <w:rsid w:val="00CE0878"/>
    <w:rsid w:val="00CE0FCC"/>
    <w:rsid w:val="00CE1E13"/>
    <w:rsid w:val="00CE1FBF"/>
    <w:rsid w:val="00CE3300"/>
    <w:rsid w:val="00CE3DF7"/>
    <w:rsid w:val="00CE3E5A"/>
    <w:rsid w:val="00CF0641"/>
    <w:rsid w:val="00CF2326"/>
    <w:rsid w:val="00CF5FBF"/>
    <w:rsid w:val="00CF76C1"/>
    <w:rsid w:val="00CF7A68"/>
    <w:rsid w:val="00D01922"/>
    <w:rsid w:val="00D027C9"/>
    <w:rsid w:val="00D02D7A"/>
    <w:rsid w:val="00D03020"/>
    <w:rsid w:val="00D03363"/>
    <w:rsid w:val="00D03A33"/>
    <w:rsid w:val="00D0567D"/>
    <w:rsid w:val="00D062E1"/>
    <w:rsid w:val="00D07A7E"/>
    <w:rsid w:val="00D07A91"/>
    <w:rsid w:val="00D12D38"/>
    <w:rsid w:val="00D12E85"/>
    <w:rsid w:val="00D2054E"/>
    <w:rsid w:val="00D23F51"/>
    <w:rsid w:val="00D25DD7"/>
    <w:rsid w:val="00D2603C"/>
    <w:rsid w:val="00D27510"/>
    <w:rsid w:val="00D325B4"/>
    <w:rsid w:val="00D34E05"/>
    <w:rsid w:val="00D35518"/>
    <w:rsid w:val="00D35978"/>
    <w:rsid w:val="00D409F3"/>
    <w:rsid w:val="00D430D7"/>
    <w:rsid w:val="00D47EE0"/>
    <w:rsid w:val="00D50877"/>
    <w:rsid w:val="00D51D14"/>
    <w:rsid w:val="00D5394C"/>
    <w:rsid w:val="00D5434A"/>
    <w:rsid w:val="00D55427"/>
    <w:rsid w:val="00D55E9A"/>
    <w:rsid w:val="00D560FA"/>
    <w:rsid w:val="00D62261"/>
    <w:rsid w:val="00D6272B"/>
    <w:rsid w:val="00D641C0"/>
    <w:rsid w:val="00D67A18"/>
    <w:rsid w:val="00D71CF1"/>
    <w:rsid w:val="00D72B76"/>
    <w:rsid w:val="00D72DFC"/>
    <w:rsid w:val="00D72E38"/>
    <w:rsid w:val="00D735BC"/>
    <w:rsid w:val="00D74B5E"/>
    <w:rsid w:val="00D822AB"/>
    <w:rsid w:val="00D825BE"/>
    <w:rsid w:val="00D8265B"/>
    <w:rsid w:val="00D845D5"/>
    <w:rsid w:val="00D87E74"/>
    <w:rsid w:val="00D9409B"/>
    <w:rsid w:val="00D94CF9"/>
    <w:rsid w:val="00D978F6"/>
    <w:rsid w:val="00D97BD2"/>
    <w:rsid w:val="00DA1ACA"/>
    <w:rsid w:val="00DA21BD"/>
    <w:rsid w:val="00DA21D8"/>
    <w:rsid w:val="00DA30A1"/>
    <w:rsid w:val="00DA485C"/>
    <w:rsid w:val="00DA5319"/>
    <w:rsid w:val="00DA56BE"/>
    <w:rsid w:val="00DB4584"/>
    <w:rsid w:val="00DB6D8F"/>
    <w:rsid w:val="00DB7C11"/>
    <w:rsid w:val="00DB7ED3"/>
    <w:rsid w:val="00DC3A44"/>
    <w:rsid w:val="00DC4862"/>
    <w:rsid w:val="00DC4BC9"/>
    <w:rsid w:val="00DC794F"/>
    <w:rsid w:val="00DD2733"/>
    <w:rsid w:val="00DD4594"/>
    <w:rsid w:val="00DD6A32"/>
    <w:rsid w:val="00DD7ED5"/>
    <w:rsid w:val="00DE08C0"/>
    <w:rsid w:val="00DE2959"/>
    <w:rsid w:val="00DE3870"/>
    <w:rsid w:val="00DE6121"/>
    <w:rsid w:val="00DE7C93"/>
    <w:rsid w:val="00DF20BA"/>
    <w:rsid w:val="00DF240B"/>
    <w:rsid w:val="00DF293E"/>
    <w:rsid w:val="00DF2C20"/>
    <w:rsid w:val="00DF4443"/>
    <w:rsid w:val="00DF4504"/>
    <w:rsid w:val="00E125B0"/>
    <w:rsid w:val="00E12972"/>
    <w:rsid w:val="00E1343E"/>
    <w:rsid w:val="00E13A25"/>
    <w:rsid w:val="00E13E99"/>
    <w:rsid w:val="00E14DFC"/>
    <w:rsid w:val="00E17B37"/>
    <w:rsid w:val="00E2129D"/>
    <w:rsid w:val="00E21437"/>
    <w:rsid w:val="00E22A2C"/>
    <w:rsid w:val="00E24AF4"/>
    <w:rsid w:val="00E27BDF"/>
    <w:rsid w:val="00E33F06"/>
    <w:rsid w:val="00E341F4"/>
    <w:rsid w:val="00E355FB"/>
    <w:rsid w:val="00E371B2"/>
    <w:rsid w:val="00E40AC6"/>
    <w:rsid w:val="00E41C41"/>
    <w:rsid w:val="00E41DCA"/>
    <w:rsid w:val="00E420BF"/>
    <w:rsid w:val="00E449AE"/>
    <w:rsid w:val="00E4542F"/>
    <w:rsid w:val="00E46677"/>
    <w:rsid w:val="00E46E67"/>
    <w:rsid w:val="00E47E58"/>
    <w:rsid w:val="00E51835"/>
    <w:rsid w:val="00E62605"/>
    <w:rsid w:val="00E6275D"/>
    <w:rsid w:val="00E64F75"/>
    <w:rsid w:val="00E66A7B"/>
    <w:rsid w:val="00E67AEE"/>
    <w:rsid w:val="00E712A6"/>
    <w:rsid w:val="00E73B0E"/>
    <w:rsid w:val="00E74C23"/>
    <w:rsid w:val="00E759B2"/>
    <w:rsid w:val="00E7776A"/>
    <w:rsid w:val="00E805CC"/>
    <w:rsid w:val="00E81A23"/>
    <w:rsid w:val="00E820C3"/>
    <w:rsid w:val="00E83261"/>
    <w:rsid w:val="00E83612"/>
    <w:rsid w:val="00E914F2"/>
    <w:rsid w:val="00E96814"/>
    <w:rsid w:val="00E97421"/>
    <w:rsid w:val="00E97BF2"/>
    <w:rsid w:val="00EA1BF7"/>
    <w:rsid w:val="00EA40ED"/>
    <w:rsid w:val="00EA5DD1"/>
    <w:rsid w:val="00EA6DAA"/>
    <w:rsid w:val="00EB29D1"/>
    <w:rsid w:val="00EB46D5"/>
    <w:rsid w:val="00EB5C69"/>
    <w:rsid w:val="00EB6A80"/>
    <w:rsid w:val="00EC00CA"/>
    <w:rsid w:val="00EC2557"/>
    <w:rsid w:val="00EC344D"/>
    <w:rsid w:val="00EC3F21"/>
    <w:rsid w:val="00EC609D"/>
    <w:rsid w:val="00EC72DF"/>
    <w:rsid w:val="00ED06AB"/>
    <w:rsid w:val="00ED1015"/>
    <w:rsid w:val="00ED3222"/>
    <w:rsid w:val="00ED5E1B"/>
    <w:rsid w:val="00ED6D6D"/>
    <w:rsid w:val="00ED75DF"/>
    <w:rsid w:val="00EE1B55"/>
    <w:rsid w:val="00EE4001"/>
    <w:rsid w:val="00EF4990"/>
    <w:rsid w:val="00F00463"/>
    <w:rsid w:val="00F01439"/>
    <w:rsid w:val="00F0308B"/>
    <w:rsid w:val="00F04107"/>
    <w:rsid w:val="00F0581A"/>
    <w:rsid w:val="00F0621C"/>
    <w:rsid w:val="00F064A6"/>
    <w:rsid w:val="00F066F7"/>
    <w:rsid w:val="00F110CE"/>
    <w:rsid w:val="00F12578"/>
    <w:rsid w:val="00F12EE8"/>
    <w:rsid w:val="00F132E6"/>
    <w:rsid w:val="00F146CA"/>
    <w:rsid w:val="00F1615B"/>
    <w:rsid w:val="00F23C55"/>
    <w:rsid w:val="00F2454C"/>
    <w:rsid w:val="00F268BB"/>
    <w:rsid w:val="00F30BB6"/>
    <w:rsid w:val="00F30D63"/>
    <w:rsid w:val="00F36771"/>
    <w:rsid w:val="00F37F93"/>
    <w:rsid w:val="00F43110"/>
    <w:rsid w:val="00F44C94"/>
    <w:rsid w:val="00F44D0D"/>
    <w:rsid w:val="00F459B2"/>
    <w:rsid w:val="00F463D2"/>
    <w:rsid w:val="00F46B7C"/>
    <w:rsid w:val="00F50830"/>
    <w:rsid w:val="00F51475"/>
    <w:rsid w:val="00F5165A"/>
    <w:rsid w:val="00F51F58"/>
    <w:rsid w:val="00F552D1"/>
    <w:rsid w:val="00F55616"/>
    <w:rsid w:val="00F56F97"/>
    <w:rsid w:val="00F57EF5"/>
    <w:rsid w:val="00F60C41"/>
    <w:rsid w:val="00F61F7B"/>
    <w:rsid w:val="00F6274A"/>
    <w:rsid w:val="00F627D9"/>
    <w:rsid w:val="00F63254"/>
    <w:rsid w:val="00F651C0"/>
    <w:rsid w:val="00F65967"/>
    <w:rsid w:val="00F70B5E"/>
    <w:rsid w:val="00F7234F"/>
    <w:rsid w:val="00F73CAB"/>
    <w:rsid w:val="00F74DF1"/>
    <w:rsid w:val="00F82A73"/>
    <w:rsid w:val="00F83537"/>
    <w:rsid w:val="00F926D0"/>
    <w:rsid w:val="00F927A9"/>
    <w:rsid w:val="00F93CB1"/>
    <w:rsid w:val="00F9477A"/>
    <w:rsid w:val="00F95FD8"/>
    <w:rsid w:val="00F9793A"/>
    <w:rsid w:val="00FA0AC9"/>
    <w:rsid w:val="00FA18C5"/>
    <w:rsid w:val="00FA3FE9"/>
    <w:rsid w:val="00FA5217"/>
    <w:rsid w:val="00FB5A98"/>
    <w:rsid w:val="00FB6604"/>
    <w:rsid w:val="00FB6C4E"/>
    <w:rsid w:val="00FB6EDE"/>
    <w:rsid w:val="00FB7D45"/>
    <w:rsid w:val="00FC079E"/>
    <w:rsid w:val="00FC16C5"/>
    <w:rsid w:val="00FC1F99"/>
    <w:rsid w:val="00FC2002"/>
    <w:rsid w:val="00FC22D3"/>
    <w:rsid w:val="00FC3735"/>
    <w:rsid w:val="00FC575C"/>
    <w:rsid w:val="00FC6960"/>
    <w:rsid w:val="00FD189E"/>
    <w:rsid w:val="00FD63E1"/>
    <w:rsid w:val="00FD6F82"/>
    <w:rsid w:val="00FE3559"/>
    <w:rsid w:val="00FE3A88"/>
    <w:rsid w:val="00FE56BB"/>
    <w:rsid w:val="00FE6FA3"/>
    <w:rsid w:val="00FE7832"/>
    <w:rsid w:val="00FF30D6"/>
    <w:rsid w:val="00FF3316"/>
    <w:rsid w:val="00FF43E3"/>
    <w:rsid w:val="00FF564E"/>
    <w:rsid w:val="00FF5B0B"/>
    <w:rsid w:val="00FF691F"/>
    <w:rsid w:val="00FF7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5B"/>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23145B"/>
    <w:pPr>
      <w:keepNext/>
      <w:spacing w:before="140" w:line="240" w:lineRule="atLeast"/>
      <w:jc w:val="center"/>
      <w:outlineLvl w:val="0"/>
    </w:pPr>
    <w:rPr>
      <w:b/>
      <w:smallCaps/>
    </w:rPr>
  </w:style>
  <w:style w:type="paragraph" w:styleId="Heading2">
    <w:name w:val="heading 2"/>
    <w:basedOn w:val="Normal"/>
    <w:next w:val="Normal"/>
    <w:link w:val="Heading2Char"/>
    <w:qFormat/>
    <w:rsid w:val="0023145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3145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3145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3145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32"/>
    <w:pPr>
      <w:ind w:left="720"/>
      <w:contextualSpacing/>
    </w:pPr>
  </w:style>
  <w:style w:type="paragraph" w:customStyle="1" w:styleId="xmsonormal">
    <w:name w:val="x_msonormal"/>
    <w:basedOn w:val="Normal"/>
    <w:rsid w:val="002A12EC"/>
    <w:pPr>
      <w:spacing w:before="100" w:beforeAutospacing="1"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1B770B"/>
    <w:rPr>
      <w:color w:val="0000FF"/>
      <w:u w:val="single"/>
    </w:rPr>
  </w:style>
  <w:style w:type="character" w:customStyle="1" w:styleId="costarpage">
    <w:name w:val="co_starpage"/>
    <w:basedOn w:val="DefaultParagraphFont"/>
    <w:rsid w:val="001B770B"/>
  </w:style>
  <w:style w:type="paragraph" w:styleId="FootnoteText">
    <w:name w:val="footnote text"/>
    <w:basedOn w:val="Normal"/>
    <w:link w:val="FootnoteTextChar"/>
    <w:rsid w:val="0023145B"/>
    <w:pPr>
      <w:spacing w:line="300" w:lineRule="exact"/>
    </w:pPr>
  </w:style>
  <w:style w:type="character" w:customStyle="1" w:styleId="FootnoteTextChar">
    <w:name w:val="Footnote Text Char"/>
    <w:basedOn w:val="DefaultParagraphFont"/>
    <w:link w:val="FootnoteText"/>
    <w:rsid w:val="0075459B"/>
    <w:rPr>
      <w:rFonts w:ascii="Century Schoolbook" w:eastAsia="Times New Roman" w:hAnsi="Century Schoolbook" w:cs="Times New Roman"/>
      <w:sz w:val="27"/>
      <w:szCs w:val="20"/>
    </w:rPr>
  </w:style>
  <w:style w:type="character" w:styleId="FootnoteReference">
    <w:name w:val="footnote reference"/>
    <w:basedOn w:val="DefaultParagraphFont"/>
    <w:rsid w:val="0023145B"/>
    <w:rPr>
      <w:rFonts w:ascii="Century Schoolbook" w:hAnsi="Century Schoolbook"/>
      <w:b/>
      <w:i w:val="0"/>
      <w:position w:val="4"/>
      <w:sz w:val="27"/>
      <w:vertAlign w:val="superscript"/>
    </w:rPr>
  </w:style>
  <w:style w:type="character" w:styleId="PlaceholderText">
    <w:name w:val="Placeholder Text"/>
    <w:basedOn w:val="DefaultParagraphFont"/>
    <w:uiPriority w:val="99"/>
    <w:semiHidden/>
    <w:rsid w:val="00EE4001"/>
    <w:rPr>
      <w:color w:val="808080"/>
    </w:rPr>
  </w:style>
  <w:style w:type="paragraph" w:styleId="NormalWeb">
    <w:name w:val="Normal (Web)"/>
    <w:basedOn w:val="Normal"/>
    <w:uiPriority w:val="99"/>
    <w:semiHidden/>
    <w:unhideWhenUsed/>
    <w:rsid w:val="002338AC"/>
    <w:pPr>
      <w:spacing w:before="100" w:beforeAutospacing="1" w:afterAutospacing="1" w:line="240" w:lineRule="auto"/>
    </w:pPr>
    <w:rPr>
      <w:rFonts w:ascii="Times New Roman" w:hAnsi="Times New Roman"/>
      <w:sz w:val="24"/>
      <w:szCs w:val="24"/>
    </w:rPr>
  </w:style>
  <w:style w:type="character" w:styleId="Emphasis">
    <w:name w:val="Emphasis"/>
    <w:basedOn w:val="DefaultParagraphFont"/>
    <w:uiPriority w:val="20"/>
    <w:qFormat/>
    <w:rsid w:val="007B7003"/>
    <w:rPr>
      <w:i/>
      <w:iCs/>
    </w:rPr>
  </w:style>
  <w:style w:type="paragraph" w:styleId="Header">
    <w:name w:val="header"/>
    <w:basedOn w:val="Normal"/>
    <w:link w:val="HeaderChar"/>
    <w:uiPriority w:val="99"/>
    <w:qFormat/>
    <w:rsid w:val="0023145B"/>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uiPriority w:val="99"/>
    <w:rsid w:val="00E21437"/>
    <w:rPr>
      <w:rFonts w:ascii="Century Schoolbook" w:eastAsia="Times New Roman" w:hAnsi="Century Schoolbook" w:cs="Times New Roman"/>
      <w:szCs w:val="20"/>
    </w:rPr>
  </w:style>
  <w:style w:type="paragraph" w:styleId="Footer">
    <w:name w:val="footer"/>
    <w:basedOn w:val="Normal"/>
    <w:link w:val="FooterChar"/>
    <w:uiPriority w:val="99"/>
    <w:qFormat/>
    <w:rsid w:val="0023145B"/>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E21437"/>
    <w:rPr>
      <w:rFonts w:ascii="Century Schoolbook" w:eastAsia="Times New Roman" w:hAnsi="Century Schoolbook" w:cs="Times New Roman"/>
      <w:szCs w:val="20"/>
    </w:rPr>
  </w:style>
  <w:style w:type="character" w:customStyle="1" w:styleId="cosearchterm">
    <w:name w:val="co_searchterm"/>
    <w:basedOn w:val="DefaultParagraphFont"/>
    <w:rsid w:val="00522797"/>
  </w:style>
  <w:style w:type="character" w:styleId="CommentReference">
    <w:name w:val="annotation reference"/>
    <w:basedOn w:val="DefaultParagraphFont"/>
    <w:uiPriority w:val="99"/>
    <w:semiHidden/>
    <w:unhideWhenUsed/>
    <w:rsid w:val="00791A2A"/>
    <w:rPr>
      <w:sz w:val="16"/>
      <w:szCs w:val="16"/>
    </w:rPr>
  </w:style>
  <w:style w:type="paragraph" w:styleId="CommentText">
    <w:name w:val="annotation text"/>
    <w:basedOn w:val="Normal"/>
    <w:link w:val="CommentTextChar"/>
    <w:uiPriority w:val="99"/>
    <w:unhideWhenUsed/>
    <w:rsid w:val="00791A2A"/>
    <w:pPr>
      <w:spacing w:line="240" w:lineRule="auto"/>
    </w:pPr>
    <w:rPr>
      <w:sz w:val="20"/>
    </w:rPr>
  </w:style>
  <w:style w:type="character" w:customStyle="1" w:styleId="CommentTextChar">
    <w:name w:val="Comment Text Char"/>
    <w:basedOn w:val="DefaultParagraphFont"/>
    <w:link w:val="CommentText"/>
    <w:uiPriority w:val="99"/>
    <w:rsid w:val="00791A2A"/>
    <w:rPr>
      <w:sz w:val="20"/>
      <w:szCs w:val="20"/>
    </w:rPr>
  </w:style>
  <w:style w:type="paragraph" w:styleId="CommentSubject">
    <w:name w:val="annotation subject"/>
    <w:basedOn w:val="CommentText"/>
    <w:next w:val="CommentText"/>
    <w:link w:val="CommentSubjectChar"/>
    <w:uiPriority w:val="99"/>
    <w:semiHidden/>
    <w:unhideWhenUsed/>
    <w:rsid w:val="00791A2A"/>
    <w:rPr>
      <w:b/>
      <w:bCs/>
    </w:rPr>
  </w:style>
  <w:style w:type="character" w:customStyle="1" w:styleId="CommentSubjectChar">
    <w:name w:val="Comment Subject Char"/>
    <w:basedOn w:val="CommentTextChar"/>
    <w:link w:val="CommentSubject"/>
    <w:uiPriority w:val="99"/>
    <w:semiHidden/>
    <w:rsid w:val="00791A2A"/>
    <w:rPr>
      <w:b/>
      <w:bCs/>
      <w:sz w:val="20"/>
      <w:szCs w:val="20"/>
    </w:rPr>
  </w:style>
  <w:style w:type="paragraph" w:styleId="BalloonText">
    <w:name w:val="Balloon Text"/>
    <w:basedOn w:val="Normal"/>
    <w:link w:val="BalloonTextChar"/>
    <w:uiPriority w:val="99"/>
    <w:semiHidden/>
    <w:unhideWhenUsed/>
    <w:rsid w:val="00791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2A"/>
    <w:rPr>
      <w:rFonts w:ascii="Segoe UI" w:hAnsi="Segoe UI" w:cs="Segoe UI"/>
      <w:sz w:val="18"/>
      <w:szCs w:val="18"/>
    </w:rPr>
  </w:style>
  <w:style w:type="character" w:customStyle="1" w:styleId="Heading1Char">
    <w:name w:val="Heading 1 Char"/>
    <w:basedOn w:val="DefaultParagraphFont"/>
    <w:link w:val="Heading1"/>
    <w:uiPriority w:val="9"/>
    <w:rsid w:val="00A42941"/>
    <w:rPr>
      <w:rFonts w:ascii="Century Schoolbook" w:eastAsia="Times New Roman" w:hAnsi="Century Schoolbook" w:cs="Times New Roman"/>
      <w:b/>
      <w:smallCaps/>
      <w:sz w:val="27"/>
      <w:szCs w:val="20"/>
    </w:rPr>
  </w:style>
  <w:style w:type="paragraph" w:styleId="Revision">
    <w:name w:val="Revision"/>
    <w:hidden/>
    <w:uiPriority w:val="99"/>
    <w:semiHidden/>
    <w:rsid w:val="000E0C0C"/>
    <w:pPr>
      <w:spacing w:after="0" w:line="240" w:lineRule="auto"/>
    </w:pPr>
  </w:style>
  <w:style w:type="character" w:customStyle="1" w:styleId="Heading2Char">
    <w:name w:val="Heading 2 Char"/>
    <w:basedOn w:val="DefaultParagraphFont"/>
    <w:link w:val="Heading2"/>
    <w:rsid w:val="0023145B"/>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23145B"/>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23145B"/>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23145B"/>
    <w:rPr>
      <w:rFonts w:ascii="Century Schoolbook" w:eastAsia="Times New Roman" w:hAnsi="Century Schoolbook" w:cs="Times New Roman"/>
      <w:i/>
      <w:sz w:val="27"/>
      <w:szCs w:val="20"/>
    </w:rPr>
  </w:style>
  <w:style w:type="paragraph" w:styleId="Date">
    <w:name w:val="Date"/>
    <w:basedOn w:val="Normal"/>
    <w:link w:val="DateChar"/>
    <w:semiHidden/>
    <w:rsid w:val="0023145B"/>
    <w:pPr>
      <w:jc w:val="right"/>
    </w:pPr>
  </w:style>
  <w:style w:type="character" w:customStyle="1" w:styleId="DateChar">
    <w:name w:val="Date Char"/>
    <w:basedOn w:val="DefaultParagraphFont"/>
    <w:link w:val="Date"/>
    <w:semiHidden/>
    <w:rsid w:val="0023145B"/>
    <w:rPr>
      <w:rFonts w:ascii="Century Schoolbook" w:eastAsia="Times New Roman" w:hAnsi="Century Schoolbook" w:cs="Times New Roman"/>
      <w:sz w:val="27"/>
      <w:szCs w:val="20"/>
    </w:rPr>
  </w:style>
  <w:style w:type="paragraph" w:styleId="NormalIndent">
    <w:name w:val="Normal Indent"/>
    <w:basedOn w:val="Normal"/>
    <w:semiHidden/>
    <w:rsid w:val="0023145B"/>
    <w:pPr>
      <w:ind w:left="720"/>
    </w:pPr>
  </w:style>
  <w:style w:type="character" w:styleId="PageNumber">
    <w:name w:val="page number"/>
    <w:basedOn w:val="DefaultParagraphFont"/>
    <w:semiHidden/>
    <w:rsid w:val="0023145B"/>
  </w:style>
  <w:style w:type="paragraph" w:customStyle="1" w:styleId="Recommend">
    <w:name w:val="Recommend"/>
    <w:basedOn w:val="Normal"/>
    <w:rsid w:val="0023145B"/>
  </w:style>
  <w:style w:type="paragraph" w:customStyle="1" w:styleId="subject">
    <w:name w:val="subject"/>
    <w:basedOn w:val="Normal"/>
    <w:rsid w:val="0023145B"/>
    <w:pPr>
      <w:tabs>
        <w:tab w:val="left" w:pos="1008"/>
      </w:tabs>
      <w:ind w:left="990" w:hanging="990"/>
    </w:pPr>
    <w:rPr>
      <w:b/>
    </w:rPr>
  </w:style>
  <w:style w:type="paragraph" w:customStyle="1" w:styleId="Summary">
    <w:name w:val="Summary"/>
    <w:basedOn w:val="Normal"/>
    <w:rsid w:val="0023145B"/>
    <w:pPr>
      <w:ind w:left="2160" w:hanging="2160"/>
    </w:pPr>
  </w:style>
  <w:style w:type="paragraph" w:customStyle="1" w:styleId="Text">
    <w:name w:val="Text"/>
    <w:basedOn w:val="Normal"/>
    <w:rsid w:val="0023145B"/>
    <w:pPr>
      <w:tabs>
        <w:tab w:val="left" w:pos="720"/>
        <w:tab w:val="left" w:pos="1440"/>
        <w:tab w:val="left" w:pos="2160"/>
        <w:tab w:val="center" w:pos="4320"/>
      </w:tabs>
      <w:spacing w:line="480" w:lineRule="atLeast"/>
      <w:ind w:firstLine="540"/>
    </w:pPr>
  </w:style>
  <w:style w:type="paragraph" w:customStyle="1" w:styleId="Title1">
    <w:name w:val="Title1"/>
    <w:basedOn w:val="Normal"/>
    <w:rsid w:val="0023145B"/>
    <w:pPr>
      <w:tabs>
        <w:tab w:val="left" w:pos="5760"/>
        <w:tab w:val="left" w:pos="6480"/>
      </w:tabs>
      <w:spacing w:line="240" w:lineRule="atLeast"/>
    </w:pPr>
  </w:style>
  <w:style w:type="paragraph" w:customStyle="1" w:styleId="Titles">
    <w:name w:val="Titles"/>
    <w:basedOn w:val="Normal"/>
    <w:rsid w:val="0023145B"/>
    <w:pPr>
      <w:tabs>
        <w:tab w:val="left" w:pos="2160"/>
      </w:tabs>
      <w:ind w:left="2160" w:hanging="2160"/>
    </w:pPr>
    <w:rPr>
      <w:b/>
    </w:rPr>
  </w:style>
  <w:style w:type="paragraph" w:styleId="TOAHeading">
    <w:name w:val="toa heading"/>
    <w:basedOn w:val="Normal"/>
    <w:next w:val="Normal"/>
    <w:semiHidden/>
    <w:rsid w:val="0023145B"/>
    <w:pPr>
      <w:spacing w:before="120"/>
    </w:pPr>
    <w:rPr>
      <w:b/>
    </w:rPr>
  </w:style>
  <w:style w:type="paragraph" w:styleId="TOC1">
    <w:name w:val="toc 1"/>
    <w:basedOn w:val="Normal"/>
    <w:next w:val="Normal"/>
    <w:autoRedefine/>
    <w:semiHidden/>
    <w:rsid w:val="0023145B"/>
  </w:style>
  <w:style w:type="paragraph" w:styleId="TOC2">
    <w:name w:val="toc 2"/>
    <w:basedOn w:val="Normal"/>
    <w:next w:val="Normal"/>
    <w:autoRedefine/>
    <w:semiHidden/>
    <w:rsid w:val="0023145B"/>
    <w:pPr>
      <w:ind w:left="259"/>
    </w:pPr>
  </w:style>
  <w:style w:type="paragraph" w:styleId="TOC3">
    <w:name w:val="toc 3"/>
    <w:basedOn w:val="Normal"/>
    <w:next w:val="Normal"/>
    <w:autoRedefine/>
    <w:semiHidden/>
    <w:rsid w:val="0023145B"/>
    <w:pPr>
      <w:ind w:left="520"/>
    </w:pPr>
  </w:style>
  <w:style w:type="paragraph" w:styleId="TOC4">
    <w:name w:val="toc 4"/>
    <w:basedOn w:val="Normal"/>
    <w:next w:val="Normal"/>
    <w:autoRedefine/>
    <w:semiHidden/>
    <w:rsid w:val="0023145B"/>
    <w:pPr>
      <w:ind w:left="780"/>
    </w:pPr>
  </w:style>
  <w:style w:type="paragraph" w:styleId="TOC5">
    <w:name w:val="toc 5"/>
    <w:basedOn w:val="Normal"/>
    <w:next w:val="Normal"/>
    <w:autoRedefine/>
    <w:semiHidden/>
    <w:rsid w:val="0023145B"/>
    <w:pPr>
      <w:ind w:left="1040"/>
    </w:pPr>
  </w:style>
  <w:style w:type="paragraph" w:styleId="TOC6">
    <w:name w:val="toc 6"/>
    <w:basedOn w:val="Normal"/>
    <w:next w:val="Normal"/>
    <w:autoRedefine/>
    <w:semiHidden/>
    <w:rsid w:val="0023145B"/>
    <w:pPr>
      <w:ind w:left="1300"/>
    </w:pPr>
  </w:style>
  <w:style w:type="paragraph" w:styleId="TOC7">
    <w:name w:val="toc 7"/>
    <w:basedOn w:val="Normal"/>
    <w:next w:val="Normal"/>
    <w:autoRedefine/>
    <w:semiHidden/>
    <w:rsid w:val="0023145B"/>
    <w:pPr>
      <w:ind w:left="1560"/>
    </w:pPr>
  </w:style>
  <w:style w:type="paragraph" w:styleId="TOC8">
    <w:name w:val="toc 8"/>
    <w:basedOn w:val="Normal"/>
    <w:next w:val="Normal"/>
    <w:autoRedefine/>
    <w:semiHidden/>
    <w:rsid w:val="0023145B"/>
    <w:pPr>
      <w:ind w:left="1820"/>
    </w:pPr>
  </w:style>
  <w:style w:type="paragraph" w:styleId="TOC9">
    <w:name w:val="toc 9"/>
    <w:basedOn w:val="Normal"/>
    <w:next w:val="Normal"/>
    <w:autoRedefine/>
    <w:semiHidden/>
    <w:rsid w:val="0023145B"/>
    <w:pPr>
      <w:ind w:left="2080"/>
    </w:pPr>
  </w:style>
  <w:style w:type="paragraph" w:customStyle="1" w:styleId="Contents">
    <w:name w:val="Contents"/>
    <w:basedOn w:val="Normal"/>
    <w:rsid w:val="0023145B"/>
    <w:pPr>
      <w:jc w:val="center"/>
    </w:pPr>
    <w:rPr>
      <w:b/>
      <w:spacing w:val="100"/>
    </w:rPr>
  </w:style>
  <w:style w:type="paragraph" w:styleId="BodyText">
    <w:name w:val="Body Text"/>
    <w:basedOn w:val="Normal"/>
    <w:link w:val="BodyTextChar"/>
    <w:qFormat/>
    <w:rsid w:val="0023145B"/>
  </w:style>
  <w:style w:type="character" w:customStyle="1" w:styleId="BodyTextChar">
    <w:name w:val="Body Text Char"/>
    <w:basedOn w:val="DefaultParagraphFont"/>
    <w:link w:val="BodyText"/>
    <w:rsid w:val="0023145B"/>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24F2-420B-4F02-8CAF-36BE2ABF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10041</Words>
  <Characters>57235</Characters>
  <Application>Microsoft Office Word</Application>
  <DocSecurity>0</DocSecurity>
  <Lines>476</Lines>
  <Paragraphs>134</Paragraphs>
  <ScaleCrop>false</ScaleCrop>
  <Company/>
  <LinksUpToDate>false</LinksUpToDate>
  <CharactersWithSpaces>67142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2021-12-20T17:36:08Z</dcterms:created>
  <dcterms:modified xsi:type="dcterms:W3CDTF">2021-12-20T17:36:08Z</dcterms:modified>
</cp:coreProperties>
</file>