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544AB">
      <w:pPr>
        <w:jc w:val="center"/>
        <w:rPr>
          <w:sz w:val="36"/>
        </w:rPr>
      </w:pPr>
      <w:r>
        <w:rPr>
          <w:b/>
          <w:sz w:val="36"/>
        </w:rPr>
        <w:t>IN THE SUPREME COURT OF CALIFORNIA</w:t>
      </w:r>
    </w:p>
    <w:p w:rsidR="00957B29" w:rsidRPr="0099314C" w:rsidP="00957B29">
      <w:pPr>
        <w:tabs>
          <w:tab w:val="left" w:pos="1440"/>
          <w:tab w:val="left" w:pos="4680"/>
          <w:tab w:val="center" w:pos="7200"/>
        </w:tabs>
        <w:spacing w:after="0"/>
        <w:jc w:val="center"/>
      </w:pPr>
      <w:bookmarkStart w:id="0" w:name="_Hlk117350555"/>
    </w:p>
    <w:p w:rsidR="00957B29" w:rsidRPr="0099314C" w:rsidP="00957B29">
      <w:pPr>
        <w:tabs>
          <w:tab w:val="left" w:pos="1440"/>
          <w:tab w:val="left" w:pos="4680"/>
          <w:tab w:val="center" w:pos="7200"/>
        </w:tabs>
        <w:spacing w:after="0"/>
        <w:jc w:val="center"/>
      </w:pPr>
      <w:r w:rsidRPr="0099314C">
        <w:t>THE PEOPLE</w:t>
      </w:r>
      <w:r>
        <w:t>,</w:t>
      </w:r>
    </w:p>
    <w:p w:rsidR="00957B29" w:rsidRPr="0099314C" w:rsidP="00957B29">
      <w:pPr>
        <w:tabs>
          <w:tab w:val="left" w:pos="1440"/>
          <w:tab w:val="left" w:pos="4680"/>
          <w:tab w:val="center" w:pos="7200"/>
        </w:tabs>
        <w:spacing w:after="0"/>
        <w:jc w:val="center"/>
      </w:pPr>
      <w:r w:rsidRPr="0099314C">
        <w:t>Plaintiff and Respondent</w:t>
      </w:r>
      <w:r>
        <w:t>,</w:t>
      </w:r>
    </w:p>
    <w:p w:rsidR="00957B29" w:rsidRPr="0099314C" w:rsidP="00957B29">
      <w:pPr>
        <w:tabs>
          <w:tab w:val="left" w:pos="1440"/>
          <w:tab w:val="left" w:pos="4680"/>
          <w:tab w:val="center" w:pos="7200"/>
        </w:tabs>
        <w:spacing w:after="0"/>
        <w:jc w:val="center"/>
      </w:pPr>
      <w:r w:rsidRPr="0099314C">
        <w:t>v.</w:t>
      </w:r>
    </w:p>
    <w:p w:rsidR="00957B29" w:rsidRPr="0099314C" w:rsidP="00957B29">
      <w:pPr>
        <w:tabs>
          <w:tab w:val="left" w:pos="1440"/>
          <w:tab w:val="left" w:pos="4680"/>
          <w:tab w:val="center" w:pos="7200"/>
        </w:tabs>
        <w:spacing w:after="0"/>
        <w:jc w:val="center"/>
      </w:pPr>
      <w:r>
        <w:t>VICTOR WARE et al.</w:t>
      </w:r>
      <w:r w:rsidR="009B5E7E">
        <w:t>,</w:t>
      </w:r>
    </w:p>
    <w:p w:rsidR="00957B29" w:rsidRPr="0099314C" w:rsidP="00957B29">
      <w:pPr>
        <w:tabs>
          <w:tab w:val="left" w:pos="1440"/>
          <w:tab w:val="left" w:pos="4680"/>
          <w:tab w:val="center" w:pos="7200"/>
        </w:tabs>
        <w:spacing w:after="0"/>
        <w:jc w:val="center"/>
      </w:pPr>
      <w:r w:rsidRPr="0099314C">
        <w:t>Defendant</w:t>
      </w:r>
      <w:r w:rsidR="001273B4">
        <w:t>s</w:t>
      </w:r>
      <w:r w:rsidRPr="0099314C">
        <w:t xml:space="preserve"> and Appellant</w:t>
      </w:r>
      <w:r w:rsidR="001273B4">
        <w:t>s</w:t>
      </w:r>
      <w:r w:rsidRPr="0099314C">
        <w:t>.</w:t>
      </w:r>
    </w:p>
    <w:p w:rsidR="00957B29" w:rsidRPr="0099314C" w:rsidP="00957B29">
      <w:pPr>
        <w:tabs>
          <w:tab w:val="left" w:pos="1440"/>
          <w:tab w:val="left" w:pos="4680"/>
          <w:tab w:val="center" w:pos="7200"/>
        </w:tabs>
        <w:spacing w:after="0"/>
        <w:jc w:val="center"/>
      </w:pPr>
    </w:p>
    <w:p w:rsidR="00957B29" w:rsidRPr="0099314C" w:rsidP="00957B29">
      <w:pPr>
        <w:tabs>
          <w:tab w:val="left" w:pos="1440"/>
          <w:tab w:val="left" w:pos="4680"/>
          <w:tab w:val="center" w:pos="7200"/>
        </w:tabs>
        <w:spacing w:after="0"/>
        <w:jc w:val="center"/>
      </w:pPr>
      <w:r w:rsidRPr="0099314C">
        <w:t>S26</w:t>
      </w:r>
      <w:r>
        <w:t>3923</w:t>
      </w:r>
    </w:p>
    <w:p w:rsidR="00957B29" w:rsidRPr="0099314C" w:rsidP="00957B29">
      <w:pPr>
        <w:tabs>
          <w:tab w:val="left" w:pos="1440"/>
          <w:tab w:val="left" w:pos="4680"/>
          <w:tab w:val="center" w:pos="7200"/>
        </w:tabs>
        <w:spacing w:after="0"/>
        <w:jc w:val="center"/>
      </w:pPr>
    </w:p>
    <w:p w:rsidR="00957B29" w:rsidRPr="0099314C" w:rsidP="00957B29">
      <w:pPr>
        <w:tabs>
          <w:tab w:val="left" w:pos="1440"/>
          <w:tab w:val="left" w:pos="4680"/>
          <w:tab w:val="center" w:pos="7200"/>
        </w:tabs>
        <w:spacing w:after="0"/>
        <w:jc w:val="center"/>
      </w:pPr>
      <w:r>
        <w:t>Fourth Appellate District, Division One</w:t>
      </w:r>
    </w:p>
    <w:p w:rsidR="00957B29" w:rsidRPr="0099314C" w:rsidP="00957B29">
      <w:pPr>
        <w:tabs>
          <w:tab w:val="left" w:pos="1440"/>
          <w:tab w:val="left" w:pos="4680"/>
          <w:tab w:val="center" w:pos="7200"/>
        </w:tabs>
        <w:spacing w:after="0"/>
        <w:jc w:val="center"/>
      </w:pPr>
      <w:r>
        <w:t>D072515</w:t>
      </w:r>
    </w:p>
    <w:p w:rsidR="00957B29" w:rsidRPr="0099314C" w:rsidP="00957B29">
      <w:pPr>
        <w:tabs>
          <w:tab w:val="left" w:pos="1440"/>
          <w:tab w:val="left" w:pos="4680"/>
          <w:tab w:val="center" w:pos="7200"/>
        </w:tabs>
        <w:spacing w:after="0"/>
        <w:jc w:val="center"/>
      </w:pPr>
    </w:p>
    <w:p w:rsidR="00957B29" w:rsidRPr="0099314C" w:rsidP="00957B29">
      <w:pPr>
        <w:tabs>
          <w:tab w:val="left" w:pos="1440"/>
          <w:tab w:val="left" w:pos="4680"/>
          <w:tab w:val="center" w:pos="7200"/>
        </w:tabs>
        <w:spacing w:after="0"/>
        <w:jc w:val="center"/>
      </w:pPr>
      <w:r>
        <w:t>San Diego County Superior Court</w:t>
      </w:r>
    </w:p>
    <w:p w:rsidR="00957B29" w:rsidRPr="0099314C" w:rsidP="00957B29">
      <w:pPr>
        <w:tabs>
          <w:tab w:val="left" w:pos="1440"/>
          <w:tab w:val="left" w:pos="4680"/>
          <w:tab w:val="center" w:pos="7200"/>
        </w:tabs>
        <w:spacing w:after="0"/>
        <w:jc w:val="center"/>
      </w:pPr>
      <w:r>
        <w:t>SCD255884</w:t>
      </w:r>
    </w:p>
    <w:p w:rsidR="00957B29" w:rsidRPr="0099314C" w:rsidP="00957B29">
      <w:pPr>
        <w:pBdr>
          <w:bottom w:val="single" w:sz="4" w:space="1" w:color="auto"/>
        </w:pBdr>
        <w:tabs>
          <w:tab w:val="left" w:pos="1440"/>
          <w:tab w:val="left" w:pos="4680"/>
          <w:tab w:val="center" w:pos="7200"/>
        </w:tabs>
        <w:spacing w:after="0"/>
        <w:jc w:val="center"/>
      </w:pPr>
    </w:p>
    <w:p w:rsidR="00806BD8" w:rsidRPr="0099314C" w:rsidP="00806BD8">
      <w:pPr>
        <w:tabs>
          <w:tab w:val="left" w:pos="1440"/>
          <w:tab w:val="left" w:pos="4680"/>
          <w:tab w:val="center" w:pos="7200"/>
        </w:tabs>
        <w:spacing w:after="0"/>
        <w:jc w:val="center"/>
      </w:pPr>
    </w:p>
    <w:p w:rsidR="00806BD8" w:rsidRPr="0099314C" w:rsidP="00806BD8">
      <w:pPr>
        <w:tabs>
          <w:tab w:val="left" w:pos="1440"/>
          <w:tab w:val="left" w:pos="4680"/>
          <w:tab w:val="center" w:pos="7200"/>
        </w:tabs>
        <w:spacing w:after="0"/>
        <w:jc w:val="center"/>
      </w:pPr>
      <w:r>
        <w:t>December 1</w:t>
      </w:r>
      <w:r w:rsidRPr="0099314C">
        <w:t>, 2022</w:t>
      </w:r>
    </w:p>
    <w:p w:rsidR="00806BD8" w:rsidRPr="0099314C" w:rsidP="00806BD8">
      <w:pPr>
        <w:tabs>
          <w:tab w:val="left" w:pos="1440"/>
          <w:tab w:val="left" w:pos="4680"/>
          <w:tab w:val="center" w:pos="7200"/>
        </w:tabs>
        <w:spacing w:after="0"/>
        <w:jc w:val="center"/>
      </w:pPr>
    </w:p>
    <w:p w:rsidR="00806BD8" w:rsidRPr="0099314C" w:rsidP="00806BD8">
      <w:pPr>
        <w:tabs>
          <w:tab w:val="left" w:pos="1440"/>
          <w:tab w:val="left" w:pos="4680"/>
          <w:tab w:val="center" w:pos="7200"/>
        </w:tabs>
        <w:spacing w:after="0"/>
        <w:jc w:val="left"/>
      </w:pPr>
      <w:r w:rsidRPr="0099314C">
        <w:t xml:space="preserve">Justice </w:t>
      </w:r>
      <w:r>
        <w:t>Kruger</w:t>
      </w:r>
      <w:r w:rsidRPr="0099314C">
        <w:t xml:space="preserve"> authored the opinion of the Court, in which </w:t>
      </w:r>
      <w:r>
        <w:t>Chief Justice Cantil-Sakauye and Justices Corrigan, Liu, Groban, Jenkins, and Guerrero</w:t>
      </w:r>
      <w:r w:rsidRPr="0099314C">
        <w:t xml:space="preserve"> concurred. </w:t>
      </w:r>
    </w:p>
    <w:p w:rsidR="00806BD8" w:rsidRPr="0099314C" w:rsidP="00806BD8">
      <w:pPr>
        <w:pBdr>
          <w:bottom w:val="single" w:sz="4" w:space="1" w:color="auto"/>
        </w:pBdr>
        <w:tabs>
          <w:tab w:val="left" w:pos="1440"/>
          <w:tab w:val="left" w:pos="4680"/>
          <w:tab w:val="center" w:pos="7200"/>
        </w:tabs>
        <w:spacing w:line="480" w:lineRule="atLeast"/>
        <w:jc w:val="left"/>
      </w:pPr>
      <w:bookmarkStart w:id="1" w:name="Return"/>
      <w:bookmarkEnd w:id="1"/>
    </w:p>
    <w:p w:rsidR="00957B29" w:rsidRPr="0099314C" w:rsidP="00957B29">
      <w:pPr>
        <w:tabs>
          <w:tab w:val="left" w:pos="1440"/>
          <w:tab w:val="left" w:pos="4680"/>
          <w:tab w:val="center" w:pos="7200"/>
        </w:tabs>
        <w:spacing w:line="480" w:lineRule="atLeast"/>
        <w:sectPr w:rsidSect="005C450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957B29" w:rsidRPr="0099314C" w:rsidP="00957B29">
      <w:pPr>
        <w:tabs>
          <w:tab w:val="left" w:pos="1440"/>
          <w:tab w:val="left" w:pos="4680"/>
          <w:tab w:val="center" w:pos="7200"/>
        </w:tabs>
        <w:jc w:val="center"/>
        <w:rPr>
          <w:rFonts w:ascii="Times New Roman" w:hAnsi="Times New Roman"/>
          <w:sz w:val="26"/>
        </w:rPr>
      </w:pPr>
      <w:r w:rsidRPr="0099314C">
        <w:t xml:space="preserve">PEOPLE v. </w:t>
      </w:r>
      <w:r>
        <w:t>WARE</w:t>
      </w:r>
    </w:p>
    <w:p w:rsidR="00957B29" w:rsidRPr="0099314C" w:rsidP="00957B29">
      <w:pPr>
        <w:tabs>
          <w:tab w:val="left" w:pos="1440"/>
          <w:tab w:val="left" w:pos="4680"/>
          <w:tab w:val="center" w:pos="7200"/>
        </w:tabs>
        <w:jc w:val="center"/>
        <w:rPr>
          <w:rFonts w:ascii="Times New Roman" w:hAnsi="Times New Roman"/>
          <w:sz w:val="26"/>
        </w:rPr>
      </w:pPr>
      <w:r w:rsidRPr="0099314C">
        <w:t>S</w:t>
      </w:r>
      <w:r>
        <w:t>263923</w:t>
      </w:r>
    </w:p>
    <w:p w:rsidR="00957B29" w:rsidRPr="0099314C" w:rsidP="00957B29">
      <w:pPr>
        <w:tabs>
          <w:tab w:val="left" w:pos="1440"/>
          <w:tab w:val="left" w:pos="4680"/>
          <w:tab w:val="center" w:pos="7200"/>
        </w:tabs>
        <w:jc w:val="center"/>
      </w:pPr>
    </w:p>
    <w:p w:rsidR="00957B29" w:rsidRPr="0099314C" w:rsidP="00957B29">
      <w:pPr>
        <w:tabs>
          <w:tab w:val="left" w:pos="1440"/>
          <w:tab w:val="left" w:pos="4680"/>
          <w:tab w:val="center" w:pos="7200"/>
        </w:tabs>
        <w:jc w:val="center"/>
      </w:pPr>
      <w:r w:rsidRPr="0099314C">
        <w:t xml:space="preserve">Opinion of the Court by </w:t>
      </w:r>
      <w:r>
        <w:t>Kruger</w:t>
      </w:r>
      <w:r w:rsidRPr="0099314C">
        <w:t>, J.</w:t>
      </w:r>
    </w:p>
    <w:p w:rsidR="00957B29" w:rsidRPr="00957B29" w:rsidP="00957B29">
      <w:pPr>
        <w:tabs>
          <w:tab w:val="left" w:pos="1440"/>
          <w:tab w:val="left" w:pos="4680"/>
          <w:tab w:val="center" w:pos="7200"/>
        </w:tabs>
      </w:pPr>
      <w:bookmarkStart w:id="10" w:name="MarkDocLoc"/>
      <w:bookmarkEnd w:id="10"/>
    </w:p>
    <w:p w:rsidR="0020078B" w:rsidRPr="00957B29" w:rsidP="00957B29">
      <w:pPr>
        <w:tabs>
          <w:tab w:val="left" w:pos="1440"/>
        </w:tabs>
        <w:ind w:firstLine="720"/>
      </w:pPr>
      <w:bookmarkStart w:id="11" w:name="justice"/>
      <w:bookmarkEnd w:id="0"/>
      <w:bookmarkEnd w:id="11"/>
      <w:r w:rsidRPr="00957B29">
        <w:t>Defendant Nicholas Hoskins</w:t>
      </w:r>
      <w:r w:rsidRPr="00957B29" w:rsidR="00D93639">
        <w:t xml:space="preserve"> </w:t>
      </w:r>
      <w:r w:rsidRPr="00957B29">
        <w:t xml:space="preserve">was </w:t>
      </w:r>
      <w:r w:rsidRPr="00957B29" w:rsidR="005B2A58">
        <w:t xml:space="preserve">charged with and </w:t>
      </w:r>
      <w:r w:rsidRPr="00957B29" w:rsidR="00384C66">
        <w:t>convicted</w:t>
      </w:r>
      <w:r w:rsidRPr="00957B29" w:rsidR="002F621B">
        <w:t xml:space="preserve"> </w:t>
      </w:r>
      <w:r w:rsidRPr="00957B29" w:rsidR="006A7BB3">
        <w:t xml:space="preserve">of </w:t>
      </w:r>
      <w:r w:rsidRPr="00957B29" w:rsidR="00E0620F">
        <w:t xml:space="preserve">conspiracy to commit murder, for which he was sentenced to 25 years to life.  </w:t>
      </w:r>
      <w:r w:rsidRPr="00957B29" w:rsidR="00083707">
        <w:t>T</w:t>
      </w:r>
      <w:r w:rsidRPr="00957B29" w:rsidR="002C6335">
        <w:t xml:space="preserve">he </w:t>
      </w:r>
      <w:r w:rsidR="00C53D41">
        <w:t xml:space="preserve">charged </w:t>
      </w:r>
      <w:r w:rsidRPr="00957B29" w:rsidR="009211CD">
        <w:t xml:space="preserve">conspiracy consisted of </w:t>
      </w:r>
      <w:r w:rsidRPr="00957B29" w:rsidR="002C6335">
        <w:t xml:space="preserve">a </w:t>
      </w:r>
      <w:r w:rsidRPr="00957B29" w:rsidR="00CB3FB6">
        <w:t xml:space="preserve">two-year-long </w:t>
      </w:r>
      <w:r w:rsidRPr="00957B29" w:rsidR="00DA349D">
        <w:t xml:space="preserve">agreement </w:t>
      </w:r>
      <w:r w:rsidRPr="00957B29" w:rsidR="00CB3FB6">
        <w:t xml:space="preserve">among at least </w:t>
      </w:r>
      <w:r w:rsidRPr="00957B29" w:rsidR="00711348">
        <w:t xml:space="preserve">20 </w:t>
      </w:r>
      <w:r w:rsidRPr="00957B29" w:rsidR="002A3C7F">
        <w:t xml:space="preserve">gang </w:t>
      </w:r>
      <w:r w:rsidRPr="00957B29" w:rsidR="00E95E49">
        <w:t xml:space="preserve">members </w:t>
      </w:r>
      <w:r w:rsidRPr="00957B29" w:rsidR="00057F30">
        <w:t>to kill members</w:t>
      </w:r>
      <w:r w:rsidRPr="00957B29" w:rsidR="00E95E49">
        <w:t xml:space="preserve"> of rival gangs</w:t>
      </w:r>
      <w:r w:rsidRPr="00957B29" w:rsidR="00DA349D">
        <w:t>, without agreement as to</w:t>
      </w:r>
      <w:r w:rsidRPr="00957B29" w:rsidR="005507BC">
        <w:t xml:space="preserve"> any</w:t>
      </w:r>
      <w:r w:rsidRPr="00957B29" w:rsidR="00DA349D">
        <w:t xml:space="preserve"> specific times, persons, or places where killing would take place.</w:t>
      </w:r>
      <w:r w:rsidRPr="00957B29" w:rsidR="00991E14">
        <w:t xml:space="preserve">  </w:t>
      </w:r>
      <w:r w:rsidRPr="00957B29" w:rsidR="007F495C">
        <w:t>The</w:t>
      </w:r>
      <w:r w:rsidRPr="00957B29" w:rsidR="007F24B8">
        <w:t>re was no</w:t>
      </w:r>
      <w:r w:rsidRPr="00957B29" w:rsidR="00A07447">
        <w:t xml:space="preserve"> </w:t>
      </w:r>
      <w:r w:rsidRPr="00957B29" w:rsidR="007F495C">
        <w:t xml:space="preserve">evidence that </w:t>
      </w:r>
      <w:r w:rsidRPr="00957B29" w:rsidR="00DE7DAC">
        <w:t>Hoskins had committed or participated in any act of violence</w:t>
      </w:r>
      <w:r w:rsidRPr="00957B29" w:rsidR="00E44FD3">
        <w:t xml:space="preserve">.  </w:t>
      </w:r>
      <w:r w:rsidRPr="00957B29" w:rsidR="00E65620">
        <w:t>T</w:t>
      </w:r>
      <w:r w:rsidRPr="00957B29" w:rsidR="007F495C">
        <w:t xml:space="preserve">he </w:t>
      </w:r>
      <w:r w:rsidRPr="00957B29" w:rsidR="00D80910">
        <w:t xml:space="preserve">prosecution </w:t>
      </w:r>
      <w:r w:rsidRPr="00957B29" w:rsidR="006877CC">
        <w:t xml:space="preserve">instead </w:t>
      </w:r>
      <w:r w:rsidRPr="00957B29" w:rsidR="002558C8">
        <w:t xml:space="preserve">sought to tie Hoskins to </w:t>
      </w:r>
      <w:r w:rsidRPr="00957B29" w:rsidR="001B330A">
        <w:t>th</w:t>
      </w:r>
      <w:r w:rsidRPr="00957B29" w:rsidR="001A3A39">
        <w:t>e charged</w:t>
      </w:r>
      <w:r w:rsidRPr="00957B29" w:rsidR="00095594">
        <w:t xml:space="preserve"> </w:t>
      </w:r>
      <w:r w:rsidRPr="00957B29" w:rsidR="00C14C08">
        <w:t xml:space="preserve">conspiracy </w:t>
      </w:r>
      <w:r w:rsidRPr="00957B29" w:rsidR="00E65620">
        <w:t xml:space="preserve">primarily </w:t>
      </w:r>
      <w:r w:rsidRPr="00957B29" w:rsidR="00297257">
        <w:t xml:space="preserve">through </w:t>
      </w:r>
      <w:r w:rsidRPr="00957B29" w:rsidR="00C14C08">
        <w:t xml:space="preserve">evidence of </w:t>
      </w:r>
      <w:r w:rsidRPr="00957B29" w:rsidR="00297257">
        <w:t>his gang membership</w:t>
      </w:r>
      <w:r w:rsidRPr="00957B29" w:rsidR="00AD1468">
        <w:t>,</w:t>
      </w:r>
      <w:r w:rsidRPr="00957B29" w:rsidR="00E16899">
        <w:t xml:space="preserve"> </w:t>
      </w:r>
      <w:r w:rsidRPr="00957B29" w:rsidR="00513C3A">
        <w:t xml:space="preserve">access to weapons, and </w:t>
      </w:r>
      <w:r w:rsidRPr="00957B29" w:rsidR="00297257">
        <w:t>social media posts</w:t>
      </w:r>
      <w:r w:rsidRPr="00957B29" w:rsidR="00AE7953">
        <w:t xml:space="preserve"> celebrating violence against rival gang</w:t>
      </w:r>
      <w:r w:rsidRPr="00957B29" w:rsidR="00FF497E">
        <w:t>s</w:t>
      </w:r>
      <w:r w:rsidRPr="00957B29" w:rsidR="00297257">
        <w:t>.</w:t>
      </w:r>
      <w:r w:rsidRPr="00957B29" w:rsidR="000B0DF1">
        <w:t xml:space="preserve">  Hoskins argues th</w:t>
      </w:r>
      <w:r w:rsidRPr="00957B29" w:rsidR="00816E4F">
        <w:t xml:space="preserve">is </w:t>
      </w:r>
      <w:r w:rsidRPr="00957B29" w:rsidR="000B0DF1">
        <w:t xml:space="preserve">evidence is </w:t>
      </w:r>
      <w:r w:rsidRPr="00957B29" w:rsidR="00BB520A">
        <w:t>in</w:t>
      </w:r>
      <w:r w:rsidRPr="00957B29" w:rsidR="000B0DF1">
        <w:t xml:space="preserve">sufficient to support a conviction for conspiracy to commit murder.  </w:t>
      </w:r>
      <w:r w:rsidRPr="00957B29" w:rsidR="00494E55">
        <w:t>R</w:t>
      </w:r>
      <w:r w:rsidRPr="00957B29" w:rsidR="003D78C7">
        <w:t xml:space="preserve">eviewing the </w:t>
      </w:r>
      <w:r w:rsidRPr="00957B29" w:rsidR="00D51A93">
        <w:t xml:space="preserve">entire </w:t>
      </w:r>
      <w:r w:rsidRPr="00957B29" w:rsidR="003D78C7">
        <w:t xml:space="preserve">record in </w:t>
      </w:r>
      <w:r w:rsidRPr="00957B29" w:rsidR="00864804">
        <w:t xml:space="preserve">light </w:t>
      </w:r>
      <w:r w:rsidRPr="00957B29" w:rsidR="003D78C7">
        <w:t xml:space="preserve">of established principles of conspiracy </w:t>
      </w:r>
      <w:r w:rsidRPr="00957B29" w:rsidR="00AB1739">
        <w:t>law</w:t>
      </w:r>
      <w:r w:rsidRPr="00957B29" w:rsidR="003D78C7">
        <w:t>, w</w:t>
      </w:r>
      <w:r w:rsidRPr="00957B29" w:rsidR="000B0DF1">
        <w:t>e agree.  W</w:t>
      </w:r>
      <w:r w:rsidRPr="00957B29" w:rsidR="0069113A">
        <w:t>e</w:t>
      </w:r>
      <w:r w:rsidRPr="00957B29" w:rsidR="009D6757">
        <w:t xml:space="preserve"> </w:t>
      </w:r>
      <w:r w:rsidRPr="00957B29" w:rsidR="00A91608">
        <w:t>reverse the judgment of the Court of Appeal and remand for further proceedings.</w:t>
      </w:r>
    </w:p>
    <w:p w:rsidR="00194D06" w:rsidRPr="00957B29" w:rsidP="00957B29">
      <w:pPr>
        <w:jc w:val="center"/>
        <w:rPr>
          <w:b/>
          <w:bCs/>
        </w:rPr>
      </w:pPr>
      <w:r w:rsidRPr="00957B29">
        <w:rPr>
          <w:b/>
          <w:bCs/>
        </w:rPr>
        <w:t>I.</w:t>
      </w:r>
    </w:p>
    <w:p w:rsidR="00FA74B5" w:rsidRPr="00957B29" w:rsidP="00957B29">
      <w:pPr>
        <w:jc w:val="center"/>
        <w:rPr>
          <w:b/>
          <w:bCs/>
        </w:rPr>
      </w:pPr>
      <w:r w:rsidRPr="00957B29">
        <w:rPr>
          <w:b/>
          <w:bCs/>
        </w:rPr>
        <w:t>A.</w:t>
      </w:r>
    </w:p>
    <w:p w:rsidR="003125C7" w:rsidRPr="00957B29" w:rsidP="00957B29">
      <w:r w:rsidRPr="00957B29">
        <w:tab/>
        <w:t>In the early 2010</w:t>
      </w:r>
      <w:r w:rsidRPr="00957B29" w:rsidR="00265E00">
        <w:t>’</w:t>
      </w:r>
      <w:r w:rsidRPr="00957B29">
        <w:t xml:space="preserve">s, a violent conflict broke out among criminal street gangs in the San Diego area.  The conflict was sparked by the April 2011 killing of Dereck Peppers, who was a member of the 5/9 Brim criminal street gang, a set of the Bloods gang.  </w:t>
      </w:r>
      <w:bookmarkStart w:id="12" w:name="_Hlk119497847"/>
      <w:r w:rsidRPr="00957B29">
        <w:t xml:space="preserve">In response to the killing, the Brim gang declared war on </w:t>
      </w:r>
      <w:r w:rsidRPr="00957B29">
        <w:t>rival Crips gangs</w:t>
      </w:r>
      <w:r w:rsidR="00AC3392">
        <w:t xml:space="preserve">, </w:t>
      </w:r>
      <w:r w:rsidRPr="006F36CE" w:rsidR="00325BEB">
        <w:t xml:space="preserve">leading to </w:t>
      </w:r>
      <w:r w:rsidR="000A6ACA">
        <w:t xml:space="preserve">a spike in gang-related shootings that resulted in multiple injuries and </w:t>
      </w:r>
      <w:r w:rsidR="008C3768">
        <w:t>deaths.</w:t>
      </w:r>
      <w:r w:rsidR="00D301F6">
        <w:t xml:space="preserve">  </w:t>
      </w:r>
      <w:bookmarkEnd w:id="12"/>
    </w:p>
    <w:p w:rsidR="00ED406B" w:rsidRPr="00957B29" w:rsidP="00957B29">
      <w:r w:rsidRPr="00957B29">
        <w:tab/>
        <w:t xml:space="preserve">Hoskins was a member of </w:t>
      </w:r>
      <w:r w:rsidRPr="00957B29" w:rsidR="00834DAE">
        <w:t xml:space="preserve">the </w:t>
      </w:r>
      <w:r w:rsidRPr="00957B29">
        <w:t>5/9 Brim</w:t>
      </w:r>
      <w:r w:rsidRPr="00957B29" w:rsidR="00834DAE">
        <w:t xml:space="preserve"> gang</w:t>
      </w:r>
      <w:r w:rsidRPr="00957B29">
        <w:t xml:space="preserve">.  The prosecution charged him, along with </w:t>
      </w:r>
      <w:r w:rsidRPr="00957B29" w:rsidR="00CA20DC">
        <w:t xml:space="preserve">fellow </w:t>
      </w:r>
      <w:r w:rsidRPr="00957B29" w:rsidR="00D1212B">
        <w:t xml:space="preserve">gang members </w:t>
      </w:r>
      <w:r w:rsidRPr="00957B29" w:rsidR="00CA20DC">
        <w:t xml:space="preserve">Dionte Simpson and Victor Ware, with </w:t>
      </w:r>
      <w:r w:rsidRPr="00957B29" w:rsidR="00BA2E7D">
        <w:t xml:space="preserve">multiple </w:t>
      </w:r>
      <w:r w:rsidRPr="00957B29" w:rsidR="00CA20DC">
        <w:t xml:space="preserve">offenses </w:t>
      </w:r>
      <w:r w:rsidRPr="00957B29" w:rsidR="00BA2E7D">
        <w:t xml:space="preserve">stemming from </w:t>
      </w:r>
      <w:r w:rsidRPr="00957B29" w:rsidR="00C75C21">
        <w:t xml:space="preserve">the </w:t>
      </w:r>
      <w:r w:rsidRPr="00957B29" w:rsidR="00BA2E7D">
        <w:t>events of the early 2010</w:t>
      </w:r>
      <w:r w:rsidRPr="00957B29" w:rsidR="00265E00">
        <w:t>’</w:t>
      </w:r>
      <w:r w:rsidRPr="00957B29" w:rsidR="00BA2E7D">
        <w:t>s</w:t>
      </w:r>
      <w:r w:rsidRPr="00957B29" w:rsidR="00CA20DC">
        <w:t xml:space="preserve">.  </w:t>
      </w:r>
      <w:r w:rsidRPr="00957B29" w:rsidR="001315CF">
        <w:t xml:space="preserve">Among other </w:t>
      </w:r>
      <w:r w:rsidRPr="00957B29" w:rsidR="00B62604">
        <w:t>things</w:t>
      </w:r>
      <w:r w:rsidRPr="00957B29" w:rsidR="001315CF">
        <w:t>, t</w:t>
      </w:r>
      <w:r w:rsidRPr="00957B29" w:rsidR="00CA20DC">
        <w:t xml:space="preserve">he prosecution alleged </w:t>
      </w:r>
      <w:r w:rsidRPr="00957B29" w:rsidR="00B0067E">
        <w:t xml:space="preserve">that all three were participants in a </w:t>
      </w:r>
      <w:r w:rsidRPr="00957B29" w:rsidR="00E01BF4">
        <w:t xml:space="preserve">conspiracy spanning a roughly two-year </w:t>
      </w:r>
      <w:r w:rsidRPr="00957B29" w:rsidR="00DB0E50">
        <w:t>period </w:t>
      </w:r>
      <w:r w:rsidRPr="00957B29" w:rsidR="00E01BF4">
        <w:t xml:space="preserve">between </w:t>
      </w:r>
      <w:bookmarkStart w:id="13" w:name="_Hlk94189211"/>
      <w:r w:rsidRPr="00957B29" w:rsidR="0080386A">
        <w:t xml:space="preserve">January 1, 2012, and April 23, </w:t>
      </w:r>
      <w:r w:rsidRPr="00957B29" w:rsidR="00DB0E50">
        <w:t>2014</w:t>
      </w:r>
      <w:r w:rsidR="00C53D41">
        <w:t xml:space="preserve">, and </w:t>
      </w:r>
      <w:r w:rsidRPr="00957B29">
        <w:t>involving at least 20 Brim members</w:t>
      </w:r>
      <w:r w:rsidRPr="00957B29" w:rsidR="006E6BF8">
        <w:t xml:space="preserve"> in total</w:t>
      </w:r>
      <w:r w:rsidRPr="00957B29">
        <w:t xml:space="preserve">.  The prosecution alleged the object of this conspiracy was </w:t>
      </w:r>
      <w:r w:rsidRPr="00957B29" w:rsidR="00BF5575">
        <w:t>the murder of rival gang members</w:t>
      </w:r>
      <w:r w:rsidRPr="00957B29">
        <w:t>.</w:t>
      </w:r>
    </w:p>
    <w:p w:rsidR="00331BFB" w:rsidRPr="00957B29" w:rsidP="00957B29">
      <w:r w:rsidRPr="00957B29">
        <w:tab/>
        <w:t xml:space="preserve">At trial, the prosecution presented evidence that both Simpson and Ware had either committed or aided and abetted shootings aimed at rival gang members.  By contrast, the prosecution presented no evidence that Hoskins either committed or aided and abetted any act of violence.  Nor did the prosecution present direct evidence that </w:t>
      </w:r>
      <w:r w:rsidRPr="00957B29">
        <w:rPr>
          <w:szCs w:val="26"/>
        </w:rPr>
        <w:t>Hoskins agreed with others to commit violent acts.  T</w:t>
      </w:r>
      <w:r w:rsidRPr="00957B29">
        <w:t>o establish Hoskins’s participation in the charged conspiracy, the prosecution instead relied on four categories of circumstantial evidence:  (1) evidence of Hoskins’s gang membership; (2) evidence that Hoskins had access to a gun on at least one occasion during the conspiracy; (3) evidence of Hoskins’s involvement in the events surrounding the August 27, 2013, shooting of Byreese Taylor; and (4)</w:t>
      </w:r>
      <w:r w:rsidR="00490C0D">
        <w:t> </w:t>
      </w:r>
      <w:r w:rsidRPr="00957B29">
        <w:t>evidence of Hoskins’s social media posts celebrating violence against rival gangs.  Because this case concerns a challenge to the sufficiency of the evidence against Hoskins, we will describe each category of evidence in some detail.</w:t>
      </w:r>
    </w:p>
    <w:p w:rsidR="00067B36" w:rsidRPr="00957B29" w:rsidP="00957B29">
      <w:pPr>
        <w:tabs>
          <w:tab w:val="left" w:pos="1440"/>
        </w:tabs>
        <w:ind w:firstLine="720"/>
      </w:pPr>
      <w:r w:rsidRPr="00957B29">
        <w:rPr>
          <w:i/>
          <w:iCs/>
        </w:rPr>
        <w:t xml:space="preserve">1. Evidence of gang membership.  </w:t>
      </w:r>
      <w:r w:rsidRPr="00957B29">
        <w:t xml:space="preserve">The prosecution presented extensive evidence establishing Hoskins’s </w:t>
      </w:r>
      <w:r w:rsidRPr="00957B29">
        <w:t xml:space="preserve">membership in both the 5/9 Brim and a subset of the gang known as the “Hit Squad.”  This evidence included a photograph showing a large “B” tattooed on Hoskins’s chest, as well as photographs from Hoskins’s phone and social media accounts in which he or other gang members made Brim or “Crip killing” gang signs and wore red clothing associated with the gang.  In addition, Hoskins was a member of the Southside Brim </w:t>
      </w:r>
      <w:r w:rsidR="00B436A8">
        <w:t xml:space="preserve">Gang </w:t>
      </w:r>
      <w:r w:rsidRPr="00957B29">
        <w:t>Facebook group.  In his social media posts</w:t>
      </w:r>
      <w:r w:rsidRPr="00957B29" w:rsidR="009B2248">
        <w:t>,</w:t>
      </w:r>
      <w:r w:rsidRPr="00957B29">
        <w:t xml:space="preserve"> he used unusual spelling and terminology common among Brim members, replacing the letter “C” with either a “K” or “C</w:t>
      </w:r>
      <w:r w:rsidR="00735E17">
        <w:t>k</w:t>
      </w:r>
      <w:r w:rsidRPr="00957B29">
        <w:t xml:space="preserve">” (for “Crip </w:t>
      </w:r>
      <w:r w:rsidR="00735E17">
        <w:t>k</w:t>
      </w:r>
      <w:r w:rsidRPr="00957B29">
        <w:t>iller”</w:t>
      </w:r>
      <w:r w:rsidR="00644C3B">
        <w:t xml:space="preserve"> or “Crip killing”</w:t>
      </w:r>
      <w:r w:rsidRPr="00957B29">
        <w:t xml:space="preserve">) or “B” (for “Blood”), and occasionally signing off his posts with “5/9” (for the 5/9 Brim).  </w:t>
      </w:r>
      <w:r w:rsidR="002835EA">
        <w:t xml:space="preserve">One of his nicknames was “Bick Nick.”  </w:t>
      </w:r>
      <w:r w:rsidRPr="00957B29">
        <w:t xml:space="preserve">The prosecution also introduced a photograph showing </w:t>
      </w:r>
      <w:r w:rsidR="002835EA">
        <w:t>a</w:t>
      </w:r>
      <w:r w:rsidR="00C16493">
        <w:t>nother one</w:t>
      </w:r>
      <w:r w:rsidRPr="00957B29" w:rsidR="002835EA">
        <w:t xml:space="preserve"> </w:t>
      </w:r>
      <w:r w:rsidRPr="00957B29">
        <w:t xml:space="preserve">of Hoskins’s nicknames written on the wall of </w:t>
      </w:r>
      <w:r w:rsidR="00C06FAE">
        <w:t xml:space="preserve">a house belonging to </w:t>
      </w:r>
      <w:r w:rsidRPr="00957B29">
        <w:t xml:space="preserve">an alleged coconspirator, alongside the nicknames of other Brim and Hit Squad members.  Finally, a witness familiar with the defendants testified that Hoskins was part of the Hit Squad, also known at various times as the </w:t>
      </w:r>
      <w:r w:rsidR="00405A35">
        <w:t>“</w:t>
      </w:r>
      <w:r w:rsidRPr="00957B29">
        <w:t>Young Hit Squad</w:t>
      </w:r>
      <w:r w:rsidR="00405A35">
        <w:t>”</w:t>
      </w:r>
      <w:r w:rsidRPr="00957B29">
        <w:t xml:space="preserve"> and the </w:t>
      </w:r>
      <w:r w:rsidR="00405A35">
        <w:t>“</w:t>
      </w:r>
      <w:r w:rsidRPr="00957B29">
        <w:t>Tiny Hit Squad.</w:t>
      </w:r>
      <w:r w:rsidR="00405A35">
        <w:t>”</w:t>
      </w:r>
      <w:r w:rsidRPr="00957B29">
        <w:t xml:space="preserve">  According to the witness, this subset of the Brims had more “shooters” and “K’s,” meaning “kills,” than another subset, the </w:t>
      </w:r>
      <w:r w:rsidR="00774215">
        <w:t>“</w:t>
      </w:r>
      <w:r w:rsidRPr="00957B29">
        <w:t>Hound Unit.</w:t>
      </w:r>
      <w:r w:rsidR="00774215">
        <w:t>”</w:t>
      </w:r>
    </w:p>
    <w:p w:rsidR="00194D06" w:rsidRPr="00957B29" w:rsidP="00957B29">
      <w:pPr>
        <w:tabs>
          <w:tab w:val="left" w:pos="1440"/>
        </w:tabs>
        <w:ind w:firstLine="720"/>
      </w:pPr>
      <w:r w:rsidRPr="00957B29">
        <w:rPr>
          <w:i/>
          <w:iCs/>
        </w:rPr>
        <w:t xml:space="preserve">2. </w:t>
      </w:r>
      <w:r w:rsidRPr="00957B29" w:rsidR="00DB0E50">
        <w:rPr>
          <w:i/>
          <w:iCs/>
        </w:rPr>
        <w:t xml:space="preserve"> </w:t>
      </w:r>
      <w:r w:rsidRPr="00957B29" w:rsidR="006D3CAF">
        <w:rPr>
          <w:i/>
          <w:iCs/>
        </w:rPr>
        <w:t xml:space="preserve">Access to </w:t>
      </w:r>
      <w:r w:rsidRPr="00957B29" w:rsidR="0008263A">
        <w:rPr>
          <w:i/>
          <w:iCs/>
        </w:rPr>
        <w:t>f</w:t>
      </w:r>
      <w:r w:rsidRPr="00957B29" w:rsidR="006D3CAF">
        <w:rPr>
          <w:i/>
          <w:iCs/>
        </w:rPr>
        <w:t>irearms</w:t>
      </w:r>
      <w:r w:rsidRPr="00957B29" w:rsidR="00CD7F20">
        <w:rPr>
          <w:i/>
          <w:iCs/>
        </w:rPr>
        <w:t xml:space="preserve">.  </w:t>
      </w:r>
      <w:r w:rsidRPr="00957B29" w:rsidR="002A13FD">
        <w:t xml:space="preserve">The prosecution presented evidence that </w:t>
      </w:r>
      <w:r w:rsidR="00383088">
        <w:t>in</w:t>
      </w:r>
      <w:r w:rsidRPr="00957B29">
        <w:t xml:space="preserve"> February 2012, Hoskins was </w:t>
      </w:r>
      <w:r w:rsidRPr="00957B29" w:rsidR="00B46495">
        <w:t>riding</w:t>
      </w:r>
      <w:r w:rsidRPr="00957B29">
        <w:t xml:space="preserve"> in a car that was pulled over for a faulty license plate light.  Hoskins and the two other people in the car</w:t>
      </w:r>
      <w:r w:rsidRPr="00957B29" w:rsidR="00525B45">
        <w:t> </w:t>
      </w:r>
      <w:r w:rsidRPr="00957B29">
        <w:t>—</w:t>
      </w:r>
      <w:r w:rsidRPr="00957B29" w:rsidR="00787087">
        <w:t xml:space="preserve"> </w:t>
      </w:r>
      <w:r w:rsidRPr="00957B29">
        <w:t xml:space="preserve">both alleged </w:t>
      </w:r>
      <w:r w:rsidR="0048153C">
        <w:t xml:space="preserve">5/9 </w:t>
      </w:r>
      <w:r w:rsidRPr="00957B29">
        <w:t>Brim members</w:t>
      </w:r>
      <w:r w:rsidRPr="00957B29" w:rsidR="00525B45">
        <w:t> </w:t>
      </w:r>
      <w:r w:rsidRPr="00957B29">
        <w:t xml:space="preserve">— were eventually searched, and Hoskins was found with a loaded firearm </w:t>
      </w:r>
      <w:r w:rsidRPr="003559A3">
        <w:t>concealed in a sock</w:t>
      </w:r>
      <w:r w:rsidRPr="00957B29">
        <w:t xml:space="preserve"> tucked into his pants.  Hoskins was arrested with a fellow Brim member</w:t>
      </w:r>
      <w:r w:rsidRPr="00957B29" w:rsidR="006957A7">
        <w:t>.</w:t>
      </w:r>
      <w:r w:rsidRPr="00957B29" w:rsidR="00DC38DA">
        <w:t xml:space="preserve"> </w:t>
      </w:r>
      <w:r w:rsidRPr="00957B29" w:rsidR="005F1DBC">
        <w:t xml:space="preserve"> </w:t>
      </w:r>
      <w:r w:rsidRPr="00957B29" w:rsidR="006957A7">
        <w:t xml:space="preserve">While the two were in the patrol car, </w:t>
      </w:r>
      <w:r w:rsidRPr="00957B29">
        <w:t xml:space="preserve">Hoskins </w:t>
      </w:r>
      <w:r w:rsidRPr="00957B29" w:rsidR="008C24D4">
        <w:t xml:space="preserve">told the other Brim member </w:t>
      </w:r>
      <w:r w:rsidRPr="00957B29">
        <w:t xml:space="preserve">that he would take responsibility for the gun </w:t>
      </w:r>
      <w:r w:rsidRPr="00957B29" w:rsidR="00DC38DA">
        <w:t>and</w:t>
      </w:r>
      <w:r w:rsidRPr="00957B29" w:rsidR="002E06E4">
        <w:t xml:space="preserve"> </w:t>
      </w:r>
      <w:r w:rsidRPr="00957B29" w:rsidR="009117A9">
        <w:t>other contraband</w:t>
      </w:r>
      <w:r w:rsidRPr="00957B29" w:rsidR="00650B06">
        <w:t xml:space="preserve"> </w:t>
      </w:r>
      <w:r w:rsidRPr="00957B29">
        <w:t xml:space="preserve">found in </w:t>
      </w:r>
      <w:r w:rsidRPr="00957B29">
        <w:t>the car</w:t>
      </w:r>
      <w:r w:rsidRPr="00957B29" w:rsidR="006957A7">
        <w:t xml:space="preserve">.  </w:t>
      </w:r>
      <w:r w:rsidRPr="00957B29" w:rsidR="00E67353">
        <w:t>T</w:t>
      </w:r>
      <w:r w:rsidRPr="00957B29" w:rsidR="004E33EB">
        <w:t xml:space="preserve">here was no evidence linking the gun to any prior shootings.  </w:t>
      </w:r>
    </w:p>
    <w:p w:rsidR="00194D06" w:rsidRPr="00957B29" w:rsidP="00957B29">
      <w:pPr>
        <w:tabs>
          <w:tab w:val="left" w:pos="1440"/>
        </w:tabs>
        <w:ind w:firstLine="720"/>
      </w:pPr>
      <w:r w:rsidRPr="00957B29">
        <w:t>The prosecution also</w:t>
      </w:r>
      <w:r w:rsidRPr="00957B29">
        <w:t xml:space="preserve"> </w:t>
      </w:r>
      <w:r w:rsidRPr="00957B29" w:rsidR="00F259F1">
        <w:t xml:space="preserve">presented evidence </w:t>
      </w:r>
      <w:r w:rsidRPr="00957B29" w:rsidR="001C1683">
        <w:t xml:space="preserve">that </w:t>
      </w:r>
      <w:r w:rsidR="00887FEB">
        <w:t>in</w:t>
      </w:r>
      <w:r w:rsidRPr="00957B29">
        <w:t xml:space="preserve"> August</w:t>
      </w:r>
      <w:r w:rsidR="00887FEB">
        <w:t xml:space="preserve"> </w:t>
      </w:r>
      <w:r w:rsidRPr="00957B29">
        <w:t xml:space="preserve">2012, Hoskins and an unidentified male were questioned by </w:t>
      </w:r>
      <w:r w:rsidRPr="00957B29" w:rsidR="000F2412">
        <w:t>police</w:t>
      </w:r>
      <w:r w:rsidRPr="00957B29">
        <w:t xml:space="preserve"> officers </w:t>
      </w:r>
      <w:r w:rsidRPr="00957B29" w:rsidR="00CA448A">
        <w:t xml:space="preserve">based on </w:t>
      </w:r>
      <w:r w:rsidRPr="00957B29" w:rsidR="007B6A88">
        <w:t xml:space="preserve">a </w:t>
      </w:r>
      <w:r w:rsidRPr="00957B29" w:rsidR="00022A7B">
        <w:t xml:space="preserve">suspected curfew violation.  </w:t>
      </w:r>
      <w:r w:rsidRPr="00957B29" w:rsidR="00CA448A">
        <w:t xml:space="preserve">(In </w:t>
      </w:r>
      <w:r w:rsidRPr="00957B29" w:rsidR="007B6A88">
        <w:t>fact</w:t>
      </w:r>
      <w:r w:rsidRPr="00957B29" w:rsidR="00CA448A">
        <w:t xml:space="preserve">, </w:t>
      </w:r>
      <w:r w:rsidRPr="00957B29" w:rsidR="00A117E1">
        <w:t>Hoskins was 19 years old</w:t>
      </w:r>
      <w:r w:rsidRPr="00957B29" w:rsidR="007B6A88">
        <w:t xml:space="preserve"> at the time, so the curfew did not apply</w:t>
      </w:r>
      <w:r w:rsidRPr="00957B29" w:rsidR="00A117E1">
        <w:t>.</w:t>
      </w:r>
      <w:r w:rsidRPr="00957B29" w:rsidR="0011097F">
        <w:t>)</w:t>
      </w:r>
      <w:r w:rsidRPr="00957B29" w:rsidR="00C45810">
        <w:t xml:space="preserve">  </w:t>
      </w:r>
      <w:r w:rsidRPr="00957B29" w:rsidR="00013FD8">
        <w:t xml:space="preserve">Hoskins was questioned in front of the driveway </w:t>
      </w:r>
      <w:r w:rsidRPr="00957B29" w:rsidR="00317444">
        <w:t>of a house on Florence Street</w:t>
      </w:r>
      <w:r w:rsidRPr="00957B29" w:rsidR="00203049">
        <w:t xml:space="preserve"> and initially gave the police a false name.  </w:t>
      </w:r>
      <w:r w:rsidRPr="00957B29" w:rsidR="00317444">
        <w:t xml:space="preserve">At some point, the unidentified </w:t>
      </w:r>
      <w:r w:rsidRPr="00957B29" w:rsidR="00EE44A1">
        <w:t>male who was</w:t>
      </w:r>
      <w:r w:rsidRPr="00957B29" w:rsidR="00317444">
        <w:t xml:space="preserve"> </w:t>
      </w:r>
      <w:r w:rsidRPr="00957B29" w:rsidR="00203049">
        <w:t xml:space="preserve">with </w:t>
      </w:r>
      <w:r w:rsidRPr="00957B29" w:rsidR="00317444">
        <w:t>Hoskins walked to the backyard of that house</w:t>
      </w:r>
      <w:r w:rsidRPr="00957B29" w:rsidR="00257136">
        <w:t>.</w:t>
      </w:r>
      <w:r w:rsidRPr="00957B29" w:rsidR="00630103">
        <w:t xml:space="preserve">  </w:t>
      </w:r>
      <w:r w:rsidRPr="00957B29" w:rsidR="00257136">
        <w:t>O</w:t>
      </w:r>
      <w:r w:rsidRPr="00957B29" w:rsidR="00317444">
        <w:t>fficers later recovered a loaded revolver</w:t>
      </w:r>
      <w:r w:rsidRPr="00957B29" w:rsidR="00EE44A1">
        <w:t xml:space="preserve"> </w:t>
      </w:r>
      <w:r w:rsidRPr="00957B29" w:rsidR="00775277">
        <w:t xml:space="preserve">from </w:t>
      </w:r>
      <w:r w:rsidRPr="00957B29" w:rsidR="00952948">
        <w:t>the backyard</w:t>
      </w:r>
      <w:r w:rsidRPr="00957B29" w:rsidR="00317444">
        <w:t xml:space="preserve">.  </w:t>
      </w:r>
      <w:r w:rsidRPr="00957B29" w:rsidR="00775277">
        <w:t xml:space="preserve">They had not seen Hoskins enter the backyard, nor was there any evidence that Hoskins </w:t>
      </w:r>
      <w:r w:rsidRPr="00957B29" w:rsidR="008044FD">
        <w:t>knew about the gun.</w:t>
      </w:r>
    </w:p>
    <w:p w:rsidR="00DF250D" w:rsidRPr="00957B29" w:rsidP="00957B29">
      <w:pPr>
        <w:tabs>
          <w:tab w:val="left" w:pos="1440"/>
        </w:tabs>
        <w:ind w:firstLine="720"/>
      </w:pPr>
      <w:r w:rsidRPr="00957B29">
        <w:rPr>
          <w:i/>
          <w:iCs/>
        </w:rPr>
        <w:t xml:space="preserve">3. </w:t>
      </w:r>
      <w:r w:rsidRPr="00957B29" w:rsidR="00DB0E50">
        <w:rPr>
          <w:i/>
          <w:iCs/>
        </w:rPr>
        <w:t xml:space="preserve"> </w:t>
      </w:r>
      <w:r w:rsidRPr="00957B29">
        <w:rPr>
          <w:i/>
          <w:iCs/>
        </w:rPr>
        <w:t>Shooting of Byreese Taylor</w:t>
      </w:r>
      <w:r w:rsidRPr="00957B29" w:rsidR="000E38E7">
        <w:rPr>
          <w:i/>
          <w:iCs/>
        </w:rPr>
        <w:t xml:space="preserve">.  </w:t>
      </w:r>
      <w:r w:rsidRPr="00957B29" w:rsidR="00D41358">
        <w:t xml:space="preserve">On August 27, 2013, </w:t>
      </w:r>
      <w:r w:rsidRPr="00957B29" w:rsidR="00194D06">
        <w:t xml:space="preserve">Taylor was </w:t>
      </w:r>
      <w:r w:rsidRPr="00957B29">
        <w:t xml:space="preserve">walking </w:t>
      </w:r>
      <w:r w:rsidRPr="00957B29" w:rsidR="001073C0">
        <w:t xml:space="preserve">in </w:t>
      </w:r>
      <w:r w:rsidRPr="00957B29">
        <w:t>W</w:t>
      </w:r>
      <w:r w:rsidRPr="00957B29" w:rsidR="00F171E5">
        <w:t xml:space="preserve">est </w:t>
      </w:r>
      <w:r w:rsidRPr="00957B29">
        <w:t>C</w:t>
      </w:r>
      <w:r w:rsidRPr="00957B29" w:rsidR="00F171E5">
        <w:t xml:space="preserve">oast </w:t>
      </w:r>
      <w:r w:rsidRPr="00957B29">
        <w:t>C</w:t>
      </w:r>
      <w:r w:rsidRPr="00957B29" w:rsidR="00F171E5">
        <w:t>rips</w:t>
      </w:r>
      <w:r w:rsidRPr="00957B29" w:rsidR="004F177E">
        <w:t xml:space="preserve"> </w:t>
      </w:r>
      <w:r w:rsidRPr="00957B29" w:rsidR="00D10F6D">
        <w:t xml:space="preserve">(WCC) </w:t>
      </w:r>
      <w:r w:rsidRPr="00957B29">
        <w:t xml:space="preserve">territory </w:t>
      </w:r>
      <w:r w:rsidRPr="00957B29" w:rsidR="00A21C7F">
        <w:t xml:space="preserve">when he was shot </w:t>
      </w:r>
      <w:r w:rsidRPr="00957B29" w:rsidR="00194D06">
        <w:t xml:space="preserve">by a </w:t>
      </w:r>
      <w:r w:rsidR="003B38DE">
        <w:t xml:space="preserve">passenger </w:t>
      </w:r>
      <w:r w:rsidR="00362138">
        <w:t xml:space="preserve">riding </w:t>
      </w:r>
      <w:r w:rsidR="003B38DE">
        <w:t xml:space="preserve">in the front seat of a car.  The passenger, who was wearing a red cloth over his face, was not identified; the driver of the car was </w:t>
      </w:r>
      <w:r w:rsidRPr="00957B29" w:rsidR="00C01A94">
        <w:t xml:space="preserve">Timothy Hurst, a </w:t>
      </w:r>
      <w:r w:rsidR="00E93B55">
        <w:t xml:space="preserve">5/9 </w:t>
      </w:r>
      <w:r w:rsidRPr="00957B29" w:rsidR="00194D06">
        <w:t xml:space="preserve">Brim member.  </w:t>
      </w:r>
      <w:r w:rsidRPr="00957B29" w:rsidR="00F25DEE">
        <w:t xml:space="preserve">According to the prosecution’s gang expert, the shooting appeared to be a mistake:  </w:t>
      </w:r>
      <w:r w:rsidRPr="00957B29" w:rsidR="00194D06">
        <w:t>Taylor was not a rival gang member</w:t>
      </w:r>
      <w:r w:rsidRPr="00957B29" w:rsidR="00204D73">
        <w:t>,</w:t>
      </w:r>
      <w:r w:rsidRPr="00957B29" w:rsidR="00DB6400">
        <w:t xml:space="preserve"> </w:t>
      </w:r>
      <w:r w:rsidRPr="00957B29" w:rsidR="00AF0031">
        <w:t>but</w:t>
      </w:r>
      <w:r w:rsidRPr="00957B29" w:rsidR="00855E3A">
        <w:t xml:space="preserve"> </w:t>
      </w:r>
      <w:r w:rsidRPr="00957B29" w:rsidR="00194D06">
        <w:t xml:space="preserve">a member of a gang allied with </w:t>
      </w:r>
      <w:r w:rsidRPr="00957B29" w:rsidR="003C3682">
        <w:t xml:space="preserve">the </w:t>
      </w:r>
      <w:r w:rsidRPr="00957B29" w:rsidR="00194D06">
        <w:t>Brim</w:t>
      </w:r>
      <w:r w:rsidRPr="00957B29" w:rsidR="003C7097">
        <w:t>s</w:t>
      </w:r>
      <w:r w:rsidRPr="00957B29" w:rsidR="00194D06">
        <w:t xml:space="preserve">.  </w:t>
      </w:r>
      <w:r w:rsidRPr="00957B29" w:rsidR="00F512E9">
        <w:t>Hurst was later arrested</w:t>
      </w:r>
      <w:r w:rsidRPr="00957B29" w:rsidR="00A71A39">
        <w:t xml:space="preserve"> for</w:t>
      </w:r>
      <w:r w:rsidRPr="00957B29" w:rsidR="00F512E9">
        <w:t xml:space="preserve"> and convicted </w:t>
      </w:r>
      <w:r w:rsidRPr="00957B29" w:rsidR="00855DFD">
        <w:t xml:space="preserve">of the </w:t>
      </w:r>
      <w:r w:rsidRPr="00957B29" w:rsidR="00F06F63">
        <w:t>shooting</w:t>
      </w:r>
      <w:r w:rsidRPr="00957B29" w:rsidR="00F512E9">
        <w:t>.</w:t>
      </w:r>
    </w:p>
    <w:p w:rsidR="008C08E6" w:rsidRPr="00957B29" w:rsidP="00957B29">
      <w:pPr>
        <w:tabs>
          <w:tab w:val="left" w:pos="1440"/>
        </w:tabs>
        <w:ind w:firstLine="720"/>
      </w:pPr>
      <w:r w:rsidRPr="00957B29">
        <w:t xml:space="preserve">The evidence showed Hoskins was a longtime friend of Hurst’s.  Their grandmothers were neighbors, and the two men had grown up together and remained close friends.  After Hurst was arrested, officers searched his car and found a mixture of DNA on the passenger side of the vehicle from at least four individuals, including Hoskins’s as “a possible major contributor to that mixture.”  The prosecution expert could not, however, determine when the DNA had entered the van or whether it had </w:t>
      </w:r>
      <w:r w:rsidRPr="00957B29">
        <w:t>arrived through direct contact or was transferred from another object.</w:t>
      </w:r>
    </w:p>
    <w:p w:rsidR="009C31CB" w:rsidRPr="00957B29" w:rsidP="00957B29">
      <w:pPr>
        <w:tabs>
          <w:tab w:val="left" w:pos="1440"/>
        </w:tabs>
        <w:ind w:firstLine="720"/>
      </w:pPr>
      <w:r w:rsidRPr="00957B29">
        <w:t xml:space="preserve">To link Hoskins to the Taylor shooting, the prosecution introduced several photographs of Hoskins and his alleged coconspirators that were taken in the vicinity of the shooting.  This included a photograph, </w:t>
      </w:r>
      <w:r w:rsidRPr="00957B29" w:rsidR="0014325B">
        <w:t>uploaded to</w:t>
      </w:r>
      <w:r w:rsidRPr="00957B29">
        <w:t xml:space="preserve"> Hoskins’s Facebook account on February 21, 2013</w:t>
      </w:r>
      <w:r w:rsidRPr="00957B29" w:rsidR="002B5193">
        <w:t> —</w:t>
      </w:r>
      <w:r w:rsidRPr="00957B29" w:rsidR="003A5D21">
        <w:t xml:space="preserve"> </w:t>
      </w:r>
      <w:r w:rsidRPr="00957B29">
        <w:t>about six months before the Taylor shooting</w:t>
      </w:r>
      <w:r w:rsidRPr="00957B29" w:rsidR="00D721E4">
        <w:t> —</w:t>
      </w:r>
      <w:r w:rsidR="00D721E4">
        <w:t xml:space="preserve"> </w:t>
      </w:r>
      <w:r w:rsidRPr="00957B29">
        <w:t>showing Hurst “tossing up 5/9 Brim and Crip killer” signs.  The prosecution noted that the photograph was taken at a known WCC hangout about a mile from where Taylor was shot and argued</w:t>
      </w:r>
      <w:r w:rsidRPr="00957B29" w:rsidR="00287631">
        <w:t xml:space="preserve"> that</w:t>
      </w:r>
      <w:r w:rsidRPr="00957B29">
        <w:t xml:space="preserve"> the photograph demonstrated the two were “laying the groundwork” for the Taylor shooting.  The prosecution also introduced two </w:t>
      </w:r>
      <w:r w:rsidR="00D721E4">
        <w:t>photographs</w:t>
      </w:r>
      <w:r w:rsidRPr="00957B29" w:rsidR="00D721E4">
        <w:t xml:space="preserve"> — </w:t>
      </w:r>
      <w:r w:rsidR="00D721E4">
        <w:t>posted</w:t>
      </w:r>
      <w:r w:rsidRPr="00957B29">
        <w:t xml:space="preserve"> </w:t>
      </w:r>
      <w:r w:rsidRPr="00957B29" w:rsidR="00802ABA">
        <w:t xml:space="preserve">on Instagram </w:t>
      </w:r>
      <w:r w:rsidRPr="00957B29">
        <w:t>by another Brim member, Edward Paris, on the morning of August 27, 2013</w:t>
      </w:r>
      <w:r w:rsidRPr="00957B29" w:rsidR="00D721E4">
        <w:t> —</w:t>
      </w:r>
      <w:r w:rsidR="00D721E4">
        <w:t xml:space="preserve"> </w:t>
      </w:r>
      <w:r w:rsidRPr="00957B29">
        <w:t xml:space="preserve">showing Hoskins and Paris standing in the same park, throwing up gang signs, and appearing to give the middle finger to WCC.  The photographs were taken about seven hours before Taylor was shot and one mile </w:t>
      </w:r>
      <w:r w:rsidR="00031744">
        <w:t xml:space="preserve">away </w:t>
      </w:r>
      <w:r w:rsidRPr="00957B29">
        <w:t xml:space="preserve">from the location of the shooting.  </w:t>
      </w:r>
    </w:p>
    <w:p w:rsidR="00245C94" w:rsidRPr="00957B29" w:rsidP="00957B29">
      <w:pPr>
        <w:tabs>
          <w:tab w:val="left" w:pos="1440"/>
        </w:tabs>
        <w:ind w:firstLine="720"/>
      </w:pPr>
      <w:r w:rsidRPr="00957B29">
        <w:t>The prosecution also introduced Facebook messages that Hoskins sent</w:t>
      </w:r>
      <w:r w:rsidRPr="00957B29" w:rsidR="005E7EF1">
        <w:t xml:space="preserve"> after the shooting</w:t>
      </w:r>
      <w:r w:rsidRPr="00957B29">
        <w:t xml:space="preserve"> to Taylor and Hurst’s girlfriend</w:t>
      </w:r>
      <w:r w:rsidRPr="00957B29" w:rsidR="00E72026">
        <w:t xml:space="preserve">, </w:t>
      </w:r>
      <w:r w:rsidRPr="00957B29" w:rsidR="005B0C5C">
        <w:t>in</w:t>
      </w:r>
      <w:r w:rsidRPr="00957B29" w:rsidR="00E72026">
        <w:t xml:space="preserve"> which Hoskins discussed the case against Hurst and tried to dissuade Taylor from testifying</w:t>
      </w:r>
      <w:r w:rsidRPr="00957B29" w:rsidR="00304E85">
        <w:t xml:space="preserve"> so that Hurst could “beat his </w:t>
      </w:r>
      <w:r w:rsidRPr="00957B29" w:rsidR="00A25647">
        <w:t>[c]</w:t>
      </w:r>
      <w:r w:rsidRPr="00957B29" w:rsidR="00304E85">
        <w:t>ase.”</w:t>
      </w:r>
      <w:r w:rsidRPr="00957B29" w:rsidR="00E72026">
        <w:t xml:space="preserve"> </w:t>
      </w:r>
      <w:r w:rsidRPr="00957B29" w:rsidR="00605B06">
        <w:t xml:space="preserve"> </w:t>
      </w:r>
      <w:r w:rsidRPr="00957B29" w:rsidR="000F58A3">
        <w:t>Hoskins</w:t>
      </w:r>
      <w:r w:rsidRPr="00957B29" w:rsidR="00C92896">
        <w:t xml:space="preserve"> </w:t>
      </w:r>
      <w:r w:rsidRPr="00957B29" w:rsidR="000F58A3">
        <w:t>threatened</w:t>
      </w:r>
      <w:r w:rsidRPr="00957B29" w:rsidR="00194D06">
        <w:t xml:space="preserve"> </w:t>
      </w:r>
      <w:r w:rsidRPr="00957B29" w:rsidR="00752B53">
        <w:t>to</w:t>
      </w:r>
      <w:r w:rsidRPr="00957B29" w:rsidR="00194D06">
        <w:t xml:space="preserve"> </w:t>
      </w:r>
      <w:r w:rsidRPr="00957B29" w:rsidR="0045035B">
        <w:t>reveal</w:t>
      </w:r>
      <w:r w:rsidRPr="00957B29" w:rsidR="00194D06">
        <w:t xml:space="preserve"> that Taylor was “snitching</w:t>
      </w:r>
      <w:r w:rsidRPr="00957B29" w:rsidR="002F2353">
        <w:t>”</w:t>
      </w:r>
      <w:r w:rsidRPr="00957B29" w:rsidR="00F9696B">
        <w:t> </w:t>
      </w:r>
      <w:r w:rsidRPr="00957B29" w:rsidR="002F2353">
        <w:t>to the police</w:t>
      </w:r>
      <w:r w:rsidR="00723E3C">
        <w:t>,</w:t>
      </w:r>
      <w:r w:rsidRPr="00957B29" w:rsidR="00DB0E50">
        <w:t> </w:t>
      </w:r>
      <w:r w:rsidRPr="00957B29" w:rsidR="006B7687">
        <w:t>but ultimately</w:t>
      </w:r>
      <w:r w:rsidRPr="00957B29" w:rsidR="00BF69E5">
        <w:t xml:space="preserve"> </w:t>
      </w:r>
      <w:r w:rsidRPr="00957B29" w:rsidR="00194D06">
        <w:t>did not</w:t>
      </w:r>
      <w:r w:rsidRPr="00957B29" w:rsidR="00B769DF">
        <w:t xml:space="preserve"> carry out </w:t>
      </w:r>
      <w:r w:rsidRPr="00957B29" w:rsidR="00BF69E5">
        <w:t>t</w:t>
      </w:r>
      <w:r w:rsidRPr="00957B29" w:rsidR="00B769DF">
        <w:t>his threat</w:t>
      </w:r>
      <w:r w:rsidRPr="00957B29" w:rsidR="00194D06">
        <w:t>.</w:t>
      </w:r>
      <w:r w:rsidRPr="00957B29">
        <w:t xml:space="preserve"> </w:t>
      </w:r>
    </w:p>
    <w:p w:rsidR="00D014AC" w:rsidRPr="00957B29" w:rsidP="00957B29">
      <w:pPr>
        <w:tabs>
          <w:tab w:val="left" w:pos="1440"/>
        </w:tabs>
        <w:ind w:firstLine="720"/>
      </w:pPr>
      <w:r w:rsidRPr="00957B29">
        <w:t>About six months after the shooting, Hoskins posted on Facebook:  “I switch up on bitcKh [</w:t>
      </w:r>
      <w:r w:rsidR="00735E17">
        <w:t>n</w:t>
      </w:r>
      <w:r w:rsidRPr="00957B29">
        <w:t>-word</w:t>
      </w:r>
      <w:r w:rsidR="0004055D">
        <w:t>s</w:t>
      </w:r>
      <w:r w:rsidRPr="00957B29">
        <w:t>] fast I Love my Bros But I’m truer to the Kode sHit  I’d turn on TB if he did some gay sHit and vise versa nuttin personal  #onBrims.”</w:t>
      </w:r>
      <w:r>
        <w:rPr>
          <w:rStyle w:val="FootnoteReference"/>
        </w:rPr>
        <w:footnoteReference w:id="3"/>
      </w:r>
      <w:r w:rsidRPr="00957B29">
        <w:t xml:space="preserve">  “TB” referred to Hurst</w:t>
      </w:r>
      <w:r w:rsidRPr="00957B29" w:rsidR="006E5A52">
        <w:t xml:space="preserve">, </w:t>
      </w:r>
      <w:r w:rsidRPr="00957B29" w:rsidR="004B2E2B">
        <w:t xml:space="preserve">who was </w:t>
      </w:r>
      <w:r w:rsidRPr="00957B29">
        <w:t xml:space="preserve">also known as “Tim Brim.”  According to the prosecution’s gang expert, Hoskins meant that he “love[d] his gang,” but was “truer to the code, the code being no snitching.”  The expert suggested Hoskins meant to call out Hurst for talking to the police about the circumstances of the shooting. </w:t>
      </w:r>
    </w:p>
    <w:p w:rsidR="002E09BE" w:rsidRPr="00957B29" w:rsidP="00957B29">
      <w:pPr>
        <w:tabs>
          <w:tab w:val="left" w:pos="1440"/>
        </w:tabs>
        <w:ind w:firstLine="720"/>
      </w:pPr>
      <w:r w:rsidRPr="00957B29">
        <w:rPr>
          <w:i/>
          <w:iCs/>
        </w:rPr>
        <w:t xml:space="preserve">4. </w:t>
      </w:r>
      <w:r w:rsidRPr="00957B29" w:rsidR="00DB0E50">
        <w:rPr>
          <w:i/>
          <w:iCs/>
        </w:rPr>
        <w:t xml:space="preserve"> </w:t>
      </w:r>
      <w:r w:rsidRPr="00957B29">
        <w:rPr>
          <w:i/>
          <w:iCs/>
        </w:rPr>
        <w:t xml:space="preserve">Social </w:t>
      </w:r>
      <w:r w:rsidRPr="00957B29" w:rsidR="002924B9">
        <w:rPr>
          <w:i/>
          <w:iCs/>
        </w:rPr>
        <w:t>m</w:t>
      </w:r>
      <w:r w:rsidRPr="00957B29">
        <w:rPr>
          <w:i/>
          <w:iCs/>
        </w:rPr>
        <w:t xml:space="preserve">edia </w:t>
      </w:r>
      <w:r w:rsidRPr="00957B29" w:rsidR="002924B9">
        <w:rPr>
          <w:i/>
          <w:iCs/>
        </w:rPr>
        <w:t>p</w:t>
      </w:r>
      <w:r w:rsidRPr="00957B29">
        <w:rPr>
          <w:i/>
          <w:iCs/>
        </w:rPr>
        <w:t>osts</w:t>
      </w:r>
      <w:r w:rsidRPr="00957B29" w:rsidR="00972A3E">
        <w:rPr>
          <w:i/>
          <w:iCs/>
        </w:rPr>
        <w:t>.</w:t>
      </w:r>
      <w:r w:rsidRPr="00957B29" w:rsidR="00972A3E">
        <w:t xml:space="preserve">  </w:t>
      </w:r>
      <w:r w:rsidRPr="00957B29" w:rsidR="00B97585">
        <w:t xml:space="preserve">Hoskins was active on social media, and the prosecution introduced extensive </w:t>
      </w:r>
      <w:r w:rsidRPr="00957B29" w:rsidR="00C2726C">
        <w:t>evidence</w:t>
      </w:r>
      <w:r w:rsidRPr="00957B29" w:rsidR="00B97585">
        <w:t xml:space="preserve"> of his </w:t>
      </w:r>
      <w:r w:rsidRPr="00957B29" w:rsidR="007A1D83">
        <w:t xml:space="preserve">social media </w:t>
      </w:r>
      <w:r w:rsidRPr="00957B29" w:rsidR="00B97585">
        <w:t xml:space="preserve">posts and photographs, as well as photographs of Hoskins uploaded to other </w:t>
      </w:r>
      <w:r w:rsidR="009F1DC8">
        <w:t xml:space="preserve">5/9 </w:t>
      </w:r>
      <w:r w:rsidRPr="00957B29" w:rsidR="00B97585">
        <w:t>Brim members’ account</w:t>
      </w:r>
      <w:r w:rsidRPr="00957B29" w:rsidR="005A5B58">
        <w:t xml:space="preserve">s, to demonstrate Hoskins’s awareness and approval of the violent rivalry </w:t>
      </w:r>
      <w:r w:rsidRPr="00957B29" w:rsidR="00436371">
        <w:t>against</w:t>
      </w:r>
      <w:r w:rsidRPr="00957B29" w:rsidR="005A5B58">
        <w:t xml:space="preserve"> Crips.  </w:t>
      </w:r>
      <w:r w:rsidRPr="00957B29" w:rsidR="00B55483">
        <w:t>The prosecution argued</w:t>
      </w:r>
      <w:r w:rsidRPr="00957B29" w:rsidR="004D18AF">
        <w:t xml:space="preserve"> that</w:t>
      </w:r>
      <w:r w:rsidRPr="00957B29" w:rsidR="00B55483">
        <w:t xml:space="preserve"> </w:t>
      </w:r>
      <w:r w:rsidRPr="00957B29" w:rsidR="001D5225">
        <w:t xml:space="preserve">Hoskins’s social media activity provided a “window” into </w:t>
      </w:r>
      <w:r w:rsidRPr="00957B29" w:rsidR="00377BA9">
        <w:t>his</w:t>
      </w:r>
      <w:r w:rsidRPr="00957B29" w:rsidR="001D5225">
        <w:t xml:space="preserve"> mind</w:t>
      </w:r>
      <w:r w:rsidRPr="00957B29" w:rsidR="00240B00">
        <w:t>:</w:t>
      </w:r>
      <w:r w:rsidRPr="00957B29" w:rsidR="003065DF">
        <w:t xml:space="preserve"> </w:t>
      </w:r>
      <w:r w:rsidRPr="00957B29" w:rsidR="006E72A3">
        <w:t xml:space="preserve"> </w:t>
      </w:r>
      <w:r w:rsidRPr="00957B29" w:rsidR="00100F76">
        <w:t xml:space="preserve">his posts </w:t>
      </w:r>
      <w:r w:rsidRPr="00957B29" w:rsidR="00B2244E">
        <w:t>were</w:t>
      </w:r>
      <w:r w:rsidRPr="00957B29" w:rsidR="00100F76">
        <w:t xml:space="preserve"> “his words</w:t>
      </w:r>
      <w:r w:rsidRPr="00957B29" w:rsidR="0007381D">
        <w:t>,</w:t>
      </w:r>
      <w:r w:rsidRPr="00957B29" w:rsidR="00100F76">
        <w:t>”</w:t>
      </w:r>
      <w:r w:rsidRPr="00957B29" w:rsidR="0007381D">
        <w:t xml:space="preserve"> gave </w:t>
      </w:r>
      <w:r w:rsidRPr="00957B29" w:rsidR="004C7B09">
        <w:t>the jury</w:t>
      </w:r>
      <w:r w:rsidRPr="00957B29" w:rsidR="0007381D">
        <w:t xml:space="preserve"> “an idea of the mindsight of Mr. Hoskins,”</w:t>
      </w:r>
      <w:r w:rsidRPr="00957B29" w:rsidR="00100F76">
        <w:t xml:space="preserve"> and </w:t>
      </w:r>
      <w:r w:rsidRPr="00957B29" w:rsidR="004722E7">
        <w:t>reflect</w:t>
      </w:r>
      <w:r w:rsidRPr="00957B29" w:rsidR="00B2244E">
        <w:t>ed</w:t>
      </w:r>
      <w:r w:rsidRPr="00957B29" w:rsidR="004722E7">
        <w:t xml:space="preserve"> </w:t>
      </w:r>
      <w:r w:rsidRPr="00957B29" w:rsidR="00C51C27">
        <w:t>a</w:t>
      </w:r>
      <w:r w:rsidRPr="00957B29" w:rsidR="004722E7">
        <w:t xml:space="preserve"> </w:t>
      </w:r>
      <w:r w:rsidRPr="00957B29" w:rsidR="00100F76">
        <w:t xml:space="preserve">desire to “tell[] the world on Facebook” that he </w:t>
      </w:r>
      <w:r w:rsidRPr="00957B29" w:rsidR="000208C4">
        <w:t>was</w:t>
      </w:r>
      <w:r w:rsidRPr="00957B29" w:rsidR="00100F76">
        <w:t xml:space="preserve"> serious about his “Crip killing.”  </w:t>
      </w:r>
      <w:r w:rsidRPr="00957B29" w:rsidR="00B61B8D">
        <w:t xml:space="preserve">The prosecution also </w:t>
      </w:r>
      <w:r w:rsidRPr="00957B29" w:rsidR="00287209">
        <w:t>argued</w:t>
      </w:r>
      <w:r w:rsidRPr="00957B29" w:rsidR="00B61B8D">
        <w:t xml:space="preserve"> that Hoskins used social media to disrespect rival gang members</w:t>
      </w:r>
      <w:r w:rsidRPr="00957B29" w:rsidR="001F1FEE">
        <w:t>.  H</w:t>
      </w:r>
      <w:r w:rsidRPr="00957B29" w:rsidR="00565D6B">
        <w:t xml:space="preserve">e was </w:t>
      </w:r>
      <w:r w:rsidRPr="00957B29" w:rsidR="009D0926">
        <w:t>Facebook “friends” with at least two rival gang members, one of whom was a victim in a shooting allegedly committed by a Brim member</w:t>
      </w:r>
      <w:r w:rsidRPr="00957B29" w:rsidR="008E28E8">
        <w:t xml:space="preserve">, </w:t>
      </w:r>
      <w:r w:rsidRPr="00957B29" w:rsidR="006B0EE0">
        <w:t>indicating that at</w:t>
      </w:r>
      <w:r w:rsidRPr="00957B29" w:rsidR="001042D7">
        <w:t xml:space="preserve"> least some rival</w:t>
      </w:r>
      <w:r w:rsidRPr="00957B29" w:rsidR="001F1FEE">
        <w:t xml:space="preserve"> gang</w:t>
      </w:r>
      <w:r w:rsidRPr="00957B29" w:rsidR="001042D7">
        <w:t xml:space="preserve"> members</w:t>
      </w:r>
      <w:r w:rsidRPr="00957B29" w:rsidR="008E28E8">
        <w:t xml:space="preserve"> could view his </w:t>
      </w:r>
      <w:r w:rsidRPr="00957B29" w:rsidR="00575CF2">
        <w:t xml:space="preserve">Facebook </w:t>
      </w:r>
      <w:r w:rsidRPr="00957B29" w:rsidR="008E28E8">
        <w:t>posts</w:t>
      </w:r>
      <w:r w:rsidRPr="00957B29" w:rsidR="009D0926">
        <w:t xml:space="preserve">.  </w:t>
      </w:r>
      <w:r w:rsidRPr="00957B29" w:rsidR="00015AFF">
        <w:t xml:space="preserve">Though some of Hoskins’s status updates could be seen and commented on by nonfriends, it was otherwise unclear which of his posts were publicly accessible </w:t>
      </w:r>
      <w:r w:rsidR="00F94E4D">
        <w:t>and which were</w:t>
      </w:r>
      <w:r w:rsidRPr="00957B29" w:rsidR="00F94E4D">
        <w:t xml:space="preserve"> </w:t>
      </w:r>
      <w:r w:rsidRPr="00957B29" w:rsidR="00015AFF">
        <w:t>visible only to his Facebook friends.</w:t>
      </w:r>
    </w:p>
    <w:p w:rsidR="009E1EF8" w:rsidRPr="00957B29" w:rsidP="00957B29">
      <w:pPr>
        <w:tabs>
          <w:tab w:val="left" w:pos="1440"/>
        </w:tabs>
        <w:ind w:firstLine="720"/>
      </w:pPr>
      <w:r w:rsidRPr="00957B29">
        <w:t>Some of the posts were close in time or location to gang-related shootings, which the prosecution offered as proof that Hoskins was “encouraging, promoting, and furthering the violence.”  For example, in April 2012, several days after a rival Crips gang member was shot, Hoskins posted on Facebook that “cKrossys”</w:t>
      </w:r>
      <w:r w:rsidRPr="00957B29" w:rsidR="00DB0E50">
        <w:t> </w:t>
      </w:r>
      <w:r w:rsidRPr="00957B29">
        <w:t>— referring to the Crips</w:t>
      </w:r>
      <w:r w:rsidRPr="00957B29" w:rsidR="00DB0E50">
        <w:t> </w:t>
      </w:r>
      <w:r w:rsidRPr="00957B29">
        <w:t>— “got Hit, all I need is some Dro and my day is set.”</w:t>
      </w:r>
      <w:r>
        <w:rPr>
          <w:rStyle w:val="FootnoteReference"/>
        </w:rPr>
        <w:footnoteReference w:id="4"/>
      </w:r>
      <w:r w:rsidRPr="00957B29">
        <w:t xml:space="preserve">  Two </w:t>
      </w:r>
      <w:r w:rsidR="00287F24">
        <w:t xml:space="preserve">5/9 </w:t>
      </w:r>
      <w:r w:rsidRPr="00957B29">
        <w:t xml:space="preserve">Brim members were later prosecuted for the shooting and convicted.  In February 2013, Hoskins posted a photograph of Hurst standing at a recognizable street intersection, near the site of a January 2012 shooting in WCC gang territory that was linked to the Brims.  The prosecution suggested Hoskins posted the photograph to “brag about” the 2012 shooting.  </w:t>
      </w:r>
    </w:p>
    <w:p w:rsidR="00BF310B" w:rsidRPr="00957B29" w:rsidP="00957B29">
      <w:pPr>
        <w:tabs>
          <w:tab w:val="left" w:pos="1440"/>
        </w:tabs>
        <w:ind w:firstLine="720"/>
      </w:pPr>
      <w:r w:rsidRPr="00957B29">
        <w:t xml:space="preserve">Other posts seemingly taunted rivals.  In February 2013, Hoskins posted a photograph of himself in a well-known WCC park with the caption, “cKome Out nd play!  We out Here!  Earth is my turf &amp; dats #OnMyTurf!”  In his opening statement, the prosecutor emphasized that “[i]n the world of gangs, respect is paramount,” and that going into rival gang territory and “post[ing] it for everyone to see” is “incredibly disrespectful.”  In March 2014, WCC member Paris Hill was murdered.  The </w:t>
      </w:r>
      <w:r w:rsidR="004B57FE">
        <w:t xml:space="preserve">5/9 </w:t>
      </w:r>
      <w:r w:rsidRPr="00957B29">
        <w:t xml:space="preserve">Brims were not suspected to be involved in Hill’s death.  A few days later, Hoskins posted on Facebook: </w:t>
      </w:r>
      <w:r w:rsidRPr="00957B29" w:rsidR="00DB0E50">
        <w:t xml:space="preserve"> </w:t>
      </w:r>
      <w:r w:rsidRPr="00957B29">
        <w:t>“That’s some gay sHit not Gansta yall getBacK taggin in the set?  That’s all yo DeadHomie worth?  That’s why I kall yall cKraBs.”  The prosecution argued that Hoskins knew some WCC members would see his message and was mocking them for their response to Hill’s death</w:t>
      </w:r>
      <w:r w:rsidR="005744D7">
        <w:t>, calling them</w:t>
      </w:r>
      <w:r w:rsidRPr="00957B29">
        <w:t xml:space="preserve"> a derogatory term for Crips members, “crabs.”  Hoskins also posted that message hours after WCC gang member Carlton Blue had been shot; the Brims were suspected to be involved in Blue’s shooting.  The prosecution also introduced various online exchanges, including messages between Hoskins and a rival WCC member taunting each other about a brief encounter on the street.</w:t>
      </w:r>
    </w:p>
    <w:p w:rsidR="00BF310B" w:rsidRPr="00957B29" w:rsidP="00957B29">
      <w:pPr>
        <w:tabs>
          <w:tab w:val="left" w:pos="1440"/>
        </w:tabs>
        <w:ind w:firstLine="720"/>
      </w:pPr>
      <w:r w:rsidRPr="00957B29">
        <w:t>Finally, the prosecution introduced a number of Hoskins’s Facebook posts in which he celebrated violence against rival gangs and described his life as a gang member.  In one post, Hoskins wrote that he was “tired of grindin, fighting, runnin, jail, death, stress, betrayal and everything else this game has to offer but it’s what we signed up for right?”  On other occasions, he wrote, “Never BacK Down is the MuthafucKin motto!” and “Violence may Be the easy thing to do But I like easy, it makes sense! #9s!,” with “#9s” referring to the 5/9 Brims.  In a separate post, Hoskins wrote in part, “Bl59ds kill rips &amp; rips kill Bl59ds [</w:t>
      </w:r>
      <w:r w:rsidR="00735E17">
        <w:t>n</w:t>
      </w:r>
      <w:r w:rsidRPr="00957B29">
        <w:t xml:space="preserve">-words] . . . these are all things we already know so why do we trip?  Started with a cKhoicKe,” which the prosecution’s gang expert translated in part to, “Bloods kill Crips.  Crips kill Bloods.”  Hoskins also explained what it meant to be an “OG or older homie/general,” writing that gaining such an elevated status “isn’t established by age or how long you been around I mean it Kount But u need the stripes and reputation to matcKh.  Bighomie lol.”  According to the prosecution’s gang expert, this meant that building one’s status and reputation within the gang required putting in the “work,” which could involve “some type of mission,” such as a burglary, robbery, or shooting.  </w:t>
      </w:r>
      <w:r w:rsidRPr="00957B29" w:rsidR="003B7560">
        <w:t>To prove</w:t>
      </w:r>
      <w:r w:rsidRPr="00957B29">
        <w:t xml:space="preserve"> that Hoskins had acquired an elevated status, the prosecution introduced Facebook evidence of Hoskins identifying himself as “Big Bick Nick” and </w:t>
      </w:r>
      <w:r w:rsidR="002443AF">
        <w:t xml:space="preserve">of </w:t>
      </w:r>
      <w:r w:rsidRPr="00957B29">
        <w:t xml:space="preserve">a fellow Brim member </w:t>
      </w:r>
      <w:r w:rsidR="0065515D">
        <w:t xml:space="preserve">identifying himself </w:t>
      </w:r>
      <w:r w:rsidRPr="00957B29">
        <w:t>as “Little Bick Nick”; according to the prosecution’s expert, it was a sign of respect for a younger member to take an older member’s name, and this usually indicated that the older member was “working towards OG status.”</w:t>
      </w:r>
    </w:p>
    <w:p w:rsidR="00194D06" w:rsidRPr="00957B29" w:rsidP="00957B29">
      <w:pPr>
        <w:tabs>
          <w:tab w:val="left" w:pos="720"/>
        </w:tabs>
      </w:pPr>
      <w:r w:rsidRPr="00957B29">
        <w:tab/>
      </w:r>
      <w:r w:rsidRPr="00957B29" w:rsidR="00BF310B">
        <w:t xml:space="preserve">The prosecution also called attention to several of Hoskins’s Facebook posts, including: </w:t>
      </w:r>
      <w:r w:rsidRPr="00957B29" w:rsidR="00DB0E50">
        <w:t xml:space="preserve"> </w:t>
      </w:r>
      <w:r w:rsidRPr="00957B29" w:rsidR="00F80BAC">
        <w:t xml:space="preserve">(1) </w:t>
      </w:r>
      <w:r w:rsidRPr="00957B29" w:rsidR="001F6B46">
        <w:t xml:space="preserve">a </w:t>
      </w:r>
      <w:r w:rsidRPr="00957B29" w:rsidR="00C64DCB">
        <w:t xml:space="preserve">February 2013 photograph of Hoskins making the Crip </w:t>
      </w:r>
      <w:r w:rsidRPr="00957B29" w:rsidR="006537B7">
        <w:t>k</w:t>
      </w:r>
      <w:r w:rsidRPr="00957B29" w:rsidR="00C64DCB">
        <w:t>iller hand sign</w:t>
      </w:r>
      <w:r w:rsidRPr="00957B29" w:rsidR="00AA20C0">
        <w:t xml:space="preserve"> </w:t>
      </w:r>
      <w:r w:rsidRPr="00957B29" w:rsidR="006063AB">
        <w:t>with the caption</w:t>
      </w:r>
      <w:r w:rsidRPr="00957B29" w:rsidR="00AA20C0">
        <w:t xml:space="preserve">, </w:t>
      </w:r>
      <w:r w:rsidRPr="00957B29" w:rsidR="00C64DCB">
        <w:t>“</w:t>
      </w:r>
      <w:r w:rsidRPr="00957B29" w:rsidR="00365DDE">
        <w:t>Spell it BicK NicK tell he really Bout his cK’s</w:t>
      </w:r>
      <w:r w:rsidRPr="00957B29" w:rsidR="00E54888">
        <w:t>,</w:t>
      </w:r>
      <w:r w:rsidRPr="00957B29" w:rsidR="00365DDE">
        <w:t>”</w:t>
      </w:r>
      <w:r w:rsidRPr="00957B29" w:rsidR="00E54888">
        <w:t xml:space="preserve"> </w:t>
      </w:r>
      <w:r w:rsidRPr="00957B29" w:rsidR="00407B67">
        <w:t>with “cK’s” meaning</w:t>
      </w:r>
      <w:r w:rsidRPr="00957B29" w:rsidR="00E54888">
        <w:t xml:space="preserve"> “Crip killing</w:t>
      </w:r>
      <w:r w:rsidRPr="00957B29" w:rsidR="00BE2A03">
        <w:t>,</w:t>
      </w:r>
      <w:r w:rsidRPr="00957B29" w:rsidR="00E54888">
        <w:t>”</w:t>
      </w:r>
      <w:r w:rsidRPr="00957B29" w:rsidR="00BE2A03">
        <w:t xml:space="preserve"> (2) </w:t>
      </w:r>
      <w:r w:rsidRPr="00957B29" w:rsidR="00C94B68">
        <w:t xml:space="preserve">a May </w:t>
      </w:r>
      <w:r w:rsidRPr="00957B29" w:rsidR="00787D7E">
        <w:t>2014</w:t>
      </w:r>
      <w:r w:rsidRPr="00957B29" w:rsidR="00C94B68">
        <w:t xml:space="preserve"> photograph of Hoskins wearing a red bandana </w:t>
      </w:r>
      <w:r w:rsidRPr="00957B29" w:rsidR="006063AB">
        <w:t xml:space="preserve">around </w:t>
      </w:r>
      <w:r w:rsidRPr="00957B29" w:rsidR="00C94B68">
        <w:t>his face</w:t>
      </w:r>
      <w:r w:rsidR="0007417F">
        <w:t>,</w:t>
      </w:r>
      <w:r w:rsidRPr="00957B29" w:rsidR="00253C4D">
        <w:t xml:space="preserve"> </w:t>
      </w:r>
      <w:r w:rsidRPr="00957B29" w:rsidR="008D4912">
        <w:t xml:space="preserve">with </w:t>
      </w:r>
      <w:r w:rsidRPr="00957B29" w:rsidR="00253C4D">
        <w:t xml:space="preserve">the </w:t>
      </w:r>
      <w:r w:rsidRPr="00957B29" w:rsidR="00066E19">
        <w:t>caption</w:t>
      </w:r>
      <w:r w:rsidR="000A6509">
        <w:t>,</w:t>
      </w:r>
      <w:r w:rsidRPr="00957B29" w:rsidR="00066E19">
        <w:t xml:space="preserve"> </w:t>
      </w:r>
      <w:r w:rsidRPr="00957B29" w:rsidR="00F62378">
        <w:t>“</w:t>
      </w:r>
      <w:r w:rsidRPr="00957B29" w:rsidR="00953C2A">
        <w:t>Rags around our facKe to Beat the Kase inKase a [n-word] look 5/9 BrimGang</w:t>
      </w:r>
      <w:r w:rsidRPr="00957B29" w:rsidR="008D4912">
        <w:t xml:space="preserve">,” accompanied by several terms related to the </w:t>
      </w:r>
      <w:r w:rsidRPr="00957B29" w:rsidR="00F12406">
        <w:t xml:space="preserve">rival </w:t>
      </w:r>
      <w:r w:rsidRPr="00957B29" w:rsidR="008D4912">
        <w:t xml:space="preserve">WCC and </w:t>
      </w:r>
      <w:r w:rsidRPr="00957B29" w:rsidR="00F12406">
        <w:t xml:space="preserve">Neighborhood Crips </w:t>
      </w:r>
      <w:r w:rsidRPr="00957B29" w:rsidR="00265E00">
        <w:t>(</w:t>
      </w:r>
      <w:r w:rsidRPr="00957B29" w:rsidR="00F12406">
        <w:t>NC</w:t>
      </w:r>
      <w:r w:rsidRPr="00957B29" w:rsidR="00265E00">
        <w:t>)</w:t>
      </w:r>
      <w:r w:rsidRPr="00957B29" w:rsidR="008D4912">
        <w:t xml:space="preserve"> gangs, </w:t>
      </w:r>
      <w:r w:rsidRPr="00957B29" w:rsidR="000F62FC">
        <w:t xml:space="preserve">and </w:t>
      </w:r>
      <w:r w:rsidRPr="00957B29" w:rsidR="00137587">
        <w:t xml:space="preserve">(3) </w:t>
      </w:r>
      <w:r w:rsidRPr="00957B29" w:rsidR="00627016">
        <w:t>a</w:t>
      </w:r>
      <w:r w:rsidRPr="00957B29" w:rsidR="00F22135">
        <w:t xml:space="preserve"> May 2014 status update</w:t>
      </w:r>
      <w:r w:rsidRPr="00957B29" w:rsidR="00627016">
        <w:t xml:space="preserve">, </w:t>
      </w:r>
      <w:r w:rsidRPr="00957B29" w:rsidR="00613313">
        <w:t>“</w:t>
      </w:r>
      <w:r w:rsidRPr="00957B29" w:rsidR="00364A5F">
        <w:t xml:space="preserve">Ganstas don’t flicK it with gigs they use em,” which the prosecution gang expert </w:t>
      </w:r>
      <w:r w:rsidRPr="00957B29" w:rsidR="008E6E04">
        <w:t xml:space="preserve">translated </w:t>
      </w:r>
      <w:r w:rsidRPr="00957B29" w:rsidR="00E47B7C">
        <w:t>as</w:t>
      </w:r>
      <w:r w:rsidRPr="00957B29" w:rsidR="00364A5F">
        <w:t>, “Real gangsters don’t take pictures with their guns.  They use them.”</w:t>
      </w:r>
      <w:r w:rsidRPr="00957B29" w:rsidR="003C04D1">
        <w:t xml:space="preserve">  The prosecution also introduced a March 2014 post</w:t>
      </w:r>
      <w:r w:rsidRPr="00957B29" w:rsidR="003A3A71">
        <w:t xml:space="preserve"> from Hoskins</w:t>
      </w:r>
      <w:r w:rsidRPr="00957B29" w:rsidR="005C7F72">
        <w:t xml:space="preserve">: </w:t>
      </w:r>
      <w:r w:rsidRPr="00957B29" w:rsidR="0020078B">
        <w:t xml:space="preserve"> </w:t>
      </w:r>
      <w:r w:rsidRPr="00957B29" w:rsidR="003C04D1">
        <w:t>“My okkupation Steal,Kill,&amp;Deal everything gotta prise even your life</w:t>
      </w:r>
      <w:r w:rsidRPr="00957B29" w:rsidR="00194752">
        <w:t>.</w:t>
      </w:r>
      <w:r w:rsidRPr="00957B29" w:rsidR="007629B5">
        <w:t>”</w:t>
      </w:r>
      <w:r w:rsidRPr="00957B29" w:rsidR="00194752">
        <w:t xml:space="preserve">  The prosecution’s gang expert explained this meant that Hoskins saw his job as to “steal, kill, and deal,” and that, as part of his work, he would “put a value on anything,” “even your life.”</w:t>
      </w:r>
      <w:r w:rsidRPr="00957B29" w:rsidR="008D2FB3">
        <w:t xml:space="preserve">  </w:t>
      </w:r>
      <w:r w:rsidRPr="00957B29" w:rsidR="00224A1A">
        <w:t>T</w:t>
      </w:r>
      <w:r w:rsidRPr="00957B29" w:rsidR="00943342">
        <w:t xml:space="preserve">he prosecution’s gang expert </w:t>
      </w:r>
      <w:r w:rsidRPr="00957B29" w:rsidR="00224A1A">
        <w:t xml:space="preserve">also </w:t>
      </w:r>
      <w:r w:rsidRPr="00957B29" w:rsidR="00943342">
        <w:t>acknowledged</w:t>
      </w:r>
      <w:r w:rsidRPr="00957B29" w:rsidR="00224A1A">
        <w:t>, however,</w:t>
      </w:r>
      <w:r w:rsidRPr="00957B29" w:rsidR="00943342">
        <w:t xml:space="preserve"> that not every </w:t>
      </w:r>
      <w:r w:rsidR="00821112">
        <w:t xml:space="preserve">5/9 </w:t>
      </w:r>
      <w:r w:rsidRPr="00957B29" w:rsidR="00943342">
        <w:t>Brim member who displayed “C</w:t>
      </w:r>
      <w:r w:rsidR="00C2474F">
        <w:t>k</w:t>
      </w:r>
      <w:r w:rsidRPr="00957B29" w:rsidR="00943342">
        <w:t>” on social media killed Crips</w:t>
      </w:r>
      <w:r w:rsidRPr="00957B29" w:rsidR="006A2D04">
        <w:t>;</w:t>
      </w:r>
      <w:r w:rsidRPr="00957B29" w:rsidR="00943342">
        <w:t xml:space="preserve"> that some members might “do it strictly on social media</w:t>
      </w:r>
      <w:r w:rsidRPr="00957B29" w:rsidR="005C333E">
        <w:t>,</w:t>
      </w:r>
      <w:r w:rsidRPr="00957B29" w:rsidR="006A2D04">
        <w:t>”</w:t>
      </w:r>
      <w:r w:rsidRPr="00957B29" w:rsidR="005C333E">
        <w:t xml:space="preserve"> meaning only post about Crip killing without actually </w:t>
      </w:r>
      <w:r w:rsidRPr="00957B29" w:rsidR="00AA4AC3">
        <w:t>doing so</w:t>
      </w:r>
      <w:r w:rsidRPr="00957B29" w:rsidR="006A2D04">
        <w:t>;</w:t>
      </w:r>
      <w:r w:rsidRPr="00957B29" w:rsidR="00943342">
        <w:t xml:space="preserve"> and that not all Brim members commit crimes. </w:t>
      </w:r>
    </w:p>
    <w:p w:rsidR="00194D06" w:rsidRPr="00957B29" w:rsidP="00957B29">
      <w:pPr>
        <w:tabs>
          <w:tab w:val="left" w:pos="1440"/>
        </w:tabs>
        <w:ind w:left="360"/>
        <w:jc w:val="center"/>
        <w:rPr>
          <w:b/>
          <w:bCs/>
        </w:rPr>
      </w:pPr>
      <w:bookmarkEnd w:id="13"/>
      <w:r w:rsidRPr="00957B29">
        <w:rPr>
          <w:b/>
          <w:bCs/>
        </w:rPr>
        <w:t>B.</w:t>
      </w:r>
    </w:p>
    <w:p w:rsidR="00F07E07" w:rsidRPr="00957B29" w:rsidP="00957B29">
      <w:pPr>
        <w:tabs>
          <w:tab w:val="left" w:pos="1440"/>
        </w:tabs>
        <w:ind w:firstLine="720"/>
      </w:pPr>
      <w:r w:rsidRPr="00957B29">
        <w:t>The jury found Hoskins and his codefendants guilty of conspiracy to commit murder, in addition to other offenses</w:t>
      </w:r>
      <w:r w:rsidRPr="00957B29" w:rsidR="002D6DBB">
        <w:t>.</w:t>
      </w:r>
      <w:r w:rsidRPr="00957B29">
        <w:t xml:space="preserve">  Hoskins was also convicted of participation in a criminal street gang conspiracy, in violation of Penal Code section 182.5, while his two codefendants were convicted of various offenses including attempted murder.  As to all three defendants, the jury found the conspiracy was for the benefit of a criminal street gang.  (Pen. Code, §</w:t>
      </w:r>
      <w:r w:rsidRPr="00957B29" w:rsidR="00DB0E50">
        <w:t> </w:t>
      </w:r>
      <w:r w:rsidRPr="00957B29">
        <w:t>186.22</w:t>
      </w:r>
      <w:r w:rsidRPr="00957B29" w:rsidR="006E72A3">
        <w:t xml:space="preserve">, subd. </w:t>
      </w:r>
      <w:r w:rsidRPr="00957B29">
        <w:t>(b)(1).)  Hoskins was sentenced to 25 years to life in prison.  (</w:t>
      </w:r>
      <w:r w:rsidRPr="00957B29" w:rsidR="006E72A3">
        <w:rPr>
          <w:i/>
          <w:iCs/>
        </w:rPr>
        <w:t>Id.</w:t>
      </w:r>
      <w:r w:rsidR="00981619">
        <w:t>,</w:t>
      </w:r>
      <w:r w:rsidRPr="00957B29">
        <w:t xml:space="preserve"> §§ 182, subd. (a) [conspiracy], 187, subd. (a) [murder].)</w:t>
      </w:r>
    </w:p>
    <w:p w:rsidR="00194D06" w:rsidRPr="00957B29" w:rsidP="00957B29">
      <w:pPr>
        <w:tabs>
          <w:tab w:val="left" w:pos="1440"/>
        </w:tabs>
        <w:ind w:firstLine="720"/>
      </w:pPr>
      <w:r w:rsidRPr="00957B29">
        <w:t xml:space="preserve">On appeal, Hoskins challenged the sufficiency of the evidence supporting his convictions.  </w:t>
      </w:r>
      <w:r w:rsidRPr="00957B29" w:rsidR="002E2826">
        <w:t xml:space="preserve">The Court of Appeal reversed the gang conspiracy conviction for </w:t>
      </w:r>
      <w:r w:rsidRPr="00957B29" w:rsidR="00024A70">
        <w:t>lack of</w:t>
      </w:r>
      <w:r w:rsidRPr="00957B29" w:rsidR="002E2826">
        <w:t xml:space="preserve"> evidence </w:t>
      </w:r>
      <w:r w:rsidRPr="00957B29" w:rsidR="00024A70">
        <w:t xml:space="preserve">establishing </w:t>
      </w:r>
      <w:r w:rsidRPr="00957B29" w:rsidR="002E2826">
        <w:t>a particular element of that offense.</w:t>
      </w:r>
      <w:r>
        <w:rPr>
          <w:rStyle w:val="FootnoteReference"/>
        </w:rPr>
        <w:footnoteReference w:id="5"/>
      </w:r>
      <w:r w:rsidRPr="00957B29" w:rsidR="002E2826">
        <w:t xml:space="preserve">  But the court rejected Hoskins’s challenge to his murder conspiracy conviction, finding sufficient evidence that Hoskins and his alleged coconspirators “came to a mutual understanding to murder rival NC and WCC gang members and that [Hoskins] participated in the conspiracy.”  (</w:t>
      </w:r>
      <w:r w:rsidRPr="00957B29" w:rsidR="002E2826">
        <w:rPr>
          <w:i/>
          <w:iCs/>
        </w:rPr>
        <w:t>Ware</w:t>
      </w:r>
      <w:r w:rsidRPr="00957B29" w:rsidR="00265E00">
        <w:t>,</w:t>
      </w:r>
      <w:r w:rsidRPr="00957B29" w:rsidR="00265E00">
        <w:rPr>
          <w:i/>
          <w:iCs/>
        </w:rPr>
        <w:t xml:space="preserve"> supra</w:t>
      </w:r>
      <w:r w:rsidRPr="00957B29" w:rsidR="00265E00">
        <w:t>,</w:t>
      </w:r>
      <w:r w:rsidRPr="00957B29" w:rsidR="002E2826">
        <w:t xml:space="preserve"> 52 Cal.App.5th </w:t>
      </w:r>
      <w:r w:rsidRPr="00957B29" w:rsidR="00265E00">
        <w:t>at p. </w:t>
      </w:r>
      <w:r w:rsidRPr="00957B29" w:rsidR="002E2826">
        <w:t>939.)  Though the court acknowledged that “the prosecution failed to prove that [Hoskins] was a direct participant or aider and abettor in any of the shootings,” it found sufficient evidence from which a jury could conclude Hoskins knew about the conspiracy and had the requisite intent to join it and facilitate the object offense.  (</w:t>
      </w:r>
      <w:r w:rsidRPr="00957B29" w:rsidR="002E2826">
        <w:rPr>
          <w:i/>
          <w:iCs/>
        </w:rPr>
        <w:t xml:space="preserve">Id. </w:t>
      </w:r>
      <w:r w:rsidRPr="00957B29" w:rsidR="002E2826">
        <w:t>at p. 941.)</w:t>
      </w:r>
    </w:p>
    <w:p w:rsidR="002E2826" w:rsidRPr="00957B29" w:rsidP="00957B29">
      <w:pPr>
        <w:tabs>
          <w:tab w:val="left" w:pos="1440"/>
        </w:tabs>
        <w:ind w:firstLine="720"/>
      </w:pPr>
      <w:r w:rsidRPr="00957B29">
        <w:t xml:space="preserve">The Court of Appeal identified several pieces of evidence in support of its conclusion.  First, the court </w:t>
      </w:r>
      <w:r w:rsidR="00A7454B">
        <w:t xml:space="preserve">pointed to </w:t>
      </w:r>
      <w:r w:rsidRPr="00957B29">
        <w:t>Hoskins’s social media posts about “Crip killing,” including photographs of Hoskins “tossing the gang sign for Tiny Hit Squad” and “</w:t>
      </w:r>
      <w:r w:rsidRPr="00957B29" w:rsidR="00265E00">
        <w:t> ‘</w:t>
      </w:r>
      <w:r w:rsidRPr="00957B29">
        <w:t>C</w:t>
      </w:r>
      <w:r w:rsidR="00C2474F">
        <w:t>K</w:t>
      </w:r>
      <w:r w:rsidRPr="00957B29" w:rsidR="00265E00">
        <w:t>’ </w:t>
      </w:r>
      <w:r w:rsidRPr="00957B29">
        <w:t>”; his nickname of “</w:t>
      </w:r>
      <w:r w:rsidRPr="00957B29" w:rsidR="00265E00">
        <w:t> ‘</w:t>
      </w:r>
      <w:r w:rsidRPr="00957B29">
        <w:t>Bick Nick</w:t>
      </w:r>
      <w:r w:rsidRPr="00957B29" w:rsidR="00265E00">
        <w:t>’ </w:t>
      </w:r>
      <w:r w:rsidRPr="00957B29">
        <w:t>”; and his Facebook posts that he was “really about his Crip killing” and his “</w:t>
      </w:r>
      <w:r w:rsidRPr="00957B29" w:rsidR="00265E00">
        <w:t> ‘</w:t>
      </w:r>
      <w:r w:rsidRPr="00957B29">
        <w:t>occupation</w:t>
      </w:r>
      <w:r w:rsidRPr="00957B29" w:rsidR="00265E00">
        <w:t>’ </w:t>
      </w:r>
      <w:r w:rsidRPr="00957B29">
        <w:t>” was to “</w:t>
      </w:r>
      <w:r w:rsidRPr="00957B29" w:rsidR="00265E00">
        <w:t> ‘</w:t>
      </w:r>
      <w:r w:rsidRPr="00957B29">
        <w:t>steal, kill, and deal.</w:t>
      </w:r>
      <w:r w:rsidRPr="00957B29" w:rsidR="00265E00">
        <w:t>’ </w:t>
      </w:r>
      <w:r w:rsidRPr="00957B29">
        <w:t>”  (</w:t>
      </w:r>
      <w:r w:rsidRPr="00957B29">
        <w:rPr>
          <w:i/>
          <w:iCs/>
        </w:rPr>
        <w:t>Ware</w:t>
      </w:r>
      <w:r w:rsidRPr="00957B29">
        <w:t xml:space="preserve">, </w:t>
      </w:r>
      <w:r w:rsidRPr="00957B29">
        <w:rPr>
          <w:i/>
          <w:iCs/>
        </w:rPr>
        <w:t>supra</w:t>
      </w:r>
      <w:r w:rsidRPr="00957B29">
        <w:t>, 52 Cal.App.5th at pp. 941–942.)</w:t>
      </w:r>
    </w:p>
    <w:p w:rsidR="005D56DC" w:rsidRPr="00957B29" w:rsidP="00957B29">
      <w:pPr>
        <w:tabs>
          <w:tab w:val="left" w:pos="1440"/>
        </w:tabs>
        <w:ind w:firstLine="720"/>
      </w:pPr>
      <w:r w:rsidRPr="00957B29">
        <w:t xml:space="preserve">The court next </w:t>
      </w:r>
      <w:r w:rsidR="00A7454B">
        <w:t xml:space="preserve">pointed to evidence concerning Hoskins’s proximity to firearms, including </w:t>
      </w:r>
      <w:r w:rsidRPr="00957B29" w:rsidR="00A7454B">
        <w:t>his prior arrest with a concealed gun and one-time proximity to a loaded revolver</w:t>
      </w:r>
      <w:r w:rsidR="00A7454B">
        <w:t>,</w:t>
      </w:r>
      <w:r>
        <w:rPr>
          <w:b/>
          <w:bCs/>
          <w:position w:val="4"/>
          <w:vertAlign w:val="superscript"/>
        </w:rPr>
        <w:footnoteReference w:id="6"/>
      </w:r>
      <w:r w:rsidRPr="00957B29" w:rsidR="00A7454B">
        <w:t> </w:t>
      </w:r>
      <w:r w:rsidR="00A7454B">
        <w:t xml:space="preserve">as well as </w:t>
      </w:r>
      <w:r w:rsidRPr="00957B29" w:rsidR="00A7454B">
        <w:t>his Facebook post that, according to an expert, meant “gangsters do not take photographs with guns, they use them.”</w:t>
      </w:r>
      <w:r w:rsidR="00A7454B">
        <w:t xml:space="preserve">  </w:t>
      </w:r>
      <w:r w:rsidRPr="00957B29" w:rsidR="00DC1585">
        <w:t>(</w:t>
      </w:r>
      <w:r w:rsidRPr="00957B29" w:rsidR="00DC1585">
        <w:rPr>
          <w:i/>
          <w:iCs/>
        </w:rPr>
        <w:t>Ware</w:t>
      </w:r>
      <w:r w:rsidRPr="00957B29" w:rsidR="00DC1585">
        <w:t xml:space="preserve">, </w:t>
      </w:r>
      <w:r w:rsidRPr="00957B29" w:rsidR="00DC1585">
        <w:rPr>
          <w:i/>
          <w:iCs/>
        </w:rPr>
        <w:t>supra</w:t>
      </w:r>
      <w:r w:rsidRPr="00957B29" w:rsidR="00DC1585">
        <w:t>, 52 Cal.App.5th at p. 942.)</w:t>
      </w:r>
      <w:r w:rsidR="00DC1585">
        <w:t xml:space="preserve">  </w:t>
      </w:r>
      <w:r w:rsidR="00A7454B">
        <w:t xml:space="preserve">From this evidence, the court concluded, </w:t>
      </w:r>
      <w:r w:rsidRPr="00957B29">
        <w:t>a jury could infer “Hoskins carried firearms and had the intent to use them</w:t>
      </w:r>
      <w:r w:rsidR="00BF132B">
        <w:t>.</w:t>
      </w:r>
      <w:r w:rsidRPr="00957B29">
        <w:t xml:space="preserve">” </w:t>
      </w:r>
      <w:r w:rsidR="00040837">
        <w:t xml:space="preserve"> </w:t>
      </w:r>
      <w:r w:rsidRPr="00957B29">
        <w:t>(</w:t>
      </w:r>
      <w:r w:rsidR="00CA72CB">
        <w:rPr>
          <w:i/>
          <w:iCs/>
        </w:rPr>
        <w:t>Ibid</w:t>
      </w:r>
      <w:r w:rsidRPr="00957B29">
        <w:t>.)</w:t>
      </w:r>
    </w:p>
    <w:p w:rsidR="00194D06" w:rsidRPr="00957B29" w:rsidP="00957B29">
      <w:pPr>
        <w:tabs>
          <w:tab w:val="left" w:pos="1440"/>
        </w:tabs>
        <w:ind w:firstLine="720"/>
      </w:pPr>
      <w:r>
        <w:t>T</w:t>
      </w:r>
      <w:r w:rsidRPr="00957B29">
        <w:t>he Court of Appeal</w:t>
      </w:r>
      <w:r w:rsidRPr="00957B29" w:rsidR="00302D39">
        <w:t xml:space="preserve"> </w:t>
      </w:r>
      <w:r w:rsidR="00FE760C">
        <w:t>also pointed to</w:t>
      </w:r>
      <w:r w:rsidRPr="00957B29" w:rsidR="006F5539">
        <w:t xml:space="preserve"> </w:t>
      </w:r>
      <w:r w:rsidR="004C4A86">
        <w:t xml:space="preserve">certain </w:t>
      </w:r>
      <w:r w:rsidRPr="00957B29" w:rsidR="006F5539">
        <w:t xml:space="preserve">Facebook posts that seemed to celebrate violence against Crips members and were </w:t>
      </w:r>
      <w:r w:rsidR="004C4A86">
        <w:t xml:space="preserve">made </w:t>
      </w:r>
      <w:r w:rsidRPr="00957B29" w:rsidR="006F5539">
        <w:t xml:space="preserve">close in time to </w:t>
      </w:r>
      <w:r w:rsidRPr="00957B29" w:rsidR="002755C9">
        <w:t xml:space="preserve">two </w:t>
      </w:r>
      <w:r w:rsidRPr="00957B29" w:rsidR="006F5539">
        <w:t xml:space="preserve">shootings allegedly part of the conspiracy. </w:t>
      </w:r>
      <w:r w:rsidRPr="00957B29" w:rsidR="00380421">
        <w:t xml:space="preserve"> </w:t>
      </w:r>
      <w:r>
        <w:t>T</w:t>
      </w:r>
      <w:r w:rsidRPr="00957B29" w:rsidR="004710BE">
        <w:t xml:space="preserve">he court </w:t>
      </w:r>
      <w:r>
        <w:t xml:space="preserve">held a jury could reasonably infer </w:t>
      </w:r>
      <w:r w:rsidRPr="00957B29" w:rsidR="004710BE">
        <w:t xml:space="preserve">that </w:t>
      </w:r>
      <w:r w:rsidRPr="00957B29" w:rsidR="00DA4BFA">
        <w:t>Hoskins</w:t>
      </w:r>
      <w:r w:rsidRPr="00957B29" w:rsidR="005D2F84">
        <w:t>’s</w:t>
      </w:r>
      <w:r w:rsidRPr="00957B29" w:rsidR="00DA4BFA">
        <w:t xml:space="preserve"> </w:t>
      </w:r>
      <w:r w:rsidRPr="00957B29">
        <w:t>April 201</w:t>
      </w:r>
      <w:r w:rsidRPr="00957B29" w:rsidR="00702466">
        <w:t xml:space="preserve">2 post about a </w:t>
      </w:r>
      <w:r w:rsidRPr="00957B29" w:rsidR="009A6B5B">
        <w:t>Crips member getting shot</w:t>
      </w:r>
      <w:r w:rsidRPr="00957B29" w:rsidR="00DB0E50">
        <w:t> </w:t>
      </w:r>
      <w:r w:rsidRPr="00957B29" w:rsidR="009A6B5B">
        <w:t xml:space="preserve">— </w:t>
      </w:r>
      <w:r w:rsidRPr="00957B29" w:rsidR="001C516D">
        <w:t>“</w:t>
      </w:r>
      <w:r w:rsidRPr="00957B29" w:rsidR="00152E43">
        <w:t>cKrossy</w:t>
      </w:r>
      <w:r w:rsidRPr="00957B29" w:rsidR="009A6B5B">
        <w:t>s got Hit”</w:t>
      </w:r>
      <w:r w:rsidRPr="00957B29" w:rsidR="00DB0E50">
        <w:t> </w:t>
      </w:r>
      <w:r w:rsidRPr="00957B29" w:rsidR="009A6B5B">
        <w:t xml:space="preserve">— </w:t>
      </w:r>
      <w:r w:rsidRPr="00957B29" w:rsidR="00870CFA">
        <w:t>was about</w:t>
      </w:r>
      <w:r w:rsidRPr="00957B29" w:rsidR="009A6B5B">
        <w:t xml:space="preserve"> the shooting o</w:t>
      </w:r>
      <w:r w:rsidRPr="00957B29">
        <w:t>f a</w:t>
      </w:r>
      <w:r w:rsidRPr="00957B29" w:rsidR="00214B08">
        <w:t xml:space="preserve"> rival </w:t>
      </w:r>
      <w:r w:rsidRPr="00957B29">
        <w:t xml:space="preserve">gang member </w:t>
      </w:r>
      <w:r w:rsidRPr="00957B29" w:rsidR="007704D1">
        <w:t xml:space="preserve">just </w:t>
      </w:r>
      <w:r w:rsidRPr="00957B29">
        <w:t>days earlier</w:t>
      </w:r>
      <w:r w:rsidRPr="00957B29" w:rsidR="007704D1">
        <w:t xml:space="preserve">.  </w:t>
      </w:r>
      <w:r w:rsidRPr="00957B29" w:rsidR="00E02E60">
        <w:t>(</w:t>
      </w:r>
      <w:r w:rsidRPr="00957B29" w:rsidR="00E02E60">
        <w:rPr>
          <w:i/>
          <w:iCs/>
        </w:rPr>
        <w:t>Ware</w:t>
      </w:r>
      <w:r w:rsidRPr="00957B29" w:rsidR="00E02E60">
        <w:t xml:space="preserve">, </w:t>
      </w:r>
      <w:r w:rsidRPr="00957B29" w:rsidR="00E02E60">
        <w:rPr>
          <w:i/>
          <w:iCs/>
        </w:rPr>
        <w:t>supra</w:t>
      </w:r>
      <w:r w:rsidRPr="00957B29" w:rsidR="00E02E60">
        <w:t xml:space="preserve">, 52 Cal.App.5th at p. 942.)  </w:t>
      </w:r>
      <w:r w:rsidR="004C4A86">
        <w:t>A</w:t>
      </w:r>
      <w:r>
        <w:t xml:space="preserve"> jury could also reasonably infer </w:t>
      </w:r>
      <w:r w:rsidRPr="00957B29" w:rsidR="0089209C">
        <w:t xml:space="preserve">that </w:t>
      </w:r>
      <w:r w:rsidRPr="00957B29" w:rsidR="009A6B5B">
        <w:t xml:space="preserve">Hoskins knew about the </w:t>
      </w:r>
      <w:r w:rsidRPr="00957B29" w:rsidR="00BE4E2B">
        <w:t xml:space="preserve">August 27, 2013, </w:t>
      </w:r>
      <w:r w:rsidRPr="00957B29" w:rsidR="009A6B5B">
        <w:t xml:space="preserve">Taylor shooting </w:t>
      </w:r>
      <w:r w:rsidRPr="00957B29" w:rsidR="000B49A9">
        <w:t xml:space="preserve">in advance because of </w:t>
      </w:r>
      <w:r w:rsidRPr="00957B29" w:rsidR="00974181">
        <w:t>the photograph</w:t>
      </w:r>
      <w:r w:rsidRPr="00957B29" w:rsidR="0076492A">
        <w:t>,</w:t>
      </w:r>
      <w:r w:rsidRPr="00957B29" w:rsidR="00974181">
        <w:t xml:space="preserve"> </w:t>
      </w:r>
      <w:r w:rsidRPr="00957B29" w:rsidR="00923AA8">
        <w:t>taken</w:t>
      </w:r>
      <w:r w:rsidRPr="00957B29" w:rsidR="00155802">
        <w:t xml:space="preserve"> hours before the shooting</w:t>
      </w:r>
      <w:r w:rsidRPr="00957B29" w:rsidR="0076492A">
        <w:t>, showing</w:t>
      </w:r>
      <w:r w:rsidRPr="00957B29" w:rsidR="00155802">
        <w:t xml:space="preserve"> </w:t>
      </w:r>
      <w:r w:rsidRPr="00957B29" w:rsidR="00706AEC">
        <w:t>Hoskins and a fellow</w:t>
      </w:r>
      <w:r w:rsidR="000B5FDA">
        <w:t xml:space="preserve"> 5/9</w:t>
      </w:r>
      <w:r w:rsidRPr="00957B29" w:rsidR="00706AEC">
        <w:t xml:space="preserve"> Brim</w:t>
      </w:r>
      <w:r w:rsidRPr="00957B29" w:rsidR="00536360">
        <w:t xml:space="preserve"> member</w:t>
      </w:r>
      <w:r w:rsidRPr="00957B29" w:rsidR="00706AEC">
        <w:t xml:space="preserve"> </w:t>
      </w:r>
      <w:r w:rsidRPr="00957B29" w:rsidR="007B0F3A">
        <w:t>“</w:t>
      </w:r>
      <w:r w:rsidRPr="00957B29" w:rsidR="00FE71FF">
        <w:t> </w:t>
      </w:r>
      <w:r w:rsidRPr="00957B29" w:rsidR="007B0F3A">
        <w:t>‘</w:t>
      </w:r>
      <w:r w:rsidRPr="00957B29">
        <w:t>flipping off</w:t>
      </w:r>
      <w:r w:rsidRPr="00957B29" w:rsidR="007B0F3A">
        <w:t>’</w:t>
      </w:r>
      <w:r w:rsidRPr="00957B29" w:rsidR="004351E8">
        <w:t> ”</w:t>
      </w:r>
      <w:r w:rsidRPr="00957B29" w:rsidR="00656EC1">
        <w:t xml:space="preserve"> a rival gang</w:t>
      </w:r>
      <w:r w:rsidRPr="00957B29" w:rsidR="00706AEC">
        <w:t xml:space="preserve"> about one mile away from </w:t>
      </w:r>
      <w:r w:rsidRPr="00957B29" w:rsidR="00EB77A4">
        <w:t>where Taylor was later shot</w:t>
      </w:r>
      <w:r w:rsidRPr="00957B29" w:rsidR="00647C92">
        <w:t>.</w:t>
      </w:r>
      <w:r>
        <w:rPr>
          <w:b/>
          <w:bCs/>
          <w:position w:val="4"/>
          <w:vertAlign w:val="superscript"/>
        </w:rPr>
        <w:footnoteReference w:id="7"/>
      </w:r>
      <w:r w:rsidRPr="00957B29">
        <w:t xml:space="preserve"> </w:t>
      </w:r>
      <w:r w:rsidRPr="00957B29" w:rsidR="00AC40B6">
        <w:t xml:space="preserve"> </w:t>
      </w:r>
      <w:r w:rsidRPr="00957B29">
        <w:t>(</w:t>
      </w:r>
      <w:r w:rsidR="000670D7">
        <w:rPr>
          <w:i/>
          <w:iCs/>
        </w:rPr>
        <w:t>Ibid</w:t>
      </w:r>
      <w:r w:rsidRPr="00957B29" w:rsidR="000670D7">
        <w:t>.</w:t>
      </w:r>
      <w:r w:rsidRPr="00957B29">
        <w:t>)</w:t>
      </w:r>
    </w:p>
    <w:p w:rsidR="00194D06" w:rsidRPr="00957B29" w:rsidP="00957B29">
      <w:pPr>
        <w:tabs>
          <w:tab w:val="left" w:pos="1440"/>
        </w:tabs>
        <w:ind w:firstLine="720"/>
      </w:pPr>
      <w:r w:rsidRPr="00957B29">
        <w:t xml:space="preserve">Finally, the Court of Appeal </w:t>
      </w:r>
      <w:r w:rsidR="002443AF">
        <w:t>concluded</w:t>
      </w:r>
      <w:r w:rsidRPr="00957B29" w:rsidR="002443AF">
        <w:t xml:space="preserve"> </w:t>
      </w:r>
      <w:r w:rsidRPr="00957B29">
        <w:t xml:space="preserve">that </w:t>
      </w:r>
      <w:r w:rsidRPr="00957B29" w:rsidR="00B528A2">
        <w:t xml:space="preserve">because of “Hoskins’s relationship to the coconspirators,” </w:t>
      </w:r>
      <w:r w:rsidRPr="00957B29" w:rsidR="0051322A">
        <w:t>a</w:t>
      </w:r>
      <w:r w:rsidRPr="00957B29" w:rsidR="00B528A2">
        <w:t xml:space="preserve"> reasonable</w:t>
      </w:r>
      <w:r w:rsidRPr="00957B29" w:rsidR="0051322A">
        <w:t xml:space="preserve"> jury could combine evidence of Hoskin</w:t>
      </w:r>
      <w:r w:rsidRPr="00957B29" w:rsidR="00265E00">
        <w:t>s</w:t>
      </w:r>
      <w:r w:rsidRPr="00957B29" w:rsidR="0051322A">
        <w:t>’s social media activity and proximity to firearms with his alleged coconspirators’ conduct to infer that Hoskins “knew of the conspiracy and had the deliberate, knowing, and specific intent to join” it.  (</w:t>
      </w:r>
      <w:r w:rsidRPr="00AD210E" w:rsidR="0051322A">
        <w:rPr>
          <w:i/>
          <w:iCs/>
        </w:rPr>
        <w:t>Ware</w:t>
      </w:r>
      <w:r w:rsidRPr="00FB2C46" w:rsidR="0051322A">
        <w:t xml:space="preserve">, </w:t>
      </w:r>
      <w:r w:rsidRPr="00AD210E" w:rsidR="0051322A">
        <w:rPr>
          <w:i/>
          <w:iCs/>
        </w:rPr>
        <w:t>supra</w:t>
      </w:r>
      <w:r w:rsidRPr="00FB2C46" w:rsidR="0051322A">
        <w:t xml:space="preserve">, 52 Cal.App.5th </w:t>
      </w:r>
      <w:r w:rsidRPr="00FB2C46" w:rsidR="00BD2BB1">
        <w:t>at p. </w:t>
      </w:r>
      <w:r w:rsidRPr="00FB2C46" w:rsidR="0051322A">
        <w:t>942</w:t>
      </w:r>
      <w:r w:rsidRPr="00B35220" w:rsidR="0051322A">
        <w:t>.</w:t>
      </w:r>
      <w:r w:rsidRPr="00957B29" w:rsidR="00D9107A">
        <w:t xml:space="preserve">)  </w:t>
      </w:r>
      <w:r w:rsidRPr="00957B29" w:rsidR="00CE03F7">
        <w:t xml:space="preserve">According to the court, this conclusion was </w:t>
      </w:r>
      <w:r w:rsidRPr="00957B29">
        <w:t>bolstered by the</w:t>
      </w:r>
      <w:r w:rsidRPr="00957B29" w:rsidR="00F77278">
        <w:t xml:space="preserve"> jury’s finding</w:t>
      </w:r>
      <w:r w:rsidRPr="00957B29">
        <w:t xml:space="preserve"> of gang enhancements against all </w:t>
      </w:r>
      <w:r w:rsidRPr="00957B29" w:rsidR="007E2834">
        <w:t>defendants</w:t>
      </w:r>
      <w:r w:rsidRPr="00957B29" w:rsidR="00F77278">
        <w:t xml:space="preserve">, which </w:t>
      </w:r>
      <w:r w:rsidRPr="00957B29" w:rsidR="00185C0E">
        <w:t>“</w:t>
      </w:r>
      <w:r w:rsidRPr="00957B29" w:rsidR="00F77278">
        <w:t>necessarily</w:t>
      </w:r>
      <w:r w:rsidRPr="00957B29" w:rsidR="00185C0E">
        <w:t>”</w:t>
      </w:r>
      <w:r w:rsidRPr="00957B29" w:rsidR="00F77278">
        <w:t xml:space="preserve"> meant the jury “found </w:t>
      </w:r>
      <w:r w:rsidRPr="00957B29" w:rsidR="00265E00">
        <w:t xml:space="preserve">the </w:t>
      </w:r>
      <w:r w:rsidRPr="00957B29" w:rsidR="00F77278">
        <w:t xml:space="preserve">evidence of </w:t>
      </w:r>
      <w:r w:rsidRPr="00957B29" w:rsidR="005044B7">
        <w:t>interdependence</w:t>
      </w:r>
      <w:r w:rsidRPr="00957B29" w:rsidR="00F77278">
        <w:t xml:space="preserve"> among the participants in the crimes to be persuasive.”</w:t>
      </w:r>
      <w:r w:rsidRPr="00957B29">
        <w:t xml:space="preserve">  (</w:t>
      </w:r>
      <w:r w:rsidRPr="00957B29">
        <w:rPr>
          <w:i/>
          <w:iCs/>
        </w:rPr>
        <w:t>Ibid.</w:t>
      </w:r>
      <w:r w:rsidRPr="00957B29">
        <w:t xml:space="preserve">) </w:t>
      </w:r>
    </w:p>
    <w:p w:rsidR="00DB4A88" w:rsidRPr="00957B29" w:rsidP="00957B29">
      <w:pPr>
        <w:tabs>
          <w:tab w:val="left" w:pos="1440"/>
        </w:tabs>
        <w:ind w:firstLine="720"/>
      </w:pPr>
      <w:r w:rsidRPr="00957B29">
        <w:t xml:space="preserve">The Court of Appeal’s opinion was initially unpublished.  After </w:t>
      </w:r>
      <w:r w:rsidRPr="00957B29" w:rsidR="0007092C">
        <w:t>filing</w:t>
      </w:r>
      <w:r w:rsidRPr="00957B29">
        <w:t xml:space="preserve">, </w:t>
      </w:r>
      <w:r w:rsidRPr="00957B29" w:rsidR="00E44397">
        <w:t xml:space="preserve">the Attorney General requested </w:t>
      </w:r>
      <w:r w:rsidRPr="00957B29" w:rsidR="003A1421">
        <w:t xml:space="preserve">partial </w:t>
      </w:r>
      <w:r w:rsidRPr="00957B29" w:rsidR="00E44397">
        <w:t>publication</w:t>
      </w:r>
      <w:r w:rsidRPr="00957B29" w:rsidR="00EB4BC9">
        <w:t>.</w:t>
      </w:r>
      <w:r>
        <w:rPr>
          <w:rStyle w:val="FootnoteReference"/>
        </w:rPr>
        <w:footnoteReference w:id="8"/>
      </w:r>
      <w:r w:rsidRPr="00957B29" w:rsidR="003A1421">
        <w:t xml:space="preserve">  </w:t>
      </w:r>
      <w:r w:rsidRPr="00957B29" w:rsidR="00D9126B">
        <w:t xml:space="preserve">The Attorney General </w:t>
      </w:r>
      <w:r w:rsidRPr="00957B29" w:rsidR="002E61ED">
        <w:t xml:space="preserve">argued that </w:t>
      </w:r>
      <w:r w:rsidRPr="00957B29" w:rsidR="003A1421">
        <w:t xml:space="preserve">the conspiracy portion of the </w:t>
      </w:r>
      <w:r w:rsidRPr="00957B29" w:rsidR="00E05AAC">
        <w:t>opinion</w:t>
      </w:r>
      <w:r w:rsidRPr="00957B29" w:rsidR="003A1421">
        <w:t xml:space="preserve"> </w:t>
      </w:r>
      <w:r w:rsidRPr="00957B29" w:rsidR="00060F0B">
        <w:t>merited publication because it “</w:t>
      </w:r>
      <w:r w:rsidRPr="00957B29" w:rsidR="0062340D">
        <w:t xml:space="preserve">applies </w:t>
      </w:r>
      <w:r w:rsidRPr="00957B29" w:rsidR="003A1421">
        <w:t>an existing rule of law</w:t>
      </w:r>
      <w:r w:rsidRPr="00957B29" w:rsidR="00D6266E">
        <w:t xml:space="preserve"> to a set of facts significantly different from those state</w:t>
      </w:r>
      <w:r w:rsidRPr="00957B29" w:rsidR="001C1BC3">
        <w:t>d</w:t>
      </w:r>
      <w:r w:rsidRPr="00957B29" w:rsidR="00D6266E">
        <w:t xml:space="preserve"> in published opinions</w:t>
      </w:r>
      <w:r w:rsidRPr="00957B29" w:rsidR="007E085A">
        <w:t>.</w:t>
      </w:r>
      <w:r w:rsidRPr="00957B29" w:rsidR="000311E8">
        <w:t>”</w:t>
      </w:r>
      <w:r w:rsidRPr="00957B29" w:rsidR="007E085A">
        <w:t xml:space="preserve">  Specifically, the opinion “</w:t>
      </w:r>
      <w:r w:rsidRPr="00957B29" w:rsidR="000311E8">
        <w:t>uphold</w:t>
      </w:r>
      <w:r w:rsidRPr="00957B29" w:rsidR="007E085A">
        <w:t xml:space="preserve">s </w:t>
      </w:r>
      <w:r w:rsidRPr="00957B29" w:rsidR="000311E8">
        <w:rPr>
          <w:szCs w:val="26"/>
        </w:rPr>
        <w:t xml:space="preserve">the conspiracy to commit murder convictions . . . based on the broad context of forming an agreement amongst the gang members to kill rival gang members, without any agreement as to specific time, person or place </w:t>
      </w:r>
      <w:r w:rsidRPr="00957B29" w:rsidR="00844286">
        <w:rPr>
          <w:szCs w:val="26"/>
        </w:rPr>
        <w:t>that any killing would take place</w:t>
      </w:r>
      <w:r w:rsidRPr="00957B29" w:rsidR="003A1421">
        <w:rPr>
          <w:szCs w:val="26"/>
        </w:rPr>
        <w:t>.</w:t>
      </w:r>
      <w:r w:rsidRPr="00957B29" w:rsidR="00D6266E">
        <w:rPr>
          <w:szCs w:val="26"/>
        </w:rPr>
        <w:t>”</w:t>
      </w:r>
      <w:r w:rsidRPr="00957B29" w:rsidR="003A1421">
        <w:t xml:space="preserve">  </w:t>
      </w:r>
      <w:r w:rsidRPr="00957B29" w:rsidR="006C0FBB">
        <w:t>(</w:t>
      </w:r>
      <w:r w:rsidR="002C21EB">
        <w:t>C</w:t>
      </w:r>
      <w:r w:rsidRPr="00957B29" w:rsidR="00D6266E">
        <w:t>iting Cal. Rules of Court, rule 8.1105(c)(2)</w:t>
      </w:r>
      <w:r w:rsidR="00735E17">
        <w:t>, (3)</w:t>
      </w:r>
      <w:r w:rsidRPr="00957B29" w:rsidR="00D6266E">
        <w:t>.</w:t>
      </w:r>
      <w:r w:rsidRPr="00957B29" w:rsidR="006C0FBB">
        <w:t>)</w:t>
      </w:r>
      <w:r>
        <w:rPr>
          <w:rStyle w:val="FootnoteReference"/>
        </w:rPr>
        <w:footnoteReference w:id="9"/>
      </w:r>
      <w:r w:rsidRPr="00957B29" w:rsidR="000F2F5B">
        <w:t xml:space="preserve"> </w:t>
      </w:r>
      <w:r w:rsidRPr="00957B29" w:rsidR="00004CB3">
        <w:t xml:space="preserve"> </w:t>
      </w:r>
      <w:r w:rsidRPr="00957B29" w:rsidR="00F12157">
        <w:t>Because</w:t>
      </w:r>
      <w:r w:rsidRPr="00957B29" w:rsidR="007C6C5D">
        <w:t xml:space="preserve"> there were </w:t>
      </w:r>
      <w:r w:rsidRPr="00957B29" w:rsidR="003A1421">
        <w:t xml:space="preserve">no published opinions upholding </w:t>
      </w:r>
      <w:r w:rsidRPr="00957B29" w:rsidR="00F12157">
        <w:t xml:space="preserve">a conspiracy like the one </w:t>
      </w:r>
      <w:r w:rsidRPr="00957B29" w:rsidR="00CE621A">
        <w:t xml:space="preserve">charged </w:t>
      </w:r>
      <w:r w:rsidRPr="00957B29" w:rsidR="00F12157">
        <w:t>here</w:t>
      </w:r>
      <w:r w:rsidRPr="00957B29" w:rsidR="003A1421">
        <w:t xml:space="preserve">, </w:t>
      </w:r>
      <w:r w:rsidRPr="00957B29" w:rsidR="007C6C5D">
        <w:t>publication would</w:t>
      </w:r>
      <w:r w:rsidRPr="00957B29" w:rsidR="00457137">
        <w:t xml:space="preserve"> “</w:t>
      </w:r>
      <w:r w:rsidRPr="00957B29" w:rsidR="003A1421">
        <w:t xml:space="preserve">assist </w:t>
      </w:r>
      <w:r w:rsidRPr="00957B29" w:rsidR="000F2F5B">
        <w:t>prosecutors</w:t>
      </w:r>
      <w:r w:rsidRPr="00957B29" w:rsidR="003A1421">
        <w:t xml:space="preserve"> in prosecuting gang members for conspiracy to commit murder </w:t>
      </w:r>
      <w:r w:rsidRPr="00957B29" w:rsidR="000F2F5B">
        <w:t>based on forming a tacit general agreement to kill rival gang members</w:t>
      </w:r>
      <w:r w:rsidRPr="00957B29" w:rsidR="00457137">
        <w:t>.</w:t>
      </w:r>
      <w:r w:rsidRPr="00957B29" w:rsidR="000F2F5B">
        <w:t>”  The Court of Appeal granted the partial publication request.</w:t>
      </w:r>
    </w:p>
    <w:p w:rsidR="00516CBC" w:rsidRPr="00957B29" w:rsidP="00957B29">
      <w:pPr>
        <w:tabs>
          <w:tab w:val="left" w:pos="1440"/>
        </w:tabs>
        <w:ind w:firstLine="720"/>
      </w:pPr>
      <w:r w:rsidRPr="00957B29">
        <w:t>We granted Hoskins’s petition for review to address the nature of the evidence necessary to establish participation in the charged murder conspiracy.</w:t>
      </w:r>
    </w:p>
    <w:p w:rsidR="00F05C11" w:rsidRPr="00957B29" w:rsidP="00012806">
      <w:pPr>
        <w:tabs>
          <w:tab w:val="left" w:pos="1440"/>
        </w:tabs>
        <w:jc w:val="center"/>
        <w:rPr>
          <w:b/>
          <w:bCs/>
        </w:rPr>
      </w:pPr>
      <w:r w:rsidRPr="00957B29">
        <w:rPr>
          <w:b/>
          <w:bCs/>
        </w:rPr>
        <w:t>II.</w:t>
      </w:r>
    </w:p>
    <w:p w:rsidR="00493C9A" w:rsidRPr="00957B29" w:rsidP="00957B29">
      <w:pPr>
        <w:tabs>
          <w:tab w:val="left" w:pos="1440"/>
        </w:tabs>
        <w:ind w:firstLine="720"/>
      </w:pPr>
      <w:r w:rsidRPr="00957B29">
        <w:rPr>
          <w:rFonts w:eastAsia="Arial Unicode MS" w:cs="Arial Unicode MS"/>
          <w:szCs w:val="27"/>
        </w:rPr>
        <w:t>C</w:t>
      </w:r>
      <w:r w:rsidRPr="00957B29" w:rsidR="002A7120">
        <w:rPr>
          <w:rFonts w:eastAsia="Arial Unicode MS" w:cs="Arial Unicode MS"/>
          <w:szCs w:val="27"/>
        </w:rPr>
        <w:t>onspiracy</w:t>
      </w:r>
      <w:r w:rsidRPr="00957B29" w:rsidR="00554FE6">
        <w:rPr>
          <w:rFonts w:eastAsia="Arial Unicode MS" w:cs="Arial Unicode MS"/>
          <w:szCs w:val="27"/>
        </w:rPr>
        <w:t xml:space="preserve"> </w:t>
      </w:r>
      <w:r w:rsidRPr="00957B29" w:rsidR="00817655">
        <w:rPr>
          <w:rFonts w:eastAsia="Arial Unicode MS" w:cs="Arial Unicode MS"/>
          <w:szCs w:val="27"/>
        </w:rPr>
        <w:t>“ ‘is an inchoate offense, the essence of which is an agreement to commit an unlawful act.’ ”  (</w:t>
      </w:r>
      <w:r w:rsidRPr="00957B29" w:rsidR="00817655">
        <w:rPr>
          <w:rFonts w:eastAsia="Arial Unicode MS" w:cs="Arial Unicode MS"/>
          <w:i/>
          <w:iCs/>
          <w:szCs w:val="27"/>
        </w:rPr>
        <w:t>People v. Johnson</w:t>
      </w:r>
      <w:r w:rsidRPr="00957B29" w:rsidR="00817655">
        <w:rPr>
          <w:rFonts w:eastAsia="Arial Unicode MS" w:cs="Arial Unicode MS"/>
          <w:szCs w:val="27"/>
        </w:rPr>
        <w:t xml:space="preserve"> (2013) 57 Cal.4th 250, 258 (</w:t>
      </w:r>
      <w:r w:rsidRPr="00957B29" w:rsidR="00817655">
        <w:rPr>
          <w:rFonts w:eastAsia="Arial Unicode MS" w:cs="Arial Unicode MS"/>
          <w:i/>
          <w:iCs/>
          <w:szCs w:val="27"/>
        </w:rPr>
        <w:t>Johnson</w:t>
      </w:r>
      <w:r w:rsidRPr="00957B29" w:rsidR="00817655">
        <w:rPr>
          <w:rFonts w:eastAsia="Arial Unicode MS" w:cs="Arial Unicode MS"/>
          <w:szCs w:val="27"/>
        </w:rPr>
        <w:t>)</w:t>
      </w:r>
      <w:r w:rsidRPr="00957B29" w:rsidR="00041342">
        <w:rPr>
          <w:rFonts w:eastAsia="Arial Unicode MS" w:cs="Arial Unicode MS"/>
          <w:szCs w:val="27"/>
        </w:rPr>
        <w:t>.</w:t>
      </w:r>
      <w:r w:rsidRPr="00957B29" w:rsidR="00817655">
        <w:rPr>
          <w:rFonts w:eastAsia="Arial Unicode MS" w:cs="Arial Unicode MS"/>
          <w:szCs w:val="27"/>
        </w:rPr>
        <w:t xml:space="preserve">)  </w:t>
      </w:r>
      <w:r w:rsidRPr="00957B29" w:rsidR="00D233E7">
        <w:rPr>
          <w:rFonts w:eastAsia="Arial Unicode MS" w:cs="Arial Unicode MS"/>
          <w:szCs w:val="27"/>
        </w:rPr>
        <w:t>This crime</w:t>
      </w:r>
      <w:r w:rsidRPr="00957B29" w:rsidR="00530F50">
        <w:rPr>
          <w:rFonts w:eastAsia="Arial Unicode MS" w:cs="Arial Unicode MS"/>
          <w:szCs w:val="27"/>
        </w:rPr>
        <w:t xml:space="preserve"> </w:t>
      </w:r>
      <w:r w:rsidRPr="00957B29">
        <w:rPr>
          <w:rFonts w:eastAsia="Arial Unicode MS" w:cs="Arial Unicode MS"/>
          <w:szCs w:val="27"/>
        </w:rPr>
        <w:t xml:space="preserve">has </w:t>
      </w:r>
      <w:r w:rsidRPr="00957B29" w:rsidR="0088420E">
        <w:rPr>
          <w:rFonts w:eastAsia="Arial Unicode MS" w:cs="Arial Unicode MS"/>
          <w:szCs w:val="27"/>
        </w:rPr>
        <w:t xml:space="preserve">four </w:t>
      </w:r>
      <w:r w:rsidRPr="00957B29" w:rsidR="00194D06">
        <w:t>elements:</w:t>
      </w:r>
      <w:r w:rsidRPr="00957B29" w:rsidR="00C24EF2">
        <w:t xml:space="preserve"> </w:t>
      </w:r>
      <w:r w:rsidRPr="00957B29">
        <w:t xml:space="preserve"> </w:t>
      </w:r>
      <w:r w:rsidRPr="00957B29" w:rsidR="00194D06">
        <w:t xml:space="preserve">(1) </w:t>
      </w:r>
      <w:r w:rsidRPr="00957B29" w:rsidR="0005083B">
        <w:t>the existence of an</w:t>
      </w:r>
      <w:r w:rsidRPr="00957B29" w:rsidR="00194D06">
        <w:t xml:space="preserve"> agreement </w:t>
      </w:r>
      <w:r w:rsidRPr="00957B29" w:rsidR="00EB4304">
        <w:t>between at least two persons</w:t>
      </w:r>
      <w:r w:rsidRPr="00957B29" w:rsidR="00194D06">
        <w:t xml:space="preserve">; (2) </w:t>
      </w:r>
      <w:r w:rsidRPr="00957B29" w:rsidR="00EB4304">
        <w:t>the specific intent to agree to commit an offense</w:t>
      </w:r>
      <w:r w:rsidRPr="00957B29" w:rsidR="00194D06">
        <w:t xml:space="preserve">; (3) </w:t>
      </w:r>
      <w:r w:rsidRPr="00957B29" w:rsidR="00EB4304">
        <w:t>the specific intent to commit the offense that is the object of the agreement</w:t>
      </w:r>
      <w:r w:rsidRPr="00957B29" w:rsidR="00194D06">
        <w:t xml:space="preserve">; and (4) </w:t>
      </w:r>
      <w:r w:rsidRPr="00957B29" w:rsidR="00EB4304">
        <w:t>an overt act in furtherance of the conspiracy</w:t>
      </w:r>
      <w:r w:rsidRPr="00957B29">
        <w:t xml:space="preserve">, which may be </w:t>
      </w:r>
      <w:r w:rsidRPr="00957B29" w:rsidR="008C1F76">
        <w:t xml:space="preserve">committed </w:t>
      </w:r>
      <w:r w:rsidRPr="00957B29" w:rsidR="00EB4304">
        <w:t xml:space="preserve">by any </w:t>
      </w:r>
      <w:r w:rsidRPr="00957B29">
        <w:t>conspirator</w:t>
      </w:r>
      <w:r w:rsidRPr="00957B29" w:rsidR="00194D06">
        <w:t xml:space="preserve">. </w:t>
      </w:r>
      <w:r w:rsidRPr="00957B29" w:rsidR="00BB34C2">
        <w:t xml:space="preserve"> </w:t>
      </w:r>
      <w:r w:rsidRPr="00957B29" w:rsidR="00194D06">
        <w:t>(</w:t>
      </w:r>
      <w:r w:rsidRPr="00957B29" w:rsidR="00D233E7">
        <w:t>Pen. Code, §</w:t>
      </w:r>
      <w:bookmarkStart w:id="14" w:name="_Hlk117521374"/>
      <w:r w:rsidRPr="00957B29" w:rsidR="00BD2BB1">
        <w:t> </w:t>
      </w:r>
      <w:bookmarkEnd w:id="14"/>
      <w:r w:rsidRPr="00957B29" w:rsidR="00D233E7">
        <w:t>182, subd. (a)(1); s</w:t>
      </w:r>
      <w:r w:rsidRPr="00957B29" w:rsidR="00194D06">
        <w:t>ee</w:t>
      </w:r>
      <w:r w:rsidRPr="00957B29" w:rsidR="0028493B">
        <w:t xml:space="preserve">, e.g., </w:t>
      </w:r>
      <w:r w:rsidRPr="00957B29" w:rsidR="00953CBC">
        <w:rPr>
          <w:i/>
          <w:iCs/>
        </w:rPr>
        <w:t xml:space="preserve">People v. </w:t>
      </w:r>
      <w:r w:rsidRPr="00957B29" w:rsidR="00194D06">
        <w:rPr>
          <w:i/>
          <w:iCs/>
        </w:rPr>
        <w:t>Morante</w:t>
      </w:r>
      <w:r w:rsidRPr="00957B29" w:rsidR="00953CBC">
        <w:t xml:space="preserve"> (1999) </w:t>
      </w:r>
      <w:r w:rsidRPr="00957B29" w:rsidR="00194D06">
        <w:t xml:space="preserve">20 Cal.4th </w:t>
      </w:r>
      <w:r w:rsidRPr="00957B29" w:rsidR="00953CBC">
        <w:t>403,</w:t>
      </w:r>
      <w:r w:rsidRPr="00957B29" w:rsidR="00194D06">
        <w:t xml:space="preserve"> 416</w:t>
      </w:r>
      <w:r w:rsidRPr="00957B29" w:rsidR="00EB4304">
        <w:t>.)</w:t>
      </w:r>
      <w:r w:rsidRPr="00957B29" w:rsidR="00194D06">
        <w:t xml:space="preserve"> </w:t>
      </w:r>
    </w:p>
    <w:p w:rsidR="00DA4CF1" w:rsidRPr="00957B29" w:rsidP="00957B29">
      <w:pPr>
        <w:tabs>
          <w:tab w:val="left" w:pos="1440"/>
        </w:tabs>
        <w:ind w:firstLine="720"/>
        <w:rPr>
          <w:szCs w:val="26"/>
        </w:rPr>
      </w:pPr>
      <w:bookmarkStart w:id="15" w:name="_Hlk90559604"/>
      <w:r w:rsidRPr="00957B29">
        <w:t>The</w:t>
      </w:r>
      <w:r w:rsidRPr="00957B29" w:rsidR="00615D04">
        <w:t xml:space="preserve"> </w:t>
      </w:r>
      <w:r w:rsidRPr="00957B29">
        <w:t>first element</w:t>
      </w:r>
      <w:r w:rsidRPr="00957B29" w:rsidR="000822D3">
        <w:t>,</w:t>
      </w:r>
      <w:r w:rsidRPr="00957B29">
        <w:t xml:space="preserve"> </w:t>
      </w:r>
      <w:r w:rsidRPr="00957B29" w:rsidR="000822D3">
        <w:t xml:space="preserve">concerning </w:t>
      </w:r>
      <w:r w:rsidRPr="00957B29">
        <w:t>the existence of an agreement</w:t>
      </w:r>
      <w:r w:rsidRPr="00957B29" w:rsidR="000822D3">
        <w:t xml:space="preserve">, </w:t>
      </w:r>
      <w:r w:rsidRPr="00957B29" w:rsidR="008768ED">
        <w:t xml:space="preserve">“is the crux of criminal conspiracy.”  </w:t>
      </w:r>
      <w:r w:rsidRPr="00957B29" w:rsidR="00194D06">
        <w:t>(</w:t>
      </w:r>
      <w:r w:rsidRPr="00957B29" w:rsidR="00194D06">
        <w:rPr>
          <w:i/>
          <w:iCs/>
        </w:rPr>
        <w:t xml:space="preserve">People v. Homick </w:t>
      </w:r>
      <w:r w:rsidRPr="00957B29" w:rsidR="00194D06">
        <w:t>(2012) 55 Cal.4th 816, 870</w:t>
      </w:r>
      <w:r w:rsidRPr="00957B29" w:rsidR="008768ED">
        <w:t>.</w:t>
      </w:r>
      <w:r w:rsidRPr="00957B29" w:rsidR="00194D06">
        <w:t>)</w:t>
      </w:r>
      <w:r w:rsidRPr="00957B29" w:rsidR="004E373F">
        <w:t xml:space="preserve">  </w:t>
      </w:r>
      <w:r w:rsidRPr="00957B29" w:rsidR="00BD561E">
        <w:t>As the Attorney General acknowledged</w:t>
      </w:r>
      <w:r w:rsidR="00093761">
        <w:t xml:space="preserve"> in his publication request</w:t>
      </w:r>
      <w:r w:rsidRPr="00957B29" w:rsidR="00BD561E">
        <w:t xml:space="preserve">, </w:t>
      </w:r>
      <w:r w:rsidRPr="00957B29" w:rsidR="0021266F">
        <w:t>th</w:t>
      </w:r>
      <w:r w:rsidRPr="00957B29" w:rsidR="00F13260">
        <w:t xml:space="preserve">is case is unusual in that the alleged object of the conspiracy is nonspecific:  The </w:t>
      </w:r>
      <w:r w:rsidRPr="00957B29" w:rsidR="00035247">
        <w:t xml:space="preserve">charged conspiracy </w:t>
      </w:r>
      <w:r w:rsidRPr="00957B29" w:rsidR="00F13260">
        <w:t xml:space="preserve">instead </w:t>
      </w:r>
      <w:r w:rsidRPr="00957B29" w:rsidR="002E06A3">
        <w:t xml:space="preserve">arises in </w:t>
      </w:r>
      <w:r w:rsidRPr="00957B29" w:rsidR="007144B1">
        <w:t xml:space="preserve">“the broad context of forming an agreement </w:t>
      </w:r>
      <w:r w:rsidRPr="00957B29" w:rsidR="00D661D6">
        <w:rPr>
          <w:szCs w:val="26"/>
        </w:rPr>
        <w:t>amongst the gang members to kill rival gang members, without any agreement as to specific time, person or place that any killing would take place.”</w:t>
      </w:r>
    </w:p>
    <w:p w:rsidR="00A60161" w:rsidRPr="00957B29" w:rsidP="00957B29">
      <w:pPr>
        <w:tabs>
          <w:tab w:val="left" w:pos="1440"/>
        </w:tabs>
        <w:ind w:firstLine="720"/>
      </w:pPr>
      <w:r w:rsidRPr="00957B29">
        <w:rPr>
          <w:szCs w:val="26"/>
        </w:rPr>
        <w:t>In this appeal, Hoskins does not dispute that the prosecution has adequately proved the first element of conspiracy, the existence of an agreement</w:t>
      </w:r>
      <w:r w:rsidRPr="00957B29">
        <w:t>.</w:t>
      </w:r>
      <w:r w:rsidRPr="004431BF">
        <w:rPr>
          <w:szCs w:val="26"/>
        </w:rPr>
        <w:t xml:space="preserve">  </w:t>
      </w:r>
      <w:r w:rsidRPr="00957B29">
        <w:t>Nor does he challenge the adequacy of the prosecution’s showing as to the final element, an overt act in furtherance of the conspiracy.  To satisfy this particular element, a jury need only find that any member of the conspiracy committed a single overt act, whether criminal or not.  (</w:t>
      </w:r>
      <w:r w:rsidRPr="00957B29">
        <w:rPr>
          <w:i/>
          <w:iCs/>
        </w:rPr>
        <w:t>People v. Russo</w:t>
      </w:r>
      <w:r w:rsidRPr="00957B29">
        <w:t xml:space="preserve"> (2001) 25 Cal.4th 1124, 1135; accord, </w:t>
      </w:r>
      <w:r w:rsidRPr="00957B29">
        <w:rPr>
          <w:i/>
          <w:iCs/>
        </w:rPr>
        <w:t xml:space="preserve">People v. Smith </w:t>
      </w:r>
      <w:r w:rsidRPr="00957B29">
        <w:t xml:space="preserve">(2014) 60 Cal.4th 603, 616.)  Here, one of Hoskins’s codefendants was convicted at trial of an attempted murder in furtherance of the conspiracy.  Even if the prosecution had presented no evidence of any other overt act, the attempted murder conviction of an alleged coconspirator in furtherance of the conspiracy is sufficient to show the overt act element has been satisfied. </w:t>
      </w:r>
    </w:p>
    <w:p w:rsidR="004431BF" w:rsidP="00957B29">
      <w:pPr>
        <w:tabs>
          <w:tab w:val="left" w:pos="1440"/>
        </w:tabs>
        <w:ind w:firstLine="720"/>
      </w:pPr>
      <w:r w:rsidRPr="00957B29">
        <w:t>Hoskins’s challenge instead focuses on the nature of the evidence necessary to connect any individual gang member to a nonspecific, long-running conspiracy of the sort alleged here.  More specifically, he contests the prosecution’s showing regarding the two mental elements of conspiracy, which are the elements that establish an alleged conspirator’s participation in, and liability for, the charged unlawful agreement.</w:t>
      </w:r>
    </w:p>
    <w:p w:rsidR="004431BF">
      <w:pPr>
        <w:spacing w:after="0" w:line="240" w:lineRule="auto"/>
        <w:jc w:val="left"/>
      </w:pPr>
      <w:r>
        <w:br w:type="page"/>
      </w:r>
    </w:p>
    <w:p w:rsidR="00E3490B" w:rsidRPr="00957B29" w:rsidP="00012806">
      <w:pPr>
        <w:jc w:val="center"/>
        <w:rPr>
          <w:b/>
          <w:bCs/>
        </w:rPr>
      </w:pPr>
      <w:r w:rsidRPr="00957B29">
        <w:rPr>
          <w:b/>
          <w:bCs/>
        </w:rPr>
        <w:t>A.</w:t>
      </w:r>
    </w:p>
    <w:p w:rsidR="00E74AFC" w:rsidRPr="00957B29" w:rsidP="00957B29">
      <w:pPr>
        <w:tabs>
          <w:tab w:val="left" w:pos="1440"/>
        </w:tabs>
        <w:ind w:firstLine="720"/>
      </w:pPr>
      <w:r w:rsidRPr="00957B29">
        <w:t>The mental state elements of conspiracy require the prosecution to demonstrate</w:t>
      </w:r>
      <w:r w:rsidRPr="00957B29" w:rsidR="009F53D8">
        <w:t xml:space="preserve"> the defendant had the </w:t>
      </w:r>
      <w:r w:rsidRPr="00957B29" w:rsidR="00425F90">
        <w:t xml:space="preserve">specific intent </w:t>
      </w:r>
      <w:r w:rsidRPr="00957B29" w:rsidR="00574159">
        <w:t xml:space="preserve">both </w:t>
      </w:r>
      <w:r w:rsidRPr="00957B29" w:rsidR="00425F90">
        <w:t xml:space="preserve">to agree to the conspiracy and to commit the object offense.  </w:t>
      </w:r>
      <w:r w:rsidRPr="00957B29" w:rsidR="009376BB">
        <w:t>(</w:t>
      </w:r>
      <w:r w:rsidRPr="00957B29" w:rsidR="004723D0">
        <w:rPr>
          <w:i/>
          <w:iCs/>
        </w:rPr>
        <w:t>People v.</w:t>
      </w:r>
      <w:r w:rsidRPr="00957B29" w:rsidR="004723D0">
        <w:t xml:space="preserve"> </w:t>
      </w:r>
      <w:r w:rsidRPr="00957B29" w:rsidR="009376BB">
        <w:rPr>
          <w:i/>
          <w:iCs/>
        </w:rPr>
        <w:t>Horn</w:t>
      </w:r>
      <w:r w:rsidRPr="00957B29" w:rsidR="004723D0">
        <w:t xml:space="preserve"> (1974) 12 Cal.3d 290, </w:t>
      </w:r>
      <w:r w:rsidRPr="00957B29" w:rsidR="009376BB">
        <w:t xml:space="preserve">296; </w:t>
      </w:r>
      <w:r w:rsidRPr="00957B29" w:rsidR="009376BB">
        <w:rPr>
          <w:i/>
          <w:iCs/>
        </w:rPr>
        <w:t xml:space="preserve">People v. Jurado </w:t>
      </w:r>
      <w:r w:rsidRPr="00957B29" w:rsidR="009376BB">
        <w:t xml:space="preserve">(2006) 38 Cal.4th 72, 123.) </w:t>
      </w:r>
      <w:r w:rsidRPr="00957B29" w:rsidR="009376BB">
        <w:rPr>
          <w:i/>
          <w:iCs/>
        </w:rPr>
        <w:t xml:space="preserve"> </w:t>
      </w:r>
      <w:r w:rsidRPr="00957B29" w:rsidR="00425F90">
        <w:t>Th</w:t>
      </w:r>
      <w:r w:rsidR="003D0AB5">
        <w:t>e two elements are distinct, but closely related</w:t>
      </w:r>
      <w:r w:rsidRPr="00957B29" w:rsidR="00425F90">
        <w:t>.  In some cases</w:t>
      </w:r>
      <w:r w:rsidRPr="00957B29" w:rsidR="00254244">
        <w:t>,</w:t>
      </w:r>
      <w:r w:rsidRPr="00957B29" w:rsidR="00425F90">
        <w:t xml:space="preserve"> it may be useful </w:t>
      </w:r>
      <w:r w:rsidRPr="00957B29" w:rsidR="004723D0">
        <w:t xml:space="preserve">to </w:t>
      </w:r>
      <w:r w:rsidRPr="00957B29" w:rsidR="00AA0156">
        <w:t>distinguish between</w:t>
      </w:r>
      <w:r w:rsidRPr="00957B29" w:rsidR="00425F90">
        <w:t xml:space="preserve"> </w:t>
      </w:r>
      <w:r w:rsidRPr="00957B29" w:rsidR="00F62AE8">
        <w:t>the two elements</w:t>
      </w:r>
      <w:r w:rsidRPr="00957B29" w:rsidR="00425F90">
        <w:t xml:space="preserve">, </w:t>
      </w:r>
      <w:r w:rsidRPr="00957B29" w:rsidR="00F62AE8">
        <w:t xml:space="preserve">especially </w:t>
      </w:r>
      <w:r w:rsidRPr="00957B29" w:rsidR="00425F90">
        <w:t>when evidence of one is direct and the other is circumstantial.</w:t>
      </w:r>
      <w:r w:rsidR="00C45CED">
        <w:t xml:space="preserve"> </w:t>
      </w:r>
      <w:r w:rsidRPr="00957B29" w:rsidR="00425F90">
        <w:t xml:space="preserve"> (See, e.g., </w:t>
      </w:r>
      <w:r w:rsidRPr="00957B29" w:rsidR="004723D0">
        <w:rPr>
          <w:i/>
          <w:iCs/>
        </w:rPr>
        <w:t xml:space="preserve">People v. </w:t>
      </w:r>
      <w:r w:rsidRPr="00957B29" w:rsidR="00425F90">
        <w:rPr>
          <w:i/>
          <w:iCs/>
        </w:rPr>
        <w:t>Marsh</w:t>
      </w:r>
      <w:r w:rsidRPr="00957B29" w:rsidR="001B14F4">
        <w:t xml:space="preserve"> (1962) 58 Cal.2d 732, </w:t>
      </w:r>
      <w:r w:rsidRPr="00957B29" w:rsidR="00425F90">
        <w:t xml:space="preserve">742–744 [focusing on intent to commit a crime </w:t>
      </w:r>
      <w:r w:rsidR="00C93DB6">
        <w:t>where</w:t>
      </w:r>
      <w:r w:rsidRPr="00957B29" w:rsidR="00C93DB6">
        <w:t xml:space="preserve"> </w:t>
      </w:r>
      <w:r w:rsidRPr="00957B29" w:rsidR="00425F90">
        <w:t xml:space="preserve">there was clear evidence of intent to agree]; </w:t>
      </w:r>
      <w:r w:rsidRPr="00957B29" w:rsidR="00425F90">
        <w:rPr>
          <w:i/>
          <w:iCs/>
        </w:rPr>
        <w:t>People v. Beck and Cruz</w:t>
      </w:r>
      <w:r w:rsidRPr="00957B29" w:rsidR="001B14F4">
        <w:t xml:space="preserve"> (2019)</w:t>
      </w:r>
      <w:r w:rsidRPr="00957B29" w:rsidR="00425F90">
        <w:rPr>
          <w:i/>
          <w:iCs/>
        </w:rPr>
        <w:t xml:space="preserve"> </w:t>
      </w:r>
      <w:r w:rsidRPr="00957B29" w:rsidR="00425F90">
        <w:t xml:space="preserve">8 Cal.5th </w:t>
      </w:r>
      <w:r w:rsidRPr="00957B29" w:rsidR="001B14F4">
        <w:t xml:space="preserve">548, </w:t>
      </w:r>
      <w:r w:rsidRPr="00957B29" w:rsidR="00425F90">
        <w:t xml:space="preserve">629 [focusing on </w:t>
      </w:r>
      <w:r w:rsidRPr="00957B29" w:rsidR="00693BE7">
        <w:t xml:space="preserve">intent to agree where there was clear evidence </w:t>
      </w:r>
      <w:r w:rsidR="006C15DE">
        <w:t xml:space="preserve">of intent </w:t>
      </w:r>
      <w:r w:rsidRPr="00957B29" w:rsidR="00693BE7">
        <w:t>to commit a crime</w:t>
      </w:r>
      <w:r w:rsidRPr="00957B29" w:rsidR="00425F90">
        <w:t xml:space="preserve">].) </w:t>
      </w:r>
      <w:r w:rsidRPr="00957B29" w:rsidR="00854941">
        <w:t xml:space="preserve"> </w:t>
      </w:r>
      <w:r w:rsidRPr="00957B29" w:rsidR="00425F90">
        <w:t xml:space="preserve">But </w:t>
      </w:r>
      <w:r w:rsidRPr="00957B29" w:rsidR="00432269">
        <w:t xml:space="preserve">in many cases, </w:t>
      </w:r>
      <w:r w:rsidRPr="00957B29" w:rsidR="00425F90">
        <w:t>proof of the two specific intent elements will overlap</w:t>
      </w:r>
      <w:r w:rsidRPr="00957B29" w:rsidR="00F7573D">
        <w:t xml:space="preserve">.  </w:t>
      </w:r>
      <w:r w:rsidRPr="00957B29" w:rsidR="00425F90">
        <w:t>(</w:t>
      </w:r>
      <w:r w:rsidRPr="00957B29" w:rsidR="00100191">
        <w:t>See, e.g</w:t>
      </w:r>
      <w:r w:rsidRPr="00957B29" w:rsidR="00640CF5">
        <w:t>.</w:t>
      </w:r>
      <w:r w:rsidRPr="00957B29" w:rsidR="00100191">
        <w:t xml:space="preserve">, </w:t>
      </w:r>
      <w:r w:rsidRPr="00957B29" w:rsidR="00425F90">
        <w:t xml:space="preserve">Harno, </w:t>
      </w:r>
      <w:r w:rsidRPr="00957B29" w:rsidR="00425F90">
        <w:rPr>
          <w:i/>
          <w:iCs/>
        </w:rPr>
        <w:t>Intent in Criminal Conspirac</w:t>
      </w:r>
      <w:r w:rsidRPr="00957B29" w:rsidR="00DB29BA">
        <w:rPr>
          <w:i/>
          <w:iCs/>
        </w:rPr>
        <w:t>y</w:t>
      </w:r>
      <w:r w:rsidRPr="00957B29" w:rsidR="00425F90">
        <w:t xml:space="preserve"> (1941) 89 U.Pa. L.Rev. 624, 631 [“[The two types of intent necessary for conspiracy] always shade into each other and often there is no practical purpose served in distinguishing them”].)</w:t>
      </w:r>
      <w:r w:rsidRPr="00957B29">
        <w:t xml:space="preserve">  </w:t>
      </w:r>
      <w:r w:rsidRPr="00957B29" w:rsidR="008147AF">
        <w:t>Together, these two specific intent elements play a critical role in a conspiracy prosecution:  Proof of these elements is what separates a coconspirator from a mere bystander to the crime.</w:t>
      </w:r>
    </w:p>
    <w:p w:rsidR="008A1498" w:rsidRPr="00957B29" w:rsidP="00957B29">
      <w:pPr>
        <w:tabs>
          <w:tab w:val="left" w:pos="1440"/>
        </w:tabs>
        <w:ind w:firstLine="720"/>
        <w:rPr>
          <w:szCs w:val="26"/>
        </w:rPr>
      </w:pPr>
      <w:r w:rsidRPr="00957B29">
        <w:rPr>
          <w:szCs w:val="26"/>
        </w:rPr>
        <w:t xml:space="preserve">Here, where we consider these elements in </w:t>
      </w:r>
      <w:r w:rsidRPr="00957B29" w:rsidR="00F952AB">
        <w:rPr>
          <w:szCs w:val="26"/>
        </w:rPr>
        <w:t>th</w:t>
      </w:r>
      <w:r w:rsidRPr="00957B29" w:rsidR="00F67F43">
        <w:rPr>
          <w:szCs w:val="26"/>
        </w:rPr>
        <w:t>e context of a charged conspiracy stemming from a gang rivalry</w:t>
      </w:r>
      <w:r w:rsidRPr="00957B29" w:rsidR="00F952AB">
        <w:rPr>
          <w:szCs w:val="26"/>
        </w:rPr>
        <w:t xml:space="preserve">, </w:t>
      </w:r>
      <w:r w:rsidRPr="00957B29" w:rsidR="00165A78">
        <w:rPr>
          <w:szCs w:val="26"/>
        </w:rPr>
        <w:t>the proof necessary to differentiate</w:t>
      </w:r>
      <w:r w:rsidRPr="00957B29" w:rsidR="005673D9">
        <w:rPr>
          <w:szCs w:val="26"/>
        </w:rPr>
        <w:t xml:space="preserve"> </w:t>
      </w:r>
      <w:r w:rsidRPr="00957B29" w:rsidR="00BA484F">
        <w:rPr>
          <w:szCs w:val="26"/>
        </w:rPr>
        <w:t xml:space="preserve">a coconspirator from a bystander takes on particular </w:t>
      </w:r>
      <w:r w:rsidRPr="00957B29" w:rsidR="00146F6B">
        <w:rPr>
          <w:szCs w:val="26"/>
        </w:rPr>
        <w:t>significance</w:t>
      </w:r>
      <w:r w:rsidRPr="00957B29" w:rsidR="00BA484F">
        <w:rPr>
          <w:szCs w:val="26"/>
        </w:rPr>
        <w:t>.</w:t>
      </w:r>
      <w:r w:rsidRPr="00957B29" w:rsidR="00F952AB">
        <w:rPr>
          <w:szCs w:val="26"/>
        </w:rPr>
        <w:t xml:space="preserve"> </w:t>
      </w:r>
      <w:r w:rsidRPr="00957B29" w:rsidR="00F0067A">
        <w:rPr>
          <w:szCs w:val="26"/>
        </w:rPr>
        <w:t xml:space="preserve"> </w:t>
      </w:r>
      <w:r w:rsidRPr="00957B29" w:rsidR="00F3718D">
        <w:t>Decades ago, i</w:t>
      </w:r>
      <w:r w:rsidRPr="00957B29" w:rsidR="0015500D">
        <w:t xml:space="preserve">n </w:t>
      </w:r>
      <w:r w:rsidRPr="00957B29" w:rsidR="0015500D">
        <w:rPr>
          <w:i/>
          <w:iCs/>
        </w:rPr>
        <w:t>Scales v. U</w:t>
      </w:r>
      <w:r w:rsidRPr="00957B29" w:rsidR="001B14F4">
        <w:rPr>
          <w:i/>
          <w:iCs/>
        </w:rPr>
        <w:t xml:space="preserve">nited States </w:t>
      </w:r>
      <w:r w:rsidRPr="00957B29" w:rsidR="0015500D">
        <w:t xml:space="preserve">(1961) 367 U.S. 203, the </w:t>
      </w:r>
      <w:r w:rsidRPr="00957B29" w:rsidR="00A012E9">
        <w:t xml:space="preserve">United States </w:t>
      </w:r>
      <w:r w:rsidRPr="00957B29" w:rsidR="0015500D">
        <w:t xml:space="preserve">Supreme Court </w:t>
      </w:r>
      <w:r w:rsidRPr="00957B29" w:rsidR="00183F0C">
        <w:t xml:space="preserve">held </w:t>
      </w:r>
      <w:r w:rsidRPr="00957B29" w:rsidR="0015500D">
        <w:t xml:space="preserve">that </w:t>
      </w:r>
      <w:r w:rsidRPr="00957B29" w:rsidR="00286FC6">
        <w:t xml:space="preserve">the First Amendment forbids </w:t>
      </w:r>
      <w:r w:rsidRPr="00957B29" w:rsidR="00ED7B5A">
        <w:t>punishing a person merely for associating with others</w:t>
      </w:r>
      <w:r w:rsidRPr="00957B29" w:rsidR="00BD2BB1">
        <w:t> </w:t>
      </w:r>
      <w:r w:rsidRPr="00957B29" w:rsidR="00ED7B5A">
        <w:t xml:space="preserve">— even </w:t>
      </w:r>
      <w:r w:rsidRPr="00957B29" w:rsidR="00E937CA">
        <w:t xml:space="preserve">as part of a group premised on a violent aim.  </w:t>
      </w:r>
      <w:r w:rsidRPr="00957B29" w:rsidR="007B2D30">
        <w:t xml:space="preserve">Because the law will not recognize a rule of </w:t>
      </w:r>
      <w:r w:rsidRPr="00957B29" w:rsidR="007B0E40">
        <w:t xml:space="preserve">guilt by association, </w:t>
      </w:r>
      <w:r w:rsidRPr="00957B29" w:rsidR="00BF7E79">
        <w:t xml:space="preserve">we insist </w:t>
      </w:r>
      <w:r w:rsidRPr="00957B29" w:rsidR="007B0E40">
        <w:t xml:space="preserve">on proof of a defendant’s knowledge of, and specific intent to further, the group’s unlawful ends.  </w:t>
      </w:r>
      <w:r w:rsidRPr="00957B29" w:rsidR="00D7081C">
        <w:t>(</w:t>
      </w:r>
      <w:r w:rsidRPr="00957B29" w:rsidR="004E485B">
        <w:rPr>
          <w:i/>
          <w:iCs/>
        </w:rPr>
        <w:t>Scales</w:t>
      </w:r>
      <w:r w:rsidRPr="00957B29" w:rsidR="004E485B">
        <w:t xml:space="preserve">, </w:t>
      </w:r>
      <w:r w:rsidRPr="00957B29" w:rsidR="00D7081C">
        <w:t>at p.</w:t>
      </w:r>
      <w:r w:rsidRPr="00957B29" w:rsidR="00BA5355">
        <w:t> </w:t>
      </w:r>
      <w:r w:rsidRPr="00957B29" w:rsidR="00D7081C">
        <w:t>229</w:t>
      </w:r>
      <w:r w:rsidRPr="00957B29" w:rsidR="00692E2E">
        <w:t xml:space="preserve">; </w:t>
      </w:r>
      <w:r w:rsidRPr="00957B29" w:rsidR="00446287">
        <w:t>see</w:t>
      </w:r>
      <w:r w:rsidRPr="00957B29" w:rsidR="00692E2E">
        <w:t xml:space="preserve">, e.g., </w:t>
      </w:r>
      <w:r w:rsidRPr="00957B29" w:rsidR="005046D4">
        <w:rPr>
          <w:i/>
          <w:iCs/>
        </w:rPr>
        <w:t xml:space="preserve">Elfbrandt v. Russell </w:t>
      </w:r>
      <w:r w:rsidRPr="00957B29" w:rsidR="005046D4">
        <w:t xml:space="preserve">(1966) </w:t>
      </w:r>
      <w:bookmarkStart w:id="16" w:name="_Hlk98114960"/>
      <w:r w:rsidRPr="00957B29" w:rsidR="005046D4">
        <w:t>384 U.S. 11</w:t>
      </w:r>
      <w:bookmarkEnd w:id="16"/>
      <w:r w:rsidRPr="00957B29" w:rsidR="005046D4">
        <w:t>, 19 [“A law which applies to membership without the ‘specific intent’ to further the illegal aims of the organization</w:t>
      </w:r>
      <w:r w:rsidRPr="00957B29" w:rsidR="00034DEF">
        <w:t> . . . </w:t>
      </w:r>
      <w:r w:rsidRPr="00957B29" w:rsidR="005046D4">
        <w:t>rests on the doctrine of ‘guilt by association</w:t>
      </w:r>
      <w:r w:rsidRPr="00957B29" w:rsidR="00034DEF">
        <w:t>[,]</w:t>
      </w:r>
      <w:r w:rsidRPr="00957B29" w:rsidR="005046D4">
        <w:t>’ which has no place here”];</w:t>
      </w:r>
      <w:r w:rsidRPr="00957B29" w:rsidR="00D7081C">
        <w:t xml:space="preserve"> </w:t>
      </w:r>
      <w:r w:rsidRPr="00957B29" w:rsidR="00D7081C">
        <w:rPr>
          <w:i/>
          <w:iCs/>
        </w:rPr>
        <w:t xml:space="preserve">Holder v. Humanitarian Law Project </w:t>
      </w:r>
      <w:r w:rsidRPr="00957B29" w:rsidR="00D7081C">
        <w:t>(2010) 561 U.S. 1, 18 [</w:t>
      </w:r>
      <w:r w:rsidRPr="00957B29" w:rsidR="000335A0">
        <w:t>noting</w:t>
      </w:r>
      <w:r w:rsidRPr="00957B29" w:rsidR="000C3711">
        <w:t xml:space="preserve"> that </w:t>
      </w:r>
      <w:r w:rsidRPr="00957B29" w:rsidR="00D7081C">
        <w:t>“mere membership” in</w:t>
      </w:r>
      <w:r w:rsidRPr="00957B29" w:rsidR="000335A0">
        <w:t>,</w:t>
      </w:r>
      <w:r w:rsidRPr="00957B29" w:rsidR="00D7081C">
        <w:t xml:space="preserve"> </w:t>
      </w:r>
      <w:r w:rsidRPr="00957B29" w:rsidR="00593447">
        <w:t>or association with</w:t>
      </w:r>
      <w:r w:rsidRPr="00957B29" w:rsidR="000335A0">
        <w:t>, an</w:t>
      </w:r>
      <w:r w:rsidRPr="00957B29" w:rsidR="00593447">
        <w:t xml:space="preserve"> </w:t>
      </w:r>
      <w:r w:rsidRPr="00957B29" w:rsidR="00D7081C">
        <w:t xml:space="preserve">organization that advocates </w:t>
      </w:r>
      <w:r w:rsidRPr="00957B29" w:rsidR="00DA050E">
        <w:t>terrorism</w:t>
      </w:r>
      <w:r w:rsidRPr="00957B29" w:rsidR="00D7081C">
        <w:t xml:space="preserve"> cannot</w:t>
      </w:r>
      <w:r w:rsidRPr="00957B29" w:rsidR="00B828B4">
        <w:t xml:space="preserve"> itself</w:t>
      </w:r>
      <w:r w:rsidRPr="00957B29" w:rsidR="00D7081C">
        <w:t xml:space="preserve"> be criminalized].)</w:t>
      </w:r>
    </w:p>
    <w:p w:rsidR="007956C1" w:rsidRPr="00957B29" w:rsidP="00957B29">
      <w:pPr>
        <w:tabs>
          <w:tab w:val="left" w:pos="1440"/>
        </w:tabs>
        <w:ind w:firstLine="720"/>
      </w:pPr>
      <w:r w:rsidRPr="00957B29">
        <w:t xml:space="preserve">This </w:t>
      </w:r>
      <w:r w:rsidRPr="00957B29" w:rsidR="008A1498">
        <w:t xml:space="preserve">basic </w:t>
      </w:r>
      <w:r w:rsidRPr="00957B29">
        <w:t xml:space="preserve">principle </w:t>
      </w:r>
      <w:r w:rsidRPr="00957B29" w:rsidR="008A1498">
        <w:t xml:space="preserve">is reflected </w:t>
      </w:r>
      <w:r w:rsidRPr="00957B29">
        <w:t xml:space="preserve">in California’s </w:t>
      </w:r>
      <w:r w:rsidRPr="00957B29" w:rsidR="00E422C4">
        <w:t xml:space="preserve">extensive </w:t>
      </w:r>
      <w:r w:rsidRPr="00957B29">
        <w:t xml:space="preserve">statutory </w:t>
      </w:r>
      <w:r w:rsidRPr="00957B29" w:rsidR="00E422C4">
        <w:t xml:space="preserve">regime </w:t>
      </w:r>
      <w:r w:rsidRPr="00957B29">
        <w:t>targeting gang activity</w:t>
      </w:r>
      <w:r w:rsidRPr="00957B29" w:rsidR="00E422C4">
        <w:t xml:space="preserve">, as well as in </w:t>
      </w:r>
      <w:r w:rsidRPr="00957B29">
        <w:t>judicial decisions interpreting and applying that law</w:t>
      </w:r>
      <w:r w:rsidRPr="00957B29" w:rsidR="00FC0703">
        <w:t>.  (Pen. Code, §</w:t>
      </w:r>
      <w:r w:rsidRPr="00957B29" w:rsidR="00BA5355">
        <w:t> </w:t>
      </w:r>
      <w:r w:rsidRPr="00957B29" w:rsidR="00FC0703">
        <w:t>186.20 et seq.</w:t>
      </w:r>
      <w:r w:rsidRPr="00957B29" w:rsidR="005C26B3">
        <w:t>;</w:t>
      </w:r>
      <w:r w:rsidRPr="00957B29" w:rsidR="00250C8D">
        <w:t xml:space="preserve"> see</w:t>
      </w:r>
      <w:r w:rsidRPr="00957B29" w:rsidR="007546A3">
        <w:t>, e.g.,</w:t>
      </w:r>
      <w:r w:rsidRPr="00957B29" w:rsidR="005C26B3">
        <w:t xml:space="preserve"> </w:t>
      </w:r>
      <w:r w:rsidRPr="00957B29" w:rsidR="005C26B3">
        <w:rPr>
          <w:i/>
          <w:iCs/>
        </w:rPr>
        <w:t>People v. Renteria</w:t>
      </w:r>
      <w:r w:rsidRPr="00957B29" w:rsidR="00FD7D90">
        <w:t xml:space="preserve"> (2022) 13 Cal.5th 951</w:t>
      </w:r>
      <w:r w:rsidRPr="00957B29" w:rsidR="00214116">
        <w:t xml:space="preserve"> (</w:t>
      </w:r>
      <w:r w:rsidRPr="00957B29" w:rsidR="00214116">
        <w:rPr>
          <w:i/>
          <w:iCs/>
        </w:rPr>
        <w:t>Renteria</w:t>
      </w:r>
      <w:r w:rsidRPr="00957B29" w:rsidR="00214116">
        <w:t>)</w:t>
      </w:r>
      <w:r w:rsidRPr="00957B29" w:rsidR="005C26B3">
        <w:t>.</w:t>
      </w:r>
      <w:r w:rsidRPr="00957B29" w:rsidR="00FC0703">
        <w:t xml:space="preserve">)  </w:t>
      </w:r>
      <w:r w:rsidRPr="00957B29" w:rsidR="008A1498">
        <w:t xml:space="preserve">California statutes </w:t>
      </w:r>
      <w:r w:rsidRPr="00957B29" w:rsidR="009460A3">
        <w:t xml:space="preserve">impose </w:t>
      </w:r>
      <w:r w:rsidRPr="00957B29" w:rsidR="00865341">
        <w:t>substantial criminal penalties</w:t>
      </w:r>
      <w:r w:rsidRPr="00957B29" w:rsidR="00BA5355">
        <w:t> </w:t>
      </w:r>
      <w:r w:rsidRPr="00957B29" w:rsidR="00CD7063">
        <w:t xml:space="preserve">— </w:t>
      </w:r>
      <w:r w:rsidRPr="00957B29" w:rsidR="00865341">
        <w:t>ranging from additional terms of years to indeterminate life terms of imprisonment</w:t>
      </w:r>
      <w:r w:rsidRPr="00957B29" w:rsidR="00BA5355">
        <w:t> </w:t>
      </w:r>
      <w:r w:rsidRPr="00957B29" w:rsidR="00865341">
        <w:t xml:space="preserve">— </w:t>
      </w:r>
      <w:r w:rsidRPr="00957B29" w:rsidR="009460A3">
        <w:t>on gang members w</w:t>
      </w:r>
      <w:r w:rsidRPr="00957B29" w:rsidR="004723B4">
        <w:t xml:space="preserve">ho commit crimes in concert with other members, or </w:t>
      </w:r>
      <w:r w:rsidRPr="00957B29" w:rsidR="00535207">
        <w:t xml:space="preserve">for the </w:t>
      </w:r>
      <w:r w:rsidRPr="00957B29" w:rsidR="004723B4">
        <w:t>benefit</w:t>
      </w:r>
      <w:r w:rsidRPr="00957B29" w:rsidR="001B14F4">
        <w:t xml:space="preserve"> of</w:t>
      </w:r>
      <w:r w:rsidRPr="00957B29" w:rsidR="004723B4">
        <w:t xml:space="preserve"> the gang, with the specific intent </w:t>
      </w:r>
      <w:r w:rsidRPr="00957B29" w:rsidR="00535207">
        <w:t>to promote, further, or assist criminal activity.  (</w:t>
      </w:r>
      <w:r w:rsidRPr="00957B29" w:rsidR="001E5E76">
        <w:t>Pen. Code,</w:t>
      </w:r>
      <w:r w:rsidRPr="00957B29" w:rsidR="00535207">
        <w:t xml:space="preserve"> §</w:t>
      </w:r>
      <w:r w:rsidRPr="00957B29" w:rsidR="00BA5355">
        <w:t> </w:t>
      </w:r>
      <w:r w:rsidRPr="00957B29" w:rsidR="00535207">
        <w:t>182.5 [offense of gang conspiracy]</w:t>
      </w:r>
      <w:r w:rsidR="00735E17">
        <w:t xml:space="preserve">; </w:t>
      </w:r>
      <w:r w:rsidRPr="00735E17" w:rsidR="00735E17">
        <w:rPr>
          <w:i/>
          <w:iCs/>
        </w:rPr>
        <w:t>id.</w:t>
      </w:r>
      <w:r w:rsidR="004431BF">
        <w:t>,</w:t>
      </w:r>
      <w:r w:rsidR="00735E17">
        <w:t xml:space="preserve"> </w:t>
      </w:r>
      <w:r w:rsidRPr="00957B29" w:rsidR="00735E17">
        <w:t>§ </w:t>
      </w:r>
      <w:r w:rsidRPr="00957B29" w:rsidR="00535207">
        <w:t>186.22, subd</w:t>
      </w:r>
      <w:r w:rsidR="00735E17">
        <w:t>s</w:t>
      </w:r>
      <w:r w:rsidRPr="00957B29" w:rsidR="00535207">
        <w:t>. (a) [offense of active gang participation]</w:t>
      </w:r>
      <w:r w:rsidR="00FA021C">
        <w:t>,</w:t>
      </w:r>
      <w:r w:rsidRPr="00957B29" w:rsidR="00535207">
        <w:t xml:space="preserve"> (b)(1) [sentence enhancements for gang-related felonies]</w:t>
      </w:r>
      <w:r w:rsidRPr="00957B29" w:rsidR="00EE1D8B">
        <w:t>,</w:t>
      </w:r>
      <w:r w:rsidRPr="00957B29" w:rsidR="00164758">
        <w:t xml:space="preserve"> (b)(4) [alternative penalties for certain gang-related felonies]</w:t>
      </w:r>
      <w:r w:rsidRPr="00957B29" w:rsidR="00535207">
        <w:t xml:space="preserve">.)  </w:t>
      </w:r>
      <w:r w:rsidRPr="00957B29" w:rsidR="006440AB">
        <w:t>I</w:t>
      </w:r>
      <w:r w:rsidRPr="00957B29" w:rsidR="00A83165">
        <w:t xml:space="preserve">n enacting the law, the </w:t>
      </w:r>
      <w:r w:rsidRPr="00957B29" w:rsidR="008A1498">
        <w:t xml:space="preserve">Legislature </w:t>
      </w:r>
      <w:r w:rsidRPr="00957B29" w:rsidR="00DA50A2">
        <w:t xml:space="preserve">deliberately </w:t>
      </w:r>
      <w:r w:rsidRPr="00957B29" w:rsidR="00A83165">
        <w:t>“sought to avoid punishing mere gang membership</w:t>
      </w:r>
      <w:r w:rsidRPr="00957B29" w:rsidR="008A1498">
        <w:t>.</w:t>
      </w:r>
      <w:r w:rsidRPr="00957B29" w:rsidR="00A83165">
        <w:t>”</w:t>
      </w:r>
      <w:r w:rsidRPr="00957B29" w:rsidR="008A1498">
        <w:t xml:space="preserve">  </w:t>
      </w:r>
      <w:r w:rsidRPr="00957B29" w:rsidR="000460D3">
        <w:t>(</w:t>
      </w:r>
      <w:r w:rsidRPr="00957B29" w:rsidR="00F1301B">
        <w:rPr>
          <w:i/>
          <w:iCs/>
        </w:rPr>
        <w:t>People v. Rodriguez</w:t>
      </w:r>
      <w:r w:rsidRPr="00957B29" w:rsidR="00F1301B">
        <w:t xml:space="preserve"> (2012) 55 Cal.4th 1125, 113</w:t>
      </w:r>
      <w:r w:rsidRPr="00957B29" w:rsidR="00A83165">
        <w:t>4</w:t>
      </w:r>
      <w:r w:rsidRPr="00957B29" w:rsidR="00F93421">
        <w:t xml:space="preserve"> (</w:t>
      </w:r>
      <w:r w:rsidRPr="00957B29" w:rsidR="00F93421">
        <w:rPr>
          <w:i/>
          <w:iCs/>
        </w:rPr>
        <w:t>Rodriguez</w:t>
      </w:r>
      <w:r w:rsidRPr="00957B29" w:rsidR="00F93421">
        <w:t>)</w:t>
      </w:r>
      <w:r w:rsidRPr="00957B29" w:rsidR="008A1498">
        <w:t xml:space="preserve">.)  </w:t>
      </w:r>
      <w:r w:rsidRPr="00957B29" w:rsidR="000C098C">
        <w:t xml:space="preserve">Thus, under the gang statutes, </w:t>
      </w:r>
      <w:r w:rsidRPr="00957B29" w:rsidR="008A1498">
        <w:t>“[m]ere active and knowing participation in a criminal street gang is not a crime.”  (</w:t>
      </w:r>
      <w:r w:rsidRPr="00957B29" w:rsidR="008A1498">
        <w:rPr>
          <w:i/>
          <w:iCs/>
        </w:rPr>
        <w:t>I</w:t>
      </w:r>
      <w:r w:rsidRPr="00957B29" w:rsidR="00E31A20">
        <w:rPr>
          <w:i/>
          <w:iCs/>
        </w:rPr>
        <w:t>d</w:t>
      </w:r>
      <w:r w:rsidRPr="00957B29" w:rsidR="00BD2BB1">
        <w:rPr>
          <w:i/>
          <w:iCs/>
        </w:rPr>
        <w:t>.</w:t>
      </w:r>
      <w:r w:rsidRPr="00957B29" w:rsidR="00E31A20">
        <w:t xml:space="preserve"> at p. 1130</w:t>
      </w:r>
      <w:r w:rsidRPr="00957B29" w:rsidR="008A1498">
        <w:t>;</w:t>
      </w:r>
      <w:r w:rsidRPr="00957B29" w:rsidR="00F1301B">
        <w:t xml:space="preserve"> </w:t>
      </w:r>
      <w:r w:rsidR="00D41509">
        <w:t xml:space="preserve">see </w:t>
      </w:r>
      <w:r w:rsidRPr="00957B29" w:rsidR="00ED234A">
        <w:rPr>
          <w:i/>
          <w:iCs/>
        </w:rPr>
        <w:t xml:space="preserve">People v. Mesa </w:t>
      </w:r>
      <w:r w:rsidRPr="00957B29" w:rsidR="00ED234A">
        <w:t xml:space="preserve">(2012) 54 Cal.4th 191, 196; </w:t>
      </w:r>
      <w:r w:rsidRPr="00957B29" w:rsidR="000460D3">
        <w:rPr>
          <w:i/>
          <w:iCs/>
        </w:rPr>
        <w:t xml:space="preserve">People v. Albillar </w:t>
      </w:r>
      <w:r w:rsidRPr="00957B29" w:rsidR="000460D3">
        <w:t>(2010) 51 Cal.4th 47, 57</w:t>
      </w:r>
      <w:r w:rsidRPr="00957B29" w:rsidR="008E704D">
        <w:t>–58</w:t>
      </w:r>
      <w:r w:rsidRPr="00957B29" w:rsidR="00A012E9">
        <w:t>;</w:t>
      </w:r>
      <w:r w:rsidRPr="00957B29" w:rsidR="00F1301B">
        <w:t xml:space="preserve"> </w:t>
      </w:r>
      <w:r w:rsidRPr="00957B29" w:rsidR="00F1301B">
        <w:rPr>
          <w:i/>
          <w:iCs/>
        </w:rPr>
        <w:t xml:space="preserve">People v. Castenada </w:t>
      </w:r>
      <w:r w:rsidRPr="00957B29" w:rsidR="00F1301B">
        <w:t>(2000) 23 Cal.4th 743,</w:t>
      </w:r>
      <w:r w:rsidRPr="00957B29" w:rsidR="00A012E9">
        <w:t xml:space="preserve"> </w:t>
      </w:r>
      <w:r w:rsidRPr="00957B29" w:rsidR="00F1301B">
        <w:t xml:space="preserve">747–752; </w:t>
      </w:r>
      <w:r w:rsidRPr="00957B29" w:rsidR="00F1301B">
        <w:rPr>
          <w:i/>
          <w:iCs/>
        </w:rPr>
        <w:t xml:space="preserve">People v. Loeun </w:t>
      </w:r>
      <w:r w:rsidRPr="00957B29" w:rsidR="00F1301B">
        <w:t xml:space="preserve">(1997) 17 Cal.4th 1, </w:t>
      </w:r>
      <w:r w:rsidRPr="00957B29" w:rsidR="00ED234A">
        <w:t>11</w:t>
      </w:r>
      <w:r w:rsidRPr="00957B29" w:rsidR="00F1301B">
        <w:t xml:space="preserve">.)  </w:t>
      </w:r>
      <w:r w:rsidRPr="00957B29" w:rsidR="00B5581D">
        <w:t>For all the same reasons, in a traditional conspiracy prosecution broadly targeting gang rivalry, our review of the evidence must take care to distinguish between mere evidence of gang membership</w:t>
      </w:r>
      <w:r w:rsidR="00AD76A3">
        <w:t>,</w:t>
      </w:r>
      <w:r w:rsidRPr="00957B29" w:rsidR="00B5581D">
        <w:t xml:space="preserve"> on the one hand</w:t>
      </w:r>
      <w:r w:rsidR="00485112">
        <w:t>,</w:t>
      </w:r>
      <w:r w:rsidRPr="00957B29" w:rsidR="00B5581D">
        <w:t xml:space="preserve"> and participation in the charged conspiracy</w:t>
      </w:r>
      <w:r w:rsidR="00485112">
        <w:t>,</w:t>
      </w:r>
      <w:r w:rsidRPr="00957B29" w:rsidR="00B5581D">
        <w:t xml:space="preserve"> on the other.  </w:t>
      </w:r>
    </w:p>
    <w:p w:rsidR="007956C1" w:rsidRPr="00957B29" w:rsidP="00957B29">
      <w:pPr>
        <w:tabs>
          <w:tab w:val="left" w:pos="1440"/>
        </w:tabs>
        <w:ind w:firstLine="720"/>
      </w:pPr>
      <w:r w:rsidRPr="00957B29">
        <w:t xml:space="preserve">Caution is </w:t>
      </w:r>
      <w:r w:rsidRPr="00957B29" w:rsidR="001D72A8">
        <w:t xml:space="preserve">likewise </w:t>
      </w:r>
      <w:r w:rsidRPr="00957B29">
        <w:t>warranted because of the unusual nature of the charged conspirac</w:t>
      </w:r>
      <w:r w:rsidRPr="00957B29" w:rsidR="00667360">
        <w:t>y in this case.  T</w:t>
      </w:r>
      <w:r w:rsidRPr="00957B29">
        <w:t xml:space="preserve">he </w:t>
      </w:r>
      <w:r w:rsidR="00485112">
        <w:t xml:space="preserve">type and volume of </w:t>
      </w:r>
      <w:r w:rsidRPr="00957B29">
        <w:t xml:space="preserve">evidence </w:t>
      </w:r>
      <w:r w:rsidRPr="00957B29" w:rsidR="00667360">
        <w:t xml:space="preserve">necessary </w:t>
      </w:r>
      <w:r w:rsidRPr="00957B29">
        <w:t xml:space="preserve">to establish the existence of a broad, nonspecific </w:t>
      </w:r>
      <w:r w:rsidRPr="00957B29" w:rsidR="00BF4E6C">
        <w:t xml:space="preserve">gang-related </w:t>
      </w:r>
      <w:r w:rsidRPr="00957B29">
        <w:t xml:space="preserve">conspiracy </w:t>
      </w:r>
      <w:r w:rsidRPr="00957B29" w:rsidR="00C871B7">
        <w:t xml:space="preserve">of the sort alleged here </w:t>
      </w:r>
      <w:r w:rsidRPr="00957B29">
        <w:t xml:space="preserve">poses challenges to a </w:t>
      </w:r>
      <w:r w:rsidR="00B17453">
        <w:t>factfinder</w:t>
      </w:r>
      <w:r w:rsidRPr="00957B29" w:rsidR="00B17453">
        <w:t xml:space="preserve"> </w:t>
      </w:r>
      <w:r w:rsidRPr="00957B29">
        <w:t>attempting to distinguish the guilt of one defendant from that of another.</w:t>
      </w:r>
      <w:r w:rsidRPr="00957B29" w:rsidR="00D8668F">
        <w:t xml:space="preserve">  </w:t>
      </w:r>
      <w:r w:rsidRPr="00957B29" w:rsidR="00354D0D">
        <w:t xml:space="preserve">In any conspiracy prosecution, </w:t>
      </w:r>
      <w:r w:rsidRPr="00957B29" w:rsidR="001A12A3">
        <w:t xml:space="preserve">“the accused often is confronted with a hodgepodge of acts and statements by others which he may never have authorized or intended or even known about, but which help to persuade the jury of [the] existence of the conspiracy itself.”  </w:t>
      </w:r>
      <w:r w:rsidRPr="00957B29">
        <w:t>(</w:t>
      </w:r>
      <w:r w:rsidRPr="00957B29">
        <w:rPr>
          <w:i/>
          <w:iCs/>
        </w:rPr>
        <w:t>Krulewitch v. United States</w:t>
      </w:r>
      <w:r w:rsidRPr="00957B29">
        <w:t xml:space="preserve"> (1949) 336 U.S. 440, 453 (conc. opn. of Jackson, J.).)  </w:t>
      </w:r>
      <w:r w:rsidRPr="00957B29" w:rsidR="008A29B8">
        <w:t>Th</w:t>
      </w:r>
      <w:r w:rsidRPr="00957B29" w:rsidR="00AD722C">
        <w:t xml:space="preserve">is feature of conspiracy prosecutions raises particular concerns </w:t>
      </w:r>
      <w:r w:rsidRPr="00957B29" w:rsidR="00647E1D">
        <w:t xml:space="preserve">in the context of a prosecution involving </w:t>
      </w:r>
      <w:r w:rsidRPr="00957B29" w:rsidR="008A29B8">
        <w:t>a “single massive conspiracy</w:t>
      </w:r>
      <w:r w:rsidRPr="00957B29" w:rsidR="004E485B">
        <w:t xml:space="preserve"> </w:t>
      </w:r>
      <w:r w:rsidRPr="00957B29" w:rsidR="008A29B8">
        <w:t>.</w:t>
      </w:r>
      <w:r w:rsidRPr="00957B29" w:rsidR="00BD2BB1">
        <w:t> </w:t>
      </w:r>
      <w:r w:rsidRPr="00957B29" w:rsidR="008A29B8">
        <w:t>.</w:t>
      </w:r>
      <w:r w:rsidRPr="00957B29" w:rsidR="00BD2BB1">
        <w:t> </w:t>
      </w:r>
      <w:r w:rsidRPr="00957B29" w:rsidR="008A29B8">
        <w:t>.</w:t>
      </w:r>
      <w:r w:rsidRPr="00957B29" w:rsidR="00BD2BB1">
        <w:t> </w:t>
      </w:r>
      <w:r w:rsidRPr="00957B29" w:rsidR="008A29B8">
        <w:t xml:space="preserve">. </w:t>
      </w:r>
      <w:r w:rsidRPr="00957B29" w:rsidR="00BD2BB1">
        <w:t xml:space="preserve"> </w:t>
      </w:r>
      <w:r w:rsidRPr="00957B29" w:rsidR="004E485B">
        <w:t xml:space="preserve">[¶] </w:t>
      </w:r>
      <w:r w:rsidR="00C2474F">
        <w:t xml:space="preserve"> .</w:t>
      </w:r>
      <w:r w:rsidRPr="00957B29" w:rsidR="00C2474F">
        <w:t> </w:t>
      </w:r>
      <w:r w:rsidR="00C2474F">
        <w:t>.</w:t>
      </w:r>
      <w:r w:rsidRPr="00957B29" w:rsidR="00C2474F">
        <w:t> </w:t>
      </w:r>
      <w:r w:rsidR="00C2474F">
        <w:t xml:space="preserve">. </w:t>
      </w:r>
      <w:r w:rsidRPr="00957B29" w:rsidR="004E485B">
        <w:t xml:space="preserve"> </w:t>
      </w:r>
      <w:r w:rsidRPr="00957B29" w:rsidR="008A29B8">
        <w:t xml:space="preserve">The risk is that a jury </w:t>
      </w:r>
      <w:r w:rsidRPr="00957B29" w:rsidR="00F64F78">
        <w:rPr>
          <w:szCs w:val="26"/>
        </w:rPr>
        <w:t>will be so overwhelmed with evidence of wrongdoing .</w:t>
      </w:r>
      <w:r w:rsidRPr="00957B29" w:rsidR="00BD2BB1">
        <w:rPr>
          <w:szCs w:val="26"/>
        </w:rPr>
        <w:t> . .</w:t>
      </w:r>
      <w:r w:rsidRPr="00957B29" w:rsidR="00F64F78">
        <w:rPr>
          <w:szCs w:val="26"/>
        </w:rPr>
        <w:t xml:space="preserve"> that it will fail to differentiate among particular defendants</w:t>
      </w:r>
      <w:r w:rsidRPr="00957B29" w:rsidR="00E44116">
        <w:rPr>
          <w:szCs w:val="26"/>
        </w:rPr>
        <w:t>.</w:t>
      </w:r>
      <w:r w:rsidRPr="00957B29" w:rsidR="00F64F78">
        <w:rPr>
          <w:szCs w:val="26"/>
        </w:rPr>
        <w:t>”</w:t>
      </w:r>
      <w:r w:rsidRPr="00957B29" w:rsidR="00E44116">
        <w:rPr>
          <w:szCs w:val="26"/>
        </w:rPr>
        <w:t xml:space="preserve">  (</w:t>
      </w:r>
      <w:r w:rsidRPr="00957B29" w:rsidR="008A29B8">
        <w:rPr>
          <w:i/>
          <w:iCs/>
          <w:szCs w:val="26"/>
        </w:rPr>
        <w:t xml:space="preserve">U.S. v. Evans </w:t>
      </w:r>
      <w:r w:rsidRPr="00957B29" w:rsidR="008A29B8">
        <w:rPr>
          <w:szCs w:val="26"/>
        </w:rPr>
        <w:t>(10th Cir. 1992) 970 F.2d 663, 674</w:t>
      </w:r>
      <w:r w:rsidRPr="00957B29" w:rsidR="00E44116">
        <w:rPr>
          <w:szCs w:val="26"/>
        </w:rPr>
        <w:t>.)</w:t>
      </w:r>
      <w:r w:rsidRPr="00957B29" w:rsidR="00F80FFF">
        <w:t xml:space="preserve">  </w:t>
      </w:r>
      <w:r w:rsidRPr="00957B29">
        <w:t xml:space="preserve">The risk of confusion makes it </w:t>
      </w:r>
      <w:r w:rsidRPr="00957B29" w:rsidR="002242C4">
        <w:t xml:space="preserve">particularly critical </w:t>
      </w:r>
      <w:r w:rsidRPr="00957B29">
        <w:t>for courts to carefully distinguish between evidence of mere membership in a gang embroiled in a violent rivalry</w:t>
      </w:r>
      <w:r w:rsidR="00485112">
        <w:t xml:space="preserve"> and </w:t>
      </w:r>
      <w:r w:rsidRPr="00957B29">
        <w:t xml:space="preserve">evidence sufficient to support a conviction for conspiracy to commit murder. </w:t>
      </w:r>
    </w:p>
    <w:p w:rsidR="004B1BE1" w:rsidRPr="00957B29" w:rsidP="00957B29">
      <w:pPr>
        <w:tabs>
          <w:tab w:val="left" w:pos="1440"/>
        </w:tabs>
        <w:ind w:firstLine="720"/>
      </w:pPr>
      <w:r w:rsidRPr="00957B29">
        <w:t xml:space="preserve">Several well-established principles </w:t>
      </w:r>
      <w:r w:rsidRPr="00957B29" w:rsidR="00F80FFF">
        <w:t xml:space="preserve">of conspiracy law </w:t>
      </w:r>
      <w:r w:rsidRPr="00957B29">
        <w:t>guide us in this task.</w:t>
      </w:r>
      <w:r w:rsidRPr="00957B29" w:rsidR="00F80FFF">
        <w:t xml:space="preserve">  </w:t>
      </w:r>
      <w:r w:rsidRPr="00957B29" w:rsidR="00675168">
        <w:t>T</w:t>
      </w:r>
      <w:r w:rsidRPr="00957B29" w:rsidR="00A901E4">
        <w:t xml:space="preserve">o </w:t>
      </w:r>
      <w:r w:rsidRPr="00957B29" w:rsidR="009D5579">
        <w:t xml:space="preserve">establish the requisite </w:t>
      </w:r>
      <w:r w:rsidRPr="00957B29" w:rsidR="00A901E4">
        <w:t>specific intent</w:t>
      </w:r>
      <w:r w:rsidRPr="00957B29" w:rsidR="00740ED9">
        <w:t xml:space="preserve"> connecting an individual defendant to the charged conspiracy</w:t>
      </w:r>
      <w:r w:rsidRPr="00957B29" w:rsidR="00A901E4">
        <w:t xml:space="preserve">, </w:t>
      </w:r>
      <w:r w:rsidRPr="00957B29" w:rsidR="009D5579">
        <w:t>the prosecution must show</w:t>
      </w:r>
      <w:r w:rsidRPr="00957B29" w:rsidR="00E00019">
        <w:t xml:space="preserve"> that</w:t>
      </w:r>
      <w:r w:rsidRPr="00957B29" w:rsidR="009D5579">
        <w:t xml:space="preserve"> the </w:t>
      </w:r>
      <w:r w:rsidRPr="00957B29" w:rsidR="003014D6">
        <w:t xml:space="preserve">defendant intended to </w:t>
      </w:r>
      <w:r w:rsidRPr="00957B29" w:rsidR="006621D2">
        <w:t>play some part</w:t>
      </w:r>
      <w:r w:rsidRPr="00957B29" w:rsidR="006735CE">
        <w:t xml:space="preserve"> in achieving the conspirator’s unlawful ends</w:t>
      </w:r>
      <w:r w:rsidRPr="00957B29" w:rsidR="006621D2">
        <w:t xml:space="preserve">.  </w:t>
      </w:r>
      <w:r w:rsidRPr="00957B29" w:rsidR="00BA2CF3">
        <w:t xml:space="preserve">Put differently, </w:t>
      </w:r>
      <w:r w:rsidRPr="00957B29" w:rsidR="00A901E4">
        <w:t>“[t]here must be something more than ‘[m]ere knowledge, approval of or acquiescence in the object or the purpose of the conspiracy.’ ”  (</w:t>
      </w:r>
      <w:r w:rsidRPr="00957B29" w:rsidR="00A901E4">
        <w:rPr>
          <w:i/>
          <w:iCs/>
        </w:rPr>
        <w:t xml:space="preserve">U.S. v. Cianchetti </w:t>
      </w:r>
      <w:r w:rsidRPr="00957B29" w:rsidR="00A901E4">
        <w:t xml:space="preserve">(2d Cir. 1963) 315 F.2d 584, 588, quoting </w:t>
      </w:r>
      <w:r w:rsidRPr="00957B29" w:rsidR="00A901E4">
        <w:rPr>
          <w:i/>
          <w:iCs/>
        </w:rPr>
        <w:t>Cleaver v. U.S.</w:t>
      </w:r>
      <w:r w:rsidRPr="00957B29" w:rsidR="00A901E4">
        <w:t xml:space="preserve"> (10th Cir. 1956) 238 F.2d 766, 771; </w:t>
      </w:r>
      <w:r w:rsidR="00D0569D">
        <w:t xml:space="preserve">see </w:t>
      </w:r>
      <w:r w:rsidRPr="00957B29" w:rsidR="00A901E4">
        <w:rPr>
          <w:i/>
        </w:rPr>
        <w:t xml:space="preserve">Michael R. v. Jeffrey B. </w:t>
      </w:r>
      <w:r w:rsidRPr="00957B29" w:rsidR="00A901E4">
        <w:rPr>
          <w:iCs/>
        </w:rPr>
        <w:t xml:space="preserve">(1984) 158 Cal.App.3d 1059, 1069; </w:t>
      </w:r>
      <w:r w:rsidRPr="00957B29" w:rsidR="00A901E4">
        <w:t xml:space="preserve">see also </w:t>
      </w:r>
      <w:r w:rsidRPr="00957B29" w:rsidR="00A901E4">
        <w:rPr>
          <w:i/>
          <w:iCs/>
        </w:rPr>
        <w:t xml:space="preserve">Direct Sales Co. v. U.S. </w:t>
      </w:r>
      <w:r w:rsidRPr="00957B29" w:rsidR="00A901E4">
        <w:t>(1943) 319 U.S. 703, 711 [knowledge of a conspiracy is necessary, but not sufficient, to show that a person “intends to further, promote and cooperate in it”].)  A cheerleader, no matter how enthusiastic, is not a coconspirator unless the prosecution can prove th</w:t>
      </w:r>
      <w:r w:rsidRPr="00957B29" w:rsidR="00893F4D">
        <w:t xml:space="preserve">e cheering </w:t>
      </w:r>
      <w:r w:rsidRPr="00957B29" w:rsidR="00A901E4">
        <w:t>was intended</w:t>
      </w:r>
      <w:r w:rsidRPr="00957B29" w:rsidR="00A901E4">
        <w:rPr>
          <w:i/>
          <w:iCs/>
        </w:rPr>
        <w:t xml:space="preserve"> </w:t>
      </w:r>
      <w:r w:rsidRPr="00957B29" w:rsidR="00A901E4">
        <w:t xml:space="preserve">to play some role in achieving the object offense.  </w:t>
      </w:r>
      <w:r w:rsidRPr="00957B29" w:rsidR="00550DBF">
        <w:t>Likewise, a member of a group may receive some benefit from others’ misdeeds, but</w:t>
      </w:r>
      <w:r w:rsidRPr="00957B29" w:rsidR="00CD0016">
        <w:t xml:space="preserve"> without more, a mere beneficiary is not a coconspirator.</w:t>
      </w:r>
      <w:r w:rsidRPr="00957B29" w:rsidR="00A901E4">
        <w:t xml:space="preserve"> </w:t>
      </w:r>
      <w:r w:rsidRPr="00957B29" w:rsidR="00CD0016">
        <w:t xml:space="preserve"> </w:t>
      </w:r>
      <w:r w:rsidRPr="00957B29" w:rsidR="009D5579">
        <w:t>U</w:t>
      </w:r>
      <w:r w:rsidRPr="00957B29" w:rsidR="00A901E4">
        <w:t xml:space="preserve">nlike a Penal Code section 182.5 gang conspiracy charge, in which knowingly benefiting from the conspiracy </w:t>
      </w:r>
      <w:r w:rsidRPr="00957B29" w:rsidR="00246420">
        <w:t>is a basis for liability</w:t>
      </w:r>
      <w:r w:rsidRPr="00957B29" w:rsidR="00A901E4">
        <w:t>, a Penal Code section 182 traditional conspiracy requires the prosecution to demonstrate that the individual defendant intended to play a role in the object offense</w:t>
      </w:r>
      <w:r w:rsidRPr="00957B29" w:rsidR="00BE4AFA">
        <w:t>, not merely profit from it after the fact</w:t>
      </w:r>
      <w:r w:rsidRPr="00957B29" w:rsidR="00A901E4">
        <w:t xml:space="preserve">.  (See </w:t>
      </w:r>
      <w:r w:rsidRPr="00957B29" w:rsidR="00A901E4">
        <w:rPr>
          <w:i/>
          <w:iCs/>
        </w:rPr>
        <w:t>Johnson</w:t>
      </w:r>
      <w:r w:rsidRPr="00957B29" w:rsidR="00A901E4">
        <w:t xml:space="preserve">, </w:t>
      </w:r>
      <w:r w:rsidRPr="00957B29" w:rsidR="00A901E4">
        <w:rPr>
          <w:i/>
          <w:iCs/>
        </w:rPr>
        <w:t>supra</w:t>
      </w:r>
      <w:r w:rsidRPr="00957B29" w:rsidR="00A901E4">
        <w:t>,</w:t>
      </w:r>
      <w:r w:rsidRPr="00957B29" w:rsidR="00A901E4">
        <w:rPr>
          <w:i/>
          <w:iCs/>
        </w:rPr>
        <w:t xml:space="preserve"> </w:t>
      </w:r>
      <w:r w:rsidRPr="00957B29" w:rsidR="00A901E4">
        <w:t>57 Cal.4th at p. 262</w:t>
      </w:r>
      <w:r w:rsidRPr="00957B29" w:rsidR="00A901E4">
        <w:rPr>
          <w:i/>
          <w:iCs/>
        </w:rPr>
        <w:t>.</w:t>
      </w:r>
      <w:r w:rsidRPr="00957B29" w:rsidR="00A901E4">
        <w:t xml:space="preserve">)  </w:t>
      </w:r>
    </w:p>
    <w:p w:rsidR="00B955DA" w:rsidRPr="00957B29" w:rsidP="00957B29">
      <w:pPr>
        <w:tabs>
          <w:tab w:val="left" w:pos="1440"/>
        </w:tabs>
        <w:ind w:firstLine="720"/>
      </w:pPr>
      <w:r>
        <w:t>W</w:t>
      </w:r>
      <w:r w:rsidRPr="00957B29" w:rsidR="008265C2">
        <w:t xml:space="preserve">hile </w:t>
      </w:r>
      <w:r w:rsidRPr="00957B29" w:rsidR="00A84DEA">
        <w:t xml:space="preserve">it may be </w:t>
      </w:r>
      <w:r w:rsidRPr="00957B29" w:rsidR="008265C2">
        <w:t xml:space="preserve">useful to show the precise role the </w:t>
      </w:r>
      <w:r w:rsidRPr="00957B29" w:rsidR="00496CB2">
        <w:t>defendant intended to play in achieving the object of the conspiracy</w:t>
      </w:r>
      <w:r w:rsidRPr="00957B29" w:rsidR="00900984">
        <w:t>,</w:t>
      </w:r>
      <w:r w:rsidRPr="00957B29" w:rsidR="00A84DEA">
        <w:t xml:space="preserve"> </w:t>
      </w:r>
      <w:r w:rsidRPr="00957B29" w:rsidR="009F265F">
        <w:t xml:space="preserve">the prosecution is not required to establish precisely how the defendant intended to achieve the ends of the conspiracy </w:t>
      </w:r>
      <w:r w:rsidRPr="00957B29" w:rsidR="00805EDF">
        <w:t xml:space="preserve">or that the defendant’s chosen means were </w:t>
      </w:r>
      <w:r w:rsidRPr="00957B29" w:rsidR="00FB0462">
        <w:t xml:space="preserve">effective </w:t>
      </w:r>
      <w:r w:rsidRPr="00957B29" w:rsidR="00805EDF">
        <w:t xml:space="preserve">in achieving those ends.  </w:t>
      </w:r>
      <w:r w:rsidRPr="00957B29" w:rsidR="00126FF6">
        <w:t xml:space="preserve">Nor, certainly, must the prosecution </w:t>
      </w:r>
      <w:r w:rsidRPr="00957B29">
        <w:t xml:space="preserve">establish the intent to participate in </w:t>
      </w:r>
      <w:r w:rsidRPr="00A96334">
        <w:t>every</w:t>
      </w:r>
      <w:r w:rsidRPr="00B17453">
        <w:t xml:space="preserve"> </w:t>
      </w:r>
      <w:r w:rsidRPr="00957B29">
        <w:t xml:space="preserve">act necessary to complete the object offense.  (See </w:t>
      </w:r>
      <w:r w:rsidRPr="00957B29">
        <w:rPr>
          <w:i/>
          <w:iCs/>
        </w:rPr>
        <w:t xml:space="preserve">Salinas v. United States </w:t>
      </w:r>
      <w:r w:rsidRPr="00957B29">
        <w:t>(1997) 522 U.S. 52, 63 [“A conspiracy may exist even if a conspirator does not agree to commit or facilitate each and every part of the substantive offense”]</w:t>
      </w:r>
      <w:r w:rsidRPr="00957B29" w:rsidR="00BD2BB1">
        <w:t>.</w:t>
      </w:r>
      <w:r w:rsidRPr="00957B29">
        <w:t xml:space="preserve">)  But </w:t>
      </w:r>
      <w:r>
        <w:t xml:space="preserve">ultimately, </w:t>
      </w:r>
      <w:r w:rsidRPr="00957B29" w:rsidR="0019508D">
        <w:t xml:space="preserve">to connect any individual to the charged conspiracy, </w:t>
      </w:r>
      <w:r w:rsidRPr="00957B29" w:rsidR="000B02CB">
        <w:t xml:space="preserve">the prosecution </w:t>
      </w:r>
      <w:r w:rsidRPr="00957B29">
        <w:t xml:space="preserve">must </w:t>
      </w:r>
      <w:r w:rsidR="00B17453">
        <w:t xml:space="preserve">at least </w:t>
      </w:r>
      <w:r w:rsidRPr="00957B29">
        <w:t xml:space="preserve">establish </w:t>
      </w:r>
      <w:r w:rsidR="00B17453">
        <w:t xml:space="preserve">that </w:t>
      </w:r>
      <w:r w:rsidRPr="00957B29" w:rsidR="0019508D">
        <w:t xml:space="preserve">the individual </w:t>
      </w:r>
      <w:r w:rsidRPr="00957B29" w:rsidR="00C37D70">
        <w:t xml:space="preserve">specifically intended </w:t>
      </w:r>
      <w:r w:rsidRPr="00957B29">
        <w:t xml:space="preserve">to agree to commit the criminal offense and to play at least some role in achieving it.  (See </w:t>
      </w:r>
      <w:r w:rsidRPr="00957B29">
        <w:rPr>
          <w:i/>
          <w:iCs/>
        </w:rPr>
        <w:t xml:space="preserve">id. </w:t>
      </w:r>
      <w:r w:rsidRPr="00957B29">
        <w:t>at pp.</w:t>
      </w:r>
      <w:r w:rsidRPr="00957B29" w:rsidR="00BD2BB1">
        <w:t> </w:t>
      </w:r>
      <w:r w:rsidRPr="00957B29">
        <w:t>63</w:t>
      </w:r>
      <w:r w:rsidRPr="00957B29" w:rsidR="00BD2BB1">
        <w:rPr>
          <w:szCs w:val="26"/>
        </w:rPr>
        <w:t>–</w:t>
      </w:r>
      <w:r w:rsidRPr="00957B29">
        <w:t>64</w:t>
      </w:r>
      <w:r w:rsidR="00B17453">
        <w:t>.)</w:t>
      </w:r>
      <w:r w:rsidRPr="00957B29">
        <w:t xml:space="preserve"> </w:t>
      </w:r>
    </w:p>
    <w:p w:rsidR="00E711B4" w:rsidRPr="00957B29" w:rsidP="00012806">
      <w:pPr>
        <w:tabs>
          <w:tab w:val="left" w:pos="0"/>
        </w:tabs>
        <w:jc w:val="center"/>
        <w:rPr>
          <w:b/>
          <w:bCs/>
        </w:rPr>
      </w:pPr>
      <w:bookmarkStart w:id="17" w:name="_Hlk90628871"/>
      <w:bookmarkEnd w:id="15"/>
      <w:r w:rsidRPr="00957B29">
        <w:rPr>
          <w:b/>
          <w:bCs/>
        </w:rPr>
        <w:t>B</w:t>
      </w:r>
      <w:r w:rsidRPr="00957B29">
        <w:rPr>
          <w:b/>
          <w:bCs/>
        </w:rPr>
        <w:t>.</w:t>
      </w:r>
    </w:p>
    <w:p w:rsidR="001E2D08" w:rsidRPr="00957B29" w:rsidP="00957B29">
      <w:pPr>
        <w:tabs>
          <w:tab w:val="left" w:pos="1440"/>
        </w:tabs>
        <w:ind w:firstLine="720"/>
      </w:pPr>
      <w:r w:rsidRPr="00957B29">
        <w:t xml:space="preserve">With these </w:t>
      </w:r>
      <w:r w:rsidRPr="00957B29" w:rsidR="00BA526C">
        <w:t xml:space="preserve">settled </w:t>
      </w:r>
      <w:r w:rsidRPr="00957B29">
        <w:t xml:space="preserve">principles in mind, we turn to Hoskins’s evidentiary challenge for his </w:t>
      </w:r>
      <w:r w:rsidR="004C58E5">
        <w:t xml:space="preserve">murder </w:t>
      </w:r>
      <w:r w:rsidRPr="00957B29">
        <w:t xml:space="preserve">conspiracy conviction.  Although murder liability is divided into different degrees and can rest on different theories (see Pen. Code, §§ 187, 189), conspiracy to commit murder can only take a single form:  </w:t>
      </w:r>
      <w:r w:rsidR="00FA021C">
        <w:t>I</w:t>
      </w:r>
      <w:r w:rsidRPr="00957B29">
        <w:t>t “requires a finding of unlawful intent to kill, i.e., express malice” (</w:t>
      </w:r>
      <w:r w:rsidRPr="00957B29">
        <w:rPr>
          <w:i/>
          <w:iCs/>
        </w:rPr>
        <w:t>People v. Cortez</w:t>
      </w:r>
      <w:r w:rsidRPr="00957B29">
        <w:t xml:space="preserve"> (1998) 18 Cal.4th 1223, 1228) and “is necessarily conspiracy to commit premeditated and deliberated first degree murder” (</w:t>
      </w:r>
      <w:r w:rsidRPr="00957B29" w:rsidR="004E485B">
        <w:rPr>
          <w:i/>
          <w:iCs/>
        </w:rPr>
        <w:t>i</w:t>
      </w:r>
      <w:r w:rsidRPr="00957B29">
        <w:rPr>
          <w:i/>
          <w:iCs/>
        </w:rPr>
        <w:t>d.</w:t>
      </w:r>
      <w:r w:rsidRPr="00957B29">
        <w:t xml:space="preserve"> at p. 1237)</w:t>
      </w:r>
      <w:r w:rsidRPr="00957B29" w:rsidR="004E485B">
        <w:t>.</w:t>
      </w:r>
      <w:r w:rsidRPr="00957B29">
        <w:t xml:space="preserve">  The question before us, then, is whether sufficient evidence support</w:t>
      </w:r>
      <w:r w:rsidR="00303505">
        <w:t>s</w:t>
      </w:r>
      <w:r w:rsidRPr="00957B29">
        <w:t xml:space="preserve"> </w:t>
      </w:r>
      <w:r w:rsidRPr="00957B29" w:rsidR="002206F7">
        <w:t xml:space="preserve">the </w:t>
      </w:r>
      <w:r w:rsidRPr="00957B29">
        <w:t>finding that Hoskins had the specific intent to agree to kill and the specific intent to commit killings</w:t>
      </w:r>
      <w:r w:rsidRPr="00957B29" w:rsidR="0025584E">
        <w:t xml:space="preserve">, </w:t>
      </w:r>
      <w:r w:rsidRPr="00957B29">
        <w:t>whether personally or by playing a role in killings carried out by others.</w:t>
      </w:r>
    </w:p>
    <w:p w:rsidR="00DF561C" w:rsidRPr="00957B29" w:rsidP="00957B29">
      <w:pPr>
        <w:tabs>
          <w:tab w:val="left" w:pos="1440"/>
        </w:tabs>
        <w:ind w:firstLine="720"/>
      </w:pPr>
      <w:r w:rsidRPr="00957B29">
        <w:t xml:space="preserve">To answer the question, we must “ ‘review the entire record in the light most favorable to the judgment,’ ” and then determine whether it contains “ ‘evidence that is reasonable, credible, and of solid value’ ” such that a reasonable jury could have found the defendant guilty beyond a reasonable doubt.  </w:t>
      </w:r>
      <w:r w:rsidRPr="00957B29" w:rsidR="00E06941">
        <w:t>(</w:t>
      </w:r>
      <w:r w:rsidRPr="00957B29" w:rsidR="006433AC">
        <w:rPr>
          <w:i/>
          <w:iCs/>
        </w:rPr>
        <w:t>Renteria</w:t>
      </w:r>
      <w:r w:rsidRPr="00957B29" w:rsidR="006433AC">
        <w:t xml:space="preserve">, </w:t>
      </w:r>
      <w:r w:rsidRPr="00957B29" w:rsidR="006433AC">
        <w:rPr>
          <w:i/>
          <w:iCs/>
        </w:rPr>
        <w:t>supra</w:t>
      </w:r>
      <w:r w:rsidRPr="00957B29" w:rsidR="006433AC">
        <w:t>,</w:t>
      </w:r>
      <w:r w:rsidRPr="00957B29" w:rsidR="00FE260D">
        <w:t xml:space="preserve"> 13 Cal.5th at p.</w:t>
      </w:r>
      <w:r w:rsidRPr="00957B29" w:rsidR="00BD2BB1">
        <w:t> </w:t>
      </w:r>
      <w:r w:rsidRPr="00957B29" w:rsidR="00FE260D">
        <w:t>970</w:t>
      </w:r>
      <w:r w:rsidRPr="00957B29" w:rsidR="00E06941">
        <w:t xml:space="preserve">; see </w:t>
      </w:r>
      <w:r w:rsidRPr="00957B29" w:rsidR="00E06941">
        <w:rPr>
          <w:i/>
          <w:iCs/>
        </w:rPr>
        <w:t xml:space="preserve">Jackson v. Virginia </w:t>
      </w:r>
      <w:r w:rsidRPr="00957B29" w:rsidR="00E06941">
        <w:t xml:space="preserve">(1979) 443 U.S. 307, 319; </w:t>
      </w:r>
      <w:r w:rsidRPr="00957B29" w:rsidR="00E06941">
        <w:rPr>
          <w:i/>
          <w:iCs/>
        </w:rPr>
        <w:t xml:space="preserve">People v. Johnson </w:t>
      </w:r>
      <w:r w:rsidRPr="00957B29" w:rsidR="00E06941">
        <w:t xml:space="preserve">(1980) 26 Cal.3d 557, 578.)  </w:t>
      </w:r>
      <w:r w:rsidRPr="00957B29" w:rsidR="007A059B">
        <w:t>As we have recently explained</w:t>
      </w:r>
      <w:r w:rsidRPr="00957B29" w:rsidR="00C84CB5">
        <w:t xml:space="preserve">, </w:t>
      </w:r>
      <w:r w:rsidRPr="00957B29" w:rsidR="005E3C3D">
        <w:t>“</w:t>
      </w:r>
      <w:r w:rsidRPr="00957B29" w:rsidR="00C84CB5">
        <w:t xml:space="preserve">sufficiency </w:t>
      </w:r>
      <w:r w:rsidRPr="00957B29">
        <w:t>determinations</w:t>
      </w:r>
      <w:r w:rsidRPr="00957B29" w:rsidR="00C84CB5">
        <w:t xml:space="preserve"> necessarily take account </w:t>
      </w:r>
      <w:r w:rsidRPr="00957B29" w:rsidR="005A094F">
        <w:t xml:space="preserve">of </w:t>
      </w:r>
      <w:r w:rsidRPr="00957B29" w:rsidR="00C84CB5">
        <w:t xml:space="preserve">the </w:t>
      </w:r>
      <w:r w:rsidRPr="00957B29" w:rsidR="003661CB">
        <w:t>‘</w:t>
      </w:r>
      <w:r w:rsidRPr="00957B29" w:rsidR="00C84CB5">
        <w:t>standard of proof that applied before the trial court</w:t>
      </w:r>
      <w:r w:rsidRPr="00957B29" w:rsidR="007A059B">
        <w:t>.</w:t>
      </w:r>
      <w:r w:rsidRPr="00957B29" w:rsidR="003661CB">
        <w:t>’</w:t>
      </w:r>
      <w:r w:rsidRPr="00957B29" w:rsidR="00BD2BB1">
        <w:t> </w:t>
      </w:r>
      <w:r w:rsidRPr="00957B29" w:rsidR="00B509D6">
        <w:t>”</w:t>
      </w:r>
      <w:r w:rsidRPr="00957B29" w:rsidR="00C84CB5">
        <w:t xml:space="preserve"> </w:t>
      </w:r>
      <w:r w:rsidRPr="00957B29" w:rsidR="00501AD3">
        <w:t xml:space="preserve"> </w:t>
      </w:r>
      <w:r w:rsidRPr="00957B29" w:rsidR="00C84CB5">
        <w:t>(</w:t>
      </w:r>
      <w:r w:rsidRPr="00957B29" w:rsidR="00AB3A4D">
        <w:rPr>
          <w:i/>
          <w:iCs/>
        </w:rPr>
        <w:t>Renteria</w:t>
      </w:r>
      <w:r w:rsidRPr="00957B29" w:rsidR="00AB3A4D">
        <w:t>, at p.</w:t>
      </w:r>
      <w:r w:rsidRPr="00957B29" w:rsidR="00BD2BB1">
        <w:t> </w:t>
      </w:r>
      <w:r w:rsidRPr="00957B29" w:rsidR="00AB3A4D">
        <w:t>970</w:t>
      </w:r>
      <w:r w:rsidRPr="00957B29" w:rsidR="00A420B1">
        <w:t xml:space="preserve">, quoting </w:t>
      </w:r>
      <w:r w:rsidRPr="00957B29" w:rsidR="00C84CB5">
        <w:rPr>
          <w:i/>
          <w:iCs/>
        </w:rPr>
        <w:t xml:space="preserve">Conservatorship of O.B. </w:t>
      </w:r>
      <w:r w:rsidRPr="00957B29" w:rsidR="00C84CB5">
        <w:t>(2020) 9 Cal.5th 989, 1008</w:t>
      </w:r>
      <w:r w:rsidRPr="00957B29" w:rsidR="00BD2BB1">
        <w:t>.</w:t>
      </w:r>
      <w:r w:rsidRPr="00957B29" w:rsidR="00C84CB5">
        <w:t>)</w:t>
      </w:r>
      <w:r w:rsidRPr="00957B29" w:rsidR="007A059B">
        <w:t xml:space="preserve">  </w:t>
      </w:r>
      <w:r w:rsidRPr="00957B29" w:rsidR="00D37E16">
        <w:t xml:space="preserve">“[T]hat is why in criminal cases we must ensure the record demonstrates substantial </w:t>
      </w:r>
      <w:r w:rsidRPr="00957B29">
        <w:t xml:space="preserve">evidence </w:t>
      </w:r>
      <w:r w:rsidRPr="00957B29" w:rsidR="00575A0C">
        <w:t>to establish guilt beyond a reasonable doubt.”  (</w:t>
      </w:r>
      <w:r w:rsidRPr="00957B29" w:rsidR="00575A0C">
        <w:rPr>
          <w:i/>
          <w:iCs/>
        </w:rPr>
        <w:t>Renteria</w:t>
      </w:r>
      <w:r w:rsidRPr="00957B29" w:rsidR="00575A0C">
        <w:t>, at p.</w:t>
      </w:r>
      <w:r w:rsidRPr="00957B29" w:rsidR="00BD2BB1">
        <w:t> </w:t>
      </w:r>
      <w:r w:rsidRPr="00957B29" w:rsidR="00575A0C">
        <w:t>970.)</w:t>
      </w:r>
    </w:p>
    <w:p w:rsidR="00E06941" w:rsidRPr="00957B29" w:rsidP="00957B29">
      <w:pPr>
        <w:tabs>
          <w:tab w:val="left" w:pos="720"/>
          <w:tab w:val="left" w:pos="1440"/>
        </w:tabs>
        <w:ind w:firstLine="720"/>
      </w:pPr>
      <w:r w:rsidRPr="00957B29">
        <w:t>We must “</w:t>
      </w:r>
      <w:r w:rsidRPr="00957B29" w:rsidR="004E485B">
        <w:t> ‘</w:t>
      </w:r>
      <w:r w:rsidRPr="00957B29">
        <w:t>presume in support of the judgment the existence of every fact the jury could reasonably have deduced from the evidence . . . </w:t>
      </w:r>
      <w:r w:rsidR="006027FC">
        <w:t>“</w:t>
      </w:r>
      <w:r w:rsidRPr="00957B29">
        <w:t>for it is the exclusive province of the trial judge or jury to determine the credibility of a witness and the truth or falsity of the facts upon which a determination depends.</w:t>
      </w:r>
      <w:r w:rsidR="006027FC">
        <w:t>”</w:t>
      </w:r>
      <w:r w:rsidR="004431BF">
        <w:t> </w:t>
      </w:r>
      <w:r w:rsidRPr="00957B29" w:rsidR="004E485B">
        <w:t>’ </w:t>
      </w:r>
      <w:r w:rsidRPr="00957B29">
        <w:t xml:space="preserve">” </w:t>
      </w:r>
      <w:r w:rsidRPr="00957B29" w:rsidR="000C1D0E">
        <w:t xml:space="preserve"> </w:t>
      </w:r>
      <w:r w:rsidRPr="00957B29">
        <w:t>(</w:t>
      </w:r>
      <w:r w:rsidRPr="00957B29">
        <w:rPr>
          <w:i/>
          <w:iCs/>
        </w:rPr>
        <w:t>People v. Manibusan</w:t>
      </w:r>
      <w:r w:rsidRPr="00957B29">
        <w:t xml:space="preserve"> (2013) 58 Cal.4th 40, 87, quoting </w:t>
      </w:r>
      <w:r w:rsidRPr="00957B29">
        <w:rPr>
          <w:i/>
          <w:iCs/>
        </w:rPr>
        <w:t xml:space="preserve">People v. Zamudio </w:t>
      </w:r>
      <w:r w:rsidRPr="00957B29">
        <w:t>(2008) 43 Cal.4th 327, 357</w:t>
      </w:r>
      <w:r w:rsidRPr="00957B29" w:rsidR="006537B7">
        <w:t>, citation omitted</w:t>
      </w:r>
      <w:r w:rsidRPr="00957B29">
        <w:t>.)</w:t>
      </w:r>
      <w:r w:rsidRPr="00957B29" w:rsidR="000C1D0E">
        <w:t xml:space="preserve"> </w:t>
      </w:r>
      <w:r w:rsidRPr="00957B29">
        <w:t xml:space="preserve"> </w:t>
      </w:r>
      <w:r w:rsidRPr="00957B29" w:rsidR="003E1916">
        <w:t xml:space="preserve">But </w:t>
      </w:r>
      <w:r w:rsidRPr="00957B29" w:rsidR="0028746B">
        <w:t>we cannot, however, venture beyond the evidence presented at trial, and may consider only those inferences that are reasonably supported by the record</w:t>
      </w:r>
      <w:r w:rsidRPr="00957B29" w:rsidR="002C11EB">
        <w:t>.</w:t>
      </w:r>
      <w:r w:rsidRPr="00957B29">
        <w:t xml:space="preserve"> </w:t>
      </w:r>
      <w:r w:rsidRPr="00957B29" w:rsidR="002C11EB">
        <w:t xml:space="preserve"> </w:t>
      </w:r>
      <w:r w:rsidRPr="00957B29">
        <w:t>“</w:t>
      </w:r>
      <w:r w:rsidRPr="00957B29" w:rsidR="00E31A20">
        <w:t> ‘</w:t>
      </w:r>
      <w:r w:rsidRPr="00957B29" w:rsidR="006537B7">
        <w:t>[</w:t>
      </w:r>
      <w:r w:rsidRPr="00957B29" w:rsidR="002C11EB">
        <w:t>A</w:t>
      </w:r>
      <w:r w:rsidRPr="00957B29" w:rsidR="006537B7">
        <w:t>]</w:t>
      </w:r>
      <w:r w:rsidRPr="00957B29">
        <w:t xml:space="preserve"> reasonable inference .</w:t>
      </w:r>
      <w:r w:rsidRPr="00957B29" w:rsidR="00BA5355">
        <w:t> </w:t>
      </w:r>
      <w:r w:rsidRPr="00957B29">
        <w:t>.</w:t>
      </w:r>
      <w:r w:rsidRPr="00957B29" w:rsidR="00BA5355">
        <w:t> </w:t>
      </w:r>
      <w:r w:rsidRPr="00957B29">
        <w:t xml:space="preserve">. </w:t>
      </w:r>
      <w:r w:rsidRPr="00957B29" w:rsidR="00781E74">
        <w:t>“</w:t>
      </w:r>
      <w:r w:rsidRPr="00957B29">
        <w:t>may not be based on suspicion alone, or on imagination, speculation, supposition, surmise, conjecture, or guess work.</w:t>
      </w:r>
      <w:r w:rsidRPr="00957B29" w:rsidR="00781E74">
        <w:t>” </w:t>
      </w:r>
      <w:r w:rsidRPr="00957B29" w:rsidR="00E31A20">
        <w:t>’ </w:t>
      </w:r>
      <w:r w:rsidRPr="00957B29">
        <w:t>”  (</w:t>
      </w:r>
      <w:r w:rsidRPr="00957B29">
        <w:rPr>
          <w:i/>
          <w:iCs/>
        </w:rPr>
        <w:t xml:space="preserve">People v. Davis </w:t>
      </w:r>
      <w:r w:rsidRPr="00957B29">
        <w:t xml:space="preserve">(2013) 57 Cal.4th 353, 360, quoting </w:t>
      </w:r>
      <w:r w:rsidRPr="00957B29">
        <w:rPr>
          <w:i/>
          <w:iCs/>
        </w:rPr>
        <w:t xml:space="preserve">People v. Morris </w:t>
      </w:r>
      <w:r w:rsidRPr="00957B29">
        <w:t>(1988) 46 Cal.3d 1, 21</w:t>
      </w:r>
      <w:r w:rsidRPr="00957B29" w:rsidR="00BD2BB1">
        <w:t>.</w:t>
      </w:r>
      <w:r w:rsidRPr="00957B29" w:rsidR="00B30E6B">
        <w:t xml:space="preserve">)  It “must </w:t>
      </w:r>
      <w:r w:rsidRPr="00957B29" w:rsidR="0097300D">
        <w:t>logically flow from other facts established in the action,” and it cannot be “based entirely on the suspicions of the officers involved in the case and the conjecture of the prosecution.”  (</w:t>
      </w:r>
      <w:r w:rsidRPr="00957B29">
        <w:rPr>
          <w:i/>
          <w:iCs/>
        </w:rPr>
        <w:t xml:space="preserve">People v. Austin </w:t>
      </w:r>
      <w:r w:rsidRPr="00957B29">
        <w:t>(1994) 23 Cal.App.4th 1596, 1604</w:t>
      </w:r>
      <w:r w:rsidRPr="00957B29" w:rsidR="00BD2BB1">
        <w:t>.</w:t>
      </w:r>
      <w:r w:rsidRPr="00957B29" w:rsidR="0097300D">
        <w:t>)</w:t>
      </w:r>
      <w:r w:rsidRPr="00957B29">
        <w:t xml:space="preserve"> </w:t>
      </w:r>
    </w:p>
    <w:p w:rsidR="009B5BFE" w:rsidRPr="00957B29" w:rsidP="00957B29">
      <w:pPr>
        <w:tabs>
          <w:tab w:val="left" w:pos="1440"/>
        </w:tabs>
        <w:ind w:firstLine="720"/>
      </w:pPr>
      <w:r w:rsidRPr="00957B29">
        <w:t xml:space="preserve">Here, the </w:t>
      </w:r>
      <w:r w:rsidRPr="00957B29" w:rsidR="00A435F3">
        <w:t>evidence showed</w:t>
      </w:r>
      <w:r w:rsidRPr="00957B29" w:rsidR="00763BFA">
        <w:t xml:space="preserve"> that</w:t>
      </w:r>
      <w:r w:rsidRPr="00957B29" w:rsidR="0030430E">
        <w:t xml:space="preserve"> </w:t>
      </w:r>
      <w:r w:rsidRPr="00957B29" w:rsidR="00D05E2D">
        <w:t xml:space="preserve">Hoskins </w:t>
      </w:r>
      <w:r w:rsidRPr="00957B29" w:rsidR="0030430E">
        <w:t xml:space="preserve">(1) </w:t>
      </w:r>
      <w:r w:rsidRPr="00957B29" w:rsidR="0042697D">
        <w:t>was an active member of the 5/9 Brim gang</w:t>
      </w:r>
      <w:r w:rsidRPr="00957B29" w:rsidR="00A435F3">
        <w:t xml:space="preserve">; </w:t>
      </w:r>
      <w:r w:rsidRPr="00957B29" w:rsidR="0030430E">
        <w:t xml:space="preserve">(2) </w:t>
      </w:r>
      <w:r w:rsidRPr="00957B29" w:rsidR="00A435F3">
        <w:t xml:space="preserve">had access to </w:t>
      </w:r>
      <w:r w:rsidRPr="00957B29" w:rsidR="003A2689">
        <w:t xml:space="preserve">guns </w:t>
      </w:r>
      <w:r w:rsidRPr="00957B29" w:rsidR="00D10DE7">
        <w:t>at some point during the charged conspiracy</w:t>
      </w:r>
      <w:r w:rsidRPr="00957B29" w:rsidR="00A36CBE">
        <w:t>; (</w:t>
      </w:r>
      <w:r w:rsidRPr="00957B29" w:rsidR="00E076AB">
        <w:t>3</w:t>
      </w:r>
      <w:r w:rsidRPr="00957B29" w:rsidR="00A36CBE">
        <w:t xml:space="preserve">) tried to help Hurst after </w:t>
      </w:r>
      <w:r w:rsidRPr="00957B29" w:rsidR="00007B8E">
        <w:t>Hurst’s</w:t>
      </w:r>
      <w:r w:rsidRPr="00957B29" w:rsidR="002C19A6">
        <w:t xml:space="preserve"> </w:t>
      </w:r>
      <w:r w:rsidRPr="00957B29" w:rsidR="00A36CBE">
        <w:t>arrest for the August 27, 2013, Byreese Taylor shooting</w:t>
      </w:r>
      <w:r w:rsidRPr="00957B29" w:rsidR="00E076AB">
        <w:t xml:space="preserve">; and (4) knew of and voiced his support </w:t>
      </w:r>
      <w:r w:rsidRPr="00957B29" w:rsidR="00FC5ACA">
        <w:t xml:space="preserve">on social media </w:t>
      </w:r>
      <w:r w:rsidRPr="00957B29" w:rsidR="00E076AB">
        <w:t>for violence against rival gang members</w:t>
      </w:r>
      <w:r w:rsidRPr="00957B29" w:rsidR="004F0DA5">
        <w:t>.</w:t>
      </w:r>
      <w:r w:rsidRPr="00957B29" w:rsidR="00194D06">
        <w:t xml:space="preserve">  </w:t>
      </w:r>
      <w:r w:rsidRPr="00957B29" w:rsidR="001119AB">
        <w:t>C</w:t>
      </w:r>
      <w:r w:rsidRPr="00957B29" w:rsidR="00140355">
        <w:t>onsidering the evidence as a whole</w:t>
      </w:r>
      <w:r w:rsidRPr="00957B29" w:rsidR="00AD03A4">
        <w:t xml:space="preserve">, </w:t>
      </w:r>
      <w:r w:rsidRPr="00957B29" w:rsidR="00140355">
        <w:t xml:space="preserve">we conclude that </w:t>
      </w:r>
      <w:r w:rsidRPr="00957B29" w:rsidR="00347999">
        <w:t>no reasonable jury could have found</w:t>
      </w:r>
      <w:r w:rsidRPr="00957B29" w:rsidR="00F970B4">
        <w:t xml:space="preserve"> beyond a reasonable doubt</w:t>
      </w:r>
      <w:r w:rsidRPr="00957B29" w:rsidR="00F047E3">
        <w:t xml:space="preserve"> that</w:t>
      </w:r>
      <w:r w:rsidRPr="00957B29" w:rsidR="00F970B4">
        <w:t xml:space="preserve"> Hoskins had the requisite intent to participate </w:t>
      </w:r>
      <w:r w:rsidRPr="00957B29" w:rsidR="0084364D">
        <w:t xml:space="preserve">in a </w:t>
      </w:r>
      <w:r w:rsidRPr="00957B29" w:rsidR="00831901">
        <w:t>conspiracy to commit murder</w:t>
      </w:r>
      <w:r w:rsidRPr="00957B29" w:rsidR="00194D06">
        <w:t xml:space="preserve">. </w:t>
      </w:r>
      <w:r w:rsidRPr="00957B29" w:rsidR="001261C2">
        <w:t xml:space="preserve"> Though we discuss each category of evidence in turn, we stress that our conclusion is based on our assessment of the </w:t>
      </w:r>
      <w:r w:rsidRPr="00957B29" w:rsidR="0020326A">
        <w:t>evidence in its entirety</w:t>
      </w:r>
      <w:r w:rsidRPr="00957B29" w:rsidR="0098157C">
        <w:rPr>
          <w:i/>
          <w:iCs/>
        </w:rPr>
        <w:t>.</w:t>
      </w:r>
    </w:p>
    <w:p w:rsidR="00486A55" w:rsidRPr="00957B29" w:rsidP="00957B29">
      <w:pPr>
        <w:tabs>
          <w:tab w:val="left" w:pos="1440"/>
        </w:tabs>
        <w:ind w:firstLine="720"/>
      </w:pPr>
      <w:r w:rsidRPr="00957B29">
        <w:t xml:space="preserve">We </w:t>
      </w:r>
      <w:r w:rsidRPr="00957B29" w:rsidR="0030430E">
        <w:t xml:space="preserve">begin with the evidence of </w:t>
      </w:r>
      <w:r w:rsidRPr="00957B29" w:rsidR="00144233">
        <w:t xml:space="preserve">Hoskins’s </w:t>
      </w:r>
      <w:r w:rsidRPr="00957B29" w:rsidR="00194D06">
        <w:t xml:space="preserve">ties to the </w:t>
      </w:r>
      <w:r w:rsidRPr="00957B29" w:rsidR="00EE5A2F">
        <w:t xml:space="preserve">5/9 Brim </w:t>
      </w:r>
      <w:r w:rsidRPr="00957B29" w:rsidR="00194D06">
        <w:t>gang</w:t>
      </w:r>
      <w:r w:rsidRPr="00957B29" w:rsidR="00106AFF">
        <w:t xml:space="preserve"> and</w:t>
      </w:r>
      <w:r w:rsidRPr="00957B29" w:rsidR="002B0DE3">
        <w:t xml:space="preserve"> </w:t>
      </w:r>
      <w:r w:rsidRPr="00957B29" w:rsidR="00346D91">
        <w:t>alleged participants in the charged conspiracy</w:t>
      </w:r>
      <w:r w:rsidRPr="00957B29" w:rsidR="00194D06">
        <w:t>.</w:t>
      </w:r>
      <w:r w:rsidRPr="00957B29" w:rsidR="00015749">
        <w:t xml:space="preserve"> </w:t>
      </w:r>
      <w:r w:rsidRPr="00957B29" w:rsidR="00194D06">
        <w:t xml:space="preserve"> The</w:t>
      </w:r>
      <w:r w:rsidRPr="00957B29" w:rsidR="00346D91">
        <w:t xml:space="preserve"> evidence s</w:t>
      </w:r>
      <w:r w:rsidRPr="00957B29" w:rsidR="00194D06">
        <w:t xml:space="preserve">howed that Hoskins was </w:t>
      </w:r>
      <w:r w:rsidRPr="00957B29" w:rsidR="00A2425D">
        <w:t xml:space="preserve">a member </w:t>
      </w:r>
      <w:r w:rsidRPr="00957B29" w:rsidR="00194D06">
        <w:t xml:space="preserve">of the Southside Brim </w:t>
      </w:r>
      <w:r w:rsidR="00F5329F">
        <w:t xml:space="preserve">Gang </w:t>
      </w:r>
      <w:r w:rsidRPr="00957B29" w:rsidR="00194D06">
        <w:t>Facebook grou</w:t>
      </w:r>
      <w:r w:rsidRPr="00957B29" w:rsidR="00A2425D">
        <w:t xml:space="preserve">p, </w:t>
      </w:r>
      <w:r w:rsidRPr="00957B29" w:rsidR="005315B5">
        <w:t xml:space="preserve">friends on Facebook with </w:t>
      </w:r>
      <w:r w:rsidR="00FB0453">
        <w:t xml:space="preserve">Brim </w:t>
      </w:r>
      <w:r w:rsidRPr="00957B29" w:rsidR="005315B5">
        <w:t xml:space="preserve">gang members, </w:t>
      </w:r>
      <w:r w:rsidRPr="00957B29" w:rsidR="00A2425D">
        <w:t xml:space="preserve">and </w:t>
      </w:r>
      <w:r w:rsidRPr="00957B29" w:rsidR="003D064D">
        <w:t>regularly communicated</w:t>
      </w:r>
      <w:r w:rsidRPr="00957B29" w:rsidR="00194D06">
        <w:t xml:space="preserve"> with Brim members and affiliates.  Hoskins </w:t>
      </w:r>
      <w:r w:rsidRPr="00957B29" w:rsidR="00C45801">
        <w:t xml:space="preserve">consistently </w:t>
      </w:r>
      <w:r w:rsidRPr="00957B29" w:rsidR="00194D06">
        <w:t>affirmed his affiliation with</w:t>
      </w:r>
      <w:r w:rsidRPr="00957B29" w:rsidR="00C45801">
        <w:t xml:space="preserve"> the 5/9 Brim</w:t>
      </w:r>
      <w:r w:rsidRPr="00957B29" w:rsidR="008C1914">
        <w:t xml:space="preserve"> gang</w:t>
      </w:r>
      <w:r w:rsidRPr="00957B29" w:rsidR="00C45801">
        <w:t xml:space="preserve"> </w:t>
      </w:r>
      <w:r w:rsidRPr="00957B29" w:rsidR="00194D06">
        <w:t>and professed his support for the gang</w:t>
      </w:r>
      <w:r w:rsidRPr="00957B29" w:rsidR="00F762A7">
        <w:t xml:space="preserve"> online</w:t>
      </w:r>
      <w:r w:rsidRPr="00957B29" w:rsidR="00194D06">
        <w:t xml:space="preserve">, </w:t>
      </w:r>
      <w:r w:rsidRPr="00957B29" w:rsidR="00964BF8">
        <w:t xml:space="preserve">and </w:t>
      </w:r>
      <w:r w:rsidRPr="00957B29" w:rsidR="00023CFD">
        <w:t xml:space="preserve">the jury </w:t>
      </w:r>
      <w:r w:rsidRPr="00957B29" w:rsidR="0092446F">
        <w:t xml:space="preserve">saw </w:t>
      </w:r>
      <w:r w:rsidRPr="00957B29" w:rsidR="00AE43C5">
        <w:t>numerous photos</w:t>
      </w:r>
      <w:r w:rsidRPr="00957B29" w:rsidR="00964BF8">
        <w:t xml:space="preserve"> </w:t>
      </w:r>
      <w:r w:rsidRPr="00957B29" w:rsidR="00194D06">
        <w:t xml:space="preserve">of </w:t>
      </w:r>
      <w:r w:rsidRPr="00957B29" w:rsidR="00E81960">
        <w:t>Hoskins displaying</w:t>
      </w:r>
      <w:r w:rsidRPr="00957B29" w:rsidR="00194D06">
        <w:t xml:space="preserve"> Brim gang signs</w:t>
      </w:r>
      <w:r w:rsidRPr="00957B29" w:rsidR="00606B3F">
        <w:t xml:space="preserve"> and </w:t>
      </w:r>
      <w:r w:rsidRPr="00957B29" w:rsidR="00AE43C5">
        <w:t>associating</w:t>
      </w:r>
      <w:r w:rsidRPr="00957B29" w:rsidR="00606B3F">
        <w:t xml:space="preserve"> with </w:t>
      </w:r>
      <w:r w:rsidRPr="00957B29" w:rsidR="00194D06">
        <w:t xml:space="preserve">fellow Brim members, </w:t>
      </w:r>
      <w:r w:rsidRPr="00957B29" w:rsidR="00023490">
        <w:t>including</w:t>
      </w:r>
      <w:r w:rsidRPr="00957B29" w:rsidR="00194D06">
        <w:t xml:space="preserve"> alleged </w:t>
      </w:r>
      <w:r w:rsidRPr="00957B29" w:rsidR="004B034B">
        <w:t>coconspirators</w:t>
      </w:r>
      <w:r w:rsidRPr="00957B29" w:rsidR="00916458">
        <w:t xml:space="preserve">, as well as </w:t>
      </w:r>
      <w:r w:rsidRPr="00957B29" w:rsidR="008E74C2">
        <w:t xml:space="preserve">posts </w:t>
      </w:r>
      <w:r w:rsidRPr="00957B29" w:rsidR="00A8323A">
        <w:t>describing</w:t>
      </w:r>
      <w:r w:rsidRPr="00957B29" w:rsidR="008E74C2">
        <w:t xml:space="preserve"> </w:t>
      </w:r>
      <w:r w:rsidR="009E1124">
        <w:t xml:space="preserve">his </w:t>
      </w:r>
      <w:r w:rsidRPr="00957B29" w:rsidR="008E74C2">
        <w:t>life in a gang</w:t>
      </w:r>
      <w:r w:rsidRPr="00957B29" w:rsidR="00194D06">
        <w:t xml:space="preserve">. </w:t>
      </w:r>
      <w:r w:rsidRPr="00957B29" w:rsidR="0038629F">
        <w:t xml:space="preserve"> </w:t>
      </w:r>
      <w:r w:rsidRPr="00957B29" w:rsidR="000D5A50">
        <w:t>The evidence amply supports the allegation that Hoskins was an active Brim member during the alleged conspiracy, and Hoskins does not dispute this allegation.  It is, however, a separate question whether Hoskins was a member of the charged conspiracy.</w:t>
      </w:r>
    </w:p>
    <w:p w:rsidR="00B81240" w:rsidRPr="00957B29" w:rsidP="00957B29">
      <w:pPr>
        <w:tabs>
          <w:tab w:val="left" w:pos="1440"/>
        </w:tabs>
        <w:ind w:firstLine="720"/>
      </w:pPr>
      <w:r w:rsidRPr="00957B29">
        <w:t>“[C]ommon gang membership may be part of circumstantial evidence supporting the inference of a conspiracy.”  (</w:t>
      </w:r>
      <w:r w:rsidRPr="00957B29">
        <w:rPr>
          <w:i/>
          <w:iCs/>
        </w:rPr>
        <w:t xml:space="preserve">People v. Superior Court (Quinteros) </w:t>
      </w:r>
      <w:r w:rsidRPr="00957B29">
        <w:t>(1993) 13 Cal.App.4th 12, 20</w:t>
      </w:r>
      <w:r w:rsidRPr="00957B29" w:rsidR="00A107E4">
        <w:t xml:space="preserve">; see </w:t>
      </w:r>
      <w:r w:rsidRPr="00957B29" w:rsidR="00A107E4">
        <w:rPr>
          <w:i/>
          <w:iCs/>
        </w:rPr>
        <w:t xml:space="preserve">People v. Frausto </w:t>
      </w:r>
      <w:r w:rsidRPr="00957B29" w:rsidR="00A107E4">
        <w:t xml:space="preserve">(1982) 135 Cal.App.3d 129, 140–141 [describing instances where proof of </w:t>
      </w:r>
      <w:r w:rsidRPr="00957B29" w:rsidR="00D81AA9">
        <w:t xml:space="preserve">gang </w:t>
      </w:r>
      <w:r w:rsidRPr="00957B29" w:rsidR="00A107E4">
        <w:t xml:space="preserve">membership </w:t>
      </w:r>
      <w:r w:rsidRPr="00957B29" w:rsidR="00D81AA9">
        <w:t xml:space="preserve">tended to demonstrate </w:t>
      </w:r>
      <w:r w:rsidRPr="00957B29" w:rsidR="00A107E4">
        <w:t xml:space="preserve">motive for a crime or participation in </w:t>
      </w:r>
      <w:r w:rsidRPr="00957B29" w:rsidR="00AD1679">
        <w:t xml:space="preserve">a </w:t>
      </w:r>
      <w:r w:rsidRPr="00957B29" w:rsidR="00A107E4">
        <w:t>conspiracy]</w:t>
      </w:r>
      <w:r w:rsidRPr="00957B29" w:rsidR="00EB05EF">
        <w:t xml:space="preserve">; </w:t>
      </w:r>
      <w:r w:rsidRPr="00957B29" w:rsidR="00EB05EF">
        <w:rPr>
          <w:i/>
          <w:iCs/>
        </w:rPr>
        <w:t>U.S. v. Garcia</w:t>
      </w:r>
      <w:r w:rsidRPr="00957B29" w:rsidR="00EB05EF">
        <w:t xml:space="preserve"> (9th Cir. 1998) 151 F.3d 1243, 1247 [“[W]hen evidence establishes that a particular gang has a specific illegal objective . . . evidence of gang membership may help to link gang members to that objective”].)</w:t>
      </w:r>
      <w:r w:rsidRPr="00957B29" w:rsidR="00A107E4">
        <w:t xml:space="preserve">  </w:t>
      </w:r>
      <w:r w:rsidRPr="00957B29">
        <w:t xml:space="preserve">But proof of common membership alone is not sufficient to establish participation in a criminal conspiracy.  </w:t>
      </w:r>
      <w:r w:rsidRPr="00957B29" w:rsidR="007750B0">
        <w:t xml:space="preserve">(See </w:t>
      </w:r>
      <w:r w:rsidRPr="00957B29" w:rsidR="007750B0">
        <w:rPr>
          <w:i/>
          <w:iCs/>
        </w:rPr>
        <w:t>Rodriguez</w:t>
      </w:r>
      <w:r w:rsidRPr="00957B29" w:rsidR="007750B0">
        <w:t xml:space="preserve">, </w:t>
      </w:r>
      <w:r w:rsidRPr="00CA5DFD" w:rsidR="00CA5DFD">
        <w:rPr>
          <w:i/>
          <w:iCs/>
        </w:rPr>
        <w:t>supra</w:t>
      </w:r>
      <w:r w:rsidR="00CA5DFD">
        <w:t xml:space="preserve">, </w:t>
      </w:r>
      <w:r w:rsidRPr="00957B29" w:rsidR="007750B0">
        <w:t xml:space="preserve">55 Cal.4th at </w:t>
      </w:r>
      <w:r w:rsidRPr="00957B29" w:rsidR="00BD2BB1">
        <w:t>p. </w:t>
      </w:r>
      <w:r w:rsidRPr="00957B29" w:rsidR="007750B0">
        <w:t xml:space="preserve">1134.)  </w:t>
      </w:r>
      <w:r w:rsidRPr="00957B29">
        <w:t xml:space="preserve">The effect of such a rule would be to criminalize mere association with gang members, which the law forbids.  (See </w:t>
      </w:r>
      <w:r w:rsidRPr="00957B29" w:rsidR="00CD13AE">
        <w:rPr>
          <w:i/>
          <w:iCs/>
        </w:rPr>
        <w:t>ibid.</w:t>
      </w:r>
      <w:r w:rsidRPr="00957B29">
        <w:t xml:space="preserve">; </w:t>
      </w:r>
      <w:r w:rsidRPr="00957B29">
        <w:rPr>
          <w:i/>
          <w:iCs/>
        </w:rPr>
        <w:t>Quinteros</w:t>
      </w:r>
      <w:r w:rsidRPr="00957B29" w:rsidR="00BD2BB1">
        <w:t>,</w:t>
      </w:r>
      <w:r w:rsidRPr="00957B29">
        <w:t xml:space="preserve"> at p.</w:t>
      </w:r>
      <w:r w:rsidRPr="00957B29" w:rsidR="00BD2BB1">
        <w:t> </w:t>
      </w:r>
      <w:r w:rsidRPr="00957B29">
        <w:t>20 [“</w:t>
      </w:r>
      <w:r w:rsidRPr="00957B29" w:rsidR="00695497">
        <w:t>[M]</w:t>
      </w:r>
      <w:r w:rsidRPr="00957B29">
        <w:t xml:space="preserve">ere association does not prove a criminal conspiracy”]; cf. </w:t>
      </w:r>
      <w:r w:rsidRPr="00957B29">
        <w:rPr>
          <w:i/>
          <w:iCs/>
        </w:rPr>
        <w:t xml:space="preserve">U.S. v. Herrera-Gonzalez </w:t>
      </w:r>
      <w:r w:rsidRPr="00957B29">
        <w:t>(9th Cir. 2001) 263 F.3d 1092, 1095 [</w:t>
      </w:r>
      <w:r w:rsidRPr="00957B29" w:rsidR="006C38BD">
        <w:t xml:space="preserve">stating that </w:t>
      </w:r>
      <w:r w:rsidRPr="00957B29">
        <w:t xml:space="preserve">it is “not a crime to be acquainted with criminals”].)  </w:t>
      </w:r>
    </w:p>
    <w:p w:rsidR="00A929D4" w:rsidRPr="00957B29" w:rsidP="00957B29">
      <w:pPr>
        <w:tabs>
          <w:tab w:val="left" w:pos="1440"/>
        </w:tabs>
        <w:ind w:firstLine="720"/>
      </w:pPr>
      <w:r w:rsidRPr="00957B29">
        <w:t>T</w:t>
      </w:r>
      <w:r w:rsidRPr="00957B29" w:rsidR="00A93C5B">
        <w:t xml:space="preserve">he Attorney General </w:t>
      </w:r>
      <w:r w:rsidRPr="00957B29" w:rsidR="00D440E2">
        <w:t>contends that Hoskins was “not just a gang member</w:t>
      </w:r>
      <w:r w:rsidRPr="00957B29" w:rsidR="0020078B">
        <w:t> </w:t>
      </w:r>
      <w:r w:rsidRPr="00957B29" w:rsidR="00D440E2">
        <w:t>— he was a part of the gang’s subset responsible for killing rival and perceived rival gang members</w:t>
      </w:r>
      <w:r w:rsidRPr="00957B29" w:rsidR="003E1236">
        <w:t>,</w:t>
      </w:r>
      <w:r w:rsidRPr="00957B29" w:rsidR="00D440E2">
        <w:t>”</w:t>
      </w:r>
      <w:r w:rsidRPr="00957B29" w:rsidR="003E1236">
        <w:t xml:space="preserve"> the Hit Squad.  The Attorney General</w:t>
      </w:r>
      <w:r w:rsidRPr="00957B29" w:rsidR="00CA587E">
        <w:t xml:space="preserve"> </w:t>
      </w:r>
      <w:r w:rsidRPr="00957B29" w:rsidR="001961AC">
        <w:t>suggests</w:t>
      </w:r>
      <w:r w:rsidRPr="00957B29" w:rsidR="00CA587E">
        <w:t xml:space="preserve"> </w:t>
      </w:r>
      <w:r w:rsidRPr="00957B29" w:rsidR="003E1236">
        <w:t xml:space="preserve">that </w:t>
      </w:r>
      <w:r w:rsidRPr="00957B29">
        <w:t xml:space="preserve">a reasonable jury could have inferred </w:t>
      </w:r>
      <w:r w:rsidRPr="00957B29" w:rsidR="00B4760E">
        <w:t xml:space="preserve">that </w:t>
      </w:r>
      <w:r w:rsidRPr="00957B29" w:rsidR="003E1236">
        <w:t xml:space="preserve">such membership </w:t>
      </w:r>
      <w:r w:rsidRPr="00957B29" w:rsidR="00B4760E">
        <w:t xml:space="preserve">reflects an </w:t>
      </w:r>
      <w:r w:rsidRPr="00957B29" w:rsidR="003E1236">
        <w:t xml:space="preserve">intent </w:t>
      </w:r>
      <w:r w:rsidRPr="00957B29" w:rsidR="00FA0703">
        <w:t xml:space="preserve">to join the conspiracy and </w:t>
      </w:r>
      <w:r w:rsidRPr="00957B29">
        <w:t xml:space="preserve">to </w:t>
      </w:r>
      <w:r w:rsidRPr="00957B29" w:rsidR="00FA0703">
        <w:t xml:space="preserve">commit murder.  </w:t>
      </w:r>
      <w:r w:rsidRPr="00957B29" w:rsidR="00B9322C">
        <w:t>We are not persuaded</w:t>
      </w:r>
      <w:r w:rsidRPr="00957B29" w:rsidR="00FA0703">
        <w:t>.</w:t>
      </w:r>
      <w:r w:rsidRPr="00957B29" w:rsidR="001E2842">
        <w:t xml:space="preserve">  First,</w:t>
      </w:r>
      <w:r w:rsidRPr="00957B29" w:rsidR="00131116">
        <w:t xml:space="preserve"> </w:t>
      </w:r>
      <w:r w:rsidRPr="00957B29" w:rsidR="00D32CFF">
        <w:t xml:space="preserve">contrary to the Attorney General’s characterization, </w:t>
      </w:r>
      <w:r w:rsidRPr="00957B29" w:rsidR="001E2842">
        <w:t xml:space="preserve">the record </w:t>
      </w:r>
      <w:r w:rsidRPr="00957B29" w:rsidR="008B0ABF">
        <w:t xml:space="preserve">does not </w:t>
      </w:r>
      <w:r w:rsidRPr="00957B29" w:rsidR="00D32CFF">
        <w:t xml:space="preserve">show </w:t>
      </w:r>
      <w:r w:rsidRPr="00957B29" w:rsidR="008B0ABF">
        <w:t xml:space="preserve">that the Hit Squad was a “kill squad” </w:t>
      </w:r>
      <w:r w:rsidRPr="00957B29" w:rsidR="009930AA">
        <w:t>whose “mission was to kill Crips.”</w:t>
      </w:r>
      <w:r w:rsidRPr="00957B29" w:rsidR="00F142A1">
        <w:t xml:space="preserve">  </w:t>
      </w:r>
      <w:r w:rsidRPr="00957B29" w:rsidR="00DC4BB6">
        <w:t xml:space="preserve">The Attorney General </w:t>
      </w:r>
      <w:r w:rsidRPr="00957B29" w:rsidR="00CF1163">
        <w:t xml:space="preserve">points to trial evidence that </w:t>
      </w:r>
      <w:r w:rsidRPr="00957B29" w:rsidR="0021731D">
        <w:t>many Hit Squad members committed crimes and</w:t>
      </w:r>
      <w:r w:rsidRPr="00957B29" w:rsidR="00D9129B">
        <w:t xml:space="preserve"> that</w:t>
      </w:r>
      <w:r w:rsidRPr="00957B29" w:rsidR="0021731D">
        <w:t xml:space="preserve"> </w:t>
      </w:r>
      <w:r w:rsidRPr="00957B29" w:rsidR="00CF1163">
        <w:t xml:space="preserve">Tiny Hit Squad had more </w:t>
      </w:r>
      <w:r w:rsidRPr="00957B29" w:rsidR="005A4077">
        <w:t>shooters</w:t>
      </w:r>
      <w:r w:rsidRPr="00957B29" w:rsidR="00CF1163">
        <w:t xml:space="preserve"> and “k’s” than Hound Unit</w:t>
      </w:r>
      <w:r w:rsidRPr="00957B29" w:rsidR="00BD1973">
        <w:t>.  But j</w:t>
      </w:r>
      <w:r w:rsidRPr="00957B29" w:rsidR="00721975">
        <w:t xml:space="preserve">ust because </w:t>
      </w:r>
      <w:r w:rsidRPr="00957B29" w:rsidR="0094528E">
        <w:t>one group</w:t>
      </w:r>
      <w:r w:rsidRPr="00957B29" w:rsidR="00721975">
        <w:t xml:space="preserve"> has more </w:t>
      </w:r>
      <w:r w:rsidRPr="00957B29" w:rsidR="00E36D6F">
        <w:t>shooters</w:t>
      </w:r>
      <w:r w:rsidRPr="00957B29" w:rsidR="00390E05">
        <w:t xml:space="preserve"> and </w:t>
      </w:r>
      <w:r w:rsidRPr="00957B29" w:rsidR="00BC433E">
        <w:t>“kills”</w:t>
      </w:r>
      <w:r w:rsidRPr="00957B29" w:rsidR="00E36D6F">
        <w:t xml:space="preserve"> than </w:t>
      </w:r>
      <w:r w:rsidRPr="00957B29" w:rsidR="0094528E">
        <w:t>another</w:t>
      </w:r>
      <w:r w:rsidRPr="00957B29" w:rsidR="00563E69">
        <w:t xml:space="preserve"> does not </w:t>
      </w:r>
      <w:r w:rsidRPr="00957B29" w:rsidR="00A75D4C">
        <w:t xml:space="preserve">establish that </w:t>
      </w:r>
      <w:r w:rsidRPr="00957B29" w:rsidR="00390E05">
        <w:t xml:space="preserve">only shooters and killers </w:t>
      </w:r>
      <w:r w:rsidRPr="00957B29" w:rsidR="00BD1973">
        <w:t>we</w:t>
      </w:r>
      <w:r w:rsidRPr="00957B29" w:rsidR="00390E05">
        <w:t xml:space="preserve">re allowed in </w:t>
      </w:r>
      <w:r w:rsidRPr="00957B29" w:rsidR="00D65BD8">
        <w:t xml:space="preserve">the </w:t>
      </w:r>
      <w:r w:rsidRPr="00957B29" w:rsidR="0094528E">
        <w:t>first group</w:t>
      </w:r>
      <w:r w:rsidRPr="00957B29" w:rsidR="00390E05">
        <w:t>,</w:t>
      </w:r>
      <w:r w:rsidRPr="00957B29" w:rsidR="00E63EAF">
        <w:t xml:space="preserve"> </w:t>
      </w:r>
      <w:r w:rsidRPr="00957B29" w:rsidR="00970A80">
        <w:t xml:space="preserve">or that its </w:t>
      </w:r>
      <w:r w:rsidRPr="00957B29" w:rsidR="00A75D4C">
        <w:t xml:space="preserve">very </w:t>
      </w:r>
      <w:r w:rsidRPr="00957B29" w:rsidR="00970A80">
        <w:t xml:space="preserve">purpose </w:t>
      </w:r>
      <w:r w:rsidRPr="00957B29" w:rsidR="00A75D4C">
        <w:t>was</w:t>
      </w:r>
      <w:r w:rsidRPr="00957B29" w:rsidR="008174BC">
        <w:t xml:space="preserve"> </w:t>
      </w:r>
      <w:r w:rsidRPr="00957B29" w:rsidR="00390E05">
        <w:t xml:space="preserve">to kill. </w:t>
      </w:r>
      <w:r w:rsidRPr="00957B29" w:rsidR="003D5022">
        <w:t xml:space="preserve"> </w:t>
      </w:r>
      <w:r w:rsidRPr="00957B29" w:rsidR="0075278A">
        <w:t>O</w:t>
      </w:r>
      <w:r w:rsidRPr="00957B29" w:rsidR="001C5288">
        <w:t xml:space="preserve">ne police officer, called to testify about his investigation into a shooting undertaken by </w:t>
      </w:r>
      <w:r w:rsidR="000D1605">
        <w:t xml:space="preserve">5/9 </w:t>
      </w:r>
      <w:r w:rsidRPr="00957B29" w:rsidR="001C5288">
        <w:t xml:space="preserve">Brim members not on trial, </w:t>
      </w:r>
      <w:r w:rsidRPr="00957B29" w:rsidR="008272D4">
        <w:t xml:space="preserve">did </w:t>
      </w:r>
      <w:r w:rsidRPr="00957B29" w:rsidR="001C5288">
        <w:t xml:space="preserve">refer in passing to Tiny Hit Squad as “essentially [an] assassination crew within the 5/9 Brim gang.”  But the officer offered no </w:t>
      </w:r>
      <w:r w:rsidRPr="00957B29" w:rsidR="00486F13">
        <w:t xml:space="preserve">evidentiary </w:t>
      </w:r>
      <w:r w:rsidRPr="00957B29" w:rsidR="001C5288">
        <w:t xml:space="preserve">support for that assertion, </w:t>
      </w:r>
      <w:r w:rsidRPr="00957B29" w:rsidR="00C47019">
        <w:t xml:space="preserve">the Attorney General does not discuss this evidence on appeal, </w:t>
      </w:r>
      <w:r w:rsidRPr="00957B29" w:rsidR="001C5288">
        <w:t xml:space="preserve">and the record supplies </w:t>
      </w:r>
      <w:r w:rsidRPr="00957B29" w:rsidR="00C47019">
        <w:t>no support on its</w:t>
      </w:r>
      <w:r w:rsidRPr="00957B29" w:rsidR="00B01902">
        <w:t xml:space="preserve"> </w:t>
      </w:r>
      <w:r w:rsidRPr="00957B29" w:rsidR="00C47019">
        <w:t>own</w:t>
      </w:r>
      <w:r w:rsidRPr="00957B29" w:rsidR="001C5288">
        <w:t xml:space="preserve">.  </w:t>
      </w:r>
      <w:r w:rsidRPr="00957B29" w:rsidR="00390E05">
        <w:t>W</w:t>
      </w:r>
      <w:r w:rsidRPr="00957B29" w:rsidR="007513FA">
        <w:t xml:space="preserve">ithout more evidence about the internal workings of the Hit Squad or </w:t>
      </w:r>
      <w:r w:rsidR="00A36E45">
        <w:t xml:space="preserve">its </w:t>
      </w:r>
      <w:r w:rsidRPr="00957B29" w:rsidR="007513FA">
        <w:t xml:space="preserve">requirements </w:t>
      </w:r>
      <w:r w:rsidR="00A36E45">
        <w:t>for</w:t>
      </w:r>
      <w:r w:rsidRPr="00957B29" w:rsidR="007513FA">
        <w:t xml:space="preserve"> membership, </w:t>
      </w:r>
      <w:r w:rsidRPr="00957B29" w:rsidR="003F0ADE">
        <w:t xml:space="preserve">evidence </w:t>
      </w:r>
      <w:r w:rsidR="00561774">
        <w:t>that</w:t>
      </w:r>
      <w:r w:rsidRPr="00957B29" w:rsidR="003F0ADE">
        <w:t xml:space="preserve"> Hoskins</w:t>
      </w:r>
      <w:r w:rsidR="00561774">
        <w:t xml:space="preserve"> was part of the </w:t>
      </w:r>
      <w:r w:rsidRPr="00957B29" w:rsidR="003F0ADE">
        <w:t>Hit Squad</w:t>
      </w:r>
      <w:r w:rsidRPr="00957B29" w:rsidR="0020078B">
        <w:t> </w:t>
      </w:r>
      <w:r w:rsidRPr="00957B29" w:rsidR="003F0ADE">
        <w:t xml:space="preserve">— like evidence </w:t>
      </w:r>
      <w:r w:rsidR="00561774">
        <w:t xml:space="preserve">that he was part of </w:t>
      </w:r>
      <w:r w:rsidR="000F6AD5">
        <w:t>the 5/9 Brim</w:t>
      </w:r>
      <w:r w:rsidRPr="00957B29" w:rsidR="003F0ADE">
        <w:t xml:space="preserve"> gang in general</w:t>
      </w:r>
      <w:r w:rsidRPr="00957B29" w:rsidR="0020078B">
        <w:t> </w:t>
      </w:r>
      <w:r w:rsidRPr="00957B29" w:rsidR="003F0ADE">
        <w:t xml:space="preserve">— </w:t>
      </w:r>
      <w:r w:rsidR="00561774">
        <w:t>shows</w:t>
      </w:r>
      <w:r w:rsidRPr="00957B29" w:rsidR="003F0ADE">
        <w:t xml:space="preserve"> </w:t>
      </w:r>
      <w:r w:rsidR="007E2A64">
        <w:t xml:space="preserve">only </w:t>
      </w:r>
      <w:r w:rsidRPr="00957B29" w:rsidR="003F0ADE">
        <w:t xml:space="preserve">that </w:t>
      </w:r>
      <w:r w:rsidR="007E2A64">
        <w:t>Hoskins</w:t>
      </w:r>
      <w:r w:rsidRPr="00957B29" w:rsidR="00561774">
        <w:t xml:space="preserve"> </w:t>
      </w:r>
      <w:r w:rsidRPr="00957B29" w:rsidR="00DC3BA9">
        <w:t xml:space="preserve">associated with people </w:t>
      </w:r>
      <w:r w:rsidRPr="00957B29" w:rsidR="007513FA">
        <w:t>involved in</w:t>
      </w:r>
      <w:r w:rsidRPr="00957B29" w:rsidR="00351FCB">
        <w:t xml:space="preserve"> </w:t>
      </w:r>
      <w:r w:rsidRPr="00957B29" w:rsidR="00AE664A">
        <w:t>various violent</w:t>
      </w:r>
      <w:r w:rsidRPr="00957B29" w:rsidR="007513FA">
        <w:t xml:space="preserve"> </w:t>
      </w:r>
      <w:r w:rsidRPr="00957B29" w:rsidR="00DC3BA9">
        <w:t xml:space="preserve">criminal </w:t>
      </w:r>
      <w:r w:rsidRPr="00957B29" w:rsidR="00AE664A">
        <w:t>activities</w:t>
      </w:r>
      <w:r w:rsidRPr="00957B29" w:rsidR="003F0ADE">
        <w:t xml:space="preserve">, </w:t>
      </w:r>
      <w:r w:rsidR="007E2A64">
        <w:t xml:space="preserve">and </w:t>
      </w:r>
      <w:r w:rsidRPr="00957B29" w:rsidR="003F0ADE">
        <w:t xml:space="preserve">not </w:t>
      </w:r>
      <w:r w:rsidR="008A6117">
        <w:t xml:space="preserve">that he </w:t>
      </w:r>
      <w:r w:rsidR="008678AA">
        <w:t>held</w:t>
      </w:r>
      <w:r w:rsidR="008A6117">
        <w:t xml:space="preserve"> any</w:t>
      </w:r>
      <w:r w:rsidRPr="00957B29" w:rsidR="007513FA">
        <w:t xml:space="preserve"> specific intent to join them in those activities.  </w:t>
      </w:r>
    </w:p>
    <w:p w:rsidR="00470E60" w:rsidRPr="00957B29" w:rsidP="00957B29">
      <w:pPr>
        <w:tabs>
          <w:tab w:val="left" w:pos="1440"/>
        </w:tabs>
        <w:ind w:firstLine="720"/>
      </w:pPr>
      <w:r w:rsidRPr="00957B29">
        <w:t>Second, and relatedly</w:t>
      </w:r>
      <w:r w:rsidRPr="00957B29" w:rsidR="005645F8">
        <w:t xml:space="preserve">, </w:t>
      </w:r>
      <w:r w:rsidRPr="00957B29" w:rsidR="00C4113D">
        <w:t xml:space="preserve">the Attorney General </w:t>
      </w:r>
      <w:r w:rsidRPr="00957B29" w:rsidR="0087798D">
        <w:t>identifies</w:t>
      </w:r>
      <w:r w:rsidRPr="00957B29" w:rsidR="00C4113D">
        <w:t xml:space="preserve"> no evidence </w:t>
      </w:r>
      <w:r w:rsidRPr="00957B29" w:rsidR="00B662D7">
        <w:t>that Hit Squad members needed to</w:t>
      </w:r>
      <w:r w:rsidRPr="00957B29" w:rsidR="00865CF9">
        <w:t xml:space="preserve"> follow any specific set of rules or norms, or</w:t>
      </w:r>
      <w:r w:rsidRPr="00957B29" w:rsidR="00B662D7">
        <w:t xml:space="preserve"> have any special qualifications</w:t>
      </w:r>
      <w:r w:rsidRPr="00957B29" w:rsidR="00865CF9">
        <w:t xml:space="preserve"> or</w:t>
      </w:r>
      <w:r w:rsidRPr="00957B29" w:rsidR="00B662D7">
        <w:t xml:space="preserve"> undergo any particular initiation rite</w:t>
      </w:r>
      <w:r w:rsidRPr="00957B29" w:rsidR="00D4136B">
        <w:t xml:space="preserve"> (such as committing a particular crime)</w:t>
      </w:r>
      <w:r w:rsidRPr="00957B29" w:rsidR="00B662D7">
        <w:t xml:space="preserve">, as a condition of membership.  </w:t>
      </w:r>
      <w:r w:rsidRPr="00957B29" w:rsidR="003F1700">
        <w:t>Though</w:t>
      </w:r>
      <w:r w:rsidRPr="00957B29" w:rsidR="00F515B1">
        <w:t xml:space="preserve"> evidence of </w:t>
      </w:r>
      <w:r w:rsidRPr="00957B29" w:rsidR="003F1700">
        <w:t>rules and norms</w:t>
      </w:r>
      <w:r w:rsidRPr="00957B29" w:rsidR="00F515B1">
        <w:t xml:space="preserve"> </w:t>
      </w:r>
      <w:r w:rsidRPr="00957B29" w:rsidR="00AE4CCE">
        <w:t xml:space="preserve">can be relevant in </w:t>
      </w:r>
      <w:r w:rsidRPr="00957B29" w:rsidR="003F1700">
        <w:t>assessing</w:t>
      </w:r>
      <w:r w:rsidRPr="00957B29" w:rsidR="00AE4CCE">
        <w:t xml:space="preserve"> an individual’s participation in a charged conspiracy</w:t>
      </w:r>
      <w:r w:rsidRPr="00957B29" w:rsidR="003A1AC1">
        <w:t xml:space="preserve"> (</w:t>
      </w:r>
      <w:r w:rsidRPr="00957B29" w:rsidR="00882890">
        <w:t>s</w:t>
      </w:r>
      <w:r w:rsidRPr="00957B29" w:rsidR="003A1AC1">
        <w:t xml:space="preserve">ee </w:t>
      </w:r>
      <w:r w:rsidRPr="00957B29" w:rsidR="003A1AC1">
        <w:rPr>
          <w:i/>
          <w:iCs/>
        </w:rPr>
        <w:t>U.S. v. Bingham</w:t>
      </w:r>
      <w:r w:rsidRPr="00957B29" w:rsidR="003A1AC1">
        <w:t xml:space="preserve"> (9th Cir. 2011) 653 F.3d 983, 998 [describing strict gang rules enforced via formalized hierarchy]; </w:t>
      </w:r>
      <w:r w:rsidRPr="00957B29" w:rsidR="003A1AC1">
        <w:rPr>
          <w:i/>
          <w:iCs/>
        </w:rPr>
        <w:t xml:space="preserve">People v. Kopp </w:t>
      </w:r>
      <w:r w:rsidRPr="00957B29" w:rsidR="003A1AC1">
        <w:t xml:space="preserve">(2019) 38 Cal.App.5th 47, 75 [describing gang’s rules about cooperating with law enforcement]), </w:t>
      </w:r>
      <w:r w:rsidRPr="00957B29" w:rsidR="005026B7">
        <w:t xml:space="preserve">there was </w:t>
      </w:r>
      <w:r w:rsidRPr="00957B29" w:rsidR="003A1AC1">
        <w:t xml:space="preserve">no evidence of that sort here.  </w:t>
      </w:r>
      <w:r w:rsidRPr="00957B29" w:rsidR="00B76A37">
        <w:t xml:space="preserve">The limited evidence on this subject at trial </w:t>
      </w:r>
      <w:r w:rsidR="00B17453">
        <w:t xml:space="preserve">instead </w:t>
      </w:r>
      <w:r w:rsidRPr="00957B29" w:rsidR="00B76A37">
        <w:t xml:space="preserve">showed that </w:t>
      </w:r>
      <w:r w:rsidRPr="00957B29" w:rsidR="00FA0884">
        <w:t>m</w:t>
      </w:r>
      <w:r w:rsidRPr="00957B29" w:rsidR="00B662D7">
        <w:t xml:space="preserve">any members of the Hit Squad were relatives, and </w:t>
      </w:r>
      <w:r w:rsidRPr="00957B29" w:rsidR="00412AF9">
        <w:t>suggested</w:t>
      </w:r>
      <w:r w:rsidRPr="00957B29" w:rsidR="00B662D7">
        <w:t xml:space="preserve"> that the Hit Squad “subset” was, at least in part, a generational grouping within the gang.  </w:t>
      </w:r>
      <w:r w:rsidRPr="00957B29" w:rsidR="006C63C3">
        <w:t>Nor</w:t>
      </w:r>
      <w:r w:rsidRPr="00957B29" w:rsidR="006556C5">
        <w:t xml:space="preserve"> </w:t>
      </w:r>
      <w:r w:rsidRPr="00957B29" w:rsidR="006C63C3">
        <w:t xml:space="preserve">was there evidence tending to show that the choice to become a 5/9 Brim gang member </w:t>
      </w:r>
      <w:r w:rsidR="00017090">
        <w:t>in general</w:t>
      </w:r>
      <w:r w:rsidRPr="00957B29" w:rsidR="006556C5">
        <w:t xml:space="preserve"> </w:t>
      </w:r>
      <w:r w:rsidRPr="00957B29" w:rsidR="006C63C3">
        <w:t xml:space="preserve">was necessarily also a choice to participate in a long-running, nonspecific conspiracy to commit murder.  </w:t>
      </w:r>
      <w:r w:rsidRPr="00957B29" w:rsidR="00C4113D">
        <w:t>It is undisputed that the 5/9 Brim gang had an active and violent rivalry with the WCC and NC gangs during the period of the alleged conspiracy.  It is also undisputed that Brim members, like gang members generally, were expected to support the goals of the gang, including by backing each other up in fights.  But a “general agreement, implicit or explicit, to support one another in gang fights does not provide substantial proof of the specific agreement required for a conviction of conspiracy to commit assault,” much less conspiracy to commit murder.  (</w:t>
      </w:r>
      <w:r w:rsidRPr="00957B29" w:rsidR="00C4113D">
        <w:rPr>
          <w:i/>
          <w:iCs/>
        </w:rPr>
        <w:t>U.S. v. Garcia</w:t>
      </w:r>
      <w:r w:rsidRPr="00957B29" w:rsidR="00C4113D">
        <w:t xml:space="preserve">, </w:t>
      </w:r>
      <w:r w:rsidRPr="00957B29" w:rsidR="00C4113D">
        <w:rPr>
          <w:i/>
          <w:iCs/>
        </w:rPr>
        <w:t>supra</w:t>
      </w:r>
      <w:r w:rsidRPr="00957B29" w:rsidR="00C4113D">
        <w:t xml:space="preserve">, 151 F.3d at p. 1244.)  </w:t>
      </w:r>
      <w:r w:rsidRPr="00957B29" w:rsidR="006C63C3">
        <w:t xml:space="preserve">Again, without </w:t>
      </w:r>
      <w:r w:rsidR="00B17453">
        <w:t>more specific</w:t>
      </w:r>
      <w:r w:rsidRPr="00957B29" w:rsidR="00B17453">
        <w:t xml:space="preserve"> </w:t>
      </w:r>
      <w:r w:rsidRPr="00957B29" w:rsidR="006C63C3">
        <w:t xml:space="preserve">evidence about </w:t>
      </w:r>
      <w:r w:rsidR="000F6AD5">
        <w:t xml:space="preserve">the requirements of </w:t>
      </w:r>
      <w:r w:rsidRPr="00957B29" w:rsidR="006C63C3">
        <w:t xml:space="preserve">Hit Squad </w:t>
      </w:r>
      <w:r w:rsidRPr="00957B29" w:rsidR="006556C5">
        <w:t xml:space="preserve">or Brim </w:t>
      </w:r>
      <w:r w:rsidRPr="00957B29" w:rsidR="006C63C3">
        <w:t xml:space="preserve">membership, we conclude that no reasonable jury could have inferred that </w:t>
      </w:r>
      <w:r w:rsidR="000F6AD5">
        <w:t xml:space="preserve">membership entailed </w:t>
      </w:r>
      <w:r w:rsidRPr="00957B29" w:rsidR="006C63C3">
        <w:t>an agreement by all of its members</w:t>
      </w:r>
      <w:r w:rsidR="00656A32">
        <w:t>, including Hoskins,</w:t>
      </w:r>
      <w:r w:rsidRPr="00957B29" w:rsidR="006C63C3">
        <w:t xml:space="preserve"> to kill rivals.</w:t>
      </w:r>
      <w:r w:rsidRPr="00957B29">
        <w:t xml:space="preserve"> </w:t>
      </w:r>
    </w:p>
    <w:p w:rsidR="00175C4B" w:rsidRPr="00957B29" w:rsidP="00957B29">
      <w:pPr>
        <w:tabs>
          <w:tab w:val="left" w:pos="720"/>
        </w:tabs>
      </w:pPr>
      <w:r w:rsidRPr="00957B29">
        <w:tab/>
      </w:r>
      <w:r w:rsidRPr="00957B29" w:rsidR="00D4582F">
        <w:t>T</w:t>
      </w:r>
      <w:r w:rsidRPr="00957B29" w:rsidR="00993A17">
        <w:t xml:space="preserve">he </w:t>
      </w:r>
      <w:r w:rsidRPr="00957B29" w:rsidR="0061432A">
        <w:t>Attorney General</w:t>
      </w:r>
      <w:r w:rsidRPr="00957B29" w:rsidR="00993A17">
        <w:t xml:space="preserve"> repeatedly describes Hoskins as </w:t>
      </w:r>
      <w:r w:rsidRPr="00957B29" w:rsidR="005E1C97">
        <w:t xml:space="preserve">not merely a member of the gang, but </w:t>
      </w:r>
      <w:r w:rsidRPr="00957B29" w:rsidR="00C03377">
        <w:t>a</w:t>
      </w:r>
      <w:r w:rsidRPr="00957B29" w:rsidR="00E34014">
        <w:t xml:space="preserve">n </w:t>
      </w:r>
      <w:r w:rsidRPr="00957B29" w:rsidR="00026705">
        <w:t>“active leader</w:t>
      </w:r>
      <w:r w:rsidRPr="00957B29" w:rsidR="00C03377">
        <w:t>.</w:t>
      </w:r>
      <w:r w:rsidRPr="00957B29" w:rsidR="00026705">
        <w:t>”</w:t>
      </w:r>
      <w:r w:rsidRPr="00957B29" w:rsidR="00EB30FC">
        <w:t xml:space="preserve">  </w:t>
      </w:r>
      <w:r w:rsidRPr="00957B29" w:rsidR="00026705">
        <w:t>Again, t</w:t>
      </w:r>
      <w:r w:rsidRPr="00957B29" w:rsidR="00EB30FC">
        <w:t xml:space="preserve">he record does not </w:t>
      </w:r>
      <w:r w:rsidRPr="00957B29" w:rsidR="009D14B9">
        <w:t xml:space="preserve">support </w:t>
      </w:r>
      <w:r w:rsidRPr="00957B29" w:rsidR="00EB30FC">
        <w:t xml:space="preserve">this characterization.  </w:t>
      </w:r>
      <w:r w:rsidRPr="00957B29" w:rsidR="00194D06">
        <w:t xml:space="preserve">The only indication Hoskins had achieved </w:t>
      </w:r>
      <w:r w:rsidRPr="00957B29" w:rsidR="002F4341">
        <w:t xml:space="preserve">some </w:t>
      </w:r>
      <w:r w:rsidRPr="00957B29" w:rsidR="00194D06">
        <w:t xml:space="preserve">elevated </w:t>
      </w:r>
      <w:r w:rsidRPr="00957B29" w:rsidR="0087076B">
        <w:t>rank</w:t>
      </w:r>
      <w:r w:rsidRPr="00957B29" w:rsidR="003047F3">
        <w:t xml:space="preserve"> </w:t>
      </w:r>
      <w:r w:rsidRPr="00957B29" w:rsidR="00194D06">
        <w:t xml:space="preserve">was </w:t>
      </w:r>
      <w:r w:rsidRPr="00957B29" w:rsidR="00124723">
        <w:t xml:space="preserve">evidence </w:t>
      </w:r>
      <w:r w:rsidRPr="00957B29" w:rsidR="00194D06">
        <w:t xml:space="preserve">that </w:t>
      </w:r>
      <w:r w:rsidRPr="00957B29" w:rsidR="00000222">
        <w:t>another</w:t>
      </w:r>
      <w:r w:rsidRPr="00957B29" w:rsidR="00E26EC9">
        <w:t xml:space="preserve"> </w:t>
      </w:r>
      <w:r w:rsidR="005506AF">
        <w:t xml:space="preserve">5/9 </w:t>
      </w:r>
      <w:r w:rsidRPr="00957B29" w:rsidR="00E26EC9">
        <w:t>Brim</w:t>
      </w:r>
      <w:r w:rsidRPr="00957B29" w:rsidR="00000222">
        <w:t xml:space="preserve"> member </w:t>
      </w:r>
      <w:r w:rsidRPr="00957B29" w:rsidR="00194D06">
        <w:t xml:space="preserve">had </w:t>
      </w:r>
      <w:r w:rsidRPr="00957B29" w:rsidR="00A174F2">
        <w:t>adopted</w:t>
      </w:r>
      <w:r w:rsidRPr="00957B29" w:rsidR="00194D06">
        <w:t xml:space="preserve"> </w:t>
      </w:r>
      <w:r w:rsidRPr="00957B29" w:rsidR="002A42D7">
        <w:t>Hoskins’s</w:t>
      </w:r>
      <w:r w:rsidRPr="00957B29" w:rsidR="00E26EC9">
        <w:t xml:space="preserve"> </w:t>
      </w:r>
      <w:r w:rsidRPr="00957B29" w:rsidR="00194D06">
        <w:t>gang moniker</w:t>
      </w:r>
      <w:r w:rsidRPr="00957B29" w:rsidR="00083894">
        <w:t xml:space="preserve"> as his own</w:t>
      </w:r>
      <w:r w:rsidRPr="00957B29" w:rsidR="00EB60BC">
        <w:t xml:space="preserve">; that member went </w:t>
      </w:r>
      <w:r w:rsidRPr="00957B29" w:rsidR="002F35A7">
        <w:t>by</w:t>
      </w:r>
      <w:r w:rsidRPr="00957B29" w:rsidR="00EB60BC">
        <w:t xml:space="preserve"> “Little Bick Nick,” a reference to Hoskins’s nickname, </w:t>
      </w:r>
      <w:r w:rsidRPr="00957B29" w:rsidR="009F4294">
        <w:t>“Bick Nick</w:t>
      </w:r>
      <w:r w:rsidRPr="00957B29" w:rsidR="001B3B24">
        <w:t>.”</w:t>
      </w:r>
      <w:r w:rsidRPr="00957B29" w:rsidR="00BA5355">
        <w:t xml:space="preserve"> </w:t>
      </w:r>
      <w:r w:rsidRPr="00957B29" w:rsidR="00194D06">
        <w:t xml:space="preserve"> </w:t>
      </w:r>
      <w:r w:rsidR="00D07BB7">
        <w:t>T</w:t>
      </w:r>
      <w:r w:rsidRPr="00957B29" w:rsidR="00021CA7">
        <w:t>his evidence</w:t>
      </w:r>
      <w:r w:rsidR="00696EF7">
        <w:t>, however, does not</w:t>
      </w:r>
      <w:r w:rsidRPr="00957B29" w:rsidR="00B925F5">
        <w:t xml:space="preserve"> </w:t>
      </w:r>
      <w:r w:rsidRPr="00957B29" w:rsidR="00E65746">
        <w:t xml:space="preserve">reasonably </w:t>
      </w:r>
      <w:r w:rsidR="00696EF7">
        <w:t>support an inference of</w:t>
      </w:r>
      <w:r w:rsidRPr="00957B29" w:rsidR="00696EF7">
        <w:t xml:space="preserve"> </w:t>
      </w:r>
      <w:r w:rsidRPr="00957B29" w:rsidR="00021CA7">
        <w:t>Hoskins’s</w:t>
      </w:r>
      <w:r w:rsidRPr="00957B29" w:rsidR="00E46174">
        <w:t xml:space="preserve"> leadership or</w:t>
      </w:r>
      <w:r w:rsidRPr="00957B29" w:rsidR="00021CA7">
        <w:t xml:space="preserve"> “high-level” status</w:t>
      </w:r>
      <w:r w:rsidRPr="00957B29" w:rsidR="00B674D5">
        <w:t xml:space="preserve"> within the Brims</w:t>
      </w:r>
      <w:r w:rsidRPr="00957B29" w:rsidR="00021CA7">
        <w:t xml:space="preserve">.  </w:t>
      </w:r>
      <w:r w:rsidRPr="00957B29" w:rsidR="00B925F5">
        <w:t>Indeed,</w:t>
      </w:r>
      <w:r w:rsidRPr="00957B29" w:rsidR="0059129A">
        <w:t xml:space="preserve"> </w:t>
      </w:r>
      <w:r w:rsidRPr="00957B29" w:rsidR="002A42D7">
        <w:t xml:space="preserve">the prosecution’s </w:t>
      </w:r>
      <w:r w:rsidRPr="00957B29" w:rsidR="009E0A0E">
        <w:t xml:space="preserve">gang </w:t>
      </w:r>
      <w:r w:rsidRPr="00957B29" w:rsidR="002A42D7">
        <w:t xml:space="preserve">expert testified </w:t>
      </w:r>
      <w:r w:rsidRPr="00957B29" w:rsidR="00A20BD6">
        <w:t xml:space="preserve">only </w:t>
      </w:r>
      <w:r w:rsidRPr="00957B29" w:rsidR="009670AC">
        <w:t xml:space="preserve">that </w:t>
      </w:r>
      <w:r w:rsidRPr="00957B29" w:rsidR="00A20BD6">
        <w:t>this</w:t>
      </w:r>
      <w:r w:rsidRPr="00957B29" w:rsidR="009670AC">
        <w:t xml:space="preserve"> indicated Hoskins was “</w:t>
      </w:r>
      <w:r w:rsidRPr="00957B29" w:rsidR="00194D06">
        <w:t>working towards” a more senior position in the gang</w:t>
      </w:r>
      <w:r w:rsidRPr="00957B29" w:rsidR="0020078B">
        <w:t> </w:t>
      </w:r>
      <w:r w:rsidRPr="00957B29" w:rsidR="000403AB">
        <w:t xml:space="preserve">— </w:t>
      </w:r>
      <w:r w:rsidRPr="00957B29" w:rsidR="00194D06">
        <w:t>not that he had</w:t>
      </w:r>
      <w:r w:rsidRPr="00957B29" w:rsidR="00FB7FDA">
        <w:t xml:space="preserve"> necessarily</w:t>
      </w:r>
      <w:r w:rsidRPr="00957B29" w:rsidR="00194D06">
        <w:t xml:space="preserve"> achieved </w:t>
      </w:r>
      <w:r w:rsidRPr="00957B29" w:rsidR="009D14B9">
        <w:t>it</w:t>
      </w:r>
      <w:r w:rsidRPr="00957B29" w:rsidR="00D309EA">
        <w:t>.</w:t>
      </w:r>
      <w:r w:rsidRPr="00957B29" w:rsidR="00D309EA">
        <w:t xml:space="preserve"> </w:t>
      </w:r>
      <w:r w:rsidRPr="00957B29" w:rsidR="00485994">
        <w:t xml:space="preserve"> And even setting aside the minimal evidence </w:t>
      </w:r>
      <w:r w:rsidRPr="00957B29" w:rsidR="00690F1B">
        <w:t>regarding Hoskins’s purportedly elevated status</w:t>
      </w:r>
      <w:r w:rsidRPr="00957B29" w:rsidR="00485994">
        <w:t xml:space="preserve">, </w:t>
      </w:r>
      <w:r w:rsidRPr="00957B29" w:rsidR="006556C5">
        <w:t xml:space="preserve">it is unclear what significance the </w:t>
      </w:r>
      <w:r w:rsidR="003D5C94">
        <w:t>jury reasonably could</w:t>
      </w:r>
      <w:r w:rsidRPr="00957B29" w:rsidR="006556C5">
        <w:t xml:space="preserve"> ascribe to </w:t>
      </w:r>
      <w:r w:rsidRPr="00957B29" w:rsidR="009D022B">
        <w:t xml:space="preserve">such </w:t>
      </w:r>
      <w:r w:rsidRPr="00957B29" w:rsidR="006556C5">
        <w:t xml:space="preserve">status.  The </w:t>
      </w:r>
      <w:r w:rsidRPr="00957B29" w:rsidR="00B9593E">
        <w:t>prosecution</w:t>
      </w:r>
      <w:r w:rsidRPr="00957B29" w:rsidR="00AF50B2">
        <w:t>’s</w:t>
      </w:r>
      <w:r w:rsidRPr="00957B29" w:rsidR="00B9593E">
        <w:t xml:space="preserve"> gang expert</w:t>
      </w:r>
      <w:r w:rsidRPr="00957B29" w:rsidR="006556C5">
        <w:t xml:space="preserve"> testified </w:t>
      </w:r>
      <w:r w:rsidRPr="00957B29" w:rsidR="00485994">
        <w:t>that gang members must carry out “missions” to gain respect</w:t>
      </w:r>
      <w:r w:rsidRPr="00957B29" w:rsidR="0020078B">
        <w:t> </w:t>
      </w:r>
      <w:r w:rsidRPr="00957B29" w:rsidR="00485994">
        <w:t>— and presumably to advance in the group</w:t>
      </w:r>
      <w:r w:rsidRPr="00957B29" w:rsidR="0020078B">
        <w:t> </w:t>
      </w:r>
      <w:r w:rsidRPr="00957B29" w:rsidR="00485994">
        <w:t xml:space="preserve">— </w:t>
      </w:r>
      <w:r w:rsidRPr="00957B29" w:rsidR="006556C5">
        <w:t xml:space="preserve">but the testimony </w:t>
      </w:r>
      <w:r w:rsidRPr="00957B29" w:rsidR="00B503EF">
        <w:t xml:space="preserve">appeared to be </w:t>
      </w:r>
      <w:r w:rsidRPr="00957B29" w:rsidR="00485994">
        <w:t xml:space="preserve">based </w:t>
      </w:r>
      <w:r w:rsidRPr="00957B29" w:rsidR="00B60300">
        <w:t>on</w:t>
      </w:r>
      <w:r w:rsidRPr="00957B29" w:rsidR="00485994">
        <w:t xml:space="preserve"> an impression of gangs generally, rather than the specific practice of the 5/9 Brim</w:t>
      </w:r>
      <w:r w:rsidRPr="00957B29" w:rsidR="00D17BE5">
        <w:t>s</w:t>
      </w:r>
      <w:r w:rsidRPr="00957B29" w:rsidR="00485994">
        <w:t xml:space="preserve">.  </w:t>
      </w:r>
      <w:r w:rsidRPr="00957B29" w:rsidR="000B1C3D">
        <w:t>In any event</w:t>
      </w:r>
      <w:r w:rsidRPr="00957B29" w:rsidR="00A76888">
        <w:t xml:space="preserve">, </w:t>
      </w:r>
      <w:r w:rsidRPr="00957B29" w:rsidR="0012357E">
        <w:t xml:space="preserve">the evidence did not show what sort of mission would be necessary to achieve whatever status </w:t>
      </w:r>
      <w:r w:rsidRPr="00957B29" w:rsidR="00D77398">
        <w:t xml:space="preserve">Hoskins might have </w:t>
      </w:r>
      <w:r w:rsidR="00B22AF1">
        <w:t>obtained</w:t>
      </w:r>
      <w:r w:rsidRPr="00957B29" w:rsidR="00B22AF1">
        <w:t xml:space="preserve"> </w:t>
      </w:r>
      <w:r w:rsidRPr="00957B29" w:rsidR="00D77398">
        <w:t xml:space="preserve">within the gang.  </w:t>
      </w:r>
      <w:r w:rsidRPr="00957B29" w:rsidR="009D022B">
        <w:t xml:space="preserve">To the extent the prosecution might </w:t>
      </w:r>
      <w:r w:rsidRPr="00957B29" w:rsidR="00D607A1">
        <w:t xml:space="preserve">have sought to rely </w:t>
      </w:r>
      <w:r w:rsidRPr="00957B29" w:rsidR="007A54A1">
        <w:t xml:space="preserve">on an </w:t>
      </w:r>
      <w:r w:rsidRPr="00957B29" w:rsidR="009D022B">
        <w:t>infer</w:t>
      </w:r>
      <w:r w:rsidRPr="00957B29" w:rsidR="007A54A1">
        <w:t>ence</w:t>
      </w:r>
      <w:r w:rsidRPr="00957B29" w:rsidR="009D022B">
        <w:t xml:space="preserve"> </w:t>
      </w:r>
      <w:r w:rsidRPr="00957B29" w:rsidR="00485994">
        <w:t xml:space="preserve">that a leader </w:t>
      </w:r>
      <w:r w:rsidRPr="00957B29" w:rsidR="00667AE8">
        <w:t xml:space="preserve">or person with elevated status </w:t>
      </w:r>
      <w:r w:rsidRPr="00957B29" w:rsidR="00485994">
        <w:t xml:space="preserve">must have been involved in gang </w:t>
      </w:r>
      <w:r w:rsidRPr="00957B29" w:rsidR="00C52057">
        <w:t>decisionmaking</w:t>
      </w:r>
      <w:r w:rsidRPr="00957B29" w:rsidR="00B54495">
        <w:t xml:space="preserve">, including the </w:t>
      </w:r>
      <w:r w:rsidRPr="00957B29" w:rsidR="00AF3093">
        <w:t xml:space="preserve">critical </w:t>
      </w:r>
      <w:r w:rsidRPr="00957B29" w:rsidR="00B54495">
        <w:t xml:space="preserve">decision to murder unspecified members of rival gangs over an extended </w:t>
      </w:r>
      <w:r w:rsidR="00120B58">
        <w:t>period of time</w:t>
      </w:r>
      <w:r w:rsidRPr="00957B29" w:rsidR="00B54495">
        <w:t>, that inference is likewise unsupported by the evidence.  T</w:t>
      </w:r>
      <w:r w:rsidRPr="00957B29" w:rsidR="00485994">
        <w:t>he prosecution</w:t>
      </w:r>
      <w:r w:rsidRPr="00957B29" w:rsidR="00AF50B2">
        <w:t>’s</w:t>
      </w:r>
      <w:r w:rsidRPr="00957B29" w:rsidR="00485994">
        <w:t xml:space="preserve"> gang expert </w:t>
      </w:r>
      <w:r w:rsidRPr="00957B29" w:rsidR="00B54495">
        <w:t xml:space="preserve">testified </w:t>
      </w:r>
      <w:r w:rsidRPr="00957B29" w:rsidR="00485994">
        <w:t>that the 5/9 Brim</w:t>
      </w:r>
      <w:r w:rsidRPr="00957B29" w:rsidR="00F2544E">
        <w:t xml:space="preserve">s </w:t>
      </w:r>
      <w:r w:rsidRPr="00957B29" w:rsidR="00485994">
        <w:t>did not have a fixed internal hierarchy</w:t>
      </w:r>
      <w:r w:rsidRPr="00957B29" w:rsidR="00524576">
        <w:t xml:space="preserve">, but rather </w:t>
      </w:r>
      <w:r w:rsidRPr="00957B29" w:rsidR="00485994">
        <w:t xml:space="preserve">only a “loose” structure.  </w:t>
      </w:r>
      <w:r w:rsidRPr="00957B29" w:rsidR="00B54495">
        <w:t>E</w:t>
      </w:r>
      <w:r w:rsidRPr="00957B29" w:rsidR="00485994">
        <w:t>ven if Hoskins were considered a “high-level” member of the gang</w:t>
      </w:r>
      <w:r w:rsidRPr="00957B29" w:rsidR="00C210AC">
        <w:t xml:space="preserve"> or enjoyed some</w:t>
      </w:r>
      <w:r w:rsidRPr="00957B29" w:rsidR="00C976CC">
        <w:t xml:space="preserve"> type of</w:t>
      </w:r>
      <w:r w:rsidRPr="00957B29" w:rsidR="00C210AC">
        <w:t xml:space="preserve"> elevated status</w:t>
      </w:r>
      <w:r w:rsidRPr="00957B29" w:rsidR="00485994">
        <w:t xml:space="preserve">, the record shed little light on what </w:t>
      </w:r>
      <w:r w:rsidRPr="00957B29" w:rsidR="00C52057">
        <w:t>decisionmaking</w:t>
      </w:r>
      <w:r w:rsidRPr="00957B29" w:rsidR="00485994">
        <w:t xml:space="preserve"> </w:t>
      </w:r>
      <w:r w:rsidRPr="00957B29" w:rsidR="0044011F">
        <w:t>responsibilities</w:t>
      </w:r>
      <w:r w:rsidRPr="00957B29" w:rsidR="00AB6701">
        <w:t xml:space="preserve"> might</w:t>
      </w:r>
      <w:r w:rsidRPr="00957B29" w:rsidR="00485994">
        <w:t xml:space="preserve"> </w:t>
      </w:r>
      <w:r w:rsidRPr="00957B29" w:rsidR="00E358D7">
        <w:t>accompan</w:t>
      </w:r>
      <w:r w:rsidRPr="00957B29" w:rsidR="00AB6701">
        <w:t>y</w:t>
      </w:r>
      <w:r w:rsidRPr="00957B29" w:rsidR="00485994">
        <w:t xml:space="preserve"> that </w:t>
      </w:r>
      <w:r w:rsidRPr="00957B29" w:rsidR="00AB6701">
        <w:t>status</w:t>
      </w:r>
      <w:r w:rsidRPr="00957B29" w:rsidR="0020078B">
        <w:t> </w:t>
      </w:r>
      <w:r w:rsidRPr="00957B29" w:rsidR="00EA6386">
        <w:t>—</w:t>
      </w:r>
      <w:r w:rsidRPr="00957B29" w:rsidR="00485994">
        <w:t xml:space="preserve"> much less </w:t>
      </w:r>
      <w:r w:rsidRPr="00957B29" w:rsidR="00AB6701">
        <w:t xml:space="preserve">on </w:t>
      </w:r>
      <w:r w:rsidRPr="00957B29" w:rsidR="00485994">
        <w:t xml:space="preserve">the critical question </w:t>
      </w:r>
      <w:r w:rsidRPr="00957B29" w:rsidR="0025723F">
        <w:t xml:space="preserve">of </w:t>
      </w:r>
      <w:r w:rsidRPr="00957B29" w:rsidR="00485994">
        <w:t xml:space="preserve">whether a “high-level” member was expected to join in any tacit agreement to kill </w:t>
      </w:r>
      <w:r w:rsidRPr="00957B29" w:rsidR="00C52057">
        <w:t>rivals</w:t>
      </w:r>
      <w:r w:rsidRPr="00957B29" w:rsidR="00485994">
        <w:t>.</w:t>
      </w:r>
    </w:p>
    <w:p w:rsidR="00194D06" w:rsidRPr="00957B29" w:rsidP="00957B29">
      <w:pPr>
        <w:tabs>
          <w:tab w:val="left" w:pos="0"/>
        </w:tabs>
        <w:ind w:firstLine="720"/>
      </w:pPr>
      <w:r w:rsidRPr="00957B29">
        <w:t xml:space="preserve">The </w:t>
      </w:r>
      <w:r w:rsidRPr="00957B29" w:rsidR="001C470F">
        <w:t>next</w:t>
      </w:r>
      <w:r w:rsidRPr="00957B29" w:rsidR="00B05226">
        <w:t xml:space="preserve"> </w:t>
      </w:r>
      <w:r w:rsidRPr="00957B29" w:rsidR="006B6618">
        <w:t xml:space="preserve">category </w:t>
      </w:r>
      <w:r w:rsidRPr="00957B29">
        <w:t>of evidence relates to Hoskins’s</w:t>
      </w:r>
      <w:r w:rsidRPr="00957B29">
        <w:t xml:space="preserve"> </w:t>
      </w:r>
      <w:r w:rsidRPr="00957B29" w:rsidR="00027A9F">
        <w:t>access and proximity to guns</w:t>
      </w:r>
      <w:r w:rsidRPr="00957B29" w:rsidR="00272B2B">
        <w:t xml:space="preserve"> </w:t>
      </w:r>
      <w:r w:rsidRPr="00957B29">
        <w:t xml:space="preserve">during the period of the </w:t>
      </w:r>
      <w:r w:rsidRPr="00957B29" w:rsidR="00FE0D23">
        <w:t xml:space="preserve">alleged </w:t>
      </w:r>
      <w:r w:rsidRPr="00957B29">
        <w:t>conspiracy</w:t>
      </w:r>
      <w:r w:rsidRPr="00957B29" w:rsidR="005F2208">
        <w:t xml:space="preserve">.  </w:t>
      </w:r>
      <w:r w:rsidRPr="00957B29" w:rsidR="00B9510F">
        <w:t xml:space="preserve">The Attorney General highlights two pieces of evidence: </w:t>
      </w:r>
      <w:r w:rsidRPr="00957B29" w:rsidR="006E72A3">
        <w:t xml:space="preserve"> </w:t>
      </w:r>
      <w:r w:rsidRPr="00957B29" w:rsidR="00B9510F">
        <w:t xml:space="preserve">Hoskins’s </w:t>
      </w:r>
      <w:r w:rsidRPr="00957B29" w:rsidR="00FA0DA1">
        <w:t xml:space="preserve">February 2012 arrest with a gun concealed in a sock tucked into his pants, and his August 2012 encounter with police </w:t>
      </w:r>
      <w:r w:rsidRPr="00957B29" w:rsidR="008C3123">
        <w:t>when</w:t>
      </w:r>
      <w:r w:rsidRPr="00957B29" w:rsidR="00FA0DA1">
        <w:t xml:space="preserve"> a loaded revolver was found nearby.  </w:t>
      </w:r>
      <w:r w:rsidRPr="00957B29">
        <w:t xml:space="preserve">As Hoskins </w:t>
      </w:r>
      <w:r w:rsidRPr="00957B29" w:rsidR="00087B81">
        <w:t>points out</w:t>
      </w:r>
      <w:r w:rsidRPr="00957B29" w:rsidR="00F03AF7">
        <w:t>,</w:t>
      </w:r>
      <w:r w:rsidRPr="00957B29">
        <w:t xml:space="preserve"> neither gun was ever linked to any shooting.  Nor was there any indication that Hoskins intended to use either weapon at the time he was arrested</w:t>
      </w:r>
      <w:r w:rsidRPr="00957B29" w:rsidR="0020078B">
        <w:t> </w:t>
      </w:r>
      <w:r w:rsidRPr="00957B29" w:rsidR="000A0F18">
        <w:t xml:space="preserve">— </w:t>
      </w:r>
      <w:r w:rsidRPr="00957B29" w:rsidR="00716237">
        <w:t xml:space="preserve">let alone </w:t>
      </w:r>
      <w:r w:rsidRPr="00957B29" w:rsidR="00BE4DED">
        <w:t xml:space="preserve">that he </w:t>
      </w:r>
      <w:r w:rsidRPr="00957B29" w:rsidR="000A0F18">
        <w:t xml:space="preserve">even knew about the </w:t>
      </w:r>
      <w:r w:rsidRPr="00957B29" w:rsidR="0007071A">
        <w:t xml:space="preserve">revolver found after his </w:t>
      </w:r>
      <w:r w:rsidRPr="00957B29" w:rsidR="000A0F18">
        <w:t xml:space="preserve">August 2012 </w:t>
      </w:r>
      <w:r w:rsidRPr="00957B29" w:rsidR="0007071A">
        <w:t>encounter with police</w:t>
      </w:r>
      <w:r w:rsidRPr="00957B29" w:rsidR="00716237">
        <w:t>.</w:t>
      </w:r>
      <w:r w:rsidRPr="00957B29" w:rsidR="0017618D">
        <w:t xml:space="preserve">  </w:t>
      </w:r>
      <w:r w:rsidRPr="00957B29">
        <w:t xml:space="preserve">Nonetheless, the </w:t>
      </w:r>
      <w:r w:rsidRPr="00957B29" w:rsidR="00A24AF1">
        <w:t xml:space="preserve">Attorney General </w:t>
      </w:r>
      <w:r w:rsidRPr="00957B29">
        <w:t>argue</w:t>
      </w:r>
      <w:r w:rsidRPr="00957B29" w:rsidR="00A24AF1">
        <w:t>s</w:t>
      </w:r>
      <w:r w:rsidRPr="00957B29">
        <w:t xml:space="preserve"> that</w:t>
      </w:r>
      <w:r w:rsidRPr="00957B29" w:rsidR="00BE1D09">
        <w:t xml:space="preserve"> </w:t>
      </w:r>
      <w:r w:rsidRPr="00957B29" w:rsidR="00145CD0">
        <w:t xml:space="preserve">this </w:t>
      </w:r>
      <w:r w:rsidRPr="00957B29" w:rsidR="00BE1D09">
        <w:t>evidence indicate</w:t>
      </w:r>
      <w:r w:rsidRPr="00957B29" w:rsidR="00543E31">
        <w:t>s</w:t>
      </w:r>
      <w:r w:rsidRPr="00957B29" w:rsidR="00BE1D09">
        <w:t xml:space="preserve"> </w:t>
      </w:r>
      <w:r w:rsidRPr="00957B29" w:rsidR="0017618D">
        <w:t>Hoskins was “ready and able to kill</w:t>
      </w:r>
      <w:r w:rsidRPr="00957B29" w:rsidR="008162CF">
        <w:t>”:</w:t>
      </w:r>
      <w:r w:rsidRPr="00957B29" w:rsidR="005C5A7E">
        <w:t xml:space="preserve"> </w:t>
      </w:r>
      <w:r w:rsidRPr="00957B29" w:rsidR="0020078B">
        <w:t xml:space="preserve"> </w:t>
      </w:r>
      <w:r w:rsidRPr="00957B29" w:rsidR="005C5A7E">
        <w:t>that he “</w:t>
      </w:r>
      <w:r w:rsidRPr="00957B29">
        <w:t xml:space="preserve">either was, or could easily be armed, if the opportunity to shoot rival Crip gang members arose.”  </w:t>
      </w:r>
      <w:r w:rsidR="00AE16B1">
        <w:t>The evidence does not reasonably support such an inference</w:t>
      </w:r>
      <w:r w:rsidRPr="00957B29" w:rsidR="00A343A2">
        <w:t>.  Though i</w:t>
      </w:r>
      <w:r w:rsidRPr="00957B29" w:rsidR="000817AF">
        <w:t>t may be reasonable to infer that Hoskins “could easily be armed” if the opportunity arose</w:t>
      </w:r>
      <w:r w:rsidRPr="00957B29" w:rsidR="003612F0">
        <w:t xml:space="preserve">, </w:t>
      </w:r>
      <w:r w:rsidRPr="00957B29" w:rsidR="000817AF">
        <w:t xml:space="preserve">it is not reasonable to </w:t>
      </w:r>
      <w:r w:rsidRPr="00957B29" w:rsidR="00736290">
        <w:t>infer</w:t>
      </w:r>
      <w:r w:rsidRPr="00957B29" w:rsidR="0022126F">
        <w:t xml:space="preserve"> that Hoskins therefore </w:t>
      </w:r>
      <w:r w:rsidRPr="00957B29" w:rsidR="00BD05B8">
        <w:t>intended</w:t>
      </w:r>
      <w:r w:rsidRPr="00957B29" w:rsidR="0022126F">
        <w:t xml:space="preserve"> </w:t>
      </w:r>
      <w:r w:rsidRPr="00957B29" w:rsidR="00864987">
        <w:t xml:space="preserve">to commit first degree murder.  </w:t>
      </w:r>
      <w:r w:rsidRPr="00957B29" w:rsidR="00666397">
        <w:t>Individuals</w:t>
      </w:r>
      <w:r w:rsidR="00853EC3">
        <w:t> </w:t>
      </w:r>
      <w:r w:rsidRPr="00957B29" w:rsidR="00666397">
        <w:t>—</w:t>
      </w:r>
      <w:r w:rsidRPr="00957B29" w:rsidR="00B23DB0">
        <w:t xml:space="preserve"> </w:t>
      </w:r>
      <w:r w:rsidRPr="00957B29" w:rsidR="00666397">
        <w:t xml:space="preserve">gang members </w:t>
      </w:r>
      <w:r w:rsidRPr="00957B29" w:rsidR="00B23DB0">
        <w:t>included</w:t>
      </w:r>
      <w:r w:rsidR="00853EC3">
        <w:t> </w:t>
      </w:r>
      <w:r w:rsidRPr="00957B29" w:rsidR="00666397">
        <w:t xml:space="preserve">— frequently possess guns </w:t>
      </w:r>
      <w:r w:rsidRPr="00957B29" w:rsidR="006277A7">
        <w:t xml:space="preserve">without harboring any intent to use the guns to </w:t>
      </w:r>
      <w:r w:rsidRPr="00957B29" w:rsidR="00B23DB0">
        <w:t xml:space="preserve">commit premeditated, deliberate killings.  </w:t>
      </w:r>
      <w:r w:rsidRPr="00957B29" w:rsidR="004A7801">
        <w:t>Again, n</w:t>
      </w:r>
      <w:r w:rsidRPr="00957B29" w:rsidR="00180A4B">
        <w:t xml:space="preserve">othing in the record links Hoskins’s possession or proximity to </w:t>
      </w:r>
      <w:r w:rsidRPr="00957B29" w:rsidR="00736290">
        <w:t xml:space="preserve">the guns described above </w:t>
      </w:r>
      <w:r w:rsidRPr="00957B29" w:rsidR="00180A4B">
        <w:t xml:space="preserve">to any </w:t>
      </w:r>
      <w:r w:rsidRPr="00957B29" w:rsidR="00736290">
        <w:t>shootings</w:t>
      </w:r>
      <w:r w:rsidRPr="00957B29" w:rsidR="005E5F4D">
        <w:t xml:space="preserve"> or</w:t>
      </w:r>
      <w:r w:rsidRPr="00957B29" w:rsidR="004A7801">
        <w:t xml:space="preserve"> any</w:t>
      </w:r>
      <w:r w:rsidRPr="00957B29" w:rsidR="005E5F4D">
        <w:t xml:space="preserve"> </w:t>
      </w:r>
      <w:r w:rsidRPr="00957B29" w:rsidR="00180A4B">
        <w:t xml:space="preserve">broader criminal design to murder rivals.  Without more, no reasonable jury could find that such evidence </w:t>
      </w:r>
      <w:r w:rsidRPr="00957B29" w:rsidR="009F7D39">
        <w:t>proved,</w:t>
      </w:r>
      <w:r w:rsidRPr="00957B29" w:rsidR="00180A4B">
        <w:t xml:space="preserve"> beyond a reasonable doubt</w:t>
      </w:r>
      <w:r w:rsidRPr="00957B29" w:rsidR="009F7D39">
        <w:t>,</w:t>
      </w:r>
      <w:r w:rsidRPr="00957B29" w:rsidR="00180A4B">
        <w:t xml:space="preserve"> that Hoskins intended to</w:t>
      </w:r>
      <w:r w:rsidRPr="00957B29" w:rsidR="003D7085">
        <w:t xml:space="preserve"> </w:t>
      </w:r>
      <w:r w:rsidRPr="00957B29" w:rsidR="00180A4B">
        <w:t xml:space="preserve">agree to </w:t>
      </w:r>
      <w:r w:rsidRPr="00957B29" w:rsidR="00934005">
        <w:t>participate in a conspiracy to m</w:t>
      </w:r>
      <w:r w:rsidRPr="00957B29" w:rsidR="00180A4B">
        <w:t>urder rival gang members</w:t>
      </w:r>
      <w:r w:rsidRPr="00957B29">
        <w:t>.</w:t>
      </w:r>
      <w:r w:rsidRPr="00957B29" w:rsidR="008875F2">
        <w:t xml:space="preserve"> </w:t>
      </w:r>
    </w:p>
    <w:p w:rsidR="00B52E4A" w:rsidRPr="00957B29" w:rsidP="00957B29">
      <w:pPr>
        <w:tabs>
          <w:tab w:val="left" w:pos="1440"/>
        </w:tabs>
        <w:ind w:firstLine="720"/>
      </w:pPr>
      <w:r>
        <w:t xml:space="preserve">We turn, then, to the </w:t>
      </w:r>
      <w:r w:rsidRPr="00957B29" w:rsidR="005F75C3">
        <w:t>evidence concern</w:t>
      </w:r>
      <w:r>
        <w:t>ing</w:t>
      </w:r>
      <w:r w:rsidRPr="00957B29" w:rsidR="005F75C3">
        <w:t xml:space="preserve"> </w:t>
      </w:r>
      <w:r w:rsidRPr="00957B29" w:rsidR="004D15CF">
        <w:t xml:space="preserve">the </w:t>
      </w:r>
      <w:r w:rsidRPr="00957B29" w:rsidR="0018393B">
        <w:t>August 27, 2013, shooting of Byreese Taylor</w:t>
      </w:r>
      <w:r w:rsidRPr="00957B29" w:rsidR="005F75C3">
        <w:t xml:space="preserve">.  The Attorney General argues this evidence offers </w:t>
      </w:r>
      <w:r w:rsidRPr="00957B29" w:rsidR="00384805">
        <w:t xml:space="preserve">a concrete </w:t>
      </w:r>
      <w:r w:rsidRPr="00957B29" w:rsidR="008015FB">
        <w:t>demonstration</w:t>
      </w:r>
      <w:r w:rsidRPr="00957B29" w:rsidR="00384805">
        <w:t xml:space="preserve"> of </w:t>
      </w:r>
      <w:r w:rsidRPr="00957B29" w:rsidR="000D2E55">
        <w:t xml:space="preserve">Hoskins’s </w:t>
      </w:r>
      <w:r w:rsidRPr="00957B29" w:rsidR="0063052A">
        <w:t xml:space="preserve">intent to play a part </w:t>
      </w:r>
      <w:r w:rsidRPr="00957B29" w:rsidR="000D2E55">
        <w:t xml:space="preserve">in </w:t>
      </w:r>
      <w:r w:rsidRPr="00957B29" w:rsidR="008C4E0F">
        <w:t xml:space="preserve">the </w:t>
      </w:r>
      <w:r w:rsidRPr="00957B29" w:rsidR="003F620F">
        <w:t xml:space="preserve">shooting </w:t>
      </w:r>
      <w:r w:rsidRPr="00957B29" w:rsidR="008C4E0F">
        <w:t xml:space="preserve">of </w:t>
      </w:r>
      <w:r w:rsidRPr="00957B29" w:rsidR="003F620F">
        <w:t xml:space="preserve">perceived rivals. </w:t>
      </w:r>
      <w:r w:rsidRPr="00957B29" w:rsidR="000766FB">
        <w:t xml:space="preserve"> </w:t>
      </w:r>
      <w:r w:rsidRPr="00957B29" w:rsidR="00C86D4E">
        <w:t>But here again</w:t>
      </w:r>
      <w:r w:rsidRPr="00957B29" w:rsidR="003F620F">
        <w:t xml:space="preserve">, the </w:t>
      </w:r>
      <w:r w:rsidRPr="00957B29" w:rsidR="0098148B">
        <w:t xml:space="preserve">record </w:t>
      </w:r>
      <w:r w:rsidRPr="00957B29" w:rsidR="003F620F">
        <w:t xml:space="preserve">does not support </w:t>
      </w:r>
      <w:r w:rsidRPr="00957B29" w:rsidR="006D1523">
        <w:t>this conclusion</w:t>
      </w:r>
      <w:r w:rsidRPr="00957B29" w:rsidR="00733EA4">
        <w:t xml:space="preserve">:  </w:t>
      </w:r>
      <w:r w:rsidRPr="00957B29" w:rsidR="007F2419">
        <w:t>T</w:t>
      </w:r>
      <w:r w:rsidRPr="00957B29" w:rsidR="0098148B">
        <w:t xml:space="preserve">he prosecution presented no substantial evidence from which a reasonable </w:t>
      </w:r>
      <w:r w:rsidR="000A5A84">
        <w:t>jury</w:t>
      </w:r>
      <w:r w:rsidRPr="00957B29" w:rsidR="000A5A84">
        <w:t xml:space="preserve"> </w:t>
      </w:r>
      <w:r w:rsidRPr="00957B29" w:rsidR="0098148B">
        <w:t xml:space="preserve">could </w:t>
      </w:r>
      <w:r w:rsidRPr="00957B29" w:rsidR="00FB2047">
        <w:t xml:space="preserve">find that </w:t>
      </w:r>
      <w:r w:rsidRPr="00957B29" w:rsidR="00FB4C5F">
        <w:t xml:space="preserve">Hoskins </w:t>
      </w:r>
      <w:r w:rsidRPr="00957B29">
        <w:t xml:space="preserve">intended to play any part </w:t>
      </w:r>
      <w:r w:rsidRPr="00957B29" w:rsidR="00C91FEA">
        <w:t xml:space="preserve">in the </w:t>
      </w:r>
      <w:r w:rsidRPr="00957B29" w:rsidR="00F9564F">
        <w:t>shooting of Byreese Taylor</w:t>
      </w:r>
      <w:r w:rsidRPr="00957B29">
        <w:t>.</w:t>
      </w:r>
      <w:r w:rsidRPr="00957B29" w:rsidR="00E13313">
        <w:t xml:space="preserve">  </w:t>
      </w:r>
    </w:p>
    <w:p w:rsidR="00477621" w:rsidRPr="00957B29" w:rsidP="00957B29">
      <w:pPr>
        <w:tabs>
          <w:tab w:val="left" w:pos="1440"/>
        </w:tabs>
        <w:ind w:firstLine="720"/>
      </w:pPr>
      <w:r w:rsidRPr="00957B29">
        <w:t>T</w:t>
      </w:r>
      <w:r w:rsidRPr="00957B29" w:rsidR="00E13313">
        <w:t>here was</w:t>
      </w:r>
      <w:r w:rsidRPr="00957B29">
        <w:t xml:space="preserve"> </w:t>
      </w:r>
      <w:r w:rsidRPr="00957B29" w:rsidR="00E13313">
        <w:t>no substantial evidence that Hoskins was a direct participant in the shooting</w:t>
      </w:r>
      <w:r w:rsidRPr="00957B29">
        <w:t>.  T</w:t>
      </w:r>
      <w:r w:rsidRPr="00957B29" w:rsidR="00E13313">
        <w:t>he evidence showed only that Hoskins and Hurst</w:t>
      </w:r>
      <w:r w:rsidR="00853EC3">
        <w:t> </w:t>
      </w:r>
      <w:r w:rsidR="00036E6F">
        <w:t xml:space="preserve">— who was arrested </w:t>
      </w:r>
      <w:r w:rsidR="00FD23C3">
        <w:t xml:space="preserve">for </w:t>
      </w:r>
      <w:r w:rsidR="00036E6F">
        <w:t xml:space="preserve">and convicted </w:t>
      </w:r>
      <w:r w:rsidR="00FD23C3">
        <w:t>of</w:t>
      </w:r>
      <w:r w:rsidR="00036E6F">
        <w:t xml:space="preserve"> the Taylor shooting</w:t>
      </w:r>
      <w:r w:rsidR="00853EC3">
        <w:t> </w:t>
      </w:r>
      <w:r w:rsidR="00036E6F">
        <w:t>—</w:t>
      </w:r>
      <w:r w:rsidRPr="00957B29" w:rsidR="00E13313">
        <w:t xml:space="preserve"> were longtime friends</w:t>
      </w:r>
      <w:r w:rsidR="00F073B8">
        <w:t>,</w:t>
      </w:r>
      <w:r w:rsidRPr="00957B29" w:rsidR="00E13313">
        <w:t xml:space="preserve"> and that Hoskins had </w:t>
      </w:r>
      <w:r w:rsidR="00BC37C4">
        <w:t>been</w:t>
      </w:r>
      <w:r w:rsidRPr="00957B29" w:rsidR="00BC37C4">
        <w:t xml:space="preserve"> </w:t>
      </w:r>
      <w:r w:rsidRPr="00957B29" w:rsidR="00E13313">
        <w:t>in the passenger seat of Hurst’s vehicle at some unspecified point in the past.</w:t>
      </w:r>
      <w:r w:rsidRPr="00957B29" w:rsidR="007F0927">
        <w:t xml:space="preserve">  The Court of Appeal in this case</w:t>
      </w:r>
      <w:r w:rsidRPr="00957B29" w:rsidR="00B26065">
        <w:t xml:space="preserve"> </w:t>
      </w:r>
      <w:r w:rsidRPr="00957B29" w:rsidR="003A36B2">
        <w:t xml:space="preserve">reasoned, </w:t>
      </w:r>
      <w:r w:rsidRPr="00957B29" w:rsidR="00B26065">
        <w:t>and the Attorney General</w:t>
      </w:r>
      <w:r w:rsidRPr="00957B29" w:rsidR="003A36B2">
        <w:t xml:space="preserve"> now </w:t>
      </w:r>
      <w:r w:rsidR="00B17453">
        <w:t>argues</w:t>
      </w:r>
      <w:r w:rsidRPr="00957B29" w:rsidR="003A36B2">
        <w:t xml:space="preserve">, that a jury could have reasonably inferred Hoskins’s </w:t>
      </w:r>
      <w:r w:rsidR="00A84B6F">
        <w:t xml:space="preserve">specific </w:t>
      </w:r>
      <w:r w:rsidRPr="00957B29" w:rsidR="003A36B2">
        <w:t>intent</w:t>
      </w:r>
      <w:r w:rsidRPr="00957B29" w:rsidR="00F71923">
        <w:t xml:space="preserve"> </w:t>
      </w:r>
      <w:r w:rsidR="00A84B6F">
        <w:t>based on</w:t>
      </w:r>
      <w:r w:rsidRPr="00957B29" w:rsidR="00F71923">
        <w:t xml:space="preserve"> a </w:t>
      </w:r>
      <w:r w:rsidRPr="00957B29" w:rsidR="007E36C7">
        <w:t>photograph, taken on the morning of the shooting</w:t>
      </w:r>
      <w:r w:rsidRPr="00957B29" w:rsidR="006962D6">
        <w:t xml:space="preserve"> and posted </w:t>
      </w:r>
      <w:r w:rsidRPr="00957B29" w:rsidR="00D94705">
        <w:t>later</w:t>
      </w:r>
      <w:r w:rsidRPr="00957B29" w:rsidR="006962D6">
        <w:t xml:space="preserve"> that day</w:t>
      </w:r>
      <w:r w:rsidRPr="00957B29" w:rsidR="007E36C7">
        <w:t>,</w:t>
      </w:r>
      <w:r w:rsidRPr="00957B29" w:rsidR="0042325E">
        <w:t xml:space="preserve"> showing</w:t>
      </w:r>
      <w:r w:rsidRPr="00957B29" w:rsidR="007E36C7">
        <w:t xml:space="preserve"> Hoskins and another </w:t>
      </w:r>
      <w:r w:rsidR="00A92A15">
        <w:t xml:space="preserve">5/9 </w:t>
      </w:r>
      <w:r w:rsidRPr="00957B29" w:rsidR="007E36C7">
        <w:t>Brim member standing in WCC territory</w:t>
      </w:r>
      <w:r w:rsidRPr="00957B29" w:rsidR="001A66B8">
        <w:t xml:space="preserve"> and making gang signs</w:t>
      </w:r>
      <w:r w:rsidRPr="00957B29" w:rsidR="007E36C7">
        <w:t>.  (</w:t>
      </w:r>
      <w:r w:rsidRPr="00957B29" w:rsidR="007E36C7">
        <w:rPr>
          <w:i/>
          <w:iCs/>
        </w:rPr>
        <w:t>Ware</w:t>
      </w:r>
      <w:r w:rsidRPr="00957B29" w:rsidR="007E36C7">
        <w:t xml:space="preserve">, </w:t>
      </w:r>
      <w:r w:rsidRPr="00957B29" w:rsidR="007E36C7">
        <w:rPr>
          <w:i/>
          <w:iCs/>
        </w:rPr>
        <w:t>supra</w:t>
      </w:r>
      <w:r w:rsidRPr="00957B29" w:rsidR="007E36C7">
        <w:t xml:space="preserve">, 52 Cal.App.5th at p. 942.)  </w:t>
      </w:r>
      <w:r w:rsidRPr="00957B29" w:rsidR="00155635">
        <w:t>The</w:t>
      </w:r>
      <w:r w:rsidRPr="00957B29" w:rsidR="00FF7DF7">
        <w:t xml:space="preserve"> Court of Appeal</w:t>
      </w:r>
      <w:r w:rsidRPr="00957B29" w:rsidR="00155635">
        <w:t xml:space="preserve"> </w:t>
      </w:r>
      <w:r w:rsidRPr="00957B29" w:rsidR="00544A57">
        <w:t>considered it reasonable to infer</w:t>
      </w:r>
      <w:r w:rsidRPr="00957B29" w:rsidR="002E5C33">
        <w:t xml:space="preserve"> from </w:t>
      </w:r>
      <w:r w:rsidRPr="00957B29" w:rsidR="003E3FE1">
        <w:t>the photograph that Hoskins “knew of the shooting set to occur that evening.”  (</w:t>
      </w:r>
      <w:r w:rsidRPr="00957B29" w:rsidR="003E3FE1">
        <w:rPr>
          <w:i/>
          <w:iCs/>
        </w:rPr>
        <w:t>Ibid.</w:t>
      </w:r>
      <w:r w:rsidRPr="00957B29" w:rsidR="003E3FE1">
        <w:t xml:space="preserve">)  </w:t>
      </w:r>
      <w:r w:rsidRPr="00957B29" w:rsidR="00663510">
        <w:t>T</w:t>
      </w:r>
      <w:r w:rsidRPr="00957B29" w:rsidR="0004399F">
        <w:t>he Attorney General</w:t>
      </w:r>
      <w:r w:rsidRPr="00957B29" w:rsidR="00147314">
        <w:t xml:space="preserve">, for his part, argues </w:t>
      </w:r>
      <w:r w:rsidRPr="00957B29" w:rsidR="002B7655">
        <w:t xml:space="preserve">the photograph is </w:t>
      </w:r>
      <w:r w:rsidRPr="00957B29" w:rsidR="00184D01">
        <w:t>probative of Hoskins</w:t>
      </w:r>
      <w:r w:rsidRPr="00957B29" w:rsidR="001E1A04">
        <w:t>’s</w:t>
      </w:r>
      <w:r w:rsidRPr="00957B29" w:rsidR="00184D01">
        <w:t xml:space="preserve"> intent because </w:t>
      </w:r>
      <w:r w:rsidR="00506F0B">
        <w:t>it</w:t>
      </w:r>
      <w:r w:rsidRPr="00957B29" w:rsidR="00E4198B">
        <w:t xml:space="preserve"> was </w:t>
      </w:r>
      <w:r w:rsidR="00506F0B">
        <w:t>meant</w:t>
      </w:r>
      <w:r w:rsidRPr="00957B29" w:rsidR="00506F0B">
        <w:t xml:space="preserve"> </w:t>
      </w:r>
      <w:r w:rsidRPr="00957B29" w:rsidR="00E4198B">
        <w:t xml:space="preserve">to lure victims for the </w:t>
      </w:r>
      <w:r w:rsidR="002D7313">
        <w:t xml:space="preserve">upcoming </w:t>
      </w:r>
      <w:r w:rsidRPr="00957B29" w:rsidR="00E4198B">
        <w:t xml:space="preserve">shooting.  As the Attorney General </w:t>
      </w:r>
      <w:r w:rsidRPr="00957B29" w:rsidR="001048A1">
        <w:t>interprets</w:t>
      </w:r>
      <w:r w:rsidRPr="00957B29" w:rsidR="00E4198B">
        <w:t xml:space="preserve"> the photograph, Hoskins and his alleged coconspirator were </w:t>
      </w:r>
      <w:r w:rsidRPr="00957B29" w:rsidR="00BF5068">
        <w:t>trying to show</w:t>
      </w:r>
      <w:r w:rsidRPr="00957B29" w:rsidR="00E4198B">
        <w:t xml:space="preserve"> that they were </w:t>
      </w:r>
      <w:r w:rsidRPr="00957B29" w:rsidR="00B60701">
        <w:t xml:space="preserve">“not afraid to go into their rival gang members’ territory” and </w:t>
      </w:r>
      <w:r w:rsidRPr="00957B29" w:rsidR="00C6742C">
        <w:t>“</w:t>
      </w:r>
      <w:r w:rsidRPr="00957B29" w:rsidR="0056436D">
        <w:t>call</w:t>
      </w:r>
      <w:r w:rsidRPr="00957B29" w:rsidR="00C6742C">
        <w:t>[]</w:t>
      </w:r>
      <w:r w:rsidRPr="00957B29" w:rsidR="0056436D">
        <w:t xml:space="preserve"> out</w:t>
      </w:r>
      <w:r w:rsidRPr="00957B29" w:rsidR="005614B8">
        <w:t xml:space="preserve"> to</w:t>
      </w:r>
      <w:r w:rsidRPr="00957B29" w:rsidR="0056436D">
        <w:t xml:space="preserve"> rival Crips to come defend their territory and give the Hit Squad members an opportunity to shoot them.” </w:t>
      </w:r>
    </w:p>
    <w:p w:rsidR="00511801" w:rsidRPr="00957B29" w:rsidP="00957B29">
      <w:pPr>
        <w:tabs>
          <w:tab w:val="left" w:pos="1440"/>
        </w:tabs>
        <w:ind w:firstLine="720"/>
      </w:pPr>
      <w:r>
        <w:t xml:space="preserve">The </w:t>
      </w:r>
      <w:r w:rsidR="00B17453">
        <w:t xml:space="preserve">photograph </w:t>
      </w:r>
      <w:r w:rsidR="00456F94">
        <w:t xml:space="preserve">in question </w:t>
      </w:r>
      <w:r>
        <w:t>could not reasonably have supported such an inference</w:t>
      </w:r>
      <w:r w:rsidRPr="00957B29" w:rsidR="00477621">
        <w:t xml:space="preserve">.  </w:t>
      </w:r>
      <w:r w:rsidR="00456F94">
        <w:t>It</w:t>
      </w:r>
      <w:r w:rsidR="007545CA">
        <w:t xml:space="preserve"> </w:t>
      </w:r>
      <w:r w:rsidRPr="00957B29" w:rsidR="00477621">
        <w:t>was taken</w:t>
      </w:r>
      <w:r w:rsidRPr="00957B29" w:rsidR="00C45F5B">
        <w:t xml:space="preserve"> </w:t>
      </w:r>
      <w:r w:rsidRPr="00957B29" w:rsidR="00477621">
        <w:t xml:space="preserve">seven hours before the shooting and in a location more than a mile away.  </w:t>
      </w:r>
      <w:r w:rsidRPr="00957B29" w:rsidR="004A5F5C">
        <w:t xml:space="preserve">Nothing </w:t>
      </w:r>
      <w:r w:rsidRPr="00957B29" w:rsidR="00477621">
        <w:t>about the photograph</w:t>
      </w:r>
      <w:r w:rsidRPr="00957B29" w:rsidR="004A5F5C">
        <w:t xml:space="preserve"> </w:t>
      </w:r>
      <w:r w:rsidRPr="00957B29" w:rsidR="00477621">
        <w:t xml:space="preserve">tends to </w:t>
      </w:r>
      <w:r w:rsidRPr="00957B29" w:rsidR="00A777C4">
        <w:t>establish</w:t>
      </w:r>
      <w:r w:rsidRPr="00957B29" w:rsidR="00477621">
        <w:t xml:space="preserve"> that Hoskins </w:t>
      </w:r>
      <w:r w:rsidRPr="00957B29" w:rsidR="00AC31BB">
        <w:t xml:space="preserve">or his alleged coconspirator </w:t>
      </w:r>
      <w:r w:rsidRPr="00957B29" w:rsidR="00477621">
        <w:t>was aware of</w:t>
      </w:r>
      <w:r w:rsidRPr="00957B29" w:rsidR="00AC31BB">
        <w:t xml:space="preserve"> </w:t>
      </w:r>
      <w:r w:rsidRPr="00957B29" w:rsidR="00CB6530">
        <w:t xml:space="preserve">the </w:t>
      </w:r>
      <w:r w:rsidRPr="00957B29" w:rsidR="00D53143">
        <w:t>shooting in advance</w:t>
      </w:r>
      <w:r w:rsidRPr="00957B29" w:rsidR="00477621">
        <w:t>.</w:t>
      </w:r>
      <w:r w:rsidR="00405A63">
        <w:t xml:space="preserve">  </w:t>
      </w:r>
      <w:r w:rsidRPr="00957B29" w:rsidR="007D46F0">
        <w:t xml:space="preserve">And </w:t>
      </w:r>
      <w:r w:rsidRPr="00957B29" w:rsidR="00F44104">
        <w:t>the Attorney General’s argument</w:t>
      </w:r>
      <w:r w:rsidRPr="00957B29" w:rsidR="0012549F">
        <w:t xml:space="preserve"> about the probative value of the photograph</w:t>
      </w:r>
      <w:r w:rsidRPr="00957B29" w:rsidR="00E01506">
        <w:t xml:space="preserve"> is</w:t>
      </w:r>
      <w:r w:rsidRPr="00957B29" w:rsidR="00F44104">
        <w:t xml:space="preserve"> </w:t>
      </w:r>
      <w:r w:rsidRPr="00957B29" w:rsidR="005C071E">
        <w:t>highly speculative</w:t>
      </w:r>
      <w:r w:rsidRPr="00957B29" w:rsidR="001F7D70">
        <w:t>, requiring a number of inferential leaps</w:t>
      </w:r>
      <w:r w:rsidRPr="00957B29" w:rsidR="0020078B">
        <w:t> </w:t>
      </w:r>
      <w:r w:rsidRPr="00957B29" w:rsidR="000038B7">
        <w:t xml:space="preserve">— starting from the gang expert’s </w:t>
      </w:r>
      <w:r w:rsidRPr="00957B29" w:rsidR="00E970F3">
        <w:t xml:space="preserve">acknowledgement </w:t>
      </w:r>
      <w:r w:rsidRPr="00957B29" w:rsidR="000038B7">
        <w:t xml:space="preserve">that “disrespect often require[s] retaliation” to </w:t>
      </w:r>
      <w:r w:rsidRPr="00957B29" w:rsidR="005D72A1">
        <w:t xml:space="preserve">an </w:t>
      </w:r>
      <w:r w:rsidRPr="00957B29" w:rsidR="000038B7">
        <w:t>alleged plot to lure rival</w:t>
      </w:r>
      <w:r w:rsidRPr="00957B29" w:rsidR="00F75DA4">
        <w:t>s</w:t>
      </w:r>
      <w:r w:rsidRPr="00957B29" w:rsidR="00D6565E">
        <w:t xml:space="preserve">, </w:t>
      </w:r>
      <w:r w:rsidRPr="00957B29" w:rsidR="00251792">
        <w:t>using</w:t>
      </w:r>
      <w:r w:rsidRPr="00957B29" w:rsidR="00D6565E">
        <w:t xml:space="preserve"> social media,</w:t>
      </w:r>
      <w:r w:rsidRPr="00957B29" w:rsidR="00F75DA4">
        <w:t xml:space="preserve"> </w:t>
      </w:r>
      <w:r w:rsidRPr="00957B29" w:rsidR="000038B7">
        <w:t>to a place where they would be murdered</w:t>
      </w:r>
      <w:r w:rsidRPr="00957B29" w:rsidR="00E95D16">
        <w:t xml:space="preserve"> — </w:t>
      </w:r>
      <w:r w:rsidRPr="00957B29" w:rsidR="000038B7">
        <w:t xml:space="preserve">to reach the conclusion </w:t>
      </w:r>
      <w:r w:rsidRPr="00957B29" w:rsidR="001F7D70">
        <w:t>that the photo</w:t>
      </w:r>
      <w:r w:rsidRPr="00957B29" w:rsidR="000218EC">
        <w:t>graph</w:t>
      </w:r>
      <w:r w:rsidRPr="00957B29" w:rsidR="001F7D70">
        <w:t xml:space="preserve"> was part of a conspiracy to murder rival</w:t>
      </w:r>
      <w:r w:rsidR="002C37DC">
        <w:t xml:space="preserve">s </w:t>
      </w:r>
      <w:r w:rsidR="00902B43">
        <w:t xml:space="preserve">by </w:t>
      </w:r>
      <w:r w:rsidR="00BC6DAD">
        <w:t xml:space="preserve">leading </w:t>
      </w:r>
      <w:r w:rsidR="00902B43">
        <w:t>them into an ambush</w:t>
      </w:r>
      <w:r w:rsidRPr="00957B29" w:rsidR="001F7D70">
        <w:t xml:space="preserve">. </w:t>
      </w:r>
      <w:r w:rsidRPr="00957B29" w:rsidR="00FC6EF2">
        <w:t xml:space="preserve"> </w:t>
      </w:r>
      <w:r w:rsidR="00B17453">
        <w:t>The prosecution’s gang expert did not testify, based on his experience and expertise, that a photograph of this sort</w:t>
      </w:r>
      <w:r w:rsidR="002C0643">
        <w:t xml:space="preserve"> might play the role of bait</w:t>
      </w:r>
      <w:r w:rsidR="00B17453">
        <w:t xml:space="preserve">.  </w:t>
      </w:r>
      <w:r w:rsidR="002C2634">
        <w:t>As a result, t</w:t>
      </w:r>
      <w:r w:rsidR="00B17453">
        <w:t xml:space="preserve">he jury would have had no substantial basis to conclude </w:t>
      </w:r>
      <w:r w:rsidR="008354FB">
        <w:t>the photograph was intended to lure rival gang members to a location where they would be killed.</w:t>
      </w:r>
    </w:p>
    <w:p w:rsidR="00361293" w:rsidRPr="00957B29" w:rsidP="00957B29">
      <w:pPr>
        <w:tabs>
          <w:tab w:val="left" w:pos="1440"/>
        </w:tabs>
        <w:ind w:firstLine="720"/>
        <w:rPr>
          <w:szCs w:val="26"/>
        </w:rPr>
      </w:pPr>
      <w:r w:rsidRPr="00957B29">
        <w:t>E</w:t>
      </w:r>
      <w:r w:rsidRPr="00957B29" w:rsidR="00CA4190">
        <w:t xml:space="preserve">ven if the </w:t>
      </w:r>
      <w:r w:rsidRPr="00957B29" w:rsidR="006D6288">
        <w:t>prosecution</w:t>
      </w:r>
      <w:r w:rsidRPr="00957B29" w:rsidR="00BA649D">
        <w:t xml:space="preserve"> </w:t>
      </w:r>
      <w:r w:rsidRPr="00957B29" w:rsidR="005C66CE">
        <w:t xml:space="preserve">had </w:t>
      </w:r>
      <w:r w:rsidRPr="00957B29" w:rsidR="006D6288">
        <w:t xml:space="preserve">shown </w:t>
      </w:r>
      <w:r w:rsidRPr="00957B29" w:rsidR="00CA4190">
        <w:t xml:space="preserve">that </w:t>
      </w:r>
      <w:r w:rsidRPr="00957B29" w:rsidR="005C66CE">
        <w:t xml:space="preserve">posting the photograph constituted more than mere posturing, </w:t>
      </w:r>
      <w:r w:rsidR="00EE5B30">
        <w:t>and</w:t>
      </w:r>
      <w:r w:rsidRPr="00957B29" w:rsidR="00EE5B30">
        <w:t xml:space="preserve"> </w:t>
      </w:r>
      <w:r w:rsidRPr="00957B29" w:rsidR="005C66CE">
        <w:t xml:space="preserve">was instead calculated to provoke a prompt in-person response, </w:t>
      </w:r>
      <w:r w:rsidRPr="00957B29" w:rsidR="00CA4190">
        <w:t xml:space="preserve">the </w:t>
      </w:r>
      <w:r w:rsidRPr="00957B29" w:rsidR="00CC785E">
        <w:t>prosecution</w:t>
      </w:r>
      <w:r w:rsidRPr="00957B29" w:rsidR="00BA1DD5">
        <w:t xml:space="preserve"> </w:t>
      </w:r>
      <w:r w:rsidR="00746933">
        <w:t xml:space="preserve">also </w:t>
      </w:r>
      <w:r w:rsidRPr="00957B29" w:rsidR="00CA4190">
        <w:t xml:space="preserve">failed to </w:t>
      </w:r>
      <w:r w:rsidR="00F949BC">
        <w:t xml:space="preserve">introduce evidence sufficient to demonstrate </w:t>
      </w:r>
      <w:r w:rsidR="00D17A64">
        <w:t>beyond a reasonable doubt</w:t>
      </w:r>
      <w:r w:rsidRPr="00957B29" w:rsidR="00CA4190">
        <w:t xml:space="preserve"> that </w:t>
      </w:r>
      <w:r w:rsidR="00F949BC">
        <w:t xml:space="preserve">the photograph </w:t>
      </w:r>
      <w:r w:rsidRPr="00957B29" w:rsidR="00D976EA">
        <w:t xml:space="preserve">was </w:t>
      </w:r>
      <w:r w:rsidRPr="00957B29" w:rsidR="00A96F35">
        <w:t>intended</w:t>
      </w:r>
      <w:r w:rsidRPr="00957B29" w:rsidR="00D976EA">
        <w:t xml:space="preserve"> </w:t>
      </w:r>
      <w:r w:rsidRPr="00957B29" w:rsidR="00CA4190">
        <w:t xml:space="preserve">to </w:t>
      </w:r>
      <w:r w:rsidR="000A6ACA">
        <w:t>lead to</w:t>
      </w:r>
      <w:r w:rsidRPr="00957B29" w:rsidR="00CA4190">
        <w:t xml:space="preserve"> a deadly ambush</w:t>
      </w:r>
      <w:r w:rsidRPr="00957B29" w:rsidR="00A62C69">
        <w:t>, as opposed</w:t>
      </w:r>
      <w:r w:rsidRPr="00957B29" w:rsidR="00D909BE">
        <w:t xml:space="preserve"> to</w:t>
      </w:r>
      <w:r w:rsidRPr="00957B29" w:rsidR="00A62C69">
        <w:t xml:space="preserve"> </w:t>
      </w:r>
      <w:r w:rsidRPr="00957B29" w:rsidR="00D976EA">
        <w:t>any other form of confrontation</w:t>
      </w:r>
      <w:r w:rsidRPr="00957B29" w:rsidR="00CA4190">
        <w:t xml:space="preserve">. </w:t>
      </w:r>
      <w:r w:rsidRPr="00957B29" w:rsidR="00250D20">
        <w:t xml:space="preserve"> </w:t>
      </w:r>
      <w:r w:rsidRPr="00957B29" w:rsidR="00D709D4">
        <w:t xml:space="preserve">Nor does the theory seem plausible in light of the evidence of how the Taylor shooting in fact occurred.  </w:t>
      </w:r>
      <w:r w:rsidRPr="00957B29" w:rsidR="00D92E69">
        <w:rPr>
          <w:szCs w:val="26"/>
        </w:rPr>
        <w:t xml:space="preserve">The evidence shows that on August 27, 2013, </w:t>
      </w:r>
      <w:r w:rsidR="00011134">
        <w:rPr>
          <w:szCs w:val="26"/>
        </w:rPr>
        <w:t xml:space="preserve">5/9 </w:t>
      </w:r>
      <w:r w:rsidRPr="00957B29" w:rsidR="00CF275D">
        <w:rPr>
          <w:szCs w:val="26"/>
        </w:rPr>
        <w:t xml:space="preserve">Brim members were not waiting to ambush rival gang members after luring them to a location where they would be murdered.  Instead, </w:t>
      </w:r>
      <w:r w:rsidRPr="00957B29" w:rsidR="0019686A">
        <w:rPr>
          <w:szCs w:val="26"/>
        </w:rPr>
        <w:t>Hurst and others drove into a different part of rival territor</w:t>
      </w:r>
      <w:r w:rsidRPr="00957B29" w:rsidR="00077F6A">
        <w:rPr>
          <w:szCs w:val="26"/>
        </w:rPr>
        <w:t>y</w:t>
      </w:r>
      <w:r w:rsidRPr="00957B29" w:rsidR="0019686A">
        <w:rPr>
          <w:szCs w:val="26"/>
        </w:rPr>
        <w:t xml:space="preserve"> searching for someone to sho</w:t>
      </w:r>
      <w:r w:rsidRPr="00957B29" w:rsidR="00BA1DD5">
        <w:rPr>
          <w:szCs w:val="26"/>
        </w:rPr>
        <w:t>o</w:t>
      </w:r>
      <w:r w:rsidRPr="00957B29" w:rsidR="0019686A">
        <w:rPr>
          <w:szCs w:val="26"/>
        </w:rPr>
        <w:t xml:space="preserve">t, and when no one clearly </w:t>
      </w:r>
      <w:r w:rsidRPr="00957B29" w:rsidR="00CF275D">
        <w:rPr>
          <w:szCs w:val="26"/>
        </w:rPr>
        <w:t>announced themselves as a rival (</w:t>
      </w:r>
      <w:r w:rsidR="00F10896">
        <w:rPr>
          <w:szCs w:val="26"/>
        </w:rPr>
        <w:t>let alone</w:t>
      </w:r>
      <w:r w:rsidRPr="00957B29" w:rsidR="00F10896">
        <w:rPr>
          <w:szCs w:val="26"/>
        </w:rPr>
        <w:t xml:space="preserve"> </w:t>
      </w:r>
      <w:r w:rsidRPr="00957B29" w:rsidR="00CF275D">
        <w:rPr>
          <w:szCs w:val="26"/>
        </w:rPr>
        <w:t xml:space="preserve">sought to defend their territory), </w:t>
      </w:r>
      <w:r w:rsidRPr="00957B29" w:rsidR="0019686A">
        <w:rPr>
          <w:szCs w:val="26"/>
        </w:rPr>
        <w:t xml:space="preserve">they </w:t>
      </w:r>
      <w:r w:rsidRPr="00957B29" w:rsidR="00CF275D">
        <w:rPr>
          <w:szCs w:val="26"/>
        </w:rPr>
        <w:t xml:space="preserve">accidentally </w:t>
      </w:r>
      <w:r w:rsidRPr="00957B29" w:rsidR="0019686A">
        <w:rPr>
          <w:szCs w:val="26"/>
        </w:rPr>
        <w:t>shot</w:t>
      </w:r>
      <w:r w:rsidRPr="00957B29" w:rsidR="00CF275D">
        <w:rPr>
          <w:szCs w:val="26"/>
        </w:rPr>
        <w:t xml:space="preserve"> a nonrival.  </w:t>
      </w:r>
      <w:r w:rsidRPr="00957B29" w:rsidR="00D92E69">
        <w:rPr>
          <w:szCs w:val="26"/>
        </w:rPr>
        <w:t>The fact that no rival</w:t>
      </w:r>
      <w:r w:rsidRPr="00957B29" w:rsidR="00D13091">
        <w:rPr>
          <w:szCs w:val="26"/>
        </w:rPr>
        <w:t xml:space="preserve"> gang member</w:t>
      </w:r>
      <w:r w:rsidRPr="00957B29" w:rsidR="00D92E69">
        <w:rPr>
          <w:szCs w:val="26"/>
        </w:rPr>
        <w:t xml:space="preserve"> was actually lured into a fight to defend </w:t>
      </w:r>
      <w:r w:rsidR="00C2474F">
        <w:rPr>
          <w:szCs w:val="26"/>
        </w:rPr>
        <w:t>the gang’s</w:t>
      </w:r>
      <w:r w:rsidRPr="00957B29" w:rsidR="004E1EC9">
        <w:rPr>
          <w:szCs w:val="26"/>
        </w:rPr>
        <w:t xml:space="preserve"> </w:t>
      </w:r>
      <w:r w:rsidRPr="00957B29" w:rsidR="00D92E69">
        <w:rPr>
          <w:szCs w:val="26"/>
        </w:rPr>
        <w:t xml:space="preserve">territory on August 27 </w:t>
      </w:r>
      <w:r w:rsidRPr="00957B29" w:rsidR="004E1EC9">
        <w:rPr>
          <w:szCs w:val="26"/>
        </w:rPr>
        <w:t xml:space="preserve">tends to undermine </w:t>
      </w:r>
      <w:r w:rsidRPr="00957B29" w:rsidR="00D92E69">
        <w:rPr>
          <w:szCs w:val="26"/>
        </w:rPr>
        <w:t xml:space="preserve">the </w:t>
      </w:r>
      <w:r w:rsidRPr="00957B29" w:rsidR="00BA1DD5">
        <w:rPr>
          <w:szCs w:val="26"/>
        </w:rPr>
        <w:t xml:space="preserve">Attorney General’s </w:t>
      </w:r>
      <w:r w:rsidR="001E1843">
        <w:rPr>
          <w:szCs w:val="26"/>
        </w:rPr>
        <w:t>argument that any such inference could reasonably be drawn from the photograph</w:t>
      </w:r>
      <w:r w:rsidRPr="00957B29" w:rsidR="00D92E69">
        <w:rPr>
          <w:szCs w:val="26"/>
        </w:rPr>
        <w:t xml:space="preserve">.  </w:t>
      </w:r>
      <w:r w:rsidRPr="00957B29" w:rsidR="004E1EC9">
        <w:rPr>
          <w:szCs w:val="26"/>
        </w:rPr>
        <w:t>And i</w:t>
      </w:r>
      <w:r w:rsidRPr="00957B29" w:rsidR="00D92E69">
        <w:rPr>
          <w:szCs w:val="26"/>
        </w:rPr>
        <w:t xml:space="preserve">ndeed, despite </w:t>
      </w:r>
      <w:r w:rsidRPr="00957B29" w:rsidR="00276123">
        <w:rPr>
          <w:szCs w:val="26"/>
        </w:rPr>
        <w:t xml:space="preserve">the </w:t>
      </w:r>
      <w:r w:rsidRPr="00957B29" w:rsidR="00D54FCD">
        <w:rPr>
          <w:szCs w:val="26"/>
        </w:rPr>
        <w:t xml:space="preserve">considerable volume </w:t>
      </w:r>
      <w:r w:rsidRPr="00957B29" w:rsidR="00D92E69">
        <w:rPr>
          <w:szCs w:val="26"/>
        </w:rPr>
        <w:t xml:space="preserve">of evidence introduced </w:t>
      </w:r>
      <w:r w:rsidRPr="00957B29" w:rsidR="0086028D">
        <w:rPr>
          <w:szCs w:val="26"/>
        </w:rPr>
        <w:t>at trial about the activities of Brim members</w:t>
      </w:r>
      <w:r w:rsidRPr="00957B29" w:rsidR="00E3556B">
        <w:rPr>
          <w:szCs w:val="26"/>
        </w:rPr>
        <w:t xml:space="preserve"> over the two-year period of the charged conspiracy</w:t>
      </w:r>
      <w:r w:rsidRPr="00957B29" w:rsidR="00D92E69">
        <w:rPr>
          <w:szCs w:val="26"/>
        </w:rPr>
        <w:t xml:space="preserve">, the </w:t>
      </w:r>
      <w:r w:rsidRPr="00957B29" w:rsidR="00EF54D4">
        <w:rPr>
          <w:szCs w:val="26"/>
        </w:rPr>
        <w:t>prosecution</w:t>
      </w:r>
      <w:r w:rsidRPr="00957B29" w:rsidR="00DD052E">
        <w:rPr>
          <w:szCs w:val="26"/>
        </w:rPr>
        <w:t xml:space="preserve"> </w:t>
      </w:r>
      <w:r w:rsidRPr="00957B29" w:rsidR="000F0AAC">
        <w:rPr>
          <w:szCs w:val="26"/>
        </w:rPr>
        <w:t xml:space="preserve">identifies no other instance where </w:t>
      </w:r>
      <w:r w:rsidRPr="00957B29" w:rsidR="00FD0312">
        <w:rPr>
          <w:szCs w:val="26"/>
        </w:rPr>
        <w:t xml:space="preserve">Brims employed </w:t>
      </w:r>
      <w:r w:rsidRPr="00957B29" w:rsidR="000F0AAC">
        <w:rPr>
          <w:szCs w:val="26"/>
        </w:rPr>
        <w:t>such a strategy</w:t>
      </w:r>
      <w:r w:rsidRPr="00957B29" w:rsidR="00D92E69">
        <w:rPr>
          <w:szCs w:val="26"/>
        </w:rPr>
        <w:t>.</w:t>
      </w:r>
      <w:r w:rsidRPr="00957B29">
        <w:rPr>
          <w:szCs w:val="26"/>
        </w:rPr>
        <w:t xml:space="preserve"> </w:t>
      </w:r>
      <w:r w:rsidRPr="00957B29" w:rsidR="00FB3116">
        <w:rPr>
          <w:szCs w:val="26"/>
        </w:rPr>
        <w:t xml:space="preserve"> </w:t>
      </w:r>
    </w:p>
    <w:p w:rsidR="00776EC7" w:rsidRPr="00957B29" w:rsidP="00957B29">
      <w:pPr>
        <w:tabs>
          <w:tab w:val="left" w:pos="1440"/>
        </w:tabs>
        <w:ind w:firstLine="720"/>
      </w:pPr>
      <w:r w:rsidRPr="00957B29">
        <w:t>The evidence of Hoskins’s role after the August 27</w:t>
      </w:r>
      <w:r w:rsidR="00723E3C">
        <w:t xml:space="preserve"> </w:t>
      </w:r>
      <w:r w:rsidRPr="00957B29">
        <w:t xml:space="preserve">shooting does not </w:t>
      </w:r>
      <w:r w:rsidRPr="00957B29" w:rsidR="001238F2">
        <w:t xml:space="preserve">alter </w:t>
      </w:r>
      <w:r w:rsidRPr="00957B29" w:rsidR="00A630EA">
        <w:t>this conclusion</w:t>
      </w:r>
      <w:r w:rsidRPr="00957B29">
        <w:t xml:space="preserve">.  </w:t>
      </w:r>
      <w:r w:rsidRPr="00957B29" w:rsidR="00CE79FA">
        <w:t>While Hoskins engaged in extensive online conversations with others about the shooting</w:t>
      </w:r>
      <w:r w:rsidRPr="00957B29" w:rsidR="007E2B14">
        <w:t xml:space="preserve"> and Hurst’s arrest</w:t>
      </w:r>
      <w:r w:rsidRPr="00957B29" w:rsidR="00CE79FA">
        <w:t xml:space="preserve">, none of those </w:t>
      </w:r>
      <w:r w:rsidRPr="00957B29" w:rsidR="001802B0">
        <w:t xml:space="preserve">conversations </w:t>
      </w:r>
      <w:r w:rsidRPr="00957B29" w:rsidR="00CE79FA">
        <w:t xml:space="preserve">indicated Hoskins knew of the shooting before it happened or played any role in the </w:t>
      </w:r>
      <w:r w:rsidRPr="00957B29" w:rsidR="00AD2876">
        <w:t xml:space="preserve">actual </w:t>
      </w:r>
      <w:r w:rsidRPr="00957B29" w:rsidR="00CE79FA">
        <w:t xml:space="preserve">event.  </w:t>
      </w:r>
      <w:r w:rsidRPr="00957B29" w:rsidR="001A32A6">
        <w:t>To be sure, t</w:t>
      </w:r>
      <w:r w:rsidRPr="00957B29" w:rsidR="00DF451C">
        <w:t xml:space="preserve">he evidence </w:t>
      </w:r>
      <w:r w:rsidRPr="00957B29" w:rsidR="001A32A6">
        <w:t>show</w:t>
      </w:r>
      <w:r w:rsidRPr="00957B29" w:rsidR="00767CFE">
        <w:t>ed</w:t>
      </w:r>
      <w:r w:rsidRPr="00957B29" w:rsidR="001A32A6">
        <w:t xml:space="preserve"> </w:t>
      </w:r>
      <w:r w:rsidRPr="00957B29" w:rsidR="00DF451C">
        <w:t xml:space="preserve">that </w:t>
      </w:r>
      <w:r w:rsidRPr="00957B29" w:rsidR="00B12993">
        <w:t xml:space="preserve">Hoskins collaborated with </w:t>
      </w:r>
      <w:r w:rsidRPr="00957B29" w:rsidR="00E12D70">
        <w:t>Hurst’s girlfriend</w:t>
      </w:r>
      <w:r w:rsidRPr="00957B29" w:rsidR="00B12993">
        <w:t xml:space="preserve"> </w:t>
      </w:r>
      <w:r w:rsidRPr="00957B29" w:rsidR="00E12D70">
        <w:t>to pressure Taylor not to testify</w:t>
      </w:r>
      <w:r w:rsidRPr="00957B29" w:rsidR="00B12993">
        <w:t xml:space="preserve"> against Hurst</w:t>
      </w:r>
      <w:r w:rsidRPr="00957B29" w:rsidR="00A802E7">
        <w:t>, and h</w:t>
      </w:r>
      <w:r w:rsidRPr="00957B29" w:rsidR="00E12D70">
        <w:t>is</w:t>
      </w:r>
      <w:r w:rsidRPr="00957B29" w:rsidR="0035018F">
        <w:t xml:space="preserve"> message</w:t>
      </w:r>
      <w:r w:rsidRPr="00957B29" w:rsidR="00A802E7">
        <w:t>s</w:t>
      </w:r>
      <w:r w:rsidRPr="00957B29" w:rsidR="00E12D70">
        <w:t xml:space="preserve"> </w:t>
      </w:r>
      <w:r w:rsidRPr="00957B29" w:rsidR="00A802E7">
        <w:t>to</w:t>
      </w:r>
      <w:r w:rsidRPr="00957B29" w:rsidR="00E12D70">
        <w:t xml:space="preserve"> Taylor </w:t>
      </w:r>
      <w:r w:rsidRPr="00957B29" w:rsidR="00A802E7">
        <w:t xml:space="preserve">were </w:t>
      </w:r>
      <w:r w:rsidRPr="00957B29" w:rsidR="00E12D70">
        <w:t xml:space="preserve">full of implicit threats.  </w:t>
      </w:r>
      <w:r w:rsidRPr="00957B29" w:rsidR="00F17AD8">
        <w:t>But as a whole,</w:t>
      </w:r>
      <w:r w:rsidRPr="00957B29" w:rsidR="00E12D70">
        <w:t xml:space="preserve"> the conversation </w:t>
      </w:r>
      <w:r w:rsidRPr="00957B29" w:rsidR="00F17AD8">
        <w:t>demonstrates</w:t>
      </w:r>
      <w:r w:rsidRPr="00957B29" w:rsidR="001F5E2E">
        <w:t xml:space="preserve"> only that</w:t>
      </w:r>
      <w:r w:rsidRPr="00957B29" w:rsidR="00E12D70">
        <w:t xml:space="preserve"> Hoskins was </w:t>
      </w:r>
      <w:r w:rsidRPr="00957B29" w:rsidR="00767CFE">
        <w:t xml:space="preserve">worried about </w:t>
      </w:r>
      <w:r w:rsidRPr="00957B29" w:rsidR="00F53B42">
        <w:t>his childhood friend</w:t>
      </w:r>
      <w:r w:rsidRPr="00957B29" w:rsidR="00146BE3">
        <w:t xml:space="preserve"> and was </w:t>
      </w:r>
      <w:r w:rsidRPr="00957B29" w:rsidR="00E12D70">
        <w:t xml:space="preserve">planning to share paperwork suggesting </w:t>
      </w:r>
      <w:r w:rsidRPr="00957B29" w:rsidR="001F5E2E">
        <w:t xml:space="preserve">that </w:t>
      </w:r>
      <w:r w:rsidRPr="00957B29" w:rsidR="00E12D70">
        <w:t>Taylor was</w:t>
      </w:r>
      <w:r w:rsidRPr="00957B29" w:rsidR="001F5E2E">
        <w:t xml:space="preserve"> “snitching</w:t>
      </w:r>
      <w:r w:rsidRPr="00957B29" w:rsidR="00176864">
        <w:t>.</w:t>
      </w:r>
      <w:r w:rsidRPr="00957B29" w:rsidR="001F5E2E">
        <w:t xml:space="preserve">” </w:t>
      </w:r>
      <w:r w:rsidRPr="00957B29" w:rsidR="00301F44">
        <w:t xml:space="preserve"> </w:t>
      </w:r>
      <w:r w:rsidRPr="00957B29" w:rsidR="001F5E2E">
        <w:t>T</w:t>
      </w:r>
      <w:r w:rsidRPr="00957B29" w:rsidR="00E12D70">
        <w:t xml:space="preserve">he prosecution never presented evidence that Hoskins or </w:t>
      </w:r>
      <w:r w:rsidRPr="00957B29" w:rsidR="00606E4C">
        <w:t xml:space="preserve">Hurst’s girlfriend </w:t>
      </w:r>
      <w:r w:rsidRPr="00957B29" w:rsidR="00E12D70">
        <w:t xml:space="preserve">entered into an agreement to kill Taylor.  </w:t>
      </w:r>
      <w:r w:rsidRPr="00957B29" w:rsidR="00D456D9">
        <w:t>T</w:t>
      </w:r>
      <w:r w:rsidRPr="00957B29" w:rsidR="00E12D70">
        <w:t xml:space="preserve">he </w:t>
      </w:r>
      <w:r w:rsidR="00C2474F">
        <w:t xml:space="preserve">Attorney General </w:t>
      </w:r>
      <w:r w:rsidRPr="00957B29" w:rsidR="00E12D70">
        <w:t>suggests that the</w:t>
      </w:r>
      <w:r w:rsidRPr="00957B29" w:rsidR="008B3704">
        <w:t xml:space="preserve"> alleged</w:t>
      </w:r>
      <w:r w:rsidRPr="00957B29" w:rsidR="00E12D70">
        <w:t xml:space="preserve"> witness intimidation is relevant because it “showed that Hoskins was trying to get his coconspirator Hurst out of custody and back on the streets where he could continue his role in the ongoing conspiracy.”  </w:t>
      </w:r>
      <w:r w:rsidR="00A53617">
        <w:t>I</w:t>
      </w:r>
      <w:r w:rsidRPr="00957B29" w:rsidR="001A508B">
        <w:t xml:space="preserve">t </w:t>
      </w:r>
      <w:r w:rsidR="00A53617">
        <w:t xml:space="preserve">would be </w:t>
      </w:r>
      <w:r w:rsidRPr="00957B29" w:rsidR="001A508B">
        <w:t xml:space="preserve">reasonable </w:t>
      </w:r>
      <w:r w:rsidR="00A53617">
        <w:t xml:space="preserve">for the jury </w:t>
      </w:r>
      <w:r w:rsidRPr="00957B29" w:rsidR="001A508B">
        <w:t xml:space="preserve">to infer </w:t>
      </w:r>
      <w:r w:rsidR="00E10F72">
        <w:t xml:space="preserve">the truth of </w:t>
      </w:r>
      <w:r w:rsidRPr="00957B29" w:rsidR="009514CB">
        <w:t>the first part</w:t>
      </w:r>
      <w:r w:rsidRPr="00957B29" w:rsidR="00D05735">
        <w:t xml:space="preserve"> of that sentence</w:t>
      </w:r>
      <w:r w:rsidRPr="00957B29" w:rsidR="009514CB">
        <w:t>:</w:t>
      </w:r>
      <w:r w:rsidRPr="00957B29" w:rsidR="002961EA">
        <w:t xml:space="preserve"> </w:t>
      </w:r>
      <w:r w:rsidRPr="00957B29" w:rsidR="009514CB">
        <w:t xml:space="preserve"> that </w:t>
      </w:r>
      <w:r w:rsidRPr="00957B29" w:rsidR="001A508B">
        <w:t xml:space="preserve">Hoskins was trying to help his childhood friend leave custody.  </w:t>
      </w:r>
      <w:r w:rsidRPr="00957B29">
        <w:t>But the inference that Hoskins’s efforts were in furtherance of a conspiracy to commit murder rests on mere speculation.  There is no evidence that Hoskins so much as discussed his efforts with other gang members.  And certainly nothing in Hoskins’s conversations concerning the shooting suggested the goal was to return Hurst to the streets specifically so he could murder rival gang members.</w:t>
      </w:r>
    </w:p>
    <w:p w:rsidR="00AF0574" w:rsidRPr="00957B29" w:rsidP="00957B29">
      <w:pPr>
        <w:tabs>
          <w:tab w:val="left" w:pos="1440"/>
        </w:tabs>
        <w:ind w:firstLine="720"/>
      </w:pPr>
      <w:r w:rsidRPr="00957B29">
        <w:t>We now turn to the final category of evidence</w:t>
      </w:r>
      <w:r w:rsidRPr="00957B29" w:rsidR="00772275">
        <w:t xml:space="preserve"> presented against Hoskins</w:t>
      </w:r>
      <w:r w:rsidRPr="00957B29">
        <w:t xml:space="preserve">:  </w:t>
      </w:r>
      <w:r w:rsidRPr="00957B29" w:rsidR="00772275">
        <w:t xml:space="preserve">his </w:t>
      </w:r>
      <w:r w:rsidRPr="00957B29">
        <w:t>social media posts.</w:t>
      </w:r>
      <w:r w:rsidRPr="00957B29" w:rsidR="00DC0373">
        <w:t xml:space="preserve">  The posts offer </w:t>
      </w:r>
      <w:r w:rsidRPr="00957B29">
        <w:t xml:space="preserve">ample evidence that Hoskins knew </w:t>
      </w:r>
      <w:r w:rsidRPr="00957B29" w:rsidR="00AD3D0A">
        <w:t>and</w:t>
      </w:r>
      <w:r w:rsidRPr="00957B29">
        <w:t xml:space="preserve"> approved of the alleged conspiracy’s goals.  For example, in February 2013, Hoskins posted a photo</w:t>
      </w:r>
      <w:r w:rsidR="00AA2482">
        <w:t>graph</w:t>
      </w:r>
      <w:r w:rsidRPr="00957B29">
        <w:t xml:space="preserve"> of himself making the “Crip killer” hand sign</w:t>
      </w:r>
      <w:r w:rsidRPr="00957B29" w:rsidR="00EB2AFC">
        <w:t xml:space="preserve"> with the caption: </w:t>
      </w:r>
      <w:r w:rsidRPr="00957B29">
        <w:t xml:space="preserve"> “Spell it BicK NicK tell he really Bout his cK’s.”  In January 2014, he posted: </w:t>
      </w:r>
      <w:r w:rsidR="00DB69C7">
        <w:t xml:space="preserve"> </w:t>
      </w:r>
      <w:r w:rsidRPr="00957B29">
        <w:t>“Never BacK Down is the MuthafucKin motto!”</w:t>
      </w:r>
      <w:r w:rsidRPr="00957B29" w:rsidR="00C905EC">
        <w:t xml:space="preserve">  And in May 2014, he </w:t>
      </w:r>
      <w:r w:rsidRPr="00957B29" w:rsidR="00E13386">
        <w:t>posted</w:t>
      </w:r>
      <w:r w:rsidRPr="00957B29" w:rsidR="00C905EC">
        <w:t xml:space="preserve">: </w:t>
      </w:r>
      <w:r w:rsidRPr="00957B29" w:rsidR="0020078B">
        <w:t xml:space="preserve"> </w:t>
      </w:r>
      <w:r w:rsidRPr="00957B29" w:rsidR="00C905EC">
        <w:t xml:space="preserve">“Ganstas don’t flicK it with gigs they use em.”  </w:t>
      </w:r>
      <w:r w:rsidRPr="00957B29">
        <w:t xml:space="preserve">There was also evidence that Hoskins knew of </w:t>
      </w:r>
      <w:r w:rsidR="00946CBF">
        <w:t xml:space="preserve">and celebrated </w:t>
      </w:r>
      <w:r w:rsidRPr="00957B29">
        <w:t>some shootings soon after they happened.  For example, in April 2012, Hoskins posted:</w:t>
      </w:r>
      <w:r w:rsidRPr="00957B29" w:rsidR="0020078B">
        <w:t xml:space="preserve"> </w:t>
      </w:r>
      <w:r w:rsidRPr="00957B29">
        <w:t xml:space="preserve"> “Son was Born healthy. cKrossys got Hit, all I need is some Dro and my day is set lol #HappyEaster</w:t>
      </w:r>
      <w:r w:rsidR="00DE67D5">
        <w:t>!</w:t>
      </w:r>
      <w:r w:rsidRPr="00957B29">
        <w:t>”  At trial, the prosecution’s gang expert reasonably suggested that this post referred to a shooting</w:t>
      </w:r>
      <w:r w:rsidRPr="00957B29" w:rsidR="008B1D1A">
        <w:t xml:space="preserve">, committed </w:t>
      </w:r>
      <w:r w:rsidRPr="00957B29">
        <w:t xml:space="preserve">by </w:t>
      </w:r>
      <w:r w:rsidR="005303AB">
        <w:t xml:space="preserve">5/9 </w:t>
      </w:r>
      <w:r w:rsidRPr="00957B29">
        <w:t>Brim members</w:t>
      </w:r>
      <w:r w:rsidRPr="00957B29" w:rsidR="008B1D1A">
        <w:t xml:space="preserve">, </w:t>
      </w:r>
      <w:r w:rsidRPr="00957B29">
        <w:t>of a rival</w:t>
      </w:r>
      <w:r w:rsidRPr="00957B29" w:rsidR="00590D0A">
        <w:t xml:space="preserve"> Crips member</w:t>
      </w:r>
      <w:r w:rsidRPr="00957B29" w:rsidR="0020078B">
        <w:t> </w:t>
      </w:r>
      <w:r w:rsidRPr="00957B29">
        <w:t>— the “cKrossy[]”</w:t>
      </w:r>
      <w:r w:rsidRPr="00957B29" w:rsidR="0020078B">
        <w:t> </w:t>
      </w:r>
      <w:r w:rsidRPr="00957B29">
        <w:t xml:space="preserve">— </w:t>
      </w:r>
      <w:r w:rsidRPr="00957B29" w:rsidR="004B37B7">
        <w:t xml:space="preserve">several </w:t>
      </w:r>
      <w:r w:rsidRPr="00957B29">
        <w:t xml:space="preserve">days earlier.  </w:t>
      </w:r>
      <w:r w:rsidRPr="00957B29" w:rsidR="007901BF">
        <w:t>In another instance</w:t>
      </w:r>
      <w:r w:rsidRPr="00957B29">
        <w:t>, Hoskins taunted a rival gang</w:t>
      </w:r>
      <w:r w:rsidRPr="00957B29" w:rsidR="0002471B">
        <w:t xml:space="preserve"> </w:t>
      </w:r>
      <w:r w:rsidRPr="00957B29">
        <w:t xml:space="preserve">after one of their own was shot, writing in March 2014: </w:t>
      </w:r>
      <w:r w:rsidRPr="00957B29" w:rsidR="0020078B">
        <w:t xml:space="preserve"> </w:t>
      </w:r>
      <w:r w:rsidRPr="00957B29">
        <w:t xml:space="preserve">“That’s some gay sHit not Gansta yall getBacK taggin in the set?  That’s all yo DeadHomie worth?  That’s why I kall yall cKraBs.” </w:t>
      </w:r>
    </w:p>
    <w:p w:rsidR="00087670" w:rsidRPr="00957B29" w:rsidP="00957B29">
      <w:pPr>
        <w:tabs>
          <w:tab w:val="left" w:pos="1440"/>
        </w:tabs>
        <w:ind w:firstLine="720"/>
      </w:pPr>
      <w:r w:rsidRPr="00957B29">
        <w:t xml:space="preserve">The Attorney General </w:t>
      </w:r>
      <w:r w:rsidRPr="00957B29" w:rsidR="00D62AD8">
        <w:t xml:space="preserve">argues </w:t>
      </w:r>
      <w:r w:rsidRPr="00957B29">
        <w:t xml:space="preserve">that Hoskins intended to encourage the war by “glorifying and endorsing” the violence on social media.  The posts do </w:t>
      </w:r>
      <w:r w:rsidRPr="00957B29" w:rsidR="007279E2">
        <w:t xml:space="preserve">demonstrate that Hoskins approved of the violence, and perhaps even perceived some reputational benefit to himself from the gang’s success in its ongoing conflict with rivals.  </w:t>
      </w:r>
      <w:r w:rsidRPr="00957B29" w:rsidR="0014226C">
        <w:t xml:space="preserve">But as we have noted, </w:t>
      </w:r>
      <w:r w:rsidRPr="00957B29" w:rsidR="00205CFC">
        <w:t xml:space="preserve">absent proof of intent to play some role in achieving the conspiracy’s unlawful goals, neither </w:t>
      </w:r>
      <w:r w:rsidRPr="00957B29" w:rsidR="00AF0574">
        <w:t xml:space="preserve">being a </w:t>
      </w:r>
      <w:r w:rsidRPr="00957B29" w:rsidR="004F4E2D">
        <w:t xml:space="preserve">cheerleader </w:t>
      </w:r>
      <w:r w:rsidRPr="00957B29" w:rsidR="00205CFC">
        <w:t>nor passively accepting the benefits of others’ unlawful activit</w:t>
      </w:r>
      <w:r w:rsidR="00A818AF">
        <w:t>ies</w:t>
      </w:r>
      <w:r w:rsidRPr="00957B29" w:rsidR="009A64C9">
        <w:t xml:space="preserve"> constitutes participation in a conspiracy.</w:t>
      </w:r>
      <w:r w:rsidRPr="00957B29" w:rsidR="00905AC8">
        <w:t xml:space="preserve">  And the Attorney General fails to point to evidence </w:t>
      </w:r>
      <w:r w:rsidR="00BD5BEF">
        <w:t>showing</w:t>
      </w:r>
      <w:r w:rsidRPr="00957B29" w:rsidR="00905AC8">
        <w:t xml:space="preserve"> that Hoskins intended the posts to facilitate murder</w:t>
      </w:r>
      <w:r w:rsidRPr="00957B29" w:rsidR="00045B54">
        <w:t>.</w:t>
      </w:r>
      <w:r w:rsidRPr="00957B29">
        <w:t xml:space="preserve">  </w:t>
      </w:r>
      <w:r w:rsidRPr="00957B29" w:rsidR="009B7D47">
        <w:t xml:space="preserve">There is no evidence in any of </w:t>
      </w:r>
      <w:r w:rsidRPr="00957B29">
        <w:t xml:space="preserve">Hoskins’s </w:t>
      </w:r>
      <w:r w:rsidRPr="00957B29" w:rsidR="009B7D47">
        <w:t xml:space="preserve">posts of a plan to </w:t>
      </w:r>
      <w:r w:rsidRPr="00957B29" w:rsidR="0020711F">
        <w:t xml:space="preserve">participate in </w:t>
      </w:r>
      <w:r w:rsidRPr="00957B29" w:rsidR="009B7D47">
        <w:t xml:space="preserve">any of the </w:t>
      </w:r>
      <w:r w:rsidRPr="00957B29" w:rsidR="00C958CF">
        <w:t>shootings</w:t>
      </w:r>
      <w:r w:rsidRPr="00957B29" w:rsidR="009B7D47">
        <w:t xml:space="preserve"> that constituted the object of the conspiracy, </w:t>
      </w:r>
      <w:r w:rsidRPr="00957B29" w:rsidR="00D7560E">
        <w:t>nor is there evidence</w:t>
      </w:r>
      <w:r w:rsidRPr="00957B29" w:rsidR="009B7D47">
        <w:t xml:space="preserve"> that such posts were directed to </w:t>
      </w:r>
      <w:r w:rsidR="00BC2F28">
        <w:t>any</w:t>
      </w:r>
      <w:r w:rsidRPr="00957B29" w:rsidR="00BC2F28">
        <w:t xml:space="preserve"> </w:t>
      </w:r>
      <w:r w:rsidRPr="00957B29" w:rsidR="009B7D47">
        <w:t xml:space="preserve">alleged </w:t>
      </w:r>
      <w:r w:rsidR="00BC2F28">
        <w:t>co</w:t>
      </w:r>
      <w:r w:rsidRPr="00957B29" w:rsidR="009B7D47">
        <w:t>conspirators</w:t>
      </w:r>
      <w:r w:rsidRPr="00957B29" w:rsidR="00B50FB4">
        <w:t xml:space="preserve"> (or </w:t>
      </w:r>
      <w:r w:rsidRPr="00957B29" w:rsidR="009605F0">
        <w:t xml:space="preserve">that, as a whole, his Facebook posts were consistently </w:t>
      </w:r>
      <w:r w:rsidRPr="00957B29" w:rsidR="00525996">
        <w:t>viewable by</w:t>
      </w:r>
      <w:r w:rsidRPr="00957B29" w:rsidR="00B50FB4">
        <w:t xml:space="preserve"> those outside</w:t>
      </w:r>
      <w:r w:rsidRPr="00957B29" w:rsidR="009A7EE2">
        <w:t xml:space="preserve"> of</w:t>
      </w:r>
      <w:r w:rsidRPr="00957B29" w:rsidR="00B50FB4">
        <w:t xml:space="preserve"> his Facebook friend network)</w:t>
      </w:r>
      <w:r w:rsidRPr="00957B29" w:rsidR="009B7D47">
        <w:t>.</w:t>
      </w:r>
    </w:p>
    <w:p w:rsidR="000F3374" w:rsidRPr="00BF5AAA" w:rsidP="000F3374">
      <w:pPr>
        <w:tabs>
          <w:tab w:val="left" w:pos="1440"/>
        </w:tabs>
        <w:ind w:firstLine="720"/>
        <w:rPr>
          <w:szCs w:val="26"/>
        </w:rPr>
      </w:pPr>
      <w:r w:rsidRPr="00957B29">
        <w:rPr>
          <w:szCs w:val="26"/>
        </w:rPr>
        <w:t xml:space="preserve">The prosecution </w:t>
      </w:r>
      <w:r w:rsidRPr="00957B29" w:rsidR="00087670">
        <w:rPr>
          <w:szCs w:val="26"/>
        </w:rPr>
        <w:t xml:space="preserve">had </w:t>
      </w:r>
      <w:r w:rsidRPr="00957B29">
        <w:rPr>
          <w:szCs w:val="26"/>
        </w:rPr>
        <w:t xml:space="preserve">asserted </w:t>
      </w:r>
      <w:r w:rsidRPr="00957B29" w:rsidR="00A76853">
        <w:rPr>
          <w:szCs w:val="26"/>
        </w:rPr>
        <w:t>at trial</w:t>
      </w:r>
      <w:r w:rsidRPr="00957B29">
        <w:rPr>
          <w:szCs w:val="26"/>
        </w:rPr>
        <w:t xml:space="preserve"> that </w:t>
      </w:r>
      <w:r w:rsidRPr="00957B29" w:rsidR="00C00AD8">
        <w:rPr>
          <w:szCs w:val="26"/>
        </w:rPr>
        <w:t xml:space="preserve">Hoskins’s social media posts </w:t>
      </w:r>
      <w:r w:rsidRPr="00957B29" w:rsidR="00A211D2">
        <w:rPr>
          <w:szCs w:val="26"/>
        </w:rPr>
        <w:t xml:space="preserve">were particularly probative of his intent to participate in the conspiracy because Hoskins’s posts celebrating gang violence </w:t>
      </w:r>
      <w:r w:rsidRPr="00957B29" w:rsidR="00C00AD8">
        <w:rPr>
          <w:szCs w:val="26"/>
        </w:rPr>
        <w:t xml:space="preserve">provided a </w:t>
      </w:r>
      <w:r w:rsidRPr="00957B29" w:rsidR="00D63A25">
        <w:rPr>
          <w:szCs w:val="26"/>
        </w:rPr>
        <w:t xml:space="preserve">revealing </w:t>
      </w:r>
      <w:r w:rsidRPr="00957B29" w:rsidR="00C00AD8">
        <w:rPr>
          <w:szCs w:val="26"/>
        </w:rPr>
        <w:t>“window</w:t>
      </w:r>
      <w:r w:rsidRPr="00957B29" w:rsidR="007D28B1">
        <w:rPr>
          <w:szCs w:val="26"/>
        </w:rPr>
        <w:t>”</w:t>
      </w:r>
      <w:r w:rsidRPr="00957B29" w:rsidR="00C00AD8">
        <w:rPr>
          <w:szCs w:val="26"/>
        </w:rPr>
        <w:t xml:space="preserve"> into his mind</w:t>
      </w:r>
      <w:r w:rsidRPr="00957B29" w:rsidR="00F26327">
        <w:rPr>
          <w:szCs w:val="26"/>
        </w:rPr>
        <w:t xml:space="preserve">.  </w:t>
      </w:r>
      <w:r w:rsidR="004D03D1">
        <w:rPr>
          <w:szCs w:val="26"/>
        </w:rPr>
        <w:t>As we consider the evidence on appeal, however</w:t>
      </w:r>
      <w:r w:rsidR="00D17EDE">
        <w:rPr>
          <w:szCs w:val="26"/>
        </w:rPr>
        <w:t xml:space="preserve">, </w:t>
      </w:r>
      <w:r w:rsidR="003E24A1">
        <w:rPr>
          <w:szCs w:val="26"/>
        </w:rPr>
        <w:t xml:space="preserve">some caution is in order.  </w:t>
      </w:r>
      <w:r w:rsidRPr="00957B29" w:rsidR="00F26327">
        <w:rPr>
          <w:szCs w:val="26"/>
        </w:rPr>
        <w:t>Social medi</w:t>
      </w:r>
      <w:r w:rsidRPr="00957B29" w:rsidR="00A613B4">
        <w:rPr>
          <w:szCs w:val="26"/>
        </w:rPr>
        <w:t xml:space="preserve">a is not a </w:t>
      </w:r>
      <w:r w:rsidRPr="00957B29" w:rsidR="00DD4AC8">
        <w:rPr>
          <w:szCs w:val="26"/>
        </w:rPr>
        <w:t xml:space="preserve">bedside </w:t>
      </w:r>
      <w:r w:rsidRPr="00957B29" w:rsidR="00E92FEA">
        <w:rPr>
          <w:szCs w:val="26"/>
        </w:rPr>
        <w:t>diary</w:t>
      </w:r>
      <w:r w:rsidRPr="00957B29" w:rsidR="00DD4AC8">
        <w:rPr>
          <w:szCs w:val="26"/>
        </w:rPr>
        <w:t xml:space="preserve">; </w:t>
      </w:r>
      <w:r w:rsidRPr="00957B29" w:rsidR="00903B2B">
        <w:rPr>
          <w:szCs w:val="26"/>
        </w:rPr>
        <w:t>it is</w:t>
      </w:r>
      <w:r w:rsidRPr="00957B29" w:rsidR="005935D0">
        <w:rPr>
          <w:szCs w:val="26"/>
        </w:rPr>
        <w:t xml:space="preserve"> </w:t>
      </w:r>
      <w:r w:rsidRPr="00957B29" w:rsidR="00903B2B">
        <w:rPr>
          <w:szCs w:val="26"/>
        </w:rPr>
        <w:t xml:space="preserve">a platform for </w:t>
      </w:r>
      <w:r w:rsidRPr="00957B29" w:rsidR="00BE6FD3">
        <w:rPr>
          <w:szCs w:val="26"/>
        </w:rPr>
        <w:t>expression</w:t>
      </w:r>
      <w:r w:rsidRPr="00957B29" w:rsidR="00247048">
        <w:rPr>
          <w:szCs w:val="26"/>
        </w:rPr>
        <w:t xml:space="preserve"> aimed at a </w:t>
      </w:r>
      <w:r w:rsidRPr="00957B29" w:rsidR="00F71582">
        <w:rPr>
          <w:szCs w:val="26"/>
        </w:rPr>
        <w:t>particular audience</w:t>
      </w:r>
      <w:r w:rsidRPr="00957B29" w:rsidR="007F3953">
        <w:rPr>
          <w:szCs w:val="26"/>
        </w:rPr>
        <w:t xml:space="preserve">.  </w:t>
      </w:r>
      <w:r w:rsidRPr="00957B29" w:rsidR="00C6769F">
        <w:rPr>
          <w:szCs w:val="26"/>
        </w:rPr>
        <w:t xml:space="preserve">(See, e.g., </w:t>
      </w:r>
      <w:r w:rsidRPr="00957B29" w:rsidR="00C6769F">
        <w:rPr>
          <w:i/>
          <w:iCs/>
          <w:szCs w:val="26"/>
        </w:rPr>
        <w:t>Packingham v. North Carolina</w:t>
      </w:r>
      <w:r w:rsidRPr="00957B29" w:rsidR="00C6769F">
        <w:rPr>
          <w:szCs w:val="26"/>
        </w:rPr>
        <w:t xml:space="preserve"> (2017) </w:t>
      </w:r>
      <w:r w:rsidR="006B134D">
        <w:rPr>
          <w:szCs w:val="26"/>
        </w:rPr>
        <w:t>582</w:t>
      </w:r>
      <w:r w:rsidRPr="00957B29" w:rsidR="006537B7">
        <w:rPr>
          <w:szCs w:val="26"/>
        </w:rPr>
        <w:t xml:space="preserve"> U.S. __ [</w:t>
      </w:r>
      <w:r w:rsidRPr="00957B29" w:rsidR="00C6769F">
        <w:rPr>
          <w:szCs w:val="26"/>
        </w:rPr>
        <w:t>137 S.Ct. 1730, 1737</w:t>
      </w:r>
      <w:r w:rsidRPr="00957B29" w:rsidR="006537B7">
        <w:rPr>
          <w:szCs w:val="26"/>
        </w:rPr>
        <w:t>]</w:t>
      </w:r>
      <w:r w:rsidRPr="00957B29" w:rsidR="00C6769F">
        <w:rPr>
          <w:szCs w:val="26"/>
        </w:rPr>
        <w:t xml:space="preserve"> [</w:t>
      </w:r>
      <w:r w:rsidRPr="00957B29" w:rsidR="009D4350">
        <w:rPr>
          <w:szCs w:val="26"/>
        </w:rPr>
        <w:t>“Social media allows users to gain access to information and communicate with one another about it on any subject that might come to mind”]</w:t>
      </w:r>
      <w:r w:rsidRPr="00957B29" w:rsidR="0020078B">
        <w:rPr>
          <w:szCs w:val="26"/>
        </w:rPr>
        <w:t>.</w:t>
      </w:r>
      <w:r w:rsidRPr="00957B29" w:rsidR="001E0F69">
        <w:rPr>
          <w:szCs w:val="26"/>
        </w:rPr>
        <w:t>)</w:t>
      </w:r>
      <w:r w:rsidRPr="00957B29" w:rsidR="009D4350">
        <w:rPr>
          <w:szCs w:val="26"/>
        </w:rPr>
        <w:t xml:space="preserve"> </w:t>
      </w:r>
      <w:r w:rsidRPr="00957B29" w:rsidR="00C6769F">
        <w:rPr>
          <w:szCs w:val="26"/>
        </w:rPr>
        <w:t xml:space="preserve"> </w:t>
      </w:r>
      <w:r w:rsidRPr="00957B29" w:rsidR="002B2644">
        <w:rPr>
          <w:szCs w:val="26"/>
        </w:rPr>
        <w:t>L</w:t>
      </w:r>
      <w:r w:rsidRPr="00957B29" w:rsidR="007F3953">
        <w:rPr>
          <w:szCs w:val="26"/>
        </w:rPr>
        <w:t xml:space="preserve">ike any other form of public expression, social media posting may include an element of </w:t>
      </w:r>
      <w:r w:rsidRPr="00957B29" w:rsidR="00A507BB">
        <w:rPr>
          <w:szCs w:val="26"/>
        </w:rPr>
        <w:t>performance</w:t>
      </w:r>
      <w:r w:rsidRPr="00957B29" w:rsidR="007F3953">
        <w:rPr>
          <w:szCs w:val="26"/>
        </w:rPr>
        <w:t xml:space="preserve">.  </w:t>
      </w:r>
      <w:r w:rsidRPr="00957B29" w:rsidR="001C4500">
        <w:rPr>
          <w:szCs w:val="26"/>
        </w:rPr>
        <w:t>(</w:t>
      </w:r>
      <w:r w:rsidRPr="00957B29" w:rsidR="001C4500">
        <w:rPr>
          <w:i/>
          <w:iCs/>
          <w:szCs w:val="26"/>
        </w:rPr>
        <w:t xml:space="preserve">Ibid. </w:t>
      </w:r>
      <w:r w:rsidRPr="00957B29" w:rsidR="001C4500">
        <w:rPr>
          <w:szCs w:val="26"/>
        </w:rPr>
        <w:t>[analogizing social media websites to the “modern public square</w:t>
      </w:r>
      <w:r w:rsidRPr="00957B29" w:rsidR="00D109AB">
        <w:rPr>
          <w:szCs w:val="26"/>
        </w:rPr>
        <w:t>,</w:t>
      </w:r>
      <w:r w:rsidRPr="00957B29" w:rsidR="001C4500">
        <w:rPr>
          <w:szCs w:val="26"/>
        </w:rPr>
        <w:t>”</w:t>
      </w:r>
      <w:r w:rsidRPr="00957B29" w:rsidR="00D109AB">
        <w:rPr>
          <w:szCs w:val="26"/>
        </w:rPr>
        <w:t xml:space="preserve"> capable of “allow[ing] a person with an Internet connection to ‘become a town crier with a voice that resonates farther than it could from any soapbox’</w:t>
      </w:r>
      <w:r w:rsidRPr="00957B29" w:rsidR="0020078B">
        <w:rPr>
          <w:szCs w:val="26"/>
        </w:rPr>
        <w:t> </w:t>
      </w:r>
      <w:r w:rsidRPr="00957B29" w:rsidR="00D109AB">
        <w:rPr>
          <w:szCs w:val="26"/>
        </w:rPr>
        <w:t>”</w:t>
      </w:r>
      <w:r w:rsidRPr="00957B29" w:rsidR="001C4500">
        <w:rPr>
          <w:szCs w:val="26"/>
        </w:rPr>
        <w:t>]</w:t>
      </w:r>
      <w:r w:rsidRPr="00957B29" w:rsidR="0020078B">
        <w:rPr>
          <w:szCs w:val="26"/>
        </w:rPr>
        <w:t>.</w:t>
      </w:r>
      <w:r w:rsidRPr="00957B29" w:rsidR="001E0F69">
        <w:rPr>
          <w:szCs w:val="26"/>
        </w:rPr>
        <w:t>)</w:t>
      </w:r>
      <w:r w:rsidRPr="00957B29" w:rsidR="001C4500">
        <w:rPr>
          <w:szCs w:val="26"/>
        </w:rPr>
        <w:t xml:space="preserve">  </w:t>
      </w:r>
      <w:r w:rsidR="0020198D">
        <w:rPr>
          <w:szCs w:val="26"/>
        </w:rPr>
        <w:t>At the same time</w:t>
      </w:r>
      <w:r w:rsidR="003053FC">
        <w:rPr>
          <w:szCs w:val="26"/>
        </w:rPr>
        <w:t>,</w:t>
      </w:r>
      <w:r w:rsidR="00214F1F">
        <w:rPr>
          <w:szCs w:val="26"/>
        </w:rPr>
        <w:t xml:space="preserve"> </w:t>
      </w:r>
      <w:r w:rsidR="0020198D">
        <w:rPr>
          <w:szCs w:val="26"/>
        </w:rPr>
        <w:t xml:space="preserve">social media statements, </w:t>
      </w:r>
      <w:r w:rsidR="00214F1F">
        <w:rPr>
          <w:szCs w:val="26"/>
        </w:rPr>
        <w:t>l</w:t>
      </w:r>
      <w:r w:rsidRPr="00BF5AAA">
        <w:rPr>
          <w:szCs w:val="26"/>
        </w:rPr>
        <w:t>ike any other statement, m</w:t>
      </w:r>
      <w:r>
        <w:rPr>
          <w:szCs w:val="26"/>
        </w:rPr>
        <w:t>a</w:t>
      </w:r>
      <w:r w:rsidRPr="00BF5AAA">
        <w:rPr>
          <w:szCs w:val="26"/>
        </w:rPr>
        <w:t xml:space="preserve">y reflect the speaker’s state of mind, depending on their content and context.  Whether a statement actually </w:t>
      </w:r>
      <w:r w:rsidR="00224579">
        <w:rPr>
          <w:szCs w:val="26"/>
        </w:rPr>
        <w:t>reflects</w:t>
      </w:r>
      <w:r w:rsidRPr="00BF5AAA">
        <w:rPr>
          <w:szCs w:val="26"/>
        </w:rPr>
        <w:t xml:space="preserve"> the speaker’s views or simply </w:t>
      </w:r>
      <w:r w:rsidR="00224579">
        <w:rPr>
          <w:szCs w:val="26"/>
        </w:rPr>
        <w:t>involves</w:t>
      </w:r>
      <w:r w:rsidRPr="00BF5AAA" w:rsidR="00224579">
        <w:rPr>
          <w:szCs w:val="26"/>
        </w:rPr>
        <w:t xml:space="preserve"> </w:t>
      </w:r>
      <w:r w:rsidRPr="00BF5AAA">
        <w:rPr>
          <w:szCs w:val="26"/>
        </w:rPr>
        <w:t xml:space="preserve">an element of performance or bravado </w:t>
      </w:r>
      <w:r w:rsidR="003E24A1">
        <w:rPr>
          <w:szCs w:val="26"/>
        </w:rPr>
        <w:t>are</w:t>
      </w:r>
      <w:r w:rsidR="005B2658">
        <w:rPr>
          <w:szCs w:val="26"/>
        </w:rPr>
        <w:t>, of course,</w:t>
      </w:r>
      <w:r w:rsidR="003E24A1">
        <w:rPr>
          <w:szCs w:val="26"/>
        </w:rPr>
        <w:t xml:space="preserve"> questions of fact for a jury to </w:t>
      </w:r>
      <w:r w:rsidR="00791804">
        <w:rPr>
          <w:szCs w:val="26"/>
        </w:rPr>
        <w:t>decide</w:t>
      </w:r>
      <w:r w:rsidR="00163EBD">
        <w:rPr>
          <w:szCs w:val="26"/>
        </w:rPr>
        <w:t>.</w:t>
      </w:r>
    </w:p>
    <w:p w:rsidR="004D2269" w:rsidRPr="00957B29" w:rsidP="00957B29">
      <w:pPr>
        <w:tabs>
          <w:tab w:val="left" w:pos="1440"/>
        </w:tabs>
        <w:ind w:firstLine="720"/>
        <w:rPr>
          <w:szCs w:val="26"/>
        </w:rPr>
      </w:pPr>
      <w:r>
        <w:rPr>
          <w:szCs w:val="26"/>
        </w:rPr>
        <w:t>Here, i</w:t>
      </w:r>
      <w:r w:rsidR="003E24A1">
        <w:rPr>
          <w:szCs w:val="26"/>
        </w:rPr>
        <w:t>n any event, t</w:t>
      </w:r>
      <w:r w:rsidRPr="00BF5AAA" w:rsidR="000F3374">
        <w:rPr>
          <w:szCs w:val="26"/>
        </w:rPr>
        <w:t>he question is not simply whether Hoskins approved of the violence of others, but whether his statements</w:t>
      </w:r>
      <w:r w:rsidR="000F4D88">
        <w:rPr>
          <w:szCs w:val="26"/>
        </w:rPr>
        <w:t>, taken with the other evidence as a whole,</w:t>
      </w:r>
      <w:r w:rsidRPr="00BF5AAA" w:rsidR="000F3374">
        <w:rPr>
          <w:szCs w:val="26"/>
        </w:rPr>
        <w:t xml:space="preserve"> were sufficient to show he intended to conspire with others to commit </w:t>
      </w:r>
      <w:r w:rsidR="009B75AE">
        <w:rPr>
          <w:szCs w:val="26"/>
        </w:rPr>
        <w:t>murder</w:t>
      </w:r>
      <w:r w:rsidRPr="00BF5AAA" w:rsidR="000F3374">
        <w:rPr>
          <w:szCs w:val="26"/>
        </w:rPr>
        <w:t xml:space="preserve">.  </w:t>
      </w:r>
      <w:bookmarkStart w:id="18" w:name="_Hlk120545765"/>
      <w:r w:rsidR="00D17EDE">
        <w:rPr>
          <w:szCs w:val="26"/>
        </w:rPr>
        <w:t>On this score</w:t>
      </w:r>
      <w:r w:rsidR="006118CA">
        <w:rPr>
          <w:szCs w:val="26"/>
        </w:rPr>
        <w:t>,</w:t>
      </w:r>
      <w:r w:rsidRPr="00BF5AAA" w:rsidR="000F3374">
        <w:rPr>
          <w:szCs w:val="26"/>
        </w:rPr>
        <w:t xml:space="preserve"> </w:t>
      </w:r>
      <w:r w:rsidR="006118CA">
        <w:rPr>
          <w:szCs w:val="26"/>
        </w:rPr>
        <w:t xml:space="preserve">the </w:t>
      </w:r>
      <w:r w:rsidRPr="00BF5AAA" w:rsidR="000F3374">
        <w:rPr>
          <w:szCs w:val="26"/>
        </w:rPr>
        <w:t>evidence falls short</w:t>
      </w:r>
      <w:bookmarkEnd w:id="18"/>
      <w:r w:rsidRPr="00BF5AAA" w:rsidR="000F3374">
        <w:rPr>
          <w:szCs w:val="26"/>
        </w:rPr>
        <w:t>.</w:t>
      </w:r>
      <w:r w:rsidR="000F3374">
        <w:rPr>
          <w:szCs w:val="26"/>
        </w:rPr>
        <w:t xml:space="preserve">  </w:t>
      </w:r>
      <w:r w:rsidR="00D17EDE">
        <w:rPr>
          <w:szCs w:val="26"/>
        </w:rPr>
        <w:t>Indeed, a</w:t>
      </w:r>
      <w:r w:rsidRPr="00957B29" w:rsidR="00804B7C">
        <w:rPr>
          <w:szCs w:val="26"/>
        </w:rPr>
        <w:t>s</w:t>
      </w:r>
      <w:r w:rsidRPr="00957B29" w:rsidR="00AF4FBF">
        <w:rPr>
          <w:szCs w:val="26"/>
        </w:rPr>
        <w:t xml:space="preserve"> the prosecution’s </w:t>
      </w:r>
      <w:r w:rsidR="00D17EDE">
        <w:rPr>
          <w:szCs w:val="26"/>
        </w:rPr>
        <w:t xml:space="preserve">own </w:t>
      </w:r>
      <w:r w:rsidRPr="00957B29" w:rsidR="00AF4FBF">
        <w:rPr>
          <w:szCs w:val="26"/>
        </w:rPr>
        <w:t xml:space="preserve">gang expert </w:t>
      </w:r>
      <w:r w:rsidR="00D17EDE">
        <w:rPr>
          <w:szCs w:val="26"/>
        </w:rPr>
        <w:t>acknowledged</w:t>
      </w:r>
      <w:r w:rsidRPr="00957B29" w:rsidR="00AF4FBF">
        <w:rPr>
          <w:szCs w:val="26"/>
        </w:rPr>
        <w:t xml:space="preserve">, there </w:t>
      </w:r>
      <w:r w:rsidRPr="00957B29" w:rsidR="004817FC">
        <w:rPr>
          <w:szCs w:val="26"/>
        </w:rPr>
        <w:t xml:space="preserve">could be </w:t>
      </w:r>
      <w:r w:rsidR="00D01FE4">
        <w:rPr>
          <w:szCs w:val="26"/>
        </w:rPr>
        <w:t xml:space="preserve">5/9 </w:t>
      </w:r>
      <w:r w:rsidRPr="00957B29" w:rsidR="00AF4FBF">
        <w:rPr>
          <w:szCs w:val="26"/>
        </w:rPr>
        <w:t>Brim members who “strictly” display “C</w:t>
      </w:r>
      <w:r w:rsidR="00C2474F">
        <w:rPr>
          <w:szCs w:val="26"/>
        </w:rPr>
        <w:t>k</w:t>
      </w:r>
      <w:r w:rsidRPr="00957B29" w:rsidR="00AF4FBF">
        <w:rPr>
          <w:szCs w:val="26"/>
        </w:rPr>
        <w:t xml:space="preserve">” </w:t>
      </w:r>
      <w:r w:rsidRPr="00957B29" w:rsidR="00953F30">
        <w:rPr>
          <w:szCs w:val="26"/>
        </w:rPr>
        <w:t xml:space="preserve">or post about “Crip killing” </w:t>
      </w:r>
      <w:r w:rsidRPr="00957B29" w:rsidR="00AF4FBF">
        <w:rPr>
          <w:szCs w:val="26"/>
        </w:rPr>
        <w:t xml:space="preserve">on social media without ever </w:t>
      </w:r>
      <w:r w:rsidRPr="00957B29" w:rsidR="005F637D">
        <w:rPr>
          <w:szCs w:val="26"/>
        </w:rPr>
        <w:t xml:space="preserve">actually </w:t>
      </w:r>
      <w:r w:rsidRPr="00957B29" w:rsidR="00AF4FBF">
        <w:rPr>
          <w:szCs w:val="26"/>
        </w:rPr>
        <w:t>killing Crips.</w:t>
      </w:r>
      <w:r w:rsidRPr="00957B29" w:rsidR="00BD11D5">
        <w:rPr>
          <w:szCs w:val="26"/>
        </w:rPr>
        <w:t xml:space="preserve"> </w:t>
      </w:r>
      <w:r w:rsidRPr="00957B29">
        <w:rPr>
          <w:szCs w:val="26"/>
        </w:rPr>
        <w:t xml:space="preserve"> Hoskins’s general celebration of gang violence on social media</w:t>
      </w:r>
      <w:r w:rsidRPr="00957B29" w:rsidR="0020078B">
        <w:rPr>
          <w:szCs w:val="26"/>
        </w:rPr>
        <w:t> </w:t>
      </w:r>
      <w:r w:rsidRPr="00957B29" w:rsidR="002F7597">
        <w:rPr>
          <w:szCs w:val="26"/>
        </w:rPr>
        <w:t xml:space="preserve">— </w:t>
      </w:r>
      <w:r w:rsidRPr="00957B29">
        <w:rPr>
          <w:szCs w:val="26"/>
        </w:rPr>
        <w:t>with no evidence</w:t>
      </w:r>
      <w:r w:rsidRPr="00957B29" w:rsidR="00655E8F">
        <w:rPr>
          <w:szCs w:val="26"/>
        </w:rPr>
        <w:t xml:space="preserve"> that</w:t>
      </w:r>
      <w:r w:rsidRPr="00957B29">
        <w:rPr>
          <w:szCs w:val="26"/>
        </w:rPr>
        <w:t xml:space="preserve"> he </w:t>
      </w:r>
      <w:r w:rsidRPr="00957B29" w:rsidR="002F7597">
        <w:rPr>
          <w:szCs w:val="26"/>
        </w:rPr>
        <w:t>ever intended to play a role in committing any act of violence</w:t>
      </w:r>
      <w:r w:rsidRPr="00957B29" w:rsidR="0020078B">
        <w:rPr>
          <w:szCs w:val="26"/>
        </w:rPr>
        <w:t> </w:t>
      </w:r>
      <w:r w:rsidRPr="00957B29" w:rsidR="002F7597">
        <w:rPr>
          <w:szCs w:val="26"/>
        </w:rPr>
        <w:t xml:space="preserve">— </w:t>
      </w:r>
      <w:r w:rsidRPr="00957B29" w:rsidR="00221903">
        <w:rPr>
          <w:szCs w:val="26"/>
        </w:rPr>
        <w:t>is not enough</w:t>
      </w:r>
      <w:r w:rsidRPr="00957B29">
        <w:rPr>
          <w:szCs w:val="26"/>
        </w:rPr>
        <w:t xml:space="preserve"> </w:t>
      </w:r>
      <w:r w:rsidRPr="00957B29" w:rsidR="007057DC">
        <w:rPr>
          <w:szCs w:val="26"/>
        </w:rPr>
        <w:t xml:space="preserve">to establish his </w:t>
      </w:r>
      <w:r w:rsidRPr="00957B29" w:rsidR="00B85C69">
        <w:rPr>
          <w:szCs w:val="26"/>
        </w:rPr>
        <w:t xml:space="preserve">participation in a </w:t>
      </w:r>
      <w:r w:rsidRPr="00957B29" w:rsidR="007057DC">
        <w:rPr>
          <w:szCs w:val="26"/>
        </w:rPr>
        <w:t>conspiracy to commit murder</w:t>
      </w:r>
      <w:r w:rsidRPr="00957B29">
        <w:rPr>
          <w:szCs w:val="26"/>
        </w:rPr>
        <w:t xml:space="preserve">.  </w:t>
      </w:r>
    </w:p>
    <w:p w:rsidR="004D7E23" w:rsidRPr="00957B29" w:rsidP="00957B29">
      <w:pPr>
        <w:tabs>
          <w:tab w:val="left" w:pos="1440"/>
        </w:tabs>
        <w:ind w:firstLine="720"/>
      </w:pPr>
      <w:r w:rsidRPr="00957B29">
        <w:rPr>
          <w:szCs w:val="26"/>
        </w:rPr>
        <w:t>In sum</w:t>
      </w:r>
      <w:r w:rsidRPr="00957B29" w:rsidR="006D2553">
        <w:rPr>
          <w:szCs w:val="26"/>
        </w:rPr>
        <w:t xml:space="preserve">, </w:t>
      </w:r>
      <w:r w:rsidRPr="00957B29" w:rsidR="0018053B">
        <w:t>a</w:t>
      </w:r>
      <w:r w:rsidRPr="00957B29">
        <w:t xml:space="preserve">fter considering the </w:t>
      </w:r>
      <w:r w:rsidRPr="00957B29" w:rsidR="002A069D">
        <w:t>record in its entirety</w:t>
      </w:r>
      <w:r w:rsidRPr="00957B29">
        <w:t xml:space="preserve">, we conclude that the evidence presented at trial is insufficient to show that Hoskins had the requisite intent to </w:t>
      </w:r>
      <w:r w:rsidRPr="00957B29" w:rsidR="00B17974">
        <w:t xml:space="preserve">participate in a </w:t>
      </w:r>
      <w:r w:rsidRPr="00957B29" w:rsidR="00487E63">
        <w:t>conspir</w:t>
      </w:r>
      <w:r w:rsidRPr="00957B29" w:rsidR="00B17974">
        <w:t>acy</w:t>
      </w:r>
      <w:r w:rsidRPr="00957B29" w:rsidR="0062039E">
        <w:t xml:space="preserve"> </w:t>
      </w:r>
      <w:r w:rsidRPr="00957B29">
        <w:t xml:space="preserve">to kill rival gang members.  </w:t>
      </w:r>
      <w:r w:rsidRPr="00957B29" w:rsidR="002A069D">
        <w:t xml:space="preserve">The evidence showed that </w:t>
      </w:r>
      <w:r w:rsidRPr="00957B29" w:rsidR="00BF140C">
        <w:t xml:space="preserve">Hoskins </w:t>
      </w:r>
      <w:r w:rsidRPr="00957B29" w:rsidR="002A069D">
        <w:t>was an active member of a gang whose other members commit</w:t>
      </w:r>
      <w:r w:rsidRPr="00957B29" w:rsidR="00BF140C">
        <w:t>ted</w:t>
      </w:r>
      <w:r w:rsidRPr="00957B29" w:rsidR="002A069D">
        <w:t xml:space="preserve"> acts of violence, that he </w:t>
      </w:r>
      <w:r w:rsidR="00482FEA">
        <w:t>celebrated</w:t>
      </w:r>
      <w:r w:rsidRPr="00957B29" w:rsidR="002A069D">
        <w:t xml:space="preserve"> those acts of violence, and that he had access to weapons that he could use in furtherance of those acts, if he so chose</w:t>
      </w:r>
      <w:r w:rsidRPr="00957B29" w:rsidR="00C31E92">
        <w:t xml:space="preserve">.  </w:t>
      </w:r>
      <w:r w:rsidRPr="00957B29" w:rsidR="00BF140C">
        <w:t xml:space="preserve">The evidence unquestionably </w:t>
      </w:r>
      <w:r w:rsidRPr="00957B29" w:rsidR="00C31E92">
        <w:t xml:space="preserve">establishes Hoskins’s </w:t>
      </w:r>
      <w:r w:rsidRPr="00957B29">
        <w:t xml:space="preserve">membership in a group with violent aims and </w:t>
      </w:r>
      <w:r w:rsidRPr="00957B29" w:rsidR="00003110">
        <w:t xml:space="preserve">his </w:t>
      </w:r>
      <w:r w:rsidRPr="00957B29">
        <w:t xml:space="preserve">association with individuals who commit </w:t>
      </w:r>
      <w:r w:rsidRPr="00957B29" w:rsidR="00BF140C">
        <w:t xml:space="preserve">violent </w:t>
      </w:r>
      <w:r w:rsidRPr="00957B29">
        <w:t xml:space="preserve">crimes.  </w:t>
      </w:r>
      <w:r w:rsidRPr="00957B29">
        <w:t xml:space="preserve">But it is not sufficient </w:t>
      </w:r>
      <w:r w:rsidRPr="00957B29" w:rsidR="00650DED">
        <w:t xml:space="preserve">to support a finding </w:t>
      </w:r>
      <w:r w:rsidR="00B118C9">
        <w:t xml:space="preserve">that Hoskins specifically intended to enter an agreement to commit murder, or that he specifically intended to commit murder, </w:t>
      </w:r>
      <w:r w:rsidRPr="00957B29" w:rsidR="00DB0726">
        <w:t>either personally or through others.</w:t>
      </w:r>
    </w:p>
    <w:p w:rsidR="00853EC3" w:rsidP="00957B29">
      <w:pPr>
        <w:tabs>
          <w:tab w:val="left" w:pos="1440"/>
        </w:tabs>
        <w:ind w:firstLine="720"/>
      </w:pPr>
      <w:r w:rsidRPr="00957B29">
        <w:t xml:space="preserve">In </w:t>
      </w:r>
      <w:r w:rsidRPr="00957B29" w:rsidR="007445A8">
        <w:t>reaching</w:t>
      </w:r>
      <w:r w:rsidRPr="00957B29">
        <w:t xml:space="preserve"> a contrary conclusion, the Court of Appeal relied in the last instance on the fact that “the jury necessarily found the evidence of interdependence among the participants in the crimes to be persuasive, having found true all of the gang enhancement</w:t>
      </w:r>
      <w:r w:rsidRPr="00957B29" w:rsidR="006537B7">
        <w:t>s</w:t>
      </w:r>
      <w:r w:rsidRPr="00957B29">
        <w:t xml:space="preserve"> against all appellants.”  (</w:t>
      </w:r>
      <w:r w:rsidRPr="00957B29">
        <w:rPr>
          <w:i/>
          <w:iCs/>
        </w:rPr>
        <w:t>Ware</w:t>
      </w:r>
      <w:r w:rsidRPr="00957B29">
        <w:t xml:space="preserve">, </w:t>
      </w:r>
      <w:r w:rsidRPr="00957B29">
        <w:rPr>
          <w:i/>
          <w:iCs/>
        </w:rPr>
        <w:t>supra</w:t>
      </w:r>
      <w:r w:rsidRPr="00957B29">
        <w:t>, 52 Cal.App.5th at p.</w:t>
      </w:r>
      <w:r w:rsidRPr="00957B29" w:rsidR="00895467">
        <w:t> </w:t>
      </w:r>
      <w:r w:rsidRPr="00957B29">
        <w:t>942.)</w:t>
      </w:r>
      <w:r w:rsidRPr="00957B29" w:rsidR="00F50E4D">
        <w:t xml:space="preserve">  </w:t>
      </w:r>
      <w:r w:rsidRPr="00957B29" w:rsidR="00AB08C4">
        <w:t>We draw a different lesson</w:t>
      </w:r>
      <w:r w:rsidRPr="00957B29" w:rsidR="00315E77">
        <w:t xml:space="preserve">.  If anything, the likelihood the jury relied on evidence of interdependence between members of the </w:t>
      </w:r>
      <w:r w:rsidR="00BA4677">
        <w:t xml:space="preserve">5/9 </w:t>
      </w:r>
      <w:r w:rsidRPr="00957B29" w:rsidR="00F50E4D">
        <w:t xml:space="preserve">Brim gang </w:t>
      </w:r>
      <w:r w:rsidRPr="00957B29" w:rsidR="005C1CC3">
        <w:t xml:space="preserve">underscores the </w:t>
      </w:r>
      <w:r w:rsidRPr="00957B29">
        <w:t xml:space="preserve">risks of </w:t>
      </w:r>
      <w:r w:rsidRPr="00957B29" w:rsidR="00FE178C">
        <w:t xml:space="preserve">confusing </w:t>
      </w:r>
      <w:r w:rsidRPr="00957B29">
        <w:t>gang membership with participation in a conspiracy to commit murder</w:t>
      </w:r>
      <w:r w:rsidRPr="00957B29" w:rsidR="00ED7FE4">
        <w:t xml:space="preserve"> in a long-running, large-scale, nonspecific conspiracy like the one charged </w:t>
      </w:r>
      <w:r w:rsidRPr="00957B29" w:rsidR="00672DEC">
        <w:t>here</w:t>
      </w:r>
      <w:r w:rsidRPr="00957B29">
        <w:t>.</w:t>
      </w:r>
      <w:r w:rsidRPr="00957B29" w:rsidR="00AB4F2E">
        <w:t xml:space="preserve">  </w:t>
      </w:r>
      <w:r w:rsidRPr="00957B29" w:rsidR="00194D06">
        <w:t>If the prosecution had charged Hoskins with conspiracy to commit murder in connection with any particular incident allegedly part of this conspiracy,</w:t>
      </w:r>
      <w:r w:rsidRPr="00957B29" w:rsidR="005C1CC3">
        <w:t xml:space="preserve"> </w:t>
      </w:r>
      <w:r w:rsidRPr="00957B29" w:rsidR="0008615D">
        <w:t xml:space="preserve">no </w:t>
      </w:r>
      <w:r w:rsidRPr="00957B29" w:rsidR="005C1CC3">
        <w:t xml:space="preserve">reasonable jury </w:t>
      </w:r>
      <w:r w:rsidRPr="00957B29" w:rsidR="001E1704">
        <w:t>c</w:t>
      </w:r>
      <w:r w:rsidRPr="00957B29" w:rsidR="005C1CC3">
        <w:t xml:space="preserve">ould have found Hoskins </w:t>
      </w:r>
      <w:r w:rsidRPr="00957B29" w:rsidR="0008615D">
        <w:t xml:space="preserve">guilty </w:t>
      </w:r>
      <w:r w:rsidRPr="00957B29" w:rsidR="004B586C">
        <w:t>based on the evidence presented at trial</w:t>
      </w:r>
      <w:r w:rsidRPr="00957B29" w:rsidR="00194D06">
        <w:t xml:space="preserve">. </w:t>
      </w:r>
      <w:r w:rsidRPr="00957B29" w:rsidR="004C39A4">
        <w:t xml:space="preserve"> </w:t>
      </w:r>
      <w:r w:rsidRPr="00957B29" w:rsidR="00194D06">
        <w:t xml:space="preserve">At most, the prosecution would be able to rely on </w:t>
      </w:r>
      <w:r w:rsidRPr="00957B29" w:rsidR="009A089E">
        <w:t xml:space="preserve">his </w:t>
      </w:r>
      <w:r w:rsidRPr="00957B29" w:rsidR="00194D06">
        <w:t xml:space="preserve">membership in the gang, association with </w:t>
      </w:r>
      <w:r w:rsidRPr="00957B29" w:rsidR="009A089E">
        <w:t>violent members</w:t>
      </w:r>
      <w:r w:rsidRPr="00957B29" w:rsidR="00194D06">
        <w:t xml:space="preserve">, </w:t>
      </w:r>
      <w:r w:rsidRPr="00957B29" w:rsidR="00DA74ED">
        <w:t xml:space="preserve">general </w:t>
      </w:r>
      <w:r w:rsidRPr="00957B29" w:rsidR="00194D06">
        <w:t xml:space="preserve">glorification of violence on social media, and </w:t>
      </w:r>
      <w:r w:rsidRPr="00957B29" w:rsidR="00DA74ED">
        <w:t>isolated behavior</w:t>
      </w:r>
      <w:r w:rsidRPr="00957B29" w:rsidR="00194D06">
        <w:t xml:space="preserve"> that had </w:t>
      </w:r>
      <w:r w:rsidRPr="00957B29" w:rsidR="005C1CC3">
        <w:t>a speculative</w:t>
      </w:r>
      <w:r w:rsidRPr="00957B29" w:rsidR="00194D06">
        <w:t xml:space="preserve"> link to </w:t>
      </w:r>
      <w:r w:rsidRPr="00957B29" w:rsidR="00755006">
        <w:t>a</w:t>
      </w:r>
      <w:r w:rsidR="00D93EB6">
        <w:t>ny</w:t>
      </w:r>
      <w:r w:rsidRPr="00957B29" w:rsidR="00755006">
        <w:t xml:space="preserve"> particular </w:t>
      </w:r>
      <w:r w:rsidRPr="00957B29" w:rsidR="00194D06">
        <w:t xml:space="preserve">incident.  But </w:t>
      </w:r>
      <w:r w:rsidRPr="00957B29" w:rsidR="000145B3">
        <w:t xml:space="preserve">because </w:t>
      </w:r>
      <w:r w:rsidR="00AC4DD3">
        <w:t>the prosecution</w:t>
      </w:r>
      <w:r w:rsidRPr="00957B29" w:rsidR="00AC4DD3">
        <w:t xml:space="preserve"> </w:t>
      </w:r>
      <w:r w:rsidRPr="00957B29" w:rsidR="000145B3">
        <w:t xml:space="preserve">had </w:t>
      </w:r>
      <w:r w:rsidRPr="00957B29" w:rsidR="00194D06">
        <w:t>alleg</w:t>
      </w:r>
      <w:r w:rsidRPr="00957B29" w:rsidR="000145B3">
        <w:t>ed</w:t>
      </w:r>
      <w:r w:rsidRPr="00957B29" w:rsidR="00194D06">
        <w:t xml:space="preserve"> that Hoskins was part of a much broader conspiracy, </w:t>
      </w:r>
      <w:r w:rsidR="00FB0896">
        <w:t>it</w:t>
      </w:r>
      <w:r w:rsidRPr="00957B29" w:rsidR="00194D06">
        <w:t xml:space="preserve"> </w:t>
      </w:r>
      <w:r w:rsidRPr="00957B29" w:rsidR="000145B3">
        <w:t xml:space="preserve">was permitted to introduce evidence </w:t>
      </w:r>
      <w:r w:rsidRPr="00957B29" w:rsidR="00F84DB9">
        <w:t>connect</w:t>
      </w:r>
      <w:r w:rsidRPr="00957B29" w:rsidR="000145B3">
        <w:t>ing</w:t>
      </w:r>
      <w:r w:rsidRPr="00957B29" w:rsidR="00F84DB9">
        <w:t xml:space="preserve"> </w:t>
      </w:r>
      <w:r w:rsidRPr="00957B29" w:rsidR="00194D06">
        <w:t xml:space="preserve">a number of </w:t>
      </w:r>
      <w:r w:rsidRPr="00957B29" w:rsidR="00D5111F">
        <w:t>disparate events</w:t>
      </w:r>
      <w:r w:rsidRPr="00957B29" w:rsidR="00194D06">
        <w:t xml:space="preserve"> across </w:t>
      </w:r>
      <w:r w:rsidRPr="00957B29" w:rsidR="002709F7">
        <w:t>multiple</w:t>
      </w:r>
      <w:r w:rsidRPr="00957B29" w:rsidR="009A089E">
        <w:t xml:space="preserve"> years</w:t>
      </w:r>
      <w:r w:rsidRPr="00957B29" w:rsidR="00F84DB9">
        <w:t xml:space="preserve"> and t</w:t>
      </w:r>
      <w:r w:rsidRPr="00957B29" w:rsidR="000145B3">
        <w:t>ying</w:t>
      </w:r>
      <w:r w:rsidRPr="00957B29" w:rsidR="00F84DB9">
        <w:t xml:space="preserve"> </w:t>
      </w:r>
      <w:r w:rsidRPr="00957B29" w:rsidR="00313721">
        <w:t>Hoskins</w:t>
      </w:r>
      <w:r w:rsidRPr="00957B29" w:rsidR="00194D06">
        <w:t xml:space="preserve"> </w:t>
      </w:r>
      <w:r w:rsidRPr="00957B29" w:rsidR="00F84DB9">
        <w:t xml:space="preserve">to </w:t>
      </w:r>
      <w:r w:rsidRPr="00957B29" w:rsidR="009A089E">
        <w:t xml:space="preserve">two </w:t>
      </w:r>
      <w:r w:rsidRPr="00957B29" w:rsidR="00194D06">
        <w:t xml:space="preserve">alleged coconspirators, both of whom </w:t>
      </w:r>
      <w:r w:rsidRPr="00957B29" w:rsidR="005C1CC3">
        <w:t>were much more strongly implicated in</w:t>
      </w:r>
      <w:r w:rsidRPr="00957B29" w:rsidR="00194D06">
        <w:t xml:space="preserve"> particular acts of violence linked to the conspiracy.  (See </w:t>
      </w:r>
      <w:r w:rsidRPr="00957B29" w:rsidR="002961EA">
        <w:rPr>
          <w:i/>
          <w:iCs/>
        </w:rPr>
        <w:t>i</w:t>
      </w:r>
      <w:r w:rsidRPr="00957B29" w:rsidR="0020078B">
        <w:rPr>
          <w:i/>
          <w:iCs/>
        </w:rPr>
        <w:t>d.</w:t>
      </w:r>
      <w:r w:rsidRPr="00957B29" w:rsidR="0020078B">
        <w:t xml:space="preserve"> at </w:t>
      </w:r>
      <w:r w:rsidRPr="00957B29" w:rsidR="00194D06">
        <w:t>pp.</w:t>
      </w:r>
      <w:r w:rsidRPr="00957B29" w:rsidR="00895467">
        <w:t> </w:t>
      </w:r>
      <w:r w:rsidRPr="00957B29" w:rsidR="00194D06">
        <w:t>940</w:t>
      </w:r>
      <w:r w:rsidRPr="00957B29" w:rsidR="00FF785F">
        <w:t>–</w:t>
      </w:r>
      <w:r w:rsidRPr="00957B29" w:rsidR="00194D06">
        <w:t>941.)</w:t>
      </w:r>
      <w:r w:rsidRPr="00957B29" w:rsidR="0047706E">
        <w:t xml:space="preserve">  The risk of jury confusion makes it all the more vital </w:t>
      </w:r>
      <w:r w:rsidRPr="00957B29" w:rsidR="00BF75CD">
        <w:t>for courts to carefully distinguish</w:t>
      </w:r>
      <w:r w:rsidRPr="00957B29" w:rsidR="00354145">
        <w:t xml:space="preserve"> between</w:t>
      </w:r>
      <w:r w:rsidRPr="00957B29" w:rsidR="00BF75CD">
        <w:t xml:space="preserve"> evidence of mere </w:t>
      </w:r>
      <w:r w:rsidRPr="00957B29" w:rsidR="008875F2">
        <w:t>membership</w:t>
      </w:r>
      <w:r w:rsidRPr="00957B29" w:rsidR="004E215C">
        <w:t xml:space="preserve"> </w:t>
      </w:r>
      <w:r w:rsidRPr="00957B29" w:rsidR="008875F2">
        <w:t>in</w:t>
      </w:r>
      <w:r w:rsidRPr="00957B29" w:rsidR="00BF75CD">
        <w:t xml:space="preserve"> a gang embroiled in a violent rivalry</w:t>
      </w:r>
      <w:r w:rsidRPr="00957B29" w:rsidR="00354145">
        <w:t xml:space="preserve">, on the one hand, and evidence sufficient </w:t>
      </w:r>
      <w:r w:rsidRPr="00957B29" w:rsidR="00BB7883">
        <w:t xml:space="preserve">to support </w:t>
      </w:r>
      <w:r w:rsidRPr="00957B29">
        <w:t xml:space="preserve">a </w:t>
      </w:r>
      <w:r w:rsidRPr="00957B29" w:rsidR="00BB7883">
        <w:t>conviction for conspiracy to commit murder, on the other.</w:t>
      </w:r>
      <w:r w:rsidRPr="00957B29" w:rsidR="00AC150E">
        <w:t xml:space="preserve"> </w:t>
      </w:r>
    </w:p>
    <w:p w:rsidR="00853EC3">
      <w:pPr>
        <w:spacing w:after="0" w:line="240" w:lineRule="auto"/>
        <w:jc w:val="left"/>
      </w:pPr>
      <w:r>
        <w:br w:type="page"/>
      </w:r>
    </w:p>
    <w:p w:rsidR="00DB1BBC" w:rsidRPr="00957B29" w:rsidP="00DB1BBC">
      <w:pPr>
        <w:jc w:val="center"/>
      </w:pPr>
      <w:bookmarkEnd w:id="17"/>
      <w:r w:rsidRPr="00957B29">
        <w:rPr>
          <w:b/>
          <w:bCs/>
        </w:rPr>
        <w:t>III.</w:t>
      </w:r>
    </w:p>
    <w:p w:rsidR="00DB1BBC" w:rsidRPr="00957B29" w:rsidP="00DB1BBC">
      <w:pPr>
        <w:tabs>
          <w:tab w:val="left" w:pos="1440"/>
        </w:tabs>
        <w:ind w:firstLine="720"/>
      </w:pPr>
      <w:r w:rsidRPr="00957B29">
        <w:t>We reverse the judgment of the Court of Appeal and remand for further proceedings consistent with this opinion.</w:t>
      </w:r>
    </w:p>
    <w:p w:rsidR="00DB1BBC" w:rsidRPr="00957B29" w:rsidP="00DB1BBC">
      <w:pPr>
        <w:tabs>
          <w:tab w:val="left" w:pos="1440"/>
        </w:tabs>
        <w:ind w:firstLine="720"/>
      </w:pPr>
    </w:p>
    <w:p w:rsidR="00DB1BBC" w:rsidRPr="00012806" w:rsidP="00DB1BBC">
      <w:pPr>
        <w:tabs>
          <w:tab w:val="left" w:pos="1440"/>
        </w:tabs>
        <w:ind w:firstLine="720"/>
        <w:rPr>
          <w:b/>
          <w:bCs/>
        </w:rPr>
      </w:pPr>
      <w:r w:rsidRPr="00957B29">
        <w:tab/>
      </w:r>
      <w:r w:rsidRPr="00957B29">
        <w:tab/>
      </w:r>
      <w:r w:rsidRPr="00957B29">
        <w:tab/>
      </w:r>
      <w:r w:rsidRPr="00957B29">
        <w:tab/>
      </w:r>
      <w:r w:rsidRPr="00957B29">
        <w:tab/>
      </w:r>
      <w:r w:rsidRPr="00957B29">
        <w:tab/>
      </w:r>
      <w:r w:rsidRPr="00957B29">
        <w:tab/>
      </w:r>
      <w:r>
        <w:t xml:space="preserve"> </w:t>
      </w:r>
      <w:r w:rsidRPr="00012806">
        <w:rPr>
          <w:b/>
          <w:bCs/>
        </w:rPr>
        <w:t xml:space="preserve">    KRUGER, J.</w:t>
      </w:r>
    </w:p>
    <w:p w:rsidR="00DB1BBC" w:rsidP="00DB1BBC">
      <w:pPr>
        <w:tabs>
          <w:tab w:val="left" w:pos="1440"/>
        </w:tabs>
        <w:rPr>
          <w:b/>
          <w:bCs/>
        </w:rPr>
      </w:pPr>
      <w:r w:rsidRPr="00012806">
        <w:rPr>
          <w:b/>
          <w:bCs/>
        </w:rPr>
        <w:t>We Concur:</w:t>
      </w:r>
    </w:p>
    <w:p w:rsidR="00DB1BBC" w:rsidP="00DB1BBC">
      <w:pPr>
        <w:tabs>
          <w:tab w:val="left" w:pos="1440"/>
        </w:tabs>
        <w:spacing w:after="0" w:line="240" w:lineRule="auto"/>
        <w:rPr>
          <w:b/>
          <w:bCs/>
        </w:rPr>
      </w:pPr>
      <w:r>
        <w:rPr>
          <w:b/>
          <w:bCs/>
        </w:rPr>
        <w:t>CANTIL-SAKAUYE, C.</w:t>
      </w:r>
      <w:r w:rsidR="009C73FE">
        <w:rPr>
          <w:b/>
          <w:bCs/>
        </w:rPr>
        <w:t> </w:t>
      </w:r>
      <w:r>
        <w:rPr>
          <w:b/>
          <w:bCs/>
        </w:rPr>
        <w:t>J.</w:t>
      </w:r>
    </w:p>
    <w:p w:rsidR="00DB1BBC" w:rsidP="00DB1BBC">
      <w:pPr>
        <w:tabs>
          <w:tab w:val="left" w:pos="1440"/>
        </w:tabs>
        <w:spacing w:after="0" w:line="240" w:lineRule="auto"/>
        <w:rPr>
          <w:b/>
          <w:bCs/>
        </w:rPr>
      </w:pPr>
      <w:r>
        <w:rPr>
          <w:b/>
          <w:bCs/>
        </w:rPr>
        <w:t>CORRIGAN, J.</w:t>
      </w:r>
    </w:p>
    <w:p w:rsidR="00DB1BBC" w:rsidP="00DB1BBC">
      <w:pPr>
        <w:tabs>
          <w:tab w:val="left" w:pos="1440"/>
        </w:tabs>
        <w:spacing w:after="0" w:line="240" w:lineRule="auto"/>
        <w:rPr>
          <w:b/>
          <w:bCs/>
        </w:rPr>
      </w:pPr>
      <w:r>
        <w:rPr>
          <w:b/>
          <w:bCs/>
        </w:rPr>
        <w:t>LIU, J.</w:t>
      </w:r>
    </w:p>
    <w:p w:rsidR="00DB1BBC" w:rsidP="00DB1BBC">
      <w:pPr>
        <w:tabs>
          <w:tab w:val="left" w:pos="1440"/>
        </w:tabs>
        <w:spacing w:after="0" w:line="240" w:lineRule="auto"/>
        <w:rPr>
          <w:b/>
          <w:bCs/>
        </w:rPr>
      </w:pPr>
      <w:r>
        <w:rPr>
          <w:b/>
          <w:bCs/>
        </w:rPr>
        <w:t>GROBAN, J.</w:t>
      </w:r>
    </w:p>
    <w:p w:rsidR="00DB1BBC" w:rsidP="00DB1BBC">
      <w:pPr>
        <w:tabs>
          <w:tab w:val="left" w:pos="1440"/>
        </w:tabs>
        <w:spacing w:after="0" w:line="240" w:lineRule="auto"/>
        <w:rPr>
          <w:b/>
          <w:bCs/>
        </w:rPr>
      </w:pPr>
      <w:r>
        <w:rPr>
          <w:b/>
          <w:bCs/>
        </w:rPr>
        <w:t>JENKINS, J.</w:t>
      </w:r>
    </w:p>
    <w:p w:rsidR="00DB1BBC" w:rsidRPr="00012806" w:rsidP="00DB1BBC">
      <w:pPr>
        <w:tabs>
          <w:tab w:val="left" w:pos="1440"/>
        </w:tabs>
        <w:spacing w:after="0" w:line="240" w:lineRule="auto"/>
        <w:rPr>
          <w:b/>
          <w:bCs/>
        </w:rPr>
      </w:pPr>
      <w:r>
        <w:rPr>
          <w:b/>
          <w:bCs/>
        </w:rPr>
        <w:t>GUERRERO, J.</w:t>
      </w:r>
    </w:p>
    <w:p w:rsidR="00B2581D" w:rsidP="00B2581D">
      <w:pPr>
        <w:jc w:val="left"/>
        <w:rPr>
          <w:b/>
          <w:bCs/>
        </w:rPr>
        <w:sectPr w:rsidSect="00373E1E">
          <w:footerReference w:type="first" r:id="rId11"/>
          <w:pgSz w:w="12240" w:h="15840"/>
          <w:pgMar w:top="1800" w:right="2160" w:bottom="1440" w:left="2160" w:header="720" w:footer="720" w:gutter="0"/>
          <w:pgNumType w:start="1"/>
          <w:cols w:space="720"/>
          <w:titlePg/>
          <w:docGrid w:linePitch="367"/>
        </w:sectPr>
      </w:pPr>
    </w:p>
    <w:p w:rsidR="00B2581D" w:rsidRPr="00B2581D" w:rsidP="00B2581D">
      <w:pPr>
        <w:spacing w:after="0" w:line="240" w:lineRule="auto"/>
        <w:jc w:val="left"/>
        <w:rPr>
          <w:i/>
          <w:sz w:val="24"/>
          <w:szCs w:val="24"/>
        </w:rPr>
      </w:pPr>
      <w:r w:rsidRPr="00B2581D">
        <w:rPr>
          <w:i/>
          <w:sz w:val="24"/>
          <w:szCs w:val="24"/>
        </w:rPr>
        <w:t>See next page for addresses and telephone numbers for counsel who argued in Supreme Court.</w:t>
      </w:r>
    </w:p>
    <w:p w:rsidR="00B2581D" w:rsidRPr="00B2581D" w:rsidP="00B2581D">
      <w:pPr>
        <w:spacing w:after="0" w:line="240" w:lineRule="auto"/>
        <w:jc w:val="left"/>
        <w:rPr>
          <w:i/>
          <w:sz w:val="24"/>
          <w:szCs w:val="24"/>
        </w:rPr>
      </w:pPr>
    </w:p>
    <w:p w:rsidR="00B2581D" w:rsidRPr="00B2581D" w:rsidP="00B2581D">
      <w:pPr>
        <w:spacing w:after="0" w:line="240" w:lineRule="auto"/>
        <w:jc w:val="left"/>
        <w:rPr>
          <w:bCs/>
          <w:sz w:val="24"/>
          <w:szCs w:val="24"/>
        </w:rPr>
      </w:pPr>
      <w:r w:rsidRPr="00B2581D">
        <w:rPr>
          <w:b/>
          <w:sz w:val="24"/>
          <w:szCs w:val="24"/>
        </w:rPr>
        <w:t xml:space="preserve">Name of Opinion  </w:t>
      </w:r>
      <w:r w:rsidRPr="00B2581D">
        <w:rPr>
          <w:bCs/>
          <w:sz w:val="24"/>
          <w:szCs w:val="24"/>
        </w:rPr>
        <w:t>People v. Ware</w:t>
      </w:r>
    </w:p>
    <w:p w:rsidR="00B2581D" w:rsidRPr="00B2581D" w:rsidP="00B2581D">
      <w:pPr>
        <w:spacing w:after="0" w:line="240" w:lineRule="auto"/>
        <w:jc w:val="left"/>
        <w:rPr>
          <w:b/>
          <w:sz w:val="24"/>
          <w:szCs w:val="24"/>
        </w:rPr>
      </w:pPr>
      <w:r w:rsidRPr="00B2581D">
        <w:rPr>
          <w:b/>
          <w:sz w:val="24"/>
          <w:szCs w:val="24"/>
        </w:rPr>
        <w:t xml:space="preserve">__________________________________________________________ </w:t>
      </w:r>
    </w:p>
    <w:p w:rsidR="00B2581D" w:rsidRPr="00B2581D" w:rsidP="00B2581D">
      <w:pPr>
        <w:spacing w:after="0" w:line="240" w:lineRule="auto"/>
        <w:jc w:val="left"/>
        <w:rPr>
          <w:b/>
          <w:sz w:val="24"/>
          <w:szCs w:val="24"/>
        </w:rPr>
      </w:pPr>
    </w:p>
    <w:p w:rsidR="00B2581D" w:rsidRPr="00B2581D" w:rsidP="00B2581D">
      <w:pPr>
        <w:spacing w:after="0" w:line="240" w:lineRule="auto"/>
        <w:jc w:val="left"/>
        <w:rPr>
          <w:sz w:val="24"/>
          <w:szCs w:val="24"/>
        </w:rPr>
      </w:pPr>
      <w:r w:rsidRPr="00B2581D">
        <w:rPr>
          <w:b/>
          <w:bCs/>
          <w:sz w:val="24"/>
          <w:szCs w:val="24"/>
          <w:u w:val="single"/>
        </w:rPr>
        <w:t>Procedural Posture</w:t>
      </w:r>
      <w:r w:rsidRPr="00B2581D">
        <w:rPr>
          <w:b/>
          <w:bCs/>
          <w:sz w:val="24"/>
          <w:szCs w:val="24"/>
        </w:rPr>
        <w:t xml:space="preserve"> </w:t>
      </w:r>
      <w:r w:rsidRPr="00B2581D">
        <w:rPr>
          <w:sz w:val="24"/>
          <w:szCs w:val="24"/>
        </w:rPr>
        <w:t>(see XX below)</w:t>
      </w:r>
    </w:p>
    <w:p w:rsidR="00B2581D" w:rsidRPr="00B2581D" w:rsidP="00B2581D">
      <w:pPr>
        <w:spacing w:after="0" w:line="240" w:lineRule="auto"/>
        <w:jc w:val="left"/>
        <w:rPr>
          <w:sz w:val="24"/>
          <w:szCs w:val="24"/>
        </w:rPr>
      </w:pPr>
      <w:r w:rsidRPr="00B2581D">
        <w:rPr>
          <w:b/>
          <w:bCs/>
          <w:sz w:val="24"/>
          <w:szCs w:val="24"/>
        </w:rPr>
        <w:t>Original Appeal</w:t>
      </w:r>
      <w:r w:rsidRPr="00B2581D">
        <w:rPr>
          <w:sz w:val="24"/>
          <w:szCs w:val="24"/>
        </w:rPr>
        <w:t xml:space="preserve"> </w:t>
      </w:r>
    </w:p>
    <w:p w:rsidR="00B2581D" w:rsidRPr="00B2581D" w:rsidP="00B2581D">
      <w:pPr>
        <w:spacing w:after="0" w:line="240" w:lineRule="auto"/>
        <w:jc w:val="left"/>
        <w:rPr>
          <w:b/>
          <w:bCs/>
          <w:sz w:val="24"/>
          <w:szCs w:val="24"/>
        </w:rPr>
      </w:pPr>
      <w:r w:rsidRPr="00B2581D">
        <w:rPr>
          <w:b/>
          <w:bCs/>
          <w:sz w:val="24"/>
          <w:szCs w:val="24"/>
        </w:rPr>
        <w:t>Original Proceeding</w:t>
      </w:r>
    </w:p>
    <w:p w:rsidR="00B2581D" w:rsidRPr="00B2581D" w:rsidP="00B2581D">
      <w:pPr>
        <w:spacing w:after="0" w:line="240" w:lineRule="auto"/>
        <w:jc w:val="left"/>
        <w:rPr>
          <w:sz w:val="24"/>
          <w:szCs w:val="24"/>
        </w:rPr>
      </w:pPr>
      <w:r w:rsidRPr="00B2581D">
        <w:rPr>
          <w:b/>
          <w:bCs/>
          <w:sz w:val="24"/>
          <w:szCs w:val="24"/>
        </w:rPr>
        <w:t>Review Granted</w:t>
      </w:r>
      <w:r w:rsidRPr="00B2581D">
        <w:rPr>
          <w:sz w:val="24"/>
          <w:szCs w:val="24"/>
        </w:rPr>
        <w:t xml:space="preserve"> </w:t>
      </w:r>
      <w:r w:rsidRPr="00B2581D">
        <w:rPr>
          <w:b/>
          <w:bCs/>
          <w:sz w:val="24"/>
          <w:szCs w:val="24"/>
        </w:rPr>
        <w:t xml:space="preserve">(published) </w:t>
      </w:r>
      <w:r w:rsidRPr="00B2581D">
        <w:rPr>
          <w:sz w:val="24"/>
          <w:szCs w:val="24"/>
        </w:rPr>
        <w:t>XX 52 Cal.App.5th 919</w:t>
      </w:r>
    </w:p>
    <w:p w:rsidR="00B2581D" w:rsidRPr="00B2581D" w:rsidP="00B2581D">
      <w:pPr>
        <w:spacing w:after="0" w:line="240" w:lineRule="auto"/>
        <w:jc w:val="left"/>
        <w:rPr>
          <w:sz w:val="24"/>
          <w:szCs w:val="24"/>
        </w:rPr>
      </w:pPr>
      <w:r w:rsidRPr="00B2581D">
        <w:rPr>
          <w:b/>
          <w:bCs/>
          <w:sz w:val="24"/>
          <w:szCs w:val="24"/>
        </w:rPr>
        <w:t xml:space="preserve">Review Granted (unpublished) </w:t>
      </w:r>
    </w:p>
    <w:p w:rsidR="00B2581D" w:rsidRPr="00B2581D" w:rsidP="00B2581D">
      <w:pPr>
        <w:spacing w:after="0" w:line="240" w:lineRule="auto"/>
        <w:jc w:val="left"/>
        <w:rPr>
          <w:b/>
          <w:bCs/>
          <w:sz w:val="24"/>
          <w:szCs w:val="24"/>
        </w:rPr>
      </w:pPr>
      <w:r w:rsidRPr="00B2581D">
        <w:rPr>
          <w:b/>
          <w:bCs/>
          <w:sz w:val="24"/>
          <w:szCs w:val="24"/>
        </w:rPr>
        <w:t>Rehearing Granted</w:t>
      </w:r>
    </w:p>
    <w:p w:rsidR="00B2581D" w:rsidRPr="00B2581D" w:rsidP="00B2581D">
      <w:pPr>
        <w:spacing w:after="0" w:line="240" w:lineRule="auto"/>
        <w:jc w:val="left"/>
        <w:rPr>
          <w:b/>
          <w:sz w:val="24"/>
          <w:szCs w:val="24"/>
        </w:rPr>
      </w:pPr>
      <w:r w:rsidRPr="00B2581D">
        <w:rPr>
          <w:b/>
          <w:sz w:val="24"/>
          <w:szCs w:val="24"/>
        </w:rPr>
        <w:t xml:space="preserve">__________________________________________________________ </w:t>
      </w:r>
    </w:p>
    <w:p w:rsidR="00B2581D" w:rsidRPr="00B2581D" w:rsidP="00B2581D">
      <w:pPr>
        <w:spacing w:after="0" w:line="240" w:lineRule="auto"/>
        <w:jc w:val="left"/>
        <w:rPr>
          <w:b/>
          <w:sz w:val="24"/>
          <w:szCs w:val="24"/>
        </w:rPr>
      </w:pPr>
    </w:p>
    <w:p w:rsidR="00B2581D" w:rsidRPr="00B2581D" w:rsidP="00B2581D">
      <w:pPr>
        <w:spacing w:after="0" w:line="240" w:lineRule="auto"/>
        <w:jc w:val="left"/>
        <w:rPr>
          <w:bCs/>
          <w:sz w:val="24"/>
          <w:szCs w:val="24"/>
        </w:rPr>
      </w:pPr>
      <w:r w:rsidRPr="00B2581D">
        <w:rPr>
          <w:b/>
          <w:sz w:val="24"/>
          <w:szCs w:val="24"/>
        </w:rPr>
        <w:t>Opinion No.</w:t>
      </w:r>
      <w:r w:rsidRPr="00B2581D">
        <w:rPr>
          <w:sz w:val="24"/>
          <w:szCs w:val="24"/>
        </w:rPr>
        <w:t xml:space="preserve"> S263923</w:t>
      </w:r>
    </w:p>
    <w:p w:rsidR="00B2581D" w:rsidRPr="00B2581D" w:rsidP="00B2581D">
      <w:pPr>
        <w:spacing w:after="0" w:line="240" w:lineRule="auto"/>
        <w:jc w:val="left"/>
        <w:rPr>
          <w:bCs/>
          <w:sz w:val="24"/>
          <w:szCs w:val="24"/>
        </w:rPr>
      </w:pPr>
      <w:r w:rsidRPr="00B2581D">
        <w:rPr>
          <w:b/>
          <w:sz w:val="24"/>
          <w:szCs w:val="24"/>
        </w:rPr>
        <w:t>Date Filed:</w:t>
      </w:r>
      <w:r w:rsidRPr="00B2581D">
        <w:rPr>
          <w:sz w:val="24"/>
          <w:szCs w:val="24"/>
        </w:rPr>
        <w:t xml:space="preserve">  December 1, 2022</w:t>
      </w:r>
    </w:p>
    <w:p w:rsidR="00B2581D" w:rsidRPr="00B2581D" w:rsidP="00B2581D">
      <w:pPr>
        <w:spacing w:after="0" w:line="240" w:lineRule="auto"/>
        <w:jc w:val="left"/>
        <w:rPr>
          <w:b/>
          <w:sz w:val="24"/>
          <w:szCs w:val="24"/>
        </w:rPr>
      </w:pPr>
      <w:r w:rsidRPr="00B2581D">
        <w:rPr>
          <w:b/>
          <w:sz w:val="24"/>
          <w:szCs w:val="24"/>
        </w:rPr>
        <w:t xml:space="preserve">__________________________________________________________ </w:t>
      </w:r>
    </w:p>
    <w:p w:rsidR="00B2581D" w:rsidRPr="00B2581D" w:rsidP="00B2581D">
      <w:pPr>
        <w:spacing w:after="0" w:line="240" w:lineRule="auto"/>
        <w:jc w:val="left"/>
        <w:rPr>
          <w:b/>
          <w:sz w:val="24"/>
          <w:szCs w:val="24"/>
        </w:rPr>
      </w:pPr>
    </w:p>
    <w:p w:rsidR="00B2581D" w:rsidRPr="00B2581D" w:rsidP="00B2581D">
      <w:pPr>
        <w:spacing w:after="0" w:line="240" w:lineRule="auto"/>
        <w:jc w:val="left"/>
        <w:rPr>
          <w:bCs/>
          <w:sz w:val="24"/>
          <w:szCs w:val="24"/>
        </w:rPr>
      </w:pPr>
      <w:r w:rsidRPr="00B2581D">
        <w:rPr>
          <w:b/>
          <w:sz w:val="24"/>
          <w:szCs w:val="24"/>
        </w:rPr>
        <w:t xml:space="preserve">Court:  </w:t>
      </w:r>
      <w:r w:rsidRPr="00B2581D">
        <w:rPr>
          <w:bCs/>
          <w:sz w:val="24"/>
          <w:szCs w:val="24"/>
        </w:rPr>
        <w:t>Superior</w:t>
      </w:r>
      <w:r w:rsidRPr="00B2581D">
        <w:rPr>
          <w:b/>
          <w:sz w:val="24"/>
          <w:szCs w:val="24"/>
        </w:rPr>
        <w:t xml:space="preserve"> </w:t>
      </w:r>
    </w:p>
    <w:p w:rsidR="00B2581D" w:rsidRPr="00B2581D" w:rsidP="00B2581D">
      <w:pPr>
        <w:spacing w:after="0" w:line="240" w:lineRule="auto"/>
        <w:jc w:val="left"/>
        <w:rPr>
          <w:bCs/>
          <w:sz w:val="24"/>
          <w:szCs w:val="24"/>
        </w:rPr>
      </w:pPr>
      <w:r w:rsidRPr="00B2581D">
        <w:rPr>
          <w:b/>
          <w:sz w:val="24"/>
          <w:szCs w:val="24"/>
        </w:rPr>
        <w:t xml:space="preserve">County:  </w:t>
      </w:r>
      <w:r w:rsidRPr="00B2581D">
        <w:rPr>
          <w:bCs/>
          <w:sz w:val="24"/>
          <w:szCs w:val="24"/>
        </w:rPr>
        <w:t>San Diego</w:t>
      </w:r>
    </w:p>
    <w:p w:rsidR="00B2581D" w:rsidRPr="00B2581D" w:rsidP="00B2581D">
      <w:pPr>
        <w:spacing w:after="0" w:line="240" w:lineRule="auto"/>
        <w:ind w:left="720" w:hanging="720"/>
        <w:jc w:val="left"/>
        <w:rPr>
          <w:bCs/>
          <w:sz w:val="24"/>
          <w:szCs w:val="24"/>
        </w:rPr>
      </w:pPr>
      <w:r w:rsidRPr="00B2581D">
        <w:rPr>
          <w:b/>
          <w:sz w:val="24"/>
          <w:szCs w:val="24"/>
        </w:rPr>
        <w:t xml:space="preserve">Judge: </w:t>
      </w:r>
      <w:r w:rsidRPr="00B2581D">
        <w:rPr>
          <w:bCs/>
          <w:sz w:val="24"/>
          <w:szCs w:val="24"/>
        </w:rPr>
        <w:t xml:space="preserve"> Leo Valentine, Jr.</w:t>
      </w:r>
    </w:p>
    <w:p w:rsidR="00B2581D" w:rsidRPr="00B2581D" w:rsidP="00B2581D">
      <w:pPr>
        <w:spacing w:after="0" w:line="240" w:lineRule="auto"/>
        <w:jc w:val="left"/>
        <w:rPr>
          <w:b/>
          <w:sz w:val="24"/>
          <w:szCs w:val="24"/>
        </w:rPr>
      </w:pPr>
      <w:r w:rsidRPr="00B2581D">
        <w:rPr>
          <w:b/>
          <w:sz w:val="24"/>
          <w:szCs w:val="24"/>
        </w:rPr>
        <w:t xml:space="preserve">__________________________________________________________  </w:t>
      </w:r>
    </w:p>
    <w:p w:rsidR="00B2581D" w:rsidRPr="00B2581D" w:rsidP="00B2581D">
      <w:pPr>
        <w:spacing w:after="0" w:line="240" w:lineRule="auto"/>
        <w:jc w:val="left"/>
        <w:rPr>
          <w:b/>
          <w:sz w:val="24"/>
          <w:szCs w:val="24"/>
        </w:rPr>
      </w:pPr>
    </w:p>
    <w:p w:rsidR="00B2581D" w:rsidRPr="00B2581D" w:rsidP="00B2581D">
      <w:pPr>
        <w:spacing w:after="0" w:line="240" w:lineRule="auto"/>
        <w:jc w:val="left"/>
        <w:rPr>
          <w:b/>
          <w:sz w:val="24"/>
          <w:szCs w:val="24"/>
        </w:rPr>
      </w:pPr>
      <w:r w:rsidRPr="00B2581D">
        <w:rPr>
          <w:b/>
          <w:sz w:val="24"/>
          <w:szCs w:val="24"/>
        </w:rPr>
        <w:t>Counsel:</w:t>
      </w:r>
    </w:p>
    <w:p w:rsidR="00B2581D" w:rsidRPr="00B2581D" w:rsidP="00B2581D">
      <w:pPr>
        <w:spacing w:after="0" w:line="240" w:lineRule="auto"/>
        <w:jc w:val="left"/>
        <w:rPr>
          <w:bCs/>
          <w:sz w:val="24"/>
          <w:szCs w:val="24"/>
        </w:rPr>
      </w:pPr>
    </w:p>
    <w:p w:rsidR="00B2581D" w:rsidRPr="00B2581D" w:rsidP="00B2581D">
      <w:pPr>
        <w:spacing w:after="0" w:line="240" w:lineRule="auto"/>
        <w:jc w:val="left"/>
        <w:rPr>
          <w:bCs/>
          <w:sz w:val="24"/>
          <w:szCs w:val="24"/>
        </w:rPr>
      </w:pPr>
      <w:r w:rsidRPr="00B2581D">
        <w:rPr>
          <w:bCs/>
          <w:sz w:val="24"/>
          <w:szCs w:val="24"/>
        </w:rPr>
        <w:t>Nancy Olsen, under appointment by the Supreme Court, for Defendant and Appellant Nicholas Hoskins.</w:t>
      </w:r>
    </w:p>
    <w:p w:rsidR="00B2581D" w:rsidRPr="00B2581D" w:rsidP="00B2581D">
      <w:pPr>
        <w:spacing w:after="0" w:line="240" w:lineRule="auto"/>
        <w:jc w:val="left"/>
        <w:rPr>
          <w:bCs/>
          <w:sz w:val="24"/>
          <w:szCs w:val="24"/>
        </w:rPr>
      </w:pPr>
    </w:p>
    <w:p w:rsidR="00B2581D" w:rsidRPr="00B2581D" w:rsidP="00B2581D">
      <w:pPr>
        <w:spacing w:after="0" w:line="240" w:lineRule="auto"/>
        <w:jc w:val="left"/>
        <w:rPr>
          <w:bCs/>
          <w:sz w:val="24"/>
          <w:szCs w:val="24"/>
        </w:rPr>
      </w:pPr>
      <w:r w:rsidRPr="00B2581D">
        <w:rPr>
          <w:bCs/>
          <w:sz w:val="24"/>
          <w:szCs w:val="24"/>
        </w:rPr>
        <w:t>Xavier Becerra and Rob Bonta, Attorneys General, Gerald A. Engler and Lance E. Winters, Chief Assistant Attorneys General, Julie L. Garland, Assistant Attorney General, A. Natasha Cortina, Steve Oetting and Christine L. Bergman, Deputy Attorneys General, for Plaintiff and Respondent.</w:t>
      </w:r>
    </w:p>
    <w:p w:rsidR="00B2581D" w:rsidRPr="00B2581D" w:rsidP="00B2581D">
      <w:pPr>
        <w:spacing w:after="0" w:line="240" w:lineRule="auto"/>
        <w:jc w:val="left"/>
        <w:rPr>
          <w:bCs/>
          <w:sz w:val="24"/>
          <w:szCs w:val="24"/>
        </w:rPr>
      </w:pPr>
    </w:p>
    <w:p w:rsidR="00B2581D" w:rsidRPr="00B2581D" w:rsidP="00B2581D">
      <w:pPr>
        <w:spacing w:after="0" w:line="240" w:lineRule="auto"/>
        <w:jc w:val="left"/>
        <w:rPr>
          <w:color w:val="212121"/>
          <w:sz w:val="24"/>
          <w:szCs w:val="24"/>
          <w:shd w:val="clear" w:color="auto" w:fill="FFFFFF"/>
        </w:rPr>
      </w:pPr>
      <w:r w:rsidRPr="00B2581D">
        <w:rPr>
          <w:color w:val="212121"/>
          <w:sz w:val="24"/>
          <w:szCs w:val="24"/>
          <w:shd w:val="clear" w:color="auto" w:fill="FFFFFF"/>
        </w:rPr>
        <w:br w:type="page"/>
      </w:r>
      <w:r w:rsidRPr="00B2581D">
        <w:rPr>
          <w:b/>
          <w:sz w:val="24"/>
          <w:szCs w:val="24"/>
        </w:rPr>
        <w:t>Counsel who argued in Supreme Court (not intended for publication with opinion):</w:t>
      </w:r>
    </w:p>
    <w:p w:rsidR="00B2581D" w:rsidRPr="00B2581D" w:rsidP="00B2581D">
      <w:pPr>
        <w:spacing w:after="0" w:line="240" w:lineRule="auto"/>
        <w:jc w:val="left"/>
        <w:rPr>
          <w:sz w:val="24"/>
          <w:szCs w:val="24"/>
        </w:rPr>
      </w:pPr>
    </w:p>
    <w:p w:rsidR="00B2581D" w:rsidRPr="00B2581D" w:rsidP="00B2581D">
      <w:pPr>
        <w:spacing w:after="0" w:line="240" w:lineRule="auto"/>
        <w:jc w:val="left"/>
        <w:rPr>
          <w:bCs/>
          <w:sz w:val="24"/>
          <w:szCs w:val="24"/>
        </w:rPr>
      </w:pPr>
      <w:r w:rsidRPr="00B2581D">
        <w:rPr>
          <w:bCs/>
          <w:sz w:val="24"/>
          <w:szCs w:val="24"/>
        </w:rPr>
        <w:t>Nancy Olsen</w:t>
      </w:r>
    </w:p>
    <w:p w:rsidR="00B2581D" w:rsidRPr="00B2581D" w:rsidP="00B2581D">
      <w:pPr>
        <w:spacing w:after="0" w:line="240" w:lineRule="auto"/>
        <w:jc w:val="left"/>
        <w:rPr>
          <w:bCs/>
          <w:sz w:val="24"/>
          <w:szCs w:val="24"/>
        </w:rPr>
      </w:pPr>
      <w:r w:rsidRPr="00B2581D">
        <w:rPr>
          <w:bCs/>
          <w:sz w:val="24"/>
          <w:szCs w:val="24"/>
        </w:rPr>
        <w:t>Attorney at Law</w:t>
      </w:r>
    </w:p>
    <w:p w:rsidR="00B2581D" w:rsidRPr="00B2581D" w:rsidP="00B2581D">
      <w:pPr>
        <w:spacing w:after="0" w:line="240" w:lineRule="auto"/>
        <w:jc w:val="left"/>
        <w:rPr>
          <w:bCs/>
          <w:sz w:val="24"/>
          <w:szCs w:val="24"/>
        </w:rPr>
      </w:pPr>
      <w:r w:rsidRPr="00B2581D">
        <w:rPr>
          <w:bCs/>
          <w:sz w:val="24"/>
          <w:szCs w:val="24"/>
        </w:rPr>
        <w:t>P.O. Box 231153</w:t>
      </w:r>
    </w:p>
    <w:p w:rsidR="00B2581D" w:rsidRPr="00B2581D" w:rsidP="00B2581D">
      <w:pPr>
        <w:spacing w:after="0" w:line="240" w:lineRule="auto"/>
        <w:jc w:val="left"/>
        <w:rPr>
          <w:bCs/>
          <w:sz w:val="24"/>
          <w:szCs w:val="24"/>
        </w:rPr>
      </w:pPr>
      <w:r w:rsidRPr="00B2581D">
        <w:rPr>
          <w:bCs/>
          <w:sz w:val="24"/>
          <w:szCs w:val="24"/>
        </w:rPr>
        <w:t>Encinitas, CA 92023-1153</w:t>
      </w:r>
    </w:p>
    <w:p w:rsidR="00B2581D" w:rsidRPr="00B2581D" w:rsidP="00B2581D">
      <w:pPr>
        <w:spacing w:after="0" w:line="240" w:lineRule="auto"/>
        <w:jc w:val="left"/>
        <w:rPr>
          <w:bCs/>
          <w:sz w:val="24"/>
          <w:szCs w:val="24"/>
        </w:rPr>
      </w:pPr>
      <w:r w:rsidRPr="00B2581D">
        <w:rPr>
          <w:bCs/>
          <w:sz w:val="24"/>
          <w:szCs w:val="24"/>
        </w:rPr>
        <w:t>(760) 753-5206</w:t>
      </w:r>
    </w:p>
    <w:p w:rsidR="00B2581D" w:rsidRPr="00B2581D" w:rsidP="00B2581D">
      <w:pPr>
        <w:spacing w:after="0" w:line="240" w:lineRule="auto"/>
        <w:jc w:val="left"/>
        <w:rPr>
          <w:bCs/>
          <w:sz w:val="24"/>
          <w:szCs w:val="24"/>
        </w:rPr>
      </w:pPr>
    </w:p>
    <w:p w:rsidR="00B2581D" w:rsidRPr="00B2581D" w:rsidP="00B2581D">
      <w:pPr>
        <w:spacing w:after="0" w:line="240" w:lineRule="auto"/>
        <w:jc w:val="left"/>
        <w:rPr>
          <w:bCs/>
          <w:sz w:val="24"/>
          <w:szCs w:val="24"/>
        </w:rPr>
      </w:pPr>
      <w:r w:rsidRPr="00B2581D">
        <w:rPr>
          <w:bCs/>
          <w:sz w:val="24"/>
          <w:szCs w:val="24"/>
        </w:rPr>
        <w:t>Christine L. Bergman</w:t>
      </w:r>
    </w:p>
    <w:p w:rsidR="00B2581D" w:rsidRPr="00B2581D" w:rsidP="00B2581D">
      <w:pPr>
        <w:spacing w:after="0" w:line="240" w:lineRule="auto"/>
        <w:jc w:val="left"/>
        <w:rPr>
          <w:bCs/>
          <w:sz w:val="24"/>
          <w:szCs w:val="24"/>
        </w:rPr>
      </w:pPr>
      <w:r w:rsidRPr="00B2581D">
        <w:rPr>
          <w:bCs/>
          <w:sz w:val="24"/>
          <w:szCs w:val="24"/>
        </w:rPr>
        <w:t>Deputy Attorney General</w:t>
      </w:r>
    </w:p>
    <w:p w:rsidR="00B2581D" w:rsidRPr="00B2581D" w:rsidP="00B2581D">
      <w:pPr>
        <w:spacing w:after="0" w:line="240" w:lineRule="auto"/>
        <w:jc w:val="left"/>
        <w:rPr>
          <w:bCs/>
          <w:sz w:val="24"/>
          <w:szCs w:val="24"/>
        </w:rPr>
      </w:pPr>
      <w:r w:rsidRPr="00B2581D">
        <w:rPr>
          <w:bCs/>
          <w:sz w:val="24"/>
          <w:szCs w:val="24"/>
        </w:rPr>
        <w:t>600 West Broadway, Suite 1800</w:t>
      </w:r>
    </w:p>
    <w:p w:rsidR="00B2581D" w:rsidRPr="00B2581D" w:rsidP="00B2581D">
      <w:pPr>
        <w:spacing w:after="0" w:line="240" w:lineRule="auto"/>
        <w:jc w:val="left"/>
        <w:rPr>
          <w:bCs/>
          <w:sz w:val="24"/>
          <w:szCs w:val="24"/>
        </w:rPr>
      </w:pPr>
      <w:r w:rsidRPr="00B2581D">
        <w:rPr>
          <w:bCs/>
          <w:sz w:val="24"/>
          <w:szCs w:val="24"/>
        </w:rPr>
        <w:t>San Diego, CA 92101</w:t>
      </w:r>
    </w:p>
    <w:p w:rsidR="00B2581D" w:rsidRPr="00B2581D" w:rsidP="00B2581D">
      <w:pPr>
        <w:spacing w:after="0" w:line="240" w:lineRule="auto"/>
        <w:jc w:val="left"/>
        <w:rPr>
          <w:sz w:val="24"/>
          <w:szCs w:val="24"/>
        </w:rPr>
      </w:pPr>
      <w:r w:rsidRPr="00B2581D">
        <w:rPr>
          <w:bCs/>
          <w:sz w:val="24"/>
          <w:szCs w:val="24"/>
        </w:rPr>
        <w:t>(619) 738-9159</w:t>
      </w:r>
    </w:p>
    <w:p w:rsidR="0020078B" w:rsidRPr="00012806" w:rsidP="00B2581D">
      <w:pPr>
        <w:jc w:val="left"/>
        <w:rPr>
          <w:b/>
          <w:bCs/>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B29">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1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B29">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3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3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4BD1">
      <w:r>
        <w:separator/>
      </w:r>
    </w:p>
  </w:footnote>
  <w:footnote w:type="continuationSeparator" w:id="1">
    <w:p w:rsidR="00734BD1">
      <w:pPr>
        <w:rPr>
          <w:sz w:val="22"/>
        </w:rPr>
      </w:pPr>
      <w:r>
        <w:continuationSeparator/>
      </w:r>
    </w:p>
  </w:footnote>
  <w:footnote w:type="continuationNotice" w:id="2">
    <w:p w:rsidR="00734BD1">
      <w:pPr>
        <w:jc w:val="right"/>
        <w:rPr>
          <w:i/>
          <w:sz w:val="20"/>
        </w:rPr>
      </w:pPr>
    </w:p>
  </w:footnote>
  <w:footnote w:id="3">
    <w:p w:rsidR="00D014AC" w:rsidP="00957B29">
      <w:pPr>
        <w:pStyle w:val="FootnoteText"/>
      </w:pPr>
      <w:r>
        <w:rPr>
          <w:rStyle w:val="FootnoteReference"/>
        </w:rPr>
        <w:footnoteRef/>
      </w:r>
      <w:r>
        <w:tab/>
        <w:t>Throughout this opinion, we quote the relevant communications as they appear</w:t>
      </w:r>
      <w:r w:rsidR="000727CB">
        <w:t>ed</w:t>
      </w:r>
      <w:r>
        <w:t xml:space="preserve"> </w:t>
      </w:r>
      <w:r w:rsidR="000727CB">
        <w:t>in Hoskins’s original social media posts, including his spelling and capitalization.  But</w:t>
      </w:r>
      <w:r w:rsidR="00085AB9">
        <w:t xml:space="preserve"> </w:t>
      </w:r>
      <w:r w:rsidR="000727CB">
        <w:t>c</w:t>
      </w:r>
      <w:r w:rsidR="00085AB9">
        <w:t>onsistent with the</w:t>
      </w:r>
      <w:r w:rsidR="000727CB">
        <w:t xml:space="preserve"> approach </w:t>
      </w:r>
      <w:r w:rsidR="009C38C1">
        <w:t xml:space="preserve">taken </w:t>
      </w:r>
      <w:r w:rsidR="000727CB">
        <w:t>in the</w:t>
      </w:r>
      <w:r w:rsidR="00085AB9">
        <w:t xml:space="preserve"> Court of Appeal</w:t>
      </w:r>
      <w:r w:rsidR="009C38C1">
        <w:t xml:space="preserve"> and by the parties</w:t>
      </w:r>
      <w:r w:rsidR="00085AB9">
        <w:t>, we</w:t>
      </w:r>
      <w:r w:rsidR="0028247C">
        <w:t xml:space="preserve"> use the term “n-word” rather than the original that appeared in the posts.</w:t>
      </w:r>
    </w:p>
  </w:footnote>
  <w:footnote w:id="4">
    <w:p w:rsidR="009E1EF8" w:rsidP="00957B29">
      <w:pPr>
        <w:pStyle w:val="FootnoteText"/>
      </w:pPr>
      <w:r>
        <w:rPr>
          <w:rStyle w:val="FootnoteReference"/>
        </w:rPr>
        <w:footnoteRef/>
      </w:r>
      <w:r>
        <w:t xml:space="preserve"> </w:t>
      </w:r>
      <w:r>
        <w:tab/>
        <w:t>The full Facebook post read:  “</w:t>
      </w:r>
      <w:r w:rsidRPr="00194D06">
        <w:t>Son was Born healthy.</w:t>
      </w:r>
      <w:r w:rsidR="006E72A3">
        <w:t xml:space="preserve"> </w:t>
      </w:r>
      <w:r w:rsidRPr="00194D06">
        <w:t xml:space="preserve"> cKrossys got Hit, all I need is some Dro and my day is set lol #Happy Easter</w:t>
      </w:r>
      <w:r>
        <w:t>!</w:t>
      </w:r>
      <w:r w:rsidRPr="00194D06">
        <w:t>”</w:t>
      </w:r>
    </w:p>
  </w:footnote>
  <w:footnote w:id="5">
    <w:p w:rsidR="002E2826" w:rsidP="00957B29">
      <w:pPr>
        <w:pStyle w:val="FootnoteText"/>
      </w:pPr>
      <w:r>
        <w:rPr>
          <w:rStyle w:val="FootnoteReference"/>
        </w:rPr>
        <w:footnoteRef/>
      </w:r>
      <w:r>
        <w:tab/>
        <w:t>Specifically</w:t>
      </w:r>
      <w:r w:rsidR="00735E17">
        <w:t>,</w:t>
      </w:r>
      <w:r>
        <w:t xml:space="preserve"> the court concluded there </w:t>
      </w:r>
      <w:r w:rsidR="00735E17">
        <w:t xml:space="preserve">was </w:t>
      </w:r>
      <w:r>
        <w:t>no evidence Hoskins had promoted, furthered, assisted, or benefited from “</w:t>
      </w:r>
      <w:r w:rsidR="00265E00">
        <w:t> ‘</w:t>
      </w:r>
      <w:r>
        <w:rPr>
          <w:i/>
          <w:iCs/>
        </w:rPr>
        <w:t xml:space="preserve">any </w:t>
      </w:r>
      <w:r w:rsidRPr="008E36D0">
        <w:rPr>
          <w:i/>
          <w:iCs/>
        </w:rPr>
        <w:t>felonious</w:t>
      </w:r>
      <w:r>
        <w:t xml:space="preserve"> </w:t>
      </w:r>
      <w:r>
        <w:rPr>
          <w:i/>
          <w:iCs/>
        </w:rPr>
        <w:t xml:space="preserve">criminal </w:t>
      </w:r>
      <w:r w:rsidRPr="00265E00">
        <w:rPr>
          <w:i/>
          <w:iCs/>
        </w:rPr>
        <w:t>conduct</w:t>
      </w:r>
      <w:r w:rsidRPr="00265E00" w:rsidR="00265E00">
        <w:t>’</w:t>
      </w:r>
      <w:r w:rsidR="00265E00">
        <w:t> </w:t>
      </w:r>
      <w:r>
        <w:t xml:space="preserve">” by </w:t>
      </w:r>
      <w:r w:rsidR="006A645F">
        <w:t xml:space="preserve">5/9 </w:t>
      </w:r>
      <w:r>
        <w:t>Brim members, as opposed to conduct not constituting a felony.</w:t>
      </w:r>
      <w:r w:rsidR="00B30531">
        <w:t xml:space="preserve">  (</w:t>
      </w:r>
      <w:r w:rsidR="00B30531">
        <w:rPr>
          <w:i/>
          <w:iCs/>
        </w:rPr>
        <w:t xml:space="preserve">People v. </w:t>
      </w:r>
      <w:r w:rsidRPr="00194D06" w:rsidR="00B30531">
        <w:rPr>
          <w:i/>
          <w:iCs/>
        </w:rPr>
        <w:t>Ware</w:t>
      </w:r>
      <w:r w:rsidR="00B30531">
        <w:t xml:space="preserve"> (2020) </w:t>
      </w:r>
      <w:r w:rsidRPr="00194D06" w:rsidR="00B30531">
        <w:t xml:space="preserve">52 Cal.App.5th </w:t>
      </w:r>
      <w:r w:rsidR="00B30531">
        <w:t>919, 951 (</w:t>
      </w:r>
      <w:r w:rsidRPr="00265E00" w:rsidR="00B30531">
        <w:rPr>
          <w:i/>
          <w:iCs/>
        </w:rPr>
        <w:t>Ware</w:t>
      </w:r>
      <w:r w:rsidR="00B30531">
        <w:t xml:space="preserve">).)  </w:t>
      </w:r>
      <w:r>
        <w:t>The court’s ruling on Hoskins’s gang conspiracy conviction is not before us.</w:t>
      </w:r>
    </w:p>
  </w:footnote>
  <w:footnote w:id="6">
    <w:p w:rsidR="00A7454B" w:rsidRPr="007E2447" w:rsidP="00A7454B">
      <w:pPr>
        <w:pStyle w:val="FootnoteText"/>
        <w:rPr>
          <w:szCs w:val="26"/>
        </w:rPr>
      </w:pPr>
      <w:r w:rsidRPr="0091705C">
        <w:rPr>
          <w:rStyle w:val="FootnoteReference"/>
        </w:rPr>
        <w:footnoteRef/>
      </w:r>
      <w:r w:rsidRPr="0091705C">
        <w:rPr>
          <w:sz w:val="20"/>
        </w:rPr>
        <w:t xml:space="preserve"> </w:t>
      </w:r>
      <w:r>
        <w:rPr>
          <w:sz w:val="20"/>
        </w:rPr>
        <w:tab/>
      </w:r>
      <w:r>
        <w:rPr>
          <w:szCs w:val="26"/>
        </w:rPr>
        <w:t>The Court of Appeal stated that the loaded revolver was recovered “</w:t>
      </w:r>
      <w:r>
        <w:t>in an area after chasing Hoskins.”  (</w:t>
      </w:r>
      <w:r w:rsidRPr="00194D06">
        <w:rPr>
          <w:i/>
          <w:iCs/>
        </w:rPr>
        <w:t>Ware</w:t>
      </w:r>
      <w:r w:rsidRPr="00194D06">
        <w:t xml:space="preserve">, </w:t>
      </w:r>
      <w:r w:rsidRPr="00194D06">
        <w:rPr>
          <w:i/>
          <w:iCs/>
        </w:rPr>
        <w:t>supra</w:t>
      </w:r>
      <w:r w:rsidRPr="00194D06">
        <w:t xml:space="preserve">, 52 Cal.App.5th at </w:t>
      </w:r>
      <w:r>
        <w:t>p</w:t>
      </w:r>
      <w:r w:rsidRPr="00194D06">
        <w:t>.</w:t>
      </w:r>
      <w:r>
        <w:t xml:space="preserve"> 942.)  </w:t>
      </w:r>
      <w:r w:rsidR="00BF132B">
        <w:t xml:space="preserve">This appears to be an error; </w:t>
      </w:r>
      <w:r>
        <w:t>the</w:t>
      </w:r>
      <w:r>
        <w:rPr>
          <w:szCs w:val="26"/>
        </w:rPr>
        <w:t xml:space="preserve"> record does not show Hoskins was chased, and the loaded revolver was found in the backyard of a house of which Hoskins was standing in front.  The apparent </w:t>
      </w:r>
      <w:r w:rsidR="00F31A82">
        <w:rPr>
          <w:szCs w:val="26"/>
        </w:rPr>
        <w:t xml:space="preserve">misstatement </w:t>
      </w:r>
      <w:r w:rsidR="00BF132B">
        <w:rPr>
          <w:szCs w:val="26"/>
        </w:rPr>
        <w:t xml:space="preserve">of the evidence </w:t>
      </w:r>
      <w:r>
        <w:rPr>
          <w:szCs w:val="26"/>
        </w:rPr>
        <w:t>does not, however, affect our analysis of the issue presented.</w:t>
      </w:r>
    </w:p>
  </w:footnote>
  <w:footnote w:id="7">
    <w:p w:rsidR="00AC40B6" w:rsidRPr="007E2447" w:rsidP="00957B29">
      <w:pPr>
        <w:pStyle w:val="FootnoteText"/>
        <w:rPr>
          <w:szCs w:val="26"/>
        </w:rPr>
      </w:pPr>
      <w:r w:rsidRPr="0091705C">
        <w:rPr>
          <w:rStyle w:val="FootnoteReference"/>
        </w:rPr>
        <w:footnoteRef/>
      </w:r>
      <w:r w:rsidRPr="0091705C">
        <w:rPr>
          <w:sz w:val="20"/>
        </w:rPr>
        <w:t xml:space="preserve"> </w:t>
      </w:r>
      <w:r>
        <w:rPr>
          <w:sz w:val="20"/>
        </w:rPr>
        <w:tab/>
      </w:r>
      <w:r w:rsidR="00810E69">
        <w:rPr>
          <w:szCs w:val="26"/>
        </w:rPr>
        <w:t>The Court of Appeal wrote that Hoskins and Paris were “</w:t>
      </w:r>
      <w:r w:rsidR="00BD2BB1">
        <w:rPr>
          <w:szCs w:val="26"/>
        </w:rPr>
        <w:t> </w:t>
      </w:r>
      <w:r w:rsidR="00810E69">
        <w:rPr>
          <w:szCs w:val="26"/>
        </w:rPr>
        <w:t xml:space="preserve">‘flipping off’ NC,” but the evidence suggests they were trying to insult WCC, a different rival Crips gang, instead.  </w:t>
      </w:r>
      <w:r w:rsidR="00582807">
        <w:rPr>
          <w:szCs w:val="26"/>
        </w:rPr>
        <w:t>(</w:t>
      </w:r>
      <w:r w:rsidRPr="00957B29" w:rsidR="00582807">
        <w:rPr>
          <w:i/>
          <w:iCs/>
        </w:rPr>
        <w:t>Ware</w:t>
      </w:r>
      <w:r w:rsidRPr="00957B29" w:rsidR="00582807">
        <w:t xml:space="preserve">, </w:t>
      </w:r>
      <w:r w:rsidRPr="00957B29" w:rsidR="00582807">
        <w:rPr>
          <w:i/>
          <w:iCs/>
        </w:rPr>
        <w:t>supra</w:t>
      </w:r>
      <w:r w:rsidRPr="00957B29" w:rsidR="00582807">
        <w:t>, 52 Cal.App.5th at p. 942</w:t>
      </w:r>
      <w:r w:rsidR="00582807">
        <w:t xml:space="preserve">.)  </w:t>
      </w:r>
      <w:r w:rsidR="00810E69">
        <w:rPr>
          <w:szCs w:val="26"/>
        </w:rPr>
        <w:t>Again, the apparent misstatement is not material to our analysis of the issue presented.</w:t>
      </w:r>
    </w:p>
  </w:footnote>
  <w:footnote w:id="8">
    <w:p w:rsidR="000F2F5B" w:rsidP="00957B29">
      <w:pPr>
        <w:pStyle w:val="FootnoteText"/>
      </w:pPr>
      <w:r>
        <w:rPr>
          <w:rStyle w:val="FootnoteReference"/>
        </w:rPr>
        <w:footnoteRef/>
      </w:r>
      <w:r>
        <w:t xml:space="preserve"> </w:t>
      </w:r>
      <w:r w:rsidR="00CC45EB">
        <w:tab/>
      </w:r>
      <w:r>
        <w:t>In a separate letter, the San Diego District Attorney’s Office sought, and the Court of Appeal granted, publication of the portion of the opinion discussing the withdrawal of Hoskins’s attorney.</w:t>
      </w:r>
    </w:p>
  </w:footnote>
  <w:footnote w:id="9">
    <w:p w:rsidR="003A1421" w:rsidP="00957B29">
      <w:pPr>
        <w:pStyle w:val="FootnoteText"/>
      </w:pPr>
      <w:r>
        <w:rPr>
          <w:rStyle w:val="FootnoteReference"/>
        </w:rPr>
        <w:footnoteRef/>
      </w:r>
      <w:r>
        <w:t xml:space="preserve"> </w:t>
      </w:r>
      <w:r w:rsidR="00CC45EB">
        <w:tab/>
      </w:r>
      <w:r>
        <w:t>The Attorney General also sought, and the Court of Appeal granted, publication o</w:t>
      </w:r>
      <w:r w:rsidR="000F2F5B">
        <w:t>f the opinion</w:t>
      </w:r>
      <w:r w:rsidR="00E138E7">
        <w:t xml:space="preserve"> section</w:t>
      </w:r>
      <w:r w:rsidR="000F2F5B">
        <w:t xml:space="preserve"> discussing First Amendment challenges to the use of social media evidence at trial.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B29">
    <w:pPr>
      <w:pStyle w:val="Header"/>
    </w:pPr>
    <w:bookmarkStart w:id="2" w:name="_Hlk116905440"/>
    <w:bookmarkStart w:id="3" w:name="_Hlk116905441"/>
    <w:bookmarkStart w:id="4" w:name="_Hlk116905442"/>
    <w:bookmarkStart w:id="5" w:name="_Hlk116905443"/>
    <w:bookmarkStart w:id="6" w:name="_Hlk116905444"/>
    <w:bookmarkStart w:id="7" w:name="_Hlk116905445"/>
    <w:bookmarkStart w:id="8" w:name="_Hlk116905446"/>
    <w:bookmarkStart w:id="9" w:name="_Hlk116905447"/>
    <w:r>
      <w:t>PEOPLE v. WARE</w:t>
    </w:r>
  </w:p>
  <w:p w:rsidR="00957B29">
    <w:pPr>
      <w:pStyle w:val="Header"/>
    </w:pPr>
    <w:r>
      <w:t>Opinion of the Court by Kruger, J.</w:t>
    </w:r>
  </w:p>
  <w:p w:rsidR="00957B29">
    <w:pPr>
      <w:pStyle w:val="Header"/>
    </w:pPr>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1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3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3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879A4"/>
    <w:multiLevelType w:val="hybridMultilevel"/>
    <w:tmpl w:val="6C4C1DB6"/>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2BA3680"/>
    <w:multiLevelType w:val="hybridMultilevel"/>
    <w:tmpl w:val="BF5A7E70"/>
    <w:lvl w:ilvl="0">
      <w:start w:val="1"/>
      <w:numFmt w:val="decimal"/>
      <w:lvlText w:val="%1."/>
      <w:lvlJc w:val="left"/>
      <w:pPr>
        <w:ind w:left="720" w:hanging="504"/>
      </w:pPr>
      <w:rPr>
        <w:rFonts w:hint="default"/>
      </w:rPr>
    </w:lvl>
    <w:lvl w:ilvl="1">
      <w:start w:val="1"/>
      <w:numFmt w:val="lowerLetter"/>
      <w:lvlText w:val="%2."/>
      <w:lvlJc w:val="left"/>
      <w:pPr>
        <w:ind w:left="1800" w:hanging="360"/>
      </w:pPr>
    </w:lvl>
    <w:lvl w:ilvl="2">
      <w:start w:val="1"/>
      <w:numFmt w:val="upperLetter"/>
      <w:lvlText w:val="%3."/>
      <w:lvlJc w:val="left"/>
      <w:pPr>
        <w:ind w:left="3060" w:hanging="720"/>
      </w:pPr>
      <w:rPr>
        <w:rFonts w:hint="default"/>
        <w:u w:val="none"/>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8568E7"/>
    <w:multiLevelType w:val="hybridMultilevel"/>
    <w:tmpl w:val="803850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C67417"/>
    <w:multiLevelType w:val="hybridMultilevel"/>
    <w:tmpl w:val="8C003D90"/>
    <w:lvl w:ilvl="0">
      <w:start w:val="1"/>
      <w:numFmt w:val="decimal"/>
      <w:lvlText w:val="%1."/>
      <w:lvlJc w:val="left"/>
      <w:pPr>
        <w:ind w:left="1080" w:hanging="72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6B4EFD"/>
    <w:multiLevelType w:val="hybridMultilevel"/>
    <w:tmpl w:val="1BB090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C94EB3"/>
    <w:multiLevelType w:val="hybridMultilevel"/>
    <w:tmpl w:val="BC8E0B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320275"/>
    <w:multiLevelType w:val="hybridMultilevel"/>
    <w:tmpl w:val="D48C919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FE578E"/>
    <w:multiLevelType w:val="hybridMultilevel"/>
    <w:tmpl w:val="3BC8E6B4"/>
    <w:lvl w:ilvl="0">
      <w:start w:val="4"/>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6B6226"/>
    <w:multiLevelType w:val="hybridMultilevel"/>
    <w:tmpl w:val="26C23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924580"/>
    <w:multiLevelType w:val="hybridMultilevel"/>
    <w:tmpl w:val="DC44BFB8"/>
    <w:lvl w:ilvl="0">
      <w:start w:val="1"/>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C670CE"/>
    <w:multiLevelType w:val="hybridMultilevel"/>
    <w:tmpl w:val="72B8792A"/>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235465"/>
    <w:multiLevelType w:val="hybridMultilevel"/>
    <w:tmpl w:val="1CD689DC"/>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7227F96"/>
    <w:multiLevelType w:val="hybridMultilevel"/>
    <w:tmpl w:val="A66CE856"/>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57E51A6"/>
    <w:multiLevelType w:val="hybridMultilevel"/>
    <w:tmpl w:val="D674D44E"/>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BFF60FE"/>
    <w:multiLevelType w:val="hybridMultilevel"/>
    <w:tmpl w:val="1CD689DC"/>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8617801"/>
    <w:multiLevelType w:val="hybridMultilevel"/>
    <w:tmpl w:val="024A4348"/>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8"/>
  </w:num>
  <w:num w:numId="8">
    <w:abstractNumId w:val="10"/>
  </w:num>
  <w:num w:numId="9">
    <w:abstractNumId w:val="15"/>
  </w:num>
  <w:num w:numId="10">
    <w:abstractNumId w:val="14"/>
  </w:num>
  <w:num w:numId="11">
    <w:abstractNumId w:val="0"/>
  </w:num>
  <w:num w:numId="12">
    <w:abstractNumId w:val="11"/>
  </w:num>
  <w:num w:numId="13">
    <w:abstractNumId w:val="13"/>
  </w:num>
  <w:num w:numId="14">
    <w:abstractNumId w:val="7"/>
  </w:num>
  <w:num w:numId="15">
    <w:abstractNumId w:val="12"/>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B29"/>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957B29"/>
    <w:pPr>
      <w:keepNext/>
      <w:spacing w:before="140" w:line="240" w:lineRule="atLeast"/>
      <w:jc w:val="center"/>
      <w:outlineLvl w:val="0"/>
    </w:pPr>
    <w:rPr>
      <w:b/>
      <w:smallCaps/>
    </w:rPr>
  </w:style>
  <w:style w:type="paragraph" w:styleId="Heading2">
    <w:name w:val="heading 2"/>
    <w:basedOn w:val="Normal"/>
    <w:next w:val="Normal"/>
    <w:link w:val="Heading2Char"/>
    <w:qFormat/>
    <w:rsid w:val="00957B2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957B29"/>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957B29"/>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957B29"/>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194D06"/>
    <w:pPr>
      <w:tabs>
        <w:tab w:val="left" w:pos="720"/>
      </w:tabs>
      <w:spacing w:before="240" w:after="60" w:line="480" w:lineRule="atLeast"/>
      <w:outlineLvl w:val="5"/>
    </w:pPr>
    <w:rPr>
      <w:rFonts w:eastAsiaTheme="minorHAnsi"/>
      <w:b/>
      <w:bCs/>
      <w:szCs w:val="26"/>
    </w:rPr>
  </w:style>
  <w:style w:type="paragraph" w:styleId="Heading7">
    <w:name w:val="heading 7"/>
    <w:basedOn w:val="Normal"/>
    <w:next w:val="Normal"/>
    <w:link w:val="Heading7Char"/>
    <w:uiPriority w:val="9"/>
    <w:semiHidden/>
    <w:unhideWhenUsed/>
    <w:qFormat/>
    <w:rsid w:val="00194D06"/>
    <w:pPr>
      <w:tabs>
        <w:tab w:val="left" w:pos="720"/>
      </w:tabs>
      <w:spacing w:before="240" w:after="60" w:line="480" w:lineRule="atLeast"/>
      <w:outlineLvl w:val="6"/>
    </w:pPr>
    <w:rPr>
      <w:rFonts w:eastAsiaTheme="minorHAnsi"/>
      <w:sz w:val="24"/>
      <w:szCs w:val="24"/>
    </w:rPr>
  </w:style>
  <w:style w:type="paragraph" w:styleId="Heading8">
    <w:name w:val="heading 8"/>
    <w:basedOn w:val="Normal"/>
    <w:next w:val="Normal"/>
    <w:link w:val="Heading8Char"/>
    <w:uiPriority w:val="9"/>
    <w:semiHidden/>
    <w:unhideWhenUsed/>
    <w:qFormat/>
    <w:rsid w:val="00194D06"/>
    <w:pPr>
      <w:tabs>
        <w:tab w:val="left" w:pos="720"/>
      </w:tabs>
      <w:spacing w:before="240" w:after="60" w:line="480" w:lineRule="atLeast"/>
      <w:outlineLvl w:val="7"/>
    </w:pPr>
    <w:rPr>
      <w:rFonts w:eastAsiaTheme="minorHAnsi"/>
      <w:i/>
      <w:iCs/>
      <w:sz w:val="24"/>
      <w:szCs w:val="24"/>
    </w:rPr>
  </w:style>
  <w:style w:type="paragraph" w:styleId="Heading9">
    <w:name w:val="heading 9"/>
    <w:basedOn w:val="Normal"/>
    <w:next w:val="Normal"/>
    <w:link w:val="Heading9Char"/>
    <w:uiPriority w:val="9"/>
    <w:semiHidden/>
    <w:unhideWhenUsed/>
    <w:qFormat/>
    <w:rsid w:val="00194D06"/>
    <w:pPr>
      <w:tabs>
        <w:tab w:val="left" w:pos="720"/>
      </w:tabs>
      <w:spacing w:before="240" w:after="60" w:line="480" w:lineRule="atLeast"/>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57B29"/>
    <w:pPr>
      <w:ind w:left="720"/>
    </w:pPr>
  </w:style>
  <w:style w:type="paragraph" w:styleId="Footer">
    <w:name w:val="footer"/>
    <w:basedOn w:val="Normal"/>
    <w:link w:val="FooterChar"/>
    <w:qFormat/>
    <w:rsid w:val="00957B29"/>
    <w:pPr>
      <w:tabs>
        <w:tab w:val="center" w:pos="3960"/>
        <w:tab w:val="right" w:pos="10080"/>
      </w:tabs>
      <w:spacing w:after="0" w:line="240" w:lineRule="auto"/>
      <w:jc w:val="center"/>
    </w:pPr>
    <w:rPr>
      <w:sz w:val="22"/>
    </w:rPr>
  </w:style>
  <w:style w:type="paragraph" w:styleId="Header">
    <w:name w:val="header"/>
    <w:basedOn w:val="Normal"/>
    <w:link w:val="HeaderChar"/>
    <w:qFormat/>
    <w:rsid w:val="00957B2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57B29"/>
    <w:rPr>
      <w:rFonts w:ascii="Century Schoolbook" w:hAnsi="Century Schoolbook"/>
      <w:b/>
      <w:i w:val="0"/>
      <w:position w:val="4"/>
      <w:sz w:val="27"/>
      <w:vertAlign w:val="superscript"/>
    </w:rPr>
  </w:style>
  <w:style w:type="paragraph" w:styleId="FootnoteText">
    <w:name w:val="footnote text"/>
    <w:basedOn w:val="Normal"/>
    <w:link w:val="FootnoteTextChar"/>
    <w:rsid w:val="00957B29"/>
    <w:pPr>
      <w:spacing w:line="300" w:lineRule="exact"/>
    </w:pPr>
  </w:style>
  <w:style w:type="paragraph" w:customStyle="1" w:styleId="Title1">
    <w:name w:val="Title1"/>
    <w:basedOn w:val="Normal"/>
    <w:rsid w:val="00957B29"/>
    <w:pPr>
      <w:tabs>
        <w:tab w:val="left" w:pos="5760"/>
        <w:tab w:val="left" w:pos="6480"/>
      </w:tabs>
      <w:spacing w:line="240" w:lineRule="atLeast"/>
    </w:pPr>
  </w:style>
  <w:style w:type="paragraph" w:customStyle="1" w:styleId="Recommend">
    <w:name w:val="Recommend"/>
    <w:basedOn w:val="Normal"/>
    <w:rsid w:val="00957B29"/>
  </w:style>
  <w:style w:type="paragraph" w:customStyle="1" w:styleId="Summary">
    <w:name w:val="Summary"/>
    <w:basedOn w:val="Normal"/>
    <w:rsid w:val="00957B29"/>
    <w:pPr>
      <w:ind w:left="2160" w:hanging="2160"/>
    </w:pPr>
  </w:style>
  <w:style w:type="paragraph" w:customStyle="1" w:styleId="Text">
    <w:name w:val="Text"/>
    <w:basedOn w:val="Normal"/>
    <w:rsid w:val="00957B29"/>
    <w:pPr>
      <w:tabs>
        <w:tab w:val="left" w:pos="720"/>
        <w:tab w:val="left" w:pos="1440"/>
        <w:tab w:val="left" w:pos="2160"/>
        <w:tab w:val="center" w:pos="4320"/>
      </w:tabs>
      <w:spacing w:line="480" w:lineRule="atLeast"/>
      <w:ind w:firstLine="540"/>
    </w:pPr>
  </w:style>
  <w:style w:type="paragraph" w:styleId="Date">
    <w:name w:val="Date"/>
    <w:basedOn w:val="Normal"/>
    <w:semiHidden/>
    <w:rsid w:val="00957B29"/>
    <w:pPr>
      <w:jc w:val="right"/>
    </w:pPr>
  </w:style>
  <w:style w:type="character" w:styleId="PageNumber">
    <w:name w:val="page number"/>
    <w:basedOn w:val="DefaultParagraphFont"/>
    <w:semiHidden/>
    <w:rsid w:val="00957B29"/>
  </w:style>
  <w:style w:type="paragraph" w:customStyle="1" w:styleId="subject">
    <w:name w:val="subject"/>
    <w:basedOn w:val="Normal"/>
    <w:rsid w:val="00957B29"/>
    <w:pPr>
      <w:tabs>
        <w:tab w:val="left" w:pos="1008"/>
      </w:tabs>
      <w:ind w:left="990" w:hanging="990"/>
    </w:pPr>
    <w:rPr>
      <w:b/>
    </w:rPr>
  </w:style>
  <w:style w:type="paragraph" w:customStyle="1" w:styleId="Titles">
    <w:name w:val="Titles"/>
    <w:basedOn w:val="Normal"/>
    <w:rsid w:val="00957B29"/>
    <w:pPr>
      <w:tabs>
        <w:tab w:val="left" w:pos="2160"/>
      </w:tabs>
      <w:ind w:left="2160" w:hanging="2160"/>
    </w:pPr>
    <w:rPr>
      <w:b/>
    </w:rPr>
  </w:style>
  <w:style w:type="paragraph" w:styleId="TOAHeading">
    <w:name w:val="toa heading"/>
    <w:basedOn w:val="Normal"/>
    <w:next w:val="Normal"/>
    <w:semiHidden/>
    <w:rsid w:val="00957B29"/>
    <w:pPr>
      <w:spacing w:before="120"/>
    </w:pPr>
    <w:rPr>
      <w:b/>
    </w:rPr>
  </w:style>
  <w:style w:type="paragraph" w:styleId="TOC1">
    <w:name w:val="toc 1"/>
    <w:basedOn w:val="Normal"/>
    <w:next w:val="Normal"/>
    <w:autoRedefine/>
    <w:semiHidden/>
    <w:rsid w:val="00957B29"/>
  </w:style>
  <w:style w:type="paragraph" w:styleId="TOC2">
    <w:name w:val="toc 2"/>
    <w:basedOn w:val="Normal"/>
    <w:next w:val="Normal"/>
    <w:autoRedefine/>
    <w:semiHidden/>
    <w:rsid w:val="00957B29"/>
    <w:pPr>
      <w:ind w:left="259"/>
    </w:pPr>
  </w:style>
  <w:style w:type="paragraph" w:styleId="TOC3">
    <w:name w:val="toc 3"/>
    <w:basedOn w:val="Normal"/>
    <w:next w:val="Normal"/>
    <w:autoRedefine/>
    <w:semiHidden/>
    <w:rsid w:val="00957B29"/>
    <w:pPr>
      <w:ind w:left="520"/>
    </w:pPr>
  </w:style>
  <w:style w:type="paragraph" w:styleId="TOC4">
    <w:name w:val="toc 4"/>
    <w:basedOn w:val="Normal"/>
    <w:next w:val="Normal"/>
    <w:autoRedefine/>
    <w:semiHidden/>
    <w:rsid w:val="00957B29"/>
    <w:pPr>
      <w:ind w:left="780"/>
    </w:pPr>
  </w:style>
  <w:style w:type="paragraph" w:styleId="TOC5">
    <w:name w:val="toc 5"/>
    <w:basedOn w:val="Normal"/>
    <w:next w:val="Normal"/>
    <w:autoRedefine/>
    <w:semiHidden/>
    <w:rsid w:val="00957B29"/>
    <w:pPr>
      <w:ind w:left="1040"/>
    </w:pPr>
  </w:style>
  <w:style w:type="paragraph" w:styleId="TOC6">
    <w:name w:val="toc 6"/>
    <w:basedOn w:val="Normal"/>
    <w:next w:val="Normal"/>
    <w:autoRedefine/>
    <w:semiHidden/>
    <w:rsid w:val="00957B29"/>
    <w:pPr>
      <w:ind w:left="1300"/>
    </w:pPr>
  </w:style>
  <w:style w:type="paragraph" w:styleId="TOC7">
    <w:name w:val="toc 7"/>
    <w:basedOn w:val="Normal"/>
    <w:next w:val="Normal"/>
    <w:autoRedefine/>
    <w:semiHidden/>
    <w:rsid w:val="00957B29"/>
    <w:pPr>
      <w:ind w:left="1560"/>
    </w:pPr>
  </w:style>
  <w:style w:type="paragraph" w:styleId="TOC8">
    <w:name w:val="toc 8"/>
    <w:basedOn w:val="Normal"/>
    <w:next w:val="Normal"/>
    <w:autoRedefine/>
    <w:semiHidden/>
    <w:rsid w:val="00957B29"/>
    <w:pPr>
      <w:ind w:left="1820"/>
    </w:pPr>
  </w:style>
  <w:style w:type="paragraph" w:styleId="TOC9">
    <w:name w:val="toc 9"/>
    <w:basedOn w:val="Normal"/>
    <w:next w:val="Normal"/>
    <w:autoRedefine/>
    <w:semiHidden/>
    <w:rsid w:val="00957B29"/>
    <w:pPr>
      <w:ind w:left="2080"/>
    </w:pPr>
  </w:style>
  <w:style w:type="paragraph" w:customStyle="1" w:styleId="Contents">
    <w:name w:val="Contents"/>
    <w:basedOn w:val="Normal"/>
    <w:rsid w:val="00957B29"/>
    <w:pPr>
      <w:jc w:val="center"/>
    </w:pPr>
    <w:rPr>
      <w:b/>
      <w:spacing w:val="100"/>
    </w:rPr>
  </w:style>
  <w:style w:type="character" w:customStyle="1" w:styleId="Heading6Char">
    <w:name w:val="Heading 6 Char"/>
    <w:basedOn w:val="DefaultParagraphFont"/>
    <w:link w:val="Heading6"/>
    <w:uiPriority w:val="9"/>
    <w:semiHidden/>
    <w:rsid w:val="00194D06"/>
    <w:rPr>
      <w:rFonts w:eastAsiaTheme="minorHAnsi"/>
      <w:b/>
      <w:bCs/>
      <w:sz w:val="26"/>
      <w:szCs w:val="26"/>
    </w:rPr>
  </w:style>
  <w:style w:type="character" w:customStyle="1" w:styleId="Heading7Char">
    <w:name w:val="Heading 7 Char"/>
    <w:basedOn w:val="DefaultParagraphFont"/>
    <w:link w:val="Heading7"/>
    <w:uiPriority w:val="9"/>
    <w:semiHidden/>
    <w:rsid w:val="00194D06"/>
    <w:rPr>
      <w:rFonts w:eastAsiaTheme="minorHAnsi"/>
      <w:sz w:val="24"/>
      <w:szCs w:val="24"/>
    </w:rPr>
  </w:style>
  <w:style w:type="character" w:customStyle="1" w:styleId="Heading8Char">
    <w:name w:val="Heading 8 Char"/>
    <w:basedOn w:val="DefaultParagraphFont"/>
    <w:link w:val="Heading8"/>
    <w:uiPriority w:val="9"/>
    <w:semiHidden/>
    <w:rsid w:val="00194D06"/>
    <w:rPr>
      <w:rFonts w:eastAsiaTheme="minorHAnsi"/>
      <w:i/>
      <w:iCs/>
      <w:sz w:val="24"/>
      <w:szCs w:val="24"/>
    </w:rPr>
  </w:style>
  <w:style w:type="character" w:customStyle="1" w:styleId="Heading9Char">
    <w:name w:val="Heading 9 Char"/>
    <w:basedOn w:val="DefaultParagraphFont"/>
    <w:link w:val="Heading9"/>
    <w:uiPriority w:val="9"/>
    <w:semiHidden/>
    <w:rsid w:val="00194D06"/>
    <w:rPr>
      <w:rFonts w:asciiTheme="majorHAnsi" w:eastAsiaTheme="majorEastAsia" w:hAnsiTheme="majorHAnsi"/>
      <w:sz w:val="26"/>
      <w:szCs w:val="26"/>
    </w:rPr>
  </w:style>
  <w:style w:type="character" w:customStyle="1" w:styleId="Heading1Char">
    <w:name w:val="Heading 1 Char"/>
    <w:basedOn w:val="DefaultParagraphFont"/>
    <w:link w:val="Heading1"/>
    <w:rsid w:val="00194D06"/>
    <w:rPr>
      <w:rFonts w:ascii="Century Schoolbook" w:hAnsi="Century Schoolbook"/>
      <w:b/>
      <w:smallCaps/>
      <w:sz w:val="27"/>
    </w:rPr>
  </w:style>
  <w:style w:type="character" w:customStyle="1" w:styleId="Heading2Char">
    <w:name w:val="Heading 2 Char"/>
    <w:basedOn w:val="DefaultParagraphFont"/>
    <w:link w:val="Heading2"/>
    <w:rsid w:val="00194D06"/>
    <w:rPr>
      <w:rFonts w:ascii="Century Schoolbook" w:hAnsi="Century Schoolbook"/>
      <w:b/>
      <w:sz w:val="27"/>
    </w:rPr>
  </w:style>
  <w:style w:type="character" w:customStyle="1" w:styleId="Heading3Char">
    <w:name w:val="Heading 3 Char"/>
    <w:basedOn w:val="DefaultParagraphFont"/>
    <w:link w:val="Heading3"/>
    <w:rsid w:val="00194D06"/>
    <w:rPr>
      <w:rFonts w:ascii="Century Schoolbook" w:hAnsi="Century Schoolbook"/>
      <w:i/>
      <w:sz w:val="27"/>
    </w:rPr>
  </w:style>
  <w:style w:type="paragraph" w:styleId="Title">
    <w:name w:val="Title"/>
    <w:basedOn w:val="Normal"/>
    <w:next w:val="Normal"/>
    <w:link w:val="TitleChar"/>
    <w:uiPriority w:val="10"/>
    <w:qFormat/>
    <w:rsid w:val="00194D06"/>
    <w:pPr>
      <w:tabs>
        <w:tab w:val="left" w:pos="720"/>
      </w:tabs>
      <w:spacing w:before="240" w:after="60" w:line="48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4D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4D06"/>
    <w:pPr>
      <w:tabs>
        <w:tab w:val="left" w:pos="720"/>
      </w:tabs>
      <w:spacing w:after="60" w:line="480" w:lineRule="atLeast"/>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194D06"/>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94D06"/>
    <w:pPr>
      <w:tabs>
        <w:tab w:val="left" w:pos="720"/>
      </w:tabs>
      <w:spacing w:before="240" w:after="60"/>
      <w:jc w:val="left"/>
      <w:outlineLvl w:val="9"/>
    </w:pPr>
    <w:rPr>
      <w:rFonts w:asciiTheme="majorHAnsi" w:eastAsiaTheme="majorEastAsia" w:hAnsiTheme="majorHAnsi"/>
      <w:bCs/>
      <w:smallCaps w:val="0"/>
      <w:kern w:val="32"/>
      <w:sz w:val="32"/>
      <w:szCs w:val="32"/>
    </w:rPr>
  </w:style>
  <w:style w:type="character" w:customStyle="1" w:styleId="FootnoteTextChar">
    <w:name w:val="Footnote Text Char"/>
    <w:basedOn w:val="DefaultParagraphFont"/>
    <w:link w:val="FootnoteText"/>
    <w:rsid w:val="00194D06"/>
    <w:rPr>
      <w:rFonts w:ascii="Century Schoolbook" w:hAnsi="Century Schoolbook"/>
      <w:sz w:val="27"/>
    </w:rPr>
  </w:style>
  <w:style w:type="character" w:styleId="Hyperlink">
    <w:name w:val="Hyperlink"/>
    <w:basedOn w:val="DefaultParagraphFont"/>
    <w:uiPriority w:val="99"/>
    <w:unhideWhenUsed/>
    <w:rsid w:val="00194D06"/>
    <w:rPr>
      <w:color w:val="0000FF" w:themeColor="hyperlink"/>
      <w:u w:val="single"/>
    </w:rPr>
  </w:style>
  <w:style w:type="character" w:customStyle="1" w:styleId="UnresolvedMention1">
    <w:name w:val="Unresolved Mention1"/>
    <w:basedOn w:val="DefaultParagraphFont"/>
    <w:uiPriority w:val="99"/>
    <w:semiHidden/>
    <w:unhideWhenUsed/>
    <w:rsid w:val="00194D06"/>
    <w:rPr>
      <w:color w:val="808080"/>
      <w:shd w:val="clear" w:color="auto" w:fill="E6E6E6"/>
    </w:rPr>
  </w:style>
  <w:style w:type="character" w:customStyle="1" w:styleId="Heading4Char">
    <w:name w:val="Heading 4 Char"/>
    <w:basedOn w:val="DefaultParagraphFont"/>
    <w:link w:val="Heading4"/>
    <w:rsid w:val="00194D06"/>
    <w:rPr>
      <w:rFonts w:ascii="Century Schoolbook" w:hAnsi="Century Schoolbook"/>
      <w:i/>
      <w:sz w:val="27"/>
    </w:rPr>
  </w:style>
  <w:style w:type="character" w:customStyle="1" w:styleId="HeaderChar">
    <w:name w:val="Header Char"/>
    <w:basedOn w:val="DefaultParagraphFont"/>
    <w:link w:val="Header"/>
    <w:rsid w:val="00194D06"/>
    <w:rPr>
      <w:rFonts w:ascii="Century Schoolbook" w:hAnsi="Century Schoolbook"/>
      <w:sz w:val="22"/>
    </w:rPr>
  </w:style>
  <w:style w:type="character" w:customStyle="1" w:styleId="FooterChar">
    <w:name w:val="Footer Char"/>
    <w:basedOn w:val="DefaultParagraphFont"/>
    <w:link w:val="Footer"/>
    <w:rsid w:val="00194D06"/>
    <w:rPr>
      <w:rFonts w:ascii="Century Schoolbook" w:hAnsi="Century Schoolbook"/>
      <w:sz w:val="22"/>
    </w:rPr>
  </w:style>
  <w:style w:type="character" w:customStyle="1" w:styleId="UnresolvedMention2">
    <w:name w:val="Unresolved Mention2"/>
    <w:basedOn w:val="DefaultParagraphFont"/>
    <w:uiPriority w:val="99"/>
    <w:semiHidden/>
    <w:unhideWhenUsed/>
    <w:rsid w:val="00194D06"/>
    <w:rPr>
      <w:color w:val="808080"/>
      <w:shd w:val="clear" w:color="auto" w:fill="E6E6E6"/>
    </w:rPr>
  </w:style>
  <w:style w:type="character" w:customStyle="1" w:styleId="Heading5Char">
    <w:name w:val="Heading 5 Char"/>
    <w:basedOn w:val="DefaultParagraphFont"/>
    <w:link w:val="Heading5"/>
    <w:rsid w:val="00194D06"/>
    <w:rPr>
      <w:rFonts w:ascii="Century Schoolbook" w:hAnsi="Century Schoolbook"/>
      <w:i/>
      <w:sz w:val="27"/>
    </w:rPr>
  </w:style>
  <w:style w:type="character" w:styleId="FollowedHyperlink">
    <w:name w:val="FollowedHyperlink"/>
    <w:basedOn w:val="DefaultParagraphFont"/>
    <w:uiPriority w:val="99"/>
    <w:semiHidden/>
    <w:unhideWhenUsed/>
    <w:rsid w:val="00194D06"/>
    <w:rPr>
      <w:color w:val="800080" w:themeColor="followedHyperlink"/>
      <w:u w:val="single"/>
    </w:rPr>
  </w:style>
  <w:style w:type="character" w:customStyle="1" w:styleId="UnresolvedMention3">
    <w:name w:val="Unresolved Mention3"/>
    <w:basedOn w:val="DefaultParagraphFont"/>
    <w:uiPriority w:val="99"/>
    <w:semiHidden/>
    <w:unhideWhenUsed/>
    <w:rsid w:val="00194D06"/>
    <w:rPr>
      <w:color w:val="808080"/>
      <w:shd w:val="clear" w:color="auto" w:fill="E6E6E6"/>
    </w:rPr>
  </w:style>
  <w:style w:type="character" w:customStyle="1" w:styleId="UnresolvedMention4">
    <w:name w:val="Unresolved Mention4"/>
    <w:basedOn w:val="DefaultParagraphFont"/>
    <w:uiPriority w:val="99"/>
    <w:semiHidden/>
    <w:unhideWhenUsed/>
    <w:rsid w:val="00194D06"/>
    <w:rPr>
      <w:color w:val="808080"/>
      <w:shd w:val="clear" w:color="auto" w:fill="E6E6E6"/>
    </w:rPr>
  </w:style>
  <w:style w:type="character" w:customStyle="1" w:styleId="UnresolvedMention">
    <w:name w:val="Unresolved Mention"/>
    <w:basedOn w:val="DefaultParagraphFont"/>
    <w:uiPriority w:val="99"/>
    <w:semiHidden/>
    <w:unhideWhenUsed/>
    <w:rsid w:val="00194D06"/>
    <w:rPr>
      <w:color w:val="808080"/>
      <w:shd w:val="clear" w:color="auto" w:fill="E6E6E6"/>
    </w:rPr>
  </w:style>
  <w:style w:type="paragraph" w:styleId="BalloonText">
    <w:name w:val="Balloon Text"/>
    <w:basedOn w:val="Normal"/>
    <w:link w:val="BalloonTextChar"/>
    <w:uiPriority w:val="99"/>
    <w:semiHidden/>
    <w:unhideWhenUsed/>
    <w:rsid w:val="00194D06"/>
    <w:pPr>
      <w:tabs>
        <w:tab w:val="left" w:pos="720"/>
      </w:tabs>
    </w:pPr>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194D06"/>
    <w:rPr>
      <w:rFonts w:ascii="Segoe UI" w:hAnsi="Segoe UI" w:eastAsiaTheme="minorHAnsi" w:cs="Segoe UI"/>
      <w:sz w:val="18"/>
      <w:szCs w:val="18"/>
    </w:rPr>
  </w:style>
  <w:style w:type="paragraph" w:styleId="ListParagraph">
    <w:name w:val="List Paragraph"/>
    <w:basedOn w:val="Normal"/>
    <w:uiPriority w:val="34"/>
    <w:qFormat/>
    <w:rsid w:val="00194D06"/>
    <w:pPr>
      <w:spacing w:after="160" w:line="259" w:lineRule="auto"/>
      <w:ind w:left="720"/>
      <w:contextualSpacing/>
    </w:pPr>
    <w:rPr>
      <w:rFonts w:asciiTheme="minorHAnsi" w:eastAsiaTheme="minorHAnsi" w:hAnsiTheme="minorHAnsi" w:cstheme="minorBidi"/>
      <w:sz w:val="22"/>
      <w:szCs w:val="22"/>
    </w:rPr>
  </w:style>
  <w:style w:type="character" w:customStyle="1" w:styleId="cohl">
    <w:name w:val="co_hl"/>
    <w:basedOn w:val="DefaultParagraphFont"/>
    <w:rsid w:val="00194D06"/>
  </w:style>
  <w:style w:type="character" w:styleId="Emphasis">
    <w:name w:val="Emphasis"/>
    <w:basedOn w:val="DefaultParagraphFont"/>
    <w:uiPriority w:val="20"/>
    <w:qFormat/>
    <w:rsid w:val="00194D06"/>
    <w:rPr>
      <w:i/>
      <w:iCs/>
    </w:rPr>
  </w:style>
  <w:style w:type="character" w:styleId="CommentReference">
    <w:name w:val="annotation reference"/>
    <w:basedOn w:val="DefaultParagraphFont"/>
    <w:uiPriority w:val="99"/>
    <w:semiHidden/>
    <w:unhideWhenUsed/>
    <w:rsid w:val="00194D06"/>
    <w:rPr>
      <w:sz w:val="16"/>
      <w:szCs w:val="16"/>
    </w:rPr>
  </w:style>
  <w:style w:type="paragraph" w:styleId="CommentText">
    <w:name w:val="annotation text"/>
    <w:basedOn w:val="Normal"/>
    <w:link w:val="CommentTextChar"/>
    <w:uiPriority w:val="99"/>
    <w:unhideWhenUsed/>
    <w:rsid w:val="00194D0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94D0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94D06"/>
    <w:rPr>
      <w:b/>
      <w:bCs/>
    </w:rPr>
  </w:style>
  <w:style w:type="character" w:customStyle="1" w:styleId="CommentSubjectChar">
    <w:name w:val="Comment Subject Char"/>
    <w:basedOn w:val="CommentTextChar"/>
    <w:link w:val="CommentSubject"/>
    <w:uiPriority w:val="99"/>
    <w:semiHidden/>
    <w:rsid w:val="00194D06"/>
    <w:rPr>
      <w:rFonts w:asciiTheme="minorHAnsi" w:eastAsiaTheme="minorHAnsi" w:hAnsiTheme="minorHAnsi" w:cstheme="minorBidi"/>
      <w:b/>
      <w:bCs/>
    </w:rPr>
  </w:style>
  <w:style w:type="paragraph" w:styleId="Revision">
    <w:name w:val="Revision"/>
    <w:hidden/>
    <w:uiPriority w:val="99"/>
    <w:semiHidden/>
    <w:rsid w:val="00194D06"/>
    <w:rPr>
      <w:rFonts w:eastAsiaTheme="minorHAnsi"/>
      <w:sz w:val="26"/>
      <w:szCs w:val="24"/>
    </w:rPr>
  </w:style>
  <w:style w:type="paragraph" w:styleId="NoSpacing">
    <w:name w:val="No Spacing"/>
    <w:uiPriority w:val="1"/>
    <w:qFormat/>
    <w:rsid w:val="00746047"/>
    <w:rPr>
      <w:rFonts w:asciiTheme="minorHAnsi" w:eastAsiaTheme="minorHAnsi" w:hAnsiTheme="minorHAnsi" w:cstheme="minorBidi"/>
      <w:sz w:val="22"/>
      <w:szCs w:val="22"/>
    </w:rPr>
  </w:style>
  <w:style w:type="character" w:customStyle="1" w:styleId="coconcept3237">
    <w:name w:val="co_concept_32_37"/>
    <w:basedOn w:val="DefaultParagraphFont"/>
    <w:rsid w:val="001D023A"/>
  </w:style>
  <w:style w:type="paragraph" w:styleId="BodyText">
    <w:name w:val="Body Text"/>
    <w:basedOn w:val="Normal"/>
    <w:link w:val="BodyTextChar"/>
    <w:qFormat/>
    <w:rsid w:val="00957B29"/>
  </w:style>
  <w:style w:type="character" w:customStyle="1" w:styleId="BodyTextChar">
    <w:name w:val="Body Text Char"/>
    <w:basedOn w:val="DefaultParagraphFont"/>
    <w:link w:val="BodyText"/>
    <w:rsid w:val="00957B2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8585</Words>
  <Characters>48935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2022-12-01T17:20:50Z</dcterms:created>
  <dcterms:modified xsi:type="dcterms:W3CDTF">2022-12-01T17:20:50Z</dcterms:modified>
</cp:coreProperties>
</file>