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3A52" w14:textId="262BD435" w:rsidR="00645536" w:rsidRDefault="00645536" w:rsidP="00645536">
      <w:pPr>
        <w:tabs>
          <w:tab w:val="left" w:pos="1440"/>
          <w:tab w:val="left" w:pos="4680"/>
          <w:tab w:val="center" w:pos="7200"/>
        </w:tabs>
        <w:spacing w:after="0"/>
        <w:jc w:val="center"/>
        <w:rPr>
          <w:sz w:val="36"/>
          <w:szCs w:val="26"/>
        </w:rPr>
      </w:pPr>
      <w:r>
        <w:rPr>
          <w:b/>
          <w:sz w:val="36"/>
          <w:szCs w:val="26"/>
        </w:rPr>
        <w:t>IN THE SUPREME COURT OF CALIFORNIA</w:t>
      </w:r>
    </w:p>
    <w:p w14:paraId="38A62A5B" w14:textId="59B3B887" w:rsidR="00645536" w:rsidRDefault="00645536" w:rsidP="00645536">
      <w:pPr>
        <w:tabs>
          <w:tab w:val="left" w:pos="1440"/>
          <w:tab w:val="left" w:pos="4680"/>
          <w:tab w:val="center" w:pos="7200"/>
        </w:tabs>
        <w:spacing w:after="0"/>
        <w:jc w:val="center"/>
        <w:rPr>
          <w:szCs w:val="26"/>
        </w:rPr>
      </w:pPr>
    </w:p>
    <w:p w14:paraId="5EBAFA38" w14:textId="212E3D64" w:rsidR="00645536" w:rsidRDefault="00645536" w:rsidP="00645536">
      <w:pPr>
        <w:tabs>
          <w:tab w:val="left" w:pos="1440"/>
          <w:tab w:val="left" w:pos="4680"/>
          <w:tab w:val="center" w:pos="7200"/>
        </w:tabs>
        <w:spacing w:after="0"/>
        <w:jc w:val="center"/>
        <w:rPr>
          <w:szCs w:val="26"/>
        </w:rPr>
      </w:pPr>
      <w:r>
        <w:rPr>
          <w:szCs w:val="26"/>
        </w:rPr>
        <w:t>TANIA PULLIAM</w:t>
      </w:r>
      <w:r w:rsidR="00295CBB">
        <w:rPr>
          <w:szCs w:val="26"/>
        </w:rPr>
        <w:t>,</w:t>
      </w:r>
    </w:p>
    <w:p w14:paraId="5A3A301B" w14:textId="05F5E984" w:rsidR="00645536" w:rsidRDefault="00645536" w:rsidP="00645536">
      <w:pPr>
        <w:tabs>
          <w:tab w:val="left" w:pos="1440"/>
          <w:tab w:val="left" w:pos="4680"/>
          <w:tab w:val="center" w:pos="7200"/>
        </w:tabs>
        <w:spacing w:after="0"/>
        <w:jc w:val="center"/>
        <w:rPr>
          <w:szCs w:val="26"/>
        </w:rPr>
      </w:pPr>
      <w:r>
        <w:rPr>
          <w:szCs w:val="26"/>
        </w:rPr>
        <w:t>Plaintiff and Respondent</w:t>
      </w:r>
      <w:r w:rsidR="00295CBB">
        <w:rPr>
          <w:szCs w:val="26"/>
        </w:rPr>
        <w:t>,</w:t>
      </w:r>
    </w:p>
    <w:p w14:paraId="0A6365D0" w14:textId="62A23692" w:rsidR="00645536" w:rsidRDefault="00645536" w:rsidP="00645536">
      <w:pPr>
        <w:tabs>
          <w:tab w:val="left" w:pos="1440"/>
          <w:tab w:val="left" w:pos="4680"/>
          <w:tab w:val="center" w:pos="7200"/>
        </w:tabs>
        <w:spacing w:after="0"/>
        <w:jc w:val="center"/>
        <w:rPr>
          <w:szCs w:val="26"/>
        </w:rPr>
      </w:pPr>
      <w:r>
        <w:rPr>
          <w:szCs w:val="26"/>
        </w:rPr>
        <w:t>v.</w:t>
      </w:r>
    </w:p>
    <w:p w14:paraId="04145BA8" w14:textId="460C2BAB" w:rsidR="00645536" w:rsidRDefault="00645536" w:rsidP="00645536">
      <w:pPr>
        <w:tabs>
          <w:tab w:val="left" w:pos="1440"/>
          <w:tab w:val="left" w:pos="4680"/>
          <w:tab w:val="center" w:pos="7200"/>
        </w:tabs>
        <w:spacing w:after="0"/>
        <w:jc w:val="center"/>
        <w:rPr>
          <w:szCs w:val="26"/>
        </w:rPr>
      </w:pPr>
      <w:r>
        <w:rPr>
          <w:szCs w:val="26"/>
        </w:rPr>
        <w:t>HNL AUTOMOTIVE INC. et al.</w:t>
      </w:r>
      <w:r w:rsidR="00295CBB">
        <w:rPr>
          <w:szCs w:val="26"/>
        </w:rPr>
        <w:t>,</w:t>
      </w:r>
    </w:p>
    <w:p w14:paraId="177D5780" w14:textId="162D24D9" w:rsidR="00645536" w:rsidRDefault="00645536" w:rsidP="00645536">
      <w:pPr>
        <w:tabs>
          <w:tab w:val="left" w:pos="1440"/>
          <w:tab w:val="left" w:pos="4680"/>
          <w:tab w:val="center" w:pos="7200"/>
        </w:tabs>
        <w:spacing w:after="0"/>
        <w:jc w:val="center"/>
        <w:rPr>
          <w:szCs w:val="26"/>
        </w:rPr>
      </w:pPr>
      <w:r>
        <w:rPr>
          <w:szCs w:val="26"/>
        </w:rPr>
        <w:t>Defendants and Appellants.</w:t>
      </w:r>
    </w:p>
    <w:p w14:paraId="5CEB4BEF" w14:textId="281AF9AD" w:rsidR="00645536" w:rsidRDefault="00645536" w:rsidP="00645536">
      <w:pPr>
        <w:tabs>
          <w:tab w:val="left" w:pos="1440"/>
          <w:tab w:val="left" w:pos="4680"/>
          <w:tab w:val="center" w:pos="7200"/>
        </w:tabs>
        <w:spacing w:after="0"/>
        <w:jc w:val="center"/>
        <w:rPr>
          <w:szCs w:val="26"/>
        </w:rPr>
      </w:pPr>
    </w:p>
    <w:p w14:paraId="547AB872" w14:textId="2DE92EA7" w:rsidR="00645536" w:rsidRDefault="00645536" w:rsidP="00645536">
      <w:pPr>
        <w:tabs>
          <w:tab w:val="left" w:pos="1440"/>
          <w:tab w:val="left" w:pos="4680"/>
          <w:tab w:val="center" w:pos="7200"/>
        </w:tabs>
        <w:spacing w:after="0"/>
        <w:jc w:val="center"/>
        <w:rPr>
          <w:szCs w:val="26"/>
        </w:rPr>
      </w:pPr>
      <w:r>
        <w:rPr>
          <w:szCs w:val="26"/>
        </w:rPr>
        <w:t>S267576</w:t>
      </w:r>
    </w:p>
    <w:p w14:paraId="65AF771C" w14:textId="17796117" w:rsidR="00295CBB" w:rsidRDefault="00295CBB" w:rsidP="00645536">
      <w:pPr>
        <w:tabs>
          <w:tab w:val="left" w:pos="1440"/>
          <w:tab w:val="left" w:pos="4680"/>
          <w:tab w:val="center" w:pos="7200"/>
        </w:tabs>
        <w:spacing w:after="0"/>
        <w:jc w:val="center"/>
        <w:rPr>
          <w:szCs w:val="26"/>
        </w:rPr>
      </w:pPr>
    </w:p>
    <w:p w14:paraId="3F6F772E" w14:textId="77777777" w:rsidR="00295CBB" w:rsidRDefault="00295CBB" w:rsidP="00295CBB">
      <w:pPr>
        <w:tabs>
          <w:tab w:val="left" w:pos="1440"/>
          <w:tab w:val="left" w:pos="4680"/>
          <w:tab w:val="center" w:pos="7200"/>
        </w:tabs>
        <w:spacing w:after="0"/>
        <w:jc w:val="center"/>
        <w:rPr>
          <w:szCs w:val="26"/>
        </w:rPr>
      </w:pPr>
      <w:r>
        <w:rPr>
          <w:szCs w:val="26"/>
        </w:rPr>
        <w:t>Second Appellate District, Division Five</w:t>
      </w:r>
    </w:p>
    <w:p w14:paraId="268E62C2" w14:textId="399BFEE5" w:rsidR="00295CBB" w:rsidRDefault="00295CBB" w:rsidP="00295CBB">
      <w:pPr>
        <w:tabs>
          <w:tab w:val="left" w:pos="1440"/>
          <w:tab w:val="left" w:pos="4680"/>
          <w:tab w:val="center" w:pos="7200"/>
        </w:tabs>
        <w:spacing w:after="0"/>
        <w:jc w:val="center"/>
        <w:rPr>
          <w:szCs w:val="26"/>
        </w:rPr>
      </w:pPr>
      <w:r>
        <w:rPr>
          <w:szCs w:val="26"/>
        </w:rPr>
        <w:t>B293435</w:t>
      </w:r>
    </w:p>
    <w:p w14:paraId="31EE4F9D" w14:textId="1E710232" w:rsidR="00645536" w:rsidRDefault="00645536" w:rsidP="00645536">
      <w:pPr>
        <w:tabs>
          <w:tab w:val="left" w:pos="1440"/>
          <w:tab w:val="left" w:pos="4680"/>
          <w:tab w:val="center" w:pos="7200"/>
        </w:tabs>
        <w:spacing w:after="0"/>
        <w:jc w:val="center"/>
        <w:rPr>
          <w:szCs w:val="26"/>
        </w:rPr>
      </w:pPr>
    </w:p>
    <w:p w14:paraId="706DE891" w14:textId="62191AD3" w:rsidR="00645536" w:rsidRDefault="00645536" w:rsidP="00645536">
      <w:pPr>
        <w:tabs>
          <w:tab w:val="left" w:pos="1440"/>
          <w:tab w:val="left" w:pos="4680"/>
          <w:tab w:val="center" w:pos="7200"/>
        </w:tabs>
        <w:spacing w:after="0"/>
        <w:jc w:val="center"/>
        <w:rPr>
          <w:szCs w:val="26"/>
        </w:rPr>
      </w:pPr>
      <w:r>
        <w:rPr>
          <w:szCs w:val="26"/>
        </w:rPr>
        <w:t xml:space="preserve"> Los Angeles County</w:t>
      </w:r>
      <w:r w:rsidR="00295CBB">
        <w:rPr>
          <w:szCs w:val="26"/>
        </w:rPr>
        <w:t xml:space="preserve"> Superior Court</w:t>
      </w:r>
    </w:p>
    <w:p w14:paraId="4960FD5C" w14:textId="1DB88E86" w:rsidR="00645536" w:rsidRDefault="00645536" w:rsidP="00645536">
      <w:pPr>
        <w:tabs>
          <w:tab w:val="left" w:pos="1440"/>
          <w:tab w:val="left" w:pos="4680"/>
          <w:tab w:val="center" w:pos="7200"/>
        </w:tabs>
        <w:spacing w:after="0"/>
        <w:jc w:val="center"/>
        <w:rPr>
          <w:szCs w:val="26"/>
        </w:rPr>
      </w:pPr>
      <w:r>
        <w:rPr>
          <w:szCs w:val="26"/>
        </w:rPr>
        <w:t>BC633169</w:t>
      </w:r>
    </w:p>
    <w:p w14:paraId="62865C4C" w14:textId="578FAEEB" w:rsidR="00645536" w:rsidRDefault="00645536" w:rsidP="00645536">
      <w:pPr>
        <w:pBdr>
          <w:bottom w:val="single" w:sz="4" w:space="1" w:color="auto"/>
        </w:pBdr>
        <w:tabs>
          <w:tab w:val="left" w:pos="1440"/>
          <w:tab w:val="left" w:pos="4680"/>
          <w:tab w:val="center" w:pos="7200"/>
        </w:tabs>
        <w:spacing w:after="0"/>
        <w:jc w:val="center"/>
        <w:rPr>
          <w:szCs w:val="26"/>
        </w:rPr>
      </w:pPr>
    </w:p>
    <w:p w14:paraId="3E364902" w14:textId="439BB12F" w:rsidR="00645536" w:rsidRDefault="00645536" w:rsidP="00645536">
      <w:pPr>
        <w:tabs>
          <w:tab w:val="left" w:pos="1440"/>
          <w:tab w:val="left" w:pos="4680"/>
          <w:tab w:val="center" w:pos="7200"/>
        </w:tabs>
        <w:spacing w:after="0"/>
        <w:jc w:val="center"/>
        <w:rPr>
          <w:szCs w:val="26"/>
        </w:rPr>
      </w:pPr>
    </w:p>
    <w:p w14:paraId="46E941A6" w14:textId="70185A1C" w:rsidR="00645536" w:rsidRDefault="0078607B" w:rsidP="00645536">
      <w:pPr>
        <w:tabs>
          <w:tab w:val="left" w:pos="1440"/>
          <w:tab w:val="left" w:pos="4680"/>
          <w:tab w:val="center" w:pos="7200"/>
        </w:tabs>
        <w:spacing w:after="0"/>
        <w:jc w:val="center"/>
        <w:rPr>
          <w:szCs w:val="26"/>
        </w:rPr>
      </w:pPr>
      <w:r>
        <w:t>May 26</w:t>
      </w:r>
      <w:r w:rsidR="00645536">
        <w:rPr>
          <w:szCs w:val="26"/>
        </w:rPr>
        <w:t>, 2022</w:t>
      </w:r>
    </w:p>
    <w:p w14:paraId="3831CFD4" w14:textId="69FEC02B" w:rsidR="00645536" w:rsidRDefault="00645536" w:rsidP="00645536">
      <w:pPr>
        <w:tabs>
          <w:tab w:val="left" w:pos="1440"/>
          <w:tab w:val="left" w:pos="4680"/>
          <w:tab w:val="center" w:pos="7200"/>
        </w:tabs>
        <w:spacing w:after="0"/>
        <w:jc w:val="center"/>
        <w:rPr>
          <w:szCs w:val="26"/>
        </w:rPr>
      </w:pPr>
    </w:p>
    <w:p w14:paraId="78A19546" w14:textId="1BAFEF83" w:rsidR="0078607B" w:rsidRPr="0078607B" w:rsidRDefault="00F80C97" w:rsidP="0078607B">
      <w:pPr>
        <w:tabs>
          <w:tab w:val="left" w:pos="1440"/>
          <w:tab w:val="left" w:pos="4680"/>
          <w:tab w:val="center" w:pos="7200"/>
        </w:tabs>
        <w:spacing w:after="0"/>
        <w:jc w:val="left"/>
      </w:pPr>
      <w:r>
        <w:t xml:space="preserve">Justice Liu authored the opinion of the Court, in which </w:t>
      </w:r>
      <w:r w:rsidR="0078607B" w:rsidRPr="0078607B">
        <w:t xml:space="preserve">Chief Justice Cantil-Sakauye and Justices Corrigan, Kruger, </w:t>
      </w:r>
      <w:r w:rsidR="0078607B">
        <w:t>Groban, Jenkins</w:t>
      </w:r>
      <w:r w:rsidR="00D81768">
        <w:t>,</w:t>
      </w:r>
      <w:r w:rsidR="0078607B">
        <w:t xml:space="preserve"> </w:t>
      </w:r>
      <w:r w:rsidR="0078607B" w:rsidRPr="0078607B">
        <w:t>and R</w:t>
      </w:r>
      <w:r w:rsidR="0078607B">
        <w:t>obie</w:t>
      </w:r>
      <w:r w:rsidR="0078607B" w:rsidRPr="0078607B">
        <w:rPr>
          <w:b/>
          <w:position w:val="4"/>
          <w:vertAlign w:val="superscript"/>
        </w:rPr>
        <w:footnoteReference w:customMarkFollows="1" w:id="2"/>
        <w:t>*</w:t>
      </w:r>
      <w:r w:rsidR="0078607B" w:rsidRPr="0078607B">
        <w:t xml:space="preserve"> concurred.</w:t>
      </w:r>
    </w:p>
    <w:p w14:paraId="0E3BCCBA" w14:textId="77777777" w:rsidR="00645536" w:rsidRPr="00645536" w:rsidRDefault="00645536" w:rsidP="00645536">
      <w:pPr>
        <w:pBdr>
          <w:bottom w:val="single" w:sz="4" w:space="1" w:color="auto"/>
        </w:pBdr>
        <w:tabs>
          <w:tab w:val="left" w:pos="1440"/>
          <w:tab w:val="left" w:pos="4680"/>
          <w:tab w:val="center" w:pos="7200"/>
        </w:tabs>
        <w:spacing w:line="240" w:lineRule="atLeast"/>
        <w:jc w:val="left"/>
        <w:rPr>
          <w:szCs w:val="26"/>
        </w:rPr>
      </w:pPr>
      <w:bookmarkStart w:id="0" w:name="Return"/>
      <w:bookmarkEnd w:id="0"/>
    </w:p>
    <w:p w14:paraId="0DD63565" w14:textId="77777777" w:rsidR="00645536" w:rsidRDefault="00645536">
      <w:pPr>
        <w:tabs>
          <w:tab w:val="left" w:pos="1440"/>
          <w:tab w:val="left" w:pos="4680"/>
          <w:tab w:val="center" w:pos="7200"/>
        </w:tabs>
        <w:spacing w:line="240" w:lineRule="atLeast"/>
        <w:rPr>
          <w:szCs w:val="26"/>
        </w:rPr>
        <w:sectPr w:rsidR="00645536" w:rsidSect="00645536">
          <w:headerReference w:type="even" r:id="rId8"/>
          <w:headerReference w:type="default" r:id="rId9"/>
          <w:footerReference w:type="even" r:id="rId10"/>
          <w:footerReference w:type="default" r:id="rId11"/>
          <w:headerReference w:type="first" r:id="rId12"/>
          <w:footerReference w:type="first" r:id="rId13"/>
          <w:pgSz w:w="12240" w:h="15840"/>
          <w:pgMar w:top="1800" w:right="2160" w:bottom="1440" w:left="2160" w:header="720" w:footer="720" w:gutter="0"/>
          <w:cols w:space="720"/>
          <w:titlePg/>
          <w:docGrid w:linePitch="367"/>
        </w:sectPr>
      </w:pPr>
    </w:p>
    <w:p w14:paraId="061BF524" w14:textId="624BB86F" w:rsidR="00645536" w:rsidRDefault="00645536" w:rsidP="00645536">
      <w:pPr>
        <w:tabs>
          <w:tab w:val="left" w:pos="1440"/>
          <w:tab w:val="left" w:pos="4680"/>
          <w:tab w:val="center" w:pos="7200"/>
        </w:tabs>
        <w:jc w:val="center"/>
        <w:rPr>
          <w:szCs w:val="26"/>
        </w:rPr>
      </w:pPr>
      <w:r>
        <w:rPr>
          <w:szCs w:val="26"/>
        </w:rPr>
        <w:t>PULLIAM v. HNL AUTOMOTIVE INC.</w:t>
      </w:r>
    </w:p>
    <w:p w14:paraId="468B43B6" w14:textId="77777777" w:rsidR="00645536" w:rsidRDefault="00645536" w:rsidP="00645536">
      <w:pPr>
        <w:tabs>
          <w:tab w:val="left" w:pos="1440"/>
          <w:tab w:val="left" w:pos="4680"/>
          <w:tab w:val="center" w:pos="7200"/>
        </w:tabs>
        <w:jc w:val="center"/>
        <w:rPr>
          <w:szCs w:val="26"/>
        </w:rPr>
      </w:pPr>
      <w:r>
        <w:rPr>
          <w:szCs w:val="26"/>
        </w:rPr>
        <w:t>S267576</w:t>
      </w:r>
    </w:p>
    <w:p w14:paraId="1CBA975C" w14:textId="77777777" w:rsidR="00645536" w:rsidRDefault="00645536" w:rsidP="00645536">
      <w:pPr>
        <w:tabs>
          <w:tab w:val="left" w:pos="1440"/>
          <w:tab w:val="left" w:pos="4680"/>
          <w:tab w:val="center" w:pos="7200"/>
        </w:tabs>
        <w:jc w:val="center"/>
        <w:rPr>
          <w:szCs w:val="26"/>
        </w:rPr>
      </w:pPr>
    </w:p>
    <w:p w14:paraId="2926791E" w14:textId="7EB2B0FF" w:rsidR="00645536" w:rsidRDefault="00645536" w:rsidP="00645536">
      <w:pPr>
        <w:tabs>
          <w:tab w:val="left" w:pos="1440"/>
          <w:tab w:val="left" w:pos="4680"/>
          <w:tab w:val="center" w:pos="7200"/>
        </w:tabs>
        <w:jc w:val="center"/>
        <w:rPr>
          <w:szCs w:val="26"/>
        </w:rPr>
      </w:pPr>
      <w:r>
        <w:rPr>
          <w:szCs w:val="26"/>
        </w:rPr>
        <w:t>Opinion of the Court by L</w:t>
      </w:r>
      <w:r w:rsidR="0048728B">
        <w:rPr>
          <w:szCs w:val="26"/>
        </w:rPr>
        <w:t>iu</w:t>
      </w:r>
      <w:r>
        <w:rPr>
          <w:szCs w:val="26"/>
        </w:rPr>
        <w:t>, J.</w:t>
      </w:r>
    </w:p>
    <w:p w14:paraId="15105E42" w14:textId="77777777" w:rsidR="0048728B" w:rsidRDefault="0048728B" w:rsidP="00645536">
      <w:pPr>
        <w:tabs>
          <w:tab w:val="left" w:pos="1440"/>
        </w:tabs>
        <w:ind w:firstLine="720"/>
        <w:rPr>
          <w:szCs w:val="26"/>
        </w:rPr>
      </w:pPr>
      <w:bookmarkStart w:id="1" w:name="mainstory"/>
      <w:bookmarkEnd w:id="1"/>
    </w:p>
    <w:p w14:paraId="27C5C637" w14:textId="5CF5CFDD" w:rsidR="00BD0F81" w:rsidRPr="00645536" w:rsidRDefault="002C6C2A" w:rsidP="00645536">
      <w:pPr>
        <w:tabs>
          <w:tab w:val="left" w:pos="1440"/>
        </w:tabs>
        <w:ind w:firstLine="720"/>
        <w:rPr>
          <w:szCs w:val="26"/>
        </w:rPr>
      </w:pPr>
      <w:r w:rsidRPr="00645536">
        <w:rPr>
          <w:szCs w:val="26"/>
        </w:rPr>
        <w:t xml:space="preserve">The Federal Trade Commission’s “Holder Rule” </w:t>
      </w:r>
      <w:r w:rsidR="00BD0F81" w:rsidRPr="00645536">
        <w:rPr>
          <w:szCs w:val="26"/>
        </w:rPr>
        <w:t xml:space="preserve">requires consumer credit contracts </w:t>
      </w:r>
      <w:r w:rsidR="00372353" w:rsidRPr="00645536">
        <w:rPr>
          <w:szCs w:val="26"/>
        </w:rPr>
        <w:t xml:space="preserve">to </w:t>
      </w:r>
      <w:r w:rsidR="00BD0F81" w:rsidRPr="00645536">
        <w:rPr>
          <w:szCs w:val="26"/>
        </w:rPr>
        <w:t>include specific language permitting a consumer to assert against third</w:t>
      </w:r>
      <w:r w:rsidR="00F31356">
        <w:rPr>
          <w:szCs w:val="26"/>
        </w:rPr>
        <w:t xml:space="preserve"> </w:t>
      </w:r>
      <w:r w:rsidR="00BD0F81" w:rsidRPr="00645536">
        <w:rPr>
          <w:szCs w:val="26"/>
        </w:rPr>
        <w:t>party creditors all claims and defenses that could be asserted against the seller of a good or service</w:t>
      </w:r>
      <w:r w:rsidR="00983B1D" w:rsidRPr="00645536">
        <w:rPr>
          <w:szCs w:val="26"/>
        </w:rPr>
        <w:t>.</w:t>
      </w:r>
      <w:r w:rsidR="000F699D" w:rsidRPr="00645536">
        <w:rPr>
          <w:szCs w:val="26"/>
        </w:rPr>
        <w:t xml:space="preserve"> </w:t>
      </w:r>
      <w:r w:rsidR="00983B1D" w:rsidRPr="00645536">
        <w:rPr>
          <w:szCs w:val="26"/>
        </w:rPr>
        <w:t xml:space="preserve"> </w:t>
      </w:r>
      <w:r w:rsidR="00454190" w:rsidRPr="00645536">
        <w:rPr>
          <w:szCs w:val="26"/>
        </w:rPr>
        <w:t>(16 C.F.R. § 433.2</w:t>
      </w:r>
      <w:r w:rsidR="001D1875" w:rsidRPr="00645536">
        <w:rPr>
          <w:szCs w:val="26"/>
        </w:rPr>
        <w:t>(a)</w:t>
      </w:r>
      <w:r w:rsidR="00250842">
        <w:rPr>
          <w:szCs w:val="26"/>
        </w:rPr>
        <w:t xml:space="preserve"> (1975)</w:t>
      </w:r>
      <w:r w:rsidR="00454190" w:rsidRPr="00645536">
        <w:rPr>
          <w:szCs w:val="26"/>
        </w:rPr>
        <w:t xml:space="preserve">.)  </w:t>
      </w:r>
      <w:r w:rsidR="00983B1D" w:rsidRPr="00645536">
        <w:rPr>
          <w:szCs w:val="26"/>
        </w:rPr>
        <w:t xml:space="preserve">The required notice </w:t>
      </w:r>
      <w:r w:rsidR="00925266" w:rsidRPr="00645536">
        <w:rPr>
          <w:szCs w:val="26"/>
        </w:rPr>
        <w:t xml:space="preserve">further states </w:t>
      </w:r>
      <w:r w:rsidR="00C17A18" w:rsidRPr="00645536">
        <w:rPr>
          <w:szCs w:val="26"/>
        </w:rPr>
        <w:t xml:space="preserve">that </w:t>
      </w:r>
      <w:r w:rsidR="00925266" w:rsidRPr="00645536">
        <w:rPr>
          <w:szCs w:val="26"/>
        </w:rPr>
        <w:t>“</w:t>
      </w:r>
      <w:r w:rsidR="00983B1D" w:rsidRPr="00645536">
        <w:rPr>
          <w:szCs w:val="26"/>
        </w:rPr>
        <w:t xml:space="preserve">recovery </w:t>
      </w:r>
      <w:r w:rsidR="00925266" w:rsidRPr="00645536">
        <w:rPr>
          <w:szCs w:val="26"/>
        </w:rPr>
        <w:t xml:space="preserve">hereunder by the debtor shall not exceed </w:t>
      </w:r>
      <w:r w:rsidR="00983B1D" w:rsidRPr="00645536">
        <w:rPr>
          <w:szCs w:val="26"/>
        </w:rPr>
        <w:t>amounts paid by the debtor</w:t>
      </w:r>
      <w:r w:rsidR="00925266" w:rsidRPr="00645536">
        <w:rPr>
          <w:szCs w:val="26"/>
        </w:rPr>
        <w:t xml:space="preserve"> hereunder.</w:t>
      </w:r>
      <w:r w:rsidR="00983B1D" w:rsidRPr="00645536">
        <w:rPr>
          <w:szCs w:val="26"/>
        </w:rPr>
        <w:t xml:space="preserve">” </w:t>
      </w:r>
      <w:r w:rsidR="00925266" w:rsidRPr="00645536">
        <w:rPr>
          <w:szCs w:val="26"/>
        </w:rPr>
        <w:t xml:space="preserve"> (</w:t>
      </w:r>
      <w:r w:rsidR="00925266" w:rsidRPr="00645536">
        <w:rPr>
          <w:i/>
          <w:iCs/>
          <w:szCs w:val="26"/>
        </w:rPr>
        <w:t>Ibid</w:t>
      </w:r>
      <w:r w:rsidR="00925266" w:rsidRPr="00645536">
        <w:rPr>
          <w:szCs w:val="26"/>
        </w:rPr>
        <w:t>.</w:t>
      </w:r>
      <w:r w:rsidR="00250842">
        <w:rPr>
          <w:szCs w:val="26"/>
        </w:rPr>
        <w:t>, capitalization omitted</w:t>
      </w:r>
      <w:r w:rsidR="00AF7E34">
        <w:rPr>
          <w:szCs w:val="26"/>
        </w:rPr>
        <w:t xml:space="preserve"> here and hereafter</w:t>
      </w:r>
      <w:r w:rsidR="006B5D99">
        <w:rPr>
          <w:szCs w:val="26"/>
        </w:rPr>
        <w:t>.</w:t>
      </w:r>
      <w:r w:rsidR="00925266" w:rsidRPr="00645536">
        <w:rPr>
          <w:szCs w:val="26"/>
        </w:rPr>
        <w:t>)</w:t>
      </w:r>
    </w:p>
    <w:p w14:paraId="313613C3" w14:textId="3991AC51" w:rsidR="00C018F8" w:rsidRPr="00645536" w:rsidRDefault="00C018F8" w:rsidP="00645536">
      <w:pPr>
        <w:tabs>
          <w:tab w:val="left" w:pos="1440"/>
        </w:tabs>
        <w:ind w:firstLine="720"/>
        <w:rPr>
          <w:szCs w:val="26"/>
        </w:rPr>
      </w:pPr>
      <w:r w:rsidRPr="00645536">
        <w:rPr>
          <w:szCs w:val="26"/>
        </w:rPr>
        <w:t>Tania Pulliam (Pulliam)</w:t>
      </w:r>
      <w:r w:rsidR="005B5D25" w:rsidRPr="00645536">
        <w:rPr>
          <w:szCs w:val="26"/>
        </w:rPr>
        <w:t xml:space="preserve"> </w:t>
      </w:r>
      <w:r w:rsidR="00526CAA" w:rsidRPr="00645536">
        <w:rPr>
          <w:szCs w:val="26"/>
        </w:rPr>
        <w:t xml:space="preserve">purchased a </w:t>
      </w:r>
      <w:r w:rsidR="00940702" w:rsidRPr="00645536">
        <w:rPr>
          <w:szCs w:val="26"/>
        </w:rPr>
        <w:t>used</w:t>
      </w:r>
      <w:r w:rsidR="00B51939" w:rsidRPr="00645536">
        <w:rPr>
          <w:szCs w:val="26"/>
        </w:rPr>
        <w:t xml:space="preserve"> vehicle from HNL Automotive Inc. </w:t>
      </w:r>
      <w:r w:rsidR="005C7055" w:rsidRPr="00645536">
        <w:rPr>
          <w:szCs w:val="26"/>
        </w:rPr>
        <w:t xml:space="preserve">(the dealership) </w:t>
      </w:r>
      <w:r w:rsidR="00B51939" w:rsidRPr="00645536">
        <w:rPr>
          <w:szCs w:val="26"/>
        </w:rPr>
        <w:t>pursuant to a</w:t>
      </w:r>
      <w:r w:rsidR="00012FB0" w:rsidRPr="00645536">
        <w:rPr>
          <w:szCs w:val="26"/>
        </w:rPr>
        <w:t>n installment</w:t>
      </w:r>
      <w:r w:rsidR="0072378E" w:rsidRPr="00645536">
        <w:rPr>
          <w:szCs w:val="26"/>
        </w:rPr>
        <w:t xml:space="preserve"> sales </w:t>
      </w:r>
      <w:r w:rsidR="00B51939" w:rsidRPr="00645536">
        <w:rPr>
          <w:szCs w:val="26"/>
        </w:rPr>
        <w:t xml:space="preserve">contract </w:t>
      </w:r>
      <w:r w:rsidR="00455FC5" w:rsidRPr="00645536">
        <w:rPr>
          <w:szCs w:val="26"/>
        </w:rPr>
        <w:t xml:space="preserve">that included </w:t>
      </w:r>
      <w:r w:rsidR="00B51939" w:rsidRPr="00645536">
        <w:rPr>
          <w:szCs w:val="26"/>
        </w:rPr>
        <w:t xml:space="preserve">this </w:t>
      </w:r>
      <w:r w:rsidR="00D54E63" w:rsidRPr="00645536">
        <w:rPr>
          <w:szCs w:val="26"/>
        </w:rPr>
        <w:t>notice</w:t>
      </w:r>
      <w:r w:rsidR="00B51939" w:rsidRPr="00645536">
        <w:rPr>
          <w:szCs w:val="26"/>
        </w:rPr>
        <w:t xml:space="preserve">. </w:t>
      </w:r>
      <w:r w:rsidR="009A7703" w:rsidRPr="00645536">
        <w:rPr>
          <w:szCs w:val="26"/>
        </w:rPr>
        <w:t xml:space="preserve"> </w:t>
      </w:r>
      <w:r w:rsidR="00012FB0" w:rsidRPr="00645536">
        <w:rPr>
          <w:szCs w:val="26"/>
        </w:rPr>
        <w:t xml:space="preserve">The contract was subsequently assigned to </w:t>
      </w:r>
      <w:r w:rsidR="00CB3D91" w:rsidRPr="00645536">
        <w:rPr>
          <w:szCs w:val="26"/>
        </w:rPr>
        <w:t xml:space="preserve">TD Auto Finance </w:t>
      </w:r>
      <w:r w:rsidR="0060477F" w:rsidRPr="00645536">
        <w:rPr>
          <w:szCs w:val="26"/>
        </w:rPr>
        <w:t>(</w:t>
      </w:r>
      <w:r w:rsidR="00B9619E">
        <w:rPr>
          <w:szCs w:val="26"/>
        </w:rPr>
        <w:t xml:space="preserve">TDAF; </w:t>
      </w:r>
      <w:r w:rsidR="004803E3">
        <w:rPr>
          <w:szCs w:val="26"/>
        </w:rPr>
        <w:t>now</w:t>
      </w:r>
      <w:r w:rsidR="00454632">
        <w:rPr>
          <w:szCs w:val="26"/>
        </w:rPr>
        <w:t xml:space="preserve"> </w:t>
      </w:r>
      <w:r w:rsidR="005B3F12">
        <w:rPr>
          <w:szCs w:val="26"/>
        </w:rPr>
        <w:t xml:space="preserve">merged into </w:t>
      </w:r>
      <w:r w:rsidR="007E6D01">
        <w:rPr>
          <w:szCs w:val="26"/>
        </w:rPr>
        <w:t>TD Bank</w:t>
      </w:r>
      <w:r w:rsidR="0060477F" w:rsidRPr="00645536">
        <w:rPr>
          <w:szCs w:val="26"/>
        </w:rPr>
        <w:t>)</w:t>
      </w:r>
      <w:r w:rsidR="00105A12" w:rsidRPr="00645536">
        <w:rPr>
          <w:szCs w:val="26"/>
        </w:rPr>
        <w:t>, which</w:t>
      </w:r>
      <w:r w:rsidR="0060477F" w:rsidRPr="00645536">
        <w:rPr>
          <w:szCs w:val="26"/>
        </w:rPr>
        <w:t xml:space="preserve"> </w:t>
      </w:r>
      <w:r w:rsidR="00D1501B" w:rsidRPr="00645536">
        <w:rPr>
          <w:szCs w:val="26"/>
        </w:rPr>
        <w:t xml:space="preserve">became </w:t>
      </w:r>
      <w:r w:rsidR="00012FB0" w:rsidRPr="00645536">
        <w:rPr>
          <w:szCs w:val="26"/>
        </w:rPr>
        <w:t>the “</w:t>
      </w:r>
      <w:r w:rsidR="00FB5D75" w:rsidRPr="00645536">
        <w:rPr>
          <w:szCs w:val="26"/>
        </w:rPr>
        <w:t>h</w:t>
      </w:r>
      <w:r w:rsidR="00012FB0" w:rsidRPr="00645536">
        <w:rPr>
          <w:szCs w:val="26"/>
        </w:rPr>
        <w:t>older” of the contract</w:t>
      </w:r>
      <w:r w:rsidR="00CB3D91" w:rsidRPr="00645536">
        <w:rPr>
          <w:szCs w:val="26"/>
        </w:rPr>
        <w:t>.</w:t>
      </w:r>
      <w:r w:rsidR="008F61BC" w:rsidRPr="00645536">
        <w:rPr>
          <w:szCs w:val="26"/>
        </w:rPr>
        <w:t xml:space="preserve">  </w:t>
      </w:r>
      <w:r w:rsidR="00105A12" w:rsidRPr="00645536">
        <w:rPr>
          <w:szCs w:val="26"/>
        </w:rPr>
        <w:t>(</w:t>
      </w:r>
      <w:r w:rsidR="00FB5D75" w:rsidRPr="00645536">
        <w:rPr>
          <w:i/>
          <w:iCs/>
          <w:szCs w:val="26"/>
        </w:rPr>
        <w:t>Pulliam v. HNL Automotive Inc.</w:t>
      </w:r>
      <w:r w:rsidR="00B1362D" w:rsidRPr="00645536">
        <w:rPr>
          <w:szCs w:val="26"/>
        </w:rPr>
        <w:t xml:space="preserve"> (2021)</w:t>
      </w:r>
      <w:r w:rsidR="00FB5D75" w:rsidRPr="00645536">
        <w:rPr>
          <w:szCs w:val="26"/>
        </w:rPr>
        <w:t xml:space="preserve"> 60 Cal.App.5</w:t>
      </w:r>
      <w:r w:rsidR="00B1362D" w:rsidRPr="00645536">
        <w:rPr>
          <w:szCs w:val="26"/>
        </w:rPr>
        <w:t>th 396, 402</w:t>
      </w:r>
      <w:r w:rsidR="00350DA8" w:rsidRPr="00645536">
        <w:rPr>
          <w:szCs w:val="26"/>
        </w:rPr>
        <w:t xml:space="preserve"> (</w:t>
      </w:r>
      <w:r w:rsidR="00350DA8" w:rsidRPr="00645536">
        <w:rPr>
          <w:i/>
          <w:iCs/>
          <w:szCs w:val="26"/>
        </w:rPr>
        <w:t>Pulliam</w:t>
      </w:r>
      <w:r w:rsidR="00350DA8" w:rsidRPr="00645536">
        <w:rPr>
          <w:szCs w:val="26"/>
        </w:rPr>
        <w:t>)</w:t>
      </w:r>
      <w:r w:rsidR="00B1362D" w:rsidRPr="00645536">
        <w:rPr>
          <w:szCs w:val="26"/>
        </w:rPr>
        <w:t>.</w:t>
      </w:r>
      <w:r w:rsidR="00105A12" w:rsidRPr="00645536">
        <w:rPr>
          <w:szCs w:val="26"/>
        </w:rPr>
        <w:t>)</w:t>
      </w:r>
      <w:r w:rsidR="00DF2018" w:rsidRPr="00645536">
        <w:rPr>
          <w:szCs w:val="26"/>
        </w:rPr>
        <w:t xml:space="preserve"> </w:t>
      </w:r>
      <w:r w:rsidR="00940702" w:rsidRPr="00645536">
        <w:rPr>
          <w:szCs w:val="26"/>
        </w:rPr>
        <w:t xml:space="preserve"> </w:t>
      </w:r>
      <w:r w:rsidR="008F61BC" w:rsidRPr="00645536">
        <w:rPr>
          <w:szCs w:val="26"/>
        </w:rPr>
        <w:t xml:space="preserve">Pulliam </w:t>
      </w:r>
      <w:r w:rsidR="0060477F" w:rsidRPr="00645536">
        <w:rPr>
          <w:szCs w:val="26"/>
        </w:rPr>
        <w:t>filed suit against the dealership and TD</w:t>
      </w:r>
      <w:r w:rsidR="008602DB" w:rsidRPr="00645536">
        <w:rPr>
          <w:szCs w:val="26"/>
        </w:rPr>
        <w:t>AF</w:t>
      </w:r>
      <w:r w:rsidR="009F611D" w:rsidRPr="00645536">
        <w:rPr>
          <w:szCs w:val="26"/>
        </w:rPr>
        <w:t xml:space="preserve"> alleging </w:t>
      </w:r>
      <w:r w:rsidR="0063079C" w:rsidRPr="00645536">
        <w:rPr>
          <w:szCs w:val="26"/>
        </w:rPr>
        <w:t xml:space="preserve">misconduct by </w:t>
      </w:r>
      <w:r w:rsidR="00414476" w:rsidRPr="00645536">
        <w:rPr>
          <w:szCs w:val="26"/>
        </w:rPr>
        <w:t xml:space="preserve">the </w:t>
      </w:r>
      <w:r w:rsidR="0063079C" w:rsidRPr="00645536">
        <w:rPr>
          <w:szCs w:val="26"/>
        </w:rPr>
        <w:t>dealership</w:t>
      </w:r>
      <w:r w:rsidR="00E959D6" w:rsidRPr="00645536">
        <w:rPr>
          <w:szCs w:val="26"/>
        </w:rPr>
        <w:t xml:space="preserve"> in the sale of the car</w:t>
      </w:r>
      <w:r w:rsidR="00414476" w:rsidRPr="00645536">
        <w:rPr>
          <w:szCs w:val="26"/>
        </w:rPr>
        <w:t xml:space="preserve">.  </w:t>
      </w:r>
      <w:r w:rsidR="00491F73" w:rsidRPr="00645536">
        <w:rPr>
          <w:szCs w:val="26"/>
        </w:rPr>
        <w:t xml:space="preserve">A jury found for Pulliam on </w:t>
      </w:r>
      <w:r w:rsidR="00800B99" w:rsidRPr="00645536">
        <w:rPr>
          <w:szCs w:val="26"/>
        </w:rPr>
        <w:t>one of her causes of action</w:t>
      </w:r>
      <w:r w:rsidR="00F31356">
        <w:rPr>
          <w:szCs w:val="26"/>
        </w:rPr>
        <w:t> </w:t>
      </w:r>
      <w:r w:rsidR="00800B99" w:rsidRPr="00645536">
        <w:rPr>
          <w:szCs w:val="26"/>
        </w:rPr>
        <w:t xml:space="preserve">— breach of </w:t>
      </w:r>
      <w:r w:rsidR="00E6535D" w:rsidRPr="00645536">
        <w:rPr>
          <w:szCs w:val="26"/>
        </w:rPr>
        <w:t xml:space="preserve">the </w:t>
      </w:r>
      <w:r w:rsidR="00800B99" w:rsidRPr="00645536">
        <w:rPr>
          <w:szCs w:val="26"/>
        </w:rPr>
        <w:t>implied warranty of merchantability under the Song-Beverly Consumer Warranty Act (Song-Beverly</w:t>
      </w:r>
      <w:r w:rsidR="00BC1838" w:rsidRPr="00645536">
        <w:rPr>
          <w:szCs w:val="26"/>
        </w:rPr>
        <w:t xml:space="preserve"> Act</w:t>
      </w:r>
      <w:r w:rsidR="00F97814">
        <w:rPr>
          <w:szCs w:val="26"/>
        </w:rPr>
        <w:t>; Civ. Code, § 1790 et seq.</w:t>
      </w:r>
      <w:r w:rsidR="00800B99" w:rsidRPr="00645536">
        <w:rPr>
          <w:szCs w:val="26"/>
        </w:rPr>
        <w:t>)</w:t>
      </w:r>
      <w:r w:rsidR="00F31356">
        <w:rPr>
          <w:szCs w:val="26"/>
        </w:rPr>
        <w:t> </w:t>
      </w:r>
      <w:r w:rsidR="00D61D76" w:rsidRPr="00645536">
        <w:rPr>
          <w:szCs w:val="26"/>
        </w:rPr>
        <w:t>— and awarded her $21,957.25 in damages</w:t>
      </w:r>
      <w:r w:rsidR="00327A73" w:rsidRPr="00645536">
        <w:rPr>
          <w:szCs w:val="26"/>
        </w:rPr>
        <w:t>.</w:t>
      </w:r>
      <w:r w:rsidR="00E710A9" w:rsidRPr="00645536">
        <w:t xml:space="preserve">  </w:t>
      </w:r>
      <w:r w:rsidR="00327A73" w:rsidRPr="00645536">
        <w:rPr>
          <w:szCs w:val="26"/>
        </w:rPr>
        <w:t>Pulliam</w:t>
      </w:r>
      <w:r w:rsidR="009079E0" w:rsidRPr="00645536">
        <w:rPr>
          <w:szCs w:val="26"/>
        </w:rPr>
        <w:t xml:space="preserve"> filed a</w:t>
      </w:r>
      <w:r w:rsidR="00654EB9" w:rsidRPr="00645536">
        <w:rPr>
          <w:szCs w:val="26"/>
        </w:rPr>
        <w:t xml:space="preserve"> posttrial motion seeking</w:t>
      </w:r>
      <w:r w:rsidR="00327A73" w:rsidRPr="00645536">
        <w:rPr>
          <w:szCs w:val="26"/>
        </w:rPr>
        <w:t xml:space="preserve"> attorney</w:t>
      </w:r>
      <w:r w:rsidR="00141F44" w:rsidRPr="00645536">
        <w:rPr>
          <w:szCs w:val="26"/>
        </w:rPr>
        <w:t>’s</w:t>
      </w:r>
      <w:r w:rsidR="00327A73" w:rsidRPr="00645536">
        <w:rPr>
          <w:szCs w:val="26"/>
        </w:rPr>
        <w:t xml:space="preserve"> fee</w:t>
      </w:r>
      <w:r w:rsidR="00654EB9" w:rsidRPr="00645536">
        <w:rPr>
          <w:szCs w:val="26"/>
        </w:rPr>
        <w:t>s in the amount of $169,602</w:t>
      </w:r>
      <w:r w:rsidR="003C7257" w:rsidRPr="00645536">
        <w:rPr>
          <w:szCs w:val="26"/>
        </w:rPr>
        <w:t xml:space="preserve"> under </w:t>
      </w:r>
      <w:r w:rsidR="00BC1838" w:rsidRPr="00645536">
        <w:rPr>
          <w:szCs w:val="26"/>
        </w:rPr>
        <w:t xml:space="preserve">the </w:t>
      </w:r>
      <w:r w:rsidR="00EA781D" w:rsidRPr="00645536">
        <w:rPr>
          <w:szCs w:val="26"/>
        </w:rPr>
        <w:t>Song-Beverly</w:t>
      </w:r>
      <w:r w:rsidR="00BC1838" w:rsidRPr="00645536">
        <w:rPr>
          <w:szCs w:val="26"/>
        </w:rPr>
        <w:t xml:space="preserve"> Act</w:t>
      </w:r>
      <w:r w:rsidR="00755712" w:rsidRPr="00645536">
        <w:rPr>
          <w:szCs w:val="26"/>
        </w:rPr>
        <w:t xml:space="preserve">. </w:t>
      </w:r>
      <w:r w:rsidR="00EA781D" w:rsidRPr="00645536">
        <w:rPr>
          <w:szCs w:val="26"/>
        </w:rPr>
        <w:t xml:space="preserve"> </w:t>
      </w:r>
      <w:r w:rsidR="002D75A3" w:rsidRPr="00645536">
        <w:rPr>
          <w:szCs w:val="26"/>
        </w:rPr>
        <w:t>(S</w:t>
      </w:r>
      <w:r w:rsidR="00926669" w:rsidRPr="00645536">
        <w:rPr>
          <w:szCs w:val="26"/>
        </w:rPr>
        <w:t xml:space="preserve">ee Civ. Code, </w:t>
      </w:r>
      <w:r w:rsidR="00706E30" w:rsidRPr="00645536">
        <w:rPr>
          <w:szCs w:val="26"/>
        </w:rPr>
        <w:t>§ </w:t>
      </w:r>
      <w:r w:rsidR="00926669" w:rsidRPr="00645536">
        <w:rPr>
          <w:szCs w:val="26"/>
        </w:rPr>
        <w:t>1794</w:t>
      </w:r>
      <w:r w:rsidR="002D75A3" w:rsidRPr="00645536">
        <w:rPr>
          <w:szCs w:val="26"/>
        </w:rPr>
        <w:t>, subd. (</w:t>
      </w:r>
      <w:r w:rsidR="00926669" w:rsidRPr="00645536">
        <w:rPr>
          <w:szCs w:val="26"/>
        </w:rPr>
        <w:t>d)</w:t>
      </w:r>
      <w:r w:rsidR="00AC0990" w:rsidRPr="00645536">
        <w:rPr>
          <w:szCs w:val="26"/>
        </w:rPr>
        <w:t>.</w:t>
      </w:r>
      <w:r w:rsidR="00926669" w:rsidRPr="00645536">
        <w:rPr>
          <w:szCs w:val="26"/>
        </w:rPr>
        <w:t xml:space="preserve">)  </w:t>
      </w:r>
      <w:r w:rsidR="00181212" w:rsidRPr="00645536">
        <w:rPr>
          <w:szCs w:val="26"/>
        </w:rPr>
        <w:t xml:space="preserve">TDAF </w:t>
      </w:r>
      <w:r w:rsidR="00472C36" w:rsidRPr="00645536">
        <w:rPr>
          <w:szCs w:val="26"/>
        </w:rPr>
        <w:t xml:space="preserve">argued that it </w:t>
      </w:r>
      <w:r w:rsidR="00553068" w:rsidRPr="00645536">
        <w:rPr>
          <w:szCs w:val="26"/>
        </w:rPr>
        <w:t>could not be liable for attorney</w:t>
      </w:r>
      <w:r w:rsidR="00141F44" w:rsidRPr="00645536">
        <w:rPr>
          <w:szCs w:val="26"/>
        </w:rPr>
        <w:t>’s</w:t>
      </w:r>
      <w:r w:rsidR="00553068" w:rsidRPr="00645536">
        <w:rPr>
          <w:szCs w:val="26"/>
        </w:rPr>
        <w:t xml:space="preserve"> fees </w:t>
      </w:r>
      <w:r w:rsidR="004C188E" w:rsidRPr="00645536">
        <w:rPr>
          <w:szCs w:val="26"/>
        </w:rPr>
        <w:t xml:space="preserve">based on the </w:t>
      </w:r>
      <w:r w:rsidR="007C75E5">
        <w:rPr>
          <w:szCs w:val="26"/>
        </w:rPr>
        <w:t xml:space="preserve">provision of the </w:t>
      </w:r>
      <w:r w:rsidR="004C188E" w:rsidRPr="00645536">
        <w:rPr>
          <w:szCs w:val="26"/>
        </w:rPr>
        <w:t xml:space="preserve">Holder Rule </w:t>
      </w:r>
      <w:r w:rsidR="00FF4EDF" w:rsidRPr="00645536">
        <w:rPr>
          <w:szCs w:val="26"/>
        </w:rPr>
        <w:t>limit</w:t>
      </w:r>
      <w:r w:rsidR="007C75E5">
        <w:rPr>
          <w:szCs w:val="26"/>
        </w:rPr>
        <w:t>ing</w:t>
      </w:r>
      <w:r w:rsidR="00FF4EDF" w:rsidRPr="00645536">
        <w:rPr>
          <w:szCs w:val="26"/>
        </w:rPr>
        <w:t xml:space="preserve"> recovery to the “</w:t>
      </w:r>
      <w:r w:rsidR="00703BF0" w:rsidRPr="00645536">
        <w:rPr>
          <w:szCs w:val="26"/>
        </w:rPr>
        <w:t>amount[] paid by the debtor” under the contract</w:t>
      </w:r>
      <w:r w:rsidR="00265BE2" w:rsidRPr="00645536">
        <w:rPr>
          <w:szCs w:val="26"/>
        </w:rPr>
        <w:t xml:space="preserve">.  </w:t>
      </w:r>
      <w:r w:rsidR="008311DD" w:rsidRPr="00645536">
        <w:rPr>
          <w:szCs w:val="26"/>
        </w:rPr>
        <w:t>(</w:t>
      </w:r>
      <w:r w:rsidR="00265BE2" w:rsidRPr="00645536">
        <w:rPr>
          <w:szCs w:val="26"/>
        </w:rPr>
        <w:t>16 C.F.R. § 433.2(a)</w:t>
      </w:r>
      <w:r w:rsidR="006A1ADA">
        <w:rPr>
          <w:szCs w:val="26"/>
        </w:rPr>
        <w:t xml:space="preserve"> (1975)</w:t>
      </w:r>
      <w:r w:rsidR="00265BE2" w:rsidRPr="00645536">
        <w:rPr>
          <w:szCs w:val="26"/>
        </w:rPr>
        <w:t xml:space="preserve">.)  </w:t>
      </w:r>
      <w:r w:rsidR="009079E0" w:rsidRPr="00645536">
        <w:rPr>
          <w:szCs w:val="26"/>
        </w:rPr>
        <w:t xml:space="preserve">The trial court </w:t>
      </w:r>
      <w:r w:rsidR="00A4786E" w:rsidRPr="00645536">
        <w:rPr>
          <w:szCs w:val="26"/>
        </w:rPr>
        <w:t xml:space="preserve">disagreed and </w:t>
      </w:r>
      <w:r w:rsidR="009079E0" w:rsidRPr="00645536">
        <w:rPr>
          <w:szCs w:val="26"/>
        </w:rPr>
        <w:t>granted Pulliam’s motion</w:t>
      </w:r>
      <w:r w:rsidR="00A4786E" w:rsidRPr="00645536">
        <w:rPr>
          <w:szCs w:val="26"/>
        </w:rPr>
        <w:t>.  T</w:t>
      </w:r>
      <w:r w:rsidR="009079E0" w:rsidRPr="00645536">
        <w:rPr>
          <w:szCs w:val="26"/>
        </w:rPr>
        <w:t>he Court of Appeal affirmed</w:t>
      </w:r>
      <w:r w:rsidR="0066118B" w:rsidRPr="00645536">
        <w:rPr>
          <w:szCs w:val="26"/>
        </w:rPr>
        <w:t>.</w:t>
      </w:r>
      <w:r w:rsidR="00903AEA" w:rsidRPr="00645536">
        <w:rPr>
          <w:szCs w:val="26"/>
        </w:rPr>
        <w:t xml:space="preserve">  (</w:t>
      </w:r>
      <w:r w:rsidR="00903AEA" w:rsidRPr="00645536">
        <w:rPr>
          <w:i/>
          <w:iCs/>
          <w:szCs w:val="26"/>
        </w:rPr>
        <w:t>Pulliam</w:t>
      </w:r>
      <w:r w:rsidR="00903AEA" w:rsidRPr="00645536">
        <w:rPr>
          <w:szCs w:val="26"/>
        </w:rPr>
        <w:t>, at p.</w:t>
      </w:r>
      <w:r w:rsidR="002B4CEC" w:rsidRPr="00645536">
        <w:rPr>
          <w:szCs w:val="26"/>
        </w:rPr>
        <w:t> 401.)</w:t>
      </w:r>
    </w:p>
    <w:p w14:paraId="0D834FBD" w14:textId="3CDB4E74" w:rsidR="00A74C54" w:rsidRPr="00645536" w:rsidRDefault="008419AF" w:rsidP="00645536">
      <w:pPr>
        <w:tabs>
          <w:tab w:val="left" w:pos="1440"/>
        </w:tabs>
        <w:ind w:firstLine="720"/>
        <w:rPr>
          <w:szCs w:val="26"/>
        </w:rPr>
      </w:pPr>
      <w:r w:rsidRPr="00645536">
        <w:rPr>
          <w:szCs w:val="26"/>
        </w:rPr>
        <w:t xml:space="preserve">We granted review to </w:t>
      </w:r>
      <w:r w:rsidR="00207DA1" w:rsidRPr="00645536">
        <w:rPr>
          <w:szCs w:val="26"/>
        </w:rPr>
        <w:t xml:space="preserve">address </w:t>
      </w:r>
      <w:r w:rsidR="001E3715" w:rsidRPr="00645536">
        <w:rPr>
          <w:szCs w:val="26"/>
        </w:rPr>
        <w:t xml:space="preserve">whether “recovery” </w:t>
      </w:r>
      <w:r w:rsidR="007C75E5">
        <w:rPr>
          <w:szCs w:val="26"/>
        </w:rPr>
        <w:t>under</w:t>
      </w:r>
      <w:r w:rsidR="007C75E5" w:rsidRPr="00645536">
        <w:rPr>
          <w:szCs w:val="26"/>
        </w:rPr>
        <w:t xml:space="preserve"> </w:t>
      </w:r>
      <w:r w:rsidR="001E3715" w:rsidRPr="00645536">
        <w:rPr>
          <w:szCs w:val="26"/>
        </w:rPr>
        <w:t xml:space="preserve">the Holder Rule </w:t>
      </w:r>
      <w:r w:rsidR="00C81615" w:rsidRPr="00645536">
        <w:rPr>
          <w:szCs w:val="26"/>
        </w:rPr>
        <w:t>(</w:t>
      </w:r>
      <w:r w:rsidR="00AC15AF">
        <w:rPr>
          <w:szCs w:val="26"/>
        </w:rPr>
        <w:t xml:space="preserve">hereafter sometimes </w:t>
      </w:r>
      <w:r w:rsidR="00C81615" w:rsidRPr="00645536">
        <w:rPr>
          <w:szCs w:val="26"/>
        </w:rPr>
        <w:t xml:space="preserve">Rule) </w:t>
      </w:r>
      <w:r w:rsidR="001E3715" w:rsidRPr="00645536">
        <w:rPr>
          <w:szCs w:val="26"/>
        </w:rPr>
        <w:t>includes attorney</w:t>
      </w:r>
      <w:r w:rsidR="00141F44" w:rsidRPr="00645536">
        <w:rPr>
          <w:szCs w:val="26"/>
        </w:rPr>
        <w:t>’s</w:t>
      </w:r>
      <w:r w:rsidR="001E3715" w:rsidRPr="00645536">
        <w:rPr>
          <w:szCs w:val="26"/>
        </w:rPr>
        <w:t xml:space="preserve"> fees</w:t>
      </w:r>
      <w:r w:rsidR="00CF6D12" w:rsidRPr="00645536">
        <w:rPr>
          <w:szCs w:val="26"/>
        </w:rPr>
        <w:t xml:space="preserve"> and limits the amount </w:t>
      </w:r>
      <w:r w:rsidR="00455FC5" w:rsidRPr="00645536">
        <w:rPr>
          <w:szCs w:val="26"/>
        </w:rPr>
        <w:t xml:space="preserve">of fees </w:t>
      </w:r>
      <w:r w:rsidR="00CF6D12" w:rsidRPr="00645536">
        <w:rPr>
          <w:szCs w:val="26"/>
        </w:rPr>
        <w:t xml:space="preserve">plaintiffs can recover </w:t>
      </w:r>
      <w:r w:rsidR="009F7F45">
        <w:rPr>
          <w:szCs w:val="26"/>
        </w:rPr>
        <w:t>from holders</w:t>
      </w:r>
      <w:r w:rsidR="00C532EE">
        <w:rPr>
          <w:szCs w:val="26"/>
        </w:rPr>
        <w:t xml:space="preserve"> </w:t>
      </w:r>
      <w:r w:rsidR="00CF6D12" w:rsidRPr="00645536">
        <w:rPr>
          <w:szCs w:val="26"/>
        </w:rPr>
        <w:t xml:space="preserve">to amounts paid under the contract.  </w:t>
      </w:r>
      <w:r w:rsidR="00455FC5" w:rsidRPr="00645536">
        <w:rPr>
          <w:szCs w:val="26"/>
        </w:rPr>
        <w:t xml:space="preserve">The Courts of Appeal are divided on this issue.  </w:t>
      </w:r>
      <w:r w:rsidR="00CF6D12" w:rsidRPr="00645536">
        <w:rPr>
          <w:szCs w:val="26"/>
        </w:rPr>
        <w:t>(</w:t>
      </w:r>
      <w:r w:rsidR="00AA1E81" w:rsidRPr="00645536">
        <w:rPr>
          <w:szCs w:val="26"/>
        </w:rPr>
        <w:t>C</w:t>
      </w:r>
      <w:r w:rsidR="008133F4" w:rsidRPr="00645536">
        <w:rPr>
          <w:szCs w:val="26"/>
        </w:rPr>
        <w:t xml:space="preserve">ompare </w:t>
      </w:r>
      <w:r w:rsidR="008133F4" w:rsidRPr="00645536">
        <w:rPr>
          <w:i/>
          <w:iCs/>
          <w:szCs w:val="26"/>
        </w:rPr>
        <w:t>Pulliam</w:t>
      </w:r>
      <w:r w:rsidR="00350DA8" w:rsidRPr="00645536">
        <w:rPr>
          <w:szCs w:val="26"/>
        </w:rPr>
        <w:t>,</w:t>
      </w:r>
      <w:r w:rsidR="008133F4" w:rsidRPr="00645536">
        <w:rPr>
          <w:i/>
          <w:iCs/>
          <w:szCs w:val="26"/>
        </w:rPr>
        <w:t xml:space="preserve"> </w:t>
      </w:r>
      <w:r w:rsidR="009374DD" w:rsidRPr="00645536">
        <w:rPr>
          <w:i/>
          <w:iCs/>
          <w:szCs w:val="26"/>
        </w:rPr>
        <w:t>supra</w:t>
      </w:r>
      <w:r w:rsidR="009374DD" w:rsidRPr="00645536">
        <w:rPr>
          <w:szCs w:val="26"/>
        </w:rPr>
        <w:t>,</w:t>
      </w:r>
      <w:r w:rsidR="009374DD" w:rsidRPr="00645536">
        <w:rPr>
          <w:i/>
          <w:iCs/>
          <w:szCs w:val="26"/>
        </w:rPr>
        <w:t xml:space="preserve"> </w:t>
      </w:r>
      <w:r w:rsidR="00115565" w:rsidRPr="00645536">
        <w:rPr>
          <w:szCs w:val="26"/>
        </w:rPr>
        <w:t xml:space="preserve">60 Cal.App.5th </w:t>
      </w:r>
      <w:r w:rsidR="002C2634" w:rsidRPr="00645536">
        <w:rPr>
          <w:szCs w:val="26"/>
        </w:rPr>
        <w:t>at p. </w:t>
      </w:r>
      <w:r w:rsidR="00B93261" w:rsidRPr="00645536">
        <w:rPr>
          <w:szCs w:val="26"/>
        </w:rPr>
        <w:t>401</w:t>
      </w:r>
      <w:r w:rsidR="00115565" w:rsidRPr="00645536">
        <w:rPr>
          <w:szCs w:val="26"/>
        </w:rPr>
        <w:t xml:space="preserve"> [</w:t>
      </w:r>
      <w:r w:rsidR="002975E4" w:rsidRPr="00645536">
        <w:rPr>
          <w:szCs w:val="26"/>
        </w:rPr>
        <w:t>Holder Rule does not limit the attorney’s fees a plaintiff may recover</w:t>
      </w:r>
      <w:r w:rsidR="00115565" w:rsidRPr="00645536">
        <w:rPr>
          <w:szCs w:val="26"/>
        </w:rPr>
        <w:t xml:space="preserve">] </w:t>
      </w:r>
      <w:r w:rsidR="002F745D" w:rsidRPr="00645536">
        <w:rPr>
          <w:szCs w:val="26"/>
        </w:rPr>
        <w:t xml:space="preserve">with </w:t>
      </w:r>
      <w:r w:rsidR="00F81DA4" w:rsidRPr="00645536">
        <w:rPr>
          <w:i/>
          <w:iCs/>
          <w:szCs w:val="26"/>
        </w:rPr>
        <w:t>Lafferty v. Wells Fargo Bank, N.A.</w:t>
      </w:r>
      <w:r w:rsidR="00F81DA4" w:rsidRPr="00645536">
        <w:rPr>
          <w:szCs w:val="26"/>
        </w:rPr>
        <w:t xml:space="preserve"> (2018) 25 Cal.App.5th 398</w:t>
      </w:r>
      <w:r w:rsidR="009E2755" w:rsidRPr="00645536">
        <w:rPr>
          <w:szCs w:val="26"/>
        </w:rPr>
        <w:t>,</w:t>
      </w:r>
      <w:r w:rsidR="00E63326" w:rsidRPr="00645536">
        <w:rPr>
          <w:szCs w:val="26"/>
        </w:rPr>
        <w:t xml:space="preserve"> </w:t>
      </w:r>
      <w:r w:rsidR="00B16249" w:rsidRPr="00645536">
        <w:rPr>
          <w:szCs w:val="26"/>
        </w:rPr>
        <w:t>418–</w:t>
      </w:r>
      <w:r w:rsidR="008457A9" w:rsidRPr="00645536">
        <w:rPr>
          <w:szCs w:val="26"/>
        </w:rPr>
        <w:t>419</w:t>
      </w:r>
      <w:r w:rsidR="008133F4" w:rsidRPr="00645536">
        <w:rPr>
          <w:szCs w:val="26"/>
        </w:rPr>
        <w:t xml:space="preserve"> </w:t>
      </w:r>
      <w:r w:rsidR="001C3ABC" w:rsidRPr="00645536">
        <w:rPr>
          <w:szCs w:val="26"/>
        </w:rPr>
        <w:t>(</w:t>
      </w:r>
      <w:r w:rsidR="001C3ABC" w:rsidRPr="00645536">
        <w:rPr>
          <w:i/>
          <w:iCs/>
          <w:szCs w:val="26"/>
        </w:rPr>
        <w:t>Lafferty</w:t>
      </w:r>
      <w:r w:rsidR="001C3ABC" w:rsidRPr="00645536">
        <w:rPr>
          <w:szCs w:val="26"/>
        </w:rPr>
        <w:t>)</w:t>
      </w:r>
      <w:r w:rsidR="001C3ABC" w:rsidRPr="00645536">
        <w:rPr>
          <w:i/>
          <w:iCs/>
          <w:szCs w:val="26"/>
        </w:rPr>
        <w:t xml:space="preserve"> </w:t>
      </w:r>
      <w:r w:rsidR="008133F4" w:rsidRPr="00645536">
        <w:rPr>
          <w:szCs w:val="26"/>
        </w:rPr>
        <w:t>[</w:t>
      </w:r>
      <w:r w:rsidR="00DF2EB0" w:rsidRPr="00645536">
        <w:rPr>
          <w:szCs w:val="26"/>
        </w:rPr>
        <w:t xml:space="preserve">Holder </w:t>
      </w:r>
      <w:r w:rsidR="00A5130A" w:rsidRPr="00645536">
        <w:rPr>
          <w:szCs w:val="26"/>
        </w:rPr>
        <w:t>Rule</w:t>
      </w:r>
      <w:r w:rsidR="006C1B8F" w:rsidRPr="00645536">
        <w:rPr>
          <w:szCs w:val="26"/>
        </w:rPr>
        <w:t xml:space="preserve">’s limitation </w:t>
      </w:r>
      <w:r w:rsidR="003270F0" w:rsidRPr="00645536">
        <w:rPr>
          <w:szCs w:val="26"/>
        </w:rPr>
        <w:t xml:space="preserve">on </w:t>
      </w:r>
      <w:r w:rsidR="006C1B8F" w:rsidRPr="00645536">
        <w:rPr>
          <w:szCs w:val="26"/>
        </w:rPr>
        <w:t xml:space="preserve">recovery </w:t>
      </w:r>
      <w:r w:rsidR="003270F0" w:rsidRPr="00645536">
        <w:rPr>
          <w:szCs w:val="26"/>
        </w:rPr>
        <w:t xml:space="preserve">applies to </w:t>
      </w:r>
      <w:r w:rsidR="006C1B8F" w:rsidRPr="00645536">
        <w:rPr>
          <w:szCs w:val="26"/>
        </w:rPr>
        <w:t>attorney’s fees</w:t>
      </w:r>
      <w:r w:rsidR="00D3292B" w:rsidRPr="00645536">
        <w:rPr>
          <w:szCs w:val="26"/>
        </w:rPr>
        <w:t xml:space="preserve"> sought </w:t>
      </w:r>
      <w:r w:rsidR="00FC684A" w:rsidRPr="00645536">
        <w:rPr>
          <w:szCs w:val="26"/>
        </w:rPr>
        <w:t xml:space="preserve">under Civil Code </w:t>
      </w:r>
      <w:r w:rsidR="005F1525">
        <w:rPr>
          <w:szCs w:val="26"/>
        </w:rPr>
        <w:t>§</w:t>
      </w:r>
      <w:r w:rsidR="00FC684A" w:rsidRPr="00645536">
        <w:rPr>
          <w:szCs w:val="26"/>
        </w:rPr>
        <w:t xml:space="preserve"> 1780 of the </w:t>
      </w:r>
      <w:r w:rsidR="00F27D8B" w:rsidRPr="00645536">
        <w:rPr>
          <w:szCs w:val="26"/>
        </w:rPr>
        <w:t>Consumers Legal Remedies Act</w:t>
      </w:r>
      <w:r w:rsidR="006A3FED" w:rsidRPr="00645536">
        <w:rPr>
          <w:szCs w:val="26"/>
        </w:rPr>
        <w:t xml:space="preserve"> (CLRA)</w:t>
      </w:r>
      <w:r w:rsidR="008133F4" w:rsidRPr="00645536">
        <w:rPr>
          <w:szCs w:val="26"/>
        </w:rPr>
        <w:t>]</w:t>
      </w:r>
      <w:r w:rsidR="002F745D" w:rsidRPr="00645536">
        <w:rPr>
          <w:szCs w:val="26"/>
        </w:rPr>
        <w:t xml:space="preserve"> and</w:t>
      </w:r>
      <w:r w:rsidR="008133F4" w:rsidRPr="00645536">
        <w:rPr>
          <w:szCs w:val="26"/>
        </w:rPr>
        <w:t xml:space="preserve"> </w:t>
      </w:r>
      <w:r w:rsidR="008133F4" w:rsidRPr="00645536">
        <w:rPr>
          <w:i/>
          <w:iCs/>
          <w:szCs w:val="26"/>
        </w:rPr>
        <w:t>Spikener v. Ally Fin</w:t>
      </w:r>
      <w:r w:rsidR="006468E0" w:rsidRPr="00645536">
        <w:rPr>
          <w:i/>
          <w:iCs/>
          <w:szCs w:val="26"/>
        </w:rPr>
        <w:t>ancial</w:t>
      </w:r>
      <w:r w:rsidR="008133F4" w:rsidRPr="00645536">
        <w:rPr>
          <w:i/>
          <w:iCs/>
          <w:szCs w:val="26"/>
        </w:rPr>
        <w:t>,</w:t>
      </w:r>
      <w:r w:rsidR="008133F4" w:rsidRPr="00645536">
        <w:rPr>
          <w:szCs w:val="26"/>
        </w:rPr>
        <w:t xml:space="preserve"> </w:t>
      </w:r>
      <w:r w:rsidR="008133F4" w:rsidRPr="00645536">
        <w:rPr>
          <w:i/>
          <w:iCs/>
          <w:szCs w:val="26"/>
        </w:rPr>
        <w:t>Inc.</w:t>
      </w:r>
      <w:r w:rsidR="008133F4" w:rsidRPr="00645536">
        <w:rPr>
          <w:szCs w:val="26"/>
        </w:rPr>
        <w:t xml:space="preserve"> (2020) 50 Cal.App.5th 1</w:t>
      </w:r>
      <w:r w:rsidR="0060263B" w:rsidRPr="00645536">
        <w:rPr>
          <w:szCs w:val="26"/>
        </w:rPr>
        <w:t>5</w:t>
      </w:r>
      <w:r w:rsidR="008133F4" w:rsidRPr="00645536">
        <w:rPr>
          <w:szCs w:val="26"/>
        </w:rPr>
        <w:t>1</w:t>
      </w:r>
      <w:r w:rsidR="0060263B" w:rsidRPr="00645536">
        <w:rPr>
          <w:szCs w:val="26"/>
        </w:rPr>
        <w:t>, 15</w:t>
      </w:r>
      <w:r w:rsidR="00F421FB" w:rsidRPr="00645536">
        <w:rPr>
          <w:szCs w:val="26"/>
        </w:rPr>
        <w:t>9</w:t>
      </w:r>
      <w:r w:rsidR="0060263B" w:rsidRPr="00645536">
        <w:rPr>
          <w:szCs w:val="26"/>
        </w:rPr>
        <w:t>–163</w:t>
      </w:r>
      <w:r w:rsidR="002F745D" w:rsidRPr="00645536">
        <w:rPr>
          <w:szCs w:val="26"/>
        </w:rPr>
        <w:t xml:space="preserve"> </w:t>
      </w:r>
      <w:r w:rsidR="001C3ABC" w:rsidRPr="00645536">
        <w:rPr>
          <w:szCs w:val="26"/>
        </w:rPr>
        <w:t>(</w:t>
      </w:r>
      <w:r w:rsidR="001C3ABC" w:rsidRPr="00645536">
        <w:rPr>
          <w:i/>
          <w:iCs/>
          <w:szCs w:val="26"/>
        </w:rPr>
        <w:t>Spikener</w:t>
      </w:r>
      <w:r w:rsidR="001C3ABC" w:rsidRPr="00645536">
        <w:rPr>
          <w:szCs w:val="26"/>
        </w:rPr>
        <w:t>)</w:t>
      </w:r>
      <w:r w:rsidR="001C3ABC" w:rsidRPr="00645536">
        <w:rPr>
          <w:i/>
          <w:iCs/>
          <w:szCs w:val="26"/>
        </w:rPr>
        <w:t xml:space="preserve"> </w:t>
      </w:r>
      <w:r w:rsidR="002F745D" w:rsidRPr="00645536">
        <w:rPr>
          <w:szCs w:val="26"/>
        </w:rPr>
        <w:t>[</w:t>
      </w:r>
      <w:r w:rsidR="00601EF8" w:rsidRPr="00645536">
        <w:rPr>
          <w:szCs w:val="26"/>
        </w:rPr>
        <w:t xml:space="preserve">Holder </w:t>
      </w:r>
      <w:r w:rsidR="00283A3D" w:rsidRPr="00645536">
        <w:rPr>
          <w:szCs w:val="26"/>
        </w:rPr>
        <w:t>Rule’s limitation on recovery applies to attorney’s fee</w:t>
      </w:r>
      <w:r w:rsidR="00D2031F" w:rsidRPr="00645536">
        <w:rPr>
          <w:szCs w:val="26"/>
        </w:rPr>
        <w:t>s</w:t>
      </w:r>
      <w:r w:rsidR="000651D9" w:rsidRPr="00645536">
        <w:rPr>
          <w:szCs w:val="26"/>
        </w:rPr>
        <w:t xml:space="preserve"> sought under </w:t>
      </w:r>
      <w:r w:rsidR="006A3FED" w:rsidRPr="00645536">
        <w:rPr>
          <w:szCs w:val="26"/>
        </w:rPr>
        <w:t xml:space="preserve">the CLRA </w:t>
      </w:r>
      <w:r w:rsidR="000651D9" w:rsidRPr="00645536">
        <w:rPr>
          <w:szCs w:val="26"/>
        </w:rPr>
        <w:t xml:space="preserve">or </w:t>
      </w:r>
      <w:r w:rsidR="00460CEA" w:rsidRPr="00645536">
        <w:rPr>
          <w:szCs w:val="26"/>
        </w:rPr>
        <w:t xml:space="preserve">Civil Code </w:t>
      </w:r>
      <w:r w:rsidR="005F1525">
        <w:rPr>
          <w:szCs w:val="26"/>
        </w:rPr>
        <w:t>§</w:t>
      </w:r>
      <w:r w:rsidR="005F1525" w:rsidRPr="00645536">
        <w:rPr>
          <w:szCs w:val="26"/>
        </w:rPr>
        <w:t xml:space="preserve"> </w:t>
      </w:r>
      <w:r w:rsidR="000651D9" w:rsidRPr="00645536">
        <w:rPr>
          <w:szCs w:val="26"/>
        </w:rPr>
        <w:t>1459.5</w:t>
      </w:r>
      <w:r w:rsidR="002F745D" w:rsidRPr="00645536">
        <w:rPr>
          <w:szCs w:val="26"/>
        </w:rPr>
        <w:t>].</w:t>
      </w:r>
      <w:r w:rsidR="00CF6D12" w:rsidRPr="00645536">
        <w:rPr>
          <w:szCs w:val="26"/>
        </w:rPr>
        <w:t>)</w:t>
      </w:r>
    </w:p>
    <w:p w14:paraId="234CBCC0" w14:textId="14280F64" w:rsidR="00E9027C" w:rsidRDefault="00027CB7" w:rsidP="00645536">
      <w:pPr>
        <w:tabs>
          <w:tab w:val="left" w:pos="1440"/>
        </w:tabs>
        <w:ind w:firstLine="720"/>
        <w:rPr>
          <w:szCs w:val="26"/>
        </w:rPr>
      </w:pPr>
      <w:r>
        <w:rPr>
          <w:szCs w:val="26"/>
        </w:rPr>
        <w:t xml:space="preserve">We </w:t>
      </w:r>
      <w:r w:rsidR="007C75E5">
        <w:rPr>
          <w:szCs w:val="26"/>
        </w:rPr>
        <w:t>conclude</w:t>
      </w:r>
      <w:r>
        <w:rPr>
          <w:szCs w:val="26"/>
        </w:rPr>
        <w:t xml:space="preserve"> that the Holder Rule does not </w:t>
      </w:r>
      <w:r w:rsidR="003F5366">
        <w:rPr>
          <w:szCs w:val="26"/>
        </w:rPr>
        <w:t xml:space="preserve">limit </w:t>
      </w:r>
      <w:r w:rsidR="002130D4">
        <w:rPr>
          <w:szCs w:val="26"/>
        </w:rPr>
        <w:t xml:space="preserve">the award of </w:t>
      </w:r>
      <w:r w:rsidR="001400B8">
        <w:rPr>
          <w:szCs w:val="26"/>
        </w:rPr>
        <w:t xml:space="preserve">attorney’s </w:t>
      </w:r>
      <w:r>
        <w:rPr>
          <w:szCs w:val="26"/>
        </w:rPr>
        <w:t>fees where</w:t>
      </w:r>
      <w:r w:rsidR="007C75E5">
        <w:rPr>
          <w:szCs w:val="26"/>
        </w:rPr>
        <w:t>, as here,</w:t>
      </w:r>
      <w:r>
        <w:rPr>
          <w:szCs w:val="26"/>
        </w:rPr>
        <w:t xml:space="preserve"> a buyer </w:t>
      </w:r>
      <w:r w:rsidR="007C75E5">
        <w:rPr>
          <w:szCs w:val="26"/>
        </w:rPr>
        <w:t xml:space="preserve">seeks </w:t>
      </w:r>
      <w:r>
        <w:rPr>
          <w:szCs w:val="26"/>
        </w:rPr>
        <w:t xml:space="preserve">fees from a holder under a </w:t>
      </w:r>
      <w:r w:rsidR="003F5366">
        <w:rPr>
          <w:szCs w:val="26"/>
        </w:rPr>
        <w:t xml:space="preserve">state </w:t>
      </w:r>
      <w:r>
        <w:rPr>
          <w:szCs w:val="26"/>
        </w:rPr>
        <w:t xml:space="preserve">prevailing party statute.  </w:t>
      </w:r>
      <w:r w:rsidR="001F5BE9">
        <w:rPr>
          <w:szCs w:val="26"/>
        </w:rPr>
        <w:t>The Holder Rule’s limitation extends only to “recovery hereunder</w:t>
      </w:r>
      <w:r w:rsidR="00225505">
        <w:rPr>
          <w:szCs w:val="26"/>
        </w:rPr>
        <w:t>.</w:t>
      </w:r>
      <w:r w:rsidR="001F5BE9">
        <w:rPr>
          <w:szCs w:val="26"/>
        </w:rPr>
        <w:t xml:space="preserve">” </w:t>
      </w:r>
      <w:r w:rsidR="00225505">
        <w:rPr>
          <w:szCs w:val="26"/>
        </w:rPr>
        <w:t xml:space="preserve"> This caps fees only </w:t>
      </w:r>
      <w:r w:rsidR="001F5BE9">
        <w:rPr>
          <w:szCs w:val="26"/>
        </w:rPr>
        <w:t xml:space="preserve">where a debtor asserts a claim </w:t>
      </w:r>
      <w:r w:rsidR="00C00FA3">
        <w:rPr>
          <w:szCs w:val="26"/>
        </w:rPr>
        <w:t xml:space="preserve">for fees </w:t>
      </w:r>
      <w:r w:rsidR="001F5BE9">
        <w:rPr>
          <w:szCs w:val="26"/>
        </w:rPr>
        <w:t xml:space="preserve">against a seller </w:t>
      </w:r>
      <w:r w:rsidR="00C00FA3">
        <w:rPr>
          <w:szCs w:val="26"/>
        </w:rPr>
        <w:t xml:space="preserve">and the claim </w:t>
      </w:r>
      <w:r w:rsidR="001F5BE9">
        <w:rPr>
          <w:szCs w:val="26"/>
        </w:rPr>
        <w:t xml:space="preserve">is extended to lie against a holder by </w:t>
      </w:r>
      <w:r w:rsidR="007C75E5">
        <w:rPr>
          <w:szCs w:val="26"/>
        </w:rPr>
        <w:t xml:space="preserve">virtue of </w:t>
      </w:r>
      <w:r w:rsidR="001F5BE9">
        <w:rPr>
          <w:szCs w:val="26"/>
        </w:rPr>
        <w:t xml:space="preserve">the Holder Rule.  </w:t>
      </w:r>
      <w:r w:rsidR="00E00CC7">
        <w:rPr>
          <w:szCs w:val="26"/>
        </w:rPr>
        <w:t>W</w:t>
      </w:r>
      <w:r w:rsidR="0077087C">
        <w:rPr>
          <w:szCs w:val="26"/>
        </w:rPr>
        <w:t xml:space="preserve">here state </w:t>
      </w:r>
      <w:r w:rsidR="003E746E">
        <w:rPr>
          <w:szCs w:val="26"/>
        </w:rPr>
        <w:t xml:space="preserve">law provides for recovery of fees </w:t>
      </w:r>
      <w:r w:rsidR="0090192F">
        <w:rPr>
          <w:szCs w:val="26"/>
        </w:rPr>
        <w:t>from a holder, the Rule’s history and purpose as well as the F</w:t>
      </w:r>
      <w:r w:rsidR="007C75E5">
        <w:rPr>
          <w:szCs w:val="26"/>
        </w:rPr>
        <w:t>ederal Trade Commission</w:t>
      </w:r>
      <w:r w:rsidR="0090192F">
        <w:rPr>
          <w:szCs w:val="26"/>
        </w:rPr>
        <w:t xml:space="preserve">’s </w:t>
      </w:r>
      <w:r w:rsidR="00F01F8C">
        <w:rPr>
          <w:szCs w:val="26"/>
        </w:rPr>
        <w:t xml:space="preserve">repeated </w:t>
      </w:r>
      <w:r w:rsidR="0090192F">
        <w:rPr>
          <w:szCs w:val="26"/>
        </w:rPr>
        <w:t>commentary</w:t>
      </w:r>
      <w:r w:rsidR="00F01F8C">
        <w:rPr>
          <w:szCs w:val="26"/>
        </w:rPr>
        <w:t xml:space="preserve"> make clear that nothing in the Rule limits the application of that law.  </w:t>
      </w:r>
    </w:p>
    <w:p w14:paraId="6FFED077" w14:textId="5B28FC65" w:rsidR="00690E1A" w:rsidRPr="00645536" w:rsidRDefault="00690E1A" w:rsidP="00940FCE">
      <w:pPr>
        <w:keepNext/>
        <w:tabs>
          <w:tab w:val="left" w:pos="1440"/>
        </w:tabs>
        <w:jc w:val="center"/>
        <w:rPr>
          <w:b/>
          <w:bCs/>
          <w:szCs w:val="26"/>
        </w:rPr>
      </w:pPr>
      <w:r w:rsidRPr="00645536">
        <w:rPr>
          <w:b/>
          <w:bCs/>
          <w:szCs w:val="26"/>
        </w:rPr>
        <w:t>I.</w:t>
      </w:r>
    </w:p>
    <w:p w14:paraId="79FCD1E1" w14:textId="713F275E" w:rsidR="003B51E8" w:rsidRPr="00645536" w:rsidRDefault="00742455" w:rsidP="00645536">
      <w:pPr>
        <w:keepNext/>
        <w:rPr>
          <w:szCs w:val="26"/>
        </w:rPr>
      </w:pPr>
      <w:r w:rsidRPr="00645536">
        <w:rPr>
          <w:szCs w:val="26"/>
        </w:rPr>
        <w:tab/>
      </w:r>
      <w:r w:rsidR="00285025" w:rsidRPr="00645536">
        <w:rPr>
          <w:szCs w:val="26"/>
        </w:rPr>
        <w:t xml:space="preserve">In July 2016, </w:t>
      </w:r>
      <w:r w:rsidR="00BC2C9B" w:rsidRPr="00645536">
        <w:rPr>
          <w:szCs w:val="26"/>
        </w:rPr>
        <w:t xml:space="preserve">Pulliam </w:t>
      </w:r>
      <w:r w:rsidR="007113D0">
        <w:rPr>
          <w:szCs w:val="26"/>
        </w:rPr>
        <w:t>bought</w:t>
      </w:r>
      <w:r w:rsidR="007113D0" w:rsidRPr="00645536">
        <w:rPr>
          <w:szCs w:val="26"/>
        </w:rPr>
        <w:t xml:space="preserve"> </w:t>
      </w:r>
      <w:r w:rsidR="00BC2C9B" w:rsidRPr="00645536">
        <w:rPr>
          <w:szCs w:val="26"/>
        </w:rPr>
        <w:t xml:space="preserve">a </w:t>
      </w:r>
      <w:r w:rsidR="00CE6F0A" w:rsidRPr="00645536">
        <w:rPr>
          <w:szCs w:val="26"/>
        </w:rPr>
        <w:t xml:space="preserve">“Certified Pre-Owned” 2015 </w:t>
      </w:r>
      <w:r w:rsidR="000B0987" w:rsidRPr="00645536">
        <w:rPr>
          <w:szCs w:val="26"/>
        </w:rPr>
        <w:t>Nissan Altima from HNL Automotive Inc</w:t>
      </w:r>
      <w:r w:rsidR="00166F0A" w:rsidRPr="00645536">
        <w:rPr>
          <w:szCs w:val="26"/>
        </w:rPr>
        <w:t>.</w:t>
      </w:r>
      <w:r w:rsidR="00B81291" w:rsidRPr="00645536">
        <w:rPr>
          <w:szCs w:val="26"/>
        </w:rPr>
        <w:t xml:space="preserve"> pursuant to a retail sales contract </w:t>
      </w:r>
      <w:r w:rsidR="00600AAC" w:rsidRPr="00645536">
        <w:rPr>
          <w:szCs w:val="26"/>
        </w:rPr>
        <w:t xml:space="preserve">that included </w:t>
      </w:r>
      <w:r w:rsidR="00B81291" w:rsidRPr="00645536">
        <w:rPr>
          <w:szCs w:val="26"/>
        </w:rPr>
        <w:t>the Holder Rule</w:t>
      </w:r>
      <w:r w:rsidR="005D18C5" w:rsidRPr="00645536">
        <w:rPr>
          <w:szCs w:val="26"/>
        </w:rPr>
        <w:t xml:space="preserve"> N</w:t>
      </w:r>
      <w:r w:rsidR="00B81291" w:rsidRPr="00645536">
        <w:rPr>
          <w:szCs w:val="26"/>
        </w:rPr>
        <w:t>otice</w:t>
      </w:r>
      <w:r w:rsidR="00DF2EB0" w:rsidRPr="00645536">
        <w:rPr>
          <w:szCs w:val="26"/>
        </w:rPr>
        <w:t xml:space="preserve"> (Notice)</w:t>
      </w:r>
      <w:r w:rsidR="00BD4A44" w:rsidRPr="00645536">
        <w:rPr>
          <w:szCs w:val="26"/>
        </w:rPr>
        <w:t xml:space="preserve">.  </w:t>
      </w:r>
      <w:r w:rsidR="000E2E04" w:rsidRPr="00645536">
        <w:rPr>
          <w:szCs w:val="26"/>
        </w:rPr>
        <w:t xml:space="preserve">The dealership </w:t>
      </w:r>
      <w:r w:rsidR="00C65310" w:rsidRPr="00645536">
        <w:rPr>
          <w:szCs w:val="26"/>
        </w:rPr>
        <w:t xml:space="preserve">advertised </w:t>
      </w:r>
      <w:r w:rsidR="00957C19" w:rsidRPr="00645536">
        <w:rPr>
          <w:szCs w:val="26"/>
        </w:rPr>
        <w:t xml:space="preserve">the car as having </w:t>
      </w:r>
      <w:r w:rsidR="00C65310" w:rsidRPr="00645536">
        <w:rPr>
          <w:szCs w:val="26"/>
        </w:rPr>
        <w:t>cruise control</w:t>
      </w:r>
      <w:r w:rsidR="00A962B2" w:rsidRPr="00645536">
        <w:rPr>
          <w:szCs w:val="26"/>
        </w:rPr>
        <w:t xml:space="preserve"> and </w:t>
      </w:r>
      <w:r w:rsidR="00622190" w:rsidRPr="00645536">
        <w:rPr>
          <w:szCs w:val="26"/>
        </w:rPr>
        <w:t>six</w:t>
      </w:r>
      <w:r w:rsidR="00C65310" w:rsidRPr="00645536">
        <w:rPr>
          <w:szCs w:val="26"/>
        </w:rPr>
        <w:t>-way power-adjustable seat</w:t>
      </w:r>
      <w:r w:rsidR="006A32A6" w:rsidRPr="00645536">
        <w:rPr>
          <w:szCs w:val="26"/>
        </w:rPr>
        <w:t>s</w:t>
      </w:r>
      <w:r w:rsidR="00A962B2" w:rsidRPr="00645536">
        <w:rPr>
          <w:szCs w:val="26"/>
        </w:rPr>
        <w:t xml:space="preserve">.  </w:t>
      </w:r>
      <w:r w:rsidR="00357176" w:rsidRPr="00645536">
        <w:rPr>
          <w:szCs w:val="26"/>
        </w:rPr>
        <w:t xml:space="preserve">After </w:t>
      </w:r>
      <w:r w:rsidR="007113D0">
        <w:rPr>
          <w:szCs w:val="26"/>
        </w:rPr>
        <w:t>buying</w:t>
      </w:r>
      <w:r w:rsidR="007113D0" w:rsidRPr="00645536">
        <w:rPr>
          <w:szCs w:val="26"/>
        </w:rPr>
        <w:t xml:space="preserve"> </w:t>
      </w:r>
      <w:r w:rsidR="00357176" w:rsidRPr="00645536">
        <w:rPr>
          <w:szCs w:val="26"/>
        </w:rPr>
        <w:t xml:space="preserve">the car, Pulliam learned </w:t>
      </w:r>
      <w:r w:rsidR="00A12E1C" w:rsidRPr="00645536">
        <w:rPr>
          <w:szCs w:val="26"/>
        </w:rPr>
        <w:t xml:space="preserve">that </w:t>
      </w:r>
      <w:r w:rsidR="006A32A6" w:rsidRPr="00645536">
        <w:rPr>
          <w:szCs w:val="26"/>
        </w:rPr>
        <w:t xml:space="preserve">it did not meet the requirements of the Certified Pre-Owned program or have the advertised features she needed due to </w:t>
      </w:r>
      <w:r w:rsidR="00600AAC" w:rsidRPr="00645536">
        <w:rPr>
          <w:szCs w:val="26"/>
        </w:rPr>
        <w:t xml:space="preserve">a </w:t>
      </w:r>
      <w:r w:rsidR="006A32A6" w:rsidRPr="00645536">
        <w:rPr>
          <w:szCs w:val="26"/>
        </w:rPr>
        <w:t>disability.</w:t>
      </w:r>
      <w:r w:rsidR="005569BE" w:rsidRPr="00645536">
        <w:rPr>
          <w:szCs w:val="26"/>
        </w:rPr>
        <w:t xml:space="preserve">  </w:t>
      </w:r>
    </w:p>
    <w:p w14:paraId="4880FAA8" w14:textId="06D34CEF" w:rsidR="005B2204" w:rsidRPr="00645536" w:rsidRDefault="005B2204" w:rsidP="00645536">
      <w:pPr>
        <w:rPr>
          <w:szCs w:val="26"/>
        </w:rPr>
      </w:pPr>
      <w:r w:rsidRPr="00645536">
        <w:rPr>
          <w:szCs w:val="26"/>
        </w:rPr>
        <w:tab/>
        <w:t xml:space="preserve">In September 2016, Pulliam filed suit against the dealership and </w:t>
      </w:r>
      <w:r w:rsidR="00C31134" w:rsidRPr="00645536">
        <w:rPr>
          <w:szCs w:val="26"/>
        </w:rPr>
        <w:t>TDAF</w:t>
      </w:r>
      <w:r w:rsidR="00A67DAA" w:rsidRPr="00645536">
        <w:rPr>
          <w:szCs w:val="26"/>
        </w:rPr>
        <w:t>,</w:t>
      </w:r>
      <w:r w:rsidR="00766D17" w:rsidRPr="00645536">
        <w:rPr>
          <w:szCs w:val="26"/>
        </w:rPr>
        <w:t xml:space="preserve"> which </w:t>
      </w:r>
      <w:r w:rsidR="0036736F" w:rsidRPr="00645536">
        <w:rPr>
          <w:szCs w:val="26"/>
        </w:rPr>
        <w:t xml:space="preserve">had </w:t>
      </w:r>
      <w:r w:rsidR="00766D17" w:rsidRPr="00645536">
        <w:rPr>
          <w:szCs w:val="26"/>
        </w:rPr>
        <w:t xml:space="preserve">accepted assignment </w:t>
      </w:r>
      <w:r w:rsidR="0036736F" w:rsidRPr="00645536">
        <w:rPr>
          <w:szCs w:val="26"/>
        </w:rPr>
        <w:t>of the contract</w:t>
      </w:r>
      <w:r w:rsidRPr="00645536">
        <w:rPr>
          <w:szCs w:val="26"/>
        </w:rPr>
        <w:t>.</w:t>
      </w:r>
      <w:r w:rsidR="00F74D6C" w:rsidRPr="00645536">
        <w:rPr>
          <w:szCs w:val="26"/>
        </w:rPr>
        <w:t xml:space="preserve">  She alleged six causes of action </w:t>
      </w:r>
      <w:r w:rsidR="00B3451C" w:rsidRPr="00645536">
        <w:rPr>
          <w:szCs w:val="26"/>
        </w:rPr>
        <w:t>based on the dealership’s misconduct</w:t>
      </w:r>
      <w:r w:rsidR="009374DD" w:rsidRPr="00645536">
        <w:rPr>
          <w:szCs w:val="26"/>
        </w:rPr>
        <w:t>,</w:t>
      </w:r>
      <w:r w:rsidR="00B3451C" w:rsidRPr="00645536">
        <w:rPr>
          <w:szCs w:val="26"/>
        </w:rPr>
        <w:t xml:space="preserve"> </w:t>
      </w:r>
      <w:r w:rsidR="00F74D6C" w:rsidRPr="00645536">
        <w:rPr>
          <w:szCs w:val="26"/>
        </w:rPr>
        <w:t xml:space="preserve">including violation of the </w:t>
      </w:r>
      <w:r w:rsidR="00A62C5D" w:rsidRPr="00645536">
        <w:rPr>
          <w:szCs w:val="26"/>
        </w:rPr>
        <w:t>CLRA</w:t>
      </w:r>
      <w:r w:rsidR="00F74D6C" w:rsidRPr="00645536">
        <w:rPr>
          <w:szCs w:val="26"/>
        </w:rPr>
        <w:t>, b</w:t>
      </w:r>
      <w:r w:rsidR="00CC66CB" w:rsidRPr="00645536">
        <w:rPr>
          <w:szCs w:val="26"/>
        </w:rPr>
        <w:t>r</w:t>
      </w:r>
      <w:r w:rsidR="00F74D6C" w:rsidRPr="00645536">
        <w:rPr>
          <w:szCs w:val="26"/>
        </w:rPr>
        <w:t xml:space="preserve">each of implied warranty under </w:t>
      </w:r>
      <w:r w:rsidR="00600AAC" w:rsidRPr="00645536">
        <w:rPr>
          <w:szCs w:val="26"/>
        </w:rPr>
        <w:t xml:space="preserve">the </w:t>
      </w:r>
      <w:r w:rsidR="00F74D6C" w:rsidRPr="00645536">
        <w:rPr>
          <w:szCs w:val="26"/>
        </w:rPr>
        <w:t>Song-Beverly</w:t>
      </w:r>
      <w:r w:rsidR="00600AAC" w:rsidRPr="00645536">
        <w:rPr>
          <w:szCs w:val="26"/>
        </w:rPr>
        <w:t xml:space="preserve"> Act</w:t>
      </w:r>
      <w:r w:rsidR="00CC66CB" w:rsidRPr="00645536">
        <w:rPr>
          <w:szCs w:val="26"/>
        </w:rPr>
        <w:t>, fraud and deceit, negligent misrepresentation, violation of Business and Professions Code section 17200, and violation of Vehicle Code section 11711.</w:t>
      </w:r>
      <w:r w:rsidR="005050FC" w:rsidRPr="00645536">
        <w:rPr>
          <w:szCs w:val="26"/>
        </w:rPr>
        <w:t xml:space="preserve">  </w:t>
      </w:r>
    </w:p>
    <w:p w14:paraId="6E413EB3" w14:textId="2109FFB1" w:rsidR="009C622C" w:rsidRPr="00645536" w:rsidRDefault="00B81291" w:rsidP="00645536">
      <w:pPr>
        <w:rPr>
          <w:szCs w:val="26"/>
        </w:rPr>
      </w:pPr>
      <w:r w:rsidRPr="00645536">
        <w:rPr>
          <w:szCs w:val="26"/>
        </w:rPr>
        <w:tab/>
      </w:r>
      <w:r w:rsidR="004F3255" w:rsidRPr="00645536">
        <w:rPr>
          <w:szCs w:val="26"/>
        </w:rPr>
        <w:t xml:space="preserve">Following trial in April 2018, a jury found </w:t>
      </w:r>
      <w:r w:rsidR="00260A6E" w:rsidRPr="00645536">
        <w:rPr>
          <w:szCs w:val="26"/>
        </w:rPr>
        <w:t xml:space="preserve">that the dealership failed </w:t>
      </w:r>
      <w:r w:rsidR="00697128" w:rsidRPr="00645536">
        <w:rPr>
          <w:szCs w:val="26"/>
        </w:rPr>
        <w:t xml:space="preserve">to adequately package and label the car </w:t>
      </w:r>
      <w:r w:rsidR="00DF2EB0" w:rsidRPr="00645536">
        <w:rPr>
          <w:szCs w:val="26"/>
        </w:rPr>
        <w:t>at issue</w:t>
      </w:r>
      <w:r w:rsidR="00697128" w:rsidRPr="00645536">
        <w:rPr>
          <w:szCs w:val="26"/>
        </w:rPr>
        <w:t xml:space="preserve"> and </w:t>
      </w:r>
      <w:r w:rsidR="00260A6E" w:rsidRPr="00645536">
        <w:rPr>
          <w:szCs w:val="26"/>
        </w:rPr>
        <w:t xml:space="preserve">that </w:t>
      </w:r>
      <w:r w:rsidR="00697128" w:rsidRPr="00645536">
        <w:rPr>
          <w:szCs w:val="26"/>
        </w:rPr>
        <w:t>the vehicle faile</w:t>
      </w:r>
      <w:r w:rsidR="00821CA7" w:rsidRPr="00645536">
        <w:rPr>
          <w:szCs w:val="26"/>
        </w:rPr>
        <w:t>d</w:t>
      </w:r>
      <w:r w:rsidR="00697128" w:rsidRPr="00645536">
        <w:rPr>
          <w:szCs w:val="26"/>
        </w:rPr>
        <w:t xml:space="preserve"> to </w:t>
      </w:r>
      <w:r w:rsidR="00D83A17" w:rsidRPr="00645536">
        <w:rPr>
          <w:szCs w:val="26"/>
        </w:rPr>
        <w:t>conform to the promises of fact made on the label</w:t>
      </w:r>
      <w:r w:rsidR="00821CA7" w:rsidRPr="00645536">
        <w:rPr>
          <w:szCs w:val="26"/>
        </w:rPr>
        <w:t xml:space="preserve">, in violation of </w:t>
      </w:r>
      <w:r w:rsidR="00600AAC" w:rsidRPr="00645536">
        <w:rPr>
          <w:szCs w:val="26"/>
        </w:rPr>
        <w:t xml:space="preserve">the </w:t>
      </w:r>
      <w:r w:rsidR="00821CA7" w:rsidRPr="00645536">
        <w:rPr>
          <w:szCs w:val="26"/>
        </w:rPr>
        <w:t>Song-Beverly</w:t>
      </w:r>
      <w:r w:rsidR="00600AAC" w:rsidRPr="00645536">
        <w:rPr>
          <w:szCs w:val="26"/>
        </w:rPr>
        <w:t xml:space="preserve"> Act</w:t>
      </w:r>
      <w:r w:rsidR="00D83A17" w:rsidRPr="00645536">
        <w:rPr>
          <w:szCs w:val="26"/>
        </w:rPr>
        <w:t xml:space="preserve">.  The jury </w:t>
      </w:r>
      <w:r w:rsidR="00274BFB">
        <w:rPr>
          <w:szCs w:val="26"/>
        </w:rPr>
        <w:t>awarded Pulliam</w:t>
      </w:r>
      <w:r w:rsidR="00266D2B" w:rsidRPr="00645536">
        <w:rPr>
          <w:szCs w:val="26"/>
        </w:rPr>
        <w:t xml:space="preserve"> </w:t>
      </w:r>
      <w:r w:rsidR="00D10161" w:rsidRPr="00645536">
        <w:rPr>
          <w:szCs w:val="26"/>
        </w:rPr>
        <w:t>$21,957.25</w:t>
      </w:r>
      <w:r w:rsidR="00A834C7" w:rsidRPr="00645536">
        <w:rPr>
          <w:szCs w:val="26"/>
        </w:rPr>
        <w:t xml:space="preserve"> in damages</w:t>
      </w:r>
      <w:r w:rsidR="00105BAC" w:rsidRPr="00645536">
        <w:rPr>
          <w:szCs w:val="26"/>
        </w:rPr>
        <w:t xml:space="preserve">.  </w:t>
      </w:r>
      <w:r w:rsidR="00A834C7" w:rsidRPr="00645536">
        <w:rPr>
          <w:szCs w:val="26"/>
        </w:rPr>
        <w:t xml:space="preserve">The court entered judgment in this amount </w:t>
      </w:r>
      <w:r w:rsidR="008E1B28" w:rsidRPr="00645536">
        <w:rPr>
          <w:szCs w:val="26"/>
        </w:rPr>
        <w:t xml:space="preserve">jointly and severally </w:t>
      </w:r>
      <w:r w:rsidR="00A834C7" w:rsidRPr="00645536">
        <w:rPr>
          <w:szCs w:val="26"/>
        </w:rPr>
        <w:t>against the dealership and TD</w:t>
      </w:r>
      <w:r w:rsidR="008602DB" w:rsidRPr="00645536">
        <w:rPr>
          <w:szCs w:val="26"/>
        </w:rPr>
        <w:t>AF</w:t>
      </w:r>
      <w:r w:rsidR="00A344F7" w:rsidRPr="00645536">
        <w:rPr>
          <w:szCs w:val="26"/>
        </w:rPr>
        <w:t>.</w:t>
      </w:r>
      <w:r w:rsidR="00911BE3" w:rsidRPr="00645536">
        <w:rPr>
          <w:szCs w:val="26"/>
        </w:rPr>
        <w:t xml:space="preserve"> </w:t>
      </w:r>
    </w:p>
    <w:p w14:paraId="4E77D5DB" w14:textId="037FE439" w:rsidR="00BC5080" w:rsidRPr="00645536" w:rsidRDefault="009C622C" w:rsidP="00645536">
      <w:pPr>
        <w:rPr>
          <w:szCs w:val="26"/>
        </w:rPr>
      </w:pPr>
      <w:r w:rsidRPr="00645536">
        <w:rPr>
          <w:szCs w:val="26"/>
        </w:rPr>
        <w:tab/>
        <w:t xml:space="preserve">Pulliam filed a posttrial motion seeking </w:t>
      </w:r>
      <w:r w:rsidR="00BD6DC2" w:rsidRPr="00645536">
        <w:rPr>
          <w:szCs w:val="26"/>
        </w:rPr>
        <w:t xml:space="preserve">$169,602 in </w:t>
      </w:r>
      <w:r w:rsidRPr="00645536">
        <w:rPr>
          <w:szCs w:val="26"/>
        </w:rPr>
        <w:t xml:space="preserve">attorney’s fees </w:t>
      </w:r>
      <w:r w:rsidR="00266D2B" w:rsidRPr="00645536">
        <w:rPr>
          <w:szCs w:val="26"/>
        </w:rPr>
        <w:t xml:space="preserve">against both defendants </w:t>
      </w:r>
      <w:r w:rsidRPr="00645536">
        <w:rPr>
          <w:szCs w:val="26"/>
        </w:rPr>
        <w:t xml:space="preserve">under </w:t>
      </w:r>
      <w:r w:rsidR="005109CE" w:rsidRPr="00645536">
        <w:rPr>
          <w:szCs w:val="26"/>
        </w:rPr>
        <w:t>Civil Code section 17</w:t>
      </w:r>
      <w:r w:rsidR="009C5935" w:rsidRPr="00645536">
        <w:rPr>
          <w:szCs w:val="26"/>
        </w:rPr>
        <w:t>94</w:t>
      </w:r>
      <w:r w:rsidR="009374DD" w:rsidRPr="00645536">
        <w:rPr>
          <w:szCs w:val="26"/>
        </w:rPr>
        <w:t xml:space="preserve">, subdivision </w:t>
      </w:r>
      <w:r w:rsidR="009C5935" w:rsidRPr="00645536">
        <w:rPr>
          <w:szCs w:val="26"/>
        </w:rPr>
        <w:t>(d)</w:t>
      </w:r>
      <w:r w:rsidR="0046303E" w:rsidRPr="00645536">
        <w:rPr>
          <w:szCs w:val="26"/>
        </w:rPr>
        <w:t>,</w:t>
      </w:r>
      <w:r w:rsidR="006A6E23" w:rsidRPr="00645536">
        <w:rPr>
          <w:szCs w:val="26"/>
        </w:rPr>
        <w:t xml:space="preserve"> which </w:t>
      </w:r>
      <w:r w:rsidR="005413AC" w:rsidRPr="00645536">
        <w:rPr>
          <w:szCs w:val="26"/>
        </w:rPr>
        <w:t xml:space="preserve">permits a buyer </w:t>
      </w:r>
      <w:r w:rsidR="00D00F48" w:rsidRPr="00645536">
        <w:rPr>
          <w:szCs w:val="26"/>
        </w:rPr>
        <w:t xml:space="preserve">who prevails in an action under </w:t>
      </w:r>
      <w:r w:rsidR="00600AAC" w:rsidRPr="00645536">
        <w:rPr>
          <w:szCs w:val="26"/>
        </w:rPr>
        <w:t xml:space="preserve">the </w:t>
      </w:r>
      <w:r w:rsidR="00D00F48" w:rsidRPr="00645536">
        <w:rPr>
          <w:szCs w:val="26"/>
        </w:rPr>
        <w:t xml:space="preserve">Song-Beverly </w:t>
      </w:r>
      <w:r w:rsidR="00600AAC" w:rsidRPr="00645536">
        <w:rPr>
          <w:szCs w:val="26"/>
        </w:rPr>
        <w:t xml:space="preserve">Act </w:t>
      </w:r>
      <w:r w:rsidR="005413AC" w:rsidRPr="00645536">
        <w:rPr>
          <w:szCs w:val="26"/>
        </w:rPr>
        <w:t>to recover attorney’s fees</w:t>
      </w:r>
      <w:r w:rsidR="00D00F48" w:rsidRPr="00645536">
        <w:rPr>
          <w:szCs w:val="26"/>
        </w:rPr>
        <w:t xml:space="preserve">.  </w:t>
      </w:r>
      <w:r w:rsidR="00715966" w:rsidRPr="00645536">
        <w:rPr>
          <w:szCs w:val="26"/>
        </w:rPr>
        <w:t>The dealership and TDAF</w:t>
      </w:r>
      <w:r w:rsidR="00B774D4" w:rsidRPr="00645536">
        <w:rPr>
          <w:szCs w:val="26"/>
        </w:rPr>
        <w:t xml:space="preserve"> raised several </w:t>
      </w:r>
      <w:r w:rsidR="00E405CC" w:rsidRPr="00645536">
        <w:rPr>
          <w:szCs w:val="26"/>
        </w:rPr>
        <w:t>objections related to the amount of fees</w:t>
      </w:r>
      <w:r w:rsidR="00B774D4" w:rsidRPr="00645536">
        <w:rPr>
          <w:szCs w:val="26"/>
        </w:rPr>
        <w:t xml:space="preserve">. </w:t>
      </w:r>
      <w:r w:rsidR="00E405CC" w:rsidRPr="00645536">
        <w:rPr>
          <w:szCs w:val="26"/>
        </w:rPr>
        <w:t xml:space="preserve"> </w:t>
      </w:r>
      <w:r w:rsidR="00317724" w:rsidRPr="00645536">
        <w:rPr>
          <w:szCs w:val="26"/>
        </w:rPr>
        <w:t>TD</w:t>
      </w:r>
      <w:r w:rsidR="008602DB" w:rsidRPr="00645536">
        <w:rPr>
          <w:szCs w:val="26"/>
        </w:rPr>
        <w:t>AF</w:t>
      </w:r>
      <w:r w:rsidR="00317724" w:rsidRPr="00645536">
        <w:rPr>
          <w:szCs w:val="26"/>
        </w:rPr>
        <w:t xml:space="preserve"> </w:t>
      </w:r>
      <w:r w:rsidR="00B774D4" w:rsidRPr="00645536">
        <w:rPr>
          <w:szCs w:val="26"/>
        </w:rPr>
        <w:t xml:space="preserve">also argued that it </w:t>
      </w:r>
      <w:r w:rsidR="00317724" w:rsidRPr="00645536">
        <w:rPr>
          <w:szCs w:val="26"/>
        </w:rPr>
        <w:t>could not be liable for attorney’s fees</w:t>
      </w:r>
      <w:r w:rsidR="00043E67" w:rsidRPr="00645536">
        <w:rPr>
          <w:szCs w:val="26"/>
        </w:rPr>
        <w:t xml:space="preserve"> based on </w:t>
      </w:r>
      <w:r w:rsidR="00BF0067" w:rsidRPr="00645536">
        <w:rPr>
          <w:szCs w:val="26"/>
        </w:rPr>
        <w:t>the Holder Rule</w:t>
      </w:r>
      <w:r w:rsidR="00150E0F" w:rsidRPr="00645536">
        <w:rPr>
          <w:szCs w:val="26"/>
        </w:rPr>
        <w:t xml:space="preserve">’s limitation on holder liability </w:t>
      </w:r>
      <w:r w:rsidR="009944C2" w:rsidRPr="00645536">
        <w:rPr>
          <w:szCs w:val="26"/>
        </w:rPr>
        <w:t>to amounts paid under the contract.</w:t>
      </w:r>
      <w:r w:rsidR="00043E67" w:rsidRPr="00645536">
        <w:rPr>
          <w:szCs w:val="26"/>
        </w:rPr>
        <w:t xml:space="preserve"> </w:t>
      </w:r>
      <w:r w:rsidR="009944C2" w:rsidRPr="00645536">
        <w:rPr>
          <w:szCs w:val="26"/>
        </w:rPr>
        <w:t xml:space="preserve"> </w:t>
      </w:r>
      <w:r w:rsidR="00E405CC" w:rsidRPr="00645536">
        <w:rPr>
          <w:szCs w:val="26"/>
        </w:rPr>
        <w:t xml:space="preserve">The trial court rejected </w:t>
      </w:r>
      <w:r w:rsidR="00535819" w:rsidRPr="00645536">
        <w:rPr>
          <w:szCs w:val="26"/>
        </w:rPr>
        <w:t xml:space="preserve">these </w:t>
      </w:r>
      <w:r w:rsidR="00E95C4C" w:rsidRPr="00645536">
        <w:rPr>
          <w:szCs w:val="26"/>
        </w:rPr>
        <w:t xml:space="preserve">arguments </w:t>
      </w:r>
      <w:r w:rsidR="004E5E2A" w:rsidRPr="00645536">
        <w:rPr>
          <w:szCs w:val="26"/>
        </w:rPr>
        <w:t>and granted Pulliam’s motion.</w:t>
      </w:r>
      <w:r w:rsidR="004E0E4C" w:rsidRPr="00645536">
        <w:rPr>
          <w:szCs w:val="26"/>
        </w:rPr>
        <w:t xml:space="preserve">  </w:t>
      </w:r>
    </w:p>
    <w:p w14:paraId="7E61572F" w14:textId="19517101" w:rsidR="004E5E2A" w:rsidRPr="00645536" w:rsidRDefault="00B774D4" w:rsidP="00645536">
      <w:pPr>
        <w:ind w:firstLine="720"/>
        <w:rPr>
          <w:szCs w:val="26"/>
        </w:rPr>
      </w:pPr>
      <w:r w:rsidRPr="00645536">
        <w:rPr>
          <w:szCs w:val="26"/>
        </w:rPr>
        <w:t>T</w:t>
      </w:r>
      <w:r w:rsidR="00543E44" w:rsidRPr="00645536">
        <w:rPr>
          <w:szCs w:val="26"/>
        </w:rPr>
        <w:t xml:space="preserve">he Court of Appeal affirmed the trial court’s award, </w:t>
      </w:r>
      <w:r w:rsidR="00600AAC" w:rsidRPr="00645536">
        <w:rPr>
          <w:szCs w:val="26"/>
        </w:rPr>
        <w:t>conclud</w:t>
      </w:r>
      <w:r w:rsidR="0085204F" w:rsidRPr="00645536">
        <w:rPr>
          <w:szCs w:val="26"/>
        </w:rPr>
        <w:t>ing t</w:t>
      </w:r>
      <w:r w:rsidR="00907C8B" w:rsidRPr="00645536">
        <w:rPr>
          <w:szCs w:val="26"/>
        </w:rPr>
        <w:t xml:space="preserve">hat the Holder Rule </w:t>
      </w:r>
      <w:r w:rsidR="0085204F" w:rsidRPr="00645536">
        <w:rPr>
          <w:szCs w:val="26"/>
        </w:rPr>
        <w:t>does</w:t>
      </w:r>
      <w:r w:rsidR="00907C8B" w:rsidRPr="00645536">
        <w:rPr>
          <w:szCs w:val="26"/>
        </w:rPr>
        <w:t xml:space="preserve"> not </w:t>
      </w:r>
      <w:r w:rsidRPr="00645536">
        <w:rPr>
          <w:szCs w:val="26"/>
        </w:rPr>
        <w:t xml:space="preserve">limit liability for </w:t>
      </w:r>
      <w:r w:rsidR="00907C8B" w:rsidRPr="00645536">
        <w:rPr>
          <w:szCs w:val="26"/>
        </w:rPr>
        <w:t>attorney’s fees.</w:t>
      </w:r>
      <w:r w:rsidR="006D6309" w:rsidRPr="00645536">
        <w:rPr>
          <w:szCs w:val="26"/>
        </w:rPr>
        <w:t xml:space="preserve">  </w:t>
      </w:r>
      <w:r w:rsidR="0085204F" w:rsidRPr="00645536">
        <w:rPr>
          <w:szCs w:val="26"/>
        </w:rPr>
        <w:t>(</w:t>
      </w:r>
      <w:r w:rsidR="006D6309" w:rsidRPr="00645536">
        <w:rPr>
          <w:i/>
          <w:iCs/>
          <w:szCs w:val="26"/>
        </w:rPr>
        <w:t>Pulliam</w:t>
      </w:r>
      <w:r w:rsidR="006D6309" w:rsidRPr="00645536">
        <w:rPr>
          <w:szCs w:val="26"/>
        </w:rPr>
        <w:t xml:space="preserve">, </w:t>
      </w:r>
      <w:r w:rsidR="006D6309" w:rsidRPr="00645536">
        <w:rPr>
          <w:i/>
          <w:iCs/>
          <w:szCs w:val="26"/>
        </w:rPr>
        <w:t>supra</w:t>
      </w:r>
      <w:r w:rsidR="006D6309" w:rsidRPr="00645536">
        <w:rPr>
          <w:szCs w:val="26"/>
        </w:rPr>
        <w:t>, 60 Cal.App.5th at p. 401.</w:t>
      </w:r>
      <w:r w:rsidR="0085204F" w:rsidRPr="00645536">
        <w:rPr>
          <w:szCs w:val="26"/>
        </w:rPr>
        <w:t>)</w:t>
      </w:r>
      <w:r w:rsidR="004106ED">
        <w:rPr>
          <w:szCs w:val="26"/>
        </w:rPr>
        <w:t xml:space="preserve">  We granted review.</w:t>
      </w:r>
    </w:p>
    <w:p w14:paraId="06FEE93F" w14:textId="20D4D134" w:rsidR="00367245" w:rsidRPr="00645536" w:rsidRDefault="00367245" w:rsidP="002F5BC3">
      <w:pPr>
        <w:tabs>
          <w:tab w:val="left" w:pos="1440"/>
        </w:tabs>
        <w:jc w:val="center"/>
        <w:rPr>
          <w:b/>
          <w:bCs/>
          <w:szCs w:val="26"/>
        </w:rPr>
      </w:pPr>
      <w:r w:rsidRPr="00645536">
        <w:rPr>
          <w:b/>
          <w:bCs/>
          <w:szCs w:val="26"/>
        </w:rPr>
        <w:t>II.</w:t>
      </w:r>
    </w:p>
    <w:p w14:paraId="594CC5D9" w14:textId="3D1740A7" w:rsidR="00CA5AAE" w:rsidRPr="00645536" w:rsidRDefault="00BC2C9B" w:rsidP="00645536">
      <w:pPr>
        <w:ind w:firstLine="720"/>
        <w:rPr>
          <w:szCs w:val="26"/>
        </w:rPr>
      </w:pPr>
      <w:r w:rsidRPr="00645536">
        <w:rPr>
          <w:szCs w:val="26"/>
        </w:rPr>
        <w:t xml:space="preserve">The </w:t>
      </w:r>
      <w:r w:rsidR="0080596C" w:rsidRPr="00645536">
        <w:rPr>
          <w:szCs w:val="26"/>
        </w:rPr>
        <w:t>Federal Trade Commission (</w:t>
      </w:r>
      <w:r w:rsidRPr="00645536">
        <w:rPr>
          <w:szCs w:val="26"/>
        </w:rPr>
        <w:t>FTC</w:t>
      </w:r>
      <w:r w:rsidR="0080596C" w:rsidRPr="00645536">
        <w:rPr>
          <w:szCs w:val="26"/>
        </w:rPr>
        <w:t>)</w:t>
      </w:r>
      <w:r w:rsidRPr="00645536">
        <w:rPr>
          <w:szCs w:val="26"/>
        </w:rPr>
        <w:t xml:space="preserve"> promulgated the Holder Rule in 1975 in response to rapid growth in consumer installment debt in the United States.  (Promulgation of Trade Regulation Rule and Statement of Basis and Purpose, 40 Fed.Reg. 53506–53507 (Nov. 18, 1975); Guidelines on Trade Regulation Rule Concerning Preservation of Consumers’ Claims and Defenses, 41 Fed.Reg. 2002</w:t>
      </w:r>
      <w:r w:rsidR="006F7281" w:rsidRPr="00645536">
        <w:rPr>
          <w:szCs w:val="26"/>
        </w:rPr>
        <w:t>2</w:t>
      </w:r>
      <w:r w:rsidR="00E77847" w:rsidRPr="00645536">
        <w:rPr>
          <w:szCs w:val="26"/>
        </w:rPr>
        <w:t xml:space="preserve"> </w:t>
      </w:r>
      <w:r w:rsidRPr="00645536">
        <w:rPr>
          <w:szCs w:val="26"/>
        </w:rPr>
        <w:t xml:space="preserve">(May 14, 1976).)  Before the </w:t>
      </w:r>
      <w:r w:rsidR="006F6A62" w:rsidRPr="00645536">
        <w:rPr>
          <w:szCs w:val="26"/>
        </w:rPr>
        <w:t>Holder</w:t>
      </w:r>
      <w:r w:rsidRPr="00645536">
        <w:rPr>
          <w:szCs w:val="26"/>
        </w:rPr>
        <w:t xml:space="preserve"> </w:t>
      </w:r>
      <w:r w:rsidR="00BA3485" w:rsidRPr="00645536">
        <w:rPr>
          <w:szCs w:val="26"/>
        </w:rPr>
        <w:t>R</w:t>
      </w:r>
      <w:r w:rsidRPr="00645536">
        <w:rPr>
          <w:szCs w:val="26"/>
        </w:rPr>
        <w:t xml:space="preserve">ule, a third party who purchased a consumer’s promissory note did so “free and clear of any claim or grievance that the consumer may have with respect to the seller.”  (40 Fed.Reg. 53506.)  This </w:t>
      </w:r>
      <w:r w:rsidR="00600AAC" w:rsidRPr="00645536">
        <w:rPr>
          <w:szCs w:val="26"/>
        </w:rPr>
        <w:t xml:space="preserve">“holder in due course rule” </w:t>
      </w:r>
      <w:r w:rsidRPr="00645536">
        <w:rPr>
          <w:szCs w:val="26"/>
        </w:rPr>
        <w:t xml:space="preserve">meant a creditor could seek payment from a buyer on goods never delivered or not delivered as promised while </w:t>
      </w:r>
      <w:r w:rsidR="009526F5" w:rsidRPr="00645536">
        <w:rPr>
          <w:szCs w:val="26"/>
        </w:rPr>
        <w:t xml:space="preserve">remaining </w:t>
      </w:r>
      <w:r w:rsidRPr="00645536">
        <w:rPr>
          <w:szCs w:val="26"/>
        </w:rPr>
        <w:t>immune from the buyer’s claims of fraud, misrepresentation, or breach of contract or warranty</w:t>
      </w:r>
      <w:r w:rsidR="00A76DDA" w:rsidRPr="00645536">
        <w:rPr>
          <w:szCs w:val="26"/>
        </w:rPr>
        <w:t xml:space="preserve"> against the seller</w:t>
      </w:r>
      <w:r w:rsidRPr="00645536">
        <w:rPr>
          <w:szCs w:val="26"/>
        </w:rPr>
        <w:t>.</w:t>
      </w:r>
    </w:p>
    <w:p w14:paraId="13E668CD" w14:textId="40181468" w:rsidR="00BC2C9B" w:rsidRPr="00645536" w:rsidRDefault="00BC2C9B" w:rsidP="00645536">
      <w:pPr>
        <w:ind w:firstLine="720"/>
        <w:rPr>
          <w:szCs w:val="26"/>
        </w:rPr>
      </w:pPr>
      <w:r w:rsidRPr="00645536">
        <w:rPr>
          <w:szCs w:val="26"/>
        </w:rPr>
        <w:t xml:space="preserve">The FTC recognized </w:t>
      </w:r>
      <w:r w:rsidR="00297277" w:rsidRPr="00645536">
        <w:rPr>
          <w:szCs w:val="26"/>
        </w:rPr>
        <w:t xml:space="preserve">that </w:t>
      </w:r>
      <w:r w:rsidRPr="00645536">
        <w:rPr>
          <w:szCs w:val="26"/>
        </w:rPr>
        <w:t>the application of th</w:t>
      </w:r>
      <w:r w:rsidR="00CA5AAE" w:rsidRPr="00645536">
        <w:rPr>
          <w:szCs w:val="26"/>
        </w:rPr>
        <w:t>e holder in due course</w:t>
      </w:r>
      <w:r w:rsidRPr="00645536">
        <w:rPr>
          <w:szCs w:val="26"/>
        </w:rPr>
        <w:t xml:space="preserve"> </w:t>
      </w:r>
      <w:r w:rsidR="00253CF6" w:rsidRPr="00645536">
        <w:rPr>
          <w:szCs w:val="26"/>
        </w:rPr>
        <w:t xml:space="preserve">rule </w:t>
      </w:r>
      <w:r w:rsidRPr="00645536">
        <w:rPr>
          <w:szCs w:val="26"/>
        </w:rPr>
        <w:t xml:space="preserve">to consumer credit sales was “anomalous” because consumers are not “in an equivalent position </w:t>
      </w:r>
      <w:r w:rsidR="000759DD" w:rsidRPr="00645536">
        <w:rPr>
          <w:szCs w:val="26"/>
        </w:rPr>
        <w:t xml:space="preserve">[to commercial entities] </w:t>
      </w:r>
      <w:r w:rsidRPr="00645536">
        <w:rPr>
          <w:szCs w:val="26"/>
        </w:rPr>
        <w:t xml:space="preserve">to vindicate their rights against a payee.”  </w:t>
      </w:r>
      <w:r w:rsidR="00297277" w:rsidRPr="00645536">
        <w:rPr>
          <w:szCs w:val="26"/>
        </w:rPr>
        <w:t>(</w:t>
      </w:r>
      <w:r w:rsidR="00CA5AAE" w:rsidRPr="00645536">
        <w:rPr>
          <w:szCs w:val="26"/>
        </w:rPr>
        <w:t>40 Fed.Reg.</w:t>
      </w:r>
      <w:r w:rsidR="00C43AA6">
        <w:rPr>
          <w:szCs w:val="26"/>
        </w:rPr>
        <w:t xml:space="preserve">, </w:t>
      </w:r>
      <w:r w:rsidR="00C43AA6">
        <w:rPr>
          <w:i/>
          <w:iCs/>
          <w:szCs w:val="26"/>
        </w:rPr>
        <w:t>supra</w:t>
      </w:r>
      <w:r w:rsidR="00C43AA6">
        <w:rPr>
          <w:szCs w:val="26"/>
        </w:rPr>
        <w:t>, at p.</w:t>
      </w:r>
      <w:r w:rsidR="00C00FA3">
        <w:rPr>
          <w:szCs w:val="26"/>
        </w:rPr>
        <w:t> </w:t>
      </w:r>
      <w:r w:rsidR="00297277" w:rsidRPr="00645536">
        <w:rPr>
          <w:szCs w:val="26"/>
        </w:rPr>
        <w:t xml:space="preserve">53507.)  </w:t>
      </w:r>
      <w:r w:rsidRPr="00645536">
        <w:rPr>
          <w:szCs w:val="26"/>
        </w:rPr>
        <w:t>“Between an innocent consumer, whose dealings with an unreliable seller are, at most, episodic, and a finance institution qualifying as ‘a holder in due course,’ the financer is in a better position both to protect itself and to assume the risk of a seller’s reliability.”  (</w:t>
      </w:r>
      <w:r w:rsidRPr="00645536">
        <w:rPr>
          <w:i/>
          <w:iCs/>
          <w:szCs w:val="26"/>
        </w:rPr>
        <w:t xml:space="preserve">Id. </w:t>
      </w:r>
      <w:r w:rsidRPr="00645536">
        <w:rPr>
          <w:szCs w:val="26"/>
        </w:rPr>
        <w:t xml:space="preserve">at p. 53509.)  </w:t>
      </w:r>
      <w:r w:rsidR="00DE7E6F" w:rsidRPr="00645536">
        <w:rPr>
          <w:szCs w:val="26"/>
        </w:rPr>
        <w:t xml:space="preserve">The FTC recognized that </w:t>
      </w:r>
      <w:r w:rsidR="009F7295" w:rsidRPr="00645536">
        <w:rPr>
          <w:szCs w:val="26"/>
        </w:rPr>
        <w:t>“</w:t>
      </w:r>
      <w:r w:rsidR="00DE7E6F" w:rsidRPr="00645536">
        <w:rPr>
          <w:szCs w:val="26"/>
        </w:rPr>
        <w:t>[c]</w:t>
      </w:r>
      <w:r w:rsidR="009F7295" w:rsidRPr="00645536">
        <w:rPr>
          <w:szCs w:val="26"/>
        </w:rPr>
        <w:t>reditors and sellers are in a position to engage in meaningful, arms-length, bargaining</w:t>
      </w:r>
      <w:r w:rsidR="00033D9F" w:rsidRPr="00645536">
        <w:rPr>
          <w:szCs w:val="26"/>
        </w:rPr>
        <w:t>,</w:t>
      </w:r>
      <w:r w:rsidR="009F7295" w:rsidRPr="00645536">
        <w:rPr>
          <w:szCs w:val="26"/>
        </w:rPr>
        <w:t xml:space="preserve">” which differentiates them from buyers who sign adhesion contracts with sellers.  </w:t>
      </w:r>
      <w:r w:rsidR="00DE7E6F" w:rsidRPr="00645536">
        <w:rPr>
          <w:szCs w:val="26"/>
        </w:rPr>
        <w:t>(</w:t>
      </w:r>
      <w:r w:rsidR="005A2DA3" w:rsidRPr="00645536">
        <w:rPr>
          <w:i/>
          <w:iCs/>
          <w:szCs w:val="26"/>
        </w:rPr>
        <w:t>Id.</w:t>
      </w:r>
      <w:r w:rsidR="005A2DA3" w:rsidRPr="00645536">
        <w:rPr>
          <w:szCs w:val="26"/>
        </w:rPr>
        <w:t xml:space="preserve"> at p. </w:t>
      </w:r>
      <w:r w:rsidR="009F7295" w:rsidRPr="00645536">
        <w:rPr>
          <w:szCs w:val="26"/>
        </w:rPr>
        <w:t>53523.</w:t>
      </w:r>
      <w:r w:rsidR="00DE7E6F" w:rsidRPr="00645536">
        <w:rPr>
          <w:szCs w:val="26"/>
        </w:rPr>
        <w:t>)</w:t>
      </w:r>
      <w:r w:rsidR="009F7295" w:rsidRPr="00645536">
        <w:rPr>
          <w:szCs w:val="26"/>
        </w:rPr>
        <w:t xml:space="preserve">  </w:t>
      </w:r>
      <w:r w:rsidR="004C633C" w:rsidRPr="00645536">
        <w:rPr>
          <w:szCs w:val="26"/>
        </w:rPr>
        <w:t>A</w:t>
      </w:r>
      <w:r w:rsidR="009F7295" w:rsidRPr="00645536">
        <w:rPr>
          <w:szCs w:val="26"/>
        </w:rPr>
        <w:t xml:space="preserve">llocating the costs </w:t>
      </w:r>
      <w:r w:rsidR="004C633C" w:rsidRPr="00645536">
        <w:rPr>
          <w:szCs w:val="26"/>
        </w:rPr>
        <w:t xml:space="preserve">of seller misconduct </w:t>
      </w:r>
      <w:r w:rsidR="009F7295" w:rsidRPr="00645536">
        <w:rPr>
          <w:szCs w:val="26"/>
        </w:rPr>
        <w:t xml:space="preserve">to the creditor makes it much more likely </w:t>
      </w:r>
      <w:r w:rsidR="00DA60BE" w:rsidRPr="00645536">
        <w:rPr>
          <w:szCs w:val="26"/>
        </w:rPr>
        <w:t xml:space="preserve">that </w:t>
      </w:r>
      <w:r w:rsidR="009F7295" w:rsidRPr="00645536">
        <w:rPr>
          <w:szCs w:val="26"/>
        </w:rPr>
        <w:t>the “market will be policed” of “unscrupulous merchant</w:t>
      </w:r>
      <w:r w:rsidR="003901FF">
        <w:rPr>
          <w:szCs w:val="26"/>
        </w:rPr>
        <w:t>[</w:t>
      </w:r>
      <w:r w:rsidR="009F7295" w:rsidRPr="00645536">
        <w:rPr>
          <w:szCs w:val="26"/>
        </w:rPr>
        <w:t>s</w:t>
      </w:r>
      <w:r w:rsidR="003901FF">
        <w:rPr>
          <w:szCs w:val="26"/>
        </w:rPr>
        <w:t>]</w:t>
      </w:r>
      <w:r w:rsidR="004106ED">
        <w:rPr>
          <w:szCs w:val="26"/>
        </w:rPr>
        <w:t>,</w:t>
      </w:r>
      <w:r w:rsidR="009F7295" w:rsidRPr="00645536">
        <w:rPr>
          <w:szCs w:val="26"/>
        </w:rPr>
        <w:t>”</w:t>
      </w:r>
      <w:r w:rsidR="004106ED">
        <w:rPr>
          <w:szCs w:val="26"/>
        </w:rPr>
        <w:t xml:space="preserve"> that the market will reflect “a more </w:t>
      </w:r>
      <w:r w:rsidR="00407D1C">
        <w:rPr>
          <w:szCs w:val="26"/>
        </w:rPr>
        <w:t xml:space="preserve">accurate </w:t>
      </w:r>
      <w:r w:rsidR="004106ED">
        <w:rPr>
          <w:szCs w:val="26"/>
        </w:rPr>
        <w:t>price for consumer goods,”</w:t>
      </w:r>
      <w:r w:rsidR="009F7295" w:rsidRPr="00645536">
        <w:rPr>
          <w:szCs w:val="26"/>
        </w:rPr>
        <w:t xml:space="preserve"> and </w:t>
      </w:r>
      <w:r w:rsidR="004106ED">
        <w:rPr>
          <w:szCs w:val="26"/>
        </w:rPr>
        <w:t xml:space="preserve">that </w:t>
      </w:r>
      <w:r w:rsidR="009F7295" w:rsidRPr="00645536">
        <w:rPr>
          <w:szCs w:val="26"/>
        </w:rPr>
        <w:t xml:space="preserve">“all parties will benefit accordingly.”  </w:t>
      </w:r>
      <w:r w:rsidR="004C633C" w:rsidRPr="00645536">
        <w:rPr>
          <w:szCs w:val="26"/>
        </w:rPr>
        <w:t>(</w:t>
      </w:r>
      <w:r w:rsidR="00CA171C" w:rsidRPr="00645536">
        <w:rPr>
          <w:i/>
          <w:iCs/>
          <w:szCs w:val="26"/>
        </w:rPr>
        <w:t>Ibid</w:t>
      </w:r>
      <w:r w:rsidR="009F7295" w:rsidRPr="00645536">
        <w:rPr>
          <w:szCs w:val="26"/>
        </w:rPr>
        <w:t>.</w:t>
      </w:r>
      <w:r w:rsidR="004C633C" w:rsidRPr="00645536">
        <w:rPr>
          <w:szCs w:val="26"/>
        </w:rPr>
        <w:t>)</w:t>
      </w:r>
      <w:r w:rsidR="009F7295" w:rsidRPr="00645536">
        <w:rPr>
          <w:szCs w:val="26"/>
        </w:rPr>
        <w:t xml:space="preserve">  </w:t>
      </w:r>
    </w:p>
    <w:p w14:paraId="081E5E43" w14:textId="3DA3CABF" w:rsidR="00BC2C9B" w:rsidRPr="00645536" w:rsidRDefault="00BC2C9B" w:rsidP="00645536">
      <w:pPr>
        <w:rPr>
          <w:szCs w:val="26"/>
        </w:rPr>
      </w:pPr>
      <w:r w:rsidRPr="00645536">
        <w:rPr>
          <w:szCs w:val="26"/>
        </w:rPr>
        <w:tab/>
        <w:t xml:space="preserve">To </w:t>
      </w:r>
      <w:r w:rsidR="00F33E05" w:rsidRPr="00645536">
        <w:rPr>
          <w:szCs w:val="26"/>
        </w:rPr>
        <w:t>effect this allocation</w:t>
      </w:r>
      <w:r w:rsidRPr="00645536">
        <w:rPr>
          <w:szCs w:val="26"/>
        </w:rPr>
        <w:t xml:space="preserve">, the Holder Rule requires that the following </w:t>
      </w:r>
      <w:r w:rsidR="00CB1DB8" w:rsidRPr="00645536">
        <w:rPr>
          <w:szCs w:val="26"/>
        </w:rPr>
        <w:t>N</w:t>
      </w:r>
      <w:r w:rsidRPr="00645536">
        <w:rPr>
          <w:szCs w:val="26"/>
        </w:rPr>
        <w:t>otice appear in consumer credit contracts “[i]n connection with any sale or lease of goods or services to consumers, in or affecting commerce”:  “Any holder of this consumer credit contract is subject to all claims and defenses which the debtor could assert against the seller of goods or services obtained pursuant hereto or with the proceeds hereof.  Recovery hereunder by the debtor shall not exceed amounts paid by the debtor hereunder.”  (16 C.F.R. § </w:t>
      </w:r>
      <w:r w:rsidR="00544395" w:rsidRPr="00645536">
        <w:rPr>
          <w:szCs w:val="26"/>
        </w:rPr>
        <w:t>433.2(a)</w:t>
      </w:r>
      <w:r w:rsidR="006A1ADA">
        <w:rPr>
          <w:szCs w:val="26"/>
        </w:rPr>
        <w:t xml:space="preserve"> (1975)</w:t>
      </w:r>
      <w:r w:rsidRPr="00645536">
        <w:rPr>
          <w:szCs w:val="26"/>
        </w:rPr>
        <w:t xml:space="preserve">.)  This provision gives consumers the ability to “defend a creditor suit for payment of an obligation by raising a valid claim against the seller as a set-off” and </w:t>
      </w:r>
      <w:r w:rsidR="009310A3" w:rsidRPr="00645536">
        <w:rPr>
          <w:szCs w:val="26"/>
        </w:rPr>
        <w:t xml:space="preserve">to </w:t>
      </w:r>
      <w:r w:rsidRPr="00645536">
        <w:rPr>
          <w:szCs w:val="26"/>
        </w:rPr>
        <w:t xml:space="preserve">“maintain an affirmative action against a creditor who has received payments for a return of monies paid on account.”  </w:t>
      </w:r>
      <w:r w:rsidR="00C33FE9" w:rsidRPr="00645536">
        <w:rPr>
          <w:szCs w:val="26"/>
        </w:rPr>
        <w:t>(</w:t>
      </w:r>
      <w:r w:rsidR="00396339" w:rsidRPr="00645536">
        <w:rPr>
          <w:szCs w:val="26"/>
        </w:rPr>
        <w:t>4</w:t>
      </w:r>
      <w:r w:rsidR="001807D4">
        <w:rPr>
          <w:szCs w:val="26"/>
        </w:rPr>
        <w:t>0</w:t>
      </w:r>
      <w:r w:rsidR="00396339" w:rsidRPr="00645536">
        <w:rPr>
          <w:szCs w:val="26"/>
        </w:rPr>
        <w:t xml:space="preserve"> Fed.Reg.</w:t>
      </w:r>
      <w:r w:rsidR="00C43AA6">
        <w:rPr>
          <w:szCs w:val="26"/>
        </w:rPr>
        <w:t xml:space="preserve">, </w:t>
      </w:r>
      <w:r w:rsidR="00C43AA6">
        <w:rPr>
          <w:i/>
          <w:iCs/>
          <w:szCs w:val="26"/>
        </w:rPr>
        <w:t>supra</w:t>
      </w:r>
      <w:r w:rsidR="00C43AA6">
        <w:rPr>
          <w:szCs w:val="26"/>
        </w:rPr>
        <w:t>, at p.</w:t>
      </w:r>
      <w:r w:rsidR="00C00FA3">
        <w:rPr>
          <w:szCs w:val="26"/>
        </w:rPr>
        <w:t> </w:t>
      </w:r>
      <w:r w:rsidR="001807D4">
        <w:rPr>
          <w:szCs w:val="26"/>
        </w:rPr>
        <w:t>53524</w:t>
      </w:r>
      <w:r w:rsidRPr="00645536">
        <w:rPr>
          <w:szCs w:val="26"/>
        </w:rPr>
        <w:t>.</w:t>
      </w:r>
      <w:r w:rsidR="00C33FE9" w:rsidRPr="00645536">
        <w:rPr>
          <w:szCs w:val="26"/>
        </w:rPr>
        <w:t>)</w:t>
      </w:r>
      <w:r w:rsidRPr="00645536">
        <w:rPr>
          <w:szCs w:val="26"/>
        </w:rPr>
        <w:t xml:space="preserve">  </w:t>
      </w:r>
    </w:p>
    <w:p w14:paraId="1D5883B9" w14:textId="4D48A5CC" w:rsidR="00132907" w:rsidRPr="00645536" w:rsidRDefault="00274FE3" w:rsidP="00645536">
      <w:pPr>
        <w:ind w:firstLine="720"/>
        <w:rPr>
          <w:szCs w:val="26"/>
        </w:rPr>
      </w:pPr>
      <w:r w:rsidRPr="00645536">
        <w:rPr>
          <w:szCs w:val="26"/>
        </w:rPr>
        <w:t xml:space="preserve">In 2015, </w:t>
      </w:r>
      <w:r w:rsidR="006F6762" w:rsidRPr="00645536">
        <w:rPr>
          <w:szCs w:val="26"/>
        </w:rPr>
        <w:t xml:space="preserve">the FTC </w:t>
      </w:r>
      <w:r w:rsidR="005C56AE" w:rsidRPr="00645536">
        <w:rPr>
          <w:szCs w:val="26"/>
        </w:rPr>
        <w:t xml:space="preserve">requested </w:t>
      </w:r>
      <w:r w:rsidR="00D24E51" w:rsidRPr="00645536">
        <w:rPr>
          <w:szCs w:val="26"/>
        </w:rPr>
        <w:t xml:space="preserve">public comment on </w:t>
      </w:r>
      <w:r w:rsidR="00CF6FBC" w:rsidRPr="00645536">
        <w:rPr>
          <w:szCs w:val="26"/>
        </w:rPr>
        <w:t xml:space="preserve">“the overall costs and benefits, and regulatory and economic impact” of the Holder Rule </w:t>
      </w:r>
      <w:r w:rsidR="00BE4785" w:rsidRPr="00645536">
        <w:rPr>
          <w:szCs w:val="26"/>
        </w:rPr>
        <w:t>“</w:t>
      </w:r>
      <w:r w:rsidR="006F6762" w:rsidRPr="00645536">
        <w:rPr>
          <w:szCs w:val="26"/>
        </w:rPr>
        <w:t xml:space="preserve">as part of </w:t>
      </w:r>
      <w:r w:rsidR="00BE4785" w:rsidRPr="00645536">
        <w:rPr>
          <w:szCs w:val="26"/>
        </w:rPr>
        <w:t xml:space="preserve">the agency’s regular </w:t>
      </w:r>
      <w:r w:rsidR="006F6762" w:rsidRPr="00645536">
        <w:rPr>
          <w:szCs w:val="26"/>
        </w:rPr>
        <w:t xml:space="preserve">review of all </w:t>
      </w:r>
      <w:r w:rsidR="00BE4785" w:rsidRPr="00645536">
        <w:rPr>
          <w:szCs w:val="26"/>
        </w:rPr>
        <w:t xml:space="preserve">its regulations and guides.”  </w:t>
      </w:r>
      <w:r w:rsidR="008228ED" w:rsidRPr="00645536">
        <w:rPr>
          <w:szCs w:val="26"/>
        </w:rPr>
        <w:t>(</w:t>
      </w:r>
      <w:r w:rsidR="000E7AB6" w:rsidRPr="00645536">
        <w:rPr>
          <w:szCs w:val="26"/>
        </w:rPr>
        <w:t>Rules and Regulations Under the Trade Regulation Rule Concerning Preservation of Consumers’ Claims and Defenses</w:t>
      </w:r>
      <w:r w:rsidR="00B76978" w:rsidRPr="00645536">
        <w:rPr>
          <w:szCs w:val="26"/>
        </w:rPr>
        <w:t xml:space="preserve">, </w:t>
      </w:r>
      <w:r w:rsidR="00BE4785" w:rsidRPr="00645536">
        <w:rPr>
          <w:szCs w:val="26"/>
        </w:rPr>
        <w:t xml:space="preserve">80 Fed.Reg. </w:t>
      </w:r>
      <w:r w:rsidR="008228ED" w:rsidRPr="00645536">
        <w:rPr>
          <w:szCs w:val="26"/>
        </w:rPr>
        <w:t>75018</w:t>
      </w:r>
      <w:r w:rsidR="00C24B34" w:rsidRPr="00645536">
        <w:rPr>
          <w:szCs w:val="26"/>
        </w:rPr>
        <w:t xml:space="preserve"> (Dec. 1, 2015)</w:t>
      </w:r>
      <w:r w:rsidR="008228ED" w:rsidRPr="00645536">
        <w:rPr>
          <w:szCs w:val="26"/>
        </w:rPr>
        <w:t>.)</w:t>
      </w:r>
      <w:r w:rsidR="00CE0FCF" w:rsidRPr="00645536">
        <w:rPr>
          <w:szCs w:val="26"/>
        </w:rPr>
        <w:t xml:space="preserve">  In 2019, following completion of that review, the FTC “determined to retain the Rule in its present form.”</w:t>
      </w:r>
      <w:r w:rsidR="00434596" w:rsidRPr="00645536">
        <w:rPr>
          <w:szCs w:val="26"/>
        </w:rPr>
        <w:t xml:space="preserve">  (</w:t>
      </w:r>
      <w:r w:rsidR="00BD18BE" w:rsidRPr="00645536">
        <w:rPr>
          <w:szCs w:val="26"/>
        </w:rPr>
        <w:t xml:space="preserve">Trade Regulation Rule Concerning Preservation of Consumers’ Claims and Defenses, </w:t>
      </w:r>
      <w:r w:rsidR="00434596" w:rsidRPr="00645536">
        <w:rPr>
          <w:szCs w:val="26"/>
        </w:rPr>
        <w:t>84 Fed.Reg. 18711</w:t>
      </w:r>
      <w:r w:rsidR="00BD18BE" w:rsidRPr="00645536">
        <w:rPr>
          <w:szCs w:val="26"/>
        </w:rPr>
        <w:t xml:space="preserve"> (May 2, 2019)</w:t>
      </w:r>
      <w:r w:rsidR="00CB1DB8" w:rsidRPr="00645536">
        <w:rPr>
          <w:szCs w:val="26"/>
        </w:rPr>
        <w:t xml:space="preserve"> (Rule Confirmation)</w:t>
      </w:r>
      <w:r w:rsidR="003D588F" w:rsidRPr="00645536">
        <w:rPr>
          <w:szCs w:val="26"/>
        </w:rPr>
        <w:t xml:space="preserve">.)  </w:t>
      </w:r>
    </w:p>
    <w:p w14:paraId="04D93A7C" w14:textId="39666B7F" w:rsidR="00712D8D" w:rsidRDefault="00CE5714" w:rsidP="00645536">
      <w:pPr>
        <w:ind w:firstLine="720"/>
        <w:rPr>
          <w:szCs w:val="26"/>
        </w:rPr>
      </w:pPr>
      <w:r w:rsidRPr="00645536">
        <w:rPr>
          <w:szCs w:val="26"/>
        </w:rPr>
        <w:t xml:space="preserve">In its </w:t>
      </w:r>
      <w:r w:rsidR="00B76978" w:rsidRPr="00645536">
        <w:rPr>
          <w:szCs w:val="26"/>
        </w:rPr>
        <w:t xml:space="preserve">Rule </w:t>
      </w:r>
      <w:r w:rsidR="00CF65C0" w:rsidRPr="00645536">
        <w:rPr>
          <w:szCs w:val="26"/>
        </w:rPr>
        <w:t>C</w:t>
      </w:r>
      <w:r w:rsidRPr="00645536">
        <w:rPr>
          <w:szCs w:val="26"/>
        </w:rPr>
        <w:t xml:space="preserve">onfirmation, </w:t>
      </w:r>
      <w:r w:rsidR="0090102F" w:rsidRPr="00645536">
        <w:rPr>
          <w:szCs w:val="26"/>
        </w:rPr>
        <w:t xml:space="preserve">the FTC noted </w:t>
      </w:r>
      <w:r w:rsidR="00F60942" w:rsidRPr="00645536">
        <w:rPr>
          <w:szCs w:val="26"/>
        </w:rPr>
        <w:t xml:space="preserve">that </w:t>
      </w:r>
      <w:r w:rsidR="0090102F" w:rsidRPr="00645536">
        <w:rPr>
          <w:szCs w:val="26"/>
        </w:rPr>
        <w:t xml:space="preserve">it had received six comments </w:t>
      </w:r>
      <w:r w:rsidR="00454291" w:rsidRPr="00645536">
        <w:rPr>
          <w:szCs w:val="26"/>
        </w:rPr>
        <w:t>addressing “whether the Rule’s limitation on recovery to ‘amounts paid by the debtor’ allows or should allow consumers to recover attorneys’ fees above that cap.”</w:t>
      </w:r>
      <w:r w:rsidR="0089408C" w:rsidRPr="00645536">
        <w:rPr>
          <w:szCs w:val="26"/>
        </w:rPr>
        <w:t xml:space="preserve">  (</w:t>
      </w:r>
      <w:r w:rsidR="00F60942" w:rsidRPr="00645536">
        <w:rPr>
          <w:szCs w:val="26"/>
        </w:rPr>
        <w:t>84 Fed.Reg.</w:t>
      </w:r>
      <w:r w:rsidR="00C43AA6">
        <w:rPr>
          <w:szCs w:val="26"/>
        </w:rPr>
        <w:t xml:space="preserve">, </w:t>
      </w:r>
      <w:r w:rsidR="00C43AA6">
        <w:rPr>
          <w:i/>
          <w:iCs/>
          <w:szCs w:val="26"/>
        </w:rPr>
        <w:t>supra</w:t>
      </w:r>
      <w:r w:rsidR="00C43AA6">
        <w:rPr>
          <w:szCs w:val="26"/>
        </w:rPr>
        <w:t>,</w:t>
      </w:r>
      <w:r w:rsidR="00F60942" w:rsidRPr="00645536">
        <w:rPr>
          <w:szCs w:val="26"/>
        </w:rPr>
        <w:t xml:space="preserve"> </w:t>
      </w:r>
      <w:r w:rsidR="004D49DC">
        <w:rPr>
          <w:szCs w:val="26"/>
        </w:rPr>
        <w:t>at p.</w:t>
      </w:r>
      <w:r w:rsidR="00C00FA3">
        <w:rPr>
          <w:szCs w:val="26"/>
        </w:rPr>
        <w:t> </w:t>
      </w:r>
      <w:r w:rsidR="0089408C" w:rsidRPr="00645536">
        <w:rPr>
          <w:szCs w:val="26"/>
        </w:rPr>
        <w:t>18713.)</w:t>
      </w:r>
      <w:r w:rsidR="00132907" w:rsidRPr="00645536">
        <w:rPr>
          <w:szCs w:val="26"/>
        </w:rPr>
        <w:t xml:space="preserve">  </w:t>
      </w:r>
      <w:r w:rsidR="00712D8D" w:rsidRPr="00645536">
        <w:rPr>
          <w:szCs w:val="26"/>
        </w:rPr>
        <w:t xml:space="preserve">The FTC </w:t>
      </w:r>
      <w:r w:rsidR="002D3EF0" w:rsidRPr="00645536">
        <w:rPr>
          <w:szCs w:val="26"/>
        </w:rPr>
        <w:t xml:space="preserve">considered these comments and </w:t>
      </w:r>
      <w:r w:rsidR="00712D8D" w:rsidRPr="00645536">
        <w:rPr>
          <w:szCs w:val="26"/>
        </w:rPr>
        <w:t xml:space="preserve">concluded that </w:t>
      </w:r>
      <w:r w:rsidR="00F93E72" w:rsidRPr="00645536">
        <w:rPr>
          <w:szCs w:val="26"/>
        </w:rPr>
        <w:t>“</w:t>
      </w:r>
      <w:r w:rsidR="00712D8D" w:rsidRPr="00645536">
        <w:rPr>
          <w:szCs w:val="26"/>
        </w:rPr>
        <w:t>if a federal or state law separately provides for recovery of attorneys’ fees independent of claims or defenses arising from the seller’s misconduct, nothing in the Rule limits such recovery.  Conversely, if the holder’s liability for fees is based on claims against the seller that are preserved by the Holder Rule Notice, the payment that the consumer may recover from the holder</w:t>
      </w:r>
      <w:r w:rsidR="00F31356">
        <w:rPr>
          <w:szCs w:val="26"/>
        </w:rPr>
        <w:t> </w:t>
      </w:r>
      <w:r w:rsidR="00712D8D" w:rsidRPr="00645536">
        <w:rPr>
          <w:szCs w:val="26"/>
        </w:rPr>
        <w:t>— including any recovery based on attorneys’ fees</w:t>
      </w:r>
      <w:r w:rsidR="00F31356">
        <w:rPr>
          <w:szCs w:val="26"/>
        </w:rPr>
        <w:t> </w:t>
      </w:r>
      <w:r w:rsidR="00712D8D" w:rsidRPr="00645536">
        <w:rPr>
          <w:szCs w:val="26"/>
        </w:rPr>
        <w:t>— cannot exceed the amount the consumer paid under the contract.</w:t>
      </w:r>
      <w:r w:rsidR="00554387" w:rsidRPr="00645536">
        <w:rPr>
          <w:szCs w:val="26"/>
        </w:rPr>
        <w:t>”</w:t>
      </w:r>
      <w:r w:rsidR="00712D8D" w:rsidRPr="00645536">
        <w:rPr>
          <w:szCs w:val="26"/>
        </w:rPr>
        <w:t xml:space="preserve">  (</w:t>
      </w:r>
      <w:r w:rsidR="00C82175" w:rsidRPr="00645536">
        <w:rPr>
          <w:i/>
          <w:iCs/>
          <w:szCs w:val="26"/>
        </w:rPr>
        <w:t>Ibid.</w:t>
      </w:r>
      <w:r w:rsidR="00712D8D" w:rsidRPr="00645536">
        <w:rPr>
          <w:szCs w:val="26"/>
        </w:rPr>
        <w:t>)</w:t>
      </w:r>
    </w:p>
    <w:p w14:paraId="6D05B5F8" w14:textId="3A39900F" w:rsidR="00C670FB" w:rsidRPr="007C4AEF" w:rsidRDefault="00C670FB" w:rsidP="00645536">
      <w:pPr>
        <w:ind w:firstLine="720"/>
        <w:rPr>
          <w:szCs w:val="26"/>
        </w:rPr>
      </w:pPr>
      <w:r>
        <w:rPr>
          <w:szCs w:val="26"/>
        </w:rPr>
        <w:t xml:space="preserve">In January 2022, the FTC </w:t>
      </w:r>
      <w:r w:rsidR="00CD6073">
        <w:rPr>
          <w:szCs w:val="26"/>
        </w:rPr>
        <w:t xml:space="preserve">issued an advisory opinion </w:t>
      </w:r>
      <w:r w:rsidR="00304C93">
        <w:rPr>
          <w:szCs w:val="26"/>
        </w:rPr>
        <w:t xml:space="preserve">to address the Holder Rule’s “impact on consumers’ ability to recover costs and attorneys’ fees.”  </w:t>
      </w:r>
      <w:r w:rsidR="007C4AEF" w:rsidRPr="00E96109">
        <w:rPr>
          <w:szCs w:val="26"/>
        </w:rPr>
        <w:t>(</w:t>
      </w:r>
      <w:r w:rsidR="007C4AEF">
        <w:rPr>
          <w:szCs w:val="26"/>
        </w:rPr>
        <w:t>F</w:t>
      </w:r>
      <w:r w:rsidR="007C046E">
        <w:rPr>
          <w:szCs w:val="26"/>
        </w:rPr>
        <w:t>TC</w:t>
      </w:r>
      <w:r w:rsidR="007C4AEF">
        <w:rPr>
          <w:szCs w:val="26"/>
        </w:rPr>
        <w:t>, Commission Statement on the Holder Rule and Attorneys’ Fees and Costs (Jan</w:t>
      </w:r>
      <w:r w:rsidR="007C046E">
        <w:rPr>
          <w:szCs w:val="26"/>
        </w:rPr>
        <w:t>.</w:t>
      </w:r>
      <w:r w:rsidR="007C4AEF">
        <w:rPr>
          <w:szCs w:val="26"/>
        </w:rPr>
        <w:t xml:space="preserve"> 18, 2022) </w:t>
      </w:r>
      <w:r w:rsidR="007C4AEF" w:rsidRPr="00E96109">
        <w:rPr>
          <w:szCs w:val="26"/>
        </w:rPr>
        <w:t>p. 1</w:t>
      </w:r>
      <w:r w:rsidR="007C4AEF">
        <w:rPr>
          <w:szCs w:val="26"/>
        </w:rPr>
        <w:t xml:space="preserve"> (FTC Advisory Op</w:t>
      </w:r>
      <w:r w:rsidR="008E4EC3">
        <w:rPr>
          <w:szCs w:val="26"/>
        </w:rPr>
        <w:t>i</w:t>
      </w:r>
      <w:r w:rsidR="007C4AEF">
        <w:rPr>
          <w:szCs w:val="26"/>
        </w:rPr>
        <w:t>n</w:t>
      </w:r>
      <w:r w:rsidR="008E4EC3">
        <w:rPr>
          <w:szCs w:val="26"/>
        </w:rPr>
        <w:t>ion</w:t>
      </w:r>
      <w:r w:rsidR="007C4AEF">
        <w:rPr>
          <w:szCs w:val="26"/>
        </w:rPr>
        <w:t>).</w:t>
      </w:r>
      <w:r w:rsidR="007C4AEF" w:rsidRPr="00E96109">
        <w:rPr>
          <w:szCs w:val="26"/>
        </w:rPr>
        <w:t>)</w:t>
      </w:r>
      <w:r w:rsidR="007C4AEF">
        <w:rPr>
          <w:szCs w:val="26"/>
        </w:rPr>
        <w:t xml:space="preserve">  </w:t>
      </w:r>
      <w:r w:rsidR="00407D1C">
        <w:rPr>
          <w:szCs w:val="26"/>
        </w:rPr>
        <w:t>The opinion observed</w:t>
      </w:r>
      <w:r w:rsidR="002D7BE3">
        <w:rPr>
          <w:szCs w:val="26"/>
        </w:rPr>
        <w:t xml:space="preserve"> that the issue “has arisen repeatedly in court cases, with some courts correctly concluding that the Holder Rule does not limit recovery of attorneys’ fees and costs when state law authorizes awards against a holder, and others misinterpreting the Holder Rule as a limitation on the application of state cost-shifting laws to holders.”  </w:t>
      </w:r>
      <w:r w:rsidR="007C4AEF">
        <w:rPr>
          <w:szCs w:val="26"/>
        </w:rPr>
        <w:t>(</w:t>
      </w:r>
      <w:r w:rsidR="007C4AEF">
        <w:rPr>
          <w:i/>
          <w:iCs/>
          <w:szCs w:val="26"/>
        </w:rPr>
        <w:t>Ibid.</w:t>
      </w:r>
      <w:r w:rsidR="005E59E7">
        <w:rPr>
          <w:szCs w:val="26"/>
        </w:rPr>
        <w:t>, fn. omitted</w:t>
      </w:r>
      <w:r w:rsidR="00016D82">
        <w:rPr>
          <w:szCs w:val="26"/>
        </w:rPr>
        <w:t>.</w:t>
      </w:r>
      <w:r w:rsidR="007C4AEF">
        <w:rPr>
          <w:szCs w:val="26"/>
        </w:rPr>
        <w:t>)</w:t>
      </w:r>
    </w:p>
    <w:p w14:paraId="7AA2B8FB" w14:textId="61DA50DD" w:rsidR="00060842" w:rsidRPr="00645536" w:rsidRDefault="008D7556" w:rsidP="00F16F9E">
      <w:pPr>
        <w:keepNext/>
        <w:tabs>
          <w:tab w:val="left" w:pos="1440"/>
        </w:tabs>
        <w:jc w:val="center"/>
        <w:rPr>
          <w:b/>
          <w:bCs/>
          <w:szCs w:val="26"/>
        </w:rPr>
      </w:pPr>
      <w:r w:rsidRPr="00645536">
        <w:rPr>
          <w:b/>
          <w:bCs/>
          <w:szCs w:val="26"/>
        </w:rPr>
        <w:t>III.</w:t>
      </w:r>
    </w:p>
    <w:p w14:paraId="4AA12553" w14:textId="77777777" w:rsidR="00047E25" w:rsidRDefault="001555AA" w:rsidP="00645536">
      <w:pPr>
        <w:ind w:firstLine="720"/>
        <w:rPr>
          <w:szCs w:val="26"/>
        </w:rPr>
      </w:pPr>
      <w:r w:rsidRPr="00645536">
        <w:rPr>
          <w:szCs w:val="26"/>
        </w:rPr>
        <w:t xml:space="preserve">Several recent Court of Appeal decisions </w:t>
      </w:r>
      <w:r w:rsidR="007C2BE5" w:rsidRPr="00645536">
        <w:rPr>
          <w:szCs w:val="26"/>
        </w:rPr>
        <w:t xml:space="preserve">have considered an award of attorney’s fees in the context of a claim against a seller </w:t>
      </w:r>
      <w:r w:rsidR="00F93E72" w:rsidRPr="00645536">
        <w:rPr>
          <w:szCs w:val="26"/>
        </w:rPr>
        <w:t>under</w:t>
      </w:r>
      <w:r w:rsidR="007C2BE5" w:rsidRPr="00645536">
        <w:rPr>
          <w:szCs w:val="26"/>
        </w:rPr>
        <w:t xml:space="preserve"> the Holder Rule</w:t>
      </w:r>
      <w:r w:rsidRPr="00645536">
        <w:rPr>
          <w:szCs w:val="26"/>
        </w:rPr>
        <w:t>.</w:t>
      </w:r>
    </w:p>
    <w:p w14:paraId="17E2ECB2" w14:textId="289FA7E8" w:rsidR="007C4AB4" w:rsidRPr="00645536" w:rsidRDefault="005F69E0" w:rsidP="00645536">
      <w:pPr>
        <w:ind w:firstLine="720"/>
        <w:rPr>
          <w:szCs w:val="26"/>
        </w:rPr>
      </w:pPr>
      <w:r w:rsidRPr="00645536">
        <w:rPr>
          <w:szCs w:val="26"/>
        </w:rPr>
        <w:t xml:space="preserve">In </w:t>
      </w:r>
      <w:r w:rsidR="006D4724" w:rsidRPr="00645536">
        <w:rPr>
          <w:i/>
          <w:iCs/>
          <w:szCs w:val="26"/>
        </w:rPr>
        <w:t>Lafferty</w:t>
      </w:r>
      <w:r w:rsidR="00BF55FE" w:rsidRPr="00645536">
        <w:rPr>
          <w:szCs w:val="26"/>
        </w:rPr>
        <w:t xml:space="preserve">, </w:t>
      </w:r>
      <w:r w:rsidR="00DE13CE" w:rsidRPr="00645536">
        <w:rPr>
          <w:szCs w:val="26"/>
        </w:rPr>
        <w:t xml:space="preserve">the Laffertys </w:t>
      </w:r>
      <w:r w:rsidR="004C5ED3" w:rsidRPr="00645536">
        <w:rPr>
          <w:szCs w:val="26"/>
        </w:rPr>
        <w:t>sued</w:t>
      </w:r>
      <w:r w:rsidR="001851E0" w:rsidRPr="00645536">
        <w:rPr>
          <w:szCs w:val="26"/>
        </w:rPr>
        <w:t xml:space="preserve"> the seller of a motor home and Wells Fargo</w:t>
      </w:r>
      <w:r w:rsidR="00DE13CE" w:rsidRPr="00645536">
        <w:rPr>
          <w:szCs w:val="26"/>
        </w:rPr>
        <w:t xml:space="preserve">, </w:t>
      </w:r>
      <w:r w:rsidR="00146D78" w:rsidRPr="00645536">
        <w:rPr>
          <w:szCs w:val="26"/>
        </w:rPr>
        <w:t xml:space="preserve">which </w:t>
      </w:r>
      <w:r w:rsidR="003769F2" w:rsidRPr="00645536">
        <w:rPr>
          <w:szCs w:val="26"/>
        </w:rPr>
        <w:t xml:space="preserve">had </w:t>
      </w:r>
      <w:r w:rsidR="00DE13CE" w:rsidRPr="00645536">
        <w:rPr>
          <w:szCs w:val="26"/>
        </w:rPr>
        <w:t>accepted assignment of their installment sales contract.</w:t>
      </w:r>
      <w:r w:rsidR="00BA7FAE" w:rsidRPr="00645536">
        <w:rPr>
          <w:szCs w:val="26"/>
        </w:rPr>
        <w:t xml:space="preserve"> </w:t>
      </w:r>
      <w:r w:rsidR="00DC5577" w:rsidRPr="00645536">
        <w:rPr>
          <w:szCs w:val="26"/>
        </w:rPr>
        <w:t xml:space="preserve"> </w:t>
      </w:r>
      <w:r w:rsidR="00BA7FAE" w:rsidRPr="00645536">
        <w:rPr>
          <w:szCs w:val="26"/>
        </w:rPr>
        <w:t>(</w:t>
      </w:r>
      <w:r w:rsidR="00BA7FAE" w:rsidRPr="00645536">
        <w:rPr>
          <w:i/>
          <w:iCs/>
          <w:szCs w:val="26"/>
        </w:rPr>
        <w:t>Lafferty</w:t>
      </w:r>
      <w:r w:rsidR="00BA7FAE" w:rsidRPr="00645536">
        <w:rPr>
          <w:szCs w:val="26"/>
        </w:rPr>
        <w:t xml:space="preserve">, </w:t>
      </w:r>
      <w:r w:rsidR="00BA7FAE" w:rsidRPr="00645536">
        <w:rPr>
          <w:i/>
          <w:iCs/>
          <w:szCs w:val="26"/>
        </w:rPr>
        <w:t>supra</w:t>
      </w:r>
      <w:r w:rsidR="00BA7FAE" w:rsidRPr="00645536">
        <w:rPr>
          <w:szCs w:val="26"/>
        </w:rPr>
        <w:t>,</w:t>
      </w:r>
      <w:r w:rsidR="00BA7FAE" w:rsidRPr="00645536">
        <w:rPr>
          <w:i/>
          <w:iCs/>
          <w:szCs w:val="26"/>
        </w:rPr>
        <w:t xml:space="preserve"> </w:t>
      </w:r>
      <w:r w:rsidR="00BA7FAE" w:rsidRPr="00645536">
        <w:rPr>
          <w:szCs w:val="26"/>
        </w:rPr>
        <w:t>25 Cal.App.5th at p. 405.)</w:t>
      </w:r>
      <w:r w:rsidR="009E621D" w:rsidRPr="00645536">
        <w:rPr>
          <w:szCs w:val="26"/>
        </w:rPr>
        <w:t xml:space="preserve">  The</w:t>
      </w:r>
      <w:r w:rsidR="003769F2" w:rsidRPr="00645536">
        <w:rPr>
          <w:szCs w:val="26"/>
        </w:rPr>
        <w:t xml:space="preserve"> </w:t>
      </w:r>
      <w:r w:rsidR="00FC1C83" w:rsidRPr="00645536">
        <w:rPr>
          <w:szCs w:val="26"/>
        </w:rPr>
        <w:t xml:space="preserve">parties entered into a stipulated judgment awarding recovery to the Laffertys based on negligence </w:t>
      </w:r>
      <w:r w:rsidR="009E621D" w:rsidRPr="00645536">
        <w:rPr>
          <w:szCs w:val="26"/>
        </w:rPr>
        <w:t>and violation of the CLRA</w:t>
      </w:r>
      <w:r w:rsidR="00B37EFB" w:rsidRPr="00645536">
        <w:rPr>
          <w:szCs w:val="26"/>
        </w:rPr>
        <w:t xml:space="preserve"> in the amount of $68,000</w:t>
      </w:r>
      <w:r w:rsidR="00A52171" w:rsidRPr="00645536">
        <w:rPr>
          <w:szCs w:val="26"/>
        </w:rPr>
        <w:t>, the “total amount Plaintiffs actually paid toward (or under) their installment contract for the purchase of [the] motorhome</w:t>
      </w:r>
      <w:r w:rsidR="009E621D" w:rsidRPr="00645536">
        <w:rPr>
          <w:szCs w:val="26"/>
        </w:rPr>
        <w:t>.</w:t>
      </w:r>
      <w:r w:rsidR="00A52171" w:rsidRPr="00645536">
        <w:rPr>
          <w:szCs w:val="26"/>
        </w:rPr>
        <w:t>”</w:t>
      </w:r>
      <w:r w:rsidR="009E621D" w:rsidRPr="00645536">
        <w:rPr>
          <w:szCs w:val="26"/>
        </w:rPr>
        <w:t xml:space="preserve">  </w:t>
      </w:r>
      <w:r w:rsidR="00A52171" w:rsidRPr="00645536">
        <w:rPr>
          <w:szCs w:val="26"/>
        </w:rPr>
        <w:t>(</w:t>
      </w:r>
      <w:r w:rsidR="00A52171" w:rsidRPr="00645536">
        <w:rPr>
          <w:i/>
          <w:iCs/>
          <w:szCs w:val="26"/>
        </w:rPr>
        <w:t>Id</w:t>
      </w:r>
      <w:r w:rsidR="00D440F2" w:rsidRPr="00645536">
        <w:rPr>
          <w:i/>
          <w:iCs/>
          <w:szCs w:val="26"/>
        </w:rPr>
        <w:t>.</w:t>
      </w:r>
      <w:r w:rsidR="00A52171" w:rsidRPr="00645536">
        <w:rPr>
          <w:i/>
          <w:iCs/>
          <w:szCs w:val="26"/>
        </w:rPr>
        <w:t xml:space="preserve"> </w:t>
      </w:r>
      <w:r w:rsidR="00A52171" w:rsidRPr="00645536">
        <w:rPr>
          <w:szCs w:val="26"/>
        </w:rPr>
        <w:t xml:space="preserve">at p. 407.)  </w:t>
      </w:r>
      <w:r w:rsidR="00BD47BB" w:rsidRPr="00645536">
        <w:rPr>
          <w:szCs w:val="26"/>
        </w:rPr>
        <w:t>T</w:t>
      </w:r>
      <w:r w:rsidR="007C20C0" w:rsidRPr="00645536">
        <w:rPr>
          <w:szCs w:val="26"/>
        </w:rPr>
        <w:t xml:space="preserve">he Laffertys </w:t>
      </w:r>
      <w:r w:rsidR="00BD47BB" w:rsidRPr="00645536">
        <w:rPr>
          <w:szCs w:val="26"/>
        </w:rPr>
        <w:t xml:space="preserve">then </w:t>
      </w:r>
      <w:r w:rsidR="007C20C0" w:rsidRPr="00645536">
        <w:rPr>
          <w:szCs w:val="26"/>
        </w:rPr>
        <w:t>moved for a</w:t>
      </w:r>
      <w:r w:rsidR="00E018BC" w:rsidRPr="00645536">
        <w:rPr>
          <w:szCs w:val="26"/>
        </w:rPr>
        <w:t>n award of attorney’s fees and costs.</w:t>
      </w:r>
      <w:r w:rsidR="00BD47BB" w:rsidRPr="00645536">
        <w:rPr>
          <w:szCs w:val="26"/>
        </w:rPr>
        <w:t xml:space="preserve">  </w:t>
      </w:r>
      <w:r w:rsidR="00A759CC" w:rsidRPr="00645536">
        <w:rPr>
          <w:szCs w:val="26"/>
        </w:rPr>
        <w:t xml:space="preserve">Wells Fargo opposed </w:t>
      </w:r>
      <w:r w:rsidR="00297B9C" w:rsidRPr="00645536">
        <w:rPr>
          <w:szCs w:val="26"/>
        </w:rPr>
        <w:t>the motion</w:t>
      </w:r>
      <w:r w:rsidR="00D16578" w:rsidRPr="00645536">
        <w:rPr>
          <w:szCs w:val="26"/>
        </w:rPr>
        <w:t xml:space="preserve"> as exceeding the Holder Rule’s cap on recovery.  </w:t>
      </w:r>
      <w:r w:rsidR="00896560" w:rsidRPr="00645536">
        <w:rPr>
          <w:szCs w:val="26"/>
        </w:rPr>
        <w:t>The trial court awarded the Laffertys costs but denied</w:t>
      </w:r>
      <w:r w:rsidR="005617A3" w:rsidRPr="00645536">
        <w:rPr>
          <w:szCs w:val="26"/>
        </w:rPr>
        <w:t xml:space="preserve"> their request for fees.  </w:t>
      </w:r>
      <w:r w:rsidR="00D16578" w:rsidRPr="00645536">
        <w:rPr>
          <w:szCs w:val="26"/>
        </w:rPr>
        <w:t>(</w:t>
      </w:r>
      <w:r w:rsidR="00D16578" w:rsidRPr="00645536">
        <w:rPr>
          <w:i/>
          <w:iCs/>
          <w:szCs w:val="26"/>
        </w:rPr>
        <w:t>Id.</w:t>
      </w:r>
      <w:r w:rsidR="00D16578" w:rsidRPr="00645536">
        <w:rPr>
          <w:szCs w:val="26"/>
        </w:rPr>
        <w:t xml:space="preserve"> at pp. 407–408.)  </w:t>
      </w:r>
      <w:r w:rsidR="00E4325C" w:rsidRPr="00645536">
        <w:rPr>
          <w:szCs w:val="26"/>
        </w:rPr>
        <w:t>T</w:t>
      </w:r>
      <w:r w:rsidRPr="00645536">
        <w:rPr>
          <w:szCs w:val="26"/>
        </w:rPr>
        <w:t xml:space="preserve">he Court of Appeal </w:t>
      </w:r>
      <w:r w:rsidR="00E4325C" w:rsidRPr="00645536">
        <w:rPr>
          <w:szCs w:val="26"/>
        </w:rPr>
        <w:t>affirmed</w:t>
      </w:r>
      <w:r w:rsidR="00F23FF5" w:rsidRPr="00645536">
        <w:rPr>
          <w:szCs w:val="26"/>
        </w:rPr>
        <w:t>, holding</w:t>
      </w:r>
      <w:r w:rsidR="006F14CA" w:rsidRPr="00645536">
        <w:rPr>
          <w:szCs w:val="26"/>
        </w:rPr>
        <w:t xml:space="preserve"> </w:t>
      </w:r>
      <w:r w:rsidR="007C4AB4" w:rsidRPr="00645536">
        <w:rPr>
          <w:szCs w:val="26"/>
        </w:rPr>
        <w:t>that costs</w:t>
      </w:r>
      <w:r w:rsidR="00935F08" w:rsidRPr="00645536">
        <w:rPr>
          <w:szCs w:val="26"/>
        </w:rPr>
        <w:t xml:space="preserve"> awarded to the Laffertys </w:t>
      </w:r>
      <w:r w:rsidR="00F85BEA" w:rsidRPr="00645536">
        <w:rPr>
          <w:szCs w:val="26"/>
        </w:rPr>
        <w:t>under Code of Civil Procedure section 1032, subdivision (b)</w:t>
      </w:r>
      <w:r w:rsidR="008D4509" w:rsidRPr="00645536">
        <w:rPr>
          <w:szCs w:val="26"/>
        </w:rPr>
        <w:t xml:space="preserve">, </w:t>
      </w:r>
      <w:r w:rsidR="00F85BEA" w:rsidRPr="00645536">
        <w:rPr>
          <w:szCs w:val="26"/>
        </w:rPr>
        <w:t>“</w:t>
      </w:r>
      <w:r w:rsidR="00935F08" w:rsidRPr="00645536">
        <w:rPr>
          <w:szCs w:val="26"/>
        </w:rPr>
        <w:t>as the prevailing party in this action rather than as part of the recovery secured through the cause of action provided by the Holder Rule</w:t>
      </w:r>
      <w:r w:rsidR="00CC1716" w:rsidRPr="00645536">
        <w:rPr>
          <w:szCs w:val="26"/>
        </w:rPr>
        <w:t>,</w:t>
      </w:r>
      <w:r w:rsidR="006F14CA" w:rsidRPr="00645536">
        <w:rPr>
          <w:szCs w:val="26"/>
        </w:rPr>
        <w:t xml:space="preserve">” were </w:t>
      </w:r>
      <w:r w:rsidR="00830446" w:rsidRPr="00645536">
        <w:rPr>
          <w:szCs w:val="26"/>
        </w:rPr>
        <w:t>“not curtailed by the Holder Rule.”  (</w:t>
      </w:r>
      <w:r w:rsidR="006F20C5">
        <w:rPr>
          <w:i/>
          <w:iCs/>
          <w:szCs w:val="26"/>
        </w:rPr>
        <w:t>Lafferty</w:t>
      </w:r>
      <w:r w:rsidR="006F20C5">
        <w:rPr>
          <w:szCs w:val="26"/>
        </w:rPr>
        <w:t>,</w:t>
      </w:r>
      <w:r w:rsidR="00830446" w:rsidRPr="00645536">
        <w:rPr>
          <w:szCs w:val="26"/>
        </w:rPr>
        <w:t xml:space="preserve"> at p. 415.) </w:t>
      </w:r>
      <w:r w:rsidR="00420962" w:rsidRPr="00645536">
        <w:rPr>
          <w:szCs w:val="26"/>
        </w:rPr>
        <w:t xml:space="preserve"> </w:t>
      </w:r>
      <w:r w:rsidR="005C6C9D" w:rsidRPr="00645536">
        <w:rPr>
          <w:szCs w:val="26"/>
        </w:rPr>
        <w:t xml:space="preserve">Similarly, </w:t>
      </w:r>
      <w:r w:rsidR="004A5207" w:rsidRPr="00645536">
        <w:rPr>
          <w:szCs w:val="26"/>
        </w:rPr>
        <w:t xml:space="preserve">it concluded that </w:t>
      </w:r>
      <w:r w:rsidR="005C6C9D" w:rsidRPr="00645536">
        <w:rPr>
          <w:szCs w:val="26"/>
        </w:rPr>
        <w:t xml:space="preserve">the Laffertys were entitled to prejudgment interest </w:t>
      </w:r>
      <w:r w:rsidR="008728E7" w:rsidRPr="00645536">
        <w:rPr>
          <w:szCs w:val="26"/>
        </w:rPr>
        <w:t>because “Civil Code section 3287 applies to every person entitled to recover damages</w:t>
      </w:r>
      <w:r w:rsidR="00F31356">
        <w:rPr>
          <w:szCs w:val="26"/>
        </w:rPr>
        <w:t> </w:t>
      </w:r>
      <w:r w:rsidR="008728E7" w:rsidRPr="00645536">
        <w:rPr>
          <w:szCs w:val="26"/>
        </w:rPr>
        <w:t>—</w:t>
      </w:r>
      <w:r w:rsidR="007E3F6E" w:rsidRPr="00645536">
        <w:rPr>
          <w:szCs w:val="26"/>
        </w:rPr>
        <w:t xml:space="preserve"> </w:t>
      </w:r>
      <w:r w:rsidR="008728E7" w:rsidRPr="00645536">
        <w:rPr>
          <w:szCs w:val="26"/>
        </w:rPr>
        <w:t>without reference to the underlying cause(s) of action for which damages are awarded.”  (</w:t>
      </w:r>
      <w:r w:rsidR="00E41C28">
        <w:rPr>
          <w:i/>
          <w:iCs/>
          <w:szCs w:val="26"/>
        </w:rPr>
        <w:t>Lafferty</w:t>
      </w:r>
      <w:r w:rsidR="00E41C28">
        <w:rPr>
          <w:szCs w:val="26"/>
        </w:rPr>
        <w:t>,</w:t>
      </w:r>
      <w:r w:rsidR="008728E7" w:rsidRPr="00645536">
        <w:rPr>
          <w:szCs w:val="26"/>
        </w:rPr>
        <w:t xml:space="preserve"> at p. 416.)  </w:t>
      </w:r>
      <w:r w:rsidR="00420962" w:rsidRPr="00645536">
        <w:rPr>
          <w:szCs w:val="26"/>
        </w:rPr>
        <w:t xml:space="preserve">But </w:t>
      </w:r>
      <w:r w:rsidR="00E10F01" w:rsidRPr="00645536">
        <w:rPr>
          <w:szCs w:val="26"/>
        </w:rPr>
        <w:t xml:space="preserve">it </w:t>
      </w:r>
      <w:r w:rsidR="007E3F6E" w:rsidRPr="00645536">
        <w:rPr>
          <w:szCs w:val="26"/>
        </w:rPr>
        <w:t xml:space="preserve">held </w:t>
      </w:r>
      <w:r w:rsidR="00E10F01" w:rsidRPr="00645536">
        <w:rPr>
          <w:szCs w:val="26"/>
        </w:rPr>
        <w:t xml:space="preserve">that </w:t>
      </w:r>
      <w:r w:rsidR="00420962" w:rsidRPr="00645536">
        <w:rPr>
          <w:szCs w:val="26"/>
        </w:rPr>
        <w:t>attorney</w:t>
      </w:r>
      <w:r w:rsidR="00F56B8D" w:rsidRPr="00645536">
        <w:rPr>
          <w:szCs w:val="26"/>
        </w:rPr>
        <w:t xml:space="preserve">’s fees sought under the fee-shifting provision of the CLRA </w:t>
      </w:r>
      <w:r w:rsidR="00E10F01" w:rsidRPr="00645536">
        <w:rPr>
          <w:szCs w:val="26"/>
        </w:rPr>
        <w:t>were limited by the Holder Rule’s cap</w:t>
      </w:r>
      <w:r w:rsidR="00D673F4" w:rsidRPr="00645536">
        <w:rPr>
          <w:szCs w:val="26"/>
        </w:rPr>
        <w:t xml:space="preserve"> </w:t>
      </w:r>
      <w:r w:rsidR="00E10F01" w:rsidRPr="00645536">
        <w:rPr>
          <w:szCs w:val="26"/>
        </w:rPr>
        <w:t xml:space="preserve">because </w:t>
      </w:r>
      <w:r w:rsidR="004B13BE" w:rsidRPr="00645536">
        <w:rPr>
          <w:szCs w:val="26"/>
        </w:rPr>
        <w:t xml:space="preserve">the cause of action under the CLRA was originally alleged against </w:t>
      </w:r>
      <w:r w:rsidR="007E3F6E" w:rsidRPr="00645536">
        <w:rPr>
          <w:szCs w:val="26"/>
        </w:rPr>
        <w:t>the seller</w:t>
      </w:r>
      <w:r w:rsidR="004B13BE" w:rsidRPr="00645536">
        <w:rPr>
          <w:szCs w:val="26"/>
        </w:rPr>
        <w:t xml:space="preserve"> </w:t>
      </w:r>
      <w:r w:rsidR="000B21B1" w:rsidRPr="00645536">
        <w:rPr>
          <w:szCs w:val="26"/>
        </w:rPr>
        <w:t>and “applied to Wells Fargo only under the Holder Rule.”</w:t>
      </w:r>
      <w:r w:rsidR="00EA0E18" w:rsidRPr="00645536">
        <w:rPr>
          <w:szCs w:val="26"/>
        </w:rPr>
        <w:t xml:space="preserve">  (</w:t>
      </w:r>
      <w:r w:rsidR="00EA0E18" w:rsidRPr="00645536">
        <w:rPr>
          <w:i/>
          <w:iCs/>
          <w:szCs w:val="26"/>
        </w:rPr>
        <w:t>Id.</w:t>
      </w:r>
      <w:r w:rsidR="00EA0E18" w:rsidRPr="00645536">
        <w:rPr>
          <w:szCs w:val="26"/>
        </w:rPr>
        <w:t xml:space="preserve"> at p. 419</w:t>
      </w:r>
      <w:r w:rsidR="00BE65F4">
        <w:rPr>
          <w:szCs w:val="26"/>
        </w:rPr>
        <w:t xml:space="preserve">; </w:t>
      </w:r>
      <w:r w:rsidR="00BE65F4">
        <w:rPr>
          <w:i/>
          <w:iCs/>
          <w:szCs w:val="26"/>
        </w:rPr>
        <w:t>id.</w:t>
      </w:r>
      <w:r w:rsidR="00BE65F4">
        <w:rPr>
          <w:szCs w:val="26"/>
        </w:rPr>
        <w:t xml:space="preserve"> at p. 414</w:t>
      </w:r>
      <w:r w:rsidR="00EA0E18" w:rsidRPr="00645536">
        <w:rPr>
          <w:szCs w:val="26"/>
        </w:rPr>
        <w:t>.)</w:t>
      </w:r>
      <w:r w:rsidR="00202BFC" w:rsidRPr="00645536">
        <w:rPr>
          <w:szCs w:val="26"/>
        </w:rPr>
        <w:t xml:space="preserve">  </w:t>
      </w:r>
    </w:p>
    <w:p w14:paraId="1A9DF4F4" w14:textId="611EC527" w:rsidR="006D4724" w:rsidRPr="00645536" w:rsidRDefault="00EA0E18" w:rsidP="00645536">
      <w:pPr>
        <w:ind w:firstLine="720"/>
        <w:rPr>
          <w:szCs w:val="26"/>
        </w:rPr>
      </w:pPr>
      <w:r w:rsidRPr="00645536">
        <w:rPr>
          <w:szCs w:val="26"/>
        </w:rPr>
        <w:t xml:space="preserve">In response to </w:t>
      </w:r>
      <w:r w:rsidRPr="00645536">
        <w:rPr>
          <w:i/>
          <w:iCs/>
          <w:szCs w:val="26"/>
        </w:rPr>
        <w:t>Lafferty</w:t>
      </w:r>
      <w:r w:rsidRPr="00645536">
        <w:rPr>
          <w:szCs w:val="26"/>
        </w:rPr>
        <w:t xml:space="preserve">, the Legislature enacted </w:t>
      </w:r>
      <w:r w:rsidR="006D4724" w:rsidRPr="00645536">
        <w:rPr>
          <w:szCs w:val="26"/>
        </w:rPr>
        <w:t>Civil Code section 1459.5</w:t>
      </w:r>
      <w:r w:rsidR="00A205E4" w:rsidRPr="00645536">
        <w:rPr>
          <w:szCs w:val="26"/>
        </w:rPr>
        <w:t>,</w:t>
      </w:r>
      <w:r w:rsidR="006D4724" w:rsidRPr="00645536">
        <w:rPr>
          <w:szCs w:val="26"/>
        </w:rPr>
        <w:t xml:space="preserve"> </w:t>
      </w:r>
      <w:r w:rsidR="004210FD" w:rsidRPr="00645536">
        <w:rPr>
          <w:szCs w:val="26"/>
        </w:rPr>
        <w:t xml:space="preserve">which </w:t>
      </w:r>
      <w:r w:rsidR="006D4724" w:rsidRPr="00645536">
        <w:rPr>
          <w:szCs w:val="26"/>
        </w:rPr>
        <w:t>provides:  “A plaintiff who prevails on a cause of action against a defendant named pursuant to Part 433 of Title 16 of the Code of Federal Regulations or any successor thereto, or pursuant to the contractual language required by that part or any successor thereto, may claim attorney</w:t>
      </w:r>
      <w:r w:rsidR="00EA1807" w:rsidRPr="00645536">
        <w:rPr>
          <w:szCs w:val="26"/>
        </w:rPr>
        <w:t>’</w:t>
      </w:r>
      <w:r w:rsidR="006D4724" w:rsidRPr="00645536">
        <w:rPr>
          <w:szCs w:val="26"/>
        </w:rPr>
        <w:t>s fees, costs, and expenses from that defendant to the fullest extent permissible if the plaintiff had prevailed on that cause of action against the seller.”</w:t>
      </w:r>
      <w:r w:rsidR="00E74AC1" w:rsidRPr="00645536">
        <w:rPr>
          <w:szCs w:val="26"/>
        </w:rPr>
        <w:t xml:space="preserve">  </w:t>
      </w:r>
      <w:r w:rsidR="00A422B8" w:rsidRPr="00645536">
        <w:t>(All undesignated statutory references are to</w:t>
      </w:r>
      <w:r w:rsidR="00903AE2" w:rsidRPr="00645536">
        <w:t xml:space="preserve"> the Civil Code.)  </w:t>
      </w:r>
      <w:r w:rsidR="00EA1807" w:rsidRPr="00645536">
        <w:rPr>
          <w:szCs w:val="26"/>
        </w:rPr>
        <w:t xml:space="preserve">The bill </w:t>
      </w:r>
      <w:r w:rsidR="008D4509" w:rsidRPr="00645536">
        <w:rPr>
          <w:szCs w:val="26"/>
        </w:rPr>
        <w:t>aimed</w:t>
      </w:r>
      <w:r w:rsidR="00EA1807" w:rsidRPr="00645536">
        <w:rPr>
          <w:szCs w:val="26"/>
        </w:rPr>
        <w:t xml:space="preserve"> to “legislatively correct </w:t>
      </w:r>
      <w:r w:rsidR="00EA1807" w:rsidRPr="00645536">
        <w:rPr>
          <w:i/>
          <w:iCs/>
          <w:szCs w:val="26"/>
        </w:rPr>
        <w:t>Lafferty</w:t>
      </w:r>
      <w:r w:rsidR="00EA1807" w:rsidRPr="00645536">
        <w:rPr>
          <w:szCs w:val="26"/>
        </w:rPr>
        <w:t xml:space="preserve"> by restoring the courts’ previous interpretation of the Holder Rule, thereby ensuring fairness and legal recourse to defrauded consumers.” </w:t>
      </w:r>
      <w:r w:rsidR="00E74AC1" w:rsidRPr="00645536">
        <w:rPr>
          <w:szCs w:val="26"/>
        </w:rPr>
        <w:t>(</w:t>
      </w:r>
      <w:r w:rsidR="005F3DFB" w:rsidRPr="00645536">
        <w:rPr>
          <w:szCs w:val="26"/>
        </w:rPr>
        <w:t>Ass</w:t>
      </w:r>
      <w:r w:rsidR="00E10030" w:rsidRPr="00645536">
        <w:rPr>
          <w:szCs w:val="26"/>
        </w:rPr>
        <w:t xml:space="preserve">em. Com. on Judiciary, </w:t>
      </w:r>
      <w:r w:rsidR="00DF5774" w:rsidRPr="00645536">
        <w:rPr>
          <w:szCs w:val="26"/>
        </w:rPr>
        <w:t>Analysis of</w:t>
      </w:r>
      <w:r w:rsidR="000E717A" w:rsidRPr="00645536">
        <w:rPr>
          <w:szCs w:val="26"/>
        </w:rPr>
        <w:t xml:space="preserve"> A</w:t>
      </w:r>
      <w:r w:rsidR="009263BD" w:rsidRPr="00645536">
        <w:rPr>
          <w:szCs w:val="26"/>
        </w:rPr>
        <w:t xml:space="preserve">ssem. </w:t>
      </w:r>
      <w:r w:rsidR="000E717A" w:rsidRPr="00645536">
        <w:rPr>
          <w:szCs w:val="26"/>
        </w:rPr>
        <w:t>B</w:t>
      </w:r>
      <w:r w:rsidR="009263BD" w:rsidRPr="00645536">
        <w:rPr>
          <w:szCs w:val="26"/>
        </w:rPr>
        <w:t>ill No.</w:t>
      </w:r>
      <w:r w:rsidR="000E717A" w:rsidRPr="00645536">
        <w:rPr>
          <w:szCs w:val="26"/>
        </w:rPr>
        <w:t xml:space="preserve"> 182</w:t>
      </w:r>
      <w:r w:rsidR="009263BD" w:rsidRPr="00645536">
        <w:rPr>
          <w:szCs w:val="26"/>
        </w:rPr>
        <w:t>1</w:t>
      </w:r>
      <w:r w:rsidR="00324521" w:rsidRPr="00645536">
        <w:rPr>
          <w:szCs w:val="26"/>
        </w:rPr>
        <w:t xml:space="preserve"> (</w:t>
      </w:r>
      <w:r w:rsidR="000A62BF" w:rsidRPr="00645536">
        <w:rPr>
          <w:szCs w:val="26"/>
        </w:rPr>
        <w:t>20</w:t>
      </w:r>
      <w:r w:rsidR="00205F1B" w:rsidRPr="00645536">
        <w:rPr>
          <w:szCs w:val="26"/>
        </w:rPr>
        <w:t>19</w:t>
      </w:r>
      <w:r w:rsidR="000A62BF" w:rsidRPr="00645536">
        <w:rPr>
          <w:szCs w:val="26"/>
        </w:rPr>
        <w:t>–20</w:t>
      </w:r>
      <w:r w:rsidR="00205F1B" w:rsidRPr="00645536">
        <w:rPr>
          <w:szCs w:val="26"/>
        </w:rPr>
        <w:t>20</w:t>
      </w:r>
      <w:r w:rsidR="000A62BF" w:rsidRPr="00645536">
        <w:rPr>
          <w:szCs w:val="26"/>
        </w:rPr>
        <w:t xml:space="preserve"> Reg. Sess.)</w:t>
      </w:r>
      <w:r w:rsidR="004B08C5" w:rsidRPr="00645536">
        <w:rPr>
          <w:szCs w:val="26"/>
        </w:rPr>
        <w:t xml:space="preserve"> </w:t>
      </w:r>
      <w:r w:rsidR="00BE65F4">
        <w:rPr>
          <w:szCs w:val="26"/>
        </w:rPr>
        <w:t xml:space="preserve">as introduced </w:t>
      </w:r>
      <w:r w:rsidR="00A649FA" w:rsidRPr="00645536">
        <w:rPr>
          <w:szCs w:val="26"/>
        </w:rPr>
        <w:t>Mar</w:t>
      </w:r>
      <w:r w:rsidR="004B08C5" w:rsidRPr="00645536">
        <w:rPr>
          <w:szCs w:val="26"/>
        </w:rPr>
        <w:t xml:space="preserve">. </w:t>
      </w:r>
      <w:r w:rsidR="00A649FA" w:rsidRPr="00645536">
        <w:rPr>
          <w:szCs w:val="26"/>
        </w:rPr>
        <w:t>6</w:t>
      </w:r>
      <w:r w:rsidR="004B08C5" w:rsidRPr="00645536">
        <w:rPr>
          <w:szCs w:val="26"/>
        </w:rPr>
        <w:t>, 2019</w:t>
      </w:r>
      <w:r w:rsidR="002E2714" w:rsidRPr="00645536">
        <w:rPr>
          <w:szCs w:val="26"/>
        </w:rPr>
        <w:t>, p. </w:t>
      </w:r>
      <w:r w:rsidR="00BC7B96" w:rsidRPr="00645536">
        <w:rPr>
          <w:szCs w:val="26"/>
        </w:rPr>
        <w:t>1</w:t>
      </w:r>
      <w:r w:rsidR="00DB4968" w:rsidRPr="00645536">
        <w:rPr>
          <w:szCs w:val="26"/>
        </w:rPr>
        <w:t>.</w:t>
      </w:r>
      <w:r w:rsidR="004B08C5" w:rsidRPr="00645536">
        <w:rPr>
          <w:szCs w:val="26"/>
        </w:rPr>
        <w:t>)</w:t>
      </w:r>
      <w:r w:rsidR="00EA1807" w:rsidRPr="00645536">
        <w:rPr>
          <w:szCs w:val="26"/>
        </w:rPr>
        <w:t xml:space="preserve">  </w:t>
      </w:r>
    </w:p>
    <w:p w14:paraId="2F691900" w14:textId="647AB55A" w:rsidR="006D4724" w:rsidRPr="00645536" w:rsidRDefault="002F4B54" w:rsidP="00645536">
      <w:pPr>
        <w:ind w:firstLine="720"/>
        <w:rPr>
          <w:szCs w:val="26"/>
        </w:rPr>
      </w:pPr>
      <w:r w:rsidRPr="00645536">
        <w:rPr>
          <w:szCs w:val="26"/>
        </w:rPr>
        <w:t xml:space="preserve">In </w:t>
      </w:r>
      <w:r w:rsidR="00BF55FE" w:rsidRPr="00645536">
        <w:rPr>
          <w:i/>
          <w:iCs/>
          <w:szCs w:val="26"/>
        </w:rPr>
        <w:t>Spikener</w:t>
      </w:r>
      <w:r w:rsidR="00BF55FE" w:rsidRPr="00645536">
        <w:rPr>
          <w:szCs w:val="26"/>
        </w:rPr>
        <w:t>,</w:t>
      </w:r>
      <w:r w:rsidRPr="00645536">
        <w:rPr>
          <w:i/>
          <w:iCs/>
          <w:szCs w:val="26"/>
        </w:rPr>
        <w:t xml:space="preserve"> </w:t>
      </w:r>
      <w:r w:rsidRPr="00645536">
        <w:rPr>
          <w:szCs w:val="26"/>
        </w:rPr>
        <w:t>the court considered whether a buyer</w:t>
      </w:r>
      <w:r w:rsidR="00F94543" w:rsidRPr="00645536">
        <w:rPr>
          <w:szCs w:val="26"/>
        </w:rPr>
        <w:t xml:space="preserve"> who prevailed on a CLRA cause of action against a holder </w:t>
      </w:r>
      <w:r w:rsidR="009E7A1E" w:rsidRPr="00645536">
        <w:rPr>
          <w:szCs w:val="26"/>
        </w:rPr>
        <w:t xml:space="preserve">could subsequently recover </w:t>
      </w:r>
      <w:r w:rsidRPr="00645536">
        <w:rPr>
          <w:szCs w:val="26"/>
        </w:rPr>
        <w:t xml:space="preserve">attorney’s fees </w:t>
      </w:r>
      <w:r w:rsidR="007D5979" w:rsidRPr="00645536">
        <w:rPr>
          <w:szCs w:val="26"/>
        </w:rPr>
        <w:t>based on section 1459.5</w:t>
      </w:r>
      <w:r w:rsidR="00BF55FE" w:rsidRPr="00645536">
        <w:rPr>
          <w:szCs w:val="26"/>
        </w:rPr>
        <w:t>.</w:t>
      </w:r>
      <w:r w:rsidRPr="00645536">
        <w:rPr>
          <w:szCs w:val="26"/>
        </w:rPr>
        <w:t xml:space="preserve">  (</w:t>
      </w:r>
      <w:r w:rsidRPr="00645536">
        <w:rPr>
          <w:i/>
          <w:iCs/>
          <w:szCs w:val="26"/>
        </w:rPr>
        <w:t>Spikener</w:t>
      </w:r>
      <w:r w:rsidRPr="00645536">
        <w:rPr>
          <w:szCs w:val="26"/>
        </w:rPr>
        <w:t xml:space="preserve">, </w:t>
      </w:r>
      <w:r w:rsidRPr="00645536">
        <w:rPr>
          <w:i/>
          <w:iCs/>
          <w:szCs w:val="26"/>
        </w:rPr>
        <w:t>supra</w:t>
      </w:r>
      <w:r w:rsidRPr="00645536">
        <w:rPr>
          <w:szCs w:val="26"/>
        </w:rPr>
        <w:t xml:space="preserve">, 50 Cal.App.5th </w:t>
      </w:r>
      <w:r w:rsidR="00215CE2" w:rsidRPr="00645536">
        <w:rPr>
          <w:szCs w:val="26"/>
        </w:rPr>
        <w:t>151</w:t>
      </w:r>
      <w:r w:rsidRPr="00645536">
        <w:rPr>
          <w:szCs w:val="26"/>
        </w:rPr>
        <w:t>.)</w:t>
      </w:r>
      <w:r w:rsidR="009E7A1E" w:rsidRPr="00645536">
        <w:rPr>
          <w:szCs w:val="26"/>
        </w:rPr>
        <w:t xml:space="preserve"> </w:t>
      </w:r>
      <w:r w:rsidR="007F1087" w:rsidRPr="00645536">
        <w:rPr>
          <w:szCs w:val="26"/>
        </w:rPr>
        <w:t xml:space="preserve"> It </w:t>
      </w:r>
      <w:r w:rsidR="007E3CEE" w:rsidRPr="00645536">
        <w:rPr>
          <w:szCs w:val="26"/>
        </w:rPr>
        <w:t>assumed</w:t>
      </w:r>
      <w:r w:rsidR="004D636F" w:rsidRPr="00645536">
        <w:rPr>
          <w:szCs w:val="26"/>
        </w:rPr>
        <w:t xml:space="preserve"> </w:t>
      </w:r>
      <w:r w:rsidR="00FB2470" w:rsidRPr="00645536">
        <w:rPr>
          <w:szCs w:val="26"/>
        </w:rPr>
        <w:t xml:space="preserve">that </w:t>
      </w:r>
      <w:r w:rsidR="004D636F" w:rsidRPr="00645536">
        <w:rPr>
          <w:szCs w:val="26"/>
        </w:rPr>
        <w:t xml:space="preserve">the </w:t>
      </w:r>
      <w:r w:rsidR="007E233B">
        <w:rPr>
          <w:szCs w:val="26"/>
        </w:rPr>
        <w:t>Holder Rule</w:t>
      </w:r>
      <w:r w:rsidR="004D636F" w:rsidRPr="00645536">
        <w:rPr>
          <w:szCs w:val="26"/>
        </w:rPr>
        <w:t xml:space="preserve"> was ambiguous and </w:t>
      </w:r>
      <w:r w:rsidR="001869AB" w:rsidRPr="00645536">
        <w:rPr>
          <w:szCs w:val="26"/>
        </w:rPr>
        <w:t>determined</w:t>
      </w:r>
      <w:r w:rsidR="00E32E60" w:rsidRPr="00645536">
        <w:rPr>
          <w:szCs w:val="26"/>
        </w:rPr>
        <w:t xml:space="preserve"> that</w:t>
      </w:r>
      <w:r w:rsidR="001869AB" w:rsidRPr="00645536">
        <w:rPr>
          <w:szCs w:val="26"/>
        </w:rPr>
        <w:t xml:space="preserve"> the FTC’s interpretation in its Rule Confirmation was entitled to deference.</w:t>
      </w:r>
      <w:r w:rsidR="00934B5E" w:rsidRPr="00645536">
        <w:rPr>
          <w:szCs w:val="26"/>
        </w:rPr>
        <w:t xml:space="preserve">  </w:t>
      </w:r>
      <w:r w:rsidR="00E32E60" w:rsidRPr="00645536">
        <w:rPr>
          <w:szCs w:val="26"/>
        </w:rPr>
        <w:t>(</w:t>
      </w:r>
      <w:r w:rsidR="00E32E60" w:rsidRPr="00645536">
        <w:rPr>
          <w:i/>
          <w:iCs/>
          <w:szCs w:val="26"/>
        </w:rPr>
        <w:t xml:space="preserve">Id. </w:t>
      </w:r>
      <w:r w:rsidR="00E32E60" w:rsidRPr="00645536">
        <w:rPr>
          <w:szCs w:val="26"/>
        </w:rPr>
        <w:t xml:space="preserve">at p. 159.)  </w:t>
      </w:r>
      <w:r w:rsidR="00C83F41" w:rsidRPr="00645536">
        <w:rPr>
          <w:szCs w:val="26"/>
        </w:rPr>
        <w:t>The court</w:t>
      </w:r>
      <w:r w:rsidR="00E32E60" w:rsidRPr="00645536">
        <w:rPr>
          <w:szCs w:val="26"/>
        </w:rPr>
        <w:t xml:space="preserve"> </w:t>
      </w:r>
      <w:r w:rsidR="008179D6" w:rsidRPr="00645536">
        <w:rPr>
          <w:szCs w:val="26"/>
        </w:rPr>
        <w:t>considered the FTC</w:t>
      </w:r>
      <w:r w:rsidR="006F74A1" w:rsidRPr="00645536">
        <w:rPr>
          <w:szCs w:val="26"/>
        </w:rPr>
        <w:t xml:space="preserve"> to have construed </w:t>
      </w:r>
      <w:r w:rsidR="005014A6" w:rsidRPr="00645536">
        <w:rPr>
          <w:szCs w:val="26"/>
        </w:rPr>
        <w:t xml:space="preserve">the Holder Rule </w:t>
      </w:r>
      <w:r w:rsidR="006F74A1" w:rsidRPr="00645536">
        <w:rPr>
          <w:szCs w:val="26"/>
        </w:rPr>
        <w:t xml:space="preserve">as </w:t>
      </w:r>
      <w:r w:rsidR="005014A6" w:rsidRPr="00645536">
        <w:rPr>
          <w:szCs w:val="26"/>
        </w:rPr>
        <w:t>“limit[</w:t>
      </w:r>
      <w:r w:rsidR="006F74A1" w:rsidRPr="00645536">
        <w:rPr>
          <w:szCs w:val="26"/>
        </w:rPr>
        <w:t>ing</w:t>
      </w:r>
      <w:r w:rsidR="005014A6" w:rsidRPr="00645536">
        <w:rPr>
          <w:szCs w:val="26"/>
        </w:rPr>
        <w:t>] a plaintiff’s total recovery, including attorney fees</w:t>
      </w:r>
      <w:r w:rsidR="00AA1E89" w:rsidRPr="00645536">
        <w:rPr>
          <w:szCs w:val="26"/>
        </w:rPr>
        <w:t>, on a claim asserted pursuant to the Holder Rule to the amount the plaintiff paid under the contract, regardless of whether the state claim being asserted pursuant to the Holder Rule contains fee-shifting provisions</w:t>
      </w:r>
      <w:r w:rsidR="00A55C10" w:rsidRPr="00645536">
        <w:rPr>
          <w:szCs w:val="26"/>
        </w:rPr>
        <w:t xml:space="preserve">.”  </w:t>
      </w:r>
      <w:r w:rsidR="00215CE2" w:rsidRPr="00645536">
        <w:rPr>
          <w:szCs w:val="26"/>
        </w:rPr>
        <w:t>(</w:t>
      </w:r>
      <w:r w:rsidR="00215CE2" w:rsidRPr="00645536">
        <w:rPr>
          <w:i/>
          <w:iCs/>
          <w:szCs w:val="26"/>
        </w:rPr>
        <w:t>Id.</w:t>
      </w:r>
      <w:r w:rsidR="00215CE2" w:rsidRPr="00645536">
        <w:rPr>
          <w:szCs w:val="26"/>
        </w:rPr>
        <w:t xml:space="preserve"> at p.</w:t>
      </w:r>
      <w:r w:rsidR="00E32E60" w:rsidRPr="00645536">
        <w:rPr>
          <w:szCs w:val="26"/>
        </w:rPr>
        <w:t> </w:t>
      </w:r>
      <w:r w:rsidR="005A0567" w:rsidRPr="00645536">
        <w:rPr>
          <w:szCs w:val="26"/>
        </w:rPr>
        <w:t xml:space="preserve">162.)  </w:t>
      </w:r>
      <w:r w:rsidR="00C14611" w:rsidRPr="00645536">
        <w:rPr>
          <w:szCs w:val="26"/>
        </w:rPr>
        <w:t>The court</w:t>
      </w:r>
      <w:r w:rsidR="00B64353" w:rsidRPr="00645536">
        <w:rPr>
          <w:szCs w:val="26"/>
        </w:rPr>
        <w:t xml:space="preserve"> found </w:t>
      </w:r>
      <w:r w:rsidR="00912B1B" w:rsidRPr="00645536">
        <w:rPr>
          <w:szCs w:val="26"/>
        </w:rPr>
        <w:t xml:space="preserve">that </w:t>
      </w:r>
      <w:r w:rsidR="008B3CA5" w:rsidRPr="00645536">
        <w:rPr>
          <w:szCs w:val="26"/>
        </w:rPr>
        <w:t xml:space="preserve">“[t]his demonstrates a clear intent </w:t>
      </w:r>
      <w:r w:rsidR="00B64353" w:rsidRPr="00645536">
        <w:rPr>
          <w:szCs w:val="26"/>
        </w:rPr>
        <w:t xml:space="preserve">to prohibit states from authorizing a recovery that exceeds this amount on a Holder Rule claim” </w:t>
      </w:r>
      <w:r w:rsidR="00912B1B" w:rsidRPr="00645536">
        <w:rPr>
          <w:szCs w:val="26"/>
        </w:rPr>
        <w:t xml:space="preserve">and </w:t>
      </w:r>
      <w:r w:rsidR="006066C7" w:rsidRPr="00645536">
        <w:rPr>
          <w:szCs w:val="26"/>
        </w:rPr>
        <w:t>concluded that “to the extent section 1459.5 authorizes a plaintiff’s total recovery</w:t>
      </w:r>
      <w:r w:rsidR="00F31356">
        <w:rPr>
          <w:szCs w:val="26"/>
        </w:rPr>
        <w:t> </w:t>
      </w:r>
      <w:r w:rsidR="006066C7" w:rsidRPr="00645536">
        <w:rPr>
          <w:szCs w:val="26"/>
        </w:rPr>
        <w:t>— including attorney fees</w:t>
      </w:r>
      <w:r w:rsidR="00F31356">
        <w:rPr>
          <w:szCs w:val="26"/>
        </w:rPr>
        <w:t> </w:t>
      </w:r>
      <w:r w:rsidR="006066C7" w:rsidRPr="00645536">
        <w:rPr>
          <w:szCs w:val="26"/>
        </w:rPr>
        <w:t>— for a Holder Rule claim to exceed the amount the plaintiff paid under the contract, it directly conflicts with the Holder Rule and is therefore preempted.”  (</w:t>
      </w:r>
      <w:r w:rsidR="00407D1C">
        <w:rPr>
          <w:i/>
          <w:iCs/>
          <w:szCs w:val="26"/>
        </w:rPr>
        <w:t>Id.</w:t>
      </w:r>
      <w:r w:rsidR="006066C7" w:rsidRPr="00645536">
        <w:rPr>
          <w:szCs w:val="26"/>
        </w:rPr>
        <w:t xml:space="preserve"> at pp. 162–163.)  </w:t>
      </w:r>
    </w:p>
    <w:p w14:paraId="0496F312" w14:textId="528C31C2" w:rsidR="006D4724" w:rsidRPr="00645536" w:rsidRDefault="002C7AC9" w:rsidP="00645536">
      <w:pPr>
        <w:ind w:firstLine="720"/>
        <w:rPr>
          <w:szCs w:val="26"/>
        </w:rPr>
      </w:pPr>
      <w:r w:rsidRPr="00645536">
        <w:rPr>
          <w:szCs w:val="26"/>
        </w:rPr>
        <w:t xml:space="preserve">In </w:t>
      </w:r>
      <w:r w:rsidR="00F23FF5" w:rsidRPr="00645536">
        <w:rPr>
          <w:szCs w:val="26"/>
        </w:rPr>
        <w:t>the case before us</w:t>
      </w:r>
      <w:r w:rsidR="002872B8" w:rsidRPr="00645536">
        <w:rPr>
          <w:szCs w:val="26"/>
        </w:rPr>
        <w:t xml:space="preserve">, </w:t>
      </w:r>
      <w:r w:rsidR="00EE4A63" w:rsidRPr="00645536">
        <w:rPr>
          <w:szCs w:val="26"/>
        </w:rPr>
        <w:t xml:space="preserve">the </w:t>
      </w:r>
      <w:r w:rsidR="00F23FF5" w:rsidRPr="00645536">
        <w:rPr>
          <w:szCs w:val="26"/>
        </w:rPr>
        <w:t>C</w:t>
      </w:r>
      <w:r w:rsidR="00EE4A63" w:rsidRPr="00645536">
        <w:rPr>
          <w:szCs w:val="26"/>
        </w:rPr>
        <w:t xml:space="preserve">ourt </w:t>
      </w:r>
      <w:r w:rsidR="00F23FF5" w:rsidRPr="00645536">
        <w:rPr>
          <w:szCs w:val="26"/>
        </w:rPr>
        <w:t xml:space="preserve">of Appeal </w:t>
      </w:r>
      <w:r w:rsidR="00EE4A63" w:rsidRPr="00645536">
        <w:rPr>
          <w:szCs w:val="26"/>
        </w:rPr>
        <w:t xml:space="preserve">disagreed with </w:t>
      </w:r>
      <w:r w:rsidR="00236BF5" w:rsidRPr="00645536">
        <w:rPr>
          <w:i/>
          <w:iCs/>
          <w:szCs w:val="26"/>
        </w:rPr>
        <w:t>Lafferty</w:t>
      </w:r>
      <w:r w:rsidR="00236BF5" w:rsidRPr="00645536">
        <w:rPr>
          <w:szCs w:val="26"/>
        </w:rPr>
        <w:t>’s conclusion that the Holder Rule</w:t>
      </w:r>
      <w:r w:rsidR="003255D0" w:rsidRPr="00645536">
        <w:rPr>
          <w:szCs w:val="26"/>
        </w:rPr>
        <w:t>’s limitation on recovery applies to attorney’s fees</w:t>
      </w:r>
      <w:r w:rsidR="00FD0D0F" w:rsidRPr="00645536">
        <w:rPr>
          <w:szCs w:val="26"/>
        </w:rPr>
        <w:t>.  (</w:t>
      </w:r>
      <w:r w:rsidR="00132162" w:rsidRPr="00645536">
        <w:rPr>
          <w:i/>
          <w:iCs/>
          <w:szCs w:val="26"/>
        </w:rPr>
        <w:t>Pulliam</w:t>
      </w:r>
      <w:r w:rsidR="00132162" w:rsidRPr="00645536">
        <w:rPr>
          <w:szCs w:val="26"/>
        </w:rPr>
        <w:t xml:space="preserve">, </w:t>
      </w:r>
      <w:r w:rsidR="00132162" w:rsidRPr="00645536">
        <w:rPr>
          <w:i/>
          <w:iCs/>
          <w:szCs w:val="26"/>
        </w:rPr>
        <w:t>supra</w:t>
      </w:r>
      <w:r w:rsidR="00132162" w:rsidRPr="00645536">
        <w:rPr>
          <w:szCs w:val="26"/>
        </w:rPr>
        <w:t>, 60 Cal.App.5th at pp. 412–416.)</w:t>
      </w:r>
      <w:r w:rsidR="00067013" w:rsidRPr="00645536">
        <w:rPr>
          <w:szCs w:val="26"/>
        </w:rPr>
        <w:t xml:space="preserve">  It also disagreed with </w:t>
      </w:r>
      <w:r w:rsidR="00067013" w:rsidRPr="00645536">
        <w:rPr>
          <w:i/>
          <w:iCs/>
          <w:szCs w:val="26"/>
        </w:rPr>
        <w:t>Spikener</w:t>
      </w:r>
      <w:r w:rsidR="00067013" w:rsidRPr="00645536">
        <w:rPr>
          <w:szCs w:val="26"/>
        </w:rPr>
        <w:t xml:space="preserve">’s conclusion that </w:t>
      </w:r>
      <w:r w:rsidR="009B48CA" w:rsidRPr="00645536">
        <w:rPr>
          <w:szCs w:val="26"/>
        </w:rPr>
        <w:t xml:space="preserve">the FTC’s Rule Confirmation was entitled to deference. </w:t>
      </w:r>
      <w:r w:rsidR="00D11E67" w:rsidRPr="00645536">
        <w:rPr>
          <w:szCs w:val="26"/>
        </w:rPr>
        <w:t xml:space="preserve"> </w:t>
      </w:r>
      <w:r w:rsidR="0007764C" w:rsidRPr="00645536">
        <w:rPr>
          <w:szCs w:val="26"/>
        </w:rPr>
        <w:t>(</w:t>
      </w:r>
      <w:r w:rsidR="009D2738" w:rsidRPr="00645536">
        <w:rPr>
          <w:i/>
          <w:iCs/>
          <w:szCs w:val="26"/>
        </w:rPr>
        <w:t>Pulliam</w:t>
      </w:r>
      <w:r w:rsidR="009D2738" w:rsidRPr="00645536">
        <w:rPr>
          <w:szCs w:val="26"/>
        </w:rPr>
        <w:t xml:space="preserve">, </w:t>
      </w:r>
      <w:r w:rsidR="0007764C" w:rsidRPr="00645536">
        <w:rPr>
          <w:szCs w:val="26"/>
        </w:rPr>
        <w:t>at pp. 416–</w:t>
      </w:r>
      <w:r w:rsidR="009D2738" w:rsidRPr="00645536">
        <w:rPr>
          <w:szCs w:val="26"/>
        </w:rPr>
        <w:t xml:space="preserve">422.)  </w:t>
      </w:r>
      <w:r w:rsidR="001B0285" w:rsidRPr="00645536">
        <w:rPr>
          <w:szCs w:val="26"/>
        </w:rPr>
        <w:t>Because it concluded that “the Holder Rule cap does not include attorney fees within its limit on recovery</w:t>
      </w:r>
      <w:r w:rsidR="00B3319C" w:rsidRPr="00645536">
        <w:rPr>
          <w:szCs w:val="26"/>
        </w:rPr>
        <w:t xml:space="preserve"> and that the FTC’s interpretation to the contrary is not entitled to deference,” it found the Holder Rule consistent with section 1459.5</w:t>
      </w:r>
      <w:r w:rsidR="00F9430F" w:rsidRPr="00645536">
        <w:rPr>
          <w:szCs w:val="26"/>
        </w:rPr>
        <w:t xml:space="preserve"> and did “not address whether section 1459.5 independently applies.”  (</w:t>
      </w:r>
      <w:r w:rsidR="00771AED" w:rsidRPr="00645536">
        <w:rPr>
          <w:i/>
          <w:iCs/>
          <w:szCs w:val="26"/>
        </w:rPr>
        <w:t>Pulliam</w:t>
      </w:r>
      <w:r w:rsidR="00771AED" w:rsidRPr="00645536">
        <w:rPr>
          <w:szCs w:val="26"/>
        </w:rPr>
        <w:t xml:space="preserve">, at </w:t>
      </w:r>
      <w:r w:rsidR="00F9430F" w:rsidRPr="00645536">
        <w:rPr>
          <w:szCs w:val="26"/>
        </w:rPr>
        <w:t>p. 422.)</w:t>
      </w:r>
    </w:p>
    <w:p w14:paraId="41C098A2" w14:textId="486EE880" w:rsidR="006D4724" w:rsidRPr="00645536" w:rsidRDefault="006D4724" w:rsidP="00E40291">
      <w:pPr>
        <w:tabs>
          <w:tab w:val="left" w:pos="1440"/>
        </w:tabs>
        <w:jc w:val="center"/>
        <w:rPr>
          <w:b/>
          <w:bCs/>
          <w:szCs w:val="26"/>
        </w:rPr>
      </w:pPr>
      <w:r w:rsidRPr="00645536">
        <w:rPr>
          <w:b/>
          <w:bCs/>
          <w:szCs w:val="26"/>
        </w:rPr>
        <w:t>IV.</w:t>
      </w:r>
    </w:p>
    <w:p w14:paraId="5785DD1E" w14:textId="33EE2409" w:rsidR="00E055F6" w:rsidRPr="00645536" w:rsidRDefault="00B62885" w:rsidP="00645536">
      <w:pPr>
        <w:ind w:firstLine="720"/>
        <w:rPr>
          <w:szCs w:val="26"/>
        </w:rPr>
      </w:pPr>
      <w:r w:rsidRPr="00645536">
        <w:rPr>
          <w:szCs w:val="26"/>
        </w:rPr>
        <w:t>The parties</w:t>
      </w:r>
      <w:r w:rsidR="00940271" w:rsidRPr="00645536">
        <w:rPr>
          <w:szCs w:val="26"/>
        </w:rPr>
        <w:t xml:space="preserve">’ dispute </w:t>
      </w:r>
      <w:r w:rsidR="00BC5E43" w:rsidRPr="00645536">
        <w:rPr>
          <w:szCs w:val="26"/>
        </w:rPr>
        <w:t xml:space="preserve">before us </w:t>
      </w:r>
      <w:r w:rsidR="00940271" w:rsidRPr="00645536">
        <w:rPr>
          <w:szCs w:val="26"/>
        </w:rPr>
        <w:t xml:space="preserve">centers on two main arguments.  </w:t>
      </w:r>
      <w:r w:rsidR="00367F7D" w:rsidRPr="00645536">
        <w:rPr>
          <w:szCs w:val="26"/>
        </w:rPr>
        <w:t xml:space="preserve">First, </w:t>
      </w:r>
      <w:r w:rsidR="00F4143F" w:rsidRPr="00645536">
        <w:rPr>
          <w:szCs w:val="26"/>
        </w:rPr>
        <w:t>TD</w:t>
      </w:r>
      <w:r w:rsidR="008602DB" w:rsidRPr="00645536">
        <w:rPr>
          <w:szCs w:val="26"/>
        </w:rPr>
        <w:t>AF</w:t>
      </w:r>
      <w:r w:rsidR="00F4143F" w:rsidRPr="00645536">
        <w:rPr>
          <w:szCs w:val="26"/>
        </w:rPr>
        <w:t xml:space="preserve"> argues that </w:t>
      </w:r>
      <w:r w:rsidR="009810C0" w:rsidRPr="00645536">
        <w:rPr>
          <w:szCs w:val="26"/>
        </w:rPr>
        <w:t xml:space="preserve">the </w:t>
      </w:r>
      <w:r w:rsidR="00E839D2" w:rsidRPr="00645536">
        <w:rPr>
          <w:szCs w:val="26"/>
        </w:rPr>
        <w:t>Holder Rule</w:t>
      </w:r>
      <w:r w:rsidR="00236D3B" w:rsidRPr="00645536">
        <w:rPr>
          <w:szCs w:val="26"/>
        </w:rPr>
        <w:t>, by</w:t>
      </w:r>
      <w:r w:rsidR="00E839D2" w:rsidRPr="00645536">
        <w:rPr>
          <w:szCs w:val="26"/>
        </w:rPr>
        <w:t xml:space="preserve"> </w:t>
      </w:r>
      <w:r w:rsidR="009810C0" w:rsidRPr="00645536">
        <w:rPr>
          <w:szCs w:val="26"/>
        </w:rPr>
        <w:t>cap</w:t>
      </w:r>
      <w:r w:rsidR="00236D3B" w:rsidRPr="00645536">
        <w:rPr>
          <w:szCs w:val="26"/>
        </w:rPr>
        <w:t>ping</w:t>
      </w:r>
      <w:r w:rsidR="009810C0" w:rsidRPr="00645536">
        <w:rPr>
          <w:szCs w:val="26"/>
        </w:rPr>
        <w:t xml:space="preserve"> </w:t>
      </w:r>
      <w:r w:rsidR="00E839D2" w:rsidRPr="00645536">
        <w:rPr>
          <w:szCs w:val="26"/>
        </w:rPr>
        <w:t>“</w:t>
      </w:r>
      <w:r w:rsidR="009810C0" w:rsidRPr="00645536">
        <w:rPr>
          <w:szCs w:val="26"/>
        </w:rPr>
        <w:t>recovery</w:t>
      </w:r>
      <w:r w:rsidR="00E839D2" w:rsidRPr="00645536">
        <w:rPr>
          <w:szCs w:val="26"/>
        </w:rPr>
        <w:t>”</w:t>
      </w:r>
      <w:r w:rsidR="009810C0" w:rsidRPr="00645536">
        <w:rPr>
          <w:szCs w:val="26"/>
        </w:rPr>
        <w:t xml:space="preserve"> to “amounts paid by the debtor</w:t>
      </w:r>
      <w:r w:rsidR="00236D3B" w:rsidRPr="00645536">
        <w:rPr>
          <w:szCs w:val="26"/>
        </w:rPr>
        <w:t>,</w:t>
      </w:r>
      <w:r w:rsidR="009810C0" w:rsidRPr="00645536">
        <w:rPr>
          <w:szCs w:val="26"/>
        </w:rPr>
        <w:t>” limits a plaintiff’s ability to recover attorney’s fees</w:t>
      </w:r>
      <w:r w:rsidR="0037387A" w:rsidRPr="00645536">
        <w:rPr>
          <w:szCs w:val="26"/>
        </w:rPr>
        <w:t xml:space="preserve"> based on </w:t>
      </w:r>
      <w:r w:rsidR="00E839D2" w:rsidRPr="00645536">
        <w:rPr>
          <w:szCs w:val="26"/>
        </w:rPr>
        <w:t xml:space="preserve">the Rule’s </w:t>
      </w:r>
      <w:r w:rsidR="0037387A" w:rsidRPr="00645536">
        <w:rPr>
          <w:szCs w:val="26"/>
        </w:rPr>
        <w:t>plain language</w:t>
      </w:r>
      <w:r w:rsidR="00BD0D5F" w:rsidRPr="00645536">
        <w:rPr>
          <w:szCs w:val="26"/>
        </w:rPr>
        <w:t xml:space="preserve">. </w:t>
      </w:r>
      <w:r w:rsidR="0052433A" w:rsidRPr="00645536">
        <w:rPr>
          <w:szCs w:val="26"/>
        </w:rPr>
        <w:t xml:space="preserve"> </w:t>
      </w:r>
      <w:r w:rsidR="00BD0D5F" w:rsidRPr="00645536">
        <w:rPr>
          <w:szCs w:val="26"/>
        </w:rPr>
        <w:t>Pulliam maintains, as did the Court of Appeal, that “recovery” under the Rule does not include attorney</w:t>
      </w:r>
      <w:r w:rsidR="00F02636" w:rsidRPr="00645536">
        <w:rPr>
          <w:szCs w:val="26"/>
        </w:rPr>
        <w:t>’s</w:t>
      </w:r>
      <w:r w:rsidR="00BD0D5F" w:rsidRPr="00645536">
        <w:rPr>
          <w:szCs w:val="26"/>
        </w:rPr>
        <w:t xml:space="preserve"> fees and </w:t>
      </w:r>
      <w:r w:rsidR="0003374D" w:rsidRPr="00645536">
        <w:rPr>
          <w:szCs w:val="26"/>
        </w:rPr>
        <w:t xml:space="preserve">relies on the </w:t>
      </w:r>
      <w:r w:rsidR="003927E8" w:rsidRPr="00645536">
        <w:rPr>
          <w:szCs w:val="26"/>
        </w:rPr>
        <w:t xml:space="preserve">regulatory history and purpose of the </w:t>
      </w:r>
      <w:r w:rsidR="0003374D" w:rsidRPr="00645536">
        <w:rPr>
          <w:szCs w:val="26"/>
        </w:rPr>
        <w:t xml:space="preserve">Rule.  </w:t>
      </w:r>
      <w:r w:rsidRPr="00645536">
        <w:rPr>
          <w:szCs w:val="26"/>
        </w:rPr>
        <w:t xml:space="preserve">Second, </w:t>
      </w:r>
      <w:r w:rsidR="00FB01F2" w:rsidRPr="00645536">
        <w:rPr>
          <w:szCs w:val="26"/>
        </w:rPr>
        <w:t>TD</w:t>
      </w:r>
      <w:r w:rsidR="008602DB" w:rsidRPr="00645536">
        <w:rPr>
          <w:szCs w:val="26"/>
        </w:rPr>
        <w:t>AF</w:t>
      </w:r>
      <w:r w:rsidR="00FB01F2" w:rsidRPr="00645536">
        <w:rPr>
          <w:szCs w:val="26"/>
        </w:rPr>
        <w:t xml:space="preserve"> </w:t>
      </w:r>
      <w:r w:rsidR="00261BC8" w:rsidRPr="00645536">
        <w:rPr>
          <w:szCs w:val="26"/>
        </w:rPr>
        <w:t xml:space="preserve">argues that </w:t>
      </w:r>
      <w:r w:rsidR="0052433A" w:rsidRPr="00645536">
        <w:rPr>
          <w:szCs w:val="26"/>
        </w:rPr>
        <w:t xml:space="preserve">if the </w:t>
      </w:r>
      <w:r w:rsidR="00261BC8" w:rsidRPr="00645536">
        <w:rPr>
          <w:szCs w:val="26"/>
        </w:rPr>
        <w:t xml:space="preserve">meaning of the </w:t>
      </w:r>
      <w:r w:rsidR="0052433A" w:rsidRPr="00645536">
        <w:rPr>
          <w:szCs w:val="26"/>
        </w:rPr>
        <w:t xml:space="preserve">Rule </w:t>
      </w:r>
      <w:r w:rsidR="00B3591D">
        <w:rPr>
          <w:szCs w:val="26"/>
        </w:rPr>
        <w:t>is</w:t>
      </w:r>
      <w:r w:rsidR="00B3591D" w:rsidRPr="00645536">
        <w:rPr>
          <w:szCs w:val="26"/>
        </w:rPr>
        <w:t xml:space="preserve"> </w:t>
      </w:r>
      <w:r w:rsidR="0052433A" w:rsidRPr="00645536">
        <w:rPr>
          <w:szCs w:val="26"/>
        </w:rPr>
        <w:t xml:space="preserve">ambiguous, the FTC’s interpretation in its Rule Confirmation </w:t>
      </w:r>
      <w:r w:rsidR="009E0A9D" w:rsidRPr="00645536">
        <w:rPr>
          <w:szCs w:val="26"/>
        </w:rPr>
        <w:t xml:space="preserve">is </w:t>
      </w:r>
      <w:r w:rsidR="0052433A" w:rsidRPr="00645536">
        <w:rPr>
          <w:szCs w:val="26"/>
        </w:rPr>
        <w:t xml:space="preserve">entitled to </w:t>
      </w:r>
      <w:r w:rsidR="00610D0F" w:rsidRPr="00645536">
        <w:rPr>
          <w:szCs w:val="26"/>
        </w:rPr>
        <w:t xml:space="preserve">deference and </w:t>
      </w:r>
      <w:r w:rsidR="00465817" w:rsidRPr="00645536">
        <w:rPr>
          <w:szCs w:val="26"/>
        </w:rPr>
        <w:t>precludes recovery of attorney’s fees</w:t>
      </w:r>
      <w:r w:rsidR="00610D0F" w:rsidRPr="00645536">
        <w:rPr>
          <w:szCs w:val="26"/>
        </w:rPr>
        <w:t xml:space="preserve">.  </w:t>
      </w:r>
      <w:r w:rsidR="00261BC8" w:rsidRPr="00645536">
        <w:rPr>
          <w:szCs w:val="26"/>
        </w:rPr>
        <w:t xml:space="preserve">Pulliam </w:t>
      </w:r>
      <w:r w:rsidR="00FB38ED" w:rsidRPr="00645536">
        <w:rPr>
          <w:szCs w:val="26"/>
        </w:rPr>
        <w:t xml:space="preserve">contends that </w:t>
      </w:r>
      <w:r w:rsidR="00037C71" w:rsidRPr="00645536">
        <w:rPr>
          <w:szCs w:val="26"/>
        </w:rPr>
        <w:t xml:space="preserve">under </w:t>
      </w:r>
      <w:r w:rsidR="00037C71" w:rsidRPr="00645536">
        <w:rPr>
          <w:i/>
          <w:iCs/>
          <w:szCs w:val="26"/>
        </w:rPr>
        <w:t>Kisor v. Wilkie</w:t>
      </w:r>
      <w:r w:rsidR="00037C71" w:rsidRPr="00645536">
        <w:rPr>
          <w:szCs w:val="26"/>
        </w:rPr>
        <w:t xml:space="preserve"> (2019)</w:t>
      </w:r>
      <w:r w:rsidR="00451F41" w:rsidRPr="00645536">
        <w:rPr>
          <w:szCs w:val="26"/>
        </w:rPr>
        <w:t xml:space="preserve"> 588 U.S. __</w:t>
      </w:r>
      <w:r w:rsidR="00037C71" w:rsidRPr="00645536">
        <w:rPr>
          <w:szCs w:val="26"/>
        </w:rPr>
        <w:t xml:space="preserve"> </w:t>
      </w:r>
      <w:r w:rsidR="00451F41" w:rsidRPr="00645536">
        <w:rPr>
          <w:szCs w:val="26"/>
        </w:rPr>
        <w:t>[</w:t>
      </w:r>
      <w:r w:rsidR="00037C71" w:rsidRPr="00645536">
        <w:rPr>
          <w:szCs w:val="26"/>
        </w:rPr>
        <w:t>139 S.Ct. 2400</w:t>
      </w:r>
      <w:r w:rsidR="00451F41" w:rsidRPr="00645536">
        <w:rPr>
          <w:szCs w:val="26"/>
        </w:rPr>
        <w:t>]</w:t>
      </w:r>
      <w:r w:rsidR="00626397" w:rsidRPr="00645536">
        <w:rPr>
          <w:szCs w:val="26"/>
        </w:rPr>
        <w:t xml:space="preserve"> </w:t>
      </w:r>
      <w:r w:rsidR="00DD1EA2" w:rsidRPr="00645536">
        <w:rPr>
          <w:szCs w:val="26"/>
        </w:rPr>
        <w:t>(</w:t>
      </w:r>
      <w:r w:rsidR="00DD1EA2" w:rsidRPr="00645536">
        <w:rPr>
          <w:i/>
          <w:iCs/>
          <w:szCs w:val="26"/>
        </w:rPr>
        <w:t>Kisor</w:t>
      </w:r>
      <w:r w:rsidR="00DD1EA2" w:rsidRPr="00645536">
        <w:rPr>
          <w:szCs w:val="26"/>
        </w:rPr>
        <w:t>)</w:t>
      </w:r>
      <w:r w:rsidR="00C35EE3" w:rsidRPr="00645536">
        <w:rPr>
          <w:szCs w:val="26"/>
        </w:rPr>
        <w:t>,</w:t>
      </w:r>
      <w:r w:rsidR="00DD1EA2" w:rsidRPr="00645536">
        <w:rPr>
          <w:i/>
          <w:iCs/>
          <w:szCs w:val="26"/>
        </w:rPr>
        <w:t xml:space="preserve"> </w:t>
      </w:r>
      <w:r w:rsidR="00261BC8" w:rsidRPr="00645536">
        <w:rPr>
          <w:szCs w:val="26"/>
        </w:rPr>
        <w:t xml:space="preserve">the </w:t>
      </w:r>
      <w:r w:rsidR="009A6A2B" w:rsidRPr="00645536">
        <w:rPr>
          <w:szCs w:val="26"/>
        </w:rPr>
        <w:t xml:space="preserve">FTC’s interpretation </w:t>
      </w:r>
      <w:r w:rsidR="00357880" w:rsidRPr="00645536">
        <w:rPr>
          <w:szCs w:val="26"/>
        </w:rPr>
        <w:t>does</w:t>
      </w:r>
      <w:r w:rsidR="00F31D10" w:rsidRPr="00645536">
        <w:rPr>
          <w:szCs w:val="26"/>
        </w:rPr>
        <w:t xml:space="preserve"> not warrant</w:t>
      </w:r>
      <w:r w:rsidR="009A6A2B" w:rsidRPr="00645536">
        <w:rPr>
          <w:szCs w:val="26"/>
        </w:rPr>
        <w:t xml:space="preserve"> deference.</w:t>
      </w:r>
      <w:r w:rsidR="003F430F">
        <w:rPr>
          <w:szCs w:val="26"/>
        </w:rPr>
        <w:t xml:space="preserve">  </w:t>
      </w:r>
    </w:p>
    <w:p w14:paraId="14B4ADC6" w14:textId="04FC97B8" w:rsidR="00F9172E" w:rsidRPr="00645536" w:rsidRDefault="00777B74" w:rsidP="00645536">
      <w:pPr>
        <w:ind w:firstLine="720"/>
        <w:rPr>
          <w:szCs w:val="26"/>
        </w:rPr>
      </w:pPr>
      <w:r>
        <w:rPr>
          <w:szCs w:val="26"/>
        </w:rPr>
        <w:t xml:space="preserve">We must exhaust “all the standard tools of interpretation” </w:t>
      </w:r>
      <w:r w:rsidR="00B00644">
        <w:rPr>
          <w:szCs w:val="26"/>
        </w:rPr>
        <w:t xml:space="preserve">to determine if a regulation is “genuinely ambiguous” </w:t>
      </w:r>
      <w:r>
        <w:rPr>
          <w:szCs w:val="26"/>
        </w:rPr>
        <w:t xml:space="preserve">before considering </w:t>
      </w:r>
      <w:r w:rsidR="00B00644">
        <w:rPr>
          <w:szCs w:val="26"/>
        </w:rPr>
        <w:t xml:space="preserve">deference to an </w:t>
      </w:r>
      <w:r>
        <w:rPr>
          <w:szCs w:val="26"/>
        </w:rPr>
        <w:t>agency’s own interpretation of its regulation.  (</w:t>
      </w:r>
      <w:r w:rsidRPr="00D10443">
        <w:rPr>
          <w:i/>
          <w:iCs/>
          <w:szCs w:val="26"/>
        </w:rPr>
        <w:t>Kisor</w:t>
      </w:r>
      <w:r w:rsidRPr="00D10443">
        <w:rPr>
          <w:szCs w:val="26"/>
        </w:rPr>
        <w:t xml:space="preserve">, </w:t>
      </w:r>
      <w:r w:rsidRPr="00D10443">
        <w:rPr>
          <w:i/>
          <w:iCs/>
          <w:szCs w:val="26"/>
        </w:rPr>
        <w:t>supra</w:t>
      </w:r>
      <w:r w:rsidRPr="00D10443">
        <w:rPr>
          <w:szCs w:val="26"/>
        </w:rPr>
        <w:t>,</w:t>
      </w:r>
      <w:r>
        <w:rPr>
          <w:szCs w:val="26"/>
        </w:rPr>
        <w:t xml:space="preserve"> 588 U.S. at p. __ [</w:t>
      </w:r>
      <w:r w:rsidRPr="00D10443">
        <w:rPr>
          <w:szCs w:val="26"/>
        </w:rPr>
        <w:t>139 S.Ct. at p. 2414</w:t>
      </w:r>
      <w:r>
        <w:rPr>
          <w:szCs w:val="26"/>
        </w:rPr>
        <w:t>]</w:t>
      </w:r>
      <w:r w:rsidRPr="00D10443">
        <w:rPr>
          <w:szCs w:val="26"/>
        </w:rPr>
        <w:t>.)</w:t>
      </w:r>
      <w:r>
        <w:rPr>
          <w:szCs w:val="26"/>
        </w:rPr>
        <w:t xml:space="preserve">  </w:t>
      </w:r>
      <w:r w:rsidR="00B3591D">
        <w:rPr>
          <w:szCs w:val="26"/>
        </w:rPr>
        <w:t xml:space="preserve">As explained </w:t>
      </w:r>
      <w:r w:rsidR="00C62766">
        <w:rPr>
          <w:szCs w:val="26"/>
        </w:rPr>
        <w:t xml:space="preserve">below, we find </w:t>
      </w:r>
      <w:r w:rsidR="00B3591D">
        <w:rPr>
          <w:szCs w:val="26"/>
        </w:rPr>
        <w:t xml:space="preserve">that </w:t>
      </w:r>
      <w:r w:rsidR="00C62766">
        <w:rPr>
          <w:szCs w:val="26"/>
        </w:rPr>
        <w:t>t</w:t>
      </w:r>
      <w:r w:rsidR="00B72B71">
        <w:rPr>
          <w:szCs w:val="26"/>
        </w:rPr>
        <w:t>he most persuasive reading of the Rule</w:t>
      </w:r>
      <w:r w:rsidR="00F426B0">
        <w:rPr>
          <w:szCs w:val="26"/>
        </w:rPr>
        <w:t xml:space="preserve">, in light of its history and purpose, is that its </w:t>
      </w:r>
      <w:r w:rsidR="00BC51CF" w:rsidRPr="00645536">
        <w:rPr>
          <w:szCs w:val="26"/>
        </w:rPr>
        <w:t xml:space="preserve">cap on </w:t>
      </w:r>
      <w:r w:rsidR="00B46AED">
        <w:rPr>
          <w:szCs w:val="26"/>
        </w:rPr>
        <w:t>“</w:t>
      </w:r>
      <w:r w:rsidR="00BC51CF" w:rsidRPr="00645536">
        <w:rPr>
          <w:szCs w:val="26"/>
        </w:rPr>
        <w:t xml:space="preserve">recovery </w:t>
      </w:r>
      <w:r w:rsidR="00B46AED">
        <w:rPr>
          <w:szCs w:val="26"/>
        </w:rPr>
        <w:t xml:space="preserve">hereunder” </w:t>
      </w:r>
      <w:r w:rsidR="00BC51CF" w:rsidRPr="00645536">
        <w:rPr>
          <w:szCs w:val="26"/>
        </w:rPr>
        <w:t>does not include attorney’s fees</w:t>
      </w:r>
      <w:r w:rsidR="00C05027">
        <w:rPr>
          <w:szCs w:val="26"/>
        </w:rPr>
        <w:t xml:space="preserve"> </w:t>
      </w:r>
      <w:r w:rsidR="00B3591D">
        <w:rPr>
          <w:szCs w:val="26"/>
        </w:rPr>
        <w:t xml:space="preserve">for which </w:t>
      </w:r>
      <w:r w:rsidR="009F7DA9">
        <w:rPr>
          <w:szCs w:val="26"/>
        </w:rPr>
        <w:t xml:space="preserve">a holder </w:t>
      </w:r>
      <w:r w:rsidR="00B3591D">
        <w:rPr>
          <w:szCs w:val="26"/>
        </w:rPr>
        <w:t xml:space="preserve">may be liable </w:t>
      </w:r>
      <w:r w:rsidR="00C05027">
        <w:rPr>
          <w:szCs w:val="26"/>
        </w:rPr>
        <w:t>under state law</w:t>
      </w:r>
      <w:r w:rsidR="00047E25">
        <w:rPr>
          <w:szCs w:val="26"/>
        </w:rPr>
        <w:t xml:space="preserve">, as long as the existence of such liability is not due to the </w:t>
      </w:r>
      <w:r w:rsidR="002039D1">
        <w:rPr>
          <w:szCs w:val="26"/>
        </w:rPr>
        <w:t xml:space="preserve">Holder Rule extending the </w:t>
      </w:r>
      <w:r w:rsidR="00047E25">
        <w:rPr>
          <w:szCs w:val="26"/>
        </w:rPr>
        <w:t>seller’s liability for attorney’s fees to the holder</w:t>
      </w:r>
      <w:r w:rsidR="00A37F15" w:rsidRPr="00645536">
        <w:rPr>
          <w:szCs w:val="26"/>
        </w:rPr>
        <w:t>.</w:t>
      </w:r>
      <w:r w:rsidR="00BC51CF" w:rsidRPr="00645536">
        <w:rPr>
          <w:szCs w:val="26"/>
        </w:rPr>
        <w:t xml:space="preserve">  </w:t>
      </w:r>
      <w:r w:rsidR="00B3591D">
        <w:rPr>
          <w:szCs w:val="26"/>
        </w:rPr>
        <w:t xml:space="preserve">And </w:t>
      </w:r>
      <w:r w:rsidR="006D4E8C">
        <w:rPr>
          <w:szCs w:val="26"/>
        </w:rPr>
        <w:t xml:space="preserve">we need not </w:t>
      </w:r>
      <w:r w:rsidR="00E45AA9">
        <w:rPr>
          <w:szCs w:val="26"/>
        </w:rPr>
        <w:t>decide</w:t>
      </w:r>
      <w:r w:rsidR="006D4E8C">
        <w:rPr>
          <w:szCs w:val="26"/>
        </w:rPr>
        <w:t xml:space="preserve"> whether</w:t>
      </w:r>
      <w:r w:rsidR="0024143C">
        <w:rPr>
          <w:szCs w:val="26"/>
        </w:rPr>
        <w:t xml:space="preserve"> </w:t>
      </w:r>
      <w:r w:rsidR="0024143C" w:rsidRPr="00645536">
        <w:rPr>
          <w:szCs w:val="26"/>
        </w:rPr>
        <w:t xml:space="preserve">the FTC’s </w:t>
      </w:r>
      <w:r w:rsidR="00477641">
        <w:rPr>
          <w:szCs w:val="26"/>
        </w:rPr>
        <w:t xml:space="preserve">interpretation in the </w:t>
      </w:r>
      <w:r w:rsidR="0024143C" w:rsidRPr="00645536">
        <w:rPr>
          <w:szCs w:val="26"/>
        </w:rPr>
        <w:t>Rule Confirmation is entitled to deference</w:t>
      </w:r>
      <w:r w:rsidR="0024143C">
        <w:rPr>
          <w:szCs w:val="26"/>
        </w:rPr>
        <w:t xml:space="preserve"> because</w:t>
      </w:r>
      <w:r w:rsidR="007708E0">
        <w:rPr>
          <w:szCs w:val="26"/>
        </w:rPr>
        <w:t xml:space="preserve"> </w:t>
      </w:r>
      <w:r w:rsidR="00B3591D">
        <w:rPr>
          <w:szCs w:val="26"/>
        </w:rPr>
        <w:t xml:space="preserve">the FTC’s statements on the topic are consistent with </w:t>
      </w:r>
      <w:r w:rsidR="00D90D39">
        <w:rPr>
          <w:szCs w:val="26"/>
        </w:rPr>
        <w:t xml:space="preserve">our </w:t>
      </w:r>
      <w:r w:rsidR="00525BE5">
        <w:rPr>
          <w:szCs w:val="26"/>
        </w:rPr>
        <w:t>interpretation</w:t>
      </w:r>
      <w:r w:rsidR="00E055F6" w:rsidRPr="00645536">
        <w:rPr>
          <w:szCs w:val="26"/>
        </w:rPr>
        <w:t xml:space="preserve">. </w:t>
      </w:r>
    </w:p>
    <w:p w14:paraId="17D4B0ED" w14:textId="2D7B1268" w:rsidR="006A48E6" w:rsidRPr="00645536" w:rsidRDefault="00EC2C1E" w:rsidP="00D041ED">
      <w:pPr>
        <w:keepNext/>
        <w:tabs>
          <w:tab w:val="left" w:pos="1440"/>
        </w:tabs>
        <w:jc w:val="center"/>
        <w:rPr>
          <w:b/>
          <w:bCs/>
          <w:szCs w:val="26"/>
        </w:rPr>
      </w:pPr>
      <w:r w:rsidRPr="00645536">
        <w:rPr>
          <w:b/>
          <w:bCs/>
          <w:szCs w:val="26"/>
        </w:rPr>
        <w:t>A.</w:t>
      </w:r>
    </w:p>
    <w:p w14:paraId="557D2A6D" w14:textId="3D73C86F" w:rsidR="00CF6426" w:rsidRDefault="00161A43" w:rsidP="00CF6426">
      <w:pPr>
        <w:ind w:firstLine="720"/>
        <w:rPr>
          <w:szCs w:val="26"/>
        </w:rPr>
      </w:pPr>
      <w:r w:rsidRPr="00645536">
        <w:rPr>
          <w:szCs w:val="26"/>
        </w:rPr>
        <w:t>We begin with the text</w:t>
      </w:r>
      <w:r w:rsidR="00450BD9" w:rsidRPr="00645536">
        <w:rPr>
          <w:szCs w:val="26"/>
        </w:rPr>
        <w:t xml:space="preserve"> of the </w:t>
      </w:r>
      <w:r w:rsidR="002A62B1">
        <w:rPr>
          <w:szCs w:val="26"/>
        </w:rPr>
        <w:t xml:space="preserve">Holder </w:t>
      </w:r>
      <w:r w:rsidR="00450BD9" w:rsidRPr="00645536">
        <w:rPr>
          <w:szCs w:val="26"/>
        </w:rPr>
        <w:t>Rule</w:t>
      </w:r>
      <w:r w:rsidRPr="00645536">
        <w:rPr>
          <w:szCs w:val="26"/>
        </w:rPr>
        <w:t xml:space="preserve">.  </w:t>
      </w:r>
      <w:r w:rsidR="00CF6426">
        <w:rPr>
          <w:szCs w:val="26"/>
        </w:rPr>
        <w:t>“ ‘ “</w:t>
      </w:r>
      <w:r w:rsidR="00CF6426" w:rsidRPr="00FF09C6">
        <w:rPr>
          <w:szCs w:val="26"/>
        </w:rPr>
        <w:t xml:space="preserve">We interpret relevant terms in light of their ordinary meaning, while also taking account of any related provisions and the overall structure of the </w:t>
      </w:r>
      <w:r w:rsidR="00B01A3D">
        <w:rPr>
          <w:szCs w:val="26"/>
        </w:rPr>
        <w:t>statutory</w:t>
      </w:r>
      <w:r w:rsidR="00CF6426" w:rsidRPr="00FF09C6">
        <w:rPr>
          <w:szCs w:val="26"/>
        </w:rPr>
        <w:t xml:space="preserve"> scheme to determine what interpretation best advances the</w:t>
      </w:r>
      <w:r w:rsidR="00EB3917">
        <w:rPr>
          <w:szCs w:val="26"/>
        </w:rPr>
        <w:t xml:space="preserve"> Legislature’s</w:t>
      </w:r>
      <w:r w:rsidR="00C34FCA">
        <w:rPr>
          <w:szCs w:val="26"/>
        </w:rPr>
        <w:t xml:space="preserve"> </w:t>
      </w:r>
      <w:r w:rsidR="00CF6426" w:rsidRPr="00FF09C6">
        <w:rPr>
          <w:szCs w:val="26"/>
        </w:rPr>
        <w:t xml:space="preserve">underlying purpose.” ’  [Citation.]  </w:t>
      </w:r>
      <w:r w:rsidR="00E17157">
        <w:rPr>
          <w:szCs w:val="26"/>
        </w:rPr>
        <w:t>‘</w:t>
      </w:r>
      <w:r w:rsidR="00CF6426" w:rsidRPr="00FF09C6">
        <w:rPr>
          <w:szCs w:val="26"/>
        </w:rPr>
        <w:t xml:space="preserve">If we find the </w:t>
      </w:r>
      <w:r w:rsidR="00DA7B7D">
        <w:rPr>
          <w:szCs w:val="26"/>
        </w:rPr>
        <w:t xml:space="preserve">statutory </w:t>
      </w:r>
      <w:r w:rsidR="00CF6426" w:rsidRPr="00FF09C6">
        <w:rPr>
          <w:szCs w:val="26"/>
        </w:rPr>
        <w:t>language ambiguous or subject to more than one interpretation, we may look to extrinsic aids, including</w:t>
      </w:r>
      <w:r w:rsidR="00F4165F">
        <w:rPr>
          <w:szCs w:val="26"/>
        </w:rPr>
        <w:t xml:space="preserve"> legislative</w:t>
      </w:r>
      <w:r w:rsidR="00E1464E">
        <w:rPr>
          <w:szCs w:val="26"/>
        </w:rPr>
        <w:t xml:space="preserve"> </w:t>
      </w:r>
      <w:r w:rsidR="00CF6426" w:rsidRPr="00FF09C6">
        <w:rPr>
          <w:szCs w:val="26"/>
        </w:rPr>
        <w:t>history or purpose to inform our views.’ ”  (</w:t>
      </w:r>
      <w:r w:rsidR="00CF6426" w:rsidRPr="00FF09C6">
        <w:rPr>
          <w:i/>
          <w:iCs/>
          <w:szCs w:val="26"/>
        </w:rPr>
        <w:t xml:space="preserve">In re A.N. </w:t>
      </w:r>
      <w:r w:rsidR="00CF6426" w:rsidRPr="00FF09C6">
        <w:rPr>
          <w:szCs w:val="26"/>
        </w:rPr>
        <w:t>(2020) 9 Cal.5th 343, 351</w:t>
      </w:r>
      <w:r w:rsidR="00044D5A">
        <w:rPr>
          <w:szCs w:val="26"/>
        </w:rPr>
        <w:t>–352</w:t>
      </w:r>
      <w:r w:rsidR="00CF6426">
        <w:rPr>
          <w:szCs w:val="26"/>
        </w:rPr>
        <w:t>.</w:t>
      </w:r>
      <w:r w:rsidR="00CF6426" w:rsidRPr="00FF09C6">
        <w:rPr>
          <w:szCs w:val="26"/>
        </w:rPr>
        <w:t xml:space="preserve">) </w:t>
      </w:r>
      <w:r w:rsidR="00A66F8B">
        <w:rPr>
          <w:szCs w:val="26"/>
        </w:rPr>
        <w:t xml:space="preserve"> W</w:t>
      </w:r>
      <w:r w:rsidR="00A66F8B" w:rsidRPr="00FF09C6">
        <w:rPr>
          <w:szCs w:val="26"/>
        </w:rPr>
        <w:t>e “ ‘must construe [</w:t>
      </w:r>
      <w:r w:rsidR="00A66F8B">
        <w:rPr>
          <w:szCs w:val="26"/>
        </w:rPr>
        <w:t>remedial provisions</w:t>
      </w:r>
      <w:r w:rsidR="00A66F8B" w:rsidRPr="00FF09C6">
        <w:rPr>
          <w:szCs w:val="26"/>
        </w:rPr>
        <w:t>] broadly, not . . . restrictively’ ”</w:t>
      </w:r>
      <w:r w:rsidR="00A66F8B">
        <w:rPr>
          <w:szCs w:val="26"/>
        </w:rPr>
        <w:t xml:space="preserve"> (</w:t>
      </w:r>
      <w:r w:rsidR="00A66F8B" w:rsidRPr="00FF09C6">
        <w:rPr>
          <w:i/>
          <w:iCs/>
          <w:szCs w:val="26"/>
        </w:rPr>
        <w:t>Kelly v. Methodist Hospital of So</w:t>
      </w:r>
      <w:r w:rsidR="005916BC">
        <w:rPr>
          <w:i/>
          <w:iCs/>
          <w:szCs w:val="26"/>
        </w:rPr>
        <w:t>.</w:t>
      </w:r>
      <w:r w:rsidR="00A66F8B" w:rsidRPr="00FF09C6">
        <w:rPr>
          <w:i/>
          <w:iCs/>
          <w:szCs w:val="26"/>
        </w:rPr>
        <w:t xml:space="preserve"> Cal</w:t>
      </w:r>
      <w:r w:rsidR="005916BC">
        <w:rPr>
          <w:i/>
          <w:iCs/>
          <w:szCs w:val="26"/>
        </w:rPr>
        <w:t>ifornia</w:t>
      </w:r>
      <w:r w:rsidR="00A66F8B" w:rsidRPr="00FF09C6">
        <w:rPr>
          <w:szCs w:val="26"/>
        </w:rPr>
        <w:t xml:space="preserve"> (2000) 22 Cal.4th 1108, 1114</w:t>
      </w:r>
      <w:r w:rsidR="00A66F8B">
        <w:rPr>
          <w:szCs w:val="26"/>
        </w:rPr>
        <w:t>)</w:t>
      </w:r>
      <w:r w:rsidR="00E4614D">
        <w:rPr>
          <w:szCs w:val="26"/>
        </w:rPr>
        <w:t>, “ ‘so as to afford all the relief’</w:t>
      </w:r>
      <w:r w:rsidR="00483F3B">
        <w:rPr>
          <w:szCs w:val="26"/>
        </w:rPr>
        <w:t xml:space="preserve"> that their ‘language . . . indicates . . . the</w:t>
      </w:r>
      <w:r w:rsidR="00F4165F">
        <w:rPr>
          <w:szCs w:val="26"/>
        </w:rPr>
        <w:t xml:space="preserve"> Legislature</w:t>
      </w:r>
      <w:r w:rsidR="00483F3B">
        <w:rPr>
          <w:szCs w:val="26"/>
        </w:rPr>
        <w:t xml:space="preserve"> intended to grant’ ”</w:t>
      </w:r>
      <w:r w:rsidR="003C6D64">
        <w:rPr>
          <w:szCs w:val="26"/>
        </w:rPr>
        <w:t xml:space="preserve"> (</w:t>
      </w:r>
      <w:r w:rsidR="003C6D64" w:rsidRPr="00FF09C6">
        <w:rPr>
          <w:i/>
          <w:iCs/>
          <w:szCs w:val="26"/>
        </w:rPr>
        <w:t xml:space="preserve">Skidgel v. California Unemployment Ins. Appeals Bd. </w:t>
      </w:r>
      <w:r w:rsidR="003C6D64" w:rsidRPr="00FF09C6">
        <w:rPr>
          <w:szCs w:val="26"/>
        </w:rPr>
        <w:t>(2021) 12 Cal.5th 1, 23</w:t>
      </w:r>
      <w:r w:rsidR="003C6D64">
        <w:rPr>
          <w:szCs w:val="26"/>
        </w:rPr>
        <w:t xml:space="preserve">).  </w:t>
      </w:r>
      <w:r w:rsidR="00F4165F">
        <w:rPr>
          <w:szCs w:val="26"/>
        </w:rPr>
        <w:t xml:space="preserve">(See </w:t>
      </w:r>
      <w:r w:rsidR="00913CD7" w:rsidRPr="00D10443">
        <w:rPr>
          <w:i/>
          <w:iCs/>
          <w:szCs w:val="26"/>
        </w:rPr>
        <w:t>Kisor</w:t>
      </w:r>
      <w:r w:rsidR="00913CD7" w:rsidRPr="00D10443">
        <w:rPr>
          <w:szCs w:val="26"/>
        </w:rPr>
        <w:t xml:space="preserve">, </w:t>
      </w:r>
      <w:r w:rsidR="00913CD7" w:rsidRPr="00D10443">
        <w:rPr>
          <w:i/>
          <w:iCs/>
          <w:szCs w:val="26"/>
        </w:rPr>
        <w:t>supra</w:t>
      </w:r>
      <w:r w:rsidR="00913CD7" w:rsidRPr="00D10443">
        <w:rPr>
          <w:szCs w:val="26"/>
        </w:rPr>
        <w:t>,</w:t>
      </w:r>
      <w:r w:rsidR="00913CD7">
        <w:rPr>
          <w:szCs w:val="26"/>
        </w:rPr>
        <w:t xml:space="preserve"> 588 U.S. at p. __ [</w:t>
      </w:r>
      <w:r w:rsidR="00913CD7" w:rsidRPr="00D10443">
        <w:rPr>
          <w:szCs w:val="26"/>
        </w:rPr>
        <w:t>139 S.Ct. at p. 241</w:t>
      </w:r>
      <w:r w:rsidR="009B5DEF">
        <w:rPr>
          <w:szCs w:val="26"/>
        </w:rPr>
        <w:t>5</w:t>
      </w:r>
      <w:r w:rsidR="00913CD7">
        <w:rPr>
          <w:szCs w:val="26"/>
        </w:rPr>
        <w:t>]</w:t>
      </w:r>
      <w:r w:rsidR="009B5DEF">
        <w:rPr>
          <w:szCs w:val="26"/>
        </w:rPr>
        <w:t xml:space="preserve"> [</w:t>
      </w:r>
      <w:r w:rsidR="00B9536A">
        <w:rPr>
          <w:szCs w:val="26"/>
        </w:rPr>
        <w:t>court</w:t>
      </w:r>
      <w:r w:rsidR="002C49E2">
        <w:rPr>
          <w:szCs w:val="26"/>
        </w:rPr>
        <w:t>s</w:t>
      </w:r>
      <w:r w:rsidR="00B9536A">
        <w:rPr>
          <w:szCs w:val="26"/>
        </w:rPr>
        <w:t xml:space="preserve"> interpreting agency regulation</w:t>
      </w:r>
      <w:r w:rsidR="002C49E2">
        <w:rPr>
          <w:szCs w:val="26"/>
        </w:rPr>
        <w:t>s</w:t>
      </w:r>
      <w:r w:rsidR="00B9536A">
        <w:rPr>
          <w:szCs w:val="26"/>
        </w:rPr>
        <w:t xml:space="preserve"> take the </w:t>
      </w:r>
      <w:r w:rsidR="0050551A">
        <w:rPr>
          <w:szCs w:val="26"/>
        </w:rPr>
        <w:t>“</w:t>
      </w:r>
      <w:r w:rsidR="00592078">
        <w:rPr>
          <w:szCs w:val="26"/>
        </w:rPr>
        <w:t> ‘</w:t>
      </w:r>
      <w:r w:rsidR="0050551A">
        <w:rPr>
          <w:szCs w:val="26"/>
        </w:rPr>
        <w:t>traditional</w:t>
      </w:r>
      <w:r w:rsidR="00592078">
        <w:rPr>
          <w:szCs w:val="26"/>
        </w:rPr>
        <w:t>’ </w:t>
      </w:r>
      <w:r w:rsidR="0050551A">
        <w:rPr>
          <w:szCs w:val="26"/>
        </w:rPr>
        <w:t xml:space="preserve">” approach </w:t>
      </w:r>
      <w:r w:rsidR="00824C31">
        <w:rPr>
          <w:szCs w:val="26"/>
        </w:rPr>
        <w:t>of “</w:t>
      </w:r>
      <w:r w:rsidR="00BE1372">
        <w:rPr>
          <w:szCs w:val="26"/>
        </w:rPr>
        <w:t> ‘</w:t>
      </w:r>
      <w:r w:rsidR="0062781F">
        <w:rPr>
          <w:szCs w:val="26"/>
        </w:rPr>
        <w:t xml:space="preserve">carefully </w:t>
      </w:r>
      <w:r w:rsidR="00BE1372">
        <w:rPr>
          <w:szCs w:val="26"/>
        </w:rPr>
        <w:t xml:space="preserve">consider[ing]’ the </w:t>
      </w:r>
      <w:r w:rsidR="007351DA">
        <w:rPr>
          <w:szCs w:val="26"/>
        </w:rPr>
        <w:t xml:space="preserve">[regulation’s] </w:t>
      </w:r>
      <w:r w:rsidR="00BE1372">
        <w:rPr>
          <w:szCs w:val="26"/>
        </w:rPr>
        <w:t>text, structure, history, and purpose”]</w:t>
      </w:r>
      <w:r w:rsidR="00913CD7" w:rsidRPr="00D10443">
        <w:rPr>
          <w:szCs w:val="26"/>
        </w:rPr>
        <w:t>.)</w:t>
      </w:r>
      <w:r w:rsidR="00913CD7">
        <w:rPr>
          <w:szCs w:val="26"/>
        </w:rPr>
        <w:t xml:space="preserve">  </w:t>
      </w:r>
    </w:p>
    <w:p w14:paraId="22CE2920" w14:textId="5A5013ED" w:rsidR="00D54C62" w:rsidRDefault="00E15D86" w:rsidP="00D54C62">
      <w:pPr>
        <w:ind w:firstLine="720"/>
        <w:rPr>
          <w:szCs w:val="26"/>
        </w:rPr>
      </w:pPr>
      <w:r w:rsidRPr="00645536">
        <w:rPr>
          <w:szCs w:val="26"/>
        </w:rPr>
        <w:t xml:space="preserve">The </w:t>
      </w:r>
      <w:r w:rsidR="00450BD9" w:rsidRPr="00645536">
        <w:rPr>
          <w:szCs w:val="26"/>
        </w:rPr>
        <w:t>N</w:t>
      </w:r>
      <w:r w:rsidRPr="00645536">
        <w:rPr>
          <w:szCs w:val="26"/>
        </w:rPr>
        <w:t>otice require</w:t>
      </w:r>
      <w:r w:rsidR="00161A43" w:rsidRPr="00645536">
        <w:rPr>
          <w:szCs w:val="26"/>
        </w:rPr>
        <w:t>d</w:t>
      </w:r>
      <w:r w:rsidRPr="00645536">
        <w:rPr>
          <w:szCs w:val="26"/>
        </w:rPr>
        <w:t xml:space="preserve"> </w:t>
      </w:r>
      <w:r w:rsidR="00161A43" w:rsidRPr="00645536">
        <w:rPr>
          <w:szCs w:val="26"/>
        </w:rPr>
        <w:t xml:space="preserve">by the Rule </w:t>
      </w:r>
      <w:r w:rsidR="00AA07D9" w:rsidRPr="00645536">
        <w:rPr>
          <w:szCs w:val="26"/>
        </w:rPr>
        <w:t>provides:  “</w:t>
      </w:r>
      <w:r w:rsidR="00A64D01" w:rsidRPr="00645536">
        <w:rPr>
          <w:szCs w:val="26"/>
        </w:rPr>
        <w:t>Any holder of this consumer credit contract is subject to all claims and defenses which the debtor could assert against the seller of goods or services obtained pursuant hereto or with the proceeds hereof.  Recovery hereunder by the debtor shall not exceed amounts paid by the debtor hereunder.”  (16 C.F.R. § 433.2(a)</w:t>
      </w:r>
      <w:r w:rsidR="00FC79CC">
        <w:rPr>
          <w:szCs w:val="26"/>
        </w:rPr>
        <w:t xml:space="preserve"> (1975)</w:t>
      </w:r>
      <w:r w:rsidR="00A64D01" w:rsidRPr="00645536">
        <w:rPr>
          <w:szCs w:val="26"/>
        </w:rPr>
        <w:t xml:space="preserve">.)  </w:t>
      </w:r>
      <w:r w:rsidR="00055B1A" w:rsidRPr="00645536">
        <w:rPr>
          <w:szCs w:val="26"/>
        </w:rPr>
        <w:t xml:space="preserve">The question is </w:t>
      </w:r>
      <w:r w:rsidR="003236F6">
        <w:rPr>
          <w:szCs w:val="26"/>
        </w:rPr>
        <w:t xml:space="preserve">under what circumstances, if any, </w:t>
      </w:r>
      <w:r w:rsidR="00055B1A" w:rsidRPr="00645536">
        <w:rPr>
          <w:szCs w:val="26"/>
        </w:rPr>
        <w:t xml:space="preserve">“recovery </w:t>
      </w:r>
      <w:r w:rsidR="00055B1A">
        <w:rPr>
          <w:szCs w:val="26"/>
        </w:rPr>
        <w:t>hereunder by the debtor</w:t>
      </w:r>
      <w:r w:rsidR="00055B1A" w:rsidRPr="00645536">
        <w:rPr>
          <w:szCs w:val="26"/>
        </w:rPr>
        <w:t>” includes attorney’s fees</w:t>
      </w:r>
      <w:r w:rsidR="00055B1A">
        <w:rPr>
          <w:szCs w:val="26"/>
        </w:rPr>
        <w:t xml:space="preserve"> sought </w:t>
      </w:r>
      <w:r w:rsidR="00A5000C">
        <w:rPr>
          <w:szCs w:val="26"/>
        </w:rPr>
        <w:t xml:space="preserve">by a debtor </w:t>
      </w:r>
      <w:r w:rsidR="00055B1A">
        <w:rPr>
          <w:szCs w:val="26"/>
        </w:rPr>
        <w:t>from a holder</w:t>
      </w:r>
      <w:r w:rsidR="00055B1A" w:rsidRPr="00645536">
        <w:rPr>
          <w:szCs w:val="26"/>
        </w:rPr>
        <w:t>.</w:t>
      </w:r>
    </w:p>
    <w:p w14:paraId="428DF14F" w14:textId="137AE53D" w:rsidR="00BE0ED8" w:rsidRPr="00645536" w:rsidRDefault="00BE0ED8" w:rsidP="00201C08">
      <w:pPr>
        <w:ind w:firstLine="720"/>
        <w:rPr>
          <w:szCs w:val="26"/>
        </w:rPr>
      </w:pPr>
      <w:r w:rsidRPr="00645536">
        <w:rPr>
          <w:szCs w:val="26"/>
        </w:rPr>
        <w:t xml:space="preserve">In ordinary parlance, </w:t>
      </w:r>
      <w:r w:rsidR="00042032">
        <w:rPr>
          <w:szCs w:val="26"/>
        </w:rPr>
        <w:t xml:space="preserve">the </w:t>
      </w:r>
      <w:r w:rsidR="004B3944">
        <w:rPr>
          <w:szCs w:val="26"/>
        </w:rPr>
        <w:t xml:space="preserve">phrase “recovery hereunder by the debtor” </w:t>
      </w:r>
      <w:r w:rsidRPr="00645536">
        <w:rPr>
          <w:szCs w:val="26"/>
        </w:rPr>
        <w:t>might be interpreted to limit a consumer’s recovery for compensatory or consequential damages, i.e., the amount the debtor ultimately receives.  (See 40 Fed.Reg.</w:t>
      </w:r>
      <w:r w:rsidR="004D49DC">
        <w:rPr>
          <w:szCs w:val="26"/>
        </w:rPr>
        <w:t xml:space="preserve">, </w:t>
      </w:r>
      <w:r w:rsidR="004D49DC">
        <w:rPr>
          <w:i/>
          <w:iCs/>
          <w:szCs w:val="26"/>
        </w:rPr>
        <w:t>supra</w:t>
      </w:r>
      <w:r w:rsidR="004D49DC">
        <w:rPr>
          <w:szCs w:val="26"/>
        </w:rPr>
        <w:t>,</w:t>
      </w:r>
      <w:r w:rsidRPr="00645536">
        <w:rPr>
          <w:szCs w:val="26"/>
        </w:rPr>
        <w:t xml:space="preserve"> </w:t>
      </w:r>
      <w:r w:rsidR="004D49DC">
        <w:rPr>
          <w:szCs w:val="26"/>
        </w:rPr>
        <w:t xml:space="preserve">at p. </w:t>
      </w:r>
      <w:r w:rsidRPr="00645536">
        <w:rPr>
          <w:szCs w:val="26"/>
        </w:rPr>
        <w:t>53526 [“While the wording of the notice is legalistic, we believe that it will be understood by most consumers.”].)  Attorney’s fees would not be considered part of a consumer’s recovery because any fees collected end up not with the consumer but with the consumer’s attorney.  This interpretation has particular salience in the consumer fraud context where contingency fees are commonplace.  When plaintiffs represented under contingency arrangements recover attorney’s fees based on fee-shifting provisions, they are not recouping an amount they have already paid to their attorneys; instead, they are being awarded fees that “belong to the attorneys who labored to earn them.”  (</w:t>
      </w:r>
      <w:r w:rsidRPr="00645536">
        <w:rPr>
          <w:i/>
          <w:iCs/>
          <w:szCs w:val="26"/>
        </w:rPr>
        <w:t xml:space="preserve">Flannery v. Prentice </w:t>
      </w:r>
      <w:r w:rsidRPr="00645536">
        <w:rPr>
          <w:szCs w:val="26"/>
        </w:rPr>
        <w:t>(2001) 26 Cal.4th 572, 575.)</w:t>
      </w:r>
    </w:p>
    <w:p w14:paraId="78ED15DF" w14:textId="165A38A0" w:rsidR="005636B4" w:rsidRDefault="00BE0ED8" w:rsidP="00A26ED4">
      <w:pPr>
        <w:ind w:firstLine="720"/>
        <w:rPr>
          <w:szCs w:val="26"/>
        </w:rPr>
      </w:pPr>
      <w:r w:rsidRPr="00645536">
        <w:rPr>
          <w:szCs w:val="26"/>
        </w:rPr>
        <w:t xml:space="preserve">At the same time, </w:t>
      </w:r>
      <w:r w:rsidR="00FC231C">
        <w:rPr>
          <w:szCs w:val="26"/>
        </w:rPr>
        <w:t>“recovery hereunder by the debtor”</w:t>
      </w:r>
      <w:r w:rsidR="008230FB">
        <w:rPr>
          <w:szCs w:val="26"/>
        </w:rPr>
        <w:t xml:space="preserve"> </w:t>
      </w:r>
      <w:r w:rsidRPr="00645536">
        <w:rPr>
          <w:szCs w:val="26"/>
        </w:rPr>
        <w:t xml:space="preserve">could mean any money a debtor receives, even if the money does not come to rest with the debtor.  </w:t>
      </w:r>
      <w:r w:rsidR="005636B4">
        <w:rPr>
          <w:szCs w:val="26"/>
        </w:rPr>
        <w:t xml:space="preserve">TDAF contends that </w:t>
      </w:r>
      <w:r w:rsidR="005636B4" w:rsidRPr="00645536">
        <w:rPr>
          <w:szCs w:val="26"/>
        </w:rPr>
        <w:t xml:space="preserve">“[c]ommon usage by courts and in statutes confirms that ‘recovery’ means all ‘recoverable litigation costs,’ and that ‘recoverable litigation costs do include attorney fees.’ ”  (Quoting </w:t>
      </w:r>
      <w:r w:rsidR="005636B4" w:rsidRPr="00645536">
        <w:rPr>
          <w:i/>
          <w:iCs/>
          <w:szCs w:val="26"/>
        </w:rPr>
        <w:t xml:space="preserve">Santisas v. Goodin </w:t>
      </w:r>
      <w:r w:rsidR="005636B4" w:rsidRPr="00645536">
        <w:rPr>
          <w:szCs w:val="26"/>
        </w:rPr>
        <w:t xml:space="preserve">(1998) 17 Cal.4th 599, 606.)  The Court of Appeal in </w:t>
      </w:r>
      <w:r w:rsidR="005636B4" w:rsidRPr="00645536">
        <w:rPr>
          <w:i/>
          <w:iCs/>
          <w:szCs w:val="26"/>
        </w:rPr>
        <w:t>Lafferty</w:t>
      </w:r>
      <w:r w:rsidR="005636B4" w:rsidRPr="00645536">
        <w:rPr>
          <w:szCs w:val="26"/>
        </w:rPr>
        <w:t xml:space="preserve"> similarly relied on the fact that “[c]ourts have used the term ‘recovery’ to include attorney fees and interest awarded as part of a judgment.”  (</w:t>
      </w:r>
      <w:r w:rsidR="005636B4" w:rsidRPr="00645536">
        <w:rPr>
          <w:i/>
          <w:iCs/>
          <w:szCs w:val="26"/>
        </w:rPr>
        <w:t>Lafferty</w:t>
      </w:r>
      <w:r w:rsidR="005636B4" w:rsidRPr="00645536">
        <w:rPr>
          <w:szCs w:val="26"/>
        </w:rPr>
        <w:t xml:space="preserve">, </w:t>
      </w:r>
      <w:r w:rsidR="005636B4" w:rsidRPr="00645536">
        <w:rPr>
          <w:i/>
          <w:iCs/>
          <w:szCs w:val="26"/>
        </w:rPr>
        <w:t>supra</w:t>
      </w:r>
      <w:r w:rsidR="005636B4" w:rsidRPr="00645536">
        <w:rPr>
          <w:szCs w:val="26"/>
        </w:rPr>
        <w:t>, 25 Cal.App.5th at p. 412.)  But we do not find instructive the use of the term “recovery” by courts in contexts where the meaning of the term was not at issue.</w:t>
      </w:r>
    </w:p>
    <w:p w14:paraId="7E7440B1" w14:textId="6FEAB77F" w:rsidR="000457B0" w:rsidRDefault="00BE0ED8" w:rsidP="00A26ED4">
      <w:pPr>
        <w:ind w:firstLine="720"/>
        <w:rPr>
          <w:szCs w:val="26"/>
        </w:rPr>
      </w:pPr>
      <w:r w:rsidRPr="00645536">
        <w:rPr>
          <w:szCs w:val="26"/>
        </w:rPr>
        <w:t xml:space="preserve">TDAF </w:t>
      </w:r>
      <w:r w:rsidR="005636B4">
        <w:rPr>
          <w:szCs w:val="26"/>
        </w:rPr>
        <w:t xml:space="preserve">also </w:t>
      </w:r>
      <w:r w:rsidRPr="00645536">
        <w:rPr>
          <w:szCs w:val="26"/>
        </w:rPr>
        <w:t xml:space="preserve">relies on the current version of Black’s Law Dictionary in arguing that the Notice’s language is unambiguous in limiting recovery of attorney’s fees to amounts paid under the contract.  Black’s Law Dictionary defines “recovery” as:  “1.  The regaining or restoration of something lost or taken away. . . .  2.  The obtainment of a right to something (esp. damages) by a judgment or decree. . . .  4.  An amount awarded in or collected from a judgment or decree.”  (Black’s Law Dict. (11th ed. 2019) p. 1528.)  </w:t>
      </w:r>
      <w:r w:rsidRPr="00645536">
        <w:t xml:space="preserve">Westlake Services, LLC (Westlake), appearing as amicus curiae, argues that the version of Black’s Law Dictionary contemporaneous to promulgation of the Rule should be used.  </w:t>
      </w:r>
      <w:r w:rsidRPr="00645536">
        <w:rPr>
          <w:szCs w:val="26"/>
        </w:rPr>
        <w:t>At that time, recovery was defined as:  “In its most extensive sense, the restoration or vindication of a right existing in a person, by the formal judgment or decree of a competent court, at his instance and suit, or the obtaining, by such judgment, of some right or property which has been taken or withheld from him.”  (Black’s Law Dict. (4th rev. ed. 1968) p. 1440.)</w:t>
      </w:r>
      <w:r w:rsidR="00A26ED4">
        <w:rPr>
          <w:szCs w:val="26"/>
        </w:rPr>
        <w:t xml:space="preserve">  </w:t>
      </w:r>
    </w:p>
    <w:p w14:paraId="2A377393" w14:textId="5D670602" w:rsidR="00F5586F" w:rsidRDefault="00BE0ED8" w:rsidP="00307FD9">
      <w:pPr>
        <w:ind w:firstLine="720"/>
        <w:rPr>
          <w:szCs w:val="26"/>
        </w:rPr>
      </w:pPr>
      <w:r w:rsidRPr="00645536">
        <w:rPr>
          <w:szCs w:val="26"/>
        </w:rPr>
        <w:t xml:space="preserve">Neither of these definitions conclusively answers our inquiry.  Attorney’s fees are </w:t>
      </w:r>
      <w:r w:rsidR="00167F37">
        <w:rPr>
          <w:szCs w:val="26"/>
        </w:rPr>
        <w:t xml:space="preserve">more </w:t>
      </w:r>
      <w:r w:rsidRPr="00645536">
        <w:rPr>
          <w:szCs w:val="26"/>
        </w:rPr>
        <w:t xml:space="preserve">naturally characterized as </w:t>
      </w:r>
      <w:r w:rsidR="00167F37" w:rsidRPr="00645536">
        <w:rPr>
          <w:szCs w:val="26"/>
        </w:rPr>
        <w:t xml:space="preserve">something earned or awarded after a party prevails </w:t>
      </w:r>
      <w:r w:rsidR="002752F1">
        <w:rPr>
          <w:szCs w:val="26"/>
        </w:rPr>
        <w:t xml:space="preserve">in an action </w:t>
      </w:r>
      <w:r w:rsidR="00167F37">
        <w:rPr>
          <w:szCs w:val="26"/>
        </w:rPr>
        <w:t xml:space="preserve">than as </w:t>
      </w:r>
      <w:r w:rsidRPr="00645536">
        <w:rPr>
          <w:szCs w:val="26"/>
        </w:rPr>
        <w:t>a right or property “which has been taken or withheld</w:t>
      </w:r>
      <w:r w:rsidR="00167F37">
        <w:rPr>
          <w:szCs w:val="26"/>
        </w:rPr>
        <w:t>.</w:t>
      </w:r>
      <w:r w:rsidRPr="00645536">
        <w:rPr>
          <w:szCs w:val="26"/>
        </w:rPr>
        <w:t>”</w:t>
      </w:r>
      <w:r w:rsidR="00454733" w:rsidRPr="00454733">
        <w:rPr>
          <w:szCs w:val="26"/>
        </w:rPr>
        <w:t xml:space="preserve"> </w:t>
      </w:r>
      <w:r w:rsidR="00167F37">
        <w:rPr>
          <w:szCs w:val="26"/>
        </w:rPr>
        <w:t xml:space="preserve"> </w:t>
      </w:r>
      <w:r w:rsidR="00454733" w:rsidRPr="00645536">
        <w:rPr>
          <w:szCs w:val="26"/>
        </w:rPr>
        <w:t>(Black’s Law Dict. (4th rev. ed. 1968) p. 1440</w:t>
      </w:r>
      <w:r w:rsidRPr="00645536">
        <w:rPr>
          <w:szCs w:val="26"/>
        </w:rPr>
        <w:t>.</w:t>
      </w:r>
      <w:r w:rsidR="00167F37">
        <w:rPr>
          <w:szCs w:val="26"/>
        </w:rPr>
        <w:t>)</w:t>
      </w:r>
      <w:r w:rsidRPr="00645536">
        <w:rPr>
          <w:szCs w:val="26"/>
        </w:rPr>
        <w:t xml:space="preserve">  </w:t>
      </w:r>
      <w:r w:rsidR="000457B0">
        <w:rPr>
          <w:szCs w:val="26"/>
        </w:rPr>
        <w:t>Moreover</w:t>
      </w:r>
      <w:r w:rsidRPr="00645536">
        <w:rPr>
          <w:szCs w:val="26"/>
        </w:rPr>
        <w:t xml:space="preserve">, the meaning of “recovery” in the context of the Holder Rule must be considered in light of the words that surround it.  </w:t>
      </w:r>
      <w:r w:rsidR="003A60FB">
        <w:rPr>
          <w:szCs w:val="26"/>
        </w:rPr>
        <w:t xml:space="preserve">The </w:t>
      </w:r>
      <w:r w:rsidR="002752F1">
        <w:rPr>
          <w:szCs w:val="26"/>
        </w:rPr>
        <w:t xml:space="preserve">question is </w:t>
      </w:r>
      <w:r w:rsidR="003A60FB">
        <w:rPr>
          <w:szCs w:val="26"/>
        </w:rPr>
        <w:t xml:space="preserve">whether the Holder Rule’s limitation on “recovery </w:t>
      </w:r>
      <w:r w:rsidR="003A60FB" w:rsidRPr="00341500">
        <w:rPr>
          <w:szCs w:val="26"/>
        </w:rPr>
        <w:t>hereunder</w:t>
      </w:r>
      <w:r w:rsidR="003A60FB">
        <w:rPr>
          <w:szCs w:val="26"/>
        </w:rPr>
        <w:t xml:space="preserve"> by the debtor” applies </w:t>
      </w:r>
      <w:r w:rsidR="00167F37">
        <w:rPr>
          <w:szCs w:val="26"/>
        </w:rPr>
        <w:t xml:space="preserve">to </w:t>
      </w:r>
      <w:r w:rsidR="003A60FB">
        <w:rPr>
          <w:szCs w:val="26"/>
        </w:rPr>
        <w:t xml:space="preserve">the circumstances </w:t>
      </w:r>
      <w:r w:rsidR="00167F37">
        <w:rPr>
          <w:szCs w:val="26"/>
        </w:rPr>
        <w:t>here</w:t>
      </w:r>
      <w:r w:rsidR="003A60FB">
        <w:rPr>
          <w:szCs w:val="26"/>
        </w:rPr>
        <w:t>.  (</w:t>
      </w:r>
      <w:r w:rsidR="003A60FB" w:rsidRPr="00645536">
        <w:rPr>
          <w:szCs w:val="26"/>
        </w:rPr>
        <w:t>16 C.F.R. § 433.2(a)</w:t>
      </w:r>
      <w:r w:rsidR="00FC79CC">
        <w:rPr>
          <w:szCs w:val="26"/>
        </w:rPr>
        <w:t xml:space="preserve"> (1975)</w:t>
      </w:r>
      <w:r w:rsidR="003A60FB">
        <w:rPr>
          <w:szCs w:val="26"/>
        </w:rPr>
        <w:t xml:space="preserve">.)  </w:t>
      </w:r>
      <w:r w:rsidR="00D712F5">
        <w:rPr>
          <w:szCs w:val="26"/>
        </w:rPr>
        <w:t>The fact that</w:t>
      </w:r>
      <w:r w:rsidRPr="00645536">
        <w:rPr>
          <w:szCs w:val="26"/>
        </w:rPr>
        <w:t xml:space="preserve"> attorney’s fees </w:t>
      </w:r>
      <w:r w:rsidR="00D712F5">
        <w:rPr>
          <w:szCs w:val="26"/>
        </w:rPr>
        <w:t>may be</w:t>
      </w:r>
      <w:r w:rsidR="00D712F5" w:rsidRPr="00645536">
        <w:rPr>
          <w:szCs w:val="26"/>
        </w:rPr>
        <w:t xml:space="preserve"> </w:t>
      </w:r>
      <w:r w:rsidRPr="00645536">
        <w:rPr>
          <w:szCs w:val="26"/>
        </w:rPr>
        <w:t xml:space="preserve">a type of “recovery” </w:t>
      </w:r>
      <w:r w:rsidR="002752F1">
        <w:rPr>
          <w:szCs w:val="26"/>
        </w:rPr>
        <w:t xml:space="preserve">in some contexts </w:t>
      </w:r>
      <w:r w:rsidR="00167F37">
        <w:rPr>
          <w:szCs w:val="26"/>
        </w:rPr>
        <w:t>because</w:t>
      </w:r>
      <w:r w:rsidRPr="00645536">
        <w:rPr>
          <w:szCs w:val="26"/>
        </w:rPr>
        <w:t xml:space="preserve"> they are “collected” or “obtain[ed]” by a judgment (see Black’s Law Dict. (11th ed. 2019) p. 1528) does not </w:t>
      </w:r>
      <w:r w:rsidR="002752F1">
        <w:rPr>
          <w:szCs w:val="26"/>
        </w:rPr>
        <w:t>necessarily mean that</w:t>
      </w:r>
      <w:r w:rsidRPr="00645536">
        <w:rPr>
          <w:szCs w:val="26"/>
        </w:rPr>
        <w:t xml:space="preserve"> </w:t>
      </w:r>
      <w:r w:rsidR="002752F1">
        <w:rPr>
          <w:szCs w:val="26"/>
        </w:rPr>
        <w:t xml:space="preserve">such fees </w:t>
      </w:r>
      <w:r w:rsidRPr="00645536">
        <w:rPr>
          <w:szCs w:val="26"/>
        </w:rPr>
        <w:t xml:space="preserve">constitute “recovery . . . </w:t>
      </w:r>
      <w:r w:rsidRPr="00645536">
        <w:rPr>
          <w:i/>
          <w:iCs/>
          <w:szCs w:val="26"/>
        </w:rPr>
        <w:t>by the debtor</w:t>
      </w:r>
      <w:r w:rsidRPr="00645536">
        <w:rPr>
          <w:szCs w:val="26"/>
        </w:rPr>
        <w:t xml:space="preserve">” </w:t>
      </w:r>
      <w:r w:rsidR="00EF5C06">
        <w:rPr>
          <w:szCs w:val="26"/>
        </w:rPr>
        <w:t xml:space="preserve">or “recovery </w:t>
      </w:r>
      <w:r w:rsidR="00EF5C06" w:rsidRPr="00383B65">
        <w:rPr>
          <w:i/>
          <w:iCs/>
          <w:szCs w:val="26"/>
        </w:rPr>
        <w:t>hereunder</w:t>
      </w:r>
      <w:r w:rsidR="00EF5C06">
        <w:rPr>
          <w:szCs w:val="26"/>
        </w:rPr>
        <w:t>”</w:t>
      </w:r>
      <w:r w:rsidR="00383B65">
        <w:rPr>
          <w:szCs w:val="26"/>
        </w:rPr>
        <w:t xml:space="preserve"> </w:t>
      </w:r>
      <w:r w:rsidR="00D712F5">
        <w:rPr>
          <w:szCs w:val="26"/>
        </w:rPr>
        <w:t xml:space="preserve">within the meaning of the Holder Rule </w:t>
      </w:r>
      <w:r w:rsidRPr="00645536">
        <w:rPr>
          <w:szCs w:val="26"/>
        </w:rPr>
        <w:t>(16 C.F.R. § 433.2(a)</w:t>
      </w:r>
      <w:r w:rsidR="00FC79CC">
        <w:rPr>
          <w:szCs w:val="26"/>
        </w:rPr>
        <w:t xml:space="preserve"> (1975)</w:t>
      </w:r>
      <w:r w:rsidRPr="00645536">
        <w:rPr>
          <w:szCs w:val="26"/>
        </w:rPr>
        <w:t xml:space="preserve">, italics added).  </w:t>
      </w:r>
      <w:r w:rsidR="0052383F">
        <w:rPr>
          <w:szCs w:val="26"/>
        </w:rPr>
        <w:t xml:space="preserve">The Rule subjects a creditor “to all claims and defenses which the debtor could </w:t>
      </w:r>
      <w:r w:rsidR="0052383F" w:rsidRPr="00CA582E">
        <w:rPr>
          <w:szCs w:val="26"/>
        </w:rPr>
        <w:t>assert</w:t>
      </w:r>
      <w:r w:rsidR="0052383F" w:rsidRPr="00C538CA">
        <w:rPr>
          <w:i/>
          <w:iCs/>
          <w:szCs w:val="26"/>
        </w:rPr>
        <w:t xml:space="preserve"> against the seller</w:t>
      </w:r>
      <w:r w:rsidR="0052383F">
        <w:rPr>
          <w:szCs w:val="26"/>
        </w:rPr>
        <w:t xml:space="preserve">” and limits “recovery </w:t>
      </w:r>
      <w:r w:rsidR="0052383F" w:rsidRPr="00C538CA">
        <w:rPr>
          <w:i/>
          <w:iCs/>
          <w:szCs w:val="26"/>
        </w:rPr>
        <w:t>hereunder</w:t>
      </w:r>
      <w:r w:rsidR="0052383F">
        <w:rPr>
          <w:szCs w:val="26"/>
        </w:rPr>
        <w:t xml:space="preserve"> by the debtor” to “amounts paid by the debtor” on the contract.  (</w:t>
      </w:r>
      <w:r w:rsidR="00BF7BD5">
        <w:rPr>
          <w:i/>
          <w:iCs/>
          <w:szCs w:val="26"/>
        </w:rPr>
        <w:t>I</w:t>
      </w:r>
      <w:r w:rsidR="0052383F">
        <w:rPr>
          <w:i/>
          <w:iCs/>
          <w:szCs w:val="26"/>
        </w:rPr>
        <w:t>bid.</w:t>
      </w:r>
      <w:r w:rsidR="0052383F">
        <w:rPr>
          <w:szCs w:val="26"/>
        </w:rPr>
        <w:t xml:space="preserve">, italics added.)  </w:t>
      </w:r>
      <w:r w:rsidR="0052383F" w:rsidRPr="00B26623">
        <w:rPr>
          <w:szCs w:val="26"/>
        </w:rPr>
        <w:t>Even if “recovery” included attorney’s fees, the language of the Rule does not reveal whether its cap applies to fees sought</w:t>
      </w:r>
      <w:r w:rsidR="000E2EBC">
        <w:rPr>
          <w:szCs w:val="26"/>
        </w:rPr>
        <w:t xml:space="preserve"> directly</w:t>
      </w:r>
      <w:r w:rsidR="0052383F" w:rsidRPr="00B26623">
        <w:rPr>
          <w:szCs w:val="26"/>
        </w:rPr>
        <w:t xml:space="preserve"> against a holder under </w:t>
      </w:r>
      <w:r w:rsidR="00D712F5" w:rsidRPr="00B26623">
        <w:rPr>
          <w:szCs w:val="26"/>
        </w:rPr>
        <w:t xml:space="preserve">a </w:t>
      </w:r>
      <w:r w:rsidR="0052383F" w:rsidRPr="00B26623">
        <w:rPr>
          <w:szCs w:val="26"/>
        </w:rPr>
        <w:t>state law.</w:t>
      </w:r>
    </w:p>
    <w:p w14:paraId="615E3B4B" w14:textId="44E165E4" w:rsidR="002261DE" w:rsidRDefault="002261DE" w:rsidP="002261DE">
      <w:pPr>
        <w:ind w:firstLine="720"/>
        <w:rPr>
          <w:szCs w:val="26"/>
        </w:rPr>
      </w:pPr>
      <w:r>
        <w:rPr>
          <w:szCs w:val="26"/>
        </w:rPr>
        <w:t xml:space="preserve">Finally, </w:t>
      </w:r>
      <w:r w:rsidRPr="00645536">
        <w:rPr>
          <w:szCs w:val="26"/>
        </w:rPr>
        <w:t xml:space="preserve">TDAF argues that the meaning of the Rule is unambiguous because the Rule “limits a consumer’s ‘recovery,’ . . . not by kind, but by amount.”  In </w:t>
      </w:r>
      <w:r w:rsidR="00651AF6">
        <w:rPr>
          <w:szCs w:val="26"/>
        </w:rPr>
        <w:t>TDAF’s</w:t>
      </w:r>
      <w:r w:rsidR="00651AF6" w:rsidRPr="00645536">
        <w:rPr>
          <w:szCs w:val="26"/>
        </w:rPr>
        <w:t xml:space="preserve"> </w:t>
      </w:r>
      <w:r w:rsidRPr="00645536">
        <w:rPr>
          <w:szCs w:val="26"/>
        </w:rPr>
        <w:t xml:space="preserve">view, limiting “recovery” to “amounts paid by the debtor hereunder” confirms </w:t>
      </w:r>
      <w:r w:rsidR="00651AF6">
        <w:rPr>
          <w:szCs w:val="26"/>
        </w:rPr>
        <w:t xml:space="preserve">the </w:t>
      </w:r>
      <w:r w:rsidR="002157FD">
        <w:rPr>
          <w:szCs w:val="26"/>
        </w:rPr>
        <w:t xml:space="preserve">“broad sweep” of the </w:t>
      </w:r>
      <w:r w:rsidR="00651AF6">
        <w:rPr>
          <w:szCs w:val="26"/>
        </w:rPr>
        <w:t xml:space="preserve">word </w:t>
      </w:r>
      <w:r w:rsidRPr="00645536">
        <w:rPr>
          <w:szCs w:val="26"/>
        </w:rPr>
        <w:t xml:space="preserve">“recovery.”  But the limitation on </w:t>
      </w:r>
      <w:r w:rsidR="00651AF6">
        <w:rPr>
          <w:szCs w:val="26"/>
        </w:rPr>
        <w:t xml:space="preserve">recovery to </w:t>
      </w:r>
      <w:r w:rsidR="008F1C42" w:rsidRPr="00645536">
        <w:rPr>
          <w:szCs w:val="26"/>
        </w:rPr>
        <w:t>amounts paid by the debtor under the contract</w:t>
      </w:r>
      <w:r w:rsidR="008F1C42">
        <w:rPr>
          <w:szCs w:val="26"/>
        </w:rPr>
        <w:t xml:space="preserve"> is readily understood to</w:t>
      </w:r>
      <w:r w:rsidRPr="00645536">
        <w:rPr>
          <w:szCs w:val="26"/>
        </w:rPr>
        <w:t xml:space="preserve"> support </w:t>
      </w:r>
      <w:r w:rsidR="00651AF6">
        <w:rPr>
          <w:szCs w:val="26"/>
        </w:rPr>
        <w:t>the opposite</w:t>
      </w:r>
      <w:r w:rsidRPr="00645536">
        <w:rPr>
          <w:szCs w:val="26"/>
        </w:rPr>
        <w:t xml:space="preserve"> conclusion</w:t>
      </w:r>
      <w:r w:rsidR="00F31356">
        <w:rPr>
          <w:szCs w:val="26"/>
        </w:rPr>
        <w:t> </w:t>
      </w:r>
      <w:r w:rsidR="00651AF6">
        <w:rPr>
          <w:szCs w:val="26"/>
        </w:rPr>
        <w:t xml:space="preserve">— namely, </w:t>
      </w:r>
      <w:r w:rsidRPr="00645536">
        <w:rPr>
          <w:szCs w:val="26"/>
        </w:rPr>
        <w:t xml:space="preserve">that the FTC had damages rather than attorney’s fees in mind.  </w:t>
      </w:r>
      <w:r w:rsidR="008F1C42">
        <w:rPr>
          <w:szCs w:val="26"/>
        </w:rPr>
        <w:t>After all, t</w:t>
      </w:r>
      <w:r w:rsidRPr="00645536">
        <w:rPr>
          <w:szCs w:val="26"/>
        </w:rPr>
        <w:t>he quantity of attorney’s fees sought after judgment bear</w:t>
      </w:r>
      <w:r w:rsidR="008F1C42">
        <w:rPr>
          <w:szCs w:val="26"/>
        </w:rPr>
        <w:t>s</w:t>
      </w:r>
      <w:r w:rsidRPr="00645536">
        <w:rPr>
          <w:szCs w:val="26"/>
        </w:rPr>
        <w:t xml:space="preserve"> little relationship to the amount of the cap</w:t>
      </w:r>
      <w:r w:rsidR="008F1C42">
        <w:rPr>
          <w:szCs w:val="26"/>
        </w:rPr>
        <w:t>,</w:t>
      </w:r>
      <w:r w:rsidRPr="00645536">
        <w:rPr>
          <w:szCs w:val="26"/>
        </w:rPr>
        <w:t xml:space="preserve"> while the “amounts paid by the debtor” under the contract may often be exactly the quantity sought in damages.  (See, e.g., 40 Fed.Reg.</w:t>
      </w:r>
      <w:r w:rsidR="004D49DC">
        <w:rPr>
          <w:szCs w:val="26"/>
        </w:rPr>
        <w:t xml:space="preserve">, </w:t>
      </w:r>
      <w:r w:rsidR="004D49DC">
        <w:rPr>
          <w:i/>
          <w:iCs/>
          <w:szCs w:val="26"/>
        </w:rPr>
        <w:t>supra</w:t>
      </w:r>
      <w:r w:rsidR="004D49DC">
        <w:rPr>
          <w:szCs w:val="26"/>
        </w:rPr>
        <w:t>,</w:t>
      </w:r>
      <w:r w:rsidR="004D49DC" w:rsidRPr="00645536">
        <w:rPr>
          <w:szCs w:val="26"/>
        </w:rPr>
        <w:t xml:space="preserve"> </w:t>
      </w:r>
      <w:r w:rsidR="004D49DC">
        <w:rPr>
          <w:szCs w:val="26"/>
        </w:rPr>
        <w:t>at p.</w:t>
      </w:r>
      <w:r w:rsidR="00F04388">
        <w:rPr>
          <w:szCs w:val="26"/>
        </w:rPr>
        <w:t> </w:t>
      </w:r>
      <w:r w:rsidRPr="00645536">
        <w:rPr>
          <w:szCs w:val="26"/>
        </w:rPr>
        <w:t>53527 [“In a case of nondelivery, total failure of performance, or the like, we believe that the consumer is entitled to a refund of monies paid on account.”].)</w:t>
      </w:r>
    </w:p>
    <w:p w14:paraId="3953517D" w14:textId="58B8852C" w:rsidR="00DE541D" w:rsidRPr="00645536" w:rsidRDefault="00DE541D" w:rsidP="00D11A8F">
      <w:pPr>
        <w:keepNext/>
        <w:jc w:val="center"/>
        <w:rPr>
          <w:b/>
          <w:bCs/>
          <w:szCs w:val="26"/>
        </w:rPr>
      </w:pPr>
      <w:r w:rsidRPr="00645536">
        <w:rPr>
          <w:b/>
          <w:bCs/>
          <w:szCs w:val="26"/>
        </w:rPr>
        <w:t>B.</w:t>
      </w:r>
    </w:p>
    <w:p w14:paraId="5E598F89" w14:textId="4B1CC860" w:rsidR="002335A8" w:rsidRPr="00645536" w:rsidRDefault="00B5632F" w:rsidP="00D11A8F">
      <w:pPr>
        <w:keepNext/>
        <w:ind w:firstLine="720"/>
        <w:rPr>
          <w:szCs w:val="26"/>
        </w:rPr>
      </w:pPr>
      <w:r w:rsidRPr="00645536">
        <w:rPr>
          <w:szCs w:val="26"/>
        </w:rPr>
        <w:t>Because the</w:t>
      </w:r>
      <w:r w:rsidR="00EE76C5" w:rsidRPr="00645536">
        <w:rPr>
          <w:szCs w:val="26"/>
        </w:rPr>
        <w:t xml:space="preserve"> </w:t>
      </w:r>
      <w:r w:rsidRPr="00645536">
        <w:rPr>
          <w:szCs w:val="26"/>
        </w:rPr>
        <w:t xml:space="preserve">language </w:t>
      </w:r>
      <w:r w:rsidR="00694D35" w:rsidRPr="00645536">
        <w:rPr>
          <w:szCs w:val="26"/>
        </w:rPr>
        <w:t xml:space="preserve">of the Rule </w:t>
      </w:r>
      <w:r w:rsidRPr="00645536">
        <w:rPr>
          <w:szCs w:val="26"/>
        </w:rPr>
        <w:t xml:space="preserve">is </w:t>
      </w:r>
      <w:r w:rsidR="00BF34B1" w:rsidRPr="00645536">
        <w:rPr>
          <w:szCs w:val="26"/>
        </w:rPr>
        <w:t>ambiguous with regard to the issue before us</w:t>
      </w:r>
      <w:r w:rsidR="00B858F9" w:rsidRPr="00645536">
        <w:rPr>
          <w:szCs w:val="26"/>
        </w:rPr>
        <w:t>,</w:t>
      </w:r>
      <w:r w:rsidRPr="00645536">
        <w:rPr>
          <w:szCs w:val="26"/>
        </w:rPr>
        <w:t xml:space="preserve"> </w:t>
      </w:r>
      <w:r w:rsidR="00694D35" w:rsidRPr="00645536">
        <w:rPr>
          <w:szCs w:val="26"/>
        </w:rPr>
        <w:t xml:space="preserve">we turn to </w:t>
      </w:r>
      <w:r w:rsidR="00AC0BD7" w:rsidRPr="00645536">
        <w:rPr>
          <w:szCs w:val="26"/>
        </w:rPr>
        <w:t>extrinsic sources</w:t>
      </w:r>
      <w:r w:rsidRPr="00645536">
        <w:rPr>
          <w:szCs w:val="26"/>
        </w:rPr>
        <w:t>.</w:t>
      </w:r>
      <w:r w:rsidR="00AC0BD7" w:rsidRPr="00645536">
        <w:rPr>
          <w:szCs w:val="26"/>
        </w:rPr>
        <w:t xml:space="preserve">  (See</w:t>
      </w:r>
      <w:r w:rsidR="008657C8">
        <w:rPr>
          <w:szCs w:val="26"/>
        </w:rPr>
        <w:t xml:space="preserve">, e.g., </w:t>
      </w:r>
      <w:r w:rsidR="00E47AF8">
        <w:rPr>
          <w:i/>
          <w:iCs/>
          <w:szCs w:val="26"/>
        </w:rPr>
        <w:t>Gardebring v. Jenkins</w:t>
      </w:r>
      <w:r w:rsidR="00E47AF8">
        <w:rPr>
          <w:szCs w:val="26"/>
        </w:rPr>
        <w:t xml:space="preserve"> (1988) 485 U.S. 415, 428, fn.</w:t>
      </w:r>
      <w:r w:rsidR="00F04388">
        <w:rPr>
          <w:szCs w:val="26"/>
        </w:rPr>
        <w:t> </w:t>
      </w:r>
      <w:r w:rsidR="00E47AF8">
        <w:rPr>
          <w:szCs w:val="26"/>
        </w:rPr>
        <w:t>14 [examining regulation’s adoption history]</w:t>
      </w:r>
      <w:r w:rsidR="001519EE" w:rsidRPr="00645536">
        <w:rPr>
          <w:szCs w:val="26"/>
        </w:rPr>
        <w:t>.)</w:t>
      </w:r>
      <w:r w:rsidR="005D6F47">
        <w:rPr>
          <w:szCs w:val="26"/>
        </w:rPr>
        <w:t xml:space="preserve">  </w:t>
      </w:r>
      <w:r w:rsidR="0085275F">
        <w:rPr>
          <w:szCs w:val="26"/>
        </w:rPr>
        <w:t xml:space="preserve">We look first to </w:t>
      </w:r>
      <w:r w:rsidR="00CC385A">
        <w:rPr>
          <w:szCs w:val="26"/>
        </w:rPr>
        <w:t xml:space="preserve">materials shedding light on </w:t>
      </w:r>
      <w:r w:rsidR="00B45E23">
        <w:rPr>
          <w:szCs w:val="26"/>
        </w:rPr>
        <w:t xml:space="preserve">the Rule’s </w:t>
      </w:r>
      <w:r w:rsidR="00CC385A">
        <w:rPr>
          <w:szCs w:val="26"/>
        </w:rPr>
        <w:t>history and purpose</w:t>
      </w:r>
      <w:r w:rsidR="00E0766E">
        <w:rPr>
          <w:szCs w:val="26"/>
        </w:rPr>
        <w:t xml:space="preserve"> </w:t>
      </w:r>
      <w:r w:rsidR="00B45E23">
        <w:rPr>
          <w:szCs w:val="26"/>
        </w:rPr>
        <w:t>before considering the agency’s own interpretation of the Rule in its 2019 and 2022 statements.  (</w:t>
      </w:r>
      <w:r w:rsidR="00120810" w:rsidRPr="00120810">
        <w:rPr>
          <w:i/>
          <w:iCs/>
          <w:szCs w:val="26"/>
        </w:rPr>
        <w:t>Kisor</w:t>
      </w:r>
      <w:r w:rsidR="00120810">
        <w:rPr>
          <w:szCs w:val="26"/>
        </w:rPr>
        <w:t xml:space="preserve">, </w:t>
      </w:r>
      <w:r w:rsidR="00120810">
        <w:rPr>
          <w:i/>
          <w:iCs/>
          <w:szCs w:val="26"/>
        </w:rPr>
        <w:t>supra</w:t>
      </w:r>
      <w:r w:rsidR="00120810">
        <w:rPr>
          <w:szCs w:val="26"/>
        </w:rPr>
        <w:t xml:space="preserve">, </w:t>
      </w:r>
      <w:r w:rsidR="008461F3">
        <w:rPr>
          <w:szCs w:val="26"/>
        </w:rPr>
        <w:t>588 U.S. at p. __ [</w:t>
      </w:r>
      <w:r w:rsidR="008461F3" w:rsidRPr="00D10443">
        <w:rPr>
          <w:szCs w:val="26"/>
        </w:rPr>
        <w:t xml:space="preserve">139 S.Ct. at </w:t>
      </w:r>
      <w:r w:rsidR="00E51E35">
        <w:rPr>
          <w:szCs w:val="26"/>
        </w:rPr>
        <w:t>p. </w:t>
      </w:r>
      <w:r w:rsidR="00270BAD">
        <w:rPr>
          <w:szCs w:val="26"/>
        </w:rPr>
        <w:t>2415</w:t>
      </w:r>
      <w:r w:rsidR="008461F3">
        <w:rPr>
          <w:szCs w:val="26"/>
        </w:rPr>
        <w:t>]</w:t>
      </w:r>
      <w:r w:rsidR="00270BAD">
        <w:rPr>
          <w:szCs w:val="26"/>
        </w:rPr>
        <w:t>.)</w:t>
      </w:r>
      <w:r w:rsidR="00120810">
        <w:rPr>
          <w:szCs w:val="26"/>
        </w:rPr>
        <w:t xml:space="preserve"> </w:t>
      </w:r>
    </w:p>
    <w:p w14:paraId="130D3211" w14:textId="2A3FDC40" w:rsidR="00497927" w:rsidRPr="00645536" w:rsidRDefault="00BF34B1" w:rsidP="00645536">
      <w:pPr>
        <w:ind w:firstLine="720"/>
        <w:rPr>
          <w:szCs w:val="26"/>
        </w:rPr>
      </w:pPr>
      <w:r w:rsidRPr="00645536">
        <w:rPr>
          <w:szCs w:val="26"/>
        </w:rPr>
        <w:t>In examining the history of the Holder Rule</w:t>
      </w:r>
      <w:r w:rsidR="00D72445" w:rsidRPr="00645536">
        <w:rPr>
          <w:szCs w:val="26"/>
        </w:rPr>
        <w:t xml:space="preserve">, </w:t>
      </w:r>
      <w:r w:rsidRPr="00645536">
        <w:rPr>
          <w:szCs w:val="26"/>
        </w:rPr>
        <w:t xml:space="preserve">we observe that </w:t>
      </w:r>
      <w:r w:rsidR="00D72445" w:rsidRPr="00645536">
        <w:rPr>
          <w:szCs w:val="26"/>
        </w:rPr>
        <w:t>attorney’s fees are absent from</w:t>
      </w:r>
      <w:r w:rsidR="00A16D0F" w:rsidRPr="00645536">
        <w:rPr>
          <w:szCs w:val="26"/>
        </w:rPr>
        <w:t xml:space="preserve"> the FTC’s</w:t>
      </w:r>
      <w:r w:rsidR="00D72445" w:rsidRPr="00645536">
        <w:rPr>
          <w:szCs w:val="26"/>
        </w:rPr>
        <w:t xml:space="preserve"> discussion</w:t>
      </w:r>
      <w:r w:rsidR="00A16D0F" w:rsidRPr="00645536">
        <w:rPr>
          <w:szCs w:val="26"/>
        </w:rPr>
        <w:t>s</w:t>
      </w:r>
      <w:r w:rsidR="00D72445" w:rsidRPr="00645536">
        <w:rPr>
          <w:szCs w:val="26"/>
        </w:rPr>
        <w:t xml:space="preserve"> </w:t>
      </w:r>
      <w:r w:rsidR="001C0463" w:rsidRPr="00645536">
        <w:rPr>
          <w:szCs w:val="26"/>
        </w:rPr>
        <w:t xml:space="preserve">of what constitutes recovery under the Rule </w:t>
      </w:r>
      <w:r w:rsidR="0051091B" w:rsidRPr="00645536">
        <w:rPr>
          <w:szCs w:val="26"/>
        </w:rPr>
        <w:t xml:space="preserve">until its 2019 Rule Confirmation.  </w:t>
      </w:r>
      <w:r w:rsidR="00C13309" w:rsidRPr="00645536">
        <w:rPr>
          <w:szCs w:val="26"/>
        </w:rPr>
        <w:t xml:space="preserve">The regulatory materials </w:t>
      </w:r>
      <w:r w:rsidR="00C0406A" w:rsidRPr="00645536">
        <w:rPr>
          <w:szCs w:val="26"/>
        </w:rPr>
        <w:t xml:space="preserve">issued </w:t>
      </w:r>
      <w:r w:rsidR="00C13309" w:rsidRPr="00645536">
        <w:rPr>
          <w:szCs w:val="26"/>
        </w:rPr>
        <w:t xml:space="preserve">prior to the </w:t>
      </w:r>
      <w:r w:rsidR="0022380D" w:rsidRPr="00645536">
        <w:rPr>
          <w:szCs w:val="26"/>
        </w:rPr>
        <w:t xml:space="preserve">Rule </w:t>
      </w:r>
      <w:r w:rsidR="00C13309" w:rsidRPr="00645536">
        <w:rPr>
          <w:szCs w:val="26"/>
        </w:rPr>
        <w:t xml:space="preserve">Confirmation </w:t>
      </w:r>
      <w:r w:rsidR="007F716F" w:rsidRPr="00645536">
        <w:rPr>
          <w:szCs w:val="26"/>
        </w:rPr>
        <w:t>do not refer to attorney’s fees</w:t>
      </w:r>
      <w:r w:rsidR="00C13309" w:rsidRPr="00645536">
        <w:rPr>
          <w:szCs w:val="26"/>
        </w:rPr>
        <w:t xml:space="preserve">. </w:t>
      </w:r>
      <w:r w:rsidR="007F716F" w:rsidRPr="00645536">
        <w:rPr>
          <w:szCs w:val="26"/>
        </w:rPr>
        <w:t xml:space="preserve"> </w:t>
      </w:r>
      <w:r w:rsidR="00526FE5" w:rsidRPr="00645536">
        <w:rPr>
          <w:szCs w:val="26"/>
        </w:rPr>
        <w:t xml:space="preserve">Instead, </w:t>
      </w:r>
      <w:r w:rsidRPr="00645536">
        <w:rPr>
          <w:szCs w:val="26"/>
        </w:rPr>
        <w:t>t</w:t>
      </w:r>
      <w:r w:rsidR="007F716F" w:rsidRPr="00645536">
        <w:rPr>
          <w:szCs w:val="26"/>
        </w:rPr>
        <w:t xml:space="preserve">hey </w:t>
      </w:r>
      <w:r w:rsidR="0039255A" w:rsidRPr="00645536">
        <w:rPr>
          <w:szCs w:val="26"/>
        </w:rPr>
        <w:t>suggest</w:t>
      </w:r>
      <w:r w:rsidR="00A16D0F" w:rsidRPr="00645536">
        <w:rPr>
          <w:szCs w:val="26"/>
        </w:rPr>
        <w:t xml:space="preserve"> </w:t>
      </w:r>
      <w:r w:rsidR="0039255A" w:rsidRPr="00645536">
        <w:rPr>
          <w:szCs w:val="26"/>
        </w:rPr>
        <w:t xml:space="preserve">that </w:t>
      </w:r>
      <w:r w:rsidR="00497927" w:rsidRPr="00645536">
        <w:rPr>
          <w:szCs w:val="26"/>
        </w:rPr>
        <w:t xml:space="preserve">the FTC had </w:t>
      </w:r>
      <w:r w:rsidR="007C150C" w:rsidRPr="00645536">
        <w:rPr>
          <w:szCs w:val="26"/>
        </w:rPr>
        <w:t xml:space="preserve">damages </w:t>
      </w:r>
      <w:r w:rsidR="00497927" w:rsidRPr="00645536">
        <w:rPr>
          <w:szCs w:val="26"/>
        </w:rPr>
        <w:t xml:space="preserve">in mind </w:t>
      </w:r>
      <w:r w:rsidR="007E62E0" w:rsidRPr="00645536">
        <w:rPr>
          <w:szCs w:val="26"/>
        </w:rPr>
        <w:t xml:space="preserve">when it referred to </w:t>
      </w:r>
      <w:r w:rsidR="00497927" w:rsidRPr="00645536">
        <w:rPr>
          <w:szCs w:val="26"/>
        </w:rPr>
        <w:t>“recovery”</w:t>
      </w:r>
      <w:r w:rsidR="00166972" w:rsidRPr="00645536">
        <w:rPr>
          <w:szCs w:val="26"/>
        </w:rPr>
        <w:t xml:space="preserve"> in the Holder Rule Notice.</w:t>
      </w:r>
      <w:r w:rsidR="007F716F" w:rsidRPr="00645536">
        <w:rPr>
          <w:szCs w:val="26"/>
        </w:rPr>
        <w:t xml:space="preserve">  </w:t>
      </w:r>
      <w:r w:rsidR="00497927" w:rsidRPr="00645536">
        <w:rPr>
          <w:szCs w:val="26"/>
        </w:rPr>
        <w:t>In its Statement of Basis and Purpose, the FTC</w:t>
      </w:r>
      <w:r w:rsidR="006D52CF" w:rsidRPr="00645536">
        <w:rPr>
          <w:szCs w:val="26"/>
        </w:rPr>
        <w:t xml:space="preserve"> </w:t>
      </w:r>
      <w:r w:rsidR="007E62E0" w:rsidRPr="00645536">
        <w:rPr>
          <w:szCs w:val="26"/>
        </w:rPr>
        <w:t xml:space="preserve">referred to </w:t>
      </w:r>
      <w:r w:rsidR="007C150C" w:rsidRPr="00645536">
        <w:rPr>
          <w:szCs w:val="26"/>
        </w:rPr>
        <w:t xml:space="preserve">the </w:t>
      </w:r>
      <w:r w:rsidR="00BD4364" w:rsidRPr="00645536">
        <w:rPr>
          <w:szCs w:val="26"/>
        </w:rPr>
        <w:t xml:space="preserve">recovery of </w:t>
      </w:r>
      <w:r w:rsidR="00390EA8" w:rsidRPr="00645536">
        <w:rPr>
          <w:szCs w:val="26"/>
        </w:rPr>
        <w:t>consumer</w:t>
      </w:r>
      <w:r w:rsidR="00BD4364" w:rsidRPr="00645536">
        <w:rPr>
          <w:szCs w:val="26"/>
        </w:rPr>
        <w:t>s’</w:t>
      </w:r>
      <w:r w:rsidR="00390EA8" w:rsidRPr="00645536">
        <w:rPr>
          <w:szCs w:val="26"/>
        </w:rPr>
        <w:t xml:space="preserve"> damages</w:t>
      </w:r>
      <w:r w:rsidR="00810824" w:rsidRPr="00645536">
        <w:rPr>
          <w:szCs w:val="26"/>
        </w:rPr>
        <w:t xml:space="preserve"> when discussing why affirmative suits by consumers against sellers </w:t>
      </w:r>
      <w:r w:rsidR="003E6FF2" w:rsidRPr="00645536">
        <w:rPr>
          <w:szCs w:val="26"/>
        </w:rPr>
        <w:t xml:space="preserve">were </w:t>
      </w:r>
      <w:r w:rsidR="00810824" w:rsidRPr="00645536">
        <w:rPr>
          <w:szCs w:val="26"/>
        </w:rPr>
        <w:t xml:space="preserve">an inadequate remedy </w:t>
      </w:r>
      <w:r w:rsidR="00983C30" w:rsidRPr="00645536">
        <w:rPr>
          <w:szCs w:val="26"/>
        </w:rPr>
        <w:t>for seller misconduct</w:t>
      </w:r>
      <w:r w:rsidR="00390EA8" w:rsidRPr="00645536">
        <w:rPr>
          <w:szCs w:val="26"/>
        </w:rPr>
        <w:t xml:space="preserve">.  </w:t>
      </w:r>
      <w:r w:rsidR="00080171" w:rsidRPr="00645536">
        <w:rPr>
          <w:szCs w:val="26"/>
        </w:rPr>
        <w:t>(</w:t>
      </w:r>
      <w:r w:rsidR="005B4B5F" w:rsidRPr="00645536">
        <w:rPr>
          <w:szCs w:val="26"/>
        </w:rPr>
        <w:t>40 Fed.Reg.</w:t>
      </w:r>
      <w:r w:rsidR="004D49DC">
        <w:rPr>
          <w:szCs w:val="26"/>
        </w:rPr>
        <w:t xml:space="preserve">, </w:t>
      </w:r>
      <w:r w:rsidR="004D49DC">
        <w:rPr>
          <w:i/>
          <w:iCs/>
          <w:szCs w:val="26"/>
        </w:rPr>
        <w:t>supra</w:t>
      </w:r>
      <w:r w:rsidR="004D49DC">
        <w:rPr>
          <w:szCs w:val="26"/>
        </w:rPr>
        <w:t>,</w:t>
      </w:r>
      <w:r w:rsidR="004D49DC" w:rsidRPr="00645536">
        <w:rPr>
          <w:szCs w:val="26"/>
        </w:rPr>
        <w:t xml:space="preserve"> </w:t>
      </w:r>
      <w:r w:rsidR="004D49DC">
        <w:rPr>
          <w:szCs w:val="26"/>
        </w:rPr>
        <w:t>at pp.</w:t>
      </w:r>
      <w:r w:rsidR="00F04388">
        <w:rPr>
          <w:szCs w:val="26"/>
        </w:rPr>
        <w:t> </w:t>
      </w:r>
      <w:r w:rsidR="00390EA8" w:rsidRPr="00645536">
        <w:rPr>
          <w:szCs w:val="26"/>
        </w:rPr>
        <w:t>53511</w:t>
      </w:r>
      <w:r w:rsidR="005B4B5F" w:rsidRPr="00645536">
        <w:rPr>
          <w:szCs w:val="26"/>
        </w:rPr>
        <w:t>–</w:t>
      </w:r>
      <w:r w:rsidR="005C49EB" w:rsidRPr="00645536">
        <w:rPr>
          <w:szCs w:val="26"/>
        </w:rPr>
        <w:t>53512</w:t>
      </w:r>
      <w:r w:rsidR="00F02F1F" w:rsidRPr="00645536">
        <w:rPr>
          <w:szCs w:val="26"/>
        </w:rPr>
        <w:t xml:space="preserve"> [“The amount of a consumer’s damages in such a case may be substantial in real terms, </w:t>
      </w:r>
      <w:r w:rsidR="0005152C" w:rsidRPr="00645536">
        <w:rPr>
          <w:szCs w:val="26"/>
        </w:rPr>
        <w:t>. . . but such damages are rarely enough to attract compete</w:t>
      </w:r>
      <w:r w:rsidR="000B77FE" w:rsidRPr="00645536">
        <w:rPr>
          <w:szCs w:val="26"/>
        </w:rPr>
        <w:t>nt representation.”]</w:t>
      </w:r>
      <w:r w:rsidR="00080171" w:rsidRPr="00645536">
        <w:rPr>
          <w:szCs w:val="26"/>
        </w:rPr>
        <w:t xml:space="preserve">.)  </w:t>
      </w:r>
      <w:r w:rsidR="00C400FB" w:rsidRPr="00645536">
        <w:rPr>
          <w:szCs w:val="26"/>
        </w:rPr>
        <w:t>And i</w:t>
      </w:r>
      <w:r w:rsidR="00166972" w:rsidRPr="00645536">
        <w:rPr>
          <w:szCs w:val="26"/>
        </w:rPr>
        <w:t xml:space="preserve">n surveying </w:t>
      </w:r>
      <w:r w:rsidR="00326718" w:rsidRPr="00645536">
        <w:rPr>
          <w:szCs w:val="26"/>
        </w:rPr>
        <w:t>the record</w:t>
      </w:r>
      <w:r w:rsidR="00D65DC3" w:rsidRPr="00645536">
        <w:rPr>
          <w:szCs w:val="26"/>
        </w:rPr>
        <w:t xml:space="preserve">, </w:t>
      </w:r>
      <w:r w:rsidRPr="00645536">
        <w:rPr>
          <w:szCs w:val="26"/>
        </w:rPr>
        <w:t xml:space="preserve">the FTC </w:t>
      </w:r>
      <w:r w:rsidR="00D65DC3" w:rsidRPr="00645536">
        <w:rPr>
          <w:szCs w:val="26"/>
        </w:rPr>
        <w:t xml:space="preserve">was troubled by the “magnitude </w:t>
      </w:r>
      <w:r w:rsidR="00C400FB" w:rsidRPr="00645536">
        <w:rPr>
          <w:szCs w:val="26"/>
        </w:rPr>
        <w:t xml:space="preserve">or extent </w:t>
      </w:r>
      <w:r w:rsidR="00D65DC3" w:rsidRPr="00645536">
        <w:rPr>
          <w:szCs w:val="26"/>
        </w:rPr>
        <w:t>of consumer injury</w:t>
      </w:r>
      <w:r w:rsidR="00454684" w:rsidRPr="00645536">
        <w:rPr>
          <w:szCs w:val="26"/>
        </w:rPr>
        <w:t xml:space="preserve"> from forfeited claims and defenses in credit sale transactions</w:t>
      </w:r>
      <w:r w:rsidR="00FE6D98" w:rsidRPr="00645536">
        <w:rPr>
          <w:szCs w:val="26"/>
        </w:rPr>
        <w:t>.”  (</w:t>
      </w:r>
      <w:r w:rsidR="00C400FB" w:rsidRPr="00645536">
        <w:rPr>
          <w:i/>
          <w:iCs/>
          <w:szCs w:val="26"/>
        </w:rPr>
        <w:t>Id.</w:t>
      </w:r>
      <w:r w:rsidR="00C400FB" w:rsidRPr="00645536">
        <w:rPr>
          <w:szCs w:val="26"/>
        </w:rPr>
        <w:t xml:space="preserve"> at p. 53510</w:t>
      </w:r>
      <w:r w:rsidR="00C0406A" w:rsidRPr="00645536">
        <w:rPr>
          <w:szCs w:val="26"/>
        </w:rPr>
        <w:t>.</w:t>
      </w:r>
      <w:r w:rsidR="00C400FB" w:rsidRPr="00645536">
        <w:rPr>
          <w:szCs w:val="26"/>
        </w:rPr>
        <w:t>)</w:t>
      </w:r>
      <w:r w:rsidR="00080ABE" w:rsidRPr="00645536">
        <w:rPr>
          <w:szCs w:val="26"/>
        </w:rPr>
        <w:t xml:space="preserve"> </w:t>
      </w:r>
      <w:r w:rsidR="00C63F11" w:rsidRPr="00645536">
        <w:rPr>
          <w:szCs w:val="26"/>
        </w:rPr>
        <w:t xml:space="preserve"> </w:t>
      </w:r>
      <w:r w:rsidR="00B21E0C" w:rsidRPr="00645536">
        <w:rPr>
          <w:szCs w:val="26"/>
        </w:rPr>
        <w:t xml:space="preserve">When discussing </w:t>
      </w:r>
      <w:r w:rsidR="007E1F09" w:rsidRPr="00645536">
        <w:rPr>
          <w:szCs w:val="26"/>
        </w:rPr>
        <w:t>the</w:t>
      </w:r>
      <w:r w:rsidR="00E520D5" w:rsidRPr="00645536">
        <w:rPr>
          <w:szCs w:val="26"/>
        </w:rPr>
        <w:t xml:space="preserve"> </w:t>
      </w:r>
      <w:r w:rsidR="00B21E0C" w:rsidRPr="00645536">
        <w:rPr>
          <w:szCs w:val="26"/>
        </w:rPr>
        <w:t>affirmative actions against creditors</w:t>
      </w:r>
      <w:r w:rsidR="007E1F09" w:rsidRPr="00645536">
        <w:rPr>
          <w:szCs w:val="26"/>
        </w:rPr>
        <w:t xml:space="preserve"> that would be available under the Holder Rule</w:t>
      </w:r>
      <w:r w:rsidR="00B21E0C" w:rsidRPr="00645536">
        <w:rPr>
          <w:szCs w:val="26"/>
        </w:rPr>
        <w:t xml:space="preserve">, </w:t>
      </w:r>
      <w:r w:rsidR="007E1F09" w:rsidRPr="00645536">
        <w:rPr>
          <w:szCs w:val="26"/>
        </w:rPr>
        <w:t xml:space="preserve">the FTC </w:t>
      </w:r>
      <w:r w:rsidR="00B21E0C" w:rsidRPr="00645536">
        <w:rPr>
          <w:szCs w:val="26"/>
        </w:rPr>
        <w:t>refer</w:t>
      </w:r>
      <w:r w:rsidR="007C150C" w:rsidRPr="00645536">
        <w:rPr>
          <w:szCs w:val="26"/>
        </w:rPr>
        <w:t>red</w:t>
      </w:r>
      <w:r w:rsidR="00B21E0C" w:rsidRPr="00645536">
        <w:rPr>
          <w:szCs w:val="26"/>
        </w:rPr>
        <w:t xml:space="preserve"> </w:t>
      </w:r>
      <w:r w:rsidR="00A54A02" w:rsidRPr="00645536">
        <w:rPr>
          <w:szCs w:val="26"/>
        </w:rPr>
        <w:t xml:space="preserve">repeatedly </w:t>
      </w:r>
      <w:r w:rsidR="00B21E0C" w:rsidRPr="00645536">
        <w:rPr>
          <w:szCs w:val="26"/>
        </w:rPr>
        <w:t xml:space="preserve">to </w:t>
      </w:r>
      <w:r w:rsidR="00196836" w:rsidRPr="00645536">
        <w:rPr>
          <w:szCs w:val="26"/>
        </w:rPr>
        <w:t>a return</w:t>
      </w:r>
      <w:r w:rsidR="00FB1B42" w:rsidRPr="00645536">
        <w:rPr>
          <w:szCs w:val="26"/>
        </w:rPr>
        <w:t xml:space="preserve"> of monies paid on account.  (</w:t>
      </w:r>
      <w:r w:rsidR="007D418E" w:rsidRPr="00645536">
        <w:rPr>
          <w:szCs w:val="26"/>
        </w:rPr>
        <w:t xml:space="preserve">See </w:t>
      </w:r>
      <w:r w:rsidR="00792949" w:rsidRPr="00645536">
        <w:rPr>
          <w:i/>
          <w:iCs/>
          <w:szCs w:val="26"/>
        </w:rPr>
        <w:t xml:space="preserve">id. </w:t>
      </w:r>
      <w:r w:rsidR="00792949" w:rsidRPr="00645536">
        <w:rPr>
          <w:szCs w:val="26"/>
        </w:rPr>
        <w:t xml:space="preserve">at </w:t>
      </w:r>
      <w:r w:rsidR="00680822" w:rsidRPr="00645536">
        <w:rPr>
          <w:szCs w:val="26"/>
        </w:rPr>
        <w:t>p. </w:t>
      </w:r>
      <w:r w:rsidR="00FB1B42" w:rsidRPr="00645536">
        <w:rPr>
          <w:szCs w:val="26"/>
        </w:rPr>
        <w:t>53524</w:t>
      </w:r>
      <w:r w:rsidR="008A7101" w:rsidRPr="00645536">
        <w:rPr>
          <w:szCs w:val="26"/>
        </w:rPr>
        <w:t xml:space="preserve"> [</w:t>
      </w:r>
      <w:r w:rsidR="00D34C22" w:rsidRPr="00645536">
        <w:rPr>
          <w:szCs w:val="26"/>
        </w:rPr>
        <w:t>“</w:t>
      </w:r>
      <w:r w:rsidR="003F7F0A" w:rsidRPr="00645536">
        <w:rPr>
          <w:szCs w:val="26"/>
        </w:rPr>
        <w:t>[A]</w:t>
      </w:r>
      <w:r w:rsidR="00D34C22" w:rsidRPr="00645536">
        <w:rPr>
          <w:szCs w:val="26"/>
        </w:rPr>
        <w:t xml:space="preserve"> consumer can . . . maintain an affirmative action against a creditor who has received payments for a return of monies paid on account</w:t>
      </w:r>
      <w:r w:rsidR="003F7F0A" w:rsidRPr="00645536">
        <w:rPr>
          <w:szCs w:val="26"/>
        </w:rPr>
        <w:t>.</w:t>
      </w:r>
      <w:r w:rsidR="00D34C22" w:rsidRPr="00645536">
        <w:rPr>
          <w:szCs w:val="26"/>
        </w:rPr>
        <w:t>”];</w:t>
      </w:r>
      <w:r w:rsidR="00A54A02" w:rsidRPr="00645536">
        <w:rPr>
          <w:szCs w:val="26"/>
        </w:rPr>
        <w:t xml:space="preserve"> </w:t>
      </w:r>
      <w:r w:rsidR="00D34C22" w:rsidRPr="00645536">
        <w:rPr>
          <w:i/>
          <w:iCs/>
          <w:szCs w:val="26"/>
        </w:rPr>
        <w:t>id.</w:t>
      </w:r>
      <w:r w:rsidR="00D34C22" w:rsidRPr="00645536">
        <w:rPr>
          <w:szCs w:val="26"/>
        </w:rPr>
        <w:t xml:space="preserve"> at p. </w:t>
      </w:r>
      <w:r w:rsidR="00A54A02" w:rsidRPr="00645536">
        <w:rPr>
          <w:szCs w:val="26"/>
        </w:rPr>
        <w:t>53527</w:t>
      </w:r>
      <w:r w:rsidR="00D34C22" w:rsidRPr="00645536">
        <w:rPr>
          <w:szCs w:val="26"/>
        </w:rPr>
        <w:t xml:space="preserve"> [</w:t>
      </w:r>
      <w:r w:rsidR="000656F3" w:rsidRPr="00645536">
        <w:rPr>
          <w:szCs w:val="26"/>
        </w:rPr>
        <w:t>“</w:t>
      </w:r>
      <w:r w:rsidR="00425B3B" w:rsidRPr="00645536">
        <w:rPr>
          <w:szCs w:val="26"/>
        </w:rPr>
        <w:t>In a case of nondelivery, total failure of performance, or the like, we believe that the consumer is entitled to a refund of monies paid on account.”]</w:t>
      </w:r>
      <w:r w:rsidR="00FB1B42" w:rsidRPr="00645536">
        <w:rPr>
          <w:szCs w:val="26"/>
        </w:rPr>
        <w:t xml:space="preserve">.)  </w:t>
      </w:r>
    </w:p>
    <w:p w14:paraId="5DD94A4A" w14:textId="6EF140C3" w:rsidR="00614F5C" w:rsidRPr="00645536" w:rsidRDefault="00FD1923" w:rsidP="00645536">
      <w:pPr>
        <w:ind w:firstLine="720"/>
        <w:rPr>
          <w:szCs w:val="26"/>
        </w:rPr>
      </w:pPr>
      <w:r w:rsidRPr="00645536">
        <w:rPr>
          <w:szCs w:val="26"/>
        </w:rPr>
        <w:t>Gu</w:t>
      </w:r>
      <w:r w:rsidR="00D72445" w:rsidRPr="00645536">
        <w:rPr>
          <w:szCs w:val="26"/>
        </w:rPr>
        <w:t xml:space="preserve">idance </w:t>
      </w:r>
      <w:r w:rsidRPr="00645536">
        <w:rPr>
          <w:szCs w:val="26"/>
        </w:rPr>
        <w:t xml:space="preserve">issued by the FTC </w:t>
      </w:r>
      <w:r w:rsidR="00BF34B1" w:rsidRPr="00645536">
        <w:rPr>
          <w:szCs w:val="26"/>
        </w:rPr>
        <w:t xml:space="preserve">on </w:t>
      </w:r>
      <w:r w:rsidR="005D57F0" w:rsidRPr="00645536">
        <w:rPr>
          <w:szCs w:val="26"/>
        </w:rPr>
        <w:t xml:space="preserve">the day the Rule went into effect </w:t>
      </w:r>
      <w:r w:rsidR="00D72445" w:rsidRPr="00645536">
        <w:rPr>
          <w:szCs w:val="26"/>
        </w:rPr>
        <w:t xml:space="preserve">suggests that “consequential damages and the like” </w:t>
      </w:r>
      <w:r w:rsidR="00B80285" w:rsidRPr="00645536">
        <w:rPr>
          <w:szCs w:val="26"/>
        </w:rPr>
        <w:t xml:space="preserve">are </w:t>
      </w:r>
      <w:r w:rsidR="00D72445" w:rsidRPr="00645536">
        <w:rPr>
          <w:szCs w:val="26"/>
        </w:rPr>
        <w:t>considered “recovery” under the Holder Rule and available up to the “amount</w:t>
      </w:r>
      <w:r w:rsidR="006A140F" w:rsidRPr="00645536">
        <w:rPr>
          <w:szCs w:val="26"/>
        </w:rPr>
        <w:t>[]</w:t>
      </w:r>
      <w:r w:rsidR="00D72445" w:rsidRPr="00645536">
        <w:rPr>
          <w:szCs w:val="26"/>
        </w:rPr>
        <w:t xml:space="preserve"> paid by the debtor” under the contract</w:t>
      </w:r>
      <w:r w:rsidR="00C9420F" w:rsidRPr="00645536">
        <w:rPr>
          <w:szCs w:val="26"/>
        </w:rPr>
        <w:t>.</w:t>
      </w:r>
      <w:r w:rsidR="000D7470" w:rsidRPr="00645536">
        <w:rPr>
          <w:b/>
          <w:bCs/>
          <w:szCs w:val="26"/>
        </w:rPr>
        <w:t xml:space="preserve">  </w:t>
      </w:r>
      <w:r w:rsidR="000D7470" w:rsidRPr="00645536">
        <w:rPr>
          <w:szCs w:val="26"/>
        </w:rPr>
        <w:t>(41 Fed.Reg.</w:t>
      </w:r>
      <w:r w:rsidR="004D49DC">
        <w:rPr>
          <w:szCs w:val="26"/>
        </w:rPr>
        <w:t xml:space="preserve">, </w:t>
      </w:r>
      <w:r w:rsidR="004D49DC">
        <w:rPr>
          <w:i/>
          <w:iCs/>
          <w:szCs w:val="26"/>
        </w:rPr>
        <w:t>supra</w:t>
      </w:r>
      <w:r w:rsidR="004D49DC">
        <w:rPr>
          <w:szCs w:val="26"/>
        </w:rPr>
        <w:t>,</w:t>
      </w:r>
      <w:r w:rsidR="004D49DC" w:rsidRPr="00645536">
        <w:rPr>
          <w:szCs w:val="26"/>
        </w:rPr>
        <w:t xml:space="preserve"> </w:t>
      </w:r>
      <w:r w:rsidR="004D49DC">
        <w:rPr>
          <w:szCs w:val="26"/>
        </w:rPr>
        <w:t>at p.</w:t>
      </w:r>
      <w:r w:rsidR="000D7470" w:rsidRPr="00645536">
        <w:rPr>
          <w:szCs w:val="26"/>
        </w:rPr>
        <w:t xml:space="preserve"> 20023.)</w:t>
      </w:r>
      <w:r w:rsidR="00C9420F" w:rsidRPr="00645536">
        <w:rPr>
          <w:szCs w:val="26"/>
        </w:rPr>
        <w:t xml:space="preserve">  </w:t>
      </w:r>
      <w:r w:rsidR="00181603">
        <w:rPr>
          <w:szCs w:val="26"/>
        </w:rPr>
        <w:t xml:space="preserve">While the guidance </w:t>
      </w:r>
      <w:r w:rsidR="005C7510">
        <w:rPr>
          <w:szCs w:val="26"/>
        </w:rPr>
        <w:t>notes that it has “not been formally reviewed or adopted by the Commission”</w:t>
      </w:r>
      <w:r w:rsidR="004E7E54">
        <w:rPr>
          <w:szCs w:val="26"/>
        </w:rPr>
        <w:t xml:space="preserve"> (</w:t>
      </w:r>
      <w:r w:rsidR="002F5A5D">
        <w:rPr>
          <w:i/>
          <w:iCs/>
          <w:szCs w:val="26"/>
        </w:rPr>
        <w:t>id.</w:t>
      </w:r>
      <w:r w:rsidR="002F5A5D">
        <w:rPr>
          <w:szCs w:val="26"/>
        </w:rPr>
        <w:t xml:space="preserve"> at p. 20022</w:t>
      </w:r>
      <w:r w:rsidR="004E7E54">
        <w:rPr>
          <w:szCs w:val="26"/>
        </w:rPr>
        <w:t xml:space="preserve">), </w:t>
      </w:r>
      <w:r w:rsidR="001B7292">
        <w:rPr>
          <w:szCs w:val="26"/>
        </w:rPr>
        <w:t>the FTC later highlighted its statements without disagreement in its 2019 Rule Confirmation.  (</w:t>
      </w:r>
      <w:r w:rsidR="004E7E54" w:rsidRPr="00645536">
        <w:rPr>
          <w:szCs w:val="26"/>
        </w:rPr>
        <w:t>84 Fed.Reg.</w:t>
      </w:r>
      <w:r w:rsidR="004D49DC">
        <w:rPr>
          <w:szCs w:val="26"/>
        </w:rPr>
        <w:t xml:space="preserve">, </w:t>
      </w:r>
      <w:r w:rsidR="004D49DC">
        <w:rPr>
          <w:i/>
          <w:iCs/>
          <w:szCs w:val="26"/>
        </w:rPr>
        <w:t>supra</w:t>
      </w:r>
      <w:r w:rsidR="004D49DC">
        <w:rPr>
          <w:szCs w:val="26"/>
        </w:rPr>
        <w:t>,</w:t>
      </w:r>
      <w:r w:rsidR="004D49DC" w:rsidRPr="00645536">
        <w:rPr>
          <w:szCs w:val="26"/>
        </w:rPr>
        <w:t xml:space="preserve"> </w:t>
      </w:r>
      <w:r w:rsidR="004D49DC">
        <w:rPr>
          <w:szCs w:val="26"/>
        </w:rPr>
        <w:t>at p.</w:t>
      </w:r>
      <w:r w:rsidR="004E7E54" w:rsidRPr="00645536">
        <w:t xml:space="preserve"> 18713, fn. 30</w:t>
      </w:r>
      <w:r w:rsidR="003E4AC9">
        <w:rPr>
          <w:szCs w:val="26"/>
        </w:rPr>
        <w:t xml:space="preserve">; see </w:t>
      </w:r>
      <w:r w:rsidR="00E9200B">
        <w:rPr>
          <w:i/>
          <w:iCs/>
          <w:color w:val="222222"/>
          <w:shd w:val="clear" w:color="auto" w:fill="FFFFFF"/>
          <w:lang w:eastAsia="zh-CN"/>
        </w:rPr>
        <w:t>Kisor</w:t>
      </w:r>
      <w:r w:rsidR="00E9200B">
        <w:rPr>
          <w:color w:val="222222"/>
          <w:shd w:val="clear" w:color="auto" w:fill="FFFFFF"/>
          <w:lang w:eastAsia="zh-CN"/>
        </w:rPr>
        <w:t xml:space="preserve">, </w:t>
      </w:r>
      <w:r w:rsidR="00E9200B">
        <w:rPr>
          <w:i/>
          <w:iCs/>
          <w:color w:val="222222"/>
          <w:shd w:val="clear" w:color="auto" w:fill="FFFFFF"/>
          <w:lang w:eastAsia="zh-CN"/>
        </w:rPr>
        <w:t>supra</w:t>
      </w:r>
      <w:r w:rsidR="00E9200B">
        <w:rPr>
          <w:color w:val="222222"/>
          <w:shd w:val="clear" w:color="auto" w:fill="FFFFFF"/>
          <w:lang w:eastAsia="zh-CN"/>
        </w:rPr>
        <w:t xml:space="preserve">, </w:t>
      </w:r>
      <w:r w:rsidR="00CA132E">
        <w:rPr>
          <w:szCs w:val="26"/>
        </w:rPr>
        <w:t>588 U.S. at p. __ [</w:t>
      </w:r>
      <w:r w:rsidR="00E9200B">
        <w:rPr>
          <w:color w:val="222222"/>
          <w:shd w:val="clear" w:color="auto" w:fill="FFFFFF"/>
          <w:lang w:eastAsia="zh-CN"/>
        </w:rPr>
        <w:t>139 S.Ct. at p. 2416</w:t>
      </w:r>
      <w:r w:rsidR="00CA132E">
        <w:rPr>
          <w:color w:val="222222"/>
          <w:shd w:val="clear" w:color="auto" w:fill="FFFFFF"/>
          <w:lang w:eastAsia="zh-CN"/>
        </w:rPr>
        <w:t>]</w:t>
      </w:r>
      <w:r w:rsidR="00E9200B">
        <w:rPr>
          <w:color w:val="222222"/>
          <w:shd w:val="clear" w:color="auto" w:fill="FFFFFF"/>
          <w:lang w:eastAsia="zh-CN"/>
        </w:rPr>
        <w:t xml:space="preserve"> [published staff guidance can be an appropriate source of insight], citing </w:t>
      </w:r>
      <w:r w:rsidR="00E9200B">
        <w:rPr>
          <w:i/>
          <w:iCs/>
          <w:color w:val="222222"/>
          <w:shd w:val="clear" w:color="auto" w:fill="FFFFFF"/>
          <w:lang w:eastAsia="zh-CN"/>
        </w:rPr>
        <w:t>Ford Motor Credit Co. v. Milhollin</w:t>
      </w:r>
      <w:r w:rsidR="00E9200B">
        <w:rPr>
          <w:color w:val="222222"/>
          <w:shd w:val="clear" w:color="auto" w:fill="FFFFFF"/>
          <w:lang w:eastAsia="zh-CN"/>
        </w:rPr>
        <w:t xml:space="preserve"> (1980) 444 U.S. 555, 566</w:t>
      </w:r>
      <w:r w:rsidR="0004209D">
        <w:rPr>
          <w:color w:val="222222"/>
          <w:shd w:val="clear" w:color="auto" w:fill="FFFFFF"/>
          <w:lang w:eastAsia="zh-CN"/>
        </w:rPr>
        <w:t xml:space="preserve">, fn. 9, </w:t>
      </w:r>
      <w:r w:rsidR="00E9200B">
        <w:rPr>
          <w:color w:val="222222"/>
          <w:shd w:val="clear" w:color="auto" w:fill="FFFFFF"/>
          <w:lang w:eastAsia="zh-CN"/>
        </w:rPr>
        <w:t>567</w:t>
      </w:r>
      <w:r w:rsidR="0004209D">
        <w:rPr>
          <w:color w:val="222222"/>
          <w:shd w:val="clear" w:color="auto" w:fill="FFFFFF"/>
          <w:lang w:eastAsia="zh-CN"/>
        </w:rPr>
        <w:t>, fn. 10</w:t>
      </w:r>
      <w:r w:rsidR="00E9200B">
        <w:rPr>
          <w:color w:val="222222"/>
          <w:shd w:val="clear" w:color="auto" w:fill="FFFFFF"/>
          <w:lang w:eastAsia="zh-CN"/>
        </w:rPr>
        <w:t xml:space="preserve">.)  </w:t>
      </w:r>
      <w:r w:rsidR="001B7292">
        <w:rPr>
          <w:szCs w:val="26"/>
        </w:rPr>
        <w:t xml:space="preserve">The </w:t>
      </w:r>
      <w:r w:rsidR="00D90F7E" w:rsidRPr="00645536">
        <w:rPr>
          <w:szCs w:val="26"/>
        </w:rPr>
        <w:t xml:space="preserve">guidance </w:t>
      </w:r>
      <w:r w:rsidR="000D7470" w:rsidRPr="00645536">
        <w:rPr>
          <w:szCs w:val="26"/>
        </w:rPr>
        <w:t>said</w:t>
      </w:r>
      <w:r w:rsidR="00D90F7E" w:rsidRPr="00645536">
        <w:rPr>
          <w:szCs w:val="26"/>
        </w:rPr>
        <w:t>:</w:t>
      </w:r>
      <w:r w:rsidR="00D72445" w:rsidRPr="00645536">
        <w:rPr>
          <w:szCs w:val="26"/>
        </w:rPr>
        <w:t xml:space="preserve"> </w:t>
      </w:r>
      <w:r w:rsidR="00521009" w:rsidRPr="00645536">
        <w:rPr>
          <w:szCs w:val="26"/>
        </w:rPr>
        <w:t xml:space="preserve"> “[T]he consumer may assert, by way of claim or defense, a right not to pay all or part of the outstanding balance owed the creditor under the contract; but the consumer will not be entitled to receive from the creditor an affirmative recovery which exceeds the amounts of money the consumer has paid in.  [¶] </w:t>
      </w:r>
      <w:r w:rsidR="00521009" w:rsidRPr="00645536">
        <w:rPr>
          <w:i/>
          <w:iCs/>
          <w:szCs w:val="26"/>
        </w:rPr>
        <w:t>Thus, if a seller’s conduct gives rise to damages in an amount exceeding the amounts paid under the contract</w:t>
      </w:r>
      <w:r w:rsidR="00521009" w:rsidRPr="00645536">
        <w:rPr>
          <w:szCs w:val="26"/>
        </w:rPr>
        <w:t xml:space="preserve">, the consumer may (1) sue to liquidate the unpaid balance owed to the creditor and to recover the amounts paid under the contract and/or (2) defend in a creditor action to collect the unpaid balance.  </w:t>
      </w:r>
      <w:r w:rsidR="00521009" w:rsidRPr="00645536">
        <w:rPr>
          <w:i/>
          <w:iCs/>
          <w:szCs w:val="26"/>
        </w:rPr>
        <w:t xml:space="preserve">The consumer may not assert </w:t>
      </w:r>
      <w:r w:rsidR="00FA1917">
        <w:rPr>
          <w:szCs w:val="26"/>
        </w:rPr>
        <w:t>[</w:t>
      </w:r>
      <w:r w:rsidR="00521009" w:rsidRPr="00645536">
        <w:rPr>
          <w:i/>
          <w:iCs/>
          <w:szCs w:val="26"/>
        </w:rPr>
        <w:t>against</w:t>
      </w:r>
      <w:r w:rsidR="00FA1917">
        <w:rPr>
          <w:szCs w:val="26"/>
        </w:rPr>
        <w:t>]</w:t>
      </w:r>
      <w:r w:rsidR="00521009" w:rsidRPr="00645536">
        <w:rPr>
          <w:i/>
          <w:iCs/>
          <w:szCs w:val="26"/>
        </w:rPr>
        <w:t xml:space="preserve"> the creditor any rights he might have against the seller for</w:t>
      </w:r>
      <w:r w:rsidR="00521009" w:rsidRPr="00645536">
        <w:rPr>
          <w:szCs w:val="26"/>
        </w:rPr>
        <w:t xml:space="preserve"> </w:t>
      </w:r>
      <w:r w:rsidR="00521009" w:rsidRPr="00645536">
        <w:rPr>
          <w:i/>
          <w:iCs/>
          <w:szCs w:val="26"/>
        </w:rPr>
        <w:t>additional</w:t>
      </w:r>
      <w:r w:rsidR="00521009" w:rsidRPr="00645536">
        <w:rPr>
          <w:szCs w:val="26"/>
        </w:rPr>
        <w:t xml:space="preserve"> </w:t>
      </w:r>
      <w:r w:rsidR="00521009" w:rsidRPr="00645536">
        <w:rPr>
          <w:i/>
          <w:iCs/>
          <w:szCs w:val="26"/>
        </w:rPr>
        <w:t>consequential damages and the like</w:t>
      </w:r>
      <w:r w:rsidR="00521009" w:rsidRPr="00645536">
        <w:rPr>
          <w:szCs w:val="26"/>
        </w:rPr>
        <w:t>.”  (</w:t>
      </w:r>
      <w:r w:rsidR="00FA1917" w:rsidRPr="00645536">
        <w:rPr>
          <w:szCs w:val="26"/>
        </w:rPr>
        <w:t>41 Fed.Reg.</w:t>
      </w:r>
      <w:r w:rsidR="00FA1917">
        <w:rPr>
          <w:szCs w:val="26"/>
        </w:rPr>
        <w:t xml:space="preserve">, </w:t>
      </w:r>
      <w:r w:rsidR="00FA1917">
        <w:rPr>
          <w:i/>
          <w:iCs/>
          <w:szCs w:val="26"/>
        </w:rPr>
        <w:t>supra</w:t>
      </w:r>
      <w:r w:rsidR="00FA1917">
        <w:rPr>
          <w:szCs w:val="26"/>
        </w:rPr>
        <w:t>,</w:t>
      </w:r>
      <w:r w:rsidR="00FA1917" w:rsidRPr="00645536">
        <w:rPr>
          <w:szCs w:val="26"/>
        </w:rPr>
        <w:t xml:space="preserve"> </w:t>
      </w:r>
      <w:r w:rsidR="00FA1917">
        <w:rPr>
          <w:szCs w:val="26"/>
        </w:rPr>
        <w:t>at p.</w:t>
      </w:r>
      <w:r w:rsidR="00FA1917" w:rsidRPr="00645536">
        <w:rPr>
          <w:szCs w:val="26"/>
        </w:rPr>
        <w:t xml:space="preserve"> 20023</w:t>
      </w:r>
      <w:r w:rsidR="00521009" w:rsidRPr="00645536">
        <w:rPr>
          <w:szCs w:val="26"/>
        </w:rPr>
        <w:t xml:space="preserve">, italics added.)  </w:t>
      </w:r>
      <w:r w:rsidR="001B6699" w:rsidRPr="00645536">
        <w:rPr>
          <w:szCs w:val="26"/>
        </w:rPr>
        <w:t xml:space="preserve">“[C]onsequential damages and the like” </w:t>
      </w:r>
      <w:r w:rsidR="0098270D" w:rsidRPr="00645536">
        <w:rPr>
          <w:szCs w:val="26"/>
        </w:rPr>
        <w:t xml:space="preserve">that </w:t>
      </w:r>
      <w:r w:rsidR="001B6699" w:rsidRPr="00645536">
        <w:rPr>
          <w:szCs w:val="26"/>
        </w:rPr>
        <w:t>exceed the amounts of money the consumer has paid in would not be recoverable based solely on the Holder Rule.  (</w:t>
      </w:r>
      <w:r w:rsidR="001B6699" w:rsidRPr="00645536">
        <w:rPr>
          <w:i/>
          <w:iCs/>
          <w:szCs w:val="26"/>
        </w:rPr>
        <w:t>Ibid</w:t>
      </w:r>
      <w:r w:rsidR="001B6699" w:rsidRPr="00645536">
        <w:rPr>
          <w:szCs w:val="26"/>
        </w:rPr>
        <w:t>.)</w:t>
      </w:r>
    </w:p>
    <w:p w14:paraId="5677BE2C" w14:textId="077EAF73" w:rsidR="00614F5C" w:rsidRPr="00645536" w:rsidRDefault="00D72445" w:rsidP="00645536">
      <w:pPr>
        <w:ind w:firstLine="720"/>
        <w:rPr>
          <w:szCs w:val="26"/>
        </w:rPr>
      </w:pPr>
      <w:r w:rsidRPr="00645536">
        <w:rPr>
          <w:szCs w:val="26"/>
        </w:rPr>
        <w:t xml:space="preserve">During congressional testimony shortly after the Rule’s passage, the acting director of the FTC’s Bureau of Consumer Protection </w:t>
      </w:r>
      <w:r w:rsidR="00F078FB" w:rsidRPr="00645536">
        <w:rPr>
          <w:szCs w:val="26"/>
        </w:rPr>
        <w:t xml:space="preserve">similarly </w:t>
      </w:r>
      <w:r w:rsidRPr="00645536">
        <w:rPr>
          <w:szCs w:val="26"/>
        </w:rPr>
        <w:t>described the “one express cautionary limitation on a creditor’s exposure[:]  The consumer may never recover consequential damages under the provision which exceed the amount of the credit contract.”  (Consumer Claims and Defenses</w:t>
      </w:r>
      <w:r w:rsidR="000101E1">
        <w:rPr>
          <w:szCs w:val="26"/>
        </w:rPr>
        <w:t>,</w:t>
      </w:r>
      <w:r w:rsidRPr="00645536">
        <w:rPr>
          <w:szCs w:val="26"/>
        </w:rPr>
        <w:t xml:space="preserve"> Hearings </w:t>
      </w:r>
      <w:r w:rsidR="001A3B59">
        <w:rPr>
          <w:szCs w:val="26"/>
        </w:rPr>
        <w:t>b</w:t>
      </w:r>
      <w:r w:rsidRPr="00645536">
        <w:rPr>
          <w:szCs w:val="26"/>
        </w:rPr>
        <w:t xml:space="preserve">efore </w:t>
      </w:r>
      <w:r w:rsidR="001A3B59">
        <w:rPr>
          <w:szCs w:val="26"/>
        </w:rPr>
        <w:t xml:space="preserve">House Com. on Interstate and Foreign Commerce, </w:t>
      </w:r>
      <w:r w:rsidRPr="00645536">
        <w:rPr>
          <w:szCs w:val="26"/>
        </w:rPr>
        <w:t>Subcom. on Consumer Protection and Finance, 94th Cong., 2d Sess.</w:t>
      </w:r>
      <w:r w:rsidR="001A3B59">
        <w:rPr>
          <w:szCs w:val="26"/>
        </w:rPr>
        <w:t xml:space="preserve">, at p. </w:t>
      </w:r>
      <w:r w:rsidR="001A3B59" w:rsidRPr="00645536">
        <w:rPr>
          <w:szCs w:val="26"/>
        </w:rPr>
        <w:t>23</w:t>
      </w:r>
      <w:r w:rsidRPr="00645536">
        <w:rPr>
          <w:szCs w:val="26"/>
        </w:rPr>
        <w:t xml:space="preserve"> (1976).)  </w:t>
      </w:r>
      <w:r w:rsidR="00C9474B" w:rsidRPr="00645536">
        <w:rPr>
          <w:szCs w:val="26"/>
        </w:rPr>
        <w:t>“The consumer, in all cases, is limited to the exact amount of legal damages</w:t>
      </w:r>
      <w:r w:rsidR="00614F5C" w:rsidRPr="00645536">
        <w:rPr>
          <w:szCs w:val="26"/>
        </w:rPr>
        <w:t>.  Only when a consumer’s legal damages exceed the amounts he still owes a creditor under the contract will the consumer be in a position to seek a return of all or part of the monies he has already paid.</w:t>
      </w:r>
      <w:r w:rsidR="00637A73" w:rsidRPr="00645536">
        <w:rPr>
          <w:szCs w:val="26"/>
        </w:rPr>
        <w:t>”  (</w:t>
      </w:r>
      <w:r w:rsidR="00637A73" w:rsidRPr="00645536">
        <w:rPr>
          <w:i/>
          <w:iCs/>
          <w:szCs w:val="26"/>
        </w:rPr>
        <w:t>Ibid</w:t>
      </w:r>
      <w:r w:rsidR="002A1E8F" w:rsidRPr="00645536">
        <w:rPr>
          <w:szCs w:val="26"/>
        </w:rPr>
        <w:t>.</w:t>
      </w:r>
      <w:r w:rsidR="00637A73" w:rsidRPr="00645536">
        <w:rPr>
          <w:szCs w:val="26"/>
        </w:rPr>
        <w:t>)</w:t>
      </w:r>
    </w:p>
    <w:p w14:paraId="1A902391" w14:textId="53CABC37" w:rsidR="00894BCE" w:rsidRPr="00645536" w:rsidRDefault="00894BCE" w:rsidP="00645536">
      <w:pPr>
        <w:ind w:firstLine="720"/>
        <w:rPr>
          <w:szCs w:val="26"/>
        </w:rPr>
      </w:pPr>
      <w:r w:rsidRPr="00645536">
        <w:rPr>
          <w:szCs w:val="26"/>
        </w:rPr>
        <w:t>Amic</w:t>
      </w:r>
      <w:r w:rsidR="001B322F" w:rsidRPr="00645536">
        <w:rPr>
          <w:szCs w:val="26"/>
        </w:rPr>
        <w:t>i</w:t>
      </w:r>
      <w:r w:rsidR="00825C48" w:rsidRPr="00645536">
        <w:rPr>
          <w:szCs w:val="26"/>
        </w:rPr>
        <w:t xml:space="preserve"> curiae in support</w:t>
      </w:r>
      <w:r w:rsidRPr="00645536">
        <w:rPr>
          <w:szCs w:val="26"/>
        </w:rPr>
        <w:t xml:space="preserve"> of TDAF </w:t>
      </w:r>
      <w:r w:rsidR="00F41671" w:rsidRPr="00645536">
        <w:rPr>
          <w:szCs w:val="26"/>
        </w:rPr>
        <w:t>argue that the FTC’s repeated references to damages in its Statement of Basis and Purpose demonstrate</w:t>
      </w:r>
      <w:r w:rsidR="00A33CF6" w:rsidRPr="00645536">
        <w:rPr>
          <w:szCs w:val="26"/>
        </w:rPr>
        <w:t xml:space="preserve"> </w:t>
      </w:r>
      <w:r w:rsidR="00DD69E6" w:rsidRPr="00645536">
        <w:rPr>
          <w:szCs w:val="26"/>
        </w:rPr>
        <w:t xml:space="preserve">that </w:t>
      </w:r>
      <w:r w:rsidR="00E14BA4" w:rsidRPr="00645536">
        <w:rPr>
          <w:szCs w:val="26"/>
        </w:rPr>
        <w:t xml:space="preserve">“if the FTC had intended to limit only damage awards it would have rewritten the Rule’s second sentence thus:  ‘Recovery </w:t>
      </w:r>
      <w:r w:rsidR="00E14BA4" w:rsidRPr="00645536">
        <w:rPr>
          <w:i/>
          <w:iCs/>
          <w:szCs w:val="26"/>
        </w:rPr>
        <w:t>of damages</w:t>
      </w:r>
      <w:r w:rsidR="002D057E" w:rsidRPr="00645536">
        <w:rPr>
          <w:szCs w:val="26"/>
        </w:rPr>
        <w:t xml:space="preserve"> hereunder by the debtor shall not exceed amounts paid by the debtor hereunder.’ ”  </w:t>
      </w:r>
      <w:r w:rsidR="001C6CED" w:rsidRPr="00645536">
        <w:rPr>
          <w:szCs w:val="26"/>
        </w:rPr>
        <w:t xml:space="preserve">(Italics added.)  </w:t>
      </w:r>
      <w:r w:rsidR="00A042B0" w:rsidRPr="00645536">
        <w:rPr>
          <w:szCs w:val="26"/>
        </w:rPr>
        <w:t xml:space="preserve">Amici </w:t>
      </w:r>
      <w:r w:rsidR="00994425">
        <w:rPr>
          <w:szCs w:val="26"/>
        </w:rPr>
        <w:t xml:space="preserve">curiae </w:t>
      </w:r>
      <w:r w:rsidR="00A042B0" w:rsidRPr="00645536">
        <w:rPr>
          <w:szCs w:val="26"/>
        </w:rPr>
        <w:t xml:space="preserve">argue </w:t>
      </w:r>
      <w:r w:rsidR="005E77A4" w:rsidRPr="00645536">
        <w:rPr>
          <w:szCs w:val="26"/>
        </w:rPr>
        <w:t>that the FTC “</w:t>
      </w:r>
      <w:r w:rsidR="00323480" w:rsidRPr="00645536">
        <w:rPr>
          <w:szCs w:val="26"/>
        </w:rPr>
        <w:t>deliberately began the Holder Rule’s second sentence with a different word</w:t>
      </w:r>
      <w:r w:rsidR="00DC0B8C" w:rsidRPr="00645536">
        <w:rPr>
          <w:szCs w:val="26"/>
        </w:rPr>
        <w:t xml:space="preserve"> </w:t>
      </w:r>
      <w:r w:rsidR="00323480" w:rsidRPr="00645536">
        <w:rPr>
          <w:szCs w:val="26"/>
        </w:rPr>
        <w:t>having a broader meaning</w:t>
      </w:r>
      <w:r w:rsidR="00DC0B8C" w:rsidRPr="00645536">
        <w:rPr>
          <w:szCs w:val="26"/>
        </w:rPr>
        <w:t>.</w:t>
      </w:r>
      <w:r w:rsidR="00956ED3" w:rsidRPr="00645536">
        <w:rPr>
          <w:szCs w:val="26"/>
        </w:rPr>
        <w:t xml:space="preserve">” </w:t>
      </w:r>
      <w:r w:rsidR="00DC0B8C" w:rsidRPr="00645536">
        <w:rPr>
          <w:szCs w:val="26"/>
        </w:rPr>
        <w:t xml:space="preserve"> </w:t>
      </w:r>
      <w:r w:rsidR="006732C3" w:rsidRPr="00645536">
        <w:rPr>
          <w:szCs w:val="26"/>
        </w:rPr>
        <w:t>B</w:t>
      </w:r>
      <w:r w:rsidR="00323480" w:rsidRPr="00645536">
        <w:rPr>
          <w:szCs w:val="26"/>
        </w:rPr>
        <w:t xml:space="preserve">ut </w:t>
      </w:r>
      <w:r w:rsidR="00E934D7" w:rsidRPr="00645536">
        <w:rPr>
          <w:szCs w:val="26"/>
        </w:rPr>
        <w:t>they cite nothing in the regulatory history of the Rule that would lead us to so conclude</w:t>
      </w:r>
      <w:r w:rsidR="00F24670" w:rsidRPr="00645536">
        <w:rPr>
          <w:szCs w:val="26"/>
        </w:rPr>
        <w:t>; t</w:t>
      </w:r>
      <w:r w:rsidR="004052FA" w:rsidRPr="00645536">
        <w:rPr>
          <w:szCs w:val="26"/>
        </w:rPr>
        <w:t xml:space="preserve">here is no discussion </w:t>
      </w:r>
      <w:r w:rsidR="001D4273" w:rsidRPr="00645536">
        <w:rPr>
          <w:szCs w:val="26"/>
        </w:rPr>
        <w:t>of recovery of costs, attorney’s fees</w:t>
      </w:r>
      <w:r w:rsidR="000F4AEF" w:rsidRPr="00645536">
        <w:rPr>
          <w:szCs w:val="26"/>
        </w:rPr>
        <w:t xml:space="preserve">, or anything but damages.  Had the FTC intended </w:t>
      </w:r>
      <w:r w:rsidR="004011CF" w:rsidRPr="00645536">
        <w:rPr>
          <w:szCs w:val="26"/>
        </w:rPr>
        <w:t>its Rule to sweep so broadly</w:t>
      </w:r>
      <w:r w:rsidR="00DB19CE" w:rsidRPr="00645536">
        <w:rPr>
          <w:szCs w:val="26"/>
        </w:rPr>
        <w:t xml:space="preserve">, </w:t>
      </w:r>
      <w:r w:rsidR="006732C3" w:rsidRPr="00645536">
        <w:rPr>
          <w:szCs w:val="26"/>
        </w:rPr>
        <w:t xml:space="preserve">we </w:t>
      </w:r>
      <w:r w:rsidR="00F50925" w:rsidRPr="00645536">
        <w:rPr>
          <w:szCs w:val="26"/>
        </w:rPr>
        <w:t xml:space="preserve">would </w:t>
      </w:r>
      <w:r w:rsidR="00C52C36" w:rsidRPr="00645536">
        <w:rPr>
          <w:szCs w:val="26"/>
        </w:rPr>
        <w:t xml:space="preserve">expect </w:t>
      </w:r>
      <w:r w:rsidR="00541513" w:rsidRPr="00645536">
        <w:rPr>
          <w:szCs w:val="26"/>
        </w:rPr>
        <w:t xml:space="preserve">to see some </w:t>
      </w:r>
      <w:r w:rsidR="001B6BD4" w:rsidRPr="00645536">
        <w:rPr>
          <w:szCs w:val="26"/>
        </w:rPr>
        <w:t xml:space="preserve">discussion of </w:t>
      </w:r>
      <w:r w:rsidR="00F50925" w:rsidRPr="00645536">
        <w:rPr>
          <w:szCs w:val="26"/>
        </w:rPr>
        <w:t>other types of awards</w:t>
      </w:r>
      <w:r w:rsidR="00F24670" w:rsidRPr="00645536">
        <w:rPr>
          <w:szCs w:val="26"/>
        </w:rPr>
        <w:t>, not just</w:t>
      </w:r>
      <w:r w:rsidR="00F50925" w:rsidRPr="00645536">
        <w:rPr>
          <w:szCs w:val="26"/>
        </w:rPr>
        <w:t xml:space="preserve"> </w:t>
      </w:r>
      <w:r w:rsidR="001B6BD4" w:rsidRPr="00645536">
        <w:rPr>
          <w:szCs w:val="26"/>
        </w:rPr>
        <w:t>damages</w:t>
      </w:r>
      <w:r w:rsidR="006768C3" w:rsidRPr="00645536">
        <w:rPr>
          <w:szCs w:val="26"/>
        </w:rPr>
        <w:t xml:space="preserve">.  </w:t>
      </w:r>
    </w:p>
    <w:p w14:paraId="5634C807" w14:textId="7F656B2D" w:rsidR="00F020BF" w:rsidRPr="00645536" w:rsidRDefault="000D7470" w:rsidP="001044D9">
      <w:pPr>
        <w:ind w:firstLine="720"/>
        <w:rPr>
          <w:szCs w:val="26"/>
        </w:rPr>
      </w:pPr>
      <w:r w:rsidRPr="00645536">
        <w:rPr>
          <w:szCs w:val="26"/>
        </w:rPr>
        <w:t xml:space="preserve">In sum, </w:t>
      </w:r>
      <w:r w:rsidR="00F14A81" w:rsidRPr="00645536">
        <w:rPr>
          <w:szCs w:val="26"/>
        </w:rPr>
        <w:t xml:space="preserve">the FTC had damages in mind when limiting recovery under the Rule, </w:t>
      </w:r>
      <w:r w:rsidRPr="00645536">
        <w:rPr>
          <w:szCs w:val="26"/>
        </w:rPr>
        <w:t xml:space="preserve">and there is no indication that </w:t>
      </w:r>
      <w:r w:rsidR="00F14A81" w:rsidRPr="00645536">
        <w:rPr>
          <w:szCs w:val="26"/>
        </w:rPr>
        <w:t xml:space="preserve">attorney’s fees were intended to be included within its scope.  </w:t>
      </w:r>
      <w:r w:rsidR="0060030E">
        <w:rPr>
          <w:szCs w:val="26"/>
        </w:rPr>
        <w:t>T</w:t>
      </w:r>
      <w:r w:rsidR="00CA35E0">
        <w:rPr>
          <w:szCs w:val="26"/>
        </w:rPr>
        <w:t xml:space="preserve">he FTC was aware of the diversity </w:t>
      </w:r>
      <w:r w:rsidR="0026305E">
        <w:rPr>
          <w:szCs w:val="26"/>
        </w:rPr>
        <w:t xml:space="preserve">among states </w:t>
      </w:r>
      <w:r w:rsidR="00CA35E0">
        <w:rPr>
          <w:szCs w:val="26"/>
        </w:rPr>
        <w:t>when it came to consumer p</w:t>
      </w:r>
      <w:r w:rsidR="0026305E">
        <w:rPr>
          <w:szCs w:val="26"/>
        </w:rPr>
        <w:t>rotection and other laws</w:t>
      </w:r>
      <w:r w:rsidR="00CA35E0">
        <w:rPr>
          <w:szCs w:val="26"/>
        </w:rPr>
        <w:t>.  (</w:t>
      </w:r>
      <w:r w:rsidR="00B0208F">
        <w:rPr>
          <w:szCs w:val="26"/>
        </w:rPr>
        <w:t>See, e.g., 40 Fed.Reg.</w:t>
      </w:r>
      <w:r w:rsidR="004D49DC">
        <w:rPr>
          <w:szCs w:val="26"/>
        </w:rPr>
        <w:t xml:space="preserve">, </w:t>
      </w:r>
      <w:r w:rsidR="004D49DC">
        <w:rPr>
          <w:i/>
          <w:iCs/>
          <w:szCs w:val="26"/>
        </w:rPr>
        <w:t>supra</w:t>
      </w:r>
      <w:r w:rsidR="004D49DC">
        <w:rPr>
          <w:szCs w:val="26"/>
        </w:rPr>
        <w:t>,</w:t>
      </w:r>
      <w:r w:rsidR="004D49DC" w:rsidRPr="00645536">
        <w:rPr>
          <w:szCs w:val="26"/>
        </w:rPr>
        <w:t xml:space="preserve"> </w:t>
      </w:r>
      <w:r w:rsidR="004D49DC">
        <w:rPr>
          <w:szCs w:val="26"/>
        </w:rPr>
        <w:t>at pp.</w:t>
      </w:r>
      <w:r w:rsidR="00F04388">
        <w:rPr>
          <w:szCs w:val="26"/>
        </w:rPr>
        <w:t> </w:t>
      </w:r>
      <w:r w:rsidR="0041133C">
        <w:rPr>
          <w:szCs w:val="26"/>
        </w:rPr>
        <w:t>53510, 53512, 5352</w:t>
      </w:r>
      <w:r w:rsidR="004424D0">
        <w:rPr>
          <w:szCs w:val="26"/>
        </w:rPr>
        <w:t>0–</w:t>
      </w:r>
      <w:r w:rsidR="00C35EF2">
        <w:rPr>
          <w:szCs w:val="26"/>
        </w:rPr>
        <w:t>5352</w:t>
      </w:r>
      <w:r w:rsidR="0041133C">
        <w:rPr>
          <w:szCs w:val="26"/>
        </w:rPr>
        <w:t>1</w:t>
      </w:r>
      <w:r w:rsidR="00CA35E0">
        <w:rPr>
          <w:szCs w:val="26"/>
        </w:rPr>
        <w:t xml:space="preserve">.)  In California, </w:t>
      </w:r>
      <w:r w:rsidR="00D72445" w:rsidRPr="00645536">
        <w:rPr>
          <w:szCs w:val="26"/>
        </w:rPr>
        <w:t>“</w:t>
      </w:r>
      <w:r w:rsidR="00CA35E0">
        <w:rPr>
          <w:szCs w:val="26"/>
        </w:rPr>
        <w:t>a</w:t>
      </w:r>
      <w:r w:rsidR="00D72445" w:rsidRPr="00645536">
        <w:rPr>
          <w:szCs w:val="26"/>
        </w:rPr>
        <w:t xml:space="preserve">ttorney’s fees </w:t>
      </w:r>
      <w:r w:rsidR="00D72445" w:rsidRPr="00645536">
        <w:rPr>
          <w:i/>
        </w:rPr>
        <w:t>qua</w:t>
      </w:r>
      <w:r w:rsidR="00D72445" w:rsidRPr="00645536">
        <w:rPr>
          <w:szCs w:val="26"/>
        </w:rPr>
        <w:t xml:space="preserve"> attorney’s fees”</w:t>
      </w:r>
      <w:r w:rsidR="00F31356">
        <w:rPr>
          <w:szCs w:val="26"/>
        </w:rPr>
        <w:t> </w:t>
      </w:r>
      <w:r w:rsidR="00D72445" w:rsidRPr="00645536">
        <w:rPr>
          <w:szCs w:val="26"/>
        </w:rPr>
        <w:t>— that is, the fees “attributable to the bringing of the . . . action itself”</w:t>
      </w:r>
      <w:r w:rsidR="00F31356">
        <w:rPr>
          <w:szCs w:val="26"/>
        </w:rPr>
        <w:t> </w:t>
      </w:r>
      <w:r w:rsidR="00D72445" w:rsidRPr="00645536">
        <w:rPr>
          <w:szCs w:val="26"/>
        </w:rPr>
        <w:t>— are not an element of damages.  (</w:t>
      </w:r>
      <w:r w:rsidR="00521FCC" w:rsidRPr="00645536">
        <w:rPr>
          <w:i/>
          <w:iCs/>
          <w:szCs w:val="26"/>
        </w:rPr>
        <w:t>Brandt v. Superior Court</w:t>
      </w:r>
      <w:r w:rsidR="00521FCC" w:rsidRPr="00645536">
        <w:rPr>
          <w:szCs w:val="26"/>
        </w:rPr>
        <w:t xml:space="preserve"> (1985) 37 Cal.3d 813, </w:t>
      </w:r>
      <w:r w:rsidR="00DD2259">
        <w:rPr>
          <w:szCs w:val="26"/>
        </w:rPr>
        <w:t xml:space="preserve">818, </w:t>
      </w:r>
      <w:r w:rsidR="00521FCC" w:rsidRPr="00645536">
        <w:rPr>
          <w:szCs w:val="26"/>
        </w:rPr>
        <w:t>817</w:t>
      </w:r>
      <w:r w:rsidR="00B7798D" w:rsidRPr="00C751A0">
        <w:rPr>
          <w:szCs w:val="26"/>
        </w:rPr>
        <w:t>.)</w:t>
      </w:r>
      <w:r w:rsidR="008B769A" w:rsidRPr="00C751A0">
        <w:rPr>
          <w:szCs w:val="26"/>
        </w:rPr>
        <w:t xml:space="preserve">  </w:t>
      </w:r>
      <w:r w:rsidR="00FA368F" w:rsidRPr="00C751A0">
        <w:rPr>
          <w:szCs w:val="26"/>
        </w:rPr>
        <w:t xml:space="preserve">Instead, they are defined as </w:t>
      </w:r>
      <w:r w:rsidR="001044D9" w:rsidRPr="00C751A0">
        <w:rPr>
          <w:szCs w:val="26"/>
        </w:rPr>
        <w:t>“</w:t>
      </w:r>
      <w:r w:rsidR="00FA368F" w:rsidRPr="00C751A0">
        <w:rPr>
          <w:szCs w:val="26"/>
        </w:rPr>
        <w:t>costs</w:t>
      </w:r>
      <w:r w:rsidR="001044D9" w:rsidRPr="00C751A0">
        <w:rPr>
          <w:szCs w:val="26"/>
        </w:rPr>
        <w:t>.”  (</w:t>
      </w:r>
      <w:r w:rsidR="008705CE" w:rsidRPr="00C751A0">
        <w:rPr>
          <w:szCs w:val="26"/>
        </w:rPr>
        <w:t xml:space="preserve">Code </w:t>
      </w:r>
      <w:r w:rsidR="00FD1F52" w:rsidRPr="00C751A0">
        <w:rPr>
          <w:szCs w:val="26"/>
        </w:rPr>
        <w:t>Civ</w:t>
      </w:r>
      <w:r w:rsidR="001044D9" w:rsidRPr="00C751A0">
        <w:rPr>
          <w:szCs w:val="26"/>
        </w:rPr>
        <w:t>.</w:t>
      </w:r>
      <w:r w:rsidR="00FD1F52" w:rsidRPr="00C751A0">
        <w:rPr>
          <w:szCs w:val="26"/>
        </w:rPr>
        <w:t xml:space="preserve"> </w:t>
      </w:r>
      <w:r w:rsidR="00B44AFC" w:rsidRPr="00C751A0">
        <w:rPr>
          <w:szCs w:val="26"/>
        </w:rPr>
        <w:t>Proc</w:t>
      </w:r>
      <w:r w:rsidR="001044D9" w:rsidRPr="00C751A0">
        <w:rPr>
          <w:szCs w:val="26"/>
        </w:rPr>
        <w:t>.,</w:t>
      </w:r>
      <w:r w:rsidR="00B44AFC" w:rsidRPr="00C751A0">
        <w:rPr>
          <w:szCs w:val="26"/>
        </w:rPr>
        <w:t xml:space="preserve"> </w:t>
      </w:r>
      <w:r w:rsidR="001044D9" w:rsidRPr="00C751A0">
        <w:rPr>
          <w:szCs w:val="26"/>
        </w:rPr>
        <w:t>§ </w:t>
      </w:r>
      <w:r w:rsidR="008705CE" w:rsidRPr="00C751A0">
        <w:rPr>
          <w:szCs w:val="26"/>
        </w:rPr>
        <w:t>1033.5, subd</w:t>
      </w:r>
      <w:r w:rsidR="001044D9" w:rsidRPr="00C751A0">
        <w:rPr>
          <w:szCs w:val="26"/>
        </w:rPr>
        <w:t>.</w:t>
      </w:r>
      <w:r w:rsidR="008705CE" w:rsidRPr="00C751A0">
        <w:rPr>
          <w:szCs w:val="26"/>
        </w:rPr>
        <w:t xml:space="preserve"> (a)(10)</w:t>
      </w:r>
      <w:r w:rsidR="001044D9" w:rsidRPr="00C751A0">
        <w:rPr>
          <w:szCs w:val="26"/>
        </w:rPr>
        <w:t>.)</w:t>
      </w:r>
      <w:r w:rsidR="008705CE" w:rsidRPr="00C751A0">
        <w:rPr>
          <w:szCs w:val="26"/>
        </w:rPr>
        <w:t xml:space="preserve"> </w:t>
      </w:r>
      <w:r w:rsidR="003D5F99" w:rsidRPr="00C751A0">
        <w:t>And, except as otherwise expressly provided by statute, a prevailing party in California “is entitled as a matter of right to recover costs</w:t>
      </w:r>
      <w:r w:rsidR="003D5F99" w:rsidRPr="00C751A0">
        <w:rPr>
          <w:i/>
          <w:iCs/>
        </w:rPr>
        <w:t xml:space="preserve"> </w:t>
      </w:r>
      <w:r w:rsidR="003D5F99" w:rsidRPr="00C751A0">
        <w:t>in any action or proceeding.”  (</w:t>
      </w:r>
      <w:r w:rsidR="003D5F99" w:rsidRPr="00C751A0">
        <w:rPr>
          <w:i/>
          <w:iCs/>
        </w:rPr>
        <w:t>Id.</w:t>
      </w:r>
      <w:r w:rsidR="003D5F99" w:rsidRPr="00C751A0">
        <w:t>, § 1032, subd. (b).)  California’s costs statute further specifies attorney’s fees are allowable as costs when authorized by contract, statute, or law.  (</w:t>
      </w:r>
      <w:r w:rsidR="003D5F99" w:rsidRPr="00C751A0">
        <w:rPr>
          <w:i/>
          <w:iCs/>
        </w:rPr>
        <w:t>Id.</w:t>
      </w:r>
      <w:r w:rsidR="003D5F99" w:rsidRPr="00C751A0">
        <w:t>, § 1033.5, subd. (a)(10).</w:t>
      </w:r>
      <w:r w:rsidR="0078607B">
        <w:t>)</w:t>
      </w:r>
      <w:r w:rsidR="003D5F99" w:rsidRPr="00C751A0">
        <w:t xml:space="preserve">  </w:t>
      </w:r>
      <w:r w:rsidR="004473FC" w:rsidRPr="00C751A0">
        <w:rPr>
          <w:szCs w:val="26"/>
        </w:rPr>
        <w:t xml:space="preserve">The </w:t>
      </w:r>
      <w:r w:rsidR="003813D3" w:rsidRPr="00C751A0">
        <w:rPr>
          <w:szCs w:val="26"/>
        </w:rPr>
        <w:t>Song-Beverly Act</w:t>
      </w:r>
      <w:r w:rsidR="004473FC" w:rsidRPr="00C751A0">
        <w:rPr>
          <w:szCs w:val="26"/>
        </w:rPr>
        <w:t xml:space="preserve"> is </w:t>
      </w:r>
      <w:r w:rsidR="003D5F99" w:rsidRPr="00C751A0">
        <w:t>one such statute</w:t>
      </w:r>
      <w:r w:rsidR="00F27FF3" w:rsidRPr="00C751A0">
        <w:rPr>
          <w:szCs w:val="26"/>
        </w:rPr>
        <w:t>.</w:t>
      </w:r>
      <w:r w:rsidR="004473FC" w:rsidRPr="00C751A0">
        <w:rPr>
          <w:szCs w:val="26"/>
        </w:rPr>
        <w:t xml:space="preserve">  </w:t>
      </w:r>
      <w:r w:rsidR="00082399" w:rsidRPr="00645536">
        <w:rPr>
          <w:szCs w:val="26"/>
        </w:rPr>
        <w:t xml:space="preserve">Under </w:t>
      </w:r>
      <w:r w:rsidR="00DD2259">
        <w:rPr>
          <w:szCs w:val="26"/>
        </w:rPr>
        <w:t xml:space="preserve">Civil Code </w:t>
      </w:r>
      <w:r w:rsidR="00082399" w:rsidRPr="00645536">
        <w:rPr>
          <w:szCs w:val="26"/>
        </w:rPr>
        <w:t>section 1794, subdivision (b), b</w:t>
      </w:r>
      <w:r w:rsidR="002875EF" w:rsidRPr="00645536">
        <w:rPr>
          <w:szCs w:val="26"/>
        </w:rPr>
        <w:t>uyers</w:t>
      </w:r>
      <w:r w:rsidR="004473FC" w:rsidRPr="00645536">
        <w:rPr>
          <w:szCs w:val="26"/>
        </w:rPr>
        <w:t xml:space="preserve"> of consumer goods </w:t>
      </w:r>
      <w:r w:rsidR="00A95D78" w:rsidRPr="00645536">
        <w:rPr>
          <w:szCs w:val="26"/>
        </w:rPr>
        <w:t xml:space="preserve">may seek “damages </w:t>
      </w:r>
      <w:r w:rsidR="007272BC" w:rsidRPr="00645536">
        <w:rPr>
          <w:szCs w:val="26"/>
        </w:rPr>
        <w:t xml:space="preserve">. . . </w:t>
      </w:r>
      <w:r w:rsidR="00A95D78" w:rsidRPr="00645536">
        <w:rPr>
          <w:szCs w:val="26"/>
        </w:rPr>
        <w:t>includ[ing] the rights of replacement or reimbursement</w:t>
      </w:r>
      <w:r w:rsidR="007272BC" w:rsidRPr="00645536">
        <w:rPr>
          <w:szCs w:val="26"/>
        </w:rPr>
        <w:t>.</w:t>
      </w:r>
      <w:r w:rsidR="00F27FF3" w:rsidRPr="00645536">
        <w:rPr>
          <w:szCs w:val="26"/>
        </w:rPr>
        <w:t>”</w:t>
      </w:r>
      <w:r w:rsidR="007272BC" w:rsidRPr="00645536">
        <w:rPr>
          <w:szCs w:val="26"/>
        </w:rPr>
        <w:t xml:space="preserve">  Subdivision (d) separately </w:t>
      </w:r>
      <w:r w:rsidR="00A53EBA" w:rsidRPr="00645536">
        <w:rPr>
          <w:szCs w:val="26"/>
        </w:rPr>
        <w:t>provides that buyers may</w:t>
      </w:r>
      <w:r w:rsidR="00383F07" w:rsidRPr="00645536">
        <w:rPr>
          <w:szCs w:val="26"/>
        </w:rPr>
        <w:t>,</w:t>
      </w:r>
      <w:r w:rsidR="00A53EBA" w:rsidRPr="00645536">
        <w:rPr>
          <w:szCs w:val="26"/>
        </w:rPr>
        <w:t xml:space="preserve"> </w:t>
      </w:r>
      <w:r w:rsidR="00F63139" w:rsidRPr="00645536">
        <w:rPr>
          <w:szCs w:val="26"/>
        </w:rPr>
        <w:t>“as part of the judgment,” recover “costs and expenses, including attorney’s fees.”</w:t>
      </w:r>
      <w:r w:rsidR="00F27FF3" w:rsidRPr="00645536">
        <w:rPr>
          <w:szCs w:val="26"/>
        </w:rPr>
        <w:t xml:space="preserve"> </w:t>
      </w:r>
      <w:r w:rsidR="002875EF" w:rsidRPr="00645536">
        <w:rPr>
          <w:szCs w:val="26"/>
        </w:rPr>
        <w:t xml:space="preserve"> </w:t>
      </w:r>
      <w:r w:rsidR="00443788">
        <w:rPr>
          <w:szCs w:val="26"/>
        </w:rPr>
        <w:t>The regulatory history provides no reason to think the FTC</w:t>
      </w:r>
      <w:r w:rsidR="00631AD4">
        <w:rPr>
          <w:szCs w:val="26"/>
        </w:rPr>
        <w:t xml:space="preserve"> </w:t>
      </w:r>
      <w:r w:rsidR="00D8472A">
        <w:rPr>
          <w:szCs w:val="26"/>
        </w:rPr>
        <w:t xml:space="preserve">intended to </w:t>
      </w:r>
      <w:r w:rsidR="006D2865">
        <w:rPr>
          <w:szCs w:val="26"/>
        </w:rPr>
        <w:t>alter this state-specific statutory framework.</w:t>
      </w:r>
    </w:p>
    <w:p w14:paraId="629FEEC5" w14:textId="5D496A3F" w:rsidR="00DE541D" w:rsidRPr="00645536" w:rsidRDefault="00DE541D" w:rsidP="00C751A0">
      <w:pPr>
        <w:keepNext/>
        <w:jc w:val="center"/>
        <w:rPr>
          <w:b/>
          <w:bCs/>
          <w:noProof/>
        </w:rPr>
      </w:pPr>
      <w:r w:rsidRPr="00645536">
        <w:rPr>
          <w:b/>
          <w:bCs/>
          <w:noProof/>
        </w:rPr>
        <w:t>C.</w:t>
      </w:r>
    </w:p>
    <w:p w14:paraId="6DEC192C" w14:textId="315BF494" w:rsidR="007B71C5" w:rsidRPr="00645536" w:rsidRDefault="000D0B68" w:rsidP="00C751A0">
      <w:pPr>
        <w:keepNext/>
        <w:ind w:firstLine="720"/>
        <w:rPr>
          <w:noProof/>
        </w:rPr>
      </w:pPr>
      <w:r w:rsidRPr="00B26623">
        <w:rPr>
          <w:szCs w:val="26"/>
        </w:rPr>
        <w:t>T</w:t>
      </w:r>
      <w:r w:rsidR="006D5A25" w:rsidRPr="00B26623">
        <w:rPr>
          <w:szCs w:val="26"/>
        </w:rPr>
        <w:t xml:space="preserve">he Holder Rule’s regulatory history </w:t>
      </w:r>
      <w:r w:rsidRPr="00B26623">
        <w:rPr>
          <w:szCs w:val="26"/>
        </w:rPr>
        <w:t xml:space="preserve">also </w:t>
      </w:r>
      <w:r w:rsidR="006D5A25" w:rsidRPr="00B26623">
        <w:rPr>
          <w:szCs w:val="26"/>
        </w:rPr>
        <w:t>demonstrate</w:t>
      </w:r>
      <w:r w:rsidR="00912387" w:rsidRPr="00B26623">
        <w:rPr>
          <w:szCs w:val="26"/>
        </w:rPr>
        <w:t>s</w:t>
      </w:r>
      <w:r w:rsidR="00845C18" w:rsidRPr="00B26623">
        <w:rPr>
          <w:szCs w:val="26"/>
        </w:rPr>
        <w:t xml:space="preserve"> </w:t>
      </w:r>
      <w:r w:rsidR="00BE2B77" w:rsidRPr="00B26623">
        <w:rPr>
          <w:noProof/>
        </w:rPr>
        <w:t xml:space="preserve">the FTC’s </w:t>
      </w:r>
      <w:r w:rsidR="00105D90">
        <w:rPr>
          <w:noProof/>
        </w:rPr>
        <w:t>expectation that buyers would be able to assert defenses against creditor claims based on the Holder Rule as well as pursue affirmative litigation against creditors for seller misconduct</w:t>
      </w:r>
      <w:r w:rsidR="00CB13D6">
        <w:rPr>
          <w:noProof/>
        </w:rPr>
        <w:t>, which would be financially infeasible for many buyers if attorney’s fees were not recoverable</w:t>
      </w:r>
      <w:r w:rsidR="00105D90">
        <w:rPr>
          <w:noProof/>
        </w:rPr>
        <w:t>.</w:t>
      </w:r>
    </w:p>
    <w:p w14:paraId="7704F94F" w14:textId="78188C3C" w:rsidR="00D72445" w:rsidRPr="00645536" w:rsidRDefault="00D72445" w:rsidP="00645536">
      <w:pPr>
        <w:ind w:firstLine="720"/>
        <w:rPr>
          <w:szCs w:val="26"/>
        </w:rPr>
      </w:pPr>
      <w:r w:rsidRPr="00645536">
        <w:rPr>
          <w:szCs w:val="26"/>
        </w:rPr>
        <w:t xml:space="preserve">The </w:t>
      </w:r>
      <w:r w:rsidR="000C0FC3" w:rsidRPr="00645536">
        <w:rPr>
          <w:szCs w:val="26"/>
        </w:rPr>
        <w:t xml:space="preserve">Holder </w:t>
      </w:r>
      <w:r w:rsidRPr="00645536">
        <w:rPr>
          <w:szCs w:val="26"/>
        </w:rPr>
        <w:t>Rule was designed to abrogate “[t]he insulation obtained by creditors in consumer transactions” and to address “the loss of legitimate consumer claims” by the application of the holder in due course doctrine.  (40 Fed.Reg.</w:t>
      </w:r>
      <w:r w:rsidR="004D49DC">
        <w:rPr>
          <w:szCs w:val="26"/>
        </w:rPr>
        <w:t xml:space="preserve">, </w:t>
      </w:r>
      <w:r w:rsidR="004D49DC">
        <w:rPr>
          <w:i/>
          <w:iCs/>
          <w:szCs w:val="26"/>
        </w:rPr>
        <w:t>supra</w:t>
      </w:r>
      <w:r w:rsidR="004D49DC">
        <w:rPr>
          <w:szCs w:val="26"/>
        </w:rPr>
        <w:t>,</w:t>
      </w:r>
      <w:r w:rsidR="004D49DC" w:rsidRPr="00645536">
        <w:rPr>
          <w:szCs w:val="26"/>
        </w:rPr>
        <w:t xml:space="preserve"> </w:t>
      </w:r>
      <w:r w:rsidR="004D49DC">
        <w:rPr>
          <w:szCs w:val="26"/>
        </w:rPr>
        <w:t>at p</w:t>
      </w:r>
      <w:r w:rsidR="00300B39">
        <w:rPr>
          <w:szCs w:val="26"/>
        </w:rPr>
        <w:t>p</w:t>
      </w:r>
      <w:r w:rsidR="004D49DC">
        <w:rPr>
          <w:szCs w:val="26"/>
        </w:rPr>
        <w:t>.</w:t>
      </w:r>
      <w:r w:rsidRPr="00645536">
        <w:rPr>
          <w:szCs w:val="26"/>
        </w:rPr>
        <w:t> 53509–53510.)  The FTC’s “primary concern” in promulgating the Rule was “the distribution or allocation of costs occasioned by seller misconduct in credit sale transactions.”  (</w:t>
      </w:r>
      <w:r w:rsidR="004D1244" w:rsidRPr="00645536">
        <w:rPr>
          <w:i/>
          <w:iCs/>
          <w:szCs w:val="26"/>
        </w:rPr>
        <w:t>Id.</w:t>
      </w:r>
      <w:r w:rsidR="004D1244" w:rsidRPr="00645536">
        <w:rPr>
          <w:szCs w:val="26"/>
        </w:rPr>
        <w:t xml:space="preserve"> at p. </w:t>
      </w:r>
      <w:r w:rsidRPr="00645536">
        <w:rPr>
          <w:szCs w:val="26"/>
        </w:rPr>
        <w:t>5352</w:t>
      </w:r>
      <w:r w:rsidR="004D1244" w:rsidRPr="00645536">
        <w:rPr>
          <w:szCs w:val="26"/>
        </w:rPr>
        <w:t>2</w:t>
      </w:r>
      <w:r w:rsidRPr="00645536">
        <w:rPr>
          <w:szCs w:val="26"/>
        </w:rPr>
        <w:t>.)  Rather than allocate these costs to the consumer, as the holder in due course rule had done, the new rule recognized that “the creditor is always in a better position than the buyer to return seller misconduct costs to sellers, the guilty party,” and was designed to “compel[] creditors to either absorb seller misconduct costs or return them to sellers.”  (</w:t>
      </w:r>
      <w:r w:rsidRPr="00645536">
        <w:rPr>
          <w:i/>
          <w:iCs/>
          <w:szCs w:val="26"/>
        </w:rPr>
        <w:t>Id.</w:t>
      </w:r>
      <w:r w:rsidR="006009A6" w:rsidRPr="00645536">
        <w:rPr>
          <w:szCs w:val="26"/>
        </w:rPr>
        <w:t xml:space="preserve"> at p. </w:t>
      </w:r>
      <w:r w:rsidR="00D30B62" w:rsidRPr="00645536">
        <w:rPr>
          <w:szCs w:val="26"/>
        </w:rPr>
        <w:t>53523</w:t>
      </w:r>
      <w:r w:rsidR="00D30B62" w:rsidRPr="00645536">
        <w:t>.</w:t>
      </w:r>
      <w:r w:rsidRPr="00645536">
        <w:rPr>
          <w:szCs w:val="26"/>
        </w:rPr>
        <w:t xml:space="preserve">)  </w:t>
      </w:r>
    </w:p>
    <w:p w14:paraId="14DD4DA1" w14:textId="6296D5FE" w:rsidR="00D72445" w:rsidRPr="00645536" w:rsidRDefault="00D72445" w:rsidP="00645536">
      <w:pPr>
        <w:ind w:firstLine="720"/>
        <w:rPr>
          <w:szCs w:val="26"/>
        </w:rPr>
      </w:pPr>
      <w:r w:rsidRPr="00645536">
        <w:rPr>
          <w:szCs w:val="26"/>
        </w:rPr>
        <w:t>The FTC</w:t>
      </w:r>
      <w:r w:rsidR="0096582C" w:rsidRPr="00645536">
        <w:rPr>
          <w:szCs w:val="26"/>
        </w:rPr>
        <w:t xml:space="preserve"> recognized that “the problems associated </w:t>
      </w:r>
      <w:r w:rsidR="00E93073" w:rsidRPr="00645536">
        <w:rPr>
          <w:szCs w:val="26"/>
        </w:rPr>
        <w:t>with the holder in due course doctrine are most keenly felt by the poor in our society . . . .”</w:t>
      </w:r>
      <w:r w:rsidRPr="00645536">
        <w:rPr>
          <w:szCs w:val="26"/>
        </w:rPr>
        <w:t xml:space="preserve"> </w:t>
      </w:r>
      <w:r w:rsidR="000B229B" w:rsidRPr="00645536">
        <w:rPr>
          <w:szCs w:val="26"/>
        </w:rPr>
        <w:t xml:space="preserve"> (40 Fed.Reg.</w:t>
      </w:r>
      <w:r w:rsidR="004D49DC">
        <w:rPr>
          <w:szCs w:val="26"/>
        </w:rPr>
        <w:t xml:space="preserve">, </w:t>
      </w:r>
      <w:r w:rsidR="004D49DC">
        <w:rPr>
          <w:i/>
          <w:iCs/>
          <w:szCs w:val="26"/>
        </w:rPr>
        <w:t>supra</w:t>
      </w:r>
      <w:r w:rsidR="004D49DC">
        <w:rPr>
          <w:szCs w:val="26"/>
        </w:rPr>
        <w:t>,</w:t>
      </w:r>
      <w:r w:rsidR="004D49DC" w:rsidRPr="00645536">
        <w:rPr>
          <w:szCs w:val="26"/>
        </w:rPr>
        <w:t xml:space="preserve"> </w:t>
      </w:r>
      <w:r w:rsidR="004D49DC">
        <w:rPr>
          <w:szCs w:val="26"/>
        </w:rPr>
        <w:t>at p.</w:t>
      </w:r>
      <w:r w:rsidR="000B229B" w:rsidRPr="00645536">
        <w:rPr>
          <w:szCs w:val="26"/>
        </w:rPr>
        <w:t xml:space="preserve"> 53510.)  It </w:t>
      </w:r>
      <w:r w:rsidRPr="00645536">
        <w:rPr>
          <w:szCs w:val="26"/>
        </w:rPr>
        <w:t>considered the challenges</w:t>
      </w:r>
      <w:r w:rsidR="0043654B" w:rsidRPr="00645536">
        <w:rPr>
          <w:szCs w:val="26"/>
        </w:rPr>
        <w:t>,</w:t>
      </w:r>
      <w:r w:rsidRPr="00645536">
        <w:rPr>
          <w:szCs w:val="26"/>
        </w:rPr>
        <w:t xml:space="preserve"> including high legal costs</w:t>
      </w:r>
      <w:r w:rsidR="0043654B" w:rsidRPr="00645536">
        <w:rPr>
          <w:szCs w:val="26"/>
        </w:rPr>
        <w:t>,</w:t>
      </w:r>
      <w:r w:rsidRPr="00645536">
        <w:rPr>
          <w:szCs w:val="26"/>
        </w:rPr>
        <w:t xml:space="preserve"> for consumers associated with bringing suits against sellers as an impetus to </w:t>
      </w:r>
      <w:r w:rsidR="003857CA" w:rsidRPr="00645536">
        <w:rPr>
          <w:szCs w:val="26"/>
        </w:rPr>
        <w:t xml:space="preserve">adopting </w:t>
      </w:r>
      <w:r w:rsidRPr="00645536">
        <w:rPr>
          <w:szCs w:val="26"/>
        </w:rPr>
        <w:t>the new rule:  “[A]ggrieved consumers are often not in a position to take advantage of the legal system.  Where seller misconduct in a credit sale transaction has given rise to consumer injury, the consumer is theoretically in a position to seek damages or other relief from the seller in court.</w:t>
      </w:r>
      <w:r w:rsidR="002157FD">
        <w:rPr>
          <w:szCs w:val="26"/>
        </w:rPr>
        <w:t> </w:t>
      </w:r>
      <w:r w:rsidR="00F90D94" w:rsidRPr="00645536">
        <w:rPr>
          <w:szCs w:val="26"/>
        </w:rPr>
        <w:t>.</w:t>
      </w:r>
      <w:r w:rsidR="002157FD">
        <w:rPr>
          <w:szCs w:val="26"/>
        </w:rPr>
        <w:t> </w:t>
      </w:r>
      <w:r w:rsidR="00F90D94" w:rsidRPr="00645536">
        <w:rPr>
          <w:szCs w:val="26"/>
        </w:rPr>
        <w:t>.</w:t>
      </w:r>
      <w:r w:rsidR="002157FD">
        <w:rPr>
          <w:szCs w:val="26"/>
        </w:rPr>
        <w:t> </w:t>
      </w:r>
      <w:r w:rsidR="00F90D94" w:rsidRPr="00645536">
        <w:rPr>
          <w:szCs w:val="26"/>
        </w:rPr>
        <w:t>.</w:t>
      </w:r>
      <w:r w:rsidRPr="00645536">
        <w:rPr>
          <w:szCs w:val="26"/>
        </w:rPr>
        <w:t xml:space="preserve"> </w:t>
      </w:r>
      <w:r w:rsidR="00F90D94" w:rsidRPr="00645536">
        <w:rPr>
          <w:szCs w:val="26"/>
        </w:rPr>
        <w:t xml:space="preserve"> </w:t>
      </w:r>
      <w:r w:rsidRPr="00645536">
        <w:rPr>
          <w:i/>
          <w:iCs/>
          <w:szCs w:val="26"/>
        </w:rPr>
        <w:t xml:space="preserve">The amount of a consumer’s damages in such a case may be substantial in real terms </w:t>
      </w:r>
      <w:r w:rsidRPr="00645536">
        <w:rPr>
          <w:szCs w:val="26"/>
        </w:rPr>
        <w:t>. . .</w:t>
      </w:r>
      <w:r w:rsidRPr="00645536">
        <w:rPr>
          <w:i/>
          <w:iCs/>
          <w:szCs w:val="26"/>
        </w:rPr>
        <w:t xml:space="preserve"> but such damages are rarely enough to attract competent representation.  The sheer costs of recourse to the legal system to vindicate a small claim, together with the days of work that must be missed in order to prosecute such a claim to judgment, render recourse to the legal system uneconomic.</w:t>
      </w:r>
      <w:r w:rsidRPr="00645536">
        <w:rPr>
          <w:szCs w:val="26"/>
        </w:rPr>
        <w:t xml:space="preserve">  In addition, the worst sellers are likely to be the most volatile entities where market tenure is concerned.  They prove difficult to locate and serve, and the marginal liquidity which characterizes their operations makes collection of a judgment difficult or impossible even if they are successfully served.  Bankruptcy or insolvency becomes a final barrier to recovery.”  (</w:t>
      </w:r>
      <w:r w:rsidR="00FE3887" w:rsidRPr="00645536">
        <w:rPr>
          <w:i/>
          <w:iCs/>
          <w:szCs w:val="26"/>
        </w:rPr>
        <w:t>Id.</w:t>
      </w:r>
      <w:r w:rsidR="00FE3887" w:rsidRPr="00645536">
        <w:rPr>
          <w:szCs w:val="26"/>
        </w:rPr>
        <w:t xml:space="preserve"> at pp. </w:t>
      </w:r>
      <w:r w:rsidRPr="00645536">
        <w:rPr>
          <w:szCs w:val="26"/>
        </w:rPr>
        <w:t>53511–53512, italics added</w:t>
      </w:r>
      <w:r w:rsidR="00E9177E" w:rsidRPr="00645536">
        <w:rPr>
          <w:szCs w:val="26"/>
        </w:rPr>
        <w:t xml:space="preserve">; see </w:t>
      </w:r>
      <w:r w:rsidR="00D4057B" w:rsidRPr="00645536">
        <w:rPr>
          <w:szCs w:val="26"/>
        </w:rPr>
        <w:t xml:space="preserve">also </w:t>
      </w:r>
      <w:r w:rsidR="00E9177E" w:rsidRPr="00645536">
        <w:rPr>
          <w:i/>
          <w:iCs/>
          <w:szCs w:val="26"/>
        </w:rPr>
        <w:t>id.</w:t>
      </w:r>
      <w:r w:rsidR="00E9177E" w:rsidRPr="00645536">
        <w:rPr>
          <w:szCs w:val="26"/>
        </w:rPr>
        <w:t xml:space="preserve"> at </w:t>
      </w:r>
      <w:r w:rsidR="00123143" w:rsidRPr="00645536">
        <w:rPr>
          <w:szCs w:val="26"/>
        </w:rPr>
        <w:t>p. </w:t>
      </w:r>
      <w:r w:rsidR="00E9177E" w:rsidRPr="00645536">
        <w:rPr>
          <w:szCs w:val="26"/>
        </w:rPr>
        <w:t>53521</w:t>
      </w:r>
      <w:r w:rsidR="004469D8" w:rsidRPr="00645536">
        <w:rPr>
          <w:szCs w:val="26"/>
        </w:rPr>
        <w:t xml:space="preserve"> [</w:t>
      </w:r>
      <w:r w:rsidR="00123143" w:rsidRPr="00645536">
        <w:rPr>
          <w:szCs w:val="26"/>
        </w:rPr>
        <w:t>“Judicial relief requires more time and money than most consumers can afford . . . .”]</w:t>
      </w:r>
      <w:r w:rsidRPr="00645536">
        <w:rPr>
          <w:szCs w:val="26"/>
        </w:rPr>
        <w:t>.)</w:t>
      </w:r>
    </w:p>
    <w:p w14:paraId="08F7CBC5" w14:textId="0CC4AB5D" w:rsidR="00D72445" w:rsidRPr="00645536" w:rsidRDefault="00D72445" w:rsidP="00645536">
      <w:pPr>
        <w:ind w:firstLine="720"/>
        <w:rPr>
          <w:szCs w:val="26"/>
        </w:rPr>
      </w:pPr>
      <w:r w:rsidRPr="00645536">
        <w:rPr>
          <w:szCs w:val="26"/>
        </w:rPr>
        <w:t>The FTC recognized similar costs associated with defending against a creditor’s suit for payment</w:t>
      </w:r>
      <w:r w:rsidR="00913E6A" w:rsidRPr="00645536">
        <w:rPr>
          <w:szCs w:val="26"/>
        </w:rPr>
        <w:t xml:space="preserve"> under the old rule</w:t>
      </w:r>
      <w:r w:rsidRPr="00645536">
        <w:rPr>
          <w:szCs w:val="26"/>
        </w:rPr>
        <w:t>:  When responding to a creditor’s assertion of “</w:t>
      </w:r>
      <w:r w:rsidR="001114F5">
        <w:rPr>
          <w:szCs w:val="26"/>
        </w:rPr>
        <w:t> ‘</w:t>
      </w:r>
      <w:r w:rsidRPr="00645536">
        <w:rPr>
          <w:szCs w:val="26"/>
        </w:rPr>
        <w:t>holder in due course status,</w:t>
      </w:r>
      <w:r w:rsidR="001114F5">
        <w:rPr>
          <w:szCs w:val="26"/>
        </w:rPr>
        <w:t>’ </w:t>
      </w:r>
      <w:r w:rsidRPr="00645536">
        <w:rPr>
          <w:szCs w:val="26"/>
        </w:rPr>
        <w:t>” a consumer’s “success depends on obtaining skilled counsel; and heavy expenses must be incurred to obtain the discovery and documentation needed to show concerted efforts on the part of the seller and creditor.”  (40 Fed.Reg.</w:t>
      </w:r>
      <w:r w:rsidR="004D49DC">
        <w:rPr>
          <w:szCs w:val="26"/>
        </w:rPr>
        <w:t xml:space="preserve">, </w:t>
      </w:r>
      <w:r w:rsidR="004D49DC">
        <w:rPr>
          <w:i/>
          <w:iCs/>
          <w:szCs w:val="26"/>
        </w:rPr>
        <w:t>supra</w:t>
      </w:r>
      <w:r w:rsidR="004D49DC">
        <w:rPr>
          <w:szCs w:val="26"/>
        </w:rPr>
        <w:t>,</w:t>
      </w:r>
      <w:r w:rsidR="004D49DC" w:rsidRPr="00645536">
        <w:rPr>
          <w:szCs w:val="26"/>
        </w:rPr>
        <w:t xml:space="preserve"> </w:t>
      </w:r>
      <w:r w:rsidR="004D49DC">
        <w:rPr>
          <w:szCs w:val="26"/>
        </w:rPr>
        <w:t>at p.</w:t>
      </w:r>
      <w:r w:rsidRPr="00645536">
        <w:rPr>
          <w:szCs w:val="26"/>
        </w:rPr>
        <w:t xml:space="preserve"> 53512.)  The FTC highlighted a comment by a private attorney describing the experience of one Northern Virginia family that was “unable to provide themselves with counsel” in defending against a claim by a creditor because of the legal costs “necessary to establish a link between the lender, the financier and the seller of the goods.  Most attorneys, especially in a case of this kind where ‘new ground is being plowed</w:t>
      </w:r>
      <w:r w:rsidR="002157FD">
        <w:rPr>
          <w:szCs w:val="26"/>
        </w:rPr>
        <w:t>[,]</w:t>
      </w:r>
      <w:r w:rsidRPr="00645536">
        <w:rPr>
          <w:szCs w:val="26"/>
        </w:rPr>
        <w:t>’ require a sizeable deposit for costs</w:t>
      </w:r>
      <w:r w:rsidR="009555D1" w:rsidRPr="00645536">
        <w:rPr>
          <w:szCs w:val="26"/>
        </w:rPr>
        <w:t xml:space="preserve"> . . . </w:t>
      </w:r>
      <w:r w:rsidRPr="00645536">
        <w:rPr>
          <w:szCs w:val="26"/>
        </w:rPr>
        <w:t>.  Additionally, [] the total attorney’s fee in a matter such as this may be well over $500.00.  When faced with this set of realistic facts most clients who get into such a situation in the first place are unable to provide themselves with protection in the form of adequate counsel.”  (</w:t>
      </w:r>
      <w:r w:rsidRPr="00645536">
        <w:rPr>
          <w:i/>
          <w:iCs/>
          <w:szCs w:val="26"/>
        </w:rPr>
        <w:t>Ibid.</w:t>
      </w:r>
      <w:r w:rsidRPr="00645536">
        <w:rPr>
          <w:szCs w:val="26"/>
        </w:rPr>
        <w:t>)</w:t>
      </w:r>
    </w:p>
    <w:p w14:paraId="2550F379" w14:textId="0BF11DFF" w:rsidR="00D72445" w:rsidRPr="00645536" w:rsidRDefault="00D72445" w:rsidP="00645536">
      <w:pPr>
        <w:ind w:firstLine="720"/>
        <w:rPr>
          <w:szCs w:val="26"/>
        </w:rPr>
      </w:pPr>
      <w:r w:rsidRPr="00645536">
        <w:rPr>
          <w:szCs w:val="26"/>
        </w:rPr>
        <w:t xml:space="preserve">Based in part on these challenges, the FTC determined that a creditor “is always in a better position than the buyer to return seller misconduct costs to sellers . . . because (1) he engages in many transactions where consumers deal infrequently; (2) he has access to a variety of information systems which are unavailable to consumers; (3) he has recourse to contractual devices which render the routine return of seller misconduct costs to sellers relatively cheap and automatic; and (4) </w:t>
      </w:r>
      <w:r w:rsidRPr="00645536">
        <w:rPr>
          <w:i/>
          <w:iCs/>
          <w:szCs w:val="26"/>
        </w:rPr>
        <w:t>the creditor possesses the means to initiate a lawsuit and prosecute it to judgment where recourse to the legal system is necessary</w:t>
      </w:r>
      <w:r w:rsidRPr="00645536">
        <w:rPr>
          <w:szCs w:val="26"/>
        </w:rPr>
        <w:t>.”  (40 Fed.Reg.</w:t>
      </w:r>
      <w:r w:rsidR="004D49DC">
        <w:rPr>
          <w:szCs w:val="26"/>
        </w:rPr>
        <w:t xml:space="preserve">, </w:t>
      </w:r>
      <w:r w:rsidR="004D49DC">
        <w:rPr>
          <w:i/>
          <w:iCs/>
          <w:szCs w:val="26"/>
        </w:rPr>
        <w:t>supra</w:t>
      </w:r>
      <w:r w:rsidR="004D49DC">
        <w:rPr>
          <w:szCs w:val="26"/>
        </w:rPr>
        <w:t>,</w:t>
      </w:r>
      <w:r w:rsidR="004D49DC" w:rsidRPr="00645536">
        <w:rPr>
          <w:szCs w:val="26"/>
        </w:rPr>
        <w:t xml:space="preserve"> </w:t>
      </w:r>
      <w:r w:rsidR="004D49DC">
        <w:rPr>
          <w:szCs w:val="26"/>
        </w:rPr>
        <w:t>at p.</w:t>
      </w:r>
      <w:r w:rsidRPr="00645536">
        <w:rPr>
          <w:szCs w:val="26"/>
        </w:rPr>
        <w:t xml:space="preserve"> 53523, italics added.)</w:t>
      </w:r>
    </w:p>
    <w:p w14:paraId="2D99378F" w14:textId="11FA5239" w:rsidR="00D72445" w:rsidRPr="00645536" w:rsidRDefault="00D72445" w:rsidP="00645536">
      <w:pPr>
        <w:ind w:firstLine="720"/>
        <w:rPr>
          <w:szCs w:val="26"/>
        </w:rPr>
      </w:pPr>
      <w:r w:rsidRPr="00645536">
        <w:rPr>
          <w:szCs w:val="26"/>
        </w:rPr>
        <w:t>The Holder Rule reallocates seller misconduct costs by placing the creditor “in the shoes of the seller,” subjecting the</w:t>
      </w:r>
      <w:r w:rsidR="00A45CA6" w:rsidRPr="00645536">
        <w:rPr>
          <w:szCs w:val="26"/>
        </w:rPr>
        <w:t xml:space="preserve"> creditor</w:t>
      </w:r>
      <w:r w:rsidRPr="00645536">
        <w:rPr>
          <w:szCs w:val="26"/>
        </w:rPr>
        <w:t xml:space="preserve"> “to all</w:t>
      </w:r>
      <w:r w:rsidRPr="00645536">
        <w:rPr>
          <w:i/>
          <w:iCs/>
          <w:szCs w:val="26"/>
        </w:rPr>
        <w:t xml:space="preserve"> claims and defenses</w:t>
      </w:r>
      <w:r w:rsidRPr="00645536">
        <w:rPr>
          <w:szCs w:val="26"/>
        </w:rPr>
        <w:t xml:space="preserve"> which the debtor could assert against the seller.”  (41 Fed.Reg.</w:t>
      </w:r>
      <w:r w:rsidR="004D49DC">
        <w:rPr>
          <w:szCs w:val="26"/>
        </w:rPr>
        <w:t xml:space="preserve">, </w:t>
      </w:r>
      <w:r w:rsidR="004D49DC">
        <w:rPr>
          <w:i/>
          <w:iCs/>
          <w:szCs w:val="26"/>
        </w:rPr>
        <w:t>supra</w:t>
      </w:r>
      <w:r w:rsidR="004D49DC">
        <w:rPr>
          <w:szCs w:val="26"/>
        </w:rPr>
        <w:t>,</w:t>
      </w:r>
      <w:r w:rsidR="004D49DC" w:rsidRPr="00645536">
        <w:rPr>
          <w:szCs w:val="26"/>
        </w:rPr>
        <w:t xml:space="preserve"> </w:t>
      </w:r>
      <w:r w:rsidR="004D49DC">
        <w:rPr>
          <w:szCs w:val="26"/>
        </w:rPr>
        <w:t>at p.</w:t>
      </w:r>
      <w:r w:rsidRPr="00645536">
        <w:rPr>
          <w:szCs w:val="26"/>
        </w:rPr>
        <w:t xml:space="preserve"> 20023, italics added</w:t>
      </w:r>
      <w:r w:rsidR="000E0F37">
        <w:rPr>
          <w:szCs w:val="26"/>
        </w:rPr>
        <w:t>, capitalization omitted</w:t>
      </w:r>
      <w:r w:rsidRPr="00645536">
        <w:rPr>
          <w:szCs w:val="26"/>
        </w:rPr>
        <w:t xml:space="preserve">.)  </w:t>
      </w:r>
      <w:r w:rsidR="00105C52" w:rsidRPr="00645536">
        <w:rPr>
          <w:szCs w:val="26"/>
        </w:rPr>
        <w:t>Thus</w:t>
      </w:r>
      <w:r w:rsidRPr="00645536">
        <w:rPr>
          <w:szCs w:val="26"/>
        </w:rPr>
        <w:t>, the FTC provided two ways for buyers to effect this reallocation:  by “defend[ing] a creditor suit for payment of an obligation by raising a valid claim against the seller as a set-off” or by “maintain[ing] an affirmative action against a creditor who has received payments for a return of monies paid on account.”  (40</w:t>
      </w:r>
      <w:r w:rsidR="007974E7" w:rsidRPr="00645536">
        <w:rPr>
          <w:szCs w:val="26"/>
        </w:rPr>
        <w:t xml:space="preserve"> </w:t>
      </w:r>
      <w:r w:rsidRPr="00645536">
        <w:rPr>
          <w:szCs w:val="26"/>
        </w:rPr>
        <w:t>Fed.Reg.</w:t>
      </w:r>
      <w:r w:rsidR="004D49DC">
        <w:rPr>
          <w:szCs w:val="26"/>
        </w:rPr>
        <w:t xml:space="preserve">, </w:t>
      </w:r>
      <w:r w:rsidR="004D49DC">
        <w:rPr>
          <w:i/>
          <w:iCs/>
          <w:szCs w:val="26"/>
        </w:rPr>
        <w:t>supra</w:t>
      </w:r>
      <w:r w:rsidR="004D49DC">
        <w:rPr>
          <w:szCs w:val="26"/>
        </w:rPr>
        <w:t>,</w:t>
      </w:r>
      <w:r w:rsidR="004D49DC" w:rsidRPr="00645536">
        <w:rPr>
          <w:szCs w:val="26"/>
        </w:rPr>
        <w:t xml:space="preserve"> </w:t>
      </w:r>
      <w:r w:rsidR="004D49DC">
        <w:rPr>
          <w:szCs w:val="26"/>
        </w:rPr>
        <w:t>at p.</w:t>
      </w:r>
      <w:r w:rsidR="007974E7" w:rsidRPr="00645536">
        <w:rPr>
          <w:szCs w:val="26"/>
        </w:rPr>
        <w:t xml:space="preserve"> </w:t>
      </w:r>
      <w:r w:rsidRPr="00645536">
        <w:rPr>
          <w:szCs w:val="26"/>
        </w:rPr>
        <w:t>53524.)  The FTC expressly rejected requests to limit the rule to provide a consumer the ability to assert his rights “only as a matter of defense or setoff against a claim by the assignee or holder.”  (</w:t>
      </w:r>
      <w:r w:rsidR="00FB36A1" w:rsidRPr="00645536">
        <w:rPr>
          <w:i/>
          <w:iCs/>
          <w:szCs w:val="26"/>
        </w:rPr>
        <w:t>Id.</w:t>
      </w:r>
      <w:r w:rsidR="00FB36A1" w:rsidRPr="00645536">
        <w:rPr>
          <w:szCs w:val="26"/>
        </w:rPr>
        <w:t xml:space="preserve"> at</w:t>
      </w:r>
      <w:r w:rsidRPr="00645536">
        <w:rPr>
          <w:szCs w:val="26"/>
        </w:rPr>
        <w:t> </w:t>
      </w:r>
      <w:r w:rsidR="00FB36A1" w:rsidRPr="00645536">
        <w:rPr>
          <w:szCs w:val="26"/>
        </w:rPr>
        <w:t>p. </w:t>
      </w:r>
      <w:r w:rsidRPr="00645536">
        <w:rPr>
          <w:szCs w:val="26"/>
        </w:rPr>
        <w:t xml:space="preserve">53526.)  It envisioned affirmative suits against creditors over seller misconduct as one of the ways that creditors would be forced to internalize the costs of seller misconduct and </w:t>
      </w:r>
      <w:r w:rsidR="00A45CA6" w:rsidRPr="00645536">
        <w:rPr>
          <w:szCs w:val="26"/>
        </w:rPr>
        <w:t xml:space="preserve">would </w:t>
      </w:r>
      <w:r w:rsidRPr="00645536">
        <w:rPr>
          <w:szCs w:val="26"/>
        </w:rPr>
        <w:t>thus be incentivized to police the market for “unscrupulous merchant</w:t>
      </w:r>
      <w:r w:rsidR="00416A4F">
        <w:rPr>
          <w:szCs w:val="26"/>
        </w:rPr>
        <w:t>[</w:t>
      </w:r>
      <w:r w:rsidRPr="00645536">
        <w:rPr>
          <w:szCs w:val="26"/>
        </w:rPr>
        <w:t>s</w:t>
      </w:r>
      <w:r w:rsidR="00416A4F">
        <w:rPr>
          <w:szCs w:val="26"/>
        </w:rPr>
        <w:t>]</w:t>
      </w:r>
      <w:r w:rsidRPr="00645536">
        <w:rPr>
          <w:szCs w:val="26"/>
        </w:rPr>
        <w:t>.”  (</w:t>
      </w:r>
      <w:r w:rsidR="00FB36A1" w:rsidRPr="00645536">
        <w:rPr>
          <w:i/>
          <w:iCs/>
          <w:szCs w:val="26"/>
        </w:rPr>
        <w:t>Id.</w:t>
      </w:r>
      <w:r w:rsidR="00FB36A1" w:rsidRPr="00645536">
        <w:rPr>
          <w:szCs w:val="26"/>
        </w:rPr>
        <w:t xml:space="preserve"> at p. </w:t>
      </w:r>
      <w:r w:rsidRPr="00645536">
        <w:rPr>
          <w:szCs w:val="26"/>
        </w:rPr>
        <w:t>53523.)  It anticipated that “[a]s legal services offices, consumer groups, and individual consumers test the rule by periodic lawsuits against creditors and sellers, . . . the rule will enjoy increasing knowledge and use on the part of all consumers.”  (</w:t>
      </w:r>
      <w:r w:rsidR="00FB36A1" w:rsidRPr="00645536">
        <w:rPr>
          <w:i/>
          <w:iCs/>
          <w:szCs w:val="26"/>
        </w:rPr>
        <w:t>Id.</w:t>
      </w:r>
      <w:r w:rsidR="00FB36A1" w:rsidRPr="00645536">
        <w:rPr>
          <w:szCs w:val="26"/>
        </w:rPr>
        <w:t xml:space="preserve"> at p. </w:t>
      </w:r>
      <w:r w:rsidRPr="00645536">
        <w:rPr>
          <w:szCs w:val="26"/>
        </w:rPr>
        <w:t>53526.)</w:t>
      </w:r>
    </w:p>
    <w:p w14:paraId="0EDC4699" w14:textId="7919BB99" w:rsidR="00127C98" w:rsidRPr="00645536" w:rsidRDefault="00BE1C33" w:rsidP="00645536">
      <w:pPr>
        <w:ind w:firstLine="720"/>
        <w:rPr>
          <w:szCs w:val="26"/>
        </w:rPr>
      </w:pPr>
      <w:r w:rsidRPr="00645536">
        <w:rPr>
          <w:szCs w:val="26"/>
        </w:rPr>
        <w:t>T</w:t>
      </w:r>
      <w:r w:rsidR="00092DFA" w:rsidRPr="00645536">
        <w:rPr>
          <w:szCs w:val="26"/>
        </w:rPr>
        <w:t>he</w:t>
      </w:r>
      <w:r w:rsidR="00D72445" w:rsidRPr="00645536">
        <w:rPr>
          <w:szCs w:val="26"/>
        </w:rPr>
        <w:t xml:space="preserve"> Holder Rule </w:t>
      </w:r>
      <w:r w:rsidRPr="00645536">
        <w:rPr>
          <w:szCs w:val="26"/>
        </w:rPr>
        <w:t xml:space="preserve">therefore </w:t>
      </w:r>
      <w:r w:rsidR="00D72445" w:rsidRPr="00645536">
        <w:rPr>
          <w:szCs w:val="26"/>
        </w:rPr>
        <w:t xml:space="preserve">took shape with the FTC </w:t>
      </w:r>
      <w:r w:rsidR="00A45CA6" w:rsidRPr="00645536">
        <w:rPr>
          <w:szCs w:val="26"/>
        </w:rPr>
        <w:t xml:space="preserve">contemplating </w:t>
      </w:r>
      <w:r w:rsidR="00D72445" w:rsidRPr="00645536">
        <w:rPr>
          <w:szCs w:val="26"/>
        </w:rPr>
        <w:t>affirmative suits while expressly recognizing that the cost of suit in a case involving consumer damages may “render recourse to the legal system uneconomic.”  (40 Fed.Reg.</w:t>
      </w:r>
      <w:r w:rsidR="00447CD9">
        <w:rPr>
          <w:szCs w:val="26"/>
        </w:rPr>
        <w:t xml:space="preserve">, </w:t>
      </w:r>
      <w:r w:rsidR="00447CD9">
        <w:rPr>
          <w:i/>
          <w:iCs/>
          <w:szCs w:val="26"/>
        </w:rPr>
        <w:t>supra</w:t>
      </w:r>
      <w:r w:rsidR="00447CD9">
        <w:rPr>
          <w:szCs w:val="26"/>
        </w:rPr>
        <w:t>,</w:t>
      </w:r>
      <w:r w:rsidR="00447CD9" w:rsidRPr="00645536">
        <w:rPr>
          <w:szCs w:val="26"/>
        </w:rPr>
        <w:t xml:space="preserve"> </w:t>
      </w:r>
      <w:r w:rsidR="00447CD9">
        <w:rPr>
          <w:szCs w:val="26"/>
        </w:rPr>
        <w:t>at p.</w:t>
      </w:r>
      <w:r w:rsidR="00D72445" w:rsidRPr="00645536">
        <w:rPr>
          <w:szCs w:val="26"/>
        </w:rPr>
        <w:t xml:space="preserve"> 53512.)  It nonetheless expected affirmative claims against sellers </w:t>
      </w:r>
      <w:r w:rsidR="00254593" w:rsidRPr="00645536">
        <w:rPr>
          <w:szCs w:val="26"/>
        </w:rPr>
        <w:t>and creditors</w:t>
      </w:r>
      <w:r w:rsidR="00F31356">
        <w:rPr>
          <w:szCs w:val="26"/>
        </w:rPr>
        <w:t> </w:t>
      </w:r>
      <w:r w:rsidR="00D72445" w:rsidRPr="00645536">
        <w:rPr>
          <w:szCs w:val="26"/>
        </w:rPr>
        <w:t>— not just defenses to debt collection</w:t>
      </w:r>
      <w:r w:rsidR="00F31356">
        <w:rPr>
          <w:szCs w:val="26"/>
        </w:rPr>
        <w:t> </w:t>
      </w:r>
      <w:r w:rsidR="00D72445" w:rsidRPr="00645536">
        <w:rPr>
          <w:szCs w:val="26"/>
        </w:rPr>
        <w:t xml:space="preserve">— to help </w:t>
      </w:r>
      <w:r w:rsidR="00254593" w:rsidRPr="00645536">
        <w:rPr>
          <w:szCs w:val="26"/>
        </w:rPr>
        <w:t xml:space="preserve">allocate risks and </w:t>
      </w:r>
      <w:r w:rsidR="00D72445" w:rsidRPr="00645536">
        <w:rPr>
          <w:szCs w:val="26"/>
        </w:rPr>
        <w:t xml:space="preserve">rationalize the market.  </w:t>
      </w:r>
      <w:r w:rsidR="00254593" w:rsidRPr="00645536">
        <w:rPr>
          <w:szCs w:val="26"/>
        </w:rPr>
        <w:t>Given these expectations</w:t>
      </w:r>
      <w:r w:rsidR="00C0348B" w:rsidRPr="00645536">
        <w:rPr>
          <w:szCs w:val="26"/>
        </w:rPr>
        <w:t xml:space="preserve">, </w:t>
      </w:r>
      <w:r w:rsidR="007D244F">
        <w:rPr>
          <w:szCs w:val="26"/>
        </w:rPr>
        <w:t>it seems unlikely</w:t>
      </w:r>
      <w:r w:rsidR="00D72445" w:rsidRPr="00645536">
        <w:rPr>
          <w:szCs w:val="26"/>
        </w:rPr>
        <w:t xml:space="preserve"> that the FTC intended without comment or explanation to include attorney’s fees in its limitation on creditor liability under the Rule.  A consumer’s ability to obtain attorney’s fees often proves critical for consumers to access the judicial system.  It is true that by obviating the need for lengthy legal proceedings over a creditor’s status, the Rule might </w:t>
      </w:r>
      <w:r w:rsidR="00D72445" w:rsidRPr="00645536">
        <w:rPr>
          <w:iCs/>
          <w:szCs w:val="26"/>
        </w:rPr>
        <w:t>decrease</w:t>
      </w:r>
      <w:r w:rsidR="00D72445" w:rsidRPr="00645536">
        <w:rPr>
          <w:szCs w:val="26"/>
        </w:rPr>
        <w:t xml:space="preserve"> the legal costs consumers must incur.  But it is unlikely that this would materially alter many consumers’ ability to vindicate their rights given the high costs that remain “to vindicate a small claim.”  (40 Fed.Reg.</w:t>
      </w:r>
      <w:r w:rsidR="00447CD9">
        <w:rPr>
          <w:szCs w:val="26"/>
        </w:rPr>
        <w:t xml:space="preserve">, </w:t>
      </w:r>
      <w:r w:rsidR="00447CD9">
        <w:rPr>
          <w:i/>
          <w:iCs/>
          <w:szCs w:val="26"/>
        </w:rPr>
        <w:t>supra</w:t>
      </w:r>
      <w:r w:rsidR="00447CD9">
        <w:rPr>
          <w:szCs w:val="26"/>
        </w:rPr>
        <w:t>,</w:t>
      </w:r>
      <w:r w:rsidR="00447CD9" w:rsidRPr="00645536">
        <w:rPr>
          <w:szCs w:val="26"/>
        </w:rPr>
        <w:t xml:space="preserve"> </w:t>
      </w:r>
      <w:r w:rsidR="00447CD9">
        <w:rPr>
          <w:szCs w:val="26"/>
        </w:rPr>
        <w:t>at p.</w:t>
      </w:r>
      <w:r w:rsidR="00D72445" w:rsidRPr="00645536">
        <w:rPr>
          <w:szCs w:val="26"/>
        </w:rPr>
        <w:t xml:space="preserve"> 53512; see, e.g., </w:t>
      </w:r>
      <w:r w:rsidR="00F47CC3" w:rsidRPr="00645536">
        <w:rPr>
          <w:szCs w:val="26"/>
        </w:rPr>
        <w:t xml:space="preserve">Assem. Com. on Judiciary, Analysis of Assem. Bill No. 1821 (2019–2020 Reg. Sess.) </w:t>
      </w:r>
      <w:r w:rsidR="00416A4F">
        <w:rPr>
          <w:szCs w:val="26"/>
        </w:rPr>
        <w:t xml:space="preserve">as introduced </w:t>
      </w:r>
      <w:r w:rsidR="00F47CC3" w:rsidRPr="00645536">
        <w:rPr>
          <w:szCs w:val="26"/>
        </w:rPr>
        <w:t>Mar. 6, 2019</w:t>
      </w:r>
      <w:r w:rsidR="00D72445" w:rsidRPr="00645536">
        <w:rPr>
          <w:szCs w:val="26"/>
        </w:rPr>
        <w:t>, p. 6 [“The vast majority of customers who pay for items such as cars and furniture in monthly installments can’t afford to hire attorneys.”].)  Were attorney’s fees part of the Holder Rule’s limit on recovery, the effective result for many</w:t>
      </w:r>
      <w:r w:rsidR="00416A4F">
        <w:rPr>
          <w:szCs w:val="26"/>
        </w:rPr>
        <w:t>,</w:t>
      </w:r>
      <w:r w:rsidR="00D72445" w:rsidRPr="00645536">
        <w:rPr>
          <w:szCs w:val="26"/>
        </w:rPr>
        <w:t xml:space="preserve"> if not most</w:t>
      </w:r>
      <w:r w:rsidR="00416A4F">
        <w:rPr>
          <w:szCs w:val="26"/>
        </w:rPr>
        <w:t>,</w:t>
      </w:r>
      <w:r w:rsidR="00D72445" w:rsidRPr="00645536">
        <w:rPr>
          <w:szCs w:val="26"/>
        </w:rPr>
        <w:t xml:space="preserve"> consumers would be the same as their options were under the holder in due course rule</w:t>
      </w:r>
      <w:r w:rsidR="00254593" w:rsidRPr="00645536">
        <w:rPr>
          <w:szCs w:val="26"/>
        </w:rPr>
        <w:t xml:space="preserve"> that the FTC sought to supplant</w:t>
      </w:r>
      <w:r w:rsidR="00D72445" w:rsidRPr="00645536">
        <w:rPr>
          <w:szCs w:val="26"/>
        </w:rPr>
        <w:t>.</w:t>
      </w:r>
    </w:p>
    <w:p w14:paraId="6BE3BAA6" w14:textId="74AD0669" w:rsidR="00372B5C" w:rsidRPr="00645536" w:rsidRDefault="00372B5C" w:rsidP="00645536">
      <w:pPr>
        <w:ind w:firstLine="720"/>
        <w:rPr>
          <w:szCs w:val="26"/>
        </w:rPr>
      </w:pPr>
      <w:r w:rsidRPr="00645536">
        <w:rPr>
          <w:szCs w:val="26"/>
        </w:rPr>
        <w:t>TD</w:t>
      </w:r>
      <w:r w:rsidR="008602DB" w:rsidRPr="00645536">
        <w:rPr>
          <w:szCs w:val="26"/>
        </w:rPr>
        <w:t>AF</w:t>
      </w:r>
      <w:r w:rsidRPr="00645536">
        <w:rPr>
          <w:szCs w:val="26"/>
        </w:rPr>
        <w:t xml:space="preserve"> argues that if attorney’s fees were </w:t>
      </w:r>
      <w:r w:rsidR="00AB1D1A" w:rsidRPr="00645536">
        <w:rPr>
          <w:szCs w:val="26"/>
        </w:rPr>
        <w:t>“so central to the Holder Rule’s success,” the Rule’s text or guidance would have “expressly remove[d] attorney’s fees from the Rule’s use of the otherwise broad term ‘recovery.’</w:t>
      </w:r>
      <w:r w:rsidR="007D5FD3" w:rsidRPr="00645536">
        <w:rPr>
          <w:szCs w:val="26"/>
        </w:rPr>
        <w:t xml:space="preserve"> ”  But </w:t>
      </w:r>
      <w:r w:rsidR="006172C9" w:rsidRPr="00645536">
        <w:rPr>
          <w:szCs w:val="26"/>
        </w:rPr>
        <w:t xml:space="preserve">the </w:t>
      </w:r>
      <w:r w:rsidR="00254593" w:rsidRPr="00645536">
        <w:rPr>
          <w:szCs w:val="26"/>
        </w:rPr>
        <w:t xml:space="preserve">history of the </w:t>
      </w:r>
      <w:r w:rsidR="006172C9" w:rsidRPr="00645536">
        <w:rPr>
          <w:szCs w:val="26"/>
        </w:rPr>
        <w:t>Rule</w:t>
      </w:r>
      <w:r w:rsidR="00254593" w:rsidRPr="00645536">
        <w:rPr>
          <w:szCs w:val="26"/>
        </w:rPr>
        <w:t xml:space="preserve"> leaves us </w:t>
      </w:r>
      <w:r w:rsidR="007D5FD3" w:rsidRPr="00645536">
        <w:rPr>
          <w:szCs w:val="26"/>
        </w:rPr>
        <w:t xml:space="preserve">no reason to believe </w:t>
      </w:r>
      <w:r w:rsidR="00833BDA" w:rsidRPr="00645536">
        <w:rPr>
          <w:szCs w:val="26"/>
        </w:rPr>
        <w:t xml:space="preserve">that </w:t>
      </w:r>
      <w:r w:rsidR="007D5FD3" w:rsidRPr="00645536">
        <w:rPr>
          <w:szCs w:val="26"/>
        </w:rPr>
        <w:t xml:space="preserve">the FTC thought it was </w:t>
      </w:r>
      <w:r w:rsidR="0045493B" w:rsidRPr="00645536">
        <w:rPr>
          <w:szCs w:val="26"/>
        </w:rPr>
        <w:t>addressing attorney’s fees</w:t>
      </w:r>
      <w:r w:rsidR="0099332C" w:rsidRPr="00645536">
        <w:rPr>
          <w:szCs w:val="26"/>
        </w:rPr>
        <w:t xml:space="preserve"> at all</w:t>
      </w:r>
      <w:r w:rsidR="00B831C5" w:rsidRPr="00645536">
        <w:rPr>
          <w:szCs w:val="26"/>
        </w:rPr>
        <w:t xml:space="preserve"> by reference to “recovery</w:t>
      </w:r>
      <w:r w:rsidR="000223E3" w:rsidRPr="00645536">
        <w:rPr>
          <w:szCs w:val="26"/>
        </w:rPr>
        <w:t>.</w:t>
      </w:r>
      <w:r w:rsidR="00B831C5" w:rsidRPr="00645536">
        <w:rPr>
          <w:szCs w:val="26"/>
        </w:rPr>
        <w:t>”</w:t>
      </w:r>
      <w:r w:rsidR="00454B7E" w:rsidRPr="00645536">
        <w:rPr>
          <w:szCs w:val="26"/>
        </w:rPr>
        <w:t xml:space="preserve">  </w:t>
      </w:r>
      <w:r w:rsidR="00783E9E" w:rsidRPr="00645536">
        <w:rPr>
          <w:szCs w:val="26"/>
        </w:rPr>
        <w:t>To the contrary, g</w:t>
      </w:r>
      <w:r w:rsidR="00D073FC" w:rsidRPr="00645536">
        <w:rPr>
          <w:szCs w:val="26"/>
        </w:rPr>
        <w:t xml:space="preserve">iven the FTC’s discussion of the legal costs facing consumers, one would expect the FTC to have </w:t>
      </w:r>
      <w:r w:rsidR="004C4A20" w:rsidRPr="00645536">
        <w:rPr>
          <w:szCs w:val="26"/>
        </w:rPr>
        <w:t xml:space="preserve">expressly stated a limitation on collection of attorney’s fees </w:t>
      </w:r>
      <w:r w:rsidR="00D073FC" w:rsidRPr="00645536">
        <w:rPr>
          <w:szCs w:val="26"/>
        </w:rPr>
        <w:t xml:space="preserve">if </w:t>
      </w:r>
      <w:r w:rsidR="004C4A20" w:rsidRPr="00645536">
        <w:rPr>
          <w:szCs w:val="26"/>
        </w:rPr>
        <w:t xml:space="preserve">that is what </w:t>
      </w:r>
      <w:r w:rsidR="00D073FC" w:rsidRPr="00645536">
        <w:rPr>
          <w:szCs w:val="26"/>
        </w:rPr>
        <w:t xml:space="preserve">it </w:t>
      </w:r>
      <w:r w:rsidR="004C4A20" w:rsidRPr="00645536">
        <w:rPr>
          <w:szCs w:val="26"/>
        </w:rPr>
        <w:t xml:space="preserve">had </w:t>
      </w:r>
      <w:r w:rsidR="00D073FC" w:rsidRPr="00645536">
        <w:rPr>
          <w:szCs w:val="26"/>
        </w:rPr>
        <w:t>intended the Rule</w:t>
      </w:r>
      <w:r w:rsidR="004C4A20" w:rsidRPr="00645536">
        <w:rPr>
          <w:szCs w:val="26"/>
        </w:rPr>
        <w:t xml:space="preserve"> to encompass</w:t>
      </w:r>
      <w:r w:rsidR="00D073FC" w:rsidRPr="00645536">
        <w:rPr>
          <w:szCs w:val="26"/>
        </w:rPr>
        <w:t>.</w:t>
      </w:r>
    </w:p>
    <w:p w14:paraId="200977CE" w14:textId="7B9612DD" w:rsidR="00E03698" w:rsidRDefault="00543790" w:rsidP="00645536">
      <w:pPr>
        <w:ind w:firstLine="720"/>
        <w:rPr>
          <w:szCs w:val="26"/>
        </w:rPr>
      </w:pPr>
      <w:r w:rsidRPr="00645536">
        <w:rPr>
          <w:szCs w:val="26"/>
        </w:rPr>
        <w:t xml:space="preserve">TDAF </w:t>
      </w:r>
      <w:r w:rsidR="00C73CA9" w:rsidRPr="00645536">
        <w:rPr>
          <w:szCs w:val="26"/>
        </w:rPr>
        <w:t xml:space="preserve">also argues </w:t>
      </w:r>
      <w:r w:rsidR="00F63936" w:rsidRPr="00645536">
        <w:rPr>
          <w:szCs w:val="26"/>
        </w:rPr>
        <w:t xml:space="preserve">that </w:t>
      </w:r>
      <w:r w:rsidR="00C73CA9" w:rsidRPr="00645536">
        <w:rPr>
          <w:szCs w:val="26"/>
        </w:rPr>
        <w:t>recovery of uncapped attorney</w:t>
      </w:r>
      <w:r w:rsidR="00EA19B1" w:rsidRPr="00645536">
        <w:rPr>
          <w:szCs w:val="26"/>
        </w:rPr>
        <w:t>’</w:t>
      </w:r>
      <w:r w:rsidR="00C73CA9" w:rsidRPr="00645536">
        <w:rPr>
          <w:szCs w:val="26"/>
        </w:rPr>
        <w:t xml:space="preserve">s fees would be </w:t>
      </w:r>
      <w:r w:rsidR="00F63936" w:rsidRPr="00645536">
        <w:rPr>
          <w:szCs w:val="26"/>
        </w:rPr>
        <w:t xml:space="preserve">contrary to </w:t>
      </w:r>
      <w:r w:rsidR="00C73CA9" w:rsidRPr="00645536">
        <w:rPr>
          <w:szCs w:val="26"/>
        </w:rPr>
        <w:t xml:space="preserve">the </w:t>
      </w:r>
      <w:r w:rsidR="006D29CC" w:rsidRPr="00645536">
        <w:rPr>
          <w:szCs w:val="26"/>
        </w:rPr>
        <w:t xml:space="preserve">Rule’s express constraint on liability and its </w:t>
      </w:r>
      <w:r w:rsidR="00F63936" w:rsidRPr="00645536">
        <w:rPr>
          <w:szCs w:val="26"/>
        </w:rPr>
        <w:t>consumer</w:t>
      </w:r>
      <w:r w:rsidR="004C4A20" w:rsidRPr="00645536">
        <w:rPr>
          <w:szCs w:val="26"/>
        </w:rPr>
        <w:t xml:space="preserve"> </w:t>
      </w:r>
      <w:r w:rsidR="00F63936" w:rsidRPr="00645536">
        <w:rPr>
          <w:szCs w:val="26"/>
        </w:rPr>
        <w:t xml:space="preserve">protection </w:t>
      </w:r>
      <w:r w:rsidR="00C73CA9" w:rsidRPr="00645536">
        <w:rPr>
          <w:szCs w:val="26"/>
        </w:rPr>
        <w:t>purpose</w:t>
      </w:r>
      <w:r w:rsidR="00944FA6" w:rsidRPr="00645536">
        <w:rPr>
          <w:szCs w:val="26"/>
        </w:rPr>
        <w:t>s</w:t>
      </w:r>
      <w:r w:rsidR="00C73CA9" w:rsidRPr="00645536">
        <w:rPr>
          <w:szCs w:val="26"/>
        </w:rPr>
        <w:t xml:space="preserve"> </w:t>
      </w:r>
      <w:r w:rsidR="002B68CF" w:rsidRPr="00645536">
        <w:rPr>
          <w:szCs w:val="26"/>
        </w:rPr>
        <w:t xml:space="preserve">because it </w:t>
      </w:r>
      <w:r w:rsidR="008F328E" w:rsidRPr="00645536">
        <w:rPr>
          <w:szCs w:val="26"/>
        </w:rPr>
        <w:t xml:space="preserve">could jeopardize the availability of consumer financing.  </w:t>
      </w:r>
      <w:r w:rsidR="007F1DAB">
        <w:rPr>
          <w:szCs w:val="26"/>
        </w:rPr>
        <w:t xml:space="preserve">The FTC </w:t>
      </w:r>
      <w:r w:rsidR="0088555E">
        <w:rPr>
          <w:szCs w:val="26"/>
        </w:rPr>
        <w:t>was aware of creditors’ concerns at the time of promulgating the rule.  (</w:t>
      </w:r>
      <w:r w:rsidR="00A72314">
        <w:rPr>
          <w:szCs w:val="26"/>
        </w:rPr>
        <w:t>40 Fed.Reg.</w:t>
      </w:r>
      <w:r w:rsidR="00447CD9">
        <w:rPr>
          <w:szCs w:val="26"/>
        </w:rPr>
        <w:t xml:space="preserve">, </w:t>
      </w:r>
      <w:r w:rsidR="00447CD9">
        <w:rPr>
          <w:i/>
          <w:iCs/>
          <w:szCs w:val="26"/>
        </w:rPr>
        <w:t>supra</w:t>
      </w:r>
      <w:r w:rsidR="00447CD9">
        <w:rPr>
          <w:szCs w:val="26"/>
        </w:rPr>
        <w:t>,</w:t>
      </w:r>
      <w:r w:rsidR="00447CD9" w:rsidRPr="00645536">
        <w:rPr>
          <w:szCs w:val="26"/>
        </w:rPr>
        <w:t xml:space="preserve"> </w:t>
      </w:r>
      <w:r w:rsidR="00447CD9">
        <w:rPr>
          <w:szCs w:val="26"/>
        </w:rPr>
        <w:t xml:space="preserve">at pp. </w:t>
      </w:r>
      <w:r w:rsidR="00A72314">
        <w:rPr>
          <w:szCs w:val="26"/>
        </w:rPr>
        <w:t xml:space="preserve"> 53517</w:t>
      </w:r>
      <w:r w:rsidR="00CD7531">
        <w:rPr>
          <w:szCs w:val="26"/>
        </w:rPr>
        <w:t>–53518</w:t>
      </w:r>
      <w:r w:rsidR="0088555E">
        <w:rPr>
          <w:szCs w:val="26"/>
        </w:rPr>
        <w:t xml:space="preserve">.)  </w:t>
      </w:r>
      <w:r w:rsidR="006C3561">
        <w:rPr>
          <w:szCs w:val="26"/>
        </w:rPr>
        <w:t xml:space="preserve">Nonetheless, it </w:t>
      </w:r>
      <w:r w:rsidR="00751A72">
        <w:rPr>
          <w:szCs w:val="26"/>
        </w:rPr>
        <w:t xml:space="preserve">rejected proposals </w:t>
      </w:r>
      <w:r w:rsidR="0082281F">
        <w:rPr>
          <w:szCs w:val="26"/>
        </w:rPr>
        <w:t xml:space="preserve">to include an absolute upper limit on the amount </w:t>
      </w:r>
      <w:r w:rsidR="00FC490D">
        <w:rPr>
          <w:szCs w:val="26"/>
        </w:rPr>
        <w:t xml:space="preserve">a </w:t>
      </w:r>
      <w:r w:rsidR="0082281F">
        <w:rPr>
          <w:szCs w:val="26"/>
        </w:rPr>
        <w:t>consumer could recover</w:t>
      </w:r>
      <w:r w:rsidR="00153A5A">
        <w:rPr>
          <w:szCs w:val="26"/>
        </w:rPr>
        <w:t xml:space="preserve">, </w:t>
      </w:r>
      <w:r w:rsidR="009B0BF5">
        <w:rPr>
          <w:szCs w:val="26"/>
        </w:rPr>
        <w:t>consider</w:t>
      </w:r>
      <w:r w:rsidR="00153A5A">
        <w:rPr>
          <w:szCs w:val="26"/>
        </w:rPr>
        <w:t>ing</w:t>
      </w:r>
      <w:r w:rsidR="009B0BF5">
        <w:rPr>
          <w:szCs w:val="26"/>
        </w:rPr>
        <w:t xml:space="preserve"> </w:t>
      </w:r>
      <w:r w:rsidR="00153A5A">
        <w:rPr>
          <w:szCs w:val="26"/>
        </w:rPr>
        <w:t>such a cap unnecessary to protect the market for consumer debt.  (</w:t>
      </w:r>
      <w:r w:rsidR="002425CF">
        <w:rPr>
          <w:i/>
          <w:iCs/>
          <w:szCs w:val="26"/>
        </w:rPr>
        <w:t>Id.</w:t>
      </w:r>
      <w:r w:rsidR="002425CF">
        <w:rPr>
          <w:szCs w:val="26"/>
        </w:rPr>
        <w:t xml:space="preserve"> at p. </w:t>
      </w:r>
      <w:r w:rsidR="00153A5A">
        <w:rPr>
          <w:szCs w:val="26"/>
        </w:rPr>
        <w:t xml:space="preserve">53527.)  </w:t>
      </w:r>
      <w:r w:rsidR="00050864">
        <w:rPr>
          <w:szCs w:val="26"/>
        </w:rPr>
        <w:t>W</w:t>
      </w:r>
      <w:r w:rsidR="00B92E73">
        <w:rPr>
          <w:szCs w:val="26"/>
        </w:rPr>
        <w:t xml:space="preserve">hile the FTC </w:t>
      </w:r>
      <w:r w:rsidR="004A3BA3">
        <w:rPr>
          <w:szCs w:val="26"/>
        </w:rPr>
        <w:t xml:space="preserve">considered </w:t>
      </w:r>
      <w:r w:rsidR="004E464B">
        <w:rPr>
          <w:szCs w:val="26"/>
        </w:rPr>
        <w:t xml:space="preserve">creditors’ </w:t>
      </w:r>
      <w:r w:rsidR="00050864">
        <w:rPr>
          <w:szCs w:val="26"/>
        </w:rPr>
        <w:t xml:space="preserve">concerns about </w:t>
      </w:r>
      <w:r w:rsidR="004E464B">
        <w:rPr>
          <w:szCs w:val="26"/>
        </w:rPr>
        <w:t xml:space="preserve">exposure, </w:t>
      </w:r>
      <w:r w:rsidR="004A3BA3">
        <w:rPr>
          <w:szCs w:val="26"/>
        </w:rPr>
        <w:t xml:space="preserve">it ultimately chose to provide consumers </w:t>
      </w:r>
      <w:r w:rsidR="002505E6">
        <w:rPr>
          <w:szCs w:val="26"/>
        </w:rPr>
        <w:t xml:space="preserve">with </w:t>
      </w:r>
      <w:r w:rsidR="001C2736">
        <w:rPr>
          <w:szCs w:val="26"/>
        </w:rPr>
        <w:t>recovery up to amount</w:t>
      </w:r>
      <w:r w:rsidR="00D61096">
        <w:rPr>
          <w:szCs w:val="26"/>
        </w:rPr>
        <w:t>s</w:t>
      </w:r>
      <w:r w:rsidR="001C2736">
        <w:rPr>
          <w:szCs w:val="26"/>
        </w:rPr>
        <w:t xml:space="preserve"> paid on the contract, irrespective of the </w:t>
      </w:r>
      <w:r w:rsidR="001C2DE2">
        <w:rPr>
          <w:szCs w:val="26"/>
        </w:rPr>
        <w:t xml:space="preserve">size of the contract, </w:t>
      </w:r>
      <w:r w:rsidR="00024E74">
        <w:rPr>
          <w:szCs w:val="26"/>
        </w:rPr>
        <w:t xml:space="preserve">to </w:t>
      </w:r>
      <w:r w:rsidR="005677ED">
        <w:rPr>
          <w:szCs w:val="26"/>
        </w:rPr>
        <w:t>better</w:t>
      </w:r>
      <w:r w:rsidR="00FB26F9">
        <w:rPr>
          <w:szCs w:val="26"/>
        </w:rPr>
        <w:t xml:space="preserve"> reallocate the costs of seller misconduct.  (</w:t>
      </w:r>
      <w:r w:rsidR="00C624C4">
        <w:rPr>
          <w:i/>
          <w:iCs/>
          <w:szCs w:val="26"/>
        </w:rPr>
        <w:t>Ibid.</w:t>
      </w:r>
      <w:r w:rsidR="00FB26F9">
        <w:rPr>
          <w:szCs w:val="26"/>
        </w:rPr>
        <w:t>)</w:t>
      </w:r>
      <w:r w:rsidR="009F40E6">
        <w:rPr>
          <w:szCs w:val="26"/>
        </w:rPr>
        <w:t xml:space="preserve">  </w:t>
      </w:r>
      <w:r w:rsidR="002A408F">
        <w:rPr>
          <w:szCs w:val="26"/>
        </w:rPr>
        <w:t>T</w:t>
      </w:r>
      <w:r w:rsidR="009F40E6">
        <w:rPr>
          <w:szCs w:val="26"/>
        </w:rPr>
        <w:t xml:space="preserve">he FTC </w:t>
      </w:r>
      <w:r w:rsidR="001B3592">
        <w:rPr>
          <w:szCs w:val="26"/>
        </w:rPr>
        <w:t xml:space="preserve">was </w:t>
      </w:r>
      <w:r w:rsidR="002A408F">
        <w:rPr>
          <w:szCs w:val="26"/>
        </w:rPr>
        <w:t xml:space="preserve">not </w:t>
      </w:r>
      <w:r w:rsidR="001B3592">
        <w:rPr>
          <w:szCs w:val="26"/>
        </w:rPr>
        <w:t>as single</w:t>
      </w:r>
      <w:r w:rsidR="002A408F">
        <w:rPr>
          <w:szCs w:val="26"/>
        </w:rPr>
        <w:t>-</w:t>
      </w:r>
      <w:r w:rsidR="001B3592">
        <w:rPr>
          <w:szCs w:val="26"/>
        </w:rPr>
        <w:t xml:space="preserve">mindedly concerned with creditors’ bottom lines as TDAF suggests. </w:t>
      </w:r>
    </w:p>
    <w:p w14:paraId="1C51CF06" w14:textId="110C2B1D" w:rsidR="00D74D33" w:rsidRPr="00F66A34" w:rsidRDefault="00F66A34" w:rsidP="006358AA">
      <w:pPr>
        <w:keepNext/>
        <w:jc w:val="center"/>
        <w:rPr>
          <w:b/>
          <w:bCs/>
          <w:szCs w:val="26"/>
        </w:rPr>
      </w:pPr>
      <w:r w:rsidRPr="00F66A34">
        <w:rPr>
          <w:b/>
          <w:bCs/>
          <w:szCs w:val="26"/>
        </w:rPr>
        <w:t>D.</w:t>
      </w:r>
    </w:p>
    <w:p w14:paraId="378946CB" w14:textId="2509FEA1" w:rsidR="005C6082" w:rsidRPr="00645536" w:rsidRDefault="00762ACD" w:rsidP="006358AA">
      <w:pPr>
        <w:keepNext/>
        <w:ind w:firstLine="720"/>
      </w:pPr>
      <w:r>
        <w:rPr>
          <w:noProof/>
        </w:rPr>
        <w:t>In any event</w:t>
      </w:r>
      <w:r w:rsidR="005C6082">
        <w:rPr>
          <w:noProof/>
        </w:rPr>
        <w:t>, t</w:t>
      </w:r>
      <w:r w:rsidR="005C6082" w:rsidRPr="00645536">
        <w:rPr>
          <w:noProof/>
        </w:rPr>
        <w:t xml:space="preserve">he </w:t>
      </w:r>
      <w:r w:rsidR="005C6082" w:rsidRPr="00645536">
        <w:t xml:space="preserve">history of the Holder Rule </w:t>
      </w:r>
      <w:r w:rsidR="005C6082" w:rsidRPr="00645536">
        <w:rPr>
          <w:noProof/>
        </w:rPr>
        <w:t xml:space="preserve">indicates that the FTC intended the Rule to serve as a </w:t>
      </w:r>
      <w:r w:rsidR="005C6082" w:rsidRPr="00645536">
        <w:t>national floor, not to restrict the application of state laws authorizing additional awards of damages or attorney’s fees</w:t>
      </w:r>
      <w:r w:rsidR="005C6082">
        <w:t xml:space="preserve"> against a seller or holder</w:t>
      </w:r>
      <w:r w:rsidR="005C6082" w:rsidRPr="00645536">
        <w:t>.  (See F</w:t>
      </w:r>
      <w:r w:rsidR="00A525D4">
        <w:t>TC</w:t>
      </w:r>
      <w:r w:rsidR="00BC3789">
        <w:t>,</w:t>
      </w:r>
      <w:r w:rsidR="005C6082" w:rsidRPr="00645536">
        <w:t xml:space="preserve"> FTC Finds Broad Compliance Among Auto Dealers with Rule That Protects Consumers with Car Loans (May 16, 2011) [“Without the Rule, consumers would not have this protection in states that preclude them from asserting against lenders the claims and defenses they have against dealers if the lenders bought the credit contracts in good faith and without knowledge of these claims and defenses.”].) </w:t>
      </w:r>
    </w:p>
    <w:p w14:paraId="286D9EFB" w14:textId="693F8800" w:rsidR="005C6082" w:rsidRPr="00645536" w:rsidRDefault="005C6082" w:rsidP="005C6082">
      <w:pPr>
        <w:ind w:firstLine="720"/>
      </w:pPr>
      <w:r w:rsidRPr="00645536">
        <w:t>In promulgating the Rule, the FTC detailed the patchwork of state laws in existence and anticipated further state action.  (40 Fed.Reg.</w:t>
      </w:r>
      <w:r w:rsidR="00447CD9">
        <w:rPr>
          <w:szCs w:val="26"/>
        </w:rPr>
        <w:t xml:space="preserve">, </w:t>
      </w:r>
      <w:r w:rsidR="00447CD9">
        <w:rPr>
          <w:i/>
          <w:iCs/>
          <w:szCs w:val="26"/>
        </w:rPr>
        <w:t>supra</w:t>
      </w:r>
      <w:r w:rsidR="00447CD9">
        <w:rPr>
          <w:szCs w:val="26"/>
        </w:rPr>
        <w:t>,</w:t>
      </w:r>
      <w:r w:rsidR="00447CD9" w:rsidRPr="00645536">
        <w:rPr>
          <w:szCs w:val="26"/>
        </w:rPr>
        <w:t xml:space="preserve"> </w:t>
      </w:r>
      <w:r w:rsidR="00447CD9">
        <w:rPr>
          <w:szCs w:val="26"/>
        </w:rPr>
        <w:t>at p.</w:t>
      </w:r>
      <w:r w:rsidRPr="00645536">
        <w:t xml:space="preserve"> 53521.)  Around the time the FTC was considering the Holder Rule, Congress created the National Commission on Consumer Finance (NCCF) “to study and make recommendations on the need for further regulation of the consumer finance industry.”  (Pub.L. No. 90-321 (May 29, 1968) 82 Stat. 146.)  In the FTC’s initial proceedings, it declined to “withhold action until the report of the [NCCF] was completed and published.”  (40 Fed.Reg.</w:t>
      </w:r>
      <w:r w:rsidR="00447CD9">
        <w:rPr>
          <w:szCs w:val="26"/>
        </w:rPr>
        <w:t xml:space="preserve">, </w:t>
      </w:r>
      <w:r w:rsidR="00447CD9">
        <w:rPr>
          <w:i/>
          <w:iCs/>
          <w:szCs w:val="26"/>
        </w:rPr>
        <w:t>supra</w:t>
      </w:r>
      <w:r w:rsidR="00447CD9">
        <w:rPr>
          <w:szCs w:val="26"/>
        </w:rPr>
        <w:t>,</w:t>
      </w:r>
      <w:r w:rsidR="00447CD9" w:rsidRPr="00645536">
        <w:rPr>
          <w:szCs w:val="26"/>
        </w:rPr>
        <w:t xml:space="preserve"> </w:t>
      </w:r>
      <w:r w:rsidR="00447CD9">
        <w:rPr>
          <w:szCs w:val="26"/>
        </w:rPr>
        <w:t>at p.</w:t>
      </w:r>
      <w:r w:rsidRPr="00645536">
        <w:t xml:space="preserve"> 53521</w:t>
      </w:r>
      <w:r w:rsidRPr="00645536">
        <w:rPr>
          <w:i/>
          <w:iCs/>
        </w:rPr>
        <w:t>.</w:t>
      </w:r>
      <w:r w:rsidRPr="00645536">
        <w:t>)  In promulgating the Rule, the FTC again declined to wait until “the individual states [] have an opportunity to enact the NCCF recommendations.”  (</w:t>
      </w:r>
      <w:r w:rsidRPr="00645536">
        <w:rPr>
          <w:i/>
          <w:iCs/>
        </w:rPr>
        <w:t>Ibid.</w:t>
      </w:r>
      <w:r w:rsidRPr="00645536">
        <w:t>)</w:t>
      </w:r>
      <w:r w:rsidRPr="00645536">
        <w:rPr>
          <w:i/>
          <w:iCs/>
        </w:rPr>
        <w:t xml:space="preserve">  </w:t>
      </w:r>
      <w:r w:rsidRPr="00645536">
        <w:t xml:space="preserve">Importantly, the NCCF not only “recommended abolition of the holder in due course doctrine,” as the FTC </w:t>
      </w:r>
      <w:r w:rsidR="00AC0517">
        <w:t>sought</w:t>
      </w:r>
      <w:r w:rsidR="00AC0517" w:rsidRPr="00645536">
        <w:t xml:space="preserve"> </w:t>
      </w:r>
      <w:r w:rsidRPr="00645536">
        <w:t>to accomplish with the Holder Rule, but also “urged restrictions on remedies such as garnishment, repossession, and wage assignment,” and “recommended abolition of . . . confessions of judgment[] and harassing tactics in debt collections.”  (N</w:t>
      </w:r>
      <w:r w:rsidR="00A52D16">
        <w:t>CCF</w:t>
      </w:r>
      <w:r w:rsidRPr="00645536">
        <w:t xml:space="preserve">, Consumer Credit in the United States (Dec. 31, 1972) p. iii.)  The FTC clearly anticipated that states implementing NCCF recommendations could and would take actions more protective than the Holder Rule.  </w:t>
      </w:r>
    </w:p>
    <w:p w14:paraId="1078D6BB" w14:textId="455151B9" w:rsidR="005C6082" w:rsidRPr="00645536" w:rsidRDefault="005C6082" w:rsidP="005C6082">
      <w:pPr>
        <w:ind w:firstLine="720"/>
      </w:pPr>
      <w:r w:rsidRPr="00645536">
        <w:t>In promulgating the Rule, the FTC also addressed the argument that “state action has made Commission action unnecessary.”  (40 Fed.Reg.</w:t>
      </w:r>
      <w:r w:rsidR="00447CD9">
        <w:rPr>
          <w:szCs w:val="26"/>
        </w:rPr>
        <w:t xml:space="preserve">, </w:t>
      </w:r>
      <w:r w:rsidR="00447CD9">
        <w:rPr>
          <w:i/>
          <w:iCs/>
          <w:szCs w:val="26"/>
        </w:rPr>
        <w:t>supra</w:t>
      </w:r>
      <w:r w:rsidR="00447CD9">
        <w:rPr>
          <w:szCs w:val="26"/>
        </w:rPr>
        <w:t>,</w:t>
      </w:r>
      <w:r w:rsidR="00447CD9" w:rsidRPr="00645536">
        <w:rPr>
          <w:szCs w:val="26"/>
        </w:rPr>
        <w:t xml:space="preserve"> </w:t>
      </w:r>
      <w:r w:rsidR="00447CD9">
        <w:rPr>
          <w:szCs w:val="26"/>
        </w:rPr>
        <w:t>at p.</w:t>
      </w:r>
      <w:r w:rsidRPr="00645536">
        <w:t xml:space="preserve"> 53521.)  To this</w:t>
      </w:r>
      <w:r w:rsidR="00AC0517">
        <w:t>,</w:t>
      </w:r>
      <w:r w:rsidRPr="00645536">
        <w:t xml:space="preserve"> the FTC responded that “only a few [states] have enacted a comprehensive measure” and that “partial limitations [in some other states] do not reach the full extent of the problem.”  (</w:t>
      </w:r>
      <w:r w:rsidRPr="00645536">
        <w:rPr>
          <w:i/>
          <w:iCs/>
        </w:rPr>
        <w:t>Ibid.</w:t>
      </w:r>
      <w:r w:rsidRPr="00645536">
        <w:t>)  The FTC noted that “[m]any witnesses agree that a trade regulation rule would encourage rather than discourage further state action.”  (</w:t>
      </w:r>
      <w:r w:rsidRPr="00645536">
        <w:rPr>
          <w:i/>
          <w:iCs/>
        </w:rPr>
        <w:t xml:space="preserve">Id. </w:t>
      </w:r>
      <w:r w:rsidRPr="00645536">
        <w:t>at p. 5352</w:t>
      </w:r>
      <w:r w:rsidR="00015DB3">
        <w:t>2</w:t>
      </w:r>
      <w:r w:rsidRPr="00645536">
        <w:t>, fn. 65.)  It concluded that “th[e] Rule will serve as a model for further state legislation and give states which lack legislation impetus to act.”  (</w:t>
      </w:r>
      <w:r w:rsidRPr="00645536">
        <w:rPr>
          <w:i/>
          <w:iCs/>
        </w:rPr>
        <w:t>Id.</w:t>
      </w:r>
      <w:r w:rsidRPr="00645536">
        <w:t xml:space="preserve"> at p. 53521.)  </w:t>
      </w:r>
    </w:p>
    <w:p w14:paraId="06D28BB8" w14:textId="2F5FF8DC" w:rsidR="005C6082" w:rsidRPr="00645536" w:rsidRDefault="005C6082" w:rsidP="005C6082">
      <w:pPr>
        <w:ind w:firstLine="720"/>
      </w:pPr>
      <w:r w:rsidRPr="00645536">
        <w:t xml:space="preserve">The </w:t>
      </w:r>
      <w:r w:rsidR="00427721">
        <w:t xml:space="preserve">staff </w:t>
      </w:r>
      <w:r w:rsidR="00D31E3F">
        <w:t>g</w:t>
      </w:r>
      <w:r w:rsidRPr="00645536">
        <w:t>uidance reaffirms that the FTC contemplated that state law might offer greater protections for consumers.  It describes how under the Notice, “[t]he creditor stands in the shoes of the seller” subject to “an important limitation on the creditor’s liability.”  (41 Fed.Reg.</w:t>
      </w:r>
      <w:r w:rsidR="00447CD9">
        <w:rPr>
          <w:szCs w:val="26"/>
        </w:rPr>
        <w:t xml:space="preserve">, </w:t>
      </w:r>
      <w:r w:rsidR="00447CD9">
        <w:rPr>
          <w:i/>
          <w:iCs/>
          <w:szCs w:val="26"/>
        </w:rPr>
        <w:t>supra</w:t>
      </w:r>
      <w:r w:rsidR="00447CD9">
        <w:rPr>
          <w:szCs w:val="26"/>
        </w:rPr>
        <w:t>,</w:t>
      </w:r>
      <w:r w:rsidR="00447CD9" w:rsidRPr="00645536">
        <w:rPr>
          <w:szCs w:val="26"/>
        </w:rPr>
        <w:t xml:space="preserve"> </w:t>
      </w:r>
      <w:r w:rsidR="00447CD9">
        <w:rPr>
          <w:szCs w:val="26"/>
        </w:rPr>
        <w:t>at p.</w:t>
      </w:r>
      <w:r w:rsidRPr="00645536">
        <w:t xml:space="preserve"> 20023.)  The last sentence of the Notice</w:t>
      </w:r>
      <w:r w:rsidR="00F31356">
        <w:t> </w:t>
      </w:r>
      <w:r w:rsidRPr="00645536">
        <w:t>— that “recovery hereunder by the debtor shall not exceed amounts paid by the debtor hereunder”</w:t>
      </w:r>
      <w:r w:rsidR="00C3393A">
        <w:t> </w:t>
      </w:r>
      <w:r w:rsidRPr="00645536">
        <w:t>— “limits the consumer to a refund of monies paid under the contract, in the event that an affirmative money recovery is sought.”  (</w:t>
      </w:r>
      <w:r w:rsidRPr="00645536">
        <w:rPr>
          <w:i/>
          <w:iCs/>
        </w:rPr>
        <w:t>Ibid.</w:t>
      </w:r>
      <w:r w:rsidR="007D7DC6">
        <w:t>, capitalization omitted.</w:t>
      </w:r>
      <w:r w:rsidRPr="00645536">
        <w:t xml:space="preserve">)  But, it explained, “[t]he limitation on affirmative recovery </w:t>
      </w:r>
      <w:r w:rsidRPr="00645536">
        <w:rPr>
          <w:i/>
          <w:iCs/>
        </w:rPr>
        <w:t>does not eliminate any other rights the consumer may have as a matter of local, state, or federal statute</w:t>
      </w:r>
      <w:r w:rsidRPr="00645536">
        <w:t xml:space="preserve">.  The words ‘recovery hereunder’ which appear in the text of the Notice refer specifically to a recovery under the Notice.  </w:t>
      </w:r>
      <w:r w:rsidRPr="00645536">
        <w:rPr>
          <w:i/>
          <w:iCs/>
        </w:rPr>
        <w:t>If a larger affirmative recovery is available against a creditor as a matter of state law, the consumer would retain this right</w:t>
      </w:r>
      <w:r w:rsidRPr="00645536">
        <w:t>.”  (</w:t>
      </w:r>
      <w:r w:rsidRPr="00645536">
        <w:rPr>
          <w:i/>
          <w:iCs/>
        </w:rPr>
        <w:t>Ibid.</w:t>
      </w:r>
      <w:r w:rsidRPr="00645536">
        <w:t>, italics added.)  The FTC highlighted these statements without disagreement in its 2019 Rule Confirmation.  (</w:t>
      </w:r>
      <w:r w:rsidRPr="00645536">
        <w:rPr>
          <w:szCs w:val="26"/>
        </w:rPr>
        <w:t>84 Fed.Reg.</w:t>
      </w:r>
      <w:r w:rsidR="00447CD9">
        <w:rPr>
          <w:szCs w:val="26"/>
        </w:rPr>
        <w:t xml:space="preserve">, </w:t>
      </w:r>
      <w:r w:rsidR="00447CD9">
        <w:rPr>
          <w:i/>
          <w:iCs/>
          <w:szCs w:val="26"/>
        </w:rPr>
        <w:t>supra</w:t>
      </w:r>
      <w:r w:rsidR="00447CD9">
        <w:rPr>
          <w:szCs w:val="26"/>
        </w:rPr>
        <w:t>,</w:t>
      </w:r>
      <w:r w:rsidR="00447CD9" w:rsidRPr="00645536">
        <w:rPr>
          <w:szCs w:val="26"/>
        </w:rPr>
        <w:t xml:space="preserve"> </w:t>
      </w:r>
      <w:r w:rsidR="00447CD9">
        <w:rPr>
          <w:szCs w:val="26"/>
        </w:rPr>
        <w:t>at p.</w:t>
      </w:r>
      <w:r w:rsidRPr="00645536">
        <w:t xml:space="preserve"> 18713, fn. 30.)  Where the FTC has disagreed with the </w:t>
      </w:r>
      <w:r w:rsidR="00D31E3F">
        <w:t>g</w:t>
      </w:r>
      <w:r w:rsidRPr="00645536">
        <w:t>uidance, it has expressly said so.  (See F</w:t>
      </w:r>
      <w:r w:rsidR="00F443FF">
        <w:t>TC</w:t>
      </w:r>
      <w:r w:rsidR="00251220">
        <w:t>,</w:t>
      </w:r>
      <w:r w:rsidRPr="00645536">
        <w:t xml:space="preserve"> FTC Staff Issues Note on Holder Rule and Large Transactions (Apr. 14, 2021) [“The new staff note corrects an erroneous statement in [the] 1976 pamphlet by FTC staff that the Holder Rule did not apply to transactions larger than $25,000.”].)</w:t>
      </w:r>
    </w:p>
    <w:p w14:paraId="5646C5C5" w14:textId="0FDACF9D" w:rsidR="005C6082" w:rsidRPr="00645536" w:rsidRDefault="005C6082" w:rsidP="005C6082">
      <w:pPr>
        <w:ind w:firstLine="720"/>
      </w:pPr>
      <w:r w:rsidRPr="00645536">
        <w:rPr>
          <w:noProof/>
        </w:rPr>
        <w:t xml:space="preserve">This understanding of the Holder Rule also flows naturally from </w:t>
      </w:r>
      <w:r w:rsidRPr="00645536">
        <w:t>the text of the Notice which provides that “recovery</w:t>
      </w:r>
      <w:r w:rsidRPr="00645536">
        <w:rPr>
          <w:i/>
          <w:iCs/>
        </w:rPr>
        <w:t xml:space="preserve"> hereunder</w:t>
      </w:r>
      <w:r w:rsidRPr="00645536">
        <w:t xml:space="preserve"> by the debtor shall not exceed amounts paid by the debtor hereunder.”  (16 C.F.R. § 433.2(a)</w:t>
      </w:r>
      <w:r w:rsidR="00FC79CC">
        <w:t xml:space="preserve"> (1975)</w:t>
      </w:r>
      <w:r w:rsidRPr="00645536">
        <w:t xml:space="preserve">, italics added.)  The Holder Rule extended claims and defenses by a consumer against a seller based on state </w:t>
      </w:r>
      <w:r w:rsidR="00AC0517">
        <w:t xml:space="preserve">law </w:t>
      </w:r>
      <w:r w:rsidRPr="00645536">
        <w:t>or common law</w:t>
      </w:r>
      <w:r w:rsidR="00AC0517">
        <w:t xml:space="preserve"> so that such</w:t>
      </w:r>
      <w:r w:rsidRPr="00645536">
        <w:t xml:space="preserve"> claims </w:t>
      </w:r>
      <w:r w:rsidR="00AC0517">
        <w:t xml:space="preserve">and defenses would </w:t>
      </w:r>
      <w:r w:rsidRPr="00645536">
        <w:t>lie against third</w:t>
      </w:r>
      <w:r w:rsidR="00F31356">
        <w:t xml:space="preserve"> </w:t>
      </w:r>
      <w:r w:rsidRPr="00645536">
        <w:t xml:space="preserve">party creditors.  The words “recovery hereunder” limit this extension to “amounts paid by the debtor” under the contract.  </w:t>
      </w:r>
      <w:r w:rsidR="00521647">
        <w:t>(</w:t>
      </w:r>
      <w:r w:rsidR="007C274E">
        <w:rPr>
          <w:i/>
          <w:iCs/>
        </w:rPr>
        <w:t>Ibid.</w:t>
      </w:r>
      <w:r w:rsidR="007C274E">
        <w:t xml:space="preserve">)  </w:t>
      </w:r>
      <w:r w:rsidRPr="00645536">
        <w:t>But this limitation says nothing about the ability of states to provide consumers greater recovery against creditors than that available solely under the Holder Rule</w:t>
      </w:r>
      <w:r>
        <w:t xml:space="preserve"> or to provide for the </w:t>
      </w:r>
      <w:r w:rsidR="0074459A">
        <w:t xml:space="preserve">award </w:t>
      </w:r>
      <w:r>
        <w:t>of fees from creditors following suit</w:t>
      </w:r>
      <w:r w:rsidRPr="00645536">
        <w:t xml:space="preserve">.  </w:t>
      </w:r>
    </w:p>
    <w:p w14:paraId="741DEBAF" w14:textId="201E1F5B" w:rsidR="005C6082" w:rsidRPr="00645536" w:rsidRDefault="005C6082" w:rsidP="005C6082">
      <w:pPr>
        <w:ind w:firstLine="720"/>
      </w:pPr>
      <w:r w:rsidRPr="00645536">
        <w:t xml:space="preserve">TDAF argues that the Rule “does not allow uncapped attorney’s fees because doing so would run contrary to the Rule’s goal of efficiently allocating the risks of seller misconduct without making creditors the guarantors of sellers’ performance.”  Westlake similarly maintains that creditor liability for attorney’s fees would be in excess of that intended by the Rule.  </w:t>
      </w:r>
      <w:r w:rsidR="00AC0517">
        <w:t xml:space="preserve">To be sure, </w:t>
      </w:r>
      <w:r w:rsidRPr="00645536">
        <w:t>the FTC chose to limit creditor liability under the Holder Rule to amounts paid by the debtor under the contract rather than pass on all seller misconduct costs to creditors.  (See 41 Fed.Reg.</w:t>
      </w:r>
      <w:r w:rsidR="00447CD9">
        <w:rPr>
          <w:szCs w:val="26"/>
        </w:rPr>
        <w:t xml:space="preserve">, </w:t>
      </w:r>
      <w:r w:rsidR="00447CD9">
        <w:rPr>
          <w:i/>
          <w:iCs/>
          <w:szCs w:val="26"/>
        </w:rPr>
        <w:t>supra</w:t>
      </w:r>
      <w:r w:rsidR="00447CD9">
        <w:rPr>
          <w:szCs w:val="26"/>
        </w:rPr>
        <w:t>,</w:t>
      </w:r>
      <w:r w:rsidR="00447CD9" w:rsidRPr="00645536">
        <w:rPr>
          <w:szCs w:val="26"/>
        </w:rPr>
        <w:t xml:space="preserve"> </w:t>
      </w:r>
      <w:r w:rsidR="00447CD9">
        <w:rPr>
          <w:szCs w:val="26"/>
        </w:rPr>
        <w:t>at p.</w:t>
      </w:r>
      <w:r w:rsidRPr="00645536">
        <w:t xml:space="preserve"> 20023.)  But</w:t>
      </w:r>
      <w:r w:rsidR="00AC0517">
        <w:t>, as noted,</w:t>
      </w:r>
      <w:r w:rsidRPr="00645536">
        <w:t xml:space="preserve"> the FTC anticipated further state action and</w:t>
      </w:r>
      <w:r w:rsidR="00850B7E">
        <w:t xml:space="preserve"> only</w:t>
      </w:r>
      <w:r w:rsidRPr="00645536">
        <w:t xml:space="preserve"> limited “recovery </w:t>
      </w:r>
      <w:r w:rsidRPr="00645536">
        <w:rPr>
          <w:i/>
          <w:iCs/>
        </w:rPr>
        <w:t>hereunder</w:t>
      </w:r>
      <w:r w:rsidRPr="00645536">
        <w:t>” to amounts paid by the debtor</w:t>
      </w:r>
      <w:r w:rsidR="00AC0517">
        <w:t xml:space="preserve">. </w:t>
      </w:r>
      <w:r w:rsidR="009A403B">
        <w:t xml:space="preserve"> </w:t>
      </w:r>
      <w:r w:rsidR="009A403B" w:rsidRPr="00645536">
        <w:rPr>
          <w:szCs w:val="26"/>
        </w:rPr>
        <w:t>(</w:t>
      </w:r>
      <w:r w:rsidR="00AC0517">
        <w:rPr>
          <w:i/>
          <w:iCs/>
          <w:szCs w:val="26"/>
        </w:rPr>
        <w:t>I</w:t>
      </w:r>
      <w:r w:rsidR="009A403B">
        <w:rPr>
          <w:i/>
          <w:iCs/>
          <w:szCs w:val="26"/>
        </w:rPr>
        <w:t>bid.</w:t>
      </w:r>
      <w:r w:rsidR="009A403B">
        <w:rPr>
          <w:szCs w:val="26"/>
        </w:rPr>
        <w:t>,</w:t>
      </w:r>
      <w:r w:rsidR="009A403B">
        <w:rPr>
          <w:i/>
          <w:iCs/>
          <w:szCs w:val="26"/>
        </w:rPr>
        <w:t xml:space="preserve"> </w:t>
      </w:r>
      <w:r w:rsidR="009A403B" w:rsidRPr="00645536">
        <w:rPr>
          <w:szCs w:val="26"/>
        </w:rPr>
        <w:t>italics added</w:t>
      </w:r>
      <w:r w:rsidR="00342821">
        <w:rPr>
          <w:szCs w:val="26"/>
        </w:rPr>
        <w:t>, capitalization omitted</w:t>
      </w:r>
      <w:r w:rsidR="00AC0517">
        <w:rPr>
          <w:szCs w:val="26"/>
        </w:rPr>
        <w:t>.</w:t>
      </w:r>
      <w:r w:rsidR="009A403B" w:rsidRPr="00645536">
        <w:rPr>
          <w:szCs w:val="26"/>
        </w:rPr>
        <w:t>)</w:t>
      </w:r>
      <w:r w:rsidR="00AC0517">
        <w:rPr>
          <w:szCs w:val="26"/>
        </w:rPr>
        <w:t xml:space="preserve">  Accordingly</w:t>
      </w:r>
      <w:r w:rsidRPr="00645536">
        <w:t>, the fact that consumers may be able to claim attorney’s fees in suits against creditors based on state law is not at odds with the Holder Rule’s purpose.</w:t>
      </w:r>
    </w:p>
    <w:p w14:paraId="3B6BF3B7" w14:textId="55BAB0A3" w:rsidR="00B10454" w:rsidRDefault="00A01FC6" w:rsidP="00645536">
      <w:pPr>
        <w:ind w:firstLine="720"/>
        <w:rPr>
          <w:szCs w:val="26"/>
        </w:rPr>
      </w:pPr>
      <w:r w:rsidRPr="00645536">
        <w:rPr>
          <w:szCs w:val="26"/>
        </w:rPr>
        <w:t xml:space="preserve">Neither the language of the Holder Rule </w:t>
      </w:r>
      <w:r w:rsidR="000B225E" w:rsidRPr="00645536">
        <w:rPr>
          <w:szCs w:val="26"/>
        </w:rPr>
        <w:t xml:space="preserve">nor its history </w:t>
      </w:r>
      <w:r w:rsidR="00DB42BF" w:rsidRPr="00645536">
        <w:rPr>
          <w:szCs w:val="26"/>
        </w:rPr>
        <w:t xml:space="preserve">suggest </w:t>
      </w:r>
      <w:r w:rsidR="0051461E" w:rsidRPr="00645536">
        <w:rPr>
          <w:szCs w:val="26"/>
        </w:rPr>
        <w:t xml:space="preserve">that </w:t>
      </w:r>
      <w:r w:rsidR="00DB42BF" w:rsidRPr="00645536">
        <w:rPr>
          <w:szCs w:val="26"/>
        </w:rPr>
        <w:t xml:space="preserve">it was intended to displace or prevent state law from authorizing greater recovery than what a plaintiff may recover based on the language of the </w:t>
      </w:r>
      <w:r w:rsidR="0081094D" w:rsidRPr="00645536">
        <w:rPr>
          <w:szCs w:val="26"/>
        </w:rPr>
        <w:t>N</w:t>
      </w:r>
      <w:r w:rsidR="00DB42BF" w:rsidRPr="00645536">
        <w:rPr>
          <w:szCs w:val="26"/>
        </w:rPr>
        <w:t xml:space="preserve">otice alone.  </w:t>
      </w:r>
      <w:r w:rsidR="005222BF" w:rsidRPr="00645536">
        <w:rPr>
          <w:szCs w:val="26"/>
        </w:rPr>
        <w:t xml:space="preserve">In repudiating the holder in due course doctrine and expanding creditor liability up to a point, the FTC made clear it was setting a national floor, not a ceiling that states </w:t>
      </w:r>
      <w:r w:rsidR="0027719B" w:rsidRPr="00645536">
        <w:rPr>
          <w:szCs w:val="26"/>
        </w:rPr>
        <w:t>may not</w:t>
      </w:r>
      <w:r w:rsidR="005222BF" w:rsidRPr="00645536">
        <w:rPr>
          <w:szCs w:val="26"/>
        </w:rPr>
        <w:t xml:space="preserve"> exceed.  </w:t>
      </w:r>
      <w:r w:rsidR="00444614">
        <w:rPr>
          <w:szCs w:val="26"/>
        </w:rPr>
        <w:t>I</w:t>
      </w:r>
      <w:r w:rsidR="007D6449">
        <w:rPr>
          <w:szCs w:val="26"/>
        </w:rPr>
        <w:t xml:space="preserve">t cited </w:t>
      </w:r>
      <w:r w:rsidR="00C21765">
        <w:rPr>
          <w:szCs w:val="26"/>
        </w:rPr>
        <w:t>several states’ preexisting consumer protection statutes</w:t>
      </w:r>
      <w:r w:rsidR="00C3393A">
        <w:rPr>
          <w:szCs w:val="26"/>
        </w:rPr>
        <w:t> </w:t>
      </w:r>
      <w:r w:rsidR="00C21765">
        <w:rPr>
          <w:szCs w:val="26"/>
        </w:rPr>
        <w:t xml:space="preserve">— including </w:t>
      </w:r>
      <w:r w:rsidR="007D6449">
        <w:rPr>
          <w:szCs w:val="26"/>
        </w:rPr>
        <w:t>California’s Unruh Act</w:t>
      </w:r>
      <w:r w:rsidR="00BD4396">
        <w:rPr>
          <w:szCs w:val="26"/>
        </w:rPr>
        <w:t xml:space="preserve"> </w:t>
      </w:r>
      <w:r w:rsidR="002B78A3">
        <w:rPr>
          <w:szCs w:val="26"/>
        </w:rPr>
        <w:t>(§ 1801 et seq.)</w:t>
      </w:r>
      <w:r w:rsidR="00C3393A">
        <w:rPr>
          <w:szCs w:val="26"/>
        </w:rPr>
        <w:t> </w:t>
      </w:r>
      <w:r w:rsidR="00C21765">
        <w:rPr>
          <w:szCs w:val="26"/>
        </w:rPr>
        <w:t xml:space="preserve">— </w:t>
      </w:r>
      <w:r w:rsidR="007D6449">
        <w:rPr>
          <w:szCs w:val="26"/>
        </w:rPr>
        <w:t>as example</w:t>
      </w:r>
      <w:r w:rsidR="000E6F24">
        <w:rPr>
          <w:szCs w:val="26"/>
        </w:rPr>
        <w:t>s</w:t>
      </w:r>
      <w:r w:rsidR="007D6449">
        <w:rPr>
          <w:szCs w:val="26"/>
        </w:rPr>
        <w:t xml:space="preserve"> </w:t>
      </w:r>
      <w:r w:rsidR="007968B4">
        <w:rPr>
          <w:szCs w:val="26"/>
        </w:rPr>
        <w:t>informing its</w:t>
      </w:r>
      <w:r w:rsidR="007D6449">
        <w:rPr>
          <w:szCs w:val="26"/>
        </w:rPr>
        <w:t xml:space="preserve"> </w:t>
      </w:r>
      <w:r w:rsidR="004448CD">
        <w:rPr>
          <w:szCs w:val="26"/>
        </w:rPr>
        <w:t xml:space="preserve">decision to </w:t>
      </w:r>
      <w:r w:rsidR="007D6449">
        <w:rPr>
          <w:szCs w:val="26"/>
        </w:rPr>
        <w:t xml:space="preserve">act in the first place.  </w:t>
      </w:r>
      <w:r w:rsidR="007847EF">
        <w:rPr>
          <w:szCs w:val="26"/>
        </w:rPr>
        <w:t>(40 Fed.Reg.</w:t>
      </w:r>
      <w:r w:rsidR="00447CD9">
        <w:rPr>
          <w:szCs w:val="26"/>
        </w:rPr>
        <w:t xml:space="preserve">, </w:t>
      </w:r>
      <w:r w:rsidR="00447CD9">
        <w:rPr>
          <w:i/>
          <w:iCs/>
          <w:szCs w:val="26"/>
        </w:rPr>
        <w:t>supra</w:t>
      </w:r>
      <w:r w:rsidR="00447CD9">
        <w:rPr>
          <w:szCs w:val="26"/>
        </w:rPr>
        <w:t>,</w:t>
      </w:r>
      <w:r w:rsidR="00447CD9" w:rsidRPr="00645536">
        <w:rPr>
          <w:szCs w:val="26"/>
        </w:rPr>
        <w:t xml:space="preserve"> </w:t>
      </w:r>
      <w:r w:rsidR="00447CD9">
        <w:rPr>
          <w:szCs w:val="26"/>
        </w:rPr>
        <w:t>at p.</w:t>
      </w:r>
      <w:r w:rsidR="007847EF">
        <w:rPr>
          <w:szCs w:val="26"/>
        </w:rPr>
        <w:t xml:space="preserve"> 53527.)  </w:t>
      </w:r>
      <w:r w:rsidR="007D6449">
        <w:rPr>
          <w:szCs w:val="26"/>
        </w:rPr>
        <w:t>It is difficult to imagine the FTC</w:t>
      </w:r>
      <w:r w:rsidR="00C21765">
        <w:rPr>
          <w:szCs w:val="26"/>
        </w:rPr>
        <w:t xml:space="preserve"> </w:t>
      </w:r>
      <w:r w:rsidR="000E6F24">
        <w:rPr>
          <w:szCs w:val="26"/>
        </w:rPr>
        <w:t xml:space="preserve">citing </w:t>
      </w:r>
      <w:r w:rsidR="00AC0517">
        <w:rPr>
          <w:szCs w:val="26"/>
        </w:rPr>
        <w:t xml:space="preserve">such laws </w:t>
      </w:r>
      <w:r w:rsidR="000E6F24">
        <w:rPr>
          <w:szCs w:val="26"/>
        </w:rPr>
        <w:t xml:space="preserve">favorably if it </w:t>
      </w:r>
      <w:r w:rsidR="00AC0517">
        <w:rPr>
          <w:szCs w:val="26"/>
        </w:rPr>
        <w:t>intended</w:t>
      </w:r>
      <w:r w:rsidR="0090588C">
        <w:rPr>
          <w:szCs w:val="26"/>
        </w:rPr>
        <w:t xml:space="preserve">, without comment, </w:t>
      </w:r>
      <w:r w:rsidR="00AC0517">
        <w:rPr>
          <w:szCs w:val="26"/>
        </w:rPr>
        <w:t xml:space="preserve">to </w:t>
      </w:r>
      <w:r w:rsidR="0090588C">
        <w:rPr>
          <w:szCs w:val="26"/>
        </w:rPr>
        <w:t xml:space="preserve">simultaneously squelch </w:t>
      </w:r>
      <w:r w:rsidR="00BD4396">
        <w:rPr>
          <w:szCs w:val="26"/>
        </w:rPr>
        <w:t xml:space="preserve">any of their </w:t>
      </w:r>
      <w:r w:rsidR="0090588C">
        <w:rPr>
          <w:szCs w:val="26"/>
        </w:rPr>
        <w:t xml:space="preserve">fee-shifting provisions and hamper </w:t>
      </w:r>
      <w:r w:rsidR="00366C2D">
        <w:rPr>
          <w:szCs w:val="26"/>
        </w:rPr>
        <w:t xml:space="preserve">state </w:t>
      </w:r>
      <w:r w:rsidR="00AC0517">
        <w:rPr>
          <w:szCs w:val="26"/>
        </w:rPr>
        <w:t xml:space="preserve">initiative </w:t>
      </w:r>
      <w:r w:rsidR="00366C2D">
        <w:rPr>
          <w:szCs w:val="26"/>
        </w:rPr>
        <w:t xml:space="preserve">in the consumer protection context.  </w:t>
      </w:r>
      <w:r w:rsidR="00E117F6" w:rsidRPr="00645536">
        <w:rPr>
          <w:szCs w:val="26"/>
        </w:rPr>
        <w:t>TDAF</w:t>
      </w:r>
      <w:r w:rsidR="006E769F" w:rsidRPr="00645536">
        <w:rPr>
          <w:szCs w:val="26"/>
        </w:rPr>
        <w:t xml:space="preserve"> takes issue with the Court of Appeal</w:t>
      </w:r>
      <w:r w:rsidR="00E117F6" w:rsidRPr="00645536">
        <w:rPr>
          <w:szCs w:val="26"/>
        </w:rPr>
        <w:t xml:space="preserve">’s </w:t>
      </w:r>
      <w:r w:rsidR="006E769F" w:rsidRPr="00645536">
        <w:rPr>
          <w:szCs w:val="26"/>
        </w:rPr>
        <w:t xml:space="preserve">ruling </w:t>
      </w:r>
      <w:r w:rsidR="00792D7F" w:rsidRPr="00645536">
        <w:rPr>
          <w:szCs w:val="26"/>
        </w:rPr>
        <w:t xml:space="preserve">in this case </w:t>
      </w:r>
      <w:r w:rsidR="00BA368F" w:rsidRPr="00645536">
        <w:rPr>
          <w:szCs w:val="26"/>
        </w:rPr>
        <w:t>because</w:t>
      </w:r>
      <w:r w:rsidR="00B0664F" w:rsidRPr="00645536">
        <w:rPr>
          <w:szCs w:val="26"/>
        </w:rPr>
        <w:t>, in its view,</w:t>
      </w:r>
      <w:r w:rsidR="00BA368F" w:rsidRPr="00645536">
        <w:rPr>
          <w:szCs w:val="26"/>
        </w:rPr>
        <w:t xml:space="preserve"> the</w:t>
      </w:r>
      <w:r w:rsidR="00792D7F" w:rsidRPr="00645536">
        <w:rPr>
          <w:szCs w:val="26"/>
        </w:rPr>
        <w:t xml:space="preserve"> award of attorne</w:t>
      </w:r>
      <w:r w:rsidR="00BA368F" w:rsidRPr="00645536">
        <w:rPr>
          <w:szCs w:val="26"/>
        </w:rPr>
        <w:t>y</w:t>
      </w:r>
      <w:r w:rsidR="00792D7F" w:rsidRPr="00645536">
        <w:rPr>
          <w:szCs w:val="26"/>
        </w:rPr>
        <w:t>’s fees</w:t>
      </w:r>
      <w:r w:rsidR="00BA368F" w:rsidRPr="00645536">
        <w:rPr>
          <w:szCs w:val="26"/>
        </w:rPr>
        <w:t xml:space="preserve"> “create</w:t>
      </w:r>
      <w:r w:rsidR="00792D7F" w:rsidRPr="00645536">
        <w:rPr>
          <w:szCs w:val="26"/>
        </w:rPr>
        <w:t>s</w:t>
      </w:r>
      <w:r w:rsidR="00BA368F" w:rsidRPr="00645536">
        <w:rPr>
          <w:szCs w:val="26"/>
        </w:rPr>
        <w:t xml:space="preserve"> an opportunistic litigation landscape for consumers’ attorneys</w:t>
      </w:r>
      <w:r w:rsidR="009A7130" w:rsidRPr="00645536">
        <w:rPr>
          <w:szCs w:val="26"/>
        </w:rPr>
        <w:t>”</w:t>
      </w:r>
      <w:r w:rsidR="005A1676" w:rsidRPr="00645536">
        <w:rPr>
          <w:szCs w:val="26"/>
        </w:rPr>
        <w:t xml:space="preserve"> and </w:t>
      </w:r>
      <w:r w:rsidR="009A7130" w:rsidRPr="00645536">
        <w:rPr>
          <w:szCs w:val="26"/>
        </w:rPr>
        <w:t>“</w:t>
      </w:r>
      <w:r w:rsidR="005A1676" w:rsidRPr="00645536">
        <w:rPr>
          <w:szCs w:val="26"/>
        </w:rPr>
        <w:t>ultimately harm</w:t>
      </w:r>
      <w:r w:rsidR="00792D7F" w:rsidRPr="00645536">
        <w:rPr>
          <w:szCs w:val="26"/>
        </w:rPr>
        <w:t>s</w:t>
      </w:r>
      <w:r w:rsidR="005A1676" w:rsidRPr="00645536">
        <w:rPr>
          <w:szCs w:val="26"/>
        </w:rPr>
        <w:t xml:space="preserve"> consumers by discouraging financing of consumer loans</w:t>
      </w:r>
      <w:r w:rsidR="00792D7F" w:rsidRPr="00645536">
        <w:rPr>
          <w:szCs w:val="26"/>
        </w:rPr>
        <w:t>.</w:t>
      </w:r>
      <w:r w:rsidR="005A1676" w:rsidRPr="00645536">
        <w:rPr>
          <w:szCs w:val="26"/>
        </w:rPr>
        <w:t xml:space="preserve">” </w:t>
      </w:r>
      <w:r w:rsidR="00792D7F" w:rsidRPr="00645536">
        <w:rPr>
          <w:szCs w:val="26"/>
        </w:rPr>
        <w:t xml:space="preserve"> </w:t>
      </w:r>
      <w:r w:rsidR="00B10454" w:rsidRPr="00645536">
        <w:rPr>
          <w:szCs w:val="26"/>
        </w:rPr>
        <w:t>But g</w:t>
      </w:r>
      <w:r w:rsidR="008929FD" w:rsidRPr="00645536">
        <w:rPr>
          <w:szCs w:val="26"/>
        </w:rPr>
        <w:t>iven</w:t>
      </w:r>
      <w:r w:rsidR="00A104FB" w:rsidRPr="00645536">
        <w:rPr>
          <w:szCs w:val="26"/>
        </w:rPr>
        <w:t xml:space="preserve"> the FTC’s preservation</w:t>
      </w:r>
      <w:r w:rsidR="00792D7F" w:rsidRPr="00645536">
        <w:rPr>
          <w:szCs w:val="26"/>
        </w:rPr>
        <w:t xml:space="preserve"> </w:t>
      </w:r>
      <w:r w:rsidR="007C11B6" w:rsidRPr="00645536">
        <w:rPr>
          <w:szCs w:val="26"/>
        </w:rPr>
        <w:t xml:space="preserve">of </w:t>
      </w:r>
      <w:r w:rsidR="00625EFC" w:rsidRPr="00645536">
        <w:rPr>
          <w:szCs w:val="26"/>
        </w:rPr>
        <w:t>consumer</w:t>
      </w:r>
      <w:r w:rsidR="00FB1FAE" w:rsidRPr="00645536">
        <w:rPr>
          <w:szCs w:val="26"/>
        </w:rPr>
        <w:t>s’</w:t>
      </w:r>
      <w:r w:rsidR="00625EFC" w:rsidRPr="00645536">
        <w:rPr>
          <w:szCs w:val="26"/>
        </w:rPr>
        <w:t xml:space="preserve"> rights under </w:t>
      </w:r>
      <w:r w:rsidR="007C11B6" w:rsidRPr="00645536">
        <w:rPr>
          <w:szCs w:val="26"/>
        </w:rPr>
        <w:t>state law</w:t>
      </w:r>
      <w:r w:rsidR="00625EFC" w:rsidRPr="00645536">
        <w:rPr>
          <w:szCs w:val="26"/>
        </w:rPr>
        <w:t xml:space="preserve">, </w:t>
      </w:r>
      <w:r w:rsidR="005E74CB" w:rsidRPr="00645536">
        <w:rPr>
          <w:szCs w:val="26"/>
        </w:rPr>
        <w:t>TDAF’s contentions</w:t>
      </w:r>
      <w:r w:rsidR="00792D7F" w:rsidRPr="00645536">
        <w:rPr>
          <w:szCs w:val="26"/>
        </w:rPr>
        <w:t xml:space="preserve"> </w:t>
      </w:r>
      <w:r w:rsidR="002F3579" w:rsidRPr="00645536">
        <w:rPr>
          <w:szCs w:val="26"/>
        </w:rPr>
        <w:t xml:space="preserve">amount to </w:t>
      </w:r>
      <w:r w:rsidR="004F4AEE" w:rsidRPr="00645536">
        <w:rPr>
          <w:szCs w:val="26"/>
        </w:rPr>
        <w:t>a</w:t>
      </w:r>
      <w:r w:rsidR="0027719B" w:rsidRPr="00645536">
        <w:rPr>
          <w:szCs w:val="26"/>
        </w:rPr>
        <w:t xml:space="preserve"> policy</w:t>
      </w:r>
      <w:r w:rsidR="004F4AEE" w:rsidRPr="00645536">
        <w:rPr>
          <w:szCs w:val="26"/>
        </w:rPr>
        <w:t xml:space="preserve"> argument against </w:t>
      </w:r>
      <w:r w:rsidR="00253148" w:rsidRPr="00645536">
        <w:rPr>
          <w:szCs w:val="26"/>
        </w:rPr>
        <w:t xml:space="preserve">fee-shifting provisions </w:t>
      </w:r>
      <w:r w:rsidR="00923C24" w:rsidRPr="00645536">
        <w:rPr>
          <w:szCs w:val="26"/>
        </w:rPr>
        <w:t xml:space="preserve">like </w:t>
      </w:r>
      <w:r w:rsidR="00475D47">
        <w:rPr>
          <w:szCs w:val="26"/>
        </w:rPr>
        <w:t xml:space="preserve">those in the Unruh Act, </w:t>
      </w:r>
      <w:r w:rsidR="00923C24" w:rsidRPr="00645536">
        <w:rPr>
          <w:szCs w:val="26"/>
        </w:rPr>
        <w:t>section 145</w:t>
      </w:r>
      <w:r w:rsidR="001A65DE">
        <w:rPr>
          <w:szCs w:val="26"/>
        </w:rPr>
        <w:t>9</w:t>
      </w:r>
      <w:r w:rsidR="00923C24" w:rsidRPr="00645536">
        <w:rPr>
          <w:szCs w:val="26"/>
        </w:rPr>
        <w:t>.5</w:t>
      </w:r>
      <w:r w:rsidR="00CA45DE">
        <w:rPr>
          <w:szCs w:val="26"/>
        </w:rPr>
        <w:t>,</w:t>
      </w:r>
      <w:r w:rsidR="0027719B" w:rsidRPr="00645536">
        <w:rPr>
          <w:szCs w:val="26"/>
        </w:rPr>
        <w:t xml:space="preserve"> </w:t>
      </w:r>
      <w:r w:rsidR="000D7A27">
        <w:rPr>
          <w:szCs w:val="26"/>
        </w:rPr>
        <w:t xml:space="preserve">or </w:t>
      </w:r>
      <w:r w:rsidR="00B1220C">
        <w:rPr>
          <w:szCs w:val="26"/>
        </w:rPr>
        <w:t xml:space="preserve">section </w:t>
      </w:r>
      <w:r w:rsidR="000D7A27">
        <w:rPr>
          <w:szCs w:val="26"/>
        </w:rPr>
        <w:t>1794, subdivision (d)</w:t>
      </w:r>
      <w:r w:rsidR="00B1220C">
        <w:rPr>
          <w:szCs w:val="26"/>
        </w:rPr>
        <w:t>.  Those contentions</w:t>
      </w:r>
      <w:r w:rsidR="0027719B" w:rsidRPr="00645536">
        <w:rPr>
          <w:szCs w:val="26"/>
        </w:rPr>
        <w:t xml:space="preserve"> should be directed at the Legislature or the FTC</w:t>
      </w:r>
      <w:r w:rsidR="003D5F9B" w:rsidRPr="00645536">
        <w:rPr>
          <w:szCs w:val="26"/>
        </w:rPr>
        <w:t>.</w:t>
      </w:r>
    </w:p>
    <w:p w14:paraId="73D5496A" w14:textId="7642F8C4" w:rsidR="007312C1" w:rsidRPr="00645536" w:rsidRDefault="007312C1" w:rsidP="007312C1">
      <w:pPr>
        <w:ind w:firstLine="720"/>
        <w:rPr>
          <w:szCs w:val="26"/>
        </w:rPr>
      </w:pPr>
      <w:r w:rsidRPr="00645536">
        <w:rPr>
          <w:szCs w:val="26"/>
        </w:rPr>
        <w:t xml:space="preserve">In sum, the FTC was cognizant of the challenges facing consumers bringing suit, including high legal costs, and </w:t>
      </w:r>
      <w:r w:rsidR="00B1220C">
        <w:rPr>
          <w:szCs w:val="26"/>
        </w:rPr>
        <w:t xml:space="preserve">it </w:t>
      </w:r>
      <w:r w:rsidRPr="00645536">
        <w:rPr>
          <w:szCs w:val="26"/>
        </w:rPr>
        <w:t xml:space="preserve">intended </w:t>
      </w:r>
      <w:r w:rsidR="00B1220C">
        <w:rPr>
          <w:szCs w:val="26"/>
        </w:rPr>
        <w:t>and expected</w:t>
      </w:r>
      <w:r w:rsidR="00B1220C" w:rsidRPr="00645536">
        <w:rPr>
          <w:szCs w:val="26"/>
        </w:rPr>
        <w:t xml:space="preserve"> </w:t>
      </w:r>
      <w:r w:rsidRPr="00645536">
        <w:rPr>
          <w:szCs w:val="26"/>
        </w:rPr>
        <w:t xml:space="preserve">affirmative suits by consumers to help correct the market failures it identified.  In light of this history, it would </w:t>
      </w:r>
      <w:r w:rsidR="00377076">
        <w:rPr>
          <w:szCs w:val="26"/>
        </w:rPr>
        <w:t>be</w:t>
      </w:r>
      <w:r w:rsidR="00D72B67">
        <w:rPr>
          <w:szCs w:val="26"/>
        </w:rPr>
        <w:t xml:space="preserve"> </w:t>
      </w:r>
      <w:r w:rsidRPr="00645536">
        <w:rPr>
          <w:szCs w:val="26"/>
        </w:rPr>
        <w:t>antithetical to the purpose of the Holder Rule to conclude that the FTC intended to “render . . . uneconomic” one of the two ways it provided to address the concerns it sought to alleviate by implicitly limiting a consumer’s ability to obtain attorney’s fees.  (40 Fed.Reg.</w:t>
      </w:r>
      <w:r w:rsidR="00447CD9">
        <w:rPr>
          <w:szCs w:val="26"/>
        </w:rPr>
        <w:t xml:space="preserve">, </w:t>
      </w:r>
      <w:r w:rsidR="00447CD9">
        <w:rPr>
          <w:i/>
          <w:iCs/>
          <w:szCs w:val="26"/>
        </w:rPr>
        <w:t>supra</w:t>
      </w:r>
      <w:r w:rsidR="00447CD9">
        <w:rPr>
          <w:szCs w:val="26"/>
        </w:rPr>
        <w:t>,</w:t>
      </w:r>
      <w:r w:rsidR="00447CD9" w:rsidRPr="00645536">
        <w:rPr>
          <w:szCs w:val="26"/>
        </w:rPr>
        <w:t xml:space="preserve"> </w:t>
      </w:r>
      <w:r w:rsidR="00447CD9">
        <w:rPr>
          <w:szCs w:val="26"/>
        </w:rPr>
        <w:t>at p.</w:t>
      </w:r>
      <w:r w:rsidRPr="00645536">
        <w:rPr>
          <w:szCs w:val="26"/>
        </w:rPr>
        <w:t xml:space="preserve"> 53512.)  The FTC was focused on consumers’ recovery of damages and intended the Rule to provide a minimum, not maximum, liability rule for the nation.  In light of the FTC’s contemporaneous explanation of the Rule’s purposes, we </w:t>
      </w:r>
      <w:r>
        <w:rPr>
          <w:szCs w:val="26"/>
        </w:rPr>
        <w:t>find it unlikely</w:t>
      </w:r>
      <w:r w:rsidRPr="00645536">
        <w:rPr>
          <w:szCs w:val="26"/>
        </w:rPr>
        <w:t xml:space="preserve"> that the </w:t>
      </w:r>
      <w:r>
        <w:rPr>
          <w:szCs w:val="26"/>
        </w:rPr>
        <w:t xml:space="preserve">FTC intended the </w:t>
      </w:r>
      <w:r w:rsidRPr="00645536">
        <w:rPr>
          <w:szCs w:val="26"/>
        </w:rPr>
        <w:t xml:space="preserve">Rule’s limitation on recovery to </w:t>
      </w:r>
      <w:r>
        <w:rPr>
          <w:szCs w:val="26"/>
        </w:rPr>
        <w:t xml:space="preserve">apply to </w:t>
      </w:r>
      <w:r w:rsidRPr="00645536">
        <w:rPr>
          <w:szCs w:val="26"/>
        </w:rPr>
        <w:t>attorney’s fees</w:t>
      </w:r>
      <w:r w:rsidR="00A24830">
        <w:rPr>
          <w:szCs w:val="26"/>
        </w:rPr>
        <w:t xml:space="preserve"> sought by a consumer from a holder under state law</w:t>
      </w:r>
      <w:r w:rsidRPr="00645536">
        <w:rPr>
          <w:szCs w:val="26"/>
        </w:rPr>
        <w:t>.</w:t>
      </w:r>
    </w:p>
    <w:p w14:paraId="15525432" w14:textId="4EDA23E9" w:rsidR="007606EE" w:rsidRPr="00645536" w:rsidRDefault="00D22369" w:rsidP="0005147F">
      <w:pPr>
        <w:jc w:val="center"/>
        <w:rPr>
          <w:b/>
          <w:bCs/>
          <w:szCs w:val="26"/>
        </w:rPr>
      </w:pPr>
      <w:r w:rsidRPr="00645536">
        <w:rPr>
          <w:b/>
          <w:bCs/>
          <w:szCs w:val="26"/>
        </w:rPr>
        <w:t>E</w:t>
      </w:r>
      <w:r w:rsidR="00436E98" w:rsidRPr="00645536">
        <w:rPr>
          <w:b/>
          <w:bCs/>
          <w:szCs w:val="26"/>
        </w:rPr>
        <w:t>.</w:t>
      </w:r>
    </w:p>
    <w:p w14:paraId="3F613DA1" w14:textId="3D8C2CDD" w:rsidR="00B1220C" w:rsidRDefault="00B1220C" w:rsidP="00C33079">
      <w:pPr>
        <w:ind w:firstLine="720"/>
      </w:pPr>
      <w:r>
        <w:t xml:space="preserve">TDAF argues that to the extent the Holder Rule’s language is ambiguous, we should defer to the FTC’s interpretation.  But whether or not deference is warranted, the result is the same in this case because, as we now explain, </w:t>
      </w:r>
      <w:r w:rsidR="00483D7A">
        <w:t xml:space="preserve">the FTC’s </w:t>
      </w:r>
      <w:r w:rsidR="003329D0">
        <w:t xml:space="preserve">interpretation in its </w:t>
      </w:r>
      <w:r>
        <w:t xml:space="preserve">2019 </w:t>
      </w:r>
      <w:r w:rsidR="003329D0">
        <w:t>Rule Confirmation</w:t>
      </w:r>
      <w:r w:rsidR="009551D3">
        <w:t>, insofar as it relates to what qualifies as “recovery hereunder,”</w:t>
      </w:r>
      <w:r w:rsidR="003329D0">
        <w:t xml:space="preserve"> </w:t>
      </w:r>
      <w:r w:rsidR="005E6DD4">
        <w:t>accords with our own.</w:t>
      </w:r>
    </w:p>
    <w:p w14:paraId="3B1EEA53" w14:textId="04919256" w:rsidR="00CF0D24" w:rsidRDefault="001140DD" w:rsidP="00C33079">
      <w:pPr>
        <w:ind w:firstLine="720"/>
        <w:rPr>
          <w:szCs w:val="26"/>
        </w:rPr>
      </w:pPr>
      <w:r>
        <w:t>T</w:t>
      </w:r>
      <w:r w:rsidR="006E0BA9" w:rsidRPr="00E96109">
        <w:rPr>
          <w:szCs w:val="26"/>
        </w:rPr>
        <w:t>he FTC wrote that “if a federal or state law separately provides for recovery of attorneys’ fees independent of claims or defenses arising from the seller’s misconduct, nothing in the Rule limits such recovery.</w:t>
      </w:r>
      <w:r w:rsidR="006E0BA9">
        <w:rPr>
          <w:szCs w:val="26"/>
        </w:rPr>
        <w:t xml:space="preserve">  </w:t>
      </w:r>
      <w:r w:rsidR="00053D0B" w:rsidRPr="00650174">
        <w:rPr>
          <w:szCs w:val="26"/>
        </w:rPr>
        <w:t>Conversely</w:t>
      </w:r>
      <w:r w:rsidR="00053D0B" w:rsidRPr="00E96109">
        <w:rPr>
          <w:szCs w:val="26"/>
        </w:rPr>
        <w:t>, if the holder’s liability for fees is based on claims against the seller that are preserved by the Holder Rule Notice, the payment that the consumer may recover from the holder</w:t>
      </w:r>
      <w:r w:rsidR="00C3393A">
        <w:rPr>
          <w:szCs w:val="26"/>
        </w:rPr>
        <w:t> </w:t>
      </w:r>
      <w:r w:rsidR="00053D0B" w:rsidRPr="00E96109">
        <w:rPr>
          <w:szCs w:val="26"/>
        </w:rPr>
        <w:t>— including any recovery based on attorneys’ fees</w:t>
      </w:r>
      <w:r w:rsidR="00C3393A">
        <w:rPr>
          <w:szCs w:val="26"/>
        </w:rPr>
        <w:t> </w:t>
      </w:r>
      <w:r w:rsidR="00053D0B" w:rsidRPr="00E96109">
        <w:rPr>
          <w:szCs w:val="26"/>
        </w:rPr>
        <w:t>— cannot exceed the amount the consumer paid under the contract.</w:t>
      </w:r>
      <w:r w:rsidR="006E0BA9" w:rsidRPr="00E96109">
        <w:rPr>
          <w:szCs w:val="26"/>
        </w:rPr>
        <w:t xml:space="preserve">”  </w:t>
      </w:r>
      <w:r w:rsidR="000B3C0E" w:rsidRPr="000B3C0E">
        <w:rPr>
          <w:szCs w:val="26"/>
        </w:rPr>
        <w:t>(84 Fed.Reg.</w:t>
      </w:r>
      <w:r w:rsidR="00447CD9">
        <w:rPr>
          <w:szCs w:val="26"/>
        </w:rPr>
        <w:t xml:space="preserve">, </w:t>
      </w:r>
      <w:r w:rsidR="00447CD9">
        <w:rPr>
          <w:i/>
          <w:iCs/>
          <w:szCs w:val="26"/>
        </w:rPr>
        <w:t>supra</w:t>
      </w:r>
      <w:r w:rsidR="00447CD9">
        <w:rPr>
          <w:szCs w:val="26"/>
        </w:rPr>
        <w:t>,</w:t>
      </w:r>
      <w:r w:rsidR="00447CD9" w:rsidRPr="00645536">
        <w:rPr>
          <w:szCs w:val="26"/>
        </w:rPr>
        <w:t xml:space="preserve"> </w:t>
      </w:r>
      <w:r w:rsidR="00447CD9">
        <w:rPr>
          <w:szCs w:val="26"/>
        </w:rPr>
        <w:t>at p.</w:t>
      </w:r>
      <w:r w:rsidR="000B3C0E" w:rsidRPr="000B3C0E">
        <w:rPr>
          <w:szCs w:val="26"/>
        </w:rPr>
        <w:t xml:space="preserve"> 18713</w:t>
      </w:r>
      <w:r w:rsidR="000B3C0E">
        <w:rPr>
          <w:szCs w:val="26"/>
        </w:rPr>
        <w:t>.)</w:t>
      </w:r>
      <w:r w:rsidR="00C81D43">
        <w:rPr>
          <w:szCs w:val="26"/>
        </w:rPr>
        <w:t xml:space="preserve">  </w:t>
      </w:r>
    </w:p>
    <w:p w14:paraId="64D9E210" w14:textId="0DF9B37B" w:rsidR="002E3319" w:rsidRDefault="00596748" w:rsidP="002E3319">
      <w:pPr>
        <w:ind w:firstLine="720"/>
        <w:rPr>
          <w:szCs w:val="26"/>
        </w:rPr>
      </w:pPr>
      <w:r>
        <w:rPr>
          <w:szCs w:val="26"/>
        </w:rPr>
        <w:t xml:space="preserve">We </w:t>
      </w:r>
      <w:r w:rsidRPr="00E96109">
        <w:rPr>
          <w:szCs w:val="26"/>
        </w:rPr>
        <w:t xml:space="preserve">understand </w:t>
      </w:r>
      <w:r>
        <w:rPr>
          <w:szCs w:val="26"/>
        </w:rPr>
        <w:t>the</w:t>
      </w:r>
      <w:r w:rsidR="00B1220C">
        <w:rPr>
          <w:szCs w:val="26"/>
        </w:rPr>
        <w:t>se</w:t>
      </w:r>
      <w:r>
        <w:rPr>
          <w:szCs w:val="26"/>
        </w:rPr>
        <w:t xml:space="preserve"> statements </w:t>
      </w:r>
      <w:r w:rsidRPr="00E96109">
        <w:rPr>
          <w:szCs w:val="26"/>
        </w:rPr>
        <w:t xml:space="preserve">to mean that if there is no </w:t>
      </w:r>
      <w:r w:rsidR="008270D3">
        <w:rPr>
          <w:szCs w:val="26"/>
        </w:rPr>
        <w:t xml:space="preserve">federal or </w:t>
      </w:r>
      <w:r>
        <w:rPr>
          <w:szCs w:val="26"/>
        </w:rPr>
        <w:t xml:space="preserve">state </w:t>
      </w:r>
      <w:r w:rsidRPr="00E96109">
        <w:rPr>
          <w:szCs w:val="26"/>
        </w:rPr>
        <w:t>law authorizing fees against the holder, a buyer cannot use the Holder Rule to secure</w:t>
      </w:r>
      <w:r>
        <w:rPr>
          <w:szCs w:val="26"/>
        </w:rPr>
        <w:t xml:space="preserve"> from the holder</w:t>
      </w:r>
      <w:r w:rsidRPr="00E96109">
        <w:rPr>
          <w:szCs w:val="26"/>
        </w:rPr>
        <w:t xml:space="preserve"> a claim for fees against the seller in excess of amounts paid on the contract.</w:t>
      </w:r>
      <w:r w:rsidR="003D0659">
        <w:rPr>
          <w:szCs w:val="26"/>
        </w:rPr>
        <w:t xml:space="preserve">  </w:t>
      </w:r>
      <w:r w:rsidR="00121382">
        <w:rPr>
          <w:szCs w:val="26"/>
        </w:rPr>
        <w:t>It is significant that the FTC uses the phrase</w:t>
      </w:r>
      <w:r w:rsidR="00742B48">
        <w:rPr>
          <w:szCs w:val="26"/>
        </w:rPr>
        <w:t xml:space="preserve"> “if the holder’s liability for fees is based on claims </w:t>
      </w:r>
      <w:r w:rsidR="00742B48">
        <w:rPr>
          <w:i/>
          <w:iCs/>
          <w:szCs w:val="26"/>
        </w:rPr>
        <w:t>against the seller</w:t>
      </w:r>
      <w:r w:rsidR="00742B48">
        <w:rPr>
          <w:szCs w:val="26"/>
        </w:rPr>
        <w:t xml:space="preserve"> that are preserved by the Holder Rule Notice.”  </w:t>
      </w:r>
      <w:r w:rsidR="002E3319">
        <w:rPr>
          <w:szCs w:val="26"/>
        </w:rPr>
        <w:t>(</w:t>
      </w:r>
      <w:r w:rsidR="002E3319" w:rsidRPr="000B3C0E">
        <w:rPr>
          <w:szCs w:val="26"/>
        </w:rPr>
        <w:t>84 Fed.Reg.</w:t>
      </w:r>
      <w:r w:rsidR="00447CD9">
        <w:rPr>
          <w:szCs w:val="26"/>
        </w:rPr>
        <w:t xml:space="preserve">, </w:t>
      </w:r>
      <w:r w:rsidR="00447CD9">
        <w:rPr>
          <w:i/>
          <w:iCs/>
          <w:szCs w:val="26"/>
        </w:rPr>
        <w:t>supra</w:t>
      </w:r>
      <w:r w:rsidR="00447CD9">
        <w:rPr>
          <w:szCs w:val="26"/>
        </w:rPr>
        <w:t>,</w:t>
      </w:r>
      <w:r w:rsidR="00447CD9" w:rsidRPr="00645536">
        <w:rPr>
          <w:szCs w:val="26"/>
        </w:rPr>
        <w:t xml:space="preserve"> </w:t>
      </w:r>
      <w:r w:rsidR="00447CD9">
        <w:rPr>
          <w:szCs w:val="26"/>
        </w:rPr>
        <w:t>at p.</w:t>
      </w:r>
      <w:r w:rsidR="002E3319" w:rsidRPr="000B3C0E">
        <w:rPr>
          <w:szCs w:val="26"/>
        </w:rPr>
        <w:t xml:space="preserve"> 18713</w:t>
      </w:r>
      <w:r w:rsidR="002E3319">
        <w:rPr>
          <w:szCs w:val="26"/>
        </w:rPr>
        <w:t xml:space="preserve">, italics added.)  </w:t>
      </w:r>
      <w:r w:rsidR="00742B48">
        <w:rPr>
          <w:szCs w:val="26"/>
        </w:rPr>
        <w:t>The</w:t>
      </w:r>
      <w:r w:rsidR="002E3319">
        <w:rPr>
          <w:szCs w:val="26"/>
        </w:rPr>
        <w:t xml:space="preserve"> </w:t>
      </w:r>
      <w:r w:rsidR="002E3319">
        <w:t xml:space="preserve">sentence that immediately follows likewise provides:  “Claims </w:t>
      </w:r>
      <w:r w:rsidR="002E3319" w:rsidRPr="00CC0DD3">
        <w:rPr>
          <w:i/>
          <w:iCs/>
        </w:rPr>
        <w:t>against the seller</w:t>
      </w:r>
      <w:r w:rsidR="002E3319">
        <w:t xml:space="preserve"> for attorneys’ fees or other recovery may also provide a basis for set off against the holder that reduces or eliminates the consumer’s obligation.”  (</w:t>
      </w:r>
      <w:r w:rsidR="002E3319">
        <w:rPr>
          <w:i/>
          <w:iCs/>
        </w:rPr>
        <w:t>Ibid.</w:t>
      </w:r>
      <w:r w:rsidR="002E3319">
        <w:t xml:space="preserve">, italics added.)  In other words, the FTC’s interpretation is that the Holder Rule’s cap on recovery applies to attorney’s fees where a plaintiff’s claim to attorney’s fees lies against </w:t>
      </w:r>
      <w:r w:rsidR="002E3319" w:rsidRPr="00BB7340">
        <w:rPr>
          <w:i/>
          <w:iCs/>
        </w:rPr>
        <w:t>a seller</w:t>
      </w:r>
      <w:r w:rsidR="002E3319">
        <w:t xml:space="preserve"> </w:t>
      </w:r>
      <w:r w:rsidR="00B1220C">
        <w:t xml:space="preserve">and, by virtue of the Holder Rule, </w:t>
      </w:r>
      <w:r w:rsidR="002E3319">
        <w:t>is extended to lie against third</w:t>
      </w:r>
      <w:r w:rsidR="00F31356">
        <w:t xml:space="preserve"> </w:t>
      </w:r>
      <w:r w:rsidR="002E3319">
        <w:t>party creditors.  It does not apply where the claim for fees lies against the third</w:t>
      </w:r>
      <w:r w:rsidR="00F31356">
        <w:t xml:space="preserve"> </w:t>
      </w:r>
      <w:r w:rsidR="002E3319">
        <w:t>party creditor in the first instance.  I</w:t>
      </w:r>
      <w:r w:rsidR="002E3319" w:rsidRPr="00E96109">
        <w:rPr>
          <w:szCs w:val="26"/>
        </w:rPr>
        <w:t xml:space="preserve">f </w:t>
      </w:r>
      <w:r w:rsidR="002E3319">
        <w:rPr>
          <w:szCs w:val="26"/>
        </w:rPr>
        <w:t xml:space="preserve">state </w:t>
      </w:r>
      <w:r w:rsidR="002E3319" w:rsidRPr="00E96109">
        <w:rPr>
          <w:szCs w:val="26"/>
        </w:rPr>
        <w:t>law authoriz</w:t>
      </w:r>
      <w:r w:rsidR="002E3319">
        <w:rPr>
          <w:szCs w:val="26"/>
        </w:rPr>
        <w:t>es</w:t>
      </w:r>
      <w:r w:rsidR="002E3319" w:rsidRPr="00E96109">
        <w:rPr>
          <w:szCs w:val="26"/>
        </w:rPr>
        <w:t xml:space="preserve"> fees against </w:t>
      </w:r>
      <w:r w:rsidR="002E3319">
        <w:rPr>
          <w:szCs w:val="26"/>
        </w:rPr>
        <w:t xml:space="preserve">a </w:t>
      </w:r>
      <w:r w:rsidR="002E3319" w:rsidRPr="00E96109">
        <w:rPr>
          <w:szCs w:val="26"/>
        </w:rPr>
        <w:t xml:space="preserve">holder, </w:t>
      </w:r>
      <w:r w:rsidR="002E3319">
        <w:rPr>
          <w:szCs w:val="26"/>
        </w:rPr>
        <w:t xml:space="preserve">the FTC agrees that the Holder Rule places no limitation on their recovery.  In </w:t>
      </w:r>
      <w:r w:rsidR="00B1220C">
        <w:rPr>
          <w:szCs w:val="26"/>
        </w:rPr>
        <w:t xml:space="preserve">such </w:t>
      </w:r>
      <w:r w:rsidR="002E3319">
        <w:rPr>
          <w:szCs w:val="26"/>
        </w:rPr>
        <w:t>circumstances, i</w:t>
      </w:r>
      <w:r w:rsidR="002E3319">
        <w:t xml:space="preserve">t is of no moment that the </w:t>
      </w:r>
      <w:r w:rsidR="005849BB">
        <w:t xml:space="preserve">buyer’s substantive claims against the </w:t>
      </w:r>
      <w:r w:rsidR="002E3319">
        <w:t xml:space="preserve">holder </w:t>
      </w:r>
      <w:r w:rsidR="00B1220C">
        <w:t>may be</w:t>
      </w:r>
      <w:r w:rsidR="002E3319">
        <w:t xml:space="preserve"> related to the seller’s misconduct.</w:t>
      </w:r>
    </w:p>
    <w:p w14:paraId="47AACE8E" w14:textId="6D6D5F2D" w:rsidR="00BD1E3D" w:rsidRDefault="001B792F" w:rsidP="00B31A50">
      <w:pPr>
        <w:ind w:firstLine="720"/>
        <w:rPr>
          <w:szCs w:val="26"/>
        </w:rPr>
      </w:pPr>
      <w:r>
        <w:t xml:space="preserve">TDAF </w:t>
      </w:r>
      <w:r w:rsidR="0009797D">
        <w:rPr>
          <w:szCs w:val="26"/>
        </w:rPr>
        <w:t>interprets the Song</w:t>
      </w:r>
      <w:r w:rsidR="001177FC">
        <w:rPr>
          <w:szCs w:val="26"/>
        </w:rPr>
        <w:t>-</w:t>
      </w:r>
      <w:r w:rsidR="0009797D">
        <w:rPr>
          <w:szCs w:val="26"/>
        </w:rPr>
        <w:t xml:space="preserve">Beverly Act’s fee-shifting provision to </w:t>
      </w:r>
      <w:r w:rsidR="00CB13D6">
        <w:rPr>
          <w:szCs w:val="26"/>
        </w:rPr>
        <w:t xml:space="preserve">allow a prevailing party buyer to recover attorney’s </w:t>
      </w:r>
      <w:r w:rsidR="0009797D">
        <w:rPr>
          <w:szCs w:val="26"/>
        </w:rPr>
        <w:t xml:space="preserve">fees </w:t>
      </w:r>
      <w:r w:rsidR="00CB13D6">
        <w:rPr>
          <w:szCs w:val="26"/>
        </w:rPr>
        <w:t xml:space="preserve">from </w:t>
      </w:r>
      <w:r w:rsidR="0009797D">
        <w:rPr>
          <w:szCs w:val="26"/>
        </w:rPr>
        <w:t xml:space="preserve">the holder “based on claims against the seller that are preserved by the Holder Rule Notice” </w:t>
      </w:r>
      <w:r w:rsidR="002775B7">
        <w:rPr>
          <w:szCs w:val="26"/>
        </w:rPr>
        <w:t>(</w:t>
      </w:r>
      <w:r w:rsidR="002775B7" w:rsidRPr="000B3C0E">
        <w:rPr>
          <w:szCs w:val="26"/>
        </w:rPr>
        <w:t>84 Fed.Reg.</w:t>
      </w:r>
      <w:r w:rsidR="00447CD9">
        <w:rPr>
          <w:szCs w:val="26"/>
        </w:rPr>
        <w:t xml:space="preserve">, </w:t>
      </w:r>
      <w:r w:rsidR="00447CD9">
        <w:rPr>
          <w:i/>
          <w:iCs/>
          <w:szCs w:val="26"/>
        </w:rPr>
        <w:t>supra</w:t>
      </w:r>
      <w:r w:rsidR="00447CD9">
        <w:rPr>
          <w:szCs w:val="26"/>
        </w:rPr>
        <w:t>,</w:t>
      </w:r>
      <w:r w:rsidR="00447CD9" w:rsidRPr="00645536">
        <w:rPr>
          <w:szCs w:val="26"/>
        </w:rPr>
        <w:t xml:space="preserve"> </w:t>
      </w:r>
      <w:r w:rsidR="00447CD9">
        <w:rPr>
          <w:szCs w:val="26"/>
        </w:rPr>
        <w:t>at p.</w:t>
      </w:r>
      <w:r w:rsidR="00443C3E">
        <w:rPr>
          <w:szCs w:val="26"/>
        </w:rPr>
        <w:t> </w:t>
      </w:r>
      <w:r w:rsidR="002775B7" w:rsidRPr="000B3C0E">
        <w:rPr>
          <w:szCs w:val="26"/>
        </w:rPr>
        <w:t>18713</w:t>
      </w:r>
      <w:r w:rsidR="002775B7">
        <w:rPr>
          <w:szCs w:val="26"/>
        </w:rPr>
        <w:t xml:space="preserve">) </w:t>
      </w:r>
      <w:r w:rsidR="0009797D">
        <w:rPr>
          <w:szCs w:val="26"/>
        </w:rPr>
        <w:t>because</w:t>
      </w:r>
      <w:r w:rsidR="009F252E">
        <w:rPr>
          <w:szCs w:val="26"/>
        </w:rPr>
        <w:t xml:space="preserve"> </w:t>
      </w:r>
      <w:r w:rsidR="00A42DF6">
        <w:rPr>
          <w:szCs w:val="26"/>
        </w:rPr>
        <w:t>TDAF</w:t>
      </w:r>
      <w:r w:rsidR="009F252E">
        <w:rPr>
          <w:szCs w:val="26"/>
        </w:rPr>
        <w:t xml:space="preserve"> was </w:t>
      </w:r>
      <w:r w:rsidR="007A36B5">
        <w:rPr>
          <w:szCs w:val="26"/>
        </w:rPr>
        <w:t xml:space="preserve">only brought into the suit based on </w:t>
      </w:r>
      <w:r w:rsidR="00B1220C">
        <w:rPr>
          <w:szCs w:val="26"/>
        </w:rPr>
        <w:t xml:space="preserve">Pulliam’s </w:t>
      </w:r>
      <w:r w:rsidR="007A36B5">
        <w:rPr>
          <w:szCs w:val="26"/>
        </w:rPr>
        <w:t xml:space="preserve">claims against </w:t>
      </w:r>
      <w:r w:rsidR="008F4B40">
        <w:rPr>
          <w:szCs w:val="26"/>
        </w:rPr>
        <w:t>the dealership</w:t>
      </w:r>
      <w:r w:rsidR="00A42DF6">
        <w:rPr>
          <w:szCs w:val="26"/>
        </w:rPr>
        <w:t xml:space="preserve"> </w:t>
      </w:r>
      <w:r w:rsidR="00431880">
        <w:rPr>
          <w:szCs w:val="26"/>
        </w:rPr>
        <w:t xml:space="preserve">that were </w:t>
      </w:r>
      <w:r w:rsidR="00A42DF6">
        <w:rPr>
          <w:szCs w:val="26"/>
        </w:rPr>
        <w:t>extended to lie against TDAF under the Holder Rule</w:t>
      </w:r>
      <w:r w:rsidR="007A36B5">
        <w:rPr>
          <w:szCs w:val="26"/>
        </w:rPr>
        <w:t>.</w:t>
      </w:r>
      <w:r w:rsidR="00EE17E0">
        <w:rPr>
          <w:szCs w:val="26"/>
        </w:rPr>
        <w:t xml:space="preserve">  But </w:t>
      </w:r>
      <w:r w:rsidR="0069475D">
        <w:rPr>
          <w:szCs w:val="26"/>
        </w:rPr>
        <w:t xml:space="preserve">Pulliam’s </w:t>
      </w:r>
      <w:r w:rsidR="0069475D" w:rsidRPr="0005480E">
        <w:rPr>
          <w:szCs w:val="26"/>
        </w:rPr>
        <w:t>claim</w:t>
      </w:r>
      <w:r w:rsidR="0069475D">
        <w:rPr>
          <w:szCs w:val="26"/>
        </w:rPr>
        <w:t xml:space="preserve"> </w:t>
      </w:r>
      <w:r w:rsidR="0069475D" w:rsidRPr="00DE61F4">
        <w:rPr>
          <w:i/>
          <w:iCs/>
          <w:szCs w:val="26"/>
        </w:rPr>
        <w:t xml:space="preserve">for </w:t>
      </w:r>
      <w:r w:rsidR="0051696B" w:rsidRPr="00DE61F4">
        <w:rPr>
          <w:i/>
          <w:iCs/>
          <w:szCs w:val="26"/>
        </w:rPr>
        <w:t xml:space="preserve">attorney’s </w:t>
      </w:r>
      <w:r w:rsidR="0069475D" w:rsidRPr="00DE61F4">
        <w:rPr>
          <w:i/>
          <w:iCs/>
          <w:szCs w:val="26"/>
        </w:rPr>
        <w:t>fees</w:t>
      </w:r>
      <w:r w:rsidR="0069475D">
        <w:rPr>
          <w:szCs w:val="26"/>
        </w:rPr>
        <w:t xml:space="preserve"> </w:t>
      </w:r>
      <w:r w:rsidR="00431880">
        <w:rPr>
          <w:szCs w:val="26"/>
        </w:rPr>
        <w:t xml:space="preserve">against TDAF </w:t>
      </w:r>
      <w:r w:rsidR="0006326B">
        <w:rPr>
          <w:szCs w:val="26"/>
        </w:rPr>
        <w:t>is</w:t>
      </w:r>
      <w:r w:rsidR="00721CC9">
        <w:rPr>
          <w:szCs w:val="26"/>
        </w:rPr>
        <w:t xml:space="preserve"> </w:t>
      </w:r>
      <w:r w:rsidR="0051696B">
        <w:rPr>
          <w:szCs w:val="26"/>
        </w:rPr>
        <w:t xml:space="preserve">based on </w:t>
      </w:r>
      <w:r w:rsidR="00E50F4F">
        <w:rPr>
          <w:szCs w:val="26"/>
        </w:rPr>
        <w:t>section</w:t>
      </w:r>
      <w:r w:rsidR="0051696B">
        <w:rPr>
          <w:szCs w:val="26"/>
        </w:rPr>
        <w:t xml:space="preserve"> 1794, subdivision (d), </w:t>
      </w:r>
      <w:r w:rsidR="009F0B18">
        <w:rPr>
          <w:szCs w:val="26"/>
        </w:rPr>
        <w:t xml:space="preserve">which </w:t>
      </w:r>
      <w:r w:rsidR="00042825">
        <w:rPr>
          <w:szCs w:val="26"/>
        </w:rPr>
        <w:t>permits a</w:t>
      </w:r>
      <w:r w:rsidR="00E51D63">
        <w:rPr>
          <w:szCs w:val="26"/>
        </w:rPr>
        <w:t>ny</w:t>
      </w:r>
      <w:r w:rsidR="00042825">
        <w:rPr>
          <w:szCs w:val="26"/>
        </w:rPr>
        <w:t xml:space="preserve"> buyer who “prevails in an action under this section” to “recover</w:t>
      </w:r>
      <w:r w:rsidR="00A03D8E">
        <w:rPr>
          <w:szCs w:val="26"/>
        </w:rPr>
        <w:t xml:space="preserve"> . . . attorney’s fees”</w:t>
      </w:r>
      <w:r w:rsidR="008E7A09">
        <w:rPr>
          <w:szCs w:val="26"/>
        </w:rPr>
        <w:t>; it is</w:t>
      </w:r>
      <w:r w:rsidR="004B0F10">
        <w:rPr>
          <w:szCs w:val="26"/>
        </w:rPr>
        <w:t xml:space="preserve"> not</w:t>
      </w:r>
      <w:r w:rsidR="001C4CBE">
        <w:rPr>
          <w:szCs w:val="26"/>
        </w:rPr>
        <w:t xml:space="preserve"> “based on claims </w:t>
      </w:r>
      <w:r w:rsidR="001C4CBE" w:rsidRPr="0006326B">
        <w:rPr>
          <w:i/>
          <w:iCs/>
          <w:szCs w:val="26"/>
        </w:rPr>
        <w:t>against the seller</w:t>
      </w:r>
      <w:r w:rsidR="001C4CBE">
        <w:rPr>
          <w:szCs w:val="26"/>
        </w:rPr>
        <w:t>”</w:t>
      </w:r>
      <w:r w:rsidR="00796B4F">
        <w:rPr>
          <w:szCs w:val="26"/>
        </w:rPr>
        <w:t xml:space="preserve"> for attorney’s fees</w:t>
      </w:r>
      <w:r w:rsidR="00A03D8E">
        <w:rPr>
          <w:szCs w:val="26"/>
        </w:rPr>
        <w:t xml:space="preserve"> (</w:t>
      </w:r>
      <w:r w:rsidR="00B86AA9">
        <w:t>84 Fed.Reg.</w:t>
      </w:r>
      <w:r w:rsidR="00447CD9">
        <w:rPr>
          <w:szCs w:val="26"/>
        </w:rPr>
        <w:t xml:space="preserve">, </w:t>
      </w:r>
      <w:r w:rsidR="00447CD9">
        <w:rPr>
          <w:i/>
          <w:iCs/>
          <w:szCs w:val="26"/>
        </w:rPr>
        <w:t>supra</w:t>
      </w:r>
      <w:r w:rsidR="00447CD9">
        <w:rPr>
          <w:szCs w:val="26"/>
        </w:rPr>
        <w:t>,</w:t>
      </w:r>
      <w:r w:rsidR="00447CD9" w:rsidRPr="00645536">
        <w:rPr>
          <w:szCs w:val="26"/>
        </w:rPr>
        <w:t xml:space="preserve"> </w:t>
      </w:r>
      <w:r w:rsidR="00447CD9">
        <w:rPr>
          <w:szCs w:val="26"/>
        </w:rPr>
        <w:t>at p.</w:t>
      </w:r>
      <w:r w:rsidR="00B86AA9">
        <w:t xml:space="preserve"> 18713</w:t>
      </w:r>
      <w:r w:rsidR="0006326B">
        <w:t>, italics added</w:t>
      </w:r>
      <w:r w:rsidR="00A03D8E">
        <w:rPr>
          <w:szCs w:val="26"/>
        </w:rPr>
        <w:t>).</w:t>
      </w:r>
      <w:r w:rsidR="00721CC9">
        <w:rPr>
          <w:szCs w:val="26"/>
        </w:rPr>
        <w:t xml:space="preserve">  </w:t>
      </w:r>
      <w:r w:rsidR="003825F1">
        <w:rPr>
          <w:szCs w:val="26"/>
        </w:rPr>
        <w:t xml:space="preserve">TDAF </w:t>
      </w:r>
      <w:r w:rsidR="00796B4F">
        <w:rPr>
          <w:szCs w:val="26"/>
        </w:rPr>
        <w:t xml:space="preserve">also </w:t>
      </w:r>
      <w:r w:rsidR="00A827A0">
        <w:rPr>
          <w:szCs w:val="26"/>
        </w:rPr>
        <w:t>contends</w:t>
      </w:r>
      <w:r w:rsidR="00A417C6">
        <w:rPr>
          <w:szCs w:val="26"/>
        </w:rPr>
        <w:t xml:space="preserve"> </w:t>
      </w:r>
      <w:r w:rsidR="003825F1">
        <w:rPr>
          <w:szCs w:val="26"/>
        </w:rPr>
        <w:t xml:space="preserve">that </w:t>
      </w:r>
      <w:r w:rsidR="00E50F4F">
        <w:rPr>
          <w:szCs w:val="26"/>
        </w:rPr>
        <w:t>section</w:t>
      </w:r>
      <w:r w:rsidR="00F17689">
        <w:rPr>
          <w:szCs w:val="26"/>
        </w:rPr>
        <w:t xml:space="preserve"> 1794, subdivision (d) is not “independent of claims or defenses arising from the seller’s misconduct” </w:t>
      </w:r>
      <w:r w:rsidR="002C0BFC">
        <w:rPr>
          <w:szCs w:val="26"/>
        </w:rPr>
        <w:t>(</w:t>
      </w:r>
      <w:r w:rsidR="002C0BFC" w:rsidRPr="000B3C0E">
        <w:rPr>
          <w:szCs w:val="26"/>
        </w:rPr>
        <w:t>84 Fed.Reg.</w:t>
      </w:r>
      <w:r w:rsidR="00447CD9">
        <w:rPr>
          <w:szCs w:val="26"/>
        </w:rPr>
        <w:t xml:space="preserve">, </w:t>
      </w:r>
      <w:r w:rsidR="00447CD9">
        <w:rPr>
          <w:i/>
          <w:iCs/>
          <w:szCs w:val="26"/>
        </w:rPr>
        <w:t>supra</w:t>
      </w:r>
      <w:r w:rsidR="00447CD9">
        <w:rPr>
          <w:szCs w:val="26"/>
        </w:rPr>
        <w:t>,</w:t>
      </w:r>
      <w:r w:rsidR="00447CD9" w:rsidRPr="00645536">
        <w:rPr>
          <w:szCs w:val="26"/>
        </w:rPr>
        <w:t xml:space="preserve"> </w:t>
      </w:r>
      <w:r w:rsidR="00447CD9">
        <w:rPr>
          <w:szCs w:val="26"/>
        </w:rPr>
        <w:t>at p.</w:t>
      </w:r>
      <w:r w:rsidR="002C0BFC" w:rsidRPr="000B3C0E">
        <w:rPr>
          <w:szCs w:val="26"/>
        </w:rPr>
        <w:t xml:space="preserve"> 18713</w:t>
      </w:r>
      <w:r w:rsidR="002C0BFC">
        <w:rPr>
          <w:szCs w:val="26"/>
        </w:rPr>
        <w:t xml:space="preserve">) </w:t>
      </w:r>
      <w:r w:rsidR="00F17689">
        <w:rPr>
          <w:szCs w:val="26"/>
        </w:rPr>
        <w:t xml:space="preserve">because </w:t>
      </w:r>
      <w:r w:rsidR="006E5E36">
        <w:rPr>
          <w:szCs w:val="26"/>
        </w:rPr>
        <w:t xml:space="preserve">TDAF’s liability </w:t>
      </w:r>
      <w:r w:rsidR="00196FF4">
        <w:rPr>
          <w:szCs w:val="26"/>
        </w:rPr>
        <w:t>to suit</w:t>
      </w:r>
      <w:r w:rsidR="0023138D">
        <w:rPr>
          <w:szCs w:val="26"/>
        </w:rPr>
        <w:t xml:space="preserve"> in this case</w:t>
      </w:r>
      <w:r w:rsidR="00196FF4">
        <w:rPr>
          <w:szCs w:val="26"/>
        </w:rPr>
        <w:t xml:space="preserve"> </w:t>
      </w:r>
      <w:r w:rsidR="00771432">
        <w:rPr>
          <w:szCs w:val="26"/>
        </w:rPr>
        <w:t xml:space="preserve">is based on the Holder Rule.  </w:t>
      </w:r>
      <w:r w:rsidR="007F31A2">
        <w:rPr>
          <w:szCs w:val="26"/>
        </w:rPr>
        <w:t xml:space="preserve">But this </w:t>
      </w:r>
      <w:r w:rsidR="00D366CF">
        <w:rPr>
          <w:szCs w:val="26"/>
        </w:rPr>
        <w:t xml:space="preserve">interpretation </w:t>
      </w:r>
      <w:r w:rsidR="00D95879">
        <w:rPr>
          <w:szCs w:val="26"/>
        </w:rPr>
        <w:t>similarly</w:t>
      </w:r>
      <w:r w:rsidR="007F31A2">
        <w:rPr>
          <w:szCs w:val="26"/>
        </w:rPr>
        <w:t xml:space="preserve"> confuses a </w:t>
      </w:r>
      <w:r w:rsidR="00D366CF">
        <w:rPr>
          <w:szCs w:val="26"/>
        </w:rPr>
        <w:t xml:space="preserve">buyer’s claim for </w:t>
      </w:r>
      <w:r w:rsidR="002130D4">
        <w:rPr>
          <w:szCs w:val="26"/>
        </w:rPr>
        <w:t xml:space="preserve">statutory attorney’s </w:t>
      </w:r>
      <w:r w:rsidR="00D366CF">
        <w:rPr>
          <w:szCs w:val="26"/>
        </w:rPr>
        <w:t xml:space="preserve">fees </w:t>
      </w:r>
      <w:r w:rsidR="00D0110E">
        <w:rPr>
          <w:szCs w:val="26"/>
        </w:rPr>
        <w:t xml:space="preserve">as a prevailing party in the litigation </w:t>
      </w:r>
      <w:r w:rsidR="00792D78">
        <w:rPr>
          <w:szCs w:val="26"/>
        </w:rPr>
        <w:t xml:space="preserve">against a </w:t>
      </w:r>
      <w:r w:rsidR="008E7A09">
        <w:rPr>
          <w:szCs w:val="26"/>
        </w:rPr>
        <w:t xml:space="preserve">creditor </w:t>
      </w:r>
      <w:r w:rsidR="00D366CF">
        <w:rPr>
          <w:szCs w:val="26"/>
        </w:rPr>
        <w:t xml:space="preserve">with </w:t>
      </w:r>
      <w:r w:rsidR="00B12E21">
        <w:rPr>
          <w:szCs w:val="26"/>
        </w:rPr>
        <w:t>a buyer</w:t>
      </w:r>
      <w:r w:rsidR="00AA5135">
        <w:rPr>
          <w:szCs w:val="26"/>
        </w:rPr>
        <w:t>’s claim</w:t>
      </w:r>
      <w:r w:rsidR="00D366CF">
        <w:rPr>
          <w:szCs w:val="26"/>
        </w:rPr>
        <w:t xml:space="preserve"> </w:t>
      </w:r>
      <w:r w:rsidR="00D366CF" w:rsidRPr="00796B4F">
        <w:rPr>
          <w:szCs w:val="26"/>
        </w:rPr>
        <w:t xml:space="preserve">against </w:t>
      </w:r>
      <w:r w:rsidR="00F8704C" w:rsidRPr="00796B4F">
        <w:rPr>
          <w:szCs w:val="26"/>
        </w:rPr>
        <w:t xml:space="preserve">a </w:t>
      </w:r>
      <w:r w:rsidR="00D366CF" w:rsidRPr="00796B4F">
        <w:rPr>
          <w:szCs w:val="26"/>
        </w:rPr>
        <w:t>seller</w:t>
      </w:r>
      <w:r w:rsidR="00C3777B">
        <w:rPr>
          <w:szCs w:val="26"/>
        </w:rPr>
        <w:t xml:space="preserve"> that </w:t>
      </w:r>
      <w:r w:rsidR="006847BC">
        <w:rPr>
          <w:szCs w:val="26"/>
        </w:rPr>
        <w:t xml:space="preserve">is </w:t>
      </w:r>
      <w:r w:rsidR="00C3777B">
        <w:rPr>
          <w:szCs w:val="26"/>
        </w:rPr>
        <w:t xml:space="preserve">extended </w:t>
      </w:r>
      <w:r w:rsidR="00F8704C">
        <w:rPr>
          <w:szCs w:val="26"/>
        </w:rPr>
        <w:t xml:space="preserve">to the </w:t>
      </w:r>
      <w:r w:rsidR="008E7A09">
        <w:rPr>
          <w:szCs w:val="26"/>
        </w:rPr>
        <w:t xml:space="preserve">creditor </w:t>
      </w:r>
      <w:r w:rsidR="00A735F4">
        <w:rPr>
          <w:szCs w:val="26"/>
        </w:rPr>
        <w:t xml:space="preserve">only </w:t>
      </w:r>
      <w:r w:rsidR="00C3777B">
        <w:rPr>
          <w:szCs w:val="26"/>
        </w:rPr>
        <w:t xml:space="preserve">by </w:t>
      </w:r>
      <w:r w:rsidR="00144F65">
        <w:rPr>
          <w:szCs w:val="26"/>
        </w:rPr>
        <w:t xml:space="preserve">virtue of </w:t>
      </w:r>
      <w:r w:rsidR="00C3777B">
        <w:rPr>
          <w:szCs w:val="26"/>
        </w:rPr>
        <w:t>the Holder Rule</w:t>
      </w:r>
      <w:r w:rsidR="00D366CF">
        <w:rPr>
          <w:szCs w:val="26"/>
        </w:rPr>
        <w:t>.</w:t>
      </w:r>
      <w:r w:rsidR="00C3777B">
        <w:rPr>
          <w:szCs w:val="26"/>
        </w:rPr>
        <w:t xml:space="preserve">  </w:t>
      </w:r>
    </w:p>
    <w:p w14:paraId="531883FC" w14:textId="4DD0E7D9" w:rsidR="001A62B7" w:rsidRPr="001039B5" w:rsidRDefault="008E7A09" w:rsidP="00857279">
      <w:pPr>
        <w:ind w:firstLine="720"/>
        <w:rPr>
          <w:szCs w:val="26"/>
        </w:rPr>
      </w:pPr>
      <w:r>
        <w:rPr>
          <w:szCs w:val="26"/>
        </w:rPr>
        <w:t>T</w:t>
      </w:r>
      <w:r w:rsidR="009433E1">
        <w:t xml:space="preserve">he parties do not dispute that Pulliam </w:t>
      </w:r>
      <w:r w:rsidR="008459D0">
        <w:t xml:space="preserve">could pursue </w:t>
      </w:r>
      <w:r w:rsidR="009433E1">
        <w:t xml:space="preserve">an action under </w:t>
      </w:r>
      <w:r w:rsidR="00AA5135">
        <w:t xml:space="preserve">the </w:t>
      </w:r>
      <w:r w:rsidR="009433E1">
        <w:t xml:space="preserve">Song-Beverly </w:t>
      </w:r>
      <w:r w:rsidR="00AA5135">
        <w:t xml:space="preserve">Act </w:t>
      </w:r>
      <w:r w:rsidR="009433E1">
        <w:t xml:space="preserve">against TDAF because of the Holder Rule.  (See </w:t>
      </w:r>
      <w:r w:rsidR="00CD2F21">
        <w:t>§ </w:t>
      </w:r>
      <w:r w:rsidR="009433E1">
        <w:t xml:space="preserve">1794, subd. </w:t>
      </w:r>
      <w:r w:rsidR="00DF4203">
        <w:t>(</w:t>
      </w:r>
      <w:r w:rsidR="009433E1">
        <w:t>a</w:t>
      </w:r>
      <w:r w:rsidR="00DF4203">
        <w:t>)</w:t>
      </w:r>
      <w:r w:rsidR="009433E1">
        <w:t xml:space="preserve"> [“Any buyer of consumer goods who is damaged by a failure to comply with any obligation under this chapter or under an implied or express warranty or service contract may bring an action for the recovery of damages and other legal and equitable relief.”].)  </w:t>
      </w:r>
      <w:r w:rsidR="008459D0">
        <w:t>After Pulliam prevailed, t</w:t>
      </w:r>
      <w:r w:rsidR="00BB5A89">
        <w:t xml:space="preserve">he </w:t>
      </w:r>
      <w:r>
        <w:t xml:space="preserve">trial </w:t>
      </w:r>
      <w:r w:rsidR="00BB5A89">
        <w:t xml:space="preserve">court entered judgment in Pulliam’s favor </w:t>
      </w:r>
      <w:r w:rsidR="00D706A3">
        <w:t xml:space="preserve">jointly and severally </w:t>
      </w:r>
      <w:r w:rsidR="00BB5A89">
        <w:t xml:space="preserve">against TDAF and the dealership.  </w:t>
      </w:r>
      <w:r w:rsidR="00F234E8">
        <w:t xml:space="preserve">Pulliam then moved for attorney’s fees </w:t>
      </w:r>
      <w:r w:rsidR="00AF223F">
        <w:t>against TDAF</w:t>
      </w:r>
      <w:r w:rsidR="00F234E8">
        <w:t xml:space="preserve"> under</w:t>
      </w:r>
      <w:r w:rsidR="00AF223F">
        <w:t xml:space="preserve"> </w:t>
      </w:r>
      <w:r w:rsidR="00E50F4F">
        <w:t>section</w:t>
      </w:r>
      <w:r w:rsidR="005E7ABA">
        <w:t> </w:t>
      </w:r>
      <w:r w:rsidR="009433E1">
        <w:t>1794, subdivision (d)</w:t>
      </w:r>
      <w:r w:rsidR="005E3C9C">
        <w:t xml:space="preserve">.  (See </w:t>
      </w:r>
      <w:r w:rsidR="007E4264" w:rsidRPr="007D18B7">
        <w:rPr>
          <w:i/>
          <w:iCs/>
          <w:szCs w:val="26"/>
        </w:rPr>
        <w:t>Folsom v. Butte County Assn. of Gov</w:t>
      </w:r>
      <w:r w:rsidR="00CF50AF">
        <w:rPr>
          <w:i/>
          <w:iCs/>
          <w:szCs w:val="26"/>
        </w:rPr>
        <w:t>ernments</w:t>
      </w:r>
      <w:r w:rsidR="007E4264" w:rsidRPr="007D18B7">
        <w:rPr>
          <w:szCs w:val="26"/>
        </w:rPr>
        <w:t xml:space="preserve"> (1982)</w:t>
      </w:r>
      <w:r w:rsidR="007E4264">
        <w:rPr>
          <w:szCs w:val="26"/>
        </w:rPr>
        <w:t xml:space="preserve"> </w:t>
      </w:r>
      <w:r w:rsidR="007E4264" w:rsidRPr="007D18B7">
        <w:rPr>
          <w:szCs w:val="26"/>
        </w:rPr>
        <w:t>32 Cal.3d 671, 677</w:t>
      </w:r>
      <w:r w:rsidR="007E4264">
        <w:rPr>
          <w:szCs w:val="26"/>
        </w:rPr>
        <w:t xml:space="preserve"> [costs, including attorney’s fees, “ ‘</w:t>
      </w:r>
      <w:r w:rsidR="007E4264" w:rsidRPr="007D18B7">
        <w:rPr>
          <w:szCs w:val="26"/>
        </w:rPr>
        <w:t>constitute no part of a judgment at the moment of</w:t>
      </w:r>
      <w:r w:rsidR="007E4264">
        <w:rPr>
          <w:szCs w:val="26"/>
        </w:rPr>
        <w:t xml:space="preserve"> </w:t>
      </w:r>
      <w:r w:rsidR="007E4264" w:rsidRPr="007D18B7">
        <w:rPr>
          <w:szCs w:val="26"/>
        </w:rPr>
        <w:t>its rendition</w:t>
      </w:r>
      <w:r w:rsidR="007E4264">
        <w:rPr>
          <w:szCs w:val="26"/>
        </w:rPr>
        <w:t>’ ”].)</w:t>
      </w:r>
      <w:r w:rsidR="009433E1">
        <w:t xml:space="preserve"> </w:t>
      </w:r>
      <w:r w:rsidR="009E7352">
        <w:t xml:space="preserve"> </w:t>
      </w:r>
      <w:r w:rsidR="00E13A8D">
        <w:t xml:space="preserve">Section 1794 contains no language limiting fee awards to sellers as opposed to any other parties </w:t>
      </w:r>
      <w:r>
        <w:t xml:space="preserve">against whom a </w:t>
      </w:r>
      <w:r w:rsidR="00E13A8D">
        <w:t xml:space="preserve">buyer </w:t>
      </w:r>
      <w:r>
        <w:t xml:space="preserve">has </w:t>
      </w:r>
      <w:r w:rsidR="00E13A8D">
        <w:t xml:space="preserve">prevailed.  (See </w:t>
      </w:r>
      <w:r w:rsidR="00E13A8D" w:rsidRPr="00FF09C6">
        <w:rPr>
          <w:i/>
          <w:iCs/>
          <w:szCs w:val="26"/>
        </w:rPr>
        <w:t>Murillo v. Fleetwood Enterprises, Inc.</w:t>
      </w:r>
      <w:r w:rsidR="00E13A8D" w:rsidRPr="00FF09C6">
        <w:rPr>
          <w:szCs w:val="26"/>
        </w:rPr>
        <w:t xml:space="preserve"> (1998) 17 Cal.4th 985, 990 [Song-Beverly</w:t>
      </w:r>
      <w:r w:rsidR="00E13A8D">
        <w:rPr>
          <w:szCs w:val="26"/>
        </w:rPr>
        <w:t xml:space="preserve"> “ </w:t>
      </w:r>
      <w:r w:rsidR="00E13A8D" w:rsidRPr="00FF09C6">
        <w:rPr>
          <w:szCs w:val="26"/>
        </w:rPr>
        <w:t>‘is manifestly a remedial measure, intended for the protection of the consumer; it should be given a construction calculated to bring its benefits into action’ ”]</w:t>
      </w:r>
      <w:r w:rsidR="00E13A8D">
        <w:rPr>
          <w:szCs w:val="26"/>
        </w:rPr>
        <w:t>.)</w:t>
      </w:r>
      <w:r w:rsidR="00180486">
        <w:rPr>
          <w:szCs w:val="26"/>
        </w:rPr>
        <w:t xml:space="preserve">  </w:t>
      </w:r>
      <w:r w:rsidR="00D04AFF">
        <w:rPr>
          <w:szCs w:val="26"/>
        </w:rPr>
        <w:t xml:space="preserve">It provides for fees against any losing defendant who chose to oppose a consumer’s claim.  </w:t>
      </w:r>
      <w:r w:rsidR="000010C2">
        <w:rPr>
          <w:szCs w:val="26"/>
        </w:rPr>
        <w:t>Thus, s</w:t>
      </w:r>
      <w:r w:rsidR="009E7352">
        <w:t xml:space="preserve">ection 1794, subdivision (d) </w:t>
      </w:r>
      <w:r w:rsidR="009433E1">
        <w:t xml:space="preserve">provided the basis for </w:t>
      </w:r>
      <w:r w:rsidR="000010C2">
        <w:t>Pulliam’s</w:t>
      </w:r>
      <w:r w:rsidR="009E7352">
        <w:t xml:space="preserve"> </w:t>
      </w:r>
      <w:r w:rsidR="009433E1">
        <w:t>claim for fees against TDAF and was unaffected by the Holder Rule</w:t>
      </w:r>
      <w:r w:rsidR="002C6F2F">
        <w:t>’s</w:t>
      </w:r>
      <w:r w:rsidR="00651000">
        <w:t xml:space="preserve"> limit</w:t>
      </w:r>
      <w:r w:rsidR="002C6F2F">
        <w:t>ation on</w:t>
      </w:r>
      <w:r w:rsidR="00651000">
        <w:t xml:space="preserve"> “recovery hereunder” </w:t>
      </w:r>
      <w:r w:rsidR="002C6F2F">
        <w:t xml:space="preserve">for claims </w:t>
      </w:r>
      <w:r w:rsidR="00CA5880">
        <w:t xml:space="preserve">asserted by a buyer </w:t>
      </w:r>
      <w:r w:rsidR="002C6F2F" w:rsidRPr="00CA5880">
        <w:t xml:space="preserve">against </w:t>
      </w:r>
      <w:r w:rsidR="00CA5880">
        <w:t xml:space="preserve">a </w:t>
      </w:r>
      <w:r w:rsidR="002C6F2F" w:rsidRPr="00CA5880">
        <w:t>seller</w:t>
      </w:r>
      <w:r w:rsidR="004B191D">
        <w:t xml:space="preserve"> </w:t>
      </w:r>
      <w:r>
        <w:t xml:space="preserve">and </w:t>
      </w:r>
      <w:r w:rsidR="004B191D">
        <w:t xml:space="preserve">extended to </w:t>
      </w:r>
      <w:r w:rsidR="006C08BC">
        <w:t xml:space="preserve">lie against </w:t>
      </w:r>
      <w:r w:rsidR="004B191D">
        <w:t>a holder</w:t>
      </w:r>
      <w:r w:rsidR="00CE3930">
        <w:t>.</w:t>
      </w:r>
    </w:p>
    <w:p w14:paraId="08905BC3" w14:textId="4154A6E8" w:rsidR="0054208B" w:rsidRPr="0054208B" w:rsidRDefault="00D05D8D" w:rsidP="0054208B">
      <w:pPr>
        <w:ind w:firstLine="720"/>
        <w:rPr>
          <w:szCs w:val="26"/>
        </w:rPr>
      </w:pPr>
      <w:r>
        <w:t xml:space="preserve">This </w:t>
      </w:r>
      <w:r w:rsidR="008E7A09">
        <w:t xml:space="preserve">understanding </w:t>
      </w:r>
      <w:r w:rsidR="00C144E1">
        <w:t xml:space="preserve">of the Rule and </w:t>
      </w:r>
      <w:r w:rsidR="005A4E1E">
        <w:t xml:space="preserve">the </w:t>
      </w:r>
      <w:r w:rsidR="00C144E1">
        <w:t xml:space="preserve">Rule Confirmation </w:t>
      </w:r>
      <w:r>
        <w:t xml:space="preserve">is </w:t>
      </w:r>
      <w:r w:rsidR="0063349A">
        <w:t xml:space="preserve">in agreement with </w:t>
      </w:r>
      <w:r w:rsidR="008E7A09">
        <w:t xml:space="preserve">a </w:t>
      </w:r>
      <w:r w:rsidR="0063349A">
        <w:t>recent Advisory Opinion</w:t>
      </w:r>
      <w:r w:rsidR="008E7A09">
        <w:t xml:space="preserve"> issued by the FTC,</w:t>
      </w:r>
      <w:r w:rsidR="0063349A">
        <w:t xml:space="preserve"> which </w:t>
      </w:r>
      <w:r w:rsidR="003D776D">
        <w:t xml:space="preserve">states </w:t>
      </w:r>
      <w:r w:rsidR="002760EF" w:rsidRPr="00E96109">
        <w:rPr>
          <w:szCs w:val="26"/>
        </w:rPr>
        <w:t>that “the Holder Rule does not limit recovery of attorneys’ fees and costs when state law authorizes awards against a holder</w:t>
      </w:r>
      <w:r w:rsidR="002760EF">
        <w:rPr>
          <w:szCs w:val="26"/>
        </w:rPr>
        <w:t>.</w:t>
      </w:r>
      <w:r w:rsidR="002760EF" w:rsidRPr="00E96109">
        <w:rPr>
          <w:szCs w:val="26"/>
        </w:rPr>
        <w:t xml:space="preserve">” </w:t>
      </w:r>
      <w:r w:rsidR="002760EF">
        <w:rPr>
          <w:szCs w:val="26"/>
        </w:rPr>
        <w:t xml:space="preserve"> </w:t>
      </w:r>
      <w:r w:rsidR="002760EF" w:rsidRPr="00E96109">
        <w:rPr>
          <w:szCs w:val="26"/>
        </w:rPr>
        <w:t>(</w:t>
      </w:r>
      <w:r w:rsidR="002760EF">
        <w:rPr>
          <w:szCs w:val="26"/>
        </w:rPr>
        <w:t>FTC Advisory Opn.,</w:t>
      </w:r>
      <w:r w:rsidR="00CF50AF">
        <w:rPr>
          <w:szCs w:val="26"/>
        </w:rPr>
        <w:t xml:space="preserve"> </w:t>
      </w:r>
      <w:r w:rsidR="00CF50AF">
        <w:rPr>
          <w:i/>
          <w:iCs/>
          <w:szCs w:val="26"/>
        </w:rPr>
        <w:t>supra</w:t>
      </w:r>
      <w:r w:rsidR="00CF50AF">
        <w:rPr>
          <w:szCs w:val="26"/>
        </w:rPr>
        <w:t>, at</w:t>
      </w:r>
      <w:r w:rsidR="002760EF">
        <w:rPr>
          <w:szCs w:val="26"/>
        </w:rPr>
        <w:t xml:space="preserve"> </w:t>
      </w:r>
      <w:r w:rsidR="002760EF" w:rsidRPr="00E96109">
        <w:rPr>
          <w:szCs w:val="26"/>
        </w:rPr>
        <w:t>p. 1</w:t>
      </w:r>
      <w:r w:rsidR="002760EF">
        <w:rPr>
          <w:szCs w:val="26"/>
        </w:rPr>
        <w:t>.</w:t>
      </w:r>
      <w:r w:rsidR="002760EF" w:rsidRPr="00E96109">
        <w:rPr>
          <w:szCs w:val="26"/>
        </w:rPr>
        <w:t xml:space="preserve">) </w:t>
      </w:r>
      <w:r w:rsidR="002760EF">
        <w:rPr>
          <w:szCs w:val="26"/>
        </w:rPr>
        <w:t xml:space="preserve"> </w:t>
      </w:r>
      <w:r w:rsidR="008E7A09">
        <w:rPr>
          <w:szCs w:val="26"/>
        </w:rPr>
        <w:t xml:space="preserve">The opinion further explains </w:t>
      </w:r>
      <w:r w:rsidR="00203B7D">
        <w:rPr>
          <w:szCs w:val="26"/>
        </w:rPr>
        <w:t xml:space="preserve">that </w:t>
      </w:r>
      <w:r w:rsidR="00203B7D" w:rsidRPr="00E96109">
        <w:rPr>
          <w:szCs w:val="26"/>
        </w:rPr>
        <w:t>“</w:t>
      </w:r>
      <w:r w:rsidR="00203B7D">
        <w:rPr>
          <w:szCs w:val="26"/>
        </w:rPr>
        <w:t>w</w:t>
      </w:r>
      <w:r w:rsidR="00203B7D" w:rsidRPr="00E96109">
        <w:rPr>
          <w:szCs w:val="26"/>
        </w:rPr>
        <w:t>hether costs and attorneys’ fees may be awarded against the holder . . . is determined by the relevant law governing costs and fees</w:t>
      </w:r>
      <w:r w:rsidR="00203B7D">
        <w:rPr>
          <w:szCs w:val="26"/>
        </w:rPr>
        <w:t>,</w:t>
      </w:r>
      <w:r w:rsidR="00203B7D" w:rsidRPr="00E96109">
        <w:rPr>
          <w:szCs w:val="26"/>
        </w:rPr>
        <w:t>” and “[n]othing in the Holder Rule states that application of [prevailing party statutes] to holders is inconsistent with Section 5 of the FTC Act or that holders should be wholly or partially exempt from these laws</w:t>
      </w:r>
      <w:r w:rsidR="00203B7D">
        <w:rPr>
          <w:szCs w:val="26"/>
        </w:rPr>
        <w:t>.</w:t>
      </w:r>
      <w:r w:rsidR="00203B7D" w:rsidRPr="00E96109">
        <w:rPr>
          <w:szCs w:val="26"/>
        </w:rPr>
        <w:t xml:space="preserve">” </w:t>
      </w:r>
      <w:r w:rsidR="00203B7D">
        <w:rPr>
          <w:szCs w:val="26"/>
        </w:rPr>
        <w:t xml:space="preserve"> </w:t>
      </w:r>
      <w:r w:rsidR="00203B7D" w:rsidRPr="00E96109">
        <w:rPr>
          <w:szCs w:val="26"/>
        </w:rPr>
        <w:t>(</w:t>
      </w:r>
      <w:r w:rsidR="00203B7D">
        <w:rPr>
          <w:i/>
          <w:iCs/>
          <w:szCs w:val="26"/>
        </w:rPr>
        <w:t>Id</w:t>
      </w:r>
      <w:r w:rsidR="00203B7D" w:rsidRPr="00E96109">
        <w:rPr>
          <w:i/>
          <w:iCs/>
          <w:szCs w:val="26"/>
        </w:rPr>
        <w:t>.</w:t>
      </w:r>
      <w:r w:rsidR="00203B7D">
        <w:rPr>
          <w:szCs w:val="26"/>
        </w:rPr>
        <w:t xml:space="preserve"> at p. 2.</w:t>
      </w:r>
      <w:r w:rsidR="00203B7D" w:rsidRPr="00E96109">
        <w:rPr>
          <w:szCs w:val="26"/>
        </w:rPr>
        <w:t xml:space="preserve">)  </w:t>
      </w:r>
      <w:r w:rsidR="00F94DD3" w:rsidRPr="00E96109">
        <w:rPr>
          <w:szCs w:val="26"/>
        </w:rPr>
        <w:t>“Further, if the applicable law requires or allows costs or attorneys’ fee awards against a holder, the Holder Rule does not impose a cap on such an award.  The sentence in the Holder Rule Notice that limits recovery to ‘amounts paid by the debtor’ applies only to monetary recovery against holders based on the Holder Rule Notice .</w:t>
      </w:r>
      <w:r w:rsidR="00F94DD3">
        <w:rPr>
          <w:szCs w:val="26"/>
        </w:rPr>
        <w:t> </w:t>
      </w:r>
      <w:r w:rsidR="00F94DD3" w:rsidRPr="00E96109">
        <w:rPr>
          <w:szCs w:val="26"/>
        </w:rPr>
        <w:t>.</w:t>
      </w:r>
      <w:r w:rsidR="00F94DD3">
        <w:rPr>
          <w:szCs w:val="26"/>
        </w:rPr>
        <w:t> </w:t>
      </w:r>
      <w:r w:rsidR="00F94DD3" w:rsidRPr="00E96109">
        <w:rPr>
          <w:szCs w:val="26"/>
        </w:rPr>
        <w:t>.</w:t>
      </w:r>
      <w:r w:rsidR="00F94DD3">
        <w:rPr>
          <w:szCs w:val="26"/>
        </w:rPr>
        <w:t> </w:t>
      </w:r>
      <w:r w:rsidR="00F94DD3" w:rsidRPr="00E96109">
        <w:rPr>
          <w:szCs w:val="26"/>
        </w:rPr>
        <w:t>; the Rule places no cap on a consumer’s right to recover from the holder for other reasons.”  (</w:t>
      </w:r>
      <w:r w:rsidR="00F94DD3">
        <w:rPr>
          <w:i/>
          <w:iCs/>
          <w:szCs w:val="26"/>
        </w:rPr>
        <w:t>I</w:t>
      </w:r>
      <w:r w:rsidR="00F94DD3" w:rsidRPr="00E96109">
        <w:rPr>
          <w:i/>
          <w:iCs/>
          <w:szCs w:val="26"/>
        </w:rPr>
        <w:t>d.</w:t>
      </w:r>
      <w:r w:rsidR="00F94DD3" w:rsidRPr="00E96109">
        <w:rPr>
          <w:szCs w:val="26"/>
        </w:rPr>
        <w:t xml:space="preserve"> at p. 3.)  </w:t>
      </w:r>
      <w:r w:rsidR="00D73148">
        <w:rPr>
          <w:szCs w:val="26"/>
        </w:rPr>
        <w:t>The FTC expressly disavowed reading the Rule Confirmation “as mandating a different result.”  (</w:t>
      </w:r>
      <w:r w:rsidR="00D73148">
        <w:rPr>
          <w:i/>
          <w:iCs/>
          <w:szCs w:val="26"/>
        </w:rPr>
        <w:t>Ibid</w:t>
      </w:r>
      <w:r w:rsidR="00D73148">
        <w:rPr>
          <w:szCs w:val="26"/>
        </w:rPr>
        <w:t>.)</w:t>
      </w:r>
      <w:r w:rsidR="0054208B" w:rsidRPr="0054208B">
        <w:rPr>
          <w:szCs w:val="26"/>
        </w:rPr>
        <w:t xml:space="preserve">  “Neither the Rule itself nor the 2019 Rule Confirmation notice say that the Holder Rule invalidates state law or that there is a federal interest in limiting state remedies.  To the contrary, the 2019 Rule Confirmation says that nothing in the Holder Rule limits recovery of attorneys’ fees if a federal or state law separately provides for recovery of attorneys’ fees independent of claims or defenses arising from the seller’s misconduct.”  (</w:t>
      </w:r>
      <w:r w:rsidR="0054208B" w:rsidRPr="0054208B">
        <w:rPr>
          <w:i/>
          <w:iCs/>
          <w:szCs w:val="26"/>
        </w:rPr>
        <w:t>Id.</w:t>
      </w:r>
      <w:r w:rsidR="0054208B" w:rsidRPr="0054208B">
        <w:rPr>
          <w:szCs w:val="26"/>
        </w:rPr>
        <w:t xml:space="preserve"> at pp. 3–4.)</w:t>
      </w:r>
    </w:p>
    <w:p w14:paraId="58BCD54E" w14:textId="55195246" w:rsidR="008F3846" w:rsidRDefault="008F3846" w:rsidP="008F3846">
      <w:pPr>
        <w:ind w:firstLine="720"/>
      </w:pPr>
      <w:r w:rsidRPr="008F3846">
        <w:t xml:space="preserve">The FTC gave the example of a consumer authorized to recover fees from parties that unsuccessfully oppose the consumer’s claims.  “In this scenario,” </w:t>
      </w:r>
      <w:r w:rsidR="008E7A09">
        <w:t>which is squarely on point</w:t>
      </w:r>
      <w:r w:rsidRPr="008F3846">
        <w:t>, “the . . . fee award is separate and supported by a law that is independent of the Holder Rule.  Thus, the Holder Rule Notice does not limit . . . attorneys’ fees that the applicable law directs or permits a court to award against a holder because of its role in litigation.”  (</w:t>
      </w:r>
      <w:r>
        <w:t xml:space="preserve">FTC </w:t>
      </w:r>
      <w:r w:rsidRPr="008F3846">
        <w:t>Advisory Opn.,</w:t>
      </w:r>
      <w:r w:rsidR="00191962">
        <w:t xml:space="preserve"> </w:t>
      </w:r>
      <w:r w:rsidR="00191962">
        <w:rPr>
          <w:i/>
          <w:iCs/>
        </w:rPr>
        <w:t>supra</w:t>
      </w:r>
      <w:r w:rsidR="00191962">
        <w:t>, at</w:t>
      </w:r>
      <w:r w:rsidRPr="008F3846">
        <w:t xml:space="preserve"> p. 3.)  It is only where a “consumer is awarded fees in a suit solely against the seller, or the law allows awards only against a seller that has engaged in specified conduct,” that “the seller’s liability for . . . fees may be raised against the holder because of the Holder Rule Notice”; in that case, the Holder Rule “authorizes the consumer to recover such an award from the holder up to the amount paid.”  (</w:t>
      </w:r>
      <w:r w:rsidRPr="008F3846">
        <w:rPr>
          <w:i/>
          <w:iCs/>
        </w:rPr>
        <w:t>Ibid.</w:t>
      </w:r>
      <w:r w:rsidRPr="008F3846">
        <w:t xml:space="preserve">)  </w:t>
      </w:r>
    </w:p>
    <w:p w14:paraId="120F6506" w14:textId="504727D4" w:rsidR="0089768C" w:rsidRDefault="00B96B9E" w:rsidP="00736714">
      <w:pPr>
        <w:ind w:firstLine="720"/>
      </w:pPr>
      <w:r>
        <w:t xml:space="preserve">TDAF argues </w:t>
      </w:r>
      <w:r w:rsidR="00242132">
        <w:t xml:space="preserve">that </w:t>
      </w:r>
      <w:r>
        <w:t xml:space="preserve">the </w:t>
      </w:r>
      <w:r w:rsidR="002B1BDD">
        <w:t xml:space="preserve">FTC </w:t>
      </w:r>
      <w:r>
        <w:t>Advisory Opinion “lacks any persuasive effect</w:t>
      </w:r>
      <w:r w:rsidR="00391451">
        <w:t>,</w:t>
      </w:r>
      <w:r>
        <w:t xml:space="preserve">” </w:t>
      </w:r>
      <w:r w:rsidR="007204C5">
        <w:t xml:space="preserve">citing </w:t>
      </w:r>
      <w:r w:rsidR="007204C5">
        <w:rPr>
          <w:i/>
          <w:iCs/>
        </w:rPr>
        <w:t>Christensen v. Harris C</w:t>
      </w:r>
      <w:r w:rsidR="000D1622">
        <w:rPr>
          <w:i/>
          <w:iCs/>
        </w:rPr>
        <w:t>ount</w:t>
      </w:r>
      <w:r w:rsidR="007204C5">
        <w:rPr>
          <w:i/>
          <w:iCs/>
        </w:rPr>
        <w:t xml:space="preserve">y </w:t>
      </w:r>
      <w:r w:rsidR="007204C5">
        <w:t>(2000) 529 U.S. 576</w:t>
      </w:r>
      <w:r w:rsidR="000D1622">
        <w:t>, 587</w:t>
      </w:r>
      <w:r w:rsidR="008E7A09">
        <w:t>.  B</w:t>
      </w:r>
      <w:r>
        <w:t xml:space="preserve">ut </w:t>
      </w:r>
      <w:r w:rsidR="007130F5">
        <w:t>the FTC’s</w:t>
      </w:r>
      <w:r w:rsidR="00B77023">
        <w:t xml:space="preserve"> interpretation of the Rule and </w:t>
      </w:r>
      <w:r w:rsidR="00242132">
        <w:t xml:space="preserve">the </w:t>
      </w:r>
      <w:r w:rsidR="00B77023">
        <w:t xml:space="preserve">Rule Confirmation </w:t>
      </w:r>
      <w:r>
        <w:t>is consistent with the</w:t>
      </w:r>
      <w:r w:rsidR="00ED09C5">
        <w:t xml:space="preserve"> Rule’s</w:t>
      </w:r>
      <w:r>
        <w:t xml:space="preserve"> </w:t>
      </w:r>
      <w:r w:rsidR="00C34587">
        <w:t xml:space="preserve">text, </w:t>
      </w:r>
      <w:r>
        <w:t>history</w:t>
      </w:r>
      <w:r w:rsidR="00C34587">
        <w:t>,</w:t>
      </w:r>
      <w:r>
        <w:t xml:space="preserve"> and purpose, including the FTC’s </w:t>
      </w:r>
      <w:r w:rsidR="006F3FDC">
        <w:t>repeated</w:t>
      </w:r>
      <w:r w:rsidR="00771FF2">
        <w:t xml:space="preserve"> statements </w:t>
      </w:r>
      <w:r>
        <w:t>that it did not intend to interfere with state law</w:t>
      </w:r>
      <w:r w:rsidR="00DD28BD">
        <w:t>s authorizing additional</w:t>
      </w:r>
      <w:r w:rsidR="00CD4F49">
        <w:t xml:space="preserve"> </w:t>
      </w:r>
      <w:r w:rsidR="00DD28BD">
        <w:t>awards</w:t>
      </w:r>
      <w:r>
        <w:t xml:space="preserve">.  </w:t>
      </w:r>
      <w:r w:rsidR="00B77023">
        <w:t xml:space="preserve">(See </w:t>
      </w:r>
      <w:r w:rsidR="00EC618C" w:rsidRPr="00645536">
        <w:t>40 Fed.Reg.</w:t>
      </w:r>
      <w:r w:rsidR="00447CD9">
        <w:rPr>
          <w:szCs w:val="26"/>
        </w:rPr>
        <w:t xml:space="preserve">, </w:t>
      </w:r>
      <w:r w:rsidR="00447CD9">
        <w:rPr>
          <w:i/>
          <w:iCs/>
          <w:szCs w:val="26"/>
        </w:rPr>
        <w:t>supra</w:t>
      </w:r>
      <w:r w:rsidR="00447CD9">
        <w:rPr>
          <w:szCs w:val="26"/>
        </w:rPr>
        <w:t>,</w:t>
      </w:r>
      <w:r w:rsidR="00447CD9" w:rsidRPr="00645536">
        <w:rPr>
          <w:szCs w:val="26"/>
        </w:rPr>
        <w:t xml:space="preserve"> </w:t>
      </w:r>
      <w:r w:rsidR="00447CD9">
        <w:rPr>
          <w:szCs w:val="26"/>
        </w:rPr>
        <w:t>at p.</w:t>
      </w:r>
      <w:r w:rsidR="00EC618C" w:rsidRPr="00645536">
        <w:t xml:space="preserve"> 53521</w:t>
      </w:r>
      <w:r w:rsidR="00191962">
        <w:t>;</w:t>
      </w:r>
      <w:r w:rsidR="00B77023">
        <w:t xml:space="preserve"> </w:t>
      </w:r>
      <w:r w:rsidR="00EC618C" w:rsidRPr="00645536">
        <w:t>41 Fed.Reg.</w:t>
      </w:r>
      <w:r w:rsidR="00447CD9">
        <w:rPr>
          <w:szCs w:val="26"/>
        </w:rPr>
        <w:t xml:space="preserve">, </w:t>
      </w:r>
      <w:r w:rsidR="00447CD9">
        <w:rPr>
          <w:i/>
          <w:iCs/>
          <w:szCs w:val="26"/>
        </w:rPr>
        <w:t>supra</w:t>
      </w:r>
      <w:r w:rsidR="00447CD9">
        <w:rPr>
          <w:szCs w:val="26"/>
        </w:rPr>
        <w:t>,</w:t>
      </w:r>
      <w:r w:rsidR="00447CD9" w:rsidRPr="00645536">
        <w:rPr>
          <w:szCs w:val="26"/>
        </w:rPr>
        <w:t xml:space="preserve"> </w:t>
      </w:r>
      <w:r w:rsidR="00447CD9">
        <w:rPr>
          <w:szCs w:val="26"/>
        </w:rPr>
        <w:t>at p.</w:t>
      </w:r>
      <w:r w:rsidR="00EC618C" w:rsidRPr="00645536">
        <w:t xml:space="preserve"> 20023</w:t>
      </w:r>
      <w:r w:rsidR="00191962">
        <w:t>;</w:t>
      </w:r>
      <w:r w:rsidR="00B77023">
        <w:t xml:space="preserve"> </w:t>
      </w:r>
      <w:r w:rsidR="00D1132B" w:rsidRPr="000B3C0E">
        <w:rPr>
          <w:szCs w:val="26"/>
        </w:rPr>
        <w:t>84 Fed.Reg.</w:t>
      </w:r>
      <w:r w:rsidR="00447CD9">
        <w:rPr>
          <w:szCs w:val="26"/>
        </w:rPr>
        <w:t xml:space="preserve">, </w:t>
      </w:r>
      <w:r w:rsidR="00447CD9">
        <w:rPr>
          <w:i/>
          <w:iCs/>
          <w:szCs w:val="26"/>
        </w:rPr>
        <w:t>supra</w:t>
      </w:r>
      <w:r w:rsidR="00447CD9">
        <w:rPr>
          <w:szCs w:val="26"/>
        </w:rPr>
        <w:t>,</w:t>
      </w:r>
      <w:r w:rsidR="00447CD9" w:rsidRPr="00645536">
        <w:rPr>
          <w:szCs w:val="26"/>
        </w:rPr>
        <w:t xml:space="preserve"> </w:t>
      </w:r>
      <w:r w:rsidR="00447CD9">
        <w:rPr>
          <w:szCs w:val="26"/>
        </w:rPr>
        <w:t>at p.</w:t>
      </w:r>
      <w:r w:rsidR="00D1132B" w:rsidRPr="000B3C0E">
        <w:rPr>
          <w:szCs w:val="26"/>
        </w:rPr>
        <w:t xml:space="preserve"> 18713</w:t>
      </w:r>
      <w:r w:rsidR="00B77023">
        <w:t>.)</w:t>
      </w:r>
      <w:r w:rsidR="00736714">
        <w:t xml:space="preserve">  </w:t>
      </w:r>
    </w:p>
    <w:p w14:paraId="4EDFC836" w14:textId="754F0BB9" w:rsidR="00C34587" w:rsidRDefault="00736714" w:rsidP="00736714">
      <w:pPr>
        <w:ind w:firstLine="720"/>
      </w:pPr>
      <w:r>
        <w:t xml:space="preserve">It is clear </w:t>
      </w:r>
      <w:r w:rsidR="004B31BA">
        <w:t xml:space="preserve">that </w:t>
      </w:r>
      <w:r w:rsidR="004B31BA" w:rsidRPr="00645536">
        <w:rPr>
          <w:szCs w:val="26"/>
        </w:rPr>
        <w:t xml:space="preserve">the FTC contemplated that state law might offer greater protections for consumers and that these protections might be accompanied by recovery in excess of the amounts paid on the contract.  </w:t>
      </w:r>
      <w:r w:rsidR="00DC4A27">
        <w:rPr>
          <w:szCs w:val="26"/>
        </w:rPr>
        <w:t xml:space="preserve">We have </w:t>
      </w:r>
      <w:r w:rsidR="00BE13D0">
        <w:rPr>
          <w:szCs w:val="26"/>
        </w:rPr>
        <w:t xml:space="preserve">found </w:t>
      </w:r>
      <w:r w:rsidR="00DC4A27">
        <w:rPr>
          <w:szCs w:val="26"/>
        </w:rPr>
        <w:t xml:space="preserve">no reason to interpret the Rule’s limitation on </w:t>
      </w:r>
      <w:r w:rsidR="00207A4F">
        <w:rPr>
          <w:szCs w:val="26"/>
        </w:rPr>
        <w:t xml:space="preserve">“recovery hereunder” </w:t>
      </w:r>
      <w:r w:rsidR="00DC4A27">
        <w:t xml:space="preserve">to extend </w:t>
      </w:r>
      <w:r w:rsidR="008E7A09">
        <w:t xml:space="preserve">more broadly </w:t>
      </w:r>
      <w:r w:rsidR="00BE13D0">
        <w:t xml:space="preserve">than its plain language </w:t>
      </w:r>
      <w:r w:rsidR="00151424">
        <w:t xml:space="preserve">suggests or </w:t>
      </w:r>
      <w:r w:rsidR="008E7A09">
        <w:t xml:space="preserve">more broadly than </w:t>
      </w:r>
      <w:r w:rsidR="00151424">
        <w:t xml:space="preserve">the FTC intended.  </w:t>
      </w:r>
      <w:r w:rsidR="00E134C7">
        <w:t xml:space="preserve">Where state law provides for attorney’s fees </w:t>
      </w:r>
      <w:r w:rsidR="00313667">
        <w:t xml:space="preserve">against a holder, </w:t>
      </w:r>
      <w:r w:rsidR="00E10659">
        <w:t>nothing in the Rule prevents their award</w:t>
      </w:r>
      <w:r w:rsidR="008E7A09">
        <w:t xml:space="preserve"> to the full extent provided by state law</w:t>
      </w:r>
      <w:r w:rsidR="00E10659">
        <w:t>.</w:t>
      </w:r>
      <w:r w:rsidR="008E7A09">
        <w:t xml:space="preserve">  </w:t>
      </w:r>
      <w:r w:rsidR="008E7A09">
        <w:rPr>
          <w:szCs w:val="26"/>
        </w:rPr>
        <w:t>W</w:t>
      </w:r>
      <w:r w:rsidR="008E7A09" w:rsidRPr="00645536">
        <w:t xml:space="preserve">e disapprove of </w:t>
      </w:r>
      <w:r w:rsidR="008E7A09" w:rsidRPr="00645536">
        <w:rPr>
          <w:i/>
          <w:iCs/>
          <w:szCs w:val="26"/>
        </w:rPr>
        <w:t>Lafferty v. Wells Fargo Bank, N.A.</w:t>
      </w:r>
      <w:r w:rsidR="00C50AED">
        <w:rPr>
          <w:szCs w:val="26"/>
        </w:rPr>
        <w:t xml:space="preserve">, </w:t>
      </w:r>
      <w:r w:rsidR="00C50AED">
        <w:rPr>
          <w:i/>
          <w:iCs/>
          <w:szCs w:val="26"/>
        </w:rPr>
        <w:t>supra</w:t>
      </w:r>
      <w:r w:rsidR="00C50AED">
        <w:rPr>
          <w:szCs w:val="26"/>
        </w:rPr>
        <w:t>,</w:t>
      </w:r>
      <w:r w:rsidR="008E7A09" w:rsidRPr="00645536">
        <w:rPr>
          <w:szCs w:val="26"/>
        </w:rPr>
        <w:t xml:space="preserve"> 25 Cal.App.5th 398 and </w:t>
      </w:r>
      <w:r w:rsidR="008E7A09" w:rsidRPr="00645536">
        <w:rPr>
          <w:i/>
          <w:iCs/>
          <w:szCs w:val="26"/>
        </w:rPr>
        <w:t>Spikener v. Ally Financial,</w:t>
      </w:r>
      <w:r w:rsidR="008E7A09" w:rsidRPr="00645536">
        <w:rPr>
          <w:szCs w:val="26"/>
        </w:rPr>
        <w:t xml:space="preserve"> </w:t>
      </w:r>
      <w:r w:rsidR="008E7A09" w:rsidRPr="00645536">
        <w:rPr>
          <w:i/>
          <w:iCs/>
          <w:szCs w:val="26"/>
        </w:rPr>
        <w:t>Inc.</w:t>
      </w:r>
      <w:r w:rsidR="00C50AED">
        <w:rPr>
          <w:szCs w:val="26"/>
        </w:rPr>
        <w:t xml:space="preserve">, </w:t>
      </w:r>
      <w:r w:rsidR="00C50AED">
        <w:rPr>
          <w:i/>
          <w:iCs/>
          <w:szCs w:val="26"/>
        </w:rPr>
        <w:t>supra</w:t>
      </w:r>
      <w:r w:rsidR="00C50AED">
        <w:rPr>
          <w:szCs w:val="26"/>
        </w:rPr>
        <w:t>,</w:t>
      </w:r>
      <w:r w:rsidR="008E7A09" w:rsidRPr="00645536">
        <w:rPr>
          <w:szCs w:val="26"/>
        </w:rPr>
        <w:t xml:space="preserve"> 50 Cal.App.5th </w:t>
      </w:r>
      <w:r w:rsidR="008E7A09" w:rsidRPr="00645536">
        <w:t xml:space="preserve">151 to the extent they are inconsistent with </w:t>
      </w:r>
      <w:r w:rsidR="008E7A09">
        <w:t>this</w:t>
      </w:r>
      <w:r w:rsidR="008E7A09" w:rsidRPr="00645536">
        <w:t xml:space="preserve"> opinion.</w:t>
      </w:r>
    </w:p>
    <w:p w14:paraId="03B96708" w14:textId="77777777" w:rsidR="00F40C1A" w:rsidRPr="00645536" w:rsidRDefault="00F40C1A" w:rsidP="004057AF">
      <w:pPr>
        <w:keepNext/>
        <w:keepLines/>
        <w:jc w:val="center"/>
        <w:outlineLvl w:val="0"/>
        <w:rPr>
          <w:b/>
          <w:szCs w:val="26"/>
        </w:rPr>
      </w:pPr>
      <w:r w:rsidRPr="004E0194">
        <w:rPr>
          <w:b/>
          <w:bCs/>
          <w:szCs w:val="26"/>
        </w:rPr>
        <w:t>CONCLUSION</w:t>
      </w:r>
    </w:p>
    <w:p w14:paraId="766FAE53" w14:textId="34518789" w:rsidR="00923134" w:rsidRDefault="004F30D4" w:rsidP="004057AF">
      <w:pPr>
        <w:keepNext/>
        <w:keepLines/>
        <w:ind w:firstLine="720"/>
      </w:pPr>
      <w:r>
        <w:rPr>
          <w:szCs w:val="26"/>
        </w:rPr>
        <w:t>W</w:t>
      </w:r>
      <w:r w:rsidR="007F4768" w:rsidRPr="00645536">
        <w:rPr>
          <w:szCs w:val="26"/>
        </w:rPr>
        <w:t xml:space="preserve">e affirm the </w:t>
      </w:r>
      <w:r w:rsidR="008E7A09">
        <w:rPr>
          <w:szCs w:val="26"/>
        </w:rPr>
        <w:t xml:space="preserve">judgment of the </w:t>
      </w:r>
      <w:r w:rsidR="007F4768" w:rsidRPr="00645536">
        <w:rPr>
          <w:szCs w:val="26"/>
        </w:rPr>
        <w:t>Court of Appeal.</w:t>
      </w:r>
    </w:p>
    <w:p w14:paraId="49CA1146" w14:textId="05419069" w:rsidR="00060842" w:rsidRDefault="00060842" w:rsidP="004057AF">
      <w:pPr>
        <w:keepNext/>
        <w:keepLines/>
        <w:tabs>
          <w:tab w:val="left" w:pos="1440"/>
        </w:tabs>
        <w:ind w:firstLine="720"/>
        <w:rPr>
          <w:b/>
          <w:szCs w:val="26"/>
        </w:rPr>
      </w:pPr>
      <w:r w:rsidRPr="00645536">
        <w:rPr>
          <w:b/>
          <w:szCs w:val="26"/>
        </w:rPr>
        <w:tab/>
      </w:r>
      <w:r w:rsidRPr="00645536">
        <w:rPr>
          <w:b/>
          <w:szCs w:val="26"/>
        </w:rPr>
        <w:tab/>
      </w:r>
      <w:r w:rsidRPr="00645536">
        <w:rPr>
          <w:b/>
          <w:szCs w:val="26"/>
        </w:rPr>
        <w:tab/>
      </w:r>
      <w:r w:rsidRPr="00645536">
        <w:rPr>
          <w:b/>
          <w:szCs w:val="26"/>
        </w:rPr>
        <w:tab/>
      </w:r>
      <w:r w:rsidRPr="00645536">
        <w:rPr>
          <w:b/>
          <w:szCs w:val="26"/>
        </w:rPr>
        <w:tab/>
      </w:r>
      <w:r w:rsidRPr="00645536">
        <w:rPr>
          <w:b/>
          <w:szCs w:val="26"/>
        </w:rPr>
        <w:tab/>
        <w:t>LIU, J.</w:t>
      </w:r>
    </w:p>
    <w:p w14:paraId="3F4DB6AB" w14:textId="236587E4" w:rsidR="00652D46" w:rsidRDefault="00652D46" w:rsidP="004057AF">
      <w:pPr>
        <w:keepNext/>
        <w:keepLines/>
        <w:tabs>
          <w:tab w:val="left" w:pos="1440"/>
        </w:tabs>
        <w:ind w:firstLine="720"/>
        <w:rPr>
          <w:b/>
          <w:szCs w:val="26"/>
        </w:rPr>
      </w:pPr>
    </w:p>
    <w:p w14:paraId="2EB6AEF2" w14:textId="77777777" w:rsidR="0078607B" w:rsidRPr="0078607B" w:rsidRDefault="0078607B" w:rsidP="0078607B">
      <w:pPr>
        <w:rPr>
          <w:b/>
        </w:rPr>
      </w:pPr>
      <w:r w:rsidRPr="0078607B">
        <w:rPr>
          <w:b/>
        </w:rPr>
        <w:t xml:space="preserve">We Concur: </w:t>
      </w:r>
    </w:p>
    <w:p w14:paraId="31623B07" w14:textId="0FA12F1F" w:rsidR="0078607B" w:rsidRPr="0078607B" w:rsidRDefault="0078607B" w:rsidP="0078607B">
      <w:pPr>
        <w:spacing w:after="0" w:line="240" w:lineRule="auto"/>
        <w:rPr>
          <w:b/>
        </w:rPr>
      </w:pPr>
      <w:r w:rsidRPr="0078607B">
        <w:rPr>
          <w:b/>
        </w:rPr>
        <w:t>CANTIL-SAKAUYE, C.</w:t>
      </w:r>
      <w:r w:rsidR="007B26BF">
        <w:rPr>
          <w:b/>
        </w:rPr>
        <w:t> </w:t>
      </w:r>
      <w:r w:rsidRPr="0078607B">
        <w:rPr>
          <w:b/>
        </w:rPr>
        <w:t>J.</w:t>
      </w:r>
    </w:p>
    <w:p w14:paraId="207F4F77" w14:textId="77777777" w:rsidR="0078607B" w:rsidRPr="0078607B" w:rsidRDefault="0078607B" w:rsidP="0078607B">
      <w:pPr>
        <w:spacing w:after="0" w:line="240" w:lineRule="auto"/>
        <w:rPr>
          <w:b/>
        </w:rPr>
      </w:pPr>
      <w:r w:rsidRPr="0078607B">
        <w:rPr>
          <w:b/>
        </w:rPr>
        <w:t>CORRIGAN, J.</w:t>
      </w:r>
    </w:p>
    <w:p w14:paraId="723B4374" w14:textId="7280D414" w:rsidR="0078607B" w:rsidRDefault="0078607B" w:rsidP="0078607B">
      <w:pPr>
        <w:spacing w:after="0" w:line="240" w:lineRule="auto"/>
        <w:rPr>
          <w:b/>
        </w:rPr>
      </w:pPr>
      <w:r w:rsidRPr="0078607B">
        <w:rPr>
          <w:b/>
        </w:rPr>
        <w:t>KRUGER, J.</w:t>
      </w:r>
    </w:p>
    <w:p w14:paraId="5355026B" w14:textId="4A2D4684" w:rsidR="0078607B" w:rsidRDefault="0078607B" w:rsidP="0078607B">
      <w:pPr>
        <w:spacing w:after="0" w:line="240" w:lineRule="auto"/>
        <w:rPr>
          <w:b/>
        </w:rPr>
      </w:pPr>
      <w:r>
        <w:rPr>
          <w:b/>
        </w:rPr>
        <w:t>GROBAN, J.</w:t>
      </w:r>
    </w:p>
    <w:p w14:paraId="45F70FDE" w14:textId="3B630E02" w:rsidR="0078607B" w:rsidRPr="0078607B" w:rsidRDefault="0078607B" w:rsidP="0078607B">
      <w:pPr>
        <w:spacing w:after="0" w:line="240" w:lineRule="auto"/>
        <w:rPr>
          <w:b/>
        </w:rPr>
      </w:pPr>
      <w:r>
        <w:rPr>
          <w:b/>
        </w:rPr>
        <w:t>JENKINS, J.</w:t>
      </w:r>
    </w:p>
    <w:p w14:paraId="6697B67E" w14:textId="0C57DD89" w:rsidR="0078607B" w:rsidRPr="0078607B" w:rsidRDefault="0078607B" w:rsidP="0078607B">
      <w:pPr>
        <w:spacing w:after="0" w:line="240" w:lineRule="auto"/>
        <w:rPr>
          <w:b/>
        </w:rPr>
      </w:pPr>
      <w:r w:rsidRPr="0078607B">
        <w:rPr>
          <w:b/>
        </w:rPr>
        <w:t>R</w:t>
      </w:r>
      <w:r>
        <w:rPr>
          <w:b/>
        </w:rPr>
        <w:t>OBIE</w:t>
      </w:r>
      <w:r w:rsidRPr="0078607B">
        <w:rPr>
          <w:b/>
        </w:rPr>
        <w:t>, J.</w:t>
      </w:r>
      <w:r w:rsidRPr="0078607B">
        <w:rPr>
          <w:position w:val="4"/>
          <w:vertAlign w:val="superscript"/>
        </w:rPr>
        <w:footnoteReference w:customMarkFollows="1" w:id="3"/>
        <w:t>*</w:t>
      </w:r>
    </w:p>
    <w:p w14:paraId="091AF5D2" w14:textId="3A7566AA" w:rsidR="00652D46" w:rsidRDefault="00652D46" w:rsidP="00645536">
      <w:pPr>
        <w:tabs>
          <w:tab w:val="left" w:pos="1440"/>
        </w:tabs>
        <w:ind w:firstLine="720"/>
        <w:rPr>
          <w:b/>
          <w:szCs w:val="26"/>
        </w:rPr>
      </w:pPr>
    </w:p>
    <w:p w14:paraId="1EA8C04F" w14:textId="77777777" w:rsidR="00953D66" w:rsidRDefault="00953D66" w:rsidP="00953D66">
      <w:pPr>
        <w:tabs>
          <w:tab w:val="left" w:pos="1440"/>
        </w:tabs>
        <w:rPr>
          <w:b/>
          <w:szCs w:val="26"/>
        </w:rPr>
        <w:sectPr w:rsidR="00953D66" w:rsidSect="009B314C">
          <w:headerReference w:type="default" r:id="rId14"/>
          <w:footerReference w:type="first" r:id="rId15"/>
          <w:pgSz w:w="12240" w:h="15840"/>
          <w:pgMar w:top="1800" w:right="2160" w:bottom="1440" w:left="2160" w:header="720" w:footer="720" w:gutter="0"/>
          <w:pgNumType w:start="1"/>
          <w:cols w:space="720"/>
          <w:titlePg/>
          <w:docGrid w:linePitch="367"/>
        </w:sectPr>
      </w:pPr>
    </w:p>
    <w:p w14:paraId="27B1FC7D" w14:textId="77777777" w:rsidR="00D227AF" w:rsidRPr="00D227AF" w:rsidRDefault="00D227AF" w:rsidP="00D227AF">
      <w:pPr>
        <w:spacing w:after="0" w:line="240" w:lineRule="auto"/>
        <w:jc w:val="left"/>
        <w:rPr>
          <w:i/>
          <w:sz w:val="24"/>
          <w:szCs w:val="24"/>
        </w:rPr>
      </w:pPr>
      <w:r w:rsidRPr="00D227AF">
        <w:rPr>
          <w:i/>
          <w:sz w:val="24"/>
          <w:szCs w:val="24"/>
        </w:rPr>
        <w:t>See next page for addresses and telephone numbers for counsel who argued in Supreme Court.</w:t>
      </w:r>
    </w:p>
    <w:p w14:paraId="723013FC" w14:textId="77777777" w:rsidR="00D227AF" w:rsidRPr="00D227AF" w:rsidRDefault="00D227AF" w:rsidP="00D227AF">
      <w:pPr>
        <w:spacing w:after="0" w:line="240" w:lineRule="auto"/>
        <w:jc w:val="left"/>
        <w:rPr>
          <w:i/>
          <w:sz w:val="24"/>
          <w:szCs w:val="24"/>
        </w:rPr>
      </w:pPr>
    </w:p>
    <w:p w14:paraId="397B9CD0" w14:textId="77777777" w:rsidR="00D227AF" w:rsidRPr="00D227AF" w:rsidRDefault="00D227AF" w:rsidP="00D227AF">
      <w:pPr>
        <w:spacing w:after="0" w:line="240" w:lineRule="auto"/>
        <w:jc w:val="left"/>
        <w:rPr>
          <w:bCs/>
          <w:sz w:val="24"/>
          <w:szCs w:val="24"/>
        </w:rPr>
      </w:pPr>
      <w:r w:rsidRPr="00D227AF">
        <w:rPr>
          <w:b/>
          <w:sz w:val="24"/>
          <w:szCs w:val="24"/>
        </w:rPr>
        <w:t xml:space="preserve">Name of Opinion  </w:t>
      </w:r>
      <w:r w:rsidRPr="00D227AF">
        <w:rPr>
          <w:bCs/>
          <w:sz w:val="24"/>
          <w:szCs w:val="24"/>
        </w:rPr>
        <w:t>Pulliam v. HNL Automotive Inc.</w:t>
      </w:r>
    </w:p>
    <w:p w14:paraId="563BB18D" w14:textId="77777777" w:rsidR="00D227AF" w:rsidRPr="00D227AF" w:rsidRDefault="00D227AF" w:rsidP="00D227AF">
      <w:pPr>
        <w:spacing w:after="0" w:line="240" w:lineRule="auto"/>
        <w:jc w:val="left"/>
        <w:rPr>
          <w:b/>
          <w:sz w:val="24"/>
          <w:szCs w:val="24"/>
        </w:rPr>
      </w:pPr>
      <w:r w:rsidRPr="00D227AF">
        <w:rPr>
          <w:b/>
          <w:sz w:val="24"/>
          <w:szCs w:val="24"/>
        </w:rPr>
        <w:t xml:space="preserve">__________________________________________________________ </w:t>
      </w:r>
    </w:p>
    <w:p w14:paraId="4B174DD5" w14:textId="77777777" w:rsidR="00D227AF" w:rsidRPr="00D227AF" w:rsidRDefault="00D227AF" w:rsidP="00D227AF">
      <w:pPr>
        <w:spacing w:after="0" w:line="240" w:lineRule="auto"/>
        <w:jc w:val="left"/>
        <w:rPr>
          <w:b/>
          <w:sz w:val="24"/>
          <w:szCs w:val="24"/>
        </w:rPr>
      </w:pPr>
    </w:p>
    <w:p w14:paraId="5811B586" w14:textId="77777777" w:rsidR="00D227AF" w:rsidRPr="00D227AF" w:rsidRDefault="00D227AF" w:rsidP="00D227AF">
      <w:pPr>
        <w:spacing w:after="0" w:line="240" w:lineRule="auto"/>
        <w:jc w:val="left"/>
        <w:rPr>
          <w:sz w:val="24"/>
          <w:szCs w:val="24"/>
        </w:rPr>
      </w:pPr>
      <w:r w:rsidRPr="00D227AF">
        <w:rPr>
          <w:b/>
          <w:bCs/>
          <w:sz w:val="24"/>
          <w:szCs w:val="24"/>
          <w:u w:val="single"/>
        </w:rPr>
        <w:t>Procedural Posture</w:t>
      </w:r>
      <w:r w:rsidRPr="00D227AF">
        <w:rPr>
          <w:b/>
          <w:bCs/>
          <w:sz w:val="24"/>
          <w:szCs w:val="24"/>
        </w:rPr>
        <w:t xml:space="preserve"> </w:t>
      </w:r>
      <w:r w:rsidRPr="00D227AF">
        <w:rPr>
          <w:sz w:val="24"/>
          <w:szCs w:val="24"/>
        </w:rPr>
        <w:t>(see XX below)</w:t>
      </w:r>
    </w:p>
    <w:p w14:paraId="3A6DCB05" w14:textId="77777777" w:rsidR="00D227AF" w:rsidRPr="00D227AF" w:rsidRDefault="00D227AF" w:rsidP="00D227AF">
      <w:pPr>
        <w:spacing w:after="0" w:line="240" w:lineRule="auto"/>
        <w:jc w:val="left"/>
        <w:rPr>
          <w:sz w:val="24"/>
          <w:szCs w:val="24"/>
        </w:rPr>
      </w:pPr>
      <w:r w:rsidRPr="00D227AF">
        <w:rPr>
          <w:b/>
          <w:bCs/>
          <w:sz w:val="24"/>
          <w:szCs w:val="24"/>
        </w:rPr>
        <w:t>Original Appeal</w:t>
      </w:r>
      <w:r w:rsidRPr="00D227AF">
        <w:rPr>
          <w:sz w:val="24"/>
          <w:szCs w:val="24"/>
        </w:rPr>
        <w:t xml:space="preserve"> </w:t>
      </w:r>
    </w:p>
    <w:p w14:paraId="21124387" w14:textId="77777777" w:rsidR="00D227AF" w:rsidRPr="00D227AF" w:rsidRDefault="00D227AF" w:rsidP="00D227AF">
      <w:pPr>
        <w:spacing w:after="0" w:line="240" w:lineRule="auto"/>
        <w:jc w:val="left"/>
        <w:rPr>
          <w:b/>
          <w:bCs/>
          <w:sz w:val="24"/>
          <w:szCs w:val="24"/>
        </w:rPr>
      </w:pPr>
      <w:r w:rsidRPr="00D227AF">
        <w:rPr>
          <w:b/>
          <w:bCs/>
          <w:sz w:val="24"/>
          <w:szCs w:val="24"/>
        </w:rPr>
        <w:t>Original Proceeding</w:t>
      </w:r>
    </w:p>
    <w:p w14:paraId="54B55B2C" w14:textId="77777777" w:rsidR="00D227AF" w:rsidRPr="00D227AF" w:rsidRDefault="00D227AF" w:rsidP="00D227AF">
      <w:pPr>
        <w:spacing w:after="0" w:line="240" w:lineRule="auto"/>
        <w:jc w:val="left"/>
        <w:rPr>
          <w:sz w:val="24"/>
          <w:szCs w:val="24"/>
        </w:rPr>
      </w:pPr>
      <w:r w:rsidRPr="00D227AF">
        <w:rPr>
          <w:b/>
          <w:bCs/>
          <w:sz w:val="24"/>
          <w:szCs w:val="24"/>
        </w:rPr>
        <w:t>Review Granted</w:t>
      </w:r>
      <w:r w:rsidRPr="00D227AF">
        <w:rPr>
          <w:sz w:val="24"/>
          <w:szCs w:val="24"/>
        </w:rPr>
        <w:t xml:space="preserve"> </w:t>
      </w:r>
      <w:r w:rsidRPr="00D227AF">
        <w:rPr>
          <w:b/>
          <w:bCs/>
          <w:sz w:val="24"/>
          <w:szCs w:val="24"/>
        </w:rPr>
        <w:t xml:space="preserve">(published) </w:t>
      </w:r>
      <w:r w:rsidRPr="00D227AF">
        <w:rPr>
          <w:sz w:val="24"/>
          <w:szCs w:val="24"/>
        </w:rPr>
        <w:t>XX 60 Cal.App.5th 396</w:t>
      </w:r>
    </w:p>
    <w:p w14:paraId="4C778B9D" w14:textId="77777777" w:rsidR="00D227AF" w:rsidRPr="00D227AF" w:rsidRDefault="00D227AF" w:rsidP="00D227AF">
      <w:pPr>
        <w:spacing w:after="0" w:line="240" w:lineRule="auto"/>
        <w:jc w:val="left"/>
        <w:rPr>
          <w:sz w:val="24"/>
          <w:szCs w:val="24"/>
        </w:rPr>
      </w:pPr>
      <w:r w:rsidRPr="00D227AF">
        <w:rPr>
          <w:b/>
          <w:bCs/>
          <w:sz w:val="24"/>
          <w:szCs w:val="24"/>
        </w:rPr>
        <w:t xml:space="preserve">Review Granted (unpublished) </w:t>
      </w:r>
    </w:p>
    <w:p w14:paraId="2133DDB4" w14:textId="77777777" w:rsidR="00D227AF" w:rsidRPr="00D227AF" w:rsidRDefault="00D227AF" w:rsidP="00D227AF">
      <w:pPr>
        <w:spacing w:after="0" w:line="240" w:lineRule="auto"/>
        <w:jc w:val="left"/>
        <w:rPr>
          <w:b/>
          <w:bCs/>
          <w:sz w:val="24"/>
          <w:szCs w:val="24"/>
        </w:rPr>
      </w:pPr>
      <w:r w:rsidRPr="00D227AF">
        <w:rPr>
          <w:b/>
          <w:bCs/>
          <w:sz w:val="24"/>
          <w:szCs w:val="24"/>
        </w:rPr>
        <w:t>Rehearing Granted</w:t>
      </w:r>
    </w:p>
    <w:p w14:paraId="5DCD09CC" w14:textId="77777777" w:rsidR="00D227AF" w:rsidRPr="00D227AF" w:rsidRDefault="00D227AF" w:rsidP="00D227AF">
      <w:pPr>
        <w:spacing w:after="0" w:line="240" w:lineRule="auto"/>
        <w:jc w:val="left"/>
        <w:rPr>
          <w:b/>
          <w:sz w:val="24"/>
          <w:szCs w:val="24"/>
        </w:rPr>
      </w:pPr>
      <w:r w:rsidRPr="00D227AF">
        <w:rPr>
          <w:b/>
          <w:sz w:val="24"/>
          <w:szCs w:val="24"/>
        </w:rPr>
        <w:t xml:space="preserve">__________________________________________________________ </w:t>
      </w:r>
    </w:p>
    <w:p w14:paraId="1DFDB4EC" w14:textId="77777777" w:rsidR="00D227AF" w:rsidRPr="00D227AF" w:rsidRDefault="00D227AF" w:rsidP="00D227AF">
      <w:pPr>
        <w:spacing w:after="0" w:line="240" w:lineRule="auto"/>
        <w:jc w:val="left"/>
        <w:rPr>
          <w:b/>
          <w:sz w:val="24"/>
          <w:szCs w:val="24"/>
        </w:rPr>
      </w:pPr>
    </w:p>
    <w:p w14:paraId="29128519" w14:textId="77777777" w:rsidR="00D227AF" w:rsidRPr="00D227AF" w:rsidRDefault="00D227AF" w:rsidP="00D227AF">
      <w:pPr>
        <w:spacing w:after="0" w:line="240" w:lineRule="auto"/>
        <w:jc w:val="left"/>
        <w:rPr>
          <w:bCs/>
          <w:sz w:val="24"/>
          <w:szCs w:val="24"/>
        </w:rPr>
      </w:pPr>
      <w:r w:rsidRPr="00D227AF">
        <w:rPr>
          <w:b/>
          <w:sz w:val="24"/>
          <w:szCs w:val="24"/>
        </w:rPr>
        <w:t>Opinion No.</w:t>
      </w:r>
      <w:r w:rsidRPr="00D227AF">
        <w:rPr>
          <w:sz w:val="24"/>
          <w:szCs w:val="24"/>
        </w:rPr>
        <w:t xml:space="preserve"> S267576</w:t>
      </w:r>
    </w:p>
    <w:p w14:paraId="4688CEDF" w14:textId="77777777" w:rsidR="00D227AF" w:rsidRPr="00D227AF" w:rsidRDefault="00D227AF" w:rsidP="00D227AF">
      <w:pPr>
        <w:spacing w:after="0" w:line="240" w:lineRule="auto"/>
        <w:jc w:val="left"/>
        <w:rPr>
          <w:bCs/>
          <w:sz w:val="24"/>
          <w:szCs w:val="24"/>
        </w:rPr>
      </w:pPr>
      <w:r w:rsidRPr="00D227AF">
        <w:rPr>
          <w:b/>
          <w:sz w:val="24"/>
          <w:szCs w:val="24"/>
        </w:rPr>
        <w:t>Date Filed:</w:t>
      </w:r>
      <w:r w:rsidRPr="00D227AF">
        <w:rPr>
          <w:sz w:val="24"/>
          <w:szCs w:val="24"/>
        </w:rPr>
        <w:t xml:space="preserve">  May 26, 2022</w:t>
      </w:r>
    </w:p>
    <w:p w14:paraId="09752319" w14:textId="77777777" w:rsidR="00D227AF" w:rsidRPr="00D227AF" w:rsidRDefault="00D227AF" w:rsidP="00D227AF">
      <w:pPr>
        <w:spacing w:after="0" w:line="240" w:lineRule="auto"/>
        <w:jc w:val="left"/>
        <w:rPr>
          <w:b/>
          <w:sz w:val="24"/>
          <w:szCs w:val="24"/>
        </w:rPr>
      </w:pPr>
      <w:r w:rsidRPr="00D227AF">
        <w:rPr>
          <w:b/>
          <w:sz w:val="24"/>
          <w:szCs w:val="24"/>
        </w:rPr>
        <w:t xml:space="preserve">__________________________________________________________ </w:t>
      </w:r>
    </w:p>
    <w:p w14:paraId="6DD020A4" w14:textId="77777777" w:rsidR="00D227AF" w:rsidRPr="00D227AF" w:rsidRDefault="00D227AF" w:rsidP="00D227AF">
      <w:pPr>
        <w:spacing w:after="0" w:line="240" w:lineRule="auto"/>
        <w:jc w:val="left"/>
        <w:rPr>
          <w:b/>
          <w:sz w:val="24"/>
          <w:szCs w:val="24"/>
        </w:rPr>
      </w:pPr>
    </w:p>
    <w:p w14:paraId="64811402" w14:textId="77777777" w:rsidR="00D227AF" w:rsidRPr="00D227AF" w:rsidRDefault="00D227AF" w:rsidP="00D227AF">
      <w:pPr>
        <w:spacing w:after="0" w:line="240" w:lineRule="auto"/>
        <w:jc w:val="left"/>
        <w:rPr>
          <w:bCs/>
          <w:sz w:val="24"/>
          <w:szCs w:val="24"/>
        </w:rPr>
      </w:pPr>
      <w:r w:rsidRPr="00D227AF">
        <w:rPr>
          <w:b/>
          <w:sz w:val="24"/>
          <w:szCs w:val="24"/>
        </w:rPr>
        <w:t xml:space="preserve">Court:  </w:t>
      </w:r>
      <w:r w:rsidRPr="00D227AF">
        <w:rPr>
          <w:bCs/>
          <w:sz w:val="24"/>
          <w:szCs w:val="24"/>
        </w:rPr>
        <w:t>Superior</w:t>
      </w:r>
      <w:r w:rsidRPr="00D227AF">
        <w:rPr>
          <w:b/>
          <w:sz w:val="24"/>
          <w:szCs w:val="24"/>
        </w:rPr>
        <w:t xml:space="preserve"> </w:t>
      </w:r>
    </w:p>
    <w:p w14:paraId="46E9883D" w14:textId="77777777" w:rsidR="00D227AF" w:rsidRPr="00D227AF" w:rsidRDefault="00D227AF" w:rsidP="00D227AF">
      <w:pPr>
        <w:spacing w:after="0" w:line="240" w:lineRule="auto"/>
        <w:jc w:val="left"/>
        <w:rPr>
          <w:bCs/>
          <w:sz w:val="24"/>
          <w:szCs w:val="24"/>
        </w:rPr>
      </w:pPr>
      <w:r w:rsidRPr="00D227AF">
        <w:rPr>
          <w:b/>
          <w:sz w:val="24"/>
          <w:szCs w:val="24"/>
        </w:rPr>
        <w:t xml:space="preserve">County:  </w:t>
      </w:r>
      <w:r w:rsidRPr="00D227AF">
        <w:rPr>
          <w:bCs/>
          <w:sz w:val="24"/>
          <w:szCs w:val="24"/>
        </w:rPr>
        <w:t>Los Angeles</w:t>
      </w:r>
      <w:r w:rsidRPr="00D227AF">
        <w:rPr>
          <w:b/>
          <w:sz w:val="24"/>
          <w:szCs w:val="24"/>
        </w:rPr>
        <w:t xml:space="preserve"> </w:t>
      </w:r>
    </w:p>
    <w:p w14:paraId="081C5B23" w14:textId="77777777" w:rsidR="00D227AF" w:rsidRPr="00D227AF" w:rsidRDefault="00D227AF" w:rsidP="00D227AF">
      <w:pPr>
        <w:spacing w:after="0" w:line="240" w:lineRule="auto"/>
        <w:ind w:left="720" w:hanging="720"/>
        <w:jc w:val="left"/>
        <w:rPr>
          <w:bCs/>
          <w:sz w:val="24"/>
          <w:szCs w:val="24"/>
        </w:rPr>
      </w:pPr>
      <w:r w:rsidRPr="00D227AF">
        <w:rPr>
          <w:b/>
          <w:sz w:val="24"/>
          <w:szCs w:val="24"/>
        </w:rPr>
        <w:t xml:space="preserve">Judge: </w:t>
      </w:r>
      <w:r w:rsidRPr="00D227AF">
        <w:rPr>
          <w:bCs/>
          <w:sz w:val="24"/>
          <w:szCs w:val="24"/>
        </w:rPr>
        <w:t xml:space="preserve"> Barbara Marie Scheper</w:t>
      </w:r>
    </w:p>
    <w:p w14:paraId="42E1126D" w14:textId="77777777" w:rsidR="00D227AF" w:rsidRPr="00D227AF" w:rsidRDefault="00D227AF" w:rsidP="00D227AF">
      <w:pPr>
        <w:spacing w:after="0" w:line="240" w:lineRule="auto"/>
        <w:jc w:val="left"/>
        <w:rPr>
          <w:b/>
          <w:sz w:val="24"/>
          <w:szCs w:val="24"/>
        </w:rPr>
      </w:pPr>
      <w:r w:rsidRPr="00D227AF">
        <w:rPr>
          <w:b/>
          <w:sz w:val="24"/>
          <w:szCs w:val="24"/>
        </w:rPr>
        <w:t xml:space="preserve">__________________________________________________________  </w:t>
      </w:r>
    </w:p>
    <w:p w14:paraId="4F8CA8BA" w14:textId="77777777" w:rsidR="00D227AF" w:rsidRPr="00D227AF" w:rsidRDefault="00D227AF" w:rsidP="00D227AF">
      <w:pPr>
        <w:spacing w:after="0" w:line="240" w:lineRule="auto"/>
        <w:jc w:val="left"/>
        <w:rPr>
          <w:b/>
          <w:sz w:val="24"/>
          <w:szCs w:val="24"/>
        </w:rPr>
      </w:pPr>
    </w:p>
    <w:p w14:paraId="6231CC32" w14:textId="77777777" w:rsidR="00D227AF" w:rsidRPr="00D227AF" w:rsidRDefault="00D227AF" w:rsidP="00D227AF">
      <w:pPr>
        <w:spacing w:after="0" w:line="240" w:lineRule="auto"/>
        <w:jc w:val="left"/>
        <w:rPr>
          <w:b/>
          <w:sz w:val="24"/>
          <w:szCs w:val="24"/>
        </w:rPr>
      </w:pPr>
      <w:r w:rsidRPr="00D227AF">
        <w:rPr>
          <w:b/>
          <w:sz w:val="24"/>
          <w:szCs w:val="24"/>
        </w:rPr>
        <w:t>Counsel:</w:t>
      </w:r>
    </w:p>
    <w:p w14:paraId="2B739832" w14:textId="77777777" w:rsidR="00D227AF" w:rsidRPr="00D227AF" w:rsidRDefault="00D227AF" w:rsidP="00D227AF">
      <w:pPr>
        <w:spacing w:after="0" w:line="240" w:lineRule="auto"/>
        <w:jc w:val="left"/>
        <w:rPr>
          <w:b/>
          <w:sz w:val="24"/>
          <w:szCs w:val="24"/>
        </w:rPr>
      </w:pPr>
    </w:p>
    <w:p w14:paraId="0CA27D93" w14:textId="54A78AC2" w:rsidR="00D227AF" w:rsidRPr="00D227AF" w:rsidRDefault="00D227AF" w:rsidP="00D227AF">
      <w:pPr>
        <w:spacing w:after="0" w:line="240" w:lineRule="auto"/>
        <w:jc w:val="left"/>
        <w:rPr>
          <w:color w:val="212121"/>
          <w:sz w:val="24"/>
          <w:szCs w:val="24"/>
          <w:shd w:val="clear" w:color="auto" w:fill="FFFFFF"/>
        </w:rPr>
      </w:pPr>
      <w:r w:rsidRPr="00D227AF">
        <w:rPr>
          <w:color w:val="212121"/>
          <w:sz w:val="24"/>
          <w:szCs w:val="24"/>
          <w:shd w:val="clear" w:color="auto" w:fill="FFFFFF"/>
        </w:rPr>
        <w:t>McCreary, Duncan J. McCreary; McGuire</w:t>
      </w:r>
      <w:r w:rsidR="00DD4FF1">
        <w:rPr>
          <w:color w:val="212121"/>
          <w:sz w:val="24"/>
          <w:szCs w:val="24"/>
          <w:shd w:val="clear" w:color="auto" w:fill="FFFFFF"/>
        </w:rPr>
        <w:t>W</w:t>
      </w:r>
      <w:r w:rsidRPr="00D227AF">
        <w:rPr>
          <w:color w:val="212121"/>
          <w:sz w:val="24"/>
          <w:szCs w:val="24"/>
          <w:shd w:val="clear" w:color="auto" w:fill="FFFFFF"/>
        </w:rPr>
        <w:t>oods, Leslie M. Werlin, Tanya L. Greene, Jamie D. Wells and Anthony Q. Le for Defendants and Appellants.</w:t>
      </w:r>
    </w:p>
    <w:p w14:paraId="50B827D9" w14:textId="77777777" w:rsidR="00D227AF" w:rsidRPr="00D227AF" w:rsidRDefault="00D227AF" w:rsidP="00D227AF">
      <w:pPr>
        <w:spacing w:after="0" w:line="240" w:lineRule="auto"/>
        <w:jc w:val="left"/>
        <w:rPr>
          <w:color w:val="212121"/>
          <w:sz w:val="24"/>
          <w:szCs w:val="24"/>
          <w:shd w:val="clear" w:color="auto" w:fill="FFFFFF"/>
        </w:rPr>
      </w:pPr>
    </w:p>
    <w:p w14:paraId="43DD998E" w14:textId="77777777" w:rsidR="00D227AF" w:rsidRPr="00D227AF" w:rsidRDefault="00D227AF" w:rsidP="00D227AF">
      <w:pPr>
        <w:spacing w:after="0" w:line="240" w:lineRule="auto"/>
        <w:jc w:val="left"/>
        <w:rPr>
          <w:color w:val="212121"/>
          <w:sz w:val="24"/>
          <w:szCs w:val="24"/>
          <w:shd w:val="clear" w:color="auto" w:fill="FFFFFF"/>
        </w:rPr>
      </w:pPr>
      <w:r w:rsidRPr="00D227AF">
        <w:rPr>
          <w:color w:val="212121"/>
          <w:sz w:val="24"/>
          <w:szCs w:val="24"/>
          <w:shd w:val="clear" w:color="auto" w:fill="FFFFFF"/>
        </w:rPr>
        <w:t>Madison Law, Jenos Firouznam-Heidari, James S. Sifers and Brett K. Wiseman for Westlake Services, LLC, as Amicus Curiae on behalf of Defendant and Appellant TD Auto Finance LLC.</w:t>
      </w:r>
    </w:p>
    <w:p w14:paraId="2758C1BE" w14:textId="77777777" w:rsidR="00D227AF" w:rsidRPr="00D227AF" w:rsidRDefault="00D227AF" w:rsidP="00D227AF">
      <w:pPr>
        <w:spacing w:after="0" w:line="240" w:lineRule="auto"/>
        <w:jc w:val="left"/>
        <w:rPr>
          <w:color w:val="212121"/>
          <w:sz w:val="24"/>
          <w:szCs w:val="24"/>
          <w:shd w:val="clear" w:color="auto" w:fill="FFFFFF"/>
        </w:rPr>
      </w:pPr>
    </w:p>
    <w:p w14:paraId="130D51BF" w14:textId="77777777" w:rsidR="00D227AF" w:rsidRPr="00D227AF" w:rsidRDefault="00D227AF" w:rsidP="00D227AF">
      <w:pPr>
        <w:spacing w:after="0" w:line="240" w:lineRule="auto"/>
        <w:jc w:val="left"/>
        <w:rPr>
          <w:color w:val="212121"/>
          <w:sz w:val="24"/>
          <w:szCs w:val="24"/>
          <w:shd w:val="clear" w:color="auto" w:fill="FFFFFF"/>
        </w:rPr>
      </w:pPr>
      <w:r w:rsidRPr="00D227AF">
        <w:rPr>
          <w:color w:val="212121"/>
          <w:sz w:val="24"/>
          <w:szCs w:val="24"/>
          <w:shd w:val="clear" w:color="auto" w:fill="FFFFFF"/>
        </w:rPr>
        <w:t>Severson &amp; Werson and Jan T. Chilton for American Bankers Association, American Financial Services Association, California Financial Services Association and Consumer Bankers Association as Amici Curiae on behalf of Defendant and Appellant TD Auto Finance LLC.</w:t>
      </w:r>
    </w:p>
    <w:p w14:paraId="0105B6F3" w14:textId="77777777" w:rsidR="00D227AF" w:rsidRPr="00D227AF" w:rsidRDefault="00D227AF" w:rsidP="00D227AF">
      <w:pPr>
        <w:spacing w:after="0" w:line="240" w:lineRule="auto"/>
        <w:jc w:val="left"/>
        <w:rPr>
          <w:color w:val="212121"/>
          <w:sz w:val="24"/>
          <w:szCs w:val="24"/>
          <w:shd w:val="clear" w:color="auto" w:fill="FFFFFF"/>
        </w:rPr>
      </w:pPr>
    </w:p>
    <w:p w14:paraId="53484259" w14:textId="77777777" w:rsidR="00D227AF" w:rsidRPr="00D227AF" w:rsidRDefault="00D227AF" w:rsidP="00D227AF">
      <w:pPr>
        <w:spacing w:after="0" w:line="240" w:lineRule="auto"/>
        <w:jc w:val="left"/>
        <w:rPr>
          <w:color w:val="212121"/>
          <w:sz w:val="24"/>
          <w:szCs w:val="24"/>
          <w:shd w:val="clear" w:color="auto" w:fill="FFFFFF"/>
        </w:rPr>
      </w:pPr>
      <w:r w:rsidRPr="00D227AF">
        <w:rPr>
          <w:color w:val="212121"/>
          <w:sz w:val="24"/>
          <w:szCs w:val="24"/>
          <w:shd w:val="clear" w:color="auto" w:fill="FFFFFF"/>
        </w:rPr>
        <w:t>U.S. Chamber Litigation Center, Janet Galeria; Akin Gump Strauss Hauer &amp; Feld, Aileen McGrath and Sina Safvati for Chamber of Commerce of the United States of America as Amicus Curiae on behalf of Defendant and Appellant TD Auto Finance LLC.</w:t>
      </w:r>
    </w:p>
    <w:p w14:paraId="16262169" w14:textId="77777777" w:rsidR="00D227AF" w:rsidRPr="00D227AF" w:rsidRDefault="00D227AF" w:rsidP="00D227AF">
      <w:pPr>
        <w:spacing w:after="0" w:line="240" w:lineRule="auto"/>
        <w:jc w:val="left"/>
        <w:rPr>
          <w:color w:val="212121"/>
          <w:sz w:val="24"/>
          <w:szCs w:val="24"/>
          <w:shd w:val="clear" w:color="auto" w:fill="FFFFFF"/>
        </w:rPr>
      </w:pPr>
    </w:p>
    <w:p w14:paraId="4FDC6640" w14:textId="77777777" w:rsidR="00D227AF" w:rsidRPr="00D227AF" w:rsidRDefault="00D227AF" w:rsidP="00D227AF">
      <w:pPr>
        <w:spacing w:after="0" w:line="240" w:lineRule="auto"/>
        <w:jc w:val="left"/>
        <w:rPr>
          <w:color w:val="212121"/>
          <w:sz w:val="24"/>
          <w:szCs w:val="24"/>
          <w:shd w:val="clear" w:color="auto" w:fill="FFFFFF"/>
        </w:rPr>
      </w:pPr>
      <w:r w:rsidRPr="00D227AF">
        <w:rPr>
          <w:color w:val="212121"/>
          <w:sz w:val="24"/>
          <w:szCs w:val="24"/>
          <w:shd w:val="clear" w:color="auto" w:fill="FFFFFF"/>
        </w:rPr>
        <w:t xml:space="preserve">Rosner, Barry &amp; Babbit, Hallen D. Rosner, Arlyn L. Escalante, Serena D. Aisenman and Michael A. Klitzke for Plaintiff and Respondent. </w:t>
      </w:r>
    </w:p>
    <w:p w14:paraId="554B8C6D" w14:textId="77777777" w:rsidR="00D227AF" w:rsidRPr="00D227AF" w:rsidRDefault="00D227AF" w:rsidP="00D227AF">
      <w:pPr>
        <w:spacing w:after="0" w:line="240" w:lineRule="auto"/>
        <w:jc w:val="left"/>
        <w:rPr>
          <w:color w:val="212121"/>
          <w:sz w:val="24"/>
          <w:szCs w:val="24"/>
          <w:shd w:val="clear" w:color="auto" w:fill="FFFFFF"/>
        </w:rPr>
      </w:pPr>
    </w:p>
    <w:p w14:paraId="4E571002" w14:textId="77777777" w:rsidR="00D227AF" w:rsidRPr="00D227AF" w:rsidRDefault="00D227AF" w:rsidP="00D227AF">
      <w:pPr>
        <w:spacing w:after="0" w:line="240" w:lineRule="auto"/>
        <w:jc w:val="left"/>
        <w:rPr>
          <w:color w:val="212121"/>
          <w:sz w:val="24"/>
          <w:szCs w:val="24"/>
          <w:shd w:val="clear" w:color="auto" w:fill="FFFFFF"/>
        </w:rPr>
      </w:pPr>
      <w:r w:rsidRPr="00D227AF">
        <w:rPr>
          <w:color w:val="212121"/>
          <w:sz w:val="24"/>
          <w:szCs w:val="24"/>
          <w:shd w:val="clear" w:color="auto" w:fill="FFFFFF"/>
        </w:rPr>
        <w:t>Eliza J. Duggan and Seth E. Mermin for UC Berkeley Center for Consumer Law and Economic Justice, Centers for Public Interest Law at the University of San Diego, Consumers for Auto Reliability and Safety, Consumer Federation of California, East Bay Community Law Center, Housing and Economic Rights Advocates, National Consumer Law Center and Public Law Center as Amici Curiae on behalf of Plaintiff and Respondent.</w:t>
      </w:r>
    </w:p>
    <w:p w14:paraId="7D0DF178" w14:textId="77777777" w:rsidR="00D227AF" w:rsidRPr="00D227AF" w:rsidRDefault="00D227AF" w:rsidP="00D227AF">
      <w:pPr>
        <w:spacing w:after="0" w:line="240" w:lineRule="auto"/>
        <w:jc w:val="left"/>
        <w:rPr>
          <w:color w:val="212121"/>
          <w:sz w:val="24"/>
          <w:szCs w:val="24"/>
          <w:shd w:val="clear" w:color="auto" w:fill="FFFFFF"/>
        </w:rPr>
      </w:pPr>
    </w:p>
    <w:p w14:paraId="1AF57325" w14:textId="77777777" w:rsidR="00D227AF" w:rsidRPr="00D227AF" w:rsidRDefault="00D227AF" w:rsidP="00D227AF">
      <w:pPr>
        <w:spacing w:after="0" w:line="240" w:lineRule="auto"/>
        <w:jc w:val="left"/>
        <w:rPr>
          <w:b/>
          <w:sz w:val="24"/>
          <w:szCs w:val="24"/>
        </w:rPr>
      </w:pPr>
      <w:r w:rsidRPr="00D227AF">
        <w:rPr>
          <w:color w:val="212121"/>
          <w:sz w:val="24"/>
          <w:szCs w:val="24"/>
          <w:shd w:val="clear" w:color="auto" w:fill="FFFFFF"/>
        </w:rPr>
        <w:br w:type="page"/>
      </w:r>
      <w:r w:rsidRPr="00D227AF">
        <w:rPr>
          <w:b/>
          <w:sz w:val="24"/>
          <w:szCs w:val="24"/>
        </w:rPr>
        <w:t>Counsel who argued in Supreme Court (not intended for publication with opinion):</w:t>
      </w:r>
    </w:p>
    <w:p w14:paraId="554F114E" w14:textId="77777777" w:rsidR="00D227AF" w:rsidRPr="00D227AF" w:rsidRDefault="00D227AF" w:rsidP="00D227AF">
      <w:pPr>
        <w:spacing w:after="0" w:line="240" w:lineRule="auto"/>
        <w:jc w:val="left"/>
        <w:rPr>
          <w:b/>
          <w:sz w:val="24"/>
          <w:szCs w:val="24"/>
        </w:rPr>
      </w:pPr>
    </w:p>
    <w:p w14:paraId="5557C662" w14:textId="77777777" w:rsidR="00D227AF" w:rsidRPr="00D227AF" w:rsidRDefault="00D227AF" w:rsidP="00D227AF">
      <w:pPr>
        <w:spacing w:after="0" w:line="240" w:lineRule="auto"/>
        <w:jc w:val="left"/>
        <w:rPr>
          <w:sz w:val="24"/>
          <w:szCs w:val="24"/>
        </w:rPr>
      </w:pPr>
      <w:r w:rsidRPr="00D227AF">
        <w:rPr>
          <w:sz w:val="24"/>
          <w:szCs w:val="24"/>
        </w:rPr>
        <w:t>Tanya L. Greene</w:t>
      </w:r>
    </w:p>
    <w:p w14:paraId="236290C5" w14:textId="2FA407D5" w:rsidR="00D227AF" w:rsidRPr="00D227AF" w:rsidRDefault="00D227AF" w:rsidP="00D227AF">
      <w:pPr>
        <w:spacing w:after="0" w:line="240" w:lineRule="auto"/>
        <w:jc w:val="left"/>
        <w:rPr>
          <w:sz w:val="24"/>
          <w:szCs w:val="24"/>
        </w:rPr>
      </w:pPr>
      <w:r w:rsidRPr="00D227AF">
        <w:rPr>
          <w:sz w:val="24"/>
          <w:szCs w:val="24"/>
        </w:rPr>
        <w:t>McGuire</w:t>
      </w:r>
      <w:r w:rsidR="00E86969">
        <w:rPr>
          <w:sz w:val="24"/>
          <w:szCs w:val="24"/>
        </w:rPr>
        <w:t>W</w:t>
      </w:r>
      <w:r w:rsidRPr="00D227AF">
        <w:rPr>
          <w:sz w:val="24"/>
          <w:szCs w:val="24"/>
        </w:rPr>
        <w:t>oods LLP</w:t>
      </w:r>
    </w:p>
    <w:p w14:paraId="17589003" w14:textId="77777777" w:rsidR="00D227AF" w:rsidRPr="00D227AF" w:rsidRDefault="00D227AF" w:rsidP="00D227AF">
      <w:pPr>
        <w:spacing w:after="0" w:line="240" w:lineRule="auto"/>
        <w:jc w:val="left"/>
        <w:rPr>
          <w:sz w:val="24"/>
          <w:szCs w:val="24"/>
        </w:rPr>
      </w:pPr>
      <w:r w:rsidRPr="00D227AF">
        <w:rPr>
          <w:sz w:val="24"/>
          <w:szCs w:val="24"/>
        </w:rPr>
        <w:t>355 South Grand Avenue, Suite 4200</w:t>
      </w:r>
    </w:p>
    <w:p w14:paraId="3B9990A4" w14:textId="77777777" w:rsidR="00D227AF" w:rsidRPr="00D227AF" w:rsidRDefault="00D227AF" w:rsidP="00D227AF">
      <w:pPr>
        <w:spacing w:after="0" w:line="240" w:lineRule="auto"/>
        <w:jc w:val="left"/>
        <w:rPr>
          <w:sz w:val="24"/>
          <w:szCs w:val="24"/>
        </w:rPr>
      </w:pPr>
      <w:r w:rsidRPr="00D227AF">
        <w:rPr>
          <w:sz w:val="24"/>
          <w:szCs w:val="24"/>
        </w:rPr>
        <w:t>Los Angeles, CA 90071</w:t>
      </w:r>
    </w:p>
    <w:p w14:paraId="0D4EBD58" w14:textId="77777777" w:rsidR="00D227AF" w:rsidRPr="00D227AF" w:rsidRDefault="00D227AF" w:rsidP="00D227AF">
      <w:pPr>
        <w:spacing w:after="0" w:line="240" w:lineRule="auto"/>
        <w:jc w:val="left"/>
        <w:rPr>
          <w:sz w:val="24"/>
          <w:szCs w:val="24"/>
        </w:rPr>
      </w:pPr>
      <w:r w:rsidRPr="00D227AF">
        <w:rPr>
          <w:sz w:val="24"/>
          <w:szCs w:val="24"/>
        </w:rPr>
        <w:t>(213) 457-9879</w:t>
      </w:r>
    </w:p>
    <w:p w14:paraId="20C2A3AD" w14:textId="77777777" w:rsidR="00D227AF" w:rsidRPr="00D227AF" w:rsidRDefault="00D227AF" w:rsidP="00D227AF">
      <w:pPr>
        <w:spacing w:after="0" w:line="240" w:lineRule="auto"/>
        <w:jc w:val="left"/>
        <w:rPr>
          <w:sz w:val="24"/>
          <w:szCs w:val="24"/>
        </w:rPr>
      </w:pPr>
    </w:p>
    <w:p w14:paraId="660DDAFE" w14:textId="77777777" w:rsidR="00D227AF" w:rsidRPr="00D227AF" w:rsidRDefault="00D227AF" w:rsidP="00D227AF">
      <w:pPr>
        <w:spacing w:after="0" w:line="240" w:lineRule="auto"/>
        <w:jc w:val="left"/>
        <w:rPr>
          <w:color w:val="212121"/>
          <w:sz w:val="24"/>
          <w:szCs w:val="24"/>
          <w:shd w:val="clear" w:color="auto" w:fill="FFFFFF"/>
        </w:rPr>
      </w:pPr>
      <w:r w:rsidRPr="00D227AF">
        <w:rPr>
          <w:color w:val="212121"/>
          <w:sz w:val="24"/>
          <w:szCs w:val="24"/>
          <w:shd w:val="clear" w:color="auto" w:fill="FFFFFF"/>
        </w:rPr>
        <w:t>Arlyn L. Escalante</w:t>
      </w:r>
    </w:p>
    <w:p w14:paraId="3C97367D" w14:textId="77777777" w:rsidR="00D227AF" w:rsidRPr="00D227AF" w:rsidRDefault="00D227AF" w:rsidP="00D227AF">
      <w:pPr>
        <w:spacing w:after="0" w:line="240" w:lineRule="auto"/>
        <w:jc w:val="left"/>
        <w:rPr>
          <w:color w:val="212121"/>
          <w:sz w:val="24"/>
          <w:szCs w:val="24"/>
          <w:shd w:val="clear" w:color="auto" w:fill="FFFFFF"/>
        </w:rPr>
      </w:pPr>
      <w:r w:rsidRPr="00D227AF">
        <w:rPr>
          <w:color w:val="212121"/>
          <w:sz w:val="24"/>
          <w:szCs w:val="24"/>
          <w:shd w:val="clear" w:color="auto" w:fill="FFFFFF"/>
        </w:rPr>
        <w:t>Rosner, Barry &amp; Babbitt, LLP</w:t>
      </w:r>
    </w:p>
    <w:p w14:paraId="101228B0" w14:textId="77777777" w:rsidR="00D227AF" w:rsidRPr="00D227AF" w:rsidRDefault="00D227AF" w:rsidP="00D227AF">
      <w:pPr>
        <w:spacing w:after="0" w:line="240" w:lineRule="auto"/>
        <w:jc w:val="left"/>
        <w:rPr>
          <w:sz w:val="24"/>
          <w:szCs w:val="24"/>
        </w:rPr>
      </w:pPr>
      <w:r w:rsidRPr="00D227AF">
        <w:rPr>
          <w:sz w:val="24"/>
          <w:szCs w:val="24"/>
        </w:rPr>
        <w:t>10085 Carroll Canyon Road, Suite 100</w:t>
      </w:r>
    </w:p>
    <w:p w14:paraId="23AFA229" w14:textId="77777777" w:rsidR="00D227AF" w:rsidRPr="00D227AF" w:rsidRDefault="00D227AF" w:rsidP="00D227AF">
      <w:pPr>
        <w:spacing w:after="0" w:line="240" w:lineRule="auto"/>
        <w:jc w:val="left"/>
        <w:rPr>
          <w:sz w:val="24"/>
          <w:szCs w:val="24"/>
        </w:rPr>
      </w:pPr>
      <w:r w:rsidRPr="00D227AF">
        <w:rPr>
          <w:sz w:val="24"/>
          <w:szCs w:val="24"/>
        </w:rPr>
        <w:t>San Diego, CA 92131</w:t>
      </w:r>
    </w:p>
    <w:p w14:paraId="23ECB78B" w14:textId="77777777" w:rsidR="00D227AF" w:rsidRPr="00D227AF" w:rsidRDefault="00D227AF" w:rsidP="00D227AF">
      <w:pPr>
        <w:spacing w:after="0" w:line="240" w:lineRule="auto"/>
        <w:jc w:val="left"/>
        <w:rPr>
          <w:sz w:val="24"/>
          <w:szCs w:val="24"/>
        </w:rPr>
      </w:pPr>
      <w:r w:rsidRPr="00D227AF">
        <w:rPr>
          <w:sz w:val="24"/>
          <w:szCs w:val="24"/>
        </w:rPr>
        <w:t>(858) 348-0916</w:t>
      </w:r>
    </w:p>
    <w:p w14:paraId="524C9A99" w14:textId="77777777" w:rsidR="00953D66" w:rsidRDefault="00953D66" w:rsidP="00953D66">
      <w:pPr>
        <w:tabs>
          <w:tab w:val="left" w:pos="1440"/>
        </w:tabs>
        <w:rPr>
          <w:b/>
          <w:szCs w:val="26"/>
        </w:rPr>
      </w:pPr>
    </w:p>
    <w:sectPr w:rsidR="00953D66" w:rsidSect="00EC2BB8">
      <w:headerReference w:type="even" r:id="rId16"/>
      <w:headerReference w:type="default" r:id="rId17"/>
      <w:footerReference w:type="even" r:id="rId18"/>
      <w:footerReference w:type="default" r:id="rId19"/>
      <w:headerReference w:type="first" r:id="rId20"/>
      <w:footerReference w:type="first" r:id="rId21"/>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D38D6" w14:textId="77777777" w:rsidR="006066B3" w:rsidRDefault="006066B3">
      <w:r>
        <w:separator/>
      </w:r>
    </w:p>
  </w:endnote>
  <w:endnote w:type="continuationSeparator" w:id="0">
    <w:p w14:paraId="50512E00" w14:textId="77777777" w:rsidR="006066B3" w:rsidRDefault="006066B3">
      <w:r>
        <w:continuationSeparator/>
      </w:r>
    </w:p>
  </w:endnote>
  <w:endnote w:type="continuationNotice" w:id="1">
    <w:p w14:paraId="29564A8B" w14:textId="77777777" w:rsidR="006066B3" w:rsidRDefault="00606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E6B7" w14:textId="77777777" w:rsidR="00E83764" w:rsidRDefault="00E83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E41D" w14:textId="77777777" w:rsidR="0059387D" w:rsidRDefault="0059387D">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1E6D" w14:textId="77777777" w:rsidR="00E83764" w:rsidRDefault="00E837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B2E0" w14:textId="77777777" w:rsidR="00645536" w:rsidRDefault="00645536">
    <w:pPr>
      <w:pStyle w:val="Foo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C35E" w14:textId="77777777" w:rsidR="00002B19" w:rsidRDefault="00E8376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0C18" w14:textId="77777777" w:rsidR="00002B19" w:rsidRDefault="00E8376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9A32" w14:textId="77777777" w:rsidR="00002B19" w:rsidRDefault="00E83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32F36" w14:textId="77777777" w:rsidR="006066B3" w:rsidRDefault="006066B3">
      <w:r>
        <w:separator/>
      </w:r>
    </w:p>
  </w:footnote>
  <w:footnote w:type="continuationSeparator" w:id="0">
    <w:p w14:paraId="0DBD39F3" w14:textId="77777777" w:rsidR="006066B3" w:rsidRDefault="006066B3">
      <w:pPr>
        <w:rPr>
          <w:sz w:val="22"/>
        </w:rPr>
      </w:pPr>
      <w:r>
        <w:continuationSeparator/>
      </w:r>
    </w:p>
  </w:footnote>
  <w:footnote w:type="continuationNotice" w:id="1">
    <w:p w14:paraId="489A376F" w14:textId="77777777" w:rsidR="006066B3" w:rsidRDefault="006066B3">
      <w:pPr>
        <w:jc w:val="right"/>
        <w:rPr>
          <w:i/>
          <w:sz w:val="20"/>
        </w:rPr>
      </w:pPr>
    </w:p>
  </w:footnote>
  <w:footnote w:id="2">
    <w:p w14:paraId="1865E947" w14:textId="26635262" w:rsidR="0078607B" w:rsidRDefault="0078607B" w:rsidP="0078607B">
      <w:pPr>
        <w:pStyle w:val="FootnoteText"/>
      </w:pPr>
      <w:r>
        <w:rPr>
          <w:rStyle w:val="FootnoteReference"/>
        </w:rPr>
        <w:t>*</w:t>
      </w:r>
      <w:r>
        <w:tab/>
      </w:r>
      <w:r w:rsidRPr="0078607B">
        <w:rPr>
          <w:szCs w:val="27"/>
        </w:rPr>
        <w:t>Associate Justice of the Court of Appeal, Third Appellate District, assigned by the Chief Justice pursuant to article VI, section 6 of the California Constitution.</w:t>
      </w:r>
    </w:p>
  </w:footnote>
  <w:footnote w:id="3">
    <w:p w14:paraId="6540FBA1" w14:textId="5E0DF2D4" w:rsidR="0078607B" w:rsidRDefault="0078607B" w:rsidP="0078607B">
      <w:pPr>
        <w:pStyle w:val="FootnoteText"/>
      </w:pPr>
      <w:r>
        <w:rPr>
          <w:rStyle w:val="FootnoteReference"/>
        </w:rPr>
        <w:t>*</w:t>
      </w:r>
      <w:r>
        <w:t xml:space="preserve"> </w:t>
      </w:r>
      <w:r>
        <w:tab/>
        <w:t>Associate Justice of the Court of Appeal, Third Appellate District,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BCE7" w14:textId="77777777" w:rsidR="00E83764" w:rsidRDefault="00E83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EC28" w14:textId="1EAB7A6B" w:rsidR="006A3605" w:rsidRDefault="00645536">
    <w:pPr>
      <w:pStyle w:val="Header"/>
    </w:pPr>
    <w:r>
      <w:t xml:space="preserve">PULLIAM v. HNL AUTOMOTIVE INC. </w:t>
    </w:r>
  </w:p>
  <w:p w14:paraId="03CE676D" w14:textId="68500AC4" w:rsidR="00645536" w:rsidRDefault="00645536">
    <w:pPr>
      <w:pStyle w:val="Header"/>
    </w:pPr>
    <w:r>
      <w:t>Opinion of the Court by L</w:t>
    </w:r>
    <w:r w:rsidR="003B7858">
      <w:t>iu</w:t>
    </w:r>
    <w:r>
      <w:t>, J.</w:t>
    </w:r>
  </w:p>
  <w:p w14:paraId="6BEA7A3E" w14:textId="1D609E74" w:rsidR="009B314C" w:rsidRDefault="009B31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6E83" w14:textId="77777777" w:rsidR="00DE01B1" w:rsidRDefault="00DE01B1" w:rsidP="009F49C2">
    <w:pPr>
      <w:pStyle w:val="Header"/>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FC7D" w14:textId="77777777" w:rsidR="009B314C" w:rsidRDefault="009B314C">
    <w:pPr>
      <w:pStyle w:val="Header"/>
    </w:pPr>
    <w:r>
      <w:t xml:space="preserve">PULLIAM v. HNL AUTOMOTIVE INC. </w:t>
    </w:r>
  </w:p>
  <w:p w14:paraId="1561E6BC" w14:textId="77777777" w:rsidR="009B314C" w:rsidRDefault="009B314C">
    <w:pPr>
      <w:pStyle w:val="Header"/>
    </w:pPr>
    <w:r>
      <w:t>Opinion of the Court by Liu, J.</w:t>
    </w:r>
  </w:p>
  <w:p w14:paraId="67DD6AED" w14:textId="77777777" w:rsidR="009B314C" w:rsidRDefault="009B31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0F42" w14:textId="77777777" w:rsidR="00002B19" w:rsidRDefault="00E837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8D72" w14:textId="77777777" w:rsidR="00002B19" w:rsidRDefault="00E837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F497" w14:textId="77777777" w:rsidR="00002B19" w:rsidRDefault="00E83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45BF"/>
    <w:multiLevelType w:val="hybridMultilevel"/>
    <w:tmpl w:val="97D2F8B4"/>
    <w:lvl w:ilvl="0" w:tplc="765E683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C6574"/>
    <w:multiLevelType w:val="hybridMultilevel"/>
    <w:tmpl w:val="260AB898"/>
    <w:lvl w:ilvl="0" w:tplc="83FE325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62481229">
    <w:abstractNumId w:val="1"/>
  </w:num>
  <w:num w:numId="2" w16cid:durableId="1314288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activeWritingStyle w:appName="MSWord" w:lang="en-US" w:vendorID="64" w:dllVersion="5" w:nlCheck="1" w:checkStyle="1"/>
  <w:activeWritingStyle w:appName="MSWord" w:lang="en-US" w:vendorID="64" w:dllVersion="0" w:nlCheck="1" w:checkStyle="0"/>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DA"/>
    <w:rsid w:val="000010C2"/>
    <w:rsid w:val="000010D6"/>
    <w:rsid w:val="000056A9"/>
    <w:rsid w:val="000056F3"/>
    <w:rsid w:val="00005BB5"/>
    <w:rsid w:val="00006584"/>
    <w:rsid w:val="00006C7D"/>
    <w:rsid w:val="00007C3B"/>
    <w:rsid w:val="00007D79"/>
    <w:rsid w:val="000101E1"/>
    <w:rsid w:val="0001093B"/>
    <w:rsid w:val="00010C48"/>
    <w:rsid w:val="000116D4"/>
    <w:rsid w:val="000127C7"/>
    <w:rsid w:val="00012FB0"/>
    <w:rsid w:val="00014361"/>
    <w:rsid w:val="0001471B"/>
    <w:rsid w:val="00015556"/>
    <w:rsid w:val="0001563F"/>
    <w:rsid w:val="00015DB3"/>
    <w:rsid w:val="00015FA2"/>
    <w:rsid w:val="00016D82"/>
    <w:rsid w:val="00016F41"/>
    <w:rsid w:val="00017F33"/>
    <w:rsid w:val="000201A5"/>
    <w:rsid w:val="00020336"/>
    <w:rsid w:val="00020531"/>
    <w:rsid w:val="00021725"/>
    <w:rsid w:val="00021F4B"/>
    <w:rsid w:val="0002207C"/>
    <w:rsid w:val="000223D2"/>
    <w:rsid w:val="000223E3"/>
    <w:rsid w:val="000236C6"/>
    <w:rsid w:val="00023E54"/>
    <w:rsid w:val="00024617"/>
    <w:rsid w:val="00024E74"/>
    <w:rsid w:val="00025C8D"/>
    <w:rsid w:val="00026729"/>
    <w:rsid w:val="00027CB7"/>
    <w:rsid w:val="0003056E"/>
    <w:rsid w:val="00032AE9"/>
    <w:rsid w:val="0003323D"/>
    <w:rsid w:val="0003374D"/>
    <w:rsid w:val="00033D9F"/>
    <w:rsid w:val="00033DB0"/>
    <w:rsid w:val="00034755"/>
    <w:rsid w:val="00034E12"/>
    <w:rsid w:val="00035439"/>
    <w:rsid w:val="000358CD"/>
    <w:rsid w:val="00036163"/>
    <w:rsid w:val="00036D91"/>
    <w:rsid w:val="0003775F"/>
    <w:rsid w:val="00037B3C"/>
    <w:rsid w:val="00037C71"/>
    <w:rsid w:val="00040127"/>
    <w:rsid w:val="0004091E"/>
    <w:rsid w:val="00041612"/>
    <w:rsid w:val="00041757"/>
    <w:rsid w:val="000418F5"/>
    <w:rsid w:val="00042032"/>
    <w:rsid w:val="0004209D"/>
    <w:rsid w:val="00042454"/>
    <w:rsid w:val="00042825"/>
    <w:rsid w:val="00042F77"/>
    <w:rsid w:val="00043384"/>
    <w:rsid w:val="00043BDE"/>
    <w:rsid w:val="00043E67"/>
    <w:rsid w:val="00043FB2"/>
    <w:rsid w:val="000442E8"/>
    <w:rsid w:val="000443DC"/>
    <w:rsid w:val="00044D5A"/>
    <w:rsid w:val="00044EB8"/>
    <w:rsid w:val="000457B0"/>
    <w:rsid w:val="00046167"/>
    <w:rsid w:val="00046886"/>
    <w:rsid w:val="00046AC9"/>
    <w:rsid w:val="00046CEB"/>
    <w:rsid w:val="00046E7B"/>
    <w:rsid w:val="00047E25"/>
    <w:rsid w:val="00050649"/>
    <w:rsid w:val="00050864"/>
    <w:rsid w:val="0005147F"/>
    <w:rsid w:val="0005152C"/>
    <w:rsid w:val="000523F2"/>
    <w:rsid w:val="000527EC"/>
    <w:rsid w:val="000530AC"/>
    <w:rsid w:val="000536C2"/>
    <w:rsid w:val="00053847"/>
    <w:rsid w:val="00053D0B"/>
    <w:rsid w:val="0005480E"/>
    <w:rsid w:val="00054F0D"/>
    <w:rsid w:val="00055B1A"/>
    <w:rsid w:val="00055ED0"/>
    <w:rsid w:val="00055F9E"/>
    <w:rsid w:val="00056A1E"/>
    <w:rsid w:val="00060814"/>
    <w:rsid w:val="00060842"/>
    <w:rsid w:val="000631F4"/>
    <w:rsid w:val="0006326B"/>
    <w:rsid w:val="00063CC0"/>
    <w:rsid w:val="00064604"/>
    <w:rsid w:val="000651D9"/>
    <w:rsid w:val="000655CE"/>
    <w:rsid w:val="000656F3"/>
    <w:rsid w:val="00066A18"/>
    <w:rsid w:val="00066FA0"/>
    <w:rsid w:val="00067013"/>
    <w:rsid w:val="000700B2"/>
    <w:rsid w:val="00070935"/>
    <w:rsid w:val="00073805"/>
    <w:rsid w:val="00074344"/>
    <w:rsid w:val="00074919"/>
    <w:rsid w:val="000752BE"/>
    <w:rsid w:val="000759DD"/>
    <w:rsid w:val="00076065"/>
    <w:rsid w:val="00076B36"/>
    <w:rsid w:val="0007764C"/>
    <w:rsid w:val="00080171"/>
    <w:rsid w:val="000804C6"/>
    <w:rsid w:val="00080598"/>
    <w:rsid w:val="00080ABE"/>
    <w:rsid w:val="0008196B"/>
    <w:rsid w:val="00082399"/>
    <w:rsid w:val="00082B29"/>
    <w:rsid w:val="00082C38"/>
    <w:rsid w:val="0008504E"/>
    <w:rsid w:val="00085D42"/>
    <w:rsid w:val="00087BFA"/>
    <w:rsid w:val="0009001C"/>
    <w:rsid w:val="000904B3"/>
    <w:rsid w:val="00091962"/>
    <w:rsid w:val="00091E53"/>
    <w:rsid w:val="000920D1"/>
    <w:rsid w:val="00092DFA"/>
    <w:rsid w:val="00093BDD"/>
    <w:rsid w:val="0009440A"/>
    <w:rsid w:val="00094D8E"/>
    <w:rsid w:val="00095348"/>
    <w:rsid w:val="00095AE6"/>
    <w:rsid w:val="00095BD6"/>
    <w:rsid w:val="00095C03"/>
    <w:rsid w:val="00096CF9"/>
    <w:rsid w:val="0009797D"/>
    <w:rsid w:val="00097C72"/>
    <w:rsid w:val="000A0F7F"/>
    <w:rsid w:val="000A1CFF"/>
    <w:rsid w:val="000A2C60"/>
    <w:rsid w:val="000A31D9"/>
    <w:rsid w:val="000A327E"/>
    <w:rsid w:val="000A4534"/>
    <w:rsid w:val="000A6079"/>
    <w:rsid w:val="000A62BF"/>
    <w:rsid w:val="000A74D6"/>
    <w:rsid w:val="000A76B6"/>
    <w:rsid w:val="000B0170"/>
    <w:rsid w:val="000B0987"/>
    <w:rsid w:val="000B1753"/>
    <w:rsid w:val="000B21B1"/>
    <w:rsid w:val="000B225E"/>
    <w:rsid w:val="000B229B"/>
    <w:rsid w:val="000B2CD1"/>
    <w:rsid w:val="000B3C0E"/>
    <w:rsid w:val="000B4E19"/>
    <w:rsid w:val="000B6269"/>
    <w:rsid w:val="000B642B"/>
    <w:rsid w:val="000B672B"/>
    <w:rsid w:val="000B6AAC"/>
    <w:rsid w:val="000B77FE"/>
    <w:rsid w:val="000C088E"/>
    <w:rsid w:val="000C0A7A"/>
    <w:rsid w:val="000C0FC3"/>
    <w:rsid w:val="000C117B"/>
    <w:rsid w:val="000C132F"/>
    <w:rsid w:val="000C1B14"/>
    <w:rsid w:val="000C1EE2"/>
    <w:rsid w:val="000C25E9"/>
    <w:rsid w:val="000C4079"/>
    <w:rsid w:val="000C472C"/>
    <w:rsid w:val="000C4796"/>
    <w:rsid w:val="000C5452"/>
    <w:rsid w:val="000C5576"/>
    <w:rsid w:val="000C55BB"/>
    <w:rsid w:val="000C5B14"/>
    <w:rsid w:val="000C6769"/>
    <w:rsid w:val="000D0A99"/>
    <w:rsid w:val="000D0B68"/>
    <w:rsid w:val="000D1622"/>
    <w:rsid w:val="000D1ECC"/>
    <w:rsid w:val="000D22A5"/>
    <w:rsid w:val="000D2FBD"/>
    <w:rsid w:val="000D3350"/>
    <w:rsid w:val="000D3B2A"/>
    <w:rsid w:val="000D3F86"/>
    <w:rsid w:val="000D4186"/>
    <w:rsid w:val="000D5652"/>
    <w:rsid w:val="000D5BD5"/>
    <w:rsid w:val="000D5D1D"/>
    <w:rsid w:val="000D5DDB"/>
    <w:rsid w:val="000D7470"/>
    <w:rsid w:val="000D7A27"/>
    <w:rsid w:val="000E0288"/>
    <w:rsid w:val="000E0F37"/>
    <w:rsid w:val="000E1139"/>
    <w:rsid w:val="000E1CA3"/>
    <w:rsid w:val="000E2C7A"/>
    <w:rsid w:val="000E2CC1"/>
    <w:rsid w:val="000E2E04"/>
    <w:rsid w:val="000E2EBC"/>
    <w:rsid w:val="000E376C"/>
    <w:rsid w:val="000E4D78"/>
    <w:rsid w:val="000E5413"/>
    <w:rsid w:val="000E5606"/>
    <w:rsid w:val="000E5FA3"/>
    <w:rsid w:val="000E60E7"/>
    <w:rsid w:val="000E6A06"/>
    <w:rsid w:val="000E6E0C"/>
    <w:rsid w:val="000E6F24"/>
    <w:rsid w:val="000E717A"/>
    <w:rsid w:val="000E7AB6"/>
    <w:rsid w:val="000F0283"/>
    <w:rsid w:val="000F1A9E"/>
    <w:rsid w:val="000F1F45"/>
    <w:rsid w:val="000F211E"/>
    <w:rsid w:val="000F307A"/>
    <w:rsid w:val="000F3622"/>
    <w:rsid w:val="000F3A6F"/>
    <w:rsid w:val="000F4AEF"/>
    <w:rsid w:val="000F4BBE"/>
    <w:rsid w:val="000F63E7"/>
    <w:rsid w:val="000F699D"/>
    <w:rsid w:val="000F6B44"/>
    <w:rsid w:val="000F7BAC"/>
    <w:rsid w:val="001001C8"/>
    <w:rsid w:val="00100CEF"/>
    <w:rsid w:val="001012E8"/>
    <w:rsid w:val="00102778"/>
    <w:rsid w:val="001039A9"/>
    <w:rsid w:val="001039B3"/>
    <w:rsid w:val="001039B5"/>
    <w:rsid w:val="00103B94"/>
    <w:rsid w:val="00103F48"/>
    <w:rsid w:val="00104080"/>
    <w:rsid w:val="001044D9"/>
    <w:rsid w:val="00104C3C"/>
    <w:rsid w:val="0010556B"/>
    <w:rsid w:val="00105A12"/>
    <w:rsid w:val="00105BAC"/>
    <w:rsid w:val="00105C52"/>
    <w:rsid w:val="00105D90"/>
    <w:rsid w:val="001114F5"/>
    <w:rsid w:val="00113E10"/>
    <w:rsid w:val="00113E1D"/>
    <w:rsid w:val="001140DD"/>
    <w:rsid w:val="0011474F"/>
    <w:rsid w:val="00114FE3"/>
    <w:rsid w:val="0011500F"/>
    <w:rsid w:val="001152F6"/>
    <w:rsid w:val="00115565"/>
    <w:rsid w:val="00115954"/>
    <w:rsid w:val="001167B4"/>
    <w:rsid w:val="001177E7"/>
    <w:rsid w:val="001177FC"/>
    <w:rsid w:val="00117D05"/>
    <w:rsid w:val="00117E91"/>
    <w:rsid w:val="00120030"/>
    <w:rsid w:val="001204CE"/>
    <w:rsid w:val="00120810"/>
    <w:rsid w:val="00120844"/>
    <w:rsid w:val="00120C6B"/>
    <w:rsid w:val="00121382"/>
    <w:rsid w:val="00121D3E"/>
    <w:rsid w:val="00122A9D"/>
    <w:rsid w:val="00123143"/>
    <w:rsid w:val="001231A7"/>
    <w:rsid w:val="0012427B"/>
    <w:rsid w:val="001243EF"/>
    <w:rsid w:val="00124E69"/>
    <w:rsid w:val="0012610D"/>
    <w:rsid w:val="00126E91"/>
    <w:rsid w:val="0012745E"/>
    <w:rsid w:val="00127C98"/>
    <w:rsid w:val="00131086"/>
    <w:rsid w:val="001310B9"/>
    <w:rsid w:val="00132162"/>
    <w:rsid w:val="0013223E"/>
    <w:rsid w:val="00132907"/>
    <w:rsid w:val="001338FD"/>
    <w:rsid w:val="001348FE"/>
    <w:rsid w:val="0013602D"/>
    <w:rsid w:val="00136A5B"/>
    <w:rsid w:val="00137224"/>
    <w:rsid w:val="00137CD9"/>
    <w:rsid w:val="001400B8"/>
    <w:rsid w:val="00140529"/>
    <w:rsid w:val="001406E4"/>
    <w:rsid w:val="00140E93"/>
    <w:rsid w:val="001411E2"/>
    <w:rsid w:val="00141F44"/>
    <w:rsid w:val="00143883"/>
    <w:rsid w:val="00143943"/>
    <w:rsid w:val="00144082"/>
    <w:rsid w:val="001449E3"/>
    <w:rsid w:val="00144A91"/>
    <w:rsid w:val="00144C4C"/>
    <w:rsid w:val="00144F65"/>
    <w:rsid w:val="0014554B"/>
    <w:rsid w:val="001467AB"/>
    <w:rsid w:val="00146D78"/>
    <w:rsid w:val="00147941"/>
    <w:rsid w:val="00147A84"/>
    <w:rsid w:val="00150E0F"/>
    <w:rsid w:val="00151424"/>
    <w:rsid w:val="00151499"/>
    <w:rsid w:val="001519EE"/>
    <w:rsid w:val="00151F90"/>
    <w:rsid w:val="001532FC"/>
    <w:rsid w:val="00153382"/>
    <w:rsid w:val="00153A5A"/>
    <w:rsid w:val="00154666"/>
    <w:rsid w:val="001546E3"/>
    <w:rsid w:val="00154916"/>
    <w:rsid w:val="001555AA"/>
    <w:rsid w:val="00155FFD"/>
    <w:rsid w:val="00156A31"/>
    <w:rsid w:val="0015743D"/>
    <w:rsid w:val="00157770"/>
    <w:rsid w:val="00157BAC"/>
    <w:rsid w:val="001616AD"/>
    <w:rsid w:val="00161A43"/>
    <w:rsid w:val="00162102"/>
    <w:rsid w:val="001638F6"/>
    <w:rsid w:val="00164A3C"/>
    <w:rsid w:val="0016503B"/>
    <w:rsid w:val="00166972"/>
    <w:rsid w:val="00166F0A"/>
    <w:rsid w:val="0016756F"/>
    <w:rsid w:val="00167971"/>
    <w:rsid w:val="00167F37"/>
    <w:rsid w:val="00170EE9"/>
    <w:rsid w:val="00171AB6"/>
    <w:rsid w:val="0017240C"/>
    <w:rsid w:val="0017273A"/>
    <w:rsid w:val="001730D7"/>
    <w:rsid w:val="001732BE"/>
    <w:rsid w:val="00173B0E"/>
    <w:rsid w:val="00174707"/>
    <w:rsid w:val="00175F13"/>
    <w:rsid w:val="00176AC5"/>
    <w:rsid w:val="00176B8A"/>
    <w:rsid w:val="001772E9"/>
    <w:rsid w:val="00180486"/>
    <w:rsid w:val="001807D4"/>
    <w:rsid w:val="00180BD6"/>
    <w:rsid w:val="00181082"/>
    <w:rsid w:val="00181212"/>
    <w:rsid w:val="00181603"/>
    <w:rsid w:val="00181CC9"/>
    <w:rsid w:val="0018257E"/>
    <w:rsid w:val="00182C3E"/>
    <w:rsid w:val="001834B3"/>
    <w:rsid w:val="0018388C"/>
    <w:rsid w:val="0018410E"/>
    <w:rsid w:val="00184245"/>
    <w:rsid w:val="0018434D"/>
    <w:rsid w:val="001851E0"/>
    <w:rsid w:val="00185F13"/>
    <w:rsid w:val="001869AB"/>
    <w:rsid w:val="001869C8"/>
    <w:rsid w:val="00186A99"/>
    <w:rsid w:val="00187055"/>
    <w:rsid w:val="00187CA6"/>
    <w:rsid w:val="00190D93"/>
    <w:rsid w:val="00191962"/>
    <w:rsid w:val="00193772"/>
    <w:rsid w:val="001942F3"/>
    <w:rsid w:val="00194A99"/>
    <w:rsid w:val="00194BAB"/>
    <w:rsid w:val="001965B0"/>
    <w:rsid w:val="00196836"/>
    <w:rsid w:val="00196FF4"/>
    <w:rsid w:val="00197A40"/>
    <w:rsid w:val="00197FA3"/>
    <w:rsid w:val="001A2407"/>
    <w:rsid w:val="001A33E6"/>
    <w:rsid w:val="001A350E"/>
    <w:rsid w:val="001A3A93"/>
    <w:rsid w:val="001A3B59"/>
    <w:rsid w:val="001A4B2E"/>
    <w:rsid w:val="001A5535"/>
    <w:rsid w:val="001A59D9"/>
    <w:rsid w:val="001A5DD7"/>
    <w:rsid w:val="001A5EDD"/>
    <w:rsid w:val="001A62B7"/>
    <w:rsid w:val="001A65DE"/>
    <w:rsid w:val="001A6C2A"/>
    <w:rsid w:val="001A76CB"/>
    <w:rsid w:val="001B0285"/>
    <w:rsid w:val="001B03D0"/>
    <w:rsid w:val="001B06C9"/>
    <w:rsid w:val="001B0E42"/>
    <w:rsid w:val="001B1F72"/>
    <w:rsid w:val="001B322F"/>
    <w:rsid w:val="001B3459"/>
    <w:rsid w:val="001B3592"/>
    <w:rsid w:val="001B41EF"/>
    <w:rsid w:val="001B4942"/>
    <w:rsid w:val="001B4984"/>
    <w:rsid w:val="001B5CEE"/>
    <w:rsid w:val="001B6699"/>
    <w:rsid w:val="001B66AF"/>
    <w:rsid w:val="001B69EA"/>
    <w:rsid w:val="001B6BD4"/>
    <w:rsid w:val="001B6E97"/>
    <w:rsid w:val="001B7292"/>
    <w:rsid w:val="001B792F"/>
    <w:rsid w:val="001B7C92"/>
    <w:rsid w:val="001C0463"/>
    <w:rsid w:val="001C1837"/>
    <w:rsid w:val="001C2736"/>
    <w:rsid w:val="001C2DE2"/>
    <w:rsid w:val="001C3007"/>
    <w:rsid w:val="001C3711"/>
    <w:rsid w:val="001C3AB3"/>
    <w:rsid w:val="001C3ABC"/>
    <w:rsid w:val="001C3FDE"/>
    <w:rsid w:val="001C4903"/>
    <w:rsid w:val="001C4A4D"/>
    <w:rsid w:val="001C4CBE"/>
    <w:rsid w:val="001C60A7"/>
    <w:rsid w:val="001C6CED"/>
    <w:rsid w:val="001C7722"/>
    <w:rsid w:val="001C7FBC"/>
    <w:rsid w:val="001D002C"/>
    <w:rsid w:val="001D1875"/>
    <w:rsid w:val="001D2D7F"/>
    <w:rsid w:val="001D4273"/>
    <w:rsid w:val="001D4AD5"/>
    <w:rsid w:val="001D5D6D"/>
    <w:rsid w:val="001D61BA"/>
    <w:rsid w:val="001D62E5"/>
    <w:rsid w:val="001D694C"/>
    <w:rsid w:val="001D6D36"/>
    <w:rsid w:val="001D7205"/>
    <w:rsid w:val="001D7BE1"/>
    <w:rsid w:val="001E0198"/>
    <w:rsid w:val="001E05BC"/>
    <w:rsid w:val="001E06EA"/>
    <w:rsid w:val="001E0CF7"/>
    <w:rsid w:val="001E120E"/>
    <w:rsid w:val="001E1508"/>
    <w:rsid w:val="001E1707"/>
    <w:rsid w:val="001E1DEC"/>
    <w:rsid w:val="001E2C15"/>
    <w:rsid w:val="001E2E53"/>
    <w:rsid w:val="001E3715"/>
    <w:rsid w:val="001E3CFF"/>
    <w:rsid w:val="001E4714"/>
    <w:rsid w:val="001E4E48"/>
    <w:rsid w:val="001E503E"/>
    <w:rsid w:val="001E5E18"/>
    <w:rsid w:val="001E6814"/>
    <w:rsid w:val="001E6E4A"/>
    <w:rsid w:val="001E70CC"/>
    <w:rsid w:val="001E7D00"/>
    <w:rsid w:val="001F12D4"/>
    <w:rsid w:val="001F18BC"/>
    <w:rsid w:val="001F1A79"/>
    <w:rsid w:val="001F248F"/>
    <w:rsid w:val="001F249C"/>
    <w:rsid w:val="001F2D9D"/>
    <w:rsid w:val="001F5B64"/>
    <w:rsid w:val="001F5BE9"/>
    <w:rsid w:val="001F5D69"/>
    <w:rsid w:val="001F7021"/>
    <w:rsid w:val="001F7D4D"/>
    <w:rsid w:val="00200A63"/>
    <w:rsid w:val="00200CF1"/>
    <w:rsid w:val="00201120"/>
    <w:rsid w:val="002019F4"/>
    <w:rsid w:val="00201C08"/>
    <w:rsid w:val="00202457"/>
    <w:rsid w:val="00202840"/>
    <w:rsid w:val="0020287F"/>
    <w:rsid w:val="0020292D"/>
    <w:rsid w:val="002029CE"/>
    <w:rsid w:val="00202B68"/>
    <w:rsid w:val="00202BFC"/>
    <w:rsid w:val="002032DB"/>
    <w:rsid w:val="002039D1"/>
    <w:rsid w:val="00203B7D"/>
    <w:rsid w:val="00205F1B"/>
    <w:rsid w:val="002060A0"/>
    <w:rsid w:val="002064EA"/>
    <w:rsid w:val="0020670E"/>
    <w:rsid w:val="00207A4F"/>
    <w:rsid w:val="00207DA1"/>
    <w:rsid w:val="0021014B"/>
    <w:rsid w:val="0021112B"/>
    <w:rsid w:val="0021116B"/>
    <w:rsid w:val="002115BA"/>
    <w:rsid w:val="0021167D"/>
    <w:rsid w:val="0021182F"/>
    <w:rsid w:val="00211894"/>
    <w:rsid w:val="00212968"/>
    <w:rsid w:val="00212C8D"/>
    <w:rsid w:val="002130D4"/>
    <w:rsid w:val="00213C25"/>
    <w:rsid w:val="002149F1"/>
    <w:rsid w:val="00214DAB"/>
    <w:rsid w:val="002157FD"/>
    <w:rsid w:val="00215CE2"/>
    <w:rsid w:val="00216117"/>
    <w:rsid w:val="00217D7C"/>
    <w:rsid w:val="00220551"/>
    <w:rsid w:val="00220599"/>
    <w:rsid w:val="0022079F"/>
    <w:rsid w:val="0022274B"/>
    <w:rsid w:val="00222F47"/>
    <w:rsid w:val="0022380D"/>
    <w:rsid w:val="00224179"/>
    <w:rsid w:val="00224C01"/>
    <w:rsid w:val="00225348"/>
    <w:rsid w:val="00225505"/>
    <w:rsid w:val="00225C83"/>
    <w:rsid w:val="002261DE"/>
    <w:rsid w:val="002267AF"/>
    <w:rsid w:val="00230667"/>
    <w:rsid w:val="002311E2"/>
    <w:rsid w:val="0023138D"/>
    <w:rsid w:val="002324EC"/>
    <w:rsid w:val="00232AC1"/>
    <w:rsid w:val="00232E68"/>
    <w:rsid w:val="0023313C"/>
    <w:rsid w:val="002335A8"/>
    <w:rsid w:val="00233F46"/>
    <w:rsid w:val="00234559"/>
    <w:rsid w:val="002347A7"/>
    <w:rsid w:val="0023568F"/>
    <w:rsid w:val="00235A62"/>
    <w:rsid w:val="00235C5F"/>
    <w:rsid w:val="00236699"/>
    <w:rsid w:val="00236BF5"/>
    <w:rsid w:val="00236D3B"/>
    <w:rsid w:val="002371D7"/>
    <w:rsid w:val="0024076C"/>
    <w:rsid w:val="00240DEF"/>
    <w:rsid w:val="0024102D"/>
    <w:rsid w:val="0024143C"/>
    <w:rsid w:val="002414DD"/>
    <w:rsid w:val="002417A5"/>
    <w:rsid w:val="00241DB8"/>
    <w:rsid w:val="00242132"/>
    <w:rsid w:val="002425CF"/>
    <w:rsid w:val="00242620"/>
    <w:rsid w:val="00242C04"/>
    <w:rsid w:val="0024312D"/>
    <w:rsid w:val="0024355C"/>
    <w:rsid w:val="00245706"/>
    <w:rsid w:val="00245CDC"/>
    <w:rsid w:val="0024617D"/>
    <w:rsid w:val="002466AE"/>
    <w:rsid w:val="00246C4D"/>
    <w:rsid w:val="0024785C"/>
    <w:rsid w:val="00247E97"/>
    <w:rsid w:val="00250270"/>
    <w:rsid w:val="002505E6"/>
    <w:rsid w:val="00250842"/>
    <w:rsid w:val="00250AD8"/>
    <w:rsid w:val="00251220"/>
    <w:rsid w:val="00253032"/>
    <w:rsid w:val="00253148"/>
    <w:rsid w:val="00253835"/>
    <w:rsid w:val="00253CF6"/>
    <w:rsid w:val="00254593"/>
    <w:rsid w:val="00255CA2"/>
    <w:rsid w:val="00257421"/>
    <w:rsid w:val="0025742D"/>
    <w:rsid w:val="00257856"/>
    <w:rsid w:val="00257ACD"/>
    <w:rsid w:val="002602BE"/>
    <w:rsid w:val="00260397"/>
    <w:rsid w:val="002609C0"/>
    <w:rsid w:val="00260A6E"/>
    <w:rsid w:val="002613C3"/>
    <w:rsid w:val="0026143D"/>
    <w:rsid w:val="002617A9"/>
    <w:rsid w:val="00261BC8"/>
    <w:rsid w:val="00262B07"/>
    <w:rsid w:val="0026305E"/>
    <w:rsid w:val="0026331E"/>
    <w:rsid w:val="00263D59"/>
    <w:rsid w:val="00264443"/>
    <w:rsid w:val="00264836"/>
    <w:rsid w:val="00264960"/>
    <w:rsid w:val="00265BE2"/>
    <w:rsid w:val="00266D0E"/>
    <w:rsid w:val="00266D2B"/>
    <w:rsid w:val="002670AE"/>
    <w:rsid w:val="002676C9"/>
    <w:rsid w:val="00267FCF"/>
    <w:rsid w:val="002702FF"/>
    <w:rsid w:val="002705FB"/>
    <w:rsid w:val="00270BAD"/>
    <w:rsid w:val="00272A1E"/>
    <w:rsid w:val="00273F5F"/>
    <w:rsid w:val="00274BFB"/>
    <w:rsid w:val="00274C80"/>
    <w:rsid w:val="00274FC5"/>
    <w:rsid w:val="00274FE3"/>
    <w:rsid w:val="0027510B"/>
    <w:rsid w:val="00275138"/>
    <w:rsid w:val="002752F1"/>
    <w:rsid w:val="00275352"/>
    <w:rsid w:val="002757DF"/>
    <w:rsid w:val="00275907"/>
    <w:rsid w:val="002760EF"/>
    <w:rsid w:val="002769C8"/>
    <w:rsid w:val="0027719B"/>
    <w:rsid w:val="002775B7"/>
    <w:rsid w:val="00280410"/>
    <w:rsid w:val="00280AC2"/>
    <w:rsid w:val="00281F07"/>
    <w:rsid w:val="00281F7A"/>
    <w:rsid w:val="00282474"/>
    <w:rsid w:val="00282FEB"/>
    <w:rsid w:val="00283A3D"/>
    <w:rsid w:val="00284B00"/>
    <w:rsid w:val="00284F5A"/>
    <w:rsid w:val="00285025"/>
    <w:rsid w:val="00285802"/>
    <w:rsid w:val="00285858"/>
    <w:rsid w:val="00285913"/>
    <w:rsid w:val="0028691B"/>
    <w:rsid w:val="002872B8"/>
    <w:rsid w:val="002875EF"/>
    <w:rsid w:val="002901FE"/>
    <w:rsid w:val="00292A11"/>
    <w:rsid w:val="002930E6"/>
    <w:rsid w:val="0029392E"/>
    <w:rsid w:val="0029398E"/>
    <w:rsid w:val="00294281"/>
    <w:rsid w:val="002943EF"/>
    <w:rsid w:val="00294F45"/>
    <w:rsid w:val="00295CBB"/>
    <w:rsid w:val="00296286"/>
    <w:rsid w:val="002969E2"/>
    <w:rsid w:val="0029705D"/>
    <w:rsid w:val="00297277"/>
    <w:rsid w:val="002975E4"/>
    <w:rsid w:val="00297B9C"/>
    <w:rsid w:val="002A1844"/>
    <w:rsid w:val="002A1E8F"/>
    <w:rsid w:val="002A23DF"/>
    <w:rsid w:val="002A2706"/>
    <w:rsid w:val="002A304A"/>
    <w:rsid w:val="002A408F"/>
    <w:rsid w:val="002A42D9"/>
    <w:rsid w:val="002A465E"/>
    <w:rsid w:val="002A4989"/>
    <w:rsid w:val="002A562E"/>
    <w:rsid w:val="002A62B1"/>
    <w:rsid w:val="002A6379"/>
    <w:rsid w:val="002A72B3"/>
    <w:rsid w:val="002A793C"/>
    <w:rsid w:val="002B1568"/>
    <w:rsid w:val="002B1BDD"/>
    <w:rsid w:val="002B21CE"/>
    <w:rsid w:val="002B2577"/>
    <w:rsid w:val="002B3E44"/>
    <w:rsid w:val="002B47BE"/>
    <w:rsid w:val="002B481E"/>
    <w:rsid w:val="002B4CEC"/>
    <w:rsid w:val="002B5878"/>
    <w:rsid w:val="002B5F4B"/>
    <w:rsid w:val="002B6580"/>
    <w:rsid w:val="002B68CF"/>
    <w:rsid w:val="002B6AA8"/>
    <w:rsid w:val="002B77DF"/>
    <w:rsid w:val="002B78A3"/>
    <w:rsid w:val="002C0BFC"/>
    <w:rsid w:val="002C2634"/>
    <w:rsid w:val="002C37ED"/>
    <w:rsid w:val="002C3AAA"/>
    <w:rsid w:val="002C4007"/>
    <w:rsid w:val="002C49E2"/>
    <w:rsid w:val="002C4C8D"/>
    <w:rsid w:val="002C64EF"/>
    <w:rsid w:val="002C6895"/>
    <w:rsid w:val="002C6C2A"/>
    <w:rsid w:val="002C6F2F"/>
    <w:rsid w:val="002C7AC9"/>
    <w:rsid w:val="002C7C3C"/>
    <w:rsid w:val="002D057E"/>
    <w:rsid w:val="002D0ACB"/>
    <w:rsid w:val="002D0B3D"/>
    <w:rsid w:val="002D0E5B"/>
    <w:rsid w:val="002D10D8"/>
    <w:rsid w:val="002D3EF0"/>
    <w:rsid w:val="002D40CE"/>
    <w:rsid w:val="002D45BB"/>
    <w:rsid w:val="002D4624"/>
    <w:rsid w:val="002D4B22"/>
    <w:rsid w:val="002D5877"/>
    <w:rsid w:val="002D63EA"/>
    <w:rsid w:val="002D7557"/>
    <w:rsid w:val="002D75A3"/>
    <w:rsid w:val="002D7A9F"/>
    <w:rsid w:val="002D7BE3"/>
    <w:rsid w:val="002E0447"/>
    <w:rsid w:val="002E2714"/>
    <w:rsid w:val="002E2C2F"/>
    <w:rsid w:val="002E3319"/>
    <w:rsid w:val="002E3F6A"/>
    <w:rsid w:val="002E4390"/>
    <w:rsid w:val="002E5144"/>
    <w:rsid w:val="002E5815"/>
    <w:rsid w:val="002E5C0C"/>
    <w:rsid w:val="002E674E"/>
    <w:rsid w:val="002E717C"/>
    <w:rsid w:val="002E7C1C"/>
    <w:rsid w:val="002F0980"/>
    <w:rsid w:val="002F0EC1"/>
    <w:rsid w:val="002F10AD"/>
    <w:rsid w:val="002F12B6"/>
    <w:rsid w:val="002F1F37"/>
    <w:rsid w:val="002F2683"/>
    <w:rsid w:val="002F2A78"/>
    <w:rsid w:val="002F3039"/>
    <w:rsid w:val="002F3579"/>
    <w:rsid w:val="002F4B54"/>
    <w:rsid w:val="002F52A4"/>
    <w:rsid w:val="002F5A5D"/>
    <w:rsid w:val="002F5BC3"/>
    <w:rsid w:val="002F622D"/>
    <w:rsid w:val="002F7152"/>
    <w:rsid w:val="002F745D"/>
    <w:rsid w:val="00300B39"/>
    <w:rsid w:val="0030185B"/>
    <w:rsid w:val="003024CD"/>
    <w:rsid w:val="0030258C"/>
    <w:rsid w:val="0030281D"/>
    <w:rsid w:val="00302D31"/>
    <w:rsid w:val="0030324A"/>
    <w:rsid w:val="00303589"/>
    <w:rsid w:val="00303A13"/>
    <w:rsid w:val="0030495E"/>
    <w:rsid w:val="00304C93"/>
    <w:rsid w:val="00306362"/>
    <w:rsid w:val="0030639A"/>
    <w:rsid w:val="00306748"/>
    <w:rsid w:val="00307FD9"/>
    <w:rsid w:val="0031043D"/>
    <w:rsid w:val="003109D5"/>
    <w:rsid w:val="00310A36"/>
    <w:rsid w:val="00310AB7"/>
    <w:rsid w:val="00311441"/>
    <w:rsid w:val="00312135"/>
    <w:rsid w:val="003124FD"/>
    <w:rsid w:val="003130D8"/>
    <w:rsid w:val="00313195"/>
    <w:rsid w:val="00313667"/>
    <w:rsid w:val="003141E3"/>
    <w:rsid w:val="00314231"/>
    <w:rsid w:val="00314D5A"/>
    <w:rsid w:val="00315BE8"/>
    <w:rsid w:val="00315E1D"/>
    <w:rsid w:val="00316420"/>
    <w:rsid w:val="00317724"/>
    <w:rsid w:val="00317ECE"/>
    <w:rsid w:val="0032030D"/>
    <w:rsid w:val="003206B1"/>
    <w:rsid w:val="003215EF"/>
    <w:rsid w:val="00322DA7"/>
    <w:rsid w:val="00323480"/>
    <w:rsid w:val="003236F6"/>
    <w:rsid w:val="00324521"/>
    <w:rsid w:val="00324883"/>
    <w:rsid w:val="0032516B"/>
    <w:rsid w:val="0032547B"/>
    <w:rsid w:val="003255D0"/>
    <w:rsid w:val="00325B96"/>
    <w:rsid w:val="00326718"/>
    <w:rsid w:val="0032687E"/>
    <w:rsid w:val="003270F0"/>
    <w:rsid w:val="00327A0D"/>
    <w:rsid w:val="00327A52"/>
    <w:rsid w:val="00327A73"/>
    <w:rsid w:val="00330113"/>
    <w:rsid w:val="0033115C"/>
    <w:rsid w:val="0033172A"/>
    <w:rsid w:val="003317A5"/>
    <w:rsid w:val="00331BF2"/>
    <w:rsid w:val="00331E31"/>
    <w:rsid w:val="003329D0"/>
    <w:rsid w:val="003330BD"/>
    <w:rsid w:val="003338C9"/>
    <w:rsid w:val="0033399E"/>
    <w:rsid w:val="00333A43"/>
    <w:rsid w:val="00333C3F"/>
    <w:rsid w:val="00334162"/>
    <w:rsid w:val="00334504"/>
    <w:rsid w:val="003346E5"/>
    <w:rsid w:val="003358E1"/>
    <w:rsid w:val="003358E5"/>
    <w:rsid w:val="00336AAE"/>
    <w:rsid w:val="003372A3"/>
    <w:rsid w:val="003376CC"/>
    <w:rsid w:val="00337954"/>
    <w:rsid w:val="003400B6"/>
    <w:rsid w:val="003403FF"/>
    <w:rsid w:val="00341500"/>
    <w:rsid w:val="00342821"/>
    <w:rsid w:val="00342C6A"/>
    <w:rsid w:val="00342F02"/>
    <w:rsid w:val="00343E78"/>
    <w:rsid w:val="00344377"/>
    <w:rsid w:val="00344B29"/>
    <w:rsid w:val="00344D8E"/>
    <w:rsid w:val="00345E4A"/>
    <w:rsid w:val="0034627B"/>
    <w:rsid w:val="0034668B"/>
    <w:rsid w:val="00346D6D"/>
    <w:rsid w:val="00347BEE"/>
    <w:rsid w:val="0035025E"/>
    <w:rsid w:val="0035028F"/>
    <w:rsid w:val="003503F0"/>
    <w:rsid w:val="00350B59"/>
    <w:rsid w:val="00350DA8"/>
    <w:rsid w:val="003517CF"/>
    <w:rsid w:val="00351F5F"/>
    <w:rsid w:val="003520BF"/>
    <w:rsid w:val="00352106"/>
    <w:rsid w:val="00352C9C"/>
    <w:rsid w:val="00352E7E"/>
    <w:rsid w:val="00353645"/>
    <w:rsid w:val="00353679"/>
    <w:rsid w:val="00353B0C"/>
    <w:rsid w:val="0035450F"/>
    <w:rsid w:val="00354D28"/>
    <w:rsid w:val="00355AA0"/>
    <w:rsid w:val="00356B18"/>
    <w:rsid w:val="00357176"/>
    <w:rsid w:val="0035733D"/>
    <w:rsid w:val="00357880"/>
    <w:rsid w:val="003600EF"/>
    <w:rsid w:val="0036018B"/>
    <w:rsid w:val="00362BAA"/>
    <w:rsid w:val="003631B6"/>
    <w:rsid w:val="00363596"/>
    <w:rsid w:val="003640DC"/>
    <w:rsid w:val="00366C2D"/>
    <w:rsid w:val="00367245"/>
    <w:rsid w:val="0036736F"/>
    <w:rsid w:val="00367F7D"/>
    <w:rsid w:val="003700DC"/>
    <w:rsid w:val="003701B3"/>
    <w:rsid w:val="003701FC"/>
    <w:rsid w:val="00370BE8"/>
    <w:rsid w:val="00371ADE"/>
    <w:rsid w:val="00372353"/>
    <w:rsid w:val="00372B5C"/>
    <w:rsid w:val="0037387A"/>
    <w:rsid w:val="00375F4F"/>
    <w:rsid w:val="003769F2"/>
    <w:rsid w:val="00377076"/>
    <w:rsid w:val="00377ABD"/>
    <w:rsid w:val="00380CBC"/>
    <w:rsid w:val="00380D5D"/>
    <w:rsid w:val="003813D3"/>
    <w:rsid w:val="0038150D"/>
    <w:rsid w:val="0038194F"/>
    <w:rsid w:val="00381B1D"/>
    <w:rsid w:val="003825F1"/>
    <w:rsid w:val="0038261B"/>
    <w:rsid w:val="00382D5C"/>
    <w:rsid w:val="00383B65"/>
    <w:rsid w:val="00383F07"/>
    <w:rsid w:val="0038479F"/>
    <w:rsid w:val="00384F98"/>
    <w:rsid w:val="003851FE"/>
    <w:rsid w:val="003857CA"/>
    <w:rsid w:val="00385821"/>
    <w:rsid w:val="0038619A"/>
    <w:rsid w:val="00386B9C"/>
    <w:rsid w:val="00386CAC"/>
    <w:rsid w:val="003901FF"/>
    <w:rsid w:val="00390702"/>
    <w:rsid w:val="00390EA8"/>
    <w:rsid w:val="00391123"/>
    <w:rsid w:val="00391131"/>
    <w:rsid w:val="00391451"/>
    <w:rsid w:val="00391776"/>
    <w:rsid w:val="0039255A"/>
    <w:rsid w:val="003927E8"/>
    <w:rsid w:val="00392CF5"/>
    <w:rsid w:val="00392EEF"/>
    <w:rsid w:val="0039337D"/>
    <w:rsid w:val="003936A9"/>
    <w:rsid w:val="00395196"/>
    <w:rsid w:val="00395883"/>
    <w:rsid w:val="00396339"/>
    <w:rsid w:val="00396A0C"/>
    <w:rsid w:val="00397D1D"/>
    <w:rsid w:val="003A02A5"/>
    <w:rsid w:val="003A057C"/>
    <w:rsid w:val="003A0644"/>
    <w:rsid w:val="003A1210"/>
    <w:rsid w:val="003A1D68"/>
    <w:rsid w:val="003A3523"/>
    <w:rsid w:val="003A385A"/>
    <w:rsid w:val="003A3E1A"/>
    <w:rsid w:val="003A4551"/>
    <w:rsid w:val="003A4925"/>
    <w:rsid w:val="003A4B75"/>
    <w:rsid w:val="003A60FB"/>
    <w:rsid w:val="003A793D"/>
    <w:rsid w:val="003A7EF2"/>
    <w:rsid w:val="003B00B5"/>
    <w:rsid w:val="003B0A60"/>
    <w:rsid w:val="003B17E2"/>
    <w:rsid w:val="003B2B1D"/>
    <w:rsid w:val="003B362E"/>
    <w:rsid w:val="003B51E8"/>
    <w:rsid w:val="003B77CF"/>
    <w:rsid w:val="003B7858"/>
    <w:rsid w:val="003B7FF4"/>
    <w:rsid w:val="003C0FD7"/>
    <w:rsid w:val="003C1DAF"/>
    <w:rsid w:val="003C237C"/>
    <w:rsid w:val="003C330F"/>
    <w:rsid w:val="003C3764"/>
    <w:rsid w:val="003C5FA4"/>
    <w:rsid w:val="003C6CB4"/>
    <w:rsid w:val="003C6D64"/>
    <w:rsid w:val="003C7257"/>
    <w:rsid w:val="003C7388"/>
    <w:rsid w:val="003C77EE"/>
    <w:rsid w:val="003D0659"/>
    <w:rsid w:val="003D10FF"/>
    <w:rsid w:val="003D2C6B"/>
    <w:rsid w:val="003D3490"/>
    <w:rsid w:val="003D588F"/>
    <w:rsid w:val="003D5F99"/>
    <w:rsid w:val="003D5F9B"/>
    <w:rsid w:val="003D61B5"/>
    <w:rsid w:val="003D6F8E"/>
    <w:rsid w:val="003D776D"/>
    <w:rsid w:val="003E07B1"/>
    <w:rsid w:val="003E0D94"/>
    <w:rsid w:val="003E1C35"/>
    <w:rsid w:val="003E2165"/>
    <w:rsid w:val="003E280D"/>
    <w:rsid w:val="003E2C3C"/>
    <w:rsid w:val="003E3591"/>
    <w:rsid w:val="003E3742"/>
    <w:rsid w:val="003E4155"/>
    <w:rsid w:val="003E43BD"/>
    <w:rsid w:val="003E48DC"/>
    <w:rsid w:val="003E4AC9"/>
    <w:rsid w:val="003E5C59"/>
    <w:rsid w:val="003E66A3"/>
    <w:rsid w:val="003E6BCD"/>
    <w:rsid w:val="003E6E6A"/>
    <w:rsid w:val="003E6FF2"/>
    <w:rsid w:val="003E746E"/>
    <w:rsid w:val="003F29FA"/>
    <w:rsid w:val="003F430F"/>
    <w:rsid w:val="003F50B2"/>
    <w:rsid w:val="003F5366"/>
    <w:rsid w:val="003F55BD"/>
    <w:rsid w:val="003F5C9F"/>
    <w:rsid w:val="003F6F8F"/>
    <w:rsid w:val="003F7876"/>
    <w:rsid w:val="003F7F0A"/>
    <w:rsid w:val="004000F7"/>
    <w:rsid w:val="0040041A"/>
    <w:rsid w:val="004011CF"/>
    <w:rsid w:val="00401462"/>
    <w:rsid w:val="00401A2F"/>
    <w:rsid w:val="0040260A"/>
    <w:rsid w:val="00402BE7"/>
    <w:rsid w:val="00402C48"/>
    <w:rsid w:val="00402F61"/>
    <w:rsid w:val="00403957"/>
    <w:rsid w:val="004052FA"/>
    <w:rsid w:val="004057AF"/>
    <w:rsid w:val="00405DF4"/>
    <w:rsid w:val="00407C44"/>
    <w:rsid w:val="00407D1C"/>
    <w:rsid w:val="00407FC9"/>
    <w:rsid w:val="004106ED"/>
    <w:rsid w:val="0041088A"/>
    <w:rsid w:val="0041133C"/>
    <w:rsid w:val="004113A4"/>
    <w:rsid w:val="00411F9B"/>
    <w:rsid w:val="00412034"/>
    <w:rsid w:val="00412955"/>
    <w:rsid w:val="00413B86"/>
    <w:rsid w:val="00414054"/>
    <w:rsid w:val="00414258"/>
    <w:rsid w:val="004143E1"/>
    <w:rsid w:val="00414476"/>
    <w:rsid w:val="00414DD8"/>
    <w:rsid w:val="00415740"/>
    <w:rsid w:val="0041640E"/>
    <w:rsid w:val="00416A4F"/>
    <w:rsid w:val="00416E11"/>
    <w:rsid w:val="00420962"/>
    <w:rsid w:val="004210FD"/>
    <w:rsid w:val="004219EC"/>
    <w:rsid w:val="00422089"/>
    <w:rsid w:val="00422408"/>
    <w:rsid w:val="0042242C"/>
    <w:rsid w:val="00422FBF"/>
    <w:rsid w:val="00423339"/>
    <w:rsid w:val="00423B8D"/>
    <w:rsid w:val="00423E7C"/>
    <w:rsid w:val="00423FE5"/>
    <w:rsid w:val="00424082"/>
    <w:rsid w:val="00424A2E"/>
    <w:rsid w:val="00425B3B"/>
    <w:rsid w:val="00425C12"/>
    <w:rsid w:val="0042698D"/>
    <w:rsid w:val="004275DB"/>
    <w:rsid w:val="00427721"/>
    <w:rsid w:val="00427A2D"/>
    <w:rsid w:val="00431241"/>
    <w:rsid w:val="00431348"/>
    <w:rsid w:val="00431880"/>
    <w:rsid w:val="0043422A"/>
    <w:rsid w:val="00434596"/>
    <w:rsid w:val="004347CE"/>
    <w:rsid w:val="00434C6D"/>
    <w:rsid w:val="0043654B"/>
    <w:rsid w:val="00436E98"/>
    <w:rsid w:val="004378B2"/>
    <w:rsid w:val="00441A0E"/>
    <w:rsid w:val="00441E99"/>
    <w:rsid w:val="004424D0"/>
    <w:rsid w:val="0044349E"/>
    <w:rsid w:val="00443788"/>
    <w:rsid w:val="00443C3E"/>
    <w:rsid w:val="00444080"/>
    <w:rsid w:val="00444614"/>
    <w:rsid w:val="00444845"/>
    <w:rsid w:val="004448CD"/>
    <w:rsid w:val="00444B04"/>
    <w:rsid w:val="004454F4"/>
    <w:rsid w:val="004466DF"/>
    <w:rsid w:val="004469D8"/>
    <w:rsid w:val="004473FC"/>
    <w:rsid w:val="00447702"/>
    <w:rsid w:val="00447CD9"/>
    <w:rsid w:val="00450BD9"/>
    <w:rsid w:val="00450CEC"/>
    <w:rsid w:val="00451095"/>
    <w:rsid w:val="004516C8"/>
    <w:rsid w:val="00451F41"/>
    <w:rsid w:val="00452947"/>
    <w:rsid w:val="00454190"/>
    <w:rsid w:val="0045426C"/>
    <w:rsid w:val="00454291"/>
    <w:rsid w:val="00454632"/>
    <w:rsid w:val="00454684"/>
    <w:rsid w:val="00454733"/>
    <w:rsid w:val="0045493B"/>
    <w:rsid w:val="00454B7E"/>
    <w:rsid w:val="00454C8F"/>
    <w:rsid w:val="00454CE9"/>
    <w:rsid w:val="00454E52"/>
    <w:rsid w:val="00455FC5"/>
    <w:rsid w:val="0045695E"/>
    <w:rsid w:val="00456DC1"/>
    <w:rsid w:val="00456ED0"/>
    <w:rsid w:val="00457177"/>
    <w:rsid w:val="004574A3"/>
    <w:rsid w:val="00457867"/>
    <w:rsid w:val="00460CEA"/>
    <w:rsid w:val="0046157C"/>
    <w:rsid w:val="00461AFF"/>
    <w:rsid w:val="00461CC9"/>
    <w:rsid w:val="00462372"/>
    <w:rsid w:val="004629A3"/>
    <w:rsid w:val="00462C7C"/>
    <w:rsid w:val="00462D98"/>
    <w:rsid w:val="00462E33"/>
    <w:rsid w:val="0046303E"/>
    <w:rsid w:val="004633A9"/>
    <w:rsid w:val="004637F9"/>
    <w:rsid w:val="00464375"/>
    <w:rsid w:val="00464573"/>
    <w:rsid w:val="004645F9"/>
    <w:rsid w:val="004650B0"/>
    <w:rsid w:val="004651C8"/>
    <w:rsid w:val="00465817"/>
    <w:rsid w:val="004664D1"/>
    <w:rsid w:val="00466506"/>
    <w:rsid w:val="0046735B"/>
    <w:rsid w:val="004702A3"/>
    <w:rsid w:val="00471985"/>
    <w:rsid w:val="00471B9A"/>
    <w:rsid w:val="00472C36"/>
    <w:rsid w:val="0047406F"/>
    <w:rsid w:val="004756A0"/>
    <w:rsid w:val="004757BE"/>
    <w:rsid w:val="004758D7"/>
    <w:rsid w:val="00475D33"/>
    <w:rsid w:val="00475D47"/>
    <w:rsid w:val="00475EA3"/>
    <w:rsid w:val="0047601A"/>
    <w:rsid w:val="00476E4E"/>
    <w:rsid w:val="00476EA4"/>
    <w:rsid w:val="00477641"/>
    <w:rsid w:val="004803E3"/>
    <w:rsid w:val="004807EB"/>
    <w:rsid w:val="00480F5F"/>
    <w:rsid w:val="0048152C"/>
    <w:rsid w:val="00483461"/>
    <w:rsid w:val="00483D7A"/>
    <w:rsid w:val="00483DC3"/>
    <w:rsid w:val="00483F3B"/>
    <w:rsid w:val="004855D1"/>
    <w:rsid w:val="004857D2"/>
    <w:rsid w:val="00485F6D"/>
    <w:rsid w:val="00486F5D"/>
    <w:rsid w:val="0048728B"/>
    <w:rsid w:val="00487F24"/>
    <w:rsid w:val="00490893"/>
    <w:rsid w:val="00490C96"/>
    <w:rsid w:val="004912D8"/>
    <w:rsid w:val="00491F73"/>
    <w:rsid w:val="00493369"/>
    <w:rsid w:val="0049391E"/>
    <w:rsid w:val="00494395"/>
    <w:rsid w:val="004948F8"/>
    <w:rsid w:val="004962E4"/>
    <w:rsid w:val="004968F0"/>
    <w:rsid w:val="00497927"/>
    <w:rsid w:val="00497D85"/>
    <w:rsid w:val="004A04E2"/>
    <w:rsid w:val="004A0C3D"/>
    <w:rsid w:val="004A0C4F"/>
    <w:rsid w:val="004A1925"/>
    <w:rsid w:val="004A2635"/>
    <w:rsid w:val="004A263B"/>
    <w:rsid w:val="004A30A5"/>
    <w:rsid w:val="004A3BA3"/>
    <w:rsid w:val="004A3D96"/>
    <w:rsid w:val="004A4517"/>
    <w:rsid w:val="004A5134"/>
    <w:rsid w:val="004A5207"/>
    <w:rsid w:val="004A5FC9"/>
    <w:rsid w:val="004A6CCF"/>
    <w:rsid w:val="004A6D49"/>
    <w:rsid w:val="004A7131"/>
    <w:rsid w:val="004A71D5"/>
    <w:rsid w:val="004B036B"/>
    <w:rsid w:val="004B08C5"/>
    <w:rsid w:val="004B0F10"/>
    <w:rsid w:val="004B13BE"/>
    <w:rsid w:val="004B191D"/>
    <w:rsid w:val="004B2699"/>
    <w:rsid w:val="004B2F3A"/>
    <w:rsid w:val="004B31BA"/>
    <w:rsid w:val="004B3944"/>
    <w:rsid w:val="004B462F"/>
    <w:rsid w:val="004B5BEF"/>
    <w:rsid w:val="004B5EFE"/>
    <w:rsid w:val="004B6745"/>
    <w:rsid w:val="004B682A"/>
    <w:rsid w:val="004B6C3B"/>
    <w:rsid w:val="004B6F0B"/>
    <w:rsid w:val="004B75BB"/>
    <w:rsid w:val="004C0C74"/>
    <w:rsid w:val="004C0FE9"/>
    <w:rsid w:val="004C15A1"/>
    <w:rsid w:val="004C188E"/>
    <w:rsid w:val="004C34DA"/>
    <w:rsid w:val="004C42E9"/>
    <w:rsid w:val="004C43D6"/>
    <w:rsid w:val="004C4A20"/>
    <w:rsid w:val="004C4C9E"/>
    <w:rsid w:val="004C54CC"/>
    <w:rsid w:val="004C59A4"/>
    <w:rsid w:val="004C5B8C"/>
    <w:rsid w:val="004C5C79"/>
    <w:rsid w:val="004C5ED3"/>
    <w:rsid w:val="004C5F7E"/>
    <w:rsid w:val="004C633C"/>
    <w:rsid w:val="004C7D37"/>
    <w:rsid w:val="004D0D2C"/>
    <w:rsid w:val="004D0E6E"/>
    <w:rsid w:val="004D0EB9"/>
    <w:rsid w:val="004D1244"/>
    <w:rsid w:val="004D19DA"/>
    <w:rsid w:val="004D1E0C"/>
    <w:rsid w:val="004D1E20"/>
    <w:rsid w:val="004D22FE"/>
    <w:rsid w:val="004D2B56"/>
    <w:rsid w:val="004D42CE"/>
    <w:rsid w:val="004D442C"/>
    <w:rsid w:val="004D49DC"/>
    <w:rsid w:val="004D52FC"/>
    <w:rsid w:val="004D5365"/>
    <w:rsid w:val="004D5393"/>
    <w:rsid w:val="004D5FE7"/>
    <w:rsid w:val="004D636F"/>
    <w:rsid w:val="004D7954"/>
    <w:rsid w:val="004D7B4E"/>
    <w:rsid w:val="004D7D43"/>
    <w:rsid w:val="004E0194"/>
    <w:rsid w:val="004E01B0"/>
    <w:rsid w:val="004E0D8B"/>
    <w:rsid w:val="004E0E4C"/>
    <w:rsid w:val="004E1C38"/>
    <w:rsid w:val="004E2F76"/>
    <w:rsid w:val="004E3C1B"/>
    <w:rsid w:val="004E3DC5"/>
    <w:rsid w:val="004E44D3"/>
    <w:rsid w:val="004E464B"/>
    <w:rsid w:val="004E4830"/>
    <w:rsid w:val="004E4880"/>
    <w:rsid w:val="004E5A9D"/>
    <w:rsid w:val="004E5E2A"/>
    <w:rsid w:val="004E68BB"/>
    <w:rsid w:val="004E6D99"/>
    <w:rsid w:val="004E7E54"/>
    <w:rsid w:val="004F0AB9"/>
    <w:rsid w:val="004F203D"/>
    <w:rsid w:val="004F2291"/>
    <w:rsid w:val="004F22C3"/>
    <w:rsid w:val="004F2ADB"/>
    <w:rsid w:val="004F30D4"/>
    <w:rsid w:val="004F3255"/>
    <w:rsid w:val="004F4AEE"/>
    <w:rsid w:val="004F4BD0"/>
    <w:rsid w:val="004F5009"/>
    <w:rsid w:val="004F5C8C"/>
    <w:rsid w:val="004F62C2"/>
    <w:rsid w:val="004F74D2"/>
    <w:rsid w:val="00500ADA"/>
    <w:rsid w:val="00500E1B"/>
    <w:rsid w:val="005014A6"/>
    <w:rsid w:val="00503D0C"/>
    <w:rsid w:val="00503D59"/>
    <w:rsid w:val="005048BC"/>
    <w:rsid w:val="00504B24"/>
    <w:rsid w:val="005050FC"/>
    <w:rsid w:val="0050551A"/>
    <w:rsid w:val="0050767E"/>
    <w:rsid w:val="00507BDF"/>
    <w:rsid w:val="00510919"/>
    <w:rsid w:val="0051091B"/>
    <w:rsid w:val="005109CE"/>
    <w:rsid w:val="00511786"/>
    <w:rsid w:val="00513783"/>
    <w:rsid w:val="00513935"/>
    <w:rsid w:val="00513D4E"/>
    <w:rsid w:val="00514076"/>
    <w:rsid w:val="0051461E"/>
    <w:rsid w:val="00514FE4"/>
    <w:rsid w:val="00515775"/>
    <w:rsid w:val="0051696B"/>
    <w:rsid w:val="005202B2"/>
    <w:rsid w:val="0052068B"/>
    <w:rsid w:val="00521009"/>
    <w:rsid w:val="00521647"/>
    <w:rsid w:val="00521FCC"/>
    <w:rsid w:val="005222BF"/>
    <w:rsid w:val="0052256A"/>
    <w:rsid w:val="00522758"/>
    <w:rsid w:val="0052383F"/>
    <w:rsid w:val="00523F98"/>
    <w:rsid w:val="0052433A"/>
    <w:rsid w:val="00524785"/>
    <w:rsid w:val="005256A9"/>
    <w:rsid w:val="00525BE5"/>
    <w:rsid w:val="0052613F"/>
    <w:rsid w:val="00526CAA"/>
    <w:rsid w:val="00526FE5"/>
    <w:rsid w:val="00530311"/>
    <w:rsid w:val="00530808"/>
    <w:rsid w:val="00531170"/>
    <w:rsid w:val="00532D80"/>
    <w:rsid w:val="00532FA2"/>
    <w:rsid w:val="00533594"/>
    <w:rsid w:val="0053391F"/>
    <w:rsid w:val="00533E03"/>
    <w:rsid w:val="005354AF"/>
    <w:rsid w:val="00535819"/>
    <w:rsid w:val="005359F9"/>
    <w:rsid w:val="00536166"/>
    <w:rsid w:val="00536437"/>
    <w:rsid w:val="005375AF"/>
    <w:rsid w:val="005413AC"/>
    <w:rsid w:val="00541513"/>
    <w:rsid w:val="0054208B"/>
    <w:rsid w:val="00542B8F"/>
    <w:rsid w:val="005431C1"/>
    <w:rsid w:val="005434F8"/>
    <w:rsid w:val="00543790"/>
    <w:rsid w:val="00543E44"/>
    <w:rsid w:val="00543EAF"/>
    <w:rsid w:val="00544395"/>
    <w:rsid w:val="00545E2C"/>
    <w:rsid w:val="0054618B"/>
    <w:rsid w:val="005474D6"/>
    <w:rsid w:val="005503AB"/>
    <w:rsid w:val="00550E5E"/>
    <w:rsid w:val="00550EBE"/>
    <w:rsid w:val="00551294"/>
    <w:rsid w:val="005519B3"/>
    <w:rsid w:val="00552C06"/>
    <w:rsid w:val="00553068"/>
    <w:rsid w:val="0055310A"/>
    <w:rsid w:val="005539AE"/>
    <w:rsid w:val="00553CAB"/>
    <w:rsid w:val="0055408C"/>
    <w:rsid w:val="005540E3"/>
    <w:rsid w:val="00554387"/>
    <w:rsid w:val="005545E7"/>
    <w:rsid w:val="00554E8A"/>
    <w:rsid w:val="00555107"/>
    <w:rsid w:val="005564DC"/>
    <w:rsid w:val="005569BE"/>
    <w:rsid w:val="00557EDB"/>
    <w:rsid w:val="00560040"/>
    <w:rsid w:val="0056047B"/>
    <w:rsid w:val="00561795"/>
    <w:rsid w:val="005617A3"/>
    <w:rsid w:val="00561C28"/>
    <w:rsid w:val="00563108"/>
    <w:rsid w:val="005636B4"/>
    <w:rsid w:val="00564370"/>
    <w:rsid w:val="00564E27"/>
    <w:rsid w:val="005656B4"/>
    <w:rsid w:val="00565C75"/>
    <w:rsid w:val="00566804"/>
    <w:rsid w:val="00566BF7"/>
    <w:rsid w:val="00567593"/>
    <w:rsid w:val="005677ED"/>
    <w:rsid w:val="0056790B"/>
    <w:rsid w:val="00567D5C"/>
    <w:rsid w:val="00567F8A"/>
    <w:rsid w:val="005707AB"/>
    <w:rsid w:val="00570ACD"/>
    <w:rsid w:val="0057135C"/>
    <w:rsid w:val="00571A1E"/>
    <w:rsid w:val="00571CEE"/>
    <w:rsid w:val="0057215B"/>
    <w:rsid w:val="00573CDD"/>
    <w:rsid w:val="00573D98"/>
    <w:rsid w:val="005744C9"/>
    <w:rsid w:val="00574965"/>
    <w:rsid w:val="00574D42"/>
    <w:rsid w:val="00575614"/>
    <w:rsid w:val="005760CB"/>
    <w:rsid w:val="00576950"/>
    <w:rsid w:val="00576A93"/>
    <w:rsid w:val="00576B93"/>
    <w:rsid w:val="00577EE9"/>
    <w:rsid w:val="0058147F"/>
    <w:rsid w:val="00582542"/>
    <w:rsid w:val="005849BB"/>
    <w:rsid w:val="00584A5D"/>
    <w:rsid w:val="00584ACA"/>
    <w:rsid w:val="0058524B"/>
    <w:rsid w:val="0058588D"/>
    <w:rsid w:val="00585907"/>
    <w:rsid w:val="00585AAC"/>
    <w:rsid w:val="00585FA4"/>
    <w:rsid w:val="0058607C"/>
    <w:rsid w:val="00586EFE"/>
    <w:rsid w:val="00587CF5"/>
    <w:rsid w:val="0059006D"/>
    <w:rsid w:val="005909AF"/>
    <w:rsid w:val="00590A55"/>
    <w:rsid w:val="005916BC"/>
    <w:rsid w:val="00591ABA"/>
    <w:rsid w:val="00591BA8"/>
    <w:rsid w:val="00592078"/>
    <w:rsid w:val="0059281A"/>
    <w:rsid w:val="0059383B"/>
    <w:rsid w:val="0059387D"/>
    <w:rsid w:val="00593EE3"/>
    <w:rsid w:val="005947DF"/>
    <w:rsid w:val="00594A37"/>
    <w:rsid w:val="00594BA8"/>
    <w:rsid w:val="00594C17"/>
    <w:rsid w:val="00594EAF"/>
    <w:rsid w:val="005956C4"/>
    <w:rsid w:val="005958FB"/>
    <w:rsid w:val="00595E0A"/>
    <w:rsid w:val="005965A6"/>
    <w:rsid w:val="00596710"/>
    <w:rsid w:val="00596748"/>
    <w:rsid w:val="00596C0D"/>
    <w:rsid w:val="00597B10"/>
    <w:rsid w:val="005A0567"/>
    <w:rsid w:val="005A08AA"/>
    <w:rsid w:val="005A1061"/>
    <w:rsid w:val="005A13BE"/>
    <w:rsid w:val="005A1676"/>
    <w:rsid w:val="005A1738"/>
    <w:rsid w:val="005A2137"/>
    <w:rsid w:val="005A2DA3"/>
    <w:rsid w:val="005A34A9"/>
    <w:rsid w:val="005A4C74"/>
    <w:rsid w:val="005A4E1E"/>
    <w:rsid w:val="005A61DE"/>
    <w:rsid w:val="005A62B2"/>
    <w:rsid w:val="005A7AE2"/>
    <w:rsid w:val="005A7E8A"/>
    <w:rsid w:val="005B024D"/>
    <w:rsid w:val="005B05C8"/>
    <w:rsid w:val="005B0992"/>
    <w:rsid w:val="005B0D85"/>
    <w:rsid w:val="005B11A8"/>
    <w:rsid w:val="005B1C45"/>
    <w:rsid w:val="005B2019"/>
    <w:rsid w:val="005B2204"/>
    <w:rsid w:val="005B32A3"/>
    <w:rsid w:val="005B362A"/>
    <w:rsid w:val="005B3693"/>
    <w:rsid w:val="005B3ABD"/>
    <w:rsid w:val="005B3F12"/>
    <w:rsid w:val="005B455F"/>
    <w:rsid w:val="005B4B5F"/>
    <w:rsid w:val="005B4DAE"/>
    <w:rsid w:val="005B5AD2"/>
    <w:rsid w:val="005B5D25"/>
    <w:rsid w:val="005B610F"/>
    <w:rsid w:val="005B6465"/>
    <w:rsid w:val="005B6C5A"/>
    <w:rsid w:val="005B6F88"/>
    <w:rsid w:val="005B7064"/>
    <w:rsid w:val="005C1293"/>
    <w:rsid w:val="005C13F3"/>
    <w:rsid w:val="005C1617"/>
    <w:rsid w:val="005C1993"/>
    <w:rsid w:val="005C1A58"/>
    <w:rsid w:val="005C21CF"/>
    <w:rsid w:val="005C225C"/>
    <w:rsid w:val="005C29BD"/>
    <w:rsid w:val="005C425E"/>
    <w:rsid w:val="005C49EB"/>
    <w:rsid w:val="005C4DDA"/>
    <w:rsid w:val="005C56AE"/>
    <w:rsid w:val="005C6082"/>
    <w:rsid w:val="005C63F2"/>
    <w:rsid w:val="005C6795"/>
    <w:rsid w:val="005C6923"/>
    <w:rsid w:val="005C6C9D"/>
    <w:rsid w:val="005C6DD8"/>
    <w:rsid w:val="005C6ED6"/>
    <w:rsid w:val="005C6FF2"/>
    <w:rsid w:val="005C7055"/>
    <w:rsid w:val="005C7510"/>
    <w:rsid w:val="005D080A"/>
    <w:rsid w:val="005D0926"/>
    <w:rsid w:val="005D0E54"/>
    <w:rsid w:val="005D18C5"/>
    <w:rsid w:val="005D2DDD"/>
    <w:rsid w:val="005D3254"/>
    <w:rsid w:val="005D3C44"/>
    <w:rsid w:val="005D3CB6"/>
    <w:rsid w:val="005D57F0"/>
    <w:rsid w:val="005D59AB"/>
    <w:rsid w:val="005D63EA"/>
    <w:rsid w:val="005D6408"/>
    <w:rsid w:val="005D6A23"/>
    <w:rsid w:val="005D6F47"/>
    <w:rsid w:val="005D7214"/>
    <w:rsid w:val="005E2F26"/>
    <w:rsid w:val="005E32E3"/>
    <w:rsid w:val="005E38B8"/>
    <w:rsid w:val="005E3C9C"/>
    <w:rsid w:val="005E44FD"/>
    <w:rsid w:val="005E59E7"/>
    <w:rsid w:val="005E6DD4"/>
    <w:rsid w:val="005E74CB"/>
    <w:rsid w:val="005E758F"/>
    <w:rsid w:val="005E77A4"/>
    <w:rsid w:val="005E7ABA"/>
    <w:rsid w:val="005F03C6"/>
    <w:rsid w:val="005F10EB"/>
    <w:rsid w:val="005F119C"/>
    <w:rsid w:val="005F1434"/>
    <w:rsid w:val="005F1525"/>
    <w:rsid w:val="005F1849"/>
    <w:rsid w:val="005F33B2"/>
    <w:rsid w:val="005F3811"/>
    <w:rsid w:val="005F3883"/>
    <w:rsid w:val="005F3DFB"/>
    <w:rsid w:val="005F4DAA"/>
    <w:rsid w:val="005F5A02"/>
    <w:rsid w:val="005F5BAE"/>
    <w:rsid w:val="005F5D5F"/>
    <w:rsid w:val="005F647D"/>
    <w:rsid w:val="005F69E0"/>
    <w:rsid w:val="005F6BB5"/>
    <w:rsid w:val="005F6D42"/>
    <w:rsid w:val="005F7621"/>
    <w:rsid w:val="0060030E"/>
    <w:rsid w:val="006009A6"/>
    <w:rsid w:val="00600AAC"/>
    <w:rsid w:val="00600FD5"/>
    <w:rsid w:val="006013CE"/>
    <w:rsid w:val="0060148E"/>
    <w:rsid w:val="00601EF8"/>
    <w:rsid w:val="0060233C"/>
    <w:rsid w:val="0060263B"/>
    <w:rsid w:val="00602DBD"/>
    <w:rsid w:val="00603603"/>
    <w:rsid w:val="0060386B"/>
    <w:rsid w:val="00604047"/>
    <w:rsid w:val="0060477F"/>
    <w:rsid w:val="00605129"/>
    <w:rsid w:val="0060663F"/>
    <w:rsid w:val="006066B3"/>
    <w:rsid w:val="006066C7"/>
    <w:rsid w:val="00606776"/>
    <w:rsid w:val="00606CE3"/>
    <w:rsid w:val="00606FBC"/>
    <w:rsid w:val="006106E5"/>
    <w:rsid w:val="006109BB"/>
    <w:rsid w:val="00610D0F"/>
    <w:rsid w:val="00611A70"/>
    <w:rsid w:val="00611EF3"/>
    <w:rsid w:val="006124E1"/>
    <w:rsid w:val="00612C1F"/>
    <w:rsid w:val="00613390"/>
    <w:rsid w:val="006135B1"/>
    <w:rsid w:val="00613C73"/>
    <w:rsid w:val="006140BE"/>
    <w:rsid w:val="00614F5C"/>
    <w:rsid w:val="00615404"/>
    <w:rsid w:val="006159C3"/>
    <w:rsid w:val="006172C9"/>
    <w:rsid w:val="00620450"/>
    <w:rsid w:val="00620949"/>
    <w:rsid w:val="00622190"/>
    <w:rsid w:val="00622616"/>
    <w:rsid w:val="00623226"/>
    <w:rsid w:val="00623513"/>
    <w:rsid w:val="00623D2D"/>
    <w:rsid w:val="00625EFC"/>
    <w:rsid w:val="00626397"/>
    <w:rsid w:val="006264CC"/>
    <w:rsid w:val="006276D3"/>
    <w:rsid w:val="0062781F"/>
    <w:rsid w:val="006303FB"/>
    <w:rsid w:val="0063079C"/>
    <w:rsid w:val="00631AD4"/>
    <w:rsid w:val="00631B53"/>
    <w:rsid w:val="00633376"/>
    <w:rsid w:val="0063349A"/>
    <w:rsid w:val="00633D70"/>
    <w:rsid w:val="0063400E"/>
    <w:rsid w:val="006345B7"/>
    <w:rsid w:val="00635769"/>
    <w:rsid w:val="006357B7"/>
    <w:rsid w:val="006358AA"/>
    <w:rsid w:val="006360D2"/>
    <w:rsid w:val="00637A73"/>
    <w:rsid w:val="00637CD3"/>
    <w:rsid w:val="00640B05"/>
    <w:rsid w:val="00641CA1"/>
    <w:rsid w:val="00642E30"/>
    <w:rsid w:val="00643079"/>
    <w:rsid w:val="00644571"/>
    <w:rsid w:val="00645536"/>
    <w:rsid w:val="00645DBA"/>
    <w:rsid w:val="006468E0"/>
    <w:rsid w:val="00646DD1"/>
    <w:rsid w:val="00647D2B"/>
    <w:rsid w:val="00647FDC"/>
    <w:rsid w:val="0065005D"/>
    <w:rsid w:val="00650174"/>
    <w:rsid w:val="0065050F"/>
    <w:rsid w:val="00651000"/>
    <w:rsid w:val="0065101D"/>
    <w:rsid w:val="0065187A"/>
    <w:rsid w:val="00651A61"/>
    <w:rsid w:val="00651AF6"/>
    <w:rsid w:val="006523DA"/>
    <w:rsid w:val="00652C69"/>
    <w:rsid w:val="00652D46"/>
    <w:rsid w:val="006532E2"/>
    <w:rsid w:val="006532E4"/>
    <w:rsid w:val="006535BE"/>
    <w:rsid w:val="00654EB9"/>
    <w:rsid w:val="00656C4E"/>
    <w:rsid w:val="00660868"/>
    <w:rsid w:val="0066118B"/>
    <w:rsid w:val="00661842"/>
    <w:rsid w:val="0066291E"/>
    <w:rsid w:val="00664FA5"/>
    <w:rsid w:val="006657FB"/>
    <w:rsid w:val="006659C1"/>
    <w:rsid w:val="00666A4D"/>
    <w:rsid w:val="00666FA9"/>
    <w:rsid w:val="006678E3"/>
    <w:rsid w:val="00667B78"/>
    <w:rsid w:val="006700B2"/>
    <w:rsid w:val="006711B8"/>
    <w:rsid w:val="0067228A"/>
    <w:rsid w:val="006732C3"/>
    <w:rsid w:val="0067351E"/>
    <w:rsid w:val="006738A6"/>
    <w:rsid w:val="006756FF"/>
    <w:rsid w:val="006757C1"/>
    <w:rsid w:val="00676126"/>
    <w:rsid w:val="006768C3"/>
    <w:rsid w:val="00677E65"/>
    <w:rsid w:val="0068027B"/>
    <w:rsid w:val="00680822"/>
    <w:rsid w:val="00680887"/>
    <w:rsid w:val="006817D2"/>
    <w:rsid w:val="00681F02"/>
    <w:rsid w:val="0068204C"/>
    <w:rsid w:val="00683333"/>
    <w:rsid w:val="006834C1"/>
    <w:rsid w:val="0068353A"/>
    <w:rsid w:val="00683B2C"/>
    <w:rsid w:val="006847BC"/>
    <w:rsid w:val="006848CD"/>
    <w:rsid w:val="00684BA7"/>
    <w:rsid w:val="006858C7"/>
    <w:rsid w:val="00686299"/>
    <w:rsid w:val="0068742C"/>
    <w:rsid w:val="00687EE4"/>
    <w:rsid w:val="00690608"/>
    <w:rsid w:val="006906BE"/>
    <w:rsid w:val="00690D6F"/>
    <w:rsid w:val="00690E1A"/>
    <w:rsid w:val="00690F78"/>
    <w:rsid w:val="00691386"/>
    <w:rsid w:val="00691FC6"/>
    <w:rsid w:val="00693720"/>
    <w:rsid w:val="0069475D"/>
    <w:rsid w:val="00694AAD"/>
    <w:rsid w:val="00694D35"/>
    <w:rsid w:val="0069610C"/>
    <w:rsid w:val="00696C5A"/>
    <w:rsid w:val="00697128"/>
    <w:rsid w:val="00697765"/>
    <w:rsid w:val="00697A72"/>
    <w:rsid w:val="00697C06"/>
    <w:rsid w:val="006A0936"/>
    <w:rsid w:val="006A0F74"/>
    <w:rsid w:val="006A0FC1"/>
    <w:rsid w:val="006A1393"/>
    <w:rsid w:val="006A140F"/>
    <w:rsid w:val="006A1436"/>
    <w:rsid w:val="006A15BC"/>
    <w:rsid w:val="006A1ADA"/>
    <w:rsid w:val="006A32A6"/>
    <w:rsid w:val="006A335B"/>
    <w:rsid w:val="006A3605"/>
    <w:rsid w:val="006A3FED"/>
    <w:rsid w:val="006A48E6"/>
    <w:rsid w:val="006A4CD2"/>
    <w:rsid w:val="006A5EA6"/>
    <w:rsid w:val="006A6111"/>
    <w:rsid w:val="006A6790"/>
    <w:rsid w:val="006A6E23"/>
    <w:rsid w:val="006A6E89"/>
    <w:rsid w:val="006A6F77"/>
    <w:rsid w:val="006A7841"/>
    <w:rsid w:val="006B1187"/>
    <w:rsid w:val="006B27D3"/>
    <w:rsid w:val="006B38A3"/>
    <w:rsid w:val="006B4523"/>
    <w:rsid w:val="006B4F28"/>
    <w:rsid w:val="006B5D99"/>
    <w:rsid w:val="006B5DCE"/>
    <w:rsid w:val="006B619D"/>
    <w:rsid w:val="006B6E89"/>
    <w:rsid w:val="006B730A"/>
    <w:rsid w:val="006B7B82"/>
    <w:rsid w:val="006B7CB2"/>
    <w:rsid w:val="006C0761"/>
    <w:rsid w:val="006C08BC"/>
    <w:rsid w:val="006C0C3C"/>
    <w:rsid w:val="006C0E4E"/>
    <w:rsid w:val="006C12AD"/>
    <w:rsid w:val="006C1B8F"/>
    <w:rsid w:val="006C27B5"/>
    <w:rsid w:val="006C2AE5"/>
    <w:rsid w:val="006C3561"/>
    <w:rsid w:val="006C3992"/>
    <w:rsid w:val="006C416B"/>
    <w:rsid w:val="006C4F64"/>
    <w:rsid w:val="006C5844"/>
    <w:rsid w:val="006C5CBE"/>
    <w:rsid w:val="006C60E0"/>
    <w:rsid w:val="006C6ACB"/>
    <w:rsid w:val="006C6D9F"/>
    <w:rsid w:val="006C6FA5"/>
    <w:rsid w:val="006D107E"/>
    <w:rsid w:val="006D169D"/>
    <w:rsid w:val="006D2710"/>
    <w:rsid w:val="006D2865"/>
    <w:rsid w:val="006D29CC"/>
    <w:rsid w:val="006D3025"/>
    <w:rsid w:val="006D325F"/>
    <w:rsid w:val="006D3F18"/>
    <w:rsid w:val="006D441C"/>
    <w:rsid w:val="006D4724"/>
    <w:rsid w:val="006D4AC1"/>
    <w:rsid w:val="006D4E8C"/>
    <w:rsid w:val="006D52CF"/>
    <w:rsid w:val="006D5375"/>
    <w:rsid w:val="006D5A25"/>
    <w:rsid w:val="006D5F98"/>
    <w:rsid w:val="006D6309"/>
    <w:rsid w:val="006D7134"/>
    <w:rsid w:val="006D7621"/>
    <w:rsid w:val="006E04CF"/>
    <w:rsid w:val="006E0B74"/>
    <w:rsid w:val="006E0BA9"/>
    <w:rsid w:val="006E19EA"/>
    <w:rsid w:val="006E264B"/>
    <w:rsid w:val="006E28FC"/>
    <w:rsid w:val="006E2D34"/>
    <w:rsid w:val="006E3236"/>
    <w:rsid w:val="006E4578"/>
    <w:rsid w:val="006E4A46"/>
    <w:rsid w:val="006E5750"/>
    <w:rsid w:val="006E5E36"/>
    <w:rsid w:val="006E662C"/>
    <w:rsid w:val="006E769F"/>
    <w:rsid w:val="006E7844"/>
    <w:rsid w:val="006E7F84"/>
    <w:rsid w:val="006F01D1"/>
    <w:rsid w:val="006F1300"/>
    <w:rsid w:val="006F14CA"/>
    <w:rsid w:val="006F1FEC"/>
    <w:rsid w:val="006F20C5"/>
    <w:rsid w:val="006F2206"/>
    <w:rsid w:val="006F266E"/>
    <w:rsid w:val="006F29A0"/>
    <w:rsid w:val="006F2F42"/>
    <w:rsid w:val="006F34D6"/>
    <w:rsid w:val="006F36C7"/>
    <w:rsid w:val="006F3A17"/>
    <w:rsid w:val="006F3DDF"/>
    <w:rsid w:val="006F3EF9"/>
    <w:rsid w:val="006F3FDC"/>
    <w:rsid w:val="006F410C"/>
    <w:rsid w:val="006F4C2D"/>
    <w:rsid w:val="006F5959"/>
    <w:rsid w:val="006F6762"/>
    <w:rsid w:val="006F6A27"/>
    <w:rsid w:val="006F6A48"/>
    <w:rsid w:val="006F6A62"/>
    <w:rsid w:val="006F7281"/>
    <w:rsid w:val="006F74A1"/>
    <w:rsid w:val="006F77DC"/>
    <w:rsid w:val="006F7C8B"/>
    <w:rsid w:val="00700F99"/>
    <w:rsid w:val="00701F86"/>
    <w:rsid w:val="00703094"/>
    <w:rsid w:val="00703415"/>
    <w:rsid w:val="00703B31"/>
    <w:rsid w:val="00703BF0"/>
    <w:rsid w:val="00704F41"/>
    <w:rsid w:val="0070532F"/>
    <w:rsid w:val="007053E5"/>
    <w:rsid w:val="00706E30"/>
    <w:rsid w:val="00706FF6"/>
    <w:rsid w:val="00707359"/>
    <w:rsid w:val="00707F44"/>
    <w:rsid w:val="00710272"/>
    <w:rsid w:val="007105C9"/>
    <w:rsid w:val="007113D0"/>
    <w:rsid w:val="0071191D"/>
    <w:rsid w:val="0071191F"/>
    <w:rsid w:val="00711E61"/>
    <w:rsid w:val="007120DE"/>
    <w:rsid w:val="00712D8D"/>
    <w:rsid w:val="007130F5"/>
    <w:rsid w:val="00713D13"/>
    <w:rsid w:val="00713F7A"/>
    <w:rsid w:val="0071414A"/>
    <w:rsid w:val="007156A4"/>
    <w:rsid w:val="00715966"/>
    <w:rsid w:val="007161ED"/>
    <w:rsid w:val="007204C5"/>
    <w:rsid w:val="00720971"/>
    <w:rsid w:val="007209E0"/>
    <w:rsid w:val="00720BC1"/>
    <w:rsid w:val="00721040"/>
    <w:rsid w:val="00721CC9"/>
    <w:rsid w:val="0072236D"/>
    <w:rsid w:val="0072378E"/>
    <w:rsid w:val="00723A3F"/>
    <w:rsid w:val="00723B65"/>
    <w:rsid w:val="00724244"/>
    <w:rsid w:val="00725043"/>
    <w:rsid w:val="0072553E"/>
    <w:rsid w:val="00725910"/>
    <w:rsid w:val="00726109"/>
    <w:rsid w:val="007272BC"/>
    <w:rsid w:val="007275A7"/>
    <w:rsid w:val="00727A00"/>
    <w:rsid w:val="007307F6"/>
    <w:rsid w:val="00730E3C"/>
    <w:rsid w:val="007312C1"/>
    <w:rsid w:val="007320F6"/>
    <w:rsid w:val="0073274C"/>
    <w:rsid w:val="007329D0"/>
    <w:rsid w:val="007337A4"/>
    <w:rsid w:val="0073409F"/>
    <w:rsid w:val="00734D39"/>
    <w:rsid w:val="007351DA"/>
    <w:rsid w:val="0073567A"/>
    <w:rsid w:val="00735B59"/>
    <w:rsid w:val="00736059"/>
    <w:rsid w:val="00736714"/>
    <w:rsid w:val="00736865"/>
    <w:rsid w:val="00736DD2"/>
    <w:rsid w:val="0073776B"/>
    <w:rsid w:val="00737E89"/>
    <w:rsid w:val="00740106"/>
    <w:rsid w:val="00740810"/>
    <w:rsid w:val="00740959"/>
    <w:rsid w:val="00740A7F"/>
    <w:rsid w:val="00741E9C"/>
    <w:rsid w:val="00742455"/>
    <w:rsid w:val="00742530"/>
    <w:rsid w:val="00742B48"/>
    <w:rsid w:val="00743203"/>
    <w:rsid w:val="007438B1"/>
    <w:rsid w:val="0074459A"/>
    <w:rsid w:val="007507E9"/>
    <w:rsid w:val="0075087F"/>
    <w:rsid w:val="00750BFE"/>
    <w:rsid w:val="00751A72"/>
    <w:rsid w:val="0075258C"/>
    <w:rsid w:val="0075266A"/>
    <w:rsid w:val="00752F7F"/>
    <w:rsid w:val="00753F10"/>
    <w:rsid w:val="00754112"/>
    <w:rsid w:val="00754372"/>
    <w:rsid w:val="0075439C"/>
    <w:rsid w:val="00755655"/>
    <w:rsid w:val="00755712"/>
    <w:rsid w:val="00756E60"/>
    <w:rsid w:val="007577A7"/>
    <w:rsid w:val="00757834"/>
    <w:rsid w:val="007605BD"/>
    <w:rsid w:val="007606EE"/>
    <w:rsid w:val="00760EBF"/>
    <w:rsid w:val="00760EE8"/>
    <w:rsid w:val="00762ACD"/>
    <w:rsid w:val="00763A9E"/>
    <w:rsid w:val="00764CB5"/>
    <w:rsid w:val="007657CE"/>
    <w:rsid w:val="00765D0C"/>
    <w:rsid w:val="00766063"/>
    <w:rsid w:val="00766BA4"/>
    <w:rsid w:val="00766D17"/>
    <w:rsid w:val="00767174"/>
    <w:rsid w:val="00767832"/>
    <w:rsid w:val="00767A9F"/>
    <w:rsid w:val="0077087C"/>
    <w:rsid w:val="007708E0"/>
    <w:rsid w:val="0077125F"/>
    <w:rsid w:val="0077135F"/>
    <w:rsid w:val="00771432"/>
    <w:rsid w:val="00771AED"/>
    <w:rsid w:val="00771FF2"/>
    <w:rsid w:val="007721C1"/>
    <w:rsid w:val="0077239B"/>
    <w:rsid w:val="007730F1"/>
    <w:rsid w:val="00773287"/>
    <w:rsid w:val="007737FD"/>
    <w:rsid w:val="007738A8"/>
    <w:rsid w:val="00773FED"/>
    <w:rsid w:val="0077402F"/>
    <w:rsid w:val="0077543B"/>
    <w:rsid w:val="00776299"/>
    <w:rsid w:val="0077796E"/>
    <w:rsid w:val="00777B74"/>
    <w:rsid w:val="007801AF"/>
    <w:rsid w:val="00780C04"/>
    <w:rsid w:val="00780FAB"/>
    <w:rsid w:val="00781993"/>
    <w:rsid w:val="007819F9"/>
    <w:rsid w:val="007826F2"/>
    <w:rsid w:val="00783E9E"/>
    <w:rsid w:val="00784361"/>
    <w:rsid w:val="007843E0"/>
    <w:rsid w:val="007847EF"/>
    <w:rsid w:val="0078493B"/>
    <w:rsid w:val="0078607B"/>
    <w:rsid w:val="007865B2"/>
    <w:rsid w:val="00786E60"/>
    <w:rsid w:val="0078719F"/>
    <w:rsid w:val="00787673"/>
    <w:rsid w:val="00787825"/>
    <w:rsid w:val="00790EED"/>
    <w:rsid w:val="00791838"/>
    <w:rsid w:val="007926F1"/>
    <w:rsid w:val="007928F0"/>
    <w:rsid w:val="00792949"/>
    <w:rsid w:val="00792D78"/>
    <w:rsid w:val="00792D7F"/>
    <w:rsid w:val="00793837"/>
    <w:rsid w:val="00794832"/>
    <w:rsid w:val="00796372"/>
    <w:rsid w:val="007968B4"/>
    <w:rsid w:val="00796B4F"/>
    <w:rsid w:val="00796DA8"/>
    <w:rsid w:val="00796EA6"/>
    <w:rsid w:val="00797267"/>
    <w:rsid w:val="0079726A"/>
    <w:rsid w:val="007974E7"/>
    <w:rsid w:val="00797AEF"/>
    <w:rsid w:val="00797FC1"/>
    <w:rsid w:val="007A060F"/>
    <w:rsid w:val="007A0C43"/>
    <w:rsid w:val="007A16B7"/>
    <w:rsid w:val="007A324B"/>
    <w:rsid w:val="007A34E4"/>
    <w:rsid w:val="007A36B5"/>
    <w:rsid w:val="007A3972"/>
    <w:rsid w:val="007A598C"/>
    <w:rsid w:val="007A719B"/>
    <w:rsid w:val="007A7339"/>
    <w:rsid w:val="007A7B49"/>
    <w:rsid w:val="007A7B64"/>
    <w:rsid w:val="007B0929"/>
    <w:rsid w:val="007B09EB"/>
    <w:rsid w:val="007B1054"/>
    <w:rsid w:val="007B148A"/>
    <w:rsid w:val="007B2433"/>
    <w:rsid w:val="007B26BF"/>
    <w:rsid w:val="007B349F"/>
    <w:rsid w:val="007B3ADE"/>
    <w:rsid w:val="007B4271"/>
    <w:rsid w:val="007B5AF6"/>
    <w:rsid w:val="007B644B"/>
    <w:rsid w:val="007B71C5"/>
    <w:rsid w:val="007C046E"/>
    <w:rsid w:val="007C04D6"/>
    <w:rsid w:val="007C0AB0"/>
    <w:rsid w:val="007C0B8F"/>
    <w:rsid w:val="007C11B6"/>
    <w:rsid w:val="007C1449"/>
    <w:rsid w:val="007C150C"/>
    <w:rsid w:val="007C1715"/>
    <w:rsid w:val="007C20C0"/>
    <w:rsid w:val="007C21BB"/>
    <w:rsid w:val="007C21E1"/>
    <w:rsid w:val="007C25F3"/>
    <w:rsid w:val="007C274E"/>
    <w:rsid w:val="007C2BE5"/>
    <w:rsid w:val="007C45F5"/>
    <w:rsid w:val="007C4AB4"/>
    <w:rsid w:val="007C4AEF"/>
    <w:rsid w:val="007C4C0D"/>
    <w:rsid w:val="007C4E22"/>
    <w:rsid w:val="007C4ED3"/>
    <w:rsid w:val="007C4F8F"/>
    <w:rsid w:val="007C5393"/>
    <w:rsid w:val="007C53FF"/>
    <w:rsid w:val="007C6F1A"/>
    <w:rsid w:val="007C7293"/>
    <w:rsid w:val="007C75E5"/>
    <w:rsid w:val="007C7C2D"/>
    <w:rsid w:val="007D0ACB"/>
    <w:rsid w:val="007D0BF1"/>
    <w:rsid w:val="007D180F"/>
    <w:rsid w:val="007D244F"/>
    <w:rsid w:val="007D336C"/>
    <w:rsid w:val="007D418E"/>
    <w:rsid w:val="007D5979"/>
    <w:rsid w:val="007D5FD3"/>
    <w:rsid w:val="007D63D0"/>
    <w:rsid w:val="007D6449"/>
    <w:rsid w:val="007D720E"/>
    <w:rsid w:val="007D7B2D"/>
    <w:rsid w:val="007D7DC6"/>
    <w:rsid w:val="007E11EF"/>
    <w:rsid w:val="007E16E2"/>
    <w:rsid w:val="007E1E78"/>
    <w:rsid w:val="007E1F09"/>
    <w:rsid w:val="007E1F37"/>
    <w:rsid w:val="007E20BB"/>
    <w:rsid w:val="007E233B"/>
    <w:rsid w:val="007E2A98"/>
    <w:rsid w:val="007E3AD2"/>
    <w:rsid w:val="007E3CEE"/>
    <w:rsid w:val="007E3D0D"/>
    <w:rsid w:val="007E3F6E"/>
    <w:rsid w:val="007E4264"/>
    <w:rsid w:val="007E5ACD"/>
    <w:rsid w:val="007E62E0"/>
    <w:rsid w:val="007E6D01"/>
    <w:rsid w:val="007E7E33"/>
    <w:rsid w:val="007F100B"/>
    <w:rsid w:val="007F1087"/>
    <w:rsid w:val="007F1DAB"/>
    <w:rsid w:val="007F2397"/>
    <w:rsid w:val="007F24A4"/>
    <w:rsid w:val="007F3195"/>
    <w:rsid w:val="007F31A2"/>
    <w:rsid w:val="007F3EB6"/>
    <w:rsid w:val="007F4768"/>
    <w:rsid w:val="007F480F"/>
    <w:rsid w:val="007F4BBA"/>
    <w:rsid w:val="007F5201"/>
    <w:rsid w:val="007F5FD5"/>
    <w:rsid w:val="007F5FE9"/>
    <w:rsid w:val="007F60A4"/>
    <w:rsid w:val="007F6297"/>
    <w:rsid w:val="007F62CE"/>
    <w:rsid w:val="007F670F"/>
    <w:rsid w:val="007F716F"/>
    <w:rsid w:val="007F7BDA"/>
    <w:rsid w:val="00800195"/>
    <w:rsid w:val="00800B99"/>
    <w:rsid w:val="00800EC4"/>
    <w:rsid w:val="00801FBB"/>
    <w:rsid w:val="00802BBE"/>
    <w:rsid w:val="008031F5"/>
    <w:rsid w:val="008049A8"/>
    <w:rsid w:val="00804AEE"/>
    <w:rsid w:val="0080596C"/>
    <w:rsid w:val="00805A58"/>
    <w:rsid w:val="00806436"/>
    <w:rsid w:val="00806D27"/>
    <w:rsid w:val="00807D27"/>
    <w:rsid w:val="00810824"/>
    <w:rsid w:val="0081094D"/>
    <w:rsid w:val="00810A2A"/>
    <w:rsid w:val="00810C8A"/>
    <w:rsid w:val="00811D9F"/>
    <w:rsid w:val="00812306"/>
    <w:rsid w:val="0081297F"/>
    <w:rsid w:val="00812FEF"/>
    <w:rsid w:val="008133F4"/>
    <w:rsid w:val="0081402D"/>
    <w:rsid w:val="008146C7"/>
    <w:rsid w:val="008149D1"/>
    <w:rsid w:val="00815526"/>
    <w:rsid w:val="00815748"/>
    <w:rsid w:val="00816823"/>
    <w:rsid w:val="008179D6"/>
    <w:rsid w:val="00821652"/>
    <w:rsid w:val="00821A75"/>
    <w:rsid w:val="00821CA7"/>
    <w:rsid w:val="0082281F"/>
    <w:rsid w:val="0082284A"/>
    <w:rsid w:val="008228ED"/>
    <w:rsid w:val="008230FB"/>
    <w:rsid w:val="0082333B"/>
    <w:rsid w:val="00823655"/>
    <w:rsid w:val="00824010"/>
    <w:rsid w:val="0082434A"/>
    <w:rsid w:val="00824C31"/>
    <w:rsid w:val="00824EE3"/>
    <w:rsid w:val="00825C48"/>
    <w:rsid w:val="008270D3"/>
    <w:rsid w:val="008274C6"/>
    <w:rsid w:val="00827E05"/>
    <w:rsid w:val="00830446"/>
    <w:rsid w:val="0083109D"/>
    <w:rsid w:val="008311DD"/>
    <w:rsid w:val="00831A86"/>
    <w:rsid w:val="00831B62"/>
    <w:rsid w:val="00831E29"/>
    <w:rsid w:val="0083213A"/>
    <w:rsid w:val="00832A2D"/>
    <w:rsid w:val="00832DAD"/>
    <w:rsid w:val="00833951"/>
    <w:rsid w:val="00833BDA"/>
    <w:rsid w:val="00834A25"/>
    <w:rsid w:val="0083556C"/>
    <w:rsid w:val="0083630C"/>
    <w:rsid w:val="0083659D"/>
    <w:rsid w:val="008368C4"/>
    <w:rsid w:val="00836A5F"/>
    <w:rsid w:val="00836B85"/>
    <w:rsid w:val="00837099"/>
    <w:rsid w:val="008378C8"/>
    <w:rsid w:val="0084043F"/>
    <w:rsid w:val="00840AE1"/>
    <w:rsid w:val="00841935"/>
    <w:rsid w:val="008419AF"/>
    <w:rsid w:val="0084244A"/>
    <w:rsid w:val="00842E75"/>
    <w:rsid w:val="0084308A"/>
    <w:rsid w:val="0084411E"/>
    <w:rsid w:val="008451D1"/>
    <w:rsid w:val="00845373"/>
    <w:rsid w:val="008457A9"/>
    <w:rsid w:val="008459D0"/>
    <w:rsid w:val="00845C18"/>
    <w:rsid w:val="008461F3"/>
    <w:rsid w:val="00847732"/>
    <w:rsid w:val="00847D69"/>
    <w:rsid w:val="0085022A"/>
    <w:rsid w:val="0085086A"/>
    <w:rsid w:val="00850B7E"/>
    <w:rsid w:val="00851730"/>
    <w:rsid w:val="00851B22"/>
    <w:rsid w:val="00851E53"/>
    <w:rsid w:val="0085204F"/>
    <w:rsid w:val="0085275F"/>
    <w:rsid w:val="00852850"/>
    <w:rsid w:val="00852E60"/>
    <w:rsid w:val="0085346A"/>
    <w:rsid w:val="00853E17"/>
    <w:rsid w:val="00854217"/>
    <w:rsid w:val="008551C0"/>
    <w:rsid w:val="00855BAB"/>
    <w:rsid w:val="00855CEA"/>
    <w:rsid w:val="00856BD8"/>
    <w:rsid w:val="00857279"/>
    <w:rsid w:val="00857A65"/>
    <w:rsid w:val="008602DB"/>
    <w:rsid w:val="008635F2"/>
    <w:rsid w:val="00864162"/>
    <w:rsid w:val="008649F5"/>
    <w:rsid w:val="008657C8"/>
    <w:rsid w:val="008673D3"/>
    <w:rsid w:val="00867D5E"/>
    <w:rsid w:val="008705CE"/>
    <w:rsid w:val="00870C19"/>
    <w:rsid w:val="00870F94"/>
    <w:rsid w:val="00871D34"/>
    <w:rsid w:val="008728E7"/>
    <w:rsid w:val="00872A0E"/>
    <w:rsid w:val="00874691"/>
    <w:rsid w:val="00875AC5"/>
    <w:rsid w:val="0087670A"/>
    <w:rsid w:val="008768C9"/>
    <w:rsid w:val="00876FA3"/>
    <w:rsid w:val="00881270"/>
    <w:rsid w:val="008815A4"/>
    <w:rsid w:val="00882D2F"/>
    <w:rsid w:val="00883AB6"/>
    <w:rsid w:val="00883DA7"/>
    <w:rsid w:val="008844BF"/>
    <w:rsid w:val="008847FA"/>
    <w:rsid w:val="00885121"/>
    <w:rsid w:val="0088555E"/>
    <w:rsid w:val="00885D78"/>
    <w:rsid w:val="0088789A"/>
    <w:rsid w:val="00887B94"/>
    <w:rsid w:val="008900BB"/>
    <w:rsid w:val="008905A8"/>
    <w:rsid w:val="00890750"/>
    <w:rsid w:val="008907A0"/>
    <w:rsid w:val="0089121D"/>
    <w:rsid w:val="00891EDF"/>
    <w:rsid w:val="008929FD"/>
    <w:rsid w:val="00892A08"/>
    <w:rsid w:val="00893F7E"/>
    <w:rsid w:val="0089408C"/>
    <w:rsid w:val="008945BE"/>
    <w:rsid w:val="008947CF"/>
    <w:rsid w:val="00894BCE"/>
    <w:rsid w:val="00895323"/>
    <w:rsid w:val="00896560"/>
    <w:rsid w:val="00896DFA"/>
    <w:rsid w:val="0089740E"/>
    <w:rsid w:val="0089768C"/>
    <w:rsid w:val="0089790E"/>
    <w:rsid w:val="008A0FCB"/>
    <w:rsid w:val="008A189D"/>
    <w:rsid w:val="008A246D"/>
    <w:rsid w:val="008A2CCD"/>
    <w:rsid w:val="008A2DD4"/>
    <w:rsid w:val="008A3839"/>
    <w:rsid w:val="008A41A2"/>
    <w:rsid w:val="008A4545"/>
    <w:rsid w:val="008A4669"/>
    <w:rsid w:val="008A5343"/>
    <w:rsid w:val="008A5E31"/>
    <w:rsid w:val="008A66DC"/>
    <w:rsid w:val="008A70C0"/>
    <w:rsid w:val="008A7101"/>
    <w:rsid w:val="008B124C"/>
    <w:rsid w:val="008B14CE"/>
    <w:rsid w:val="008B35D9"/>
    <w:rsid w:val="008B3CA5"/>
    <w:rsid w:val="008B4241"/>
    <w:rsid w:val="008B4762"/>
    <w:rsid w:val="008B5469"/>
    <w:rsid w:val="008B5B5F"/>
    <w:rsid w:val="008B6D94"/>
    <w:rsid w:val="008B702A"/>
    <w:rsid w:val="008B769A"/>
    <w:rsid w:val="008B7F48"/>
    <w:rsid w:val="008C0B33"/>
    <w:rsid w:val="008C1DA1"/>
    <w:rsid w:val="008C200D"/>
    <w:rsid w:val="008C2B47"/>
    <w:rsid w:val="008C2F43"/>
    <w:rsid w:val="008C4032"/>
    <w:rsid w:val="008C4963"/>
    <w:rsid w:val="008C5E6D"/>
    <w:rsid w:val="008C680F"/>
    <w:rsid w:val="008C696B"/>
    <w:rsid w:val="008C7020"/>
    <w:rsid w:val="008D0450"/>
    <w:rsid w:val="008D0754"/>
    <w:rsid w:val="008D1156"/>
    <w:rsid w:val="008D126C"/>
    <w:rsid w:val="008D1811"/>
    <w:rsid w:val="008D2115"/>
    <w:rsid w:val="008D2F55"/>
    <w:rsid w:val="008D4509"/>
    <w:rsid w:val="008D4B50"/>
    <w:rsid w:val="008D4CD3"/>
    <w:rsid w:val="008D612B"/>
    <w:rsid w:val="008D7556"/>
    <w:rsid w:val="008D76E0"/>
    <w:rsid w:val="008E083F"/>
    <w:rsid w:val="008E1B28"/>
    <w:rsid w:val="008E1F04"/>
    <w:rsid w:val="008E2B34"/>
    <w:rsid w:val="008E2C84"/>
    <w:rsid w:val="008E33FC"/>
    <w:rsid w:val="008E387F"/>
    <w:rsid w:val="008E3F47"/>
    <w:rsid w:val="008E4603"/>
    <w:rsid w:val="008E4A3A"/>
    <w:rsid w:val="008E4EC3"/>
    <w:rsid w:val="008E604E"/>
    <w:rsid w:val="008E6994"/>
    <w:rsid w:val="008E7A09"/>
    <w:rsid w:val="008F03FD"/>
    <w:rsid w:val="008F0BAC"/>
    <w:rsid w:val="008F1B77"/>
    <w:rsid w:val="008F1C42"/>
    <w:rsid w:val="008F328E"/>
    <w:rsid w:val="008F3659"/>
    <w:rsid w:val="008F377F"/>
    <w:rsid w:val="008F3846"/>
    <w:rsid w:val="008F4263"/>
    <w:rsid w:val="008F46A5"/>
    <w:rsid w:val="008F4B40"/>
    <w:rsid w:val="008F4EE3"/>
    <w:rsid w:val="008F52E0"/>
    <w:rsid w:val="008F5B01"/>
    <w:rsid w:val="008F5D8D"/>
    <w:rsid w:val="008F61BC"/>
    <w:rsid w:val="008F622B"/>
    <w:rsid w:val="008F6FF6"/>
    <w:rsid w:val="008F727E"/>
    <w:rsid w:val="008F76FF"/>
    <w:rsid w:val="008F7F60"/>
    <w:rsid w:val="00900927"/>
    <w:rsid w:val="00900CCB"/>
    <w:rsid w:val="0090102F"/>
    <w:rsid w:val="009010E4"/>
    <w:rsid w:val="00901299"/>
    <w:rsid w:val="00901611"/>
    <w:rsid w:val="0090192F"/>
    <w:rsid w:val="00901AEF"/>
    <w:rsid w:val="009022F0"/>
    <w:rsid w:val="00903AE2"/>
    <w:rsid w:val="00903AEA"/>
    <w:rsid w:val="009042A4"/>
    <w:rsid w:val="0090588C"/>
    <w:rsid w:val="00905F86"/>
    <w:rsid w:val="009079E0"/>
    <w:rsid w:val="00907C8B"/>
    <w:rsid w:val="00910080"/>
    <w:rsid w:val="00910368"/>
    <w:rsid w:val="00910F0B"/>
    <w:rsid w:val="009114C7"/>
    <w:rsid w:val="00911BE3"/>
    <w:rsid w:val="00912387"/>
    <w:rsid w:val="00912B1B"/>
    <w:rsid w:val="00913082"/>
    <w:rsid w:val="00913CD7"/>
    <w:rsid w:val="00913E6A"/>
    <w:rsid w:val="00915462"/>
    <w:rsid w:val="00916DB9"/>
    <w:rsid w:val="00917CF1"/>
    <w:rsid w:val="00917E39"/>
    <w:rsid w:val="0092043F"/>
    <w:rsid w:val="00920A68"/>
    <w:rsid w:val="00921ABD"/>
    <w:rsid w:val="00921D3B"/>
    <w:rsid w:val="00922141"/>
    <w:rsid w:val="00923134"/>
    <w:rsid w:val="00923C24"/>
    <w:rsid w:val="00924305"/>
    <w:rsid w:val="009243F5"/>
    <w:rsid w:val="009245FE"/>
    <w:rsid w:val="0092479E"/>
    <w:rsid w:val="00924B7F"/>
    <w:rsid w:val="00924C0E"/>
    <w:rsid w:val="009251F6"/>
    <w:rsid w:val="00925266"/>
    <w:rsid w:val="009255CE"/>
    <w:rsid w:val="009263BD"/>
    <w:rsid w:val="00926669"/>
    <w:rsid w:val="0092688D"/>
    <w:rsid w:val="00926A04"/>
    <w:rsid w:val="00927417"/>
    <w:rsid w:val="00927ABC"/>
    <w:rsid w:val="00927DC1"/>
    <w:rsid w:val="00930668"/>
    <w:rsid w:val="00930A3C"/>
    <w:rsid w:val="009310A3"/>
    <w:rsid w:val="009312CC"/>
    <w:rsid w:val="00931593"/>
    <w:rsid w:val="00931897"/>
    <w:rsid w:val="00933545"/>
    <w:rsid w:val="00933CF3"/>
    <w:rsid w:val="00933F35"/>
    <w:rsid w:val="0093495D"/>
    <w:rsid w:val="00934B5E"/>
    <w:rsid w:val="00935147"/>
    <w:rsid w:val="00935F08"/>
    <w:rsid w:val="00936465"/>
    <w:rsid w:val="00936749"/>
    <w:rsid w:val="009374DD"/>
    <w:rsid w:val="00940271"/>
    <w:rsid w:val="00940702"/>
    <w:rsid w:val="00940E24"/>
    <w:rsid w:val="00940FCE"/>
    <w:rsid w:val="009419C3"/>
    <w:rsid w:val="00942517"/>
    <w:rsid w:val="009429E7"/>
    <w:rsid w:val="00943331"/>
    <w:rsid w:val="009433E1"/>
    <w:rsid w:val="009434FF"/>
    <w:rsid w:val="00943E63"/>
    <w:rsid w:val="00944999"/>
    <w:rsid w:val="00944EF7"/>
    <w:rsid w:val="00944FA6"/>
    <w:rsid w:val="0094573F"/>
    <w:rsid w:val="00945C06"/>
    <w:rsid w:val="00946883"/>
    <w:rsid w:val="00947005"/>
    <w:rsid w:val="009479C7"/>
    <w:rsid w:val="009507C9"/>
    <w:rsid w:val="00950D0E"/>
    <w:rsid w:val="00951B98"/>
    <w:rsid w:val="009526F5"/>
    <w:rsid w:val="009527F3"/>
    <w:rsid w:val="009531DA"/>
    <w:rsid w:val="00953D66"/>
    <w:rsid w:val="00954D1D"/>
    <w:rsid w:val="009551D3"/>
    <w:rsid w:val="009555D1"/>
    <w:rsid w:val="009558B4"/>
    <w:rsid w:val="009569A8"/>
    <w:rsid w:val="00956ED3"/>
    <w:rsid w:val="0095771E"/>
    <w:rsid w:val="00957744"/>
    <w:rsid w:val="00957A3E"/>
    <w:rsid w:val="00957B37"/>
    <w:rsid w:val="00957C19"/>
    <w:rsid w:val="009604D7"/>
    <w:rsid w:val="0096149A"/>
    <w:rsid w:val="00962413"/>
    <w:rsid w:val="0096486C"/>
    <w:rsid w:val="00964FD6"/>
    <w:rsid w:val="009652F6"/>
    <w:rsid w:val="0096568F"/>
    <w:rsid w:val="0096582C"/>
    <w:rsid w:val="00967289"/>
    <w:rsid w:val="00971667"/>
    <w:rsid w:val="00971840"/>
    <w:rsid w:val="00971AF6"/>
    <w:rsid w:val="00971B41"/>
    <w:rsid w:val="00973E08"/>
    <w:rsid w:val="00974180"/>
    <w:rsid w:val="00974776"/>
    <w:rsid w:val="00974D5F"/>
    <w:rsid w:val="00975263"/>
    <w:rsid w:val="00976AA0"/>
    <w:rsid w:val="0097785C"/>
    <w:rsid w:val="009778AA"/>
    <w:rsid w:val="009779C9"/>
    <w:rsid w:val="00980327"/>
    <w:rsid w:val="009810C0"/>
    <w:rsid w:val="00981571"/>
    <w:rsid w:val="00981CE7"/>
    <w:rsid w:val="0098270D"/>
    <w:rsid w:val="0098320A"/>
    <w:rsid w:val="009837EB"/>
    <w:rsid w:val="00983B1D"/>
    <w:rsid w:val="00983C30"/>
    <w:rsid w:val="00984121"/>
    <w:rsid w:val="009844A5"/>
    <w:rsid w:val="0098488B"/>
    <w:rsid w:val="00984DC5"/>
    <w:rsid w:val="009860B2"/>
    <w:rsid w:val="009863FD"/>
    <w:rsid w:val="009869F8"/>
    <w:rsid w:val="009871AA"/>
    <w:rsid w:val="0098754C"/>
    <w:rsid w:val="0099053D"/>
    <w:rsid w:val="00990EAB"/>
    <w:rsid w:val="00991709"/>
    <w:rsid w:val="00991887"/>
    <w:rsid w:val="00992AE0"/>
    <w:rsid w:val="00992AEE"/>
    <w:rsid w:val="0099332C"/>
    <w:rsid w:val="0099366F"/>
    <w:rsid w:val="00994425"/>
    <w:rsid w:val="009944C2"/>
    <w:rsid w:val="009958F9"/>
    <w:rsid w:val="00995DE1"/>
    <w:rsid w:val="00996C46"/>
    <w:rsid w:val="00996F31"/>
    <w:rsid w:val="009A0628"/>
    <w:rsid w:val="009A1972"/>
    <w:rsid w:val="009A1A96"/>
    <w:rsid w:val="009A1FEB"/>
    <w:rsid w:val="009A20A4"/>
    <w:rsid w:val="009A2FA5"/>
    <w:rsid w:val="009A31C6"/>
    <w:rsid w:val="009A3C40"/>
    <w:rsid w:val="009A403B"/>
    <w:rsid w:val="009A41C6"/>
    <w:rsid w:val="009A4626"/>
    <w:rsid w:val="009A5275"/>
    <w:rsid w:val="009A5698"/>
    <w:rsid w:val="009A6A2B"/>
    <w:rsid w:val="009A7130"/>
    <w:rsid w:val="009A7703"/>
    <w:rsid w:val="009A77F9"/>
    <w:rsid w:val="009A7DB0"/>
    <w:rsid w:val="009A7EBA"/>
    <w:rsid w:val="009B0BF5"/>
    <w:rsid w:val="009B1211"/>
    <w:rsid w:val="009B207A"/>
    <w:rsid w:val="009B23AE"/>
    <w:rsid w:val="009B293C"/>
    <w:rsid w:val="009B314C"/>
    <w:rsid w:val="009B48CA"/>
    <w:rsid w:val="009B4EF4"/>
    <w:rsid w:val="009B5DEF"/>
    <w:rsid w:val="009B65FD"/>
    <w:rsid w:val="009B7B3C"/>
    <w:rsid w:val="009B7E1E"/>
    <w:rsid w:val="009B7E3E"/>
    <w:rsid w:val="009B7F1E"/>
    <w:rsid w:val="009C0040"/>
    <w:rsid w:val="009C044D"/>
    <w:rsid w:val="009C0C8B"/>
    <w:rsid w:val="009C1898"/>
    <w:rsid w:val="009C2152"/>
    <w:rsid w:val="009C47C2"/>
    <w:rsid w:val="009C485A"/>
    <w:rsid w:val="009C51BB"/>
    <w:rsid w:val="009C5935"/>
    <w:rsid w:val="009C606E"/>
    <w:rsid w:val="009C6085"/>
    <w:rsid w:val="009C622C"/>
    <w:rsid w:val="009C717A"/>
    <w:rsid w:val="009C76DC"/>
    <w:rsid w:val="009C7AE0"/>
    <w:rsid w:val="009C7E2B"/>
    <w:rsid w:val="009D00C9"/>
    <w:rsid w:val="009D2738"/>
    <w:rsid w:val="009D2A44"/>
    <w:rsid w:val="009D36FD"/>
    <w:rsid w:val="009D39BD"/>
    <w:rsid w:val="009D3D14"/>
    <w:rsid w:val="009D472F"/>
    <w:rsid w:val="009D68FA"/>
    <w:rsid w:val="009E0A9D"/>
    <w:rsid w:val="009E1170"/>
    <w:rsid w:val="009E117E"/>
    <w:rsid w:val="009E13AA"/>
    <w:rsid w:val="009E19B4"/>
    <w:rsid w:val="009E1FBD"/>
    <w:rsid w:val="009E2755"/>
    <w:rsid w:val="009E2DC3"/>
    <w:rsid w:val="009E2F48"/>
    <w:rsid w:val="009E4388"/>
    <w:rsid w:val="009E44BD"/>
    <w:rsid w:val="009E4A43"/>
    <w:rsid w:val="009E5604"/>
    <w:rsid w:val="009E58AD"/>
    <w:rsid w:val="009E5A96"/>
    <w:rsid w:val="009E5D3F"/>
    <w:rsid w:val="009E621D"/>
    <w:rsid w:val="009E6483"/>
    <w:rsid w:val="009E71AE"/>
    <w:rsid w:val="009E7352"/>
    <w:rsid w:val="009E7A1E"/>
    <w:rsid w:val="009F0B18"/>
    <w:rsid w:val="009F1374"/>
    <w:rsid w:val="009F1952"/>
    <w:rsid w:val="009F196B"/>
    <w:rsid w:val="009F1ACF"/>
    <w:rsid w:val="009F20D9"/>
    <w:rsid w:val="009F2198"/>
    <w:rsid w:val="009F22DA"/>
    <w:rsid w:val="009F2361"/>
    <w:rsid w:val="009F252E"/>
    <w:rsid w:val="009F2BF4"/>
    <w:rsid w:val="009F2FCC"/>
    <w:rsid w:val="009F308D"/>
    <w:rsid w:val="009F3B57"/>
    <w:rsid w:val="009F3C25"/>
    <w:rsid w:val="009F40E6"/>
    <w:rsid w:val="009F49C2"/>
    <w:rsid w:val="009F5009"/>
    <w:rsid w:val="009F5082"/>
    <w:rsid w:val="009F611D"/>
    <w:rsid w:val="009F61E7"/>
    <w:rsid w:val="009F7295"/>
    <w:rsid w:val="009F7A2B"/>
    <w:rsid w:val="009F7D30"/>
    <w:rsid w:val="009F7DA9"/>
    <w:rsid w:val="009F7F45"/>
    <w:rsid w:val="00A01A31"/>
    <w:rsid w:val="00A01FC6"/>
    <w:rsid w:val="00A020D1"/>
    <w:rsid w:val="00A02267"/>
    <w:rsid w:val="00A02563"/>
    <w:rsid w:val="00A02BCF"/>
    <w:rsid w:val="00A02F78"/>
    <w:rsid w:val="00A0311A"/>
    <w:rsid w:val="00A03280"/>
    <w:rsid w:val="00A039EE"/>
    <w:rsid w:val="00A03CCF"/>
    <w:rsid w:val="00A03D8E"/>
    <w:rsid w:val="00A042B0"/>
    <w:rsid w:val="00A053EC"/>
    <w:rsid w:val="00A06255"/>
    <w:rsid w:val="00A06B35"/>
    <w:rsid w:val="00A100A2"/>
    <w:rsid w:val="00A104FB"/>
    <w:rsid w:val="00A11B84"/>
    <w:rsid w:val="00A12E1C"/>
    <w:rsid w:val="00A13DF2"/>
    <w:rsid w:val="00A159D5"/>
    <w:rsid w:val="00A1625D"/>
    <w:rsid w:val="00A162D7"/>
    <w:rsid w:val="00A16D0F"/>
    <w:rsid w:val="00A17317"/>
    <w:rsid w:val="00A205E4"/>
    <w:rsid w:val="00A211EA"/>
    <w:rsid w:val="00A214D0"/>
    <w:rsid w:val="00A2295D"/>
    <w:rsid w:val="00A22DD2"/>
    <w:rsid w:val="00A2329C"/>
    <w:rsid w:val="00A23386"/>
    <w:rsid w:val="00A23F05"/>
    <w:rsid w:val="00A24830"/>
    <w:rsid w:val="00A24844"/>
    <w:rsid w:val="00A25010"/>
    <w:rsid w:val="00A25B7D"/>
    <w:rsid w:val="00A26080"/>
    <w:rsid w:val="00A26702"/>
    <w:rsid w:val="00A268B3"/>
    <w:rsid w:val="00A26ED4"/>
    <w:rsid w:val="00A27F8B"/>
    <w:rsid w:val="00A314B9"/>
    <w:rsid w:val="00A3219F"/>
    <w:rsid w:val="00A33328"/>
    <w:rsid w:val="00A336C8"/>
    <w:rsid w:val="00A336EA"/>
    <w:rsid w:val="00A33CF6"/>
    <w:rsid w:val="00A33F98"/>
    <w:rsid w:val="00A344F7"/>
    <w:rsid w:val="00A34DD6"/>
    <w:rsid w:val="00A36131"/>
    <w:rsid w:val="00A36498"/>
    <w:rsid w:val="00A37021"/>
    <w:rsid w:val="00A37C6E"/>
    <w:rsid w:val="00A37F15"/>
    <w:rsid w:val="00A417C6"/>
    <w:rsid w:val="00A41CA7"/>
    <w:rsid w:val="00A422B8"/>
    <w:rsid w:val="00A42619"/>
    <w:rsid w:val="00A4275B"/>
    <w:rsid w:val="00A429C8"/>
    <w:rsid w:val="00A42DF6"/>
    <w:rsid w:val="00A4335A"/>
    <w:rsid w:val="00A4390A"/>
    <w:rsid w:val="00A43CE6"/>
    <w:rsid w:val="00A44462"/>
    <w:rsid w:val="00A447FE"/>
    <w:rsid w:val="00A450C6"/>
    <w:rsid w:val="00A4527A"/>
    <w:rsid w:val="00A45CA6"/>
    <w:rsid w:val="00A46FD1"/>
    <w:rsid w:val="00A47722"/>
    <w:rsid w:val="00A4786E"/>
    <w:rsid w:val="00A47B4B"/>
    <w:rsid w:val="00A47EEA"/>
    <w:rsid w:val="00A5000C"/>
    <w:rsid w:val="00A50D9F"/>
    <w:rsid w:val="00A5102E"/>
    <w:rsid w:val="00A51074"/>
    <w:rsid w:val="00A51224"/>
    <w:rsid w:val="00A5130A"/>
    <w:rsid w:val="00A5179B"/>
    <w:rsid w:val="00A51C14"/>
    <w:rsid w:val="00A52171"/>
    <w:rsid w:val="00A52258"/>
    <w:rsid w:val="00A525D4"/>
    <w:rsid w:val="00A52D16"/>
    <w:rsid w:val="00A52F18"/>
    <w:rsid w:val="00A52F7F"/>
    <w:rsid w:val="00A53028"/>
    <w:rsid w:val="00A53692"/>
    <w:rsid w:val="00A53EBA"/>
    <w:rsid w:val="00A5433F"/>
    <w:rsid w:val="00A54A02"/>
    <w:rsid w:val="00A55C10"/>
    <w:rsid w:val="00A56199"/>
    <w:rsid w:val="00A566BF"/>
    <w:rsid w:val="00A56F3E"/>
    <w:rsid w:val="00A57C1B"/>
    <w:rsid w:val="00A57C77"/>
    <w:rsid w:val="00A57FB9"/>
    <w:rsid w:val="00A60FEC"/>
    <w:rsid w:val="00A61F16"/>
    <w:rsid w:val="00A623B5"/>
    <w:rsid w:val="00A6295D"/>
    <w:rsid w:val="00A62C5D"/>
    <w:rsid w:val="00A645B9"/>
    <w:rsid w:val="00A649FA"/>
    <w:rsid w:val="00A64D01"/>
    <w:rsid w:val="00A66F8B"/>
    <w:rsid w:val="00A6796B"/>
    <w:rsid w:val="00A67DAA"/>
    <w:rsid w:val="00A7067C"/>
    <w:rsid w:val="00A706A0"/>
    <w:rsid w:val="00A72314"/>
    <w:rsid w:val="00A72D93"/>
    <w:rsid w:val="00A73327"/>
    <w:rsid w:val="00A735F4"/>
    <w:rsid w:val="00A73742"/>
    <w:rsid w:val="00A73D45"/>
    <w:rsid w:val="00A745EC"/>
    <w:rsid w:val="00A74C54"/>
    <w:rsid w:val="00A74DBC"/>
    <w:rsid w:val="00A75110"/>
    <w:rsid w:val="00A751C3"/>
    <w:rsid w:val="00A759CC"/>
    <w:rsid w:val="00A75A4E"/>
    <w:rsid w:val="00A75AF9"/>
    <w:rsid w:val="00A75FFC"/>
    <w:rsid w:val="00A76469"/>
    <w:rsid w:val="00A7699B"/>
    <w:rsid w:val="00A76DDA"/>
    <w:rsid w:val="00A76E6B"/>
    <w:rsid w:val="00A7789A"/>
    <w:rsid w:val="00A77FC7"/>
    <w:rsid w:val="00A8128D"/>
    <w:rsid w:val="00A827A0"/>
    <w:rsid w:val="00A82B42"/>
    <w:rsid w:val="00A834C7"/>
    <w:rsid w:val="00A83D13"/>
    <w:rsid w:val="00A84ADC"/>
    <w:rsid w:val="00A859BB"/>
    <w:rsid w:val="00A86CEE"/>
    <w:rsid w:val="00A8785A"/>
    <w:rsid w:val="00A87C21"/>
    <w:rsid w:val="00A87D2A"/>
    <w:rsid w:val="00A90A17"/>
    <w:rsid w:val="00A90A58"/>
    <w:rsid w:val="00A90C20"/>
    <w:rsid w:val="00A90E7C"/>
    <w:rsid w:val="00A91E58"/>
    <w:rsid w:val="00A9228D"/>
    <w:rsid w:val="00A9355D"/>
    <w:rsid w:val="00A94E65"/>
    <w:rsid w:val="00A95D78"/>
    <w:rsid w:val="00A95EBD"/>
    <w:rsid w:val="00A962B2"/>
    <w:rsid w:val="00A9671C"/>
    <w:rsid w:val="00A971FA"/>
    <w:rsid w:val="00AA07D9"/>
    <w:rsid w:val="00AA14B7"/>
    <w:rsid w:val="00AA1CAF"/>
    <w:rsid w:val="00AA1E81"/>
    <w:rsid w:val="00AA1E89"/>
    <w:rsid w:val="00AA2D14"/>
    <w:rsid w:val="00AA324E"/>
    <w:rsid w:val="00AA3B47"/>
    <w:rsid w:val="00AA4052"/>
    <w:rsid w:val="00AA4658"/>
    <w:rsid w:val="00AA4A4B"/>
    <w:rsid w:val="00AA5135"/>
    <w:rsid w:val="00AA58F0"/>
    <w:rsid w:val="00AA616E"/>
    <w:rsid w:val="00AA71AE"/>
    <w:rsid w:val="00AB016E"/>
    <w:rsid w:val="00AB08AF"/>
    <w:rsid w:val="00AB0F4D"/>
    <w:rsid w:val="00AB1D1A"/>
    <w:rsid w:val="00AB20F3"/>
    <w:rsid w:val="00AB2B00"/>
    <w:rsid w:val="00AB2BD5"/>
    <w:rsid w:val="00AB2DEE"/>
    <w:rsid w:val="00AB2E87"/>
    <w:rsid w:val="00AB3C84"/>
    <w:rsid w:val="00AB3FF5"/>
    <w:rsid w:val="00AB4ACE"/>
    <w:rsid w:val="00AB4D52"/>
    <w:rsid w:val="00AB4F1F"/>
    <w:rsid w:val="00AB6731"/>
    <w:rsid w:val="00AC0517"/>
    <w:rsid w:val="00AC0990"/>
    <w:rsid w:val="00AC0BD7"/>
    <w:rsid w:val="00AC1418"/>
    <w:rsid w:val="00AC15AF"/>
    <w:rsid w:val="00AC1C8C"/>
    <w:rsid w:val="00AC1DA8"/>
    <w:rsid w:val="00AC20EF"/>
    <w:rsid w:val="00AC4838"/>
    <w:rsid w:val="00AC5D71"/>
    <w:rsid w:val="00AC6C5F"/>
    <w:rsid w:val="00AC7A80"/>
    <w:rsid w:val="00AC7E01"/>
    <w:rsid w:val="00AD03E5"/>
    <w:rsid w:val="00AD1E1D"/>
    <w:rsid w:val="00AD29AB"/>
    <w:rsid w:val="00AD4443"/>
    <w:rsid w:val="00AD64F1"/>
    <w:rsid w:val="00AD6C69"/>
    <w:rsid w:val="00AD6EB4"/>
    <w:rsid w:val="00AD7059"/>
    <w:rsid w:val="00AD75EB"/>
    <w:rsid w:val="00AD7690"/>
    <w:rsid w:val="00AE1435"/>
    <w:rsid w:val="00AE151A"/>
    <w:rsid w:val="00AE41EA"/>
    <w:rsid w:val="00AE4F7A"/>
    <w:rsid w:val="00AE4FFD"/>
    <w:rsid w:val="00AE5C34"/>
    <w:rsid w:val="00AE63FA"/>
    <w:rsid w:val="00AE69FA"/>
    <w:rsid w:val="00AE73F6"/>
    <w:rsid w:val="00AF06AF"/>
    <w:rsid w:val="00AF098D"/>
    <w:rsid w:val="00AF1CA7"/>
    <w:rsid w:val="00AF223F"/>
    <w:rsid w:val="00AF318E"/>
    <w:rsid w:val="00AF32C9"/>
    <w:rsid w:val="00AF3A22"/>
    <w:rsid w:val="00AF3B60"/>
    <w:rsid w:val="00AF42E9"/>
    <w:rsid w:val="00AF4486"/>
    <w:rsid w:val="00AF4488"/>
    <w:rsid w:val="00AF4A65"/>
    <w:rsid w:val="00AF5395"/>
    <w:rsid w:val="00AF7E04"/>
    <w:rsid w:val="00AF7E34"/>
    <w:rsid w:val="00AF7F12"/>
    <w:rsid w:val="00B00644"/>
    <w:rsid w:val="00B010C5"/>
    <w:rsid w:val="00B014C6"/>
    <w:rsid w:val="00B01A3D"/>
    <w:rsid w:val="00B0208F"/>
    <w:rsid w:val="00B02A28"/>
    <w:rsid w:val="00B02C0E"/>
    <w:rsid w:val="00B0307B"/>
    <w:rsid w:val="00B0499D"/>
    <w:rsid w:val="00B06212"/>
    <w:rsid w:val="00B0664F"/>
    <w:rsid w:val="00B07743"/>
    <w:rsid w:val="00B10454"/>
    <w:rsid w:val="00B1051B"/>
    <w:rsid w:val="00B1053F"/>
    <w:rsid w:val="00B11810"/>
    <w:rsid w:val="00B1220C"/>
    <w:rsid w:val="00B1260B"/>
    <w:rsid w:val="00B127A4"/>
    <w:rsid w:val="00B128BD"/>
    <w:rsid w:val="00B128EC"/>
    <w:rsid w:val="00B12E21"/>
    <w:rsid w:val="00B13202"/>
    <w:rsid w:val="00B1362D"/>
    <w:rsid w:val="00B13C66"/>
    <w:rsid w:val="00B15526"/>
    <w:rsid w:val="00B160FB"/>
    <w:rsid w:val="00B16249"/>
    <w:rsid w:val="00B1650A"/>
    <w:rsid w:val="00B16574"/>
    <w:rsid w:val="00B17E2E"/>
    <w:rsid w:val="00B20827"/>
    <w:rsid w:val="00B2095D"/>
    <w:rsid w:val="00B20963"/>
    <w:rsid w:val="00B20DBC"/>
    <w:rsid w:val="00B212B0"/>
    <w:rsid w:val="00B21888"/>
    <w:rsid w:val="00B21E0C"/>
    <w:rsid w:val="00B24999"/>
    <w:rsid w:val="00B2522C"/>
    <w:rsid w:val="00B25964"/>
    <w:rsid w:val="00B26623"/>
    <w:rsid w:val="00B2680C"/>
    <w:rsid w:val="00B26992"/>
    <w:rsid w:val="00B26ACC"/>
    <w:rsid w:val="00B27225"/>
    <w:rsid w:val="00B274A1"/>
    <w:rsid w:val="00B30183"/>
    <w:rsid w:val="00B30EB5"/>
    <w:rsid w:val="00B31A50"/>
    <w:rsid w:val="00B31B96"/>
    <w:rsid w:val="00B32E22"/>
    <w:rsid w:val="00B3319C"/>
    <w:rsid w:val="00B3417A"/>
    <w:rsid w:val="00B3451C"/>
    <w:rsid w:val="00B3467B"/>
    <w:rsid w:val="00B349B9"/>
    <w:rsid w:val="00B34A23"/>
    <w:rsid w:val="00B34A6E"/>
    <w:rsid w:val="00B34D27"/>
    <w:rsid w:val="00B35730"/>
    <w:rsid w:val="00B3591D"/>
    <w:rsid w:val="00B371ED"/>
    <w:rsid w:val="00B37546"/>
    <w:rsid w:val="00B37A6B"/>
    <w:rsid w:val="00B37EFB"/>
    <w:rsid w:val="00B41C21"/>
    <w:rsid w:val="00B427DB"/>
    <w:rsid w:val="00B4280E"/>
    <w:rsid w:val="00B4366D"/>
    <w:rsid w:val="00B44AFC"/>
    <w:rsid w:val="00B451C4"/>
    <w:rsid w:val="00B4546A"/>
    <w:rsid w:val="00B45CEF"/>
    <w:rsid w:val="00B45CFD"/>
    <w:rsid w:val="00B45E23"/>
    <w:rsid w:val="00B45FE6"/>
    <w:rsid w:val="00B46AED"/>
    <w:rsid w:val="00B473AA"/>
    <w:rsid w:val="00B5076C"/>
    <w:rsid w:val="00B508CE"/>
    <w:rsid w:val="00B50D0D"/>
    <w:rsid w:val="00B51939"/>
    <w:rsid w:val="00B5261B"/>
    <w:rsid w:val="00B52D3E"/>
    <w:rsid w:val="00B53FB9"/>
    <w:rsid w:val="00B559B1"/>
    <w:rsid w:val="00B55F5A"/>
    <w:rsid w:val="00B5632F"/>
    <w:rsid w:val="00B56540"/>
    <w:rsid w:val="00B57996"/>
    <w:rsid w:val="00B61617"/>
    <w:rsid w:val="00B6169D"/>
    <w:rsid w:val="00B61BE1"/>
    <w:rsid w:val="00B62885"/>
    <w:rsid w:val="00B628CF"/>
    <w:rsid w:val="00B62C36"/>
    <w:rsid w:val="00B6366F"/>
    <w:rsid w:val="00B63704"/>
    <w:rsid w:val="00B64071"/>
    <w:rsid w:val="00B64353"/>
    <w:rsid w:val="00B6456F"/>
    <w:rsid w:val="00B64937"/>
    <w:rsid w:val="00B649AB"/>
    <w:rsid w:val="00B711DC"/>
    <w:rsid w:val="00B71564"/>
    <w:rsid w:val="00B72228"/>
    <w:rsid w:val="00B724DE"/>
    <w:rsid w:val="00B72A06"/>
    <w:rsid w:val="00B72B71"/>
    <w:rsid w:val="00B72C25"/>
    <w:rsid w:val="00B72CCB"/>
    <w:rsid w:val="00B73341"/>
    <w:rsid w:val="00B7345C"/>
    <w:rsid w:val="00B73706"/>
    <w:rsid w:val="00B758D5"/>
    <w:rsid w:val="00B7595F"/>
    <w:rsid w:val="00B75D66"/>
    <w:rsid w:val="00B765FB"/>
    <w:rsid w:val="00B7682F"/>
    <w:rsid w:val="00B76978"/>
    <w:rsid w:val="00B76D75"/>
    <w:rsid w:val="00B76FFB"/>
    <w:rsid w:val="00B77023"/>
    <w:rsid w:val="00B773EF"/>
    <w:rsid w:val="00B774D4"/>
    <w:rsid w:val="00B7798D"/>
    <w:rsid w:val="00B77B18"/>
    <w:rsid w:val="00B80285"/>
    <w:rsid w:val="00B8046B"/>
    <w:rsid w:val="00B81291"/>
    <w:rsid w:val="00B8132D"/>
    <w:rsid w:val="00B81FBA"/>
    <w:rsid w:val="00B831C5"/>
    <w:rsid w:val="00B83611"/>
    <w:rsid w:val="00B8365D"/>
    <w:rsid w:val="00B83EFE"/>
    <w:rsid w:val="00B84ABA"/>
    <w:rsid w:val="00B85003"/>
    <w:rsid w:val="00B85484"/>
    <w:rsid w:val="00B858F9"/>
    <w:rsid w:val="00B85B60"/>
    <w:rsid w:val="00B8611B"/>
    <w:rsid w:val="00B86AA9"/>
    <w:rsid w:val="00B923A1"/>
    <w:rsid w:val="00B92423"/>
    <w:rsid w:val="00B928E7"/>
    <w:rsid w:val="00B92E73"/>
    <w:rsid w:val="00B93210"/>
    <w:rsid w:val="00B93261"/>
    <w:rsid w:val="00B937E3"/>
    <w:rsid w:val="00B93A0E"/>
    <w:rsid w:val="00B94337"/>
    <w:rsid w:val="00B944CF"/>
    <w:rsid w:val="00B94AAD"/>
    <w:rsid w:val="00B9536A"/>
    <w:rsid w:val="00B95C8C"/>
    <w:rsid w:val="00B9619E"/>
    <w:rsid w:val="00B96B9E"/>
    <w:rsid w:val="00B96D96"/>
    <w:rsid w:val="00B96E99"/>
    <w:rsid w:val="00B97542"/>
    <w:rsid w:val="00B97976"/>
    <w:rsid w:val="00BA0512"/>
    <w:rsid w:val="00BA0A48"/>
    <w:rsid w:val="00BA12A7"/>
    <w:rsid w:val="00BA1B55"/>
    <w:rsid w:val="00BA2F7D"/>
    <w:rsid w:val="00BA3485"/>
    <w:rsid w:val="00BA368F"/>
    <w:rsid w:val="00BA521A"/>
    <w:rsid w:val="00BA540B"/>
    <w:rsid w:val="00BA5BE6"/>
    <w:rsid w:val="00BA6800"/>
    <w:rsid w:val="00BA6E5F"/>
    <w:rsid w:val="00BA7A0F"/>
    <w:rsid w:val="00BA7FAE"/>
    <w:rsid w:val="00BB0417"/>
    <w:rsid w:val="00BB4012"/>
    <w:rsid w:val="00BB4786"/>
    <w:rsid w:val="00BB4DF5"/>
    <w:rsid w:val="00BB507F"/>
    <w:rsid w:val="00BB5A89"/>
    <w:rsid w:val="00BB5AE6"/>
    <w:rsid w:val="00BB5B75"/>
    <w:rsid w:val="00BB609D"/>
    <w:rsid w:val="00BB6658"/>
    <w:rsid w:val="00BB6DCE"/>
    <w:rsid w:val="00BB6E0B"/>
    <w:rsid w:val="00BB70DF"/>
    <w:rsid w:val="00BB7A95"/>
    <w:rsid w:val="00BC07A5"/>
    <w:rsid w:val="00BC1838"/>
    <w:rsid w:val="00BC1F2F"/>
    <w:rsid w:val="00BC21CE"/>
    <w:rsid w:val="00BC2343"/>
    <w:rsid w:val="00BC2BF5"/>
    <w:rsid w:val="00BC2C9B"/>
    <w:rsid w:val="00BC369C"/>
    <w:rsid w:val="00BC3789"/>
    <w:rsid w:val="00BC3812"/>
    <w:rsid w:val="00BC4920"/>
    <w:rsid w:val="00BC4D4A"/>
    <w:rsid w:val="00BC5080"/>
    <w:rsid w:val="00BC516C"/>
    <w:rsid w:val="00BC51CF"/>
    <w:rsid w:val="00BC54E9"/>
    <w:rsid w:val="00BC5DCA"/>
    <w:rsid w:val="00BC5E17"/>
    <w:rsid w:val="00BC5E43"/>
    <w:rsid w:val="00BC62B4"/>
    <w:rsid w:val="00BC6A6C"/>
    <w:rsid w:val="00BC6C2C"/>
    <w:rsid w:val="00BC6CA9"/>
    <w:rsid w:val="00BC739F"/>
    <w:rsid w:val="00BC7925"/>
    <w:rsid w:val="00BC7B96"/>
    <w:rsid w:val="00BC7E19"/>
    <w:rsid w:val="00BD00B7"/>
    <w:rsid w:val="00BD0BBD"/>
    <w:rsid w:val="00BD0D5F"/>
    <w:rsid w:val="00BD0F81"/>
    <w:rsid w:val="00BD12E1"/>
    <w:rsid w:val="00BD18BE"/>
    <w:rsid w:val="00BD18D4"/>
    <w:rsid w:val="00BD1E3D"/>
    <w:rsid w:val="00BD2915"/>
    <w:rsid w:val="00BD2ACD"/>
    <w:rsid w:val="00BD3738"/>
    <w:rsid w:val="00BD40CE"/>
    <w:rsid w:val="00BD4364"/>
    <w:rsid w:val="00BD4396"/>
    <w:rsid w:val="00BD46BE"/>
    <w:rsid w:val="00BD47BB"/>
    <w:rsid w:val="00BD4A44"/>
    <w:rsid w:val="00BD59B8"/>
    <w:rsid w:val="00BD643F"/>
    <w:rsid w:val="00BD6A37"/>
    <w:rsid w:val="00BD6DC2"/>
    <w:rsid w:val="00BD7893"/>
    <w:rsid w:val="00BD7B54"/>
    <w:rsid w:val="00BE05A3"/>
    <w:rsid w:val="00BE0E75"/>
    <w:rsid w:val="00BE0ED8"/>
    <w:rsid w:val="00BE1372"/>
    <w:rsid w:val="00BE13D0"/>
    <w:rsid w:val="00BE1C33"/>
    <w:rsid w:val="00BE1C64"/>
    <w:rsid w:val="00BE2B77"/>
    <w:rsid w:val="00BE2BDE"/>
    <w:rsid w:val="00BE37C4"/>
    <w:rsid w:val="00BE4165"/>
    <w:rsid w:val="00BE466A"/>
    <w:rsid w:val="00BE4785"/>
    <w:rsid w:val="00BE4F79"/>
    <w:rsid w:val="00BE5026"/>
    <w:rsid w:val="00BE53CE"/>
    <w:rsid w:val="00BE54E6"/>
    <w:rsid w:val="00BE65F4"/>
    <w:rsid w:val="00BE6BA3"/>
    <w:rsid w:val="00BE6DFB"/>
    <w:rsid w:val="00BE70B6"/>
    <w:rsid w:val="00BE728F"/>
    <w:rsid w:val="00BE79FF"/>
    <w:rsid w:val="00BF0067"/>
    <w:rsid w:val="00BF34B1"/>
    <w:rsid w:val="00BF3ACD"/>
    <w:rsid w:val="00BF3DC2"/>
    <w:rsid w:val="00BF4D26"/>
    <w:rsid w:val="00BF55FE"/>
    <w:rsid w:val="00BF6E3B"/>
    <w:rsid w:val="00BF739B"/>
    <w:rsid w:val="00BF7BD5"/>
    <w:rsid w:val="00BF7CC1"/>
    <w:rsid w:val="00C00F30"/>
    <w:rsid w:val="00C00FA3"/>
    <w:rsid w:val="00C018F8"/>
    <w:rsid w:val="00C01939"/>
    <w:rsid w:val="00C02548"/>
    <w:rsid w:val="00C0308D"/>
    <w:rsid w:val="00C0348B"/>
    <w:rsid w:val="00C0406A"/>
    <w:rsid w:val="00C04894"/>
    <w:rsid w:val="00C05027"/>
    <w:rsid w:val="00C0519F"/>
    <w:rsid w:val="00C05746"/>
    <w:rsid w:val="00C0770F"/>
    <w:rsid w:val="00C114C6"/>
    <w:rsid w:val="00C11B39"/>
    <w:rsid w:val="00C12C16"/>
    <w:rsid w:val="00C13309"/>
    <w:rsid w:val="00C13EF0"/>
    <w:rsid w:val="00C144E1"/>
    <w:rsid w:val="00C14611"/>
    <w:rsid w:val="00C14FA7"/>
    <w:rsid w:val="00C15475"/>
    <w:rsid w:val="00C164DE"/>
    <w:rsid w:val="00C16CAC"/>
    <w:rsid w:val="00C16D0A"/>
    <w:rsid w:val="00C17837"/>
    <w:rsid w:val="00C17A18"/>
    <w:rsid w:val="00C20137"/>
    <w:rsid w:val="00C20243"/>
    <w:rsid w:val="00C20B60"/>
    <w:rsid w:val="00C21765"/>
    <w:rsid w:val="00C23224"/>
    <w:rsid w:val="00C24B34"/>
    <w:rsid w:val="00C251DB"/>
    <w:rsid w:val="00C251F0"/>
    <w:rsid w:val="00C26BCB"/>
    <w:rsid w:val="00C31134"/>
    <w:rsid w:val="00C31961"/>
    <w:rsid w:val="00C31CEF"/>
    <w:rsid w:val="00C31D05"/>
    <w:rsid w:val="00C31F3D"/>
    <w:rsid w:val="00C32208"/>
    <w:rsid w:val="00C32246"/>
    <w:rsid w:val="00C33079"/>
    <w:rsid w:val="00C331C9"/>
    <w:rsid w:val="00C3393A"/>
    <w:rsid w:val="00C33F67"/>
    <w:rsid w:val="00C33FE9"/>
    <w:rsid w:val="00C343C0"/>
    <w:rsid w:val="00C34587"/>
    <w:rsid w:val="00C34FCA"/>
    <w:rsid w:val="00C35751"/>
    <w:rsid w:val="00C35EE3"/>
    <w:rsid w:val="00C35EF2"/>
    <w:rsid w:val="00C36522"/>
    <w:rsid w:val="00C37609"/>
    <w:rsid w:val="00C3777B"/>
    <w:rsid w:val="00C400FB"/>
    <w:rsid w:val="00C4080D"/>
    <w:rsid w:val="00C40E22"/>
    <w:rsid w:val="00C416A6"/>
    <w:rsid w:val="00C42510"/>
    <w:rsid w:val="00C429E7"/>
    <w:rsid w:val="00C42A69"/>
    <w:rsid w:val="00C42A85"/>
    <w:rsid w:val="00C42F84"/>
    <w:rsid w:val="00C43AA6"/>
    <w:rsid w:val="00C43DF6"/>
    <w:rsid w:val="00C441FB"/>
    <w:rsid w:val="00C445D4"/>
    <w:rsid w:val="00C46D01"/>
    <w:rsid w:val="00C475CB"/>
    <w:rsid w:val="00C476A0"/>
    <w:rsid w:val="00C477D2"/>
    <w:rsid w:val="00C47820"/>
    <w:rsid w:val="00C47B40"/>
    <w:rsid w:val="00C50AED"/>
    <w:rsid w:val="00C51A00"/>
    <w:rsid w:val="00C52383"/>
    <w:rsid w:val="00C5252B"/>
    <w:rsid w:val="00C52AEC"/>
    <w:rsid w:val="00C52C36"/>
    <w:rsid w:val="00C532EE"/>
    <w:rsid w:val="00C535A9"/>
    <w:rsid w:val="00C537B1"/>
    <w:rsid w:val="00C538CA"/>
    <w:rsid w:val="00C53FCD"/>
    <w:rsid w:val="00C550AD"/>
    <w:rsid w:val="00C5616D"/>
    <w:rsid w:val="00C56338"/>
    <w:rsid w:val="00C56EC2"/>
    <w:rsid w:val="00C570DB"/>
    <w:rsid w:val="00C57402"/>
    <w:rsid w:val="00C576B1"/>
    <w:rsid w:val="00C57C83"/>
    <w:rsid w:val="00C6043D"/>
    <w:rsid w:val="00C624C4"/>
    <w:rsid w:val="00C6251F"/>
    <w:rsid w:val="00C62766"/>
    <w:rsid w:val="00C63506"/>
    <w:rsid w:val="00C635F8"/>
    <w:rsid w:val="00C639E4"/>
    <w:rsid w:val="00C63F11"/>
    <w:rsid w:val="00C647A5"/>
    <w:rsid w:val="00C648B1"/>
    <w:rsid w:val="00C65310"/>
    <w:rsid w:val="00C664C7"/>
    <w:rsid w:val="00C66ABA"/>
    <w:rsid w:val="00C670FB"/>
    <w:rsid w:val="00C67211"/>
    <w:rsid w:val="00C67A06"/>
    <w:rsid w:val="00C7013E"/>
    <w:rsid w:val="00C70622"/>
    <w:rsid w:val="00C70D19"/>
    <w:rsid w:val="00C716B0"/>
    <w:rsid w:val="00C723BA"/>
    <w:rsid w:val="00C73174"/>
    <w:rsid w:val="00C73495"/>
    <w:rsid w:val="00C73CA9"/>
    <w:rsid w:val="00C73E3C"/>
    <w:rsid w:val="00C751A0"/>
    <w:rsid w:val="00C754EA"/>
    <w:rsid w:val="00C754F0"/>
    <w:rsid w:val="00C76019"/>
    <w:rsid w:val="00C7642A"/>
    <w:rsid w:val="00C80B2D"/>
    <w:rsid w:val="00C8135E"/>
    <w:rsid w:val="00C8152B"/>
    <w:rsid w:val="00C81615"/>
    <w:rsid w:val="00C81D43"/>
    <w:rsid w:val="00C82175"/>
    <w:rsid w:val="00C82D5A"/>
    <w:rsid w:val="00C839ED"/>
    <w:rsid w:val="00C83BD8"/>
    <w:rsid w:val="00C83F25"/>
    <w:rsid w:val="00C83F41"/>
    <w:rsid w:val="00C84E4B"/>
    <w:rsid w:val="00C8633E"/>
    <w:rsid w:val="00C863A5"/>
    <w:rsid w:val="00C86C7F"/>
    <w:rsid w:val="00C9078A"/>
    <w:rsid w:val="00C92548"/>
    <w:rsid w:val="00C92A77"/>
    <w:rsid w:val="00C92B29"/>
    <w:rsid w:val="00C93D3F"/>
    <w:rsid w:val="00C9420F"/>
    <w:rsid w:val="00C9474B"/>
    <w:rsid w:val="00C94820"/>
    <w:rsid w:val="00C94C63"/>
    <w:rsid w:val="00C955DA"/>
    <w:rsid w:val="00C95EC9"/>
    <w:rsid w:val="00C96436"/>
    <w:rsid w:val="00C973CE"/>
    <w:rsid w:val="00C97918"/>
    <w:rsid w:val="00C97B94"/>
    <w:rsid w:val="00C97E14"/>
    <w:rsid w:val="00CA132E"/>
    <w:rsid w:val="00CA171C"/>
    <w:rsid w:val="00CA243A"/>
    <w:rsid w:val="00CA356A"/>
    <w:rsid w:val="00CA35E0"/>
    <w:rsid w:val="00CA365E"/>
    <w:rsid w:val="00CA3989"/>
    <w:rsid w:val="00CA45DE"/>
    <w:rsid w:val="00CA582E"/>
    <w:rsid w:val="00CA5880"/>
    <w:rsid w:val="00CA5AAE"/>
    <w:rsid w:val="00CA6D11"/>
    <w:rsid w:val="00CA716E"/>
    <w:rsid w:val="00CA750C"/>
    <w:rsid w:val="00CA779D"/>
    <w:rsid w:val="00CA7D93"/>
    <w:rsid w:val="00CB13D6"/>
    <w:rsid w:val="00CB1D4E"/>
    <w:rsid w:val="00CB1DB8"/>
    <w:rsid w:val="00CB1EC8"/>
    <w:rsid w:val="00CB2FD3"/>
    <w:rsid w:val="00CB3B60"/>
    <w:rsid w:val="00CB3D91"/>
    <w:rsid w:val="00CB3E01"/>
    <w:rsid w:val="00CB42B7"/>
    <w:rsid w:val="00CB4417"/>
    <w:rsid w:val="00CB5348"/>
    <w:rsid w:val="00CB55B2"/>
    <w:rsid w:val="00CB5B06"/>
    <w:rsid w:val="00CB5B61"/>
    <w:rsid w:val="00CB6221"/>
    <w:rsid w:val="00CB6C66"/>
    <w:rsid w:val="00CB728A"/>
    <w:rsid w:val="00CB7988"/>
    <w:rsid w:val="00CB7BDF"/>
    <w:rsid w:val="00CC0E9A"/>
    <w:rsid w:val="00CC1064"/>
    <w:rsid w:val="00CC1716"/>
    <w:rsid w:val="00CC2689"/>
    <w:rsid w:val="00CC353D"/>
    <w:rsid w:val="00CC385A"/>
    <w:rsid w:val="00CC3A03"/>
    <w:rsid w:val="00CC3E6C"/>
    <w:rsid w:val="00CC3F92"/>
    <w:rsid w:val="00CC4CD7"/>
    <w:rsid w:val="00CC4D1D"/>
    <w:rsid w:val="00CC5D1B"/>
    <w:rsid w:val="00CC6322"/>
    <w:rsid w:val="00CC665C"/>
    <w:rsid w:val="00CC66CB"/>
    <w:rsid w:val="00CC6B29"/>
    <w:rsid w:val="00CC749C"/>
    <w:rsid w:val="00CC77D9"/>
    <w:rsid w:val="00CC7A01"/>
    <w:rsid w:val="00CD062C"/>
    <w:rsid w:val="00CD083D"/>
    <w:rsid w:val="00CD08E1"/>
    <w:rsid w:val="00CD0C2F"/>
    <w:rsid w:val="00CD1963"/>
    <w:rsid w:val="00CD1D04"/>
    <w:rsid w:val="00CD1D8B"/>
    <w:rsid w:val="00CD222B"/>
    <w:rsid w:val="00CD283F"/>
    <w:rsid w:val="00CD2ABB"/>
    <w:rsid w:val="00CD2F21"/>
    <w:rsid w:val="00CD3315"/>
    <w:rsid w:val="00CD3B76"/>
    <w:rsid w:val="00CD47EE"/>
    <w:rsid w:val="00CD4EA9"/>
    <w:rsid w:val="00CD4F49"/>
    <w:rsid w:val="00CD4FB4"/>
    <w:rsid w:val="00CD5F26"/>
    <w:rsid w:val="00CD6073"/>
    <w:rsid w:val="00CD6202"/>
    <w:rsid w:val="00CD6891"/>
    <w:rsid w:val="00CD6AC0"/>
    <w:rsid w:val="00CD7531"/>
    <w:rsid w:val="00CE0147"/>
    <w:rsid w:val="00CE0E22"/>
    <w:rsid w:val="00CE0FCF"/>
    <w:rsid w:val="00CE215A"/>
    <w:rsid w:val="00CE301D"/>
    <w:rsid w:val="00CE37D4"/>
    <w:rsid w:val="00CE38DB"/>
    <w:rsid w:val="00CE3930"/>
    <w:rsid w:val="00CE462D"/>
    <w:rsid w:val="00CE4BC6"/>
    <w:rsid w:val="00CE50BA"/>
    <w:rsid w:val="00CE55AD"/>
    <w:rsid w:val="00CE5714"/>
    <w:rsid w:val="00CE6509"/>
    <w:rsid w:val="00CE6C7A"/>
    <w:rsid w:val="00CE6F0A"/>
    <w:rsid w:val="00CE6FF4"/>
    <w:rsid w:val="00CE732F"/>
    <w:rsid w:val="00CF0D24"/>
    <w:rsid w:val="00CF1377"/>
    <w:rsid w:val="00CF4400"/>
    <w:rsid w:val="00CF489E"/>
    <w:rsid w:val="00CF4B11"/>
    <w:rsid w:val="00CF50AF"/>
    <w:rsid w:val="00CF5259"/>
    <w:rsid w:val="00CF614E"/>
    <w:rsid w:val="00CF6426"/>
    <w:rsid w:val="00CF65C0"/>
    <w:rsid w:val="00CF6D12"/>
    <w:rsid w:val="00CF6DBD"/>
    <w:rsid w:val="00CF6E8E"/>
    <w:rsid w:val="00CF6FBC"/>
    <w:rsid w:val="00CF73B5"/>
    <w:rsid w:val="00D00F48"/>
    <w:rsid w:val="00D0110E"/>
    <w:rsid w:val="00D01542"/>
    <w:rsid w:val="00D01BAA"/>
    <w:rsid w:val="00D033FE"/>
    <w:rsid w:val="00D03ACD"/>
    <w:rsid w:val="00D03FD5"/>
    <w:rsid w:val="00D041ED"/>
    <w:rsid w:val="00D042FD"/>
    <w:rsid w:val="00D04A7E"/>
    <w:rsid w:val="00D04AFF"/>
    <w:rsid w:val="00D05A35"/>
    <w:rsid w:val="00D05D8D"/>
    <w:rsid w:val="00D06046"/>
    <w:rsid w:val="00D06CBA"/>
    <w:rsid w:val="00D073FC"/>
    <w:rsid w:val="00D10161"/>
    <w:rsid w:val="00D10443"/>
    <w:rsid w:val="00D105C4"/>
    <w:rsid w:val="00D10E89"/>
    <w:rsid w:val="00D1132B"/>
    <w:rsid w:val="00D11695"/>
    <w:rsid w:val="00D11A8F"/>
    <w:rsid w:val="00D11E67"/>
    <w:rsid w:val="00D12F5F"/>
    <w:rsid w:val="00D13246"/>
    <w:rsid w:val="00D14153"/>
    <w:rsid w:val="00D14C75"/>
    <w:rsid w:val="00D1501B"/>
    <w:rsid w:val="00D15B06"/>
    <w:rsid w:val="00D15DD7"/>
    <w:rsid w:val="00D15E1B"/>
    <w:rsid w:val="00D16411"/>
    <w:rsid w:val="00D16578"/>
    <w:rsid w:val="00D165DA"/>
    <w:rsid w:val="00D17650"/>
    <w:rsid w:val="00D17F20"/>
    <w:rsid w:val="00D2031F"/>
    <w:rsid w:val="00D212BB"/>
    <w:rsid w:val="00D2149D"/>
    <w:rsid w:val="00D2178E"/>
    <w:rsid w:val="00D21D0B"/>
    <w:rsid w:val="00D22369"/>
    <w:rsid w:val="00D225F8"/>
    <w:rsid w:val="00D227AF"/>
    <w:rsid w:val="00D22D66"/>
    <w:rsid w:val="00D23C91"/>
    <w:rsid w:val="00D24E51"/>
    <w:rsid w:val="00D2516C"/>
    <w:rsid w:val="00D25642"/>
    <w:rsid w:val="00D26DEA"/>
    <w:rsid w:val="00D27834"/>
    <w:rsid w:val="00D3001C"/>
    <w:rsid w:val="00D30358"/>
    <w:rsid w:val="00D308EB"/>
    <w:rsid w:val="00D30B62"/>
    <w:rsid w:val="00D3159C"/>
    <w:rsid w:val="00D31E3F"/>
    <w:rsid w:val="00D320F4"/>
    <w:rsid w:val="00D32227"/>
    <w:rsid w:val="00D3292B"/>
    <w:rsid w:val="00D32B91"/>
    <w:rsid w:val="00D33880"/>
    <w:rsid w:val="00D33888"/>
    <w:rsid w:val="00D33FB5"/>
    <w:rsid w:val="00D341E5"/>
    <w:rsid w:val="00D344A4"/>
    <w:rsid w:val="00D345B8"/>
    <w:rsid w:val="00D349B1"/>
    <w:rsid w:val="00D349DA"/>
    <w:rsid w:val="00D34C22"/>
    <w:rsid w:val="00D3542A"/>
    <w:rsid w:val="00D366CF"/>
    <w:rsid w:val="00D36CBA"/>
    <w:rsid w:val="00D36F29"/>
    <w:rsid w:val="00D379B9"/>
    <w:rsid w:val="00D4057B"/>
    <w:rsid w:val="00D41D6D"/>
    <w:rsid w:val="00D41E90"/>
    <w:rsid w:val="00D423B0"/>
    <w:rsid w:val="00D440F2"/>
    <w:rsid w:val="00D443D6"/>
    <w:rsid w:val="00D44EB4"/>
    <w:rsid w:val="00D45722"/>
    <w:rsid w:val="00D45DA1"/>
    <w:rsid w:val="00D46366"/>
    <w:rsid w:val="00D50EAC"/>
    <w:rsid w:val="00D51F35"/>
    <w:rsid w:val="00D5387E"/>
    <w:rsid w:val="00D54377"/>
    <w:rsid w:val="00D545A5"/>
    <w:rsid w:val="00D5469F"/>
    <w:rsid w:val="00D54A22"/>
    <w:rsid w:val="00D54C61"/>
    <w:rsid w:val="00D54C62"/>
    <w:rsid w:val="00D54E63"/>
    <w:rsid w:val="00D56A59"/>
    <w:rsid w:val="00D576B4"/>
    <w:rsid w:val="00D60589"/>
    <w:rsid w:val="00D61096"/>
    <w:rsid w:val="00D61957"/>
    <w:rsid w:val="00D61965"/>
    <w:rsid w:val="00D61D76"/>
    <w:rsid w:val="00D61F55"/>
    <w:rsid w:val="00D61F85"/>
    <w:rsid w:val="00D628C8"/>
    <w:rsid w:val="00D62A88"/>
    <w:rsid w:val="00D62EFF"/>
    <w:rsid w:val="00D6359E"/>
    <w:rsid w:val="00D63C1F"/>
    <w:rsid w:val="00D6542E"/>
    <w:rsid w:val="00D656C1"/>
    <w:rsid w:val="00D65DC3"/>
    <w:rsid w:val="00D66066"/>
    <w:rsid w:val="00D661BB"/>
    <w:rsid w:val="00D66558"/>
    <w:rsid w:val="00D66C8C"/>
    <w:rsid w:val="00D6701E"/>
    <w:rsid w:val="00D67271"/>
    <w:rsid w:val="00D673F4"/>
    <w:rsid w:val="00D706A3"/>
    <w:rsid w:val="00D70AC5"/>
    <w:rsid w:val="00D712F5"/>
    <w:rsid w:val="00D71ECF"/>
    <w:rsid w:val="00D71EF6"/>
    <w:rsid w:val="00D72445"/>
    <w:rsid w:val="00D725A9"/>
    <w:rsid w:val="00D72B67"/>
    <w:rsid w:val="00D73148"/>
    <w:rsid w:val="00D73E6D"/>
    <w:rsid w:val="00D7499E"/>
    <w:rsid w:val="00D74A19"/>
    <w:rsid w:val="00D74A9A"/>
    <w:rsid w:val="00D74D33"/>
    <w:rsid w:val="00D75751"/>
    <w:rsid w:val="00D75BAA"/>
    <w:rsid w:val="00D75CC2"/>
    <w:rsid w:val="00D77622"/>
    <w:rsid w:val="00D8031E"/>
    <w:rsid w:val="00D808B6"/>
    <w:rsid w:val="00D80DDE"/>
    <w:rsid w:val="00D81768"/>
    <w:rsid w:val="00D835B3"/>
    <w:rsid w:val="00D83A17"/>
    <w:rsid w:val="00D8440F"/>
    <w:rsid w:val="00D84426"/>
    <w:rsid w:val="00D8472A"/>
    <w:rsid w:val="00D84D48"/>
    <w:rsid w:val="00D90D39"/>
    <w:rsid w:val="00D90EA1"/>
    <w:rsid w:val="00D90F7E"/>
    <w:rsid w:val="00D92CD6"/>
    <w:rsid w:val="00D92EE4"/>
    <w:rsid w:val="00D948E9"/>
    <w:rsid w:val="00D9515A"/>
    <w:rsid w:val="00D95879"/>
    <w:rsid w:val="00D964F7"/>
    <w:rsid w:val="00D96879"/>
    <w:rsid w:val="00D97724"/>
    <w:rsid w:val="00D979D0"/>
    <w:rsid w:val="00D97BF3"/>
    <w:rsid w:val="00DA3367"/>
    <w:rsid w:val="00DA3A95"/>
    <w:rsid w:val="00DA3C09"/>
    <w:rsid w:val="00DA406B"/>
    <w:rsid w:val="00DA4205"/>
    <w:rsid w:val="00DA45DB"/>
    <w:rsid w:val="00DA518D"/>
    <w:rsid w:val="00DA541B"/>
    <w:rsid w:val="00DA5BF8"/>
    <w:rsid w:val="00DA60BE"/>
    <w:rsid w:val="00DA677E"/>
    <w:rsid w:val="00DA7B7D"/>
    <w:rsid w:val="00DB0FF7"/>
    <w:rsid w:val="00DB19CE"/>
    <w:rsid w:val="00DB2002"/>
    <w:rsid w:val="00DB3907"/>
    <w:rsid w:val="00DB4218"/>
    <w:rsid w:val="00DB42BF"/>
    <w:rsid w:val="00DB46D9"/>
    <w:rsid w:val="00DB4968"/>
    <w:rsid w:val="00DB5CE9"/>
    <w:rsid w:val="00DB7165"/>
    <w:rsid w:val="00DB7B78"/>
    <w:rsid w:val="00DB7F76"/>
    <w:rsid w:val="00DC0049"/>
    <w:rsid w:val="00DC026E"/>
    <w:rsid w:val="00DC0B8C"/>
    <w:rsid w:val="00DC1087"/>
    <w:rsid w:val="00DC1926"/>
    <w:rsid w:val="00DC242E"/>
    <w:rsid w:val="00DC2C8F"/>
    <w:rsid w:val="00DC2E45"/>
    <w:rsid w:val="00DC3709"/>
    <w:rsid w:val="00DC42CA"/>
    <w:rsid w:val="00DC499B"/>
    <w:rsid w:val="00DC4A27"/>
    <w:rsid w:val="00DC5014"/>
    <w:rsid w:val="00DC5577"/>
    <w:rsid w:val="00DC55E7"/>
    <w:rsid w:val="00DC5746"/>
    <w:rsid w:val="00DC7C8F"/>
    <w:rsid w:val="00DD16F3"/>
    <w:rsid w:val="00DD1EA2"/>
    <w:rsid w:val="00DD2259"/>
    <w:rsid w:val="00DD28BD"/>
    <w:rsid w:val="00DD2BFB"/>
    <w:rsid w:val="00DD3611"/>
    <w:rsid w:val="00DD3FA9"/>
    <w:rsid w:val="00DD4735"/>
    <w:rsid w:val="00DD4BCF"/>
    <w:rsid w:val="00DD4FF1"/>
    <w:rsid w:val="00DD51DB"/>
    <w:rsid w:val="00DD5288"/>
    <w:rsid w:val="00DD6915"/>
    <w:rsid w:val="00DD69E6"/>
    <w:rsid w:val="00DD73C1"/>
    <w:rsid w:val="00DD79C5"/>
    <w:rsid w:val="00DE01B1"/>
    <w:rsid w:val="00DE13CE"/>
    <w:rsid w:val="00DE1535"/>
    <w:rsid w:val="00DE15A2"/>
    <w:rsid w:val="00DE1750"/>
    <w:rsid w:val="00DE3596"/>
    <w:rsid w:val="00DE4705"/>
    <w:rsid w:val="00DE530C"/>
    <w:rsid w:val="00DE541D"/>
    <w:rsid w:val="00DE5D59"/>
    <w:rsid w:val="00DE6113"/>
    <w:rsid w:val="00DE61F4"/>
    <w:rsid w:val="00DE62E8"/>
    <w:rsid w:val="00DE6828"/>
    <w:rsid w:val="00DE6FA9"/>
    <w:rsid w:val="00DE72D1"/>
    <w:rsid w:val="00DE79CA"/>
    <w:rsid w:val="00DE7E6F"/>
    <w:rsid w:val="00DF05A6"/>
    <w:rsid w:val="00DF0672"/>
    <w:rsid w:val="00DF113F"/>
    <w:rsid w:val="00DF2018"/>
    <w:rsid w:val="00DF25BD"/>
    <w:rsid w:val="00DF2EB0"/>
    <w:rsid w:val="00DF37CE"/>
    <w:rsid w:val="00DF4203"/>
    <w:rsid w:val="00DF42A9"/>
    <w:rsid w:val="00DF53FD"/>
    <w:rsid w:val="00DF5774"/>
    <w:rsid w:val="00DF62D7"/>
    <w:rsid w:val="00DF64C4"/>
    <w:rsid w:val="00DF6E74"/>
    <w:rsid w:val="00DF715C"/>
    <w:rsid w:val="00DF7961"/>
    <w:rsid w:val="00DF7D5C"/>
    <w:rsid w:val="00E00679"/>
    <w:rsid w:val="00E009CD"/>
    <w:rsid w:val="00E00CC7"/>
    <w:rsid w:val="00E018BC"/>
    <w:rsid w:val="00E01E22"/>
    <w:rsid w:val="00E025DE"/>
    <w:rsid w:val="00E026B6"/>
    <w:rsid w:val="00E029C3"/>
    <w:rsid w:val="00E02B3A"/>
    <w:rsid w:val="00E03250"/>
    <w:rsid w:val="00E0354D"/>
    <w:rsid w:val="00E03698"/>
    <w:rsid w:val="00E037B0"/>
    <w:rsid w:val="00E0383F"/>
    <w:rsid w:val="00E039AA"/>
    <w:rsid w:val="00E04303"/>
    <w:rsid w:val="00E055F6"/>
    <w:rsid w:val="00E0604F"/>
    <w:rsid w:val="00E0660B"/>
    <w:rsid w:val="00E068FF"/>
    <w:rsid w:val="00E06B21"/>
    <w:rsid w:val="00E072C1"/>
    <w:rsid w:val="00E0766E"/>
    <w:rsid w:val="00E10030"/>
    <w:rsid w:val="00E1056C"/>
    <w:rsid w:val="00E10659"/>
    <w:rsid w:val="00E10F01"/>
    <w:rsid w:val="00E1162B"/>
    <w:rsid w:val="00E117F6"/>
    <w:rsid w:val="00E11D17"/>
    <w:rsid w:val="00E1250C"/>
    <w:rsid w:val="00E134C7"/>
    <w:rsid w:val="00E1355C"/>
    <w:rsid w:val="00E13772"/>
    <w:rsid w:val="00E13A8D"/>
    <w:rsid w:val="00E1464E"/>
    <w:rsid w:val="00E14BA4"/>
    <w:rsid w:val="00E15000"/>
    <w:rsid w:val="00E15AA4"/>
    <w:rsid w:val="00E15D86"/>
    <w:rsid w:val="00E16490"/>
    <w:rsid w:val="00E1711C"/>
    <w:rsid w:val="00E17157"/>
    <w:rsid w:val="00E20E73"/>
    <w:rsid w:val="00E21554"/>
    <w:rsid w:val="00E218A7"/>
    <w:rsid w:val="00E22A32"/>
    <w:rsid w:val="00E238C3"/>
    <w:rsid w:val="00E240DD"/>
    <w:rsid w:val="00E247A7"/>
    <w:rsid w:val="00E24BE2"/>
    <w:rsid w:val="00E265B1"/>
    <w:rsid w:val="00E26748"/>
    <w:rsid w:val="00E300A8"/>
    <w:rsid w:val="00E3073B"/>
    <w:rsid w:val="00E31498"/>
    <w:rsid w:val="00E31C0D"/>
    <w:rsid w:val="00E31CA9"/>
    <w:rsid w:val="00E32E60"/>
    <w:rsid w:val="00E3351E"/>
    <w:rsid w:val="00E352BD"/>
    <w:rsid w:val="00E35EA6"/>
    <w:rsid w:val="00E365DE"/>
    <w:rsid w:val="00E3678D"/>
    <w:rsid w:val="00E372B2"/>
    <w:rsid w:val="00E37801"/>
    <w:rsid w:val="00E40291"/>
    <w:rsid w:val="00E405CC"/>
    <w:rsid w:val="00E41C28"/>
    <w:rsid w:val="00E42468"/>
    <w:rsid w:val="00E4325C"/>
    <w:rsid w:val="00E43D1A"/>
    <w:rsid w:val="00E442C0"/>
    <w:rsid w:val="00E44817"/>
    <w:rsid w:val="00E454F0"/>
    <w:rsid w:val="00E45AA9"/>
    <w:rsid w:val="00E4614D"/>
    <w:rsid w:val="00E46F4E"/>
    <w:rsid w:val="00E472AC"/>
    <w:rsid w:val="00E47AF8"/>
    <w:rsid w:val="00E47D81"/>
    <w:rsid w:val="00E5015E"/>
    <w:rsid w:val="00E50DD1"/>
    <w:rsid w:val="00E50F4F"/>
    <w:rsid w:val="00E512D1"/>
    <w:rsid w:val="00E51587"/>
    <w:rsid w:val="00E51832"/>
    <w:rsid w:val="00E51D63"/>
    <w:rsid w:val="00E51E35"/>
    <w:rsid w:val="00E520D5"/>
    <w:rsid w:val="00E525EC"/>
    <w:rsid w:val="00E54485"/>
    <w:rsid w:val="00E54764"/>
    <w:rsid w:val="00E54F1C"/>
    <w:rsid w:val="00E5554D"/>
    <w:rsid w:val="00E55693"/>
    <w:rsid w:val="00E5579B"/>
    <w:rsid w:val="00E55E3B"/>
    <w:rsid w:val="00E56872"/>
    <w:rsid w:val="00E56D42"/>
    <w:rsid w:val="00E5739D"/>
    <w:rsid w:val="00E61532"/>
    <w:rsid w:val="00E61EAB"/>
    <w:rsid w:val="00E626C5"/>
    <w:rsid w:val="00E62AFF"/>
    <w:rsid w:val="00E63134"/>
    <w:rsid w:val="00E63326"/>
    <w:rsid w:val="00E639D0"/>
    <w:rsid w:val="00E6535D"/>
    <w:rsid w:val="00E67D51"/>
    <w:rsid w:val="00E7063F"/>
    <w:rsid w:val="00E7065F"/>
    <w:rsid w:val="00E70C03"/>
    <w:rsid w:val="00E710A9"/>
    <w:rsid w:val="00E71559"/>
    <w:rsid w:val="00E71B32"/>
    <w:rsid w:val="00E72A50"/>
    <w:rsid w:val="00E72D59"/>
    <w:rsid w:val="00E736CA"/>
    <w:rsid w:val="00E744B1"/>
    <w:rsid w:val="00E74AC1"/>
    <w:rsid w:val="00E75243"/>
    <w:rsid w:val="00E75F3C"/>
    <w:rsid w:val="00E760EE"/>
    <w:rsid w:val="00E762B4"/>
    <w:rsid w:val="00E767DD"/>
    <w:rsid w:val="00E770CE"/>
    <w:rsid w:val="00E775A8"/>
    <w:rsid w:val="00E77847"/>
    <w:rsid w:val="00E77E86"/>
    <w:rsid w:val="00E77F11"/>
    <w:rsid w:val="00E804D7"/>
    <w:rsid w:val="00E80ED3"/>
    <w:rsid w:val="00E81675"/>
    <w:rsid w:val="00E82CF8"/>
    <w:rsid w:val="00E83764"/>
    <w:rsid w:val="00E839A0"/>
    <w:rsid w:val="00E839D2"/>
    <w:rsid w:val="00E857EE"/>
    <w:rsid w:val="00E86969"/>
    <w:rsid w:val="00E90128"/>
    <w:rsid w:val="00E9027C"/>
    <w:rsid w:val="00E9177E"/>
    <w:rsid w:val="00E9186F"/>
    <w:rsid w:val="00E9200B"/>
    <w:rsid w:val="00E92B7E"/>
    <w:rsid w:val="00E93073"/>
    <w:rsid w:val="00E934D7"/>
    <w:rsid w:val="00E93565"/>
    <w:rsid w:val="00E93B92"/>
    <w:rsid w:val="00E955FC"/>
    <w:rsid w:val="00E95801"/>
    <w:rsid w:val="00E959D6"/>
    <w:rsid w:val="00E95C4C"/>
    <w:rsid w:val="00E96746"/>
    <w:rsid w:val="00E970DD"/>
    <w:rsid w:val="00E97630"/>
    <w:rsid w:val="00EA031C"/>
    <w:rsid w:val="00EA04D2"/>
    <w:rsid w:val="00EA0E18"/>
    <w:rsid w:val="00EA1807"/>
    <w:rsid w:val="00EA19B1"/>
    <w:rsid w:val="00EA2E0F"/>
    <w:rsid w:val="00EA2E8C"/>
    <w:rsid w:val="00EA32C0"/>
    <w:rsid w:val="00EA35FF"/>
    <w:rsid w:val="00EA4085"/>
    <w:rsid w:val="00EA511A"/>
    <w:rsid w:val="00EA577E"/>
    <w:rsid w:val="00EA5D56"/>
    <w:rsid w:val="00EA6EA3"/>
    <w:rsid w:val="00EA7173"/>
    <w:rsid w:val="00EA781D"/>
    <w:rsid w:val="00EA7B77"/>
    <w:rsid w:val="00EA7EE5"/>
    <w:rsid w:val="00EB010F"/>
    <w:rsid w:val="00EB0CEB"/>
    <w:rsid w:val="00EB215E"/>
    <w:rsid w:val="00EB26B5"/>
    <w:rsid w:val="00EB3413"/>
    <w:rsid w:val="00EB3917"/>
    <w:rsid w:val="00EB39EC"/>
    <w:rsid w:val="00EB420B"/>
    <w:rsid w:val="00EB59BB"/>
    <w:rsid w:val="00EB5A93"/>
    <w:rsid w:val="00EB62C9"/>
    <w:rsid w:val="00EB70F7"/>
    <w:rsid w:val="00EB76BB"/>
    <w:rsid w:val="00EC0DFC"/>
    <w:rsid w:val="00EC0E89"/>
    <w:rsid w:val="00EC0F4D"/>
    <w:rsid w:val="00EC1277"/>
    <w:rsid w:val="00EC2C1E"/>
    <w:rsid w:val="00EC2E0F"/>
    <w:rsid w:val="00EC32CD"/>
    <w:rsid w:val="00EC3CB8"/>
    <w:rsid w:val="00EC4ECA"/>
    <w:rsid w:val="00EC618C"/>
    <w:rsid w:val="00EC61FE"/>
    <w:rsid w:val="00EC63DD"/>
    <w:rsid w:val="00EC6C04"/>
    <w:rsid w:val="00EC6DE1"/>
    <w:rsid w:val="00EC6E7F"/>
    <w:rsid w:val="00EC7025"/>
    <w:rsid w:val="00EC7297"/>
    <w:rsid w:val="00EC78F3"/>
    <w:rsid w:val="00EC7AA3"/>
    <w:rsid w:val="00EC7B6D"/>
    <w:rsid w:val="00ED015F"/>
    <w:rsid w:val="00ED02AA"/>
    <w:rsid w:val="00ED0444"/>
    <w:rsid w:val="00ED09C5"/>
    <w:rsid w:val="00ED0AE9"/>
    <w:rsid w:val="00ED2BB9"/>
    <w:rsid w:val="00ED3121"/>
    <w:rsid w:val="00ED6019"/>
    <w:rsid w:val="00EE17E0"/>
    <w:rsid w:val="00EE1F51"/>
    <w:rsid w:val="00EE2963"/>
    <w:rsid w:val="00EE3972"/>
    <w:rsid w:val="00EE44D7"/>
    <w:rsid w:val="00EE4A63"/>
    <w:rsid w:val="00EE4E18"/>
    <w:rsid w:val="00EE54B8"/>
    <w:rsid w:val="00EE57E6"/>
    <w:rsid w:val="00EE617E"/>
    <w:rsid w:val="00EE6316"/>
    <w:rsid w:val="00EE68C3"/>
    <w:rsid w:val="00EE6A41"/>
    <w:rsid w:val="00EE76C5"/>
    <w:rsid w:val="00EE7725"/>
    <w:rsid w:val="00EE7C54"/>
    <w:rsid w:val="00EE7D2F"/>
    <w:rsid w:val="00EF005F"/>
    <w:rsid w:val="00EF022A"/>
    <w:rsid w:val="00EF0265"/>
    <w:rsid w:val="00EF0846"/>
    <w:rsid w:val="00EF1478"/>
    <w:rsid w:val="00EF1DBC"/>
    <w:rsid w:val="00EF3902"/>
    <w:rsid w:val="00EF3DAE"/>
    <w:rsid w:val="00EF5351"/>
    <w:rsid w:val="00EF5C06"/>
    <w:rsid w:val="00EF5EEE"/>
    <w:rsid w:val="00EF5FB8"/>
    <w:rsid w:val="00EF755D"/>
    <w:rsid w:val="00EF7870"/>
    <w:rsid w:val="00F00344"/>
    <w:rsid w:val="00F008B2"/>
    <w:rsid w:val="00F0167D"/>
    <w:rsid w:val="00F01CA0"/>
    <w:rsid w:val="00F01F8C"/>
    <w:rsid w:val="00F020BF"/>
    <w:rsid w:val="00F02636"/>
    <w:rsid w:val="00F02AE6"/>
    <w:rsid w:val="00F02E1B"/>
    <w:rsid w:val="00F02F1F"/>
    <w:rsid w:val="00F04388"/>
    <w:rsid w:val="00F047B2"/>
    <w:rsid w:val="00F04F52"/>
    <w:rsid w:val="00F04F74"/>
    <w:rsid w:val="00F05139"/>
    <w:rsid w:val="00F059F5"/>
    <w:rsid w:val="00F05A00"/>
    <w:rsid w:val="00F062B3"/>
    <w:rsid w:val="00F06B48"/>
    <w:rsid w:val="00F06D5E"/>
    <w:rsid w:val="00F078FB"/>
    <w:rsid w:val="00F07E35"/>
    <w:rsid w:val="00F07EC6"/>
    <w:rsid w:val="00F10FC0"/>
    <w:rsid w:val="00F11FB2"/>
    <w:rsid w:val="00F1241E"/>
    <w:rsid w:val="00F12FAB"/>
    <w:rsid w:val="00F14A81"/>
    <w:rsid w:val="00F1526C"/>
    <w:rsid w:val="00F1653B"/>
    <w:rsid w:val="00F16F9E"/>
    <w:rsid w:val="00F17157"/>
    <w:rsid w:val="00F17689"/>
    <w:rsid w:val="00F177C6"/>
    <w:rsid w:val="00F17F74"/>
    <w:rsid w:val="00F205C1"/>
    <w:rsid w:val="00F2075A"/>
    <w:rsid w:val="00F208F2"/>
    <w:rsid w:val="00F211A5"/>
    <w:rsid w:val="00F22294"/>
    <w:rsid w:val="00F2334B"/>
    <w:rsid w:val="00F234E8"/>
    <w:rsid w:val="00F23BE8"/>
    <w:rsid w:val="00F23E04"/>
    <w:rsid w:val="00F23E78"/>
    <w:rsid w:val="00F23FF5"/>
    <w:rsid w:val="00F24670"/>
    <w:rsid w:val="00F24D54"/>
    <w:rsid w:val="00F2531C"/>
    <w:rsid w:val="00F255A0"/>
    <w:rsid w:val="00F25878"/>
    <w:rsid w:val="00F258C4"/>
    <w:rsid w:val="00F25CDC"/>
    <w:rsid w:val="00F2632F"/>
    <w:rsid w:val="00F27114"/>
    <w:rsid w:val="00F27D8B"/>
    <w:rsid w:val="00F27FF3"/>
    <w:rsid w:val="00F30944"/>
    <w:rsid w:val="00F31356"/>
    <w:rsid w:val="00F31D10"/>
    <w:rsid w:val="00F32450"/>
    <w:rsid w:val="00F325D1"/>
    <w:rsid w:val="00F326E7"/>
    <w:rsid w:val="00F3316D"/>
    <w:rsid w:val="00F33E05"/>
    <w:rsid w:val="00F34D38"/>
    <w:rsid w:val="00F35AAE"/>
    <w:rsid w:val="00F36623"/>
    <w:rsid w:val="00F36B49"/>
    <w:rsid w:val="00F37055"/>
    <w:rsid w:val="00F40C1A"/>
    <w:rsid w:val="00F4143F"/>
    <w:rsid w:val="00F4165F"/>
    <w:rsid w:val="00F41671"/>
    <w:rsid w:val="00F4179B"/>
    <w:rsid w:val="00F421FB"/>
    <w:rsid w:val="00F426B0"/>
    <w:rsid w:val="00F43846"/>
    <w:rsid w:val="00F43C4B"/>
    <w:rsid w:val="00F443FF"/>
    <w:rsid w:val="00F44C4D"/>
    <w:rsid w:val="00F44C5F"/>
    <w:rsid w:val="00F47090"/>
    <w:rsid w:val="00F47136"/>
    <w:rsid w:val="00F473B6"/>
    <w:rsid w:val="00F475B7"/>
    <w:rsid w:val="00F47CC3"/>
    <w:rsid w:val="00F507E8"/>
    <w:rsid w:val="00F50925"/>
    <w:rsid w:val="00F51068"/>
    <w:rsid w:val="00F52480"/>
    <w:rsid w:val="00F52576"/>
    <w:rsid w:val="00F5296F"/>
    <w:rsid w:val="00F52EBD"/>
    <w:rsid w:val="00F53A65"/>
    <w:rsid w:val="00F54E59"/>
    <w:rsid w:val="00F54F85"/>
    <w:rsid w:val="00F5505F"/>
    <w:rsid w:val="00F552F5"/>
    <w:rsid w:val="00F55441"/>
    <w:rsid w:val="00F55587"/>
    <w:rsid w:val="00F5586F"/>
    <w:rsid w:val="00F55F96"/>
    <w:rsid w:val="00F565EB"/>
    <w:rsid w:val="00F56B8D"/>
    <w:rsid w:val="00F56EF4"/>
    <w:rsid w:val="00F57F61"/>
    <w:rsid w:val="00F60764"/>
    <w:rsid w:val="00F60942"/>
    <w:rsid w:val="00F60D96"/>
    <w:rsid w:val="00F60F1E"/>
    <w:rsid w:val="00F61781"/>
    <w:rsid w:val="00F6303D"/>
    <w:rsid w:val="00F63139"/>
    <w:rsid w:val="00F63936"/>
    <w:rsid w:val="00F63E51"/>
    <w:rsid w:val="00F64B7A"/>
    <w:rsid w:val="00F64E1E"/>
    <w:rsid w:val="00F66A34"/>
    <w:rsid w:val="00F67EB3"/>
    <w:rsid w:val="00F70505"/>
    <w:rsid w:val="00F7114E"/>
    <w:rsid w:val="00F7117C"/>
    <w:rsid w:val="00F71F28"/>
    <w:rsid w:val="00F72248"/>
    <w:rsid w:val="00F731F2"/>
    <w:rsid w:val="00F73265"/>
    <w:rsid w:val="00F7362A"/>
    <w:rsid w:val="00F73C73"/>
    <w:rsid w:val="00F74D6C"/>
    <w:rsid w:val="00F74DE1"/>
    <w:rsid w:val="00F7551D"/>
    <w:rsid w:val="00F7670E"/>
    <w:rsid w:val="00F76CBC"/>
    <w:rsid w:val="00F77463"/>
    <w:rsid w:val="00F77DC8"/>
    <w:rsid w:val="00F80C97"/>
    <w:rsid w:val="00F81DA4"/>
    <w:rsid w:val="00F81EEC"/>
    <w:rsid w:val="00F830B4"/>
    <w:rsid w:val="00F839EE"/>
    <w:rsid w:val="00F85BEA"/>
    <w:rsid w:val="00F85FED"/>
    <w:rsid w:val="00F8644B"/>
    <w:rsid w:val="00F8704C"/>
    <w:rsid w:val="00F8770C"/>
    <w:rsid w:val="00F87B49"/>
    <w:rsid w:val="00F90D94"/>
    <w:rsid w:val="00F9143C"/>
    <w:rsid w:val="00F91594"/>
    <w:rsid w:val="00F916EA"/>
    <w:rsid w:val="00F9172E"/>
    <w:rsid w:val="00F921A8"/>
    <w:rsid w:val="00F9244E"/>
    <w:rsid w:val="00F93E72"/>
    <w:rsid w:val="00F9430F"/>
    <w:rsid w:val="00F94543"/>
    <w:rsid w:val="00F94774"/>
    <w:rsid w:val="00F94DD3"/>
    <w:rsid w:val="00F960EE"/>
    <w:rsid w:val="00F966E9"/>
    <w:rsid w:val="00F971DB"/>
    <w:rsid w:val="00F97814"/>
    <w:rsid w:val="00FA077D"/>
    <w:rsid w:val="00FA09CE"/>
    <w:rsid w:val="00FA1482"/>
    <w:rsid w:val="00FA1773"/>
    <w:rsid w:val="00FA1917"/>
    <w:rsid w:val="00FA20C0"/>
    <w:rsid w:val="00FA26EB"/>
    <w:rsid w:val="00FA368F"/>
    <w:rsid w:val="00FA4581"/>
    <w:rsid w:val="00FA4BAD"/>
    <w:rsid w:val="00FA6A7A"/>
    <w:rsid w:val="00FB01F2"/>
    <w:rsid w:val="00FB1856"/>
    <w:rsid w:val="00FB1B42"/>
    <w:rsid w:val="00FB1EDE"/>
    <w:rsid w:val="00FB1FAE"/>
    <w:rsid w:val="00FB2470"/>
    <w:rsid w:val="00FB26F9"/>
    <w:rsid w:val="00FB2937"/>
    <w:rsid w:val="00FB295C"/>
    <w:rsid w:val="00FB2AE2"/>
    <w:rsid w:val="00FB2B25"/>
    <w:rsid w:val="00FB36A1"/>
    <w:rsid w:val="00FB38ED"/>
    <w:rsid w:val="00FB391F"/>
    <w:rsid w:val="00FB3B96"/>
    <w:rsid w:val="00FB3FD2"/>
    <w:rsid w:val="00FB404D"/>
    <w:rsid w:val="00FB40D6"/>
    <w:rsid w:val="00FB4D7D"/>
    <w:rsid w:val="00FB50F7"/>
    <w:rsid w:val="00FB54F9"/>
    <w:rsid w:val="00FB5D75"/>
    <w:rsid w:val="00FB669F"/>
    <w:rsid w:val="00FB6BE8"/>
    <w:rsid w:val="00FB7A71"/>
    <w:rsid w:val="00FC1C83"/>
    <w:rsid w:val="00FC231C"/>
    <w:rsid w:val="00FC2FA2"/>
    <w:rsid w:val="00FC393A"/>
    <w:rsid w:val="00FC45C5"/>
    <w:rsid w:val="00FC490D"/>
    <w:rsid w:val="00FC4E2A"/>
    <w:rsid w:val="00FC5A55"/>
    <w:rsid w:val="00FC6708"/>
    <w:rsid w:val="00FC684A"/>
    <w:rsid w:val="00FC70D6"/>
    <w:rsid w:val="00FC725F"/>
    <w:rsid w:val="00FC7521"/>
    <w:rsid w:val="00FC79CC"/>
    <w:rsid w:val="00FD0D0F"/>
    <w:rsid w:val="00FD1923"/>
    <w:rsid w:val="00FD1F52"/>
    <w:rsid w:val="00FD22BE"/>
    <w:rsid w:val="00FD24CA"/>
    <w:rsid w:val="00FD3B8A"/>
    <w:rsid w:val="00FD5501"/>
    <w:rsid w:val="00FD556E"/>
    <w:rsid w:val="00FD669D"/>
    <w:rsid w:val="00FD6AA3"/>
    <w:rsid w:val="00FD7ACA"/>
    <w:rsid w:val="00FE13E4"/>
    <w:rsid w:val="00FE23F1"/>
    <w:rsid w:val="00FE3887"/>
    <w:rsid w:val="00FE3D64"/>
    <w:rsid w:val="00FE4538"/>
    <w:rsid w:val="00FE4830"/>
    <w:rsid w:val="00FE4C41"/>
    <w:rsid w:val="00FE59FD"/>
    <w:rsid w:val="00FE5AD7"/>
    <w:rsid w:val="00FE5B8C"/>
    <w:rsid w:val="00FE6BD4"/>
    <w:rsid w:val="00FE6D98"/>
    <w:rsid w:val="00FE7356"/>
    <w:rsid w:val="00FF064E"/>
    <w:rsid w:val="00FF2D4F"/>
    <w:rsid w:val="00FF38A8"/>
    <w:rsid w:val="00FF39B2"/>
    <w:rsid w:val="00FF3AAD"/>
    <w:rsid w:val="00FF48A6"/>
    <w:rsid w:val="00FF4EDF"/>
    <w:rsid w:val="00FF640D"/>
    <w:rsid w:val="00FF644E"/>
    <w:rsid w:val="00FF6BC0"/>
    <w:rsid w:val="00FF7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EB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36"/>
    <w:pPr>
      <w:spacing w:after="100" w:line="400" w:lineRule="exact"/>
      <w:jc w:val="both"/>
    </w:pPr>
    <w:rPr>
      <w:rFonts w:ascii="Century Schoolbook" w:hAnsi="Century Schoolbook"/>
      <w:sz w:val="27"/>
    </w:rPr>
  </w:style>
  <w:style w:type="paragraph" w:styleId="Heading1">
    <w:name w:val="heading 1"/>
    <w:basedOn w:val="Normal"/>
    <w:next w:val="Normal"/>
    <w:qFormat/>
    <w:rsid w:val="00645536"/>
    <w:pPr>
      <w:keepNext/>
      <w:spacing w:before="140" w:line="240" w:lineRule="atLeast"/>
      <w:jc w:val="center"/>
      <w:outlineLvl w:val="0"/>
    </w:pPr>
    <w:rPr>
      <w:b/>
      <w:smallCaps/>
    </w:rPr>
  </w:style>
  <w:style w:type="paragraph" w:styleId="Heading2">
    <w:name w:val="heading 2"/>
    <w:basedOn w:val="Normal"/>
    <w:next w:val="Normal"/>
    <w:qFormat/>
    <w:rsid w:val="00645536"/>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645536"/>
    <w:pPr>
      <w:keepNext/>
      <w:tabs>
        <w:tab w:val="left" w:pos="1584"/>
      </w:tabs>
      <w:spacing w:before="140" w:line="240" w:lineRule="atLeast"/>
      <w:ind w:left="1584" w:hanging="432"/>
      <w:jc w:val="left"/>
      <w:outlineLvl w:val="2"/>
    </w:pPr>
    <w:rPr>
      <w:i/>
    </w:rPr>
  </w:style>
  <w:style w:type="paragraph" w:styleId="Heading4">
    <w:name w:val="heading 4"/>
    <w:basedOn w:val="Normal"/>
    <w:rsid w:val="00645536"/>
    <w:pPr>
      <w:keepNext/>
      <w:tabs>
        <w:tab w:val="left" w:pos="2016"/>
      </w:tabs>
      <w:spacing w:before="140" w:line="240" w:lineRule="atLeast"/>
      <w:ind w:left="2016" w:hanging="432"/>
      <w:jc w:val="left"/>
      <w:outlineLvl w:val="3"/>
    </w:pPr>
    <w:rPr>
      <w:i/>
    </w:rPr>
  </w:style>
  <w:style w:type="paragraph" w:styleId="Heading5">
    <w:name w:val="heading 5"/>
    <w:basedOn w:val="Normal"/>
    <w:rsid w:val="00645536"/>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645536"/>
    <w:pPr>
      <w:ind w:left="720"/>
    </w:pPr>
  </w:style>
  <w:style w:type="paragraph" w:styleId="Footer">
    <w:name w:val="footer"/>
    <w:basedOn w:val="Normal"/>
    <w:qFormat/>
    <w:rsid w:val="00645536"/>
    <w:pPr>
      <w:tabs>
        <w:tab w:val="center" w:pos="3960"/>
        <w:tab w:val="right" w:pos="10080"/>
      </w:tabs>
      <w:spacing w:after="0" w:line="240" w:lineRule="auto"/>
      <w:jc w:val="center"/>
    </w:pPr>
    <w:rPr>
      <w:sz w:val="22"/>
    </w:rPr>
  </w:style>
  <w:style w:type="paragraph" w:styleId="Header">
    <w:name w:val="header"/>
    <w:basedOn w:val="Normal"/>
    <w:qFormat/>
    <w:rsid w:val="00645536"/>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645536"/>
    <w:rPr>
      <w:rFonts w:ascii="Century Schoolbook" w:hAnsi="Century Schoolbook"/>
      <w:b/>
      <w:i w:val="0"/>
      <w:position w:val="4"/>
      <w:sz w:val="27"/>
      <w:vertAlign w:val="superscript"/>
    </w:rPr>
  </w:style>
  <w:style w:type="paragraph" w:styleId="FootnoteText">
    <w:name w:val="footnote text"/>
    <w:basedOn w:val="Normal"/>
    <w:link w:val="FootnoteTextChar"/>
    <w:rsid w:val="00645536"/>
    <w:pPr>
      <w:spacing w:line="300" w:lineRule="exact"/>
    </w:pPr>
  </w:style>
  <w:style w:type="paragraph" w:customStyle="1" w:styleId="Title1">
    <w:name w:val="Title1"/>
    <w:basedOn w:val="Normal"/>
    <w:rsid w:val="00645536"/>
    <w:pPr>
      <w:tabs>
        <w:tab w:val="left" w:pos="5760"/>
        <w:tab w:val="left" w:pos="6480"/>
      </w:tabs>
      <w:spacing w:line="240" w:lineRule="atLeast"/>
    </w:pPr>
  </w:style>
  <w:style w:type="paragraph" w:customStyle="1" w:styleId="Recommend">
    <w:name w:val="Recommend"/>
    <w:basedOn w:val="Normal"/>
    <w:rsid w:val="00645536"/>
  </w:style>
  <w:style w:type="paragraph" w:customStyle="1" w:styleId="Summary">
    <w:name w:val="Summary"/>
    <w:basedOn w:val="Normal"/>
    <w:rsid w:val="00645536"/>
    <w:pPr>
      <w:ind w:left="2160" w:hanging="2160"/>
    </w:pPr>
  </w:style>
  <w:style w:type="paragraph" w:customStyle="1" w:styleId="Text">
    <w:name w:val="Text"/>
    <w:basedOn w:val="Normal"/>
    <w:rsid w:val="00645536"/>
    <w:pPr>
      <w:tabs>
        <w:tab w:val="left" w:pos="720"/>
        <w:tab w:val="left" w:pos="1440"/>
        <w:tab w:val="left" w:pos="2160"/>
        <w:tab w:val="center" w:pos="4320"/>
      </w:tabs>
      <w:spacing w:line="480" w:lineRule="atLeast"/>
      <w:ind w:firstLine="540"/>
    </w:pPr>
  </w:style>
  <w:style w:type="paragraph" w:styleId="Date">
    <w:name w:val="Date"/>
    <w:basedOn w:val="Normal"/>
    <w:semiHidden/>
    <w:rsid w:val="00645536"/>
    <w:pPr>
      <w:jc w:val="right"/>
    </w:pPr>
  </w:style>
  <w:style w:type="character" w:styleId="PageNumber">
    <w:name w:val="page number"/>
    <w:basedOn w:val="DefaultParagraphFont"/>
    <w:rsid w:val="00645536"/>
  </w:style>
  <w:style w:type="paragraph" w:customStyle="1" w:styleId="subject">
    <w:name w:val="subject"/>
    <w:basedOn w:val="Normal"/>
    <w:rsid w:val="00645536"/>
    <w:pPr>
      <w:tabs>
        <w:tab w:val="left" w:pos="1008"/>
      </w:tabs>
      <w:ind w:left="990" w:hanging="990"/>
    </w:pPr>
    <w:rPr>
      <w:b/>
    </w:rPr>
  </w:style>
  <w:style w:type="paragraph" w:customStyle="1" w:styleId="Titles">
    <w:name w:val="Titles"/>
    <w:basedOn w:val="Normal"/>
    <w:rsid w:val="00645536"/>
    <w:pPr>
      <w:tabs>
        <w:tab w:val="left" w:pos="2160"/>
      </w:tabs>
      <w:ind w:left="2160" w:hanging="2160"/>
    </w:pPr>
    <w:rPr>
      <w:b/>
    </w:rPr>
  </w:style>
  <w:style w:type="paragraph" w:styleId="TOAHeading">
    <w:name w:val="toa heading"/>
    <w:basedOn w:val="Normal"/>
    <w:next w:val="Normal"/>
    <w:semiHidden/>
    <w:rsid w:val="00645536"/>
    <w:pPr>
      <w:spacing w:before="120"/>
    </w:pPr>
    <w:rPr>
      <w:b/>
    </w:rPr>
  </w:style>
  <w:style w:type="paragraph" w:styleId="TOC1">
    <w:name w:val="toc 1"/>
    <w:basedOn w:val="Normal"/>
    <w:next w:val="Normal"/>
    <w:autoRedefine/>
    <w:semiHidden/>
    <w:rsid w:val="00645536"/>
  </w:style>
  <w:style w:type="paragraph" w:styleId="TOC2">
    <w:name w:val="toc 2"/>
    <w:basedOn w:val="Normal"/>
    <w:next w:val="Normal"/>
    <w:autoRedefine/>
    <w:semiHidden/>
    <w:rsid w:val="00645536"/>
    <w:pPr>
      <w:ind w:left="259"/>
    </w:pPr>
  </w:style>
  <w:style w:type="paragraph" w:styleId="TOC3">
    <w:name w:val="toc 3"/>
    <w:basedOn w:val="Normal"/>
    <w:next w:val="Normal"/>
    <w:autoRedefine/>
    <w:semiHidden/>
    <w:rsid w:val="00645536"/>
    <w:pPr>
      <w:ind w:left="520"/>
    </w:pPr>
  </w:style>
  <w:style w:type="paragraph" w:styleId="TOC4">
    <w:name w:val="toc 4"/>
    <w:basedOn w:val="Normal"/>
    <w:next w:val="Normal"/>
    <w:autoRedefine/>
    <w:semiHidden/>
    <w:rsid w:val="00645536"/>
    <w:pPr>
      <w:ind w:left="780"/>
    </w:pPr>
  </w:style>
  <w:style w:type="paragraph" w:styleId="TOC5">
    <w:name w:val="toc 5"/>
    <w:basedOn w:val="Normal"/>
    <w:next w:val="Normal"/>
    <w:autoRedefine/>
    <w:semiHidden/>
    <w:rsid w:val="00645536"/>
    <w:pPr>
      <w:ind w:left="1040"/>
    </w:pPr>
  </w:style>
  <w:style w:type="paragraph" w:styleId="TOC6">
    <w:name w:val="toc 6"/>
    <w:basedOn w:val="Normal"/>
    <w:next w:val="Normal"/>
    <w:autoRedefine/>
    <w:semiHidden/>
    <w:rsid w:val="00645536"/>
    <w:pPr>
      <w:ind w:left="1300"/>
    </w:pPr>
  </w:style>
  <w:style w:type="paragraph" w:styleId="TOC7">
    <w:name w:val="toc 7"/>
    <w:basedOn w:val="Normal"/>
    <w:next w:val="Normal"/>
    <w:autoRedefine/>
    <w:semiHidden/>
    <w:rsid w:val="00645536"/>
    <w:pPr>
      <w:ind w:left="1560"/>
    </w:pPr>
  </w:style>
  <w:style w:type="paragraph" w:styleId="TOC8">
    <w:name w:val="toc 8"/>
    <w:basedOn w:val="Normal"/>
    <w:next w:val="Normal"/>
    <w:autoRedefine/>
    <w:semiHidden/>
    <w:rsid w:val="00645536"/>
    <w:pPr>
      <w:ind w:left="1820"/>
    </w:pPr>
  </w:style>
  <w:style w:type="paragraph" w:styleId="TOC9">
    <w:name w:val="toc 9"/>
    <w:basedOn w:val="Normal"/>
    <w:next w:val="Normal"/>
    <w:autoRedefine/>
    <w:semiHidden/>
    <w:rsid w:val="00645536"/>
    <w:pPr>
      <w:ind w:left="2080"/>
    </w:pPr>
  </w:style>
  <w:style w:type="paragraph" w:customStyle="1" w:styleId="Contents">
    <w:name w:val="Contents"/>
    <w:basedOn w:val="Normal"/>
    <w:rsid w:val="00645536"/>
    <w:pPr>
      <w:jc w:val="center"/>
    </w:pPr>
    <w:rPr>
      <w:b/>
      <w:spacing w:val="100"/>
    </w:rPr>
  </w:style>
  <w:style w:type="paragraph" w:styleId="ListParagraph">
    <w:name w:val="List Paragraph"/>
    <w:basedOn w:val="Normal"/>
    <w:uiPriority w:val="34"/>
    <w:qFormat/>
    <w:rsid w:val="00690E1A"/>
    <w:pPr>
      <w:ind w:left="720"/>
      <w:contextualSpacing/>
    </w:pPr>
  </w:style>
  <w:style w:type="character" w:styleId="CommentReference">
    <w:name w:val="annotation reference"/>
    <w:basedOn w:val="DefaultParagraphFont"/>
    <w:uiPriority w:val="99"/>
    <w:semiHidden/>
    <w:unhideWhenUsed/>
    <w:rsid w:val="007F7BDA"/>
    <w:rPr>
      <w:sz w:val="16"/>
      <w:szCs w:val="16"/>
    </w:rPr>
  </w:style>
  <w:style w:type="paragraph" w:styleId="CommentText">
    <w:name w:val="annotation text"/>
    <w:basedOn w:val="Normal"/>
    <w:link w:val="CommentTextChar"/>
    <w:uiPriority w:val="99"/>
    <w:unhideWhenUsed/>
    <w:rsid w:val="007F7BDA"/>
    <w:rPr>
      <w:sz w:val="20"/>
    </w:rPr>
  </w:style>
  <w:style w:type="character" w:customStyle="1" w:styleId="CommentTextChar">
    <w:name w:val="Comment Text Char"/>
    <w:basedOn w:val="DefaultParagraphFont"/>
    <w:link w:val="CommentText"/>
    <w:uiPriority w:val="99"/>
    <w:rsid w:val="007F7BDA"/>
  </w:style>
  <w:style w:type="paragraph" w:styleId="CommentSubject">
    <w:name w:val="annotation subject"/>
    <w:basedOn w:val="CommentText"/>
    <w:next w:val="CommentText"/>
    <w:link w:val="CommentSubjectChar"/>
    <w:uiPriority w:val="99"/>
    <w:semiHidden/>
    <w:unhideWhenUsed/>
    <w:rsid w:val="007F7BDA"/>
    <w:rPr>
      <w:b/>
      <w:bCs/>
    </w:rPr>
  </w:style>
  <w:style w:type="character" w:customStyle="1" w:styleId="CommentSubjectChar">
    <w:name w:val="Comment Subject Char"/>
    <w:basedOn w:val="CommentTextChar"/>
    <w:link w:val="CommentSubject"/>
    <w:uiPriority w:val="99"/>
    <w:semiHidden/>
    <w:rsid w:val="007F7BDA"/>
    <w:rPr>
      <w:b/>
      <w:bCs/>
    </w:rPr>
  </w:style>
  <w:style w:type="paragraph" w:styleId="Revision">
    <w:name w:val="Revision"/>
    <w:hidden/>
    <w:uiPriority w:val="99"/>
    <w:semiHidden/>
    <w:rsid w:val="00DC242E"/>
    <w:rPr>
      <w:sz w:val="26"/>
    </w:rPr>
  </w:style>
  <w:style w:type="character" w:styleId="Hyperlink">
    <w:name w:val="Hyperlink"/>
    <w:basedOn w:val="DefaultParagraphFont"/>
    <w:uiPriority w:val="99"/>
    <w:unhideWhenUsed/>
    <w:rsid w:val="00F7551D"/>
    <w:rPr>
      <w:color w:val="0563C1"/>
      <w:u w:val="single"/>
    </w:rPr>
  </w:style>
  <w:style w:type="character" w:styleId="FollowedHyperlink">
    <w:name w:val="FollowedHyperlink"/>
    <w:basedOn w:val="DefaultParagraphFont"/>
    <w:uiPriority w:val="99"/>
    <w:semiHidden/>
    <w:unhideWhenUsed/>
    <w:rsid w:val="00402C48"/>
    <w:rPr>
      <w:color w:val="800080" w:themeColor="followedHyperlink"/>
      <w:u w:val="single"/>
    </w:rPr>
  </w:style>
  <w:style w:type="character" w:styleId="UnresolvedMention">
    <w:name w:val="Unresolved Mention"/>
    <w:basedOn w:val="DefaultParagraphFont"/>
    <w:uiPriority w:val="99"/>
    <w:semiHidden/>
    <w:unhideWhenUsed/>
    <w:rsid w:val="00BA0512"/>
    <w:rPr>
      <w:color w:val="605E5C"/>
      <w:shd w:val="clear" w:color="auto" w:fill="E1DFDD"/>
    </w:rPr>
  </w:style>
  <w:style w:type="paragraph" w:styleId="BalloonText">
    <w:name w:val="Balloon Text"/>
    <w:basedOn w:val="Normal"/>
    <w:link w:val="BalloonTextChar"/>
    <w:uiPriority w:val="99"/>
    <w:semiHidden/>
    <w:unhideWhenUsed/>
    <w:rsid w:val="00455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FC5"/>
    <w:rPr>
      <w:rFonts w:ascii="Segoe UI" w:hAnsi="Segoe UI" w:cs="Segoe UI"/>
      <w:sz w:val="18"/>
      <w:szCs w:val="18"/>
    </w:rPr>
  </w:style>
  <w:style w:type="paragraph" w:styleId="BodyText">
    <w:name w:val="Body Text"/>
    <w:basedOn w:val="Normal"/>
    <w:link w:val="BodyTextChar"/>
    <w:qFormat/>
    <w:rsid w:val="00645536"/>
  </w:style>
  <w:style w:type="character" w:customStyle="1" w:styleId="BodyTextChar">
    <w:name w:val="Body Text Char"/>
    <w:basedOn w:val="DefaultParagraphFont"/>
    <w:link w:val="BodyText"/>
    <w:rsid w:val="00645536"/>
    <w:rPr>
      <w:rFonts w:ascii="Century Schoolbook" w:hAnsi="Century Schoolbook"/>
      <w:sz w:val="27"/>
    </w:rPr>
  </w:style>
  <w:style w:type="character" w:customStyle="1" w:styleId="FootnoteTextChar">
    <w:name w:val="Footnote Text Char"/>
    <w:link w:val="FootnoteText"/>
    <w:rsid w:val="0078607B"/>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03846">
      <w:bodyDiv w:val="1"/>
      <w:marLeft w:val="0"/>
      <w:marRight w:val="0"/>
      <w:marTop w:val="0"/>
      <w:marBottom w:val="0"/>
      <w:divBdr>
        <w:top w:val="none" w:sz="0" w:space="0" w:color="auto"/>
        <w:left w:val="none" w:sz="0" w:space="0" w:color="auto"/>
        <w:bottom w:val="none" w:sz="0" w:space="0" w:color="auto"/>
        <w:right w:val="none" w:sz="0" w:space="0" w:color="auto"/>
      </w:divBdr>
      <w:divsChild>
        <w:div w:id="920716973">
          <w:marLeft w:val="0"/>
          <w:marRight w:val="0"/>
          <w:marTop w:val="0"/>
          <w:marBottom w:val="0"/>
          <w:divBdr>
            <w:top w:val="none" w:sz="0" w:space="0" w:color="auto"/>
            <w:left w:val="none" w:sz="0" w:space="0" w:color="auto"/>
            <w:bottom w:val="none" w:sz="0" w:space="0" w:color="auto"/>
            <w:right w:val="none" w:sz="0" w:space="0" w:color="auto"/>
          </w:divBdr>
        </w:div>
      </w:divsChild>
    </w:div>
    <w:div w:id="486366560">
      <w:bodyDiv w:val="1"/>
      <w:marLeft w:val="0"/>
      <w:marRight w:val="0"/>
      <w:marTop w:val="0"/>
      <w:marBottom w:val="0"/>
      <w:divBdr>
        <w:top w:val="none" w:sz="0" w:space="0" w:color="auto"/>
        <w:left w:val="none" w:sz="0" w:space="0" w:color="auto"/>
        <w:bottom w:val="none" w:sz="0" w:space="0" w:color="auto"/>
        <w:right w:val="none" w:sz="0" w:space="0" w:color="auto"/>
      </w:divBdr>
      <w:divsChild>
        <w:div w:id="182137903">
          <w:marLeft w:val="0"/>
          <w:marRight w:val="0"/>
          <w:marTop w:val="0"/>
          <w:marBottom w:val="0"/>
          <w:divBdr>
            <w:top w:val="none" w:sz="0" w:space="0" w:color="auto"/>
            <w:left w:val="none" w:sz="0" w:space="0" w:color="auto"/>
            <w:bottom w:val="none" w:sz="0" w:space="0" w:color="auto"/>
            <w:right w:val="none" w:sz="0" w:space="0" w:color="auto"/>
          </w:divBdr>
          <w:divsChild>
            <w:div w:id="1996489658">
              <w:marLeft w:val="0"/>
              <w:marRight w:val="0"/>
              <w:marTop w:val="0"/>
              <w:marBottom w:val="0"/>
              <w:divBdr>
                <w:top w:val="none" w:sz="0" w:space="0" w:color="auto"/>
                <w:left w:val="none" w:sz="0" w:space="0" w:color="auto"/>
                <w:bottom w:val="none" w:sz="0" w:space="0" w:color="auto"/>
                <w:right w:val="none" w:sz="0" w:space="0" w:color="auto"/>
              </w:divBdr>
            </w:div>
          </w:divsChild>
        </w:div>
        <w:div w:id="1426610411">
          <w:marLeft w:val="0"/>
          <w:marRight w:val="0"/>
          <w:marTop w:val="0"/>
          <w:marBottom w:val="0"/>
          <w:divBdr>
            <w:top w:val="none" w:sz="0" w:space="0" w:color="auto"/>
            <w:left w:val="none" w:sz="0" w:space="0" w:color="auto"/>
            <w:bottom w:val="none" w:sz="0" w:space="0" w:color="auto"/>
            <w:right w:val="none" w:sz="0" w:space="0" w:color="auto"/>
          </w:divBdr>
          <w:divsChild>
            <w:div w:id="392697603">
              <w:marLeft w:val="0"/>
              <w:marRight w:val="0"/>
              <w:marTop w:val="0"/>
              <w:marBottom w:val="0"/>
              <w:divBdr>
                <w:top w:val="none" w:sz="0" w:space="0" w:color="auto"/>
                <w:left w:val="none" w:sz="0" w:space="0" w:color="auto"/>
                <w:bottom w:val="none" w:sz="0" w:space="0" w:color="auto"/>
                <w:right w:val="none" w:sz="0" w:space="0" w:color="auto"/>
              </w:divBdr>
            </w:div>
          </w:divsChild>
        </w:div>
        <w:div w:id="1666125365">
          <w:marLeft w:val="0"/>
          <w:marRight w:val="0"/>
          <w:marTop w:val="0"/>
          <w:marBottom w:val="0"/>
          <w:divBdr>
            <w:top w:val="none" w:sz="0" w:space="0" w:color="auto"/>
            <w:left w:val="none" w:sz="0" w:space="0" w:color="auto"/>
            <w:bottom w:val="none" w:sz="0" w:space="0" w:color="auto"/>
            <w:right w:val="none" w:sz="0" w:space="0" w:color="auto"/>
          </w:divBdr>
        </w:div>
      </w:divsChild>
    </w:div>
    <w:div w:id="555287697">
      <w:bodyDiv w:val="1"/>
      <w:marLeft w:val="0"/>
      <w:marRight w:val="0"/>
      <w:marTop w:val="0"/>
      <w:marBottom w:val="0"/>
      <w:divBdr>
        <w:top w:val="none" w:sz="0" w:space="0" w:color="auto"/>
        <w:left w:val="none" w:sz="0" w:space="0" w:color="auto"/>
        <w:bottom w:val="none" w:sz="0" w:space="0" w:color="auto"/>
        <w:right w:val="none" w:sz="0" w:space="0" w:color="auto"/>
      </w:divBdr>
    </w:div>
    <w:div w:id="635791666">
      <w:bodyDiv w:val="1"/>
      <w:marLeft w:val="0"/>
      <w:marRight w:val="0"/>
      <w:marTop w:val="0"/>
      <w:marBottom w:val="0"/>
      <w:divBdr>
        <w:top w:val="none" w:sz="0" w:space="0" w:color="auto"/>
        <w:left w:val="none" w:sz="0" w:space="0" w:color="auto"/>
        <w:bottom w:val="none" w:sz="0" w:space="0" w:color="auto"/>
        <w:right w:val="none" w:sz="0" w:space="0" w:color="auto"/>
      </w:divBdr>
      <w:divsChild>
        <w:div w:id="1827742006">
          <w:marLeft w:val="0"/>
          <w:marRight w:val="0"/>
          <w:marTop w:val="0"/>
          <w:marBottom w:val="0"/>
          <w:divBdr>
            <w:top w:val="none" w:sz="0" w:space="0" w:color="auto"/>
            <w:left w:val="none" w:sz="0" w:space="0" w:color="auto"/>
            <w:bottom w:val="none" w:sz="0" w:space="0" w:color="auto"/>
            <w:right w:val="none" w:sz="0" w:space="0" w:color="auto"/>
          </w:divBdr>
        </w:div>
      </w:divsChild>
    </w:div>
    <w:div w:id="1091507007">
      <w:bodyDiv w:val="1"/>
      <w:marLeft w:val="0"/>
      <w:marRight w:val="0"/>
      <w:marTop w:val="0"/>
      <w:marBottom w:val="0"/>
      <w:divBdr>
        <w:top w:val="none" w:sz="0" w:space="0" w:color="auto"/>
        <w:left w:val="none" w:sz="0" w:space="0" w:color="auto"/>
        <w:bottom w:val="none" w:sz="0" w:space="0" w:color="auto"/>
        <w:right w:val="none" w:sz="0" w:space="0" w:color="auto"/>
      </w:divBdr>
    </w:div>
    <w:div w:id="1410036667">
      <w:bodyDiv w:val="1"/>
      <w:marLeft w:val="0"/>
      <w:marRight w:val="0"/>
      <w:marTop w:val="0"/>
      <w:marBottom w:val="0"/>
      <w:divBdr>
        <w:top w:val="none" w:sz="0" w:space="0" w:color="auto"/>
        <w:left w:val="none" w:sz="0" w:space="0" w:color="auto"/>
        <w:bottom w:val="none" w:sz="0" w:space="0" w:color="auto"/>
        <w:right w:val="none" w:sz="0" w:space="0" w:color="auto"/>
      </w:divBdr>
    </w:div>
    <w:div w:id="1492284152">
      <w:bodyDiv w:val="1"/>
      <w:marLeft w:val="0"/>
      <w:marRight w:val="0"/>
      <w:marTop w:val="0"/>
      <w:marBottom w:val="0"/>
      <w:divBdr>
        <w:top w:val="none" w:sz="0" w:space="0" w:color="auto"/>
        <w:left w:val="none" w:sz="0" w:space="0" w:color="auto"/>
        <w:bottom w:val="none" w:sz="0" w:space="0" w:color="auto"/>
        <w:right w:val="none" w:sz="0" w:space="0" w:color="auto"/>
      </w:divBdr>
    </w:div>
    <w:div w:id="1838374345">
      <w:bodyDiv w:val="1"/>
      <w:marLeft w:val="0"/>
      <w:marRight w:val="0"/>
      <w:marTop w:val="0"/>
      <w:marBottom w:val="0"/>
      <w:divBdr>
        <w:top w:val="none" w:sz="0" w:space="0" w:color="auto"/>
        <w:left w:val="none" w:sz="0" w:space="0" w:color="auto"/>
        <w:bottom w:val="none" w:sz="0" w:space="0" w:color="auto"/>
        <w:right w:val="none" w:sz="0" w:space="0" w:color="auto"/>
      </w:divBdr>
      <w:divsChild>
        <w:div w:id="413354159">
          <w:marLeft w:val="0"/>
          <w:marRight w:val="0"/>
          <w:marTop w:val="0"/>
          <w:marBottom w:val="0"/>
          <w:divBdr>
            <w:top w:val="none" w:sz="0" w:space="0" w:color="auto"/>
            <w:left w:val="none" w:sz="0" w:space="0" w:color="auto"/>
            <w:bottom w:val="none" w:sz="0" w:space="0" w:color="auto"/>
            <w:right w:val="none" w:sz="0" w:space="0" w:color="auto"/>
          </w:divBdr>
        </w:div>
      </w:divsChild>
    </w:div>
    <w:div w:id="2058583239">
      <w:bodyDiv w:val="1"/>
      <w:marLeft w:val="0"/>
      <w:marRight w:val="0"/>
      <w:marTop w:val="0"/>
      <w:marBottom w:val="0"/>
      <w:divBdr>
        <w:top w:val="none" w:sz="0" w:space="0" w:color="auto"/>
        <w:left w:val="none" w:sz="0" w:space="0" w:color="auto"/>
        <w:bottom w:val="none" w:sz="0" w:space="0" w:color="auto"/>
        <w:right w:val="none" w:sz="0" w:space="0" w:color="auto"/>
      </w:divBdr>
    </w:div>
    <w:div w:id="2139637408">
      <w:bodyDiv w:val="1"/>
      <w:marLeft w:val="0"/>
      <w:marRight w:val="0"/>
      <w:marTop w:val="0"/>
      <w:marBottom w:val="0"/>
      <w:divBdr>
        <w:top w:val="none" w:sz="0" w:space="0" w:color="auto"/>
        <w:left w:val="none" w:sz="0" w:space="0" w:color="auto"/>
        <w:bottom w:val="none" w:sz="0" w:space="0" w:color="auto"/>
        <w:right w:val="none" w:sz="0" w:space="0" w:color="auto"/>
      </w:divBdr>
      <w:divsChild>
        <w:div w:id="1180045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46911-0CC0-467B-B10E-7E505C24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9514</Words>
  <Characters>49099</Characters>
  <Application>Microsoft Office Word</Application>
  <DocSecurity>0</DocSecurity>
  <Lines>1048</Lines>
  <Paragraphs>131</Paragraphs>
  <ScaleCrop>false</ScaleCrop>
  <Company/>
  <LinksUpToDate>false</LinksUpToDate>
  <CharactersWithSpaces>58887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2022-05-26T16:32:47.7139389Z</dcterms:created>
  <dcterms:modified xsi:type="dcterms:W3CDTF">2022-05-26T16:32:47.7139389Z</dcterms:modified>
</cp:coreProperties>
</file>