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E672B6" w:rsidP="00E672B6" w14:paraId="3763EC55" w14:textId="02E58FAC">
      <w:pPr>
        <w:spacing w:line="240" w:lineRule="auto"/>
        <w:rPr>
          <w:sz w:val="20"/>
        </w:rPr>
      </w:pPr>
      <w:r>
        <w:rPr>
          <w:sz w:val="20"/>
        </w:rPr>
        <w:t xml:space="preserve">Filed </w:t>
      </w:r>
      <w:r w:rsidR="003F1049">
        <w:rPr>
          <w:sz w:val="20"/>
        </w:rPr>
        <w:t>12</w:t>
      </w:r>
      <w:r w:rsidR="00073840">
        <w:rPr>
          <w:sz w:val="20"/>
        </w:rPr>
        <w:t>/</w:t>
      </w:r>
      <w:r w:rsidR="004268EE">
        <w:rPr>
          <w:sz w:val="20"/>
        </w:rPr>
        <w:t>28</w:t>
      </w:r>
      <w:r w:rsidR="00073840">
        <w:rPr>
          <w:sz w:val="20"/>
        </w:rPr>
        <w:t>/23</w:t>
      </w:r>
      <w:r>
        <w:rPr>
          <w:sz w:val="20"/>
        </w:rPr>
        <w:t>; Opinion following rehearing</w:t>
      </w:r>
    </w:p>
    <w:p w:rsidR="00E672B6" w:rsidP="00E672B6" w14:paraId="59ACFD3E" w14:textId="77777777">
      <w:pPr>
        <w:spacing w:line="240" w:lineRule="auto"/>
        <w:jc w:val="center"/>
        <w:rPr>
          <w:b/>
        </w:rPr>
      </w:pPr>
      <w:r>
        <w:rPr>
          <w:b/>
        </w:rPr>
        <w:t>CERTIFIED FOR PUBLICATION</w:t>
      </w:r>
    </w:p>
    <w:p w:rsidR="00E672B6" w:rsidP="00E672B6" w14:paraId="22386AFF" w14:textId="77777777">
      <w:pPr>
        <w:spacing w:line="240" w:lineRule="auto"/>
        <w:jc w:val="center"/>
      </w:pPr>
    </w:p>
    <w:p w:rsidR="008C69C3" w:rsidP="00E672B6" w14:paraId="6078D582" w14:textId="5C7C28DC">
      <w:pPr>
        <w:spacing w:line="240" w:lineRule="auto"/>
        <w:jc w:val="center"/>
      </w:pPr>
      <w:r>
        <w:t>IN THE COURT OF APPEAL OF THE STATE OF CALIFORNIA</w:t>
      </w:r>
    </w:p>
    <w:p w:rsidR="00B01872" w:rsidP="00B01872" w14:paraId="0633EBC8" w14:textId="10E8FEFF">
      <w:pPr>
        <w:spacing w:line="240" w:lineRule="auto"/>
        <w:jc w:val="center"/>
      </w:pPr>
    </w:p>
    <w:p w:rsidR="00B01872" w:rsidP="00B01872" w14:paraId="558B3DF9" w14:textId="6A28426A">
      <w:pPr>
        <w:spacing w:line="240" w:lineRule="auto"/>
        <w:jc w:val="center"/>
      </w:pPr>
      <w:r>
        <w:t>FIRST APPELLATE DISTRICT</w:t>
      </w:r>
    </w:p>
    <w:p w:rsidR="00B01872" w:rsidP="00B01872" w14:paraId="2588C9AE" w14:textId="0BADE4A4">
      <w:pPr>
        <w:spacing w:line="240" w:lineRule="auto"/>
        <w:jc w:val="center"/>
      </w:pPr>
    </w:p>
    <w:p w:rsidR="00B01872" w:rsidP="00B01872" w14:paraId="2929258C" w14:textId="4408098F">
      <w:pPr>
        <w:spacing w:line="240" w:lineRule="auto"/>
        <w:jc w:val="center"/>
      </w:pPr>
      <w:r>
        <w:t>DIVISION TWO</w:t>
      </w:r>
    </w:p>
    <w:p w:rsidR="00B01872" w:rsidP="00B01872" w14:paraId="03638F44" w14:textId="1D7BCECA">
      <w:pPr>
        <w:spacing w:line="240" w:lineRule="auto"/>
        <w:jc w:val="center"/>
      </w:pPr>
    </w:p>
    <w:p w:rsidR="00B01872" w:rsidP="00B01872" w14:paraId="31B8DFDE" w14:textId="1C71223D">
      <w:pPr>
        <w:spacing w:line="240" w:lineRule="auto"/>
        <w:jc w:val="center"/>
      </w:pPr>
    </w:p>
    <w:tbl>
      <w:tblPr>
        <w:tblW w:w="0" w:type="auto"/>
        <w:tblLayout w:type="fixed"/>
        <w:tblLook w:val="0000"/>
      </w:tblPr>
      <w:tblGrid>
        <w:gridCol w:w="3960"/>
        <w:gridCol w:w="3960"/>
      </w:tblGrid>
      <w:tr w14:paraId="0B6232C8" w14:textId="77777777" w:rsidTr="00B01872">
        <w:tblPrEx>
          <w:tblW w:w="0" w:type="auto"/>
          <w:tblLayout w:type="fixed"/>
          <w:tblLook w:val="0000"/>
        </w:tblPrEx>
        <w:tc>
          <w:tcPr>
            <w:tcW w:w="3960" w:type="dxa"/>
            <w:tcBorders>
              <w:bottom w:val="single" w:sz="4" w:space="0" w:color="auto"/>
              <w:right w:val="single" w:sz="4" w:space="0" w:color="auto"/>
            </w:tcBorders>
            <w:shd w:val="clear" w:color="auto" w:fill="auto"/>
          </w:tcPr>
          <w:p w:rsidR="00B01872" w:rsidP="00B01872" w14:paraId="17BF6948" w14:textId="77777777">
            <w:pPr>
              <w:spacing w:after="120" w:line="240" w:lineRule="auto"/>
            </w:pPr>
            <w:r>
              <w:t>THE PEOPLE,</w:t>
            </w:r>
          </w:p>
          <w:p w:rsidR="00B01872" w:rsidP="00B01872" w14:paraId="7E1E1B8A" w14:textId="0D24AC2B">
            <w:pPr>
              <w:spacing w:after="120" w:line="240" w:lineRule="auto"/>
            </w:pPr>
            <w:r>
              <w:t>Plaintiff and Respondent,</w:t>
            </w:r>
          </w:p>
          <w:p w:rsidR="00B01872" w:rsidP="00B01872" w14:paraId="2BA99F6D" w14:textId="77777777">
            <w:pPr>
              <w:spacing w:after="120" w:line="240" w:lineRule="auto"/>
            </w:pPr>
            <w:r>
              <w:t>v.</w:t>
            </w:r>
          </w:p>
          <w:p w:rsidR="00B01872" w:rsidP="00B01872" w14:paraId="10816F47" w14:textId="77777777">
            <w:pPr>
              <w:spacing w:after="120" w:line="240" w:lineRule="auto"/>
            </w:pPr>
            <w:r>
              <w:t>RAFAEL CAMPBELL,</w:t>
            </w:r>
          </w:p>
          <w:p w:rsidR="00B01872" w:rsidP="00B01872" w14:paraId="45925A97" w14:textId="0DB8FF3E">
            <w:pPr>
              <w:spacing w:after="120" w:line="240" w:lineRule="auto"/>
            </w:pPr>
            <w:r>
              <w:t>Defendant and Appellant.</w:t>
            </w:r>
          </w:p>
        </w:tc>
        <w:tc>
          <w:tcPr>
            <w:tcW w:w="3960" w:type="dxa"/>
            <w:tcBorders>
              <w:left w:val="single" w:sz="4" w:space="0" w:color="auto"/>
            </w:tcBorders>
            <w:shd w:val="clear" w:color="auto" w:fill="auto"/>
          </w:tcPr>
          <w:p w:rsidR="00B01872" w:rsidP="00B01872" w14:paraId="74D4453F" w14:textId="77777777">
            <w:pPr>
              <w:spacing w:line="240" w:lineRule="auto"/>
            </w:pPr>
          </w:p>
          <w:p w:rsidR="00B01872" w:rsidP="00B01872" w14:paraId="317376BB" w14:textId="77777777">
            <w:pPr>
              <w:spacing w:line="240" w:lineRule="auto"/>
            </w:pPr>
          </w:p>
          <w:p w:rsidR="00B01872" w:rsidP="00B01872" w14:paraId="1AB61500" w14:textId="664DCCE6">
            <w:pPr>
              <w:spacing w:line="240" w:lineRule="auto"/>
            </w:pPr>
            <w:r>
              <w:t xml:space="preserve">      A162472    </w:t>
            </w:r>
          </w:p>
          <w:p w:rsidR="00B01872" w:rsidP="00B01872" w14:paraId="64130EFD" w14:textId="77777777">
            <w:pPr>
              <w:spacing w:line="240" w:lineRule="auto"/>
            </w:pPr>
          </w:p>
          <w:p w:rsidR="00B01872" w:rsidP="00B01872" w14:paraId="2707F31B" w14:textId="77777777">
            <w:pPr>
              <w:spacing w:line="240" w:lineRule="auto"/>
            </w:pPr>
            <w:r>
              <w:t xml:space="preserve">      (Alameda County</w:t>
            </w:r>
          </w:p>
          <w:p w:rsidR="00B01872" w:rsidP="00B01872" w14:paraId="02B31C93" w14:textId="676A3D52">
            <w:pPr>
              <w:spacing w:line="240" w:lineRule="auto"/>
            </w:pPr>
            <w:r>
              <w:t xml:space="preserve">      Super. Ct. No. 164869D)</w:t>
            </w:r>
          </w:p>
          <w:p w:rsidR="00B01872" w:rsidP="00B01872" w14:paraId="1AAA1E89" w14:textId="3F177A14">
            <w:pPr>
              <w:spacing w:line="240" w:lineRule="auto"/>
            </w:pPr>
          </w:p>
        </w:tc>
      </w:tr>
      <w:tr w14:paraId="24999E50" w14:textId="77777777" w:rsidTr="00B01872">
        <w:tblPrEx>
          <w:tblW w:w="0" w:type="auto"/>
          <w:tblLayout w:type="fixed"/>
          <w:tblLook w:val="0000"/>
        </w:tblPrEx>
        <w:tc>
          <w:tcPr>
            <w:tcW w:w="3960" w:type="dxa"/>
            <w:tcBorders>
              <w:bottom w:val="single" w:sz="4" w:space="0" w:color="auto"/>
              <w:right w:val="single" w:sz="4" w:space="0" w:color="auto"/>
            </w:tcBorders>
            <w:shd w:val="clear" w:color="auto" w:fill="auto"/>
          </w:tcPr>
          <w:p w:rsidR="00B01872" w:rsidP="004624C3" w14:paraId="036F74F0" w14:textId="77777777">
            <w:pPr>
              <w:spacing w:after="120" w:line="240" w:lineRule="auto"/>
            </w:pPr>
            <w:r>
              <w:t>THE PEOPLE,</w:t>
            </w:r>
          </w:p>
          <w:p w:rsidR="00B01872" w:rsidP="004624C3" w14:paraId="65E5D28F" w14:textId="3BF3A977">
            <w:pPr>
              <w:spacing w:after="120" w:line="240" w:lineRule="auto"/>
            </w:pPr>
            <w:r>
              <w:t>Plaintiff and Respondent,</w:t>
            </w:r>
          </w:p>
          <w:p w:rsidR="00B01872" w:rsidP="004624C3" w14:paraId="3CCB9AB5" w14:textId="77777777">
            <w:pPr>
              <w:spacing w:after="120" w:line="240" w:lineRule="auto"/>
            </w:pPr>
            <w:r>
              <w:t>v.</w:t>
            </w:r>
          </w:p>
          <w:p w:rsidR="00B01872" w:rsidP="004624C3" w14:paraId="69FAD4AA" w14:textId="10F9EA3C">
            <w:pPr>
              <w:spacing w:after="120" w:line="240" w:lineRule="auto"/>
            </w:pPr>
            <w:r>
              <w:t>ANTHONY B. PRICE,</w:t>
            </w:r>
          </w:p>
          <w:p w:rsidR="00B01872" w:rsidP="004624C3" w14:paraId="56BD5F77" w14:textId="6311C65C">
            <w:pPr>
              <w:spacing w:after="120" w:line="240" w:lineRule="auto"/>
            </w:pPr>
            <w:r>
              <w:t>Defendant and Appellant.</w:t>
            </w:r>
          </w:p>
        </w:tc>
        <w:tc>
          <w:tcPr>
            <w:tcW w:w="3960" w:type="dxa"/>
            <w:tcBorders>
              <w:left w:val="single" w:sz="4" w:space="0" w:color="auto"/>
            </w:tcBorders>
            <w:shd w:val="clear" w:color="auto" w:fill="auto"/>
          </w:tcPr>
          <w:p w:rsidR="00B01872" w:rsidP="004624C3" w14:paraId="3A042CAD" w14:textId="77777777">
            <w:pPr>
              <w:spacing w:line="240" w:lineRule="auto"/>
            </w:pPr>
          </w:p>
          <w:p w:rsidR="00B01872" w:rsidP="004624C3" w14:paraId="4D32B786" w14:textId="77777777">
            <w:pPr>
              <w:spacing w:line="240" w:lineRule="auto"/>
            </w:pPr>
          </w:p>
          <w:p w:rsidR="00B01872" w:rsidP="004624C3" w14:paraId="2DB75EE1" w14:textId="2ADC53A2">
            <w:pPr>
              <w:spacing w:line="240" w:lineRule="auto"/>
            </w:pPr>
            <w:r>
              <w:t xml:space="preserve">      A162488   </w:t>
            </w:r>
          </w:p>
          <w:p w:rsidR="00B01872" w:rsidP="004624C3" w14:paraId="6EBFB75A" w14:textId="77777777">
            <w:pPr>
              <w:spacing w:line="240" w:lineRule="auto"/>
            </w:pPr>
          </w:p>
          <w:p w:rsidR="00B01872" w:rsidP="004624C3" w14:paraId="4BE9DAD3" w14:textId="77777777">
            <w:pPr>
              <w:spacing w:line="240" w:lineRule="auto"/>
            </w:pPr>
            <w:r>
              <w:t xml:space="preserve">      (Alameda County</w:t>
            </w:r>
          </w:p>
          <w:p w:rsidR="00B01872" w:rsidP="004624C3" w14:paraId="657CB67A" w14:textId="28C86B9B">
            <w:pPr>
              <w:spacing w:line="240" w:lineRule="auto"/>
            </w:pPr>
            <w:r>
              <w:t xml:space="preserve">      Super. Ct. No. 164869B)</w:t>
            </w:r>
          </w:p>
          <w:p w:rsidR="00B01872" w:rsidP="004624C3" w14:paraId="7C7160C0" w14:textId="77777777">
            <w:pPr>
              <w:spacing w:line="240" w:lineRule="auto"/>
            </w:pPr>
          </w:p>
        </w:tc>
      </w:tr>
      <w:tr w14:paraId="233CAEAC" w14:textId="77777777" w:rsidTr="00B01872">
        <w:tblPrEx>
          <w:tblW w:w="0" w:type="auto"/>
          <w:tblLayout w:type="fixed"/>
          <w:tblLook w:val="0000"/>
        </w:tblPrEx>
        <w:tc>
          <w:tcPr>
            <w:tcW w:w="3960" w:type="dxa"/>
            <w:tcBorders>
              <w:bottom w:val="single" w:sz="4" w:space="0" w:color="auto"/>
              <w:right w:val="single" w:sz="4" w:space="0" w:color="auto"/>
            </w:tcBorders>
            <w:shd w:val="clear" w:color="auto" w:fill="auto"/>
          </w:tcPr>
          <w:p w:rsidR="00B01872" w:rsidP="004624C3" w14:paraId="2BD4EF8D" w14:textId="77777777">
            <w:pPr>
              <w:spacing w:after="120" w:line="240" w:lineRule="auto"/>
            </w:pPr>
            <w:r>
              <w:t>THE PEOPLE,</w:t>
            </w:r>
          </w:p>
          <w:p w:rsidR="00B01872" w:rsidP="004624C3" w14:paraId="22F6D0B0" w14:textId="77689E60">
            <w:pPr>
              <w:spacing w:after="120" w:line="240" w:lineRule="auto"/>
            </w:pPr>
            <w:r>
              <w:t>Plaintiff and Respondent,</w:t>
            </w:r>
          </w:p>
          <w:p w:rsidR="00B01872" w:rsidP="004624C3" w14:paraId="71B0A8F5" w14:textId="77777777">
            <w:pPr>
              <w:spacing w:after="120" w:line="240" w:lineRule="auto"/>
            </w:pPr>
            <w:r>
              <w:t>v.</w:t>
            </w:r>
          </w:p>
          <w:p w:rsidR="00B01872" w:rsidP="004624C3" w14:paraId="214EA19D" w14:textId="1ED54945">
            <w:pPr>
              <w:spacing w:after="120" w:line="240" w:lineRule="auto"/>
            </w:pPr>
            <w:r>
              <w:t>STEPHON ANTHONY,</w:t>
            </w:r>
          </w:p>
          <w:p w:rsidR="00B01872" w:rsidP="004624C3" w14:paraId="609AB902" w14:textId="0390BF91">
            <w:pPr>
              <w:spacing w:after="120" w:line="240" w:lineRule="auto"/>
            </w:pPr>
            <w:r>
              <w:t>Defendant and Appellant.</w:t>
            </w:r>
          </w:p>
        </w:tc>
        <w:tc>
          <w:tcPr>
            <w:tcW w:w="3960" w:type="dxa"/>
            <w:tcBorders>
              <w:left w:val="single" w:sz="4" w:space="0" w:color="auto"/>
            </w:tcBorders>
            <w:shd w:val="clear" w:color="auto" w:fill="auto"/>
          </w:tcPr>
          <w:p w:rsidR="00B01872" w:rsidP="004624C3" w14:paraId="2AB86BAD" w14:textId="77777777">
            <w:pPr>
              <w:spacing w:line="240" w:lineRule="auto"/>
            </w:pPr>
          </w:p>
          <w:p w:rsidR="00B01872" w:rsidP="004624C3" w14:paraId="00079F8C" w14:textId="77777777">
            <w:pPr>
              <w:spacing w:line="240" w:lineRule="auto"/>
            </w:pPr>
          </w:p>
          <w:p w:rsidR="00B01872" w:rsidP="004624C3" w14:paraId="3F806D37" w14:textId="7BC5A70C">
            <w:pPr>
              <w:spacing w:line="240" w:lineRule="auto"/>
            </w:pPr>
            <w:r>
              <w:t xml:space="preserve">      A162623    </w:t>
            </w:r>
          </w:p>
          <w:p w:rsidR="00B01872" w:rsidP="004624C3" w14:paraId="3CEAA907" w14:textId="77777777">
            <w:pPr>
              <w:spacing w:line="240" w:lineRule="auto"/>
            </w:pPr>
          </w:p>
          <w:p w:rsidR="00B01872" w:rsidP="004624C3" w14:paraId="1163550D" w14:textId="77777777">
            <w:pPr>
              <w:spacing w:line="240" w:lineRule="auto"/>
            </w:pPr>
            <w:r>
              <w:t xml:space="preserve">      (Alameda County</w:t>
            </w:r>
          </w:p>
          <w:p w:rsidR="00B01872" w:rsidP="004624C3" w14:paraId="2AC28F98" w14:textId="006F9796">
            <w:pPr>
              <w:spacing w:line="240" w:lineRule="auto"/>
            </w:pPr>
            <w:r>
              <w:t xml:space="preserve">      Super. Ct. No. 164869A)</w:t>
            </w:r>
          </w:p>
          <w:p w:rsidR="00B01872" w:rsidP="004624C3" w14:paraId="050B72B8" w14:textId="77777777">
            <w:pPr>
              <w:spacing w:line="240" w:lineRule="auto"/>
            </w:pPr>
          </w:p>
        </w:tc>
      </w:tr>
      <w:tr w14:paraId="0513F573" w14:textId="77777777" w:rsidTr="00B01872">
        <w:tblPrEx>
          <w:tblW w:w="0" w:type="auto"/>
          <w:tblLayout w:type="fixed"/>
          <w:tblLook w:val="0000"/>
        </w:tblPrEx>
        <w:tc>
          <w:tcPr>
            <w:tcW w:w="3960" w:type="dxa"/>
            <w:tcBorders>
              <w:bottom w:val="single" w:sz="4" w:space="0" w:color="auto"/>
              <w:right w:val="single" w:sz="4" w:space="0" w:color="auto"/>
            </w:tcBorders>
            <w:shd w:val="clear" w:color="auto" w:fill="auto"/>
          </w:tcPr>
          <w:p w:rsidR="00B01872" w:rsidP="004624C3" w14:paraId="54170ED0" w14:textId="77777777">
            <w:pPr>
              <w:spacing w:after="120" w:line="240" w:lineRule="auto"/>
            </w:pPr>
            <w:r>
              <w:t>THE PEOPLE,</w:t>
            </w:r>
          </w:p>
          <w:p w:rsidR="00B01872" w:rsidP="004624C3" w14:paraId="13A019AF" w14:textId="2F75A5E1">
            <w:pPr>
              <w:spacing w:after="120" w:line="240" w:lineRule="auto"/>
            </w:pPr>
            <w:r>
              <w:t>Plaintiff and Respondent,</w:t>
            </w:r>
          </w:p>
          <w:p w:rsidR="00B01872" w:rsidP="004624C3" w14:paraId="0005FE88" w14:textId="77777777">
            <w:pPr>
              <w:spacing w:after="120" w:line="240" w:lineRule="auto"/>
            </w:pPr>
            <w:r>
              <w:t>v.</w:t>
            </w:r>
          </w:p>
          <w:p w:rsidR="00B01872" w:rsidP="004624C3" w14:paraId="0102647A" w14:textId="069223D7">
            <w:pPr>
              <w:spacing w:after="120" w:line="240" w:lineRule="auto"/>
            </w:pPr>
            <w:r>
              <w:t>SAMUEL FLOWERS,</w:t>
            </w:r>
          </w:p>
          <w:p w:rsidR="00B01872" w:rsidP="004624C3" w14:paraId="53D55138" w14:textId="4F697A1C">
            <w:pPr>
              <w:spacing w:after="120" w:line="240" w:lineRule="auto"/>
            </w:pPr>
            <w:r>
              <w:t>Defendant and Appellant.</w:t>
            </w:r>
          </w:p>
        </w:tc>
        <w:tc>
          <w:tcPr>
            <w:tcW w:w="3960" w:type="dxa"/>
            <w:tcBorders>
              <w:left w:val="single" w:sz="4" w:space="0" w:color="auto"/>
            </w:tcBorders>
            <w:shd w:val="clear" w:color="auto" w:fill="auto"/>
          </w:tcPr>
          <w:p w:rsidR="00B01872" w:rsidP="004624C3" w14:paraId="3999C1FB" w14:textId="77777777">
            <w:pPr>
              <w:spacing w:line="240" w:lineRule="auto"/>
            </w:pPr>
          </w:p>
          <w:p w:rsidR="00B01872" w:rsidP="004624C3" w14:paraId="5AB380EA" w14:textId="77777777">
            <w:pPr>
              <w:spacing w:line="240" w:lineRule="auto"/>
            </w:pPr>
          </w:p>
          <w:p w:rsidR="00B01872" w:rsidP="004624C3" w14:paraId="33657CD5" w14:textId="6AE45EA4">
            <w:pPr>
              <w:spacing w:line="240" w:lineRule="auto"/>
            </w:pPr>
            <w:r>
              <w:t xml:space="preserve">      A163277    </w:t>
            </w:r>
          </w:p>
          <w:p w:rsidR="00B01872" w:rsidP="004624C3" w14:paraId="5772B977" w14:textId="77777777">
            <w:pPr>
              <w:spacing w:line="240" w:lineRule="auto"/>
            </w:pPr>
          </w:p>
          <w:p w:rsidR="00B01872" w:rsidP="004624C3" w14:paraId="6741EC03" w14:textId="77777777">
            <w:pPr>
              <w:spacing w:line="240" w:lineRule="auto"/>
            </w:pPr>
            <w:r>
              <w:t xml:space="preserve">      (Alameda County</w:t>
            </w:r>
          </w:p>
          <w:p w:rsidR="00B01872" w:rsidP="004624C3" w14:paraId="67080A80" w14:textId="337F6907">
            <w:pPr>
              <w:spacing w:line="240" w:lineRule="auto"/>
            </w:pPr>
            <w:r>
              <w:t xml:space="preserve">      Super. Ct. No. 164869C)</w:t>
            </w:r>
          </w:p>
          <w:p w:rsidR="00B01872" w:rsidP="004624C3" w14:paraId="3A87C16B" w14:textId="77777777">
            <w:pPr>
              <w:spacing w:line="240" w:lineRule="auto"/>
            </w:pPr>
          </w:p>
        </w:tc>
      </w:tr>
    </w:tbl>
    <w:p w:rsidR="006F5084" w:rsidP="003D2FD0" w14:paraId="7562A631" w14:textId="77777777">
      <w:pPr>
        <w:spacing w:line="360" w:lineRule="auto"/>
        <w:rPr>
          <w:b/>
        </w:rPr>
      </w:pPr>
    </w:p>
    <w:p w:rsidR="00E41321" w:rsidRPr="00FE5474" w:rsidP="00F95B53" w14:paraId="0D95FE0B" w14:textId="37F5A7DE">
      <w:pPr>
        <w:spacing w:line="360" w:lineRule="auto"/>
        <w:ind w:firstLine="720"/>
      </w:pPr>
      <w:r w:rsidRPr="00FE5474">
        <w:t xml:space="preserve">In this appeal, Appellants </w:t>
      </w:r>
      <w:r w:rsidRPr="006F3F00" w:rsidR="006F3F00">
        <w:t xml:space="preserve">Stephon Anthony, Rafael Campbell, Samuel Flowers and Anthony B. Price </w:t>
      </w:r>
      <w:r w:rsidR="006F3F00">
        <w:t xml:space="preserve">(collectively, Appellants) </w:t>
      </w:r>
      <w:r w:rsidRPr="00FE5474">
        <w:t xml:space="preserve">seek relief on three bases:  claimed errors by the trial court in ruling on their petitions for resentencing under </w:t>
      </w:r>
      <w:r w:rsidR="0078767E">
        <w:t xml:space="preserve">Penal Code </w:t>
      </w:r>
      <w:r w:rsidRPr="00FE5474">
        <w:t>section 1172.6</w:t>
      </w:r>
      <w:r w:rsidR="0063575C">
        <w:t>;</w:t>
      </w:r>
      <w:r>
        <w:rPr>
          <w:rStyle w:val="FootnoteReference"/>
          <w:b/>
          <w:bCs/>
        </w:rPr>
        <w:footnoteReference w:id="2"/>
      </w:r>
      <w:r w:rsidRPr="00FE5474">
        <w:t xml:space="preserve"> retroactive relief directly from this court based on ameliorative</w:t>
      </w:r>
      <w:r w:rsidRPr="00FE5474" w:rsidR="00151769">
        <w:t xml:space="preserve"> amendments to the statutes governing gang-related enhancements and special circumstances; and relief from the trial court’s ruling after we remanded the case under ameliorative legislation conferring discretion on trial courts to strike enhancements and prior strikes.</w:t>
      </w:r>
    </w:p>
    <w:p w:rsidR="006F5084" w:rsidRPr="0090024A" w:rsidP="00F95B53" w14:paraId="6EF6A1BD" w14:textId="67599D46">
      <w:pPr>
        <w:spacing w:line="360" w:lineRule="auto"/>
        <w:ind w:firstLine="720"/>
      </w:pPr>
      <w:r w:rsidRPr="00FE5474">
        <w:t>Regarding the first</w:t>
      </w:r>
      <w:r>
        <w:t xml:space="preserve">, </w:t>
      </w:r>
      <w:r w:rsidRPr="0090024A">
        <w:t xml:space="preserve">Appellants, who were jointly convicted of </w:t>
      </w:r>
      <w:r w:rsidR="00C27755">
        <w:t xml:space="preserve">first degree </w:t>
      </w:r>
      <w:r w:rsidRPr="0090024A">
        <w:t>murder in connection with a gang-related shooting, appeal from the trial court</w:t>
      </w:r>
      <w:r>
        <w:t>’s decision</w:t>
      </w:r>
      <w:r w:rsidRPr="0090024A">
        <w:t xml:space="preserve"> denying them resentencing relief under section</w:t>
      </w:r>
      <w:r w:rsidRPr="0090024A" w:rsidR="0076399B">
        <w:t> </w:t>
      </w:r>
      <w:r w:rsidRPr="0090024A">
        <w:t>1172.6</w:t>
      </w:r>
      <w:r w:rsidRPr="0090024A">
        <w:rPr>
          <w:rStyle w:val="FootnoteReference"/>
        </w:rPr>
        <w:t xml:space="preserve"> </w:t>
      </w:r>
      <w:r w:rsidRPr="0090024A">
        <w:t>from their first degree murder convictions</w:t>
      </w:r>
      <w:r w:rsidR="00C27755">
        <w:t xml:space="preserve"> at the prima facie stage</w:t>
      </w:r>
      <w:r w:rsidRPr="0090024A">
        <w:t>.</w:t>
      </w:r>
      <w:r w:rsidR="00C27755">
        <w:t xml:space="preserve">  (§</w:t>
      </w:r>
      <w:r w:rsidR="002F0B7A">
        <w:t> </w:t>
      </w:r>
      <w:r w:rsidR="00C27755">
        <w:t>1172.6, subd.</w:t>
      </w:r>
      <w:r w:rsidR="002F0B7A">
        <w:t> </w:t>
      </w:r>
      <w:r w:rsidR="00C27755">
        <w:t>(c).)</w:t>
      </w:r>
      <w:r w:rsidRPr="0090024A">
        <w:t xml:space="preserve">  They contend the trial court erred in relying on the jury’s intent</w:t>
      </w:r>
      <w:r w:rsidR="00C27755">
        <w:t>-</w:t>
      </w:r>
      <w:r w:rsidRPr="0090024A">
        <w:t>to</w:t>
      </w:r>
      <w:r w:rsidR="00C27755">
        <w:t>-</w:t>
      </w:r>
      <w:r w:rsidRPr="0090024A">
        <w:t xml:space="preserve">kill findings in connection with two special circumstances to conclude </w:t>
      </w:r>
      <w:r>
        <w:t xml:space="preserve">that </w:t>
      </w:r>
      <w:r w:rsidRPr="0090024A">
        <w:t xml:space="preserve">as a matter of law they are not eligible for relief.  We agree with the People that the trial court was entitled to consider the finding </w:t>
      </w:r>
      <w:r w:rsidR="00C27755">
        <w:t xml:space="preserve">at the prima facie stage </w:t>
      </w:r>
      <w:r w:rsidRPr="0090024A">
        <w:t xml:space="preserve">but, based on </w:t>
      </w:r>
      <w:r w:rsidR="00BF2CF5">
        <w:t>two</w:t>
      </w:r>
      <w:r w:rsidRPr="0090024A">
        <w:t xml:space="preserve"> recent decision</w:t>
      </w:r>
      <w:r w:rsidR="00BF2CF5">
        <w:t>s</w:t>
      </w:r>
      <w:r w:rsidRPr="0090024A">
        <w:t xml:space="preserve"> by our high court</w:t>
      </w:r>
      <w:r>
        <w:t xml:space="preserve"> (</w:t>
      </w:r>
      <w:r w:rsidRPr="00880216">
        <w:rPr>
          <w:i/>
          <w:iCs/>
        </w:rPr>
        <w:t>In re Lopez</w:t>
      </w:r>
      <w:r>
        <w:t xml:space="preserve"> (2023) 14 Cal.5th 562 </w:t>
      </w:r>
      <w:r w:rsidRPr="00FE5474">
        <w:t xml:space="preserve">and </w:t>
      </w:r>
      <w:r w:rsidRPr="00FE5474">
        <w:rPr>
          <w:i/>
          <w:iCs/>
        </w:rPr>
        <w:t>People v. Curiel</w:t>
      </w:r>
      <w:r w:rsidRPr="00FE5474">
        <w:t xml:space="preserve"> (</w:t>
      </w:r>
      <w:r w:rsidRPr="00FE5474" w:rsidR="003F1049">
        <w:t xml:space="preserve">Nov. 27, </w:t>
      </w:r>
      <w:r w:rsidRPr="00FE5474">
        <w:t>2023</w:t>
      </w:r>
      <w:r w:rsidRPr="00FE5474" w:rsidR="003F1049">
        <w:t>, S272238</w:t>
      </w:r>
      <w:r w:rsidRPr="00FE5474">
        <w:t>)</w:t>
      </w:r>
      <w:r w:rsidRPr="00FE5474" w:rsidR="003F1049">
        <w:t xml:space="preserve"> __ </w:t>
      </w:r>
      <w:r w:rsidRPr="00FE5474">
        <w:t>Cal.5th</w:t>
      </w:r>
      <w:r w:rsidRPr="00AB5267" w:rsidR="003F1049">
        <w:t xml:space="preserve"> </w:t>
      </w:r>
      <w:r w:rsidRPr="00EB6FCF" w:rsidR="00EB6FCF">
        <w:t>__</w:t>
      </w:r>
      <w:r w:rsidRPr="00AB5267" w:rsidR="003F1049">
        <w:t xml:space="preserve"> </w:t>
      </w:r>
      <w:r w:rsidR="003F1049">
        <w:t>[2023 WL 8178140] (</w:t>
      </w:r>
      <w:r w:rsidRPr="00FE5474" w:rsidR="003F1049">
        <w:rPr>
          <w:i/>
          <w:iCs/>
        </w:rPr>
        <w:t>Curiel</w:t>
      </w:r>
      <w:r w:rsidR="003F1049">
        <w:t>)</w:t>
      </w:r>
      <w:r w:rsidR="0024529E">
        <w:t>)</w:t>
      </w:r>
      <w:r w:rsidR="00071ABC">
        <w:t>,</w:t>
      </w:r>
      <w:r w:rsidRPr="0090024A">
        <w:t xml:space="preserve"> conclude the intent to kill finding</w:t>
      </w:r>
      <w:r w:rsidR="00B75565">
        <w:t>s</w:t>
      </w:r>
      <w:r w:rsidRPr="0090024A">
        <w:t xml:space="preserve"> do not preclude relief as a matter of law.  Because the trial court must consider the </w:t>
      </w:r>
      <w:r w:rsidRPr="0090024A">
        <w:t>trial evidence and assess the strength and credibility of the evidence, section 1172.6 requires that it issue an order to show cause and conduct an evidentiary hearing.  We remand the section 1172.6 proceedings for that purpose.</w:t>
      </w:r>
    </w:p>
    <w:p w:rsidR="004E4FA7" w:rsidRPr="004E4FA7" w:rsidP="00F95B53" w14:paraId="4904EB7C" w14:textId="2071D85B">
      <w:pPr>
        <w:spacing w:line="360" w:lineRule="auto"/>
        <w:ind w:firstLine="720"/>
      </w:pPr>
      <w:r w:rsidRPr="004E4FA7">
        <w:t>Appellants fled from police after they shot and killed the brother of a rival gang member</w:t>
      </w:r>
      <w:r w:rsidR="00151769">
        <w:t>, and</w:t>
      </w:r>
      <w:r w:rsidRPr="004E4FA7">
        <w:t xml:space="preserve"> </w:t>
      </w:r>
      <w:r w:rsidR="00151769">
        <w:t>t</w:t>
      </w:r>
      <w:r w:rsidRPr="004E4FA7">
        <w:t>wo bystanders were hit and killed during the ensuing vehicle chase</w:t>
      </w:r>
      <w:r w:rsidR="00151769">
        <w:t>.</w:t>
      </w:r>
      <w:r w:rsidRPr="004E4FA7">
        <w:t xml:space="preserve"> </w:t>
      </w:r>
      <w:r w:rsidR="00151769">
        <w:t xml:space="preserve"> T</w:t>
      </w:r>
      <w:r w:rsidRPr="004E4FA7">
        <w:t>his resulted in two second degree murder convictions for each of the Appellants</w:t>
      </w:r>
      <w:r w:rsidR="00151769">
        <w:t>, which convictions were also the subject of the resentencing petition</w:t>
      </w:r>
      <w:r w:rsidRPr="004E4FA7">
        <w:t>.  The trial court granted relief under section 1172.6 to Price, Campbell and Flowers</w:t>
      </w:r>
      <w:r>
        <w:rPr>
          <w:rStyle w:val="FootnoteReference"/>
          <w:b/>
          <w:bCs/>
        </w:rPr>
        <w:footnoteReference w:id="3"/>
      </w:r>
      <w:r w:rsidRPr="004E4FA7">
        <w:t xml:space="preserve"> from these two second degree murder convictions.  These three Appellants argue the trial court did not go far enough and should also have granted them relief from their convictions under Vehicle Code section 2800.3 arising out of the same two bystander killings.  They also contend that, after granting them relief on the second degree murder convictions, the trial court erred by failing to explicitly strike the multiple-murder special circumstance found true by the jury as to each of them.  Finally, these three Appellants seek resentencing on the Vehicle Code convictions based on recent legislation constraining sentencing decisions about whether and when to impose upper, middle and lower terms of imprisonment.  We agree in part and disagree in part with the contentions of these three Appellants.  We remand for the trial court to strike the multiple murder special circumstance as to these three Appellants.  We affirm the trial court’s denial of relief under section 1172.6 for the Vehicle Code convictions but remand for resentencing based on an amendment to section 1170, subdivision (b) that could affect the sentences imposed for those convictions.</w:t>
      </w:r>
    </w:p>
    <w:p w:rsidR="006F5084" w:rsidRPr="0090024A" w:rsidP="00F95B53" w14:paraId="6CFB38C2" w14:textId="414E460D">
      <w:pPr>
        <w:spacing w:line="360" w:lineRule="auto"/>
        <w:ind w:firstLine="720"/>
      </w:pPr>
      <w:r w:rsidRPr="0090024A">
        <w:t>Appellants</w:t>
      </w:r>
      <w:r w:rsidR="006E636F">
        <w:t>’</w:t>
      </w:r>
      <w:r w:rsidR="00065B04">
        <w:t xml:space="preserve"> second request seeks relief</w:t>
      </w:r>
      <w:r w:rsidRPr="0090024A">
        <w:t xml:space="preserve"> from this court directly, </w:t>
      </w:r>
      <w:r w:rsidR="00065B04">
        <w:t xml:space="preserve">concerning </w:t>
      </w:r>
      <w:r w:rsidRPr="0090024A">
        <w:t>the verdicts imposing a gang-related gun enhancement and a gang</w:t>
      </w:r>
      <w:r w:rsidRPr="0090024A" w:rsidR="00D351AC">
        <w:t>-</w:t>
      </w:r>
      <w:r w:rsidRPr="0090024A">
        <w:t xml:space="preserve">murder special circumstance on each of them.  They </w:t>
      </w:r>
      <w:r w:rsidR="00065B04">
        <w:t xml:space="preserve">ask us to apply </w:t>
      </w:r>
      <w:r w:rsidRPr="0090024A">
        <w:t>retroactive</w:t>
      </w:r>
      <w:r w:rsidR="00065B04">
        <w:t>ly</w:t>
      </w:r>
      <w:r w:rsidRPr="0090024A">
        <w:t xml:space="preserve"> an ameliorative change in the law governing gang-related crimes that the Legislature adopted between the time of the trial court proceedings and the filing of these appeals.  The People argue that the change in law was not a valid amendment to the gang-murder special circumstance.  We disagree based on the reasoning of two of our sister courts, which we adopt and therefore reverse the gang-murder special circumstance.  The People also contend the instruction on the pre-amendment gang statute was harmless error as to the gang-related gun enhancement found by the jury.  We disagree and reverse the enhancement as well.  We also reverse the 25-years-to-life sentences resulting from the enhancement and the life without parole sentences resulting from the gang-murder special circumstance.  We remand the gang enhancement and gang special circumstance for retrial at the option of the People or, if the People choose not to retry Appellants on the gang enhancement and gang special circumstance, for resentencing without them.</w:t>
      </w:r>
    </w:p>
    <w:p w:rsidR="006F5084" w:rsidRPr="0090024A" w:rsidP="00F95B53" w14:paraId="7CBD4CA1" w14:textId="3671122A">
      <w:pPr>
        <w:spacing w:line="360" w:lineRule="auto"/>
        <w:ind w:firstLine="720"/>
      </w:pPr>
      <w:r w:rsidRPr="0090024A">
        <w:t>Finally, these appeals also challenge the trial court’s decision, on remand under a recent statute providing it with discretion to strike enhancements and prior strikes, declining to strike either the enhancements or the prior strikes.  We conclude the trial court did not abuse its discretion in declining to strike the enhancements and the prior strikes.</w:t>
      </w:r>
    </w:p>
    <w:p w:rsidR="003F4969" w:rsidP="00F95B53" w14:paraId="14759695" w14:textId="4C59CFC3">
      <w:pPr>
        <w:keepNext/>
        <w:spacing w:after="120" w:line="360" w:lineRule="auto"/>
        <w:jc w:val="center"/>
        <w:rPr>
          <w:b/>
        </w:rPr>
      </w:pPr>
      <w:r w:rsidRPr="003F4969">
        <w:rPr>
          <w:b/>
        </w:rPr>
        <w:t>BACKGROUND</w:t>
      </w:r>
    </w:p>
    <w:p w:rsidR="00831F95" w:rsidRPr="00831F95" w:rsidP="00F95B53" w14:paraId="4BA85949" w14:textId="4304AD07">
      <w:pPr>
        <w:pStyle w:val="ListParagraph"/>
        <w:keepNext/>
        <w:numPr>
          <w:ilvl w:val="0"/>
          <w:numId w:val="5"/>
        </w:numPr>
        <w:ind w:left="1080"/>
        <w:rPr>
          <w:b/>
          <w:bCs/>
        </w:rPr>
      </w:pPr>
      <w:r w:rsidRPr="00831F95">
        <w:rPr>
          <w:b/>
          <w:bCs/>
        </w:rPr>
        <w:t>Trial and Direct Appeal</w:t>
      </w:r>
    </w:p>
    <w:p w:rsidR="00F40944" w:rsidP="00F95B53" w14:paraId="3DBBB2A3" w14:textId="3C154EBB">
      <w:pPr>
        <w:spacing w:line="360" w:lineRule="auto"/>
        <w:ind w:firstLine="720"/>
      </w:pPr>
      <w:r>
        <w:t>In 2013, after a 39-day trial, a jur</w:t>
      </w:r>
      <w:r w:rsidR="00072764">
        <w:t>y</w:t>
      </w:r>
      <w:r>
        <w:t xml:space="preserve"> found</w:t>
      </w:r>
      <w:r w:rsidR="004861BB">
        <w:t xml:space="preserve"> </w:t>
      </w:r>
      <w:r w:rsidR="002A1754">
        <w:t>A</w:t>
      </w:r>
      <w:r w:rsidR="004F7AEE">
        <w:t>ppellants</w:t>
      </w:r>
      <w:r w:rsidR="001B55A4">
        <w:t xml:space="preserve"> </w:t>
      </w:r>
      <w:r w:rsidR="00E87D1B">
        <w:t xml:space="preserve">guilty of the first degree murder of </w:t>
      </w:r>
      <w:r w:rsidR="004E05D9">
        <w:t>Charles Davis</w:t>
      </w:r>
      <w:r w:rsidR="004C2A74">
        <w:t xml:space="preserve">, </w:t>
      </w:r>
      <w:r w:rsidR="00EE7CEE">
        <w:t>after</w:t>
      </w:r>
      <w:r w:rsidR="0026403B">
        <w:t xml:space="preserve"> </w:t>
      </w:r>
      <w:r w:rsidR="003F4969">
        <w:t>Anthony</w:t>
      </w:r>
      <w:r w:rsidR="001349A1">
        <w:t xml:space="preserve"> </w:t>
      </w:r>
      <w:r w:rsidR="003F4969">
        <w:t>drove them</w:t>
      </w:r>
      <w:r w:rsidR="001349A1">
        <w:t xml:space="preserve"> into the territory of a rival gang</w:t>
      </w:r>
      <w:r w:rsidR="003F4969">
        <w:t xml:space="preserve"> </w:t>
      </w:r>
      <w:r w:rsidR="00FF151D">
        <w:t xml:space="preserve">in Berkeley </w:t>
      </w:r>
      <w:r w:rsidR="001349A1">
        <w:t xml:space="preserve">and </w:t>
      </w:r>
      <w:r>
        <w:t>Flowers</w:t>
      </w:r>
      <w:r w:rsidR="003F4969">
        <w:t xml:space="preserve"> used a semi-automatic assault rifle</w:t>
      </w:r>
      <w:r w:rsidR="00EE7CEE">
        <w:t xml:space="preserve"> </w:t>
      </w:r>
      <w:r w:rsidR="003F4969">
        <w:t xml:space="preserve">to </w:t>
      </w:r>
      <w:r w:rsidR="00EE7CEE">
        <w:t>fir</w:t>
      </w:r>
      <w:r w:rsidR="0026403B">
        <w:t>e</w:t>
      </w:r>
      <w:r w:rsidR="00EE7CEE">
        <w:t xml:space="preserve"> 17 bullets at </w:t>
      </w:r>
      <w:r w:rsidR="003F4969">
        <w:t>the brother of a member of the rival gang</w:t>
      </w:r>
      <w:r w:rsidR="00FF6D40">
        <w:t xml:space="preserve">.  </w:t>
      </w:r>
      <w:r w:rsidR="00FF151D">
        <w:t xml:space="preserve">There was evidence that the killing was motivated by the </w:t>
      </w:r>
      <w:r w:rsidR="00866FD8">
        <w:t>desire to retaliate against</w:t>
      </w:r>
      <w:r w:rsidR="00FF151D">
        <w:t xml:space="preserve"> the Berkeley gang </w:t>
      </w:r>
      <w:r w:rsidR="002A1754">
        <w:t>A</w:t>
      </w:r>
      <w:r w:rsidR="00866FD8">
        <w:t xml:space="preserve">ppellants believed </w:t>
      </w:r>
      <w:r w:rsidR="00FF151D">
        <w:t>had murdered</w:t>
      </w:r>
      <w:r w:rsidR="00866FD8">
        <w:t xml:space="preserve"> </w:t>
      </w:r>
      <w:r w:rsidR="00FF151D">
        <w:t xml:space="preserve">Ngo Nguyen, </w:t>
      </w:r>
      <w:r w:rsidR="00866FD8">
        <w:t xml:space="preserve">a </w:t>
      </w:r>
      <w:r w:rsidR="00FF151D">
        <w:t xml:space="preserve">member of the Oakland gang to which </w:t>
      </w:r>
      <w:r w:rsidR="002A1754">
        <w:t>A</w:t>
      </w:r>
      <w:r w:rsidR="00FF151D">
        <w:t xml:space="preserve">ppellants belonged.  </w:t>
      </w:r>
      <w:r w:rsidR="00425830">
        <w:t>The jury found true an enhancement for gang</w:t>
      </w:r>
      <w:r w:rsidR="00FF151D">
        <w:t>-</w:t>
      </w:r>
      <w:r w:rsidR="00425830">
        <w:t xml:space="preserve">related use of a firearm by a principal.  </w:t>
      </w:r>
      <w:r w:rsidR="00FF6D40">
        <w:t>Th</w:t>
      </w:r>
      <w:r w:rsidR="001349A1">
        <w:t>e jury also</w:t>
      </w:r>
      <w:r w:rsidR="00FF6D40">
        <w:t xml:space="preserve"> found </w:t>
      </w:r>
      <w:r w:rsidR="002A1754">
        <w:t>A</w:t>
      </w:r>
      <w:r w:rsidR="00FF151D">
        <w:t>ppellants</w:t>
      </w:r>
      <w:r w:rsidR="001349A1">
        <w:t xml:space="preserve"> </w:t>
      </w:r>
      <w:r w:rsidR="00FF6D40">
        <w:t>guilty of</w:t>
      </w:r>
      <w:r w:rsidR="00FC3D41">
        <w:t xml:space="preserve"> two counts each of vehicular evasion of a police officer causing death and two counts each of </w:t>
      </w:r>
      <w:r w:rsidR="00073DE8">
        <w:t>second degree murder</w:t>
      </w:r>
      <w:r w:rsidR="00FF151D">
        <w:t>, both</w:t>
      </w:r>
      <w:r w:rsidR="00073DE8">
        <w:t xml:space="preserve"> </w:t>
      </w:r>
      <w:r w:rsidR="00FC3D41">
        <w:t xml:space="preserve">based on the killings </w:t>
      </w:r>
      <w:r w:rsidR="00073DE8">
        <w:t xml:space="preserve">of </w:t>
      </w:r>
      <w:r w:rsidR="003F4969">
        <w:t>a pedestrian</w:t>
      </w:r>
      <w:r w:rsidR="00FC3D41">
        <w:t xml:space="preserve"> (Ross)</w:t>
      </w:r>
      <w:r w:rsidR="00FF6D40">
        <w:t xml:space="preserve"> and </w:t>
      </w:r>
      <w:r w:rsidR="003F4969">
        <w:t xml:space="preserve">the driver of </w:t>
      </w:r>
      <w:r w:rsidR="00893FD7">
        <w:t xml:space="preserve">a </w:t>
      </w:r>
      <w:r w:rsidR="003F4969">
        <w:t>car</w:t>
      </w:r>
      <w:r w:rsidR="00FC3D41">
        <w:t xml:space="preserve"> (Perea)</w:t>
      </w:r>
      <w:r w:rsidR="00FF6D40">
        <w:t>, who</w:t>
      </w:r>
      <w:r w:rsidR="00FC3D41">
        <w:t xml:space="preserve"> were</w:t>
      </w:r>
      <w:r w:rsidR="00FF6D40">
        <w:t xml:space="preserve"> killed</w:t>
      </w:r>
      <w:r w:rsidR="00FC3D41">
        <w:t xml:space="preserve"> </w:t>
      </w:r>
      <w:r w:rsidR="00FF151D">
        <w:t xml:space="preserve">in a collision in which </w:t>
      </w:r>
      <w:r w:rsidR="00FC3D41">
        <w:t>Anthony</w:t>
      </w:r>
      <w:r w:rsidR="00FF6D40">
        <w:t xml:space="preserve"> </w:t>
      </w:r>
      <w:r w:rsidR="003F4969">
        <w:t>d</w:t>
      </w:r>
      <w:r w:rsidR="00FF151D">
        <w:t xml:space="preserve">rove </w:t>
      </w:r>
      <w:r w:rsidR="002A1754">
        <w:t>A</w:t>
      </w:r>
      <w:r w:rsidR="00FF151D">
        <w:t>ppellants in a</w:t>
      </w:r>
      <w:r w:rsidR="00C010E9">
        <w:t xml:space="preserve"> high-speed </w:t>
      </w:r>
      <w:r w:rsidR="00072764">
        <w:t xml:space="preserve">vehicle </w:t>
      </w:r>
      <w:r w:rsidR="00C010E9">
        <w:t xml:space="preserve">chase </w:t>
      </w:r>
      <w:r w:rsidR="00FF151D">
        <w:t xml:space="preserve">seeking </w:t>
      </w:r>
      <w:r w:rsidR="005802C6">
        <w:t>to evade police af</w:t>
      </w:r>
      <w:r w:rsidR="00072764">
        <w:t>ter</w:t>
      </w:r>
      <w:r w:rsidR="005802C6">
        <w:t xml:space="preserve"> the shooting.</w:t>
      </w:r>
      <w:r w:rsidR="003479FA">
        <w:t xml:space="preserve"> </w:t>
      </w:r>
      <w:r>
        <w:t xml:space="preserve"> </w:t>
      </w:r>
    </w:p>
    <w:p w:rsidR="00B01872" w:rsidP="003F0349" w14:paraId="5A1D1549" w14:textId="26673A12">
      <w:pPr>
        <w:spacing w:line="360" w:lineRule="auto"/>
        <w:ind w:firstLine="720"/>
      </w:pPr>
      <w:r>
        <w:t>As to</w:t>
      </w:r>
      <w:r w:rsidR="00705DC7">
        <w:t xml:space="preserve"> </w:t>
      </w:r>
      <w:r w:rsidR="00926EEB">
        <w:t>the first degree murder count</w:t>
      </w:r>
      <w:r w:rsidR="00884559">
        <w:t xml:space="preserve">, </w:t>
      </w:r>
      <w:r>
        <w:t xml:space="preserve">the jury also found true as to each </w:t>
      </w:r>
      <w:r w:rsidR="002A1754">
        <w:t>A</w:t>
      </w:r>
      <w:r>
        <w:t xml:space="preserve">ppellant </w:t>
      </w:r>
      <w:r w:rsidR="009F5E3C">
        <w:t>two</w:t>
      </w:r>
      <w:r w:rsidR="00926EEB">
        <w:t xml:space="preserve"> </w:t>
      </w:r>
      <w:r w:rsidR="00D80B32">
        <w:t>special circumstance</w:t>
      </w:r>
      <w:r w:rsidR="00E97258">
        <w:t xml:space="preserve"> allegations</w:t>
      </w:r>
      <w:r w:rsidR="009F5E3C">
        <w:t xml:space="preserve">: </w:t>
      </w:r>
      <w:r w:rsidR="00F40944">
        <w:t xml:space="preserve"> </w:t>
      </w:r>
      <w:r w:rsidR="009F5E3C">
        <w:t>first,</w:t>
      </w:r>
      <w:r w:rsidR="00D80B32">
        <w:t xml:space="preserve"> </w:t>
      </w:r>
      <w:r w:rsidR="00497E4F">
        <w:t xml:space="preserve">that </w:t>
      </w:r>
      <w:r w:rsidR="003F4969">
        <w:t>he</w:t>
      </w:r>
      <w:r w:rsidR="009F5E3C">
        <w:t xml:space="preserve"> </w:t>
      </w:r>
      <w:r w:rsidR="00AB6790">
        <w:t>intentionally killed the victim</w:t>
      </w:r>
      <w:r w:rsidR="00884559">
        <w:t xml:space="preserve"> </w:t>
      </w:r>
      <w:r w:rsidR="00AB6790">
        <w:t>while he was an active participant in a criminal street gang</w:t>
      </w:r>
      <w:r w:rsidR="008F0CCF">
        <w:t xml:space="preserve"> </w:t>
      </w:r>
      <w:r w:rsidR="00AB6790">
        <w:t>and the murder was carried out to further the activities of the</w:t>
      </w:r>
      <w:r w:rsidR="00C36265">
        <w:t xml:space="preserve"> gang</w:t>
      </w:r>
      <w:r w:rsidR="00E97258">
        <w:t xml:space="preserve"> (§</w:t>
      </w:r>
      <w:r w:rsidR="000F4AA3">
        <w:t> </w:t>
      </w:r>
      <w:r w:rsidR="00D22C6C">
        <w:t>190.2</w:t>
      </w:r>
      <w:r w:rsidR="00D22C84">
        <w:t>, subd.</w:t>
      </w:r>
      <w:r w:rsidR="000F4AA3">
        <w:t> </w:t>
      </w:r>
      <w:r w:rsidR="00D22C84">
        <w:t>(a)(22</w:t>
      </w:r>
      <w:r w:rsidR="00E97258">
        <w:t>)</w:t>
      </w:r>
      <w:r w:rsidR="00D22C84">
        <w:t>)</w:t>
      </w:r>
      <w:r w:rsidR="009F5E3C">
        <w:t>,</w:t>
      </w:r>
      <w:r w:rsidR="00AB6790">
        <w:t xml:space="preserve"> </w:t>
      </w:r>
      <w:r w:rsidR="00D22C84">
        <w:t xml:space="preserve">and </w:t>
      </w:r>
      <w:r w:rsidR="009F5E3C">
        <w:t xml:space="preserve">second, </w:t>
      </w:r>
      <w:r w:rsidR="004A73EC">
        <w:t xml:space="preserve">that he </w:t>
      </w:r>
      <w:r w:rsidR="001010C5">
        <w:t xml:space="preserve">intended to kill Davis and </w:t>
      </w:r>
      <w:r w:rsidR="004A73EC">
        <w:t>committed multiple murders in this case</w:t>
      </w:r>
      <w:r w:rsidR="00594B8B">
        <w:t xml:space="preserve"> </w:t>
      </w:r>
      <w:r w:rsidR="004A73EC">
        <w:t>(</w:t>
      </w:r>
      <w:r w:rsidRPr="00544491" w:rsidR="004A73EC">
        <w:rPr>
          <w:i/>
          <w:iCs/>
        </w:rPr>
        <w:t>id</w:t>
      </w:r>
      <w:r w:rsidR="004A73EC">
        <w:t>., subd.</w:t>
      </w:r>
      <w:r w:rsidR="000F4AA3">
        <w:t> </w:t>
      </w:r>
      <w:r w:rsidR="00BC7AAA">
        <w:t>(a)(3))</w:t>
      </w:r>
      <w:r w:rsidR="00B27E0A">
        <w:t>.</w:t>
      </w:r>
      <w:r w:rsidR="00BC7AAA">
        <w:t xml:space="preserve"> </w:t>
      </w:r>
      <w:r w:rsidR="00425830">
        <w:t xml:space="preserve"> Two of the </w:t>
      </w:r>
      <w:r w:rsidR="00B01002">
        <w:t>A</w:t>
      </w:r>
      <w:r>
        <w:t>ppellants</w:t>
      </w:r>
      <w:r w:rsidR="00425830">
        <w:t xml:space="preserve"> waived a jury trial on allegations that they had prior felony convictions, and the trial court found the allegations true. </w:t>
      </w:r>
    </w:p>
    <w:p w:rsidR="00B27E0A" w:rsidP="003F0349" w14:paraId="44A646BF" w14:textId="529F60C6">
      <w:pPr>
        <w:spacing w:line="360" w:lineRule="auto"/>
        <w:ind w:firstLine="720"/>
      </w:pPr>
      <w:r>
        <w:t>On direct appeal,</w:t>
      </w:r>
      <w:r w:rsidR="00ED4EA8">
        <w:t xml:space="preserve"> this court affirmed the convictions</w:t>
      </w:r>
      <w:r w:rsidR="008C2747">
        <w:t xml:space="preserve">.  In our opinion, we addressed, among other things, </w:t>
      </w:r>
      <w:r w:rsidR="00B01002">
        <w:t>A</w:t>
      </w:r>
      <w:r w:rsidR="008C2747">
        <w:t xml:space="preserve">ppellants’ claim of </w:t>
      </w:r>
      <w:r w:rsidRPr="008C2747" w:rsidR="008C2747">
        <w:rPr>
          <w:i/>
          <w:iCs/>
        </w:rPr>
        <w:t>Chiu</w:t>
      </w:r>
      <w:r w:rsidR="008C2747">
        <w:t xml:space="preserve"> error</w:t>
      </w:r>
      <w:r>
        <w:rPr>
          <w:rStyle w:val="FootnoteReference"/>
          <w:b/>
          <w:bCs/>
        </w:rPr>
        <w:footnoteReference w:id="4"/>
      </w:r>
      <w:r w:rsidRPr="008C2747" w:rsidR="008C2747">
        <w:rPr>
          <w:b/>
          <w:bCs/>
        </w:rPr>
        <w:t xml:space="preserve"> </w:t>
      </w:r>
      <w:r w:rsidR="008C2747">
        <w:t xml:space="preserve">and held </w:t>
      </w:r>
      <w:r w:rsidR="00571CEB">
        <w:t xml:space="preserve">any error in </w:t>
      </w:r>
      <w:r w:rsidR="008C2747">
        <w:t xml:space="preserve">the instruction on natural and probable consequences in connection with </w:t>
      </w:r>
      <w:r w:rsidR="00B01002">
        <w:t>A</w:t>
      </w:r>
      <w:r w:rsidR="008C2747">
        <w:t xml:space="preserve">ppellants’ first degree murder convictions was harmless beyond a reasonable doubt. </w:t>
      </w:r>
      <w:r w:rsidR="00603495">
        <w:t xml:space="preserve"> </w:t>
      </w:r>
      <w:r w:rsidR="008C2747">
        <w:t>(</w:t>
      </w:r>
      <w:r w:rsidRPr="008C2747" w:rsidR="008C2747">
        <w:rPr>
          <w:i/>
          <w:iCs/>
        </w:rPr>
        <w:t>People v. Anthony</w:t>
      </w:r>
      <w:r w:rsidR="00E9585D">
        <w:rPr>
          <w:i/>
          <w:iCs/>
        </w:rPr>
        <w:t xml:space="preserve"> </w:t>
      </w:r>
      <w:r w:rsidR="00E9585D">
        <w:t>(2019)</w:t>
      </w:r>
      <w:r w:rsidR="008C2747">
        <w:t xml:space="preserve"> 32 Cal.App.5th 1102, 1142-1146</w:t>
      </w:r>
      <w:r w:rsidR="00D601C6">
        <w:t xml:space="preserve"> (</w:t>
      </w:r>
      <w:r w:rsidRPr="00D601C6" w:rsidR="00D601C6">
        <w:rPr>
          <w:i/>
          <w:iCs/>
        </w:rPr>
        <w:t>Anthony I</w:t>
      </w:r>
      <w:r w:rsidR="00D601C6">
        <w:t>)</w:t>
      </w:r>
      <w:r w:rsidR="008C2747">
        <w:t xml:space="preserve">.) </w:t>
      </w:r>
      <w:r w:rsidR="00ED4EA8">
        <w:t xml:space="preserve"> </w:t>
      </w:r>
      <w:r w:rsidR="008C2747">
        <w:t xml:space="preserve">We </w:t>
      </w:r>
      <w:r w:rsidR="00ED4EA8">
        <w:t xml:space="preserve">remanded the case </w:t>
      </w:r>
      <w:r w:rsidR="00510E48">
        <w:t>for</w:t>
      </w:r>
      <w:r w:rsidR="00ED4EA8">
        <w:t xml:space="preserve"> the trial court </w:t>
      </w:r>
      <w:r w:rsidR="00510E48">
        <w:t>to</w:t>
      </w:r>
      <w:r w:rsidR="00ED4EA8">
        <w:t xml:space="preserve"> exercise the discretion newly conferred on it by legislation </w:t>
      </w:r>
      <w:r w:rsidR="004118CB">
        <w:t xml:space="preserve">enacted after the trial </w:t>
      </w:r>
      <w:r w:rsidR="00B50A3F">
        <w:t>to strike</w:t>
      </w:r>
      <w:r w:rsidR="0078469E">
        <w:t xml:space="preserve"> or dismiss consecutive 25-years-to-life sentences </w:t>
      </w:r>
      <w:r>
        <w:t xml:space="preserve">imposed on all </w:t>
      </w:r>
      <w:r w:rsidR="00B01002">
        <w:t>A</w:t>
      </w:r>
      <w:r w:rsidR="00FF151D">
        <w:t>ppellants</w:t>
      </w:r>
      <w:r>
        <w:t xml:space="preserve"> </w:t>
      </w:r>
      <w:r w:rsidR="0078469E">
        <w:t xml:space="preserve">for </w:t>
      </w:r>
      <w:r w:rsidR="004C5117">
        <w:t xml:space="preserve">a </w:t>
      </w:r>
      <w:r w:rsidR="001A5C37">
        <w:t xml:space="preserve">gang-related </w:t>
      </w:r>
      <w:r w:rsidR="004C5117">
        <w:t>principal’s</w:t>
      </w:r>
      <w:r w:rsidR="0078469E">
        <w:t xml:space="preserve"> use of a firearm</w:t>
      </w:r>
      <w:r>
        <w:t xml:space="preserve"> (</w:t>
      </w:r>
      <w:r w:rsidR="00A75695">
        <w:t xml:space="preserve">see </w:t>
      </w:r>
      <w:r>
        <w:t>Stats. 2017, c</w:t>
      </w:r>
      <w:r w:rsidR="00D601C6">
        <w:t>h</w:t>
      </w:r>
      <w:r>
        <w:t>.</w:t>
      </w:r>
      <w:r w:rsidR="003A7941">
        <w:t> </w:t>
      </w:r>
      <w:r>
        <w:t>682</w:t>
      </w:r>
      <w:r w:rsidR="00A56118">
        <w:t>;</w:t>
      </w:r>
      <w:r>
        <w:t xml:space="preserve"> </w:t>
      </w:r>
      <w:r w:rsidR="00A56118">
        <w:t>§</w:t>
      </w:r>
      <w:r w:rsidR="008E2777">
        <w:t> </w:t>
      </w:r>
      <w:r w:rsidR="00A56118">
        <w:t>12022.53, subd.</w:t>
      </w:r>
      <w:r w:rsidR="00070291">
        <w:t> </w:t>
      </w:r>
      <w:r w:rsidR="00A56118">
        <w:t xml:space="preserve">(h)) </w:t>
      </w:r>
      <w:r w:rsidR="004118CB">
        <w:t>and</w:t>
      </w:r>
      <w:r w:rsidR="0063541B">
        <w:t>, with respect to Price and Camp</w:t>
      </w:r>
      <w:r w:rsidR="00A56118">
        <w:t>b</w:t>
      </w:r>
      <w:r w:rsidR="0063541B">
        <w:t>ell, to str</w:t>
      </w:r>
      <w:r w:rsidR="00024B6C">
        <w:t xml:space="preserve">ike additional consecutive five-year enhancements </w:t>
      </w:r>
      <w:r w:rsidR="00797204">
        <w:t>for</w:t>
      </w:r>
      <w:r w:rsidR="008C1A80">
        <w:t xml:space="preserve"> prior </w:t>
      </w:r>
      <w:r w:rsidR="00510E48">
        <w:t xml:space="preserve">serious felony </w:t>
      </w:r>
      <w:r w:rsidR="008C1A80">
        <w:t>convictions</w:t>
      </w:r>
      <w:r w:rsidR="00837598">
        <w:t>.</w:t>
      </w:r>
      <w:r w:rsidR="00A75695">
        <w:t xml:space="preserve">  (</w:t>
      </w:r>
      <w:r w:rsidR="001A5C37">
        <w:t>S</w:t>
      </w:r>
      <w:r w:rsidR="00A75695">
        <w:t>ee Stats. 2018, ch. 1013, §§</w:t>
      </w:r>
      <w:r w:rsidR="00070291">
        <w:t> </w:t>
      </w:r>
      <w:r w:rsidR="00A75695">
        <w:t>1-2, amending §§</w:t>
      </w:r>
      <w:r w:rsidR="00070291">
        <w:t> </w:t>
      </w:r>
      <w:r w:rsidR="00A75695">
        <w:t>667, subd.</w:t>
      </w:r>
      <w:r w:rsidR="003A7941">
        <w:t> </w:t>
      </w:r>
      <w:r w:rsidR="00A75695">
        <w:t>(a) and 1385, subd.</w:t>
      </w:r>
      <w:r w:rsidR="00006562">
        <w:t> </w:t>
      </w:r>
      <w:r w:rsidR="00A75695">
        <w:t xml:space="preserve">(b).) </w:t>
      </w:r>
      <w:r w:rsidR="00FD2D02">
        <w:t xml:space="preserve"> </w:t>
      </w:r>
    </w:p>
    <w:p w:rsidR="00831F95" w:rsidRPr="00831F95" w:rsidP="00FD6FC7" w14:paraId="23E7AD54" w14:textId="715DA360">
      <w:pPr>
        <w:pStyle w:val="ListParagraph"/>
        <w:numPr>
          <w:ilvl w:val="0"/>
          <w:numId w:val="5"/>
        </w:numPr>
        <w:ind w:left="1080"/>
        <w:rPr>
          <w:b/>
          <w:bCs/>
        </w:rPr>
      </w:pPr>
      <w:r w:rsidRPr="00831F95">
        <w:rPr>
          <w:b/>
          <w:bCs/>
        </w:rPr>
        <w:t>Remand and Resentencing</w:t>
      </w:r>
    </w:p>
    <w:p w:rsidR="00100710" w:rsidRPr="00FC3D41" w:rsidP="00FC3D41" w14:paraId="583F6396" w14:textId="4C2B1C48">
      <w:pPr>
        <w:spacing w:line="360" w:lineRule="auto"/>
        <w:ind w:firstLine="720"/>
      </w:pPr>
      <w:r>
        <w:t xml:space="preserve">While the remand </w:t>
      </w:r>
      <w:r w:rsidR="00B62E70">
        <w:t>was pending,</w:t>
      </w:r>
      <w:r w:rsidR="009953B5">
        <w:t xml:space="preserve"> </w:t>
      </w:r>
      <w:r w:rsidR="00DF418C">
        <w:t>each of the</w:t>
      </w:r>
      <w:r w:rsidR="009953B5">
        <w:t xml:space="preserve"> </w:t>
      </w:r>
      <w:r w:rsidR="00B01002">
        <w:t>A</w:t>
      </w:r>
      <w:r w:rsidR="00FF151D">
        <w:t>ppellants</w:t>
      </w:r>
      <w:r w:rsidR="00B62E70">
        <w:t xml:space="preserve"> </w:t>
      </w:r>
      <w:r w:rsidR="00866FD8">
        <w:t>sought</w:t>
      </w:r>
      <w:r w:rsidR="00B62E70">
        <w:t xml:space="preserve"> resentencing under </w:t>
      </w:r>
      <w:r w:rsidR="00BC451E">
        <w:t>section 11</w:t>
      </w:r>
      <w:r w:rsidR="00DF210A">
        <w:t>7</w:t>
      </w:r>
      <w:r w:rsidR="00072764">
        <w:t>2.6</w:t>
      </w:r>
      <w:r w:rsidR="00866FD8">
        <w:t>,</w:t>
      </w:r>
      <w:r w:rsidR="0001570B">
        <w:t xml:space="preserve"> asserting that</w:t>
      </w:r>
      <w:r w:rsidR="009953B5">
        <w:t xml:space="preserve"> </w:t>
      </w:r>
      <w:r w:rsidR="002F0242">
        <w:t xml:space="preserve">a complaint was filed against </w:t>
      </w:r>
      <w:r w:rsidR="00DF418C">
        <w:t>him</w:t>
      </w:r>
      <w:r w:rsidR="002F0242">
        <w:t xml:space="preserve"> that allowed the prosecution to proceed under a theory of murder under the natural and probable consequences doctrine</w:t>
      </w:r>
      <w:r w:rsidR="00294194">
        <w:t xml:space="preserve"> or other theory under which malice is imputed to a person based solely on that person’s participation in a crime</w:t>
      </w:r>
      <w:r w:rsidR="00505CAE">
        <w:t>;</w:t>
      </w:r>
      <w:r w:rsidR="00294194">
        <w:t xml:space="preserve"> that </w:t>
      </w:r>
      <w:r w:rsidR="00DF418C">
        <w:t>he was convicted of murder following a trial</w:t>
      </w:r>
      <w:r w:rsidR="00505CAE">
        <w:t>;</w:t>
      </w:r>
      <w:r w:rsidR="0001570B">
        <w:t xml:space="preserve"> </w:t>
      </w:r>
      <w:r w:rsidR="00505CAE">
        <w:t xml:space="preserve">and that he could not presently be convicted of murder because of changes to </w:t>
      </w:r>
      <w:r w:rsidR="00D601C6">
        <w:t>s</w:t>
      </w:r>
      <w:r w:rsidR="00505CAE">
        <w:t>ection</w:t>
      </w:r>
      <w:r w:rsidR="0090024A">
        <w:t>s</w:t>
      </w:r>
      <w:r w:rsidR="00505CAE">
        <w:t xml:space="preserve"> 188 or 189</w:t>
      </w:r>
      <w:r w:rsidR="00E92C92">
        <w:t xml:space="preserve"> made effective January 1, 2019.</w:t>
      </w:r>
      <w:r w:rsidR="00072764">
        <w:t xml:space="preserve"> </w:t>
      </w:r>
      <w:r w:rsidR="00FC3D41">
        <w:t xml:space="preserve"> </w:t>
      </w:r>
    </w:p>
    <w:p w:rsidR="00EE5754" w:rsidP="00207A98" w14:paraId="022E8496" w14:textId="3C348B6F">
      <w:pPr>
        <w:spacing w:line="360" w:lineRule="auto"/>
        <w:ind w:firstLine="720"/>
      </w:pPr>
      <w:r>
        <w:t xml:space="preserve">In April 2021, the Honorable Thomas M. Reardon, </w:t>
      </w:r>
      <w:r w:rsidR="00191F29">
        <w:t xml:space="preserve">who </w:t>
      </w:r>
      <w:r>
        <w:t xml:space="preserve">had </w:t>
      </w:r>
      <w:r w:rsidR="00191F29">
        <w:t xml:space="preserve">presided over </w:t>
      </w:r>
      <w:r w:rsidR="00B01002">
        <w:t>A</w:t>
      </w:r>
      <w:r w:rsidR="00866FD8">
        <w:t xml:space="preserve">ppellants’ 2013 </w:t>
      </w:r>
      <w:r w:rsidR="00191F29">
        <w:t xml:space="preserve">trial, </w:t>
      </w:r>
      <w:r w:rsidR="00A75695">
        <w:t>heard</w:t>
      </w:r>
      <w:r w:rsidR="001010C5">
        <w:t xml:space="preserve"> the</w:t>
      </w:r>
      <w:r w:rsidR="00D601C6">
        <w:t xml:space="preserve"> section</w:t>
      </w:r>
      <w:r w:rsidR="001010C5">
        <w:t xml:space="preserve"> </w:t>
      </w:r>
      <w:r w:rsidR="00866FD8">
        <w:t xml:space="preserve">1172.6 </w:t>
      </w:r>
      <w:r w:rsidR="001010C5">
        <w:t xml:space="preserve">petitions of Anthony, Price and Campbell </w:t>
      </w:r>
      <w:r w:rsidR="00866FD8">
        <w:t xml:space="preserve">together with our directive on </w:t>
      </w:r>
      <w:r w:rsidR="001010C5">
        <w:t>reman</w:t>
      </w:r>
      <w:r w:rsidR="00866FD8">
        <w:t>d that</w:t>
      </w:r>
      <w:r w:rsidR="001010C5">
        <w:t xml:space="preserve"> the court </w:t>
      </w:r>
      <w:r>
        <w:t xml:space="preserve">exercise its discretion </w:t>
      </w:r>
      <w:r w:rsidR="00D9352C">
        <w:t xml:space="preserve">whether </w:t>
      </w:r>
      <w:r>
        <w:t>to strike</w:t>
      </w:r>
      <w:r w:rsidR="00A75695">
        <w:t xml:space="preserve"> </w:t>
      </w:r>
      <w:r>
        <w:t>the</w:t>
      </w:r>
      <w:r w:rsidR="00F40944">
        <w:t xml:space="preserve"> gun and prior </w:t>
      </w:r>
      <w:r w:rsidR="004270F0">
        <w:t xml:space="preserve">serious </w:t>
      </w:r>
      <w:r w:rsidR="00F40944">
        <w:t>felony enhancement</w:t>
      </w:r>
      <w:r w:rsidR="004270F0">
        <w:t>s</w:t>
      </w:r>
      <w:r>
        <w:t xml:space="preserve">. </w:t>
      </w:r>
      <w:r w:rsidR="00347E75">
        <w:t xml:space="preserve"> The court heard Flowers’s petition in August, having continued the hearing at his counsel’s request.</w:t>
      </w:r>
    </w:p>
    <w:p w:rsidR="00533883" w:rsidRPr="004270F0" w:rsidP="00347E75" w14:paraId="44963195" w14:textId="39545A66">
      <w:pPr>
        <w:spacing w:line="360" w:lineRule="auto"/>
        <w:ind w:firstLine="720"/>
      </w:pPr>
      <w:r>
        <w:t>As to the remand, t</w:t>
      </w:r>
      <w:r w:rsidR="00191F29">
        <w:t>he court</w:t>
      </w:r>
      <w:r>
        <w:t xml:space="preserve"> declined to strike either the gang-related gun</w:t>
      </w:r>
      <w:r w:rsidR="007B12B8">
        <w:t xml:space="preserve"> use</w:t>
      </w:r>
      <w:r>
        <w:t xml:space="preserve"> enhancement or the prior serious felony conviction enhancements.  Explaining its exercise of discretion, the court</w:t>
      </w:r>
      <w:r w:rsidR="00191F29">
        <w:t xml:space="preserve"> </w:t>
      </w:r>
      <w:r>
        <w:t>stated</w:t>
      </w:r>
      <w:r w:rsidR="00191F29">
        <w:t xml:space="preserve"> that the evidence </w:t>
      </w:r>
      <w:r w:rsidR="00EE3DC3">
        <w:t xml:space="preserve">“was overwhelming” </w:t>
      </w:r>
      <w:r w:rsidR="00191F29">
        <w:t>that Flowers</w:t>
      </w:r>
      <w:r w:rsidR="00EE3DC3">
        <w:t xml:space="preserve"> </w:t>
      </w:r>
      <w:r w:rsidR="00191F29">
        <w:t xml:space="preserve">was the shooter </w:t>
      </w:r>
      <w:r w:rsidR="00EE3DC3">
        <w:t xml:space="preserve">and </w:t>
      </w:r>
      <w:r w:rsidR="00EE5754">
        <w:t xml:space="preserve">Anthony, Price and Campbell </w:t>
      </w:r>
      <w:r w:rsidR="00EE3DC3">
        <w:t>were not</w:t>
      </w:r>
      <w:r w:rsidR="00EE5754">
        <w:t>.  H</w:t>
      </w:r>
      <w:r w:rsidR="00EE3DC3">
        <w:t xml:space="preserve">owever, </w:t>
      </w:r>
      <w:r w:rsidR="00EE5754">
        <w:t>the latter</w:t>
      </w:r>
      <w:r w:rsidR="00191F29">
        <w:t xml:space="preserve"> was “not of any moment” because the</w:t>
      </w:r>
      <w:r w:rsidR="007B12B8">
        <w:t xml:space="preserve"> gang-related </w:t>
      </w:r>
      <w:r w:rsidR="00191F29">
        <w:t xml:space="preserve">gun </w:t>
      </w:r>
      <w:r w:rsidR="007B12B8">
        <w:t xml:space="preserve">use </w:t>
      </w:r>
      <w:r w:rsidR="00191F29">
        <w:t>enhancement applied “vicariously”</w:t>
      </w:r>
      <w:r>
        <w:t xml:space="preserve"> to each </w:t>
      </w:r>
      <w:r w:rsidR="00571CEB">
        <w:t xml:space="preserve">Appellant </w:t>
      </w:r>
      <w:r w:rsidR="00191F29">
        <w:t xml:space="preserve">where </w:t>
      </w:r>
      <w:r w:rsidRPr="00EE3DC3" w:rsidR="00191F29">
        <w:rPr>
          <w:i/>
          <w:iCs/>
        </w:rPr>
        <w:t>a</w:t>
      </w:r>
      <w:r w:rsidRPr="00EE3DC3" w:rsidR="00F94352">
        <w:rPr>
          <w:i/>
          <w:iCs/>
        </w:rPr>
        <w:t>ny</w:t>
      </w:r>
      <w:r w:rsidR="00191F29">
        <w:t xml:space="preserve"> principal</w:t>
      </w:r>
      <w:r w:rsidR="00F94352">
        <w:t xml:space="preserve"> in </w:t>
      </w:r>
      <w:r w:rsidR="00EE3DC3">
        <w:t>a gang</w:t>
      </w:r>
      <w:r w:rsidR="00F94352">
        <w:t xml:space="preserve"> offense personally and intentionally discharged a firearm proximately causing great bodily injury or death</w:t>
      </w:r>
      <w:r>
        <w:t>.  (S</w:t>
      </w:r>
      <w:r w:rsidR="00F94352">
        <w:t>ee §</w:t>
      </w:r>
      <w:r w:rsidR="00073840">
        <w:t> </w:t>
      </w:r>
      <w:r w:rsidR="00F94352">
        <w:t>12022.5</w:t>
      </w:r>
      <w:r w:rsidR="00406D2F">
        <w:t>3</w:t>
      </w:r>
      <w:r w:rsidR="00F94352">
        <w:t>, subds. (d), (e)(1)(</w:t>
      </w:r>
      <w:r w:rsidR="00406D2F">
        <w:t>A</w:t>
      </w:r>
      <w:r w:rsidR="00F94352">
        <w:t>)</w:t>
      </w:r>
      <w:r w:rsidR="00EE3DC3">
        <w:t>;</w:t>
      </w:r>
      <w:r>
        <w:t xml:space="preserve"> §</w:t>
      </w:r>
      <w:r w:rsidR="00EE3DC3">
        <w:t xml:space="preserve"> 186.22, subd. (b)</w:t>
      </w:r>
      <w:r w:rsidR="00F94352">
        <w:t>)</w:t>
      </w:r>
      <w:r w:rsidR="00EE3DC3">
        <w:t xml:space="preserve">.  </w:t>
      </w:r>
      <w:r w:rsidR="00EE5754">
        <w:t>Further, t</w:t>
      </w:r>
      <w:r w:rsidR="00EE3DC3">
        <w:t>his was not a situation</w:t>
      </w:r>
      <w:r>
        <w:t>, the court observed,</w:t>
      </w:r>
      <w:r w:rsidR="00EE3DC3">
        <w:t xml:space="preserve"> in which </w:t>
      </w:r>
      <w:r>
        <w:t>these</w:t>
      </w:r>
      <w:r w:rsidR="00EE3DC3">
        <w:t xml:space="preserve"> three co-defendants had been convicted of the enhancement “simply because they were from the same neighborhood as Mr. Flowers” or were “members of the same</w:t>
      </w:r>
      <w:r w:rsidR="00406D2F">
        <w:t xml:space="preserve"> street</w:t>
      </w:r>
      <w:r w:rsidR="00EE3DC3">
        <w:t xml:space="preserve"> gang.” </w:t>
      </w:r>
      <w:r w:rsidR="00826839">
        <w:t xml:space="preserve"> Rather, “It goes far beyond that:  Their presence at the time of the shooting itself, the fact that more than one of them was armed at the time, the fact that</w:t>
      </w:r>
      <w:r w:rsidR="00207A98">
        <w:t xml:space="preserve"> it was obvious</w:t>
      </w:r>
      <w:r w:rsidR="0090024A">
        <w:t xml:space="preserve"> that</w:t>
      </w:r>
      <w:r w:rsidR="00207A98">
        <w:t xml:space="preserve"> substantial planning went on evidenced by the telephone communications that went on in the days leading up to the killing of Mr. Davis after the death of the other gentleman, Mr. Ngo</w:t>
      </w:r>
      <w:r w:rsidR="0090024A">
        <w:t xml:space="preserve"> </w:t>
      </w:r>
      <w:r w:rsidR="00EE5754">
        <w:t>. . .</w:t>
      </w:r>
      <w:r w:rsidR="00FD6FC7">
        <w:t xml:space="preserve"> </w:t>
      </w:r>
      <w:r w:rsidR="00EE5754">
        <w:t>.</w:t>
      </w:r>
      <w:r w:rsidR="00207A98">
        <w:t xml:space="preserve">”  This was “more than just a technical violation” of the enhancement statute but was “a classic case for its applicability particularly in a murder case.”  For these reasons, the court declined to strike </w:t>
      </w:r>
      <w:r>
        <w:t xml:space="preserve">either </w:t>
      </w:r>
      <w:r w:rsidR="00207A98">
        <w:t xml:space="preserve">the 25-year gang-related gun use enhancement as to Anthony, Campbell </w:t>
      </w:r>
      <w:r>
        <w:t>and</w:t>
      </w:r>
      <w:r w:rsidR="00207A98">
        <w:t xml:space="preserve"> Price </w:t>
      </w:r>
      <w:r>
        <w:t>or</w:t>
      </w:r>
      <w:r w:rsidR="00207A98">
        <w:t xml:space="preserve"> the five-year enhancements for prior serious felony convictions </w:t>
      </w:r>
      <w:r>
        <w:t>as to</w:t>
      </w:r>
      <w:r w:rsidR="00207A98">
        <w:t xml:space="preserve"> Price and Campbell</w:t>
      </w:r>
      <w:r w:rsidR="007A2232">
        <w:t>.  (§</w:t>
      </w:r>
      <w:r w:rsidR="001D4AEB">
        <w:t> </w:t>
      </w:r>
      <w:r w:rsidR="007A2232">
        <w:t>667, subd.</w:t>
      </w:r>
      <w:r w:rsidR="001D4AEB">
        <w:t> </w:t>
      </w:r>
      <w:r w:rsidR="007A2232">
        <w:t>(a)(1).)</w:t>
      </w:r>
      <w:r w:rsidR="00347E75">
        <w:t xml:space="preserve">  The court subsequently </w:t>
      </w:r>
      <w:r w:rsidR="002A6A53">
        <w:t>declined to strike the</w:t>
      </w:r>
      <w:r w:rsidR="004A4F03">
        <w:t xml:space="preserve"> gang</w:t>
      </w:r>
      <w:r w:rsidR="007B12B8">
        <w:t>-related</w:t>
      </w:r>
      <w:r w:rsidR="002A6A53">
        <w:t xml:space="preserve"> gun use enhancement</w:t>
      </w:r>
      <w:r w:rsidR="004A4F03">
        <w:t xml:space="preserve"> as to Flowers</w:t>
      </w:r>
      <w:r w:rsidR="00347E75">
        <w:t xml:space="preserve"> as well</w:t>
      </w:r>
      <w:r w:rsidR="004A4F03">
        <w:t xml:space="preserve">. </w:t>
      </w:r>
    </w:p>
    <w:p w:rsidR="00BE1980" w:rsidP="00DB3D46" w14:paraId="2596ACB6" w14:textId="19F5E48D">
      <w:pPr>
        <w:spacing w:line="360" w:lineRule="auto"/>
        <w:ind w:firstLine="720"/>
      </w:pPr>
      <w:r>
        <w:t xml:space="preserve">Before ruling on the </w:t>
      </w:r>
      <w:r w:rsidR="00FD6FC7">
        <w:t>section</w:t>
      </w:r>
      <w:r w:rsidR="00406D2F">
        <w:t xml:space="preserve"> </w:t>
      </w:r>
      <w:r w:rsidR="00D03DB1">
        <w:t>1172.6 p</w:t>
      </w:r>
      <w:r>
        <w:t>etitions, Judge Reardon</w:t>
      </w:r>
      <w:r w:rsidR="00533883">
        <w:t xml:space="preserve"> </w:t>
      </w:r>
      <w:r w:rsidR="00E8112F">
        <w:t xml:space="preserve">had </w:t>
      </w:r>
      <w:r w:rsidR="00533883">
        <w:t xml:space="preserve">appointed counsel </w:t>
      </w:r>
      <w:r w:rsidR="00510E48">
        <w:t>to represent</w:t>
      </w:r>
      <w:r w:rsidR="00533883">
        <w:t xml:space="preserve"> </w:t>
      </w:r>
      <w:r w:rsidR="00F40944">
        <w:t>each of the</w:t>
      </w:r>
      <w:r w:rsidR="00533883">
        <w:t xml:space="preserve"> </w:t>
      </w:r>
      <w:r w:rsidR="00B01002">
        <w:t>A</w:t>
      </w:r>
      <w:r>
        <w:t>ppellants.</w:t>
      </w:r>
      <w:r w:rsidR="001F535D">
        <w:t xml:space="preserve">  </w:t>
      </w:r>
      <w:r w:rsidR="00510E48">
        <w:t>Counsel</w:t>
      </w:r>
      <w:r w:rsidR="001F535D">
        <w:t xml:space="preserve"> filed </w:t>
      </w:r>
      <w:r w:rsidR="00510E48">
        <w:t xml:space="preserve">such </w:t>
      </w:r>
      <w:r w:rsidR="001F535D">
        <w:t xml:space="preserve">petitions on behalf of each of the four </w:t>
      </w:r>
      <w:r w:rsidR="00B01002">
        <w:t>A</w:t>
      </w:r>
      <w:r w:rsidR="00E8112F">
        <w:t>ppellants</w:t>
      </w:r>
      <w:r w:rsidR="001F535D">
        <w:t>,</w:t>
      </w:r>
      <w:r>
        <w:rPr>
          <w:rStyle w:val="FootnoteReference"/>
          <w:b/>
          <w:bCs/>
        </w:rPr>
        <w:footnoteReference w:id="5"/>
      </w:r>
      <w:r w:rsidR="001F535D">
        <w:t xml:space="preserve"> and a deputy district attorney filed a response for the People.  </w:t>
      </w:r>
    </w:p>
    <w:p w:rsidR="001519AE" w:rsidP="00DB3D46" w14:paraId="547B7212" w14:textId="064D2A2C">
      <w:pPr>
        <w:spacing w:line="360" w:lineRule="auto"/>
        <w:ind w:firstLine="720"/>
      </w:pPr>
      <w:r>
        <w:t>Counsel for the People conceded that under the change in the murder statutes, Price, Campbell and Flowers were entitled to relief from their convictions of second degree murder as to victims Ross and Perea, who were struck and killed during the high speed chase, because they</w:t>
      </w:r>
      <w:r w:rsidR="00DB3D46">
        <w:t xml:space="preserve"> </w:t>
      </w:r>
      <w:r>
        <w:t>were not the actual killers of those two victims and there was no evidence that they had intended to kill those victims</w:t>
      </w:r>
      <w:r w:rsidR="001010C5">
        <w:t xml:space="preserve">. </w:t>
      </w:r>
      <w:r w:rsidR="00725E6B">
        <w:t xml:space="preserve"> </w:t>
      </w:r>
      <w:r w:rsidR="001010C5">
        <w:t>T</w:t>
      </w:r>
      <w:r w:rsidR="000B2682">
        <w:t xml:space="preserve">he court accepted </w:t>
      </w:r>
      <w:r>
        <w:t xml:space="preserve">the People’s </w:t>
      </w:r>
      <w:r w:rsidR="000B2682">
        <w:t>concessions</w:t>
      </w:r>
      <w:r w:rsidR="001010C5">
        <w:t xml:space="preserve">, vacated the second degree murder convictions as to Price, Campbell and Flowers and resentenced them </w:t>
      </w:r>
      <w:r w:rsidR="000B2682">
        <w:t>on the separate counts for vehicular evasion causing death</w:t>
      </w:r>
      <w:r>
        <w:t xml:space="preserve">. </w:t>
      </w:r>
      <w:r w:rsidR="00DB3D46">
        <w:t xml:space="preserve"> </w:t>
      </w:r>
    </w:p>
    <w:p w:rsidR="00533883" w:rsidRPr="00533883" w:rsidP="00DB3D46" w14:paraId="78B2C56E" w14:textId="2BA02218">
      <w:pPr>
        <w:spacing w:line="360" w:lineRule="auto"/>
        <w:ind w:firstLine="720"/>
      </w:pPr>
      <w:r>
        <w:t>Anthony did not seek relief from the second degree murder charges against him, and t</w:t>
      </w:r>
      <w:r w:rsidR="00DB3D46">
        <w:t xml:space="preserve">he People made no such concession as to </w:t>
      </w:r>
      <w:r>
        <w:t>him</w:t>
      </w:r>
      <w:r w:rsidR="00DB3D46">
        <w:t xml:space="preserve"> </w:t>
      </w:r>
      <w:r>
        <w:t>because,</w:t>
      </w:r>
      <w:r w:rsidR="00DB3D46">
        <w:t xml:space="preserve"> as the driver of the car</w:t>
      </w:r>
      <w:r>
        <w:t>,</w:t>
      </w:r>
      <w:r w:rsidR="00DB3D46">
        <w:t xml:space="preserve"> </w:t>
      </w:r>
      <w:r>
        <w:t xml:space="preserve">he </w:t>
      </w:r>
      <w:r w:rsidR="00DB3D46">
        <w:t>was “therefore the direct perpetrator of the murders</w:t>
      </w:r>
      <w:r w:rsidR="001519AE">
        <w:t>.</w:t>
      </w:r>
      <w:r w:rsidR="00DB3D46">
        <w:t xml:space="preserve">” </w:t>
      </w:r>
      <w:r w:rsidR="00406D2F">
        <w:t xml:space="preserve"> </w:t>
      </w:r>
      <w:r w:rsidR="001519AE">
        <w:t>Thus, he had</w:t>
      </w:r>
      <w:r w:rsidR="001010C5">
        <w:t xml:space="preserve"> </w:t>
      </w:r>
      <w:r w:rsidR="00DB3D46">
        <w:t xml:space="preserve">not </w:t>
      </w:r>
      <w:r w:rsidR="001519AE">
        <w:t xml:space="preserve">been </w:t>
      </w:r>
      <w:r w:rsidR="00DB3D46">
        <w:t>convicted based on a theory of vicarious liability or aiding and abetting but on a finding that he acted with implied malice (conscious disregard for life) in causing Ross</w:t>
      </w:r>
      <w:r w:rsidR="001010C5">
        <w:t>’s</w:t>
      </w:r>
      <w:r w:rsidR="00DB3D46">
        <w:t xml:space="preserve"> and Perea’s deaths.</w:t>
      </w:r>
      <w:r w:rsidRPr="002C413A" w:rsidR="00DB3D46">
        <w:rPr>
          <w:b/>
          <w:bCs/>
        </w:rPr>
        <w:t xml:space="preserve"> </w:t>
      </w:r>
      <w:r w:rsidR="002C413A">
        <w:t xml:space="preserve"> </w:t>
      </w:r>
    </w:p>
    <w:p w:rsidR="001519AE" w:rsidP="00533883" w14:paraId="2FDF1783" w14:textId="3DF86521">
      <w:pPr>
        <w:spacing w:line="360" w:lineRule="auto"/>
        <w:ind w:firstLine="720"/>
      </w:pPr>
      <w:r>
        <w:t xml:space="preserve">As to </w:t>
      </w:r>
      <w:r w:rsidR="004861BB">
        <w:t>Appellants’</w:t>
      </w:r>
      <w:r>
        <w:t xml:space="preserve"> first degree murder convictions, the trial court denied relief</w:t>
      </w:r>
      <w:r w:rsidR="00E8112F">
        <w:t xml:space="preserve"> without issuing an order to show cause or holding an evidentiary hearing</w:t>
      </w:r>
      <w:r w:rsidR="009647E9">
        <w:t>.  It recognized that at the first stage</w:t>
      </w:r>
      <w:r w:rsidR="001010C5">
        <w:t xml:space="preserve"> of a</w:t>
      </w:r>
      <w:r w:rsidR="00406D2F">
        <w:t xml:space="preserve"> section</w:t>
      </w:r>
      <w:r w:rsidR="001010C5">
        <w:t xml:space="preserve"> 1172.6 hearing</w:t>
      </w:r>
      <w:r w:rsidR="009647E9">
        <w:t xml:space="preserve">, where it had not issued an </w:t>
      </w:r>
      <w:r w:rsidR="001010C5">
        <w:t>order to show cause</w:t>
      </w:r>
      <w:r w:rsidR="009647E9">
        <w:t xml:space="preserve"> and was determining whether </w:t>
      </w:r>
      <w:r w:rsidR="005476E1">
        <w:t xml:space="preserve">Appellants </w:t>
      </w:r>
      <w:r w:rsidR="009647E9">
        <w:t xml:space="preserve">had established a prima </w:t>
      </w:r>
      <w:r w:rsidR="00406D2F">
        <w:t xml:space="preserve">facie </w:t>
      </w:r>
      <w:r w:rsidR="009647E9">
        <w:t xml:space="preserve">case </w:t>
      </w:r>
      <w:r>
        <w:t>sufficient to</w:t>
      </w:r>
      <w:r w:rsidR="009647E9">
        <w:t xml:space="preserve"> require </w:t>
      </w:r>
      <w:r>
        <w:t>it</w:t>
      </w:r>
      <w:r w:rsidR="009647E9">
        <w:t xml:space="preserve"> to issue </w:t>
      </w:r>
      <w:r>
        <w:t>one</w:t>
      </w:r>
      <w:r w:rsidR="009647E9">
        <w:t>, it “should not engage . . . in fact finding, credibility determination, things like that, but</w:t>
      </w:r>
      <w:r w:rsidR="00406D2F">
        <w:t>—</w:t>
      </w:r>
      <w:r w:rsidR="009647E9">
        <w:t>and so all sorts of things one might do at a broader evidentiary hearing” but that “if the merits of the petition[] are foreclosed as a matter of law by the</w:t>
      </w:r>
      <w:r w:rsidR="00406D2F">
        <w:t>—</w:t>
      </w:r>
      <w:r w:rsidR="009647E9">
        <w:t>particularly the findings of the jury . . .</w:t>
      </w:r>
      <w:r w:rsidR="00406D2F">
        <w:t xml:space="preserve"> </w:t>
      </w:r>
      <w:r w:rsidR="009647E9">
        <w:t>, that would seem to be a different situation . . .</w:t>
      </w:r>
      <w:r w:rsidR="00FD6FC7">
        <w:t xml:space="preserve"> </w:t>
      </w:r>
      <w:r w:rsidR="009647E9">
        <w:t xml:space="preserve">.”  “If the petition is legally foreclosed by the findings of the jury, the Court can resolve the petition on that basis.”  </w:t>
      </w:r>
    </w:p>
    <w:p w:rsidR="003F0349" w:rsidP="00533883" w14:paraId="5A3BF37D" w14:textId="0DC4243E">
      <w:pPr>
        <w:spacing w:line="360" w:lineRule="auto"/>
        <w:ind w:firstLine="720"/>
      </w:pPr>
      <w:r>
        <w:t xml:space="preserve">Although the California Supreme Court issued </w:t>
      </w:r>
      <w:r w:rsidR="001519AE">
        <w:t xml:space="preserve">its </w:t>
      </w:r>
      <w:r>
        <w:t xml:space="preserve">decision </w:t>
      </w:r>
      <w:r w:rsidR="001519AE">
        <w:t>in</w:t>
      </w:r>
      <w:r w:rsidR="00245472">
        <w:rPr>
          <w:i/>
          <w:iCs/>
        </w:rPr>
        <w:t xml:space="preserve"> </w:t>
      </w:r>
      <w:r w:rsidRPr="00FC309F" w:rsidR="001519AE">
        <w:rPr>
          <w:i/>
          <w:iCs/>
        </w:rPr>
        <w:t>Lewis</w:t>
      </w:r>
      <w:r w:rsidR="00D601C6">
        <w:t xml:space="preserve">, </w:t>
      </w:r>
      <w:r w:rsidRPr="00D601C6" w:rsidR="00D601C6">
        <w:rPr>
          <w:i/>
          <w:iCs/>
        </w:rPr>
        <w:t>supra,</w:t>
      </w:r>
      <w:r w:rsidR="00D601C6">
        <w:t xml:space="preserve"> </w:t>
      </w:r>
      <w:r w:rsidR="001519AE">
        <w:t>11 Cal.5</w:t>
      </w:r>
      <w:r w:rsidRPr="00E85ED8" w:rsidR="001519AE">
        <w:t>th</w:t>
      </w:r>
      <w:r w:rsidRPr="00E85ED8" w:rsidR="001519AE">
        <w:rPr>
          <w:sz w:val="28"/>
        </w:rPr>
        <w:t xml:space="preserve"> </w:t>
      </w:r>
      <w:r w:rsidR="001519AE">
        <w:t xml:space="preserve">952 </w:t>
      </w:r>
      <w:r>
        <w:t>two months after the</w:t>
      </w:r>
      <w:r w:rsidR="001519AE">
        <w:t xml:space="preserve"> trial</w:t>
      </w:r>
      <w:r>
        <w:t xml:space="preserve"> court made these observations</w:t>
      </w:r>
      <w:r w:rsidR="00FC309F">
        <w:t xml:space="preserve">, the </w:t>
      </w:r>
      <w:r w:rsidR="001519AE">
        <w:t xml:space="preserve">trial </w:t>
      </w:r>
      <w:r w:rsidR="00FC309F">
        <w:t xml:space="preserve">court’s comments accurately presaged </w:t>
      </w:r>
      <w:r w:rsidR="001519AE">
        <w:t>the high court’s</w:t>
      </w:r>
      <w:r w:rsidR="00FC309F">
        <w:t xml:space="preserve"> holding </w:t>
      </w:r>
      <w:r w:rsidR="001519AE">
        <w:t xml:space="preserve">in </w:t>
      </w:r>
      <w:r w:rsidRPr="001519AE" w:rsidR="001519AE">
        <w:rPr>
          <w:i/>
          <w:iCs/>
        </w:rPr>
        <w:t>Lewis</w:t>
      </w:r>
      <w:r w:rsidR="001519AE">
        <w:t xml:space="preserve"> </w:t>
      </w:r>
      <w:r w:rsidR="00FC309F">
        <w:t>that</w:t>
      </w:r>
      <w:r w:rsidR="001519AE">
        <w:t>,</w:t>
      </w:r>
      <w:r w:rsidR="00FC309F">
        <w:t xml:space="preserve"> at the prima facie stage</w:t>
      </w:r>
      <w:r w:rsidR="001519AE">
        <w:t>,</w:t>
      </w:r>
      <w:r w:rsidR="00FC309F">
        <w:t xml:space="preserve"> trial courts should not reject petitioners’ allegations on credibility grounds or engage</w:t>
      </w:r>
      <w:r w:rsidR="00406D2F">
        <w:t xml:space="preserve"> in</w:t>
      </w:r>
      <w:r w:rsidR="00FC309F">
        <w:t xml:space="preserve"> weighing of evidence or </w:t>
      </w:r>
      <w:r w:rsidR="00523FA4">
        <w:t>factfinding</w:t>
      </w:r>
      <w:r w:rsidR="00FC309F">
        <w:t>.  (</w:t>
      </w:r>
      <w:r w:rsidR="00406D2F">
        <w:rPr>
          <w:i/>
          <w:iCs/>
        </w:rPr>
        <w:t xml:space="preserve">Id. </w:t>
      </w:r>
      <w:r w:rsidR="00D601C6">
        <w:t>at pp.</w:t>
      </w:r>
      <w:r w:rsidR="00DE5236">
        <w:t> </w:t>
      </w:r>
      <w:r w:rsidR="00FC309F">
        <w:t xml:space="preserve">971-972.) </w:t>
      </w:r>
      <w:r w:rsidR="00523FA4">
        <w:t xml:space="preserve"> </w:t>
      </w:r>
      <w:r w:rsidR="001519AE">
        <w:t>The trial court</w:t>
      </w:r>
      <w:r w:rsidR="00FC309F">
        <w:t xml:space="preserve"> also </w:t>
      </w:r>
      <w:r w:rsidR="001519AE">
        <w:t>predicted</w:t>
      </w:r>
      <w:r w:rsidR="00FC309F">
        <w:t xml:space="preserve"> </w:t>
      </w:r>
      <w:r w:rsidRPr="00A80200" w:rsidR="00A80200">
        <w:rPr>
          <w:i/>
          <w:iCs/>
        </w:rPr>
        <w:t>Lewis</w:t>
      </w:r>
      <w:r w:rsidR="00A80200">
        <w:t>’s</w:t>
      </w:r>
      <w:r w:rsidR="00FC309F">
        <w:t xml:space="preserve"> holding that trial courts may consider documents in the record of conviction</w:t>
      </w:r>
      <w:r w:rsidR="006D4E05">
        <w:t>, such as the jury’s findings of fact,</w:t>
      </w:r>
      <w:r w:rsidR="00FC309F">
        <w:t xml:space="preserve"> </w:t>
      </w:r>
      <w:r w:rsidR="001519AE">
        <w:t xml:space="preserve">where </w:t>
      </w:r>
      <w:r w:rsidR="00FC309F">
        <w:t xml:space="preserve">relevant to whether a petitioner has established a prima facie case, including </w:t>
      </w:r>
      <w:r w:rsidR="001519AE">
        <w:t>whether the petitioner</w:t>
      </w:r>
      <w:r w:rsidR="00FC309F">
        <w:t xml:space="preserve"> could no</w:t>
      </w:r>
      <w:r w:rsidR="001519AE">
        <w:t xml:space="preserve">t presently </w:t>
      </w:r>
      <w:r w:rsidR="00FC309F">
        <w:t>be convicted of first or second degree murder because of changes to the murder statute</w:t>
      </w:r>
      <w:r w:rsidR="00A80200">
        <w:t>.  (</w:t>
      </w:r>
      <w:r w:rsidRPr="00523FA4" w:rsidR="00A80200">
        <w:rPr>
          <w:i/>
          <w:iCs/>
        </w:rPr>
        <w:t>Id</w:t>
      </w:r>
      <w:r w:rsidR="00A80200">
        <w:t>. at pp.</w:t>
      </w:r>
      <w:r w:rsidR="00B73194">
        <w:t> </w:t>
      </w:r>
      <w:r w:rsidR="00A80200">
        <w:t>97</w:t>
      </w:r>
      <w:r w:rsidR="00B73194">
        <w:t>0</w:t>
      </w:r>
      <w:r w:rsidR="00A80200">
        <w:t xml:space="preserve">-972 &amp; </w:t>
      </w:r>
      <w:r w:rsidR="00523FA4">
        <w:t>f</w:t>
      </w:r>
      <w:r w:rsidR="00A80200">
        <w:t>n.</w:t>
      </w:r>
      <w:r w:rsidR="009C56B9">
        <w:t> </w:t>
      </w:r>
      <w:r w:rsidR="00A80200">
        <w:t>6.)</w:t>
      </w:r>
      <w:r w:rsidR="00523FA4">
        <w:t xml:space="preserve"> </w:t>
      </w:r>
    </w:p>
    <w:p w:rsidR="001B3F24" w:rsidP="00533883" w14:paraId="0D0C540A" w14:textId="22991628">
      <w:pPr>
        <w:spacing w:line="360" w:lineRule="auto"/>
        <w:ind w:firstLine="720"/>
      </w:pPr>
      <w:r>
        <w:t>The trial court did not weigh evidence, mak</w:t>
      </w:r>
      <w:r w:rsidR="001519AE">
        <w:t>e</w:t>
      </w:r>
      <w:r>
        <w:t xml:space="preserve"> credibility determinations or </w:t>
      </w:r>
      <w:r w:rsidR="001519AE">
        <w:t>engage in</w:t>
      </w:r>
      <w:r>
        <w:t xml:space="preserve"> factfinding of the kind </w:t>
      </w:r>
      <w:r w:rsidRPr="00A80200">
        <w:rPr>
          <w:i/>
          <w:iCs/>
        </w:rPr>
        <w:t>Lewis</w:t>
      </w:r>
      <w:r>
        <w:t xml:space="preserve"> held should not occur without an evidentiary hearing.  It did, however, consider the record to determine whether the petitions </w:t>
      </w:r>
      <w:r w:rsidR="001519AE">
        <w:t>were</w:t>
      </w:r>
      <w:r>
        <w:t xml:space="preserve"> “foreclosed as a matter of law.”  Specifically, it consulted</w:t>
      </w:r>
      <w:r w:rsidR="00293718">
        <w:t xml:space="preserve"> findings the jury </w:t>
      </w:r>
      <w:r>
        <w:t xml:space="preserve">necessarily made in </w:t>
      </w:r>
      <w:r w:rsidR="00293718">
        <w:t xml:space="preserve">issuing </w:t>
      </w:r>
      <w:r w:rsidR="00E8112F">
        <w:t>the</w:t>
      </w:r>
      <w:r>
        <w:t xml:space="preserve"> true </w:t>
      </w:r>
      <w:r w:rsidR="00293718">
        <w:t>verdict</w:t>
      </w:r>
      <w:r w:rsidR="00E8112F">
        <w:t>s</w:t>
      </w:r>
      <w:r w:rsidR="00293718">
        <w:t xml:space="preserve"> on </w:t>
      </w:r>
      <w:r>
        <w:t>the two special circumstances</w:t>
      </w:r>
      <w:r w:rsidR="00293718">
        <w:t xml:space="preserve"> (murder to benefit a street gang and multiple murders)</w:t>
      </w:r>
      <w:r w:rsidR="00E8112F">
        <w:t>—</w:t>
      </w:r>
      <w:r w:rsidR="00293718">
        <w:t xml:space="preserve">that </w:t>
      </w:r>
      <w:r w:rsidR="00B01002">
        <w:t>A</w:t>
      </w:r>
      <w:r w:rsidR="00272503">
        <w:t>ppellants</w:t>
      </w:r>
      <w:r w:rsidR="00293718">
        <w:t xml:space="preserve"> inten</w:t>
      </w:r>
      <w:r w:rsidR="00272503">
        <w:t>ded</w:t>
      </w:r>
      <w:r w:rsidR="00293718">
        <w:t xml:space="preserve"> to kill</w:t>
      </w:r>
      <w:r w:rsidR="00E8112F">
        <w:t xml:space="preserve"> Davis</w:t>
      </w:r>
      <w:r w:rsidR="00293718">
        <w:t xml:space="preserve">.  The jury made “individualized determinations that these gentlemen had an actual intent to kill.”  </w:t>
      </w:r>
      <w:r w:rsidR="00265982">
        <w:t>Given these</w:t>
      </w:r>
      <w:r w:rsidR="00293718">
        <w:t xml:space="preserve"> verdicts</w:t>
      </w:r>
      <w:r w:rsidR="00265982">
        <w:t xml:space="preserve"> and the jury’s finding “that each of these gentlem</w:t>
      </w:r>
      <w:r w:rsidR="00DB0A26">
        <w:t>a</w:t>
      </w:r>
      <w:r w:rsidR="00265982">
        <w:t>n</w:t>
      </w:r>
      <w:r w:rsidR="00DB0A26">
        <w:t xml:space="preserve"> [</w:t>
      </w:r>
      <w:r w:rsidRPr="00DB0A26" w:rsidR="00DB0A26">
        <w:rPr>
          <w:i/>
          <w:iCs/>
        </w:rPr>
        <w:t>sic</w:t>
      </w:r>
      <w:r w:rsidR="00DB0A26">
        <w:t>]</w:t>
      </w:r>
      <w:r w:rsidR="00265982">
        <w:t xml:space="preserve"> beyond a reasonable doubt had the intent to kill Mr. Davis,”</w:t>
      </w:r>
      <w:r w:rsidR="00293718">
        <w:t xml:space="preserve"> the court </w:t>
      </w:r>
      <w:r w:rsidR="00265982">
        <w:t>concluded</w:t>
      </w:r>
      <w:r w:rsidR="00293718">
        <w:t xml:space="preserve">, </w:t>
      </w:r>
      <w:r w:rsidR="004861BB">
        <w:t>Appellants</w:t>
      </w:r>
      <w:r w:rsidR="00265982">
        <w:t xml:space="preserve"> “will never be able to show” that they were “entitled to relief” and “as a matter of law” could not “make a prima facie case</w:t>
      </w:r>
      <w:r w:rsidR="00293718">
        <w:t xml:space="preserve">.” </w:t>
      </w:r>
      <w:r>
        <w:t xml:space="preserve"> </w:t>
      </w:r>
    </w:p>
    <w:p w:rsidR="008C5B58" w:rsidP="008C5B58" w14:paraId="58BEF5CF" w14:textId="52EA54EC">
      <w:pPr>
        <w:spacing w:line="360" w:lineRule="auto"/>
        <w:ind w:firstLine="720"/>
      </w:pPr>
      <w:r>
        <w:t xml:space="preserve">The court </w:t>
      </w:r>
      <w:r w:rsidR="000D5D78">
        <w:t xml:space="preserve">in essence </w:t>
      </w:r>
      <w:r>
        <w:t xml:space="preserve">reiterated this analysis when ruling on the Flowers petition in August 2021, after the Supreme Court issued the </w:t>
      </w:r>
      <w:r w:rsidRPr="00FF3FFC">
        <w:rPr>
          <w:i/>
          <w:iCs/>
        </w:rPr>
        <w:t>Lewis</w:t>
      </w:r>
      <w:r>
        <w:t xml:space="preserve"> decision.  “The procedural posture is that there’s a petition, I look to the facial sufficiency of the petition and I can take judicial notice of certain court records, which I believe includes the information and the verdict forms.  But I’m not sure I can consider the evidence.”  The court concluded that the jury’s finding beyond a reasonable doubt that </w:t>
      </w:r>
      <w:r w:rsidR="004861BB">
        <w:t xml:space="preserve">each of </w:t>
      </w:r>
      <w:r>
        <w:t xml:space="preserve">the </w:t>
      </w:r>
      <w:r w:rsidR="00B01002">
        <w:t>A</w:t>
      </w:r>
      <w:r w:rsidR="004861BB">
        <w:t>ppellants</w:t>
      </w:r>
      <w:r>
        <w:t xml:space="preserve"> intended to kill Davis demonstrates “that the jury did not use </w:t>
      </w:r>
      <w:r w:rsidR="0066608E">
        <w:t>[</w:t>
      </w:r>
      <w:r>
        <w:t>the</w:t>
      </w:r>
      <w:r w:rsidR="0066608E">
        <w:t>]</w:t>
      </w:r>
      <w:r>
        <w:t xml:space="preserve"> natural and probable consequences doctrine to get to murder.” </w:t>
      </w:r>
    </w:p>
    <w:p w:rsidR="008C5B58" w:rsidRPr="00831F95" w:rsidP="00FD6FC7" w14:paraId="74DE63A6" w14:textId="25C3EA11">
      <w:pPr>
        <w:pStyle w:val="ListParagraph"/>
        <w:numPr>
          <w:ilvl w:val="0"/>
          <w:numId w:val="5"/>
        </w:numPr>
        <w:ind w:left="1080"/>
        <w:rPr>
          <w:b/>
          <w:bCs/>
        </w:rPr>
      </w:pPr>
      <w:r w:rsidRPr="00831F95">
        <w:rPr>
          <w:b/>
          <w:bCs/>
        </w:rPr>
        <w:t>The Current Appeal</w:t>
      </w:r>
    </w:p>
    <w:p w:rsidR="00BF0CAD" w:rsidP="00BF0CAD" w14:paraId="1FDB43D6" w14:textId="3517D00A">
      <w:pPr>
        <w:spacing w:line="360" w:lineRule="auto"/>
        <w:ind w:firstLine="720"/>
      </w:pPr>
      <w:r>
        <w:t xml:space="preserve">On appeal from the trial court’s resentencing decisions, each </w:t>
      </w:r>
      <w:r w:rsidR="00B01002">
        <w:t>A</w:t>
      </w:r>
      <w:r w:rsidR="00BE1C62">
        <w:t>ppellant</w:t>
      </w:r>
      <w:r>
        <w:t xml:space="preserve"> raises challenges to a number of aspects of the trial court’s rulings, and complicating matters further, joins in some of the challenges raised by the other </w:t>
      </w:r>
      <w:r w:rsidR="00B01002">
        <w:t>A</w:t>
      </w:r>
      <w:r w:rsidR="00BE1C62">
        <w:t>ppellants</w:t>
      </w:r>
      <w:r>
        <w:t xml:space="preserve">.  Most significantly, all </w:t>
      </w:r>
      <w:r w:rsidR="00B01002">
        <w:t>A</w:t>
      </w:r>
      <w:r w:rsidR="00BE1C62">
        <w:t>ppellants</w:t>
      </w:r>
      <w:r>
        <w:t xml:space="preserve"> challenge the trial court’s denial of resentencing on their first degree murder convictions, claiming among other things that the jury’s verdicts on the gang</w:t>
      </w:r>
      <w:r w:rsidR="00D7754F">
        <w:t>-</w:t>
      </w:r>
      <w:r>
        <w:t>related killing and multiple</w:t>
      </w:r>
      <w:r w:rsidR="00A165D2">
        <w:t>-</w:t>
      </w:r>
      <w:r>
        <w:t xml:space="preserve">murder special circumstances, and specifically, the findings reflected by those verdicts that </w:t>
      </w:r>
      <w:r w:rsidR="00B01002">
        <w:t>A</w:t>
      </w:r>
      <w:r w:rsidR="00BE1C62">
        <w:t>ppellants</w:t>
      </w:r>
      <w:r>
        <w:t xml:space="preserve"> intended to kill, do not demonstrate as a matter of law that they are guilty of first degree murder for the shooting death of Davis.  </w:t>
      </w:r>
    </w:p>
    <w:p w:rsidR="001A5C37" w:rsidP="00BF0CAD" w14:paraId="55FA6EE7" w14:textId="1E257E62">
      <w:pPr>
        <w:spacing w:line="360" w:lineRule="auto"/>
        <w:ind w:firstLine="720"/>
      </w:pPr>
      <w:r>
        <w:t>Appellants</w:t>
      </w:r>
      <w:r w:rsidR="00BB33BC">
        <w:t xml:space="preserve"> </w:t>
      </w:r>
      <w:r w:rsidR="00F67105">
        <w:t>contend that A</w:t>
      </w:r>
      <w:r w:rsidR="0047737A">
        <w:t>ssembly Bill</w:t>
      </w:r>
      <w:r w:rsidR="00F67105">
        <w:t xml:space="preserve"> </w:t>
      </w:r>
      <w:r w:rsidR="0066608E">
        <w:t xml:space="preserve">No. </w:t>
      </w:r>
      <w:r w:rsidR="00F67105">
        <w:t>333</w:t>
      </w:r>
      <w:r w:rsidR="0066608E">
        <w:t xml:space="preserve"> (2021–2022 Reg. Sess.) (Assembly Bill 333)</w:t>
      </w:r>
      <w:r w:rsidR="00F67105">
        <w:t xml:space="preserve"> which amended the </w:t>
      </w:r>
      <w:r w:rsidR="00046B89">
        <w:t>definition of “criminal street gang”</w:t>
      </w:r>
      <w:r w:rsidR="00F67105">
        <w:t xml:space="preserve"> while their </w:t>
      </w:r>
      <w:r w:rsidR="000D6FA0">
        <w:t xml:space="preserve">current </w:t>
      </w:r>
      <w:r w:rsidR="00F67105">
        <w:t xml:space="preserve">appeals were pending, requires that the jury’s finding true the special circumstance for </w:t>
      </w:r>
      <w:r w:rsidR="009C6E3E">
        <w:t>intentionally killing a victim while defendant was an active participant in a criminal street gang and in furtherance of the activities of the gang (§</w:t>
      </w:r>
      <w:r w:rsidR="004607EC">
        <w:t> </w:t>
      </w:r>
      <w:r w:rsidR="009C6E3E">
        <w:t>190.2, subd.</w:t>
      </w:r>
      <w:r w:rsidR="004607EC">
        <w:t> </w:t>
      </w:r>
      <w:r w:rsidR="009C6E3E">
        <w:t xml:space="preserve">(a)(22)) must be stricken along with the sentence of life without parole imposed based on that finding. </w:t>
      </w:r>
      <w:r w:rsidR="00323984">
        <w:t xml:space="preserve"> </w:t>
      </w:r>
      <w:r w:rsidR="00046B89">
        <w:t xml:space="preserve">For similar reasons, </w:t>
      </w:r>
      <w:r w:rsidR="00B01002">
        <w:t>A</w:t>
      </w:r>
      <w:r>
        <w:t>ppellants</w:t>
      </w:r>
      <w:r w:rsidR="000B6FEE">
        <w:t xml:space="preserve"> challenge the </w:t>
      </w:r>
      <w:r w:rsidR="005462B5">
        <w:t xml:space="preserve">gang-related </w:t>
      </w:r>
      <w:r w:rsidR="007B12B8">
        <w:t>gun use</w:t>
      </w:r>
      <w:r w:rsidR="005462B5">
        <w:t xml:space="preserve"> enhancement that added a 25-year-to-life</w:t>
      </w:r>
      <w:r w:rsidR="000B6FEE">
        <w:t xml:space="preserve"> </w:t>
      </w:r>
      <w:r w:rsidR="005462B5">
        <w:t>consecutive term to their sentences under section</w:t>
      </w:r>
      <w:r w:rsidR="00E07637">
        <w:t> </w:t>
      </w:r>
      <w:r w:rsidR="005462B5">
        <w:t>12022.53, subdivision (h)</w:t>
      </w:r>
      <w:r w:rsidR="00B86B11">
        <w:t>,</w:t>
      </w:r>
      <w:r w:rsidR="005462B5">
        <w:t xml:space="preserve"> on the ground</w:t>
      </w:r>
      <w:r w:rsidR="00C95980">
        <w:t>s</w:t>
      </w:r>
      <w:r w:rsidR="005462B5">
        <w:t xml:space="preserve"> Assembly Bill 333 retroactively applies to </w:t>
      </w:r>
      <w:r w:rsidR="00BB33BC">
        <w:t>heighten</w:t>
      </w:r>
      <w:r w:rsidR="005462B5">
        <w:t xml:space="preserve"> the showing required for certain elements of the enhancement</w:t>
      </w:r>
      <w:r w:rsidR="00C95980">
        <w:t xml:space="preserve"> and</w:t>
      </w:r>
      <w:r w:rsidR="00B74476">
        <w:t xml:space="preserve"> further contend it</w:t>
      </w:r>
      <w:r w:rsidR="00C95980">
        <w:t xml:space="preserve"> only applies to malice murder. </w:t>
      </w:r>
      <w:r w:rsidR="007742E3">
        <w:t xml:space="preserve"> </w:t>
      </w:r>
    </w:p>
    <w:p w:rsidR="00265982" w:rsidP="001A5C37" w14:paraId="1F31801F" w14:textId="63152F2A">
      <w:pPr>
        <w:spacing w:line="360" w:lineRule="auto"/>
        <w:ind w:firstLine="720"/>
      </w:pPr>
      <w:r>
        <w:t>Price</w:t>
      </w:r>
      <w:r w:rsidR="00BB33BC">
        <w:t>, joined by Campbell,</w:t>
      </w:r>
      <w:r>
        <w:t xml:space="preserve"> </w:t>
      </w:r>
      <w:r w:rsidR="00C95980">
        <w:t>contend</w:t>
      </w:r>
      <w:r>
        <w:t>s</w:t>
      </w:r>
      <w:r w:rsidR="00C95980">
        <w:t xml:space="preserve"> the </w:t>
      </w:r>
      <w:r w:rsidR="00BB33BC">
        <w:t>V</w:t>
      </w:r>
      <w:r w:rsidR="00C95980">
        <w:t xml:space="preserve">ehicle </w:t>
      </w:r>
      <w:r w:rsidR="00BB33BC">
        <w:t>C</w:t>
      </w:r>
      <w:r w:rsidR="00C95980">
        <w:t xml:space="preserve">ode </w:t>
      </w:r>
      <w:r w:rsidR="00E07637">
        <w:t>s</w:t>
      </w:r>
      <w:r w:rsidR="00C95980">
        <w:t>ection 2800.3 homicide convictions</w:t>
      </w:r>
      <w:r w:rsidR="006D4E05">
        <w:t xml:space="preserve">, which after striking three of the </w:t>
      </w:r>
      <w:r w:rsidR="00B01002">
        <w:t>A</w:t>
      </w:r>
      <w:r w:rsidR="0047737A">
        <w:t>ppellants’</w:t>
      </w:r>
      <w:r w:rsidR="006D4E05">
        <w:t xml:space="preserve"> second degree murder convictions the court resentenced them,</w:t>
      </w:r>
      <w:r w:rsidR="00C95980">
        <w:t xml:space="preserve"> must be vacated because they are based on the natural and probable consequences doctrine. </w:t>
      </w:r>
    </w:p>
    <w:p w:rsidR="006D4E05" w:rsidP="006D4E05" w14:paraId="1B0E455F" w14:textId="26C9C172">
      <w:pPr>
        <w:spacing w:line="360" w:lineRule="auto"/>
        <w:ind w:firstLine="720"/>
      </w:pPr>
      <w:r>
        <w:t>Appellants raise a plethora of other claimed abuses of discretion in the trial court’s handling of the remand issues and claimed errors in its decision on the resentencing petitions, each of which we will address below.</w:t>
      </w:r>
    </w:p>
    <w:p w:rsidR="00FA7211" w:rsidRPr="00FA7211" w:rsidP="00FA7211" w14:paraId="2FDC39F3" w14:textId="17979737">
      <w:pPr>
        <w:spacing w:line="360" w:lineRule="auto"/>
        <w:ind w:firstLine="720"/>
        <w:jc w:val="center"/>
        <w:rPr>
          <w:b/>
          <w:bCs/>
        </w:rPr>
      </w:pPr>
      <w:r w:rsidRPr="00FA7211">
        <w:rPr>
          <w:b/>
          <w:bCs/>
        </w:rPr>
        <w:t>DISCUSSION</w:t>
      </w:r>
    </w:p>
    <w:p w:rsidR="005602A8" w:rsidRPr="00FD6FC7" w:rsidP="00FD6FC7" w14:paraId="45FB3E37" w14:textId="7D2A9BEB">
      <w:pPr>
        <w:pStyle w:val="ListParagraph"/>
        <w:numPr>
          <w:ilvl w:val="0"/>
          <w:numId w:val="2"/>
        </w:numPr>
        <w:spacing w:after="120" w:line="240" w:lineRule="auto"/>
        <w:ind w:left="1080"/>
        <w:contextualSpacing w:val="0"/>
        <w:rPr>
          <w:b/>
          <w:bCs/>
        </w:rPr>
      </w:pPr>
      <w:r w:rsidRPr="00FD6FC7">
        <w:rPr>
          <w:b/>
          <w:bCs/>
        </w:rPr>
        <w:t>Appellants’ Claims of Error in Resentencing Under Section</w:t>
      </w:r>
      <w:r w:rsidR="00073840">
        <w:rPr>
          <w:b/>
          <w:bCs/>
        </w:rPr>
        <w:t> </w:t>
      </w:r>
      <w:r w:rsidRPr="00FD6FC7">
        <w:rPr>
          <w:b/>
          <w:bCs/>
        </w:rPr>
        <w:t xml:space="preserve">1172.6 </w:t>
      </w:r>
    </w:p>
    <w:p w:rsidR="005602A8" w:rsidP="00FD6FC7" w14:paraId="528EA443" w14:textId="03F8046C">
      <w:pPr>
        <w:pStyle w:val="ListParagraph"/>
        <w:numPr>
          <w:ilvl w:val="0"/>
          <w:numId w:val="1"/>
        </w:numPr>
        <w:spacing w:after="120" w:line="240" w:lineRule="auto"/>
        <w:ind w:left="1440"/>
        <w:contextualSpacing w:val="0"/>
        <w:rPr>
          <w:b/>
          <w:bCs/>
        </w:rPr>
      </w:pPr>
      <w:r>
        <w:rPr>
          <w:b/>
          <w:bCs/>
        </w:rPr>
        <w:t xml:space="preserve">The Trial Court Erred in Deciding at the Prima Facie Stage That </w:t>
      </w:r>
      <w:r w:rsidR="00FD6FC7">
        <w:rPr>
          <w:b/>
          <w:bCs/>
        </w:rPr>
        <w:t>t</w:t>
      </w:r>
      <w:r>
        <w:rPr>
          <w:b/>
          <w:bCs/>
        </w:rPr>
        <w:t xml:space="preserve">he Intent to Kill Findings by the Jury Precluded Relief from the First Degree Murder Conviction </w:t>
      </w:r>
      <w:r w:rsidR="00FD6FC7">
        <w:rPr>
          <w:b/>
          <w:bCs/>
        </w:rPr>
        <w:t>A</w:t>
      </w:r>
      <w:r>
        <w:rPr>
          <w:b/>
          <w:bCs/>
        </w:rPr>
        <w:t xml:space="preserve">s a Matter of Law and Remand </w:t>
      </w:r>
      <w:r w:rsidR="00FD6FC7">
        <w:rPr>
          <w:b/>
          <w:bCs/>
        </w:rPr>
        <w:t>I</w:t>
      </w:r>
      <w:r>
        <w:rPr>
          <w:b/>
          <w:bCs/>
        </w:rPr>
        <w:t>s Necessary.</w:t>
      </w:r>
    </w:p>
    <w:p w:rsidR="005602A8" w:rsidP="00F95B53" w14:paraId="57A8135A" w14:textId="611BD0C2">
      <w:pPr>
        <w:shd w:val="clear" w:color="auto" w:fill="FFFFFF"/>
        <w:spacing w:line="360" w:lineRule="auto"/>
        <w:ind w:firstLine="720"/>
      </w:pPr>
      <w:r>
        <w:t>Appellants challenge the trial court’s denial</w:t>
      </w:r>
      <w:r w:rsidR="006D4E05">
        <w:t xml:space="preserve">, in connection with their </w:t>
      </w:r>
      <w:r>
        <w:t xml:space="preserve">resentencing </w:t>
      </w:r>
      <w:r w:rsidR="006D4E05">
        <w:t xml:space="preserve">petitions under </w:t>
      </w:r>
      <w:r w:rsidR="005A29CF">
        <w:t xml:space="preserve">section </w:t>
      </w:r>
      <w:r w:rsidR="006D4E05">
        <w:t xml:space="preserve">1172.6, of their request that it vacate their convictions for </w:t>
      </w:r>
      <w:r>
        <w:t>the first degree murder of Davis</w:t>
      </w:r>
      <w:r w:rsidR="006D4E05">
        <w:t xml:space="preserve">.  They </w:t>
      </w:r>
      <w:r>
        <w:t>claim the court erred in placing dispositive weight on the jury’s</w:t>
      </w:r>
      <w:r w:rsidR="006D4E05">
        <w:t xml:space="preserve"> findings, in connection with the</w:t>
      </w:r>
      <w:r>
        <w:t xml:space="preserve"> </w:t>
      </w:r>
      <w:r w:rsidR="006D4E05">
        <w:t>gang and multiple</w:t>
      </w:r>
      <w:r w:rsidR="00A165D2">
        <w:t>-</w:t>
      </w:r>
      <w:r w:rsidR="006D4E05">
        <w:t xml:space="preserve">murder </w:t>
      </w:r>
      <w:r>
        <w:t>special</w:t>
      </w:r>
      <w:r w:rsidR="00A165D2">
        <w:t>-</w:t>
      </w:r>
      <w:r>
        <w:t xml:space="preserve">circumstances </w:t>
      </w:r>
      <w:r w:rsidR="006D4E05">
        <w:t>verdicts,</w:t>
      </w:r>
      <w:r>
        <w:t xml:space="preserve"> that </w:t>
      </w:r>
      <w:r w:rsidR="00B01002">
        <w:t>A</w:t>
      </w:r>
      <w:r>
        <w:t>ppellants each intended to kill Davis</w:t>
      </w:r>
      <w:r w:rsidR="00BE759C">
        <w:t>.</w:t>
      </w:r>
      <w:r>
        <w:t xml:space="preserve">  </w:t>
      </w:r>
      <w:r w:rsidR="007B5720">
        <w:t>First, t</w:t>
      </w:r>
      <w:r>
        <w:t xml:space="preserve">hey argue the gang special circumstances findings can no longer be considered at all because of the enactment of </w:t>
      </w:r>
      <w:r w:rsidR="0047737A">
        <w:t xml:space="preserve">Assembly Bill </w:t>
      </w:r>
      <w:r>
        <w:t>333, which narrowed the definitions of “criminal street gang” and “pattern of criminal gang activity” that are cross-referenced in the gang</w:t>
      </w:r>
      <w:r w:rsidR="00BE759C">
        <w:t xml:space="preserve">-related gun use </w:t>
      </w:r>
      <w:r>
        <w:t>special circumstance statute.  (See §</w:t>
      </w:r>
      <w:r w:rsidR="003E2C89">
        <w:t> </w:t>
      </w:r>
      <w:r>
        <w:t>190.2, subd.</w:t>
      </w:r>
      <w:r w:rsidR="00C00FB4">
        <w:t> </w:t>
      </w:r>
      <w:r>
        <w:t>(a)(22) [special circumstance provision incorporating §</w:t>
      </w:r>
      <w:r w:rsidR="003E2C89">
        <w:t> </w:t>
      </w:r>
      <w:r>
        <w:t>186.22, subd.</w:t>
      </w:r>
      <w:r w:rsidR="009B099E">
        <w:t> </w:t>
      </w:r>
      <w:r>
        <w:t>(f)]; Stats.</w:t>
      </w:r>
      <w:r w:rsidR="00B86B11">
        <w:t xml:space="preserve"> 2021</w:t>
      </w:r>
      <w:r>
        <w:t>, c</w:t>
      </w:r>
      <w:r w:rsidR="00FD6FC7">
        <w:t>h</w:t>
      </w:r>
      <w:r>
        <w:t>.</w:t>
      </w:r>
      <w:r w:rsidR="00FD6FC7">
        <w:t> </w:t>
      </w:r>
      <w:r>
        <w:t>699</w:t>
      </w:r>
      <w:r w:rsidR="00B86B11">
        <w:t>,</w:t>
      </w:r>
      <w:r>
        <w:t xml:space="preserve"> §</w:t>
      </w:r>
      <w:r w:rsidR="000336AB">
        <w:t> </w:t>
      </w:r>
      <w:r>
        <w:t>3 [186.22 subds.</w:t>
      </w:r>
      <w:r w:rsidR="009B099E">
        <w:t> </w:t>
      </w:r>
      <w:r>
        <w:t xml:space="preserve">(e)(1)&amp;(2), (f), (g)].)  </w:t>
      </w:r>
    </w:p>
    <w:p w:rsidR="005602A8" w:rsidRPr="00251B51" w:rsidP="00F95B53" w14:paraId="65FB5223" w14:textId="2048E35C">
      <w:pPr>
        <w:shd w:val="clear" w:color="auto" w:fill="FFFFFF"/>
        <w:spacing w:line="360" w:lineRule="auto"/>
        <w:ind w:firstLine="720"/>
        <w:rPr>
          <w:rFonts w:eastAsia="Times New Roman" w:cs="Times New Roman"/>
        </w:rPr>
      </w:pPr>
      <w:r>
        <w:t>Second</w:t>
      </w:r>
      <w:r w:rsidR="00266836">
        <w:t xml:space="preserve">, </w:t>
      </w:r>
      <w:r w:rsidR="00911A4C">
        <w:t>Appellants also</w:t>
      </w:r>
      <w:r>
        <w:t xml:space="preserve"> argue the</w:t>
      </w:r>
      <w:r w:rsidR="00BE759C">
        <w:t xml:space="preserve"> jury’s</w:t>
      </w:r>
      <w:r>
        <w:t xml:space="preserve"> finding</w:t>
      </w:r>
      <w:r w:rsidR="00BE759C">
        <w:t xml:space="preserve">s that each </w:t>
      </w:r>
      <w:r w:rsidR="00B01002">
        <w:t>A</w:t>
      </w:r>
      <w:r w:rsidR="00BE759C">
        <w:t>ppellant</w:t>
      </w:r>
      <w:r>
        <w:t xml:space="preserve"> inten</w:t>
      </w:r>
      <w:r w:rsidR="00BE759C">
        <w:t>ded</w:t>
      </w:r>
      <w:r>
        <w:t xml:space="preserve"> to kill Davis do not as a matter of law establish the elements of aiding and abetting first degree murder.  Specifically, the intent to kill finding does not establish as a matter of law that the </w:t>
      </w:r>
      <w:r w:rsidR="00B01002">
        <w:t>A</w:t>
      </w:r>
      <w:r>
        <w:t>ppellants who did not shoot Davis “performed act</w:t>
      </w:r>
      <w:r w:rsidR="005A29CF">
        <w:t>[</w:t>
      </w:r>
      <w:r>
        <w:t>s</w:t>
      </w:r>
      <w:r w:rsidR="005A29CF">
        <w:t>]</w:t>
      </w:r>
      <w:r>
        <w:t xml:space="preserve"> which ‘aided or encouraged the commission of the murder.’</w:t>
      </w:r>
      <w:r w:rsidR="000336AB">
        <w:t> </w:t>
      </w:r>
      <w:r>
        <w:t xml:space="preserve">”  To determine whether there was such aiding and abetting, </w:t>
      </w:r>
      <w:r w:rsidR="00B01002">
        <w:t>A</w:t>
      </w:r>
      <w:r>
        <w:t xml:space="preserve">ppellants posit, the court would have to look at the evidence, and making findings based on evidence involves weighing and balancing that should not occur at the prima facie stage but only at an evidentiary hearing held after issuance of an order to show cause.  (See </w:t>
      </w:r>
      <w:r w:rsidRPr="00557A03">
        <w:rPr>
          <w:i/>
          <w:iCs/>
        </w:rPr>
        <w:t>Lewis</w:t>
      </w:r>
      <w:r w:rsidR="00D601C6">
        <w:t xml:space="preserve">, </w:t>
      </w:r>
      <w:r w:rsidRPr="00D601C6" w:rsidR="00D601C6">
        <w:rPr>
          <w:i/>
          <w:iCs/>
        </w:rPr>
        <w:t>supra</w:t>
      </w:r>
      <w:r w:rsidR="00D601C6">
        <w:t xml:space="preserve">, </w:t>
      </w:r>
      <w:r>
        <w:t xml:space="preserve">11 Cal.5th </w:t>
      </w:r>
      <w:r w:rsidR="00D601C6">
        <w:t>at pp.</w:t>
      </w:r>
      <w:r w:rsidR="00065A42">
        <w:t> </w:t>
      </w:r>
      <w:r>
        <w:t>971-972 [“In reviewing any part of the record of conviction at this preliminary juncture, a trial court should not engage in ‘factfinding involving the weighing of evidence or the exercise of discretion’</w:t>
      </w:r>
      <w:r w:rsidR="005163FA">
        <w:t> </w:t>
      </w:r>
      <w:r>
        <w:t xml:space="preserve">”]; </w:t>
      </w:r>
      <w:r w:rsidRPr="00557A03">
        <w:rPr>
          <w:i/>
          <w:iCs/>
        </w:rPr>
        <w:t>People v. Duchine</w:t>
      </w:r>
      <w:r>
        <w:t xml:space="preserve"> (2021) 60</w:t>
      </w:r>
      <w:r w:rsidR="00D601C6">
        <w:t> </w:t>
      </w:r>
      <w:r>
        <w:t xml:space="preserve">Cal.App.5th 798, 815 </w:t>
      </w:r>
      <w:r w:rsidRPr="00557A03">
        <w:t>[“</w:t>
      </w:r>
      <w:r>
        <w:rPr>
          <w:rFonts w:eastAsia="Times New Roman" w:cs="Times New Roman"/>
          <w:color w:val="000000"/>
        </w:rPr>
        <w:t>[T]</w:t>
      </w:r>
      <w:r w:rsidRPr="00557A03">
        <w:rPr>
          <w:rFonts w:eastAsia="Times New Roman" w:cs="Times New Roman"/>
          <w:color w:val="000000"/>
        </w:rPr>
        <w:t xml:space="preserve">he time for weighing and balancing and making findings on the ultimate issues arises at the evidentiary hearing stage rather than the prima </w:t>
      </w:r>
      <w:r w:rsidRPr="00251B51">
        <w:rPr>
          <w:rFonts w:eastAsia="Times New Roman" w:cs="Times New Roman"/>
        </w:rPr>
        <w:t>facie stage, at least where the record is not dispositive on the factual issues”]</w:t>
      </w:r>
      <w:r w:rsidRPr="00251B51" w:rsidR="005A29CF">
        <w:rPr>
          <w:rFonts w:eastAsia="Times New Roman" w:cs="Times New Roman"/>
        </w:rPr>
        <w:t>.</w:t>
      </w:r>
      <w:r w:rsidRPr="00251B51">
        <w:rPr>
          <w:rFonts w:eastAsia="Times New Roman" w:cs="Times New Roman"/>
        </w:rPr>
        <w:t xml:space="preserve">)  </w:t>
      </w:r>
    </w:p>
    <w:p w:rsidR="00DA544A" w:rsidRPr="00251B51" w:rsidP="00F95B53" w14:paraId="0370A5FE" w14:textId="0CF2953C">
      <w:pPr>
        <w:shd w:val="clear" w:color="auto" w:fill="FFFFFF"/>
        <w:spacing w:line="360" w:lineRule="auto"/>
        <w:ind w:firstLine="720"/>
        <w:rPr>
          <w:rFonts w:eastAsia="Times New Roman" w:cs="Times New Roman"/>
        </w:rPr>
      </w:pPr>
      <w:r w:rsidRPr="00251B51">
        <w:rPr>
          <w:rFonts w:eastAsia="Times New Roman" w:cs="Times New Roman"/>
        </w:rPr>
        <w:t xml:space="preserve">The </w:t>
      </w:r>
      <w:r w:rsidRPr="00251B51" w:rsidR="0038492B">
        <w:rPr>
          <w:rFonts w:eastAsia="Times New Roman" w:cs="Times New Roman"/>
        </w:rPr>
        <w:t>People</w:t>
      </w:r>
      <w:r w:rsidRPr="00251B51">
        <w:rPr>
          <w:rFonts w:eastAsia="Times New Roman" w:cs="Times New Roman"/>
        </w:rPr>
        <w:t xml:space="preserve"> disagree with both arguments. </w:t>
      </w:r>
      <w:r w:rsidRPr="00251B51" w:rsidR="00BE759C">
        <w:rPr>
          <w:rFonts w:eastAsia="Times New Roman" w:cs="Times New Roman"/>
        </w:rPr>
        <w:t xml:space="preserve"> </w:t>
      </w:r>
      <w:r w:rsidRPr="00251B51">
        <w:rPr>
          <w:rFonts w:eastAsia="Times New Roman" w:cs="Times New Roman"/>
        </w:rPr>
        <w:t xml:space="preserve">As to the first, they contend that Assembly Bill 333 </w:t>
      </w:r>
      <w:r w:rsidRPr="00251B51" w:rsidR="008A1A9E">
        <w:rPr>
          <w:rFonts w:eastAsia="Times New Roman" w:cs="Times New Roman"/>
        </w:rPr>
        <w:t>did not effectively amend the gang-murder</w:t>
      </w:r>
      <w:r w:rsidRPr="00251B51">
        <w:rPr>
          <w:rFonts w:eastAsia="Times New Roman" w:cs="Times New Roman"/>
        </w:rPr>
        <w:t xml:space="preserve"> special circumstance because the latter was adopted by initiative and established limited criteria not met by </w:t>
      </w:r>
      <w:r w:rsidRPr="00251B51" w:rsidR="001440C6">
        <w:rPr>
          <w:rFonts w:eastAsia="Times New Roman" w:cs="Times New Roman"/>
        </w:rPr>
        <w:t>A</w:t>
      </w:r>
      <w:r w:rsidRPr="00251B51" w:rsidR="0047737A">
        <w:rPr>
          <w:rFonts w:eastAsia="Times New Roman" w:cs="Times New Roman"/>
        </w:rPr>
        <w:t xml:space="preserve">ssembly </w:t>
      </w:r>
      <w:r w:rsidRPr="00251B51" w:rsidR="001440C6">
        <w:rPr>
          <w:rFonts w:eastAsia="Times New Roman" w:cs="Times New Roman"/>
        </w:rPr>
        <w:t>B</w:t>
      </w:r>
      <w:r w:rsidRPr="00251B51" w:rsidR="0047737A">
        <w:rPr>
          <w:rFonts w:eastAsia="Times New Roman" w:cs="Times New Roman"/>
        </w:rPr>
        <w:t>ill</w:t>
      </w:r>
      <w:r w:rsidRPr="00251B51" w:rsidR="001440C6">
        <w:rPr>
          <w:rFonts w:eastAsia="Times New Roman" w:cs="Times New Roman"/>
        </w:rPr>
        <w:t xml:space="preserve"> 333 for amendment by the Legislature and, in the alternative, instruction under the prior version of the gang law was harmless beyond a reasonable doubt. </w:t>
      </w:r>
    </w:p>
    <w:p w:rsidR="0038492B" w:rsidRPr="00251B51" w:rsidP="00F95B53" w14:paraId="6FC1FB2A" w14:textId="38D4A3BE">
      <w:pPr>
        <w:shd w:val="clear" w:color="auto" w:fill="FFFFFF"/>
        <w:spacing w:after="120" w:line="360" w:lineRule="auto"/>
        <w:ind w:firstLine="720"/>
      </w:pPr>
      <w:r w:rsidRPr="00251B51">
        <w:rPr>
          <w:rFonts w:eastAsia="Times New Roman" w:cs="Times New Roman"/>
        </w:rPr>
        <w:t>As to the second, t</w:t>
      </w:r>
      <w:r w:rsidRPr="00251B51" w:rsidR="00BE759C">
        <w:rPr>
          <w:rFonts w:eastAsia="Times New Roman" w:cs="Times New Roman"/>
        </w:rPr>
        <w:t>he</w:t>
      </w:r>
      <w:r w:rsidRPr="00251B51" w:rsidR="00C01622">
        <w:rPr>
          <w:rFonts w:eastAsia="Times New Roman" w:cs="Times New Roman"/>
        </w:rPr>
        <w:t xml:space="preserve">y </w:t>
      </w:r>
      <w:r w:rsidRPr="00251B51" w:rsidR="000B50E1">
        <w:rPr>
          <w:rFonts w:eastAsia="Times New Roman" w:cs="Times New Roman"/>
        </w:rPr>
        <w:t>quote</w:t>
      </w:r>
      <w:r w:rsidRPr="00251B51" w:rsidR="00BE759C">
        <w:rPr>
          <w:rFonts w:eastAsia="Times New Roman" w:cs="Times New Roman"/>
        </w:rPr>
        <w:t xml:space="preserve"> the jury verdicts finding each </w:t>
      </w:r>
      <w:r w:rsidRPr="00251B51" w:rsidR="00B01002">
        <w:rPr>
          <w:rFonts w:eastAsia="Times New Roman" w:cs="Times New Roman"/>
        </w:rPr>
        <w:t>A</w:t>
      </w:r>
      <w:r w:rsidRPr="00251B51" w:rsidR="00BE759C">
        <w:rPr>
          <w:rFonts w:eastAsia="Times New Roman" w:cs="Times New Roman"/>
        </w:rPr>
        <w:t>ppellant “</w:t>
      </w:r>
      <w:r w:rsidRPr="00251B51" w:rsidR="005A29CF">
        <w:rPr>
          <w:rFonts w:eastAsia="Times New Roman" w:cs="Times New Roman"/>
        </w:rPr>
        <w:t> ‘</w:t>
      </w:r>
      <w:r w:rsidRPr="00251B51" w:rsidR="00BE759C">
        <w:rPr>
          <w:rFonts w:eastAsia="Times New Roman" w:cs="Times New Roman"/>
          <w:i/>
          <w:iCs/>
        </w:rPr>
        <w:t>intentionally killed</w:t>
      </w:r>
      <w:r w:rsidRPr="00251B51" w:rsidR="00BE759C">
        <w:rPr>
          <w:rFonts w:eastAsia="Times New Roman" w:cs="Times New Roman"/>
        </w:rPr>
        <w:t xml:space="preserve"> </w:t>
      </w:r>
      <w:r w:rsidR="00380000">
        <w:rPr>
          <w:rFonts w:eastAsia="Times New Roman" w:cs="Times New Roman"/>
        </w:rPr>
        <w:t>[Davis]</w:t>
      </w:r>
      <w:r w:rsidRPr="00251B51" w:rsidR="00BE759C">
        <w:rPr>
          <w:rFonts w:eastAsia="Times New Roman" w:cs="Times New Roman"/>
        </w:rPr>
        <w:t xml:space="preserve"> while the defendant was an active participant in</w:t>
      </w:r>
      <w:r w:rsidRPr="00251B51" w:rsidR="000B50E1">
        <w:rPr>
          <w:rFonts w:eastAsia="Times New Roman" w:cs="Times New Roman"/>
        </w:rPr>
        <w:t xml:space="preserve"> NSO </w:t>
      </w:r>
      <w:r w:rsidRPr="00251B51" w:rsidR="00BE759C">
        <w:rPr>
          <w:rFonts w:eastAsia="Times New Roman" w:cs="Times New Roman"/>
        </w:rPr>
        <w:t>gang</w:t>
      </w:r>
      <w:r w:rsidRPr="00251B51" w:rsidR="000B50E1">
        <w:rPr>
          <w:rFonts w:eastAsia="Times New Roman" w:cs="Times New Roman"/>
        </w:rPr>
        <w:t>,</w:t>
      </w:r>
      <w:r w:rsidRPr="00FB184A" w:rsidR="005A29CF">
        <w:rPr>
          <w:rFonts w:eastAsia="Times New Roman" w:cs="Times New Roman"/>
          <w:b/>
          <w:bCs/>
          <w:vertAlign w:val="superscript"/>
        </w:rPr>
        <w:t>[</w:t>
      </w:r>
      <w:r>
        <w:rPr>
          <w:rStyle w:val="FootnoteReference"/>
          <w:rFonts w:eastAsia="Times New Roman" w:cs="Times New Roman"/>
          <w:b/>
          <w:bCs/>
        </w:rPr>
        <w:footnoteReference w:id="6"/>
      </w:r>
      <w:r w:rsidRPr="00FB184A" w:rsidR="00874570">
        <w:rPr>
          <w:rFonts w:eastAsia="Times New Roman" w:cs="Times New Roman"/>
          <w:b/>
          <w:bCs/>
          <w:vertAlign w:val="superscript"/>
        </w:rPr>
        <w:t>]</w:t>
      </w:r>
      <w:r w:rsidRPr="00251B51" w:rsidR="000B50E1">
        <w:rPr>
          <w:rFonts w:eastAsia="Times New Roman" w:cs="Times New Roman"/>
          <w:b/>
          <w:bCs/>
        </w:rPr>
        <w:t xml:space="preserve"> </w:t>
      </w:r>
      <w:r w:rsidRPr="00251B51" w:rsidR="000B50E1">
        <w:rPr>
          <w:rFonts w:eastAsia="Times New Roman" w:cs="Times New Roman"/>
        </w:rPr>
        <w:t xml:space="preserve">. . . and . . . </w:t>
      </w:r>
      <w:r w:rsidRPr="00251B51" w:rsidR="00BE759C">
        <w:rPr>
          <w:rFonts w:eastAsia="Times New Roman" w:cs="Times New Roman"/>
        </w:rPr>
        <w:t>the murder was carried out to further the activities of the criminal street gang</w:t>
      </w:r>
      <w:r w:rsidRPr="00251B51" w:rsidR="000B50E1">
        <w:rPr>
          <w:rFonts w:eastAsia="Times New Roman" w:cs="Times New Roman"/>
        </w:rPr>
        <w:t>.</w:t>
      </w:r>
      <w:r w:rsidRPr="00251B51" w:rsidR="00232E56">
        <w:rPr>
          <w:rFonts w:eastAsia="Times New Roman" w:cs="Times New Roman"/>
        </w:rPr>
        <w:t>’</w:t>
      </w:r>
      <w:r w:rsidR="00A33593">
        <w:rPr>
          <w:rFonts w:eastAsia="Times New Roman" w:cs="Times New Roman"/>
        </w:rPr>
        <w:t> </w:t>
      </w:r>
      <w:r w:rsidRPr="00251B51" w:rsidR="00BE759C">
        <w:rPr>
          <w:rFonts w:eastAsia="Times New Roman" w:cs="Times New Roman"/>
        </w:rPr>
        <w:t>”</w:t>
      </w:r>
      <w:r w:rsidRPr="00251B51" w:rsidR="000B50E1">
        <w:rPr>
          <w:rFonts w:eastAsia="Times New Roman" w:cs="Times New Roman"/>
        </w:rPr>
        <w:t xml:space="preserve">  These findings,</w:t>
      </w:r>
      <w:r w:rsidRPr="00251B51">
        <w:rPr>
          <w:rFonts w:eastAsia="Times New Roman" w:cs="Times New Roman"/>
        </w:rPr>
        <w:t xml:space="preserve"> coupled with the instruction that to find the special circumstance true, it had to decide whether any defendant who was not the actual killer acted with intent to kill,</w:t>
      </w:r>
      <w:r w:rsidRPr="00251B51" w:rsidR="000B50E1">
        <w:rPr>
          <w:rFonts w:eastAsia="Times New Roman" w:cs="Times New Roman"/>
        </w:rPr>
        <w:t xml:space="preserve"> the</w:t>
      </w:r>
      <w:r w:rsidRPr="00251B51" w:rsidR="00151FF6">
        <w:rPr>
          <w:rFonts w:eastAsia="Times New Roman" w:cs="Times New Roman"/>
        </w:rPr>
        <w:t xml:space="preserve"> People</w:t>
      </w:r>
      <w:r w:rsidRPr="00251B51" w:rsidR="000B50E1">
        <w:rPr>
          <w:rFonts w:eastAsia="Times New Roman" w:cs="Times New Roman"/>
        </w:rPr>
        <w:t xml:space="preserve"> argue, indicate the jury found defendants acted with express malice, that is, “</w:t>
      </w:r>
      <w:r w:rsidR="006A5E72">
        <w:rPr>
          <w:rFonts w:eastAsia="Times New Roman" w:cs="Times New Roman"/>
        </w:rPr>
        <w:t> </w:t>
      </w:r>
      <w:r w:rsidRPr="00251B51" w:rsidR="00151FF6">
        <w:rPr>
          <w:rFonts w:eastAsia="Times New Roman" w:cs="Times New Roman"/>
        </w:rPr>
        <w:t>‘</w:t>
      </w:r>
      <w:r w:rsidRPr="00251B51" w:rsidR="000B50E1">
        <w:rPr>
          <w:rFonts w:eastAsia="Times New Roman" w:cs="Times New Roman"/>
        </w:rPr>
        <w:t>a deliberate</w:t>
      </w:r>
      <w:r w:rsidRPr="00251B51" w:rsidR="00151FF6">
        <w:rPr>
          <w:rFonts w:eastAsia="Times New Roman" w:cs="Times New Roman"/>
        </w:rPr>
        <w:t xml:space="preserve"> intention to unlawfully take away the life of a fellow creature.’</w:t>
      </w:r>
      <w:r w:rsidR="006A5E72">
        <w:rPr>
          <w:rFonts w:eastAsia="Times New Roman" w:cs="Times New Roman"/>
        </w:rPr>
        <w:t> </w:t>
      </w:r>
      <w:r w:rsidRPr="00251B51" w:rsidR="00151FF6">
        <w:rPr>
          <w:rFonts w:eastAsia="Times New Roman" w:cs="Times New Roman"/>
        </w:rPr>
        <w:t xml:space="preserve">”  </w:t>
      </w:r>
      <w:r w:rsidRPr="00251B51" w:rsidR="001440C6">
        <w:rPr>
          <w:rFonts w:eastAsia="Times New Roman" w:cs="Times New Roman"/>
        </w:rPr>
        <w:t>The intent to kill findings in both the gang-</w:t>
      </w:r>
      <w:r w:rsidRPr="00251B51" w:rsidR="008A1A9E">
        <w:rPr>
          <w:rFonts w:eastAsia="Times New Roman" w:cs="Times New Roman"/>
        </w:rPr>
        <w:t xml:space="preserve">murder </w:t>
      </w:r>
      <w:r w:rsidRPr="00251B51" w:rsidR="001440C6">
        <w:rPr>
          <w:rFonts w:eastAsia="Times New Roman" w:cs="Times New Roman"/>
        </w:rPr>
        <w:t>special circumstance and the multiple</w:t>
      </w:r>
      <w:r w:rsidRPr="00251B51" w:rsidR="00A165D2">
        <w:rPr>
          <w:rFonts w:eastAsia="Times New Roman" w:cs="Times New Roman"/>
        </w:rPr>
        <w:t>-</w:t>
      </w:r>
      <w:r w:rsidRPr="00251B51" w:rsidR="001440C6">
        <w:rPr>
          <w:rFonts w:eastAsia="Times New Roman" w:cs="Times New Roman"/>
        </w:rPr>
        <w:t xml:space="preserve">murder special circumstance, they further argue, “established, as a matter of law, that </w:t>
      </w:r>
      <w:r w:rsidRPr="00251B51" w:rsidR="00B01002">
        <w:rPr>
          <w:rFonts w:eastAsia="Times New Roman" w:cs="Times New Roman"/>
        </w:rPr>
        <w:t>A</w:t>
      </w:r>
      <w:r w:rsidRPr="00251B51" w:rsidR="001440C6">
        <w:rPr>
          <w:rFonts w:eastAsia="Times New Roman" w:cs="Times New Roman"/>
        </w:rPr>
        <w:t xml:space="preserve">ppellants possessed the requisite malice to disqualify them from relief.”  </w:t>
      </w:r>
    </w:p>
    <w:p w:rsidR="0038492B" w:rsidRPr="0038492B" w:rsidP="00E762ED" w14:paraId="199CC9E8" w14:textId="7AEF0043">
      <w:pPr>
        <w:pStyle w:val="ListParagraph"/>
        <w:numPr>
          <w:ilvl w:val="1"/>
          <w:numId w:val="2"/>
        </w:numPr>
        <w:shd w:val="clear" w:color="auto" w:fill="FFFFFF"/>
        <w:spacing w:after="120" w:line="240" w:lineRule="auto"/>
        <w:ind w:left="1800"/>
        <w:contextualSpacing w:val="0"/>
        <w:rPr>
          <w:b/>
          <w:bCs/>
        </w:rPr>
      </w:pPr>
      <w:r w:rsidRPr="0038492B">
        <w:rPr>
          <w:b/>
          <w:bCs/>
        </w:rPr>
        <w:t xml:space="preserve">Assembly Bill 333’s Amendment of Section 186.22 Did Not Vitiate or Preclude Consideration of the Jury’s Findings </w:t>
      </w:r>
      <w:r w:rsidR="00FD6FC7">
        <w:rPr>
          <w:b/>
          <w:bCs/>
        </w:rPr>
        <w:t>T</w:t>
      </w:r>
      <w:r w:rsidRPr="0038492B">
        <w:rPr>
          <w:b/>
          <w:bCs/>
        </w:rPr>
        <w:t>hat Appellants Intended to Kill.</w:t>
      </w:r>
    </w:p>
    <w:p w:rsidR="008A1A9E" w:rsidP="00F95B53" w14:paraId="66D2D631" w14:textId="3E41B9E2">
      <w:pPr>
        <w:shd w:val="clear" w:color="auto" w:fill="FFFFFF"/>
        <w:spacing w:line="360" w:lineRule="auto"/>
        <w:ind w:firstLine="720"/>
      </w:pPr>
      <w:r>
        <w:t xml:space="preserve">We agree </w:t>
      </w:r>
      <w:r w:rsidR="0038492B">
        <w:t xml:space="preserve">with the People </w:t>
      </w:r>
      <w:r w:rsidR="004861BB">
        <w:t>that</w:t>
      </w:r>
      <w:r>
        <w:t xml:space="preserve"> </w:t>
      </w:r>
      <w:r w:rsidR="00B01002">
        <w:t>A</w:t>
      </w:r>
      <w:r>
        <w:t xml:space="preserve">ppellants’ </w:t>
      </w:r>
      <w:r w:rsidRPr="004861BB">
        <w:rPr>
          <w:i/>
          <w:iCs/>
        </w:rPr>
        <w:t>first</w:t>
      </w:r>
      <w:r>
        <w:t xml:space="preserve"> argument </w:t>
      </w:r>
      <w:r w:rsidRPr="00B01002" w:rsidR="00824BA4">
        <w:t>lacks merit</w:t>
      </w:r>
      <w:r>
        <w:t>, albeit not for the reasons argued by the People.</w:t>
      </w:r>
      <w:r w:rsidR="004861BB">
        <w:t xml:space="preserve"> </w:t>
      </w:r>
      <w:r>
        <w:t xml:space="preserve"> Rather, we reject </w:t>
      </w:r>
      <w:r w:rsidR="006F2EEF">
        <w:t xml:space="preserve">Appellants’ </w:t>
      </w:r>
      <w:r w:rsidR="00B43AF1">
        <w:t>assumption</w:t>
      </w:r>
      <w:r>
        <w:t xml:space="preserve"> that an amendment</w:t>
      </w:r>
      <w:r w:rsidR="00B43AF1">
        <w:t>—</w:t>
      </w:r>
      <w:r>
        <w:t xml:space="preserve">assuming it retroactively applied to the </w:t>
      </w:r>
      <w:r w:rsidR="00B43AF1">
        <w:t xml:space="preserve">gang-murder </w:t>
      </w:r>
      <w:r>
        <w:t xml:space="preserve">special circumstance and requires reversal and remand of the </w:t>
      </w:r>
      <w:r w:rsidR="00B43AF1">
        <w:t xml:space="preserve">verdict on the </w:t>
      </w:r>
      <w:r>
        <w:t xml:space="preserve">special circumstance—precludes the trial court from considering findings the jury expressly made in that verdict </w:t>
      </w:r>
      <w:r w:rsidR="00B43AF1">
        <w:t>on a factual issue</w:t>
      </w:r>
      <w:r>
        <w:t xml:space="preserve"> the amendment did not </w:t>
      </w:r>
      <w:r w:rsidR="00B43AF1">
        <w:t>affect.</w:t>
      </w:r>
    </w:p>
    <w:p w:rsidR="005602A8" w:rsidP="00F95B53" w14:paraId="7060C25F" w14:textId="360E9784">
      <w:pPr>
        <w:shd w:val="clear" w:color="auto" w:fill="FFFFFF"/>
        <w:spacing w:line="360" w:lineRule="auto"/>
        <w:ind w:firstLine="720"/>
      </w:pPr>
      <w:r>
        <w:t>By way of background, the gang</w:t>
      </w:r>
      <w:r w:rsidR="008A1A9E">
        <w:t>-murder</w:t>
      </w:r>
      <w:r>
        <w:t xml:space="preserve"> special circumstance is set forth in section 190.2, subdivision (22), and has three basic elements.  The defendant (1) must have “</w:t>
      </w:r>
      <w:r w:rsidR="00232E56">
        <w:t xml:space="preserve"> ‘</w:t>
      </w:r>
      <w:r>
        <w:t>intentionally killed the victim,</w:t>
      </w:r>
      <w:r w:rsidR="00232E56">
        <w:t xml:space="preserve">’ </w:t>
      </w:r>
      <w:r>
        <w:t>” (2) while he was “</w:t>
      </w:r>
      <w:r w:rsidR="00232E56">
        <w:t> ‘</w:t>
      </w:r>
      <w:r>
        <w:t>an active participant in a criminal street gang, as defined in subdivision (f) of section 186.22,</w:t>
      </w:r>
      <w:r w:rsidR="00232E56">
        <w:t xml:space="preserve">’ </w:t>
      </w:r>
      <w:r>
        <w:t>” and (3) in order “</w:t>
      </w:r>
      <w:r w:rsidR="00232E56">
        <w:t xml:space="preserve"> ‘</w:t>
      </w:r>
      <w:r>
        <w:t>to further the activities of the criminal street gang.</w:t>
      </w:r>
      <w:r w:rsidR="00232E56">
        <w:t xml:space="preserve">’ </w:t>
      </w:r>
      <w:r>
        <w:t>”  (</w:t>
      </w:r>
      <w:r w:rsidRPr="00BF7960">
        <w:rPr>
          <w:i/>
          <w:iCs/>
        </w:rPr>
        <w:t>People v. Montano</w:t>
      </w:r>
      <w:r>
        <w:t xml:space="preserve"> </w:t>
      </w:r>
      <w:r w:rsidR="00D65CB4">
        <w:t xml:space="preserve">(2022) </w:t>
      </w:r>
      <w:r>
        <w:t xml:space="preserve">80 Cal.App.5th 82, </w:t>
      </w:r>
      <w:r w:rsidR="00232E56">
        <w:t xml:space="preserve">109, </w:t>
      </w:r>
      <w:r>
        <w:t>112.)  Section</w:t>
      </w:r>
      <w:r w:rsidR="00FD6FC7">
        <w:t> </w:t>
      </w:r>
      <w:r>
        <w:t>186.22, which is expressly incorporated in section 190.2, subdivision</w:t>
      </w:r>
      <w:r w:rsidR="00232E56">
        <w:t> </w:t>
      </w:r>
      <w:r>
        <w:t xml:space="preserve">(22), was amended by Assembly Bill 333 in 2021, and the amendments took effect in January 2022, after the trial court ruled on </w:t>
      </w:r>
      <w:r w:rsidR="00B01002">
        <w:t>A</w:t>
      </w:r>
      <w:r>
        <w:t>ppellants</w:t>
      </w:r>
      <w:r w:rsidR="00B01002">
        <w:t>’ section </w:t>
      </w:r>
      <w:r>
        <w:t>1172.6 petitions.  (</w:t>
      </w:r>
      <w:r w:rsidR="00304AB2">
        <w:t>Stats. 2021, ch. 699, §</w:t>
      </w:r>
      <w:r w:rsidR="007B5215">
        <w:t> </w:t>
      </w:r>
      <w:r w:rsidR="00304AB2">
        <w:t>3</w:t>
      </w:r>
      <w:r>
        <w:t>.)  The amendments revised the definition of “criminal street gang” and limited the meaning of the phrase “pattern of criminal gang activity,”</w:t>
      </w:r>
      <w:r>
        <w:rPr>
          <w:rStyle w:val="FootnoteReference"/>
          <w:b/>
          <w:bCs/>
        </w:rPr>
        <w:footnoteReference w:id="7"/>
      </w:r>
      <w:r w:rsidRPr="00BF7960">
        <w:rPr>
          <w:b/>
          <w:bCs/>
        </w:rPr>
        <w:t xml:space="preserve"> </w:t>
      </w:r>
      <w:r>
        <w:t>affecting the second and third elements of the gang</w:t>
      </w:r>
      <w:r w:rsidR="00D351AC">
        <w:t>-</w:t>
      </w:r>
      <w:r>
        <w:t xml:space="preserve">murder special circumstance.  (See </w:t>
      </w:r>
      <w:r w:rsidRPr="00D351AC">
        <w:rPr>
          <w:i/>
          <w:iCs/>
        </w:rPr>
        <w:t>i</w:t>
      </w:r>
      <w:r w:rsidR="009D4842">
        <w:rPr>
          <w:i/>
          <w:iCs/>
        </w:rPr>
        <w:t>bi</w:t>
      </w:r>
      <w:r w:rsidRPr="00D351AC">
        <w:rPr>
          <w:i/>
          <w:iCs/>
        </w:rPr>
        <w:t>d</w:t>
      </w:r>
      <w:r>
        <w:t>., amending § 186.22, subds. (e), (f).)  It also added a definition of the phrase “to benefit, promote, further, or assist,” affecting the third element of the special circumstance.  (</w:t>
      </w:r>
      <w:r w:rsidR="00304AB2">
        <w:t>Stats. 2021, ch. 699, § 3,</w:t>
      </w:r>
      <w:r>
        <w:t xml:space="preserve"> amending § 186.22, subd.</w:t>
      </w:r>
      <w:r w:rsidR="00304AB2">
        <w:t> </w:t>
      </w:r>
      <w:r>
        <w:t>(</w:t>
      </w:r>
      <w:r w:rsidR="00304AB2">
        <w:t>g</w:t>
      </w:r>
      <w:r>
        <w:t xml:space="preserve">).)  However, the changes wrought by the amendments to </w:t>
      </w:r>
      <w:r w:rsidR="00304AB2">
        <w:t>section </w:t>
      </w:r>
      <w:r>
        <w:t xml:space="preserve">186.22 did not affect the “intent to kill” element of the special circumstance on which the jury was instructed and found to be true as to all </w:t>
      </w:r>
      <w:r w:rsidR="00B01002">
        <w:t>A</w:t>
      </w:r>
      <w:r>
        <w:t xml:space="preserve">ppellants.  </w:t>
      </w:r>
    </w:p>
    <w:p w:rsidR="0038492B" w:rsidP="00F95B53" w14:paraId="707B74F7" w14:textId="34E75DE3">
      <w:pPr>
        <w:shd w:val="clear" w:color="auto" w:fill="FFFFFF"/>
        <w:spacing w:line="360" w:lineRule="auto"/>
        <w:ind w:firstLine="720"/>
      </w:pPr>
      <w:r>
        <w:t xml:space="preserve">As we shall explain, </w:t>
      </w:r>
      <w:r w:rsidR="004861BB">
        <w:t>the other</w:t>
      </w:r>
      <w:r>
        <w:t xml:space="preserve"> changes</w:t>
      </w:r>
      <w:r w:rsidR="004861BB">
        <w:t xml:space="preserve"> to section 186.22</w:t>
      </w:r>
      <w:r>
        <w:t xml:space="preserve"> may affect the viability of the special circumstance verdicts here.  But they do not detract from the jury’s express findings, in connection with both the gang-related</w:t>
      </w:r>
      <w:r w:rsidR="00A165D2">
        <w:t>-</w:t>
      </w:r>
      <w:r w:rsidR="00B43AF1">
        <w:t>murder</w:t>
      </w:r>
      <w:r>
        <w:t xml:space="preserve"> special circumstance and the multiple</w:t>
      </w:r>
      <w:r w:rsidR="00A165D2">
        <w:t>-</w:t>
      </w:r>
      <w:r>
        <w:t xml:space="preserve">murder special circumstance, that each of the </w:t>
      </w:r>
      <w:r w:rsidR="00B01002">
        <w:t>A</w:t>
      </w:r>
      <w:r>
        <w:t>ppellants intended to kill Davis.  Appellants cite no authority, nor are we aware of any, holding that a finding expressly made by a jury cannot be considered in a resentencing proceeding under section</w:t>
      </w:r>
      <w:r w:rsidR="00B01002">
        <w:t> </w:t>
      </w:r>
      <w:r>
        <w:t>1172.6 if the crime, enhancement or special circumstance regarding which it was made is invalidated for reasons wholly unrelated to that finding.</w:t>
      </w:r>
      <w:r>
        <w:rPr>
          <w:rStyle w:val="FootnoteReference"/>
          <w:b/>
          <w:bCs/>
        </w:rPr>
        <w:footnoteReference w:id="8"/>
      </w:r>
      <w:r w:rsidRPr="00EC11FD" w:rsidR="00EC11FD">
        <w:rPr>
          <w:b/>
          <w:bCs/>
        </w:rPr>
        <w:t xml:space="preserve"> </w:t>
      </w:r>
      <w:r w:rsidR="00EC11FD">
        <w:t xml:space="preserve"> </w:t>
      </w:r>
    </w:p>
    <w:p w:rsidR="00665FF0" w:rsidRPr="00FE5474" w:rsidP="00F95B53" w14:paraId="484727DC" w14:textId="11CACBA1">
      <w:pPr>
        <w:shd w:val="clear" w:color="auto" w:fill="FFFFFF"/>
        <w:spacing w:line="360" w:lineRule="auto"/>
        <w:ind w:firstLine="720"/>
      </w:pPr>
      <w:r w:rsidRPr="00FE5474">
        <w:t>In</w:t>
      </w:r>
      <w:r w:rsidRPr="00FE5474" w:rsidR="00EE5F27">
        <w:t xml:space="preserve"> its recent decision in</w:t>
      </w:r>
      <w:r w:rsidRPr="00FE5474">
        <w:t xml:space="preserve"> </w:t>
      </w:r>
      <w:r w:rsidRPr="00FE5474">
        <w:rPr>
          <w:i/>
          <w:iCs/>
        </w:rPr>
        <w:t>Curiel</w:t>
      </w:r>
      <w:r w:rsidRPr="00FE5474">
        <w:t xml:space="preserve">, </w:t>
      </w:r>
      <w:r w:rsidRPr="00FE5474">
        <w:rPr>
          <w:i/>
          <w:iCs/>
        </w:rPr>
        <w:t>supra</w:t>
      </w:r>
      <w:r w:rsidRPr="00FE5474">
        <w:t xml:space="preserve">, </w:t>
      </w:r>
      <w:r w:rsidRPr="00EB6FCF" w:rsidR="00EB6FCF">
        <w:t>__</w:t>
      </w:r>
      <w:r w:rsidR="006543D5">
        <w:t xml:space="preserve"> </w:t>
      </w:r>
      <w:r w:rsidRPr="00FE5474" w:rsidR="00C00FB4">
        <w:t xml:space="preserve">Cal.5th </w:t>
      </w:r>
      <w:r w:rsidRPr="00EB6FCF" w:rsidR="00EB6FCF">
        <w:t>__</w:t>
      </w:r>
      <w:r w:rsidRPr="00FE5474" w:rsidR="00C00FB4">
        <w:t xml:space="preserve"> [2023 WL 8178140]</w:t>
      </w:r>
      <w:r w:rsidR="000C5C63">
        <w:t>,</w:t>
      </w:r>
      <w:r w:rsidRPr="00FE5474">
        <w:t xml:space="preserve"> our Supreme Court addressed an intent-to-kill finding that, as in this case, was made as part of a gang-murder special circumstance allegation made long before the amendments to the gang statutes enacted by A</w:t>
      </w:r>
      <w:r w:rsidRPr="00FE5474" w:rsidR="00C00FB4">
        <w:t xml:space="preserve">ssembly Bill </w:t>
      </w:r>
      <w:r w:rsidRPr="00FE5474">
        <w:t xml:space="preserve">333 took effect in 2022.  (See </w:t>
      </w:r>
      <w:r w:rsidRPr="00FE5474" w:rsidR="00C00FB4">
        <w:rPr>
          <w:i/>
          <w:iCs/>
        </w:rPr>
        <w:t>Curiel,</w:t>
      </w:r>
      <w:r w:rsidRPr="00FE5474">
        <w:t xml:space="preserve"> at p. </w:t>
      </w:r>
      <w:r w:rsidRPr="00FE5474" w:rsidR="00C00FB4">
        <w:t>*1</w:t>
      </w:r>
      <w:r w:rsidRPr="00FE5474">
        <w:t>.)  The court applied issue preclusion principles to the finding after concluding there was no change in the law affecting the intent</w:t>
      </w:r>
      <w:r w:rsidRPr="00FE5474" w:rsidR="00EE5F27">
        <w:t>-</w:t>
      </w:r>
      <w:r w:rsidRPr="00FE5474">
        <w:t>to</w:t>
      </w:r>
      <w:r w:rsidRPr="00FE5474" w:rsidR="00EE5F27">
        <w:t>-</w:t>
      </w:r>
      <w:r w:rsidRPr="00FE5474">
        <w:t>kill finding that would justify an exception to issue preclusion.  (</w:t>
      </w:r>
      <w:r w:rsidRPr="00FE5474">
        <w:rPr>
          <w:i/>
          <w:iCs/>
        </w:rPr>
        <w:t>Id</w:t>
      </w:r>
      <w:r w:rsidRPr="00FE5474">
        <w:t xml:space="preserve">. at </w:t>
      </w:r>
      <w:r w:rsidRPr="00FE5474" w:rsidR="007768E0">
        <w:t>p. *11</w:t>
      </w:r>
      <w:r w:rsidRPr="00FE5474">
        <w:t>.)</w:t>
      </w:r>
      <w:r>
        <w:rPr>
          <w:rStyle w:val="FootnoteReference"/>
          <w:b/>
          <w:bCs/>
        </w:rPr>
        <w:footnoteReference w:id="9"/>
      </w:r>
      <w:r w:rsidRPr="004B706B" w:rsidR="004C7570">
        <w:rPr>
          <w:b/>
          <w:bCs/>
        </w:rPr>
        <w:t xml:space="preserve"> </w:t>
      </w:r>
      <w:r w:rsidRPr="00FE5474" w:rsidR="004C7570">
        <w:t xml:space="preserve"> Further, the court observed that issue preclusion will “ ‘ordinarily’ apply in [section 1172.6] proceedings.”  (</w:t>
      </w:r>
      <w:r w:rsidRPr="00FE5474" w:rsidR="004C7570">
        <w:rPr>
          <w:i/>
          <w:iCs/>
        </w:rPr>
        <w:t>Id</w:t>
      </w:r>
      <w:r w:rsidRPr="00FE5474" w:rsidR="004C7570">
        <w:t xml:space="preserve">. at </w:t>
      </w:r>
      <w:r w:rsidRPr="00FE5474" w:rsidR="007768E0">
        <w:t>p.</w:t>
      </w:r>
      <w:r w:rsidR="0055481F">
        <w:t> </w:t>
      </w:r>
      <w:r w:rsidRPr="00FE5474" w:rsidR="007768E0">
        <w:t>*13</w:t>
      </w:r>
      <w:r w:rsidRPr="00FE5474" w:rsidR="001C2CBC">
        <w:t>.</w:t>
      </w:r>
      <w:r w:rsidRPr="00FE5474" w:rsidR="004C7570">
        <w:t>)</w:t>
      </w:r>
    </w:p>
    <w:p w:rsidR="0038492B" w:rsidRPr="0038492B" w:rsidP="00AD75E0" w14:paraId="1C053611" w14:textId="2B547435">
      <w:pPr>
        <w:pStyle w:val="ListParagraph"/>
        <w:numPr>
          <w:ilvl w:val="1"/>
          <w:numId w:val="2"/>
        </w:numPr>
        <w:shd w:val="clear" w:color="auto" w:fill="FFFFFF"/>
        <w:spacing w:after="120" w:line="240" w:lineRule="auto"/>
        <w:ind w:left="1800"/>
        <w:contextualSpacing w:val="0"/>
        <w:rPr>
          <w:b/>
          <w:bCs/>
        </w:rPr>
      </w:pPr>
      <w:r w:rsidRPr="0038492B">
        <w:rPr>
          <w:b/>
          <w:bCs/>
        </w:rPr>
        <w:t xml:space="preserve">The Jury’s Findings </w:t>
      </w:r>
      <w:r w:rsidR="006701F5">
        <w:rPr>
          <w:b/>
          <w:bCs/>
        </w:rPr>
        <w:t>T</w:t>
      </w:r>
      <w:r w:rsidRPr="0038492B">
        <w:rPr>
          <w:b/>
          <w:bCs/>
        </w:rPr>
        <w:t>hat Appellants Intended to Kill Davis D</w:t>
      </w:r>
      <w:r w:rsidR="0086320D">
        <w:rPr>
          <w:b/>
          <w:bCs/>
        </w:rPr>
        <w:t>o</w:t>
      </w:r>
      <w:r w:rsidRPr="0038492B">
        <w:rPr>
          <w:b/>
          <w:bCs/>
        </w:rPr>
        <w:t xml:space="preserve"> Not As a Matter of Law Establish They Are Ineligible for Relief Under Section 1172.6</w:t>
      </w:r>
      <w:r w:rsidR="0086320D">
        <w:rPr>
          <w:b/>
          <w:bCs/>
        </w:rPr>
        <w:t xml:space="preserve"> and Thus an Evidentiary Hearing Was Required.</w:t>
      </w:r>
    </w:p>
    <w:p w:rsidR="005602A8" w:rsidP="00F95B53" w14:paraId="649B0518" w14:textId="79CD38AA">
      <w:pPr>
        <w:shd w:val="clear" w:color="auto" w:fill="FFFFFF"/>
        <w:spacing w:line="360" w:lineRule="auto"/>
        <w:ind w:firstLine="720"/>
      </w:pPr>
      <w:r>
        <w:t xml:space="preserve">Appellants’ </w:t>
      </w:r>
      <w:r w:rsidRPr="0038492B">
        <w:rPr>
          <w:i/>
          <w:iCs/>
        </w:rPr>
        <w:t>second</w:t>
      </w:r>
      <w:r>
        <w:t xml:space="preserve"> argument, on the other hand, is viable, especially in view of new case law development</w:t>
      </w:r>
      <w:r w:rsidR="004C7570">
        <w:t>s</w:t>
      </w:r>
      <w:r>
        <w:t>.  Earlier this year, our high court addressed the effect of a gang special circumstances finding on harmless error analysis as applied to invalid theory error.  (</w:t>
      </w:r>
      <w:r w:rsidR="00B205BE">
        <w:rPr>
          <w:i/>
          <w:iCs/>
        </w:rPr>
        <w:t xml:space="preserve">In re </w:t>
      </w:r>
      <w:r w:rsidRPr="00880216">
        <w:rPr>
          <w:i/>
          <w:iCs/>
        </w:rPr>
        <w:t>Lopez</w:t>
      </w:r>
      <w:r w:rsidR="000C683A">
        <w:t xml:space="preserve">, </w:t>
      </w:r>
      <w:r w:rsidR="000C683A">
        <w:rPr>
          <w:i/>
          <w:iCs/>
        </w:rPr>
        <w:t xml:space="preserve">supra, </w:t>
      </w:r>
      <w:r w:rsidR="009E1227">
        <w:t>14</w:t>
      </w:r>
      <w:r w:rsidR="00304AB2">
        <w:t> </w:t>
      </w:r>
      <w:r w:rsidR="009E1227">
        <w:t>Cal.5th 562</w:t>
      </w:r>
      <w:r>
        <w:t xml:space="preserve">.)  The court reviewed a decision reversing a trial court’s grant of habeas corpus to a petitioner who had been convicted of first degree murder. </w:t>
      </w:r>
      <w:r w:rsidR="00266836">
        <w:t xml:space="preserve"> </w:t>
      </w:r>
      <w:r>
        <w:t>(</w:t>
      </w:r>
      <w:r w:rsidRPr="00B43AF1">
        <w:rPr>
          <w:i/>
          <w:iCs/>
        </w:rPr>
        <w:t>Id</w:t>
      </w:r>
      <w:r>
        <w:t>. at p.</w:t>
      </w:r>
      <w:r w:rsidR="008D3D7C">
        <w:t xml:space="preserve"> 567</w:t>
      </w:r>
      <w:r>
        <w:t>.)  As in this case, the jury had been instructed on both valid (premeditated murder and aiding and abetting premeditated murder) and invalid (natural and probable consequences) theories.  (</w:t>
      </w:r>
      <w:r w:rsidRPr="00B43AF1">
        <w:rPr>
          <w:i/>
          <w:iCs/>
        </w:rPr>
        <w:t>Id</w:t>
      </w:r>
      <w:r>
        <w:t>. at pp.</w:t>
      </w:r>
      <w:r w:rsidR="005B4D1D">
        <w:t> </w:t>
      </w:r>
      <w:r w:rsidR="008D3D7C">
        <w:t>576-578</w:t>
      </w:r>
      <w:r>
        <w:t>.)  The appellate court had held the jury’s true finding on the gang-murder special circumstance rendered the instruction on the natural and probable consequences theory harmless beyond a reasonable doubt.  (</w:t>
      </w:r>
      <w:r w:rsidRPr="008D3D7C">
        <w:rPr>
          <w:i/>
          <w:iCs/>
        </w:rPr>
        <w:t>Id.</w:t>
      </w:r>
      <w:r>
        <w:t xml:space="preserve"> at p</w:t>
      </w:r>
      <w:r w:rsidR="008D3D7C">
        <w:t>p</w:t>
      </w:r>
      <w:r>
        <w:t>.</w:t>
      </w:r>
      <w:r w:rsidR="008D3D7C">
        <w:t xml:space="preserve"> 567-568</w:t>
      </w:r>
      <w:r>
        <w:t xml:space="preserve">.)  </w:t>
      </w:r>
    </w:p>
    <w:p w:rsidR="005602A8" w:rsidP="00F95B53" w14:paraId="2A1F47FB" w14:textId="30AB5C29">
      <w:pPr>
        <w:shd w:val="clear" w:color="auto" w:fill="FFFFFF"/>
        <w:spacing w:line="360" w:lineRule="auto"/>
        <w:ind w:firstLine="720"/>
      </w:pPr>
      <w:r>
        <w:t>The Supreme Court reversed, holding the jury’s gang-killing special</w:t>
      </w:r>
      <w:r w:rsidR="008D3D7C">
        <w:t>-</w:t>
      </w:r>
      <w:r>
        <w:t xml:space="preserve">circumstance verdict finding of “intent to kill” did not “necessarily establish all of the elements of directly aiding and abetting first degree murder.  Thus, it does not </w:t>
      </w:r>
      <w:r w:rsidRPr="007B4021">
        <w:rPr>
          <w:i/>
          <w:iCs/>
        </w:rPr>
        <w:t>in and of itself</w:t>
      </w:r>
      <w:r>
        <w:t xml:space="preserve"> show the jury made the necessary findings for a valid theory.”  (</w:t>
      </w:r>
      <w:r w:rsidR="00B205BE">
        <w:rPr>
          <w:i/>
          <w:iCs/>
        </w:rPr>
        <w:t xml:space="preserve">In re </w:t>
      </w:r>
      <w:r w:rsidR="008D3D7C">
        <w:rPr>
          <w:i/>
          <w:iCs/>
        </w:rPr>
        <w:t xml:space="preserve">Lopez, supra, </w:t>
      </w:r>
      <w:r w:rsidR="008D3D7C">
        <w:t>14 Cal.5th</w:t>
      </w:r>
      <w:r>
        <w:t xml:space="preserve"> at p. </w:t>
      </w:r>
      <w:r w:rsidR="008D3D7C">
        <w:t>588</w:t>
      </w:r>
      <w:r w:rsidR="006701F5">
        <w:t xml:space="preserve">, </w:t>
      </w:r>
      <w:r>
        <w:t>italics added</w:t>
      </w:r>
      <w:r w:rsidR="006701F5">
        <w:t>;</w:t>
      </w:r>
      <w:r>
        <w:t xml:space="preserve"> </w:t>
      </w:r>
      <w:r w:rsidR="006701F5">
        <w:t>s</w:t>
      </w:r>
      <w:r>
        <w:t xml:space="preserve">ee also </w:t>
      </w:r>
      <w:r w:rsidRPr="0093386C">
        <w:rPr>
          <w:i/>
          <w:iCs/>
        </w:rPr>
        <w:t>People v. Pacheco</w:t>
      </w:r>
      <w:r>
        <w:t xml:space="preserve"> (2022) 76 Cal.App.5th 118, 127-128</w:t>
      </w:r>
      <w:r w:rsidR="00C55E2F">
        <w:t>, review granted May</w:t>
      </w:r>
      <w:r w:rsidR="00266836">
        <w:t> </w:t>
      </w:r>
      <w:r w:rsidR="00C55E2F">
        <w:t xml:space="preserve">18, 2022, </w:t>
      </w:r>
      <w:r w:rsidRPr="00C55E2F" w:rsidR="00C55E2F">
        <w:t>S274102</w:t>
      </w:r>
      <w:r>
        <w:t>.)</w:t>
      </w:r>
      <w:r>
        <w:rPr>
          <w:rStyle w:val="FootnoteReference"/>
          <w:b/>
          <w:bCs/>
        </w:rPr>
        <w:footnoteReference w:id="10"/>
      </w:r>
      <w:r>
        <w:t xml:space="preserve">  However, the court further opined that this did not “end the harmlessness inquiry” because “ ‘the reviewing court [was] not limited to a review of the verdict itself.’</w:t>
      </w:r>
      <w:r w:rsidR="007F74FA">
        <w:t> </w:t>
      </w:r>
      <w:r>
        <w:t>”  (</w:t>
      </w:r>
      <w:r w:rsidR="00B205BE">
        <w:rPr>
          <w:i/>
          <w:iCs/>
        </w:rPr>
        <w:t xml:space="preserve">In re </w:t>
      </w:r>
      <w:r w:rsidR="002417FC">
        <w:rPr>
          <w:i/>
          <w:iCs/>
        </w:rPr>
        <w:t>L</w:t>
      </w:r>
      <w:r>
        <w:rPr>
          <w:i/>
          <w:iCs/>
        </w:rPr>
        <w:t>opez,</w:t>
      </w:r>
      <w:r>
        <w:t xml:space="preserve"> at p. </w:t>
      </w:r>
      <w:r w:rsidR="008D3D7C">
        <w:t>588</w:t>
      </w:r>
      <w:r>
        <w:t xml:space="preserve">.)  It could also consider the </w:t>
      </w:r>
      <w:r w:rsidRPr="00943BC6">
        <w:t>evidence</w:t>
      </w:r>
      <w:r>
        <w:rPr>
          <w:i/>
          <w:iCs/>
        </w:rPr>
        <w:t xml:space="preserve"> </w:t>
      </w:r>
      <w:r>
        <w:t>admitted at trial.  If it determined beyond a reasonable doubt</w:t>
      </w:r>
      <w:r w:rsidR="00AD79D4">
        <w:t xml:space="preserve">, based on the jury’s actual verdict and the evidence at trial, </w:t>
      </w:r>
      <w:r>
        <w:t>that any rational juror would have made the additional findings (premeditation and aiding and abetting)</w:t>
      </w:r>
      <w:r w:rsidR="00AD79D4">
        <w:t xml:space="preserve">, </w:t>
      </w:r>
      <w:r>
        <w:t>the error would be harmless because natural and probable consequences instruction “made no difference.”  (</w:t>
      </w:r>
      <w:r w:rsidRPr="00B32886">
        <w:rPr>
          <w:i/>
          <w:iCs/>
        </w:rPr>
        <w:t>Id</w:t>
      </w:r>
      <w:r>
        <w:t>. at p.</w:t>
      </w:r>
      <w:r w:rsidR="008D3D7C">
        <w:t xml:space="preserve"> 589</w:t>
      </w:r>
      <w:r>
        <w:t>.)  The court remanded the case to the Court of Appeal to reconsider the harmless error issue.  (</w:t>
      </w:r>
      <w:r w:rsidRPr="00CD76BC">
        <w:rPr>
          <w:i/>
          <w:iCs/>
        </w:rPr>
        <w:t>Id</w:t>
      </w:r>
      <w:r>
        <w:t>. at p.</w:t>
      </w:r>
      <w:r w:rsidR="008D3D7C">
        <w:t xml:space="preserve"> 590</w:t>
      </w:r>
      <w:r>
        <w:t>.)</w:t>
      </w:r>
    </w:p>
    <w:p w:rsidR="005602A8" w:rsidP="00F95B53" w14:paraId="0D192EFF" w14:textId="54D07989">
      <w:pPr>
        <w:shd w:val="clear" w:color="auto" w:fill="FFFFFF"/>
        <w:spacing w:line="360" w:lineRule="auto"/>
        <w:ind w:firstLine="720"/>
      </w:pPr>
      <w:r>
        <w:t>The</w:t>
      </w:r>
      <w:r w:rsidR="00B205BE">
        <w:t xml:space="preserve"> </w:t>
      </w:r>
      <w:r w:rsidR="00B205BE">
        <w:rPr>
          <w:i/>
          <w:iCs/>
        </w:rPr>
        <w:t>In re</w:t>
      </w:r>
      <w:r w:rsidR="008D3D7C">
        <w:rPr>
          <w:i/>
          <w:iCs/>
        </w:rPr>
        <w:t xml:space="preserve"> </w:t>
      </w:r>
      <w:r w:rsidRPr="00601FEA">
        <w:rPr>
          <w:i/>
          <w:iCs/>
        </w:rPr>
        <w:t>Lopez</w:t>
      </w:r>
      <w:r>
        <w:t xml:space="preserve"> court’s holdings</w:t>
      </w:r>
      <w:r w:rsidR="008D3D7C">
        <w:t>—</w:t>
      </w:r>
      <w:r>
        <w:t xml:space="preserve">first, that a jury’s gang-murder special circumstance finding does “not </w:t>
      </w:r>
      <w:r w:rsidRPr="007B4021">
        <w:rPr>
          <w:i/>
          <w:iCs/>
        </w:rPr>
        <w:t>in and of itself</w:t>
      </w:r>
      <w:r>
        <w:t xml:space="preserve"> show the jury made the necessary findings” to support conviction for aiding and abetting first degree murder; and second, that the appellate court was required look beyond the verdict to the evidence at trial (see </w:t>
      </w:r>
      <w:r w:rsidR="00B205BE">
        <w:rPr>
          <w:i/>
          <w:iCs/>
        </w:rPr>
        <w:t>In re L</w:t>
      </w:r>
      <w:r w:rsidR="008D3D7C">
        <w:rPr>
          <w:i/>
          <w:iCs/>
        </w:rPr>
        <w:t>opez, supra,</w:t>
      </w:r>
      <w:r>
        <w:t xml:space="preserve"> </w:t>
      </w:r>
      <w:r w:rsidR="002417FC">
        <w:t>14 Cal.5</w:t>
      </w:r>
      <w:r w:rsidRPr="002417FC" w:rsidR="002417FC">
        <w:t xml:space="preserve">th </w:t>
      </w:r>
      <w:r>
        <w:t>at p</w:t>
      </w:r>
      <w:r w:rsidR="008D3D7C">
        <w:t>p</w:t>
      </w:r>
      <w:r>
        <w:t>.</w:t>
      </w:r>
      <w:r w:rsidR="00EE4A84">
        <w:t> </w:t>
      </w:r>
      <w:r w:rsidR="008D3D7C">
        <w:t>588-589, italics added</w:t>
      </w:r>
      <w:r>
        <w:t>)</w:t>
      </w:r>
      <w:r w:rsidR="006701F5">
        <w:t>—</w:t>
      </w:r>
      <w:r>
        <w:t xml:space="preserve">have a bearing here, even though the procedural aspects of resentencing are different from </w:t>
      </w:r>
      <w:r w:rsidR="00B43AF1">
        <w:t xml:space="preserve">harmless error analysis </w:t>
      </w:r>
      <w:r>
        <w:t>on</w:t>
      </w:r>
      <w:r w:rsidR="009E1227">
        <w:t xml:space="preserve"> </w:t>
      </w:r>
      <w:r w:rsidRPr="008D3D7C" w:rsidR="009E1227">
        <w:t xml:space="preserve">habeas (or direct) </w:t>
      </w:r>
      <w:r>
        <w:t>review</w:t>
      </w:r>
      <w:r w:rsidR="00B43AF1">
        <w:t xml:space="preserve"> of a conviction</w:t>
      </w:r>
      <w:r>
        <w:t>.</w:t>
      </w:r>
    </w:p>
    <w:p w:rsidR="005602A8" w:rsidP="00F95B53" w14:paraId="1A2C92B4" w14:textId="2A5469C0">
      <w:pPr>
        <w:shd w:val="clear" w:color="auto" w:fill="FFFFFF"/>
        <w:spacing w:line="360" w:lineRule="auto"/>
        <w:ind w:firstLine="720"/>
      </w:pPr>
      <w:r>
        <w:rPr>
          <w:i/>
          <w:iCs/>
        </w:rPr>
        <w:t xml:space="preserve">In re </w:t>
      </w:r>
      <w:r w:rsidR="002417FC">
        <w:rPr>
          <w:i/>
          <w:iCs/>
        </w:rPr>
        <w:t>L</w:t>
      </w:r>
      <w:r w:rsidRPr="0049787A">
        <w:rPr>
          <w:i/>
          <w:iCs/>
        </w:rPr>
        <w:t>ope</w:t>
      </w:r>
      <w:r>
        <w:rPr>
          <w:i/>
          <w:iCs/>
        </w:rPr>
        <w:t>z</w:t>
      </w:r>
      <w:r>
        <w:t xml:space="preserve">’s holding that a finding of intent to kill is not alone sufficient to establish </w:t>
      </w:r>
      <w:r w:rsidR="00FC19AC">
        <w:t xml:space="preserve">the defendant </w:t>
      </w:r>
      <w:r w:rsidR="0047737A">
        <w:t>was</w:t>
      </w:r>
      <w:r>
        <w:t xml:space="preserve"> guilty of first degree murder leads us to conclude that the trial court</w:t>
      </w:r>
      <w:r w:rsidR="00373168">
        <w:t xml:space="preserve"> erred in</w:t>
      </w:r>
      <w:r>
        <w:t xml:space="preserve"> ruling that the </w:t>
      </w:r>
      <w:r w:rsidR="00CC38DC">
        <w:t>special circumstance findings</w:t>
      </w:r>
      <w:r>
        <w:t xml:space="preserve"> </w:t>
      </w:r>
      <w:r w:rsidR="001926AB">
        <w:t xml:space="preserve">of intent to kill </w:t>
      </w:r>
      <w:r>
        <w:t xml:space="preserve">rendered </w:t>
      </w:r>
      <w:r w:rsidR="00B01002">
        <w:t>A</w:t>
      </w:r>
      <w:r>
        <w:t xml:space="preserve">ppellants ineligible for section 1172.6 relief as a matter of law.  </w:t>
      </w:r>
      <w:r w:rsidR="00EE5F27">
        <w:t>Here</w:t>
      </w:r>
      <w:r>
        <w:t xml:space="preserve">, the verdicts </w:t>
      </w:r>
      <w:r w:rsidRPr="00320729">
        <w:t>alone</w:t>
      </w:r>
      <w:r>
        <w:t xml:space="preserve"> do not conclusively establish that </w:t>
      </w:r>
      <w:r w:rsidR="00B01002">
        <w:t>A</w:t>
      </w:r>
      <w:r>
        <w:t xml:space="preserve">ppellants could be convicted of first </w:t>
      </w:r>
      <w:r w:rsidR="00EE5F27">
        <w:t xml:space="preserve">or even second </w:t>
      </w:r>
      <w:r>
        <w:t>degree murder under a valid murder theory such as</w:t>
      </w:r>
      <w:r w:rsidR="00EE5F27">
        <w:t xml:space="preserve"> aiding and abetting</w:t>
      </w:r>
      <w:r>
        <w:t xml:space="preserve"> </w:t>
      </w:r>
      <w:r w:rsidR="00EE5F27">
        <w:t xml:space="preserve">either </w:t>
      </w:r>
      <w:r>
        <w:t xml:space="preserve">premeditated murder or </w:t>
      </w:r>
      <w:r w:rsidR="00EE5F27">
        <w:t xml:space="preserve">malice </w:t>
      </w:r>
      <w:r>
        <w:t xml:space="preserve">murder.  </w:t>
      </w:r>
    </w:p>
    <w:p w:rsidR="00EB3881" w:rsidP="00F95B53" w14:paraId="20D85B7B" w14:textId="425FEF06">
      <w:pPr>
        <w:shd w:val="clear" w:color="auto" w:fill="FFFFFF"/>
        <w:spacing w:line="360" w:lineRule="auto"/>
      </w:pPr>
      <w:r>
        <w:rPr>
          <w:i/>
          <w:iCs/>
        </w:rPr>
        <w:tab/>
      </w:r>
      <w:r w:rsidR="00B205BE">
        <w:rPr>
          <w:i/>
          <w:iCs/>
        </w:rPr>
        <w:t>In re L</w:t>
      </w:r>
      <w:r w:rsidRPr="00601FEA" w:rsidR="005602A8">
        <w:rPr>
          <w:i/>
          <w:iCs/>
        </w:rPr>
        <w:t>opez</w:t>
      </w:r>
      <w:r w:rsidR="005602A8">
        <w:t xml:space="preserve">’s further holding that resort must be had to the evidence at trial to </w:t>
      </w:r>
      <w:r w:rsidR="00EE5F27">
        <w:t xml:space="preserve">resolve the </w:t>
      </w:r>
      <w:r w:rsidR="005602A8">
        <w:t xml:space="preserve">question also implicates the procedural error </w:t>
      </w:r>
      <w:r w:rsidR="00B01002">
        <w:t>A</w:t>
      </w:r>
      <w:r w:rsidR="005602A8">
        <w:t>ppellants claim the trial court committed.  At the prima facie stage of a</w:t>
      </w:r>
      <w:r w:rsidR="00510FA5">
        <w:t xml:space="preserve"> section</w:t>
      </w:r>
      <w:r w:rsidR="005602A8">
        <w:t xml:space="preserve"> 1172.6 proceeding, a trial </w:t>
      </w:r>
      <w:r w:rsidR="00B43AF1">
        <w:t xml:space="preserve">court </w:t>
      </w:r>
      <w:r w:rsidR="005602A8">
        <w:t>may not reject the petitioner’s allegations “</w:t>
      </w:r>
      <w:r w:rsidR="001F6918">
        <w:t> </w:t>
      </w:r>
      <w:r w:rsidR="005602A8">
        <w:t>‘on credibility grounds’ ” or engage in “ ‘factfinding involving the weighing of evidence or the exercise of discretion.’</w:t>
      </w:r>
      <w:r w:rsidR="001F6918">
        <w:t> </w:t>
      </w:r>
      <w:r w:rsidR="005602A8">
        <w:t>”  (</w:t>
      </w:r>
      <w:r w:rsidR="005602A8">
        <w:rPr>
          <w:i/>
          <w:iCs/>
        </w:rPr>
        <w:t xml:space="preserve">Lewis, supra, </w:t>
      </w:r>
      <w:r w:rsidR="00510FA5">
        <w:t>11 Cal.5</w:t>
      </w:r>
      <w:r w:rsidRPr="00510FA5" w:rsidR="00510FA5">
        <w:t xml:space="preserve">th </w:t>
      </w:r>
      <w:r w:rsidR="005602A8">
        <w:t>at pp.</w:t>
      </w:r>
      <w:r w:rsidR="001F6918">
        <w:t> </w:t>
      </w:r>
      <w:r w:rsidR="005602A8">
        <w:t xml:space="preserve">971-972.)  Thus, more is required for the trial court to conclude that the jury’s finding that </w:t>
      </w:r>
      <w:r w:rsidR="00B01002">
        <w:t>A</w:t>
      </w:r>
      <w:r w:rsidR="005602A8">
        <w:t xml:space="preserve">ppellants intended to kill shows they committed first degree murder.  The court must consider not only the instructions and the verdicts but also the evidence.  </w:t>
      </w:r>
      <w:r w:rsidR="00895CA7">
        <w:t xml:space="preserve">Unless </w:t>
      </w:r>
      <w:r w:rsidR="00763E02">
        <w:t>the undisputed</w:t>
      </w:r>
      <w:r w:rsidR="00895CA7">
        <w:t xml:space="preserve"> evidence at trial is conclusive on the issue, the trial court</w:t>
      </w:r>
      <w:r w:rsidR="005602A8">
        <w:t xml:space="preserve"> must conduct a hearing at which the prosecution will bear the burden of proof and new evidence may be presented by either side.  (</w:t>
      </w:r>
      <w:r w:rsidRPr="008C6589" w:rsidR="005602A8">
        <w:rPr>
          <w:i/>
          <w:iCs/>
        </w:rPr>
        <w:t>I</w:t>
      </w:r>
      <w:r w:rsidR="000E6E13">
        <w:rPr>
          <w:i/>
          <w:iCs/>
        </w:rPr>
        <w:t>bi</w:t>
      </w:r>
      <w:r w:rsidRPr="008C6589" w:rsidR="005602A8">
        <w:rPr>
          <w:i/>
          <w:iCs/>
        </w:rPr>
        <w:t>d</w:t>
      </w:r>
      <w:r w:rsidR="005602A8">
        <w:t>.; § 1172.6, subd. (d)(3).)</w:t>
      </w:r>
    </w:p>
    <w:p w:rsidR="005602A8" w:rsidP="00F95B53" w14:paraId="407AA237" w14:textId="5F049D77">
      <w:pPr>
        <w:shd w:val="clear" w:color="auto" w:fill="FFFFFF"/>
        <w:spacing w:line="360" w:lineRule="auto"/>
        <w:ind w:right="144" w:firstLine="720"/>
      </w:pPr>
      <w:r>
        <w:t xml:space="preserve">The trial court here appears to have ruled that, as a matter of law, the special circumstance findings of intent to kill precluded </w:t>
      </w:r>
      <w:r w:rsidR="007E7BB1">
        <w:t>A</w:t>
      </w:r>
      <w:r>
        <w:t>ppellants from eligibility for relief under section 1172.6.  Under</w:t>
      </w:r>
      <w:r w:rsidR="000C683A">
        <w:t xml:space="preserve"> </w:t>
      </w:r>
      <w:r w:rsidR="00B205BE">
        <w:rPr>
          <w:i/>
          <w:iCs/>
        </w:rPr>
        <w:t xml:space="preserve">In re </w:t>
      </w:r>
      <w:r w:rsidR="000E6E13">
        <w:rPr>
          <w:i/>
          <w:iCs/>
        </w:rPr>
        <w:t>L</w:t>
      </w:r>
      <w:r w:rsidRPr="00EB3881">
        <w:rPr>
          <w:i/>
          <w:iCs/>
        </w:rPr>
        <w:t>opez</w:t>
      </w:r>
      <w:r>
        <w:t xml:space="preserve">, however, more is required, namely, evidence establishing beyond a reasonable doubt that the </w:t>
      </w:r>
      <w:r w:rsidR="00F47CE8">
        <w:t xml:space="preserve">Appellants </w:t>
      </w:r>
      <w:r>
        <w:t xml:space="preserve">premeditated and deliberated in deciding to </w:t>
      </w:r>
      <w:r w:rsidRPr="00B01002" w:rsidR="00824BA4">
        <w:t>kill</w:t>
      </w:r>
      <w:r w:rsidR="00824BA4">
        <w:t xml:space="preserve"> </w:t>
      </w:r>
      <w:r>
        <w:t xml:space="preserve">a rival gang member or relative of such member whom they might come upon as they entered the rival gang’s territory, and evidence establishing, beyond a reasonable doubt, that the </w:t>
      </w:r>
      <w:r w:rsidR="00B01002">
        <w:t>A</w:t>
      </w:r>
      <w:r>
        <w:t xml:space="preserve">ppellants who did not shoot the victim aided and abetted the </w:t>
      </w:r>
      <w:r w:rsidR="00B01002">
        <w:t>A</w:t>
      </w:r>
      <w:r>
        <w:t>ppellant who did.  We do not mean to suggest that such evidence is</w:t>
      </w:r>
      <w:r w:rsidR="006E7D7A">
        <w:t xml:space="preserve"> necessarily</w:t>
      </w:r>
      <w:r>
        <w:t xml:space="preserve"> lacking.  However, for the trial court to assess whether the weight of the evidence supporting the elements of aiding and abetting first degree murder is so strong as to support a conclusion that </w:t>
      </w:r>
      <w:r w:rsidR="00B01002">
        <w:t>A</w:t>
      </w:r>
      <w:r>
        <w:t xml:space="preserve">ppellants are guilty of first degree murder beyond a reasonable doubt, </w:t>
      </w:r>
      <w:r w:rsidR="0083182C">
        <w:t>the statute requires it</w:t>
      </w:r>
      <w:r>
        <w:t xml:space="preserve"> </w:t>
      </w:r>
      <w:r w:rsidR="0083182C">
        <w:t>to</w:t>
      </w:r>
      <w:r>
        <w:t xml:space="preserve"> </w:t>
      </w:r>
      <w:r w:rsidR="0083182C">
        <w:t>issue an order to show cause and conduct</w:t>
      </w:r>
      <w:r>
        <w:t xml:space="preserve"> an evidentiary hearing and allow either party to present </w:t>
      </w:r>
      <w:r w:rsidR="0083182C">
        <w:t>additional evidence.  (§</w:t>
      </w:r>
      <w:r w:rsidR="0022012E">
        <w:t> </w:t>
      </w:r>
      <w:r w:rsidR="0083182C">
        <w:t>1172.6, subd</w:t>
      </w:r>
      <w:r w:rsidR="000E6E13">
        <w:t>s</w:t>
      </w:r>
      <w:r w:rsidR="0083182C">
        <w:t xml:space="preserve">. </w:t>
      </w:r>
      <w:r w:rsidR="000E6E13">
        <w:t xml:space="preserve">(c), </w:t>
      </w:r>
      <w:r w:rsidR="0083182C">
        <w:t>(d)(3).)</w:t>
      </w:r>
    </w:p>
    <w:p w:rsidR="00156940" w:rsidRPr="00FE5474" w:rsidP="00F95B53" w14:paraId="1D9843A3" w14:textId="38CB7114">
      <w:pPr>
        <w:shd w:val="clear" w:color="auto" w:fill="FFFFFF"/>
        <w:spacing w:line="360" w:lineRule="auto"/>
        <w:ind w:right="144" w:firstLine="720"/>
      </w:pPr>
      <w:r w:rsidRPr="00FE5474">
        <w:t xml:space="preserve">In </w:t>
      </w:r>
      <w:r w:rsidRPr="00FE5474" w:rsidR="00D14096">
        <w:t>a</w:t>
      </w:r>
      <w:r w:rsidRPr="00FE5474">
        <w:t xml:space="preserve"> petition for rehearing</w:t>
      </w:r>
      <w:r w:rsidRPr="00FE5474" w:rsidR="00EE5F27">
        <w:t xml:space="preserve"> filed after we </w:t>
      </w:r>
      <w:r w:rsidR="00D258D9">
        <w:t xml:space="preserve">initially </w:t>
      </w:r>
      <w:r w:rsidRPr="00FE5474" w:rsidR="00EE5F27">
        <w:t>issued our opinion in these appeals</w:t>
      </w:r>
      <w:r w:rsidRPr="00FE5474">
        <w:t xml:space="preserve">, the </w:t>
      </w:r>
      <w:r w:rsidRPr="00FE5474" w:rsidR="00D749B3">
        <w:t>People</w:t>
      </w:r>
      <w:r w:rsidRPr="00FE5474">
        <w:t xml:space="preserve"> argued our reliance on</w:t>
      </w:r>
      <w:r w:rsidRPr="00FE5474" w:rsidR="00EE5F27">
        <w:t xml:space="preserve"> </w:t>
      </w:r>
      <w:r w:rsidRPr="00FE5474" w:rsidR="00B205BE">
        <w:rPr>
          <w:i/>
          <w:iCs/>
        </w:rPr>
        <w:t>In re L</w:t>
      </w:r>
      <w:r w:rsidRPr="00FE5474">
        <w:rPr>
          <w:i/>
          <w:iCs/>
        </w:rPr>
        <w:t>opez</w:t>
      </w:r>
      <w:r w:rsidRPr="00FE5474">
        <w:t xml:space="preserve"> was misplaced </w:t>
      </w:r>
      <w:r w:rsidRPr="00FE5474" w:rsidR="005D044B">
        <w:t>because</w:t>
      </w:r>
      <w:r w:rsidRPr="00FE5474" w:rsidR="003233DF">
        <w:t xml:space="preserve">, unlike </w:t>
      </w:r>
      <w:r w:rsidRPr="00FE5474" w:rsidR="00EE5F27">
        <w:t xml:space="preserve">the </w:t>
      </w:r>
      <w:r w:rsidRPr="00FE5474" w:rsidR="003233DF">
        <w:t>habeas proceeding</w:t>
      </w:r>
      <w:r w:rsidRPr="00FE5474" w:rsidR="00EE5F27">
        <w:t xml:space="preserve"> in that case,</w:t>
      </w:r>
      <w:r w:rsidRPr="00FE5474" w:rsidR="003233DF">
        <w:t xml:space="preserve"> this appeal is from a petition for resentencing under section</w:t>
      </w:r>
      <w:r w:rsidRPr="00FE5474" w:rsidR="00D749B3">
        <w:t> </w:t>
      </w:r>
      <w:r w:rsidRPr="00FE5474" w:rsidR="003233DF">
        <w:t>1172.6</w:t>
      </w:r>
      <w:r w:rsidRPr="00FE5474" w:rsidR="00EE5F27">
        <w:t>.  I</w:t>
      </w:r>
      <w:r w:rsidRPr="00FE5474" w:rsidR="003233DF">
        <w:t>n the latter context</w:t>
      </w:r>
      <w:r w:rsidRPr="00FE5474" w:rsidR="00EE5F27">
        <w:t xml:space="preserve">, the </w:t>
      </w:r>
      <w:r w:rsidRPr="00FE5474" w:rsidR="00D749B3">
        <w:t>People</w:t>
      </w:r>
      <w:r w:rsidRPr="00FE5474" w:rsidR="00EE5F27">
        <w:t xml:space="preserve"> argued,</w:t>
      </w:r>
      <w:r w:rsidRPr="00FE5474" w:rsidR="004910AA">
        <w:t xml:space="preserve"> the “state of the record </w:t>
      </w:r>
      <w:r w:rsidRPr="00FE5474" w:rsidR="00D749B3">
        <w:t>as to</w:t>
      </w:r>
      <w:r w:rsidRPr="00FE5474">
        <w:t xml:space="preserve"> premedi</w:t>
      </w:r>
      <w:r w:rsidRPr="00FE5474" w:rsidR="009938BE">
        <w:t>t</w:t>
      </w:r>
      <w:r w:rsidRPr="00FE5474">
        <w:t>ation and deliberation,</w:t>
      </w:r>
      <w:r w:rsidRPr="00FE5474" w:rsidR="004910AA">
        <w:t>” is, in essence, irrelevant</w:t>
      </w:r>
      <w:r w:rsidRPr="00FE5474" w:rsidR="005D044B">
        <w:t xml:space="preserve">.  </w:t>
      </w:r>
      <w:r w:rsidRPr="00FE5474" w:rsidR="00434F11">
        <w:t xml:space="preserve">The </w:t>
      </w:r>
      <w:r w:rsidRPr="00FE5474" w:rsidR="00D749B3">
        <w:t>People</w:t>
      </w:r>
      <w:r w:rsidRPr="00FE5474" w:rsidR="00434F11">
        <w:t xml:space="preserve">’s argument is somewhat difficult to follow but seems to </w:t>
      </w:r>
      <w:r w:rsidRPr="00FE5474">
        <w:t>be based</w:t>
      </w:r>
      <w:r w:rsidRPr="00FE5474" w:rsidR="00993D95">
        <w:t xml:space="preserve"> on </w:t>
      </w:r>
      <w:r w:rsidRPr="00FE5474" w:rsidR="00EE5F27">
        <w:t>two</w:t>
      </w:r>
      <w:r w:rsidRPr="00FE5474" w:rsidR="00993D95">
        <w:t xml:space="preserve"> </w:t>
      </w:r>
      <w:r w:rsidRPr="00FE5474">
        <w:t>p</w:t>
      </w:r>
      <w:r w:rsidRPr="00FE5474" w:rsidR="00EE5F27">
        <w:t>ro</w:t>
      </w:r>
      <w:r w:rsidRPr="00FE5474">
        <w:t>position</w:t>
      </w:r>
      <w:r w:rsidRPr="00FE5474" w:rsidR="00EE5F27">
        <w:t>s</w:t>
      </w:r>
      <w:r w:rsidRPr="00FE5474" w:rsidR="003233DF">
        <w:t>,</w:t>
      </w:r>
      <w:r w:rsidRPr="00FE5474" w:rsidR="00434F11">
        <w:t xml:space="preserve"> </w:t>
      </w:r>
      <w:r w:rsidRPr="00FE5474" w:rsidR="003233DF">
        <w:t xml:space="preserve">first, </w:t>
      </w:r>
      <w:r w:rsidRPr="00FE5474" w:rsidR="00434F11">
        <w:t>that section 1172.6 addresses only the malice aspect of murder</w:t>
      </w:r>
      <w:r w:rsidRPr="00FE5474" w:rsidR="003233DF">
        <w:t>,</w:t>
      </w:r>
      <w:r w:rsidRPr="00FE5474" w:rsidR="00434F11">
        <w:t xml:space="preserve"> and </w:t>
      </w:r>
      <w:r w:rsidRPr="00FE5474" w:rsidR="003233DF">
        <w:t xml:space="preserve">second, </w:t>
      </w:r>
      <w:r w:rsidRPr="00FE5474">
        <w:t xml:space="preserve">that </w:t>
      </w:r>
      <w:r w:rsidRPr="00FE5474" w:rsidR="00434F11">
        <w:t xml:space="preserve">so long as the record establishes some form of malice that is a legally permissible </w:t>
      </w:r>
      <w:r w:rsidRPr="00FE5474" w:rsidR="00EE5F27">
        <w:t>mens rea</w:t>
      </w:r>
      <w:r w:rsidRPr="00FE5474" w:rsidR="00434F11">
        <w:t xml:space="preserve"> for murder under current law, that is the end of the inquiry.  </w:t>
      </w:r>
      <w:r w:rsidRPr="00FE5474" w:rsidR="003233DF">
        <w:t xml:space="preserve">In the </w:t>
      </w:r>
      <w:r w:rsidRPr="00FE5474" w:rsidR="00D749B3">
        <w:t>People</w:t>
      </w:r>
      <w:r w:rsidRPr="00FE5474" w:rsidR="003233DF">
        <w:t>’s view, we need not determine</w:t>
      </w:r>
      <w:r w:rsidRPr="00FE5474" w:rsidR="00993D95">
        <w:t xml:space="preserve"> whether </w:t>
      </w:r>
      <w:r w:rsidRPr="00FE5474" w:rsidR="003233DF">
        <w:t>th</w:t>
      </w:r>
      <w:r w:rsidRPr="00FE5474" w:rsidR="00347C96">
        <w:t>e</w:t>
      </w:r>
      <w:r w:rsidRPr="00FE5474" w:rsidR="003233DF">
        <w:t xml:space="preserve"> finding of</w:t>
      </w:r>
      <w:r w:rsidRPr="00FE5474" w:rsidR="00993D95">
        <w:t xml:space="preserve"> malice is coupled with </w:t>
      </w:r>
      <w:r w:rsidRPr="00FE5474" w:rsidR="003233DF">
        <w:t xml:space="preserve">findings of the </w:t>
      </w:r>
      <w:r w:rsidRPr="00FE5474" w:rsidR="00993D95">
        <w:t xml:space="preserve">other elements </w:t>
      </w:r>
      <w:r w:rsidRPr="00FE5474" w:rsidR="003233DF">
        <w:t>of murder under</w:t>
      </w:r>
      <w:r w:rsidRPr="00FE5474" w:rsidR="00993D95">
        <w:t xml:space="preserve"> a currently valid murder theory.  </w:t>
      </w:r>
    </w:p>
    <w:p w:rsidR="00434F11" w:rsidRPr="00FE5474" w:rsidP="00F95B53" w14:paraId="2AC3E24F" w14:textId="75392508">
      <w:pPr>
        <w:shd w:val="clear" w:color="auto" w:fill="FFFFFF"/>
        <w:spacing w:line="360" w:lineRule="auto"/>
        <w:ind w:right="144" w:firstLine="720"/>
      </w:pPr>
      <w:r w:rsidRPr="00FE5474">
        <w:t>A</w:t>
      </w:r>
      <w:r w:rsidRPr="00FE5474" w:rsidR="00655F15">
        <w:t xml:space="preserve">fter the </w:t>
      </w:r>
      <w:r w:rsidRPr="00FE5474" w:rsidR="00D749B3">
        <w:t>People</w:t>
      </w:r>
      <w:r w:rsidRPr="00FE5474" w:rsidR="00655F15">
        <w:t xml:space="preserve"> filed </w:t>
      </w:r>
      <w:r w:rsidRPr="00FE5474" w:rsidR="00D749B3">
        <w:t>their</w:t>
      </w:r>
      <w:r w:rsidRPr="00FE5474" w:rsidR="00655F15">
        <w:t xml:space="preserve"> petition for rehearing, </w:t>
      </w:r>
      <w:r w:rsidRPr="00FE5474" w:rsidR="00993D95">
        <w:t xml:space="preserve">our Supreme Court recently rejected </w:t>
      </w:r>
      <w:r w:rsidRPr="00FE5474">
        <w:t>these arguments</w:t>
      </w:r>
      <w:r w:rsidRPr="00FE5474" w:rsidR="00993D95">
        <w:t xml:space="preserve"> in </w:t>
      </w:r>
      <w:r w:rsidRPr="00FE5474" w:rsidR="00993D95">
        <w:rPr>
          <w:i/>
          <w:iCs/>
        </w:rPr>
        <w:t>Curiel</w:t>
      </w:r>
      <w:r w:rsidRPr="00FE5474" w:rsidR="00993D95">
        <w:t>.  As the court there explained, the</w:t>
      </w:r>
      <w:r w:rsidRPr="00FE5474" w:rsidR="003233DF">
        <w:t xml:space="preserve"> effect of the</w:t>
      </w:r>
      <w:r w:rsidRPr="00FE5474" w:rsidR="00993D95">
        <w:t xml:space="preserve"> change to section 188 </w:t>
      </w:r>
      <w:r w:rsidRPr="00FE5474" w:rsidR="00CF23B5">
        <w:t xml:space="preserve">was not “simply [to] ‘add the element of malice aforethought’ to existing theories of </w:t>
      </w:r>
      <w:r w:rsidRPr="00FE5474" w:rsidR="000C683A">
        <w:t xml:space="preserve">murder </w:t>
      </w:r>
      <w:r w:rsidRPr="00FE5474" w:rsidR="00CF23B5">
        <w:t xml:space="preserve">liability.  [Citation.]  It eliminated the </w:t>
      </w:r>
      <w:r w:rsidRPr="00FE5474" w:rsidR="00347C96">
        <w:t xml:space="preserve">doctrine of </w:t>
      </w:r>
      <w:r w:rsidRPr="00FE5474" w:rsidR="00CF23B5">
        <w:t>natural and probable consequences in its entirety</w:t>
      </w:r>
      <w:r w:rsidRPr="00E4197E" w:rsidR="00347C96">
        <w:t>. . . </w:t>
      </w:r>
      <w:r w:rsidRPr="00FE5474" w:rsidR="00CF23B5">
        <w:t>.”  (</w:t>
      </w:r>
      <w:r w:rsidRPr="00DF4E40" w:rsidR="00347C96">
        <w:rPr>
          <w:i/>
          <w:iCs/>
        </w:rPr>
        <w:t xml:space="preserve">Curiel, supra, </w:t>
      </w:r>
      <w:r w:rsidRPr="00DF4E40" w:rsidR="00543F24">
        <w:rPr>
          <w:i/>
          <w:iCs/>
        </w:rPr>
        <w:t>__</w:t>
      </w:r>
      <w:r w:rsidRPr="00DF4E40" w:rsidR="00537780">
        <w:rPr>
          <w:i/>
          <w:iCs/>
        </w:rPr>
        <w:t xml:space="preserve"> </w:t>
      </w:r>
      <w:r w:rsidRPr="00DF4E40" w:rsidR="00347C96">
        <w:t>Cal.5th</w:t>
      </w:r>
      <w:r w:rsidRPr="00DF4E40" w:rsidR="00537780">
        <w:t xml:space="preserve"> </w:t>
      </w:r>
      <w:r w:rsidRPr="00543F24" w:rsidR="00543F24">
        <w:t>__</w:t>
      </w:r>
      <w:r w:rsidRPr="00FE5474" w:rsidR="00347C96">
        <w:t xml:space="preserve"> [2023 WL 8178140, at p.</w:t>
      </w:r>
      <w:r w:rsidR="00DF4E40">
        <w:t> </w:t>
      </w:r>
      <w:r w:rsidRPr="00FE5474" w:rsidR="00347C96">
        <w:t>*15</w:t>
      </w:r>
      <w:r w:rsidR="00BD5F01">
        <w:t>]</w:t>
      </w:r>
      <w:r w:rsidRPr="00FE5474" w:rsidR="00347C96">
        <w:t>.</w:t>
      </w:r>
      <w:r w:rsidRPr="00FE5474" w:rsidR="00CF23B5">
        <w:t>)  “Thus, after the enactment of Senate Bill 1437, a defendant cannot be convicted of murder based on the doctrine of natural and pro</w:t>
      </w:r>
      <w:r w:rsidRPr="00FE5474" w:rsidR="003233DF">
        <w:t>b</w:t>
      </w:r>
      <w:r w:rsidRPr="00FE5474" w:rsidR="00CF23B5">
        <w:t xml:space="preserve">able consequences, even with a showing of malice aforethought. </w:t>
      </w:r>
      <w:r w:rsidRPr="00FE5474" w:rsidR="003233DF">
        <w:t>. . .</w:t>
      </w:r>
      <w:r w:rsidRPr="00FE5474" w:rsidR="00CF23B5">
        <w:t xml:space="preserve">  Murder liability requires a different, valid theory, such as direct aiding and abetting.</w:t>
      </w:r>
      <w:r w:rsidRPr="00FE5474" w:rsidR="00B46ACA">
        <w:t>”</w:t>
      </w:r>
      <w:r w:rsidRPr="00FE5474" w:rsidR="00D14096">
        <w:t xml:space="preserve">  </w:t>
      </w:r>
      <w:r w:rsidRPr="00FE5474" w:rsidR="00B46ACA">
        <w:t>(</w:t>
      </w:r>
      <w:r w:rsidRPr="00FE5474" w:rsidR="00B46ACA">
        <w:rPr>
          <w:i/>
          <w:iCs/>
        </w:rPr>
        <w:t>I</w:t>
      </w:r>
      <w:r w:rsidRPr="00FE5474" w:rsidR="00A93713">
        <w:rPr>
          <w:i/>
          <w:iCs/>
        </w:rPr>
        <w:t>bid</w:t>
      </w:r>
      <w:r w:rsidRPr="00FE5474" w:rsidR="00B46ACA">
        <w:t xml:space="preserve">.) </w:t>
      </w:r>
      <w:r w:rsidR="001A6652">
        <w:t xml:space="preserve"> </w:t>
      </w:r>
      <w:r w:rsidRPr="00FE5474" w:rsidR="003E585C">
        <w:t xml:space="preserve">As the Court went on to explain in </w:t>
      </w:r>
      <w:r w:rsidRPr="00FE5474" w:rsidR="003E585C">
        <w:rPr>
          <w:i/>
          <w:iCs/>
        </w:rPr>
        <w:t>Curiel</w:t>
      </w:r>
      <w:r w:rsidRPr="00FE5474" w:rsidR="003E585C">
        <w:t>, “[a]t the prima facie stage, a court must accept as true a petitioner’s allegation that he or she could not currently be convicted of a homicide offense because of changes to Section 188 or 189 made effective January 1, 2019, unless</w:t>
      </w:r>
      <w:r w:rsidRPr="00FE5474" w:rsidR="00156940">
        <w:t xml:space="preserve"> </w:t>
      </w:r>
      <w:r w:rsidRPr="00FE5474" w:rsidR="003E585C">
        <w:t xml:space="preserve">the allegation is refuted by the record.  </w:t>
      </w:r>
      <w:r w:rsidRPr="00FE5474" w:rsidR="00CD77D5">
        <w:t xml:space="preserve">[Citation.]  </w:t>
      </w:r>
      <w:r w:rsidRPr="00FE5474" w:rsidR="003E585C">
        <w:t>And this allegation is not refuted by the record unless the record conclusively establishes every</w:t>
      </w:r>
      <w:r w:rsidRPr="00C942A9" w:rsidR="003E585C">
        <w:rPr>
          <w:b/>
          <w:bCs/>
        </w:rPr>
        <w:t xml:space="preserve"> </w:t>
      </w:r>
      <w:r w:rsidRPr="00FE5474" w:rsidR="003E585C">
        <w:t xml:space="preserve">element of the offense.  If only </w:t>
      </w:r>
      <w:r w:rsidRPr="00FE5474" w:rsidR="003E585C">
        <w:rPr>
          <w:i/>
          <w:iCs/>
        </w:rPr>
        <w:t>one</w:t>
      </w:r>
      <w:r w:rsidRPr="00FE5474" w:rsidR="003E585C">
        <w:t xml:space="preserve"> element </w:t>
      </w:r>
      <w:r w:rsidRPr="00FE5474" w:rsidR="00CD77D5">
        <w:t xml:space="preserve">of the offense is </w:t>
      </w:r>
      <w:r w:rsidRPr="00FE5474" w:rsidR="003E585C">
        <w:t>established</w:t>
      </w:r>
      <w:r w:rsidRPr="00FE5474" w:rsidR="00CD77D5">
        <w:t xml:space="preserve"> by the record</w:t>
      </w:r>
      <w:r w:rsidRPr="00FE5474" w:rsidR="003E585C">
        <w:t xml:space="preserve">, the petitioner could still be correct that he or she could not currently be convicted of the relevant offense based on the absence of </w:t>
      </w:r>
      <w:r w:rsidRPr="00FE5474" w:rsidR="003E585C">
        <w:rPr>
          <w:i/>
          <w:iCs/>
        </w:rPr>
        <w:t>other</w:t>
      </w:r>
      <w:r w:rsidRPr="00FE5474" w:rsidR="003E585C">
        <w:t xml:space="preserve"> elements.”  (</w:t>
      </w:r>
      <w:r w:rsidRPr="00FE5474" w:rsidR="003E585C">
        <w:rPr>
          <w:i/>
          <w:iCs/>
        </w:rPr>
        <w:t>I</w:t>
      </w:r>
      <w:r w:rsidRPr="00FE5474" w:rsidR="00CD77D5">
        <w:rPr>
          <w:i/>
          <w:iCs/>
        </w:rPr>
        <w:t>bid</w:t>
      </w:r>
      <w:r w:rsidRPr="00FE5474" w:rsidR="003E585C">
        <w:t>.)</w:t>
      </w:r>
      <w:r w:rsidRPr="00FE5474" w:rsidR="000C683A">
        <w:t xml:space="preserve"> </w:t>
      </w:r>
      <w:r w:rsidRPr="00FE5474" w:rsidR="003E585C">
        <w:t xml:space="preserve"> “This general principle applies to a finding of intent to kill.  It is only one element.  It does not by itself establish any valid theory of liability.</w:t>
      </w:r>
      <w:r w:rsidRPr="00FE5474" w:rsidR="00655F15">
        <w:t>”</w:t>
      </w:r>
      <w:r w:rsidRPr="00FE5474" w:rsidR="003E585C">
        <w:t xml:space="preserve">  (</w:t>
      </w:r>
      <w:r w:rsidRPr="00FE5474" w:rsidR="00655F15">
        <w:rPr>
          <w:i/>
          <w:iCs/>
        </w:rPr>
        <w:t>I</w:t>
      </w:r>
      <w:r w:rsidRPr="00FE5474" w:rsidR="000C683A">
        <w:rPr>
          <w:i/>
          <w:iCs/>
        </w:rPr>
        <w:t>bi</w:t>
      </w:r>
      <w:r w:rsidRPr="00FE5474" w:rsidR="00655F15">
        <w:rPr>
          <w:i/>
          <w:iCs/>
        </w:rPr>
        <w:t>d</w:t>
      </w:r>
      <w:r w:rsidRPr="00FE5474" w:rsidR="00655F15">
        <w:t>., citing</w:t>
      </w:r>
      <w:r w:rsidRPr="00FE5474" w:rsidR="003E585C">
        <w:rPr>
          <w:i/>
          <w:iCs/>
        </w:rPr>
        <w:t xml:space="preserve"> </w:t>
      </w:r>
      <w:r w:rsidRPr="00FE5474" w:rsidR="00B205BE">
        <w:rPr>
          <w:i/>
          <w:iCs/>
        </w:rPr>
        <w:t xml:space="preserve">In re </w:t>
      </w:r>
      <w:r w:rsidRPr="00FE5474" w:rsidR="003E585C">
        <w:rPr>
          <w:i/>
          <w:iCs/>
        </w:rPr>
        <w:t>Lopez</w:t>
      </w:r>
      <w:r w:rsidRPr="00FE5474" w:rsidR="00655F15">
        <w:t xml:space="preserve">, </w:t>
      </w:r>
      <w:r w:rsidRPr="00FE5474" w:rsidR="00655F15">
        <w:rPr>
          <w:i/>
          <w:iCs/>
        </w:rPr>
        <w:t>supra</w:t>
      </w:r>
      <w:r w:rsidRPr="00FE5474" w:rsidR="00655F15">
        <w:t xml:space="preserve">, </w:t>
      </w:r>
      <w:r w:rsidRPr="00FE5474" w:rsidR="000C683A">
        <w:t xml:space="preserve">14 Cal.5th </w:t>
      </w:r>
      <w:r w:rsidRPr="00FE5474" w:rsidR="00655F15">
        <w:t>at p.</w:t>
      </w:r>
      <w:r w:rsidR="00CC1241">
        <w:t> </w:t>
      </w:r>
      <w:r w:rsidRPr="00FE5474" w:rsidR="003E585C">
        <w:t>587.)</w:t>
      </w:r>
      <w:r w:rsidRPr="00FE5474" w:rsidR="00B46ACA">
        <w:t xml:space="preserve"> </w:t>
      </w:r>
    </w:p>
    <w:p w:rsidR="00FB3F45" w:rsidRPr="00FE5474" w:rsidP="00F95B53" w14:paraId="4520257A" w14:textId="1BDFD53B">
      <w:pPr>
        <w:shd w:val="clear" w:color="auto" w:fill="FFFFFF"/>
        <w:spacing w:line="360" w:lineRule="auto"/>
        <w:ind w:right="144" w:firstLine="720"/>
      </w:pPr>
      <w:r w:rsidRPr="00FE5474">
        <w:t>The court went on to consider</w:t>
      </w:r>
      <w:r w:rsidRPr="00FE5474" w:rsidR="00B46ACA">
        <w:t xml:space="preserve"> and reject</w:t>
      </w:r>
      <w:r w:rsidRPr="00FE5474">
        <w:t xml:space="preserve"> </w:t>
      </w:r>
      <w:r w:rsidRPr="00FE5474" w:rsidR="00C43C2F">
        <w:t xml:space="preserve">the </w:t>
      </w:r>
      <w:r w:rsidRPr="00FE5474" w:rsidR="009C55F9">
        <w:t>People</w:t>
      </w:r>
      <w:r w:rsidRPr="00FE5474" w:rsidR="00C43C2F">
        <w:t>’s</w:t>
      </w:r>
      <w:r w:rsidRPr="00FE5474">
        <w:t xml:space="preserve"> </w:t>
      </w:r>
      <w:r w:rsidRPr="00FE5474" w:rsidR="00655F15">
        <w:t>further</w:t>
      </w:r>
      <w:r w:rsidRPr="00FE5474" w:rsidR="00C43C2F">
        <w:t xml:space="preserve"> </w:t>
      </w:r>
      <w:r w:rsidRPr="00FE5474">
        <w:t>argument</w:t>
      </w:r>
      <w:r w:rsidRPr="00FE5474" w:rsidR="00B46ACA">
        <w:t xml:space="preserve"> in </w:t>
      </w:r>
      <w:r w:rsidRPr="00FE5474" w:rsidR="00B46ACA">
        <w:rPr>
          <w:i/>
          <w:iCs/>
        </w:rPr>
        <w:t>Curiel</w:t>
      </w:r>
      <w:r w:rsidRPr="00FE5474" w:rsidR="00C43C2F">
        <w:t xml:space="preserve"> </w:t>
      </w:r>
      <w:r w:rsidRPr="00FE5474">
        <w:t>that the findings required to establish murder under the natural and probable consequences theory, combined with the jury’s finding of intent to kill, covered all the elements of murder under the theory of direct aiding and abetting.  (</w:t>
      </w:r>
      <w:r w:rsidRPr="00FE5474" w:rsidR="00C43C2F">
        <w:rPr>
          <w:i/>
          <w:iCs/>
        </w:rPr>
        <w:t>Curiel</w:t>
      </w:r>
      <w:r w:rsidRPr="00FE5474" w:rsidR="00C43C2F">
        <w:t xml:space="preserve">, </w:t>
      </w:r>
      <w:r w:rsidRPr="00FE5474" w:rsidR="00C43C2F">
        <w:rPr>
          <w:i/>
          <w:iCs/>
        </w:rPr>
        <w:t>supra</w:t>
      </w:r>
      <w:r w:rsidRPr="00FE5474" w:rsidR="00C43C2F">
        <w:t xml:space="preserve">, </w:t>
      </w:r>
      <w:r w:rsidRPr="00FE5474" w:rsidR="00B205BE">
        <w:t>__ Cal.5th __ [2023 WL 8178140, at p. *16</w:t>
      </w:r>
      <w:r w:rsidRPr="00FE5474">
        <w:t xml:space="preserve">].)  </w:t>
      </w:r>
      <w:r w:rsidRPr="00FE5474" w:rsidR="00655F15">
        <w:t xml:space="preserve">Finding </w:t>
      </w:r>
      <w:r w:rsidRPr="00FE5474">
        <w:t>the argument “analogous</w:t>
      </w:r>
      <w:r w:rsidRPr="00FE5474" w:rsidR="00655F15">
        <w:t>”</w:t>
      </w:r>
      <w:r w:rsidRPr="00FE5474">
        <w:t xml:space="preserve"> to the </w:t>
      </w:r>
      <w:r w:rsidRPr="00FE5474" w:rsidR="00B205BE">
        <w:t>“</w:t>
      </w:r>
      <w:r w:rsidRPr="00FE5474">
        <w:t xml:space="preserve">one </w:t>
      </w:r>
      <w:r w:rsidRPr="00FE5474" w:rsidR="00B46ACA">
        <w:t>[it</w:t>
      </w:r>
      <w:r w:rsidRPr="00FE5474" w:rsidR="00655F15">
        <w:t xml:space="preserve"> had</w:t>
      </w:r>
      <w:r w:rsidRPr="00FE5474" w:rsidR="00B46ACA">
        <w:t>]</w:t>
      </w:r>
      <w:r w:rsidRPr="00FE5474">
        <w:t xml:space="preserve"> considered recently in </w:t>
      </w:r>
      <w:r w:rsidRPr="00FE5474" w:rsidR="00C43C2F">
        <w:t>[</w:t>
      </w:r>
      <w:r w:rsidRPr="00FE5474" w:rsidR="00B205BE">
        <w:rPr>
          <w:i/>
          <w:iCs/>
        </w:rPr>
        <w:t xml:space="preserve">In re </w:t>
      </w:r>
      <w:r w:rsidRPr="00FE5474">
        <w:rPr>
          <w:i/>
          <w:iCs/>
        </w:rPr>
        <w:t>Lopez</w:t>
      </w:r>
      <w:r w:rsidRPr="00FE5474" w:rsidR="00C43C2F">
        <w:t>]</w:t>
      </w:r>
      <w:r w:rsidR="003D0D9A">
        <w:t>,</w:t>
      </w:r>
      <w:r w:rsidRPr="00FE5474" w:rsidR="00C43C2F">
        <w:t xml:space="preserve">” </w:t>
      </w:r>
      <w:r w:rsidRPr="00FE5474" w:rsidR="00655F15">
        <w:t>t</w:t>
      </w:r>
      <w:r w:rsidRPr="00FE5474" w:rsidR="00C43C2F">
        <w:t xml:space="preserve">he </w:t>
      </w:r>
      <w:r w:rsidRPr="00FE5474" w:rsidR="00655F15">
        <w:t>c</w:t>
      </w:r>
      <w:r w:rsidRPr="00FE5474" w:rsidR="00C43C2F">
        <w:t xml:space="preserve">ourt held the jury’s findings under the natural and probable consequences doctrine, combined with intent to kill, failed to establish all of the elements of </w:t>
      </w:r>
      <w:r w:rsidRPr="00FE5474" w:rsidR="00655F15">
        <w:t xml:space="preserve">malice </w:t>
      </w:r>
      <w:r w:rsidRPr="00FE5474" w:rsidR="00C43C2F">
        <w:t>murder under the theory of direct aiding and abetting</w:t>
      </w:r>
      <w:r w:rsidRPr="00FE5474" w:rsidR="00655F15">
        <w:t>.</w:t>
      </w:r>
      <w:r w:rsidRPr="00FE5474" w:rsidR="00C43C2F">
        <w:t xml:space="preserve"> </w:t>
      </w:r>
      <w:r w:rsidRPr="00FE5474" w:rsidR="00655F15">
        <w:t xml:space="preserve"> </w:t>
      </w:r>
      <w:r w:rsidR="003D0D9A">
        <w:t>(</w:t>
      </w:r>
      <w:r w:rsidRPr="00FE5474" w:rsidR="003D0D9A">
        <w:rPr>
          <w:i/>
          <w:iCs/>
        </w:rPr>
        <w:t>Ibid.</w:t>
      </w:r>
      <w:r w:rsidRPr="003D0D9A" w:rsidR="003D0D9A">
        <w:t>)</w:t>
      </w:r>
    </w:p>
    <w:p w:rsidR="00125505" w:rsidRPr="00FE5474" w:rsidP="0039039D" w14:paraId="456AB519" w14:textId="44890716">
      <w:pPr>
        <w:shd w:val="clear" w:color="auto" w:fill="FFFFFF"/>
        <w:spacing w:line="360" w:lineRule="auto"/>
        <w:ind w:right="144" w:firstLine="720"/>
      </w:pPr>
      <w:r w:rsidRPr="00FE5474">
        <w:t>The latter</w:t>
      </w:r>
      <w:r w:rsidRPr="00FE5474" w:rsidR="00655F15">
        <w:t xml:space="preserve"> theory </w:t>
      </w:r>
      <w:r w:rsidRPr="00FE5474" w:rsidR="00C43C2F">
        <w:t>requires the prosecutor to show “</w:t>
      </w:r>
      <w:r w:rsidR="003211BA">
        <w:t> </w:t>
      </w:r>
      <w:r w:rsidRPr="00FE5474" w:rsidR="00811E77">
        <w:t>‘</w:t>
      </w:r>
      <w:r w:rsidRPr="00FE5474" w:rsidR="00C43C2F">
        <w:t>that the defendant aided or encouraged the commission of the murder with knowledge of the unlawful purpose of the perpetrator and with the intent or purpose of committing, encouraging</w:t>
      </w:r>
      <w:r w:rsidRPr="00FE5474" w:rsidR="00E57D68">
        <w:t>,</w:t>
      </w:r>
      <w:r w:rsidRPr="00FE5474" w:rsidR="00C43C2F">
        <w:t xml:space="preserve"> or facilitating its commission.</w:t>
      </w:r>
      <w:r w:rsidRPr="00FE5474" w:rsidR="00811E77">
        <w:t xml:space="preserve">’ </w:t>
      </w:r>
      <w:r w:rsidRPr="00FE5474" w:rsidR="00C43C2F">
        <w:t>”  (</w:t>
      </w:r>
      <w:r w:rsidRPr="00FE5474" w:rsidR="00811E77">
        <w:rPr>
          <w:i/>
          <w:iCs/>
        </w:rPr>
        <w:t xml:space="preserve">Curiel, supra, __ </w:t>
      </w:r>
      <w:r w:rsidRPr="00FE5474" w:rsidR="00811E77">
        <w:t>Cal.5th __ [2023 WL 8178140, at p. *18]</w:t>
      </w:r>
      <w:r w:rsidRPr="00FE5474" w:rsidR="00C43C2F">
        <w:t xml:space="preserve">.)  </w:t>
      </w:r>
      <w:r w:rsidRPr="00FE5474">
        <w:t xml:space="preserve">The </w:t>
      </w:r>
      <w:r w:rsidR="00D427E9">
        <w:t>c</w:t>
      </w:r>
      <w:r w:rsidRPr="00FE5474">
        <w:t xml:space="preserve">ourt concluded “the jury did not necessarily find the requisite mens rea for direct aiding and abetting liability,” </w:t>
      </w:r>
      <w:r w:rsidRPr="00FE5474" w:rsidR="00E57D68">
        <w:t>(</w:t>
      </w:r>
      <w:r w:rsidRPr="00FE5474" w:rsidR="00E57D68">
        <w:rPr>
          <w:i/>
          <w:iCs/>
        </w:rPr>
        <w:t>ibid.</w:t>
      </w:r>
      <w:r w:rsidRPr="003211BA" w:rsidR="00E57D68">
        <w:t>)</w:t>
      </w:r>
      <w:r w:rsidRPr="00FE5474" w:rsidR="00E57D68">
        <w:rPr>
          <w:i/>
          <w:iCs/>
        </w:rPr>
        <w:t xml:space="preserve"> </w:t>
      </w:r>
      <w:r w:rsidRPr="00FE5474">
        <w:t>i.e., either “ ‘knowledge of the direct perpetrator’s unlawful intent and an intent to assist in achieving those unlawful ends’ ”</w:t>
      </w:r>
      <w:r w:rsidRPr="00FE5474" w:rsidR="00E57D68">
        <w:t xml:space="preserve"> (</w:t>
      </w:r>
      <w:r w:rsidRPr="00FE5474" w:rsidR="00E57D68">
        <w:rPr>
          <w:i/>
          <w:iCs/>
        </w:rPr>
        <w:t>id.</w:t>
      </w:r>
      <w:r w:rsidRPr="00FE5474">
        <w:t xml:space="preserve"> </w:t>
      </w:r>
      <w:r w:rsidRPr="00FE5474" w:rsidR="00E57D68">
        <w:t xml:space="preserve">at </w:t>
      </w:r>
      <w:r w:rsidRPr="0076477B" w:rsidR="00E57D68">
        <w:t>p. *19)</w:t>
      </w:r>
      <w:r w:rsidRPr="00FE5474" w:rsidR="00E57D68">
        <w:t xml:space="preserve"> </w:t>
      </w:r>
      <w:r w:rsidRPr="00FE5474">
        <w:t xml:space="preserve">or “[a]lternatively, in the context of implied malice murder, [knowledge] </w:t>
      </w:r>
      <w:r w:rsidRPr="00FE5474" w:rsidR="00E57D68">
        <w:t>[</w:t>
      </w:r>
      <w:r w:rsidRPr="00FE5474">
        <w:t>that</w:t>
      </w:r>
      <w:r w:rsidRPr="00FE5474" w:rsidR="00E57D68">
        <w:t>]</w:t>
      </w:r>
      <w:r w:rsidRPr="00FE5474">
        <w:t xml:space="preserve"> the perpetrator intends to commit a life-endangering act, inten[t] to aid the perpetrator in the commission of that act,” “know[ledge]</w:t>
      </w:r>
      <w:r w:rsidR="00634593">
        <w:t>[</w:t>
      </w:r>
      <w:r w:rsidRPr="00FE5474">
        <w:t>that</w:t>
      </w:r>
      <w:r w:rsidRPr="00FE5474" w:rsidR="00E57D68">
        <w:t>]</w:t>
      </w:r>
      <w:r w:rsidRPr="00FE5474">
        <w:t xml:space="preserve"> the act is dangerous to human life, and act[ion]</w:t>
      </w:r>
      <w:r w:rsidRPr="00C942A9">
        <w:rPr>
          <w:b/>
          <w:bCs/>
        </w:rPr>
        <w:t xml:space="preserve"> </w:t>
      </w:r>
      <w:r w:rsidRPr="00FE5474">
        <w:t>in conscious disregard for human life.”  (</w:t>
      </w:r>
      <w:r w:rsidRPr="00FE5474">
        <w:rPr>
          <w:i/>
          <w:iCs/>
        </w:rPr>
        <w:t>I</w:t>
      </w:r>
      <w:r w:rsidRPr="00FE5474" w:rsidR="00E57D68">
        <w:rPr>
          <w:i/>
          <w:iCs/>
        </w:rPr>
        <w:t>bi</w:t>
      </w:r>
      <w:r w:rsidRPr="00FE5474">
        <w:rPr>
          <w:i/>
          <w:iCs/>
        </w:rPr>
        <w:t>d</w:t>
      </w:r>
      <w:r w:rsidRPr="00FE5474">
        <w:t>.)</w:t>
      </w:r>
      <w:r>
        <w:rPr>
          <w:rStyle w:val="FootnoteReference"/>
        </w:rPr>
        <w:footnoteReference w:id="11"/>
      </w:r>
      <w:r w:rsidRPr="00FE5474" w:rsidR="002B2C15">
        <w:t xml:space="preserve">  Rather, under the court’s natural and probable consequences instruction, “the jury was required to find only that Curiel knew that </w:t>
      </w:r>
      <w:r w:rsidRPr="00FE5474" w:rsidR="00655F15">
        <w:t>[the perpetrator]</w:t>
      </w:r>
      <w:r w:rsidRPr="00FE5474" w:rsidR="002B2C15">
        <w:t xml:space="preserve"> intended to commit one of the underlying target offenses</w:t>
      </w:r>
      <w:r w:rsidRPr="00FE5474" w:rsidR="00D14096">
        <w:t xml:space="preserve"> </w:t>
      </w:r>
      <w:r w:rsidRPr="00FE5474" w:rsidR="002B2C15">
        <w:t xml:space="preserve">and that Curiel intended to aid him in </w:t>
      </w:r>
      <w:r w:rsidRPr="00FE5474" w:rsidR="002B2C15">
        <w:rPr>
          <w:i/>
          <w:iCs/>
        </w:rPr>
        <w:t>that</w:t>
      </w:r>
      <w:r w:rsidRPr="00FE5474" w:rsidR="002B2C15">
        <w:t xml:space="preserve"> offense, not murder.  Nor was the jury required to find that the underlying target offenses,</w:t>
      </w:r>
      <w:r w:rsidRPr="00503BBC" w:rsidR="00A8083F">
        <w:rPr>
          <w:b/>
          <w:bCs/>
          <w:vertAlign w:val="superscript"/>
        </w:rPr>
        <w:t>[</w:t>
      </w:r>
      <w:r>
        <w:rPr>
          <w:rStyle w:val="FootnoteReference"/>
          <w:b/>
          <w:bCs/>
        </w:rPr>
        <w:footnoteReference w:id="12"/>
      </w:r>
      <w:r w:rsidRPr="00503BBC" w:rsidR="00A8083F">
        <w:rPr>
          <w:b/>
          <w:bCs/>
          <w:vertAlign w:val="superscript"/>
        </w:rPr>
        <w:t>]</w:t>
      </w:r>
      <w:r w:rsidRPr="00E81E0A" w:rsidR="00D14096">
        <w:t xml:space="preserve"> </w:t>
      </w:r>
      <w:r w:rsidRPr="00FE5474" w:rsidR="002B2C15">
        <w:t>themselves, were dangerous to human life.  While the jury separately found Curiel intended to kill, such an intent standing alone is insufficient to establish the requisite mens rea for aiding and abetting murder.”</w:t>
      </w:r>
      <w:r w:rsidRPr="00FE5474" w:rsidR="006E5834">
        <w:t xml:space="preserve">  (</w:t>
      </w:r>
      <w:r w:rsidRPr="00FE5474" w:rsidR="006E5834">
        <w:rPr>
          <w:i/>
          <w:iCs/>
        </w:rPr>
        <w:t>I</w:t>
      </w:r>
      <w:r w:rsidRPr="00FE5474" w:rsidR="006F4183">
        <w:rPr>
          <w:i/>
          <w:iCs/>
        </w:rPr>
        <w:t>bi</w:t>
      </w:r>
      <w:r w:rsidRPr="00FE5474" w:rsidR="006E5834">
        <w:rPr>
          <w:i/>
          <w:iCs/>
        </w:rPr>
        <w:t>d</w:t>
      </w:r>
      <w:r w:rsidRPr="00FE5474" w:rsidR="006E5834">
        <w:t>.)</w:t>
      </w:r>
    </w:p>
    <w:p w:rsidR="00C942A9" w:rsidRPr="00FE5474" w:rsidP="0039039D" w14:paraId="7FE00B5A" w14:textId="520093C2">
      <w:pPr>
        <w:shd w:val="clear" w:color="auto" w:fill="FFFFFF"/>
        <w:spacing w:line="360" w:lineRule="auto"/>
        <w:ind w:right="144" w:firstLine="720"/>
      </w:pPr>
      <w:r w:rsidRPr="00FE5474">
        <w:t xml:space="preserve">The high court’s analysis in </w:t>
      </w:r>
      <w:r w:rsidRPr="00FE5474">
        <w:rPr>
          <w:i/>
          <w:iCs/>
        </w:rPr>
        <w:t>Curiel</w:t>
      </w:r>
      <w:r w:rsidRPr="00FE5474">
        <w:t xml:space="preserve"> applies with equal force here.  The instructions given in this case on aiding and abetting and natural and probable consequences murder are almost identical in all material respects to those given in </w:t>
      </w:r>
      <w:r w:rsidRPr="00FE5474">
        <w:rPr>
          <w:i/>
          <w:iCs/>
        </w:rPr>
        <w:t>Curiel.</w:t>
      </w:r>
      <w:r w:rsidRPr="00FE5474">
        <w:t xml:space="preserve">  The jury here was instructed on the target offense</w:t>
      </w:r>
      <w:r w:rsidRPr="00FE5474" w:rsidR="003141E3">
        <w:t>, assault with a firearm</w:t>
      </w:r>
      <w:r w:rsidRPr="00FE5474" w:rsidR="00A53455">
        <w:t>.</w:t>
      </w:r>
      <w:r w:rsidR="005654E0">
        <w:t xml:space="preserve"> </w:t>
      </w:r>
      <w:r w:rsidRPr="00FE5474" w:rsidR="003141E3">
        <w:t xml:space="preserve"> </w:t>
      </w:r>
      <w:r w:rsidRPr="00FE5474" w:rsidR="00A53455">
        <w:t>It was instructed that “under some specific circumstances</w:t>
      </w:r>
      <w:r w:rsidRPr="00FE5474" w:rsidR="00E31403">
        <w:t>,</w:t>
      </w:r>
      <w:r w:rsidRPr="00FE5474" w:rsidR="00A53455">
        <w:t xml:space="preserve"> if the evidence establishes aiding and abetting of one crime, a person may also be found guilty of other</w:t>
      </w:r>
      <w:r w:rsidRPr="00C942A9" w:rsidR="00A53455">
        <w:rPr>
          <w:b/>
          <w:bCs/>
        </w:rPr>
        <w:t xml:space="preserve"> </w:t>
      </w:r>
      <w:r w:rsidRPr="00FE5474" w:rsidR="00A53455">
        <w:t xml:space="preserve">crimes that occurred during the commission of the </w:t>
      </w:r>
      <w:r w:rsidRPr="00FE5474" w:rsidR="00AA405E">
        <w:t xml:space="preserve">first </w:t>
      </w:r>
      <w:r w:rsidRPr="00FE5474" w:rsidR="00A53455">
        <w:t>crime,</w:t>
      </w:r>
      <w:r w:rsidRPr="00FE5474" w:rsidR="00AA405E">
        <w:t>”</w:t>
      </w:r>
      <w:r w:rsidRPr="00FE5474" w:rsidR="00E31403">
        <w:t xml:space="preserve"> and that to convict a defendant</w:t>
      </w:r>
      <w:r w:rsidRPr="004B706B" w:rsidR="00E31403">
        <w:rPr>
          <w:b/>
          <w:bCs/>
        </w:rPr>
        <w:t xml:space="preserve"> </w:t>
      </w:r>
      <w:r w:rsidRPr="00FE5474" w:rsidR="00E31403">
        <w:t xml:space="preserve">under </w:t>
      </w:r>
      <w:r w:rsidRPr="00FE5474" w:rsidR="00A53455">
        <w:t>this theory,</w:t>
      </w:r>
      <w:r w:rsidRPr="00FE5474" w:rsidR="00E31403">
        <w:t xml:space="preserve"> it had to find</w:t>
      </w:r>
      <w:r w:rsidRPr="00FE5474" w:rsidR="00A53455">
        <w:t xml:space="preserve">, </w:t>
      </w:r>
      <w:r w:rsidRPr="00FE5474" w:rsidR="00E31403">
        <w:t>first, that “[t]he defendant aided and abetted the crime of assault with a firearm</w:t>
      </w:r>
      <w:r w:rsidRPr="00FE5474" w:rsidR="00A53455">
        <w:t>.</w:t>
      </w:r>
      <w:r w:rsidRPr="00FE5474" w:rsidR="00E31403">
        <w:t>”</w:t>
      </w:r>
      <w:r w:rsidR="009737DA">
        <w:t xml:space="preserve">  </w:t>
      </w:r>
      <w:r w:rsidRPr="00FE5474" w:rsidR="00A53455">
        <w:t xml:space="preserve">The jury was instructed that “[t]o prove that </w:t>
      </w:r>
      <w:r w:rsidRPr="00FE5474" w:rsidR="005F61E7">
        <w:t>a</w:t>
      </w:r>
      <w:r w:rsidRPr="00FE5474" w:rsidR="00A53455">
        <w:t xml:space="preserve"> defendant is guilty of a crime based on aiding and abetting that crime, the People must prove that: </w:t>
      </w:r>
      <w:r w:rsidRPr="00FE5474" w:rsidR="005F61E7">
        <w:t>[¶]</w:t>
      </w:r>
      <w:r w:rsidRPr="00FE5474" w:rsidR="00A53455">
        <w:t xml:space="preserve">1. The perpetrator committed the crime; </w:t>
      </w:r>
      <w:r w:rsidRPr="00FE5474" w:rsidR="005F61E7">
        <w:t>[¶] </w:t>
      </w:r>
      <w:r w:rsidRPr="00FE5474" w:rsidR="00A53455">
        <w:t>2. The defendant knew that the perpetrator intended to commit the crime;</w:t>
      </w:r>
      <w:r w:rsidR="00093ECE">
        <w:t xml:space="preserve"> </w:t>
      </w:r>
      <w:r w:rsidRPr="00FE5474" w:rsidR="005F61E7">
        <w:t>[¶]</w:t>
      </w:r>
      <w:r w:rsidRPr="00FE5474" w:rsidR="00280BDB">
        <w:t> </w:t>
      </w:r>
      <w:r w:rsidRPr="00FE5474" w:rsidR="00A53455">
        <w:t xml:space="preserve">3. Before or during the commission of the crime, the defendant intended to aid and abet the perpetrator in committing the crime; </w:t>
      </w:r>
      <w:r w:rsidRPr="00FE5474" w:rsidR="005F61E7">
        <w:t>[¶]</w:t>
      </w:r>
      <w:r w:rsidRPr="00FE5474" w:rsidR="00280BDB">
        <w:t> </w:t>
      </w:r>
      <w:r w:rsidRPr="00FE5474" w:rsidR="00A53455">
        <w:t>AND</w:t>
      </w:r>
      <w:r w:rsidR="00F35C09">
        <w:t xml:space="preserve"> </w:t>
      </w:r>
      <w:r w:rsidRPr="00FE5474" w:rsidR="005F61E7">
        <w:t>[¶] </w:t>
      </w:r>
      <w:r w:rsidRPr="00FE5474" w:rsidR="00A53455">
        <w:t>4. The defendant’s words or conduct did in fact aid and abet the perpetrator’s commission of the crime.”</w:t>
      </w:r>
      <w:r w:rsidR="004F4F84">
        <w:t xml:space="preserve">  </w:t>
      </w:r>
      <w:r w:rsidRPr="00FE5474" w:rsidR="00A53455">
        <w:t>The jury was also instructed that to find a defendant guilty of other crimes that occurred during the commission of the target offense (</w:t>
      </w:r>
      <w:r w:rsidRPr="00FE5474" w:rsidR="006770DD">
        <w:t xml:space="preserve">assault with a firearm), it had to find the defendant “intended to aid and abet an assault with a firearm”; “[d]uring the commission of the crime that the defendant intended to aid and abet, a coparticipant in that crime committed . . . murder”; and </w:t>
      </w:r>
      <w:r w:rsidRPr="00FE5474" w:rsidR="00E31403">
        <w:t>“[u]nder all of the circumstances, a reasonable person in the defendant’s position would have known that the commission of the subsequent murder was a natural and probable consequence of</w:t>
      </w:r>
      <w:r w:rsidRPr="00FE5474" w:rsidR="005F61E7">
        <w:t xml:space="preserve"> the commission of</w:t>
      </w:r>
      <w:r w:rsidRPr="00FE5474" w:rsidR="00E31403">
        <w:t xml:space="preserve"> the intended assault with a firearm.”</w:t>
      </w:r>
      <w:r>
        <w:rPr>
          <w:rStyle w:val="FootnoteReference"/>
          <w:b/>
          <w:bCs/>
        </w:rPr>
        <w:footnoteReference w:id="13"/>
      </w:r>
      <w:r w:rsidRPr="00C942A9" w:rsidR="002052F3">
        <w:rPr>
          <w:b/>
          <w:bCs/>
        </w:rPr>
        <w:t xml:space="preserve">  </w:t>
      </w:r>
      <w:r w:rsidRPr="00FE5474" w:rsidR="002052F3">
        <w:t xml:space="preserve">The jury was told that “A </w:t>
      </w:r>
      <w:r w:rsidRPr="00FE5474" w:rsidR="002052F3">
        <w:rPr>
          <w:i/>
          <w:iCs/>
        </w:rPr>
        <w:t>natural and probable consequence</w:t>
      </w:r>
      <w:r w:rsidRPr="00FE5474" w:rsidR="002052F3">
        <w:t xml:space="preserve"> is one that a reasonable person would know is likely to happen if nothing unusual</w:t>
      </w:r>
      <w:r w:rsidRPr="00C942A9" w:rsidR="002052F3">
        <w:rPr>
          <w:b/>
          <w:bCs/>
        </w:rPr>
        <w:t xml:space="preserve"> </w:t>
      </w:r>
      <w:r w:rsidRPr="00151EA4" w:rsidR="002052F3">
        <w:t>intervenes</w:t>
      </w:r>
      <w:r w:rsidRPr="00FE5474" w:rsidR="002052F3">
        <w:t>.”  (</w:t>
      </w:r>
      <w:r w:rsidRPr="00FE5474" w:rsidR="00AD68CD">
        <w:t xml:space="preserve">Cf. </w:t>
      </w:r>
      <w:r w:rsidRPr="00FE5474" w:rsidR="002052F3">
        <w:rPr>
          <w:i/>
          <w:iCs/>
        </w:rPr>
        <w:t>Curiel</w:t>
      </w:r>
      <w:r w:rsidRPr="00FE5474" w:rsidR="002052F3">
        <w:t xml:space="preserve">, </w:t>
      </w:r>
      <w:r w:rsidRPr="00FE5474" w:rsidR="002052F3">
        <w:rPr>
          <w:i/>
          <w:iCs/>
        </w:rPr>
        <w:t>supra</w:t>
      </w:r>
      <w:r w:rsidRPr="00FE5474" w:rsidR="002052F3">
        <w:t xml:space="preserve">, </w:t>
      </w:r>
      <w:r w:rsidRPr="00FE5474" w:rsidR="005F61E7">
        <w:t>__ Cal.5th __ [2023 WL 8178140, at p.</w:t>
      </w:r>
      <w:r w:rsidR="000140AB">
        <w:t> </w:t>
      </w:r>
      <w:r w:rsidRPr="00FE5474" w:rsidR="005F61E7">
        <w:t>*17]</w:t>
      </w:r>
      <w:r w:rsidRPr="00FE5474" w:rsidR="002052F3">
        <w:t>.</w:t>
      </w:r>
      <w:r w:rsidRPr="00FE5474" w:rsidR="005F61E7">
        <w:t>)</w:t>
      </w:r>
      <w:r w:rsidRPr="00FE5474" w:rsidR="002052F3">
        <w:t xml:space="preserve">  </w:t>
      </w:r>
    </w:p>
    <w:p w:rsidR="00CE0242" w:rsidP="0039039D" w14:paraId="5ACC20AE" w14:textId="77777777">
      <w:pPr>
        <w:shd w:val="clear" w:color="auto" w:fill="FFFFFF"/>
        <w:spacing w:line="360" w:lineRule="auto"/>
        <w:ind w:right="144" w:firstLine="720"/>
      </w:pPr>
      <w:r w:rsidRPr="00FE5474">
        <w:t xml:space="preserve">Also as in </w:t>
      </w:r>
      <w:r w:rsidRPr="00FE5474">
        <w:rPr>
          <w:i/>
          <w:iCs/>
        </w:rPr>
        <w:t>Curiel</w:t>
      </w:r>
      <w:r w:rsidRPr="00FE5474">
        <w:t>, the jury in this case “found [Appellants] guilty of first degree murder and found true the gang-murder special circumstance</w:t>
      </w:r>
      <w:r w:rsidRPr="00FE5474" w:rsidR="00C942A9">
        <w:t>”</w:t>
      </w:r>
      <w:r w:rsidRPr="00FE5474">
        <w:t xml:space="preserve"> but </w:t>
      </w:r>
      <w:r w:rsidRPr="00FE5474" w:rsidR="00C942A9">
        <w:t>“</w:t>
      </w:r>
      <w:r w:rsidRPr="00FE5474">
        <w:t>was not required to identify which theory it found persuasive.”  (</w:t>
      </w:r>
      <w:r w:rsidRPr="00FE5474" w:rsidR="005F61E7">
        <w:rPr>
          <w:i/>
          <w:iCs/>
        </w:rPr>
        <w:t>Curiel</w:t>
      </w:r>
      <w:r w:rsidRPr="00FE5474" w:rsidR="005F61E7">
        <w:t xml:space="preserve">, </w:t>
      </w:r>
      <w:r w:rsidRPr="00FE5474" w:rsidR="005F61E7">
        <w:rPr>
          <w:i/>
          <w:iCs/>
        </w:rPr>
        <w:t>supra</w:t>
      </w:r>
      <w:r w:rsidRPr="00FE5474" w:rsidR="005F61E7">
        <w:t>, __ Cal.5th __ [2023 WL 8178140, at p. *18]</w:t>
      </w:r>
      <w:r w:rsidRPr="00FE5474">
        <w:t xml:space="preserve">.) </w:t>
      </w:r>
      <w:r w:rsidRPr="00FE5474" w:rsidR="002A4987">
        <w:t xml:space="preserve"> </w:t>
      </w:r>
      <w:r w:rsidRPr="00FE5474">
        <w:t xml:space="preserve">Nor were the jurors required to agree on whether any defendant was guilty as a perpetrator, aider and abettor or co-conspirator. </w:t>
      </w:r>
    </w:p>
    <w:p w:rsidR="00C942A9" w:rsidRPr="00FE5474" w:rsidP="0039039D" w14:paraId="0A540EF9" w14:textId="4E32D3CD">
      <w:pPr>
        <w:shd w:val="clear" w:color="auto" w:fill="FFFFFF"/>
        <w:spacing w:line="360" w:lineRule="auto"/>
        <w:ind w:right="144" w:firstLine="720"/>
      </w:pPr>
      <w:r w:rsidRPr="00FE5474">
        <w:rPr>
          <w:i/>
          <w:iCs/>
        </w:rPr>
        <w:t>Curiel</w:t>
      </w:r>
      <w:r w:rsidRPr="00FE5474">
        <w:t xml:space="preserve"> is thus on all fours, and the parallel instructions given in this case did not require the jury to find that the defendant had “</w:t>
      </w:r>
      <w:r w:rsidR="00FA58FF">
        <w:t> ‘ “</w:t>
      </w:r>
      <w:r w:rsidRPr="00FE5474">
        <w:t xml:space="preserve">knowledge of the direct perpetrator’s unlawful intent and </w:t>
      </w:r>
      <w:r w:rsidR="00DB3CC5">
        <w:t xml:space="preserve">[with] </w:t>
      </w:r>
      <w:r w:rsidRPr="00FE5474">
        <w:t>an intent to achieve those unlawful ends</w:t>
      </w:r>
      <w:r w:rsidR="00FA58FF">
        <w:t>” ’ </w:t>
      </w:r>
      <w:r w:rsidRPr="00FE5474">
        <w:t>”</w:t>
      </w:r>
      <w:r w:rsidR="00532B25">
        <w:t xml:space="preserve"> (</w:t>
      </w:r>
      <w:r w:rsidRPr="00FE5474" w:rsidR="00532B25">
        <w:rPr>
          <w:i/>
          <w:iCs/>
        </w:rPr>
        <w:t>Curiel</w:t>
      </w:r>
      <w:r w:rsidR="00532B25">
        <w:t xml:space="preserve">, </w:t>
      </w:r>
      <w:r w:rsidRPr="00FE5474" w:rsidR="00532B25">
        <w:rPr>
          <w:i/>
          <w:iCs/>
        </w:rPr>
        <w:t>supra</w:t>
      </w:r>
      <w:r w:rsidR="00532B25">
        <w:t xml:space="preserve">, </w:t>
      </w:r>
      <w:r w:rsidRPr="00F96E2B" w:rsidR="00F96E2B">
        <w:t>__ Cal.5th __ [2023 WL 8178140</w:t>
      </w:r>
      <w:r w:rsidR="007B1D0C">
        <w:t>,</w:t>
      </w:r>
      <w:r w:rsidR="00F96E2B">
        <w:t xml:space="preserve"> at p. *</w:t>
      </w:r>
      <w:r w:rsidR="00002F2C">
        <w:t>15</w:t>
      </w:r>
      <w:r w:rsidR="00F96E2B">
        <w:t>]</w:t>
      </w:r>
      <w:r w:rsidR="005D31D2">
        <w:t>, brackets in original</w:t>
      </w:r>
      <w:r w:rsidR="00266CCB">
        <w:t xml:space="preserve">) </w:t>
      </w:r>
      <w:r w:rsidRPr="00FE5474">
        <w:t xml:space="preserve">or, in the context of implied malice murder, that the aider and abettor knew </w:t>
      </w:r>
      <w:r w:rsidR="00876514">
        <w:t>“</w:t>
      </w:r>
      <w:r w:rsidRPr="00FE5474">
        <w:t>the perpetrator intend</w:t>
      </w:r>
      <w:r w:rsidR="00A11960">
        <w:t>[</w:t>
      </w:r>
      <w:r w:rsidRPr="00FE5474">
        <w:t>ed</w:t>
      </w:r>
      <w:r w:rsidR="00A11960">
        <w:t>]</w:t>
      </w:r>
      <w:r w:rsidRPr="00FE5474">
        <w:t xml:space="preserve"> to commit a life-endangering act, intend</w:t>
      </w:r>
      <w:r w:rsidR="00876514">
        <w:t>[</w:t>
      </w:r>
      <w:r w:rsidRPr="00FE5474">
        <w:t>ed</w:t>
      </w:r>
      <w:r w:rsidR="00876514">
        <w:t>]</w:t>
      </w:r>
      <w:r w:rsidRPr="00FE5474">
        <w:t xml:space="preserve"> to aid the perpetrator in the commission of that act, kn</w:t>
      </w:r>
      <w:r w:rsidR="00A11347">
        <w:t>[</w:t>
      </w:r>
      <w:r w:rsidRPr="00FE5474">
        <w:t>ew</w:t>
      </w:r>
      <w:r w:rsidR="00A11347">
        <w:t>]</w:t>
      </w:r>
      <w:r w:rsidRPr="00FE5474">
        <w:t xml:space="preserve"> the</w:t>
      </w:r>
      <w:r w:rsidRPr="006A4BE3">
        <w:rPr>
          <w:b/>
          <w:bCs/>
        </w:rPr>
        <w:t xml:space="preserve"> </w:t>
      </w:r>
      <w:r w:rsidRPr="00FE5474">
        <w:t xml:space="preserve">act </w:t>
      </w:r>
      <w:r w:rsidR="00A11347">
        <w:t>[</w:t>
      </w:r>
      <w:r w:rsidRPr="00FE5474">
        <w:t>was</w:t>
      </w:r>
      <w:r w:rsidR="00A11347">
        <w:t>]</w:t>
      </w:r>
      <w:r w:rsidRPr="00FE5474">
        <w:t xml:space="preserve"> dangerous to human life</w:t>
      </w:r>
      <w:r w:rsidR="004B378E">
        <w:t>,</w:t>
      </w:r>
      <w:r w:rsidRPr="00FE5474">
        <w:t xml:space="preserve"> and act</w:t>
      </w:r>
      <w:r w:rsidR="004B378E">
        <w:t>[</w:t>
      </w:r>
      <w:r w:rsidRPr="00FE5474">
        <w:t>ed</w:t>
      </w:r>
      <w:r w:rsidR="004B378E">
        <w:t>]</w:t>
      </w:r>
      <w:r w:rsidRPr="00FE5474">
        <w:t xml:space="preserve"> in conscious disregard for human life.”  </w:t>
      </w:r>
      <w:r w:rsidR="004B378E">
        <w:t>(</w:t>
      </w:r>
      <w:r w:rsidRPr="00FE5474" w:rsidR="004B378E">
        <w:rPr>
          <w:i/>
          <w:iCs/>
        </w:rPr>
        <w:t>Id.</w:t>
      </w:r>
      <w:r w:rsidR="004B378E">
        <w:t xml:space="preserve"> at p.</w:t>
      </w:r>
      <w:r w:rsidR="00EE0C62">
        <w:t> </w:t>
      </w:r>
      <w:r w:rsidR="004B378E">
        <w:t>*</w:t>
      </w:r>
      <w:r w:rsidR="00281B2C">
        <w:t>19</w:t>
      </w:r>
      <w:r w:rsidR="004B378E">
        <w:t xml:space="preserve">.)  </w:t>
      </w:r>
      <w:r w:rsidRPr="00FE5474">
        <w:t xml:space="preserve">Under the natural and probable consequence instruction, </w:t>
      </w:r>
      <w:r w:rsidRPr="00FE5474" w:rsidR="004B11B1">
        <w:t>“</w:t>
      </w:r>
      <w:r w:rsidRPr="00FE5474">
        <w:t xml:space="preserve">it was required to find that [the aiders and abettors] knew </w:t>
      </w:r>
      <w:r w:rsidR="00BF1A42">
        <w:t>[</w:t>
      </w:r>
      <w:r w:rsidRPr="00FE5474">
        <w:t>the perpetrator</w:t>
      </w:r>
      <w:r w:rsidR="00BF1A42">
        <w:t>]</w:t>
      </w:r>
      <w:r w:rsidRPr="00FE5474">
        <w:t xml:space="preserve"> was going to commit </w:t>
      </w:r>
      <w:r w:rsidR="00BF1A42">
        <w:t>[</w:t>
      </w:r>
      <w:r w:rsidRPr="00FE5474">
        <w:t>assault with a firearm</w:t>
      </w:r>
      <w:r w:rsidR="00BF1A42">
        <w:t>]</w:t>
      </w:r>
      <w:r w:rsidRPr="00FE5474">
        <w:t xml:space="preserve"> and </w:t>
      </w:r>
      <w:r w:rsidRPr="00FE5474" w:rsidR="00D469EE">
        <w:t>“</w:t>
      </w:r>
      <w:r w:rsidRPr="00FE5474">
        <w:t xml:space="preserve">intended to aid him in </w:t>
      </w:r>
      <w:r w:rsidRPr="00FE5474">
        <w:rPr>
          <w:i/>
          <w:iCs/>
        </w:rPr>
        <w:t>that</w:t>
      </w:r>
      <w:r w:rsidRPr="00FE5474">
        <w:t xml:space="preserve"> offense, not murder.  Nor was the jury required to find that [assault with a firearm, itself], [was] dangerous to human life.</w:t>
      </w:r>
      <w:r w:rsidRPr="00FE5474" w:rsidR="009D523A">
        <w:t xml:space="preserve">  While the jury separately found [Appellants] intended to kill, such an intent standing alone is insufficient to establish the </w:t>
      </w:r>
      <w:r w:rsidRPr="00FE5474" w:rsidR="00D469EE">
        <w:t>requisite</w:t>
      </w:r>
      <w:r w:rsidRPr="00FE5474" w:rsidR="009D523A">
        <w:t xml:space="preserve"> mens rea for aiding and abetting murder.”  (</w:t>
      </w:r>
      <w:r w:rsidR="003A78F5">
        <w:rPr>
          <w:i/>
          <w:iCs/>
        </w:rPr>
        <w:t>I</w:t>
      </w:r>
      <w:r w:rsidR="0014614A">
        <w:rPr>
          <w:i/>
          <w:iCs/>
        </w:rPr>
        <w:t>bi</w:t>
      </w:r>
      <w:r w:rsidR="003A78F5">
        <w:rPr>
          <w:i/>
          <w:iCs/>
        </w:rPr>
        <w:t>d</w:t>
      </w:r>
      <w:r w:rsidRPr="00FE5474" w:rsidR="009D523A">
        <w:t xml:space="preserve">.) </w:t>
      </w:r>
    </w:p>
    <w:p w:rsidR="000B77C7" w:rsidP="0039039D" w14:paraId="08548753" w14:textId="34CCE341">
      <w:pPr>
        <w:shd w:val="clear" w:color="auto" w:fill="FFFFFF"/>
        <w:spacing w:line="360" w:lineRule="auto"/>
        <w:ind w:right="144" w:firstLine="720"/>
        <w:rPr>
          <w:b/>
          <w:bCs/>
        </w:rPr>
      </w:pPr>
      <w:r w:rsidRPr="00FE5474">
        <w:t>In providing for an evidentiary hearing in section 1172.6 proceedings, the Legislature opened the door to the defendants and</w:t>
      </w:r>
      <w:r w:rsidRPr="00C942A9">
        <w:rPr>
          <w:b/>
          <w:bCs/>
        </w:rPr>
        <w:t xml:space="preserve"> </w:t>
      </w:r>
      <w:r w:rsidRPr="00FE5474">
        <w:t>the prosecutor both to argue what the evidence previously submitted at the trial showed and to present any new evidence they wish to offer on missing elements of murder under a currently valid theory that the jury was not required to, and thus did not necessarily, find.</w:t>
      </w:r>
      <w:r>
        <w:rPr>
          <w:rStyle w:val="FootnoteReference"/>
          <w:b/>
          <w:bCs/>
        </w:rPr>
        <w:footnoteReference w:id="14"/>
      </w:r>
      <w:r w:rsidRPr="000C0F2D">
        <w:rPr>
          <w:b/>
          <w:bCs/>
        </w:rPr>
        <w:t xml:space="preserve"> </w:t>
      </w:r>
      <w:r w:rsidRPr="00C942A9">
        <w:rPr>
          <w:b/>
          <w:bCs/>
        </w:rPr>
        <w:t xml:space="preserve"> </w:t>
      </w:r>
      <w:r>
        <w:rPr>
          <w:b/>
          <w:bCs/>
        </w:rPr>
        <w:br w:type="page"/>
      </w:r>
    </w:p>
    <w:p w:rsidR="00D469EE" w:rsidP="00B37BC3" w14:paraId="3336F1E8" w14:textId="77777777">
      <w:pPr>
        <w:shd w:val="clear" w:color="auto" w:fill="FFFFFF"/>
        <w:spacing w:line="360" w:lineRule="auto"/>
        <w:ind w:right="144" w:firstLine="720"/>
        <w:rPr>
          <w:b/>
          <w:bCs/>
        </w:rPr>
      </w:pPr>
    </w:p>
    <w:p w:rsidR="005602A8" w:rsidRPr="007213EB" w:rsidP="00AD75E0" w14:paraId="1AD81A53" w14:textId="5651C1FF">
      <w:pPr>
        <w:pStyle w:val="ListParagraph"/>
        <w:keepNext/>
        <w:numPr>
          <w:ilvl w:val="0"/>
          <w:numId w:val="1"/>
        </w:numPr>
        <w:shd w:val="clear" w:color="auto" w:fill="FFFFFF"/>
        <w:spacing w:after="120" w:line="240" w:lineRule="auto"/>
        <w:ind w:left="1526"/>
        <w:contextualSpacing w:val="0"/>
        <w:rPr>
          <w:b/>
          <w:bCs/>
        </w:rPr>
      </w:pPr>
      <w:r w:rsidRPr="007213EB">
        <w:rPr>
          <w:b/>
          <w:bCs/>
        </w:rPr>
        <w:t xml:space="preserve"> Contrary to the </w:t>
      </w:r>
      <w:r w:rsidRPr="007213EB" w:rsidR="00B01002">
        <w:rPr>
          <w:b/>
          <w:bCs/>
        </w:rPr>
        <w:t>People</w:t>
      </w:r>
      <w:r w:rsidRPr="007213EB">
        <w:rPr>
          <w:b/>
          <w:bCs/>
        </w:rPr>
        <w:t xml:space="preserve">’s Alternative Argument, Our Holding that the </w:t>
      </w:r>
      <w:r w:rsidRPr="007213EB">
        <w:rPr>
          <w:b/>
          <w:bCs/>
          <w:i/>
          <w:iCs/>
        </w:rPr>
        <w:t xml:space="preserve">Chiu </w:t>
      </w:r>
      <w:r w:rsidRPr="007213EB">
        <w:rPr>
          <w:b/>
          <w:bCs/>
        </w:rPr>
        <w:t xml:space="preserve">Error </w:t>
      </w:r>
      <w:r w:rsidRPr="007213EB" w:rsidR="004861BB">
        <w:rPr>
          <w:b/>
          <w:bCs/>
        </w:rPr>
        <w:t>W</w:t>
      </w:r>
      <w:r w:rsidRPr="007213EB">
        <w:rPr>
          <w:b/>
          <w:bCs/>
        </w:rPr>
        <w:t>as Harmless Beyond a Reasonable Doubt Is Not Law of the Case That Preclude</w:t>
      </w:r>
      <w:r w:rsidRPr="007213EB" w:rsidR="0086320D">
        <w:rPr>
          <w:b/>
          <w:bCs/>
        </w:rPr>
        <w:t>d</w:t>
      </w:r>
      <w:r w:rsidRPr="007213EB">
        <w:rPr>
          <w:b/>
          <w:bCs/>
        </w:rPr>
        <w:t xml:space="preserve"> Appellants </w:t>
      </w:r>
      <w:r w:rsidRPr="007213EB" w:rsidR="00B01002">
        <w:rPr>
          <w:b/>
          <w:bCs/>
        </w:rPr>
        <w:t>f</w:t>
      </w:r>
      <w:r w:rsidRPr="007213EB">
        <w:rPr>
          <w:b/>
          <w:bCs/>
        </w:rPr>
        <w:t xml:space="preserve">rom Establishing </w:t>
      </w:r>
      <w:r w:rsidRPr="007213EB" w:rsidR="006E7D7A">
        <w:rPr>
          <w:b/>
          <w:bCs/>
        </w:rPr>
        <w:t>a Prima Facie Showing</w:t>
      </w:r>
      <w:r w:rsidRPr="007213EB">
        <w:rPr>
          <w:b/>
          <w:bCs/>
        </w:rPr>
        <w:t>.</w:t>
      </w:r>
    </w:p>
    <w:p w:rsidR="005602A8" w:rsidP="0039039D" w14:paraId="6F76B399" w14:textId="267D51FC">
      <w:pPr>
        <w:spacing w:line="360" w:lineRule="auto"/>
        <w:ind w:firstLine="720"/>
      </w:pPr>
      <w:r>
        <w:t xml:space="preserve">The People argue, in the alternative, that, although the trial court did not rely on in it, our determination that the </w:t>
      </w:r>
      <w:r w:rsidRPr="00D60923">
        <w:rPr>
          <w:i/>
          <w:iCs/>
        </w:rPr>
        <w:t>Chiu</w:t>
      </w:r>
      <w:r>
        <w:t xml:space="preserve"> error was harmless beyond a reasonable doubt was “a proper basis for denying relief a</w:t>
      </w:r>
      <w:r w:rsidR="000E6E13">
        <w:t>t</w:t>
      </w:r>
      <w:r>
        <w:t xml:space="preserve"> the prima facie stage.”  The People contend that our decision falls within the law of the case doctrine and must therefore be adhered to by the trial court and this court in proceedings subsequent to it.  </w:t>
      </w:r>
    </w:p>
    <w:p w:rsidR="005C4B88" w:rsidP="0039039D" w14:paraId="1DBEAC81" w14:textId="4BEB804F">
      <w:pPr>
        <w:spacing w:line="360" w:lineRule="auto"/>
        <w:ind w:firstLine="720"/>
      </w:pPr>
      <w:r>
        <w:t xml:space="preserve">We are not persuaded. </w:t>
      </w:r>
      <w:r w:rsidR="002417FC">
        <w:t xml:space="preserve"> </w:t>
      </w:r>
      <w:r>
        <w:t xml:space="preserve">As the People concede, the doctrine applies “when a court decides a </w:t>
      </w:r>
      <w:r w:rsidRPr="005C4B88">
        <w:rPr>
          <w:i/>
          <w:iCs/>
        </w:rPr>
        <w:t>legal</w:t>
      </w:r>
      <w:r>
        <w:t xml:space="preserve"> issue”</w:t>
      </w:r>
      <w:r w:rsidR="00FA7211">
        <w:t xml:space="preserve"> and</w:t>
      </w:r>
      <w:r>
        <w:t xml:space="preserve"> bind</w:t>
      </w:r>
      <w:r w:rsidR="00FA7211">
        <w:t>s</w:t>
      </w:r>
      <w:r>
        <w:t xml:space="preserve"> the courts going forward in the same case “</w:t>
      </w:r>
      <w:r w:rsidR="000E6E13">
        <w:t xml:space="preserve"> ‘</w:t>
      </w:r>
      <w:r>
        <w:t xml:space="preserve">as to questions of </w:t>
      </w:r>
      <w:r w:rsidRPr="005C4B88">
        <w:rPr>
          <w:i/>
          <w:iCs/>
        </w:rPr>
        <w:t xml:space="preserve">law </w:t>
      </w:r>
      <w:r>
        <w:t>(</w:t>
      </w:r>
      <w:r w:rsidRPr="00FA7211">
        <w:t>though</w:t>
      </w:r>
      <w:r w:rsidRPr="005C4B88">
        <w:rPr>
          <w:i/>
          <w:iCs/>
        </w:rPr>
        <w:t xml:space="preserve"> not as to questions of fact</w:t>
      </w:r>
      <w:r>
        <w:t>).</w:t>
      </w:r>
      <w:r w:rsidR="000E6E13">
        <w:t xml:space="preserve">’ </w:t>
      </w:r>
      <w:r>
        <w:t xml:space="preserve">”  </w:t>
      </w:r>
      <w:r w:rsidR="006701F5">
        <w:t>(</w:t>
      </w:r>
      <w:r>
        <w:t>Italics added.</w:t>
      </w:r>
      <w:r w:rsidR="006701F5">
        <w:t>)</w:t>
      </w:r>
      <w:r>
        <w:t xml:space="preserve">  </w:t>
      </w:r>
      <w:r w:rsidRPr="005C4B88">
        <w:t>“Under the law of the case doctrine, when an appellate court ‘</w:t>
      </w:r>
      <w:r w:rsidR="00073840">
        <w:t> </w:t>
      </w:r>
      <w:r w:rsidRPr="005C4B88">
        <w:t>“states in its opinion a principle or rule of law necessary to the decision, that principle or rule becomes the law of the case and must be adhered to throughout [the case</w:t>
      </w:r>
      <w:r w:rsidR="004C151C">
        <w:t>’</w:t>
      </w:r>
      <w:r w:rsidRPr="005C4B88">
        <w:t>s] subsequent progress, both in the lower court and upon subsequent appeal</w:t>
      </w:r>
      <w:r w:rsidR="000E6E13">
        <w:t> . . . .</w:t>
      </w:r>
      <w:r w:rsidRPr="005C4B88">
        <w:t xml:space="preserve">” ’ </w:t>
      </w:r>
      <w:r w:rsidR="006701F5">
        <w:t xml:space="preserve"> </w:t>
      </w:r>
      <w:r w:rsidRPr="005C4B88">
        <w:t xml:space="preserve">[Citation.] </w:t>
      </w:r>
      <w:r>
        <w:t xml:space="preserve"> </w:t>
      </w:r>
      <w:r w:rsidRPr="005C4B88">
        <w:t xml:space="preserve">Absent an applicable exception, the doctrine ‘requir[es] both trial and appellate courts to follow the rules laid down upon a former appeal whether such rules are right or wrong.’ </w:t>
      </w:r>
      <w:r w:rsidR="000E6E13">
        <w:t xml:space="preserve"> </w:t>
      </w:r>
      <w:r w:rsidRPr="005C4B88">
        <w:t xml:space="preserve">[Citation.] </w:t>
      </w:r>
      <w:r w:rsidR="000E6E13">
        <w:t xml:space="preserve"> </w:t>
      </w:r>
      <w:r w:rsidRPr="005C4B88">
        <w:t>As its name suggests, the doctrine applies only to an appellate court</w:t>
      </w:r>
      <w:r w:rsidR="000E6E13">
        <w:t>’</w:t>
      </w:r>
      <w:r w:rsidRPr="005C4B88">
        <w:t xml:space="preserve">s decision on a question of law; it does not apply to questions of fact.” </w:t>
      </w:r>
      <w:r w:rsidR="000E6E13">
        <w:t xml:space="preserve"> </w:t>
      </w:r>
      <w:r w:rsidRPr="005C4B88">
        <w:t>(</w:t>
      </w:r>
      <w:r w:rsidRPr="005C4B88">
        <w:rPr>
          <w:i/>
          <w:iCs/>
        </w:rPr>
        <w:t>People v. Barragan</w:t>
      </w:r>
      <w:r w:rsidRPr="005C4B88">
        <w:t xml:space="preserve"> (2004) 32 Cal.4th 236, 246</w:t>
      </w:r>
      <w:r>
        <w:t>.)</w:t>
      </w:r>
      <w:r>
        <w:rPr>
          <w:rStyle w:val="FootnoteReference"/>
          <w:b/>
          <w:bCs/>
        </w:rPr>
        <w:footnoteReference w:id="15"/>
      </w:r>
      <w:r>
        <w:t xml:space="preserve">  </w:t>
      </w:r>
    </w:p>
    <w:p w:rsidR="005602A8" w:rsidP="0039039D" w14:paraId="37D4DF6E" w14:textId="38078689">
      <w:pPr>
        <w:spacing w:line="360" w:lineRule="auto"/>
        <w:ind w:firstLine="720"/>
      </w:pPr>
      <w:r>
        <w:t>The People assume</w:t>
      </w:r>
      <w:r w:rsidR="003309DA">
        <w:t>, without discussion</w:t>
      </w:r>
      <w:r>
        <w:t xml:space="preserve">, that a decision that error is harmless is </w:t>
      </w:r>
      <w:r w:rsidR="005C4B88">
        <w:t>necessarily a</w:t>
      </w:r>
      <w:r>
        <w:t xml:space="preserve"> legal</w:t>
      </w:r>
      <w:r w:rsidR="005C4B88">
        <w:t>, not factual</w:t>
      </w:r>
      <w:r>
        <w:t xml:space="preserve"> determination.  Failing to discuss that assumption, they likewise provide no authority supporting it.  </w:t>
      </w:r>
    </w:p>
    <w:p w:rsidR="000277E2" w:rsidP="0039039D" w14:paraId="54D4A1B7" w14:textId="01A21140">
      <w:pPr>
        <w:spacing w:line="360" w:lineRule="auto"/>
        <w:ind w:firstLine="720"/>
      </w:pPr>
      <w:r>
        <w:t xml:space="preserve">It seems to us that </w:t>
      </w:r>
      <w:r w:rsidR="005602A8">
        <w:t>harmless error analysis is not a</w:t>
      </w:r>
      <w:r>
        <w:t>lways a</w:t>
      </w:r>
      <w:r w:rsidR="005602A8">
        <w:t xml:space="preserve"> purely legal issue</w:t>
      </w:r>
      <w:r w:rsidR="00BE46B9">
        <w:t xml:space="preserve"> </w:t>
      </w:r>
      <w:r>
        <w:t>and indeed, more often than not, involves a</w:t>
      </w:r>
      <w:r w:rsidR="0083182C">
        <w:t xml:space="preserve"> review </w:t>
      </w:r>
      <w:r>
        <w:t>of the trial evidence and the inferences that logically flow from it</w:t>
      </w:r>
      <w:r w:rsidR="009D7C5F">
        <w:t>.</w:t>
      </w:r>
      <w:r w:rsidR="005602A8">
        <w:t xml:space="preserve"> </w:t>
      </w:r>
      <w:r w:rsidR="00895CA7">
        <w:t xml:space="preserve"> I</w:t>
      </w:r>
      <w:r>
        <w:t>n determining whether error is harmless, appellate courts</w:t>
      </w:r>
      <w:r w:rsidR="00895CA7">
        <w:t xml:space="preserve"> </w:t>
      </w:r>
      <w:r>
        <w:t>typically</w:t>
      </w:r>
      <w:r w:rsidR="009D7C5F">
        <w:t xml:space="preserve"> </w:t>
      </w:r>
      <w:r w:rsidR="005453D7">
        <w:t>assess</w:t>
      </w:r>
      <w:r w:rsidR="00895CA7">
        <w:t xml:space="preserve"> </w:t>
      </w:r>
      <w:r w:rsidR="009D7C5F">
        <w:t>the weight</w:t>
      </w:r>
      <w:r w:rsidR="00BE46B9">
        <w:t xml:space="preserve"> </w:t>
      </w:r>
      <w:r w:rsidR="009D7C5F">
        <w:t>of the evidence.  (</w:t>
      </w:r>
      <w:r w:rsidRPr="007E7E3B" w:rsidR="009D7C5F">
        <w:rPr>
          <w:i/>
          <w:iCs/>
        </w:rPr>
        <w:t>People v. Aranda</w:t>
      </w:r>
      <w:r w:rsidR="009D7C5F">
        <w:t xml:space="preserve"> </w:t>
      </w:r>
      <w:r>
        <w:t>(</w:t>
      </w:r>
      <w:r w:rsidR="009D7C5F">
        <w:t xml:space="preserve">2012) 55 </w:t>
      </w:r>
      <w:r w:rsidRPr="000E6E13" w:rsidR="009D7C5F">
        <w:t>Cal.4th</w:t>
      </w:r>
      <w:r w:rsidR="009D7C5F">
        <w:t xml:space="preserve"> 342, 367 [“[T]he harmless error inquiry for the erroneous omission of instruction on one or more elements of a crime focuses </w:t>
      </w:r>
      <w:r w:rsidRPr="007E7E3B" w:rsidR="009D7C5F">
        <w:rPr>
          <w:i/>
          <w:iCs/>
        </w:rPr>
        <w:t>primarily</w:t>
      </w:r>
      <w:r w:rsidR="009D7C5F">
        <w:t xml:space="preserve"> on the weight of the evidence adduced at trial”];</w:t>
      </w:r>
      <w:r w:rsidRPr="007E7E3B" w:rsidR="009D7C5F">
        <w:rPr>
          <w:i/>
          <w:iCs/>
        </w:rPr>
        <w:t xml:space="preserve"> </w:t>
      </w:r>
      <w:r w:rsidRPr="0032118C" w:rsidR="009D7C5F">
        <w:rPr>
          <w:i/>
          <w:iCs/>
        </w:rPr>
        <w:t>People v. Aled</w:t>
      </w:r>
      <w:r w:rsidR="002417FC">
        <w:rPr>
          <w:i/>
          <w:iCs/>
        </w:rPr>
        <w:t>a</w:t>
      </w:r>
      <w:r w:rsidRPr="0032118C" w:rsidR="009D7C5F">
        <w:rPr>
          <w:i/>
          <w:iCs/>
        </w:rPr>
        <w:t>mat</w:t>
      </w:r>
      <w:r w:rsidR="009D7C5F">
        <w:t xml:space="preserve"> (2019) 8 Cal.5</w:t>
      </w:r>
      <w:r w:rsidRPr="00E85ED8" w:rsidR="009D7C5F">
        <w:t>th</w:t>
      </w:r>
      <w:r w:rsidRPr="00E85ED8" w:rsidR="009D7C5F">
        <w:rPr>
          <w:sz w:val="28"/>
        </w:rPr>
        <w:t xml:space="preserve"> </w:t>
      </w:r>
      <w:r w:rsidR="009D7C5F">
        <w:t>1, 17 (conc</w:t>
      </w:r>
      <w:r w:rsidR="000E6E13">
        <w:t>.</w:t>
      </w:r>
      <w:r w:rsidR="009D7C5F">
        <w:t xml:space="preserve"> </w:t>
      </w:r>
      <w:r w:rsidR="000E6E13">
        <w:t xml:space="preserve">&amp; </w:t>
      </w:r>
      <w:r w:rsidR="009D7C5F">
        <w:t>dis</w:t>
      </w:r>
      <w:r w:rsidR="000E6E13">
        <w:t>.</w:t>
      </w:r>
      <w:r w:rsidR="009D7C5F">
        <w:t xml:space="preserve"> opn</w:t>
      </w:r>
      <w:r w:rsidR="000E6E13">
        <w:t>.</w:t>
      </w:r>
      <w:r w:rsidR="009D7C5F">
        <w:t xml:space="preserve"> </w:t>
      </w:r>
      <w:r w:rsidR="000E6E13">
        <w:t>of</w:t>
      </w:r>
      <w:r w:rsidR="009D7C5F">
        <w:t xml:space="preserve"> Cuellar, J.) [</w:t>
      </w:r>
      <w:r w:rsidR="00350805">
        <w:t>c</w:t>
      </w:r>
      <w:r w:rsidRPr="0032118C" w:rsidR="009D7C5F">
        <w:t xml:space="preserve">ourts </w:t>
      </w:r>
      <w:r w:rsidR="00350805">
        <w:t>“</w:t>
      </w:r>
      <w:r w:rsidRPr="0032118C" w:rsidR="009D7C5F">
        <w:t xml:space="preserve">performing harmless error review </w:t>
      </w:r>
      <w:r w:rsidR="009D7C5F">
        <w:t>. . .</w:t>
      </w:r>
      <w:r w:rsidRPr="0032118C" w:rsidR="009D7C5F">
        <w:t xml:space="preserve"> must </w:t>
      </w:r>
      <w:r w:rsidRPr="005453D7" w:rsidR="009D7C5F">
        <w:rPr>
          <w:i/>
          <w:iCs/>
        </w:rPr>
        <w:t>weigh</w:t>
      </w:r>
      <w:r w:rsidRPr="0032118C" w:rsidR="009D7C5F">
        <w:t xml:space="preserve"> how an error affected the proceedings without displacing the jury as finder of fact</w:t>
      </w:r>
      <w:r w:rsidR="000E6E13">
        <w:t>,</w:t>
      </w:r>
      <w:r w:rsidR="009D7C5F">
        <w:t>”</w:t>
      </w:r>
      <w:r w:rsidR="000E6E13">
        <w:t xml:space="preserve"> italics added</w:t>
      </w:r>
      <w:r w:rsidR="009D7C5F">
        <w:t xml:space="preserve">]; see </w:t>
      </w:r>
      <w:r w:rsidRPr="004E270A" w:rsidR="009D7C5F">
        <w:rPr>
          <w:i/>
          <w:iCs/>
        </w:rPr>
        <w:t>People v. Doolin</w:t>
      </w:r>
      <w:r w:rsidR="009D7C5F">
        <w:t xml:space="preserve"> (2009) 45 </w:t>
      </w:r>
      <w:r w:rsidRPr="000E6E13" w:rsidR="009D7C5F">
        <w:t>Cal.4th</w:t>
      </w:r>
      <w:r w:rsidR="009D7C5F">
        <w:t xml:space="preserve"> 390, 449 [any error in admitting population frequency statistics for DNA was “harmless in light of the other </w:t>
      </w:r>
      <w:r w:rsidRPr="005453D7" w:rsidR="009D7C5F">
        <w:rPr>
          <w:i/>
          <w:iCs/>
        </w:rPr>
        <w:t>weighty</w:t>
      </w:r>
      <w:r w:rsidR="009D7C5F">
        <w:t xml:space="preserve"> evidence of defendant’s guilt</w:t>
      </w:r>
      <w:r w:rsidR="000E6E13">
        <w:t>,</w:t>
      </w:r>
      <w:r w:rsidR="009D7C5F">
        <w:t>”</w:t>
      </w:r>
      <w:r w:rsidR="000E6E13">
        <w:t xml:space="preserve"> italics added</w:t>
      </w:r>
      <w:r w:rsidR="009D7C5F">
        <w:t xml:space="preserve">]; </w:t>
      </w:r>
      <w:r w:rsidRPr="007E7E3B" w:rsidR="009D7C5F">
        <w:rPr>
          <w:i/>
          <w:iCs/>
        </w:rPr>
        <w:t>People v. Villasenor</w:t>
      </w:r>
      <w:r w:rsidR="009D7C5F">
        <w:t xml:space="preserve"> (2015) 242</w:t>
      </w:r>
      <w:r w:rsidR="006701F5">
        <w:t> </w:t>
      </w:r>
      <w:r w:rsidR="009D7C5F">
        <w:t>Cal.App.4th 42, 70 [“</w:t>
      </w:r>
      <w:r w:rsidR="00F32173">
        <w:t> </w:t>
      </w:r>
      <w:r w:rsidR="009D7C5F">
        <w:t>‘</w:t>
      </w:r>
      <w:r w:rsidRPr="000E6E13" w:rsidR="009D7C5F">
        <w:rPr>
          <w:i/>
          <w:iCs/>
        </w:rPr>
        <w:t>confessions</w:t>
      </w:r>
      <w:r w:rsidR="009D7C5F">
        <w:t xml:space="preserve"> carry “extreme </w:t>
      </w:r>
      <w:r w:rsidRPr="005453D7" w:rsidR="009D7C5F">
        <w:rPr>
          <w:i/>
          <w:iCs/>
        </w:rPr>
        <w:t>probative weight</w:t>
      </w:r>
      <w:r w:rsidR="009D7C5F">
        <w:t xml:space="preserve">,” [and] the admission of an unlawfully obtained </w:t>
      </w:r>
      <w:r w:rsidRPr="000E6E13" w:rsidR="009D7C5F">
        <w:rPr>
          <w:i/>
          <w:iCs/>
        </w:rPr>
        <w:t>confession</w:t>
      </w:r>
      <w:r w:rsidR="009D7C5F">
        <w:t xml:space="preserve"> rarely is harmless error</w:t>
      </w:r>
      <w:r w:rsidR="000E6E13">
        <w:t>,</w:t>
      </w:r>
      <w:r w:rsidR="009D7C5F">
        <w:t>’</w:t>
      </w:r>
      <w:r w:rsidR="00251BED">
        <w:t> </w:t>
      </w:r>
      <w:r w:rsidR="009D7C5F">
        <w:t>”</w:t>
      </w:r>
      <w:r w:rsidR="000E6E13">
        <w:t xml:space="preserve"> second</w:t>
      </w:r>
      <w:r w:rsidR="005453D7">
        <w:t xml:space="preserve"> italics added]</w:t>
      </w:r>
      <w:r w:rsidR="00A57EF1">
        <w:t>.</w:t>
      </w:r>
      <w:r w:rsidR="009D7C5F">
        <w:t>)</w:t>
      </w:r>
      <w:r w:rsidR="00895CA7">
        <w:t xml:space="preserve">  </w:t>
      </w:r>
    </w:p>
    <w:p w:rsidR="00895CA7" w:rsidP="0039039D" w14:paraId="551A7520" w14:textId="095D0A98">
      <w:pPr>
        <w:spacing w:line="360" w:lineRule="auto"/>
        <w:ind w:firstLine="720"/>
      </w:pPr>
      <w:r>
        <w:t xml:space="preserve">Harmless error analysis under </w:t>
      </w:r>
      <w:r w:rsidRPr="00D47F17">
        <w:rPr>
          <w:i/>
          <w:iCs/>
        </w:rPr>
        <w:t>Chapman</w:t>
      </w:r>
      <w:r w:rsidR="000E6E13">
        <w:rPr>
          <w:i/>
          <w:iCs/>
        </w:rPr>
        <w:t xml:space="preserve"> v. California </w:t>
      </w:r>
      <w:r w:rsidR="000E6E13">
        <w:t>(1967)</w:t>
      </w:r>
      <w:r w:rsidR="002B5C97">
        <w:t xml:space="preserve"> 386 U.S. 18 (</w:t>
      </w:r>
      <w:r w:rsidRPr="002B5C97" w:rsidR="002B5C97">
        <w:rPr>
          <w:i/>
          <w:iCs/>
        </w:rPr>
        <w:t>Chapman</w:t>
      </w:r>
      <w:r w:rsidR="002B5C97">
        <w:t>)</w:t>
      </w:r>
      <w:r>
        <w:t xml:space="preserve"> entails “</w:t>
      </w:r>
      <w:r w:rsidR="002B5C97">
        <w:t xml:space="preserve"> ‘</w:t>
      </w:r>
      <w:r>
        <w:t>examining the entire cause, including the evidence, and considering all relevant circumstances</w:t>
      </w:r>
      <w:r w:rsidR="002B5C97">
        <w:t xml:space="preserve">’ </w:t>
      </w:r>
      <w:r>
        <w:t>” to determine whether, beyond a reasonable doubt, the error did not contribute to the verdict.  (</w:t>
      </w:r>
      <w:r w:rsidRPr="000467DD">
        <w:rPr>
          <w:i/>
          <w:iCs/>
        </w:rPr>
        <w:t>In re Ferrell</w:t>
      </w:r>
      <w:r w:rsidR="004541B5">
        <w:t xml:space="preserve">, </w:t>
      </w:r>
      <w:r w:rsidRPr="00ED4C71" w:rsidR="004541B5">
        <w:rPr>
          <w:i/>
          <w:iCs/>
        </w:rPr>
        <w:t>supra</w:t>
      </w:r>
      <w:r w:rsidR="004541B5">
        <w:t xml:space="preserve">, </w:t>
      </w:r>
      <w:r w:rsidR="002B5C97">
        <w:t xml:space="preserve">14 </w:t>
      </w:r>
      <w:r>
        <w:t>Cal.5</w:t>
      </w:r>
      <w:r w:rsidRPr="002B5C97">
        <w:t>th</w:t>
      </w:r>
      <w:r w:rsidR="002B5C97">
        <w:t xml:space="preserve"> </w:t>
      </w:r>
      <w:r w:rsidR="004541B5">
        <w:t>at p. </w:t>
      </w:r>
      <w:r w:rsidR="002B5C97">
        <w:t>602</w:t>
      </w:r>
      <w:r>
        <w:t xml:space="preserve">.)  </w:t>
      </w:r>
      <w:r w:rsidR="0068158B">
        <w:t xml:space="preserve">If </w:t>
      </w:r>
      <w:r w:rsidRPr="0068158B">
        <w:t>“</w:t>
      </w:r>
      <w:r w:rsidRPr="0068158B" w:rsidR="002B5C97">
        <w:t> </w:t>
      </w:r>
      <w:r w:rsidRPr="0068158B">
        <w:t>‘</w:t>
      </w:r>
      <w:r w:rsidRPr="0068158B" w:rsidR="0068158B">
        <w:t> </w:t>
      </w:r>
      <w:r w:rsidRPr="0068158B">
        <w:t>“ ‘[n]o reasonable jury’ ”</w:t>
      </w:r>
      <w:r w:rsidRPr="002E4B0F">
        <w:t xml:space="preserve"> would have found in favor of the defendant on the</w:t>
      </w:r>
      <w:r>
        <w:t>’</w:t>
      </w:r>
      <w:r w:rsidRPr="002E4B0F">
        <w:t xml:space="preserve"> valid theory, </w:t>
      </w:r>
      <w:r>
        <w:t>‘</w:t>
      </w:r>
      <w:r w:rsidRPr="002E4B0F">
        <w:t>given the jury</w:t>
      </w:r>
      <w:r>
        <w:t>’</w:t>
      </w:r>
      <w:r w:rsidRPr="002E4B0F">
        <w:t>s actual verdict and the state of the evidence, the error may be found harmless beyond a reasonable doubt.</w:t>
      </w:r>
      <w:r>
        <w:t>’</w:t>
      </w:r>
      <w:r w:rsidRPr="002E4B0F">
        <w:t xml:space="preserve"> </w:t>
      </w:r>
      <w:r>
        <w:t xml:space="preserve"> </w:t>
      </w:r>
      <w:r w:rsidRPr="002E4B0F">
        <w:t>(</w:t>
      </w:r>
      <w:r w:rsidRPr="002E4B0F">
        <w:rPr>
          <w:i/>
          <w:iCs/>
        </w:rPr>
        <w:t>In re Lopez</w:t>
      </w:r>
      <w:r w:rsidR="00DA4175">
        <w:rPr>
          <w:i/>
          <w:iCs/>
        </w:rPr>
        <w:t xml:space="preserve"> </w:t>
      </w:r>
      <w:r w:rsidR="002B5C97">
        <w:t>[, </w:t>
      </w:r>
      <w:r w:rsidRPr="002B5C97" w:rsidR="002B5C97">
        <w:rPr>
          <w:i/>
          <w:iCs/>
        </w:rPr>
        <w:t>supra</w:t>
      </w:r>
      <w:r w:rsidR="002B5C97">
        <w:t>, 14 Cal.5</w:t>
      </w:r>
      <w:r w:rsidRPr="002B5C97" w:rsidR="002B5C97">
        <w:t>th</w:t>
      </w:r>
      <w:r w:rsidR="002B5C97">
        <w:t xml:space="preserve"> at p. 580]</w:t>
      </w:r>
      <w:r w:rsidRPr="002E4B0F">
        <w:t xml:space="preserve">, quoting </w:t>
      </w:r>
      <w:r w:rsidRPr="002E4B0F">
        <w:rPr>
          <w:i/>
          <w:iCs/>
        </w:rPr>
        <w:t>Aledamat</w:t>
      </w:r>
      <w:r w:rsidR="00F6099E">
        <w:t>,</w:t>
      </w:r>
      <w:r w:rsidR="000E30C7">
        <w:t xml:space="preserve"> </w:t>
      </w:r>
      <w:r w:rsidR="00F6099E">
        <w:t>at p.</w:t>
      </w:r>
      <w:r w:rsidRPr="002E4B0F">
        <w:t xml:space="preserve"> 15; accord</w:t>
      </w:r>
      <w:r w:rsidR="000E30C7">
        <w:t>,</w:t>
      </w:r>
      <w:r w:rsidRPr="002E4B0F">
        <w:t xml:space="preserve"> </w:t>
      </w:r>
      <w:r w:rsidRPr="002E4B0F">
        <w:rPr>
          <w:i/>
          <w:iCs/>
        </w:rPr>
        <w:t>Neder v. United</w:t>
      </w:r>
      <w:r w:rsidRPr="002E4B0F">
        <w:t xml:space="preserve"> </w:t>
      </w:r>
      <w:r w:rsidRPr="002E4B0F">
        <w:rPr>
          <w:i/>
          <w:iCs/>
        </w:rPr>
        <w:t>States</w:t>
      </w:r>
      <w:r w:rsidRPr="002E4B0F">
        <w:t xml:space="preserve"> (1999) 527 U.S. 1, 19 [</w:t>
      </w:r>
      <w:r>
        <w:t>‘</w:t>
      </w:r>
      <w:r w:rsidRPr="002E4B0F">
        <w:t>[A] court, in typical appellate-court fashion, asks whether the record contains evidence that could rationally lead to a contrary finding with respect to the omitted element</w:t>
      </w:r>
      <w:r>
        <w:t>’</w:t>
      </w:r>
      <w:r w:rsidRPr="006A34E6">
        <w:t>].)”</w:t>
      </w:r>
      <w:r>
        <w:t xml:space="preserve">  (</w:t>
      </w:r>
      <w:r w:rsidRPr="000467DD">
        <w:rPr>
          <w:i/>
          <w:iCs/>
        </w:rPr>
        <w:t>In re Ferrell</w:t>
      </w:r>
      <w:r w:rsidR="000E30C7">
        <w:t xml:space="preserve"> at p. 603.</w:t>
      </w:r>
      <w:r>
        <w:t>)</w:t>
      </w:r>
    </w:p>
    <w:p w:rsidR="001D1177" w:rsidP="0039039D" w14:paraId="318AE3BF" w14:textId="67FE4AA3">
      <w:pPr>
        <w:spacing w:line="360" w:lineRule="auto"/>
        <w:ind w:firstLine="720"/>
      </w:pPr>
      <w:r>
        <w:t xml:space="preserve">In analyzing the harmless error question on direct appeal in this case, </w:t>
      </w:r>
      <w:r w:rsidR="00F016A8">
        <w:t xml:space="preserve">we did not reach a conclusion as a matter of law based on the instructions and verdict alone.  Rather, </w:t>
      </w:r>
      <w:r>
        <w:t>we assessed</w:t>
      </w:r>
      <w:r w:rsidR="00FD523E">
        <w:t xml:space="preserve"> and considered</w:t>
      </w:r>
      <w:r>
        <w:t xml:space="preserve"> the weight of the evidence</w:t>
      </w:r>
      <w:r w:rsidR="00FD523E">
        <w:t xml:space="preserve"> in concluding beyond a reasonable doubt that the jury’s verdict</w:t>
      </w:r>
      <w:r w:rsidR="00F016A8">
        <w:t>s</w:t>
      </w:r>
      <w:r w:rsidR="00FD523E">
        <w:t xml:space="preserve"> of first degree murder </w:t>
      </w:r>
      <w:r w:rsidR="00F016A8">
        <w:t>were</w:t>
      </w:r>
      <w:r w:rsidR="00FD523E">
        <w:t xml:space="preserve"> based on a theory of conspiracy to commit murder or aiding and abetting first degree murder rather than a theory of natural and probable consequences</w:t>
      </w:r>
      <w:r>
        <w:t xml:space="preserve">.  </w:t>
      </w:r>
      <w:r w:rsidR="00FD523E">
        <w:t xml:space="preserve">We </w:t>
      </w:r>
      <w:r w:rsidR="00F016A8">
        <w:t>observed</w:t>
      </w:r>
      <w:r w:rsidR="00FD523E">
        <w:t xml:space="preserve"> that, given the evidence, there could be no question that “Flowers, who the evidence plainly indicated was the shooter,”</w:t>
      </w:r>
      <w:r>
        <w:rPr>
          <w:rStyle w:val="FootnoteReference"/>
          <w:b/>
          <w:bCs/>
        </w:rPr>
        <w:footnoteReference w:id="16"/>
      </w:r>
      <w:r w:rsidRPr="00512969" w:rsidR="00FD523E">
        <w:rPr>
          <w:b/>
          <w:bCs/>
        </w:rPr>
        <w:t xml:space="preserve"> </w:t>
      </w:r>
      <w:r w:rsidR="00FD523E">
        <w:t>acted with intent to kill when he “fir[ed] a barrage of bullets at Charles.”</w:t>
      </w:r>
      <w:r>
        <w:rPr>
          <w:rStyle w:val="FootnoteReference"/>
          <w:b/>
          <w:bCs/>
        </w:rPr>
        <w:footnoteReference w:id="17"/>
      </w:r>
      <w:r w:rsidR="00FD523E">
        <w:t xml:space="preserve">  (</w:t>
      </w:r>
      <w:r w:rsidR="00E82BC6">
        <w:rPr>
          <w:i/>
          <w:iCs/>
        </w:rPr>
        <w:t xml:space="preserve">Anthony I, supra, </w:t>
      </w:r>
      <w:r w:rsidR="00E82BC6">
        <w:t>32 Cal.App.5</w:t>
      </w:r>
      <w:r w:rsidRPr="00E82BC6" w:rsidR="00E82BC6">
        <w:t>th</w:t>
      </w:r>
      <w:r w:rsidR="00FD523E">
        <w:t xml:space="preserve"> at p. 1146.)  </w:t>
      </w:r>
      <w:r w:rsidR="00F016A8">
        <w:t>Further, we explained</w:t>
      </w:r>
      <w:r>
        <w:t xml:space="preserve"> that </w:t>
      </w:r>
      <w:r w:rsidR="004D364B">
        <w:t>“[</w:t>
      </w:r>
      <w:r>
        <w:t>t</w:t>
      </w:r>
      <w:r w:rsidR="004D364B">
        <w:t>]</w:t>
      </w:r>
      <w:r>
        <w:t>he jury’s findings that Anthony, Price and Campbell</w:t>
      </w:r>
      <w:r w:rsidRPr="00C349CC" w:rsidR="004D364B">
        <w:t>, none of whom was proven to be the actual killer,</w:t>
      </w:r>
      <w:r w:rsidR="00FD523E">
        <w:t xml:space="preserve"> </w:t>
      </w:r>
      <w:r>
        <w:t xml:space="preserve">intended to kill </w:t>
      </w:r>
      <w:r w:rsidR="00FC7B7C">
        <w:t>Charles</w:t>
      </w:r>
      <w:r>
        <w:t xml:space="preserve"> strongly suggest</w:t>
      </w:r>
      <w:r w:rsidR="00C349CC">
        <w:t>[</w:t>
      </w:r>
      <w:r w:rsidR="00FD523E">
        <w:t>ed</w:t>
      </w:r>
      <w:r w:rsidR="00C349CC">
        <w:t>]</w:t>
      </w:r>
      <w:r>
        <w:t xml:space="preserve"> that its first degree murder verdicts for </w:t>
      </w:r>
      <w:r w:rsidR="00C349CC">
        <w:t xml:space="preserve">each of </w:t>
      </w:r>
      <w:r>
        <w:t xml:space="preserve">them were based on its conclusion that each aided and abetted or conspired to </w:t>
      </w:r>
      <w:r w:rsidRPr="004D364B">
        <w:rPr>
          <w:i/>
          <w:iCs/>
        </w:rPr>
        <w:t>murder</w:t>
      </w:r>
      <w:r>
        <w:t xml:space="preserve"> Charles, not merely to assault him.”  (</w:t>
      </w:r>
      <w:r w:rsidR="001662EB">
        <w:rPr>
          <w:i/>
          <w:iCs/>
        </w:rPr>
        <w:t>Id.</w:t>
      </w:r>
      <w:r>
        <w:t xml:space="preserve"> at p. </w:t>
      </w:r>
      <w:r w:rsidR="00B652E9">
        <w:t xml:space="preserve">1145.) </w:t>
      </w:r>
      <w:r>
        <w:t xml:space="preserve"> </w:t>
      </w:r>
      <w:r w:rsidR="00FD523E">
        <w:t>We</w:t>
      </w:r>
      <w:r w:rsidR="00B652E9">
        <w:t xml:space="preserve"> reject</w:t>
      </w:r>
      <w:r w:rsidR="00FD523E">
        <w:t>ed the</w:t>
      </w:r>
      <w:r w:rsidR="00B652E9">
        <w:t xml:space="preserve"> “[d]efendants’ argument that the jury’s ‘intent to kill’ finding was consistent with second degree murder,” because it was contrary to the “overwhelming evidence</w:t>
      </w:r>
      <w:r w:rsidR="00F016A8">
        <w:t xml:space="preserve">.”  </w:t>
      </w:r>
      <w:r w:rsidR="001662EB">
        <w:t>(</w:t>
      </w:r>
      <w:r w:rsidR="001662EB">
        <w:rPr>
          <w:i/>
          <w:iCs/>
        </w:rPr>
        <w:t xml:space="preserve">Id. </w:t>
      </w:r>
      <w:r w:rsidR="001662EB">
        <w:t xml:space="preserve">at p. 1146.)  </w:t>
      </w:r>
      <w:r w:rsidR="00F016A8">
        <w:t>Specifically, we opined that</w:t>
      </w:r>
      <w:r w:rsidR="00A61EA4">
        <w:t xml:space="preserve"> “[e]very aspect of </w:t>
      </w:r>
      <w:r w:rsidR="00F016A8">
        <w:t>[</w:t>
      </w:r>
      <w:r w:rsidR="00B01002">
        <w:t>A</w:t>
      </w:r>
      <w:r w:rsidR="0047737A">
        <w:t>ppellant</w:t>
      </w:r>
      <w:r w:rsidR="00F016A8">
        <w:t>s’]</w:t>
      </w:r>
      <w:r w:rsidR="00A61EA4">
        <w:t xml:space="preserve"> conduct indicates they acted with wil</w:t>
      </w:r>
      <w:r w:rsidR="001662EB">
        <w:t>l</w:t>
      </w:r>
      <w:r w:rsidR="00A61EA4">
        <w:t>fullness, deliberation and premeditation to murder Charles [Davis]</w:t>
      </w:r>
      <w:r w:rsidR="00F016A8">
        <w:t>.</w:t>
      </w:r>
      <w:r w:rsidR="00A61EA4">
        <w:t>”  (</w:t>
      </w:r>
      <w:r w:rsidRPr="001C4F1D" w:rsidR="00A61EA4">
        <w:rPr>
          <w:i/>
          <w:iCs/>
        </w:rPr>
        <w:t>Id</w:t>
      </w:r>
      <w:r w:rsidR="00A61EA4">
        <w:t>. at p. 1145.)  The circumstances indicated “they were intent upon murder when they drove together into Berkeley, and were intent upon murdering Charles specifically when they came upon him because of his familial relationship to reputed Berkeley gang member Jermaine [Davis].</w:t>
      </w:r>
      <w:r w:rsidR="00344556">
        <w:t xml:space="preserve"> </w:t>
      </w:r>
      <w:r w:rsidR="00512969">
        <w:t xml:space="preserve"> </w:t>
      </w:r>
      <w:r w:rsidR="00A61EA4">
        <w:t>Their actions show</w:t>
      </w:r>
      <w:r w:rsidR="00F016A8">
        <w:t>[ed]</w:t>
      </w:r>
      <w:r w:rsidR="00A61EA4">
        <w:t xml:space="preserve"> planning, motive and a preexisting intent to kill,</w:t>
      </w:r>
      <w:r w:rsidRPr="004277F8" w:rsidR="004277F8">
        <w:rPr>
          <w:b/>
          <w:bCs/>
          <w:vertAlign w:val="superscript"/>
        </w:rPr>
        <w:t>[</w:t>
      </w:r>
      <w:r>
        <w:rPr>
          <w:rStyle w:val="FootnoteReference"/>
          <w:b/>
          <w:bCs/>
        </w:rPr>
        <w:footnoteReference w:id="18"/>
      </w:r>
      <w:r w:rsidRPr="004277F8" w:rsidR="004277F8">
        <w:rPr>
          <w:b/>
          <w:bCs/>
          <w:vertAlign w:val="superscript"/>
        </w:rPr>
        <w:t>]</w:t>
      </w:r>
      <w:r w:rsidR="00A61EA4">
        <w:t xml:space="preserve"> rather than unconsidered, impulsive actions.  Accordingly, the prosecutor emphasized a first degree murder theory in his closing argument to the jury, such as when he asserted, ‘This was an ambush and an execution.  Plain and simple.’ ”</w:t>
      </w:r>
      <w:r w:rsidR="00A85081">
        <w:t xml:space="preserve"> </w:t>
      </w:r>
      <w:r w:rsidR="00A61EA4">
        <w:t xml:space="preserve"> </w:t>
      </w:r>
      <w:r w:rsidR="00A85081">
        <w:t>(</w:t>
      </w:r>
      <w:r w:rsidRPr="00A85081" w:rsidR="00A85081">
        <w:rPr>
          <w:i/>
          <w:iCs/>
        </w:rPr>
        <w:t>Id</w:t>
      </w:r>
      <w:r w:rsidR="00A85081">
        <w:t xml:space="preserve">. at </w:t>
      </w:r>
      <w:r w:rsidR="00FF34A8">
        <w:t>p.</w:t>
      </w:r>
      <w:r w:rsidR="00777377">
        <w:t> </w:t>
      </w:r>
      <w:r w:rsidR="00A85081">
        <w:t xml:space="preserve">1145; see </w:t>
      </w:r>
      <w:r w:rsidRPr="00FF34A8" w:rsidR="00A85081">
        <w:rPr>
          <w:i/>
          <w:iCs/>
        </w:rPr>
        <w:t>id</w:t>
      </w:r>
      <w:r w:rsidR="00A85081">
        <w:t xml:space="preserve">. at </w:t>
      </w:r>
      <w:r w:rsidR="00FF34A8">
        <w:t>p.</w:t>
      </w:r>
      <w:r w:rsidR="002D554B">
        <w:t> </w:t>
      </w:r>
      <w:r w:rsidR="00A85081">
        <w:t>1143.)</w:t>
      </w:r>
      <w:r w:rsidR="00DE0B9B">
        <w:t xml:space="preserve"> </w:t>
      </w:r>
      <w:r w:rsidR="00A61EA4">
        <w:t xml:space="preserve"> “</w:t>
      </w:r>
      <w:r w:rsidR="00F016A8">
        <w:t>[I]</w:t>
      </w:r>
      <w:r w:rsidR="00A61EA4">
        <w:t>t would have been nonsensical</w:t>
      </w:r>
      <w:r w:rsidR="00F016A8">
        <w:t>,” we opined,</w:t>
      </w:r>
      <w:r w:rsidR="00A61EA4">
        <w:t xml:space="preserve"> </w:t>
      </w:r>
      <w:r w:rsidR="00F016A8">
        <w:t>“</w:t>
      </w:r>
      <w:r w:rsidR="00A61EA4">
        <w:t>for the jury to conclude that, while Flowers acted with premeditation and deliberation in committing the murder, he was aided and abetted</w:t>
      </w:r>
      <w:r w:rsidR="00791025">
        <w:t>, or in a conspiracy, with three defendants who did not form the intent to kill until the murder occurred.  The jury would have had to conclude that Flowers concealed his own murderous intent from Anthony, Price and Campbell as they drove into the heart of the Berkeley gang’s territory until the moment Flowers killed Charles, and that each of the three decided on the spur of the moment to aid and abet, or conspire, with Flowers to murder Charles.  This despite Flowers’s near constant cell phone communications with both Anthony and Price in the days leading up to the murder, and defendants’ travel together to the rival Berkeley gang’s territory heavily armed</w:t>
      </w:r>
      <w:r w:rsidRPr="00DE0B9B" w:rsidR="00DE0B9B">
        <w:rPr>
          <w:b/>
          <w:bCs/>
          <w:vertAlign w:val="superscript"/>
        </w:rPr>
        <w:t>[</w:t>
      </w:r>
      <w:r>
        <w:rPr>
          <w:rStyle w:val="FootnoteReference"/>
          <w:b/>
          <w:bCs/>
        </w:rPr>
        <w:footnoteReference w:id="19"/>
      </w:r>
      <w:r w:rsidR="00DE0B9B">
        <w:rPr>
          <w:b/>
          <w:bCs/>
          <w:vertAlign w:val="superscript"/>
        </w:rPr>
        <w:t>]</w:t>
      </w:r>
      <w:r w:rsidR="00791025">
        <w:t xml:space="preserve"> and with masks.</w:t>
      </w:r>
      <w:r w:rsidR="00B62397">
        <w:t>”</w:t>
      </w:r>
      <w:r w:rsidR="003819BB">
        <w:t xml:space="preserve"> </w:t>
      </w:r>
      <w:r w:rsidR="00B62397">
        <w:t xml:space="preserve"> </w:t>
      </w:r>
      <w:r w:rsidR="003819BB">
        <w:t>(</w:t>
      </w:r>
      <w:r w:rsidRPr="002D554B" w:rsidR="003819BB">
        <w:rPr>
          <w:i/>
          <w:iCs/>
        </w:rPr>
        <w:t>Id.</w:t>
      </w:r>
      <w:r w:rsidR="003819BB">
        <w:t xml:space="preserve"> at </w:t>
      </w:r>
      <w:r w:rsidR="002D554B">
        <w:t xml:space="preserve">p. </w:t>
      </w:r>
      <w:r w:rsidR="003819BB">
        <w:t xml:space="preserve">1146; see </w:t>
      </w:r>
      <w:r w:rsidRPr="002D554B" w:rsidR="003819BB">
        <w:rPr>
          <w:i/>
          <w:iCs/>
        </w:rPr>
        <w:t>id.</w:t>
      </w:r>
      <w:r w:rsidR="003819BB">
        <w:t xml:space="preserve"> at </w:t>
      </w:r>
      <w:r w:rsidR="002D554B">
        <w:t xml:space="preserve">pp. </w:t>
      </w:r>
      <w:r w:rsidR="003819BB">
        <w:t>1</w:t>
      </w:r>
      <w:r w:rsidR="00DE0B9B">
        <w:t>1</w:t>
      </w:r>
      <w:r w:rsidR="003819BB">
        <w:t>09,</w:t>
      </w:r>
      <w:r w:rsidR="001C4F1D">
        <w:t xml:space="preserve"> </w:t>
      </w:r>
      <w:r w:rsidR="003819BB">
        <w:t>1112</w:t>
      </w:r>
      <w:r w:rsidR="001C4F1D">
        <w:t>-1113</w:t>
      </w:r>
      <w:r w:rsidR="00A85081">
        <w:t>, 1141</w:t>
      </w:r>
      <w:r w:rsidR="00B62397">
        <w:t>.</w:t>
      </w:r>
      <w:r w:rsidR="003819BB">
        <w:t>)</w:t>
      </w:r>
    </w:p>
    <w:p w:rsidR="00B62397" w:rsidP="0039039D" w14:paraId="34136A19" w14:textId="288FC650">
      <w:pPr>
        <w:spacing w:line="360" w:lineRule="auto"/>
        <w:ind w:firstLine="720"/>
      </w:pPr>
      <w:r>
        <w:t xml:space="preserve">In short, our harmless error analysis and our conclusion that the </w:t>
      </w:r>
      <w:r w:rsidRPr="00FD374C">
        <w:rPr>
          <w:i/>
          <w:iCs/>
        </w:rPr>
        <w:t>Chiu</w:t>
      </w:r>
      <w:r>
        <w:t xml:space="preserve"> error was harmless beyond a reasonable doubt </w:t>
      </w:r>
      <w:r w:rsidR="0047052A">
        <w:t xml:space="preserve">because </w:t>
      </w:r>
      <w:r>
        <w:t>rational jurors could not have found intent to kill on the part of defendants without finding premeditated murder</w:t>
      </w:r>
      <w:r w:rsidR="0047052A">
        <w:t xml:space="preserve"> was heavily fact- and evidence-based</w:t>
      </w:r>
      <w:r>
        <w:t xml:space="preserve">.  </w:t>
      </w:r>
      <w:r w:rsidR="0047052A">
        <w:t>T</w:t>
      </w:r>
      <w:r>
        <w:t xml:space="preserve">he People have failed to </w:t>
      </w:r>
      <w:r w:rsidR="001C7371">
        <w:t>persuade us that</w:t>
      </w:r>
      <w:r w:rsidR="0047052A">
        <w:t xml:space="preserve"> our ruling falls</w:t>
      </w:r>
      <w:r>
        <w:t xml:space="preserve"> within the law of the case doctrine.</w:t>
      </w:r>
    </w:p>
    <w:p w:rsidR="004227B2" w:rsidP="0039039D" w14:paraId="1BB9703D" w14:textId="45827DD4">
      <w:pPr>
        <w:spacing w:line="360" w:lineRule="auto"/>
        <w:ind w:firstLine="720"/>
      </w:pPr>
      <w:r>
        <w:t>Additionally</w:t>
      </w:r>
      <w:r w:rsidR="00924A37">
        <w:t xml:space="preserve">, </w:t>
      </w:r>
      <w:r>
        <w:t>the requirement under section 1172.6 that the court must allow the parties to present additional evidence is itself a reason that law of the case does not apply here.  W</w:t>
      </w:r>
      <w:r w:rsidR="00924A37">
        <w:t>hat the Legislature intended trial judges would decide in holding evidentiary hearings under section 1172.6 is a review of a decidedly factual nature.  “The question is whether the petitioner committed murder under a still-valid theory, and that is a factual question.</w:t>
      </w:r>
      <w:r w:rsidR="002D554B">
        <w:t xml:space="preserve"> </w:t>
      </w:r>
      <w:r w:rsidR="00924A37">
        <w:t xml:space="preserve"> The Legislature made this clear by explicitly holding the People to the beyond a reasonable doubt evidentiary standard and by permitting the parties to submit new or additional evidence at the hearing on eligibility.”  (</w:t>
      </w:r>
      <w:r w:rsidRPr="00924A37" w:rsidR="00924A37">
        <w:rPr>
          <w:i/>
          <w:iCs/>
        </w:rPr>
        <w:t>People v. Clements</w:t>
      </w:r>
      <w:r w:rsidR="00924A37">
        <w:t xml:space="preserve"> (2022) 75 Cal.App.5th 276, 294 [rejecting argument that trial court must decide only whether evidence is sufficient to support verdict].)</w:t>
      </w:r>
      <w:r>
        <w:t xml:space="preserve"> </w:t>
      </w:r>
      <w:r w:rsidR="001E3857">
        <w:t xml:space="preserve"> </w:t>
      </w:r>
      <w:r>
        <w:t>U</w:t>
      </w:r>
      <w:r w:rsidR="0047052A">
        <w:t xml:space="preserve">nder </w:t>
      </w:r>
      <w:r w:rsidR="00B205BE">
        <w:rPr>
          <w:i/>
          <w:iCs/>
        </w:rPr>
        <w:t xml:space="preserve">In re </w:t>
      </w:r>
      <w:r w:rsidR="00DE0B9B">
        <w:rPr>
          <w:i/>
          <w:iCs/>
        </w:rPr>
        <w:t>L</w:t>
      </w:r>
      <w:r w:rsidRPr="0047052A" w:rsidR="0047052A">
        <w:rPr>
          <w:i/>
          <w:iCs/>
        </w:rPr>
        <w:t>opez</w:t>
      </w:r>
      <w:r w:rsidRPr="00C942A9" w:rsidR="009D523A">
        <w:rPr>
          <w:b/>
          <w:bCs/>
        </w:rPr>
        <w:t xml:space="preserve"> </w:t>
      </w:r>
      <w:r w:rsidRPr="00FE5474" w:rsidR="009D523A">
        <w:t xml:space="preserve">and </w:t>
      </w:r>
      <w:r w:rsidRPr="00FE5474" w:rsidR="009D523A">
        <w:rPr>
          <w:i/>
          <w:iCs/>
        </w:rPr>
        <w:t>Curiel</w:t>
      </w:r>
      <w:r>
        <w:t xml:space="preserve">, </w:t>
      </w:r>
      <w:r w:rsidR="00152538">
        <w:t xml:space="preserve">the trial court on remand will need to </w:t>
      </w:r>
      <w:r w:rsidR="00B62397">
        <w:t>engage in a</w:t>
      </w:r>
      <w:r>
        <w:t>n</w:t>
      </w:r>
      <w:r w:rsidR="00B62397">
        <w:t xml:space="preserve"> </w:t>
      </w:r>
      <w:r w:rsidR="00152538">
        <w:t>assessment</w:t>
      </w:r>
      <w:r w:rsidR="00B62397">
        <w:t xml:space="preserve"> </w:t>
      </w:r>
      <w:r>
        <w:t xml:space="preserve">of the evidence </w:t>
      </w:r>
      <w:r w:rsidR="00152538">
        <w:t xml:space="preserve">that will almost certainly involve </w:t>
      </w:r>
      <w:r>
        <w:t>assessments of</w:t>
      </w:r>
      <w:r w:rsidR="00152538">
        <w:t xml:space="preserve"> </w:t>
      </w:r>
      <w:r>
        <w:t xml:space="preserve">the </w:t>
      </w:r>
      <w:r w:rsidR="00152538">
        <w:t>weigh</w:t>
      </w:r>
      <w:r w:rsidR="0047052A">
        <w:t>t</w:t>
      </w:r>
      <w:r w:rsidR="00152538">
        <w:t xml:space="preserve"> and credibility of evidence</w:t>
      </w:r>
      <w:r w:rsidR="001C7371">
        <w:t xml:space="preserve"> and possibly other indicia bearing on whether </w:t>
      </w:r>
      <w:r w:rsidR="00B01002">
        <w:t>A</w:t>
      </w:r>
      <w:r w:rsidR="001C7371">
        <w:t xml:space="preserve">ppellants “could not presently be convicted of murder or attempted murder because of changes to Section 188 or 189 made effective January 1, 2019.” </w:t>
      </w:r>
      <w:r w:rsidR="002D554B">
        <w:t xml:space="preserve"> </w:t>
      </w:r>
      <w:r w:rsidR="001C7371">
        <w:t>(</w:t>
      </w:r>
      <w:r w:rsidR="00A308A6">
        <w:t>§1172.6, subd. (a)(3).)</w:t>
      </w:r>
      <w:r>
        <w:rPr>
          <w:b/>
          <w:bCs/>
        </w:rPr>
        <w:t xml:space="preserve">  </w:t>
      </w:r>
      <w:r>
        <w:t>The People, who will bear the burden of proof at the evidentiary hearing, may present new or additional evidence, as may</w:t>
      </w:r>
      <w:r w:rsidR="009C663B">
        <w:t xml:space="preserve"> </w:t>
      </w:r>
      <w:r w:rsidR="00316F03">
        <w:t>A</w:t>
      </w:r>
      <w:r>
        <w:t>ppellants.  (</w:t>
      </w:r>
      <w:r w:rsidR="00DE0B9B">
        <w:rPr>
          <w:i/>
          <w:iCs/>
        </w:rPr>
        <w:t>Id.</w:t>
      </w:r>
      <w:r>
        <w:t>, subd. (d)(3).)</w:t>
      </w:r>
      <w:r w:rsidR="001C7371">
        <w:t xml:space="preserve"> </w:t>
      </w:r>
      <w:r w:rsidR="00152538">
        <w:t xml:space="preserve"> </w:t>
      </w:r>
    </w:p>
    <w:p w:rsidR="00FA7211" w:rsidP="0039039D" w14:paraId="5FC82B9D" w14:textId="27C782CA">
      <w:pPr>
        <w:spacing w:line="360" w:lineRule="auto"/>
        <w:ind w:firstLine="720"/>
      </w:pPr>
      <w:r>
        <w:t xml:space="preserve">“[T]he law-of-the-case doctrine governs only the </w:t>
      </w:r>
      <w:r w:rsidRPr="00DE0B9B">
        <w:rPr>
          <w:i/>
          <w:iCs/>
        </w:rPr>
        <w:t xml:space="preserve">principles of law </w:t>
      </w:r>
      <w:r>
        <w:t xml:space="preserve">laid down by an appellate court, as applicable to a retrial of fact, and </w:t>
      </w:r>
      <w:r w:rsidRPr="0047052A">
        <w:rPr>
          <w:i/>
          <w:iCs/>
        </w:rPr>
        <w:t>it controls the outcome on retrial only to the extent the evidence is substantially the same</w:t>
      </w:r>
      <w:r>
        <w:t>.”  (</w:t>
      </w:r>
      <w:r w:rsidRPr="0047052A">
        <w:rPr>
          <w:i/>
          <w:iCs/>
        </w:rPr>
        <w:t>People v. Boyer</w:t>
      </w:r>
      <w:r>
        <w:t xml:space="preserve"> (2006) 38 Cal.4th 412, 442</w:t>
      </w:r>
      <w:r w:rsidR="00DE0B9B">
        <w:t>, second italics added</w:t>
      </w:r>
      <w:r>
        <w:t>.)  Because the parties may present new evidence on remand, it is not clear that the evidence will be substantially the same.</w:t>
      </w:r>
      <w:r w:rsidR="008017E4">
        <w:t xml:space="preserve">  As the court stated in </w:t>
      </w:r>
      <w:r w:rsidRPr="008017E4" w:rsidR="008017E4">
        <w:rPr>
          <w:i/>
          <w:iCs/>
        </w:rPr>
        <w:t>Boyer</w:t>
      </w:r>
      <w:r w:rsidR="008017E4">
        <w:t xml:space="preserve">, “Our discussion of suppression issues in </w:t>
      </w:r>
      <w:r w:rsidR="00151462">
        <w:t>[</w:t>
      </w:r>
      <w:r w:rsidR="00151462">
        <w:rPr>
          <w:i/>
          <w:iCs/>
        </w:rPr>
        <w:t xml:space="preserve">People v. Boyer </w:t>
      </w:r>
      <w:r w:rsidR="00151462">
        <w:t>(1989) 48 Cal.3d 247 (</w:t>
      </w:r>
      <w:r w:rsidRPr="008017E4" w:rsidR="00151462">
        <w:rPr>
          <w:i/>
          <w:iCs/>
        </w:rPr>
        <w:t>Boyer I</w:t>
      </w:r>
      <w:r w:rsidR="00151462">
        <w:t xml:space="preserve">)] </w:t>
      </w:r>
      <w:r w:rsidR="008017E4">
        <w:t xml:space="preserve">was based on the record then before us.  Even if the law-of-the-case doctrine makes </w:t>
      </w:r>
      <w:r w:rsidRPr="008017E4" w:rsidR="008017E4">
        <w:rPr>
          <w:i/>
          <w:iCs/>
        </w:rPr>
        <w:t>Boyer I</w:t>
      </w:r>
      <w:r w:rsidR="008017E4">
        <w:t xml:space="preserve"> conclusive on the legal principles there established, the doctrine did not foreclose new evidence on retrial indicating that the dispositive facts are materially different than those we addressed.”  (</w:t>
      </w:r>
      <w:r w:rsidRPr="00643E20" w:rsidR="008017E4">
        <w:rPr>
          <w:i/>
          <w:iCs/>
        </w:rPr>
        <w:t>Id</w:t>
      </w:r>
      <w:r w:rsidR="008017E4">
        <w:t>. at p.</w:t>
      </w:r>
      <w:r w:rsidR="00151462">
        <w:t> </w:t>
      </w:r>
      <w:r w:rsidR="008017E4">
        <w:t>443.)  The same is true here as to the section 1172.6 proceeding.</w:t>
      </w:r>
    </w:p>
    <w:p w:rsidR="00895CA7" w:rsidRPr="00152538" w:rsidP="0039039D" w14:paraId="1EE1DF43" w14:textId="75601C86">
      <w:pPr>
        <w:spacing w:line="360" w:lineRule="auto"/>
        <w:ind w:firstLine="720"/>
      </w:pPr>
      <w:r>
        <w:t>For the foregoing reasons, we remand the section 1172.6 proceeding to the trial court with directions to issue an order to show cause and hold an evidentiary hearing consistent with the requirements of that statute.</w:t>
      </w:r>
    </w:p>
    <w:p w:rsidR="00763E02" w:rsidRPr="00763E02" w:rsidP="000E107A" w14:paraId="06A1B0BF" w14:textId="6993B2FD">
      <w:pPr>
        <w:pStyle w:val="ListParagraph"/>
        <w:keepNext/>
        <w:keepLines/>
        <w:numPr>
          <w:ilvl w:val="0"/>
          <w:numId w:val="2"/>
        </w:numPr>
        <w:spacing w:after="120" w:line="240" w:lineRule="auto"/>
        <w:ind w:left="1080"/>
        <w:contextualSpacing w:val="0"/>
      </w:pPr>
      <w:r w:rsidRPr="002D554B">
        <w:rPr>
          <w:b/>
          <w:bCs/>
        </w:rPr>
        <w:t xml:space="preserve">Effect of </w:t>
      </w:r>
      <w:r w:rsidRPr="002D554B" w:rsidR="0075752D">
        <w:rPr>
          <w:b/>
          <w:bCs/>
        </w:rPr>
        <w:t>Amendment of the Gang Statute</w:t>
      </w:r>
      <w:r w:rsidRPr="002D554B">
        <w:rPr>
          <w:b/>
          <w:bCs/>
        </w:rPr>
        <w:t xml:space="preserve"> on Gang-Related Gun Enhancement and Gang Special</w:t>
      </w:r>
      <w:r w:rsidR="00AB6462">
        <w:rPr>
          <w:b/>
          <w:bCs/>
        </w:rPr>
        <w:t>-</w:t>
      </w:r>
      <w:r w:rsidRPr="002D554B">
        <w:rPr>
          <w:b/>
          <w:bCs/>
        </w:rPr>
        <w:t>Circumstance Verdicts</w:t>
      </w:r>
    </w:p>
    <w:p w:rsidR="00FE644C" w:rsidP="000E107A" w14:paraId="50D94F34" w14:textId="600AEC51">
      <w:pPr>
        <w:pStyle w:val="ListParagraph"/>
        <w:keepNext/>
        <w:keepLines/>
        <w:ind w:left="0" w:firstLine="720"/>
      </w:pPr>
      <w:r>
        <w:t xml:space="preserve">The jury found true as to all </w:t>
      </w:r>
      <w:r w:rsidR="00B01002">
        <w:t>A</w:t>
      </w:r>
      <w:r>
        <w:t>ppellants a gang-related gun enhancement</w:t>
      </w:r>
      <w:r w:rsidR="007315C6">
        <w:t xml:space="preserve"> that applies to</w:t>
      </w:r>
      <w:r w:rsidR="0034750C">
        <w:t xml:space="preserve"> </w:t>
      </w:r>
      <w:r w:rsidR="007315C6">
        <w:t>principal</w:t>
      </w:r>
      <w:r w:rsidR="0038492B">
        <w:t>s</w:t>
      </w:r>
      <w:r w:rsidR="007315C6">
        <w:t xml:space="preserve"> in the commission of a murder</w:t>
      </w:r>
      <w:r w:rsidR="0034750C">
        <w:t xml:space="preserve"> in which any principal personally and intentionally discharged a firearm and proximately caused great bodily injury or death, where the offense was for the benefit of, at the direction of, or in association with a criminal street gang with the specific intent to promote, further or assist in criminal conduct by gang members</w:t>
      </w:r>
      <w:r w:rsidR="002B05DE">
        <w:t>.</w:t>
      </w:r>
      <w:r w:rsidR="007315C6">
        <w:t xml:space="preserve"> </w:t>
      </w:r>
      <w:r>
        <w:t xml:space="preserve"> (§</w:t>
      </w:r>
      <w:r w:rsidR="007315C6">
        <w:t>§</w:t>
      </w:r>
      <w:r>
        <w:t xml:space="preserve"> 12022.53</w:t>
      </w:r>
      <w:r w:rsidR="007315C6">
        <w:t xml:space="preserve"> subds. (a)(1), (d), (e)(1), </w:t>
      </w:r>
      <w:r w:rsidR="00E44974">
        <w:t xml:space="preserve">former </w:t>
      </w:r>
      <w:r w:rsidR="00151462">
        <w:t>§</w:t>
      </w:r>
      <w:r w:rsidR="00585344">
        <w:t> </w:t>
      </w:r>
      <w:r w:rsidR="007315C6">
        <w:t>186.22</w:t>
      </w:r>
      <w:r w:rsidR="00E44974">
        <w:t>, subd.</w:t>
      </w:r>
      <w:r w:rsidR="002D554B">
        <w:t> </w:t>
      </w:r>
      <w:r w:rsidR="00E44974">
        <w:t>(b)(1)</w:t>
      </w:r>
      <w:r w:rsidR="00151462">
        <w:t xml:space="preserve">; </w:t>
      </w:r>
      <w:r w:rsidR="00E44974">
        <w:t xml:space="preserve">see </w:t>
      </w:r>
      <w:r w:rsidR="00151462">
        <w:t xml:space="preserve">Stats. </w:t>
      </w:r>
      <w:r w:rsidR="00E44974">
        <w:t>2011</w:t>
      </w:r>
      <w:r w:rsidR="00151462">
        <w:t>, ch. 361, §§ 1, 2</w:t>
      </w:r>
      <w:r w:rsidR="00E44974">
        <w:t>.</w:t>
      </w:r>
      <w:r w:rsidR="00646C1D">
        <w:t>)</w:t>
      </w:r>
      <w:r>
        <w:t xml:space="preserve"> </w:t>
      </w:r>
      <w:r w:rsidR="003762E8">
        <w:t xml:space="preserve"> </w:t>
      </w:r>
    </w:p>
    <w:p w:rsidR="0005277D" w:rsidP="003A19CB" w14:paraId="54202FDC" w14:textId="33FE9FCC">
      <w:pPr>
        <w:pStyle w:val="ListParagraph"/>
        <w:ind w:left="0" w:firstLine="720"/>
      </w:pPr>
      <w:r>
        <w:t>Section 12022.53, subdivision (d) provides that, “[n]</w:t>
      </w:r>
      <w:r w:rsidRPr="00061368">
        <w:t>otwithstanding any other law, a person who, in the commission of a felony specified in subdivision</w:t>
      </w:r>
      <w:r w:rsidR="00151462">
        <w:t> </w:t>
      </w:r>
      <w:r w:rsidRPr="00061368">
        <w:t>(a), Section 246, or subdivision (c) or (d) of Section 26100, personally and intentionally discharges a firearm and proximately causes great bodily injury</w:t>
      </w:r>
      <w:r w:rsidR="00D620E4">
        <w:t xml:space="preserve"> . . .</w:t>
      </w:r>
      <w:r w:rsidRPr="00061368">
        <w:t xml:space="preserve"> or death, to a person other than an accomplice, shall be punished by an additional and consecutive term of imprisonment in the state prison for 25</w:t>
      </w:r>
      <w:r w:rsidR="002D554B">
        <w:t> </w:t>
      </w:r>
      <w:r w:rsidRPr="00061368">
        <w:t>years to life.</w:t>
      </w:r>
      <w:r>
        <w:t xml:space="preserve">”  Section 12022.53, subdivision (e)(1) states that, “[t]he enhancements provided in this section shall apply to any person who is a principal in the commission of an offense if both of the following are pled and proved: </w:t>
      </w:r>
      <w:r w:rsidR="0050073C">
        <w:t xml:space="preserve"> </w:t>
      </w:r>
      <w:r w:rsidR="00151462">
        <w:t>[¶]</w:t>
      </w:r>
      <w:r w:rsidR="0050073C">
        <w:t xml:space="preserve"> </w:t>
      </w:r>
      <w:r>
        <w:t xml:space="preserve">(A) The person violated subdivision (b) of Section 186.22 [person convicted of felony for the benefit of, at the direction of, or in association with a criminal street gang with specific intent to promote, further, or assist in criminal conduct by gang members]. </w:t>
      </w:r>
      <w:r w:rsidR="00151462">
        <w:t>[¶]</w:t>
      </w:r>
      <w:r w:rsidR="0050073C">
        <w:t xml:space="preserve"> </w:t>
      </w:r>
      <w:r>
        <w:t xml:space="preserve">(B) Any principal in the offense committed any act specified in subdivision (b), (c), or (d) [in commission of a felony, personally uses a firearm, personally and intentionally discharges a firearm, or personally uses and intentionally discharges a firearm proximately causing great bodily injury or death].” </w:t>
      </w:r>
      <w:r w:rsidR="002D554B">
        <w:t xml:space="preserve"> </w:t>
      </w:r>
      <w:r w:rsidR="003762E8">
        <w:t xml:space="preserve">The </w:t>
      </w:r>
      <w:r>
        <w:t xml:space="preserve">enhanced </w:t>
      </w:r>
      <w:r w:rsidR="003762E8">
        <w:t xml:space="preserve">punishment imposed under section 12022.53, subdivision (d) is </w:t>
      </w:r>
      <w:r>
        <w:t>“an additional and consecutive term of imprisonment in the state prison for 25 years to life.”  (§ 12022.53, subd. (d).)</w:t>
      </w:r>
    </w:p>
    <w:p w:rsidR="003762E8" w:rsidP="003A19CB" w14:paraId="748914B5" w14:textId="5248B21E">
      <w:pPr>
        <w:pStyle w:val="ListParagraph"/>
        <w:ind w:left="0" w:firstLine="720"/>
      </w:pPr>
      <w:r w:rsidRPr="00B01002">
        <w:t xml:space="preserve">As to each </w:t>
      </w:r>
      <w:r w:rsidR="00B01002">
        <w:t>A</w:t>
      </w:r>
      <w:r w:rsidRPr="00B01002">
        <w:t>ppellant</w:t>
      </w:r>
      <w:r w:rsidRPr="00B01002" w:rsidR="002A4F79">
        <w:t>,</w:t>
      </w:r>
      <w:r>
        <w:t xml:space="preserve"> the jury also found true the allegations supporting two special circumstances set forth in section 190.2, one of which was that he “intentionally killed the victim while [he] was an active participant in a criminal street gang, as defined in subdivision (f) of Section</w:t>
      </w:r>
      <w:r w:rsidR="002D554B">
        <w:t> </w:t>
      </w:r>
      <w:r>
        <w:t>188.22, and</w:t>
      </w:r>
      <w:r w:rsidR="00824BA4">
        <w:t xml:space="preserve"> </w:t>
      </w:r>
      <w:r w:rsidRPr="00B01002" w:rsidR="00824BA4">
        <w:t>that</w:t>
      </w:r>
      <w:r w:rsidRPr="00B01002">
        <w:t xml:space="preserve"> </w:t>
      </w:r>
      <w:r>
        <w:t xml:space="preserve">the murder was carried out to further the activities of the criminal street gang.”  (§ 190.2, subd. (a)(22).) </w:t>
      </w:r>
      <w:r w:rsidR="00FE644C">
        <w:t xml:space="preserve"> Section</w:t>
      </w:r>
      <w:r w:rsidR="00B01002">
        <w:t> </w:t>
      </w:r>
      <w:r w:rsidR="00FE644C">
        <w:t>190.2</w:t>
      </w:r>
      <w:r w:rsidR="00151462">
        <w:t xml:space="preserve">, subdivision </w:t>
      </w:r>
      <w:r w:rsidR="00FE644C">
        <w:t>(a)(2)</w:t>
      </w:r>
      <w:r w:rsidR="00151462">
        <w:t>,</w:t>
      </w:r>
      <w:r w:rsidR="00FE644C">
        <w:t xml:space="preserve"> prescribes a penalty of “death or imprisonment in the state prison for life without the possibility of parole if” </w:t>
      </w:r>
      <w:r w:rsidR="000F304F">
        <w:t>the jury finds that special circumstance true.</w:t>
      </w:r>
      <w:r w:rsidR="00FE644C">
        <w:t xml:space="preserve"> </w:t>
      </w:r>
    </w:p>
    <w:p w:rsidR="00017F7E" w:rsidP="00017F7E" w14:paraId="376DD160" w14:textId="49E609DB">
      <w:pPr>
        <w:pStyle w:val="ListParagraph"/>
        <w:ind w:left="0" w:firstLine="720"/>
      </w:pPr>
      <w:r>
        <w:t xml:space="preserve">Appellants contend that Assembly Bill 333, which amended the statute defining certain terms that are incorporated into these sections, applies retroactively to their cases and requires a reversal and remand for retrial on the enhancement and special circumstance. </w:t>
      </w:r>
    </w:p>
    <w:p w:rsidR="006D58F7" w:rsidP="00552A41" w14:paraId="24EE32F3" w14:textId="539687E1">
      <w:pPr>
        <w:pStyle w:val="ListParagraph"/>
        <w:ind w:left="0" w:firstLine="720"/>
      </w:pPr>
      <w:r w:rsidRPr="00272D4B">
        <w:t>As the People concede, the amendments Assembly Bill 333 made apply retroactively to the gang-related gun use enhancement under section</w:t>
      </w:r>
      <w:r w:rsidR="00487DF7">
        <w:t> </w:t>
      </w:r>
      <w:r w:rsidRPr="00272D4B">
        <w:t>12022.53</w:t>
      </w:r>
      <w:r w:rsidRPr="00272D4B" w:rsidR="00B86B11">
        <w:t xml:space="preserve">, subdivision </w:t>
      </w:r>
      <w:r w:rsidRPr="00272D4B">
        <w:t>(e)</w:t>
      </w:r>
      <w:r w:rsidRPr="00272D4B" w:rsidR="00B86B11">
        <w:t>,</w:t>
      </w:r>
      <w:r w:rsidRPr="00272D4B">
        <w:t xml:space="preserve"> because the legislation is ameliorative and the judgments against </w:t>
      </w:r>
      <w:r w:rsidRPr="00272D4B" w:rsidR="00B01002">
        <w:t>A</w:t>
      </w:r>
      <w:r w:rsidRPr="00272D4B">
        <w:t>ppellants were not final when the new legislation took effect.  (</w:t>
      </w:r>
      <w:r w:rsidRPr="00272D4B">
        <w:rPr>
          <w:i/>
          <w:iCs/>
        </w:rPr>
        <w:t>People v. Tran</w:t>
      </w:r>
      <w:r w:rsidRPr="00272D4B">
        <w:t xml:space="preserve"> (2022) 13 Cal.5th</w:t>
      </w:r>
      <w:r w:rsidRPr="00272D4B">
        <w:rPr>
          <w:sz w:val="28"/>
        </w:rPr>
        <w:t xml:space="preserve"> </w:t>
      </w:r>
      <w:r w:rsidRPr="00272D4B">
        <w:t>1169, 1206</w:t>
      </w:r>
      <w:r w:rsidRPr="00272D4B" w:rsidR="00470052">
        <w:t>-1207</w:t>
      </w:r>
      <w:r w:rsidRPr="00272D4B">
        <w:t xml:space="preserve"> (</w:t>
      </w:r>
      <w:r w:rsidRPr="00272D4B">
        <w:rPr>
          <w:i/>
          <w:iCs/>
        </w:rPr>
        <w:t>Tran</w:t>
      </w:r>
      <w:r w:rsidRPr="00272D4B">
        <w:t xml:space="preserve">) [changes to gang enhancement under Assembly Bill 333 are retroactive to non-final cases]; </w:t>
      </w:r>
      <w:r w:rsidRPr="00272D4B">
        <w:rPr>
          <w:i/>
          <w:iCs/>
        </w:rPr>
        <w:t>People v. Lee</w:t>
      </w:r>
      <w:r w:rsidRPr="00272D4B">
        <w:t xml:space="preserve"> (2022) 81 Cal.App.5th 232, 237</w:t>
      </w:r>
      <w:r w:rsidRPr="00272D4B" w:rsidR="00272D4B">
        <w:t xml:space="preserve"> (</w:t>
      </w:r>
      <w:r w:rsidRPr="00272D4B" w:rsidR="00272D4B">
        <w:rPr>
          <w:i/>
          <w:iCs/>
        </w:rPr>
        <w:t>Lee</w:t>
      </w:r>
      <w:r w:rsidRPr="00272D4B" w:rsidR="00272D4B">
        <w:t>), rev</w:t>
      </w:r>
      <w:r w:rsidR="00F55E6C">
        <w:t>iew</w:t>
      </w:r>
      <w:r w:rsidRPr="00272D4B" w:rsidR="00272D4B">
        <w:t xml:space="preserve"> granted Oct</w:t>
      </w:r>
      <w:r w:rsidR="00487DF7">
        <w:t>.</w:t>
      </w:r>
      <w:r w:rsidRPr="00272D4B" w:rsidR="00272D4B">
        <w:t xml:space="preserve"> 19, 2022, </w:t>
      </w:r>
      <w:r w:rsidRPr="00D45C9B" w:rsidR="00272D4B">
        <w:t>S275449</w:t>
      </w:r>
      <w:r w:rsidRPr="00272D4B">
        <w:t xml:space="preserve">; </w:t>
      </w:r>
      <w:r w:rsidRPr="00272D4B">
        <w:rPr>
          <w:i/>
          <w:iCs/>
        </w:rPr>
        <w:t>People v. E.H</w:t>
      </w:r>
      <w:r w:rsidRPr="00272D4B">
        <w:t>. (2022) 75 Cal.App.5th 467, 478</w:t>
      </w:r>
      <w:r w:rsidR="00272D4B">
        <w:t xml:space="preserve">; </w:t>
      </w:r>
      <w:r w:rsidRPr="00272D4B" w:rsidR="00272D4B">
        <w:rPr>
          <w:i/>
          <w:iCs/>
        </w:rPr>
        <w:t>People v. Lopez</w:t>
      </w:r>
      <w:r w:rsidRPr="00272D4B" w:rsidR="00272D4B">
        <w:t xml:space="preserve"> (2021) 73 Cal.App.5th 327, 343-344</w:t>
      </w:r>
      <w:r w:rsidRPr="00272D4B">
        <w:t>.)</w:t>
      </w:r>
      <w:r w:rsidRPr="00576276" w:rsidR="00552A41">
        <w:rPr>
          <w:b/>
          <w:bCs/>
        </w:rPr>
        <w:t xml:space="preserve">  </w:t>
      </w:r>
      <w:r w:rsidR="00017F7E">
        <w:t xml:space="preserve">The People also acknowledge that the amendments in substance impose a higher threshold of proof for elements of the gang participation gun enhancement and the gang special circumstance.  </w:t>
      </w:r>
    </w:p>
    <w:p w:rsidR="00552A41" w:rsidP="00287E1C" w14:paraId="554329CF" w14:textId="6406820D">
      <w:pPr>
        <w:pStyle w:val="ListParagraph"/>
        <w:ind w:left="0" w:firstLine="720"/>
      </w:pPr>
      <w:r>
        <w:t xml:space="preserve">However, the People argue that the amendments cannot be applied to the gang special circumstance because the special circumstance statute was adopted through an initiative measure that provided it could only be amended by the Legislature with a two-thirds vote of the Senate and Assembly.  Further, the People argue that any error in instructing the jury on the </w:t>
      </w:r>
      <w:r w:rsidR="006D58F7">
        <w:t>gang-related gun-use</w:t>
      </w:r>
      <w:r>
        <w:t xml:space="preserve"> enhancement as it existed before the adoption of Assembly Bill 333 was harmless beyond a reasonable doubt. </w:t>
      </w:r>
      <w:r w:rsidRPr="00576276">
        <w:rPr>
          <w:b/>
          <w:bCs/>
        </w:rPr>
        <w:t xml:space="preserve"> </w:t>
      </w:r>
      <w:r w:rsidRPr="00B01002">
        <w:t>To analyze these issues, some background is required.</w:t>
      </w:r>
    </w:p>
    <w:p w:rsidR="005E6DAE" w:rsidP="005E6DAE" w14:paraId="4927B17F" w14:textId="4BD4D73D">
      <w:pPr>
        <w:shd w:val="clear" w:color="auto" w:fill="FFFFFF"/>
        <w:tabs>
          <w:tab w:val="clear" w:pos="720"/>
        </w:tabs>
        <w:spacing w:line="360" w:lineRule="auto"/>
        <w:ind w:firstLine="720"/>
        <w:rPr>
          <w:rFonts w:eastAsia="Times New Roman" w:cs="Times New Roman"/>
          <w:color w:val="000000"/>
        </w:rPr>
      </w:pPr>
      <w:r>
        <w:t>The amendments</w:t>
      </w:r>
      <w:r w:rsidR="007858C3">
        <w:t xml:space="preserve"> wrought by Assembly Bill 333</w:t>
      </w:r>
      <w:r>
        <w:t xml:space="preserve"> impose additional elements</w:t>
      </w:r>
      <w:r w:rsidR="007858C3">
        <w:t xml:space="preserve"> on both the </w:t>
      </w:r>
      <w:r w:rsidR="001926AB">
        <w:t xml:space="preserve">gang-related gun </w:t>
      </w:r>
      <w:r w:rsidR="007858C3">
        <w:t>enhancement and the</w:t>
      </w:r>
      <w:r w:rsidR="001926AB">
        <w:t xml:space="preserve"> gang-murder</w:t>
      </w:r>
      <w:r w:rsidR="007858C3">
        <w:t xml:space="preserve"> special circumstance that were</w:t>
      </w:r>
      <w:r>
        <w:t xml:space="preserve"> beyond those required at the time of </w:t>
      </w:r>
      <w:r w:rsidR="00B01002">
        <w:t>A</w:t>
      </w:r>
      <w:r>
        <w:t>ppellants’ trial.  Relevant here are the following changes.</w:t>
      </w:r>
      <w:r w:rsidR="00CE59C8">
        <w:t xml:space="preserve">  </w:t>
      </w:r>
      <w:r>
        <w:t>“</w:t>
      </w:r>
      <w:r w:rsidRPr="007A037B">
        <w:t xml:space="preserve">First, </w:t>
      </w:r>
      <w:r w:rsidR="00C1117F">
        <w:t>[Assembly Bill</w:t>
      </w:r>
      <w:r w:rsidR="002D554B">
        <w:t xml:space="preserve"> </w:t>
      </w:r>
      <w:r w:rsidR="00C1117F">
        <w:t>333]</w:t>
      </w:r>
      <w:r w:rsidRPr="007A037B">
        <w:t xml:space="preserve"> narrowed the definition of a </w:t>
      </w:r>
      <w:r>
        <w:t>‘</w:t>
      </w:r>
      <w:r w:rsidRPr="007A037B">
        <w:t>criminal street gan</w:t>
      </w:r>
      <w:r>
        <w:t xml:space="preserve">g’ </w:t>
      </w:r>
      <w:r w:rsidRPr="007A037B">
        <w:t xml:space="preserve">to require that any gang be an </w:t>
      </w:r>
      <w:r>
        <w:t>‘</w:t>
      </w:r>
      <w:r w:rsidRPr="007A037B">
        <w:t xml:space="preserve">ongoing, </w:t>
      </w:r>
      <w:r w:rsidRPr="007A037B">
        <w:rPr>
          <w:i/>
          <w:iCs/>
        </w:rPr>
        <w:t>organized</w:t>
      </w:r>
      <w:r w:rsidRPr="007A037B">
        <w:t xml:space="preserve"> association or group of three or more persons.</w:t>
      </w:r>
      <w:r>
        <w:t xml:space="preserve">’ </w:t>
      </w:r>
      <w:r w:rsidRPr="007A037B">
        <w:t xml:space="preserve"> (§ 186.22, subd. (f), italics added.)</w:t>
      </w:r>
      <w:r w:rsidRPr="002D554B" w:rsidR="00864D32">
        <w:rPr>
          <w:b/>
          <w:bCs/>
          <w:vertAlign w:val="superscript"/>
        </w:rPr>
        <w:t>[</w:t>
      </w:r>
      <w:r>
        <w:rPr>
          <w:rStyle w:val="FootnoteReference"/>
          <w:b/>
          <w:bCs/>
        </w:rPr>
        <w:footnoteReference w:id="20"/>
      </w:r>
      <w:r w:rsidRPr="002D554B" w:rsidR="00864D32">
        <w:rPr>
          <w:b/>
          <w:bCs/>
          <w:vertAlign w:val="superscript"/>
        </w:rPr>
        <w:t>]</w:t>
      </w:r>
      <w:r w:rsidRPr="00E85AC6">
        <w:rPr>
          <w:b/>
          <w:bCs/>
        </w:rPr>
        <w:t xml:space="preserve"> </w:t>
      </w:r>
      <w:r w:rsidR="00076B5F">
        <w:t xml:space="preserve"> </w:t>
      </w:r>
      <w:r w:rsidRPr="007A037B">
        <w:t>Second, whereas section</w:t>
      </w:r>
      <w:r w:rsidR="002D554B">
        <w:t> </w:t>
      </w:r>
      <w:r w:rsidRPr="007A037B">
        <w:t>186.22, former subdivision (f)</w:t>
      </w:r>
      <w:r w:rsidR="00B86B11">
        <w:t>,</w:t>
      </w:r>
      <w:r w:rsidRPr="007A037B">
        <w:t xml:space="preserve"> required only that a gang</w:t>
      </w:r>
      <w:r w:rsidR="00076B5F">
        <w:t>’</w:t>
      </w:r>
      <w:r w:rsidRPr="007A037B">
        <w:t xml:space="preserve">s members </w:t>
      </w:r>
      <w:r w:rsidR="00076B5F">
        <w:t>‘</w:t>
      </w:r>
      <w:r w:rsidRPr="007A037B">
        <w:t xml:space="preserve">individually </w:t>
      </w:r>
      <w:r w:rsidRPr="00076B5F">
        <w:rPr>
          <w:i/>
          <w:iCs/>
        </w:rPr>
        <w:t>or</w:t>
      </w:r>
      <w:r w:rsidRPr="007A037B">
        <w:t xml:space="preserve"> collectively engage in</w:t>
      </w:r>
      <w:r w:rsidR="00076B5F">
        <w:t>’</w:t>
      </w:r>
      <w:r w:rsidRPr="007A037B">
        <w:t xml:space="preserve"> a pattern of criminal activity in order to constitute a </w:t>
      </w:r>
      <w:r w:rsidR="00076B5F">
        <w:t>‘</w:t>
      </w:r>
      <w:r w:rsidRPr="007A037B">
        <w:t>criminal street gang,</w:t>
      </w:r>
      <w:r w:rsidR="00076B5F">
        <w:t>’</w:t>
      </w:r>
      <w:r w:rsidRPr="007A037B">
        <w:t xml:space="preserve"> Assembly Bill 333 requires that any such pattern have been </w:t>
      </w:r>
      <w:r w:rsidR="00076B5F">
        <w:t>‘</w:t>
      </w:r>
      <w:r w:rsidRPr="00C1117F">
        <w:rPr>
          <w:i/>
          <w:iCs/>
        </w:rPr>
        <w:t>collectively</w:t>
      </w:r>
      <w:r w:rsidRPr="007A037B">
        <w:t xml:space="preserve"> engage[d] in</w:t>
      </w:r>
      <w:r w:rsidR="00076B5F">
        <w:t>’</w:t>
      </w:r>
      <w:r w:rsidRPr="007A037B">
        <w:t xml:space="preserve"> by members of the gang. </w:t>
      </w:r>
      <w:r w:rsidR="002D554B">
        <w:t xml:space="preserve"> </w:t>
      </w:r>
      <w:r w:rsidRPr="007A037B">
        <w:t>(§</w:t>
      </w:r>
      <w:r w:rsidR="002D554B">
        <w:t> </w:t>
      </w:r>
      <w:r w:rsidRPr="007A037B">
        <w:t xml:space="preserve">186.22, subd. (f), italics added.) </w:t>
      </w:r>
      <w:r w:rsidR="00076B5F">
        <w:t xml:space="preserve"> </w:t>
      </w:r>
      <w:r w:rsidRPr="007A037B">
        <w:t xml:space="preserve">Third, Assembly Bill 333 also narrowed the definition of a </w:t>
      </w:r>
      <w:r w:rsidR="00076B5F">
        <w:t>‘</w:t>
      </w:r>
      <w:r w:rsidRPr="007A037B">
        <w:t>pattern of criminal activity</w:t>
      </w:r>
      <w:r w:rsidR="005E1154">
        <w:t>’ </w:t>
      </w:r>
      <w:r w:rsidRPr="007A037B">
        <w:t xml:space="preserve">by requiring that (1) the last offense used to show a pattern of criminal gang activity occurred within </w:t>
      </w:r>
      <w:r w:rsidR="00B67C5A">
        <w:t>[</w:t>
      </w:r>
      <w:r w:rsidRPr="007A037B">
        <w:t xml:space="preserve">three years of </w:t>
      </w:r>
      <w:r w:rsidR="00B67C5A">
        <w:t>the prior offense</w:t>
      </w:r>
      <w:r w:rsidRPr="00F55E6C" w:rsidR="00F55E6C">
        <w:rPr>
          <w:b/>
          <w:bCs/>
          <w:vertAlign w:val="superscript"/>
        </w:rPr>
        <w:t>[</w:t>
      </w:r>
      <w:r>
        <w:rPr>
          <w:rStyle w:val="FootnoteReference"/>
          <w:b/>
          <w:bCs/>
        </w:rPr>
        <w:footnoteReference w:id="21"/>
      </w:r>
      <w:r w:rsidR="00F55E6C">
        <w:rPr>
          <w:b/>
          <w:bCs/>
          <w:vertAlign w:val="superscript"/>
        </w:rPr>
        <w:t>]</w:t>
      </w:r>
      <w:r w:rsidR="00B67C5A">
        <w:t xml:space="preserve"> and] within three years of </w:t>
      </w:r>
      <w:r w:rsidRPr="007A037B">
        <w:t xml:space="preserve">the date that the currently charged offense is alleged to have been committed; (2) </w:t>
      </w:r>
      <w:r w:rsidRPr="00CF494A">
        <w:t>the offenses were committed by</w:t>
      </w:r>
      <w:r w:rsidRPr="00C1117F">
        <w:rPr>
          <w:i/>
          <w:iCs/>
        </w:rPr>
        <w:t xml:space="preserve"> two or more gang </w:t>
      </w:r>
      <w:r w:rsidRPr="00C1117F" w:rsidR="00076B5F">
        <w:rPr>
          <w:i/>
          <w:iCs/>
        </w:rPr>
        <w:t>‘</w:t>
      </w:r>
      <w:r w:rsidRPr="00C1117F">
        <w:rPr>
          <w:i/>
          <w:iCs/>
        </w:rPr>
        <w:t>members,</w:t>
      </w:r>
      <w:r w:rsidRPr="00C1117F" w:rsidR="00076B5F">
        <w:rPr>
          <w:i/>
          <w:iCs/>
        </w:rPr>
        <w:t>’</w:t>
      </w:r>
      <w:r w:rsidRPr="00C1117F">
        <w:rPr>
          <w:i/>
          <w:iCs/>
        </w:rPr>
        <w:t xml:space="preserve"> as opposed to just </w:t>
      </w:r>
      <w:r w:rsidRPr="00C1117F" w:rsidR="00076B5F">
        <w:rPr>
          <w:i/>
          <w:iCs/>
        </w:rPr>
        <w:t>‘</w:t>
      </w:r>
      <w:r w:rsidRPr="00C1117F">
        <w:rPr>
          <w:i/>
          <w:iCs/>
        </w:rPr>
        <w:t>persons</w:t>
      </w:r>
      <w:r w:rsidR="00076B5F">
        <w:t>’</w:t>
      </w:r>
      <w:r w:rsidRPr="007A037B">
        <w:t xml:space="preserve">; (3) the offenses </w:t>
      </w:r>
      <w:r w:rsidRPr="00C1117F">
        <w:rPr>
          <w:i/>
          <w:iCs/>
        </w:rPr>
        <w:t>commonly benefitted</w:t>
      </w:r>
      <w:r w:rsidRPr="007A037B">
        <w:t xml:space="preserve"> a criminal street gang; and (4) the offenses establishing a pattern of gang activity must be ones </w:t>
      </w:r>
      <w:r w:rsidRPr="00C1117F">
        <w:rPr>
          <w:i/>
          <w:iCs/>
        </w:rPr>
        <w:t>other than the currently charged offense</w:t>
      </w:r>
      <w:r w:rsidRPr="007A037B">
        <w:t>.</w:t>
      </w:r>
      <w:r w:rsidR="008435CE">
        <w:t xml:space="preserve"> </w:t>
      </w:r>
      <w:r w:rsidRPr="007A037B">
        <w:t xml:space="preserve"> (§ 186.22, subd. (e)(1), (2).)</w:t>
      </w:r>
      <w:r w:rsidRPr="008435CE" w:rsidR="00864D32">
        <w:rPr>
          <w:b/>
          <w:bCs/>
          <w:vertAlign w:val="superscript"/>
        </w:rPr>
        <w:t>[</w:t>
      </w:r>
      <w:r>
        <w:rPr>
          <w:rStyle w:val="FootnoteReference"/>
          <w:b/>
          <w:bCs/>
        </w:rPr>
        <w:footnoteReference w:id="22"/>
      </w:r>
      <w:r w:rsidRPr="008435CE" w:rsidR="00864D32">
        <w:rPr>
          <w:b/>
          <w:bCs/>
          <w:vertAlign w:val="superscript"/>
        </w:rPr>
        <w:t>]</w:t>
      </w:r>
      <w:r w:rsidRPr="00864D32">
        <w:rPr>
          <w:b/>
          <w:bCs/>
        </w:rPr>
        <w:t xml:space="preserve"> </w:t>
      </w:r>
      <w:r w:rsidR="00076B5F">
        <w:t xml:space="preserve"> </w:t>
      </w:r>
      <w:r w:rsidRPr="007A037B">
        <w:t xml:space="preserve">Fourth, Assembly Bill 333 narrowed what it means for an offense to have commonly benefitted a street gang, requiring that any </w:t>
      </w:r>
      <w:r w:rsidRPr="001C256B" w:rsidR="00076B5F">
        <w:rPr>
          <w:i/>
          <w:iCs/>
        </w:rPr>
        <w:t>‘</w:t>
      </w:r>
      <w:r w:rsidRPr="00C1117F">
        <w:rPr>
          <w:i/>
          <w:iCs/>
        </w:rPr>
        <w:t>common benefit</w:t>
      </w:r>
      <w:r w:rsidRPr="001C256B" w:rsidR="00076B5F">
        <w:rPr>
          <w:i/>
          <w:iCs/>
        </w:rPr>
        <w:t>’</w:t>
      </w:r>
      <w:r w:rsidRPr="001C256B">
        <w:t xml:space="preserve"> </w:t>
      </w:r>
      <w:r w:rsidRPr="00CF494A">
        <w:t>be</w:t>
      </w:r>
      <w:r w:rsidRPr="00C1117F">
        <w:rPr>
          <w:i/>
          <w:iCs/>
        </w:rPr>
        <w:t xml:space="preserve"> </w:t>
      </w:r>
      <w:r w:rsidRPr="00C1117F" w:rsidR="00076B5F">
        <w:rPr>
          <w:i/>
          <w:iCs/>
        </w:rPr>
        <w:t>‘</w:t>
      </w:r>
      <w:r w:rsidRPr="00C1117F">
        <w:rPr>
          <w:i/>
          <w:iCs/>
        </w:rPr>
        <w:t>more than reputational</w:t>
      </w:r>
      <w:r w:rsidRPr="007A037B">
        <w:t>.</w:t>
      </w:r>
      <w:r w:rsidR="00076B5F">
        <w:t>’</w:t>
      </w:r>
      <w:r w:rsidRPr="007A037B">
        <w:t xml:space="preserve"> </w:t>
      </w:r>
      <w:r w:rsidR="003E3436">
        <w:t xml:space="preserve"> </w:t>
      </w:r>
      <w:r w:rsidRPr="007A037B">
        <w:t>(§ 186.22, subd. (g).)</w:t>
      </w:r>
      <w:r w:rsidR="00076B5F">
        <w:t>”</w:t>
      </w:r>
      <w:r>
        <w:rPr>
          <w:rStyle w:val="FootnoteReference"/>
          <w:b/>
          <w:bCs/>
        </w:rPr>
        <w:footnoteReference w:id="23"/>
      </w:r>
      <w:r w:rsidR="00076B5F">
        <w:t xml:space="preserve">  (</w:t>
      </w:r>
      <w:r w:rsidRPr="00076B5F" w:rsidR="00076B5F">
        <w:rPr>
          <w:i/>
          <w:iCs/>
        </w:rPr>
        <w:t>Tran</w:t>
      </w:r>
      <w:r w:rsidR="000F304F">
        <w:rPr>
          <w:i/>
          <w:iCs/>
        </w:rPr>
        <w:t xml:space="preserve">, supra, </w:t>
      </w:r>
      <w:r w:rsidR="00076B5F">
        <w:t>13 Cal.5</w:t>
      </w:r>
      <w:r w:rsidRPr="00E85ED8" w:rsidR="00076B5F">
        <w:t>th</w:t>
      </w:r>
      <w:r w:rsidRPr="00E85ED8" w:rsidR="00076B5F">
        <w:rPr>
          <w:sz w:val="28"/>
        </w:rPr>
        <w:t xml:space="preserve"> </w:t>
      </w:r>
      <w:r w:rsidR="000F304F">
        <w:t xml:space="preserve">at p. </w:t>
      </w:r>
      <w:r w:rsidR="00076B5F">
        <w:t>1206</w:t>
      </w:r>
      <w:r w:rsidR="000F304F">
        <w:t xml:space="preserve">, </w:t>
      </w:r>
      <w:r w:rsidR="00C1117F">
        <w:t>italics added in part</w:t>
      </w:r>
      <w:r w:rsidRPr="005E6DAE" w:rsidR="00076B5F">
        <w:t>.)</w:t>
      </w:r>
      <w:r w:rsidRPr="005E6DAE" w:rsidR="00864D32">
        <w:rPr>
          <w:rStyle w:val="FootnoteReference"/>
          <w:b/>
          <w:bCs/>
        </w:rPr>
        <w:t xml:space="preserve"> </w:t>
      </w:r>
      <w:r w:rsidRPr="005E6DAE">
        <w:rPr>
          <w:b/>
          <w:bCs/>
        </w:rPr>
        <w:t xml:space="preserve"> </w:t>
      </w:r>
      <w:r>
        <w:t>“</w:t>
      </w:r>
      <w:r w:rsidRPr="005E6DAE">
        <w:rPr>
          <w:rFonts w:eastAsia="Times New Roman" w:cs="Times New Roman"/>
          <w:color w:val="000000"/>
        </w:rPr>
        <w:t xml:space="preserve">Examples of a common benefit that are more than reputational may include, but are not limited to, financial gain or motivation, retaliation, targeting a perceived or actual gang rival, or intimidation or silencing of a potential current or previous witness or informant.” </w:t>
      </w:r>
      <w:r w:rsidR="00871C4F">
        <w:rPr>
          <w:rFonts w:eastAsia="Times New Roman" w:cs="Times New Roman"/>
          <w:color w:val="000000"/>
        </w:rPr>
        <w:t xml:space="preserve"> </w:t>
      </w:r>
      <w:r w:rsidRPr="005E6DAE">
        <w:rPr>
          <w:rFonts w:eastAsia="Times New Roman" w:cs="Times New Roman"/>
          <w:color w:val="000000"/>
        </w:rPr>
        <w:t>(§ 186.22, subd. (g).)</w:t>
      </w:r>
    </w:p>
    <w:p w:rsidR="00FE644C" w:rsidRPr="005E6DAE" w:rsidP="005E6DAE" w14:paraId="57B58136" w14:textId="31DB3E8B">
      <w:pPr>
        <w:shd w:val="clear" w:color="auto" w:fill="FFFFFF"/>
        <w:tabs>
          <w:tab w:val="clear" w:pos="720"/>
        </w:tabs>
        <w:spacing w:line="360" w:lineRule="auto"/>
        <w:ind w:firstLine="720"/>
        <w:rPr>
          <w:rFonts w:eastAsia="Times New Roman" w:cs="Times New Roman"/>
          <w:color w:val="000000"/>
        </w:rPr>
      </w:pPr>
      <w:r>
        <w:t xml:space="preserve">As to the </w:t>
      </w:r>
      <w:r w:rsidR="004367F2">
        <w:t xml:space="preserve">gang-related </w:t>
      </w:r>
      <w:r>
        <w:t xml:space="preserve">gun enhancement imposed in this case </w:t>
      </w:r>
      <w:r w:rsidR="004367F2">
        <w:t>under section 12022.53</w:t>
      </w:r>
      <w:r w:rsidR="00871C4F">
        <w:t>, subdivision</w:t>
      </w:r>
      <w:r w:rsidR="004367F2">
        <w:t xml:space="preserve"> (e)</w:t>
      </w:r>
      <w:r w:rsidR="00871C4F">
        <w:t>,</w:t>
      </w:r>
      <w:r w:rsidR="004367F2">
        <w:t xml:space="preserve"> </w:t>
      </w:r>
      <w:r w:rsidR="008B4610">
        <w:t xml:space="preserve">on </w:t>
      </w:r>
      <w:r w:rsidR="00B01002">
        <w:t>A</w:t>
      </w:r>
      <w:r w:rsidR="0047737A">
        <w:t>ppellants</w:t>
      </w:r>
      <w:r>
        <w:t xml:space="preserve"> who did not</w:t>
      </w:r>
      <w:r w:rsidR="004367F2">
        <w:t xml:space="preserve"> personally</w:t>
      </w:r>
      <w:r>
        <w:t xml:space="preserve"> discharge the firearm, the amendments affect the element requiring that the person violated subdivision (b) of </w:t>
      </w:r>
      <w:r w:rsidR="00871C4F">
        <w:t>s</w:t>
      </w:r>
      <w:r>
        <w:t>ection 186.22.  A person violates that subdivision</w:t>
      </w:r>
      <w:r w:rsidR="008435CE">
        <w:t> </w:t>
      </w:r>
      <w:r>
        <w:t>if he or she is “convicted of</w:t>
      </w:r>
      <w:r w:rsidR="00D815B9">
        <w:t xml:space="preserve"> </w:t>
      </w:r>
      <w:r w:rsidRPr="00871C4F" w:rsidR="002A4F79">
        <w:t>a</w:t>
      </w:r>
      <w:r>
        <w:t xml:space="preserve"> felony for the benefit of, at the direction of, or in association with a </w:t>
      </w:r>
      <w:r w:rsidRPr="00CF494A">
        <w:t>criminal street gang</w:t>
      </w:r>
      <w:r w:rsidR="00871C4F">
        <w:t>,</w:t>
      </w:r>
      <w:r>
        <w:t xml:space="preserve"> with </w:t>
      </w:r>
      <w:r w:rsidR="00871C4F">
        <w:t xml:space="preserve">the </w:t>
      </w:r>
      <w:r>
        <w:t>specific intent to promote, further, or assist in criminal conduct by gang members.</w:t>
      </w:r>
      <w:r w:rsidR="00E85AC6">
        <w:t>”</w:t>
      </w:r>
      <w:r>
        <w:t xml:space="preserve"> </w:t>
      </w:r>
      <w:r w:rsidR="008435CE">
        <w:t xml:space="preserve"> </w:t>
      </w:r>
      <w:r w:rsidR="00E85AC6">
        <w:t>(§ 186.22, subd. (b).)</w:t>
      </w:r>
      <w:r w:rsidR="008B4610">
        <w:t xml:space="preserve">  </w:t>
      </w:r>
      <w:r w:rsidR="009C374B">
        <w:t>Also i</w:t>
      </w:r>
      <w:r w:rsidR="00CF494A">
        <w:t>mplicated in the enhancement are (1)</w:t>
      </w:r>
      <w:r w:rsidR="008B4610">
        <w:t xml:space="preserve"> </w:t>
      </w:r>
      <w:r w:rsidR="00CF494A">
        <w:t>the changes to the definitions of “criminal street gang</w:t>
      </w:r>
      <w:r w:rsidR="00871C4F">
        <w:t>”</w:t>
      </w:r>
      <w:r w:rsidR="00CF494A">
        <w:t xml:space="preserve"> and </w:t>
      </w:r>
      <w:r w:rsidR="008B4610">
        <w:t>“pattern of criminal gang activity</w:t>
      </w:r>
      <w:r w:rsidR="00CF494A">
        <w:t>.</w:t>
      </w:r>
      <w:r w:rsidR="008B4610">
        <w:t xml:space="preserve">” </w:t>
      </w:r>
      <w:r w:rsidR="00CF494A">
        <w:t xml:space="preserve"> I</w:t>
      </w:r>
      <w:r w:rsidR="008B4610">
        <w:t>n order for NSO to have met the definition of a criminal street gang,</w:t>
      </w:r>
      <w:r w:rsidR="00CF494A">
        <w:t xml:space="preserve"> the gang had to be organized,</w:t>
      </w:r>
      <w:r w:rsidR="008B4610">
        <w:t xml:space="preserve"> </w:t>
      </w:r>
      <w:r w:rsidR="00381D2F">
        <w:t>its</w:t>
      </w:r>
      <w:r w:rsidR="008B4610">
        <w:t xml:space="preserve"> members </w:t>
      </w:r>
      <w:r w:rsidR="00381D2F">
        <w:t>had</w:t>
      </w:r>
      <w:r w:rsidR="008B4610">
        <w:t xml:space="preserve"> to </w:t>
      </w:r>
      <w:r w:rsidR="00381D2F">
        <w:t xml:space="preserve">have </w:t>
      </w:r>
      <w:r w:rsidR="008B4610">
        <w:t>engage</w:t>
      </w:r>
      <w:r w:rsidR="00381D2F">
        <w:t>d</w:t>
      </w:r>
      <w:r w:rsidR="008B4610">
        <w:t xml:space="preserve"> in criminal gang activity collectively rather than </w:t>
      </w:r>
      <w:r w:rsidR="00381D2F">
        <w:t>individually</w:t>
      </w:r>
      <w:r w:rsidR="00CF494A">
        <w:t xml:space="preserve">, </w:t>
      </w:r>
      <w:r w:rsidR="00381D2F">
        <w:t xml:space="preserve">the </w:t>
      </w:r>
      <w:r w:rsidR="00CF494A">
        <w:t xml:space="preserve">last </w:t>
      </w:r>
      <w:r w:rsidR="00381D2F">
        <w:t xml:space="preserve">predicate </w:t>
      </w:r>
      <w:r w:rsidR="00CF494A">
        <w:t>offense</w:t>
      </w:r>
      <w:r w:rsidR="00381D2F">
        <w:t xml:space="preserve"> had to </w:t>
      </w:r>
      <w:r w:rsidR="00CF494A">
        <w:t>occur within three years of 2009</w:t>
      </w:r>
      <w:r w:rsidR="00017F7E">
        <w:t xml:space="preserve">, </w:t>
      </w:r>
      <w:r w:rsidR="00CF494A">
        <w:t xml:space="preserve">and all predicate offenses had to be among those </w:t>
      </w:r>
      <w:r w:rsidR="00017F7E">
        <w:t xml:space="preserve">listed in the </w:t>
      </w:r>
      <w:r w:rsidR="00CF494A">
        <w:t xml:space="preserve">amended </w:t>
      </w:r>
      <w:r w:rsidR="00017F7E">
        <w:t>statute, have been committed by two or more members and have commonly benefited the gang in a way that was more than reputational.  (§ 186.22, subd</w:t>
      </w:r>
      <w:r w:rsidR="00CD10BD">
        <w:t>s</w:t>
      </w:r>
      <w:r w:rsidR="00017F7E">
        <w:t xml:space="preserve">. </w:t>
      </w:r>
      <w:r w:rsidR="00CD10BD">
        <w:t>(f)</w:t>
      </w:r>
      <w:r w:rsidR="00235318">
        <w:t xml:space="preserve">, </w:t>
      </w:r>
      <w:r w:rsidR="00017F7E">
        <w:t>(e)(1).)</w:t>
      </w:r>
    </w:p>
    <w:p w:rsidR="00763E02" w:rsidRPr="00763E02" w:rsidP="008435CE" w14:paraId="642DE374" w14:textId="5A599B14">
      <w:pPr>
        <w:pStyle w:val="ListParagraph"/>
        <w:ind w:left="0" w:firstLine="720"/>
      </w:pPr>
      <w:r>
        <w:t>T</w:t>
      </w:r>
      <w:r w:rsidR="008B4610">
        <w:t xml:space="preserve">he </w:t>
      </w:r>
      <w:r>
        <w:t>gang</w:t>
      </w:r>
      <w:r w:rsidR="001926AB">
        <w:t>-murder</w:t>
      </w:r>
      <w:r>
        <w:t xml:space="preserve"> </w:t>
      </w:r>
      <w:r w:rsidR="008B4610">
        <w:t xml:space="preserve">special circumstance, </w:t>
      </w:r>
      <w:r>
        <w:t>section 190.2, subdivision</w:t>
      </w:r>
      <w:r w:rsidR="008435CE">
        <w:t> </w:t>
      </w:r>
      <w:r>
        <w:t xml:space="preserve">(a)(22) </w:t>
      </w:r>
      <w:r w:rsidR="007A0D7D">
        <w:t xml:space="preserve">is </w:t>
      </w:r>
      <w:r w:rsidR="00864D32">
        <w:t>also</w:t>
      </w:r>
      <w:r w:rsidR="007A0D7D">
        <w:t xml:space="preserve"> affected by Assembly Bill 333 because, </w:t>
      </w:r>
      <w:r>
        <w:t xml:space="preserve">as we have indicated, </w:t>
      </w:r>
      <w:r w:rsidR="007A0D7D">
        <w:t xml:space="preserve">it </w:t>
      </w:r>
      <w:r>
        <w:t xml:space="preserve">requires that </w:t>
      </w:r>
      <w:r w:rsidR="003A5238">
        <w:t>A</w:t>
      </w:r>
      <w:r w:rsidR="0047737A">
        <w:t>ppellant</w:t>
      </w:r>
      <w:r>
        <w:t>s have intentionally killed the victim while they were active participants in a criminal street gang</w:t>
      </w:r>
      <w:r w:rsidR="00002CB2">
        <w:t xml:space="preserve">.  </w:t>
      </w:r>
      <w:r w:rsidR="007A0D7D">
        <w:t>Section</w:t>
      </w:r>
      <w:r w:rsidR="008435CE">
        <w:t> </w:t>
      </w:r>
      <w:r w:rsidR="007A0D7D">
        <w:t>190.2</w:t>
      </w:r>
      <w:r w:rsidR="00871C4F">
        <w:t xml:space="preserve">, subdivision </w:t>
      </w:r>
      <w:r w:rsidR="007A0D7D">
        <w:t xml:space="preserve">(a)(22) </w:t>
      </w:r>
      <w:r w:rsidR="00002CB2">
        <w:t xml:space="preserve">incorporates by reference the </w:t>
      </w:r>
      <w:r>
        <w:t>defin</w:t>
      </w:r>
      <w:r w:rsidR="00002CB2">
        <w:t xml:space="preserve">ition of criminal street gang in </w:t>
      </w:r>
      <w:r>
        <w:t>subdivision (f) of section 186.22</w:t>
      </w:r>
      <w:r w:rsidR="007A0D7D">
        <w:t>, which has been amended to require collective activity and a proximity of criminal offenses</w:t>
      </w:r>
      <w:r w:rsidR="00002CB2">
        <w:t xml:space="preserve">.  </w:t>
      </w:r>
      <w:r w:rsidR="005B4239">
        <w:t>A “criminal street gang”</w:t>
      </w:r>
      <w:r w:rsidR="007A0D7D">
        <w:t xml:space="preserve"> in section 186.22</w:t>
      </w:r>
      <w:r w:rsidR="00871C4F">
        <w:t xml:space="preserve">, subdivision </w:t>
      </w:r>
      <w:r w:rsidR="007A0D7D">
        <w:t>(f)</w:t>
      </w:r>
      <w:r w:rsidR="005B4239">
        <w:t xml:space="preserve"> </w:t>
      </w:r>
      <w:r w:rsidR="007A0D7D">
        <w:t xml:space="preserve">has long been </w:t>
      </w:r>
      <w:r w:rsidR="005B4239">
        <w:t>defined as having members who engage in a “pattern of criminal gang activity,” as that phrase is defined in section 186.22, subdivision (e)</w:t>
      </w:r>
      <w:r w:rsidR="007A0D7D">
        <w:t xml:space="preserve">.  Assembly Bill 333 amended section 186.22 to narrow the meaning of both of those phrases. </w:t>
      </w:r>
      <w:r w:rsidR="005B4239">
        <w:t xml:space="preserve"> And the requirement</w:t>
      </w:r>
      <w:r w:rsidR="007A0D7D">
        <w:t xml:space="preserve"> of section 190.2</w:t>
      </w:r>
      <w:r w:rsidR="005B4239">
        <w:t xml:space="preserve"> that the murder have been carried out </w:t>
      </w:r>
      <w:r>
        <w:t xml:space="preserve">to </w:t>
      </w:r>
      <w:r w:rsidR="007A0D7D">
        <w:t>“</w:t>
      </w:r>
      <w:r w:rsidRPr="005B4239">
        <w:rPr>
          <w:i/>
          <w:iCs/>
        </w:rPr>
        <w:t>further</w:t>
      </w:r>
      <w:r>
        <w:t xml:space="preserve"> the activities of the criminal street gang</w:t>
      </w:r>
      <w:r w:rsidR="007A0D7D">
        <w:t>”</w:t>
      </w:r>
      <w:r w:rsidR="005B4239">
        <w:t xml:space="preserve"> is</w:t>
      </w:r>
      <w:r w:rsidR="007A0D7D">
        <w:t xml:space="preserve"> affected by the addition to section 186.22 of a definition of that phrase</w:t>
      </w:r>
      <w:r w:rsidR="005B4239">
        <w:t xml:space="preserve"> to require a common benefit that is “more than reputational,” such as “financial gain or motivation, retaliation, targeting a perceived or actual gang rival, or intim</w:t>
      </w:r>
      <w:r w:rsidR="007A0D7D">
        <w:t>i</w:t>
      </w:r>
      <w:r w:rsidR="005B4239">
        <w:t>dation or silencing of a potential current or previous witness or informant.”</w:t>
      </w:r>
      <w:r w:rsidR="00871C4F">
        <w:t xml:space="preserve"> </w:t>
      </w:r>
      <w:r w:rsidR="005B4239">
        <w:t xml:space="preserve"> (§ 186.22, subd. (g).) </w:t>
      </w:r>
      <w:r>
        <w:t xml:space="preserve"> </w:t>
      </w:r>
    </w:p>
    <w:p w:rsidR="007B12B8" w:rsidRPr="000E107A" w:rsidP="000E107A" w14:paraId="45BFAD35" w14:textId="38082957">
      <w:pPr>
        <w:pStyle w:val="ListParagraph"/>
        <w:numPr>
          <w:ilvl w:val="0"/>
          <w:numId w:val="6"/>
        </w:numPr>
        <w:ind w:left="1440" w:right="144"/>
        <w:rPr>
          <w:b/>
          <w:bCs/>
        </w:rPr>
      </w:pPr>
      <w:bookmarkStart w:id="0" w:name="_Hlk136524167"/>
      <w:r w:rsidRPr="000E107A">
        <w:rPr>
          <w:b/>
          <w:bCs/>
        </w:rPr>
        <w:t>A</w:t>
      </w:r>
      <w:r w:rsidRPr="000E107A" w:rsidR="00B86B11">
        <w:rPr>
          <w:b/>
          <w:bCs/>
        </w:rPr>
        <w:t xml:space="preserve">ssembly Bill </w:t>
      </w:r>
      <w:r w:rsidRPr="000E107A">
        <w:rPr>
          <w:b/>
          <w:bCs/>
        </w:rPr>
        <w:t xml:space="preserve">333 </w:t>
      </w:r>
      <w:r w:rsidRPr="000E107A" w:rsidR="00831F95">
        <w:rPr>
          <w:b/>
          <w:bCs/>
        </w:rPr>
        <w:t>V</w:t>
      </w:r>
      <w:r w:rsidRPr="000E107A">
        <w:rPr>
          <w:b/>
          <w:bCs/>
        </w:rPr>
        <w:t>alid</w:t>
      </w:r>
      <w:r w:rsidRPr="000E107A" w:rsidR="00831F95">
        <w:rPr>
          <w:b/>
          <w:bCs/>
        </w:rPr>
        <w:t>ly</w:t>
      </w:r>
      <w:r w:rsidRPr="000E107A">
        <w:rPr>
          <w:b/>
          <w:bCs/>
        </w:rPr>
        <w:t xml:space="preserve"> Amend</w:t>
      </w:r>
      <w:r w:rsidRPr="000E107A" w:rsidR="00831F95">
        <w:rPr>
          <w:b/>
          <w:bCs/>
        </w:rPr>
        <w:t>ed</w:t>
      </w:r>
      <w:r w:rsidRPr="000E107A">
        <w:rPr>
          <w:b/>
          <w:bCs/>
        </w:rPr>
        <w:t xml:space="preserve"> Proposition 21.</w:t>
      </w:r>
      <w:bookmarkEnd w:id="0"/>
    </w:p>
    <w:p w:rsidR="007B12B8" w:rsidP="000E107A" w14:paraId="1E1027A3" w14:textId="6EC50ACF">
      <w:pPr>
        <w:pStyle w:val="ListParagraph"/>
        <w:ind w:left="0" w:firstLine="720"/>
      </w:pPr>
      <w:r>
        <w:t>In our original opinion in this appeal prior to granting rehearing, we addressed t</w:t>
      </w:r>
      <w:r w:rsidR="00CC38DC">
        <w:t>he People’s</w:t>
      </w:r>
      <w:r>
        <w:t xml:space="preserve"> </w:t>
      </w:r>
      <w:r w:rsidR="0005277D">
        <w:t>argument</w:t>
      </w:r>
      <w:r>
        <w:t xml:space="preserve"> that Assembly Bill 333</w:t>
      </w:r>
      <w:r w:rsidR="00CC38DC">
        <w:t xml:space="preserve"> amend</w:t>
      </w:r>
      <w:r w:rsidR="00D6096D">
        <w:t>ed</w:t>
      </w:r>
      <w:r>
        <w:t xml:space="preserve"> the gang</w:t>
      </w:r>
      <w:r w:rsidR="001926AB">
        <w:t>-murder</w:t>
      </w:r>
      <w:r>
        <w:t xml:space="preserve"> special circumstance</w:t>
      </w:r>
      <w:r w:rsidR="00CC38DC">
        <w:t xml:space="preserve"> </w:t>
      </w:r>
      <w:r w:rsidR="00D6096D">
        <w:t xml:space="preserve">in a way </w:t>
      </w:r>
      <w:r w:rsidR="00CC38DC">
        <w:t xml:space="preserve">that was not permitted by </w:t>
      </w:r>
      <w:r w:rsidR="007A0D7D">
        <w:t>Proposition</w:t>
      </w:r>
      <w:r w:rsidR="00073840">
        <w:t> </w:t>
      </w:r>
      <w:r w:rsidR="007A0D7D">
        <w:t xml:space="preserve">21, the </w:t>
      </w:r>
      <w:r w:rsidR="00CC38DC">
        <w:t>initiative</w:t>
      </w:r>
      <w:r w:rsidR="007A0D7D">
        <w:t xml:space="preserve"> measure</w:t>
      </w:r>
      <w:r w:rsidR="00D6096D">
        <w:t xml:space="preserve"> that enacted</w:t>
      </w:r>
      <w:r w:rsidR="00CC38DC">
        <w:t xml:space="preserve"> </w:t>
      </w:r>
      <w:r w:rsidR="007A0D7D">
        <w:t xml:space="preserve">the gang-murder </w:t>
      </w:r>
      <w:r w:rsidR="00CC38DC">
        <w:t>special circumstance</w:t>
      </w:r>
      <w:r w:rsidR="00D81E10">
        <w:t xml:space="preserve">.  We found persuasive the analysis of a </w:t>
      </w:r>
      <w:r w:rsidR="001E3F19">
        <w:t>Second District</w:t>
      </w:r>
      <w:r w:rsidR="0005277D">
        <w:t xml:space="preserve"> </w:t>
      </w:r>
      <w:r w:rsidR="000D6E29">
        <w:t xml:space="preserve">panel </w:t>
      </w:r>
      <w:r w:rsidR="003D29DA">
        <w:t>holding</w:t>
      </w:r>
      <w:r w:rsidR="000D6E29">
        <w:t xml:space="preserve"> that </w:t>
      </w:r>
      <w:r w:rsidR="0005277D">
        <w:t xml:space="preserve">the bill </w:t>
      </w:r>
      <w:r w:rsidR="001D2022">
        <w:t xml:space="preserve">did not </w:t>
      </w:r>
      <w:r w:rsidR="00423E2F">
        <w:t xml:space="preserve">violate the constitutional prohibition on legislative amendment of a statute adopted by initiative.  (See </w:t>
      </w:r>
      <w:r w:rsidRPr="006D58F7" w:rsidR="00423E2F">
        <w:rPr>
          <w:i/>
          <w:iCs/>
        </w:rPr>
        <w:t>Lee</w:t>
      </w:r>
      <w:r w:rsidR="006961FC">
        <w:rPr>
          <w:i/>
          <w:iCs/>
        </w:rPr>
        <w:t xml:space="preserve">, supra, </w:t>
      </w:r>
      <w:r w:rsidR="00423E2F">
        <w:t>81</w:t>
      </w:r>
      <w:r w:rsidR="001865B2">
        <w:t> </w:t>
      </w:r>
      <w:r w:rsidR="00423E2F">
        <w:t xml:space="preserve">Cal.App.5th </w:t>
      </w:r>
      <w:r w:rsidR="006961FC">
        <w:t>at pp.</w:t>
      </w:r>
      <w:r w:rsidR="00423E2F">
        <w:t xml:space="preserve"> 240-245</w:t>
      </w:r>
      <w:r w:rsidR="00B34C06">
        <w:t xml:space="preserve">, </w:t>
      </w:r>
      <w:r w:rsidR="001865B2">
        <w:t>review granted</w:t>
      </w:r>
      <w:r w:rsidR="00D6096D">
        <w:t xml:space="preserve">.)  </w:t>
      </w:r>
      <w:r w:rsidR="00A036A4">
        <w:t>We also found persuasive the decision</w:t>
      </w:r>
      <w:r w:rsidR="00636735">
        <w:t xml:space="preserve"> </w:t>
      </w:r>
      <w:r w:rsidR="00C15EE9">
        <w:t xml:space="preserve">of </w:t>
      </w:r>
      <w:r w:rsidR="00D6096D">
        <w:t>the Fifth District follow</w:t>
      </w:r>
      <w:r w:rsidR="00C15EE9">
        <w:t>ing</w:t>
      </w:r>
      <w:r w:rsidR="00D6096D">
        <w:t xml:space="preserve"> </w:t>
      </w:r>
      <w:r w:rsidRPr="002D6522" w:rsidR="00D6096D">
        <w:rPr>
          <w:i/>
          <w:iCs/>
        </w:rPr>
        <w:t>Lee</w:t>
      </w:r>
      <w:r w:rsidR="00D6096D">
        <w:t xml:space="preserve"> </w:t>
      </w:r>
      <w:r w:rsidR="002D6522">
        <w:t xml:space="preserve">in holding </w:t>
      </w:r>
      <w:r w:rsidR="002D0D39">
        <w:t xml:space="preserve">the </w:t>
      </w:r>
      <w:r w:rsidR="002D6522">
        <w:t>gang conspiracy statute, which like the gang-murder special circumstance was also enacted by Proposition 21, was not unconstitutionally amended by Assembly Bill</w:t>
      </w:r>
      <w:r w:rsidR="00B86B11">
        <w:t xml:space="preserve"> </w:t>
      </w:r>
      <w:r w:rsidR="002D6522">
        <w:t>333.  (</w:t>
      </w:r>
      <w:r w:rsidRPr="006D58F7" w:rsidR="00423E2F">
        <w:rPr>
          <w:i/>
          <w:iCs/>
        </w:rPr>
        <w:t>People v. Lopez</w:t>
      </w:r>
      <w:r w:rsidR="00423E2F">
        <w:t xml:space="preserve"> (2022) 82</w:t>
      </w:r>
      <w:r w:rsidR="00073840">
        <w:t> </w:t>
      </w:r>
      <w:r w:rsidR="00423E2F">
        <w:t>Cal.App.5th 1, 14-25</w:t>
      </w:r>
      <w:r w:rsidR="002D6522">
        <w:t xml:space="preserve">.)  </w:t>
      </w:r>
      <w:r w:rsidR="00A420A2">
        <w:t>We disagreed with</w:t>
      </w:r>
      <w:r w:rsidR="002D6522">
        <w:t xml:space="preserve"> a decision</w:t>
      </w:r>
      <w:r w:rsidR="001E3F19">
        <w:t xml:space="preserve"> by </w:t>
      </w:r>
      <w:r w:rsidR="00D33D86">
        <w:t>a</w:t>
      </w:r>
      <w:r w:rsidR="001E3F19">
        <w:t xml:space="preserve"> </w:t>
      </w:r>
      <w:r w:rsidR="002D6522">
        <w:t xml:space="preserve">different </w:t>
      </w:r>
      <w:r w:rsidR="001E3F19">
        <w:t>panel</w:t>
      </w:r>
      <w:r w:rsidR="002D6522">
        <w:t xml:space="preserve"> of the Fifth </w:t>
      </w:r>
      <w:r w:rsidR="00A420A2">
        <w:t>District</w:t>
      </w:r>
      <w:r w:rsidR="001E3F19">
        <w:t xml:space="preserve"> </w:t>
      </w:r>
      <w:r w:rsidR="00F354CC">
        <w:t xml:space="preserve">which </w:t>
      </w:r>
      <w:r w:rsidR="001E3F19">
        <w:t>held</w:t>
      </w:r>
      <w:r w:rsidR="002D6522">
        <w:t xml:space="preserve"> that</w:t>
      </w:r>
      <w:r w:rsidR="001E3F19">
        <w:t xml:space="preserve"> Assembly Bill 333 did not validly amend the gang</w:t>
      </w:r>
      <w:r w:rsidR="001926AB">
        <w:t xml:space="preserve">-murder </w:t>
      </w:r>
      <w:r w:rsidR="001E3F19">
        <w:t>special circumstance</w:t>
      </w:r>
      <w:r w:rsidR="002D6522">
        <w:t xml:space="preserve"> and that the changes to the definitions of “criminal street gang” and “pattern of gang criminal activity” in section 186.22, subdivisions (e) and (f)</w:t>
      </w:r>
      <w:r w:rsidR="002D0D39">
        <w:t>,</w:t>
      </w:r>
      <w:r w:rsidR="002D6522">
        <w:t xml:space="preserve"> cannot be applied (retroactively or prospectively) to the special circumstance</w:t>
      </w:r>
      <w:r w:rsidR="001E3F19">
        <w:t>.  (</w:t>
      </w:r>
      <w:r w:rsidRPr="001E3F19" w:rsidR="001E3F19">
        <w:rPr>
          <w:i/>
          <w:iCs/>
        </w:rPr>
        <w:t>People v. Rojas</w:t>
      </w:r>
      <w:r w:rsidR="002502C6">
        <w:t xml:space="preserve"> </w:t>
      </w:r>
      <w:r w:rsidR="001E3F19">
        <w:t>(2022) 80 Cal.App.5th 542, 553-558</w:t>
      </w:r>
      <w:r w:rsidR="004004D1">
        <w:t xml:space="preserve"> (</w:t>
      </w:r>
      <w:r w:rsidRPr="004004D1" w:rsidR="004004D1">
        <w:rPr>
          <w:i/>
          <w:iCs/>
        </w:rPr>
        <w:t>Rojas</w:t>
      </w:r>
      <w:r w:rsidR="004004D1">
        <w:t>)</w:t>
      </w:r>
      <w:r w:rsidR="003116B4">
        <w:t xml:space="preserve">, </w:t>
      </w:r>
      <w:r w:rsidRPr="008435CE" w:rsidR="003116B4">
        <w:t>rev</w:t>
      </w:r>
      <w:r w:rsidR="002D0D39">
        <w:t>iew</w:t>
      </w:r>
      <w:r w:rsidRPr="008435CE" w:rsidR="003116B4">
        <w:t xml:space="preserve"> granted</w:t>
      </w:r>
      <w:r w:rsidR="003116B4">
        <w:t xml:space="preserve"> Oct. 19, 2022</w:t>
      </w:r>
      <w:r w:rsidR="002D0D39">
        <w:t>, S275835</w:t>
      </w:r>
      <w:r w:rsidR="001E3F19">
        <w:t>.)</w:t>
      </w:r>
      <w:r w:rsidR="003116B4">
        <w:t xml:space="preserve">  </w:t>
      </w:r>
    </w:p>
    <w:p w:rsidR="00EE7F19" w:rsidRPr="00B36D0B" w:rsidP="0039039D" w14:paraId="5608802B" w14:textId="3ECB1018">
      <w:pPr>
        <w:pStyle w:val="ListParagraph"/>
        <w:ind w:left="0" w:firstLine="720"/>
      </w:pPr>
      <w:r>
        <w:t xml:space="preserve">After granting rehearing in this case, the Supreme Court decided the issue in </w:t>
      </w:r>
      <w:r w:rsidRPr="00643FAC">
        <w:rPr>
          <w:i/>
          <w:iCs/>
        </w:rPr>
        <w:t>People v. Rojas</w:t>
      </w:r>
      <w:r>
        <w:t xml:space="preserve"> (</w:t>
      </w:r>
      <w:r w:rsidR="000109F0">
        <w:t xml:space="preserve">Dec. 18, </w:t>
      </w:r>
      <w:r>
        <w:t>2023</w:t>
      </w:r>
      <w:r w:rsidR="00FD6859">
        <w:t xml:space="preserve">, </w:t>
      </w:r>
      <w:r w:rsidRPr="00FD6859" w:rsidR="00FD6859">
        <w:t>S275835</w:t>
      </w:r>
      <w:r>
        <w:t xml:space="preserve">) </w:t>
      </w:r>
      <w:r w:rsidRPr="00B45EAD" w:rsidR="00B45EAD">
        <w:t>__</w:t>
      </w:r>
      <w:r w:rsidR="00B45EAD">
        <w:t xml:space="preserve"> </w:t>
      </w:r>
      <w:r>
        <w:t xml:space="preserve">Cal.5th </w:t>
      </w:r>
      <w:r w:rsidRPr="00B45EAD" w:rsidR="00B45EAD">
        <w:t>__</w:t>
      </w:r>
      <w:r w:rsidR="00A022C4">
        <w:t xml:space="preserve"> [</w:t>
      </w:r>
      <w:r w:rsidRPr="008C4DE8" w:rsidR="008C4DE8">
        <w:t>2023 WL 8706961</w:t>
      </w:r>
      <w:r w:rsidR="00A022C4">
        <w:t xml:space="preserve">] and held that “applying Assembly Bill 333’s definition of ‘criminal street gang’ to the gang-murder special circumstances does not unconstitutionally amend section 190.22(a)(22) </w:t>
      </w:r>
      <w:r w:rsidR="008E39BB">
        <w:t>[Proposition 21].”  (</w:t>
      </w:r>
      <w:r w:rsidRPr="00FE5474" w:rsidR="008E39BB">
        <w:rPr>
          <w:i/>
          <w:iCs/>
        </w:rPr>
        <w:t>Id.</w:t>
      </w:r>
      <w:r w:rsidR="008E39BB">
        <w:t xml:space="preserve"> at p.</w:t>
      </w:r>
      <w:r w:rsidR="00437A92">
        <w:t>*11</w:t>
      </w:r>
      <w:r w:rsidR="008E39BB">
        <w:t>.)</w:t>
      </w:r>
      <w:r w:rsidR="00B36D0B">
        <w:t xml:space="preserve">  </w:t>
      </w:r>
      <w:r w:rsidR="003C2F51">
        <w:t>The California Supreme Court’s rejection of</w:t>
      </w:r>
      <w:r>
        <w:t xml:space="preserve"> the People’s argument that Assembly Bill 333’s changes to the definitions of “criminal street gang” and “pattern of criminal gang activity” are invalid amendments of Proposition 21</w:t>
      </w:r>
      <w:r w:rsidR="00841034">
        <w:t xml:space="preserve"> means we cannot affirm the </w:t>
      </w:r>
      <w:r>
        <w:t>gang</w:t>
      </w:r>
      <w:r w:rsidR="00D351AC">
        <w:t>-</w:t>
      </w:r>
      <w:r>
        <w:t>murder special</w:t>
      </w:r>
      <w:r w:rsidR="00ED4272">
        <w:t>-</w:t>
      </w:r>
      <w:r>
        <w:t xml:space="preserve">circumstance findings as to </w:t>
      </w:r>
      <w:r w:rsidR="003A5238">
        <w:t>A</w:t>
      </w:r>
      <w:r w:rsidR="004861BB">
        <w:t>ppellants</w:t>
      </w:r>
      <w:r>
        <w:t xml:space="preserve"> on that basis.</w:t>
      </w:r>
    </w:p>
    <w:p w:rsidR="00864D32" w:rsidRPr="000E107A" w:rsidP="003702F9" w14:paraId="57A8A1A5" w14:textId="17FE9AA5">
      <w:pPr>
        <w:pStyle w:val="ListParagraph"/>
        <w:numPr>
          <w:ilvl w:val="0"/>
          <w:numId w:val="6"/>
        </w:numPr>
        <w:spacing w:after="120" w:line="240" w:lineRule="auto"/>
        <w:ind w:left="1526"/>
        <w:contextualSpacing w:val="0"/>
        <w:rPr>
          <w:b/>
          <w:bCs/>
        </w:rPr>
      </w:pPr>
      <w:bookmarkStart w:id="1" w:name="_Hlk136524215"/>
      <w:r w:rsidRPr="000E107A">
        <w:rPr>
          <w:b/>
          <w:bCs/>
        </w:rPr>
        <w:t>The Instruction</w:t>
      </w:r>
      <w:r w:rsidRPr="000E107A" w:rsidR="008F2FFB">
        <w:rPr>
          <w:b/>
          <w:bCs/>
        </w:rPr>
        <w:t>s</w:t>
      </w:r>
      <w:r w:rsidRPr="000E107A">
        <w:rPr>
          <w:b/>
          <w:bCs/>
        </w:rPr>
        <w:t xml:space="preserve"> on the Gang</w:t>
      </w:r>
      <w:r w:rsidRPr="000E107A" w:rsidR="009604FB">
        <w:rPr>
          <w:b/>
          <w:bCs/>
        </w:rPr>
        <w:t xml:space="preserve">-Related Gun </w:t>
      </w:r>
      <w:r w:rsidRPr="000E107A">
        <w:rPr>
          <w:b/>
          <w:bCs/>
        </w:rPr>
        <w:t>Enhancement</w:t>
      </w:r>
      <w:r w:rsidRPr="000E107A" w:rsidR="009604FB">
        <w:rPr>
          <w:b/>
          <w:bCs/>
        </w:rPr>
        <w:t xml:space="preserve"> and Gang-Murder Special Circumstance</w:t>
      </w:r>
      <w:r w:rsidRPr="000E107A">
        <w:rPr>
          <w:b/>
          <w:bCs/>
        </w:rPr>
        <w:t xml:space="preserve"> </w:t>
      </w:r>
      <w:r w:rsidRPr="000E107A" w:rsidR="007B12B8">
        <w:rPr>
          <w:b/>
          <w:bCs/>
        </w:rPr>
        <w:t>W</w:t>
      </w:r>
      <w:r w:rsidRPr="000E107A" w:rsidR="007D7EC3">
        <w:rPr>
          <w:b/>
          <w:bCs/>
        </w:rPr>
        <w:t>ere</w:t>
      </w:r>
      <w:r w:rsidRPr="000E107A" w:rsidR="007B12B8">
        <w:rPr>
          <w:b/>
          <w:bCs/>
        </w:rPr>
        <w:t xml:space="preserve"> Not </w:t>
      </w:r>
      <w:r w:rsidRPr="000E107A" w:rsidR="008F2FFB">
        <w:rPr>
          <w:b/>
          <w:bCs/>
        </w:rPr>
        <w:t>Harmless Beyond a Reasonable Doubt.</w:t>
      </w:r>
      <w:bookmarkEnd w:id="1"/>
    </w:p>
    <w:p w:rsidR="00516B69" w:rsidP="0039039D" w14:paraId="3883B843" w14:textId="589B3B00">
      <w:pPr>
        <w:spacing w:line="360" w:lineRule="auto"/>
        <w:ind w:firstLine="720"/>
      </w:pPr>
      <w:r>
        <w:t xml:space="preserve">The People acknowledge that the standard for prejudice resulting from the </w:t>
      </w:r>
      <w:r w:rsidR="009604FB">
        <w:t xml:space="preserve">omission </w:t>
      </w:r>
      <w:r w:rsidR="005C2448">
        <w:t xml:space="preserve">of </w:t>
      </w:r>
      <w:r>
        <w:t xml:space="preserve">the </w:t>
      </w:r>
      <w:r w:rsidR="009604FB">
        <w:t>elements added by</w:t>
      </w:r>
      <w:r>
        <w:t xml:space="preserve"> Assembly Bill 333</w:t>
      </w:r>
      <w:r w:rsidR="005C2448">
        <w:t xml:space="preserve"> from the instructions on the gang enhancement</w:t>
      </w:r>
      <w:r w:rsidR="009604FB">
        <w:t xml:space="preserve"> is the constitutional standard under </w:t>
      </w:r>
      <w:r w:rsidRPr="009604FB" w:rsidR="009604FB">
        <w:rPr>
          <w:i/>
          <w:iCs/>
        </w:rPr>
        <w:t>Chapman</w:t>
      </w:r>
      <w:r w:rsidR="002B5C97">
        <w:t xml:space="preserve">, </w:t>
      </w:r>
      <w:r w:rsidRPr="002B5C97" w:rsidR="002B5C97">
        <w:rPr>
          <w:i/>
          <w:iCs/>
        </w:rPr>
        <w:t>supra</w:t>
      </w:r>
      <w:r w:rsidR="002B5C97">
        <w:t xml:space="preserve">, </w:t>
      </w:r>
      <w:r w:rsidR="009604FB">
        <w:t xml:space="preserve">386 U.S. 18.  </w:t>
      </w:r>
      <w:r w:rsidR="00DD22E5">
        <w:t xml:space="preserve">We agree.  </w:t>
      </w:r>
      <w:r w:rsidR="00013B3D">
        <w:t xml:space="preserve">“When a substantive change occurs in the elements of an offense and the jury is not instructed as to the proper elements, the omission implicates the defendant’s right to a jury trial under the Sixth Amendment, and reversal is required unless ‘it appears beyond a reasonable doubt’ that the jury verdict would have been the same in the absence of the error.”  </w:t>
      </w:r>
      <w:r w:rsidR="00DD22E5">
        <w:t>(</w:t>
      </w:r>
      <w:r w:rsidRPr="00DD22E5" w:rsidR="00DD22E5">
        <w:rPr>
          <w:i/>
          <w:iCs/>
        </w:rPr>
        <w:t>Tran</w:t>
      </w:r>
      <w:r w:rsidR="00DD22E5">
        <w:t xml:space="preserve">, </w:t>
      </w:r>
      <w:r w:rsidRPr="00DD22E5" w:rsidR="00DD22E5">
        <w:rPr>
          <w:i/>
          <w:iCs/>
        </w:rPr>
        <w:t>supra</w:t>
      </w:r>
      <w:r w:rsidR="00DD22E5">
        <w:t>, 13 Cal.4th at p. 1207.)</w:t>
      </w:r>
      <w:r w:rsidR="00013B3D">
        <w:t xml:space="preserve">  </w:t>
      </w:r>
      <w:r w:rsidR="009604FB">
        <w:t>Th</w:t>
      </w:r>
      <w:r w:rsidR="009F1479">
        <w:t>e</w:t>
      </w:r>
      <w:r w:rsidR="00B13F75">
        <w:t xml:space="preserve"> People</w:t>
      </w:r>
      <w:r w:rsidR="009F1479">
        <w:t xml:space="preserve"> </w:t>
      </w:r>
      <w:r w:rsidR="009604FB">
        <w:t xml:space="preserve">argue this strict standard is met because “the prosecution presented evidence to satisfy </w:t>
      </w:r>
      <w:r w:rsidR="005C2448">
        <w:t>[</w:t>
      </w:r>
      <w:r w:rsidR="009604FB">
        <w:t>A</w:t>
      </w:r>
      <w:r w:rsidR="0047737A">
        <w:t xml:space="preserve">ssembly </w:t>
      </w:r>
      <w:r w:rsidR="009604FB">
        <w:t>B</w:t>
      </w:r>
      <w:r w:rsidR="0047737A">
        <w:t>ill</w:t>
      </w:r>
      <w:r w:rsidR="005C2448">
        <w:t>]</w:t>
      </w:r>
      <w:r w:rsidR="009604FB">
        <w:t xml:space="preserve"> 333’s requirements beyond a reasonable doubt, including evidence that both the charged and predicate crimes were committed for a reason beyond the reputational benefit to the gang.” </w:t>
      </w:r>
      <w:r w:rsidR="00DD22E5">
        <w:t xml:space="preserve"> </w:t>
      </w:r>
    </w:p>
    <w:p w:rsidR="009F1479" w:rsidP="0039039D" w14:paraId="11B82DDF" w14:textId="62F7E59A">
      <w:pPr>
        <w:spacing w:line="360" w:lineRule="auto"/>
        <w:ind w:firstLine="720"/>
      </w:pPr>
      <w:r>
        <w:t xml:space="preserve">Specifically, they argue that, as we observed on direct appeal, the </w:t>
      </w:r>
      <w:r w:rsidR="005C2448">
        <w:t>“</w:t>
      </w:r>
      <w:r>
        <w:t xml:space="preserve">admissible evidence that </w:t>
      </w:r>
      <w:r w:rsidR="00B01055">
        <w:t>[</w:t>
      </w:r>
      <w:r w:rsidR="003A5238">
        <w:t>A</w:t>
      </w:r>
      <w:r>
        <w:t>ppellants</w:t>
      </w:r>
      <w:r w:rsidR="00B01055">
        <w:t>]</w:t>
      </w:r>
      <w:r>
        <w:t xml:space="preserve"> were </w:t>
      </w:r>
      <w:r w:rsidR="00B01055">
        <w:t xml:space="preserve">NSO </w:t>
      </w:r>
      <w:r>
        <w:t>gang members who traveled together, heavily armed and with masks, into the heart of their rival Berkeley gang’s territory, there in broad daylight executed Charles Davis, the brother of a suspected Berkeley gang m</w:t>
      </w:r>
      <w:r w:rsidR="000B7685">
        <w:t>em</w:t>
      </w:r>
      <w:r>
        <w:t xml:space="preserve">ber, and did so to retaliate for what they thought was that gang’s killing of one of their own NSO </w:t>
      </w:r>
      <w:r w:rsidR="00B01055">
        <w:t xml:space="preserve">gang </w:t>
      </w:r>
      <w:r>
        <w:t xml:space="preserve">members a few weeks earlier” was “overwhelming.”  </w:t>
      </w:r>
      <w:r w:rsidR="00516B69">
        <w:t>(</w:t>
      </w:r>
      <w:r w:rsidRPr="00516B69">
        <w:rPr>
          <w:i/>
          <w:iCs/>
        </w:rPr>
        <w:t>Anthony I</w:t>
      </w:r>
      <w:r>
        <w:t xml:space="preserve">, </w:t>
      </w:r>
      <w:r w:rsidRPr="00516B69">
        <w:rPr>
          <w:i/>
          <w:iCs/>
        </w:rPr>
        <w:t>supra</w:t>
      </w:r>
      <w:r>
        <w:t xml:space="preserve">, </w:t>
      </w:r>
      <w:r w:rsidR="00B01055">
        <w:t>3</w:t>
      </w:r>
      <w:r w:rsidR="00516B69">
        <w:t>2</w:t>
      </w:r>
      <w:r w:rsidR="00B77C28">
        <w:t> </w:t>
      </w:r>
      <w:r w:rsidR="00516B69">
        <w:t>Cal.App.</w:t>
      </w:r>
      <w:r w:rsidR="00B01055">
        <w:t>5</w:t>
      </w:r>
      <w:r w:rsidR="00516B69">
        <w:t xml:space="preserve">th </w:t>
      </w:r>
      <w:r>
        <w:t xml:space="preserve">at </w:t>
      </w:r>
      <w:r w:rsidR="00516B69">
        <w:t>p. 1107</w:t>
      </w:r>
      <w:r>
        <w:t>; see also</w:t>
      </w:r>
      <w:r w:rsidRPr="00D601C6">
        <w:rPr>
          <w:i/>
          <w:iCs/>
        </w:rPr>
        <w:t xml:space="preserve"> id.</w:t>
      </w:r>
      <w:r>
        <w:t xml:space="preserve"> at </w:t>
      </w:r>
      <w:r w:rsidR="00B01055">
        <w:t xml:space="preserve">pp. </w:t>
      </w:r>
      <w:r>
        <w:t>1141-1142</w:t>
      </w:r>
      <w:r w:rsidR="00516B69">
        <w:t xml:space="preserve">.)  </w:t>
      </w:r>
      <w:r w:rsidR="0048032D">
        <w:t>We agree that the</w:t>
      </w:r>
      <w:r w:rsidR="00B13F75">
        <w:t xml:space="preserve"> admissible</w:t>
      </w:r>
      <w:r w:rsidR="0048032D">
        <w:t xml:space="preserve"> evidence overwhelmingly shows retaliation as the motive for Appellants’ murder of Davis and meets the </w:t>
      </w:r>
      <w:r w:rsidRPr="009C374B" w:rsidR="0048032D">
        <w:rPr>
          <w:i/>
          <w:iCs/>
        </w:rPr>
        <w:t>Chapman</w:t>
      </w:r>
      <w:r w:rsidR="0048032D">
        <w:t xml:space="preserve"> standard as to that amended element of the gang statute.  However, </w:t>
      </w:r>
      <w:r w:rsidRPr="00B01055" w:rsidR="0009165C">
        <w:t xml:space="preserve">as we shall discuss, </w:t>
      </w:r>
      <w:r w:rsidRPr="00B01055" w:rsidR="0099778E">
        <w:t xml:space="preserve">reasonable </w:t>
      </w:r>
      <w:r w:rsidRPr="00B01055" w:rsidR="00EB1210">
        <w:t xml:space="preserve">doubt </w:t>
      </w:r>
      <w:r w:rsidRPr="00B01055" w:rsidR="0099778E">
        <w:t xml:space="preserve">exists </w:t>
      </w:r>
      <w:r w:rsidRPr="00B01055" w:rsidR="00EB1210">
        <w:t>as to whether all</w:t>
      </w:r>
      <w:r w:rsidRPr="00B01055" w:rsidR="0009165C">
        <w:t xml:space="preserve"> other elements </w:t>
      </w:r>
      <w:r w:rsidRPr="00B01055" w:rsidR="00EB1210">
        <w:t xml:space="preserve">necessary to prove </w:t>
      </w:r>
      <w:r w:rsidRPr="00B01055" w:rsidR="0009165C">
        <w:t>the gang enhancement</w:t>
      </w:r>
      <w:r w:rsidRPr="00B01055" w:rsidR="00553721">
        <w:t xml:space="preserve"> and gang</w:t>
      </w:r>
      <w:r w:rsidRPr="00B01055" w:rsidR="003A5238">
        <w:t>-</w:t>
      </w:r>
      <w:r w:rsidRPr="00B01055" w:rsidR="00553721">
        <w:t>murder special circumstance</w:t>
      </w:r>
      <w:r w:rsidRPr="00B01055" w:rsidR="0009165C">
        <w:t xml:space="preserve">, as </w:t>
      </w:r>
      <w:r w:rsidRPr="00B01055" w:rsidR="0099778E">
        <w:t xml:space="preserve">subsequently </w:t>
      </w:r>
      <w:r w:rsidRPr="00B01055" w:rsidR="0009165C">
        <w:t>amended by Assembly Bill 333</w:t>
      </w:r>
      <w:r w:rsidRPr="00B01055" w:rsidR="00EB1210">
        <w:t xml:space="preserve">, were established by the evidence presented at the </w:t>
      </w:r>
      <w:r w:rsidRPr="00B01055" w:rsidR="0099778E">
        <w:t xml:space="preserve">2013 </w:t>
      </w:r>
      <w:r w:rsidRPr="00B01055" w:rsidR="00EB1210">
        <w:t>trial of this case</w:t>
      </w:r>
      <w:r w:rsidRPr="00B01055" w:rsidR="0009165C">
        <w:t>.</w:t>
      </w:r>
    </w:p>
    <w:p w:rsidR="009604FB" w:rsidP="0039039D" w14:paraId="41E5E176" w14:textId="6480A3FE">
      <w:pPr>
        <w:spacing w:line="360" w:lineRule="auto"/>
        <w:ind w:firstLine="720"/>
      </w:pPr>
      <w:r w:rsidRPr="00B01055">
        <w:t>For example</w:t>
      </w:r>
      <w:r>
        <w:t>, t</w:t>
      </w:r>
      <w:r w:rsidR="0048032D">
        <w:t>he People</w:t>
      </w:r>
      <w:r w:rsidR="00516B69">
        <w:t xml:space="preserve"> contend, “There was evidence of at least four predicate offenses, committed on separate occasions, the mo</w:t>
      </w:r>
      <w:r w:rsidR="000B7685">
        <w:t>s</w:t>
      </w:r>
      <w:r w:rsidR="00516B69">
        <w:t xml:space="preserve">t recent of which was less than three years prior to the charged offenses,” and that two of those offenses were committed by two or more gang members. </w:t>
      </w:r>
      <w:r w:rsidR="000B7685">
        <w:t xml:space="preserve"> </w:t>
      </w:r>
      <w:r w:rsidR="0048032D">
        <w:t>Further</w:t>
      </w:r>
      <w:r w:rsidR="000B7685">
        <w:t xml:space="preserve">, they contend that the gang expert, John Cunnie, testified that these offenses not only increased the reputation of the NGO gang but were a source of income to the gang and, in the case of illegal gun possession, enabled gang members to protect themselves from rival gangs. </w:t>
      </w:r>
    </w:p>
    <w:p w:rsidR="00977517" w:rsidP="0039039D" w14:paraId="373254BB" w14:textId="362042D5">
      <w:pPr>
        <w:spacing w:line="360" w:lineRule="auto"/>
        <w:ind w:firstLine="720"/>
      </w:pPr>
      <w:r>
        <w:t>T</w:t>
      </w:r>
      <w:r w:rsidR="009C374B">
        <w:t>he</w:t>
      </w:r>
      <w:r w:rsidR="0048032D">
        <w:t xml:space="preserve"> evidence </w:t>
      </w:r>
      <w:r w:rsidRPr="005C2448">
        <w:t>may have been</w:t>
      </w:r>
      <w:r w:rsidRPr="0099778E">
        <w:rPr>
          <w:b/>
          <w:bCs/>
        </w:rPr>
        <w:t xml:space="preserve"> </w:t>
      </w:r>
      <w:r w:rsidRPr="009C374B" w:rsidR="009C374B">
        <w:rPr>
          <w:i/>
          <w:iCs/>
        </w:rPr>
        <w:t>sufficient</w:t>
      </w:r>
      <w:r w:rsidR="009C374B">
        <w:t xml:space="preserve"> </w:t>
      </w:r>
      <w:r w:rsidR="0048032D">
        <w:t>to show</w:t>
      </w:r>
      <w:r w:rsidR="009C374B">
        <w:t xml:space="preserve"> predicate offenses that met the new standards for a pattern of criminal gang activity</w:t>
      </w:r>
      <w:r w:rsidR="00CF1C9A">
        <w:t>.</w:t>
      </w:r>
      <w:r w:rsidR="00F249C8">
        <w:rPr>
          <w:rStyle w:val="FootnoteReference"/>
          <w:b/>
          <w:bCs/>
        </w:rPr>
        <w:t xml:space="preserve"> </w:t>
      </w:r>
      <w:r w:rsidR="009C374B">
        <w:t xml:space="preserve"> But the </w:t>
      </w:r>
      <w:r w:rsidRPr="009C374B" w:rsidR="009C374B">
        <w:rPr>
          <w:i/>
          <w:iCs/>
        </w:rPr>
        <w:t>Chapman</w:t>
      </w:r>
      <w:r w:rsidR="009C374B">
        <w:t xml:space="preserve"> standard requires more than sufficient evidence.</w:t>
      </w:r>
      <w:r w:rsidR="00343C11">
        <w:t xml:space="preserve">  (</w:t>
      </w:r>
      <w:r w:rsidRPr="00573784" w:rsidR="00343C11">
        <w:rPr>
          <w:i/>
          <w:iCs/>
        </w:rPr>
        <w:t>People v. Sek</w:t>
      </w:r>
      <w:r w:rsidR="00343C11">
        <w:t xml:space="preserve"> (2022) 74 Cal.App.5th 657, 668</w:t>
      </w:r>
      <w:r w:rsidR="006D0825">
        <w:t xml:space="preserve"> (</w:t>
      </w:r>
      <w:r w:rsidRPr="006D0825" w:rsidR="006D0825">
        <w:rPr>
          <w:i/>
          <w:iCs/>
        </w:rPr>
        <w:t>Sek</w:t>
      </w:r>
      <w:r w:rsidR="006D0825">
        <w:t>)</w:t>
      </w:r>
      <w:r w:rsidR="00343C11">
        <w:t>.)</w:t>
      </w:r>
      <w:r>
        <w:rPr>
          <w:rStyle w:val="FootnoteReference"/>
          <w:b/>
          <w:bCs/>
        </w:rPr>
        <w:footnoteReference w:id="24"/>
      </w:r>
      <w:r w:rsidR="00343C11">
        <w:t xml:space="preserve">  A</w:t>
      </w:r>
      <w:r w:rsidR="00472B2B">
        <w:t xml:space="preserve">nd the </w:t>
      </w:r>
      <w:r w:rsidRPr="005C2448" w:rsidR="00EB1210">
        <w:t>People</w:t>
      </w:r>
      <w:r w:rsidR="00EB1210">
        <w:t xml:space="preserve"> </w:t>
      </w:r>
      <w:r w:rsidR="00347A75">
        <w:t xml:space="preserve">do not </w:t>
      </w:r>
      <w:r w:rsidR="00472B2B">
        <w:t xml:space="preserve">address the possible impact </w:t>
      </w:r>
      <w:r w:rsidR="00343C11">
        <w:t>on</w:t>
      </w:r>
      <w:r w:rsidR="00472B2B">
        <w:t xml:space="preserve"> the jury </w:t>
      </w:r>
      <w:r w:rsidR="00504074">
        <w:t>of the</w:t>
      </w:r>
      <w:r w:rsidR="00343C11">
        <w:t xml:space="preserve"> instruct</w:t>
      </w:r>
      <w:r w:rsidR="00504074">
        <w:t>ions</w:t>
      </w:r>
      <w:r w:rsidR="00343C11">
        <w:t xml:space="preserve"> (no longer correct) that</w:t>
      </w:r>
      <w:r w:rsidR="00504074">
        <w:t>, in determining whether a pattern of criminal activity had been proved, “</w:t>
      </w:r>
      <w:r w:rsidR="005C2448">
        <w:t>[</w:t>
      </w:r>
      <w:r w:rsidR="00504074">
        <w:t>t</w:t>
      </w:r>
      <w:r w:rsidR="005C2448">
        <w:t>]</w:t>
      </w:r>
      <w:r w:rsidR="00504074">
        <w:t xml:space="preserve">he crimes, if any, that establish a pattern of criminal activity, need not be gang-related” and </w:t>
      </w:r>
      <w:r w:rsidR="00B21808">
        <w:t xml:space="preserve">that </w:t>
      </w:r>
      <w:r w:rsidR="00504074">
        <w:t>if it found a defendant guilty of a crime in this case it could consider that crime</w:t>
      </w:r>
      <w:r w:rsidR="00AB7569">
        <w:t xml:space="preserve"> as one of the predicate acts</w:t>
      </w:r>
      <w:r w:rsidR="00504074">
        <w:t>.</w:t>
      </w:r>
      <w:r w:rsidR="00347A75">
        <w:rPr>
          <w:rStyle w:val="FootnoteReference"/>
        </w:rPr>
        <w:t xml:space="preserve"> </w:t>
      </w:r>
      <w:r w:rsidR="00472B2B">
        <w:t xml:space="preserve"> </w:t>
      </w:r>
    </w:p>
    <w:p w:rsidR="00333F8B" w:rsidP="0039039D" w14:paraId="708AFACE" w14:textId="32172A52">
      <w:pPr>
        <w:spacing w:line="360" w:lineRule="auto"/>
        <w:ind w:firstLine="720"/>
      </w:pPr>
      <w:r>
        <w:t xml:space="preserve">Further, </w:t>
      </w:r>
      <w:r w:rsidR="00711B64">
        <w:t>the jury was instructed on the definition of criminal street gang as it existed under the former section 186.22</w:t>
      </w:r>
      <w:r w:rsidR="00206F7C">
        <w:t xml:space="preserve">, subdivision </w:t>
      </w:r>
      <w:r w:rsidR="00711B64">
        <w:t>(f)</w:t>
      </w:r>
      <w:r w:rsidR="00EB1210">
        <w:t>,</w:t>
      </w:r>
      <w:r w:rsidR="00711B64">
        <w:t xml:space="preserve"> as an </w:t>
      </w:r>
      <w:r w:rsidR="004D52E9">
        <w:t>“ongoing organization, association</w:t>
      </w:r>
      <w:r w:rsidR="008E1A15">
        <w:t>,</w:t>
      </w:r>
      <w:r w:rsidR="004D52E9">
        <w:t xml:space="preserve"> or group of three or more persons</w:t>
      </w:r>
      <w:r w:rsidR="00711B64">
        <w:t>, whether formal or informal</w:t>
      </w:r>
      <w:r w:rsidR="00EB1210">
        <w:t>,</w:t>
      </w:r>
      <w:r w:rsidR="004D52E9">
        <w:t>”</w:t>
      </w:r>
      <w:r w:rsidR="00711B64">
        <w:t xml:space="preserve"> rather than under the amended version, which requires an</w:t>
      </w:r>
      <w:r w:rsidR="004D52E9">
        <w:t xml:space="preserve"> </w:t>
      </w:r>
      <w:r w:rsidR="00A63210">
        <w:t>“o</w:t>
      </w:r>
      <w:r w:rsidR="004D52E9">
        <w:t xml:space="preserve">ngoing, </w:t>
      </w:r>
      <w:r w:rsidRPr="00977517" w:rsidR="004D52E9">
        <w:rPr>
          <w:i/>
          <w:iCs/>
        </w:rPr>
        <w:t>organized</w:t>
      </w:r>
      <w:r w:rsidR="004D52E9">
        <w:t xml:space="preserve"> association</w:t>
      </w:r>
      <w:r w:rsidR="006D0825">
        <w:t>,</w:t>
      </w:r>
      <w:r w:rsidR="004D52E9">
        <w:t xml:space="preserve"> or group of three or more persons</w:t>
      </w:r>
      <w:r w:rsidR="00711B64">
        <w:t>, whether formal or informal.</w:t>
      </w:r>
      <w:r w:rsidR="004D52E9">
        <w:t>”</w:t>
      </w:r>
      <w:r w:rsidR="00977517">
        <w:t xml:space="preserve"> </w:t>
      </w:r>
      <w:r w:rsidR="00711B64">
        <w:t xml:space="preserve"> While the parties cite no case law addressing the difference between the two, Appellants point to t</w:t>
      </w:r>
      <w:r w:rsidR="00977517">
        <w:t>he legislative findings made in Assembly Bill 333</w:t>
      </w:r>
      <w:r w:rsidR="00711B64">
        <w:t>, which</w:t>
      </w:r>
      <w:r w:rsidR="00977517">
        <w:t xml:space="preserve"> shed </w:t>
      </w:r>
      <w:r w:rsidR="002E14E1">
        <w:t xml:space="preserve">some </w:t>
      </w:r>
      <w:r w:rsidR="00977517">
        <w:t>light on the meaning of “organized</w:t>
      </w:r>
      <w:r w:rsidR="00711B64">
        <w:t>.</w:t>
      </w:r>
      <w:r w:rsidR="00977517">
        <w:t xml:space="preserve">”  </w:t>
      </w:r>
      <w:r w:rsidR="00711B64">
        <w:t>Specifically, t</w:t>
      </w:r>
      <w:r w:rsidR="00977517">
        <w:t xml:space="preserve">he Legislature found </w:t>
      </w:r>
      <w:r w:rsidRPr="00977517" w:rsidR="00977517">
        <w:t>that “</w:t>
      </w:r>
      <w:r w:rsidR="006D0825">
        <w:t>[</w:t>
      </w:r>
      <w:r w:rsidRPr="00977517" w:rsidR="00977517">
        <w:rPr>
          <w:rFonts w:eastAsia="Times New Roman" w:cs="Times New Roman"/>
          <w:color w:val="000000"/>
        </w:rPr>
        <w:t>t</w:t>
      </w:r>
      <w:r w:rsidR="006D0825">
        <w:rPr>
          <w:rFonts w:eastAsia="Times New Roman" w:cs="Times New Roman"/>
          <w:color w:val="000000"/>
        </w:rPr>
        <w:t>]</w:t>
      </w:r>
      <w:r w:rsidRPr="00977517" w:rsidR="00977517">
        <w:rPr>
          <w:rFonts w:eastAsia="Times New Roman" w:cs="Times New Roman"/>
          <w:color w:val="000000"/>
        </w:rPr>
        <w:t xml:space="preserve">he social networks of residents in neighborhoods targeted for gang suppression are often mischaracterized as gangs despite their lack of </w:t>
      </w:r>
      <w:r w:rsidRPr="00977517" w:rsidR="00977517">
        <w:rPr>
          <w:rFonts w:eastAsia="Times New Roman" w:cs="Times New Roman"/>
          <w:i/>
          <w:iCs/>
          <w:color w:val="000000"/>
        </w:rPr>
        <w:t>basic organizational requirements such as leadership, meetings, hierarchical decisionmaking, and a clear distinction between members and nonmembers.</w:t>
      </w:r>
      <w:r w:rsidR="00977517">
        <w:rPr>
          <w:rFonts w:eastAsia="Times New Roman" w:cs="Times New Roman"/>
          <w:color w:val="000000"/>
        </w:rPr>
        <w:t>”</w:t>
      </w:r>
      <w:r w:rsidR="00977517">
        <w:t xml:space="preserve">  (</w:t>
      </w:r>
      <w:r w:rsidR="006D0825">
        <w:rPr>
          <w:rFonts w:eastAsia="Times New Roman" w:cs="Times New Roman"/>
          <w:color w:val="000000"/>
        </w:rPr>
        <w:t xml:space="preserve">Stats. 2021, ch. 699, </w:t>
      </w:r>
      <w:r w:rsidRPr="006D0825" w:rsidR="006D0825">
        <w:rPr>
          <w:rFonts w:eastAsia="Times New Roman" w:cs="Times New Roman"/>
          <w:color w:val="000000"/>
        </w:rPr>
        <w:t>§ </w:t>
      </w:r>
      <w:r w:rsidR="006D0825">
        <w:rPr>
          <w:rFonts w:eastAsia="Times New Roman" w:cs="Times New Roman"/>
          <w:color w:val="000000"/>
        </w:rPr>
        <w:t>2(d)(8), italics added</w:t>
      </w:r>
      <w:r w:rsidR="00B86B11">
        <w:rPr>
          <w:rFonts w:eastAsia="Times New Roman" w:cs="Times New Roman"/>
          <w:color w:val="000000"/>
        </w:rPr>
        <w:t>.</w:t>
      </w:r>
      <w:r w:rsidR="00977517">
        <w:rPr>
          <w:rFonts w:eastAsia="Times New Roman" w:cs="Times New Roman"/>
          <w:color w:val="000000"/>
        </w:rPr>
        <w:t>)</w:t>
      </w:r>
      <w:r w:rsidR="00977517">
        <w:t xml:space="preserve">  </w:t>
      </w:r>
      <w:r w:rsidR="00711B64">
        <w:t xml:space="preserve">From this we glean that something between a “social network” of neighborhood residents </w:t>
      </w:r>
      <w:r w:rsidR="00AA7BF4">
        <w:t xml:space="preserve">and </w:t>
      </w:r>
      <w:r w:rsidR="00711B64">
        <w:t>a “formal” organization with all of the above-mentioned characteristics is required.</w:t>
      </w:r>
      <w:r w:rsidR="00AA7BF4">
        <w:t xml:space="preserve">  </w:t>
      </w:r>
      <w:r w:rsidR="00711B64">
        <w:t>Without any instruction on the new definitional language, the jury’s finding that there was a criminal street gang here</w:t>
      </w:r>
      <w:r w:rsidR="00347A75">
        <w:t xml:space="preserve"> does not unequivocally mean it </w:t>
      </w:r>
      <w:r>
        <w:t xml:space="preserve">would have </w:t>
      </w:r>
      <w:r w:rsidR="00347A75">
        <w:t xml:space="preserve">made the finding </w:t>
      </w:r>
      <w:r>
        <w:t>if instructed with the current definition</w:t>
      </w:r>
      <w:r w:rsidR="00347A75">
        <w:t>.</w:t>
      </w:r>
      <w:r>
        <w:rPr>
          <w:rStyle w:val="FootnoteReference"/>
          <w:b/>
          <w:bCs/>
        </w:rPr>
        <w:footnoteReference w:id="25"/>
      </w:r>
      <w:r>
        <w:t xml:space="preserve">  </w:t>
      </w:r>
    </w:p>
    <w:p w:rsidR="00333F8B" w:rsidP="0039039D" w14:paraId="65813A80" w14:textId="563344F1">
      <w:pPr>
        <w:spacing w:line="360" w:lineRule="auto"/>
        <w:ind w:firstLine="720"/>
      </w:pPr>
      <w:r>
        <w:t xml:space="preserve">Finally, complicating the assessment of prejudice here is the fact that the trial of this case took place before </w:t>
      </w:r>
      <w:r w:rsidRPr="003F35B5">
        <w:rPr>
          <w:i/>
          <w:iCs/>
        </w:rPr>
        <w:t>People v. Sanchez</w:t>
      </w:r>
      <w:r w:rsidR="004E5D5F">
        <w:rPr>
          <w:i/>
          <w:iCs/>
        </w:rPr>
        <w:t>, supra</w:t>
      </w:r>
      <w:r w:rsidR="004E5D5F">
        <w:t>,</w:t>
      </w:r>
      <w:r>
        <w:t xml:space="preserve"> 63 Cal.4th 665 was decided, and therefore, not surprisingly, on direct review we identified aspects of Cunnie’s testimony that did not meet the standards established in that case. </w:t>
      </w:r>
      <w:r w:rsidR="00D82EAF">
        <w:t xml:space="preserve"> </w:t>
      </w:r>
      <w:r>
        <w:t>(</w:t>
      </w:r>
      <w:r w:rsidRPr="00E86F26">
        <w:rPr>
          <w:i/>
          <w:iCs/>
        </w:rPr>
        <w:t>Anthony</w:t>
      </w:r>
      <w:r>
        <w:t xml:space="preserve"> </w:t>
      </w:r>
      <w:r w:rsidRPr="00E86F26">
        <w:rPr>
          <w:i/>
          <w:iCs/>
        </w:rPr>
        <w:t>I</w:t>
      </w:r>
      <w:r>
        <w:t xml:space="preserve">, </w:t>
      </w:r>
      <w:r w:rsidRPr="00D601C6" w:rsidR="00D601C6">
        <w:rPr>
          <w:i/>
          <w:iCs/>
        </w:rPr>
        <w:t>supra,</w:t>
      </w:r>
      <w:r w:rsidR="00D601C6">
        <w:t xml:space="preserve"> </w:t>
      </w:r>
      <w:r>
        <w:t xml:space="preserve">32 Cal.App.5th at pp. 1140-1141.)  We found the </w:t>
      </w:r>
      <w:r w:rsidRPr="009B298D">
        <w:rPr>
          <w:i/>
          <w:iCs/>
        </w:rPr>
        <w:t>Sanchez</w:t>
      </w:r>
      <w:r>
        <w:t xml:space="preserve"> error harmless in the context of the then current law</w:t>
      </w:r>
      <w:r w:rsidR="009B298D">
        <w:t xml:space="preserve"> (</w:t>
      </w:r>
      <w:r w:rsidR="00D601C6">
        <w:rPr>
          <w:i/>
          <w:iCs/>
        </w:rPr>
        <w:t>Anthony I,</w:t>
      </w:r>
      <w:r w:rsidR="009B298D">
        <w:t xml:space="preserve"> at pp.</w:t>
      </w:r>
      <w:r w:rsidR="00D82EAF">
        <w:t> </w:t>
      </w:r>
      <w:r w:rsidR="009B298D">
        <w:t>1141-1142)</w:t>
      </w:r>
      <w:r>
        <w:t>, but that does not mean we can</w:t>
      </w:r>
      <w:r w:rsidR="006C20B3">
        <w:t xml:space="preserve"> </w:t>
      </w:r>
      <w:r w:rsidRPr="00D601C6" w:rsidR="006C20B3">
        <w:t>now</w:t>
      </w:r>
      <w:r>
        <w:t xml:space="preserve"> conclude that, </w:t>
      </w:r>
      <w:r w:rsidRPr="00333F8B">
        <w:rPr>
          <w:i/>
          <w:iCs/>
        </w:rPr>
        <w:t>coupled with the instructional error created by the amendment of section 186.22</w:t>
      </w:r>
      <w:r>
        <w:t>, it was harmless beyond a reasonable doubt.</w:t>
      </w:r>
    </w:p>
    <w:p w:rsidR="00F972BF" w:rsidP="0039039D" w14:paraId="696F1683" w14:textId="6132941F">
      <w:pPr>
        <w:spacing w:line="360" w:lineRule="auto"/>
        <w:ind w:firstLine="720"/>
        <w:rPr>
          <w:b/>
          <w:bCs/>
        </w:rPr>
      </w:pPr>
      <w:r>
        <w:t>W</w:t>
      </w:r>
      <w:r w:rsidR="009B298D">
        <w:t>e</w:t>
      </w:r>
      <w:r w:rsidR="00333F8B">
        <w:t xml:space="preserve"> agree with </w:t>
      </w:r>
      <w:r w:rsidR="00573784">
        <w:t>Appellant</w:t>
      </w:r>
      <w:r>
        <w:t>s</w:t>
      </w:r>
      <w:r w:rsidR="00333F8B">
        <w:t xml:space="preserve"> </w:t>
      </w:r>
      <w:r w:rsidR="00573784">
        <w:t xml:space="preserve">that “when a change in </w:t>
      </w:r>
      <w:r w:rsidR="006D0825">
        <w:t xml:space="preserve">the </w:t>
      </w:r>
      <w:r w:rsidR="00573784">
        <w:t>law makes evidence relevant which was not relevant at the time of trial,</w:t>
      </w:r>
      <w:r w:rsidR="00333F8B">
        <w:t>” “</w:t>
      </w:r>
      <w:r w:rsidR="00573784">
        <w:t xml:space="preserve">the defense did not have notice of what the elements were or a motive to introduce evidence related to those elements.”  </w:t>
      </w:r>
      <w:r w:rsidR="00333F8B">
        <w:t xml:space="preserve">The same, of course, is true for the People.  </w:t>
      </w:r>
      <w:r w:rsidRPr="006D0825">
        <w:t>For these reasons</w:t>
      </w:r>
      <w:r w:rsidR="00333F8B">
        <w:t>, the proper remedy for the instructional error regarding the elements of the gang-related gun enhancement and the gang special circumstance</w:t>
      </w:r>
      <w:r w:rsidR="00320E5E">
        <w:t xml:space="preserve"> here, as Appellants acknowledge,</w:t>
      </w:r>
      <w:r w:rsidR="00333F8B">
        <w:t xml:space="preserve"> is a reversal </w:t>
      </w:r>
      <w:r w:rsidR="009B298D">
        <w:t xml:space="preserve">and remand </w:t>
      </w:r>
      <w:r w:rsidR="00333F8B">
        <w:t>o</w:t>
      </w:r>
      <w:r w:rsidR="009B298D">
        <w:t>f the enhancement and special circumstance,</w:t>
      </w:r>
      <w:r w:rsidR="00333F8B">
        <w:t xml:space="preserve"> </w:t>
      </w:r>
      <w:r w:rsidR="009B298D">
        <w:t xml:space="preserve">for retrial </w:t>
      </w:r>
      <w:r w:rsidR="00333F8B">
        <w:t xml:space="preserve">at the option of the People.  </w:t>
      </w:r>
      <w:r w:rsidR="00573784">
        <w:t>(</w:t>
      </w:r>
      <w:r w:rsidR="00333F8B">
        <w:t xml:space="preserve">See </w:t>
      </w:r>
      <w:r w:rsidRPr="008C7AFC" w:rsidR="00642A9D">
        <w:rPr>
          <w:i/>
          <w:iCs/>
        </w:rPr>
        <w:t>Lee</w:t>
      </w:r>
      <w:r w:rsidR="00642A9D">
        <w:t xml:space="preserve">, </w:t>
      </w:r>
      <w:r w:rsidRPr="00D82EAF" w:rsidR="00642A9D">
        <w:rPr>
          <w:i/>
          <w:iCs/>
        </w:rPr>
        <w:t>supra</w:t>
      </w:r>
      <w:r w:rsidR="00642A9D">
        <w:t>, 81 Cal.App.5th at pp. 239, 246</w:t>
      </w:r>
      <w:r w:rsidR="001865B2">
        <w:t>, rev. granted</w:t>
      </w:r>
      <w:r w:rsidR="00642A9D">
        <w:t xml:space="preserve">; </w:t>
      </w:r>
      <w:r w:rsidRPr="009B298D" w:rsidR="009B298D">
        <w:rPr>
          <w:i/>
          <w:iCs/>
        </w:rPr>
        <w:t>Lopez</w:t>
      </w:r>
      <w:r w:rsidR="009B298D">
        <w:t xml:space="preserve">, </w:t>
      </w:r>
      <w:r w:rsidRPr="009B298D" w:rsidR="009B298D">
        <w:rPr>
          <w:i/>
          <w:iCs/>
        </w:rPr>
        <w:t>supra</w:t>
      </w:r>
      <w:r w:rsidR="009B298D">
        <w:t xml:space="preserve">, 82 Cal.App.5th at p. 14; </w:t>
      </w:r>
      <w:r w:rsidRPr="00573784" w:rsidR="00573784">
        <w:rPr>
          <w:i/>
          <w:iCs/>
        </w:rPr>
        <w:t>Sek</w:t>
      </w:r>
      <w:r w:rsidR="00343C11">
        <w:t xml:space="preserve">, </w:t>
      </w:r>
      <w:r w:rsidRPr="00343C11" w:rsidR="00343C11">
        <w:rPr>
          <w:i/>
          <w:iCs/>
        </w:rPr>
        <w:t>supra</w:t>
      </w:r>
      <w:r w:rsidR="00343C11">
        <w:t xml:space="preserve">, </w:t>
      </w:r>
      <w:r w:rsidR="00573784">
        <w:t xml:space="preserve">74 Cal.App.5th </w:t>
      </w:r>
      <w:r w:rsidR="00343C11">
        <w:t>at pp.</w:t>
      </w:r>
      <w:r w:rsidR="00573784">
        <w:t xml:space="preserve"> 669-670 [</w:t>
      </w:r>
      <w:r w:rsidR="00343C11">
        <w:t xml:space="preserve">reversing </w:t>
      </w:r>
      <w:r w:rsidR="00573784">
        <w:t>gang-related gun enhancement</w:t>
      </w:r>
      <w:r w:rsidR="00343C11">
        <w:t xml:space="preserve"> and remanding for new </w:t>
      </w:r>
      <w:r w:rsidR="00206F7C">
        <w:t xml:space="preserve">trial </w:t>
      </w:r>
      <w:r w:rsidR="00573784">
        <w:t>where evidence</w:t>
      </w:r>
      <w:r w:rsidR="00343C11">
        <w:t xml:space="preserve"> was not </w:t>
      </w:r>
      <w:r w:rsidR="00573784">
        <w:t>introduced at trial because law at time would have rendered it irrelevant</w:t>
      </w:r>
      <w:r w:rsidR="00343C11">
        <w:t xml:space="preserve">].) </w:t>
      </w:r>
    </w:p>
    <w:p w:rsidR="008C7AFC" w:rsidRPr="00D82EAF" w:rsidP="00A14B13" w14:paraId="55CD8B06" w14:textId="6B244E39">
      <w:pPr>
        <w:pStyle w:val="ListParagraph"/>
        <w:keepNext/>
        <w:numPr>
          <w:ilvl w:val="0"/>
          <w:numId w:val="2"/>
        </w:numPr>
        <w:spacing w:after="120" w:line="240" w:lineRule="auto"/>
        <w:ind w:left="1080"/>
        <w:contextualSpacing w:val="0"/>
        <w:rPr>
          <w:b/>
          <w:bCs/>
        </w:rPr>
      </w:pPr>
      <w:bookmarkStart w:id="2" w:name="_Hlk136524283"/>
      <w:r w:rsidRPr="00D82EAF">
        <w:rPr>
          <w:b/>
          <w:bCs/>
        </w:rPr>
        <w:t>The Trial Court Did Not Abuse Its Discretion in Refusing</w:t>
      </w:r>
      <w:r w:rsidRPr="00D82EAF" w:rsidR="008B2AE5">
        <w:rPr>
          <w:b/>
          <w:bCs/>
        </w:rPr>
        <w:t>, on Remand,</w:t>
      </w:r>
      <w:r w:rsidRPr="00D82EAF">
        <w:rPr>
          <w:b/>
          <w:bCs/>
        </w:rPr>
        <w:t xml:space="preserve"> to Dismiss </w:t>
      </w:r>
      <w:r w:rsidRPr="00D82EAF" w:rsidR="000C0553">
        <w:rPr>
          <w:b/>
          <w:bCs/>
        </w:rPr>
        <w:t xml:space="preserve">the </w:t>
      </w:r>
      <w:r w:rsidRPr="00D82EAF" w:rsidR="00341846">
        <w:rPr>
          <w:b/>
          <w:bCs/>
        </w:rPr>
        <w:t xml:space="preserve">Prior Serious Felony </w:t>
      </w:r>
      <w:r w:rsidRPr="00D82EAF">
        <w:rPr>
          <w:b/>
          <w:bCs/>
        </w:rPr>
        <w:t>Enhancements.</w:t>
      </w:r>
      <w:bookmarkEnd w:id="2"/>
    </w:p>
    <w:p w:rsidR="00A51BC6" w:rsidP="00A14B13" w14:paraId="5E616D86" w14:textId="33E384D4">
      <w:pPr>
        <w:pStyle w:val="ListParagraph"/>
        <w:keepNext/>
        <w:ind w:left="0" w:firstLine="720"/>
        <w:rPr>
          <w:rFonts w:eastAsia="Times New Roman" w:cs="Times New Roman"/>
          <w:color w:val="000000"/>
        </w:rPr>
      </w:pPr>
      <w:r>
        <w:t xml:space="preserve">Appellants contend that the trial court abused its discretion in declining to strike the </w:t>
      </w:r>
      <w:r w:rsidR="00341846">
        <w:t>gang-related gun</w:t>
      </w:r>
      <w:r>
        <w:t xml:space="preserve"> enhancements on remand from the direct appeal.</w:t>
      </w:r>
      <w:r w:rsidR="00277F59">
        <w:t xml:space="preserve">  We remanded for the trial court to exercise the discretion conferred on it by new legislation to strike or dismiss the consecutive 25-years-to-life sentences imposed for a gang-related principal’s use of a firearm.  (</w:t>
      </w:r>
      <w:r w:rsidRPr="00A01D3B" w:rsidR="00277F59">
        <w:rPr>
          <w:i/>
          <w:iCs/>
        </w:rPr>
        <w:t>Anthony I</w:t>
      </w:r>
      <w:r w:rsidR="00277F59">
        <w:t xml:space="preserve">, </w:t>
      </w:r>
      <w:r w:rsidRPr="00D601C6" w:rsidR="00D601C6">
        <w:rPr>
          <w:i/>
          <w:iCs/>
        </w:rPr>
        <w:t>supra,</w:t>
      </w:r>
      <w:r w:rsidR="00D601C6">
        <w:t xml:space="preserve"> </w:t>
      </w:r>
      <w:r w:rsidR="00277F59">
        <w:t>32 Cal.App.5th at p. 1158</w:t>
      </w:r>
      <w:r w:rsidR="00A01D3B">
        <w:t>.)  Specifically, section</w:t>
      </w:r>
      <w:r w:rsidR="001A7018">
        <w:t xml:space="preserve"> </w:t>
      </w:r>
      <w:r w:rsidR="00277F59">
        <w:t>12022.53, subd</w:t>
      </w:r>
      <w:r w:rsidR="00A01D3B">
        <w:t>ivision</w:t>
      </w:r>
      <w:r w:rsidR="00277F59">
        <w:t xml:space="preserve"> (h)</w:t>
      </w:r>
      <w:r w:rsidR="00D601C6">
        <w:t>,</w:t>
      </w:r>
      <w:r w:rsidR="00A01D3B">
        <w:t xml:space="preserve"> now provides, “The court may, in the interest of justice pursuant to Section 1385 and at the time of sentencing, strike or dismiss an enhancement otherwise required to be imposed by this section.  </w:t>
      </w:r>
      <w:r w:rsidRPr="00A01D3B" w:rsidR="00A01D3B">
        <w:rPr>
          <w:rFonts w:eastAsia="Times New Roman" w:cs="Times New Roman"/>
          <w:color w:val="000000"/>
        </w:rPr>
        <w:t>The authority provided by this subdivision applies to any resentencing that may occur pursuant to any other law.</w:t>
      </w:r>
      <w:r w:rsidR="00A01D3B">
        <w:rPr>
          <w:rFonts w:eastAsia="Times New Roman" w:cs="Times New Roman"/>
          <w:color w:val="000000"/>
        </w:rPr>
        <w:t>”</w:t>
      </w:r>
    </w:p>
    <w:p w:rsidR="00551646" w:rsidP="00551646" w14:paraId="37103F5E" w14:textId="46D67786">
      <w:pPr>
        <w:pStyle w:val="ListParagraph"/>
        <w:ind w:left="0" w:firstLine="720"/>
        <w:rPr>
          <w:rFonts w:eastAsia="Times New Roman" w:cs="Times New Roman"/>
          <w:color w:val="000000"/>
        </w:rPr>
      </w:pPr>
      <w:r>
        <w:rPr>
          <w:rFonts w:eastAsia="Times New Roman" w:cs="Times New Roman"/>
          <w:color w:val="000000"/>
        </w:rPr>
        <w:t xml:space="preserve">We need not address </w:t>
      </w:r>
      <w:r w:rsidR="008D496B">
        <w:rPr>
          <w:rFonts w:eastAsia="Times New Roman" w:cs="Times New Roman"/>
          <w:color w:val="000000"/>
        </w:rPr>
        <w:t>A</w:t>
      </w:r>
      <w:r w:rsidR="007B3C5D">
        <w:rPr>
          <w:rFonts w:eastAsia="Times New Roman" w:cs="Times New Roman"/>
          <w:color w:val="000000"/>
        </w:rPr>
        <w:t>ppellants’</w:t>
      </w:r>
      <w:r>
        <w:rPr>
          <w:rFonts w:eastAsia="Times New Roman" w:cs="Times New Roman"/>
          <w:color w:val="000000"/>
        </w:rPr>
        <w:t xml:space="preserve"> arguments that the court abused its discretion in declining to strike the gang-related gun enhancements</w:t>
      </w:r>
      <w:r w:rsidR="007B3C5D">
        <w:rPr>
          <w:rFonts w:eastAsia="Times New Roman" w:cs="Times New Roman"/>
          <w:color w:val="000000"/>
        </w:rPr>
        <w:t>.</w:t>
      </w:r>
      <w:r>
        <w:rPr>
          <w:rStyle w:val="FootnoteReference"/>
          <w:rFonts w:eastAsia="Times New Roman" w:cs="Times New Roman"/>
          <w:b/>
          <w:bCs/>
          <w:color w:val="000000"/>
        </w:rPr>
        <w:footnoteReference w:id="26"/>
      </w:r>
      <w:r>
        <w:rPr>
          <w:rFonts w:eastAsia="Times New Roman" w:cs="Times New Roman"/>
          <w:color w:val="000000"/>
        </w:rPr>
        <w:t xml:space="preserve"> </w:t>
      </w:r>
      <w:r w:rsidR="007B3C5D">
        <w:rPr>
          <w:rFonts w:eastAsia="Times New Roman" w:cs="Times New Roman"/>
          <w:color w:val="000000"/>
        </w:rPr>
        <w:t xml:space="preserve"> H</w:t>
      </w:r>
      <w:r>
        <w:rPr>
          <w:rFonts w:eastAsia="Times New Roman" w:cs="Times New Roman"/>
          <w:color w:val="000000"/>
        </w:rPr>
        <w:t xml:space="preserve">aving reversed those enhancements and remanded for possible retrial, the issue whether the court should have stricken enhancements that were based on the law as it existed prior to the amendment of </w:t>
      </w:r>
      <w:r w:rsidR="003E02E7">
        <w:rPr>
          <w:rFonts w:eastAsia="Times New Roman" w:cs="Times New Roman"/>
          <w:color w:val="000000"/>
        </w:rPr>
        <w:t xml:space="preserve">the gang statute is moot.  </w:t>
      </w:r>
      <w:r w:rsidR="007B3C5D">
        <w:rPr>
          <w:rFonts w:eastAsia="Times New Roman" w:cs="Times New Roman"/>
          <w:color w:val="000000"/>
        </w:rPr>
        <w:t>If</w:t>
      </w:r>
      <w:r w:rsidR="003E02E7">
        <w:rPr>
          <w:rFonts w:eastAsia="Times New Roman" w:cs="Times New Roman"/>
          <w:color w:val="000000"/>
        </w:rPr>
        <w:t xml:space="preserve"> the </w:t>
      </w:r>
      <w:r w:rsidR="008D496B">
        <w:rPr>
          <w:rFonts w:eastAsia="Times New Roman" w:cs="Times New Roman"/>
          <w:color w:val="000000"/>
        </w:rPr>
        <w:t>A</w:t>
      </w:r>
      <w:r w:rsidR="003E02E7">
        <w:rPr>
          <w:rFonts w:eastAsia="Times New Roman" w:cs="Times New Roman"/>
          <w:color w:val="000000"/>
        </w:rPr>
        <w:t>ppellants are retried and convicted on the</w:t>
      </w:r>
      <w:r w:rsidR="0047052E">
        <w:rPr>
          <w:rFonts w:eastAsia="Times New Roman" w:cs="Times New Roman"/>
          <w:color w:val="000000"/>
        </w:rPr>
        <w:t xml:space="preserve"> </w:t>
      </w:r>
      <w:r w:rsidR="003E02E7">
        <w:rPr>
          <w:rFonts w:eastAsia="Times New Roman" w:cs="Times New Roman"/>
          <w:color w:val="000000"/>
        </w:rPr>
        <w:t xml:space="preserve">gang-related gun enhancements under the </w:t>
      </w:r>
      <w:r w:rsidR="0047052E">
        <w:rPr>
          <w:rFonts w:eastAsia="Times New Roman" w:cs="Times New Roman"/>
          <w:color w:val="000000"/>
        </w:rPr>
        <w:t>amended statute</w:t>
      </w:r>
      <w:r w:rsidR="003E02E7">
        <w:rPr>
          <w:rFonts w:eastAsia="Times New Roman" w:cs="Times New Roman"/>
          <w:color w:val="000000"/>
        </w:rPr>
        <w:t xml:space="preserve">, </w:t>
      </w:r>
      <w:r w:rsidR="0047052E">
        <w:rPr>
          <w:rFonts w:eastAsia="Times New Roman" w:cs="Times New Roman"/>
          <w:color w:val="000000"/>
        </w:rPr>
        <w:t>they</w:t>
      </w:r>
      <w:r w:rsidR="003E02E7">
        <w:rPr>
          <w:rFonts w:eastAsia="Times New Roman" w:cs="Times New Roman"/>
          <w:color w:val="000000"/>
        </w:rPr>
        <w:t xml:space="preserve"> </w:t>
      </w:r>
      <w:r w:rsidR="007B3C5D">
        <w:rPr>
          <w:rFonts w:eastAsia="Times New Roman" w:cs="Times New Roman"/>
          <w:color w:val="000000"/>
        </w:rPr>
        <w:t>will be resentenced</w:t>
      </w:r>
      <w:r w:rsidR="0047052E">
        <w:rPr>
          <w:rFonts w:eastAsia="Times New Roman" w:cs="Times New Roman"/>
          <w:color w:val="000000"/>
        </w:rPr>
        <w:t xml:space="preserve"> and </w:t>
      </w:r>
      <w:r w:rsidR="003E02E7">
        <w:rPr>
          <w:rFonts w:eastAsia="Times New Roman" w:cs="Times New Roman"/>
          <w:color w:val="000000"/>
        </w:rPr>
        <w:t>may address whether to strike</w:t>
      </w:r>
      <w:r w:rsidR="007B3C5D">
        <w:rPr>
          <w:rFonts w:eastAsia="Times New Roman" w:cs="Times New Roman"/>
          <w:color w:val="000000"/>
        </w:rPr>
        <w:t xml:space="preserve"> any</w:t>
      </w:r>
      <w:r w:rsidR="003E02E7">
        <w:rPr>
          <w:rFonts w:eastAsia="Times New Roman" w:cs="Times New Roman"/>
          <w:color w:val="000000"/>
        </w:rPr>
        <w:t xml:space="preserve"> enhancements </w:t>
      </w:r>
      <w:r w:rsidR="007B3C5D">
        <w:rPr>
          <w:rFonts w:eastAsia="Times New Roman" w:cs="Times New Roman"/>
          <w:color w:val="000000"/>
        </w:rPr>
        <w:t xml:space="preserve">imposed after retrial </w:t>
      </w:r>
      <w:r w:rsidR="003E02E7">
        <w:rPr>
          <w:rFonts w:eastAsia="Times New Roman" w:cs="Times New Roman"/>
          <w:color w:val="000000"/>
        </w:rPr>
        <w:t xml:space="preserve">based on the record at the time of </w:t>
      </w:r>
      <w:r w:rsidR="007B3C5D">
        <w:rPr>
          <w:rFonts w:eastAsia="Times New Roman" w:cs="Times New Roman"/>
          <w:color w:val="000000"/>
        </w:rPr>
        <w:t>re</w:t>
      </w:r>
      <w:r w:rsidR="003E02E7">
        <w:rPr>
          <w:rFonts w:eastAsia="Times New Roman" w:cs="Times New Roman"/>
          <w:color w:val="000000"/>
        </w:rPr>
        <w:t>sentenci</w:t>
      </w:r>
      <w:r w:rsidR="007B3C5D">
        <w:rPr>
          <w:rFonts w:eastAsia="Times New Roman" w:cs="Times New Roman"/>
          <w:color w:val="000000"/>
        </w:rPr>
        <w:t>ng</w:t>
      </w:r>
      <w:r w:rsidR="003E02E7">
        <w:rPr>
          <w:rFonts w:eastAsia="Times New Roman" w:cs="Times New Roman"/>
          <w:color w:val="000000"/>
        </w:rPr>
        <w:t>.</w:t>
      </w:r>
      <w:r w:rsidR="0047052E">
        <w:rPr>
          <w:rFonts w:eastAsia="Times New Roman" w:cs="Times New Roman"/>
          <w:color w:val="000000"/>
        </w:rPr>
        <w:t xml:space="preserve">  (</w:t>
      </w:r>
      <w:r w:rsidRPr="0047052E" w:rsidR="0047052E">
        <w:rPr>
          <w:rFonts w:eastAsia="Times New Roman" w:cs="Times New Roman"/>
          <w:i/>
          <w:iCs/>
          <w:color w:val="000000"/>
        </w:rPr>
        <w:t>People v. Yanaga</w:t>
      </w:r>
      <w:r w:rsidR="0047052E">
        <w:rPr>
          <w:rFonts w:eastAsia="Times New Roman" w:cs="Times New Roman"/>
          <w:color w:val="000000"/>
        </w:rPr>
        <w:t xml:space="preserve"> (2020) 58</w:t>
      </w:r>
      <w:r w:rsidR="00D82EAF">
        <w:rPr>
          <w:rFonts w:eastAsia="Times New Roman" w:cs="Times New Roman"/>
          <w:color w:val="000000"/>
        </w:rPr>
        <w:t> </w:t>
      </w:r>
      <w:r w:rsidR="0047052E">
        <w:rPr>
          <w:rFonts w:eastAsia="Times New Roman" w:cs="Times New Roman"/>
          <w:color w:val="000000"/>
        </w:rPr>
        <w:t>Cal.App.5th 619, 625-628.)</w:t>
      </w:r>
    </w:p>
    <w:p w:rsidR="00974F06" w:rsidP="00DC65A8" w14:paraId="06FAB76A" w14:textId="4BD00919">
      <w:pPr>
        <w:pStyle w:val="ListParagraph"/>
        <w:ind w:left="0" w:firstLine="720"/>
      </w:pPr>
      <w:r w:rsidRPr="00551646">
        <w:t>At</w:t>
      </w:r>
      <w:r>
        <w:t xml:space="preserve"> the original</w:t>
      </w:r>
      <w:r w:rsidRPr="00551646">
        <w:t xml:space="preserve"> sentencing, the trial court imposed consecutive five-year sentences for Price and Campbell under section 667, subdivision (a), because they each had </w:t>
      </w:r>
      <w:r>
        <w:t>a prior serious felony conviction.</w:t>
      </w:r>
      <w:r w:rsidRPr="00551646">
        <w:rPr>
          <w:rFonts w:eastAsia="Times New Roman" w:cs="Times New Roman"/>
          <w:color w:val="000000"/>
        </w:rPr>
        <w:t xml:space="preserve"> </w:t>
      </w:r>
      <w:r>
        <w:rPr>
          <w:rFonts w:eastAsia="Times New Roman" w:cs="Times New Roman"/>
          <w:color w:val="000000"/>
        </w:rPr>
        <w:t xml:space="preserve"> </w:t>
      </w:r>
      <w:r w:rsidRPr="00551646">
        <w:rPr>
          <w:rFonts w:eastAsia="Times New Roman" w:cs="Times New Roman"/>
          <w:color w:val="000000"/>
        </w:rPr>
        <w:t xml:space="preserve">On direct appeal, we remanded the case to the trial court to allow it to exercise its discretion </w:t>
      </w:r>
      <w:r>
        <w:rPr>
          <w:rFonts w:eastAsia="Times New Roman" w:cs="Times New Roman"/>
          <w:color w:val="000000"/>
        </w:rPr>
        <w:t xml:space="preserve">to strike the </w:t>
      </w:r>
      <w:r w:rsidRPr="00551646">
        <w:t xml:space="preserve">consecutive five-year </w:t>
      </w:r>
      <w:r w:rsidR="0047052E">
        <w:t xml:space="preserve">consecutive </w:t>
      </w:r>
      <w:r w:rsidRPr="00551646">
        <w:t>sentences</w:t>
      </w:r>
      <w:r>
        <w:t xml:space="preserve"> it had imposed</w:t>
      </w:r>
      <w:r w:rsidRPr="00551646">
        <w:t xml:space="preserve"> </w:t>
      </w:r>
      <w:r>
        <w:t>on</w:t>
      </w:r>
      <w:r w:rsidRPr="00551646">
        <w:t xml:space="preserve"> Price and Campbell under section 667, subdivision (a), because </w:t>
      </w:r>
      <w:r>
        <w:t xml:space="preserve">at the time </w:t>
      </w:r>
      <w:r w:rsidR="008D496B">
        <w:t>A</w:t>
      </w:r>
      <w:r>
        <w:t xml:space="preserve">ppellants were originally sentenced the court was required </w:t>
      </w:r>
      <w:r w:rsidRPr="00551646">
        <w:t xml:space="preserve">to impose these sentences and under </w:t>
      </w:r>
      <w:r w:rsidR="00206F7C">
        <w:t xml:space="preserve">former </w:t>
      </w:r>
      <w:r w:rsidRPr="00551646">
        <w:t>section 1385, subdivision (b)</w:t>
      </w:r>
      <w:r w:rsidR="006D0825">
        <w:t>,</w:t>
      </w:r>
      <w:r>
        <w:t xml:space="preserve"> </w:t>
      </w:r>
      <w:r w:rsidR="0047052E">
        <w:t>lacked</w:t>
      </w:r>
      <w:r>
        <w:t xml:space="preserve"> </w:t>
      </w:r>
      <w:r w:rsidR="0047052E">
        <w:t>any</w:t>
      </w:r>
      <w:r>
        <w:t xml:space="preserve"> discretion to </w:t>
      </w:r>
      <w:r w:rsidRPr="00551646">
        <w:t>strike</w:t>
      </w:r>
      <w:r>
        <w:t xml:space="preserve"> those enhanc</w:t>
      </w:r>
      <w:r w:rsidR="0047052E">
        <w:t>e</w:t>
      </w:r>
      <w:r>
        <w:t>ments</w:t>
      </w:r>
      <w:r w:rsidRPr="00551646">
        <w:t>.  (</w:t>
      </w:r>
      <w:r w:rsidRPr="00551646">
        <w:rPr>
          <w:i/>
        </w:rPr>
        <w:t>People v. Garcia</w:t>
      </w:r>
      <w:r w:rsidRPr="00551646">
        <w:t xml:space="preserve"> (2018) 28</w:t>
      </w:r>
      <w:r w:rsidR="00D82EAF">
        <w:t> </w:t>
      </w:r>
      <w:r w:rsidRPr="00551646">
        <w:t xml:space="preserve">Cal.App.5th 961, 971.)  </w:t>
      </w:r>
      <w:r>
        <w:t>Between the time of trial, however, and the decision on direct appeal</w:t>
      </w:r>
      <w:r w:rsidRPr="00551646">
        <w:t>, the Governor</w:t>
      </w:r>
      <w:r>
        <w:t xml:space="preserve"> had</w:t>
      </w:r>
      <w:r w:rsidRPr="00551646">
        <w:t xml:space="preserve"> signed Senate Bill No. 1393 </w:t>
      </w:r>
      <w:r w:rsidR="00861AEF">
        <w:t>(2017</w:t>
      </w:r>
      <w:r w:rsidRPr="00E642A6" w:rsidR="00E642A6">
        <w:t>–</w:t>
      </w:r>
      <w:r w:rsidR="00861AEF">
        <w:t xml:space="preserve">2018 Reg. Sess.) </w:t>
      </w:r>
      <w:r w:rsidRPr="00551646">
        <w:t>which, effective January 1, 2019, amended sections</w:t>
      </w:r>
      <w:r w:rsidR="00507137">
        <w:t> </w:t>
      </w:r>
      <w:r w:rsidRPr="00551646">
        <w:t>667, subdivision (a)</w:t>
      </w:r>
      <w:r w:rsidR="00861AEF">
        <w:t>,</w:t>
      </w:r>
      <w:r w:rsidRPr="00551646">
        <w:t xml:space="preserve"> and 1385, subdivision (b)</w:t>
      </w:r>
      <w:r w:rsidR="00861AEF">
        <w:t>,</w:t>
      </w:r>
      <w:r w:rsidRPr="00551646">
        <w:t xml:space="preserve"> to allow a sentencing court to exercise its discretion to strike or dismiss a prior serious felony conviction for sentencing purposes.  (Stats. 2018, ch. 1013, §§ 1</w:t>
      </w:r>
      <w:r w:rsidR="00AD309C">
        <w:t>-</w:t>
      </w:r>
      <w:r w:rsidRPr="00551646">
        <w:t xml:space="preserve">2.)  </w:t>
      </w:r>
      <w:r>
        <w:t>We agreed with Price, Campbell and the People that</w:t>
      </w:r>
      <w:r w:rsidRPr="00551646">
        <w:t xml:space="preserve"> the change in the law </w:t>
      </w:r>
      <w:r>
        <w:t xml:space="preserve">applied </w:t>
      </w:r>
      <w:r w:rsidRPr="00551646">
        <w:t xml:space="preserve">retroactively under </w:t>
      </w:r>
      <w:r w:rsidR="00861AEF">
        <w:rPr>
          <w:i/>
        </w:rPr>
        <w:t>In re E</w:t>
      </w:r>
      <w:r w:rsidRPr="00551646">
        <w:rPr>
          <w:i/>
        </w:rPr>
        <w:t>strada</w:t>
      </w:r>
      <w:r w:rsidR="00C55E2F">
        <w:rPr>
          <w:i/>
        </w:rPr>
        <w:t xml:space="preserve"> </w:t>
      </w:r>
      <w:r w:rsidR="00C55E2F">
        <w:rPr>
          <w:iCs/>
        </w:rPr>
        <w:t>(1965)</w:t>
      </w:r>
      <w:r w:rsidRPr="00551646">
        <w:t xml:space="preserve"> 63 Cal.2d 740</w:t>
      </w:r>
      <w:r>
        <w:t xml:space="preserve">.  (See </w:t>
      </w:r>
      <w:r w:rsidRPr="00551646">
        <w:rPr>
          <w:i/>
          <w:iCs/>
        </w:rPr>
        <w:t>Garcia</w:t>
      </w:r>
      <w:r>
        <w:t>, at pp.</w:t>
      </w:r>
      <w:r w:rsidR="002243BA">
        <w:t> </w:t>
      </w:r>
      <w:r>
        <w:t>971-973.)  Thus, we remanded for that purpose.</w:t>
      </w:r>
      <w:r w:rsidR="00DC65A8">
        <w:t xml:space="preserve">  </w:t>
      </w:r>
      <w:r>
        <w:t xml:space="preserve">On remand, the trial court </w:t>
      </w:r>
      <w:r w:rsidRPr="00551646">
        <w:rPr>
          <w:rFonts w:eastAsia="Times New Roman" w:cs="Times New Roman"/>
          <w:color w:val="000000"/>
        </w:rPr>
        <w:t>declin</w:t>
      </w:r>
      <w:r w:rsidR="00DC65A8">
        <w:rPr>
          <w:rFonts w:eastAsia="Times New Roman" w:cs="Times New Roman"/>
          <w:color w:val="000000"/>
        </w:rPr>
        <w:t>ed</w:t>
      </w:r>
      <w:r w:rsidRPr="00551646">
        <w:rPr>
          <w:rFonts w:eastAsia="Times New Roman" w:cs="Times New Roman"/>
          <w:color w:val="000000"/>
        </w:rPr>
        <w:t xml:space="preserve"> to strike </w:t>
      </w:r>
      <w:r w:rsidR="00DC65A8">
        <w:rPr>
          <w:rFonts w:eastAsia="Times New Roman" w:cs="Times New Roman"/>
          <w:color w:val="000000"/>
        </w:rPr>
        <w:t xml:space="preserve">the five-year </w:t>
      </w:r>
      <w:r w:rsidRPr="00551646">
        <w:rPr>
          <w:rFonts w:eastAsia="Times New Roman" w:cs="Times New Roman"/>
          <w:color w:val="000000"/>
        </w:rPr>
        <w:t>enhancements for prior serious felony convictions</w:t>
      </w:r>
      <w:r w:rsidR="00DC65A8">
        <w:rPr>
          <w:rFonts w:eastAsia="Times New Roman" w:cs="Times New Roman"/>
          <w:color w:val="000000"/>
        </w:rPr>
        <w:t>, and Price and Cam</w:t>
      </w:r>
      <w:r w:rsidR="00861AEF">
        <w:rPr>
          <w:rFonts w:eastAsia="Times New Roman" w:cs="Times New Roman"/>
          <w:color w:val="000000"/>
        </w:rPr>
        <w:t>p</w:t>
      </w:r>
      <w:r w:rsidR="00DC65A8">
        <w:rPr>
          <w:rFonts w:eastAsia="Times New Roman" w:cs="Times New Roman"/>
          <w:color w:val="000000"/>
        </w:rPr>
        <w:t>bell now contend that was an abuse of discretion</w:t>
      </w:r>
      <w:r w:rsidRPr="00551646">
        <w:rPr>
          <w:rFonts w:eastAsia="Times New Roman" w:cs="Times New Roman"/>
          <w:color w:val="000000"/>
        </w:rPr>
        <w:t xml:space="preserve">. </w:t>
      </w:r>
    </w:p>
    <w:p w:rsidR="009832D3" w:rsidP="009832D3" w14:paraId="4579D8C6" w14:textId="7640E37B">
      <w:pPr>
        <w:pStyle w:val="ListParagraph"/>
        <w:ind w:left="0" w:firstLine="720"/>
        <w:rPr>
          <w:rFonts w:eastAsia="Times New Roman" w:cs="Times New Roman"/>
          <w:color w:val="000000"/>
        </w:rPr>
      </w:pPr>
      <w:r>
        <w:rPr>
          <w:rFonts w:eastAsia="Times New Roman" w:cs="Times New Roman"/>
          <w:color w:val="000000"/>
        </w:rPr>
        <w:t>“</w:t>
      </w:r>
      <w:r w:rsidRPr="009832D3">
        <w:rPr>
          <w:rFonts w:eastAsia="Times New Roman" w:cs="Times New Roman"/>
          <w:color w:val="000000"/>
        </w:rPr>
        <w:t xml:space="preserve">Case law and legislative history indicate that courts </w:t>
      </w:r>
      <w:r>
        <w:rPr>
          <w:rFonts w:eastAsia="Times New Roman" w:cs="Times New Roman"/>
          <w:color w:val="000000"/>
        </w:rPr>
        <w:t>‘</w:t>
      </w:r>
      <w:r w:rsidRPr="009832D3">
        <w:rPr>
          <w:rFonts w:eastAsia="Times New Roman" w:cs="Times New Roman"/>
          <w:color w:val="000000"/>
        </w:rPr>
        <w:t>must evaluate the nature of the offense and the offender in deciding whether to strike a nickel prior [i.e., a five-year enhancement for a prior serious felony].</w:t>
      </w:r>
      <w:r>
        <w:rPr>
          <w:rFonts w:eastAsia="Times New Roman" w:cs="Times New Roman"/>
          <w:color w:val="000000"/>
        </w:rPr>
        <w:t>’</w:t>
      </w:r>
      <w:r w:rsidRPr="009832D3">
        <w:rPr>
          <w:rFonts w:eastAsia="Times New Roman" w:cs="Times New Roman"/>
          <w:color w:val="000000"/>
        </w:rPr>
        <w:t xml:space="preserve"> </w:t>
      </w:r>
      <w:r w:rsidR="00D82EAF">
        <w:rPr>
          <w:rFonts w:eastAsia="Times New Roman" w:cs="Times New Roman"/>
          <w:color w:val="000000"/>
        </w:rPr>
        <w:t xml:space="preserve"> </w:t>
      </w:r>
      <w:r w:rsidRPr="009832D3">
        <w:rPr>
          <w:rFonts w:eastAsia="Times New Roman" w:cs="Times New Roman"/>
          <w:color w:val="000000"/>
        </w:rPr>
        <w:t>(</w:t>
      </w:r>
      <w:r w:rsidR="00861AEF">
        <w:rPr>
          <w:rFonts w:eastAsia="Times New Roman" w:cs="Times New Roman"/>
          <w:color w:val="000000"/>
        </w:rPr>
        <w:t>[</w:t>
      </w:r>
      <w:r w:rsidRPr="00861AEF" w:rsidR="00861AEF">
        <w:rPr>
          <w:rFonts w:eastAsia="Times New Roman" w:cs="Times New Roman"/>
          <w:i/>
          <w:iCs/>
          <w:color w:val="000000"/>
        </w:rPr>
        <w:t>People v.</w:t>
      </w:r>
      <w:r w:rsidR="00861AEF">
        <w:rPr>
          <w:rFonts w:eastAsia="Times New Roman" w:cs="Times New Roman"/>
          <w:color w:val="000000"/>
        </w:rPr>
        <w:t xml:space="preserve">] </w:t>
      </w:r>
      <w:r w:rsidRPr="009832D3">
        <w:rPr>
          <w:rFonts w:eastAsia="Times New Roman" w:cs="Times New Roman"/>
          <w:i/>
          <w:iCs/>
          <w:color w:val="3D3D3D"/>
          <w:bdr w:val="none" w:sz="0" w:space="0" w:color="auto" w:frame="1"/>
        </w:rPr>
        <w:t>Shaw</w:t>
      </w:r>
      <w:r w:rsidR="00861AEF">
        <w:rPr>
          <w:rFonts w:eastAsia="Times New Roman" w:cs="Times New Roman"/>
          <w:color w:val="000000"/>
        </w:rPr>
        <w:t xml:space="preserve"> [(202</w:t>
      </w:r>
      <w:r w:rsidR="00A80F6B">
        <w:rPr>
          <w:rFonts w:eastAsia="Times New Roman" w:cs="Times New Roman"/>
          <w:color w:val="000000"/>
        </w:rPr>
        <w:t>0</w:t>
      </w:r>
      <w:r w:rsidR="00861AEF">
        <w:rPr>
          <w:rFonts w:eastAsia="Times New Roman" w:cs="Times New Roman"/>
          <w:color w:val="000000"/>
        </w:rPr>
        <w:t xml:space="preserve">) </w:t>
      </w:r>
      <w:r w:rsidR="00A80F6B">
        <w:rPr>
          <w:rFonts w:eastAsia="Times New Roman" w:cs="Times New Roman"/>
          <w:color w:val="000000"/>
        </w:rPr>
        <w:t xml:space="preserve">56 </w:t>
      </w:r>
      <w:r w:rsidR="00861AEF">
        <w:rPr>
          <w:rFonts w:eastAsia="Times New Roman" w:cs="Times New Roman"/>
          <w:color w:val="000000"/>
        </w:rPr>
        <w:t>Cal.App.5</w:t>
      </w:r>
      <w:r w:rsidRPr="00861AEF" w:rsidR="00861AEF">
        <w:rPr>
          <w:rFonts w:eastAsia="Times New Roman" w:cs="Times New Roman"/>
          <w:color w:val="000000"/>
        </w:rPr>
        <w:t>th</w:t>
      </w:r>
      <w:r w:rsidR="00861AEF">
        <w:rPr>
          <w:rFonts w:eastAsia="Times New Roman" w:cs="Times New Roman"/>
          <w:color w:val="000000"/>
        </w:rPr>
        <w:t xml:space="preserve"> 582,]</w:t>
      </w:r>
      <w:r w:rsidRPr="009832D3">
        <w:rPr>
          <w:rFonts w:eastAsia="Times New Roman" w:cs="Times New Roman"/>
          <w:color w:val="000000"/>
        </w:rPr>
        <w:t xml:space="preserve"> 586.) </w:t>
      </w:r>
      <w:r>
        <w:rPr>
          <w:rFonts w:eastAsia="Times New Roman" w:cs="Times New Roman"/>
          <w:color w:val="000000"/>
        </w:rPr>
        <w:t xml:space="preserve"> </w:t>
      </w:r>
      <w:r w:rsidRPr="009832D3">
        <w:rPr>
          <w:rFonts w:eastAsia="Times New Roman" w:cs="Times New Roman"/>
          <w:color w:val="000000"/>
        </w:rPr>
        <w:t xml:space="preserve">As with our review of a decision on a motion to strike a prior strike, </w:t>
      </w:r>
      <w:r>
        <w:rPr>
          <w:rFonts w:eastAsia="Times New Roman" w:cs="Times New Roman"/>
          <w:color w:val="000000"/>
        </w:rPr>
        <w:t>‘</w:t>
      </w:r>
      <w:r w:rsidRPr="009832D3">
        <w:rPr>
          <w:rFonts w:eastAsia="Times New Roman" w:cs="Times New Roman"/>
          <w:color w:val="000000"/>
        </w:rPr>
        <w:t>[w]e review a court</w:t>
      </w:r>
      <w:r w:rsidR="00DC65A8">
        <w:rPr>
          <w:rFonts w:eastAsia="Times New Roman" w:cs="Times New Roman"/>
          <w:color w:val="000000"/>
        </w:rPr>
        <w:t>’</w:t>
      </w:r>
      <w:r w:rsidRPr="009832D3">
        <w:rPr>
          <w:rFonts w:eastAsia="Times New Roman" w:cs="Times New Roman"/>
          <w:color w:val="000000"/>
        </w:rPr>
        <w:t>s decision to deny a motion to strike a five-year prior serious felony enhancement for an abuse of discretion.</w:t>
      </w:r>
      <w:r>
        <w:rPr>
          <w:rFonts w:eastAsia="Times New Roman" w:cs="Times New Roman"/>
          <w:color w:val="000000"/>
        </w:rPr>
        <w:t>’</w:t>
      </w:r>
      <w:r w:rsidRPr="009832D3">
        <w:rPr>
          <w:rFonts w:eastAsia="Times New Roman" w:cs="Times New Roman"/>
          <w:color w:val="000000"/>
        </w:rPr>
        <w:t xml:space="preserve"> </w:t>
      </w:r>
      <w:r w:rsidR="00206F7C">
        <w:rPr>
          <w:rFonts w:eastAsia="Times New Roman" w:cs="Times New Roman"/>
          <w:color w:val="000000"/>
        </w:rPr>
        <w:t xml:space="preserve"> </w:t>
      </w:r>
      <w:r w:rsidRPr="009832D3">
        <w:rPr>
          <w:rFonts w:eastAsia="Times New Roman" w:cs="Times New Roman"/>
          <w:color w:val="000000"/>
        </w:rPr>
        <w:t>(</w:t>
      </w:r>
      <w:r w:rsidRPr="009832D3">
        <w:rPr>
          <w:rFonts w:eastAsia="Times New Roman" w:cs="Times New Roman"/>
          <w:i/>
          <w:iCs/>
          <w:color w:val="3D3D3D"/>
          <w:bdr w:val="none" w:sz="0" w:space="0" w:color="auto" w:frame="1"/>
        </w:rPr>
        <w:t>Id.</w:t>
      </w:r>
      <w:r w:rsidRPr="009832D3">
        <w:rPr>
          <w:rFonts w:eastAsia="Times New Roman" w:cs="Times New Roman"/>
          <w:color w:val="000000"/>
        </w:rPr>
        <w:t xml:space="preserve"> at p. 587</w:t>
      </w:r>
      <w:r w:rsidR="00861AEF">
        <w:rPr>
          <w:rFonts w:eastAsia="Times New Roman" w:cs="Times New Roman"/>
          <w:color w:val="000000"/>
        </w:rPr>
        <w:t>7</w:t>
      </w:r>
      <w:r w:rsidRPr="009832D3">
        <w:rPr>
          <w:rFonts w:eastAsia="Times New Roman" w:cs="Times New Roman"/>
          <w:color w:val="000000"/>
        </w:rPr>
        <w:t>.)</w:t>
      </w:r>
      <w:r>
        <w:rPr>
          <w:rFonts w:eastAsia="Times New Roman" w:cs="Times New Roman"/>
          <w:color w:val="000000"/>
        </w:rPr>
        <w:t>”  (</w:t>
      </w:r>
      <w:r w:rsidRPr="009832D3">
        <w:rPr>
          <w:rFonts w:eastAsia="Times New Roman" w:cs="Times New Roman"/>
          <w:i/>
          <w:iCs/>
          <w:color w:val="3D3D3D"/>
          <w:bdr w:val="none" w:sz="0" w:space="0" w:color="auto" w:frame="1"/>
        </w:rPr>
        <w:t>People</w:t>
      </w:r>
      <w:r>
        <w:rPr>
          <w:rFonts w:eastAsia="Times New Roman" w:cs="Times New Roman"/>
          <w:i/>
          <w:iCs/>
          <w:color w:val="3D3D3D"/>
          <w:bdr w:val="none" w:sz="0" w:space="0" w:color="auto" w:frame="1"/>
        </w:rPr>
        <w:t xml:space="preserve"> v.</w:t>
      </w:r>
      <w:r w:rsidRPr="009832D3">
        <w:rPr>
          <w:rFonts w:eastAsia="Times New Roman" w:cs="Times New Roman"/>
          <w:i/>
          <w:iCs/>
          <w:color w:val="3D3D3D"/>
          <w:bdr w:val="none" w:sz="0" w:space="0" w:color="auto" w:frame="1"/>
        </w:rPr>
        <w:t xml:space="preserve"> Brugman</w:t>
      </w:r>
      <w:r w:rsidRPr="009832D3">
        <w:rPr>
          <w:rFonts w:eastAsia="Times New Roman" w:cs="Times New Roman"/>
          <w:color w:val="000000"/>
        </w:rPr>
        <w:t xml:space="preserve"> (2021) 62 Cal.App.5th 608, 637</w:t>
      </w:r>
      <w:r w:rsidR="00D82EAF">
        <w:rPr>
          <w:rFonts w:eastAsia="Times New Roman" w:cs="Times New Roman"/>
          <w:color w:val="000000"/>
        </w:rPr>
        <w:t>-</w:t>
      </w:r>
      <w:r w:rsidRPr="009832D3">
        <w:rPr>
          <w:rFonts w:eastAsia="Times New Roman" w:cs="Times New Roman"/>
          <w:color w:val="000000"/>
        </w:rPr>
        <w:t>638</w:t>
      </w:r>
      <w:r>
        <w:rPr>
          <w:rFonts w:eastAsia="Times New Roman" w:cs="Times New Roman"/>
          <w:color w:val="000000"/>
        </w:rPr>
        <w:t>.)</w:t>
      </w:r>
    </w:p>
    <w:p w:rsidR="009832D3" w:rsidP="009832D3" w14:paraId="54FBECE6" w14:textId="070FED2F">
      <w:pPr>
        <w:pStyle w:val="ListParagraph"/>
        <w:ind w:left="0" w:firstLine="720"/>
        <w:rPr>
          <w:rFonts w:eastAsia="Times New Roman" w:cs="Times New Roman"/>
          <w:color w:val="000000"/>
        </w:rPr>
      </w:pPr>
      <w:r>
        <w:rPr>
          <w:rFonts w:eastAsia="Times New Roman" w:cs="Times New Roman"/>
          <w:color w:val="000000"/>
        </w:rPr>
        <w:t>“</w:t>
      </w:r>
      <w:r w:rsidRPr="009832D3">
        <w:rPr>
          <w:rFonts w:eastAsia="Times New Roman" w:cs="Times New Roman"/>
          <w:color w:val="000000"/>
        </w:rPr>
        <w:t>A trial court</w:t>
      </w:r>
      <w:r>
        <w:rPr>
          <w:rFonts w:eastAsia="Times New Roman" w:cs="Times New Roman"/>
          <w:color w:val="000000"/>
        </w:rPr>
        <w:t>’</w:t>
      </w:r>
      <w:r w:rsidRPr="009832D3">
        <w:rPr>
          <w:rFonts w:eastAsia="Times New Roman" w:cs="Times New Roman"/>
          <w:color w:val="000000"/>
        </w:rPr>
        <w:t xml:space="preserve">s refusal to strike a prior strike is an abuse of discretion only in limited circumstances. </w:t>
      </w:r>
      <w:r w:rsidR="00E855AE">
        <w:rPr>
          <w:rFonts w:eastAsia="Times New Roman" w:cs="Times New Roman"/>
          <w:color w:val="000000"/>
        </w:rPr>
        <w:t xml:space="preserve"> </w:t>
      </w:r>
      <w:r w:rsidRPr="009832D3">
        <w:rPr>
          <w:rFonts w:eastAsia="Times New Roman" w:cs="Times New Roman"/>
          <w:color w:val="000000"/>
        </w:rPr>
        <w:t xml:space="preserve">Examples are where the trial court was unaware of its discretion to dismiss; where the court considered impermissible factors; or where the sentencing norms established by the Three Strikes law produce an arbitrary or patently absurd result. </w:t>
      </w:r>
      <w:r w:rsidR="00BC17BE">
        <w:rPr>
          <w:rFonts w:eastAsia="Times New Roman" w:cs="Times New Roman"/>
          <w:color w:val="000000"/>
        </w:rPr>
        <w:t xml:space="preserve"> </w:t>
      </w:r>
      <w:r w:rsidRPr="009832D3">
        <w:rPr>
          <w:rFonts w:eastAsia="Times New Roman" w:cs="Times New Roman"/>
          <w:color w:val="000000"/>
        </w:rPr>
        <w:t xml:space="preserve">It is not enough to show reasonable people might disagree about whether to strike a prior conviction. </w:t>
      </w:r>
      <w:r w:rsidR="00BC17BE">
        <w:rPr>
          <w:rFonts w:eastAsia="Times New Roman" w:cs="Times New Roman"/>
          <w:color w:val="000000"/>
        </w:rPr>
        <w:t xml:space="preserve"> </w:t>
      </w:r>
      <w:r w:rsidRPr="009832D3">
        <w:rPr>
          <w:rFonts w:eastAsia="Times New Roman" w:cs="Times New Roman"/>
          <w:color w:val="000000"/>
        </w:rPr>
        <w:t>There is no abuse of discretion unless the trial court</w:t>
      </w:r>
      <w:r>
        <w:rPr>
          <w:rFonts w:eastAsia="Times New Roman" w:cs="Times New Roman"/>
          <w:color w:val="000000"/>
        </w:rPr>
        <w:t>’</w:t>
      </w:r>
      <w:r w:rsidRPr="009832D3">
        <w:rPr>
          <w:rFonts w:eastAsia="Times New Roman" w:cs="Times New Roman"/>
          <w:color w:val="000000"/>
        </w:rPr>
        <w:t>s decision is so irrational or arbitrary that no reasonable person could agree with it.</w:t>
      </w:r>
      <w:r>
        <w:rPr>
          <w:rFonts w:eastAsia="Times New Roman" w:cs="Times New Roman"/>
          <w:color w:val="000000"/>
        </w:rPr>
        <w:t>”</w:t>
      </w:r>
      <w:r w:rsidRPr="009832D3">
        <w:rPr>
          <w:rFonts w:eastAsia="Times New Roman" w:cs="Times New Roman"/>
          <w:color w:val="000000"/>
        </w:rPr>
        <w:t xml:space="preserve"> </w:t>
      </w:r>
      <w:r>
        <w:rPr>
          <w:rFonts w:eastAsia="Times New Roman" w:cs="Times New Roman"/>
          <w:color w:val="000000"/>
        </w:rPr>
        <w:t xml:space="preserve"> (</w:t>
      </w:r>
      <w:r w:rsidRPr="00C80A7D">
        <w:rPr>
          <w:rFonts w:eastAsia="Times New Roman" w:cs="Times New Roman"/>
          <w:i/>
          <w:iCs/>
          <w:bdr w:val="none" w:sz="0" w:space="0" w:color="auto" w:frame="1"/>
        </w:rPr>
        <w:t>People v. Edwards</w:t>
      </w:r>
      <w:r w:rsidRPr="00C80A7D">
        <w:rPr>
          <w:rFonts w:eastAsia="Times New Roman" w:cs="Times New Roman"/>
        </w:rPr>
        <w:t xml:space="preserve"> (2022</w:t>
      </w:r>
      <w:r w:rsidRPr="009832D3">
        <w:rPr>
          <w:rFonts w:eastAsia="Times New Roman" w:cs="Times New Roman"/>
          <w:color w:val="000000"/>
        </w:rPr>
        <w:t>) 76 Cal.App.5th 523, 528</w:t>
      </w:r>
      <w:r>
        <w:rPr>
          <w:rFonts w:eastAsia="Times New Roman" w:cs="Times New Roman"/>
          <w:color w:val="000000"/>
        </w:rPr>
        <w:t>.)</w:t>
      </w:r>
    </w:p>
    <w:p w:rsidR="009832D3" w:rsidRPr="00DC65A8" w:rsidP="00DC65A8" w14:paraId="6CFA9438" w14:textId="5C98776B">
      <w:pPr>
        <w:pStyle w:val="ListParagraph"/>
        <w:ind w:left="0" w:firstLine="720"/>
        <w:rPr>
          <w:rFonts w:eastAsia="Times New Roman" w:cs="Times New Roman"/>
          <w:color w:val="000000"/>
        </w:rPr>
      </w:pPr>
      <w:r>
        <w:rPr>
          <w:rFonts w:eastAsia="Times New Roman" w:cs="Times New Roman"/>
          <w:color w:val="000000"/>
        </w:rPr>
        <w:t>“</w:t>
      </w:r>
      <w:r w:rsidRPr="009832D3">
        <w:rPr>
          <w:rFonts w:eastAsia="Times New Roman" w:cs="Times New Roman"/>
          <w:color w:val="000000"/>
        </w:rPr>
        <w:t xml:space="preserve">The trial court is not required to state reasons for declining to exercise its discretion to strike a strike. </w:t>
      </w:r>
      <w:r w:rsidR="00F44A29">
        <w:rPr>
          <w:rFonts w:eastAsia="Times New Roman" w:cs="Times New Roman"/>
          <w:color w:val="000000"/>
        </w:rPr>
        <w:t xml:space="preserve"> </w:t>
      </w:r>
      <w:r w:rsidRPr="009832D3">
        <w:rPr>
          <w:rFonts w:eastAsia="Times New Roman" w:cs="Times New Roman"/>
          <w:color w:val="000000"/>
        </w:rPr>
        <w:t>We presume the trial court has considered all relevant factors in the absence of an affirmative record to the contrary.</w:t>
      </w:r>
      <w:r w:rsidR="009C44C8">
        <w:rPr>
          <w:rFonts w:eastAsia="Times New Roman" w:cs="Times New Roman"/>
          <w:color w:val="000000"/>
        </w:rPr>
        <w:t xml:space="preserve"> </w:t>
      </w:r>
      <w:r w:rsidR="003560F8">
        <w:rPr>
          <w:rFonts w:eastAsia="Times New Roman" w:cs="Times New Roman"/>
          <w:color w:val="000000"/>
        </w:rPr>
        <w:t xml:space="preserve"> </w:t>
      </w:r>
      <w:r w:rsidRPr="009832D3">
        <w:rPr>
          <w:rFonts w:eastAsia="Times New Roman" w:cs="Times New Roman"/>
          <w:color w:val="000000"/>
        </w:rPr>
        <w:t>When the record is silent as to the trial court</w:t>
      </w:r>
      <w:r w:rsidR="00861AEF">
        <w:rPr>
          <w:rFonts w:eastAsia="Times New Roman" w:cs="Times New Roman"/>
          <w:color w:val="000000"/>
        </w:rPr>
        <w:t>’</w:t>
      </w:r>
      <w:r w:rsidRPr="009832D3">
        <w:rPr>
          <w:rFonts w:eastAsia="Times New Roman" w:cs="Times New Roman"/>
          <w:color w:val="000000"/>
        </w:rPr>
        <w:t xml:space="preserve">s reasons for declining to strike a prior strike, we presume the court correctly applied the law. </w:t>
      </w:r>
      <w:r w:rsidR="00206F7C">
        <w:rPr>
          <w:rFonts w:eastAsia="Times New Roman" w:cs="Times New Roman"/>
          <w:color w:val="000000"/>
        </w:rPr>
        <w:t xml:space="preserve"> </w:t>
      </w:r>
      <w:r w:rsidRPr="009832D3">
        <w:rPr>
          <w:rFonts w:eastAsia="Times New Roman" w:cs="Times New Roman"/>
          <w:color w:val="000000"/>
        </w:rPr>
        <w:t>Only in an extraordinary case—where the relevant factors manifestly support the striking of a prior conviction and no reasonable minds could differ—would the failure to strike be an abuse of discretion.</w:t>
      </w:r>
      <w:r>
        <w:rPr>
          <w:rFonts w:eastAsia="Times New Roman" w:cs="Times New Roman"/>
          <w:color w:val="000000"/>
        </w:rPr>
        <w:t>”  (</w:t>
      </w:r>
      <w:r w:rsidRPr="009832D3" w:rsidR="00861AEF">
        <w:rPr>
          <w:rFonts w:eastAsia="Times New Roman" w:cs="Times New Roman"/>
          <w:i/>
          <w:iCs/>
          <w:color w:val="3D3D3D"/>
          <w:bdr w:val="none" w:sz="0" w:space="0" w:color="auto" w:frame="1"/>
        </w:rPr>
        <w:t>People v. Edwards</w:t>
      </w:r>
      <w:r w:rsidR="00861AEF">
        <w:rPr>
          <w:rFonts w:eastAsia="Times New Roman" w:cs="Times New Roman"/>
          <w:color w:val="000000"/>
        </w:rPr>
        <w:t xml:space="preserve">, </w:t>
      </w:r>
      <w:r w:rsidRPr="00861AEF" w:rsidR="00861AEF">
        <w:rPr>
          <w:rFonts w:eastAsia="Times New Roman" w:cs="Times New Roman"/>
          <w:i/>
          <w:iCs/>
          <w:color w:val="000000"/>
        </w:rPr>
        <w:t>supra,</w:t>
      </w:r>
      <w:r w:rsidR="00861AEF">
        <w:rPr>
          <w:rFonts w:eastAsia="Times New Roman" w:cs="Times New Roman"/>
          <w:color w:val="000000"/>
        </w:rPr>
        <w:t xml:space="preserve"> </w:t>
      </w:r>
      <w:r w:rsidRPr="009832D3" w:rsidR="00861AEF">
        <w:rPr>
          <w:rFonts w:eastAsia="Times New Roman" w:cs="Times New Roman"/>
          <w:color w:val="000000"/>
        </w:rPr>
        <w:t>76</w:t>
      </w:r>
      <w:r w:rsidR="00A14B13">
        <w:rPr>
          <w:rFonts w:eastAsia="Times New Roman" w:cs="Times New Roman"/>
          <w:color w:val="000000"/>
        </w:rPr>
        <w:t> </w:t>
      </w:r>
      <w:r w:rsidRPr="009832D3" w:rsidR="00861AEF">
        <w:rPr>
          <w:rFonts w:eastAsia="Times New Roman" w:cs="Times New Roman"/>
          <w:color w:val="000000"/>
        </w:rPr>
        <w:t>Cal.App.5th</w:t>
      </w:r>
      <w:r>
        <w:rPr>
          <w:rFonts w:eastAsia="Times New Roman" w:cs="Times New Roman"/>
          <w:color w:val="000000"/>
        </w:rPr>
        <w:t xml:space="preserve"> at p. 529.)</w:t>
      </w:r>
    </w:p>
    <w:p w:rsidR="00843AA8" w:rsidP="00DC65A8" w14:paraId="773EA796" w14:textId="71D97C3E">
      <w:pPr>
        <w:pStyle w:val="ListParagraph"/>
        <w:ind w:left="0" w:firstLine="720"/>
        <w:rPr>
          <w:rFonts w:eastAsia="Times New Roman" w:cs="Times New Roman"/>
          <w:color w:val="000000"/>
        </w:rPr>
      </w:pPr>
      <w:r>
        <w:rPr>
          <w:rFonts w:eastAsia="Times New Roman" w:cs="Times New Roman"/>
          <w:color w:val="000000"/>
        </w:rPr>
        <w:t xml:space="preserve">Price and Campbell contend the trial court mistakenly relied on the </w:t>
      </w:r>
      <w:r w:rsidR="002D7712">
        <w:rPr>
          <w:rFonts w:eastAsia="Times New Roman" w:cs="Times New Roman"/>
          <w:color w:val="000000"/>
        </w:rPr>
        <w:t>belief that</w:t>
      </w:r>
      <w:r>
        <w:rPr>
          <w:rFonts w:eastAsia="Times New Roman" w:cs="Times New Roman"/>
          <w:color w:val="000000"/>
        </w:rPr>
        <w:t xml:space="preserve"> it had previously denied a </w:t>
      </w:r>
      <w:r w:rsidRPr="00BE7EA2">
        <w:rPr>
          <w:rFonts w:eastAsia="Times New Roman" w:cs="Times New Roman"/>
          <w:i/>
          <w:iCs/>
          <w:color w:val="000000"/>
        </w:rPr>
        <w:t>Romero</w:t>
      </w:r>
      <w:r>
        <w:rPr>
          <w:rFonts w:eastAsia="Times New Roman" w:cs="Times New Roman"/>
          <w:color w:val="000000"/>
        </w:rPr>
        <w:t xml:space="preserve"> motion</w:t>
      </w:r>
      <w:r>
        <w:rPr>
          <w:rStyle w:val="FootnoteReference"/>
          <w:rFonts w:eastAsia="Times New Roman" w:cs="Times New Roman"/>
          <w:b/>
          <w:bCs/>
          <w:color w:val="000000"/>
        </w:rPr>
        <w:footnoteReference w:id="27"/>
      </w:r>
      <w:r w:rsidR="002D7712">
        <w:rPr>
          <w:rFonts w:eastAsia="Times New Roman" w:cs="Times New Roman"/>
          <w:color w:val="000000"/>
        </w:rPr>
        <w:t xml:space="preserve"> </w:t>
      </w:r>
      <w:r>
        <w:rPr>
          <w:rFonts w:eastAsia="Times New Roman" w:cs="Times New Roman"/>
          <w:color w:val="000000"/>
        </w:rPr>
        <w:t>to dismiss a str</w:t>
      </w:r>
      <w:r w:rsidR="002D7712">
        <w:rPr>
          <w:rFonts w:eastAsia="Times New Roman" w:cs="Times New Roman"/>
          <w:color w:val="000000"/>
        </w:rPr>
        <w:t>i</w:t>
      </w:r>
      <w:r>
        <w:rPr>
          <w:rFonts w:eastAsia="Times New Roman" w:cs="Times New Roman"/>
          <w:color w:val="000000"/>
        </w:rPr>
        <w:t xml:space="preserve">ke at the original sentencing hearing and said it was declining to strike the five-year enhancement “for the same reason it denied </w:t>
      </w:r>
      <w:r w:rsidR="008D496B">
        <w:rPr>
          <w:rFonts w:eastAsia="Times New Roman" w:cs="Times New Roman"/>
          <w:color w:val="000000"/>
        </w:rPr>
        <w:t>[A]p</w:t>
      </w:r>
      <w:r>
        <w:rPr>
          <w:rFonts w:eastAsia="Times New Roman" w:cs="Times New Roman"/>
          <w:color w:val="000000"/>
        </w:rPr>
        <w:t xml:space="preserve">pellant’s </w:t>
      </w:r>
      <w:r w:rsidRPr="00FE5474">
        <w:rPr>
          <w:rFonts w:eastAsia="Times New Roman" w:cs="Times New Roman"/>
          <w:i/>
          <w:iCs/>
          <w:color w:val="000000"/>
        </w:rPr>
        <w:t xml:space="preserve">Romero </w:t>
      </w:r>
      <w:r>
        <w:rPr>
          <w:rFonts w:eastAsia="Times New Roman" w:cs="Times New Roman"/>
          <w:color w:val="000000"/>
        </w:rPr>
        <w:t>motion to dismiss his ‘strike’ at the original sentencing hearing</w:t>
      </w:r>
      <w:r w:rsidR="007F27F6">
        <w:rPr>
          <w:rFonts w:eastAsia="Times New Roman" w:cs="Times New Roman"/>
          <w:color w:val="000000"/>
        </w:rPr>
        <w:t>.</w:t>
      </w:r>
      <w:r>
        <w:rPr>
          <w:rFonts w:eastAsia="Times New Roman" w:cs="Times New Roman"/>
          <w:color w:val="000000"/>
        </w:rPr>
        <w:t xml:space="preserve">” </w:t>
      </w:r>
      <w:r w:rsidR="0076341D">
        <w:rPr>
          <w:rFonts w:eastAsia="Times New Roman" w:cs="Times New Roman"/>
          <w:color w:val="000000"/>
        </w:rPr>
        <w:t xml:space="preserve"> </w:t>
      </w:r>
      <w:r w:rsidR="00BA0F74">
        <w:rPr>
          <w:rFonts w:eastAsia="Times New Roman" w:cs="Times New Roman"/>
          <w:color w:val="000000"/>
        </w:rPr>
        <w:t>(</w:t>
      </w:r>
      <w:r w:rsidRPr="00FE5474" w:rsidR="00BA0F74">
        <w:rPr>
          <w:rFonts w:eastAsia="Times New Roman" w:cs="Times New Roman"/>
          <w:i/>
          <w:iCs/>
          <w:color w:val="000000"/>
        </w:rPr>
        <w:t xml:space="preserve">Italics </w:t>
      </w:r>
      <w:r w:rsidR="00BA0F74">
        <w:rPr>
          <w:rFonts w:eastAsia="Times New Roman" w:cs="Times New Roman"/>
          <w:color w:val="000000"/>
        </w:rPr>
        <w:t xml:space="preserve">added.)  </w:t>
      </w:r>
      <w:r>
        <w:rPr>
          <w:rFonts w:eastAsia="Times New Roman" w:cs="Times New Roman"/>
          <w:color w:val="000000"/>
        </w:rPr>
        <w:t xml:space="preserve">Counsel misstates the record. </w:t>
      </w:r>
    </w:p>
    <w:p w:rsidR="00843AA8" w:rsidP="00843AA8" w14:paraId="780327DF" w14:textId="7574FD23">
      <w:pPr>
        <w:pStyle w:val="ListParagraph"/>
        <w:ind w:left="0" w:firstLine="720"/>
        <w:rPr>
          <w:rFonts w:eastAsia="Times New Roman" w:cs="Times New Roman"/>
          <w:color w:val="000000"/>
        </w:rPr>
      </w:pPr>
      <w:r>
        <w:rPr>
          <w:rFonts w:eastAsia="Times New Roman" w:cs="Times New Roman"/>
          <w:color w:val="000000"/>
        </w:rPr>
        <w:t>Counsel</w:t>
      </w:r>
      <w:r w:rsidR="00974F06">
        <w:rPr>
          <w:rFonts w:eastAsia="Times New Roman" w:cs="Times New Roman"/>
          <w:color w:val="000000"/>
        </w:rPr>
        <w:t xml:space="preserve"> for Campbell</w:t>
      </w:r>
      <w:r>
        <w:rPr>
          <w:rFonts w:eastAsia="Times New Roman" w:cs="Times New Roman"/>
          <w:color w:val="000000"/>
        </w:rPr>
        <w:t xml:space="preserve"> stated she believed trial counsel for </w:t>
      </w:r>
      <w:r w:rsidRPr="00ED16A9">
        <w:rPr>
          <w:rFonts w:eastAsia="Times New Roman" w:cs="Times New Roman"/>
          <w:color w:val="000000"/>
        </w:rPr>
        <w:t xml:space="preserve">Campbell </w:t>
      </w:r>
      <w:r>
        <w:rPr>
          <w:rFonts w:eastAsia="Times New Roman" w:cs="Times New Roman"/>
          <w:color w:val="000000"/>
        </w:rPr>
        <w:t xml:space="preserve">had filed a </w:t>
      </w:r>
      <w:r w:rsidRPr="0076341D">
        <w:rPr>
          <w:rFonts w:eastAsia="Times New Roman" w:cs="Times New Roman"/>
          <w:i/>
          <w:iCs/>
          <w:color w:val="000000"/>
        </w:rPr>
        <w:t>Romero</w:t>
      </w:r>
      <w:r>
        <w:rPr>
          <w:rFonts w:eastAsia="Times New Roman" w:cs="Times New Roman"/>
          <w:color w:val="000000"/>
        </w:rPr>
        <w:t xml:space="preserve"> motion at the time of the original sentencing and that the court had denied it. </w:t>
      </w:r>
      <w:r w:rsidR="00974F06">
        <w:rPr>
          <w:rFonts w:eastAsia="Times New Roman" w:cs="Times New Roman"/>
          <w:color w:val="000000"/>
        </w:rPr>
        <w:t xml:space="preserve"> </w:t>
      </w:r>
      <w:r w:rsidR="00DC65A8">
        <w:rPr>
          <w:rFonts w:eastAsia="Times New Roman" w:cs="Times New Roman"/>
          <w:color w:val="000000"/>
        </w:rPr>
        <w:t xml:space="preserve">She sought to incorporate that earlier motion by reference.  </w:t>
      </w:r>
      <w:r w:rsidR="00974F06">
        <w:rPr>
          <w:rFonts w:eastAsia="Times New Roman" w:cs="Times New Roman"/>
          <w:color w:val="000000"/>
        </w:rPr>
        <w:t xml:space="preserve">The </w:t>
      </w:r>
      <w:r w:rsidR="00DC65A8">
        <w:rPr>
          <w:rFonts w:eastAsia="Times New Roman" w:cs="Times New Roman"/>
          <w:color w:val="000000"/>
        </w:rPr>
        <w:t xml:space="preserve">trial </w:t>
      </w:r>
      <w:r w:rsidR="00974F06">
        <w:rPr>
          <w:rFonts w:eastAsia="Times New Roman" w:cs="Times New Roman"/>
          <w:color w:val="000000"/>
        </w:rPr>
        <w:t xml:space="preserve">court </w:t>
      </w:r>
      <w:r w:rsidR="00DC65A8">
        <w:rPr>
          <w:rFonts w:eastAsia="Times New Roman" w:cs="Times New Roman"/>
          <w:color w:val="000000"/>
        </w:rPr>
        <w:t>appears to have accepted her</w:t>
      </w:r>
      <w:r w:rsidR="00974F06">
        <w:rPr>
          <w:rFonts w:eastAsia="Times New Roman" w:cs="Times New Roman"/>
          <w:color w:val="000000"/>
        </w:rPr>
        <w:t xml:space="preserve"> representation but</w:t>
      </w:r>
      <w:r w:rsidR="00DC65A8">
        <w:rPr>
          <w:rFonts w:eastAsia="Times New Roman" w:cs="Times New Roman"/>
          <w:color w:val="000000"/>
        </w:rPr>
        <w:t>, contrary to Price and Campbell’s current argument, did not purport to incorporate</w:t>
      </w:r>
      <w:r w:rsidR="004735D7">
        <w:rPr>
          <w:rFonts w:eastAsia="Times New Roman" w:cs="Times New Roman"/>
          <w:color w:val="000000"/>
        </w:rPr>
        <w:t xml:space="preserve"> or otherwise rely</w:t>
      </w:r>
      <w:r w:rsidR="006C20B3">
        <w:rPr>
          <w:rFonts w:eastAsia="Times New Roman" w:cs="Times New Roman"/>
          <w:color w:val="000000"/>
        </w:rPr>
        <w:t xml:space="preserve"> </w:t>
      </w:r>
      <w:r w:rsidRPr="00861AEF" w:rsidR="006C20B3">
        <w:rPr>
          <w:rFonts w:eastAsia="Times New Roman" w:cs="Times New Roman"/>
          <w:color w:val="000000"/>
        </w:rPr>
        <w:t>on</w:t>
      </w:r>
      <w:r w:rsidR="00DC65A8">
        <w:rPr>
          <w:rFonts w:eastAsia="Times New Roman" w:cs="Times New Roman"/>
          <w:color w:val="000000"/>
        </w:rPr>
        <w:t xml:space="preserve"> any prior</w:t>
      </w:r>
      <w:r>
        <w:rPr>
          <w:rFonts w:eastAsia="Times New Roman" w:cs="Times New Roman"/>
          <w:color w:val="000000"/>
        </w:rPr>
        <w:t xml:space="preserve"> </w:t>
      </w:r>
      <w:r w:rsidRPr="00843AA8">
        <w:rPr>
          <w:rFonts w:eastAsia="Times New Roman" w:cs="Times New Roman"/>
          <w:i/>
          <w:iCs/>
          <w:color w:val="000000"/>
        </w:rPr>
        <w:t>Romero</w:t>
      </w:r>
      <w:r w:rsidR="00DC65A8">
        <w:rPr>
          <w:rFonts w:eastAsia="Times New Roman" w:cs="Times New Roman"/>
          <w:color w:val="000000"/>
        </w:rPr>
        <w:t xml:space="preserve"> ruling or decision.  </w:t>
      </w:r>
    </w:p>
    <w:p w:rsidR="004C37B1" w:rsidP="004C37B1" w14:paraId="694D95A7" w14:textId="7F3E0469">
      <w:pPr>
        <w:pStyle w:val="ListParagraph"/>
        <w:ind w:left="0" w:firstLine="720"/>
      </w:pPr>
      <w:r>
        <w:rPr>
          <w:rFonts w:eastAsia="Times New Roman" w:cs="Times New Roman"/>
          <w:color w:val="000000"/>
        </w:rPr>
        <w:t xml:space="preserve">Rather, the </w:t>
      </w:r>
      <w:r w:rsidR="00206F7C">
        <w:rPr>
          <w:rFonts w:eastAsia="Times New Roman" w:cs="Times New Roman"/>
          <w:color w:val="000000"/>
        </w:rPr>
        <w:t>c</w:t>
      </w:r>
      <w:r>
        <w:rPr>
          <w:rFonts w:eastAsia="Times New Roman" w:cs="Times New Roman"/>
          <w:color w:val="000000"/>
        </w:rPr>
        <w:t xml:space="preserve">ourt </w:t>
      </w:r>
      <w:r w:rsidR="00974F06">
        <w:rPr>
          <w:rFonts w:eastAsia="Times New Roman" w:cs="Times New Roman"/>
          <w:color w:val="000000"/>
        </w:rPr>
        <w:t>observed</w:t>
      </w:r>
      <w:r>
        <w:rPr>
          <w:rFonts w:eastAsia="Times New Roman" w:cs="Times New Roman"/>
          <w:color w:val="000000"/>
        </w:rPr>
        <w:t>, “[T]</w:t>
      </w:r>
      <w:r w:rsidR="00974F06">
        <w:rPr>
          <w:rFonts w:eastAsia="Times New Roman" w:cs="Times New Roman"/>
          <w:color w:val="000000"/>
        </w:rPr>
        <w:t xml:space="preserve">his is not a question of striking the prior for </w:t>
      </w:r>
      <w:r w:rsidRPr="00974F06" w:rsidR="00974F06">
        <w:rPr>
          <w:rFonts w:eastAsia="Times New Roman" w:cs="Times New Roman"/>
          <w:i/>
          <w:iCs/>
          <w:color w:val="000000"/>
        </w:rPr>
        <w:t>Romero</w:t>
      </w:r>
      <w:r w:rsidR="00974F06">
        <w:rPr>
          <w:rFonts w:eastAsia="Times New Roman" w:cs="Times New Roman"/>
          <w:color w:val="000000"/>
        </w:rPr>
        <w:t xml:space="preserve"> purposes because that is not why this was sent back to me because that was done.  The Court had that authority at the time of sentencing.  It was denied.  This is a separate</w:t>
      </w:r>
      <w:r w:rsidR="00861AEF">
        <w:rPr>
          <w:rFonts w:eastAsia="Times New Roman" w:cs="Times New Roman"/>
          <w:color w:val="000000"/>
        </w:rPr>
        <w:t>, quite</w:t>
      </w:r>
      <w:r w:rsidR="00974F06">
        <w:rPr>
          <w:rFonts w:eastAsia="Times New Roman" w:cs="Times New Roman"/>
          <w:color w:val="000000"/>
        </w:rPr>
        <w:t xml:space="preserve"> related authority the Court has to strike or not the five-year enhancement, but on the same representation</w:t>
      </w:r>
      <w:r w:rsidR="00861AEF">
        <w:rPr>
          <w:rFonts w:eastAsia="Times New Roman" w:cs="Times New Roman"/>
          <w:color w:val="000000"/>
        </w:rPr>
        <w:t>s</w:t>
      </w:r>
      <w:r w:rsidR="00974F06">
        <w:rPr>
          <w:rFonts w:eastAsia="Times New Roman" w:cs="Times New Roman"/>
          <w:color w:val="000000"/>
        </w:rPr>
        <w:t xml:space="preserve"> and presentation you</w:t>
      </w:r>
      <w:r>
        <w:rPr>
          <w:rFonts w:eastAsia="Times New Roman" w:cs="Times New Roman"/>
          <w:color w:val="000000"/>
        </w:rPr>
        <w:t xml:space="preserve"> </w:t>
      </w:r>
      <w:r w:rsidR="00974F06">
        <w:rPr>
          <w:rFonts w:eastAsia="Times New Roman" w:cs="Times New Roman"/>
          <w:color w:val="000000"/>
        </w:rPr>
        <w:t xml:space="preserve">are submitting?”  After Campbell’s counsel submitted, </w:t>
      </w:r>
      <w:r>
        <w:rPr>
          <w:rFonts w:eastAsia="Times New Roman" w:cs="Times New Roman"/>
          <w:color w:val="000000"/>
        </w:rPr>
        <w:t>t</w:t>
      </w:r>
      <w:r w:rsidR="00974F06">
        <w:rPr>
          <w:rFonts w:eastAsia="Times New Roman" w:cs="Times New Roman"/>
          <w:color w:val="000000"/>
        </w:rPr>
        <w:t xml:space="preserve">he </w:t>
      </w:r>
      <w:r w:rsidR="007A0DFE">
        <w:rPr>
          <w:rFonts w:eastAsia="Times New Roman" w:cs="Times New Roman"/>
          <w:color w:val="000000"/>
        </w:rPr>
        <w:t>c</w:t>
      </w:r>
      <w:r w:rsidR="00974F06">
        <w:rPr>
          <w:rFonts w:eastAsia="Times New Roman" w:cs="Times New Roman"/>
          <w:color w:val="000000"/>
        </w:rPr>
        <w:t>ourt denied the request to strike the five-year enhancement,</w:t>
      </w:r>
      <w:r>
        <w:rPr>
          <w:rFonts w:eastAsia="Times New Roman" w:cs="Times New Roman"/>
          <w:color w:val="000000"/>
        </w:rPr>
        <w:t xml:space="preserve"> stating, “</w:t>
      </w:r>
      <w:r w:rsidR="004735D7">
        <w:rPr>
          <w:rFonts w:eastAsia="Times New Roman" w:cs="Times New Roman"/>
          <w:color w:val="000000"/>
        </w:rPr>
        <w:t xml:space="preserve">To me, again, </w:t>
      </w:r>
      <w:r>
        <w:rPr>
          <w:rFonts w:eastAsia="Times New Roman" w:cs="Times New Roman"/>
          <w:color w:val="000000"/>
        </w:rPr>
        <w:t>a classic situation for the imposition of the enhancement, and it doesn’t seem any</w:t>
      </w:r>
      <w:r w:rsidR="00D82EAF">
        <w:rPr>
          <w:rFonts w:eastAsia="Times New Roman" w:cs="Times New Roman"/>
          <w:color w:val="000000"/>
        </w:rPr>
        <w:t>—</w:t>
      </w:r>
      <w:r>
        <w:rPr>
          <w:rFonts w:eastAsia="Times New Roman" w:cs="Times New Roman"/>
          <w:color w:val="000000"/>
        </w:rPr>
        <w:t>that the interest of justice do not dictate that enhancements should be stricken as to either gentlem</w:t>
      </w:r>
      <w:r w:rsidR="004735D7">
        <w:rPr>
          <w:rFonts w:eastAsia="Times New Roman" w:cs="Times New Roman"/>
          <w:color w:val="000000"/>
        </w:rPr>
        <w:t>en</w:t>
      </w:r>
      <w:r w:rsidR="00A97331">
        <w:rPr>
          <w:rFonts w:eastAsia="Times New Roman" w:cs="Times New Roman"/>
          <w:color w:val="000000"/>
        </w:rPr>
        <w:t> . . . </w:t>
      </w:r>
      <w:r>
        <w:rPr>
          <w:rFonts w:eastAsia="Times New Roman" w:cs="Times New Roman"/>
          <w:color w:val="000000"/>
        </w:rPr>
        <w:t>.”</w:t>
      </w:r>
      <w:r>
        <w:rPr>
          <w:rStyle w:val="FootnoteReference"/>
          <w:rFonts w:eastAsia="Times New Roman" w:cs="Times New Roman"/>
          <w:b/>
          <w:bCs/>
          <w:color w:val="000000"/>
        </w:rPr>
        <w:footnoteReference w:id="28"/>
      </w:r>
      <w:r w:rsidRPr="004735D7">
        <w:rPr>
          <w:rFonts w:eastAsia="Times New Roman" w:cs="Times New Roman"/>
          <w:b/>
          <w:bCs/>
          <w:color w:val="000000"/>
        </w:rPr>
        <w:t xml:space="preserve"> </w:t>
      </w:r>
      <w:r w:rsidR="00843AA8">
        <w:rPr>
          <w:rFonts w:eastAsia="Times New Roman" w:cs="Times New Roman"/>
          <w:color w:val="000000"/>
        </w:rPr>
        <w:t xml:space="preserve"> </w:t>
      </w:r>
      <w:r w:rsidR="00843AA8">
        <w:t xml:space="preserve">The reference to “again” was plainly to the court’s statement two pages prior in the transcript stating, with respect to the gang-related gun enhancement, that “this is indeed . . . a classic case for [the] applicability [of the vicarious gang gun enhancement applicable to any principal],” reciting the evidence indicating the three non-shooters, Anthony, Price and Campbell, were present at the time of the shooting, more than one of them was armed at the time, and there was “substantial planning” as indicated by the timing of the killing of Davis soon after the death of their fellow gang member, Ngo, coupled with the numerous telephone conversations in the days leading up to the killing of Davis. </w:t>
      </w:r>
      <w:r w:rsidR="00811050">
        <w:t xml:space="preserve"> </w:t>
      </w:r>
    </w:p>
    <w:p w:rsidR="00811050" w:rsidP="004C37B1" w14:paraId="03BC066E" w14:textId="5F67F2F4">
      <w:pPr>
        <w:pStyle w:val="ListParagraph"/>
        <w:ind w:left="0" w:firstLine="720"/>
      </w:pPr>
      <w:r>
        <w:t>In short, Price and Campbell have failed to demonstrate that the trial court abused its discretion in declining to dismiss their prior strike convictions.</w:t>
      </w:r>
    </w:p>
    <w:p w:rsidR="00811050" w:rsidRPr="00D82EAF" w:rsidP="009C3BE1" w14:paraId="4FF24E05" w14:textId="15340127">
      <w:pPr>
        <w:pStyle w:val="ListParagraph"/>
        <w:keepNext/>
        <w:numPr>
          <w:ilvl w:val="0"/>
          <w:numId w:val="2"/>
        </w:numPr>
        <w:spacing w:after="120" w:line="240" w:lineRule="auto"/>
        <w:ind w:left="1080"/>
        <w:contextualSpacing w:val="0"/>
        <w:rPr>
          <w:b/>
          <w:bCs/>
        </w:rPr>
      </w:pPr>
      <w:bookmarkStart w:id="3" w:name="_Hlk136524329"/>
      <w:r w:rsidRPr="00D82EAF">
        <w:rPr>
          <w:b/>
          <w:bCs/>
        </w:rPr>
        <w:t xml:space="preserve"> Price and Campbell Waived and Forfeited the Argument That the Trial Court Should Have Obtained Supplemental Probation Reports.</w:t>
      </w:r>
      <w:bookmarkEnd w:id="3"/>
    </w:p>
    <w:p w:rsidR="004C37B1" w:rsidP="004C37B1" w14:paraId="37A3232D" w14:textId="63658B88">
      <w:pPr>
        <w:pStyle w:val="ListParagraph"/>
        <w:ind w:left="0" w:firstLine="720"/>
      </w:pPr>
      <w:r w:rsidRPr="002B30BB">
        <w:t>Price and Campbell also conten</w:t>
      </w:r>
      <w:r w:rsidRPr="002B30BB" w:rsidR="00FA7211">
        <w:t>d</w:t>
      </w:r>
      <w:r w:rsidRPr="002B30BB">
        <w:t xml:space="preserve"> the trial court erred by failing to obtain </w:t>
      </w:r>
      <w:r w:rsidRPr="002B30BB" w:rsidR="002B30BB">
        <w:t xml:space="preserve">an updated </w:t>
      </w:r>
      <w:r w:rsidRPr="002B30BB">
        <w:t xml:space="preserve">probation report </w:t>
      </w:r>
      <w:r w:rsidRPr="002B30BB" w:rsidR="002B30BB">
        <w:t>so it could</w:t>
      </w:r>
      <w:r w:rsidRPr="002B30BB">
        <w:t xml:space="preserve"> </w:t>
      </w:r>
      <w:r w:rsidRPr="002B30BB" w:rsidR="002B30BB">
        <w:t xml:space="preserve">consider </w:t>
      </w:r>
      <w:r w:rsidRPr="002B30BB">
        <w:t xml:space="preserve">whatever such a report may have shown about their </w:t>
      </w:r>
      <w:r w:rsidRPr="002B30BB" w:rsidR="001C4D89">
        <w:t>conduct</w:t>
      </w:r>
      <w:r w:rsidRPr="002B30BB" w:rsidR="00FA7211">
        <w:t xml:space="preserve"> since the trial</w:t>
      </w:r>
      <w:r w:rsidRPr="002B30BB" w:rsidR="001C4D89">
        <w:t>.</w:t>
      </w:r>
      <w:r w:rsidR="002B30BB">
        <w:t xml:space="preserve">  </w:t>
      </w:r>
      <w:r w:rsidRPr="002B30BB" w:rsidR="001C4D89">
        <w:t>The People argue that Price and Campbell waived th</w:t>
      </w:r>
      <w:r w:rsidRPr="002B30BB" w:rsidR="00FA7211">
        <w:t>e</w:t>
      </w:r>
      <w:r w:rsidRPr="002B30BB" w:rsidR="001C4D89">
        <w:t xml:space="preserve"> argument because they failed to request that the trial court obtain an updated probation report</w:t>
      </w:r>
      <w:r w:rsidRPr="002B30BB" w:rsidR="002B30BB">
        <w:t xml:space="preserve">, citing </w:t>
      </w:r>
      <w:r w:rsidRPr="002B30BB" w:rsidR="002B30BB">
        <w:rPr>
          <w:i/>
          <w:iCs/>
        </w:rPr>
        <w:t>People v. Franco</w:t>
      </w:r>
      <w:r w:rsidRPr="002B30BB" w:rsidR="002B30BB">
        <w:t xml:space="preserve"> (2014) 232</w:t>
      </w:r>
      <w:r w:rsidR="00D82EAF">
        <w:t> </w:t>
      </w:r>
      <w:r w:rsidRPr="002B30BB" w:rsidR="002B30BB">
        <w:t>Cal.App</w:t>
      </w:r>
      <w:r w:rsidRPr="002B30BB" w:rsidR="001C4D89">
        <w:t>.</w:t>
      </w:r>
      <w:r w:rsidRPr="002B30BB" w:rsidR="002B30BB">
        <w:t>4th 831</w:t>
      </w:r>
      <w:r w:rsidR="002B30BB">
        <w:t xml:space="preserve"> (</w:t>
      </w:r>
      <w:r w:rsidRPr="002B30BB" w:rsidR="002B30BB">
        <w:rPr>
          <w:i/>
          <w:iCs/>
        </w:rPr>
        <w:t>Franco</w:t>
      </w:r>
      <w:r w:rsidR="002B30BB">
        <w:t>)</w:t>
      </w:r>
      <w:r w:rsidRPr="002B30BB" w:rsidR="002B30BB">
        <w:t>.</w:t>
      </w:r>
      <w:r w:rsidRPr="002B30BB" w:rsidR="001C4D89">
        <w:t xml:space="preserve"> </w:t>
      </w:r>
      <w:r w:rsidRPr="002B30BB" w:rsidR="002B30BB">
        <w:t xml:space="preserve"> </w:t>
      </w:r>
    </w:p>
    <w:p w:rsidR="00B77CD0" w:rsidP="004C37B1" w14:paraId="3156CD4C" w14:textId="12CDCA72">
      <w:pPr>
        <w:pStyle w:val="ListParagraph"/>
        <w:ind w:left="0" w:firstLine="720"/>
        <w:rPr>
          <w:rFonts w:eastAsia="Times New Roman" w:cs="Times New Roman"/>
          <w:color w:val="000000"/>
        </w:rPr>
      </w:pPr>
      <w:r w:rsidRPr="002B30BB">
        <w:t xml:space="preserve">In </w:t>
      </w:r>
      <w:r w:rsidRPr="002B30BB">
        <w:rPr>
          <w:i/>
          <w:iCs/>
        </w:rPr>
        <w:t>Franco</w:t>
      </w:r>
      <w:r w:rsidRPr="002B30BB">
        <w:t xml:space="preserve">, the court held that </w:t>
      </w:r>
      <w:r>
        <w:t xml:space="preserve">the </w:t>
      </w:r>
      <w:r>
        <w:rPr>
          <w:rFonts w:eastAsia="Times New Roman" w:cs="Times New Roman"/>
          <w:color w:val="000000"/>
        </w:rPr>
        <w:t>failure, by a defendant who was not eligible for probation, to</w:t>
      </w:r>
      <w:r w:rsidRPr="002B30BB">
        <w:rPr>
          <w:rFonts w:eastAsia="Times New Roman" w:cs="Times New Roman"/>
          <w:color w:val="000000"/>
        </w:rPr>
        <w:t xml:space="preserve"> request a supplemental probation report or object to proceeding without one result</w:t>
      </w:r>
      <w:r>
        <w:rPr>
          <w:rFonts w:eastAsia="Times New Roman" w:cs="Times New Roman"/>
          <w:color w:val="000000"/>
        </w:rPr>
        <w:t>ed</w:t>
      </w:r>
      <w:r w:rsidRPr="002B30BB">
        <w:rPr>
          <w:rFonts w:eastAsia="Times New Roman" w:cs="Times New Roman"/>
          <w:color w:val="000000"/>
        </w:rPr>
        <w:t xml:space="preserve"> in </w:t>
      </w:r>
      <w:r>
        <w:rPr>
          <w:rFonts w:eastAsia="Times New Roman" w:cs="Times New Roman"/>
          <w:color w:val="000000"/>
        </w:rPr>
        <w:t>“</w:t>
      </w:r>
      <w:r w:rsidRPr="002B30BB">
        <w:rPr>
          <w:rFonts w:eastAsia="Times New Roman" w:cs="Times New Roman"/>
          <w:color w:val="000000"/>
        </w:rPr>
        <w:t>waiver of a supplemental report in the trial court and forfeiture of the right to object to the absence of such a report on appeal</w:t>
      </w:r>
      <w:r>
        <w:rPr>
          <w:rFonts w:eastAsia="Times New Roman" w:cs="Times New Roman"/>
          <w:color w:val="000000"/>
        </w:rPr>
        <w:t>.”  (</w:t>
      </w:r>
      <w:r w:rsidRPr="002B30BB" w:rsidR="00A97331">
        <w:rPr>
          <w:i/>
          <w:iCs/>
        </w:rPr>
        <w:t>Franco</w:t>
      </w:r>
      <w:r w:rsidR="00A97331">
        <w:t xml:space="preserve">, </w:t>
      </w:r>
      <w:r w:rsidRPr="00A97331" w:rsidR="00A97331">
        <w:rPr>
          <w:i/>
          <w:iCs/>
        </w:rPr>
        <w:t>supra</w:t>
      </w:r>
      <w:r w:rsidR="00A97331">
        <w:t>,</w:t>
      </w:r>
      <w:r w:rsidRPr="002B30BB" w:rsidR="00A97331">
        <w:t xml:space="preserve"> 232</w:t>
      </w:r>
      <w:r w:rsidR="00A97331">
        <w:t> </w:t>
      </w:r>
      <w:r w:rsidRPr="002B30BB" w:rsidR="00A97331">
        <w:t>Cal.App.4th</w:t>
      </w:r>
      <w:r>
        <w:rPr>
          <w:rFonts w:eastAsia="Times New Roman" w:cs="Times New Roman"/>
          <w:color w:val="000000"/>
        </w:rPr>
        <w:t xml:space="preserve"> at p. 834.)  This is so, the court held, </w:t>
      </w:r>
      <w:r w:rsidR="00A97331">
        <w:rPr>
          <w:rFonts w:eastAsia="Times New Roman" w:cs="Times New Roman"/>
          <w:color w:val="000000"/>
        </w:rPr>
        <w:t>“</w:t>
      </w:r>
      <w:r w:rsidRPr="002B30BB">
        <w:rPr>
          <w:rFonts w:eastAsia="Times New Roman" w:cs="Times New Roman"/>
          <w:color w:val="000000"/>
        </w:rPr>
        <w:t xml:space="preserve">even where, for instance, the issue before the sentencing court was whether to exercise discretion to dismiss a strike under section 1385 and </w:t>
      </w:r>
      <w:r w:rsidRPr="002B30BB">
        <w:rPr>
          <w:rFonts w:eastAsia="Times New Roman" w:cs="Times New Roman"/>
          <w:i/>
          <w:iCs/>
          <w:color w:val="3D3D3D"/>
          <w:bdr w:val="none" w:sz="0" w:space="0" w:color="auto" w:frame="1"/>
        </w:rPr>
        <w:t>People v. Superior Court (Romero)</w:t>
      </w:r>
      <w:r w:rsidRPr="002B30BB">
        <w:rPr>
          <w:rFonts w:eastAsia="Times New Roman" w:cs="Times New Roman"/>
          <w:color w:val="000000"/>
        </w:rPr>
        <w:t xml:space="preserve"> (1996) 13 Cal.4th 497</w:t>
      </w:r>
      <w:r>
        <w:rPr>
          <w:rFonts w:eastAsia="Times New Roman" w:cs="Times New Roman"/>
          <w:color w:val="000000"/>
        </w:rPr>
        <w:t>.”  (</w:t>
      </w:r>
      <w:r w:rsidR="00A97331">
        <w:rPr>
          <w:rFonts w:eastAsia="Times New Roman" w:cs="Times New Roman"/>
          <w:i/>
          <w:iCs/>
          <w:color w:val="000000"/>
        </w:rPr>
        <w:t>Ibid</w:t>
      </w:r>
      <w:r>
        <w:rPr>
          <w:rFonts w:eastAsia="Times New Roman" w:cs="Times New Roman"/>
          <w:color w:val="000000"/>
        </w:rPr>
        <w:t>.)</w:t>
      </w:r>
      <w:r w:rsidR="00F30B0C">
        <w:rPr>
          <w:rFonts w:eastAsia="Times New Roman" w:cs="Times New Roman"/>
          <w:color w:val="000000"/>
        </w:rPr>
        <w:t xml:space="preserve">  </w:t>
      </w:r>
      <w:r>
        <w:rPr>
          <w:rFonts w:eastAsia="Times New Roman" w:cs="Times New Roman"/>
          <w:color w:val="000000"/>
        </w:rPr>
        <w:t>By statute and by rule</w:t>
      </w:r>
      <w:r w:rsidR="00F30B0C">
        <w:rPr>
          <w:rFonts w:eastAsia="Times New Roman" w:cs="Times New Roman"/>
          <w:color w:val="000000"/>
        </w:rPr>
        <w:t xml:space="preserve">, the court must request a </w:t>
      </w:r>
      <w:r w:rsidRPr="00DA79F5" w:rsidR="00F30B0C">
        <w:rPr>
          <w:rFonts w:eastAsia="Times New Roman" w:cs="Times New Roman"/>
        </w:rPr>
        <w:t>presentence investigation report only where the defendant is eligible for probation or “</w:t>
      </w:r>
      <w:r w:rsidRPr="00DA79F5" w:rsidR="00F30B0C">
        <w:rPr>
          <w:shd w:val="clear" w:color="auto" w:fill="FFFFFF"/>
        </w:rPr>
        <w:t>a report is needed to assist the court with other sentencing issues, including the determination of the proper amount of restitution fine.</w:t>
      </w:r>
      <w:r w:rsidRPr="00DA79F5" w:rsidR="00F30B0C">
        <w:t xml:space="preserve">” </w:t>
      </w:r>
      <w:r w:rsidRPr="00DA79F5">
        <w:t xml:space="preserve"> </w:t>
      </w:r>
      <w:r w:rsidRPr="00DA79F5" w:rsidR="00F30B0C">
        <w:t>(</w:t>
      </w:r>
      <w:r w:rsidRPr="005C71A6" w:rsidR="00A97331">
        <w:t>Cal. Rules of Court, rule 4.411(</w:t>
      </w:r>
      <w:r w:rsidR="00A97331">
        <w:t xml:space="preserve">a)(1)(B); </w:t>
      </w:r>
      <w:r>
        <w:t>§</w:t>
      </w:r>
      <w:r w:rsidR="0051351D">
        <w:t> </w:t>
      </w:r>
      <w:r>
        <w:t>1203, subds. (b) &amp; (g).</w:t>
      </w:r>
      <w:r w:rsidR="00F30B0C">
        <w:t xml:space="preserve">)  It must request a supplemental report “if </w:t>
      </w:r>
      <w:r w:rsidRPr="00F30B0C" w:rsidR="00F30B0C">
        <w:rPr>
          <w:rFonts w:eastAsia="Times New Roman" w:cs="Times New Roman"/>
          <w:color w:val="000000"/>
        </w:rPr>
        <w:t>a significant period of time has passed since the original report was</w:t>
      </w:r>
      <w:r w:rsidR="00F30B0C">
        <w:rPr>
          <w:rFonts w:eastAsia="Times New Roman" w:cs="Times New Roman"/>
          <w:color w:val="000000"/>
        </w:rPr>
        <w:t xml:space="preserve"> </w:t>
      </w:r>
      <w:r w:rsidRPr="00F30B0C" w:rsidR="00F30B0C">
        <w:rPr>
          <w:rFonts w:eastAsia="Times New Roman" w:cs="Times New Roman"/>
          <w:color w:val="000000"/>
        </w:rPr>
        <w:t>prepared</w:t>
      </w:r>
      <w:r w:rsidR="00F30B0C">
        <w:rPr>
          <w:rFonts w:eastAsia="Times New Roman" w:cs="Times New Roman"/>
          <w:color w:val="000000"/>
        </w:rPr>
        <w:t>.”  (</w:t>
      </w:r>
      <w:r w:rsidR="00A97331">
        <w:t>Cal. Rules of Court, r</w:t>
      </w:r>
      <w:r>
        <w:rPr>
          <w:rFonts w:eastAsia="Times New Roman" w:cs="Times New Roman"/>
          <w:color w:val="000000"/>
        </w:rPr>
        <w:t>ule 4.411</w:t>
      </w:r>
      <w:r w:rsidR="00F30B0C">
        <w:rPr>
          <w:rFonts w:eastAsia="Times New Roman" w:cs="Times New Roman"/>
          <w:color w:val="000000"/>
        </w:rPr>
        <w:t>(</w:t>
      </w:r>
      <w:r w:rsidR="00A97331">
        <w:rPr>
          <w:rFonts w:eastAsia="Times New Roman" w:cs="Times New Roman"/>
          <w:color w:val="000000"/>
        </w:rPr>
        <w:t>a</w:t>
      </w:r>
      <w:r w:rsidR="00F30B0C">
        <w:rPr>
          <w:rFonts w:eastAsia="Times New Roman" w:cs="Times New Roman"/>
          <w:color w:val="000000"/>
        </w:rPr>
        <w:t>)</w:t>
      </w:r>
      <w:r w:rsidR="00A97331">
        <w:rPr>
          <w:rFonts w:eastAsia="Times New Roman" w:cs="Times New Roman"/>
          <w:color w:val="000000"/>
        </w:rPr>
        <w:t>(2)</w:t>
      </w:r>
      <w:r w:rsidR="00F30B0C">
        <w:rPr>
          <w:rFonts w:eastAsia="Times New Roman" w:cs="Times New Roman"/>
          <w:color w:val="000000"/>
        </w:rPr>
        <w:t xml:space="preserve">.) </w:t>
      </w:r>
      <w:r>
        <w:rPr>
          <w:rFonts w:eastAsia="Times New Roman" w:cs="Times New Roman"/>
          <w:color w:val="000000"/>
        </w:rPr>
        <w:t xml:space="preserve"> </w:t>
      </w:r>
      <w:r w:rsidR="00F30B0C">
        <w:rPr>
          <w:rFonts w:eastAsia="Times New Roman" w:cs="Times New Roman"/>
          <w:color w:val="000000"/>
        </w:rPr>
        <w:t xml:space="preserve">The </w:t>
      </w:r>
      <w:r w:rsidR="00382405">
        <w:rPr>
          <w:rFonts w:eastAsia="Times New Roman" w:cs="Times New Roman"/>
          <w:color w:val="000000"/>
        </w:rPr>
        <w:t>courts have held that a supplemental report is necessary only in the circumstances in which a report is required in the first instance, i.e., when the defendant is eligible for probation or a report is necessary to assist the court with other sentencing issues such as the amount of a restitution fine.  (</w:t>
      </w:r>
      <w:r w:rsidRPr="00382405" w:rsidR="00382405">
        <w:rPr>
          <w:rFonts w:eastAsia="Times New Roman" w:cs="Times New Roman"/>
          <w:i/>
          <w:iCs/>
          <w:color w:val="000000"/>
        </w:rPr>
        <w:t>People v. Johnson</w:t>
      </w:r>
      <w:r w:rsidR="00382405">
        <w:rPr>
          <w:rFonts w:eastAsia="Times New Roman" w:cs="Times New Roman"/>
          <w:color w:val="000000"/>
        </w:rPr>
        <w:t xml:space="preserve"> (</w:t>
      </w:r>
      <w:r w:rsidR="00A97331">
        <w:rPr>
          <w:rFonts w:eastAsia="Times New Roman" w:cs="Times New Roman"/>
          <w:color w:val="000000"/>
        </w:rPr>
        <w:t xml:space="preserve">1999) </w:t>
      </w:r>
      <w:r w:rsidR="00382405">
        <w:rPr>
          <w:rFonts w:eastAsia="Times New Roman" w:cs="Times New Roman"/>
          <w:color w:val="000000"/>
        </w:rPr>
        <w:t>70 Cal.App.4th 1429, 1431-1432.)</w:t>
      </w:r>
      <w:r w:rsidR="004C37B1">
        <w:rPr>
          <w:rFonts w:eastAsia="Times New Roman" w:cs="Times New Roman"/>
          <w:color w:val="000000"/>
        </w:rPr>
        <w:t xml:space="preserve">  </w:t>
      </w:r>
      <w:r>
        <w:rPr>
          <w:rFonts w:eastAsia="Times New Roman" w:cs="Times New Roman"/>
          <w:color w:val="000000"/>
        </w:rPr>
        <w:t xml:space="preserve">Since </w:t>
      </w:r>
      <w:r w:rsidR="008F7E35">
        <w:rPr>
          <w:rFonts w:eastAsia="Times New Roman" w:cs="Times New Roman"/>
          <w:color w:val="000000"/>
        </w:rPr>
        <w:t xml:space="preserve">their prior strike convictions rendered </w:t>
      </w:r>
      <w:r>
        <w:rPr>
          <w:rFonts w:eastAsia="Times New Roman" w:cs="Times New Roman"/>
          <w:color w:val="000000"/>
        </w:rPr>
        <w:t xml:space="preserve">Price </w:t>
      </w:r>
      <w:r w:rsidR="00A97331">
        <w:rPr>
          <w:rFonts w:eastAsia="Times New Roman" w:cs="Times New Roman"/>
          <w:color w:val="000000"/>
        </w:rPr>
        <w:t>and</w:t>
      </w:r>
      <w:r>
        <w:rPr>
          <w:rFonts w:eastAsia="Times New Roman" w:cs="Times New Roman"/>
          <w:color w:val="000000"/>
        </w:rPr>
        <w:t xml:space="preserve"> Campbell </w:t>
      </w:r>
      <w:r w:rsidR="008F7E35">
        <w:rPr>
          <w:rFonts w:eastAsia="Times New Roman" w:cs="Times New Roman"/>
          <w:color w:val="000000"/>
        </w:rPr>
        <w:t>in</w:t>
      </w:r>
      <w:r>
        <w:rPr>
          <w:rFonts w:eastAsia="Times New Roman" w:cs="Times New Roman"/>
          <w:color w:val="000000"/>
        </w:rPr>
        <w:t>eligible for probation</w:t>
      </w:r>
      <w:r w:rsidR="00E06B96">
        <w:rPr>
          <w:rFonts w:eastAsia="Times New Roman" w:cs="Times New Roman"/>
          <w:color w:val="000000"/>
        </w:rPr>
        <w:t xml:space="preserve"> (see </w:t>
      </w:r>
      <w:r w:rsidRPr="008F7E35" w:rsidR="008F7E35">
        <w:rPr>
          <w:rFonts w:eastAsia="Times New Roman" w:cs="Times New Roman"/>
          <w:i/>
          <w:iCs/>
          <w:color w:val="000000"/>
        </w:rPr>
        <w:t>People v. Superior Court</w:t>
      </w:r>
      <w:r w:rsidR="008F7E35">
        <w:rPr>
          <w:rFonts w:eastAsia="Times New Roman" w:cs="Times New Roman"/>
          <w:color w:val="000000"/>
        </w:rPr>
        <w:t xml:space="preserve"> (</w:t>
      </w:r>
      <w:r w:rsidRPr="008F7E35" w:rsidR="008F7E35">
        <w:rPr>
          <w:rFonts w:eastAsia="Times New Roman" w:cs="Times New Roman"/>
          <w:i/>
          <w:iCs/>
          <w:color w:val="000000"/>
        </w:rPr>
        <w:t>Roam</w:t>
      </w:r>
      <w:r w:rsidR="008F7E35">
        <w:rPr>
          <w:rFonts w:eastAsia="Times New Roman" w:cs="Times New Roman"/>
          <w:color w:val="000000"/>
        </w:rPr>
        <w:t>) (1998) 69 Cal.App.4th 1220, 1229)</w:t>
      </w:r>
      <w:r>
        <w:rPr>
          <w:rFonts w:eastAsia="Times New Roman" w:cs="Times New Roman"/>
          <w:color w:val="000000"/>
        </w:rPr>
        <w:t>, the court was not required to obtain a supplemental report</w:t>
      </w:r>
      <w:r w:rsidR="00E06B96">
        <w:rPr>
          <w:rFonts w:eastAsia="Times New Roman" w:cs="Times New Roman"/>
          <w:color w:val="000000"/>
        </w:rPr>
        <w:t xml:space="preserve">.  </w:t>
      </w:r>
      <w:r w:rsidR="008F7E35">
        <w:rPr>
          <w:rFonts w:eastAsia="Times New Roman" w:cs="Times New Roman"/>
          <w:color w:val="000000"/>
        </w:rPr>
        <w:t>Certainly, the court had</w:t>
      </w:r>
      <w:r>
        <w:rPr>
          <w:rFonts w:eastAsia="Times New Roman" w:cs="Times New Roman"/>
          <w:color w:val="000000"/>
        </w:rPr>
        <w:t xml:space="preserve"> discretion to </w:t>
      </w:r>
      <w:r w:rsidR="008F7E35">
        <w:rPr>
          <w:rFonts w:eastAsia="Times New Roman" w:cs="Times New Roman"/>
          <w:color w:val="000000"/>
        </w:rPr>
        <w:t>order supplemental reports, but neither Price nor Campbell requested that it do so.</w:t>
      </w:r>
    </w:p>
    <w:p w:rsidR="00811050" w:rsidP="00F30B0C" w14:paraId="521CE99C" w14:textId="78358809">
      <w:pPr>
        <w:pStyle w:val="ListParagraph"/>
        <w:ind w:left="0" w:firstLine="720"/>
      </w:pPr>
      <w:r>
        <w:t xml:space="preserve">Finally, Price and Campbell argue that </w:t>
      </w:r>
      <w:r w:rsidRPr="0019658A">
        <w:rPr>
          <w:i/>
          <w:iCs/>
        </w:rPr>
        <w:t>Franco</w:t>
      </w:r>
      <w:r>
        <w:t xml:space="preserve"> and </w:t>
      </w:r>
      <w:r w:rsidR="00A97331">
        <w:rPr>
          <w:i/>
          <w:iCs/>
        </w:rPr>
        <w:t>People v. J</w:t>
      </w:r>
      <w:r w:rsidRPr="0019658A">
        <w:rPr>
          <w:i/>
          <w:iCs/>
        </w:rPr>
        <w:t>ohnson</w:t>
      </w:r>
      <w:r>
        <w:t xml:space="preserve"> were not decided in the context of resentencing under section 1176.2</w:t>
      </w:r>
      <w:r w:rsidR="0019658A">
        <w:t>.  That is true.  However, they fail to explain why case</w:t>
      </w:r>
      <w:r w:rsidR="008F7E35">
        <w:t>s</w:t>
      </w:r>
      <w:r w:rsidR="0019658A">
        <w:t xml:space="preserve"> hold</w:t>
      </w:r>
      <w:r w:rsidR="008F7E35">
        <w:t>ing the</w:t>
      </w:r>
      <w:r w:rsidR="0019658A">
        <w:t xml:space="preserve"> failure to request </w:t>
      </w:r>
      <w:r w:rsidR="008F7E35">
        <w:t xml:space="preserve">a report </w:t>
      </w:r>
      <w:r w:rsidR="0019658A">
        <w:t>or</w:t>
      </w:r>
      <w:r w:rsidR="008F7E35">
        <w:t xml:space="preserve"> to</w:t>
      </w:r>
      <w:r w:rsidR="0019658A">
        <w:t xml:space="preserve"> object to the absence </w:t>
      </w:r>
      <w:r w:rsidR="008F7E35">
        <w:t>of one</w:t>
      </w:r>
      <w:r w:rsidR="0019658A">
        <w:t xml:space="preserve"> constitutes a waiver and forfeiture of any error should </w:t>
      </w:r>
      <w:r w:rsidR="008F7E35">
        <w:t>not apply</w:t>
      </w:r>
      <w:r w:rsidR="0019658A">
        <w:t xml:space="preserve"> in the context of a resentencing proceeding under section 1176.2</w:t>
      </w:r>
      <w:r w:rsidR="008F7E35">
        <w:t xml:space="preserve">.  To be sure, a supplemental report may be helpful in that context, just as it may be </w:t>
      </w:r>
      <w:r w:rsidR="0019658A">
        <w:t xml:space="preserve">where the trial judge is </w:t>
      </w:r>
      <w:r w:rsidR="008F7E35">
        <w:t>deciding whether to</w:t>
      </w:r>
      <w:r w:rsidR="0019658A">
        <w:t xml:space="preserve"> dismiss a strike or </w:t>
      </w:r>
      <w:r w:rsidR="008F7E35">
        <w:t>strike</w:t>
      </w:r>
      <w:r w:rsidR="0019658A">
        <w:t xml:space="preserve"> an enhancement.  </w:t>
      </w:r>
      <w:r w:rsidR="008F7E35">
        <w:t>Yet in the latter case, waiver and forfeiture doctrines apply.</w:t>
      </w:r>
      <w:r>
        <w:rPr>
          <w:rStyle w:val="FootnoteReference"/>
          <w:b/>
          <w:bCs/>
        </w:rPr>
        <w:footnoteReference w:id="29"/>
      </w:r>
      <w:r w:rsidR="008F7E35">
        <w:t xml:space="preserve">  </w:t>
      </w:r>
    </w:p>
    <w:p w:rsidR="00A01D3B" w:rsidRPr="008C7AFC" w:rsidP="003C1050" w14:paraId="7FF0100A" w14:textId="59DB17E0">
      <w:pPr>
        <w:pStyle w:val="ListParagraph"/>
        <w:ind w:left="0" w:firstLine="720"/>
      </w:pPr>
      <w:r>
        <w:t>We note that</w:t>
      </w:r>
      <w:r w:rsidR="0019658A">
        <w:t xml:space="preserve"> the waiver </w:t>
      </w:r>
      <w:r>
        <w:t xml:space="preserve">and forfeiture </w:t>
      </w:r>
      <w:r w:rsidR="0019658A">
        <w:t xml:space="preserve">in this instance may be of little consequence since we are remanding both for further proceedings in connection with section 1172.6 and for a retrial at the option of the People on the gang-related special circumstance and enhancement.  Either or both of these proceedings may result in additional sentencing proceedings, and in that context, </w:t>
      </w:r>
      <w:r w:rsidR="008D496B">
        <w:t>A</w:t>
      </w:r>
      <w:r w:rsidR="00FA4019">
        <w:t>ppellants</w:t>
      </w:r>
      <w:r w:rsidR="0019658A">
        <w:t xml:space="preserve"> will not be barred from requesting supplemental probation reports</w:t>
      </w:r>
      <w:r w:rsidR="00FA4019">
        <w:t xml:space="preserve"> at that time.</w:t>
      </w:r>
      <w:r w:rsidR="00591DFC">
        <w:br w:type="page"/>
      </w:r>
    </w:p>
    <w:p w:rsidR="00FA4019" w:rsidRPr="00D82EAF" w:rsidP="00591DFC" w14:paraId="64BADFD4" w14:textId="1591BA01">
      <w:pPr>
        <w:pStyle w:val="ListParagraph"/>
        <w:keepNext/>
        <w:numPr>
          <w:ilvl w:val="0"/>
          <w:numId w:val="2"/>
        </w:numPr>
        <w:suppressAutoHyphens/>
        <w:autoSpaceDN w:val="0"/>
        <w:spacing w:after="120" w:line="240" w:lineRule="auto"/>
        <w:ind w:left="1080"/>
        <w:contextualSpacing w:val="0"/>
        <w:rPr>
          <w:b/>
          <w:bCs/>
        </w:rPr>
      </w:pPr>
      <w:bookmarkStart w:id="4" w:name="_Hlk136524373"/>
      <w:r>
        <w:rPr>
          <w:b/>
          <w:bCs/>
        </w:rPr>
        <w:t xml:space="preserve">The </w:t>
      </w:r>
      <w:r w:rsidRPr="00D82EAF" w:rsidR="005E3BFD">
        <w:rPr>
          <w:b/>
          <w:bCs/>
        </w:rPr>
        <w:t>Second Degree Murder Convictions Having Properly Been Stricken Under Se</w:t>
      </w:r>
      <w:r w:rsidR="00384BC0">
        <w:rPr>
          <w:b/>
          <w:bCs/>
        </w:rPr>
        <w:t>nate Bill</w:t>
      </w:r>
      <w:r w:rsidRPr="00D82EAF" w:rsidR="005E3BFD">
        <w:rPr>
          <w:b/>
          <w:bCs/>
        </w:rPr>
        <w:t xml:space="preserve"> 1437 for Campbell, Price and Flowers, the Multiple</w:t>
      </w:r>
      <w:r w:rsidR="00A165D2">
        <w:rPr>
          <w:b/>
          <w:bCs/>
        </w:rPr>
        <w:t>-</w:t>
      </w:r>
      <w:r w:rsidRPr="00D82EAF" w:rsidR="005E3BFD">
        <w:rPr>
          <w:b/>
          <w:bCs/>
        </w:rPr>
        <w:t xml:space="preserve">Murder Special Circumstance </w:t>
      </w:r>
      <w:r>
        <w:rPr>
          <w:b/>
          <w:bCs/>
        </w:rPr>
        <w:t xml:space="preserve">Must Necessarily </w:t>
      </w:r>
      <w:r w:rsidR="00A97331">
        <w:rPr>
          <w:b/>
          <w:bCs/>
        </w:rPr>
        <w:t>B</w:t>
      </w:r>
      <w:r>
        <w:rPr>
          <w:b/>
          <w:bCs/>
        </w:rPr>
        <w:t xml:space="preserve">e </w:t>
      </w:r>
      <w:r w:rsidRPr="00D82EAF" w:rsidR="005E3BFD">
        <w:rPr>
          <w:b/>
          <w:bCs/>
        </w:rPr>
        <w:t xml:space="preserve">Stricken as to </w:t>
      </w:r>
      <w:r>
        <w:rPr>
          <w:b/>
          <w:bCs/>
        </w:rPr>
        <w:t>Those Appellants</w:t>
      </w:r>
      <w:r w:rsidRPr="00D82EAF" w:rsidR="005E3BFD">
        <w:rPr>
          <w:b/>
          <w:bCs/>
        </w:rPr>
        <w:t>.</w:t>
      </w:r>
      <w:bookmarkEnd w:id="4"/>
    </w:p>
    <w:p w:rsidR="009B298D" w:rsidRPr="009B298D" w:rsidP="001E3857" w14:paraId="4F112017" w14:textId="5EC29C86">
      <w:pPr>
        <w:suppressAutoHyphens/>
        <w:autoSpaceDN w:val="0"/>
        <w:spacing w:line="360" w:lineRule="auto"/>
        <w:ind w:firstLine="720"/>
      </w:pPr>
      <w:r>
        <w:t>Price, Campbell and Flowers, none of whom was driving the car during the escape attempt in which the driver and pedestrian were killed, argue the court failed to strike the multiple</w:t>
      </w:r>
      <w:r w:rsidR="00A165D2">
        <w:t>-</w:t>
      </w:r>
      <w:r>
        <w:t>murder special circumstance after it vacated the second degree murder convictions for those killings.  The People agree that “once the court vacated counts 2 and 3, the multiple</w:t>
      </w:r>
      <w:r w:rsidR="00F264B8">
        <w:t>-</w:t>
      </w:r>
      <w:r>
        <w:t>murder special-circumstance finding</w:t>
      </w:r>
      <w:r w:rsidR="00F264B8">
        <w:t xml:space="preserve"> also</w:t>
      </w:r>
      <w:r>
        <w:t xml:space="preserve"> had to be vacated</w:t>
      </w:r>
      <w:r w:rsidR="00F264B8">
        <w:t>”</w:t>
      </w:r>
      <w:r>
        <w:t xml:space="preserve"> as to Price and Campbell.</w:t>
      </w:r>
      <w:r>
        <w:rPr>
          <w:rStyle w:val="FootnoteReference"/>
          <w:b/>
          <w:bCs/>
        </w:rPr>
        <w:footnoteReference w:id="30"/>
      </w:r>
      <w:r>
        <w:t xml:space="preserve"> </w:t>
      </w:r>
      <w:r w:rsidR="00D03EB4">
        <w:t xml:space="preserve"> The People concede that the trial court did not explicitly do so</w:t>
      </w:r>
      <w:r w:rsidR="008D6FAA">
        <w:t xml:space="preserve"> although they point out that the abstracts of judgment do not reflect that (or the gang-related</w:t>
      </w:r>
      <w:r w:rsidR="00B611D0">
        <w:t>)</w:t>
      </w:r>
      <w:r w:rsidR="008D6FAA">
        <w:t xml:space="preserve"> special circumstance finding</w:t>
      </w:r>
      <w:r w:rsidR="00D03EB4">
        <w:t xml:space="preserve">.  We agree </w:t>
      </w:r>
      <w:r w:rsidR="008D6FAA">
        <w:t xml:space="preserve">that a </w:t>
      </w:r>
      <w:r w:rsidR="00D03EB4">
        <w:t xml:space="preserve">remand </w:t>
      </w:r>
      <w:r w:rsidR="008D6FAA">
        <w:t xml:space="preserve">is appropriate </w:t>
      </w:r>
      <w:r w:rsidR="00D03EB4">
        <w:t xml:space="preserve">for the trial court to </w:t>
      </w:r>
      <w:r w:rsidR="008D6FAA">
        <w:t xml:space="preserve">explicitly </w:t>
      </w:r>
      <w:r w:rsidR="00D03EB4">
        <w:t>strike</w:t>
      </w:r>
      <w:r w:rsidR="00F74952">
        <w:t xml:space="preserve"> </w:t>
      </w:r>
      <w:r w:rsidR="00D03EB4">
        <w:t>the multiple</w:t>
      </w:r>
      <w:r w:rsidR="00A165D2">
        <w:t>-</w:t>
      </w:r>
      <w:r w:rsidR="00D03EB4">
        <w:t>murder special circumstance as to Price, Campbell and Flowers.</w:t>
      </w:r>
      <w:r w:rsidR="008D6FAA">
        <w:t xml:space="preserve">  Further, the life without parole sentences for these </w:t>
      </w:r>
      <w:r w:rsidR="008D496B">
        <w:t>A</w:t>
      </w:r>
      <w:r w:rsidR="008D6FAA">
        <w:t xml:space="preserve">ppellants must likewise be vacated </w:t>
      </w:r>
      <w:r w:rsidR="000B1540">
        <w:t xml:space="preserve">until and </w:t>
      </w:r>
      <w:r w:rsidR="008D6FAA">
        <w:t xml:space="preserve">unless the People retry </w:t>
      </w:r>
      <w:r w:rsidR="000B1540">
        <w:t>the gang-related special circumstance allegations</w:t>
      </w:r>
      <w:r w:rsidR="008D6FAA">
        <w:t xml:space="preserve"> and</w:t>
      </w:r>
      <w:r w:rsidR="000B1540">
        <w:t xml:space="preserve"> the jury, based on instructions under the amended statute, again finds them true. </w:t>
      </w:r>
    </w:p>
    <w:p w:rsidR="007B1AFA" w:rsidRPr="00D82EAF" w:rsidP="00BC0F2B" w14:paraId="430A1168" w14:textId="2E4356E2">
      <w:pPr>
        <w:pStyle w:val="ListParagraph"/>
        <w:numPr>
          <w:ilvl w:val="0"/>
          <w:numId w:val="2"/>
        </w:numPr>
        <w:spacing w:after="120" w:line="240" w:lineRule="auto"/>
        <w:ind w:left="1080"/>
        <w:contextualSpacing w:val="0"/>
        <w:rPr>
          <w:b/>
          <w:bCs/>
        </w:rPr>
      </w:pPr>
      <w:bookmarkStart w:id="5" w:name="_Hlk136524412"/>
      <w:r w:rsidRPr="00D82EAF">
        <w:rPr>
          <w:b/>
          <w:bCs/>
        </w:rPr>
        <w:t xml:space="preserve">Appellants Price, Campbell and Flowers </w:t>
      </w:r>
      <w:r w:rsidR="00D82EAF">
        <w:rPr>
          <w:b/>
          <w:bCs/>
        </w:rPr>
        <w:t>A</w:t>
      </w:r>
      <w:r w:rsidRPr="00D82EAF">
        <w:rPr>
          <w:b/>
          <w:bCs/>
        </w:rPr>
        <w:t xml:space="preserve">re </w:t>
      </w:r>
      <w:r w:rsidR="00F12AD9">
        <w:rPr>
          <w:b/>
          <w:bCs/>
        </w:rPr>
        <w:t>N</w:t>
      </w:r>
      <w:r w:rsidRPr="00D82EAF">
        <w:rPr>
          <w:b/>
          <w:bCs/>
        </w:rPr>
        <w:t xml:space="preserve">ot Entitled to Relief Under Section 1172.6 </w:t>
      </w:r>
      <w:r w:rsidR="00D82EAF">
        <w:rPr>
          <w:b/>
          <w:bCs/>
        </w:rPr>
        <w:t>f</w:t>
      </w:r>
      <w:r w:rsidRPr="00D82EAF">
        <w:rPr>
          <w:b/>
          <w:bCs/>
        </w:rPr>
        <w:t xml:space="preserve">rom Their Convictions for Evading </w:t>
      </w:r>
      <w:r w:rsidR="00D82EAF">
        <w:rPr>
          <w:b/>
          <w:bCs/>
        </w:rPr>
        <w:t>a</w:t>
      </w:r>
      <w:r w:rsidRPr="00D82EAF">
        <w:rPr>
          <w:b/>
          <w:bCs/>
        </w:rPr>
        <w:t xml:space="preserve"> Peace Officer and Causing Death</w:t>
      </w:r>
      <w:r w:rsidRPr="00D82EAF" w:rsidR="005E3BFD">
        <w:rPr>
          <w:b/>
          <w:bCs/>
        </w:rPr>
        <w:t>.</w:t>
      </w:r>
      <w:r w:rsidRPr="00D82EAF">
        <w:rPr>
          <w:b/>
          <w:bCs/>
        </w:rPr>
        <w:t xml:space="preserve"> </w:t>
      </w:r>
      <w:bookmarkEnd w:id="5"/>
    </w:p>
    <w:p w:rsidR="000E33DD" w:rsidP="0039039D" w14:paraId="2B27B014" w14:textId="6AFBB99D">
      <w:pPr>
        <w:pStyle w:val="ListParagraph"/>
        <w:ind w:left="0" w:firstLine="720"/>
      </w:pPr>
      <w:r>
        <w:t xml:space="preserve">Appellants Price, </w:t>
      </w:r>
      <w:r w:rsidRPr="008D496B" w:rsidR="002325B7">
        <w:t>Campbell</w:t>
      </w:r>
      <w:r w:rsidR="002325B7">
        <w:rPr>
          <w:b/>
          <w:bCs/>
        </w:rPr>
        <w:t xml:space="preserve"> </w:t>
      </w:r>
      <w:r>
        <w:t xml:space="preserve">and Flowers contend that they were entitled to relief under section 1172.6 from their convictions of evading a police officer proximately causing death under Vehicle Code section 2800.3, subdivision (b), as to which the trial court lifted the stay after vacating the second degree murder convictions. </w:t>
      </w:r>
      <w:r w:rsidR="00B642FC">
        <w:t xml:space="preserve"> The arguments are difficult to follow, but these </w:t>
      </w:r>
      <w:r w:rsidR="008D496B">
        <w:t>A</w:t>
      </w:r>
      <w:r w:rsidR="00B642FC">
        <w:t xml:space="preserve">ppellants appear to argue that these convictions were, in essence, murder convictions that were based on the same facts and natural and probable consequences theory as the second degree murder convictions and thus did not require personal intent to kill.  </w:t>
      </w:r>
    </w:p>
    <w:p w:rsidR="005602A8" w:rsidRPr="000E33DD" w:rsidP="0039039D" w14:paraId="71538B07" w14:textId="63815EF1">
      <w:pPr>
        <w:pStyle w:val="ListParagraph"/>
        <w:ind w:left="0" w:firstLine="720"/>
        <w:rPr>
          <w:b/>
          <w:bCs/>
        </w:rPr>
      </w:pPr>
      <w:r>
        <w:t xml:space="preserve">The People contend that section 1172.6 provides resentencing relief for defendants convicted of murder, attempted murder and manslaughter but not for violations of Vehicle Code section 2800.3, subdivision (b). </w:t>
      </w:r>
      <w:r w:rsidR="004F083F">
        <w:t xml:space="preserve"> Section</w:t>
      </w:r>
      <w:r w:rsidR="00A14B13">
        <w:t> </w:t>
      </w:r>
      <w:r w:rsidR="004F083F">
        <w:t xml:space="preserve">1172.6, the People argue, requires proof that the petitioner could not presently be convicted of murder or attempted murder because of changes to </w:t>
      </w:r>
      <w:r w:rsidR="00F264B8">
        <w:t>s</w:t>
      </w:r>
      <w:r w:rsidR="004F083F">
        <w:t>ection</w:t>
      </w:r>
      <w:r w:rsidR="00F264B8">
        <w:t>s</w:t>
      </w:r>
      <w:r w:rsidR="004F083F">
        <w:t xml:space="preserve"> 188 or 189, which does not apply because nothing in the amendments to those two statutes changed Vehicle Code section 2800.3.  </w:t>
      </w:r>
    </w:p>
    <w:p w:rsidR="004F083F" w:rsidP="0039039D" w14:paraId="52CE6F52" w14:textId="32AF8759">
      <w:pPr>
        <w:spacing w:line="360" w:lineRule="auto"/>
        <w:ind w:firstLine="720"/>
      </w:pPr>
      <w:r>
        <w:t xml:space="preserve">We agree with the People and find </w:t>
      </w:r>
      <w:r w:rsidR="008D496B">
        <w:t>A</w:t>
      </w:r>
      <w:r>
        <w:t>ppellants’ arguments meritless.  Vehicle Code section 2800.3 is not denominated “murder,” but rather, is entitled “Death or serious bodily injury proximately caused by flight from pursuing peace officer</w:t>
      </w:r>
      <w:r w:rsidR="00F264B8">
        <w:t> . . . </w:t>
      </w:r>
      <w:r>
        <w:t>.”  (Veh. Code</w:t>
      </w:r>
      <w:r w:rsidR="00F264B8">
        <w:t>,</w:t>
      </w:r>
      <w:r>
        <w:t xml:space="preserve"> </w:t>
      </w:r>
      <w:r w:rsidR="009661B7">
        <w:t xml:space="preserve">§ </w:t>
      </w:r>
      <w:r>
        <w:t>2800.3.)  Nor are its elements the same as the elements of murder.  Under the law as amended, murder requires either an intentional killing</w:t>
      </w:r>
      <w:r w:rsidR="009661B7">
        <w:t xml:space="preserve">, with express or implied malice </w:t>
      </w:r>
      <w:r>
        <w:t>(or, not relevant here,</w:t>
      </w:r>
      <w:r w:rsidR="009661B7">
        <w:t xml:space="preserve"> acting with reckless indifference to human life and as a </w:t>
      </w:r>
      <w:r>
        <w:t>major participa</w:t>
      </w:r>
      <w:r w:rsidR="009661B7">
        <w:t>nt, aiding and abetting</w:t>
      </w:r>
      <w:r>
        <w:t xml:space="preserve"> </w:t>
      </w:r>
      <w:r w:rsidR="009661B7">
        <w:t xml:space="preserve">in the commission of </w:t>
      </w:r>
      <w:r>
        <w:t>certain felonies</w:t>
      </w:r>
      <w:r w:rsidR="009661B7">
        <w:t xml:space="preserve"> that result in death).  The elements of the crime of flight from pursuing officer proximately causing death under Vehicle Code section 2800.3 are willful flight or attempt to elude a peace officer proximately causing death.  More specifically, as the jury was instructed in this case, to find a defendant guilty of that crime, the People had to prove that a peace officer was pursuing the defendant</w:t>
      </w:r>
      <w:r w:rsidR="00AE21B3">
        <w:t xml:space="preserve"> and</w:t>
      </w:r>
      <w:r w:rsidR="009661B7">
        <w:t xml:space="preserve"> the defendant was driving a vehicle</w:t>
      </w:r>
      <w:r w:rsidR="008E7294">
        <w:t>,</w:t>
      </w:r>
      <w:r>
        <w:rPr>
          <w:rStyle w:val="FootnoteReference"/>
          <w:b/>
          <w:bCs/>
        </w:rPr>
        <w:footnoteReference w:id="31"/>
      </w:r>
      <w:r w:rsidRPr="004D364B" w:rsidR="008E7294">
        <w:rPr>
          <w:b/>
          <w:bCs/>
        </w:rPr>
        <w:t xml:space="preserve"> </w:t>
      </w:r>
      <w:r w:rsidR="008E7294">
        <w:t xml:space="preserve">intended to evade the peace officer, while driving willfully fled from or tried to elude the pursuing officer, </w:t>
      </w:r>
      <w:r w:rsidR="00AE21B3">
        <w:t>and in doing so</w:t>
      </w:r>
      <w:r w:rsidR="008E7294">
        <w:t xml:space="preserve"> caused the death of someone else.  Further, </w:t>
      </w:r>
      <w:r w:rsidR="00AE21B3">
        <w:t>the jury was instructed it</w:t>
      </w:r>
      <w:r w:rsidR="008E7294">
        <w:t xml:space="preserve"> had to find that there was a lighted red lamp visible from the front of the peace officer’s vehicle, the defendant saw or should have seen the lamp, the officer’s vehicle was sounding a siren as reasonably necessary, the officer’s vehicle was distinctively marked and the officer was wearing a distinctive uniform. </w:t>
      </w:r>
      <w:r w:rsidR="00F46F42">
        <w:t xml:space="preserve"> (See C</w:t>
      </w:r>
      <w:r w:rsidR="00D82EAF">
        <w:t>ALCRIM No.</w:t>
      </w:r>
      <w:r w:rsidR="00F46F42">
        <w:t xml:space="preserve"> 2180.) </w:t>
      </w:r>
      <w:r w:rsidR="008E7294">
        <w:t xml:space="preserve"> Finally, the punishment for murder and evading a peace officer causing death are not the same.  Second</w:t>
      </w:r>
      <w:r w:rsidR="00A14B13">
        <w:t> </w:t>
      </w:r>
      <w:r w:rsidR="008E7294">
        <w:t>degree murder is punishable by “imprisonment in the state prison for a term of 15 years to life” (</w:t>
      </w:r>
      <w:r w:rsidR="00DB0ABA">
        <w:t>§</w:t>
      </w:r>
      <w:r w:rsidR="00A3201D">
        <w:t> </w:t>
      </w:r>
      <w:r w:rsidR="008E7294">
        <w:t>190, subd. (a)</w:t>
      </w:r>
      <w:r w:rsidR="00DB0ABA">
        <w:t>)</w:t>
      </w:r>
      <w:r w:rsidR="008E7294">
        <w:t xml:space="preserve">; evading a peace officer causing death is punishable by imprisonment in the state prison for a </w:t>
      </w:r>
      <w:r w:rsidR="00AE21B3">
        <w:t xml:space="preserve">determinate </w:t>
      </w:r>
      <w:r w:rsidR="008E7294">
        <w:t>term of 4, 6 or 10 years.  (</w:t>
      </w:r>
      <w:r w:rsidR="00DB0ABA">
        <w:t xml:space="preserve">Veh. Code, </w:t>
      </w:r>
      <w:r w:rsidR="008E7294">
        <w:t>§ 2800.3, subd. (b).)</w:t>
      </w:r>
    </w:p>
    <w:p w:rsidR="0082678E" w:rsidP="0039039D" w14:paraId="5E840AA6" w14:textId="41AE5938">
      <w:pPr>
        <w:spacing w:line="360" w:lineRule="auto"/>
        <w:ind w:firstLine="720"/>
      </w:pPr>
      <w:r>
        <w:t xml:space="preserve">Finally, section 1172.6 does not expressly provide relief to persons convicted under Vehicle Code section 2800.3.  To be entitled to relief, a petitioner must show three things:  </w:t>
      </w:r>
      <w:r w:rsidR="009367D7">
        <w:t xml:space="preserve">(1) a complaint, information or indictment that allowed the prosecution to proceed under a theory of felony murder or murder under the natural and probable consequences doctrine or other theory under which malice is imputed to a person based solely on that person’s participation in a crime, or attempted murder under the natural and probable consequences doctrine; (2) he was convicted after trial or accepted a plea of murder, attempted murder or manslaughter; and (3) he could not presently be convicted of those crimes because of changes to </w:t>
      </w:r>
      <w:r w:rsidR="00DB0ABA">
        <w:t>s</w:t>
      </w:r>
      <w:r w:rsidR="009367D7">
        <w:t>ection</w:t>
      </w:r>
      <w:r w:rsidR="00DB0ABA">
        <w:t>s</w:t>
      </w:r>
      <w:r w:rsidR="009367D7">
        <w:t xml:space="preserve"> 188 or 189 made effective January 1, 2019</w:t>
      </w:r>
      <w:r w:rsidR="00DB0ABA">
        <w:t>,</w:t>
      </w:r>
      <w:r w:rsidR="009367D7">
        <w:t xml:space="preserve"> </w:t>
      </w:r>
      <w:r w:rsidR="00D22560">
        <w:t xml:space="preserve">or in 2021 when the Legislature amended section 1172.6.  </w:t>
      </w:r>
      <w:r w:rsidR="009367D7">
        <w:t>(§1172.6, subd.</w:t>
      </w:r>
      <w:r w:rsidR="00DB6012">
        <w:t> </w:t>
      </w:r>
      <w:r w:rsidR="009367D7">
        <w:t>(a)(1)</w:t>
      </w:r>
      <w:r w:rsidR="00985818">
        <w:t>-</w:t>
      </w:r>
      <w:r w:rsidR="009367D7">
        <w:t>(3)</w:t>
      </w:r>
      <w:r w:rsidR="00580884">
        <w:t xml:space="preserve">; </w:t>
      </w:r>
      <w:r w:rsidR="00580884">
        <w:rPr>
          <w:color w:val="3D3D3D"/>
          <w:bdr w:val="none" w:sz="0" w:space="0" w:color="auto" w:frame="1"/>
        </w:rPr>
        <w:t>Stats. 2021, ch. 551.)</w:t>
      </w:r>
      <w:r w:rsidR="009367D7">
        <w:t xml:space="preserve">  Nothing in Senate Bill</w:t>
      </w:r>
      <w:r w:rsidR="00A14B13">
        <w:t> </w:t>
      </w:r>
      <w:r w:rsidR="009367D7">
        <w:t xml:space="preserve">1437 or </w:t>
      </w:r>
      <w:r w:rsidR="005D512F">
        <w:t xml:space="preserve">the </w:t>
      </w:r>
      <w:r w:rsidR="009367D7">
        <w:t>subsequent amendments to the murder statutes changed the elements of, or the punishment for, a violation of Vehicle Code section</w:t>
      </w:r>
      <w:r w:rsidR="00D82EAF">
        <w:t> </w:t>
      </w:r>
      <w:r w:rsidR="009367D7">
        <w:t xml:space="preserve">2800.3.  </w:t>
      </w:r>
    </w:p>
    <w:p w:rsidR="008E7294" w:rsidRPr="008E7294" w:rsidP="0039039D" w14:paraId="767B07D5" w14:textId="1E0CEB11">
      <w:pPr>
        <w:spacing w:line="360" w:lineRule="auto"/>
        <w:ind w:firstLine="720"/>
      </w:pPr>
      <w:r>
        <w:t>Appellants’ contention that they are entitled to relief from the conviction for that offense, which is less serious than murder and, unlike murder, does not now and did not ever require a finding of malice aforethought, is not supported by</w:t>
      </w:r>
      <w:r w:rsidR="00F46F42">
        <w:t xml:space="preserve"> </w:t>
      </w:r>
      <w:r>
        <w:t xml:space="preserve">the language or history of </w:t>
      </w:r>
      <w:r w:rsidR="00F46F42">
        <w:t>Senate Bill 1437</w:t>
      </w:r>
      <w:r>
        <w:t xml:space="preserve">.  </w:t>
      </w:r>
      <w:r w:rsidR="00B833CC">
        <w:t xml:space="preserve">Nor do </w:t>
      </w:r>
      <w:r w:rsidR="008D496B">
        <w:t>A</w:t>
      </w:r>
      <w:r w:rsidR="00B833CC">
        <w:t xml:space="preserve">ppellants </w:t>
      </w:r>
      <w:r w:rsidR="0082678E">
        <w:t>argue, much less cite any authority</w:t>
      </w:r>
      <w:r w:rsidR="00B833CC">
        <w:t xml:space="preserve"> </w:t>
      </w:r>
      <w:r w:rsidR="0082678E">
        <w:t>indicating that</w:t>
      </w:r>
      <w:r w:rsidR="00576276">
        <w:t>,</w:t>
      </w:r>
      <w:r w:rsidR="00B833CC">
        <w:t xml:space="preserve"> in eliminating the natural and probable consequences doctrine as a basis for </w:t>
      </w:r>
      <w:r w:rsidR="0082678E">
        <w:t>attempted murder or manslaughter liability in 2021,</w:t>
      </w:r>
      <w:r w:rsidR="00D22560">
        <w:t xml:space="preserve"> </w:t>
      </w:r>
      <w:r w:rsidR="00B833CC">
        <w:t xml:space="preserve">the Legislature intended to eliminate that doctrine or for </w:t>
      </w:r>
      <w:r w:rsidR="00D22560">
        <w:t>other</w:t>
      </w:r>
      <w:r w:rsidR="00F06DD1">
        <w:t xml:space="preserve"> crimes involving </w:t>
      </w:r>
      <w:r w:rsidR="0082678E">
        <w:t>homicide</w:t>
      </w:r>
      <w:r w:rsidR="00B833CC">
        <w:t>.</w:t>
      </w:r>
      <w:r>
        <w:rPr>
          <w:rStyle w:val="FootnoteReference"/>
          <w:b/>
          <w:bCs/>
        </w:rPr>
        <w:footnoteReference w:id="32"/>
      </w:r>
      <w:r w:rsidR="0082678E">
        <w:rPr>
          <w:rStyle w:val="FootnoteReference"/>
          <w:b/>
          <w:bCs/>
        </w:rPr>
        <w:t xml:space="preserve"> </w:t>
      </w:r>
      <w:r w:rsidRPr="00F06DD1" w:rsidR="00F06DD1">
        <w:rPr>
          <w:color w:val="3D3D3D"/>
          <w:bdr w:val="none" w:sz="0" w:space="0" w:color="auto" w:frame="1"/>
        </w:rPr>
        <w:t xml:space="preserve"> </w:t>
      </w:r>
      <w:r w:rsidRPr="00AA0C63" w:rsidR="00F06DD1">
        <w:rPr>
          <w:bdr w:val="none" w:sz="0" w:space="0" w:color="auto" w:frame="1"/>
        </w:rPr>
        <w:t xml:space="preserve">Appellants do not contend that </w:t>
      </w:r>
      <w:r w:rsidRPr="00AA0C63" w:rsidR="00D22560">
        <w:rPr>
          <w:bdr w:val="none" w:sz="0" w:space="0" w:color="auto" w:frame="1"/>
        </w:rPr>
        <w:t>the 2021</w:t>
      </w:r>
      <w:r w:rsidRPr="00AA0C63" w:rsidR="00F06DD1">
        <w:rPr>
          <w:bdr w:val="none" w:sz="0" w:space="0" w:color="auto" w:frame="1"/>
        </w:rPr>
        <w:t xml:space="preserve"> amendment encompassed Vehicle Code section 2800.3</w:t>
      </w:r>
      <w:r w:rsidR="0082678E">
        <w:rPr>
          <w:color w:val="3D3D3D"/>
          <w:bdr w:val="none" w:sz="0" w:space="0" w:color="auto" w:frame="1"/>
        </w:rPr>
        <w:t xml:space="preserve">. </w:t>
      </w:r>
      <w:r w:rsidR="00D22560">
        <w:rPr>
          <w:color w:val="3D3D3D"/>
          <w:bdr w:val="none" w:sz="0" w:space="0" w:color="auto" w:frame="1"/>
        </w:rPr>
        <w:t xml:space="preserve"> </w:t>
      </w:r>
    </w:p>
    <w:p w:rsidR="000910FD" w:rsidP="0039039D" w14:paraId="6833264C" w14:textId="3B88E9D6">
      <w:pPr>
        <w:spacing w:line="360" w:lineRule="auto"/>
        <w:ind w:firstLine="720"/>
      </w:pPr>
      <w:r>
        <w:t xml:space="preserve">For the foregoing reasons, we reject Price, Campbell and Flowers’s argument that they were entitled to relief from their </w:t>
      </w:r>
      <w:r w:rsidR="00317A1D">
        <w:t xml:space="preserve">Vehicle Code </w:t>
      </w:r>
      <w:r>
        <w:t>section 2800.3 conviction</w:t>
      </w:r>
      <w:r w:rsidR="00AE21B3">
        <w:t>s</w:t>
      </w:r>
      <w:r>
        <w:t xml:space="preserve"> under section 1172.6.</w:t>
      </w:r>
      <w:r w:rsidR="00FD02C4">
        <w:br w:type="page"/>
      </w:r>
    </w:p>
    <w:p w:rsidR="00A03113" w:rsidRPr="00D82EAF" w:rsidP="000910FD" w14:paraId="5E8C4AEE" w14:textId="190C3BF9">
      <w:pPr>
        <w:pStyle w:val="ListParagraph"/>
        <w:keepNext/>
        <w:numPr>
          <w:ilvl w:val="0"/>
          <w:numId w:val="2"/>
        </w:numPr>
        <w:spacing w:after="120" w:line="240" w:lineRule="auto"/>
        <w:ind w:left="1080"/>
        <w:contextualSpacing w:val="0"/>
        <w:rPr>
          <w:b/>
          <w:bCs/>
        </w:rPr>
      </w:pPr>
      <w:bookmarkStart w:id="6" w:name="_Hlk136524471"/>
      <w:r w:rsidRPr="00D82EAF">
        <w:rPr>
          <w:b/>
          <w:bCs/>
        </w:rPr>
        <w:t xml:space="preserve"> </w:t>
      </w:r>
      <w:r w:rsidRPr="00D82EAF" w:rsidR="000E5088">
        <w:rPr>
          <w:b/>
          <w:bCs/>
        </w:rPr>
        <w:t>Price</w:t>
      </w:r>
      <w:r w:rsidRPr="00D82EAF">
        <w:rPr>
          <w:b/>
          <w:bCs/>
        </w:rPr>
        <w:t xml:space="preserve"> and </w:t>
      </w:r>
      <w:r w:rsidRPr="00D82EAF" w:rsidR="000E5088">
        <w:rPr>
          <w:b/>
          <w:bCs/>
        </w:rPr>
        <w:t xml:space="preserve">Campbell’s Arguments That a New Sentencing Hearing </w:t>
      </w:r>
      <w:r w:rsidR="00DA676B">
        <w:rPr>
          <w:b/>
          <w:bCs/>
        </w:rPr>
        <w:t>I</w:t>
      </w:r>
      <w:r w:rsidRPr="00D82EAF" w:rsidR="000E5088">
        <w:rPr>
          <w:b/>
          <w:bCs/>
        </w:rPr>
        <w:t xml:space="preserve">s Required Because the Trial Court Failed to State the Reasons for Sentencing Them to an Upper Term on Count 4 </w:t>
      </w:r>
      <w:r w:rsidRPr="00D82EAF" w:rsidR="00523959">
        <w:rPr>
          <w:b/>
          <w:bCs/>
        </w:rPr>
        <w:t>a</w:t>
      </w:r>
      <w:r w:rsidRPr="00D82EAF" w:rsidR="000E5088">
        <w:rPr>
          <w:b/>
          <w:bCs/>
        </w:rPr>
        <w:t xml:space="preserve">nd </w:t>
      </w:r>
      <w:r w:rsidRPr="00D82EAF" w:rsidR="00523959">
        <w:rPr>
          <w:b/>
          <w:bCs/>
        </w:rPr>
        <w:t xml:space="preserve">a </w:t>
      </w:r>
      <w:r w:rsidRPr="00D82EAF" w:rsidR="000E5088">
        <w:rPr>
          <w:b/>
          <w:bCs/>
        </w:rPr>
        <w:t xml:space="preserve">Consecutive </w:t>
      </w:r>
      <w:r w:rsidRPr="00D82EAF" w:rsidR="007F27F6">
        <w:rPr>
          <w:b/>
          <w:bCs/>
        </w:rPr>
        <w:t>T</w:t>
      </w:r>
      <w:r w:rsidRPr="00D82EAF" w:rsidR="000E5088">
        <w:rPr>
          <w:b/>
          <w:bCs/>
        </w:rPr>
        <w:t>erm</w:t>
      </w:r>
      <w:r w:rsidRPr="00D82EAF" w:rsidR="00523959">
        <w:rPr>
          <w:b/>
          <w:bCs/>
        </w:rPr>
        <w:t xml:space="preserve"> </w:t>
      </w:r>
      <w:r w:rsidRPr="00D82EAF" w:rsidR="000E5088">
        <w:rPr>
          <w:b/>
          <w:bCs/>
        </w:rPr>
        <w:t>on Count 5</w:t>
      </w:r>
      <w:r w:rsidRPr="00D82EAF">
        <w:rPr>
          <w:b/>
          <w:bCs/>
        </w:rPr>
        <w:t xml:space="preserve"> Were Forfeited; Resentencing </w:t>
      </w:r>
      <w:r w:rsidR="00DA676B">
        <w:rPr>
          <w:b/>
          <w:bCs/>
        </w:rPr>
        <w:t>I</w:t>
      </w:r>
      <w:r w:rsidRPr="00D82EAF">
        <w:rPr>
          <w:b/>
          <w:bCs/>
        </w:rPr>
        <w:t xml:space="preserve">s </w:t>
      </w:r>
      <w:r w:rsidRPr="00D82EAF" w:rsidR="00523959">
        <w:rPr>
          <w:b/>
          <w:bCs/>
        </w:rPr>
        <w:t xml:space="preserve">Nonetheless </w:t>
      </w:r>
      <w:r w:rsidRPr="00D82EAF">
        <w:rPr>
          <w:b/>
          <w:bCs/>
        </w:rPr>
        <w:t>Required Because of Recently Enacted Ameliorative Sentencing Legislation.</w:t>
      </w:r>
      <w:bookmarkEnd w:id="6"/>
    </w:p>
    <w:p w:rsidR="004C3A97" w:rsidP="000910FD" w14:paraId="2D48A759" w14:textId="5A3C7495">
      <w:pPr>
        <w:keepNext/>
        <w:spacing w:line="360" w:lineRule="auto"/>
        <w:ind w:firstLine="720"/>
      </w:pPr>
      <w:r>
        <w:t xml:space="preserve">Price and Campbell argue that the sentences imposed by the trial court for the Count 4 and Count 5 violations of Vehicle Code Section 2800.3 must be reversed and remanded because the court failed to state reasons for imposing the aggravated 10-year term on </w:t>
      </w:r>
      <w:r w:rsidR="000A60E8">
        <w:t>C</w:t>
      </w:r>
      <w:r>
        <w:t xml:space="preserve">ount 4 and the consecutive sentence for Count 5.  Flowers joins in these arguments.  </w:t>
      </w:r>
    </w:p>
    <w:p w:rsidR="00A03113" w:rsidP="004C3A97" w14:paraId="3AD749FB" w14:textId="344B4DDF">
      <w:pPr>
        <w:spacing w:line="360" w:lineRule="auto"/>
        <w:ind w:firstLine="720"/>
      </w:pPr>
      <w:r w:rsidRPr="00A03113">
        <w:t>The People</w:t>
      </w:r>
      <w:r>
        <w:t xml:space="preserve"> contend that </w:t>
      </w:r>
      <w:r w:rsidR="008D496B">
        <w:t>A</w:t>
      </w:r>
      <w:r w:rsidR="004C3A97">
        <w:t xml:space="preserve">ppellants forfeited these issues by failing to object below.  The People also contend that any error was harmless because it is not reasonably probable that a result more favorable to </w:t>
      </w:r>
      <w:r w:rsidR="008D496B">
        <w:t>A</w:t>
      </w:r>
      <w:r w:rsidR="004C3A97">
        <w:t xml:space="preserve">ppellants would have been reached in the absence of the error.  As to Count 4, the People point out that at the original sentencing, the court imposed (and then stayed) the aggravated term and stated as reasons that: the victims were vulnerable; each </w:t>
      </w:r>
      <w:r w:rsidR="008D496B">
        <w:t>A</w:t>
      </w:r>
      <w:r w:rsidR="004C3A97">
        <w:t>ppellant engaged in a pattern of violent conduct and is a serious danger to society; their prior convictions are numerous and of increasing seriousness; they previously served a term in prison; they were on probation or parole at the time of the offense; their performance on probation or parole was unsatisfactory; and these aggravating circumstances outweigh</w:t>
      </w:r>
      <w:r w:rsidR="006D1D5B">
        <w:t>e</w:t>
      </w:r>
      <w:r w:rsidR="004C3A97">
        <w:t>d those in mitigation.  As to the consecutive sentence on Count 5, the People contend any error was harmless because there was no reasonable probability of a different sentence on remand</w:t>
      </w:r>
      <w:r w:rsidR="00007183">
        <w:t>, as</w:t>
      </w:r>
      <w:r w:rsidR="004C3A97">
        <w:t xml:space="preserve"> Counts 4 and 5 involved the death</w:t>
      </w:r>
      <w:r w:rsidR="00DB475B">
        <w:t>s</w:t>
      </w:r>
      <w:r w:rsidR="004C3A97">
        <w:t xml:space="preserve"> of two separate victims, in addition to the victim of the first degree murder</w:t>
      </w:r>
      <w:r w:rsidR="00DB475B">
        <w:t xml:space="preserve">, and the court stated at the original sentencing that it was imposing consecutive sentences on counts 1, 2 and 3 </w:t>
      </w:r>
      <w:r w:rsidR="00007183">
        <w:t>due to</w:t>
      </w:r>
      <w:r w:rsidR="00DB475B">
        <w:t xml:space="preserve"> the “three separate victims</w:t>
      </w:r>
      <w:r w:rsidR="00DA676B">
        <w:t> . . . </w:t>
      </w:r>
      <w:r w:rsidR="00DB475B">
        <w:t>and</w:t>
      </w:r>
      <w:r w:rsidR="009F16BF">
        <w:t> . . . </w:t>
      </w:r>
      <w:r w:rsidR="00DB475B">
        <w:t xml:space="preserve">separate acts of violence.” </w:t>
      </w:r>
    </w:p>
    <w:p w:rsidR="00DB475B" w:rsidP="004C3A97" w14:paraId="1AADD8F3" w14:textId="2F2E2216">
      <w:pPr>
        <w:spacing w:line="360" w:lineRule="auto"/>
        <w:ind w:firstLine="720"/>
      </w:pPr>
      <w:r>
        <w:t xml:space="preserve">In his reply brief, Price adds an argument that “[r]egardless of the failure-to-state-reasons error, </w:t>
      </w:r>
      <w:r w:rsidR="00DA676B">
        <w:t>[Senate Bill No.]</w:t>
      </w:r>
      <w:r>
        <w:t xml:space="preserve"> 567 is independently retroactive under [</w:t>
      </w:r>
      <w:r w:rsidRPr="00DB475B">
        <w:rPr>
          <w:i/>
          <w:iCs/>
        </w:rPr>
        <w:t>People v</w:t>
      </w:r>
      <w:r>
        <w:t xml:space="preserve">.] </w:t>
      </w:r>
      <w:r w:rsidRPr="00DB475B">
        <w:rPr>
          <w:i/>
          <w:iCs/>
        </w:rPr>
        <w:t>Jones</w:t>
      </w:r>
      <w:r>
        <w:t xml:space="preserve"> [(2022) 79 Cal.App.5th 37, 44-46</w:t>
      </w:r>
      <w:r w:rsidR="00DA676B">
        <w:t xml:space="preserve"> (</w:t>
      </w:r>
      <w:r w:rsidRPr="00DA676B" w:rsidR="00DA676B">
        <w:rPr>
          <w:i/>
          <w:iCs/>
        </w:rPr>
        <w:t>Jones</w:t>
      </w:r>
      <w:r w:rsidR="00DA676B">
        <w:t>)</w:t>
      </w:r>
      <w:r>
        <w:t>] and [</w:t>
      </w:r>
      <w:r w:rsidRPr="00DB475B">
        <w:rPr>
          <w:i/>
          <w:iCs/>
        </w:rPr>
        <w:t>People v</w:t>
      </w:r>
      <w:r>
        <w:t xml:space="preserve">.] </w:t>
      </w:r>
      <w:r w:rsidRPr="00DB475B">
        <w:rPr>
          <w:i/>
          <w:iCs/>
        </w:rPr>
        <w:t>Flores</w:t>
      </w:r>
      <w:r>
        <w:t xml:space="preserve"> [(2022) 73 Cal.App.5th 1032, 1039] and requires remand for new and full section </w:t>
      </w:r>
      <w:r w:rsidR="003D0907">
        <w:t>[1172.76]</w:t>
      </w:r>
      <w:r>
        <w:t xml:space="preserve"> and A139352 sentencing hearings.”</w:t>
      </w:r>
      <w:r w:rsidR="00BA437A">
        <w:t xml:space="preserve">  </w:t>
      </w:r>
    </w:p>
    <w:p w:rsidR="00FC4C21" w:rsidP="00FC4C21" w14:paraId="04A875DF" w14:textId="0C85097C">
      <w:pPr>
        <w:spacing w:line="360" w:lineRule="auto"/>
        <w:ind w:firstLine="720"/>
      </w:pPr>
      <w:r>
        <w:t xml:space="preserve">We agree with the People that </w:t>
      </w:r>
      <w:r w:rsidR="008D496B">
        <w:t>A</w:t>
      </w:r>
      <w:r>
        <w:t>ppellants forfeited their claims of error concerning the trial court’s failure to state reasons for imposing an upper term on Count 4 and a consecutive term on Count 5 by failing to raise the issue in the trial court.</w:t>
      </w:r>
      <w:r>
        <w:rPr>
          <w:rStyle w:val="FootnoteReference"/>
          <w:rFonts w:eastAsia="Times New Roman" w:cs="Times New Roman"/>
          <w:b/>
          <w:bCs/>
          <w:color w:val="000000"/>
        </w:rPr>
        <w:footnoteReference w:id="33"/>
      </w:r>
      <w:r w:rsidRPr="00A061BA">
        <w:rPr>
          <w:b/>
          <w:bCs/>
        </w:rPr>
        <w:t xml:space="preserve"> </w:t>
      </w:r>
      <w:r>
        <w:t xml:space="preserve"> (</w:t>
      </w:r>
      <w:r w:rsidRPr="00CF5623" w:rsidR="00CF5623">
        <w:rPr>
          <w:i/>
          <w:iCs/>
        </w:rPr>
        <w:t>People v. Scott</w:t>
      </w:r>
      <w:r w:rsidR="00CF5623">
        <w:t xml:space="preserve"> (1994) 9 Cal.4th 331, 353, 356.) </w:t>
      </w:r>
      <w:r w:rsidR="00EA5499">
        <w:t xml:space="preserve"> However, the argument raised in Price’s reply brief regarding Senate Bill </w:t>
      </w:r>
      <w:r w:rsidR="005374EC">
        <w:t>No.</w:t>
      </w:r>
      <w:r w:rsidR="009F16BF">
        <w:t> </w:t>
      </w:r>
      <w:r w:rsidR="00EA5499">
        <w:t>567</w:t>
      </w:r>
      <w:r w:rsidR="005374EC">
        <w:t xml:space="preserve"> (2021</w:t>
      </w:r>
      <w:r w:rsidRPr="00E642A6" w:rsidR="00E642A6">
        <w:t>–</w:t>
      </w:r>
      <w:r w:rsidR="005374EC">
        <w:t>2022 Reg. Sess.) (Senate Bill 567)</w:t>
      </w:r>
      <w:r w:rsidR="00EA5499">
        <w:t xml:space="preserve"> was neither forfeited nor waived because that legislation </w:t>
      </w:r>
      <w:r w:rsidR="00034568">
        <w:t>was enacted</w:t>
      </w:r>
      <w:r>
        <w:t xml:space="preserve"> </w:t>
      </w:r>
      <w:r w:rsidR="001B0F71">
        <w:t xml:space="preserve">well </w:t>
      </w:r>
      <w:r w:rsidR="00EA5499">
        <w:t xml:space="preserve">after </w:t>
      </w:r>
      <w:r w:rsidR="00034568">
        <w:t xml:space="preserve">completion of </w:t>
      </w:r>
      <w:r w:rsidR="00EA5499">
        <w:t xml:space="preserve">the trial court proceedings that are the subject of this appeal and after </w:t>
      </w:r>
      <w:r>
        <w:t>Price’s</w:t>
      </w:r>
      <w:r w:rsidR="00EA5499">
        <w:t xml:space="preserve"> </w:t>
      </w:r>
      <w:r w:rsidR="00A061BA">
        <w:t>and Flowers’</w:t>
      </w:r>
      <w:r w:rsidR="003A44A4">
        <w:t>s</w:t>
      </w:r>
      <w:r w:rsidR="00A061BA">
        <w:t xml:space="preserve"> </w:t>
      </w:r>
      <w:r w:rsidR="00EA5499">
        <w:t>opening brief</w:t>
      </w:r>
      <w:r w:rsidR="00A061BA">
        <w:t>s</w:t>
      </w:r>
      <w:r w:rsidR="00EA5499">
        <w:t xml:space="preserve"> </w:t>
      </w:r>
      <w:r w:rsidR="001B0F71">
        <w:t>w</w:t>
      </w:r>
      <w:r w:rsidR="00A061BA">
        <w:t>ere</w:t>
      </w:r>
      <w:r w:rsidR="00EA5499">
        <w:t xml:space="preserve"> filed.</w:t>
      </w:r>
      <w:r w:rsidR="000A60E8">
        <w:t xml:space="preserve"> </w:t>
      </w:r>
      <w:r w:rsidR="00A061BA">
        <w:rPr>
          <w:rStyle w:val="FootnoteReference"/>
        </w:rPr>
        <w:t xml:space="preserve"> </w:t>
      </w:r>
      <w:r w:rsidR="00EA5499">
        <w:t xml:space="preserve">(See </w:t>
      </w:r>
      <w:r w:rsidRPr="00034568" w:rsidR="00034568">
        <w:rPr>
          <w:i/>
          <w:iCs/>
        </w:rPr>
        <w:t>Jones</w:t>
      </w:r>
      <w:r w:rsidR="00034568">
        <w:t xml:space="preserve">, </w:t>
      </w:r>
      <w:r w:rsidRPr="00034568" w:rsidR="00034568">
        <w:rPr>
          <w:i/>
          <w:iCs/>
        </w:rPr>
        <w:t>supra</w:t>
      </w:r>
      <w:r w:rsidR="00034568">
        <w:t>, 79 Cal.App.5th at p.</w:t>
      </w:r>
      <w:r w:rsidR="009F16BF">
        <w:t> </w:t>
      </w:r>
      <w:r w:rsidR="001B0F71">
        <w:t>44</w:t>
      </w:r>
      <w:r w:rsidR="00034568">
        <w:t>, fn. 11 [</w:t>
      </w:r>
      <w:r w:rsidR="001B0F71">
        <w:t>S</w:t>
      </w:r>
      <w:r w:rsidR="000A60E8">
        <w:t>en. Bill</w:t>
      </w:r>
      <w:r w:rsidR="001B0F71">
        <w:t xml:space="preserve"> 567 was </w:t>
      </w:r>
      <w:r w:rsidR="00034568">
        <w:t>signed by Governor on October 8, 2021].)</w:t>
      </w:r>
      <w:r>
        <w:t xml:space="preserve"> </w:t>
      </w:r>
      <w:r w:rsidR="006D1D5B">
        <w:t xml:space="preserve"> We therefore turn to that argument.</w:t>
      </w:r>
    </w:p>
    <w:p w:rsidR="008E7196" w:rsidP="00034568" w14:paraId="3991282B" w14:textId="649676DB">
      <w:pPr>
        <w:spacing w:line="360" w:lineRule="auto"/>
        <w:ind w:firstLine="720"/>
        <w:rPr>
          <w:rFonts w:eastAsia="Times New Roman" w:cs="Times New Roman"/>
          <w:color w:val="000000"/>
        </w:rPr>
      </w:pPr>
      <w:r w:rsidRPr="00FC4C21">
        <w:rPr>
          <w:rFonts w:eastAsia="Times New Roman" w:cs="Times New Roman"/>
          <w:color w:val="000000"/>
        </w:rPr>
        <w:t>Senate Bill 567</w:t>
      </w:r>
      <w:r>
        <w:rPr>
          <w:rFonts w:eastAsia="Times New Roman" w:cs="Times New Roman"/>
          <w:color w:val="000000"/>
        </w:rPr>
        <w:t>, which took effect on January 1, 2022,</w:t>
      </w:r>
      <w:r w:rsidRPr="00FC4C21">
        <w:rPr>
          <w:rFonts w:eastAsia="Times New Roman" w:cs="Times New Roman"/>
          <w:color w:val="000000"/>
        </w:rPr>
        <w:t xml:space="preserve"> </w:t>
      </w:r>
      <w:r>
        <w:rPr>
          <w:rFonts w:eastAsia="Times New Roman" w:cs="Times New Roman"/>
          <w:color w:val="000000"/>
        </w:rPr>
        <w:t>“</w:t>
      </w:r>
      <w:r w:rsidRPr="00FC4C21">
        <w:rPr>
          <w:rFonts w:eastAsia="Times New Roman" w:cs="Times New Roman"/>
          <w:color w:val="000000"/>
        </w:rPr>
        <w:t>amended section</w:t>
      </w:r>
      <w:r w:rsidR="00D82EAF">
        <w:rPr>
          <w:rFonts w:eastAsia="Times New Roman" w:cs="Times New Roman"/>
          <w:color w:val="000000"/>
        </w:rPr>
        <w:t> </w:t>
      </w:r>
      <w:r w:rsidRPr="00FC4C21">
        <w:rPr>
          <w:rFonts w:eastAsia="Times New Roman" w:cs="Times New Roman"/>
          <w:color w:val="000000"/>
        </w:rPr>
        <w:t>1170, subdivision (b), to specify that, when a sentencing court chooses a term from a statutory triad, the chosen term shall not exceed the middle term, unless the facts supporting the aggravating circumstances are (1) established by the defendant</w:t>
      </w:r>
      <w:r w:rsidR="00034568">
        <w:rPr>
          <w:rFonts w:eastAsia="Times New Roman" w:cs="Times New Roman"/>
          <w:color w:val="000000"/>
        </w:rPr>
        <w:t>’</w:t>
      </w:r>
      <w:r w:rsidRPr="00FC4C21">
        <w:rPr>
          <w:rFonts w:eastAsia="Times New Roman" w:cs="Times New Roman"/>
          <w:color w:val="000000"/>
        </w:rPr>
        <w:t>s stipulation to them, (2) proven to a jury (or to a court, if jury is waived) beyond a reasonable doubt, or (3) based on prior convictions evidenced by a certified record of conviction.</w:t>
      </w:r>
      <w:r w:rsidR="00D82EAF">
        <w:rPr>
          <w:rFonts w:eastAsia="Times New Roman" w:cs="Times New Roman"/>
          <w:color w:val="000000"/>
        </w:rPr>
        <w:t xml:space="preserve"> </w:t>
      </w:r>
      <w:r w:rsidRPr="00FC4C21">
        <w:rPr>
          <w:rFonts w:eastAsia="Times New Roman" w:cs="Times New Roman"/>
          <w:color w:val="000000"/>
        </w:rPr>
        <w:t xml:space="preserve"> (Stats. 2021, ch. 731, §§</w:t>
      </w:r>
      <w:r w:rsidR="00F6271B">
        <w:rPr>
          <w:rFonts w:eastAsia="Times New Roman" w:cs="Times New Roman"/>
          <w:color w:val="000000"/>
        </w:rPr>
        <w:t> </w:t>
      </w:r>
      <w:r w:rsidRPr="00FC4C21">
        <w:rPr>
          <w:rFonts w:eastAsia="Times New Roman" w:cs="Times New Roman"/>
          <w:color w:val="000000"/>
        </w:rPr>
        <w:t>1.3, 3(c), adding § 1170, subd. (b)(1)–(3), by amendment.)</w:t>
      </w:r>
      <w:r w:rsidR="00034568">
        <w:rPr>
          <w:rFonts w:eastAsia="Times New Roman" w:cs="Times New Roman"/>
          <w:color w:val="000000"/>
        </w:rPr>
        <w:t>”</w:t>
      </w:r>
      <w:r w:rsidR="00034568">
        <w:rPr>
          <w:rFonts w:eastAsia="Times New Roman" w:cs="Times New Roman"/>
          <w:color w:val="3D3D3D"/>
        </w:rPr>
        <w:t xml:space="preserve">  (</w:t>
      </w:r>
      <w:r w:rsidRPr="00FC4C21">
        <w:rPr>
          <w:rFonts w:eastAsia="Times New Roman" w:cs="Times New Roman"/>
          <w:i/>
          <w:iCs/>
          <w:color w:val="3D3D3D"/>
          <w:bdr w:val="none" w:sz="0" w:space="0" w:color="auto" w:frame="1"/>
        </w:rPr>
        <w:t>Jones</w:t>
      </w:r>
      <w:r w:rsidR="000A60E8">
        <w:rPr>
          <w:rFonts w:eastAsia="Times New Roman" w:cs="Times New Roman"/>
          <w:color w:val="000000"/>
        </w:rPr>
        <w:t xml:space="preserve">, </w:t>
      </w:r>
      <w:r w:rsidRPr="000A60E8" w:rsidR="000A60E8">
        <w:rPr>
          <w:rFonts w:eastAsia="Times New Roman" w:cs="Times New Roman"/>
          <w:i/>
          <w:iCs/>
          <w:color w:val="000000"/>
        </w:rPr>
        <w:t>supra</w:t>
      </w:r>
      <w:r w:rsidR="000A60E8">
        <w:rPr>
          <w:rFonts w:eastAsia="Times New Roman" w:cs="Times New Roman"/>
          <w:color w:val="000000"/>
        </w:rPr>
        <w:t>,</w:t>
      </w:r>
      <w:r w:rsidRPr="00FC4C21">
        <w:rPr>
          <w:rFonts w:eastAsia="Times New Roman" w:cs="Times New Roman"/>
          <w:color w:val="000000"/>
        </w:rPr>
        <w:t xml:space="preserve"> 79</w:t>
      </w:r>
      <w:r w:rsidR="00D82EAF">
        <w:rPr>
          <w:rFonts w:eastAsia="Times New Roman" w:cs="Times New Roman"/>
          <w:color w:val="000000"/>
        </w:rPr>
        <w:t> </w:t>
      </w:r>
      <w:r w:rsidRPr="00FC4C21">
        <w:rPr>
          <w:rFonts w:eastAsia="Times New Roman" w:cs="Times New Roman"/>
          <w:color w:val="000000"/>
        </w:rPr>
        <w:t xml:space="preserve">Cal.App.5th </w:t>
      </w:r>
      <w:r w:rsidR="00034568">
        <w:rPr>
          <w:rFonts w:eastAsia="Times New Roman" w:cs="Times New Roman"/>
          <w:color w:val="000000"/>
        </w:rPr>
        <w:t>at p.</w:t>
      </w:r>
      <w:r w:rsidRPr="00FC4C21">
        <w:rPr>
          <w:rFonts w:eastAsia="Times New Roman" w:cs="Times New Roman"/>
          <w:color w:val="000000"/>
        </w:rPr>
        <w:t xml:space="preserve"> 44</w:t>
      </w:r>
      <w:r w:rsidR="00034568">
        <w:rPr>
          <w:rFonts w:eastAsia="Times New Roman" w:cs="Times New Roman"/>
          <w:color w:val="000000"/>
        </w:rPr>
        <w:t>.)  “</w:t>
      </w:r>
      <w:r w:rsidRPr="00034568" w:rsidR="00034568">
        <w:rPr>
          <w:rFonts w:eastAsia="Times New Roman" w:cs="Times New Roman"/>
          <w:color w:val="000000"/>
        </w:rPr>
        <w:t>Senate Bill 567 also added a provision that requires the court to impose the low term if the defendant</w:t>
      </w:r>
      <w:r w:rsidR="002252B7">
        <w:rPr>
          <w:rFonts w:eastAsia="Times New Roman" w:cs="Times New Roman"/>
          <w:color w:val="000000"/>
        </w:rPr>
        <w:t>’</w:t>
      </w:r>
      <w:r w:rsidRPr="00034568" w:rsidR="00034568">
        <w:rPr>
          <w:rFonts w:eastAsia="Times New Roman" w:cs="Times New Roman"/>
          <w:color w:val="000000"/>
        </w:rPr>
        <w:t xml:space="preserve">s psychological, physical, or childhood trauma was a contributing factor in the commission of the offense, </w:t>
      </w:r>
      <w:r w:rsidR="00034568">
        <w:rPr>
          <w:rFonts w:eastAsia="Times New Roman" w:cs="Times New Roman"/>
          <w:color w:val="000000"/>
        </w:rPr>
        <w:t>‘</w:t>
      </w:r>
      <w:r w:rsidRPr="00034568" w:rsidR="00034568">
        <w:rPr>
          <w:rFonts w:eastAsia="Times New Roman" w:cs="Times New Roman"/>
          <w:color w:val="000000"/>
        </w:rPr>
        <w:t>unless the court finds that the aggravating circumstances outweigh the mitigating circumstances [so] that imposition of the lower term would be contrary to the interests of justice.</w:t>
      </w:r>
      <w:r w:rsidR="00034568">
        <w:rPr>
          <w:rFonts w:eastAsia="Times New Roman" w:cs="Times New Roman"/>
          <w:color w:val="000000"/>
        </w:rPr>
        <w:t>’</w:t>
      </w:r>
      <w:r w:rsidRPr="00034568" w:rsidR="00034568">
        <w:rPr>
          <w:rFonts w:eastAsia="Times New Roman" w:cs="Times New Roman"/>
          <w:color w:val="000000"/>
        </w:rPr>
        <w:t xml:space="preserve"> </w:t>
      </w:r>
      <w:r w:rsidR="00D82EAF">
        <w:rPr>
          <w:rFonts w:eastAsia="Times New Roman" w:cs="Times New Roman"/>
          <w:color w:val="000000"/>
        </w:rPr>
        <w:t xml:space="preserve"> </w:t>
      </w:r>
      <w:r w:rsidRPr="00034568" w:rsidR="00034568">
        <w:rPr>
          <w:rFonts w:eastAsia="Times New Roman" w:cs="Times New Roman"/>
          <w:color w:val="000000"/>
        </w:rPr>
        <w:t>(Stats. 2021, ch. 731, §§</w:t>
      </w:r>
      <w:r w:rsidR="00F6271B">
        <w:rPr>
          <w:rFonts w:eastAsia="Times New Roman" w:cs="Times New Roman"/>
          <w:color w:val="000000"/>
        </w:rPr>
        <w:t> </w:t>
      </w:r>
      <w:r w:rsidRPr="00034568" w:rsidR="00034568">
        <w:rPr>
          <w:rFonts w:eastAsia="Times New Roman" w:cs="Times New Roman"/>
          <w:color w:val="000000"/>
        </w:rPr>
        <w:t>1.3, 3(c), adding § 1170, subd. (b)(6), by amendment.)</w:t>
      </w:r>
      <w:r w:rsidR="00034568">
        <w:rPr>
          <w:rFonts w:eastAsia="Times New Roman" w:cs="Times New Roman"/>
          <w:color w:val="000000"/>
        </w:rPr>
        <w:t>”  (</w:t>
      </w:r>
      <w:r w:rsidR="000A60E8">
        <w:rPr>
          <w:rFonts w:eastAsia="Times New Roman" w:cs="Times New Roman"/>
          <w:i/>
          <w:iCs/>
          <w:color w:val="000000"/>
        </w:rPr>
        <w:t>Ibid</w:t>
      </w:r>
      <w:r w:rsidR="00034568">
        <w:rPr>
          <w:rFonts w:eastAsia="Times New Roman" w:cs="Times New Roman"/>
          <w:color w:val="000000"/>
        </w:rPr>
        <w:t>.)</w:t>
      </w:r>
      <w:r w:rsidR="006D1D5B">
        <w:rPr>
          <w:rFonts w:eastAsia="Times New Roman" w:cs="Times New Roman"/>
          <w:color w:val="000000"/>
        </w:rPr>
        <w:t xml:space="preserve">  Here, it does not appear that all of the aggravating factors listed by the trial court for imposing the upper term sentence on Count 4 meet the requirements of section 1170</w:t>
      </w:r>
      <w:r w:rsidR="000A60E8">
        <w:rPr>
          <w:rFonts w:eastAsia="Times New Roman" w:cs="Times New Roman"/>
          <w:color w:val="000000"/>
        </w:rPr>
        <w:t xml:space="preserve">, subdivision </w:t>
      </w:r>
      <w:r w:rsidR="006D1D5B">
        <w:rPr>
          <w:rFonts w:eastAsia="Times New Roman" w:cs="Times New Roman"/>
          <w:color w:val="000000"/>
        </w:rPr>
        <w:t>(b)</w:t>
      </w:r>
      <w:r w:rsidR="000A60E8">
        <w:rPr>
          <w:rFonts w:eastAsia="Times New Roman" w:cs="Times New Roman"/>
          <w:color w:val="000000"/>
        </w:rPr>
        <w:t>,</w:t>
      </w:r>
      <w:r w:rsidR="002252B7">
        <w:rPr>
          <w:rFonts w:eastAsia="Times New Roman" w:cs="Times New Roman"/>
          <w:color w:val="000000"/>
        </w:rPr>
        <w:t xml:space="preserve"> or that the court would </w:t>
      </w:r>
      <w:r w:rsidRPr="008D496B" w:rsidR="00373BE8">
        <w:rPr>
          <w:rFonts w:eastAsia="Times New Roman" w:cs="Times New Roman"/>
          <w:color w:val="000000"/>
        </w:rPr>
        <w:t>necessarily</w:t>
      </w:r>
      <w:r w:rsidR="00373BE8">
        <w:rPr>
          <w:rFonts w:eastAsia="Times New Roman" w:cs="Times New Roman"/>
          <w:color w:val="000000"/>
        </w:rPr>
        <w:t xml:space="preserve"> </w:t>
      </w:r>
      <w:r w:rsidR="002252B7">
        <w:rPr>
          <w:rFonts w:eastAsia="Times New Roman" w:cs="Times New Roman"/>
          <w:color w:val="000000"/>
        </w:rPr>
        <w:t xml:space="preserve">impose the same sentence if it relied only on those aggravating factors that are now permitted under that section.  Nor is it clear whether </w:t>
      </w:r>
      <w:r w:rsidR="008D496B">
        <w:rPr>
          <w:rFonts w:eastAsia="Times New Roman" w:cs="Times New Roman"/>
          <w:color w:val="000000"/>
        </w:rPr>
        <w:t>A</w:t>
      </w:r>
      <w:r w:rsidR="002252B7">
        <w:rPr>
          <w:rFonts w:eastAsia="Times New Roman" w:cs="Times New Roman"/>
          <w:color w:val="000000"/>
        </w:rPr>
        <w:t>ppellants had the opportunity to present to the sentencing court information about the factors in subdivision</w:t>
      </w:r>
      <w:r w:rsidR="00D82EAF">
        <w:rPr>
          <w:rFonts w:eastAsia="Times New Roman" w:cs="Times New Roman"/>
          <w:color w:val="000000"/>
        </w:rPr>
        <w:t> </w:t>
      </w:r>
      <w:r w:rsidR="002252B7">
        <w:rPr>
          <w:rFonts w:eastAsia="Times New Roman" w:cs="Times New Roman"/>
          <w:color w:val="000000"/>
        </w:rPr>
        <w:t xml:space="preserve">(b)(6) of section 1170 about </w:t>
      </w:r>
      <w:r w:rsidRPr="00034568" w:rsidR="002252B7">
        <w:rPr>
          <w:rFonts w:eastAsia="Times New Roman" w:cs="Times New Roman"/>
          <w:color w:val="000000"/>
        </w:rPr>
        <w:t xml:space="preserve">psychological, physical, or childhood trauma </w:t>
      </w:r>
      <w:r w:rsidR="002252B7">
        <w:rPr>
          <w:rFonts w:eastAsia="Times New Roman" w:cs="Times New Roman"/>
          <w:color w:val="000000"/>
        </w:rPr>
        <w:t>being</w:t>
      </w:r>
      <w:r w:rsidRPr="00034568" w:rsidR="002252B7">
        <w:rPr>
          <w:rFonts w:eastAsia="Times New Roman" w:cs="Times New Roman"/>
          <w:color w:val="000000"/>
        </w:rPr>
        <w:t xml:space="preserve"> contributing factor</w:t>
      </w:r>
      <w:r w:rsidR="002252B7">
        <w:rPr>
          <w:rFonts w:eastAsia="Times New Roman" w:cs="Times New Roman"/>
          <w:color w:val="000000"/>
        </w:rPr>
        <w:t>s</w:t>
      </w:r>
      <w:r w:rsidRPr="00034568" w:rsidR="002252B7">
        <w:rPr>
          <w:rFonts w:eastAsia="Times New Roman" w:cs="Times New Roman"/>
          <w:color w:val="000000"/>
        </w:rPr>
        <w:t xml:space="preserve"> in the commission of the offense</w:t>
      </w:r>
      <w:r w:rsidR="002252B7">
        <w:rPr>
          <w:rFonts w:eastAsia="Times New Roman" w:cs="Times New Roman"/>
          <w:color w:val="000000"/>
        </w:rPr>
        <w:t xml:space="preserve">.  For that reason, a remand for full resentencing </w:t>
      </w:r>
      <w:r w:rsidR="00A061BA">
        <w:rPr>
          <w:rFonts w:eastAsia="Times New Roman" w:cs="Times New Roman"/>
          <w:color w:val="000000"/>
        </w:rPr>
        <w:t xml:space="preserve">as to Price, Campbell and Flowers </w:t>
      </w:r>
      <w:r w:rsidR="002252B7">
        <w:rPr>
          <w:rFonts w:eastAsia="Times New Roman" w:cs="Times New Roman"/>
          <w:color w:val="000000"/>
        </w:rPr>
        <w:t>is appropriate.  (</w:t>
      </w:r>
      <w:r w:rsidRPr="002252B7" w:rsidR="002252B7">
        <w:rPr>
          <w:rFonts w:eastAsia="Times New Roman" w:cs="Times New Roman"/>
          <w:i/>
          <w:iCs/>
          <w:color w:val="000000"/>
        </w:rPr>
        <w:t>Jones</w:t>
      </w:r>
      <w:r w:rsidR="002252B7">
        <w:rPr>
          <w:rFonts w:eastAsia="Times New Roman" w:cs="Times New Roman"/>
          <w:color w:val="000000"/>
        </w:rPr>
        <w:t xml:space="preserve">, at p. 46, citing </w:t>
      </w:r>
      <w:r w:rsidRPr="002252B7" w:rsidR="002252B7">
        <w:rPr>
          <w:rFonts w:eastAsia="Times New Roman" w:cs="Times New Roman"/>
          <w:i/>
          <w:iCs/>
          <w:color w:val="000000"/>
        </w:rPr>
        <w:t>People v. Buycks</w:t>
      </w:r>
      <w:r w:rsidR="002252B7">
        <w:rPr>
          <w:rFonts w:eastAsia="Times New Roman" w:cs="Times New Roman"/>
          <w:color w:val="000000"/>
        </w:rPr>
        <w:t xml:space="preserve"> (2018) 5</w:t>
      </w:r>
      <w:r w:rsidR="009F16BF">
        <w:rPr>
          <w:rFonts w:eastAsia="Times New Roman" w:cs="Times New Roman"/>
          <w:color w:val="000000"/>
        </w:rPr>
        <w:t> </w:t>
      </w:r>
      <w:r w:rsidR="002252B7">
        <w:rPr>
          <w:rFonts w:eastAsia="Times New Roman" w:cs="Times New Roman"/>
          <w:color w:val="000000"/>
        </w:rPr>
        <w:t>Cal.5th 857, 893</w:t>
      </w:r>
      <w:r w:rsidR="00923371">
        <w:rPr>
          <w:rFonts w:eastAsia="Times New Roman" w:cs="Times New Roman"/>
          <w:color w:val="000000"/>
        </w:rPr>
        <w:t xml:space="preserve">; </w:t>
      </w:r>
      <w:r w:rsidR="000A60E8">
        <w:rPr>
          <w:rFonts w:eastAsia="Times New Roman" w:cs="Times New Roman"/>
          <w:i/>
          <w:iCs/>
          <w:color w:val="000000"/>
        </w:rPr>
        <w:t>People v. F</w:t>
      </w:r>
      <w:r w:rsidRPr="00923371" w:rsidR="00923371">
        <w:rPr>
          <w:rFonts w:eastAsia="Times New Roman" w:cs="Times New Roman"/>
          <w:i/>
          <w:iCs/>
          <w:color w:val="000000"/>
        </w:rPr>
        <w:t>lores</w:t>
      </w:r>
      <w:r w:rsidR="00923371">
        <w:rPr>
          <w:rFonts w:eastAsia="Times New Roman" w:cs="Times New Roman"/>
          <w:color w:val="000000"/>
        </w:rPr>
        <w:t xml:space="preserve">, </w:t>
      </w:r>
      <w:r w:rsidRPr="00923371" w:rsidR="00923371">
        <w:rPr>
          <w:rFonts w:eastAsia="Times New Roman" w:cs="Times New Roman"/>
          <w:i/>
          <w:iCs/>
          <w:color w:val="000000"/>
        </w:rPr>
        <w:t>supra</w:t>
      </w:r>
      <w:r w:rsidR="00923371">
        <w:rPr>
          <w:rFonts w:eastAsia="Times New Roman" w:cs="Times New Roman"/>
          <w:color w:val="000000"/>
        </w:rPr>
        <w:t>, 73 Cal.App.5th at pp</w:t>
      </w:r>
      <w:r w:rsidR="002252B7">
        <w:rPr>
          <w:rFonts w:eastAsia="Times New Roman" w:cs="Times New Roman"/>
          <w:color w:val="000000"/>
        </w:rPr>
        <w:t>.</w:t>
      </w:r>
      <w:r w:rsidR="00923371">
        <w:rPr>
          <w:rFonts w:eastAsia="Times New Roman" w:cs="Times New Roman"/>
          <w:color w:val="000000"/>
        </w:rPr>
        <w:t xml:space="preserve"> 1038-1039.</w:t>
      </w:r>
      <w:r w:rsidR="002252B7">
        <w:rPr>
          <w:rFonts w:eastAsia="Times New Roman" w:cs="Times New Roman"/>
          <w:color w:val="000000"/>
        </w:rPr>
        <w:t>)</w:t>
      </w:r>
    </w:p>
    <w:p w:rsidR="00B824F2" w:rsidRPr="00146348" w:rsidP="00D63AD7" w14:paraId="209B88F1" w14:textId="5BB889FB">
      <w:pPr>
        <w:pStyle w:val="ListParagraph"/>
        <w:numPr>
          <w:ilvl w:val="0"/>
          <w:numId w:val="2"/>
        </w:numPr>
        <w:spacing w:after="120" w:line="240" w:lineRule="auto"/>
        <w:ind w:left="1080"/>
        <w:contextualSpacing w:val="0"/>
        <w:rPr>
          <w:rFonts w:eastAsia="Times New Roman" w:cs="Times New Roman"/>
          <w:b/>
          <w:bCs/>
          <w:color w:val="000000"/>
        </w:rPr>
      </w:pPr>
      <w:bookmarkStart w:id="7" w:name="_Hlk136524513"/>
      <w:r w:rsidRPr="00146348">
        <w:rPr>
          <w:rFonts w:eastAsia="Times New Roman" w:cs="Times New Roman"/>
          <w:b/>
          <w:bCs/>
          <w:color w:val="000000"/>
        </w:rPr>
        <w:t xml:space="preserve">Price’s Argument That the Trial Court Erred When </w:t>
      </w:r>
      <w:r w:rsidR="00146348">
        <w:rPr>
          <w:rFonts w:eastAsia="Times New Roman" w:cs="Times New Roman"/>
          <w:b/>
          <w:bCs/>
          <w:color w:val="000000"/>
        </w:rPr>
        <w:t>I</w:t>
      </w:r>
      <w:r w:rsidRPr="00146348">
        <w:rPr>
          <w:rFonts w:eastAsia="Times New Roman" w:cs="Times New Roman"/>
          <w:b/>
          <w:bCs/>
          <w:color w:val="000000"/>
        </w:rPr>
        <w:t xml:space="preserve">t </w:t>
      </w:r>
      <w:r w:rsidRPr="00146348" w:rsidR="00937223">
        <w:rPr>
          <w:rFonts w:eastAsia="Times New Roman" w:cs="Times New Roman"/>
          <w:b/>
          <w:bCs/>
          <w:color w:val="000000"/>
        </w:rPr>
        <w:t>Denied</w:t>
      </w:r>
      <w:r w:rsidRPr="00146348">
        <w:rPr>
          <w:rFonts w:eastAsia="Times New Roman" w:cs="Times New Roman"/>
          <w:b/>
          <w:bCs/>
          <w:color w:val="000000"/>
        </w:rPr>
        <w:t xml:space="preserve"> </w:t>
      </w:r>
      <w:r w:rsidR="00377C19">
        <w:rPr>
          <w:rFonts w:eastAsia="Times New Roman" w:cs="Times New Roman"/>
          <w:b/>
          <w:bCs/>
          <w:color w:val="000000"/>
        </w:rPr>
        <w:t>Hi</w:t>
      </w:r>
      <w:r w:rsidRPr="00146348">
        <w:rPr>
          <w:rFonts w:eastAsia="Times New Roman" w:cs="Times New Roman"/>
          <w:b/>
          <w:bCs/>
          <w:color w:val="000000"/>
        </w:rPr>
        <w:t xml:space="preserve">s Section 1172.6 Petition Without Prejudice </w:t>
      </w:r>
      <w:r w:rsidRPr="00146348" w:rsidR="00937223">
        <w:rPr>
          <w:rFonts w:eastAsia="Times New Roman" w:cs="Times New Roman"/>
          <w:b/>
          <w:bCs/>
          <w:color w:val="000000"/>
        </w:rPr>
        <w:t>After</w:t>
      </w:r>
      <w:r w:rsidRPr="00146348">
        <w:rPr>
          <w:rFonts w:eastAsia="Times New Roman" w:cs="Times New Roman"/>
          <w:b/>
          <w:bCs/>
          <w:color w:val="000000"/>
        </w:rPr>
        <w:t xml:space="preserve"> Appoint</w:t>
      </w:r>
      <w:r w:rsidRPr="00146348" w:rsidR="00937223">
        <w:rPr>
          <w:rFonts w:eastAsia="Times New Roman" w:cs="Times New Roman"/>
          <w:b/>
          <w:bCs/>
          <w:color w:val="000000"/>
        </w:rPr>
        <w:t>ing</w:t>
      </w:r>
      <w:r w:rsidRPr="00146348">
        <w:rPr>
          <w:rFonts w:eastAsia="Times New Roman" w:cs="Times New Roman"/>
          <w:b/>
          <w:bCs/>
          <w:color w:val="000000"/>
        </w:rPr>
        <w:t xml:space="preserve"> Counsel to Represent </w:t>
      </w:r>
      <w:r w:rsidRPr="00146348" w:rsidR="00937223">
        <w:rPr>
          <w:rFonts w:eastAsia="Times New Roman" w:cs="Times New Roman"/>
          <w:b/>
          <w:bCs/>
          <w:color w:val="000000"/>
        </w:rPr>
        <w:t xml:space="preserve">Him Fails Because He </w:t>
      </w:r>
      <w:r w:rsidR="00146348">
        <w:rPr>
          <w:rFonts w:eastAsia="Times New Roman" w:cs="Times New Roman"/>
          <w:b/>
          <w:bCs/>
          <w:color w:val="000000"/>
        </w:rPr>
        <w:t>H</w:t>
      </w:r>
      <w:r w:rsidRPr="00146348" w:rsidR="00937223">
        <w:rPr>
          <w:rFonts w:eastAsia="Times New Roman" w:cs="Times New Roman"/>
          <w:b/>
          <w:bCs/>
          <w:color w:val="000000"/>
        </w:rPr>
        <w:t>as Not Established Any Prejudice</w:t>
      </w:r>
      <w:r w:rsidRPr="00146348">
        <w:rPr>
          <w:rFonts w:eastAsia="Times New Roman" w:cs="Times New Roman"/>
          <w:b/>
          <w:bCs/>
          <w:color w:val="000000"/>
        </w:rPr>
        <w:t>.</w:t>
      </w:r>
      <w:bookmarkEnd w:id="7"/>
    </w:p>
    <w:p w:rsidR="00B824F2" w:rsidP="0039039D" w14:paraId="2078C003" w14:textId="18A08126">
      <w:pPr>
        <w:spacing w:line="360" w:lineRule="auto"/>
        <w:ind w:firstLine="720"/>
        <w:rPr>
          <w:rFonts w:eastAsia="Times New Roman" w:cs="Times New Roman"/>
          <w:color w:val="000000"/>
        </w:rPr>
      </w:pPr>
      <w:r>
        <w:rPr>
          <w:rFonts w:eastAsia="Times New Roman" w:cs="Times New Roman"/>
          <w:color w:val="000000"/>
        </w:rPr>
        <w:t xml:space="preserve">Price </w:t>
      </w:r>
      <w:r w:rsidR="00622525">
        <w:rPr>
          <w:rFonts w:eastAsia="Times New Roman" w:cs="Times New Roman"/>
          <w:color w:val="000000"/>
        </w:rPr>
        <w:t xml:space="preserve">(joined by Anthony and Flowers) </w:t>
      </w:r>
      <w:r>
        <w:rPr>
          <w:rFonts w:eastAsia="Times New Roman" w:cs="Times New Roman"/>
          <w:color w:val="000000"/>
        </w:rPr>
        <w:t xml:space="preserve">contends the trial court exceeded its statutory jurisdiction in </w:t>
      </w:r>
      <w:r w:rsidR="00937223">
        <w:rPr>
          <w:rFonts w:eastAsia="Times New Roman" w:cs="Times New Roman"/>
          <w:color w:val="000000"/>
        </w:rPr>
        <w:t>denying</w:t>
      </w:r>
      <w:r>
        <w:rPr>
          <w:rFonts w:eastAsia="Times New Roman" w:cs="Times New Roman"/>
          <w:color w:val="000000"/>
        </w:rPr>
        <w:t xml:space="preserve"> the form petition he filed on his own behalf without prejudice</w:t>
      </w:r>
      <w:r w:rsidR="00937223">
        <w:rPr>
          <w:rFonts w:eastAsia="Times New Roman" w:cs="Times New Roman"/>
          <w:color w:val="000000"/>
        </w:rPr>
        <w:t xml:space="preserve"> after</w:t>
      </w:r>
      <w:r>
        <w:rPr>
          <w:rFonts w:eastAsia="Times New Roman" w:cs="Times New Roman"/>
          <w:color w:val="000000"/>
        </w:rPr>
        <w:t xml:space="preserve"> </w:t>
      </w:r>
      <w:r w:rsidR="00937223">
        <w:rPr>
          <w:rFonts w:eastAsia="Times New Roman" w:cs="Times New Roman"/>
          <w:color w:val="000000"/>
        </w:rPr>
        <w:t xml:space="preserve">it </w:t>
      </w:r>
      <w:r>
        <w:rPr>
          <w:rFonts w:eastAsia="Times New Roman" w:cs="Times New Roman"/>
          <w:color w:val="000000"/>
        </w:rPr>
        <w:t>appoint</w:t>
      </w:r>
      <w:r w:rsidR="00937223">
        <w:rPr>
          <w:rFonts w:eastAsia="Times New Roman" w:cs="Times New Roman"/>
          <w:color w:val="000000"/>
        </w:rPr>
        <w:t>ed</w:t>
      </w:r>
      <w:r>
        <w:rPr>
          <w:rFonts w:eastAsia="Times New Roman" w:cs="Times New Roman"/>
          <w:color w:val="000000"/>
        </w:rPr>
        <w:t xml:space="preserve"> counsel to represent him</w:t>
      </w:r>
      <w:r w:rsidR="00937223">
        <w:rPr>
          <w:rFonts w:eastAsia="Times New Roman" w:cs="Times New Roman"/>
          <w:color w:val="000000"/>
        </w:rPr>
        <w:t xml:space="preserve"> and stated that counsel would be responsible for filing any petition under section</w:t>
      </w:r>
      <w:r w:rsidR="00146348">
        <w:rPr>
          <w:rFonts w:eastAsia="Times New Roman" w:cs="Times New Roman"/>
          <w:color w:val="000000"/>
        </w:rPr>
        <w:t> </w:t>
      </w:r>
      <w:r w:rsidR="00937223">
        <w:rPr>
          <w:rFonts w:eastAsia="Times New Roman" w:cs="Times New Roman"/>
          <w:color w:val="000000"/>
        </w:rPr>
        <w:t>117</w:t>
      </w:r>
      <w:r w:rsidR="006A4D65">
        <w:rPr>
          <w:rFonts w:eastAsia="Times New Roman" w:cs="Times New Roman"/>
          <w:color w:val="000000"/>
        </w:rPr>
        <w:t>2.6</w:t>
      </w:r>
      <w:r w:rsidR="00937223">
        <w:rPr>
          <w:rFonts w:eastAsia="Times New Roman" w:cs="Times New Roman"/>
          <w:color w:val="000000"/>
        </w:rPr>
        <w:t xml:space="preserve">.  </w:t>
      </w:r>
      <w:r w:rsidR="00F95B46">
        <w:rPr>
          <w:rFonts w:eastAsia="Times New Roman" w:cs="Times New Roman"/>
          <w:color w:val="000000"/>
        </w:rPr>
        <w:t>He further contends that the court violated his right to due process because he was not provided notice or an opportunity to be heard regard</w:t>
      </w:r>
      <w:r w:rsidR="00360544">
        <w:rPr>
          <w:rFonts w:eastAsia="Times New Roman" w:cs="Times New Roman"/>
          <w:color w:val="000000"/>
        </w:rPr>
        <w:t>ing</w:t>
      </w:r>
      <w:r w:rsidR="00F95B46">
        <w:rPr>
          <w:rFonts w:eastAsia="Times New Roman" w:cs="Times New Roman"/>
          <w:color w:val="000000"/>
        </w:rPr>
        <w:t xml:space="preserve"> the court’s intent to do so. </w:t>
      </w:r>
    </w:p>
    <w:p w:rsidR="00F95B46" w:rsidP="0039039D" w14:paraId="4049B359" w14:textId="2D987E04">
      <w:pPr>
        <w:spacing w:line="360" w:lineRule="auto"/>
        <w:ind w:firstLine="720"/>
        <w:rPr>
          <w:rFonts w:eastAsia="Times New Roman" w:cs="Times New Roman"/>
          <w:color w:val="000000"/>
        </w:rPr>
      </w:pPr>
      <w:r>
        <w:rPr>
          <w:rFonts w:eastAsia="Times New Roman" w:cs="Times New Roman"/>
          <w:color w:val="000000"/>
        </w:rPr>
        <w:t xml:space="preserve">As </w:t>
      </w:r>
      <w:r w:rsidR="008D496B">
        <w:rPr>
          <w:rFonts w:eastAsia="Times New Roman" w:cs="Times New Roman"/>
          <w:color w:val="000000"/>
        </w:rPr>
        <w:t>A</w:t>
      </w:r>
      <w:r>
        <w:rPr>
          <w:rFonts w:eastAsia="Times New Roman" w:cs="Times New Roman"/>
          <w:color w:val="000000"/>
        </w:rPr>
        <w:t xml:space="preserve">ppellant acknowledges, counsel subsequently filed a petition for resentencing on Price’s behalf accompanied by a declaration of counsel.  </w:t>
      </w:r>
      <w:r w:rsidR="00590B84">
        <w:rPr>
          <w:rFonts w:eastAsia="Times New Roman" w:cs="Times New Roman"/>
          <w:color w:val="000000"/>
        </w:rPr>
        <w:t>According to Appellant, however, t</w:t>
      </w:r>
      <w:r>
        <w:rPr>
          <w:rFonts w:eastAsia="Times New Roman" w:cs="Times New Roman"/>
          <w:color w:val="000000"/>
        </w:rPr>
        <w:t xml:space="preserve">hat petition was “defective on its face because it did not include a declaration by </w:t>
      </w:r>
      <w:r w:rsidR="008D496B">
        <w:rPr>
          <w:rFonts w:eastAsia="Times New Roman" w:cs="Times New Roman"/>
          <w:color w:val="000000"/>
        </w:rPr>
        <w:t>[A]</w:t>
      </w:r>
      <w:r>
        <w:rPr>
          <w:rFonts w:eastAsia="Times New Roman" w:cs="Times New Roman"/>
          <w:color w:val="000000"/>
        </w:rPr>
        <w:t>ppellant</w:t>
      </w:r>
      <w:r w:rsidR="00146348">
        <w:rPr>
          <w:rFonts w:eastAsia="Times New Roman" w:cs="Times New Roman"/>
          <w:color w:val="000000"/>
        </w:rPr>
        <w:t>—</w:t>
      </w:r>
      <w:r>
        <w:rPr>
          <w:rFonts w:eastAsia="Times New Roman" w:cs="Times New Roman"/>
          <w:color w:val="000000"/>
        </w:rPr>
        <w:t xml:space="preserve">the petitioner.” </w:t>
      </w:r>
      <w:r w:rsidR="00622525">
        <w:rPr>
          <w:rFonts w:eastAsia="Times New Roman" w:cs="Times New Roman"/>
          <w:color w:val="000000"/>
        </w:rPr>
        <w:t xml:space="preserve"> A declaration such as the one Price executed under penalty of perjury is “necessarily part of the prima facie stage and is </w:t>
      </w:r>
      <w:r w:rsidRPr="000A60E8" w:rsidR="00622525">
        <w:rPr>
          <w:rFonts w:eastAsia="Times New Roman" w:cs="Times New Roman"/>
          <w:i/>
          <w:iCs/>
          <w:color w:val="000000"/>
        </w:rPr>
        <w:t>evidence</w:t>
      </w:r>
      <w:r w:rsidR="00622525">
        <w:rPr>
          <w:rFonts w:eastAsia="Times New Roman" w:cs="Times New Roman"/>
          <w:color w:val="000000"/>
        </w:rPr>
        <w:t xml:space="preserve"> in support of the mandatory prerequisite [that] ‘[t]he petitioner could not be convicted of first or second degree murder because of changes to Section 188 or 189</w:t>
      </w:r>
      <w:r w:rsidR="00102B17">
        <w:rPr>
          <w:rFonts w:eastAsia="Times New Roman" w:cs="Times New Roman"/>
          <w:color w:val="000000"/>
        </w:rPr>
        <w:t>’</w:t>
      </w:r>
      <w:r w:rsidR="00622525">
        <w:rPr>
          <w:rFonts w:eastAsia="Times New Roman" w:cs="Times New Roman"/>
          <w:color w:val="000000"/>
        </w:rPr>
        <w:t xml:space="preserve"> . . . (</w:t>
      </w:r>
      <w:r w:rsidR="000D12BC">
        <w:rPr>
          <w:rFonts w:eastAsia="Times New Roman" w:cs="Times New Roman"/>
          <w:color w:val="000000"/>
        </w:rPr>
        <w:t xml:space="preserve">former </w:t>
      </w:r>
      <w:r w:rsidR="00622525">
        <w:rPr>
          <w:rFonts w:eastAsia="Times New Roman" w:cs="Times New Roman"/>
          <w:color w:val="000000"/>
        </w:rPr>
        <w:t>§</w:t>
      </w:r>
      <w:r w:rsidR="00C953B5">
        <w:rPr>
          <w:rFonts w:eastAsia="Times New Roman" w:cs="Times New Roman"/>
          <w:color w:val="000000"/>
        </w:rPr>
        <w:t> </w:t>
      </w:r>
      <w:r w:rsidR="00622525">
        <w:rPr>
          <w:rFonts w:eastAsia="Times New Roman" w:cs="Times New Roman"/>
          <w:color w:val="000000"/>
        </w:rPr>
        <w:t xml:space="preserve">1170.95, subd. (a)(3)), while counsel’s ‘information and belief’ declaration has no such legal effect.” </w:t>
      </w:r>
      <w:r w:rsidR="000A60E8">
        <w:rPr>
          <w:rFonts w:eastAsia="Times New Roman" w:cs="Times New Roman"/>
          <w:color w:val="000000"/>
        </w:rPr>
        <w:t xml:space="preserve"> </w:t>
      </w:r>
      <w:r w:rsidR="00622525">
        <w:rPr>
          <w:rFonts w:eastAsia="Times New Roman" w:cs="Times New Roman"/>
          <w:color w:val="000000"/>
        </w:rPr>
        <w:t xml:space="preserve">Because counsel’s declaration failed to satisfy the prerequisites for relief, </w:t>
      </w:r>
      <w:r w:rsidR="00590B84">
        <w:rPr>
          <w:rFonts w:eastAsia="Times New Roman" w:cs="Times New Roman"/>
          <w:color w:val="000000"/>
        </w:rPr>
        <w:t xml:space="preserve">Appellant maintains, </w:t>
      </w:r>
      <w:r w:rsidR="00622525">
        <w:rPr>
          <w:rFonts w:eastAsia="Times New Roman" w:cs="Times New Roman"/>
          <w:color w:val="000000"/>
        </w:rPr>
        <w:t xml:space="preserve">the court should have denied it without prejudice and its ruling denying prima facie section </w:t>
      </w:r>
      <w:r w:rsidR="004C6514">
        <w:rPr>
          <w:rFonts w:eastAsia="Times New Roman" w:cs="Times New Roman"/>
          <w:color w:val="000000"/>
        </w:rPr>
        <w:t>1172.6</w:t>
      </w:r>
      <w:r w:rsidR="00622525">
        <w:rPr>
          <w:rFonts w:eastAsia="Times New Roman" w:cs="Times New Roman"/>
          <w:color w:val="000000"/>
        </w:rPr>
        <w:t xml:space="preserve"> </w:t>
      </w:r>
      <w:r w:rsidR="004C6514">
        <w:rPr>
          <w:rFonts w:eastAsia="Times New Roman" w:cs="Times New Roman"/>
          <w:color w:val="000000"/>
        </w:rPr>
        <w:t>“</w:t>
      </w:r>
      <w:r w:rsidR="00622525">
        <w:rPr>
          <w:rFonts w:eastAsia="Times New Roman" w:cs="Times New Roman"/>
          <w:color w:val="000000"/>
        </w:rPr>
        <w:t xml:space="preserve">relief is void.” </w:t>
      </w:r>
    </w:p>
    <w:p w:rsidR="00B824F2" w:rsidRPr="000E33DD" w:rsidP="0039039D" w14:paraId="1A3FEE6C" w14:textId="3CF6488D">
      <w:pPr>
        <w:spacing w:line="360" w:lineRule="auto"/>
        <w:ind w:firstLine="720"/>
        <w:rPr>
          <w:rFonts w:eastAsia="Times New Roman" w:cs="Times New Roman"/>
          <w:color w:val="000000"/>
        </w:rPr>
      </w:pPr>
      <w:r>
        <w:rPr>
          <w:rFonts w:eastAsia="Times New Roman" w:cs="Times New Roman"/>
          <w:color w:val="000000"/>
        </w:rPr>
        <w:t>The People contend, and we agree, that Price has shown no prejudice from the claimed error</w:t>
      </w:r>
      <w:r w:rsidR="004B6D87">
        <w:rPr>
          <w:rFonts w:eastAsia="Times New Roman" w:cs="Times New Roman"/>
          <w:color w:val="000000"/>
        </w:rPr>
        <w:t xml:space="preserve"> because counsel filed the new petition and the trial court “considered and denied [it] on the merits</w:t>
      </w:r>
      <w:r>
        <w:rPr>
          <w:rFonts w:eastAsia="Times New Roman" w:cs="Times New Roman"/>
          <w:color w:val="000000"/>
        </w:rPr>
        <w:t>.</w:t>
      </w:r>
      <w:r w:rsidR="004B6D87">
        <w:rPr>
          <w:rFonts w:eastAsia="Times New Roman" w:cs="Times New Roman"/>
          <w:color w:val="000000"/>
        </w:rPr>
        <w:t>”</w:t>
      </w:r>
      <w:r>
        <w:rPr>
          <w:rFonts w:eastAsia="Times New Roman" w:cs="Times New Roman"/>
          <w:color w:val="000000"/>
        </w:rPr>
        <w:t xml:space="preserve"> </w:t>
      </w:r>
      <w:r w:rsidR="004B6D87">
        <w:rPr>
          <w:rFonts w:eastAsia="Times New Roman" w:cs="Times New Roman"/>
          <w:color w:val="000000"/>
        </w:rPr>
        <w:t xml:space="preserve"> Price is, therefore, “in the same position as he would have been if the court had ruled on his original petition.”</w:t>
      </w:r>
      <w:r>
        <w:rPr>
          <w:rStyle w:val="FootnoteReference"/>
          <w:rFonts w:eastAsia="Times New Roman" w:cs="Times New Roman"/>
          <w:b/>
          <w:bCs/>
          <w:color w:val="000000"/>
        </w:rPr>
        <w:footnoteReference w:id="34"/>
      </w:r>
      <w:r w:rsidRPr="004B6D87" w:rsidR="004B6D87">
        <w:rPr>
          <w:rFonts w:eastAsia="Times New Roman" w:cs="Times New Roman"/>
          <w:b/>
          <w:bCs/>
          <w:color w:val="000000"/>
        </w:rPr>
        <w:t xml:space="preserve"> </w:t>
      </w:r>
      <w:r w:rsidR="004B6D87">
        <w:rPr>
          <w:rFonts w:eastAsia="Times New Roman" w:cs="Times New Roman"/>
          <w:color w:val="000000"/>
        </w:rPr>
        <w:t xml:space="preserve"> Our review of the record </w:t>
      </w:r>
      <w:r w:rsidR="00CE4DE9">
        <w:rPr>
          <w:rFonts w:eastAsia="Times New Roman" w:cs="Times New Roman"/>
          <w:color w:val="000000"/>
        </w:rPr>
        <w:t xml:space="preserve">confirms </w:t>
      </w:r>
      <w:r w:rsidR="004B6D87">
        <w:rPr>
          <w:rFonts w:eastAsia="Times New Roman" w:cs="Times New Roman"/>
          <w:color w:val="000000"/>
        </w:rPr>
        <w:t>the People</w:t>
      </w:r>
      <w:r w:rsidR="00CE4DE9">
        <w:rPr>
          <w:rFonts w:eastAsia="Times New Roman" w:cs="Times New Roman"/>
          <w:color w:val="000000"/>
        </w:rPr>
        <w:t>’s</w:t>
      </w:r>
      <w:r w:rsidR="004B6D87">
        <w:rPr>
          <w:rFonts w:eastAsia="Times New Roman" w:cs="Times New Roman"/>
          <w:color w:val="000000"/>
        </w:rPr>
        <w:t xml:space="preserve"> asserti</w:t>
      </w:r>
      <w:r w:rsidR="00CE4DE9">
        <w:rPr>
          <w:rFonts w:eastAsia="Times New Roman" w:cs="Times New Roman"/>
          <w:color w:val="000000"/>
        </w:rPr>
        <w:t>on</w:t>
      </w:r>
      <w:r w:rsidR="004B6D87">
        <w:rPr>
          <w:rFonts w:eastAsia="Times New Roman" w:cs="Times New Roman"/>
          <w:color w:val="000000"/>
        </w:rPr>
        <w:t xml:space="preserve"> that the court treated counsel’s declaration as true as to all statutory elements, “notwithstanding the absence of the required declaration by Price, and proceeded to determine whether Price established a prima facie case for relief.  The People did not object to </w:t>
      </w:r>
      <w:r w:rsidR="00CE4DE9">
        <w:rPr>
          <w:rFonts w:eastAsia="Times New Roman" w:cs="Times New Roman"/>
          <w:color w:val="000000"/>
        </w:rPr>
        <w:t xml:space="preserve">the lack of a personal declaration.”  Indeed, the court did not indicate there were any missing elements in </w:t>
      </w:r>
      <w:r w:rsidR="005476E1">
        <w:rPr>
          <w:rFonts w:eastAsia="Times New Roman" w:cs="Times New Roman"/>
          <w:color w:val="000000"/>
        </w:rPr>
        <w:t>Appellants’</w:t>
      </w:r>
      <w:r w:rsidR="00CE4DE9">
        <w:rPr>
          <w:rFonts w:eastAsia="Times New Roman" w:cs="Times New Roman"/>
          <w:color w:val="000000"/>
        </w:rPr>
        <w:t xml:space="preserve"> prima facie showing but instead held the record of conviction, including the instructions and verdicts, as a matter of law precluded relief.  Therefore, any error was harmless.</w:t>
      </w:r>
      <w:r>
        <w:rPr>
          <w:rStyle w:val="FootnoteReference"/>
          <w:rFonts w:eastAsia="Times New Roman" w:cs="Times New Roman"/>
          <w:b/>
          <w:bCs/>
          <w:color w:val="000000"/>
        </w:rPr>
        <w:footnoteReference w:id="35"/>
      </w:r>
    </w:p>
    <w:p w:rsidR="00034568" w:rsidP="002577CF" w14:paraId="4901E9BE" w14:textId="3E78D51F">
      <w:pPr>
        <w:pStyle w:val="ListParagraph"/>
        <w:numPr>
          <w:ilvl w:val="0"/>
          <w:numId w:val="2"/>
        </w:numPr>
        <w:spacing w:after="120" w:line="240" w:lineRule="auto"/>
        <w:ind w:left="1080"/>
        <w:contextualSpacing w:val="0"/>
        <w:rPr>
          <w:rFonts w:eastAsia="Times New Roman" w:cs="Times New Roman"/>
          <w:b/>
          <w:bCs/>
          <w:color w:val="000000"/>
        </w:rPr>
      </w:pPr>
      <w:bookmarkStart w:id="8" w:name="_Hlk136524551"/>
      <w:r w:rsidRPr="008E7196">
        <w:rPr>
          <w:rFonts w:eastAsia="Times New Roman" w:cs="Times New Roman"/>
          <w:b/>
          <w:bCs/>
          <w:color w:val="3D3D3D"/>
        </w:rPr>
        <w:t>Price</w:t>
      </w:r>
      <w:r w:rsidR="00662696">
        <w:rPr>
          <w:rFonts w:eastAsia="Times New Roman" w:cs="Times New Roman"/>
          <w:b/>
          <w:bCs/>
          <w:color w:val="3D3D3D"/>
        </w:rPr>
        <w:t>’s</w:t>
      </w:r>
      <w:r w:rsidRPr="008E7196">
        <w:rPr>
          <w:rFonts w:eastAsia="Times New Roman" w:cs="Times New Roman"/>
          <w:b/>
          <w:bCs/>
          <w:color w:val="3D3D3D"/>
        </w:rPr>
        <w:t xml:space="preserve"> and Campbell’s Arguments About Claimed Errors in the Abstracts of Judgment Regarding Calculation of Custody Credits, Administrative Fees and Clerical Errors Are Moot.</w:t>
      </w:r>
    </w:p>
    <w:bookmarkEnd w:id="8"/>
    <w:p w:rsidR="008E7196" w:rsidP="0039039D" w14:paraId="2CD03CA9" w14:textId="1AB02E29">
      <w:pPr>
        <w:spacing w:line="360" w:lineRule="auto"/>
        <w:ind w:firstLine="720"/>
        <w:rPr>
          <w:rFonts w:eastAsia="Times New Roman" w:cs="Times New Roman"/>
          <w:color w:val="000000"/>
        </w:rPr>
      </w:pPr>
      <w:r>
        <w:rPr>
          <w:rFonts w:eastAsia="Times New Roman" w:cs="Times New Roman"/>
          <w:color w:val="000000"/>
        </w:rPr>
        <w:t xml:space="preserve">Price and Campbell contend that the trial court erred by failing to ascertain and order custody credits and delete unpaid administrative fees and that there are clerical errors in the abstracts of judgment. </w:t>
      </w:r>
      <w:r w:rsidR="00FE6D14">
        <w:rPr>
          <w:rFonts w:eastAsia="Times New Roman" w:cs="Times New Roman"/>
          <w:color w:val="000000"/>
        </w:rPr>
        <w:t xml:space="preserve"> The People agree that there is an error in the abstract of judgment for Price, in regard to custody credits, and as to Price, Campbell and Flowers that</w:t>
      </w:r>
      <w:r w:rsidR="00B916F6">
        <w:rPr>
          <w:rFonts w:eastAsia="Times New Roman" w:cs="Times New Roman"/>
          <w:color w:val="000000"/>
        </w:rPr>
        <w:t>, in light of new legislation (§ 1465.9, subd. (a);</w:t>
      </w:r>
      <w:r w:rsidR="00666F07">
        <w:rPr>
          <w:rFonts w:eastAsia="Times New Roman" w:cs="Times New Roman"/>
          <w:color w:val="000000"/>
        </w:rPr>
        <w:t xml:space="preserve"> </w:t>
      </w:r>
      <w:r w:rsidR="00B916F6">
        <w:rPr>
          <w:rFonts w:eastAsia="Times New Roman" w:cs="Times New Roman"/>
          <w:color w:val="000000"/>
        </w:rPr>
        <w:t>Stats. 2020, ch. 92, § 62)</w:t>
      </w:r>
      <w:r w:rsidR="00FE6D14">
        <w:rPr>
          <w:rFonts w:eastAsia="Times New Roman" w:cs="Times New Roman"/>
          <w:color w:val="000000"/>
        </w:rPr>
        <w:t xml:space="preserve"> their imposed probation investigation fees of $250 must be </w:t>
      </w:r>
      <w:r w:rsidR="00B916F6">
        <w:rPr>
          <w:rFonts w:eastAsia="Times New Roman" w:cs="Times New Roman"/>
          <w:color w:val="000000"/>
        </w:rPr>
        <w:t>vacated</w:t>
      </w:r>
      <w:r w:rsidR="00FE6D14">
        <w:rPr>
          <w:rFonts w:eastAsia="Times New Roman" w:cs="Times New Roman"/>
          <w:color w:val="000000"/>
        </w:rPr>
        <w:t xml:space="preserve">. </w:t>
      </w:r>
    </w:p>
    <w:p w:rsidR="00B916F6" w:rsidRPr="008E7196" w:rsidP="0039039D" w14:paraId="4BDDB661" w14:textId="033495E2">
      <w:pPr>
        <w:spacing w:line="360" w:lineRule="auto"/>
        <w:ind w:firstLine="720"/>
        <w:rPr>
          <w:rFonts w:eastAsia="Times New Roman" w:cs="Times New Roman"/>
          <w:color w:val="000000"/>
        </w:rPr>
      </w:pPr>
      <w:r>
        <w:rPr>
          <w:rFonts w:eastAsia="Times New Roman" w:cs="Times New Roman"/>
          <w:color w:val="000000"/>
        </w:rPr>
        <w:t>We need not address these arguments at this juncture because, as to Price, C</w:t>
      </w:r>
      <w:r w:rsidR="00B611D0">
        <w:rPr>
          <w:rFonts w:eastAsia="Times New Roman" w:cs="Times New Roman"/>
          <w:color w:val="000000"/>
        </w:rPr>
        <w:t>ampbell and Flowers,</w:t>
      </w:r>
      <w:r>
        <w:rPr>
          <w:rFonts w:eastAsia="Times New Roman" w:cs="Times New Roman"/>
          <w:color w:val="000000"/>
        </w:rPr>
        <w:t xml:space="preserve"> we are remanding the matter for full resentencing.  Appellants may raise any arguments pertaining to sentencing at that time.</w:t>
      </w:r>
    </w:p>
    <w:p w:rsidR="00A03113" w:rsidRPr="008E75EA" w:rsidP="0039039D" w14:paraId="139E7381" w14:textId="22D48D05">
      <w:pPr>
        <w:spacing w:line="360" w:lineRule="auto"/>
        <w:ind w:firstLine="720"/>
      </w:pPr>
      <w:r>
        <w:rPr>
          <w:rFonts w:eastAsia="Times New Roman" w:cs="Times New Roman"/>
          <w:color w:val="000000"/>
        </w:rPr>
        <w:t xml:space="preserve">Price also contends he received ineffective assistance of counsel at the resentencing </w:t>
      </w:r>
      <w:r w:rsidR="00E41321">
        <w:rPr>
          <w:rFonts w:eastAsia="Times New Roman" w:cs="Times New Roman"/>
          <w:color w:val="000000"/>
        </w:rPr>
        <w:t xml:space="preserve">and remand </w:t>
      </w:r>
      <w:r>
        <w:rPr>
          <w:rFonts w:eastAsia="Times New Roman" w:cs="Times New Roman"/>
          <w:color w:val="000000"/>
        </w:rPr>
        <w:t xml:space="preserve">proceedings.  </w:t>
      </w:r>
      <w:r w:rsidR="00EE3E7E">
        <w:rPr>
          <w:rFonts w:eastAsia="Times New Roman" w:cs="Times New Roman"/>
          <w:color w:val="000000"/>
        </w:rPr>
        <w:t>We have addressed all of t</w:t>
      </w:r>
      <w:r>
        <w:rPr>
          <w:rFonts w:eastAsia="Times New Roman" w:cs="Times New Roman"/>
          <w:color w:val="000000"/>
        </w:rPr>
        <w:t xml:space="preserve">he claimed failures he attributes to his resentencing counsel </w:t>
      </w:r>
      <w:r w:rsidR="00EE3E7E">
        <w:rPr>
          <w:rFonts w:eastAsia="Times New Roman" w:cs="Times New Roman"/>
          <w:color w:val="000000"/>
        </w:rPr>
        <w:t>and our rulings on those matters render the ineffective assistance of counsel claim moot, because, as to each, we have found no error or have granted relief on the merits</w:t>
      </w:r>
      <w:r>
        <w:rPr>
          <w:rFonts w:eastAsia="Times New Roman" w:cs="Times New Roman"/>
          <w:color w:val="000000"/>
        </w:rPr>
        <w:t>.</w:t>
      </w:r>
    </w:p>
    <w:p w:rsidR="008E75EA" w:rsidRPr="00146348" w:rsidP="00146348" w14:paraId="5F5D9D56" w14:textId="6A7287A1">
      <w:pPr>
        <w:pStyle w:val="ListParagraph"/>
        <w:numPr>
          <w:ilvl w:val="0"/>
          <w:numId w:val="2"/>
        </w:numPr>
        <w:spacing w:after="120" w:line="240" w:lineRule="auto"/>
        <w:ind w:left="1080"/>
        <w:contextualSpacing w:val="0"/>
        <w:rPr>
          <w:b/>
          <w:bCs/>
        </w:rPr>
      </w:pPr>
      <w:bookmarkStart w:id="9" w:name="_Hlk136524596"/>
      <w:r w:rsidRPr="00146348">
        <w:rPr>
          <w:b/>
          <w:bCs/>
        </w:rPr>
        <w:t>We Need Not Address Flowers’</w:t>
      </w:r>
      <w:r w:rsidR="003A44A4">
        <w:rPr>
          <w:b/>
          <w:bCs/>
        </w:rPr>
        <w:t>s</w:t>
      </w:r>
      <w:r w:rsidRPr="00146348">
        <w:rPr>
          <w:b/>
          <w:bCs/>
        </w:rPr>
        <w:t xml:space="preserve"> Arguments About the Verdicts and Trial Record Because We Are Remanding the Section 1172.6 Proceeding for an Evidentiary Hearing</w:t>
      </w:r>
      <w:r w:rsidRPr="00146348" w:rsidR="000E33DD">
        <w:rPr>
          <w:b/>
          <w:bCs/>
        </w:rPr>
        <w:t>.</w:t>
      </w:r>
      <w:r w:rsidRPr="00146348">
        <w:rPr>
          <w:b/>
          <w:bCs/>
        </w:rPr>
        <w:t xml:space="preserve"> </w:t>
      </w:r>
      <w:bookmarkEnd w:id="9"/>
    </w:p>
    <w:p w:rsidR="008E75EA" w:rsidP="0039039D" w14:paraId="6587C1FA" w14:textId="54CC8FA5">
      <w:pPr>
        <w:spacing w:line="360" w:lineRule="auto"/>
        <w:ind w:firstLine="720"/>
      </w:pPr>
      <w:r>
        <w:t xml:space="preserve">Flowers’s brief on appeal is primarily a joinder in the other </w:t>
      </w:r>
      <w:r w:rsidR="008D496B">
        <w:t>A</w:t>
      </w:r>
      <w:r>
        <w:t xml:space="preserve">ppellants’ arguments.  He makes two </w:t>
      </w:r>
      <w:r w:rsidR="00AC1877">
        <w:t>new</w:t>
      </w:r>
      <w:r>
        <w:t xml:space="preserve"> points, although he fails to explain their impact on the issues presented here.  The first is that the jury did not explicitly find that he was the shooter.  The second is that </w:t>
      </w:r>
      <w:r w:rsidR="00AC1877">
        <w:t>the prosecutor repeatedly referred during closing argument to the natural</w:t>
      </w:r>
      <w:r w:rsidR="00BA4931">
        <w:t xml:space="preserve"> and</w:t>
      </w:r>
      <w:r w:rsidR="00AC1877">
        <w:t xml:space="preserve"> probable consequences theory and that this rendered the instruction on that theory prejudicial. </w:t>
      </w:r>
    </w:p>
    <w:p w:rsidR="00AC1877" w:rsidP="0039039D" w14:paraId="674A6EB6" w14:textId="217BB4B6">
      <w:pPr>
        <w:spacing w:line="360" w:lineRule="auto"/>
        <w:ind w:firstLine="720"/>
      </w:pPr>
      <w:r>
        <w:t xml:space="preserve">We agree that the instructions and verdicts on the special circumstances did not require the jury to make an explicit finding as to which of the </w:t>
      </w:r>
      <w:r w:rsidR="008D496B">
        <w:t>A</w:t>
      </w:r>
      <w:r>
        <w:t>ppellants shot and killed Davis.  Specifically, it was instructed</w:t>
      </w:r>
      <w:r w:rsidR="00DB6962">
        <w:t xml:space="preserve">, based on CALCRIM </w:t>
      </w:r>
      <w:r w:rsidR="00146348">
        <w:t xml:space="preserve">No. </w:t>
      </w:r>
      <w:r w:rsidR="00DB6962">
        <w:t>702,</w:t>
      </w:r>
      <w:r>
        <w:t xml:space="preserve"> that “[i]n order to prove these special circumstances [gang murder and multiple murder] for a defendant who is not the actual killer but who is guilty of first degree murder as an aider and abettor or conspirator, the People must prove the defendant acted with the intent to kill</w:t>
      </w:r>
      <w:r w:rsidR="009C28FA">
        <w:t>”</w:t>
      </w:r>
      <w:r>
        <w:rPr>
          <w:rStyle w:val="FootnoteReference"/>
          <w:b/>
          <w:bCs/>
        </w:rPr>
        <w:footnoteReference w:id="36"/>
      </w:r>
      <w:r w:rsidRPr="00DB6962" w:rsidR="00DB6962">
        <w:rPr>
          <w:b/>
          <w:bCs/>
        </w:rPr>
        <w:t xml:space="preserve"> </w:t>
      </w:r>
      <w:r w:rsidR="00DB6962">
        <w:t>and that “[t]he People do not have to prove that the actual killer acted with the intent to kill in order for these special circumstances to be true.”  Given this instruction,</w:t>
      </w:r>
      <w:r>
        <w:t xml:space="preserve"> the jury’s finding on the special circumstances as to any particular </w:t>
      </w:r>
      <w:r w:rsidR="008D496B">
        <w:t>A</w:t>
      </w:r>
      <w:r>
        <w:t xml:space="preserve">ppellant, including Flowers, meant either that </w:t>
      </w:r>
      <w:r w:rsidR="00DB6962">
        <w:t xml:space="preserve">he intended to kill Davis or that he was the actual killer.  </w:t>
      </w:r>
    </w:p>
    <w:p w:rsidR="00DB6962" w:rsidP="0039039D" w14:paraId="21C4999F" w14:textId="55521830">
      <w:pPr>
        <w:spacing w:line="360" w:lineRule="auto"/>
        <w:ind w:firstLine="720"/>
      </w:pPr>
      <w:r>
        <w:t>Flowers may, on remand, argue that the evidence does not show he was the actual killer and/or that it does not show he acted with intent to kill.  As indicated by our opinion on direct appeal, the trial record will make such arguments challenging, but he is not foreclosed from arguing the point and presenting any additional evidence</w:t>
      </w:r>
      <w:r w:rsidR="00D35F28">
        <w:t xml:space="preserve"> pertinent to it.</w:t>
      </w:r>
    </w:p>
    <w:p w:rsidR="00D63A8C" w:rsidP="0039039D" w14:paraId="5F61444F" w14:textId="4A239CE8">
      <w:pPr>
        <w:spacing w:line="360" w:lineRule="auto"/>
        <w:ind w:firstLine="720"/>
      </w:pPr>
      <w:r>
        <w:t xml:space="preserve">As to the argument about the effect of the closing arguments, again, Flowers and the other </w:t>
      </w:r>
      <w:r w:rsidR="00CB0AEE">
        <w:t>A</w:t>
      </w:r>
      <w:r>
        <w:t>ppellants may make such arguments again in the evidentiary hearing, at which they can discuss the trial evidence, any new evidence and the record of conviction, including but not limited to the effect of the jury instructions and counsels</w:t>
      </w:r>
      <w:r w:rsidR="002D4BEB">
        <w:t>’</w:t>
      </w:r>
      <w:r>
        <w:t xml:space="preserve"> closing arguments.  Such arguments are relevant but not necessarily dispositive of the resentencing issues.  (Cf. </w:t>
      </w:r>
      <w:r w:rsidRPr="00D63A8C">
        <w:rPr>
          <w:i/>
          <w:iCs/>
        </w:rPr>
        <w:t>In re Lopez</w:t>
      </w:r>
      <w:r>
        <w:t xml:space="preserve">, </w:t>
      </w:r>
      <w:r w:rsidRPr="00D63A8C">
        <w:rPr>
          <w:i/>
          <w:iCs/>
        </w:rPr>
        <w:t>supra</w:t>
      </w:r>
      <w:r>
        <w:t xml:space="preserve">, </w:t>
      </w:r>
      <w:r w:rsidR="00666F07">
        <w:t>14 Cal.5</w:t>
      </w:r>
      <w:r w:rsidRPr="00666F07" w:rsidR="00666F07">
        <w:t xml:space="preserve">th </w:t>
      </w:r>
      <w:r w:rsidR="00C9584A">
        <w:t>at p. </w:t>
      </w:r>
      <w:r w:rsidR="00666F07">
        <w:t>590</w:t>
      </w:r>
      <w:r>
        <w:t xml:space="preserve"> [prosecutor’s mere reliance on invalid theory will not overcome strong showing of harmlessness based on review of entire cause, including evidence, and consideration of all relevant circumstances].) </w:t>
      </w:r>
    </w:p>
    <w:p w:rsidR="009D7C5F" w:rsidP="0039039D" w14:paraId="202FD0A9" w14:textId="703E1663">
      <w:pPr>
        <w:spacing w:line="360" w:lineRule="auto"/>
        <w:ind w:firstLine="720"/>
      </w:pPr>
      <w:r>
        <w:t>In short, Flowers’s arguments, while</w:t>
      </w:r>
      <w:r w:rsidR="00E8221A">
        <w:t xml:space="preserve"> providing support for the argument that an evidentiary hearing should be </w:t>
      </w:r>
      <w:r w:rsidRPr="00CB0AEE" w:rsidR="00E8221A">
        <w:t>conducted</w:t>
      </w:r>
      <w:r w:rsidRPr="00CB0AEE" w:rsidR="00552DF4">
        <w:t xml:space="preserve"> under section</w:t>
      </w:r>
      <w:r w:rsidR="00CB0AEE">
        <w:t> </w:t>
      </w:r>
      <w:r w:rsidRPr="00CB0AEE" w:rsidR="00552DF4">
        <w:t>1172.6</w:t>
      </w:r>
      <w:r w:rsidRPr="00CB0AEE" w:rsidR="00E8221A">
        <w:t>,</w:t>
      </w:r>
      <w:r>
        <w:t xml:space="preserve"> </w:t>
      </w:r>
      <w:r w:rsidR="00E8221A">
        <w:t>do not mandate that relief from the first degree murder conviction be granted.  Rather, i</w:t>
      </w:r>
      <w:r w:rsidR="00D35F28">
        <w:t>t will be for the trial court, based on the record before it, including any new evidence presented at the evidentiary hearing and the arguments made by counsel at that time</w:t>
      </w:r>
      <w:r w:rsidR="00E8221A">
        <w:t>,</w:t>
      </w:r>
      <w:r w:rsidR="00D35F28">
        <w:t xml:space="preserve"> to determine “whether [appellants] committed murder under a still-valid theory.”  (</w:t>
      </w:r>
      <w:r w:rsidR="00666F07">
        <w:rPr>
          <w:i/>
          <w:iCs/>
        </w:rPr>
        <w:t>People v. C</w:t>
      </w:r>
      <w:r w:rsidRPr="00D35F28" w:rsidR="00D35F28">
        <w:rPr>
          <w:i/>
          <w:iCs/>
        </w:rPr>
        <w:t>lements</w:t>
      </w:r>
      <w:r w:rsidR="00D35F28">
        <w:t xml:space="preserve">, </w:t>
      </w:r>
      <w:r w:rsidRPr="00D35F28" w:rsidR="00D35F28">
        <w:rPr>
          <w:i/>
          <w:iCs/>
        </w:rPr>
        <w:t>supra</w:t>
      </w:r>
      <w:r w:rsidR="00D35F28">
        <w:t xml:space="preserve">, </w:t>
      </w:r>
      <w:r w:rsidR="00666F07">
        <w:t>75 Cal.App.5</w:t>
      </w:r>
      <w:r w:rsidRPr="00666F07" w:rsidR="00666F07">
        <w:t xml:space="preserve">th </w:t>
      </w:r>
      <w:r w:rsidR="00027A94">
        <w:t>at p. </w:t>
      </w:r>
      <w:r w:rsidR="00D35F28">
        <w:t>294.)</w:t>
      </w:r>
    </w:p>
    <w:p w:rsidR="00E8221A" w:rsidP="0039039D" w14:paraId="002D89AB" w14:textId="754E3562">
      <w:pPr>
        <w:keepNext/>
        <w:spacing w:line="360" w:lineRule="auto"/>
        <w:jc w:val="center"/>
        <w:rPr>
          <w:b/>
          <w:bCs/>
        </w:rPr>
      </w:pPr>
      <w:r w:rsidRPr="00E8221A">
        <w:rPr>
          <w:b/>
          <w:bCs/>
        </w:rPr>
        <w:t>DISPOSITION</w:t>
      </w:r>
    </w:p>
    <w:p w:rsidR="002325B7" w:rsidRPr="00656140" w:rsidP="0039039D" w14:paraId="0F27973B" w14:textId="28476B3B">
      <w:pPr>
        <w:spacing w:line="360" w:lineRule="auto"/>
        <w:ind w:firstLine="720"/>
      </w:pPr>
      <w:r>
        <w:t xml:space="preserve">The trial court’s denial of relief from </w:t>
      </w:r>
      <w:r w:rsidR="00CB0AEE">
        <w:t>A</w:t>
      </w:r>
      <w:r>
        <w:t xml:space="preserve">ppellants’ first degree murder conviction under section 1172.6 is reversed and that matter is remanded with directions to issue an order to show cause and hold an evidentiary hearing.  </w:t>
      </w:r>
      <w:r w:rsidRPr="00656140" w:rsidR="00DA097F">
        <w:t>T</w:t>
      </w:r>
      <w:r w:rsidRPr="00656140" w:rsidR="00904DB2">
        <w:t xml:space="preserve">he trial court </w:t>
      </w:r>
      <w:r w:rsidRPr="00656140" w:rsidR="00DA097F">
        <w:t xml:space="preserve">shall </w:t>
      </w:r>
      <w:r w:rsidRPr="00656140" w:rsidR="00904DB2">
        <w:t xml:space="preserve">determine, based on that hearing, whether Appellants are entitled to relief from their convictions of first degree murder for the killing of Charles Davis, and nothing in this opinion is intended </w:t>
      </w:r>
      <w:r w:rsidRPr="00656140" w:rsidR="002B43FE">
        <w:t xml:space="preserve">to suggest what the trial court’s determination should be. </w:t>
      </w:r>
    </w:p>
    <w:p w:rsidR="00904DB2" w:rsidRPr="00656140" w:rsidP="0039039D" w14:paraId="72A030DE" w14:textId="53D8C995">
      <w:pPr>
        <w:spacing w:line="360" w:lineRule="auto"/>
        <w:ind w:firstLine="720"/>
      </w:pPr>
      <w:r w:rsidRPr="00656140">
        <w:t>The People have not challenged the trial court’s decision to grant relief under section 1172.6 to Appellants Campbell, Flowers and Price on their convictions of second degree murder for the killings of Ross and Perea.  Consistent with the trial court’s grant of relief overturning those convictions and a lack of clarity on the disposition of the multiple</w:t>
      </w:r>
      <w:r w:rsidRPr="00656140" w:rsidR="00CB0AEE">
        <w:t>-</w:t>
      </w:r>
      <w:r w:rsidRPr="00656140">
        <w:t xml:space="preserve">murder special circumstance under section 190.2, subdivision (3), we </w:t>
      </w:r>
      <w:r w:rsidRPr="00656140" w:rsidR="00373BE8">
        <w:t xml:space="preserve">remand the matter to </w:t>
      </w:r>
      <w:r w:rsidRPr="00656140">
        <w:t>the trial court</w:t>
      </w:r>
      <w:r w:rsidRPr="00656140" w:rsidR="00373BE8">
        <w:t xml:space="preserve"> </w:t>
      </w:r>
      <w:r w:rsidRPr="00656140" w:rsidR="00DA097F">
        <w:t>to</w:t>
      </w:r>
      <w:r w:rsidRPr="00656140">
        <w:t xml:space="preserve"> strik</w:t>
      </w:r>
      <w:r w:rsidRPr="00656140" w:rsidR="00DA097F">
        <w:t>e</w:t>
      </w:r>
      <w:r w:rsidRPr="00656140">
        <w:t xml:space="preserve"> that special circumstance as to Appellants Campbell, Flowers and Price.  </w:t>
      </w:r>
    </w:p>
    <w:p w:rsidR="00904DB2" w:rsidRPr="00656140" w:rsidP="0039039D" w14:paraId="4C3A7FC1" w14:textId="130148EA">
      <w:pPr>
        <w:spacing w:line="360" w:lineRule="auto"/>
        <w:ind w:firstLine="720"/>
      </w:pPr>
      <w:r w:rsidRPr="00656140">
        <w:t>We also affirm the trial court’s denial of resentencing relief under section</w:t>
      </w:r>
      <w:r w:rsidR="009F16BF">
        <w:t> </w:t>
      </w:r>
      <w:r w:rsidRPr="00656140">
        <w:t>1172.6 to Campbell, Flowers and Price on their convictions under Vehicle Code section 2800.3.  However, we remand the sentencing on those convictions for reconsideration in light of the recent changes to section 1170, subdivision (b)</w:t>
      </w:r>
      <w:r w:rsidRPr="00656140" w:rsidR="00CB0AEE">
        <w:t>,</w:t>
      </w:r>
      <w:r w:rsidRPr="00656140">
        <w:t xml:space="preserve"> effected by the enactment of Senate Bill 567. </w:t>
      </w:r>
    </w:p>
    <w:p w:rsidR="00033D72" w:rsidRPr="00656140" w:rsidP="0039039D" w14:paraId="3AA4B491" w14:textId="459D1F11">
      <w:pPr>
        <w:spacing w:line="360" w:lineRule="auto"/>
        <w:ind w:firstLine="720"/>
      </w:pPr>
      <w:r w:rsidRPr="00656140">
        <w:t>We reverse the gang</w:t>
      </w:r>
      <w:r w:rsidRPr="00656140" w:rsidR="00CB0AEE">
        <w:t>-</w:t>
      </w:r>
      <w:r w:rsidRPr="00656140">
        <w:t xml:space="preserve">murder special circumstances and gang enhancements based on the recent amendments to section 186.22 in light of our holding that those amendments are retroactively applicable to Appellants.  On remand, the People shall </w:t>
      </w:r>
      <w:r w:rsidRPr="00656140" w:rsidR="00DA097F">
        <w:t>have the option</w:t>
      </w:r>
      <w:r w:rsidRPr="00656140">
        <w:t xml:space="preserve"> </w:t>
      </w:r>
      <w:r w:rsidRPr="00656140" w:rsidR="00DA097F">
        <w:t>to</w:t>
      </w:r>
      <w:r w:rsidRPr="00656140">
        <w:t xml:space="preserve"> retry Appellants on the gang-related special circumstance </w:t>
      </w:r>
      <w:r w:rsidRPr="00656140" w:rsidR="00DA097F">
        <w:t>(</w:t>
      </w:r>
      <w:r w:rsidRPr="00C9584A" w:rsidR="00C9584A">
        <w:t>§</w:t>
      </w:r>
      <w:r w:rsidR="00C9584A">
        <w:t> </w:t>
      </w:r>
      <w:r w:rsidRPr="00656140" w:rsidR="00DA097F">
        <w:t>190.2, subd</w:t>
      </w:r>
      <w:r w:rsidR="00C9584A">
        <w:t>. </w:t>
      </w:r>
      <w:r w:rsidRPr="00656140" w:rsidR="00DA097F">
        <w:t xml:space="preserve">(a)(22)) </w:t>
      </w:r>
      <w:r w:rsidRPr="00656140">
        <w:t xml:space="preserve">and </w:t>
      </w:r>
      <w:r w:rsidRPr="00656140" w:rsidR="00DA097F">
        <w:t xml:space="preserve">the gang gun </w:t>
      </w:r>
      <w:r w:rsidRPr="00656140">
        <w:t>enhancement</w:t>
      </w:r>
      <w:r w:rsidRPr="00656140" w:rsidR="00DA097F">
        <w:t xml:space="preserve"> (</w:t>
      </w:r>
      <w:r w:rsidR="00C9584A">
        <w:t>§ </w:t>
      </w:r>
      <w:r w:rsidRPr="00656140" w:rsidR="00DA097F">
        <w:t>12022</w:t>
      </w:r>
      <w:r w:rsidRPr="00656140">
        <w:t>.</w:t>
      </w:r>
      <w:r w:rsidRPr="00656140" w:rsidR="00DA097F">
        <w:t>53, subd</w:t>
      </w:r>
      <w:r w:rsidR="00C9584A">
        <w:t>. </w:t>
      </w:r>
      <w:r w:rsidRPr="00656140" w:rsidR="00DA097F">
        <w:t xml:space="preserve">(h)). </w:t>
      </w:r>
      <w:r w:rsidRPr="00656140">
        <w:t xml:space="preserve"> If they choose not to do so, the court shall resentence Appellants accordingly.</w:t>
      </w:r>
    </w:p>
    <w:p w:rsidR="000E1E55" w:rsidRPr="00DA097F" w:rsidP="0039039D" w14:paraId="35C78DD2" w14:textId="61B66933">
      <w:pPr>
        <w:spacing w:line="360" w:lineRule="auto"/>
        <w:ind w:firstLine="720"/>
        <w:jc w:val="both"/>
        <w:rPr>
          <w:b/>
          <w:bCs/>
        </w:rPr>
      </w:pPr>
      <w:r w:rsidRPr="00656140">
        <w:t>In all other respects, the trial court’s rulings are affirmed.</w:t>
      </w:r>
    </w:p>
    <w:p w:rsidR="00E672B6" w14:paraId="2AD595AC" w14:textId="7767A63F">
      <w:pPr>
        <w:tabs>
          <w:tab w:val="clear" w:pos="720"/>
        </w:tabs>
        <w:spacing w:line="360" w:lineRule="auto"/>
      </w:pPr>
      <w:r>
        <w:br w:type="page"/>
      </w:r>
    </w:p>
    <w:p w:rsidR="00E672B6" w:rsidRPr="002F4802" w:rsidP="00294971" w14:paraId="0440DBE8" w14:textId="77777777">
      <w:pPr>
        <w:spacing w:line="240" w:lineRule="auto"/>
        <w:rPr>
          <w:rFonts w:eastAsia="Calibri"/>
        </w:rPr>
      </w:pPr>
    </w:p>
    <w:p w:rsidR="00E672B6" w:rsidRPr="002F4802" w:rsidP="00294971" w14:paraId="4740FA18" w14:textId="77777777">
      <w:pPr>
        <w:spacing w:line="240" w:lineRule="auto"/>
        <w:rPr>
          <w:rFonts w:eastAsia="Calibri"/>
        </w:rPr>
      </w:pPr>
    </w:p>
    <w:p w:rsidR="00E672B6" w:rsidRPr="002F4802" w:rsidP="00294971" w14:paraId="22C74802" w14:textId="77777777">
      <w:pPr>
        <w:spacing w:line="240" w:lineRule="auto"/>
        <w:rPr>
          <w:rFonts w:eastAsia="Calibri"/>
        </w:rPr>
      </w:pPr>
    </w:p>
    <w:p w:rsidR="00E672B6" w:rsidRPr="002F4802" w:rsidP="00294971" w14:paraId="52222DAC" w14:textId="77777777">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rsidR="00E672B6" w:rsidRPr="002F4802" w:rsidP="00294971" w14:paraId="043EFB20" w14:textId="7421BFFE">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t xml:space="preserve">STEWART, </w:t>
      </w:r>
      <w:r>
        <w:rPr>
          <w:rFonts w:eastAsia="Calibri"/>
        </w:rPr>
        <w:t>P.</w:t>
      </w:r>
      <w:r w:rsidR="00F9116A">
        <w:rPr>
          <w:rFonts w:eastAsia="Calibri"/>
        </w:rPr>
        <w:t xml:space="preserve"> </w:t>
      </w:r>
      <w:r w:rsidRPr="002F4802">
        <w:rPr>
          <w:rFonts w:eastAsia="Calibri"/>
        </w:rPr>
        <w:t>J.</w:t>
      </w:r>
    </w:p>
    <w:p w:rsidR="00E672B6" w:rsidRPr="002F4802" w:rsidP="00294971" w14:paraId="7F34B3B8" w14:textId="77777777">
      <w:pPr>
        <w:spacing w:line="240" w:lineRule="auto"/>
        <w:rPr>
          <w:rFonts w:eastAsia="Calibri"/>
        </w:rPr>
      </w:pPr>
    </w:p>
    <w:p w:rsidR="00E672B6" w:rsidRPr="002F4802" w:rsidP="00294971" w14:paraId="23DF836B" w14:textId="77777777">
      <w:pPr>
        <w:spacing w:line="240" w:lineRule="auto"/>
        <w:rPr>
          <w:rFonts w:eastAsia="Calibri"/>
        </w:rPr>
      </w:pPr>
    </w:p>
    <w:p w:rsidR="00E672B6" w:rsidRPr="002F4802" w:rsidP="00294971" w14:paraId="50C17729" w14:textId="77777777">
      <w:pPr>
        <w:spacing w:line="240" w:lineRule="auto"/>
        <w:rPr>
          <w:rFonts w:eastAsia="Calibri"/>
        </w:rPr>
      </w:pPr>
    </w:p>
    <w:p w:rsidR="00E672B6" w:rsidRPr="002F4802" w:rsidP="00294971" w14:paraId="29055130" w14:textId="77777777">
      <w:pPr>
        <w:spacing w:line="240" w:lineRule="auto"/>
        <w:rPr>
          <w:rFonts w:eastAsia="Calibri"/>
        </w:rPr>
      </w:pPr>
      <w:r w:rsidRPr="002F4802">
        <w:rPr>
          <w:rFonts w:eastAsia="Calibri"/>
        </w:rPr>
        <w:t>We concur.</w:t>
      </w:r>
    </w:p>
    <w:p w:rsidR="00E672B6" w:rsidRPr="002F4802" w:rsidP="00294971" w14:paraId="4C086A7D" w14:textId="77777777">
      <w:pPr>
        <w:spacing w:line="240" w:lineRule="auto"/>
        <w:rPr>
          <w:rFonts w:eastAsia="Calibri"/>
        </w:rPr>
      </w:pPr>
    </w:p>
    <w:p w:rsidR="00E672B6" w:rsidRPr="002F4802" w:rsidP="00294971" w14:paraId="79EA2542" w14:textId="77777777">
      <w:pPr>
        <w:spacing w:line="240" w:lineRule="auto"/>
        <w:rPr>
          <w:rFonts w:eastAsia="Calibri"/>
        </w:rPr>
      </w:pPr>
    </w:p>
    <w:p w:rsidR="00E672B6" w:rsidRPr="002F4802" w:rsidP="00294971" w14:paraId="26A44BBD" w14:textId="77777777">
      <w:pPr>
        <w:spacing w:line="240" w:lineRule="auto"/>
        <w:rPr>
          <w:rFonts w:eastAsia="Calibri"/>
        </w:rPr>
      </w:pPr>
    </w:p>
    <w:p w:rsidR="00E672B6" w:rsidRPr="002F4802" w:rsidP="00294971" w14:paraId="07FA67C2" w14:textId="77777777">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rsidR="00E672B6" w:rsidRPr="002F4802" w:rsidP="00294971" w14:paraId="2C6B25A4" w14:textId="77777777">
      <w:pPr>
        <w:spacing w:line="240" w:lineRule="auto"/>
        <w:rPr>
          <w:rFonts w:eastAsia="Calibri"/>
        </w:rPr>
      </w:pPr>
      <w:r>
        <w:rPr>
          <w:rFonts w:eastAsia="Calibri"/>
        </w:rPr>
        <w:t>MILLER</w:t>
      </w:r>
      <w:r w:rsidRPr="002F4802">
        <w:rPr>
          <w:rFonts w:eastAsia="Calibri"/>
        </w:rPr>
        <w:t>, J.</w:t>
      </w:r>
    </w:p>
    <w:p w:rsidR="00E672B6" w:rsidRPr="002F4802" w:rsidP="00294971" w14:paraId="258FC5D8" w14:textId="77777777">
      <w:pPr>
        <w:spacing w:line="240" w:lineRule="auto"/>
        <w:rPr>
          <w:rFonts w:eastAsia="Calibri"/>
        </w:rPr>
      </w:pPr>
    </w:p>
    <w:p w:rsidR="00E672B6" w:rsidRPr="002F4802" w:rsidP="00294971" w14:paraId="17A5AAF7" w14:textId="77777777">
      <w:pPr>
        <w:spacing w:line="240" w:lineRule="auto"/>
        <w:rPr>
          <w:rFonts w:eastAsia="Calibri"/>
        </w:rPr>
      </w:pPr>
    </w:p>
    <w:p w:rsidR="00E672B6" w:rsidRPr="002F4802" w:rsidP="00294971" w14:paraId="499C81BF" w14:textId="77777777">
      <w:pPr>
        <w:spacing w:line="240" w:lineRule="auto"/>
        <w:rPr>
          <w:rFonts w:eastAsia="Calibri"/>
        </w:rPr>
      </w:pPr>
    </w:p>
    <w:p w:rsidR="00E672B6" w:rsidRPr="002F4802" w:rsidP="00294971" w14:paraId="142A6930" w14:textId="77777777">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rsidR="00E672B6" w:rsidRPr="002F4802" w:rsidP="00294971" w14:paraId="3A120006" w14:textId="77777777">
      <w:pPr>
        <w:spacing w:line="240" w:lineRule="auto"/>
        <w:rPr>
          <w:rFonts w:eastAsia="Calibri"/>
        </w:rPr>
      </w:pPr>
      <w:r w:rsidRPr="002F4802">
        <w:rPr>
          <w:rFonts w:eastAsia="Calibri"/>
        </w:rPr>
        <w:t>M</w:t>
      </w:r>
      <w:r>
        <w:rPr>
          <w:rFonts w:eastAsia="Calibri"/>
        </w:rPr>
        <w:t>A</w:t>
      </w:r>
      <w:r w:rsidRPr="002F4802">
        <w:rPr>
          <w:rFonts w:eastAsia="Calibri"/>
        </w:rPr>
        <w:t>R</w:t>
      </w:r>
      <w:r>
        <w:rPr>
          <w:rFonts w:eastAsia="Calibri"/>
        </w:rPr>
        <w:t>KMAN</w:t>
      </w:r>
      <w:r w:rsidRPr="002F4802">
        <w:rPr>
          <w:rFonts w:eastAsia="Calibri"/>
        </w:rPr>
        <w:t>, J.</w:t>
      </w:r>
      <w:r w:rsidRPr="00074840">
        <w:rPr>
          <w:rStyle w:val="FootnoteReference"/>
          <w:rFonts w:eastAsia="Calibri"/>
        </w:rPr>
        <w:t xml:space="preserve"> </w:t>
      </w:r>
      <w:r>
        <w:rPr>
          <w:rStyle w:val="FootnoteReference"/>
          <w:rFonts w:eastAsia="Calibri"/>
        </w:rPr>
        <w:footnoteReference w:customMarkFollows="1" w:id="37"/>
        <w:t xml:space="preserve">*</w:t>
      </w:r>
    </w:p>
    <w:p w:rsidR="00E672B6" w:rsidRPr="002F4802" w:rsidP="00294971" w14:paraId="5F97B8C0" w14:textId="77777777">
      <w:pPr>
        <w:spacing w:line="240" w:lineRule="auto"/>
        <w:rPr>
          <w:rFonts w:eastAsia="Calibri"/>
        </w:rPr>
      </w:pPr>
    </w:p>
    <w:p w:rsidR="00E672B6" w:rsidRPr="002F4802" w:rsidP="00294971" w14:paraId="5A977E08" w14:textId="77777777">
      <w:pPr>
        <w:spacing w:line="240" w:lineRule="auto"/>
        <w:rPr>
          <w:rFonts w:eastAsia="Calibri"/>
        </w:rPr>
      </w:pPr>
    </w:p>
    <w:p w:rsidR="00E672B6" w:rsidP="00294971" w14:paraId="00CAE269" w14:textId="77777777">
      <w:pPr>
        <w:spacing w:line="240" w:lineRule="auto"/>
        <w:rPr>
          <w:rFonts w:eastAsia="Calibri"/>
        </w:rPr>
      </w:pPr>
    </w:p>
    <w:p w:rsidR="00E672B6" w:rsidP="00294971" w14:paraId="025C8009" w14:textId="77777777">
      <w:pPr>
        <w:spacing w:line="240" w:lineRule="auto"/>
        <w:rPr>
          <w:rFonts w:eastAsia="Calibri"/>
        </w:rPr>
      </w:pPr>
    </w:p>
    <w:p w:rsidR="00E672B6" w:rsidP="00294971" w14:paraId="31A87AFD" w14:textId="77777777">
      <w:pPr>
        <w:spacing w:line="240" w:lineRule="auto"/>
        <w:rPr>
          <w:rFonts w:eastAsia="Calibri"/>
        </w:rPr>
      </w:pPr>
    </w:p>
    <w:p w:rsidR="00E672B6" w:rsidP="00294971" w14:paraId="27831736" w14:textId="77777777">
      <w:pPr>
        <w:spacing w:line="240" w:lineRule="auto"/>
        <w:rPr>
          <w:rFonts w:eastAsia="Calibri"/>
        </w:rPr>
      </w:pPr>
    </w:p>
    <w:p w:rsidR="00E672B6" w:rsidP="00294971" w14:paraId="6B1E2EE5" w14:textId="77777777">
      <w:pPr>
        <w:spacing w:line="240" w:lineRule="auto"/>
        <w:rPr>
          <w:rFonts w:eastAsia="Calibri"/>
        </w:rPr>
      </w:pPr>
    </w:p>
    <w:p w:rsidR="00E672B6" w:rsidP="00294971" w14:paraId="7FF9F931" w14:textId="77777777">
      <w:pPr>
        <w:spacing w:line="240" w:lineRule="auto"/>
        <w:rPr>
          <w:rFonts w:eastAsia="Calibri"/>
        </w:rPr>
      </w:pPr>
    </w:p>
    <w:p w:rsidR="00E672B6" w:rsidP="00294971" w14:paraId="33D9C7E9" w14:textId="77777777">
      <w:pPr>
        <w:spacing w:line="240" w:lineRule="auto"/>
        <w:rPr>
          <w:rFonts w:eastAsia="Calibri"/>
        </w:rPr>
      </w:pPr>
    </w:p>
    <w:p w:rsidR="00E672B6" w:rsidRPr="002F4802" w:rsidP="00294971" w14:paraId="44D6F9E7" w14:textId="77777777">
      <w:pPr>
        <w:spacing w:line="240" w:lineRule="auto"/>
        <w:rPr>
          <w:rFonts w:eastAsia="Calibri"/>
        </w:rPr>
      </w:pPr>
    </w:p>
    <w:p w:rsidR="00E672B6" w:rsidRPr="002F4802" w:rsidP="00294971" w14:paraId="063DFEF8" w14:textId="77777777">
      <w:pPr>
        <w:spacing w:line="240" w:lineRule="auto"/>
        <w:rPr>
          <w:rFonts w:eastAsia="Calibri"/>
        </w:rPr>
      </w:pPr>
    </w:p>
    <w:p w:rsidR="00E672B6" w:rsidRPr="002F4802" w:rsidP="00294971" w14:paraId="136B20BA" w14:textId="77777777">
      <w:pPr>
        <w:spacing w:line="240" w:lineRule="auto"/>
        <w:rPr>
          <w:rFonts w:eastAsia="Calibri"/>
        </w:rPr>
      </w:pPr>
    </w:p>
    <w:p w:rsidR="00E672B6" w:rsidP="00294971" w14:paraId="0FD32EA1" w14:textId="77777777">
      <w:pPr>
        <w:spacing w:line="240" w:lineRule="auto"/>
        <w:rPr>
          <w:rFonts w:eastAsia="Calibri"/>
        </w:rPr>
      </w:pPr>
    </w:p>
    <w:p w:rsidR="00E672B6" w:rsidP="00294971" w14:paraId="33B08CAA" w14:textId="77777777">
      <w:pPr>
        <w:spacing w:line="240" w:lineRule="auto"/>
        <w:rPr>
          <w:rFonts w:eastAsia="Calibri"/>
        </w:rPr>
      </w:pPr>
    </w:p>
    <w:p w:rsidR="00E672B6" w:rsidRPr="002F4802" w:rsidP="00294971" w14:paraId="171115C0" w14:textId="77777777">
      <w:pPr>
        <w:spacing w:line="240" w:lineRule="auto"/>
        <w:rPr>
          <w:rFonts w:eastAsia="Calibri"/>
        </w:rPr>
      </w:pPr>
    </w:p>
    <w:p w:rsidR="00E672B6" w:rsidRPr="002F4802" w:rsidP="00294971" w14:paraId="057C1EE0" w14:textId="77777777">
      <w:pPr>
        <w:spacing w:line="240" w:lineRule="auto"/>
        <w:rPr>
          <w:rFonts w:eastAsia="Calibri"/>
        </w:rPr>
      </w:pPr>
    </w:p>
    <w:p w:rsidR="00E672B6" w:rsidRPr="002F4802" w:rsidP="00294971" w14:paraId="05B92CBA" w14:textId="77777777">
      <w:pPr>
        <w:spacing w:line="240" w:lineRule="auto"/>
        <w:rPr>
          <w:rFonts w:eastAsia="Calibri"/>
        </w:rPr>
      </w:pPr>
    </w:p>
    <w:p w:rsidR="00E672B6" w:rsidP="00294971" w14:paraId="2BF59BA3" w14:textId="3191FF9B">
      <w:pPr>
        <w:spacing w:line="240" w:lineRule="auto"/>
        <w:rPr>
          <w:rFonts w:eastAsia="Calibri"/>
        </w:rPr>
      </w:pPr>
      <w:r>
        <w:rPr>
          <w:rFonts w:eastAsia="Calibri"/>
          <w:i/>
        </w:rPr>
        <w:t xml:space="preserve">People v. Campbell </w:t>
      </w:r>
      <w:r>
        <w:rPr>
          <w:rFonts w:eastAsia="Calibri"/>
          <w:iCs/>
        </w:rPr>
        <w:t xml:space="preserve">(A162472); </w:t>
      </w:r>
      <w:r>
        <w:rPr>
          <w:rFonts w:eastAsia="Calibri"/>
          <w:i/>
        </w:rPr>
        <w:t xml:space="preserve">People v. Price </w:t>
      </w:r>
      <w:r>
        <w:rPr>
          <w:rFonts w:eastAsia="Calibri"/>
          <w:iCs/>
        </w:rPr>
        <w:t xml:space="preserve">(A162488); </w:t>
      </w:r>
      <w:r w:rsidRPr="002F4802">
        <w:rPr>
          <w:rFonts w:eastAsia="Calibri"/>
          <w:i/>
        </w:rPr>
        <w:t>P</w:t>
      </w:r>
      <w:r>
        <w:rPr>
          <w:rFonts w:eastAsia="Calibri"/>
          <w:i/>
        </w:rPr>
        <w:t>eople</w:t>
      </w:r>
      <w:r w:rsidRPr="002F4802">
        <w:rPr>
          <w:rFonts w:eastAsia="Calibri"/>
          <w:i/>
        </w:rPr>
        <w:t xml:space="preserve"> v. </w:t>
      </w:r>
      <w:r>
        <w:rPr>
          <w:rFonts w:eastAsia="Calibri"/>
          <w:i/>
        </w:rPr>
        <w:t>Anthony</w:t>
      </w:r>
      <w:r w:rsidRPr="002F4802">
        <w:rPr>
          <w:rFonts w:eastAsia="Calibri"/>
          <w:i/>
        </w:rPr>
        <w:t xml:space="preserve"> </w:t>
      </w:r>
      <w:r w:rsidRPr="002F4802">
        <w:rPr>
          <w:rFonts w:eastAsia="Calibri"/>
        </w:rPr>
        <w:t>(A1</w:t>
      </w:r>
      <w:r>
        <w:rPr>
          <w:rFonts w:eastAsia="Calibri"/>
        </w:rPr>
        <w:t>62623</w:t>
      </w:r>
      <w:r w:rsidRPr="002F4802">
        <w:rPr>
          <w:rFonts w:eastAsia="Calibri"/>
        </w:rPr>
        <w:t>)</w:t>
      </w:r>
      <w:r>
        <w:rPr>
          <w:rFonts w:eastAsia="Calibri"/>
        </w:rPr>
        <w:t xml:space="preserve">; </w:t>
      </w:r>
      <w:r>
        <w:rPr>
          <w:rFonts w:eastAsia="Calibri"/>
          <w:i/>
          <w:iCs/>
        </w:rPr>
        <w:t xml:space="preserve">People v. Flowers </w:t>
      </w:r>
      <w:r>
        <w:rPr>
          <w:rFonts w:eastAsia="Calibri"/>
        </w:rPr>
        <w:t>(A163277)</w:t>
      </w:r>
    </w:p>
    <w:p w:rsidR="000910FD" w:rsidP="0025232B" w14:paraId="7A2A7670" w14:textId="77777777">
      <w:pPr>
        <w:spacing w:line="240" w:lineRule="auto"/>
      </w:pPr>
      <w:r>
        <w:t>Trial Court:</w:t>
      </w:r>
      <w:r>
        <w:tab/>
        <w:t>Alameda County Superior Court</w:t>
      </w:r>
    </w:p>
    <w:p w:rsidR="000910FD" w:rsidP="0025232B" w14:paraId="4A0E90A3" w14:textId="77777777">
      <w:pPr>
        <w:spacing w:line="240" w:lineRule="auto"/>
      </w:pPr>
    </w:p>
    <w:p w:rsidR="000910FD" w:rsidP="0025232B" w14:paraId="2BCF9110" w14:textId="77777777">
      <w:pPr>
        <w:spacing w:line="240" w:lineRule="auto"/>
      </w:pPr>
      <w:r>
        <w:t>Trial Judge:</w:t>
      </w:r>
      <w:r>
        <w:tab/>
        <w:t>Hon. Thomas M. Reardon</w:t>
      </w:r>
    </w:p>
    <w:p w:rsidR="000910FD" w:rsidP="0025232B" w14:paraId="54FCD01A" w14:textId="77777777">
      <w:pPr>
        <w:spacing w:line="240" w:lineRule="auto"/>
      </w:pPr>
    </w:p>
    <w:p w:rsidR="000910FD" w:rsidP="0025232B" w14:paraId="01C8659E" w14:textId="77777777">
      <w:pPr>
        <w:spacing w:line="240" w:lineRule="auto"/>
      </w:pPr>
      <w:r>
        <w:t xml:space="preserve">Counsel:  </w:t>
      </w:r>
    </w:p>
    <w:p w:rsidR="000910FD" w:rsidP="0025232B" w14:paraId="7FEF0EA6" w14:textId="77777777">
      <w:pPr>
        <w:spacing w:line="240" w:lineRule="auto"/>
      </w:pPr>
    </w:p>
    <w:p w:rsidR="000910FD" w:rsidP="0025232B" w14:paraId="1111F59D" w14:textId="77777777">
      <w:pPr>
        <w:spacing w:line="240" w:lineRule="auto"/>
      </w:pPr>
      <w:r>
        <w:t>Audrey R. Chavez, under appointment by the Court of Appeal, for Defendant and Appellant Rafael Campbell.</w:t>
      </w:r>
    </w:p>
    <w:p w:rsidR="000910FD" w:rsidP="0025232B" w14:paraId="79084373" w14:textId="77777777">
      <w:pPr>
        <w:spacing w:line="240" w:lineRule="auto"/>
      </w:pPr>
    </w:p>
    <w:p w:rsidR="000910FD" w:rsidP="0025232B" w14:paraId="4D10948D" w14:textId="77777777">
      <w:pPr>
        <w:spacing w:line="240" w:lineRule="auto"/>
      </w:pPr>
      <w:r>
        <w:t>Waldemar D. Halka, under appointment by the Court of Appeal, for Defendant and Appellant Anthony Price.</w:t>
      </w:r>
    </w:p>
    <w:p w:rsidR="000910FD" w:rsidP="0025232B" w14:paraId="101FD625" w14:textId="77777777">
      <w:pPr>
        <w:spacing w:line="240" w:lineRule="auto"/>
      </w:pPr>
    </w:p>
    <w:p w:rsidR="000910FD" w:rsidP="0025232B" w14:paraId="3066F2A7" w14:textId="77777777">
      <w:pPr>
        <w:spacing w:line="240" w:lineRule="auto"/>
      </w:pPr>
      <w:r>
        <w:t>Cliff Gardner and Brooke Acevedo, under appointment by the Court of Appeal, for Defendant and Appellant Stephon Anthony.</w:t>
      </w:r>
    </w:p>
    <w:p w:rsidR="000910FD" w:rsidP="0025232B" w14:paraId="7877C6C2" w14:textId="77777777">
      <w:pPr>
        <w:spacing w:line="240" w:lineRule="auto"/>
      </w:pPr>
    </w:p>
    <w:p w:rsidR="000910FD" w:rsidP="00CF0DC1" w14:paraId="2610F55E" w14:textId="77777777">
      <w:pPr>
        <w:spacing w:line="240" w:lineRule="auto"/>
      </w:pPr>
      <w:r>
        <w:t>Barry Morris, under appointment by the Court of Appeal, for Defendant and Appellant Samuel Flowers</w:t>
      </w:r>
    </w:p>
    <w:p w:rsidR="000910FD" w:rsidP="00CF0DC1" w14:paraId="73A1D868" w14:textId="77777777">
      <w:pPr>
        <w:spacing w:line="240" w:lineRule="auto"/>
      </w:pPr>
    </w:p>
    <w:p w:rsidR="000910FD" w:rsidP="00700228" w14:paraId="22F81601" w14:textId="77777777">
      <w:pPr>
        <w:spacing w:line="240" w:lineRule="auto"/>
      </w:pPr>
      <w:r>
        <w:t>Rob Bonta, Attorney General, Lance E. Winters, Chief Assistant Attorney General, Jeffrey M. Laurence, Assistant Attorney General, Seth K. Schalit and Bridget Billeter, Deputy Attorneys General, for Plaintiff and Respondent.</w:t>
      </w:r>
    </w:p>
    <w:p w:rsidR="000910FD" w:rsidP="00700228" w14:paraId="2270E088" w14:textId="77777777"/>
    <w:p w:rsidR="000910FD" w:rsidRPr="001269AC" w:rsidP="00294971" w14:paraId="4907B9C5" w14:textId="77777777">
      <w:pPr>
        <w:spacing w:line="240" w:lineRule="auto"/>
        <w:rPr>
          <w:rFonts w:eastAsia="Calibri"/>
        </w:rPr>
      </w:pPr>
    </w:p>
    <w:sectPr w:rsidSect="008C7AFC">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1872" w:rsidP="00861B9C" w14:paraId="448E2684" w14:textId="705E70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01872" w:rsidP="00861B9C" w14:paraId="5CEEBF98" w14:textId="55CCB4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01872" w14:paraId="104C2C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4118698"/>
      <w:docPartObj>
        <w:docPartGallery w:val="Page Numbers (Bottom of Page)"/>
        <w:docPartUnique/>
      </w:docPartObj>
    </w:sdtPr>
    <w:sdtEndPr>
      <w:rPr>
        <w:noProof/>
      </w:rPr>
    </w:sdtEndPr>
    <w:sdtContent>
      <w:p w:rsidR="00E41321" w14:paraId="7521AD2F" w14:textId="1097C6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01872" w14:paraId="2A53CE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133C" w:rsidP="00B01872" w14:paraId="134AA341" w14:textId="77777777">
      <w:pPr>
        <w:spacing w:line="240" w:lineRule="auto"/>
      </w:pPr>
      <w:r>
        <w:separator/>
      </w:r>
    </w:p>
  </w:footnote>
  <w:footnote w:type="continuationSeparator" w:id="1">
    <w:p w:rsidR="0093133C" w:rsidP="00B01872" w14:paraId="26E24A04" w14:textId="77777777">
      <w:pPr>
        <w:spacing w:line="240" w:lineRule="auto"/>
      </w:pPr>
      <w:r>
        <w:continuationSeparator/>
      </w:r>
    </w:p>
  </w:footnote>
  <w:footnote w:id="2">
    <w:p w:rsidR="0078767E" w:rsidRPr="0078767E" w:rsidP="00FE5474" w14:paraId="72DF9692" w14:textId="66DE8624">
      <w:pPr>
        <w:pStyle w:val="FootnoteText"/>
        <w:ind w:firstLine="720"/>
      </w:pPr>
      <w:r w:rsidRPr="00FE5474">
        <w:rPr>
          <w:rStyle w:val="FootnoteReference"/>
          <w:b/>
          <w:bCs/>
        </w:rPr>
        <w:footnoteRef/>
      </w:r>
      <w:r w:rsidRPr="00FE5474">
        <w:rPr>
          <w:b/>
          <w:bCs/>
        </w:rPr>
        <w:t xml:space="preserve"> </w:t>
      </w:r>
      <w:r>
        <w:rPr>
          <w:b/>
          <w:bCs/>
        </w:rPr>
        <w:t xml:space="preserve"> </w:t>
      </w:r>
      <w:r w:rsidRPr="00FE5474">
        <w:t>All further statutory references are to the Penal Code except as otherwise indicated.</w:t>
      </w:r>
      <w:r w:rsidR="006D62EB">
        <w:t xml:space="preserve">  </w:t>
      </w:r>
      <w:r w:rsidRPr="006D62EB" w:rsidR="006D62EB">
        <w:t xml:space="preserve">Section 1172.6 (former section 1170.95) </w:t>
      </w:r>
      <w:r w:rsidR="00425AFA">
        <w:t>allows</w:t>
      </w:r>
      <w:r w:rsidRPr="006D62EB" w:rsidR="006D62EB">
        <w:t xml:space="preserve"> persons convicted of murder prior to the 2019 amendments to the murder statutes to seek relief from such convictions in the trial court if they could not be convicted of murder under the current murder statutes.  (Stats. 2018, ch.</w:t>
      </w:r>
      <w:r w:rsidR="00DA51CA">
        <w:t> </w:t>
      </w:r>
      <w:r w:rsidRPr="006D62EB" w:rsidR="006D62EB">
        <w:t>1015, §</w:t>
      </w:r>
      <w:r w:rsidR="00DA51CA">
        <w:t> </w:t>
      </w:r>
      <w:r w:rsidRPr="006D62EB" w:rsidR="006D62EB">
        <w:t>4</w:t>
      </w:r>
      <w:r w:rsidR="00DA51CA">
        <w:t>; Stats. 2022, ch. </w:t>
      </w:r>
      <w:r w:rsidR="00A478A3">
        <w:t xml:space="preserve">58, </w:t>
      </w:r>
      <w:r w:rsidRPr="00A478A3" w:rsidR="00A478A3">
        <w:t>§</w:t>
      </w:r>
      <w:r w:rsidR="00A478A3">
        <w:t> 10</w:t>
      </w:r>
      <w:r w:rsidRPr="006D62EB" w:rsidR="006D62EB">
        <w:t>.)</w:t>
      </w:r>
      <w:r w:rsidR="006D62EB">
        <w:t xml:space="preserve">  </w:t>
      </w:r>
      <w:r w:rsidR="00910274">
        <w:t>Throughout this opinion, w</w:t>
      </w:r>
      <w:r w:rsidR="006D62EB">
        <w:t>e cite to section 1172.6 for ea</w:t>
      </w:r>
      <w:r w:rsidR="00425AFA">
        <w:t xml:space="preserve">se of reference. </w:t>
      </w:r>
      <w:r w:rsidR="00DA51CA">
        <w:t xml:space="preserve"> For clarity, we refer to Appellants as such throughout this opinion whether we are discussi</w:t>
      </w:r>
      <w:r w:rsidR="00216807">
        <w:t>ng</w:t>
      </w:r>
      <w:r w:rsidR="00DA51CA">
        <w:t xml:space="preserve"> the trial, the original appeal, or the remand</w:t>
      </w:r>
      <w:r w:rsidR="00C27A6F">
        <w:t xml:space="preserve"> and</w:t>
      </w:r>
      <w:r w:rsidR="00DA51CA">
        <w:t xml:space="preserve"> resentencing proceedings.</w:t>
      </w:r>
    </w:p>
  </w:footnote>
  <w:footnote w:id="3">
    <w:p w:rsidR="00151769" w:rsidRPr="00C942A9" w:rsidP="00C942A9" w14:paraId="4BBD1371" w14:textId="3B9CB2D3">
      <w:pPr>
        <w:pStyle w:val="FootnoteText"/>
        <w:ind w:firstLine="720"/>
      </w:pPr>
      <w:r w:rsidRPr="00AA708B">
        <w:rPr>
          <w:rStyle w:val="FootnoteReference"/>
          <w:b/>
          <w:bCs/>
        </w:rPr>
        <w:footnoteRef/>
      </w:r>
      <w:r w:rsidRPr="00AA708B">
        <w:rPr>
          <w:b/>
          <w:bCs/>
        </w:rPr>
        <w:t xml:space="preserve"> </w:t>
      </w:r>
      <w:r>
        <w:rPr>
          <w:b/>
          <w:bCs/>
        </w:rPr>
        <w:t xml:space="preserve"> </w:t>
      </w:r>
      <w:r w:rsidRPr="004E4FA7">
        <w:t>Anthony</w:t>
      </w:r>
      <w:r>
        <w:t>, whom the evidence indicated was driving the vehicle,</w:t>
      </w:r>
      <w:r w:rsidRPr="004E4FA7">
        <w:t xml:space="preserve"> did not seek relief from the second degree murder convictions</w:t>
      </w:r>
      <w:r>
        <w:t xml:space="preserve">.  </w:t>
      </w:r>
    </w:p>
  </w:footnote>
  <w:footnote w:id="4">
    <w:p w:rsidR="008C2747" w:rsidRPr="00D26D57" w:rsidP="00D26D57" w14:paraId="1AF1EF8C" w14:textId="56274D97">
      <w:pPr>
        <w:pStyle w:val="FootnoteText"/>
        <w:spacing w:after="120"/>
        <w:ind w:firstLine="720"/>
      </w:pPr>
      <w:r w:rsidRPr="008C2747">
        <w:rPr>
          <w:rStyle w:val="FootnoteReference"/>
          <w:b/>
          <w:bCs/>
        </w:rPr>
        <w:footnoteRef/>
      </w:r>
      <w:r w:rsidRPr="008C2747">
        <w:rPr>
          <w:b/>
          <w:bCs/>
        </w:rPr>
        <w:t xml:space="preserve"> </w:t>
      </w:r>
      <w:r>
        <w:t xml:space="preserve"> </w:t>
      </w:r>
      <w:r w:rsidRPr="008C2747">
        <w:rPr>
          <w:i/>
          <w:iCs/>
        </w:rPr>
        <w:t>People v. Chiu</w:t>
      </w:r>
      <w:r>
        <w:t xml:space="preserve"> (2014) 59 </w:t>
      </w:r>
      <w:r w:rsidRPr="004B2AFE">
        <w:t>Cal.4th</w:t>
      </w:r>
      <w:r>
        <w:t xml:space="preserve"> 155</w:t>
      </w:r>
      <w:r w:rsidR="00953C9B">
        <w:t xml:space="preserve"> </w:t>
      </w:r>
      <w:r w:rsidRPr="0090024A" w:rsidR="00953C9B">
        <w:t>(</w:t>
      </w:r>
      <w:r w:rsidRPr="0090024A" w:rsidR="00953C9B">
        <w:rPr>
          <w:i/>
          <w:iCs/>
        </w:rPr>
        <w:t>Chiu</w:t>
      </w:r>
      <w:r w:rsidRPr="0090024A" w:rsidR="00953C9B">
        <w:t>)</w:t>
      </w:r>
      <w:r w:rsidR="00AC2AE0">
        <w:t xml:space="preserve">, superseded by statute </w:t>
      </w:r>
      <w:r w:rsidR="00D26D57">
        <w:t xml:space="preserve">on another ground as noted </w:t>
      </w:r>
      <w:r w:rsidRPr="00D26D57" w:rsidR="00D26D57">
        <w:rPr>
          <w:i/>
          <w:iCs/>
        </w:rPr>
        <w:t>In re Ferrell</w:t>
      </w:r>
      <w:r w:rsidR="00D26D57">
        <w:t xml:space="preserve"> (2023) 14 Cal.5th 593, 602</w:t>
      </w:r>
      <w:r w:rsidR="001422F5">
        <w:t xml:space="preserve">.  </w:t>
      </w:r>
      <w:r w:rsidRPr="0090024A" w:rsidR="00953C9B">
        <w:t xml:space="preserve">In </w:t>
      </w:r>
      <w:r w:rsidRPr="0090024A" w:rsidR="00953C9B">
        <w:rPr>
          <w:i/>
          <w:iCs/>
        </w:rPr>
        <w:t>Chiu</w:t>
      </w:r>
      <w:r w:rsidRPr="0090024A" w:rsidR="00953C9B">
        <w:t xml:space="preserve">, the court held that an aider and abettor may not be held liable for </w:t>
      </w:r>
      <w:r w:rsidRPr="0090024A" w:rsidR="00E173A7">
        <w:t xml:space="preserve">first degree </w:t>
      </w:r>
      <w:r w:rsidRPr="0090024A" w:rsidR="00953C9B">
        <w:t xml:space="preserve">murder under a natural and probable consequences theory, that is, for aiding and abetting some other offense, the natural and probable consequence of which was murder.  </w:t>
      </w:r>
      <w:r w:rsidRPr="0090024A" w:rsidR="00E173A7">
        <w:t>Subsequently, the Legislature codified that holding and went beyond it to eliminate the natural and probable consequences doctrine as a basis for any degree of murder and limiting the application of the felony murder doctrine.  (</w:t>
      </w:r>
      <w:r w:rsidRPr="0090024A" w:rsidR="00E173A7">
        <w:rPr>
          <w:i/>
          <w:iCs/>
        </w:rPr>
        <w:t>People v. Lewis</w:t>
      </w:r>
      <w:r w:rsidRPr="0090024A" w:rsidR="00E173A7">
        <w:t xml:space="preserve"> (2021) 11 Cal.5th 952, 957</w:t>
      </w:r>
      <w:r w:rsidRPr="0090024A" w:rsidR="00D601C6">
        <w:t xml:space="preserve"> (</w:t>
      </w:r>
      <w:r w:rsidRPr="0090024A" w:rsidR="00D601C6">
        <w:rPr>
          <w:i/>
          <w:iCs/>
        </w:rPr>
        <w:t>Lewis</w:t>
      </w:r>
      <w:r w:rsidRPr="0090024A" w:rsidR="00D601C6">
        <w:t>)</w:t>
      </w:r>
      <w:r w:rsidRPr="0090024A" w:rsidR="00E173A7">
        <w:t>.)</w:t>
      </w:r>
    </w:p>
  </w:footnote>
  <w:footnote w:id="5">
    <w:p w:rsidR="00510E48" w:rsidP="00510E48" w14:paraId="2BCEF246" w14:textId="1C59925D">
      <w:pPr>
        <w:pStyle w:val="FootnoteText"/>
        <w:ind w:firstLine="720"/>
      </w:pPr>
      <w:r w:rsidRPr="00D65CB4">
        <w:rPr>
          <w:rStyle w:val="FootnoteReference"/>
          <w:b/>
          <w:bCs/>
        </w:rPr>
        <w:footnoteRef/>
      </w:r>
      <w:r w:rsidRPr="00D65CB4">
        <w:rPr>
          <w:b/>
          <w:bCs/>
        </w:rPr>
        <w:t xml:space="preserve"> </w:t>
      </w:r>
      <w:r>
        <w:t xml:space="preserve"> Price filed a petition on his own behalf at about the same time counsel was appointed for him, which the trial court denied without prejudice to counsel filing a petition on his behalf, which that counsel then did. </w:t>
      </w:r>
    </w:p>
  </w:footnote>
  <w:footnote w:id="6">
    <w:p w:rsidR="002A4F79" w:rsidRPr="00576276" w:rsidP="00576276" w14:paraId="240AA110" w14:textId="66AC8E97">
      <w:pPr>
        <w:pStyle w:val="FootnoteText"/>
        <w:ind w:firstLine="720"/>
        <w:rPr>
          <w:b/>
          <w:bCs/>
        </w:rPr>
      </w:pPr>
      <w:r w:rsidRPr="00576276">
        <w:rPr>
          <w:rStyle w:val="FootnoteReference"/>
          <w:b/>
          <w:bCs/>
        </w:rPr>
        <w:footnoteRef/>
      </w:r>
      <w:r w:rsidR="00073840">
        <w:rPr>
          <w:b/>
          <w:bCs/>
        </w:rPr>
        <w:t xml:space="preserve"> </w:t>
      </w:r>
      <w:r w:rsidRPr="00576276">
        <w:rPr>
          <w:b/>
          <w:bCs/>
        </w:rPr>
        <w:t xml:space="preserve"> </w:t>
      </w:r>
      <w:r w:rsidRPr="00232E56">
        <w:t>The initials “NSO” refer to a gang known as “North Side Oakland,” which operated out of the north</w:t>
      </w:r>
      <w:r w:rsidRPr="00232E56" w:rsidR="006636D8">
        <w:t>ern</w:t>
      </w:r>
      <w:r w:rsidRPr="00232E56">
        <w:t xml:space="preserve"> part of Oakland, California and had a number of subsets, monikers and symbols.  (</w:t>
      </w:r>
      <w:r w:rsidRPr="00232E56">
        <w:rPr>
          <w:i/>
          <w:iCs/>
        </w:rPr>
        <w:t>Anthony</w:t>
      </w:r>
      <w:r w:rsidRPr="00232E56" w:rsidR="00D601C6">
        <w:rPr>
          <w:i/>
          <w:iCs/>
        </w:rPr>
        <w:t xml:space="preserve"> I, supra,</w:t>
      </w:r>
      <w:r w:rsidRPr="00232E56">
        <w:t xml:space="preserve"> 32 Cal.App.5th </w:t>
      </w:r>
      <w:r w:rsidRPr="00232E56" w:rsidR="00D601C6">
        <w:t xml:space="preserve">at pp. </w:t>
      </w:r>
      <w:r w:rsidRPr="00232E56">
        <w:t xml:space="preserve">1106, 1126, </w:t>
      </w:r>
      <w:r w:rsidRPr="00232E56" w:rsidR="006636D8">
        <w:t>1132-1133.)</w:t>
      </w:r>
    </w:p>
  </w:footnote>
  <w:footnote w:id="7">
    <w:p w:rsidR="005602A8" w:rsidRPr="00613895" w:rsidP="005602A8" w14:paraId="2ADA3546" w14:textId="77777777">
      <w:pPr>
        <w:pStyle w:val="FootnoteText"/>
        <w:ind w:firstLine="720"/>
        <w:rPr>
          <w:szCs w:val="26"/>
        </w:rPr>
      </w:pPr>
      <w:r w:rsidRPr="00B0375F">
        <w:rPr>
          <w:rStyle w:val="FootnoteReference"/>
          <w:b/>
          <w:bCs/>
          <w:szCs w:val="26"/>
        </w:rPr>
        <w:footnoteRef/>
      </w:r>
      <w:r w:rsidRPr="00B0375F">
        <w:rPr>
          <w:b/>
          <w:bCs/>
          <w:szCs w:val="26"/>
        </w:rPr>
        <w:t xml:space="preserve">  </w:t>
      </w:r>
      <w:r w:rsidRPr="00613895">
        <w:rPr>
          <w:szCs w:val="26"/>
        </w:rPr>
        <w:t>The phrase “pattern of criminal gang activity” is used in the definition of “criminal street gang,” and thus the amendment that limited the meaning of that phrase implicated the same two elements as the change in the definition of “criminal street gang” itself.</w:t>
      </w:r>
    </w:p>
  </w:footnote>
  <w:footnote w:id="8">
    <w:p w:rsidR="00EC11FD" w:rsidP="000705DF" w14:paraId="16729C2A" w14:textId="671AC804">
      <w:pPr>
        <w:pStyle w:val="FootnoteText"/>
        <w:spacing w:after="120"/>
        <w:ind w:firstLine="720"/>
      </w:pPr>
      <w:r w:rsidRPr="00D65CB4">
        <w:rPr>
          <w:rStyle w:val="FootnoteReference"/>
          <w:b/>
          <w:bCs/>
        </w:rPr>
        <w:footnoteRef/>
      </w:r>
      <w:r w:rsidR="006701F5">
        <w:rPr>
          <w:b/>
          <w:bCs/>
        </w:rPr>
        <w:t xml:space="preserve"> </w:t>
      </w:r>
      <w:r w:rsidRPr="00D65CB4">
        <w:rPr>
          <w:b/>
          <w:bCs/>
        </w:rPr>
        <w:t xml:space="preserve"> </w:t>
      </w:r>
      <w:r>
        <w:t xml:space="preserve">While our high court has not addressed the precise issue before us, it </w:t>
      </w:r>
      <w:r w:rsidR="00EE095B">
        <w:t xml:space="preserve">has </w:t>
      </w:r>
      <w:r>
        <w:t xml:space="preserve">rejected the suggestion that petitioners in resentencing proceedings under section 1172.6 are free to relitigate adverse factual findings previously made by the jury under a valid instruction.  (See </w:t>
      </w:r>
      <w:r w:rsidRPr="00EC11FD">
        <w:rPr>
          <w:i/>
          <w:iCs/>
        </w:rPr>
        <w:t>People v. Strong</w:t>
      </w:r>
      <w:r>
        <w:t xml:space="preserve"> (2022) 13</w:t>
      </w:r>
      <w:r w:rsidR="006701F5">
        <w:t> </w:t>
      </w:r>
      <w:r>
        <w:t>Cal.5th 698, 714-715.)</w:t>
      </w:r>
    </w:p>
  </w:footnote>
  <w:footnote w:id="9">
    <w:p w:rsidR="00665FF0" w:rsidRPr="00FE5474" w:rsidP="00C942A9" w14:paraId="68CBEDC6" w14:textId="505BF26D">
      <w:pPr>
        <w:pStyle w:val="FootnoteText"/>
        <w:ind w:firstLine="720"/>
      </w:pPr>
      <w:r w:rsidRPr="008455A2">
        <w:rPr>
          <w:rStyle w:val="FootnoteReference"/>
          <w:b/>
          <w:bCs/>
        </w:rPr>
        <w:footnoteRef/>
      </w:r>
      <w:r w:rsidRPr="00FE5474">
        <w:rPr>
          <w:b/>
          <w:bCs/>
        </w:rPr>
        <w:t xml:space="preserve"> </w:t>
      </w:r>
      <w:r w:rsidRPr="009C583A">
        <w:t xml:space="preserve"> </w:t>
      </w:r>
      <w:r w:rsidRPr="00FE5474">
        <w:t>The change</w:t>
      </w:r>
      <w:r w:rsidRPr="00FE5474" w:rsidR="0093296B">
        <w:t>s</w:t>
      </w:r>
      <w:r w:rsidRPr="00FE5474">
        <w:t xml:space="preserve"> in law </w:t>
      </w:r>
      <w:r w:rsidRPr="00FE5474" w:rsidR="00A57193">
        <w:t>at issue</w:t>
      </w:r>
      <w:r w:rsidRPr="00FE5474">
        <w:t xml:space="preserve"> in </w:t>
      </w:r>
      <w:r w:rsidRPr="00FE5474">
        <w:rPr>
          <w:i/>
          <w:iCs/>
        </w:rPr>
        <w:t>Curiel</w:t>
      </w:r>
      <w:r w:rsidRPr="00FE5474">
        <w:t xml:space="preserve"> </w:t>
      </w:r>
      <w:r w:rsidRPr="00FE5474" w:rsidR="0093296B">
        <w:t>were</w:t>
      </w:r>
      <w:r w:rsidRPr="00FE5474">
        <w:t xml:space="preserve"> the </w:t>
      </w:r>
      <w:r w:rsidRPr="00FE5474" w:rsidR="00DE4327">
        <w:t xml:space="preserve">high court’s 2016 </w:t>
      </w:r>
      <w:r w:rsidRPr="00FE5474" w:rsidR="0093296B">
        <w:t xml:space="preserve">decision in </w:t>
      </w:r>
      <w:r w:rsidRPr="00FE5474" w:rsidR="0093296B">
        <w:rPr>
          <w:i/>
          <w:iCs/>
        </w:rPr>
        <w:t>People v. Sanchez</w:t>
      </w:r>
      <w:r w:rsidRPr="00FE5474" w:rsidR="00D075CC">
        <w:rPr>
          <w:i/>
          <w:iCs/>
        </w:rPr>
        <w:t xml:space="preserve"> </w:t>
      </w:r>
      <w:r w:rsidRPr="00FE5474" w:rsidR="00D075CC">
        <w:t>(2016)</w:t>
      </w:r>
      <w:r w:rsidRPr="00FE5474" w:rsidR="00DE4327">
        <w:t xml:space="preserve"> 63 Cal.4th 665 and the Legislature’s 2018 adoption of Senate Bill </w:t>
      </w:r>
      <w:r w:rsidRPr="00FE5474" w:rsidR="007768E0">
        <w:t xml:space="preserve">No. </w:t>
      </w:r>
      <w:r w:rsidRPr="00FE5474" w:rsidR="00DE4327">
        <w:t>1437</w:t>
      </w:r>
      <w:r w:rsidRPr="00FE5474" w:rsidR="007768E0">
        <w:t xml:space="preserve"> (2017</w:t>
      </w:r>
      <w:r w:rsidR="00E642A6">
        <w:t>–</w:t>
      </w:r>
      <w:r w:rsidRPr="00FE5474" w:rsidR="007768E0">
        <w:t>2018 Reg. Sess.)</w:t>
      </w:r>
      <w:r w:rsidRPr="00FE5474" w:rsidR="005D67E8">
        <w:t xml:space="preserve"> (Senate Bill 1437)</w:t>
      </w:r>
      <w:r w:rsidRPr="00FE5474" w:rsidR="00DE4327">
        <w:t>.  (</w:t>
      </w:r>
      <w:r w:rsidRPr="00FE5474" w:rsidR="00DE4327">
        <w:rPr>
          <w:i/>
          <w:iCs/>
        </w:rPr>
        <w:t>Curiel</w:t>
      </w:r>
      <w:r w:rsidRPr="00FE5474" w:rsidR="00DE4327">
        <w:t xml:space="preserve">, </w:t>
      </w:r>
      <w:r w:rsidRPr="00FE5474" w:rsidR="00DE4327">
        <w:rPr>
          <w:i/>
          <w:iCs/>
        </w:rPr>
        <w:t>supra</w:t>
      </w:r>
      <w:r w:rsidRPr="00FE5474" w:rsidR="00DE4327">
        <w:t xml:space="preserve">, </w:t>
      </w:r>
      <w:r w:rsidRPr="00FE5474" w:rsidR="004238AA">
        <w:t>__</w:t>
      </w:r>
      <w:r w:rsidRPr="00FE5474" w:rsidR="007768E0">
        <w:t xml:space="preserve"> Cal.5th </w:t>
      </w:r>
      <w:r w:rsidRPr="00FE5474" w:rsidR="004238AA">
        <w:t>__</w:t>
      </w:r>
      <w:r w:rsidRPr="00FE5474" w:rsidR="007768E0">
        <w:t xml:space="preserve"> [2023 WL 8178140, </w:t>
      </w:r>
      <w:r w:rsidRPr="00FE5474" w:rsidR="00DE4327">
        <w:t>at pp.</w:t>
      </w:r>
      <w:r w:rsidR="00371F07">
        <w:t> </w:t>
      </w:r>
      <w:r w:rsidRPr="00FE5474" w:rsidR="005D67E8">
        <w:t>*</w:t>
      </w:r>
      <w:r w:rsidRPr="00FE5474" w:rsidR="00DE4327">
        <w:t>11-</w:t>
      </w:r>
      <w:r w:rsidRPr="00FE5474" w:rsidR="005D67E8">
        <w:t>*</w:t>
      </w:r>
      <w:r w:rsidRPr="00FE5474" w:rsidR="00DE4327">
        <w:t xml:space="preserve">14].)  The parties apparently did not argue, and the </w:t>
      </w:r>
      <w:r w:rsidRPr="00FE5474" w:rsidR="00EE5F27">
        <w:t>c</w:t>
      </w:r>
      <w:r w:rsidRPr="00FE5474" w:rsidR="00DE4327">
        <w:t>ourt did not address</w:t>
      </w:r>
      <w:r w:rsidR="0051473A">
        <w:t>,</w:t>
      </w:r>
      <w:r w:rsidRPr="00FE5474" w:rsidR="00DE4327">
        <w:t xml:space="preserve"> the more recent adoption of </w:t>
      </w:r>
      <w:r w:rsidRPr="00FE5474" w:rsidR="005D67E8">
        <w:t>Assembly Bill 333</w:t>
      </w:r>
      <w:r w:rsidRPr="00FE5474" w:rsidR="004C7570">
        <w:t xml:space="preserve"> with its amendments to the gang statutes.  However, </w:t>
      </w:r>
      <w:r w:rsidRPr="00FE5474" w:rsidR="005D67E8">
        <w:t>A</w:t>
      </w:r>
      <w:r w:rsidRPr="00FE5474" w:rsidR="004C7570">
        <w:t>ppellants have not argued that the change in law resulting from A</w:t>
      </w:r>
      <w:r w:rsidRPr="00FE5474" w:rsidR="005D67E8">
        <w:t xml:space="preserve">ssembly </w:t>
      </w:r>
      <w:r w:rsidRPr="00FE5474" w:rsidR="004C7570">
        <w:t>B</w:t>
      </w:r>
      <w:r w:rsidRPr="00FE5474" w:rsidR="005D67E8">
        <w:t>ill</w:t>
      </w:r>
      <w:r w:rsidRPr="00FE5474" w:rsidR="004C7570">
        <w:t xml:space="preserve"> 333 would have changed the outcome of the jury’s finding on intent to kill such as to allow them to relitigate that issue.  (See </w:t>
      </w:r>
      <w:r w:rsidRPr="00FE5474" w:rsidR="004C7570">
        <w:rPr>
          <w:i/>
          <w:iCs/>
        </w:rPr>
        <w:t>Curiel</w:t>
      </w:r>
      <w:r w:rsidRPr="00FE5474" w:rsidR="004C7570">
        <w:t xml:space="preserve">, at p. </w:t>
      </w:r>
      <w:r w:rsidRPr="00FE5474" w:rsidR="005D67E8">
        <w:t>*12</w:t>
      </w:r>
      <w:r w:rsidRPr="00FE5474" w:rsidR="004C7570">
        <w:t xml:space="preserve">.) </w:t>
      </w:r>
      <w:r w:rsidRPr="00FE5474" w:rsidR="00DE4327">
        <w:t xml:space="preserve"> </w:t>
      </w:r>
    </w:p>
  </w:footnote>
  <w:footnote w:id="10">
    <w:p w:rsidR="008D3D7C" w:rsidRPr="00FB4230" w:rsidP="008D3D7C" w14:paraId="1BA8BF63" w14:textId="14A7DAEE">
      <w:pPr>
        <w:pStyle w:val="FootnoteText"/>
      </w:pPr>
      <w:r>
        <w:tab/>
      </w:r>
      <w:r w:rsidRPr="00FB4230">
        <w:rPr>
          <w:rStyle w:val="FootnoteReference"/>
          <w:b/>
          <w:bCs/>
        </w:rPr>
        <w:footnoteRef/>
      </w:r>
      <w:r w:rsidRPr="00FB4230">
        <w:rPr>
          <w:b/>
          <w:bCs/>
        </w:rPr>
        <w:t xml:space="preserve">  </w:t>
      </w:r>
      <w:r w:rsidRPr="00C71482">
        <w:t>“Aiders and abettors may still be convicted of first degree premeditated murder based on direct aiding and abetting principles.</w:t>
      </w:r>
      <w:r>
        <w:t xml:space="preserve">  [Citation.]  </w:t>
      </w:r>
      <w:r w:rsidRPr="00C71482">
        <w:t>Under those principles, the prosecution must show that the defendant aided or encouraged the commission of the murder with knowledge of the unlawful purpose of the perpetrator and with the intent or purpose of committing, encouraging, or facilitating its commission.</w:t>
      </w:r>
      <w:r>
        <w:t xml:space="preserve">  [Citation.]  </w:t>
      </w:r>
      <w:r w:rsidRPr="00C71482">
        <w:t>Because the mental state component—consisting of intent and knowledge—extends to the entire crime, it preserves the distinction between assisting the predicate crime of second degree murder and assisting the greater offense of first degree premeditated murder.</w:t>
      </w:r>
      <w:r>
        <w:t xml:space="preserve">  [Citation.]  </w:t>
      </w:r>
      <w:r w:rsidRPr="00C71482">
        <w:t>An aider</w:t>
      </w:r>
      <w:r>
        <w:t xml:space="preserve"> and abettor who knowingly and intentionally assists a confederate to kill someone could be found to have acted willfully, deliberately, and with premeditation, having formed his own culpable intent.  Such an aider and abettor, then, acts with the mens rea required for first degree murder.”  (</w:t>
      </w:r>
      <w:r w:rsidRPr="00C71482">
        <w:rPr>
          <w:i/>
          <w:iCs/>
        </w:rPr>
        <w:t>Chiu</w:t>
      </w:r>
      <w:r>
        <w:rPr>
          <w:i/>
          <w:iCs/>
        </w:rPr>
        <w:t xml:space="preserve">, supra, </w:t>
      </w:r>
      <w:r>
        <w:t>59 </w:t>
      </w:r>
      <w:r w:rsidRPr="008D3D7C">
        <w:t>Cal.4th</w:t>
      </w:r>
      <w:r w:rsidRPr="00C71482">
        <w:t xml:space="preserve"> </w:t>
      </w:r>
      <w:r>
        <w:t>at pp. 166-167.)</w:t>
      </w:r>
    </w:p>
  </w:footnote>
  <w:footnote w:id="11">
    <w:p w:rsidR="00B46ACA" w:rsidRPr="00FE5474" w:rsidP="00C942A9" w14:paraId="0F58DE80" w14:textId="0A9D28EC">
      <w:pPr>
        <w:shd w:val="clear" w:color="auto" w:fill="FFFFFF"/>
        <w:spacing w:after="120" w:line="240" w:lineRule="auto"/>
        <w:ind w:right="144" w:firstLine="720"/>
      </w:pPr>
      <w:r w:rsidRPr="00C942A9">
        <w:rPr>
          <w:rStyle w:val="FootnoteReference"/>
          <w:b/>
          <w:bCs/>
        </w:rPr>
        <w:footnoteRef/>
      </w:r>
      <w:r w:rsidRPr="00C942A9">
        <w:rPr>
          <w:b/>
          <w:bCs/>
        </w:rPr>
        <w:t xml:space="preserve"> </w:t>
      </w:r>
      <w:r w:rsidRPr="00C942A9" w:rsidR="009972E0">
        <w:rPr>
          <w:b/>
          <w:bCs/>
        </w:rPr>
        <w:t xml:space="preserve"> </w:t>
      </w:r>
      <w:r w:rsidRPr="00FE5474">
        <w:t xml:space="preserve">The </w:t>
      </w:r>
      <w:r w:rsidRPr="00FE5474" w:rsidR="009C55F9">
        <w:t>People</w:t>
      </w:r>
      <w:r w:rsidRPr="00FE5474">
        <w:t xml:space="preserve"> also suggest that to allow Appellants to challenge a murder conviction based on lack of premeditation and malice would be a form of “collateral attack” on a jury finding.  The argument ignores the fact that the record here does not establish that the jury found the killing of Davis was premeditated and deliberate </w:t>
      </w:r>
      <w:r w:rsidRPr="00FE5474" w:rsidR="002B2C15">
        <w:t>so as to establish they were guilty of first degree murder; n</w:t>
      </w:r>
      <w:r w:rsidRPr="00FE5474">
        <w:t xml:space="preserve">or </w:t>
      </w:r>
      <w:r w:rsidRPr="00FE5474" w:rsidR="002B2C15">
        <w:t>was its</w:t>
      </w:r>
      <w:r w:rsidRPr="00FE5474">
        <w:t xml:space="preserve"> malice</w:t>
      </w:r>
      <w:r w:rsidRPr="00FE5474" w:rsidR="002B2C15">
        <w:t xml:space="preserve"> finding accompanied by findings on the other elements of any second degree murder theory</w:t>
      </w:r>
      <w:r w:rsidRPr="00FE5474">
        <w:t xml:space="preserve">.  That is because the jury was instructed on premeditated murder, malice murder </w:t>
      </w:r>
      <w:r w:rsidRPr="00FE5474">
        <w:rPr>
          <w:i/>
          <w:iCs/>
        </w:rPr>
        <w:t xml:space="preserve">and </w:t>
      </w:r>
      <w:r w:rsidRPr="00FE5474">
        <w:t>natural and probable consequences murder.  Without a definitive and clear indication in the record that the jury actually found Appellants guilty of the murder of Davis under a valid theory, the trial court must proceed to the evidentiary hearing and consider and weigh the evidence.</w:t>
      </w:r>
    </w:p>
  </w:footnote>
  <w:footnote w:id="12">
    <w:p w:rsidR="00D14096" w:rsidRPr="00FE5474" w:rsidP="00D14096" w14:paraId="1A480FF9" w14:textId="64408599">
      <w:pPr>
        <w:pStyle w:val="FootnoteText"/>
        <w:ind w:firstLine="720"/>
      </w:pPr>
      <w:r w:rsidRPr="00C942A9">
        <w:rPr>
          <w:rStyle w:val="FootnoteReference"/>
          <w:b/>
          <w:bCs/>
        </w:rPr>
        <w:footnoteRef/>
      </w:r>
      <w:r w:rsidRPr="00C942A9">
        <w:rPr>
          <w:b/>
          <w:bCs/>
        </w:rPr>
        <w:t xml:space="preserve">  </w:t>
      </w:r>
      <w:r w:rsidRPr="00FE5474">
        <w:t xml:space="preserve">The target offenses in </w:t>
      </w:r>
      <w:r w:rsidRPr="00FE5474">
        <w:rPr>
          <w:i/>
          <w:iCs/>
        </w:rPr>
        <w:t>Curiel</w:t>
      </w:r>
      <w:r w:rsidRPr="00FE5474">
        <w:t xml:space="preserve"> were disturbing the peace and carrying of a concealed weapon by a gang member.  (</w:t>
      </w:r>
      <w:r w:rsidRPr="00FE5474">
        <w:rPr>
          <w:i/>
          <w:iCs/>
        </w:rPr>
        <w:t>Curiel</w:t>
      </w:r>
      <w:r w:rsidRPr="00FE5474">
        <w:t>,</w:t>
      </w:r>
      <w:r w:rsidRPr="00FE5474" w:rsidR="00D65317">
        <w:t xml:space="preserve"> </w:t>
      </w:r>
      <w:r w:rsidRPr="00FE5474" w:rsidR="00D65317">
        <w:rPr>
          <w:i/>
          <w:iCs/>
        </w:rPr>
        <w:t xml:space="preserve">supra, </w:t>
      </w:r>
      <w:r w:rsidRPr="00FE5474" w:rsidR="00D65317">
        <w:t>__ Cal.5th __ [2023 WL 8178140</w:t>
      </w:r>
      <w:r w:rsidRPr="00FE5474" w:rsidR="00537780">
        <w:t>,</w:t>
      </w:r>
      <w:r w:rsidRPr="00FE5474" w:rsidR="00D65317">
        <w:t xml:space="preserve"> </w:t>
      </w:r>
      <w:r w:rsidRPr="00FE5474">
        <w:t>at p.</w:t>
      </w:r>
      <w:r w:rsidRPr="00FE5474" w:rsidR="00D65317">
        <w:t xml:space="preserve"> *</w:t>
      </w:r>
      <w:r w:rsidR="00646A14">
        <w:t>5</w:t>
      </w:r>
      <w:r w:rsidRPr="00FE5474" w:rsidR="00D65317">
        <w:t>]</w:t>
      </w:r>
      <w:r w:rsidRPr="00FE5474">
        <w:t>.)</w:t>
      </w:r>
    </w:p>
  </w:footnote>
  <w:footnote w:id="13">
    <w:p w:rsidR="006770DD" w:rsidP="00C942A9" w14:paraId="5224F8E1" w14:textId="20276170">
      <w:pPr>
        <w:pStyle w:val="FootnoteText"/>
        <w:tabs>
          <w:tab w:val="left" w:pos="2340"/>
        </w:tabs>
        <w:ind w:firstLine="720"/>
      </w:pPr>
      <w:r w:rsidRPr="00C942A9">
        <w:rPr>
          <w:rStyle w:val="FootnoteReference"/>
          <w:b/>
          <w:bCs/>
        </w:rPr>
        <w:footnoteRef/>
      </w:r>
      <w:r w:rsidRPr="00C942A9">
        <w:rPr>
          <w:b/>
          <w:bCs/>
        </w:rPr>
        <w:t xml:space="preserve"> </w:t>
      </w:r>
      <w:r w:rsidR="001C1965">
        <w:rPr>
          <w:b/>
          <w:bCs/>
        </w:rPr>
        <w:t xml:space="preserve"> </w:t>
      </w:r>
      <w:r w:rsidRPr="00734EB8">
        <w:t>The instruction combined two natural and probable consequences theories and so referred to the target offenses as “assault with a firearm or murder” and referred to a “coparticipant commit[ting] another murder.”</w:t>
      </w:r>
      <w:r w:rsidR="008617D9">
        <w:t xml:space="preserve">  </w:t>
      </w:r>
      <w:r w:rsidRPr="00734EB8">
        <w:t>The first theory</w:t>
      </w:r>
      <w:r w:rsidRPr="00734EB8" w:rsidR="002052F3">
        <w:t>, which is the one relevant here,</w:t>
      </w:r>
      <w:r w:rsidRPr="00734EB8">
        <w:t xml:space="preserve"> was that by aiding and abetting the perpetrator’s assault with a firearm, during which the perpetrator murdered Davis, the defendants were guilty of the latter crime.  </w:t>
      </w:r>
      <w:r w:rsidRPr="00734EB8" w:rsidR="002052F3">
        <w:t>(</w:t>
      </w:r>
      <w:r w:rsidRPr="00734EB8">
        <w:t xml:space="preserve">The second theory, which is not relevant here, was that while committing the murder of Davis, a coparticipant committed </w:t>
      </w:r>
      <w:r w:rsidRPr="00C942A9">
        <w:rPr>
          <w:i/>
          <w:iCs/>
        </w:rPr>
        <w:t>additional</w:t>
      </w:r>
      <w:r w:rsidRPr="00734EB8">
        <w:t xml:space="preserve"> murders, in this case, the murders of the two bystanders during the getaway chase.</w:t>
      </w:r>
      <w:r w:rsidRPr="00734EB8" w:rsidR="002052F3">
        <w:t>)</w:t>
      </w:r>
      <w:r w:rsidRPr="00734EB8">
        <w:t xml:space="preserve"> </w:t>
      </w:r>
    </w:p>
  </w:footnote>
  <w:footnote w:id="14">
    <w:p w:rsidR="0093079F" w:rsidP="00FE5474" w14:paraId="2AA0495C" w14:textId="555E8991">
      <w:pPr>
        <w:pStyle w:val="FootnoteText"/>
        <w:ind w:firstLine="720"/>
      </w:pPr>
      <w:r w:rsidRPr="00705768">
        <w:rPr>
          <w:rStyle w:val="FootnoteReference"/>
          <w:b/>
          <w:bCs/>
        </w:rPr>
        <w:footnoteRef/>
      </w:r>
      <w:r>
        <w:t xml:space="preserve">  </w:t>
      </w:r>
      <w:r w:rsidR="000C0F2D">
        <w:t xml:space="preserve">After the high court decided </w:t>
      </w:r>
      <w:r w:rsidRPr="00FE5474" w:rsidR="000C0F2D">
        <w:rPr>
          <w:i/>
          <w:iCs/>
        </w:rPr>
        <w:t xml:space="preserve">Curiel </w:t>
      </w:r>
      <w:r w:rsidR="000C0F2D">
        <w:t xml:space="preserve">and Appellants filed supplemental briefs addressing it, the </w:t>
      </w:r>
      <w:r w:rsidR="00564632">
        <w:t>P</w:t>
      </w:r>
      <w:r w:rsidR="000C0F2D">
        <w:t xml:space="preserve">eople filed a brief conceding that in light of </w:t>
      </w:r>
      <w:r w:rsidRPr="00FE5474" w:rsidR="000C0F2D">
        <w:rPr>
          <w:i/>
          <w:iCs/>
        </w:rPr>
        <w:t>Curiel</w:t>
      </w:r>
      <w:r w:rsidR="000C0F2D">
        <w:t>, an evidentiary hearing is required.</w:t>
      </w:r>
    </w:p>
  </w:footnote>
  <w:footnote w:id="15">
    <w:p w:rsidR="000776DB" w:rsidRPr="000776DB" w:rsidP="000776DB" w14:paraId="3F1A24FE" w14:textId="590B57BD">
      <w:pPr>
        <w:pStyle w:val="FootnoteText"/>
        <w:ind w:firstLine="720"/>
        <w:rPr>
          <w:b/>
          <w:bCs/>
        </w:rPr>
      </w:pPr>
      <w:r w:rsidRPr="000776DB">
        <w:rPr>
          <w:rStyle w:val="FootnoteReference"/>
          <w:b/>
          <w:bCs/>
        </w:rPr>
        <w:footnoteRef/>
      </w:r>
      <w:r w:rsidRPr="000776DB">
        <w:rPr>
          <w:b/>
          <w:bCs/>
        </w:rPr>
        <w:t xml:space="preserve"> </w:t>
      </w:r>
      <w:r>
        <w:t xml:space="preserve"> </w:t>
      </w:r>
      <w:r w:rsidR="000E6E13">
        <w:rPr>
          <w:i/>
          <w:iCs/>
        </w:rPr>
        <w:t>People v. B</w:t>
      </w:r>
      <w:r w:rsidRPr="000776DB">
        <w:rPr>
          <w:i/>
          <w:iCs/>
        </w:rPr>
        <w:t>arragan</w:t>
      </w:r>
      <w:r>
        <w:t xml:space="preserve"> states that a court’s determination that the evidence is insufficient to justify a finding or judgment is necessarily a decision on a question of law.  But sufficiency of the evidence analysis is distinct from harmless error analysis, and</w:t>
      </w:r>
      <w:r w:rsidR="00BE46B9">
        <w:t xml:space="preserve"> even determinations of sufficiency of the evidence are not treated as law of the case in all instances.  (See, e.g., </w:t>
      </w:r>
      <w:r w:rsidRPr="00BE46B9" w:rsidR="00BE46B9">
        <w:rPr>
          <w:i/>
          <w:iCs/>
        </w:rPr>
        <w:t>People v. Cooper</w:t>
      </w:r>
      <w:r w:rsidR="00BE46B9">
        <w:t xml:space="preserve"> (2007) 149 Cal.App.4th 500, 525-526.)</w:t>
      </w:r>
    </w:p>
  </w:footnote>
  <w:footnote w:id="16">
    <w:p w:rsidR="00FD523E" w:rsidP="00C43B2C" w14:paraId="2E4FB6B1" w14:textId="2CAFBD9B">
      <w:pPr>
        <w:spacing w:after="120" w:line="240" w:lineRule="auto"/>
        <w:ind w:firstLine="720"/>
      </w:pPr>
      <w:r w:rsidRPr="00512969">
        <w:rPr>
          <w:rStyle w:val="FootnoteReference"/>
          <w:b/>
          <w:bCs/>
        </w:rPr>
        <w:footnoteRef/>
      </w:r>
      <w:r w:rsidRPr="00512969">
        <w:rPr>
          <w:b/>
          <w:bCs/>
        </w:rPr>
        <w:t xml:space="preserve"> </w:t>
      </w:r>
      <w:r>
        <w:rPr>
          <w:b/>
          <w:bCs/>
        </w:rPr>
        <w:t xml:space="preserve"> </w:t>
      </w:r>
      <w:r>
        <w:t xml:space="preserve">An eyewitness to the shooting identified Flowers as the shooter, told police he was wearing a </w:t>
      </w:r>
      <w:r w:rsidR="00E82BC6">
        <w:t>“</w:t>
      </w:r>
      <w:r>
        <w:t>Rastafarian</w:t>
      </w:r>
      <w:r w:rsidR="00E82BC6">
        <w:t>”</w:t>
      </w:r>
      <w:r>
        <w:t xml:space="preserve"> hat with distinctive coloring and identified the same hat at the police station, after police found it in Anthony’s Cadillac.  (</w:t>
      </w:r>
      <w:r w:rsidR="00E82BC6">
        <w:rPr>
          <w:i/>
          <w:iCs/>
        </w:rPr>
        <w:t xml:space="preserve">Anthony I, supra, </w:t>
      </w:r>
      <w:r w:rsidR="00E82BC6">
        <w:t>32 Cal.App.5</w:t>
      </w:r>
      <w:r w:rsidRPr="00E82BC6" w:rsidR="00E82BC6">
        <w:t>th</w:t>
      </w:r>
      <w:r w:rsidR="00E82BC6">
        <w:t xml:space="preserve"> </w:t>
      </w:r>
      <w:r>
        <w:t>at pp. 1</w:t>
      </w:r>
      <w:r w:rsidR="00E82BC6">
        <w:t>1</w:t>
      </w:r>
      <w:r>
        <w:t xml:space="preserve">09-1110, 1112.)  Non-blood DNA from the </w:t>
      </w:r>
      <w:r w:rsidR="005453D7">
        <w:t>hat</w:t>
      </w:r>
      <w:r>
        <w:t xml:space="preserve"> was compatible with Flowers and incompatible with the other </w:t>
      </w:r>
      <w:r w:rsidR="00CB0AEE">
        <w:t>A</w:t>
      </w:r>
      <w:r w:rsidR="0047737A">
        <w:t>ppellants</w:t>
      </w:r>
      <w:r>
        <w:t>.</w:t>
      </w:r>
    </w:p>
  </w:footnote>
  <w:footnote w:id="17">
    <w:p w:rsidR="00FD523E" w:rsidRPr="00A85081" w:rsidP="001662EB" w14:paraId="432065B7" w14:textId="1580376D">
      <w:pPr>
        <w:spacing w:after="120" w:line="240" w:lineRule="auto"/>
        <w:ind w:firstLine="720"/>
      </w:pPr>
      <w:r w:rsidRPr="00512969">
        <w:rPr>
          <w:rStyle w:val="FootnoteReference"/>
          <w:b/>
          <w:bCs/>
        </w:rPr>
        <w:footnoteRef/>
      </w:r>
      <w:r w:rsidRPr="00512969">
        <w:rPr>
          <w:b/>
          <w:bCs/>
        </w:rPr>
        <w:t xml:space="preserve"> </w:t>
      </w:r>
      <w:r>
        <w:rPr>
          <w:b/>
          <w:bCs/>
        </w:rPr>
        <w:t xml:space="preserve"> </w:t>
      </w:r>
      <w:r>
        <w:t xml:space="preserve">The forensic pathologist who performed the autopsy testified </w:t>
      </w:r>
      <w:r w:rsidR="003C2A35">
        <w:t>Davis</w:t>
      </w:r>
      <w:r>
        <w:t>’s death was caused by “multiple gunshot wounds from head to foot,” “police recovered 17 shell casings of a caliber that was common for an AK-47 assault rifle</w:t>
      </w:r>
      <w:r w:rsidR="005453D7">
        <w:t>,</w:t>
      </w:r>
      <w:r>
        <w:t xml:space="preserve">” and an eyewitness </w:t>
      </w:r>
      <w:r w:rsidR="00A57EF1">
        <w:t>who</w:t>
      </w:r>
      <w:r>
        <w:t xml:space="preserve"> went to help the victim of the shooting testified that the victim’s head had many gunshot wounds and the face was “blown off.”  (</w:t>
      </w:r>
      <w:r w:rsidR="001662EB">
        <w:rPr>
          <w:i/>
          <w:iCs/>
        </w:rPr>
        <w:t xml:space="preserve">Anthony I, supra, </w:t>
      </w:r>
      <w:r w:rsidR="001662EB">
        <w:t>32 Cal.App.5</w:t>
      </w:r>
      <w:r w:rsidRPr="00E82BC6" w:rsidR="001662EB">
        <w:t>th</w:t>
      </w:r>
      <w:r>
        <w:t xml:space="preserve"> at pp. 1110-1111.)</w:t>
      </w:r>
    </w:p>
  </w:footnote>
  <w:footnote w:id="18">
    <w:p w:rsidR="00A85081" w:rsidRPr="00A85081" w:rsidP="00A304BA" w14:paraId="60BB5BDC" w14:textId="5F25C35D">
      <w:pPr>
        <w:pStyle w:val="FootnoteText"/>
        <w:spacing w:after="120"/>
        <w:ind w:firstLine="720"/>
      </w:pPr>
      <w:r w:rsidRPr="00A85081">
        <w:rPr>
          <w:rStyle w:val="FootnoteReference"/>
          <w:b/>
          <w:bCs/>
        </w:rPr>
        <w:footnoteRef/>
      </w:r>
      <w:r w:rsidRPr="00A85081">
        <w:rPr>
          <w:b/>
          <w:bCs/>
        </w:rPr>
        <w:t xml:space="preserve"> </w:t>
      </w:r>
      <w:r>
        <w:rPr>
          <w:b/>
          <w:bCs/>
        </w:rPr>
        <w:t xml:space="preserve"> </w:t>
      </w:r>
      <w:r>
        <w:t>The murder was carried out three weeks after the murder of</w:t>
      </w:r>
      <w:r w:rsidR="005F02CC">
        <w:t xml:space="preserve"> </w:t>
      </w:r>
      <w:r>
        <w:t xml:space="preserve"> Nguyen, who was </w:t>
      </w:r>
      <w:r w:rsidR="00FF34A8">
        <w:t>Anthony’s best friend and a</w:t>
      </w:r>
      <w:r>
        <w:t xml:space="preserve"> fellow gang member, and the attempted murders of Ngo’s brother</w:t>
      </w:r>
      <w:r w:rsidR="00FF34A8">
        <w:t xml:space="preserve"> and of Anthony himself</w:t>
      </w:r>
      <w:r>
        <w:t>.  (</w:t>
      </w:r>
      <w:r w:rsidR="001662EB">
        <w:rPr>
          <w:i/>
          <w:iCs/>
        </w:rPr>
        <w:t xml:space="preserve">Anthony I, supra, </w:t>
      </w:r>
      <w:r w:rsidR="001662EB">
        <w:t>32 Cal.App.5</w:t>
      </w:r>
      <w:r w:rsidRPr="00E82BC6" w:rsidR="001662EB">
        <w:t>th</w:t>
      </w:r>
      <w:r>
        <w:t xml:space="preserve"> at </w:t>
      </w:r>
      <w:r w:rsidR="00B62397">
        <w:t>p</w:t>
      </w:r>
      <w:r>
        <w:t xml:space="preserve">p. </w:t>
      </w:r>
      <w:r w:rsidR="00FF34A8">
        <w:t xml:space="preserve">1114-1115, 1126-1127, </w:t>
      </w:r>
      <w:r>
        <w:t xml:space="preserve">1142.) </w:t>
      </w:r>
      <w:r w:rsidR="001C4F1D">
        <w:t xml:space="preserve"> </w:t>
      </w:r>
      <w:r>
        <w:t xml:space="preserve">Anthony told police shortly after </w:t>
      </w:r>
      <w:r w:rsidR="00FF34A8">
        <w:t>Ngo</w:t>
      </w:r>
      <w:r w:rsidR="00B62397">
        <w:t>’s murder</w:t>
      </w:r>
      <w:r w:rsidR="00FF34A8">
        <w:t xml:space="preserve"> </w:t>
      </w:r>
      <w:r>
        <w:t xml:space="preserve">that he suspected the perpetrators were members of a rival gang in Berkeley. </w:t>
      </w:r>
      <w:r w:rsidR="00FF34A8">
        <w:t xml:space="preserve"> (</w:t>
      </w:r>
      <w:r w:rsidRPr="00FF34A8" w:rsidR="00FF34A8">
        <w:rPr>
          <w:i/>
          <w:iCs/>
        </w:rPr>
        <w:t>I</w:t>
      </w:r>
      <w:r w:rsidR="00A304BA">
        <w:rPr>
          <w:i/>
          <w:iCs/>
        </w:rPr>
        <w:t>bi</w:t>
      </w:r>
      <w:r w:rsidRPr="00FF34A8" w:rsidR="00FF34A8">
        <w:rPr>
          <w:i/>
          <w:iCs/>
        </w:rPr>
        <w:t>d</w:t>
      </w:r>
      <w:r w:rsidR="00FF34A8">
        <w:t xml:space="preserve">.)  When Anthony and Price were arrested </w:t>
      </w:r>
      <w:r w:rsidR="00B62397">
        <w:t xml:space="preserve">on the day of the murder </w:t>
      </w:r>
      <w:r w:rsidR="00FF34A8">
        <w:t>after their cohorts had fled the scene</w:t>
      </w:r>
      <w:r w:rsidR="00B62397">
        <w:t xml:space="preserve"> (see </w:t>
      </w:r>
      <w:r w:rsidRPr="002D554B" w:rsidR="00B62397">
        <w:rPr>
          <w:i/>
          <w:iCs/>
        </w:rPr>
        <w:t>id.</w:t>
      </w:r>
      <w:r w:rsidR="00B62397">
        <w:t xml:space="preserve"> at p. 1112)</w:t>
      </w:r>
      <w:r w:rsidR="00FF34A8">
        <w:t>, police found several photographs of Ngo and a funeral flyer for Ngo with photos of him displaying gang signs</w:t>
      </w:r>
      <w:r w:rsidR="001C4F1D">
        <w:t xml:space="preserve"> in Anthony’s car</w:t>
      </w:r>
      <w:r w:rsidR="00FF34A8">
        <w:t>.  (</w:t>
      </w:r>
      <w:r w:rsidRPr="001C4F1D" w:rsidR="00FF34A8">
        <w:rPr>
          <w:i/>
          <w:iCs/>
        </w:rPr>
        <w:t>Id</w:t>
      </w:r>
      <w:r w:rsidR="00FF34A8">
        <w:t xml:space="preserve">. at </w:t>
      </w:r>
      <w:r w:rsidR="001C4F1D">
        <w:t>pp.</w:t>
      </w:r>
      <w:r w:rsidR="00A304BA">
        <w:t> </w:t>
      </w:r>
      <w:r w:rsidR="00FF34A8">
        <w:t>1113, 1134</w:t>
      </w:r>
      <w:r w:rsidR="001C4F1D">
        <w:t>.)</w:t>
      </w:r>
      <w:r w:rsidR="00FF34A8">
        <w:t xml:space="preserve"> </w:t>
      </w:r>
      <w:r w:rsidR="001C4F1D">
        <w:t xml:space="preserve"> During the period between the two killings, Anthony, Price and Flowers, whose cell phones were found in Anthony’s car and on Price’s person when Anthony and Price were apprehended, were in almost constant contact with each other, calling and texting.  (</w:t>
      </w:r>
      <w:r w:rsidRPr="002D554B" w:rsidR="001C4F1D">
        <w:rPr>
          <w:i/>
          <w:iCs/>
        </w:rPr>
        <w:t>Id.</w:t>
      </w:r>
      <w:r w:rsidR="001C4F1D">
        <w:t xml:space="preserve"> at </w:t>
      </w:r>
      <w:r w:rsidR="00B62397">
        <w:t xml:space="preserve">pp. </w:t>
      </w:r>
      <w:r w:rsidR="001C4F1D">
        <w:t>1112-1113, 1141-1142, 1146</w:t>
      </w:r>
      <w:r w:rsidR="00B62397">
        <w:t>.</w:t>
      </w:r>
      <w:r w:rsidR="001C4F1D">
        <w:t>)</w:t>
      </w:r>
    </w:p>
  </w:footnote>
  <w:footnote w:id="19">
    <w:p w:rsidR="00791025" w:rsidP="00791025" w14:paraId="11F2E0D1" w14:textId="4A1164C7">
      <w:pPr>
        <w:pStyle w:val="FootnoteText"/>
        <w:ind w:firstLine="720"/>
      </w:pPr>
      <w:r w:rsidRPr="003819BB">
        <w:rPr>
          <w:rStyle w:val="FootnoteReference"/>
          <w:b/>
          <w:bCs/>
        </w:rPr>
        <w:footnoteRef/>
      </w:r>
      <w:r w:rsidRPr="003819BB">
        <w:rPr>
          <w:b/>
          <w:bCs/>
        </w:rPr>
        <w:t xml:space="preserve"> </w:t>
      </w:r>
      <w:r>
        <w:t xml:space="preserve"> Police found a loaded semiautomatic pistol in plain sight on the floorboard of the driver’s seat of </w:t>
      </w:r>
      <w:r w:rsidR="003819BB">
        <w:t>Anthony’s</w:t>
      </w:r>
      <w:r>
        <w:t xml:space="preserve"> Cadillac and two semiautomatic assault rifles on the right front passenger-side floorboard, one </w:t>
      </w:r>
      <w:r w:rsidR="003819BB">
        <w:t>of which was loaded.  (</w:t>
      </w:r>
      <w:r w:rsidR="00A304BA">
        <w:rPr>
          <w:i/>
          <w:iCs/>
        </w:rPr>
        <w:t xml:space="preserve">Anthony I, supra, </w:t>
      </w:r>
      <w:r w:rsidR="00A304BA">
        <w:t>32 Cal.App.5</w:t>
      </w:r>
      <w:r w:rsidRPr="00E82BC6" w:rsidR="00A304BA">
        <w:t>th</w:t>
      </w:r>
      <w:r w:rsidR="003819BB">
        <w:t xml:space="preserve"> at </w:t>
      </w:r>
      <w:r w:rsidR="002D554B">
        <w:t xml:space="preserve">p. </w:t>
      </w:r>
      <w:r w:rsidR="003819BB">
        <w:t>1113.)</w:t>
      </w:r>
    </w:p>
  </w:footnote>
  <w:footnote w:id="20">
    <w:p w:rsidR="00B36350" w:rsidP="00871C4F" w14:paraId="043642B4" w14:textId="4E98DF33">
      <w:pPr>
        <w:pStyle w:val="FootnoteText"/>
        <w:spacing w:after="120"/>
        <w:ind w:firstLine="720"/>
      </w:pPr>
      <w:r w:rsidRPr="00E85AC6">
        <w:rPr>
          <w:rStyle w:val="FootnoteReference"/>
          <w:b/>
          <w:bCs/>
        </w:rPr>
        <w:footnoteRef/>
      </w:r>
      <w:r w:rsidRPr="00E85AC6">
        <w:rPr>
          <w:b/>
          <w:bCs/>
        </w:rPr>
        <w:t xml:space="preserve">  </w:t>
      </w:r>
      <w:r>
        <w:t xml:space="preserve">Previously, that definition referred to “an </w:t>
      </w:r>
      <w:r w:rsidRPr="00E85AC6">
        <w:rPr>
          <w:i/>
          <w:iCs/>
        </w:rPr>
        <w:t>ongoing organization, association or group</w:t>
      </w:r>
      <w:r>
        <w:t xml:space="preserve"> of three or more persons . . .</w:t>
      </w:r>
      <w:r w:rsidR="004367F2">
        <w:t xml:space="preserve"> </w:t>
      </w:r>
      <w:r>
        <w:t xml:space="preserve">.” </w:t>
      </w:r>
      <w:r w:rsidR="004367F2">
        <w:t xml:space="preserve"> (See </w:t>
      </w:r>
      <w:r w:rsidR="00F55E6C">
        <w:t>Legis. Counsel’s Dig.</w:t>
      </w:r>
      <w:r w:rsidR="00487DF7">
        <w:t>,</w:t>
      </w:r>
      <w:r w:rsidR="00F55E6C">
        <w:t xml:space="preserve"> 2021 California </w:t>
      </w:r>
      <w:r w:rsidR="004367F2">
        <w:t>Assem</w:t>
      </w:r>
      <w:r w:rsidR="00F55E6C">
        <w:t>bly</w:t>
      </w:r>
      <w:r w:rsidR="004367F2">
        <w:t xml:space="preserve"> Bill 333</w:t>
      </w:r>
      <w:r w:rsidR="00F55E6C">
        <w:t>, Stats.</w:t>
      </w:r>
      <w:r w:rsidR="00FF5CC5">
        <w:t xml:space="preserve"> </w:t>
      </w:r>
      <w:r w:rsidR="00F55E6C">
        <w:t>2021, ch. 699, Summary Dig., p. 2, italics added</w:t>
      </w:r>
      <w:r w:rsidR="004367F2">
        <w:t>.)</w:t>
      </w:r>
      <w:r>
        <w:t xml:space="preserve">  The current definition is “</w:t>
      </w:r>
      <w:r w:rsidRPr="00B36350">
        <w:rPr>
          <w:i/>
          <w:iCs/>
        </w:rPr>
        <w:t>an ongoing, organized association or group</w:t>
      </w:r>
      <w:r>
        <w:t xml:space="preserve"> of three or more persons, whether formal or informal, having as one of its primary activities the commission of one or more of the criminal acts enumerated in subdivision (e), having a common name or common identifying sign or symbol, and whose members collectively engage in, or have engaged in, a pattern of criminal gang activity.”</w:t>
      </w:r>
      <w:r w:rsidR="00871C4F">
        <w:t xml:space="preserve">  (§ 186.22, subd.</w:t>
      </w:r>
      <w:r w:rsidR="00073840">
        <w:t> </w:t>
      </w:r>
      <w:r w:rsidR="00871C4F">
        <w:t>(f)</w:t>
      </w:r>
      <w:r w:rsidR="00487DF7">
        <w:t>, italics added</w:t>
      </w:r>
      <w:r w:rsidR="00871C4F">
        <w:t>.)</w:t>
      </w:r>
    </w:p>
  </w:footnote>
  <w:footnote w:id="21">
    <w:p w:rsidR="00B67C5A" w:rsidP="008435CE" w14:paraId="60A5074F" w14:textId="474E01D8">
      <w:pPr>
        <w:pStyle w:val="FootnoteText"/>
        <w:spacing w:after="120"/>
        <w:ind w:firstLine="720"/>
      </w:pPr>
      <w:r w:rsidRPr="00B67C5A">
        <w:rPr>
          <w:rStyle w:val="FootnoteReference"/>
          <w:b/>
          <w:bCs/>
        </w:rPr>
        <w:footnoteRef/>
      </w:r>
      <w:r w:rsidRPr="00B67C5A">
        <w:rPr>
          <w:b/>
          <w:bCs/>
        </w:rPr>
        <w:t xml:space="preserve"> </w:t>
      </w:r>
      <w:r w:rsidR="00AB272C">
        <w:rPr>
          <w:b/>
          <w:bCs/>
        </w:rPr>
        <w:t xml:space="preserve"> </w:t>
      </w:r>
      <w:r>
        <w:t>See § 186.22, subd. (e)(1).</w:t>
      </w:r>
    </w:p>
  </w:footnote>
  <w:footnote w:id="22">
    <w:p w:rsidR="0060701E" w:rsidRPr="00F7795E" w:rsidP="00871C4F" w14:paraId="53467585" w14:textId="4DF2E0BC">
      <w:pPr>
        <w:shd w:val="clear" w:color="auto" w:fill="FFFFFF"/>
        <w:tabs>
          <w:tab w:val="clear" w:pos="720"/>
        </w:tabs>
        <w:spacing w:after="120" w:line="320" w:lineRule="atLeast"/>
        <w:ind w:firstLine="720"/>
        <w:rPr>
          <w:rFonts w:eastAsia="Times New Roman" w:cs="Times New Roman"/>
          <w:color w:val="000000"/>
        </w:rPr>
      </w:pPr>
      <w:r w:rsidRPr="00864D32">
        <w:rPr>
          <w:rStyle w:val="FootnoteReference"/>
          <w:b/>
          <w:bCs/>
        </w:rPr>
        <w:footnoteRef/>
      </w:r>
      <w:r w:rsidRPr="00864D32">
        <w:rPr>
          <w:b/>
          <w:bCs/>
        </w:rPr>
        <w:t xml:space="preserve">  </w:t>
      </w:r>
      <w:r w:rsidRPr="00864D32">
        <w:t xml:space="preserve">The bill also </w:t>
      </w:r>
      <w:r w:rsidRPr="00864D32" w:rsidR="00864D32">
        <w:t>“</w:t>
      </w:r>
      <w:r w:rsidRPr="00864D32">
        <w:rPr>
          <w:rFonts w:eastAsia="Times New Roman" w:cs="Times New Roman"/>
          <w:color w:val="000000"/>
        </w:rPr>
        <w:t>remove</w:t>
      </w:r>
      <w:r w:rsidRPr="00864D32" w:rsidR="00864D32">
        <w:rPr>
          <w:rFonts w:eastAsia="Times New Roman" w:cs="Times New Roman"/>
          <w:color w:val="000000"/>
        </w:rPr>
        <w:t>[</w:t>
      </w:r>
      <w:r w:rsidRPr="00864D32">
        <w:rPr>
          <w:rFonts w:eastAsia="Times New Roman" w:cs="Times New Roman"/>
          <w:color w:val="000000"/>
        </w:rPr>
        <w:t>d</w:t>
      </w:r>
      <w:r w:rsidRPr="00864D32" w:rsidR="00864D32">
        <w:rPr>
          <w:rFonts w:eastAsia="Times New Roman" w:cs="Times New Roman"/>
          <w:color w:val="000000"/>
        </w:rPr>
        <w:t>]</w:t>
      </w:r>
      <w:r w:rsidRPr="00864D32">
        <w:rPr>
          <w:rFonts w:eastAsia="Times New Roman" w:cs="Times New Roman"/>
          <w:color w:val="000000"/>
        </w:rPr>
        <w:t xml:space="preserve"> looting, felony vandalism, and specified personal identity fraud violations from the crimes that define a pattern of criminal gang activity.</w:t>
      </w:r>
      <w:r w:rsidRPr="00864D32" w:rsidR="00864D32">
        <w:rPr>
          <w:rFonts w:eastAsia="Times New Roman" w:cs="Times New Roman"/>
          <w:color w:val="000000"/>
        </w:rPr>
        <w:t>”</w:t>
      </w:r>
      <w:r w:rsidRPr="00864D32">
        <w:rPr>
          <w:rFonts w:eastAsia="Times New Roman" w:cs="Times New Roman"/>
          <w:color w:val="3D3D3D"/>
        </w:rPr>
        <w:t xml:space="preserve">  (</w:t>
      </w:r>
      <w:r w:rsidR="00871C4F">
        <w:rPr>
          <w:rFonts w:eastAsia="Times New Roman" w:cs="Times New Roman"/>
          <w:color w:val="000000"/>
        </w:rPr>
        <w:t>Stats. 2021, ch. 699</w:t>
      </w:r>
      <w:r w:rsidRPr="00864D32">
        <w:rPr>
          <w:rFonts w:eastAsia="Times New Roman" w:cs="Times New Roman"/>
          <w:color w:val="000000"/>
        </w:rPr>
        <w:t xml:space="preserve"> [second paragraph of Legis</w:t>
      </w:r>
      <w:r w:rsidR="00871C4F">
        <w:rPr>
          <w:rFonts w:eastAsia="Times New Roman" w:cs="Times New Roman"/>
          <w:color w:val="000000"/>
        </w:rPr>
        <w:t>. Counsel’s</w:t>
      </w:r>
      <w:r w:rsidRPr="00864D32">
        <w:rPr>
          <w:rFonts w:eastAsia="Times New Roman" w:cs="Times New Roman"/>
          <w:color w:val="000000"/>
        </w:rPr>
        <w:t xml:space="preserve"> Dig</w:t>
      </w:r>
      <w:r w:rsidR="00871C4F">
        <w:rPr>
          <w:rFonts w:eastAsia="Times New Roman" w:cs="Times New Roman"/>
          <w:color w:val="000000"/>
        </w:rPr>
        <w:t>.</w:t>
      </w:r>
      <w:r w:rsidRPr="00864D32">
        <w:rPr>
          <w:rFonts w:eastAsia="Times New Roman" w:cs="Times New Roman"/>
          <w:color w:val="000000"/>
        </w:rPr>
        <w:t>]</w:t>
      </w:r>
      <w:r w:rsidR="008435CE">
        <w:rPr>
          <w:rFonts w:eastAsia="Times New Roman" w:cs="Times New Roman"/>
          <w:color w:val="000000"/>
        </w:rPr>
        <w:t>.</w:t>
      </w:r>
      <w:r w:rsidRPr="00864D32">
        <w:rPr>
          <w:rFonts w:eastAsia="Times New Roman" w:cs="Times New Roman"/>
          <w:color w:val="000000"/>
        </w:rPr>
        <w:t>)</w:t>
      </w:r>
    </w:p>
  </w:footnote>
  <w:footnote w:id="23">
    <w:p w:rsidR="00864D32" w:rsidRPr="00076B5F" w:rsidP="00864D32" w14:paraId="4FE02A91" w14:textId="424B635E">
      <w:pPr>
        <w:pStyle w:val="FootnoteText"/>
        <w:ind w:firstLine="720"/>
      </w:pPr>
      <w:r w:rsidRPr="00076B5F">
        <w:rPr>
          <w:rStyle w:val="FootnoteReference"/>
          <w:b/>
          <w:bCs/>
        </w:rPr>
        <w:footnoteRef/>
      </w:r>
      <w:r w:rsidRPr="00076B5F">
        <w:rPr>
          <w:b/>
          <w:bCs/>
        </w:rPr>
        <w:t xml:space="preserve"> </w:t>
      </w:r>
      <w:r>
        <w:rPr>
          <w:b/>
          <w:bCs/>
        </w:rPr>
        <w:t xml:space="preserve"> </w:t>
      </w:r>
      <w:r>
        <w:t xml:space="preserve">An additional change that is not the subject of </w:t>
      </w:r>
      <w:r w:rsidR="00CB0AEE">
        <w:t>A</w:t>
      </w:r>
      <w:r>
        <w:t>ppellants’ arguments is that “</w:t>
      </w:r>
      <w:r w:rsidRPr="00076B5F">
        <w:t xml:space="preserve">Assembly Bill 333 added section 1109, which requires, if requested by the defendant, a gang enhancement charge to be tried separately from all other counts that do not otherwise require gang evidence as an element of the crime. </w:t>
      </w:r>
      <w:r>
        <w:t xml:space="preserve"> </w:t>
      </w:r>
      <w:r w:rsidRPr="00076B5F">
        <w:t>If the proceedings are bifurcated, the truth of the gang enhancement may be determined only after a trier of fact finds the defendant guilty of the underlying offense.</w:t>
      </w:r>
      <w:r>
        <w:t>”  (</w:t>
      </w:r>
      <w:r w:rsidRPr="00076B5F">
        <w:rPr>
          <w:i/>
          <w:iCs/>
        </w:rPr>
        <w:t>Tran</w:t>
      </w:r>
      <w:r>
        <w:t xml:space="preserve">, </w:t>
      </w:r>
      <w:r w:rsidRPr="00076B5F">
        <w:rPr>
          <w:i/>
          <w:iCs/>
        </w:rPr>
        <w:t>supra</w:t>
      </w:r>
      <w:r>
        <w:t xml:space="preserve">, </w:t>
      </w:r>
      <w:r w:rsidR="000F304F">
        <w:t>13 Cal.5</w:t>
      </w:r>
      <w:r w:rsidRPr="00E85ED8" w:rsidR="000F304F">
        <w:t>th</w:t>
      </w:r>
      <w:r w:rsidR="000F304F">
        <w:t xml:space="preserve"> </w:t>
      </w:r>
      <w:r>
        <w:t>at p.</w:t>
      </w:r>
      <w:r w:rsidR="000F304F">
        <w:t> </w:t>
      </w:r>
      <w:r>
        <w:t>1206.)</w:t>
      </w:r>
    </w:p>
  </w:footnote>
  <w:footnote w:id="24">
    <w:p w:rsidR="00F249C8" w:rsidP="00F249C8" w14:paraId="4C02EA81" w14:textId="3350BB80">
      <w:pPr>
        <w:pStyle w:val="FootnoteText"/>
        <w:ind w:firstLine="720"/>
      </w:pPr>
      <w:r w:rsidRPr="00B77C28">
        <w:rPr>
          <w:rStyle w:val="FootnoteReference"/>
          <w:b/>
          <w:bCs/>
        </w:rPr>
        <w:footnoteRef/>
      </w:r>
      <w:r>
        <w:t xml:space="preserve"> </w:t>
      </w:r>
      <w:r w:rsidR="008E1A15">
        <w:t xml:space="preserve"> </w:t>
      </w:r>
      <w:r>
        <w:t xml:space="preserve">Appellants contend Cunnie’s testimony about the pattern of criminal gang activity was not sufficient to meet the new requirements because the jury was instructed it could consider the current offense as a predicate act, focused on enhancing the gang’s reputation as the common benefit of the offenses and included as predicate acts offenses committed by individual gang members.  We need not resolve whether the testimony </w:t>
      </w:r>
      <w:r w:rsidRPr="00CB0AEE" w:rsidR="0099778E">
        <w:t>at the 2013 trial</w:t>
      </w:r>
      <w:r w:rsidR="0099778E">
        <w:t xml:space="preserve"> </w:t>
      </w:r>
      <w:r>
        <w:t>was sufficient</w:t>
      </w:r>
      <w:r w:rsidR="0099778E">
        <w:t xml:space="preserve"> </w:t>
      </w:r>
      <w:r w:rsidRPr="00CB0AEE" w:rsidR="0099778E">
        <w:t>to meet the new standards</w:t>
      </w:r>
      <w:r>
        <w:t xml:space="preserve"> because</w:t>
      </w:r>
      <w:r w:rsidR="0099778E">
        <w:t xml:space="preserve"> </w:t>
      </w:r>
      <w:r w:rsidRPr="00CB0AEE" w:rsidR="0099778E">
        <w:t>on remand, if they choose to retry the gang enhancemen</w:t>
      </w:r>
      <w:r w:rsidRPr="00553721" w:rsidR="0099778E">
        <w:t>t,</w:t>
      </w:r>
      <w:r>
        <w:t xml:space="preserve"> </w:t>
      </w:r>
      <w:r w:rsidR="00AB7569">
        <w:t xml:space="preserve">the People </w:t>
      </w:r>
      <w:r w:rsidR="0099778E">
        <w:t xml:space="preserve">and </w:t>
      </w:r>
      <w:r w:rsidR="00553721">
        <w:t>A</w:t>
      </w:r>
      <w:r w:rsidR="0099778E">
        <w:t xml:space="preserve">ppellants </w:t>
      </w:r>
      <w:r w:rsidRPr="00CB0AEE" w:rsidR="0099778E">
        <w:t>will have</w:t>
      </w:r>
      <w:r w:rsidR="00AB7569">
        <w:t xml:space="preserve"> the opportunity to proffer additional evidence that </w:t>
      </w:r>
      <w:r w:rsidR="0099778E">
        <w:t>Assembly Bill 333 has</w:t>
      </w:r>
      <w:r w:rsidR="00AB7569">
        <w:t xml:space="preserve"> made </w:t>
      </w:r>
      <w:r w:rsidR="00553721">
        <w:t xml:space="preserve">newly </w:t>
      </w:r>
      <w:r w:rsidR="00AB7569">
        <w:t>relevant</w:t>
      </w:r>
      <w:r>
        <w:t>.</w:t>
      </w:r>
      <w:r w:rsidR="0099778E">
        <w:t xml:space="preserve"> </w:t>
      </w:r>
      <w:r w:rsidR="00553721">
        <w:rPr>
          <w:b/>
          <w:bCs/>
        </w:rPr>
        <w:t xml:space="preserve"> </w:t>
      </w:r>
      <w:r w:rsidRPr="006D0825" w:rsidR="00553721">
        <w:t>(</w:t>
      </w:r>
      <w:r w:rsidRPr="006D0825" w:rsidR="00553721">
        <w:rPr>
          <w:i/>
          <w:iCs/>
        </w:rPr>
        <w:t>Sek</w:t>
      </w:r>
      <w:r w:rsidRPr="006D0825" w:rsidR="00553721">
        <w:t xml:space="preserve">, </w:t>
      </w:r>
      <w:r w:rsidRPr="006D0825" w:rsidR="00553721">
        <w:rPr>
          <w:i/>
          <w:iCs/>
        </w:rPr>
        <w:t>supra</w:t>
      </w:r>
      <w:r w:rsidRPr="006D0825" w:rsidR="00553721">
        <w:t>, 74 Cal.App.5th at pp. 669-670.)</w:t>
      </w:r>
    </w:p>
  </w:footnote>
  <w:footnote w:id="25">
    <w:p w:rsidR="00347A75" w:rsidP="00B36350" w14:paraId="22F753D4" w14:textId="5883A082">
      <w:pPr>
        <w:pStyle w:val="FootnoteText"/>
        <w:ind w:firstLine="720"/>
      </w:pPr>
      <w:r w:rsidRPr="00347A75">
        <w:rPr>
          <w:rStyle w:val="FootnoteReference"/>
          <w:b/>
          <w:bCs/>
        </w:rPr>
        <w:footnoteRef/>
      </w:r>
      <w:r>
        <w:t xml:space="preserve"> </w:t>
      </w:r>
      <w:r w:rsidR="00F04696">
        <w:t xml:space="preserve"> </w:t>
      </w:r>
      <w:r>
        <w:t xml:space="preserve">Appellants point to Cunnie’s testimony that NSO was an “informal gang” without </w:t>
      </w:r>
      <w:r w:rsidR="00E672B6">
        <w:t>all</w:t>
      </w:r>
      <w:r>
        <w:t xml:space="preserve"> the formal characteristics as some criminal gangs, like Nuestra Familia, that operate in prison.  However, </w:t>
      </w:r>
      <w:r w:rsidR="00B36350">
        <w:t xml:space="preserve">the new definition retained the prior modifying language “formal or informal” and thus does not require that the gang be a “formal” one.  (See footnote </w:t>
      </w:r>
      <w:r w:rsidR="0079248C">
        <w:t>19</w:t>
      </w:r>
      <w:r w:rsidR="00B36350">
        <w:t xml:space="preserve">, </w:t>
      </w:r>
      <w:r w:rsidRPr="00D82EAF" w:rsidR="00D82EAF">
        <w:rPr>
          <w:i/>
          <w:iCs/>
        </w:rPr>
        <w:t>ante</w:t>
      </w:r>
      <w:r w:rsidR="00D82EAF">
        <w:rPr>
          <w:i/>
          <w:iCs/>
        </w:rPr>
        <w:t xml:space="preserve">, </w:t>
      </w:r>
      <w:r w:rsidR="00D82EAF">
        <w:t>p.</w:t>
      </w:r>
      <w:r w:rsidR="00697D50">
        <w:t xml:space="preserve"> </w:t>
      </w:r>
      <w:r w:rsidR="00657A15">
        <w:t>3</w:t>
      </w:r>
      <w:r w:rsidR="0079248C">
        <w:t>3</w:t>
      </w:r>
      <w:r w:rsidR="00B36350">
        <w:t xml:space="preserve">.)  Especially in light of this, </w:t>
      </w:r>
      <w:r w:rsidR="00AA7BF4">
        <w:t xml:space="preserve">we </w:t>
      </w:r>
      <w:r w:rsidR="00B36350">
        <w:t xml:space="preserve">are not persuaded </w:t>
      </w:r>
      <w:r>
        <w:t xml:space="preserve">that the characteristics </w:t>
      </w:r>
      <w:r w:rsidR="00F972BF">
        <w:t xml:space="preserve">Cunnie </w:t>
      </w:r>
      <w:r w:rsidR="00AB7569">
        <w:t>attributed to the prison gangs he described as “formal,” such as</w:t>
      </w:r>
      <w:r w:rsidR="00333F8B">
        <w:t xml:space="preserve"> bylaws and established procedures for activities, are required under the new law</w:t>
      </w:r>
      <w:r w:rsidR="00B36350">
        <w:t xml:space="preserve">.  </w:t>
      </w:r>
    </w:p>
  </w:footnote>
  <w:footnote w:id="26">
    <w:p w:rsidR="007B3C5D" w:rsidP="00C81913" w14:paraId="6CB5B2BA" w14:textId="42F97C6F">
      <w:pPr>
        <w:pStyle w:val="FootnoteText"/>
        <w:ind w:firstLine="720"/>
      </w:pPr>
      <w:r w:rsidRPr="00C81913">
        <w:rPr>
          <w:rStyle w:val="FootnoteReference"/>
          <w:b/>
          <w:bCs/>
        </w:rPr>
        <w:footnoteRef/>
      </w:r>
      <w:r w:rsidRPr="00C81913">
        <w:rPr>
          <w:b/>
          <w:bCs/>
        </w:rPr>
        <w:t xml:space="preserve"> </w:t>
      </w:r>
      <w:r w:rsidR="00D82EAF">
        <w:rPr>
          <w:b/>
          <w:bCs/>
        </w:rPr>
        <w:t xml:space="preserve"> </w:t>
      </w:r>
      <w:r>
        <w:t xml:space="preserve">This includes </w:t>
      </w:r>
      <w:r w:rsidR="00CB0AEE">
        <w:t>A</w:t>
      </w:r>
      <w:r w:rsidR="00FB4D1A">
        <w:t>ppellants’</w:t>
      </w:r>
      <w:r>
        <w:t xml:space="preserve"> argument</w:t>
      </w:r>
      <w:r w:rsidR="00FB4D1A">
        <w:t xml:space="preserve"> that the court erred in not ordering new probation reports at the time of resentencing</w:t>
      </w:r>
      <w:r w:rsidR="00F972BF">
        <w:t xml:space="preserve"> and the People’s responsive arguments that </w:t>
      </w:r>
      <w:r w:rsidR="00CB0AEE">
        <w:t>A</w:t>
      </w:r>
      <w:r w:rsidR="00F972BF">
        <w:t>ppellants forfeited the argument and in any event have failed to show prejudice</w:t>
      </w:r>
      <w:r w:rsidR="00FB4D1A">
        <w:t xml:space="preserve">. </w:t>
      </w:r>
    </w:p>
  </w:footnote>
  <w:footnote w:id="27">
    <w:p w:rsidR="002D7712" w:rsidRPr="002D7712" w:rsidP="00A14B13" w14:paraId="077149F6" w14:textId="0CDA27AA">
      <w:pPr>
        <w:shd w:val="clear" w:color="auto" w:fill="FFFFFF"/>
        <w:tabs>
          <w:tab w:val="clear" w:pos="720"/>
        </w:tabs>
        <w:spacing w:after="120" w:line="320" w:lineRule="atLeast"/>
        <w:ind w:firstLine="720"/>
      </w:pPr>
      <w:r w:rsidRPr="009B49CC">
        <w:rPr>
          <w:rStyle w:val="FootnoteReference"/>
          <w:b/>
          <w:bCs/>
        </w:rPr>
        <w:footnoteRef/>
      </w:r>
      <w:r w:rsidRPr="002D7712">
        <w:t xml:space="preserve">  In </w:t>
      </w:r>
      <w:r w:rsidRPr="002D7712">
        <w:rPr>
          <w:i/>
          <w:iCs/>
        </w:rPr>
        <w:t>People v. Superior Court</w:t>
      </w:r>
      <w:r w:rsidR="00861AEF">
        <w:rPr>
          <w:i/>
          <w:iCs/>
        </w:rPr>
        <w:t xml:space="preserve"> </w:t>
      </w:r>
      <w:r w:rsidRPr="002D7712" w:rsidR="00861AEF">
        <w:t>(</w:t>
      </w:r>
      <w:r w:rsidRPr="002D7712" w:rsidR="00861AEF">
        <w:rPr>
          <w:i/>
          <w:iCs/>
        </w:rPr>
        <w:t>Romero</w:t>
      </w:r>
      <w:r w:rsidRPr="002D7712" w:rsidR="00861AEF">
        <w:t>)</w:t>
      </w:r>
      <w:r w:rsidRPr="002D7712">
        <w:t xml:space="preserve"> </w:t>
      </w:r>
      <w:r>
        <w:t xml:space="preserve">(1996) 13 Cal.4th 497 </w:t>
      </w:r>
      <w:r w:rsidRPr="002D7712">
        <w:t>(</w:t>
      </w:r>
      <w:r w:rsidRPr="002D7712">
        <w:rPr>
          <w:i/>
          <w:iCs/>
        </w:rPr>
        <w:t>Romero</w:t>
      </w:r>
      <w:r w:rsidRPr="002D7712">
        <w:t xml:space="preserve">), our Supreme Court addressed “whether </w:t>
      </w:r>
      <w:r w:rsidRPr="002D7712">
        <w:rPr>
          <w:shd w:val="clear" w:color="auto" w:fill="FFFFFF"/>
        </w:rPr>
        <w:t>a court may, on its own motion, strike prior felony conviction allegations in cases arising under the law known as ‘Three Strikes and You</w:t>
      </w:r>
      <w:r w:rsidR="00861AEF">
        <w:rPr>
          <w:shd w:val="clear" w:color="auto" w:fill="FFFFFF"/>
        </w:rPr>
        <w:t>’</w:t>
      </w:r>
      <w:r w:rsidRPr="002D7712">
        <w:rPr>
          <w:shd w:val="clear" w:color="auto" w:fill="FFFFFF"/>
        </w:rPr>
        <w:t>re Out.</w:t>
      </w:r>
      <w:r>
        <w:rPr>
          <w:shd w:val="clear" w:color="auto" w:fill="FFFFFF"/>
        </w:rPr>
        <w:t>’</w:t>
      </w:r>
      <w:r w:rsidR="00E54F96">
        <w:rPr>
          <w:shd w:val="clear" w:color="auto" w:fill="FFFFFF"/>
        </w:rPr>
        <w:t> </w:t>
      </w:r>
      <w:r>
        <w:rPr>
          <w:shd w:val="clear" w:color="auto" w:fill="FFFFFF"/>
        </w:rPr>
        <w:t>”  (</w:t>
      </w:r>
      <w:r w:rsidR="00861AEF">
        <w:rPr>
          <w:i/>
          <w:iCs/>
          <w:shd w:val="clear" w:color="auto" w:fill="FFFFFF"/>
        </w:rPr>
        <w:t xml:space="preserve">Id. </w:t>
      </w:r>
      <w:r w:rsidR="00861AEF">
        <w:rPr>
          <w:shd w:val="clear" w:color="auto" w:fill="FFFFFF"/>
        </w:rPr>
        <w:t xml:space="preserve">at </w:t>
      </w:r>
      <w:r>
        <w:rPr>
          <w:shd w:val="clear" w:color="auto" w:fill="FFFFFF"/>
        </w:rPr>
        <w:t xml:space="preserve">p. 504.)  The </w:t>
      </w:r>
      <w:r w:rsidR="00861AEF">
        <w:rPr>
          <w:shd w:val="clear" w:color="auto" w:fill="FFFFFF"/>
        </w:rPr>
        <w:t>c</w:t>
      </w:r>
      <w:r>
        <w:rPr>
          <w:shd w:val="clear" w:color="auto" w:fill="FFFFFF"/>
        </w:rPr>
        <w:t>ourt held that the Three Strikes statute did not withdraw the courts’ statutory power to dismiss in furtherance of justice under section 1385.  (</w:t>
      </w:r>
      <w:r w:rsidRPr="006F4270" w:rsidR="000C52E9">
        <w:rPr>
          <w:i/>
          <w:iCs/>
          <w:shd w:val="clear" w:color="auto" w:fill="FFFFFF"/>
        </w:rPr>
        <w:t>Romero</w:t>
      </w:r>
      <w:r w:rsidR="000C52E9">
        <w:rPr>
          <w:shd w:val="clear" w:color="auto" w:fill="FFFFFF"/>
        </w:rPr>
        <w:t>, at p. 504</w:t>
      </w:r>
      <w:r>
        <w:rPr>
          <w:shd w:val="clear" w:color="auto" w:fill="FFFFFF"/>
        </w:rPr>
        <w:t xml:space="preserve">.)  </w:t>
      </w:r>
      <w:r w:rsidR="0076341D">
        <w:rPr>
          <w:shd w:val="clear" w:color="auto" w:fill="FFFFFF"/>
        </w:rPr>
        <w:t xml:space="preserve">Prior to </w:t>
      </w:r>
      <w:r w:rsidRPr="0076341D" w:rsidR="0076341D">
        <w:rPr>
          <w:i/>
          <w:iCs/>
          <w:shd w:val="clear" w:color="auto" w:fill="FFFFFF"/>
        </w:rPr>
        <w:t>Romero</w:t>
      </w:r>
      <w:r w:rsidR="0076341D">
        <w:rPr>
          <w:shd w:val="clear" w:color="auto" w:fill="FFFFFF"/>
        </w:rPr>
        <w:t>, the Court of Appeal had upheld the provision in section 1385 that previously deprived courts of discretion to strike prior serious felony allegations for purposes of the five-</w:t>
      </w:r>
      <w:r w:rsidR="00861AEF">
        <w:rPr>
          <w:shd w:val="clear" w:color="auto" w:fill="FFFFFF"/>
        </w:rPr>
        <w:t>y</w:t>
      </w:r>
      <w:r w:rsidR="0076341D">
        <w:rPr>
          <w:shd w:val="clear" w:color="auto" w:fill="FFFFFF"/>
        </w:rPr>
        <w:t>ear enhancement imposed by section 667, subdivision (a).  (</w:t>
      </w:r>
      <w:r w:rsidRPr="0076341D" w:rsidR="0076341D">
        <w:rPr>
          <w:i/>
          <w:iCs/>
          <w:shd w:val="clear" w:color="auto" w:fill="FFFFFF"/>
        </w:rPr>
        <w:t>Romero</w:t>
      </w:r>
      <w:r w:rsidR="0076341D">
        <w:rPr>
          <w:shd w:val="clear" w:color="auto" w:fill="FFFFFF"/>
        </w:rPr>
        <w:t>, at p. 516.)</w:t>
      </w:r>
    </w:p>
  </w:footnote>
  <w:footnote w:id="28">
    <w:p w:rsidR="004735D7" w:rsidP="004735D7" w14:paraId="5ED3D0EC" w14:textId="31BBF5A7">
      <w:pPr>
        <w:pStyle w:val="ListParagraph"/>
        <w:spacing w:line="240" w:lineRule="auto"/>
        <w:ind w:left="0" w:firstLine="720"/>
        <w:rPr>
          <w:rFonts w:eastAsia="Times New Roman" w:cs="Times New Roman"/>
          <w:color w:val="000000"/>
        </w:rPr>
      </w:pPr>
      <w:r w:rsidRPr="004735D7">
        <w:rPr>
          <w:rStyle w:val="FootnoteReference"/>
          <w:b/>
          <w:bCs/>
        </w:rPr>
        <w:footnoteRef/>
      </w:r>
      <w:r>
        <w:t xml:space="preserve"> </w:t>
      </w:r>
      <w:r w:rsidR="00D82EAF">
        <w:t xml:space="preserve"> </w:t>
      </w:r>
      <w:r>
        <w:t xml:space="preserve">A further indication that the court </w:t>
      </w:r>
      <w:r w:rsidR="009B49CC">
        <w:t xml:space="preserve">understood </w:t>
      </w:r>
      <w:r>
        <w:t>the issue before it was distinct from a</w:t>
      </w:r>
      <w:r w:rsidR="009B49CC">
        <w:t>ny</w:t>
      </w:r>
      <w:r>
        <w:t xml:space="preserve"> </w:t>
      </w:r>
      <w:r w:rsidRPr="004735D7">
        <w:rPr>
          <w:i/>
          <w:iCs/>
        </w:rPr>
        <w:t>Romero</w:t>
      </w:r>
      <w:r>
        <w:t xml:space="preserve"> motion</w:t>
      </w:r>
      <w:r w:rsidR="009B49CC">
        <w:t xml:space="preserve"> is its statement</w:t>
      </w:r>
      <w:r>
        <w:rPr>
          <w:rFonts w:eastAsia="Times New Roman" w:cs="Times New Roman"/>
          <w:color w:val="000000"/>
        </w:rPr>
        <w:t xml:space="preserve"> the outset of the hearing explain</w:t>
      </w:r>
      <w:r w:rsidR="009B49CC">
        <w:rPr>
          <w:rFonts w:eastAsia="Times New Roman" w:cs="Times New Roman"/>
          <w:color w:val="000000"/>
        </w:rPr>
        <w:t>ing</w:t>
      </w:r>
      <w:r>
        <w:rPr>
          <w:rFonts w:eastAsia="Times New Roman" w:cs="Times New Roman"/>
          <w:color w:val="000000"/>
        </w:rPr>
        <w:t xml:space="preserve">, “The sentences were all affirmed with the exception that between the original sentencing and 2013 and the issuance of the opinion on appeal the law changed as to whether the Court had discretion or not to strike a gun use enhancements under </w:t>
      </w:r>
      <w:r w:rsidR="00A97331">
        <w:rPr>
          <w:rFonts w:eastAsia="Times New Roman" w:cs="Times New Roman"/>
          <w:color w:val="000000"/>
        </w:rPr>
        <w:t xml:space="preserve">[section] </w:t>
      </w:r>
      <w:r>
        <w:rPr>
          <w:rFonts w:eastAsia="Times New Roman" w:cs="Times New Roman"/>
          <w:color w:val="000000"/>
        </w:rPr>
        <w:t xml:space="preserve">12022.53 and to strike serious felony five-year priors under </w:t>
      </w:r>
      <w:r w:rsidR="00A97331">
        <w:rPr>
          <w:rFonts w:eastAsia="Times New Roman" w:cs="Times New Roman"/>
          <w:color w:val="000000"/>
        </w:rPr>
        <w:t xml:space="preserve">[section] </w:t>
      </w:r>
      <w:r>
        <w:rPr>
          <w:rFonts w:eastAsia="Times New Roman" w:cs="Times New Roman"/>
          <w:color w:val="000000"/>
        </w:rPr>
        <w:t>667</w:t>
      </w:r>
      <w:r w:rsidR="00A97331">
        <w:rPr>
          <w:rFonts w:eastAsia="Times New Roman" w:cs="Times New Roman"/>
          <w:color w:val="000000"/>
        </w:rPr>
        <w:t xml:space="preserve">[, subdivision] </w:t>
      </w:r>
      <w:r>
        <w:rPr>
          <w:rFonts w:eastAsia="Times New Roman" w:cs="Times New Roman"/>
          <w:color w:val="000000"/>
        </w:rPr>
        <w:t>(a).  Prior to the changing of the law and at the time of the original sentencing, the Court had no such discretion.  That discretion has now been granted to the Court because these gentlemen’s appeals were not final.  It applied retroactively to them, and so the court of appeal sent it back for me to exercise my discretion on those issues.”</w:t>
      </w:r>
      <w:r>
        <w:rPr>
          <w:rStyle w:val="FootnoteReference"/>
          <w:rFonts w:eastAsia="Times New Roman" w:cs="Times New Roman"/>
          <w:b/>
          <w:bCs/>
          <w:color w:val="000000"/>
        </w:rPr>
        <w:t xml:space="preserve"> </w:t>
      </w:r>
      <w:r>
        <w:rPr>
          <w:rFonts w:eastAsia="Times New Roman" w:cs="Times New Roman"/>
          <w:color w:val="000000"/>
        </w:rPr>
        <w:t xml:space="preserve"> </w:t>
      </w:r>
    </w:p>
    <w:p w:rsidR="004735D7" w14:paraId="14332DE0" w14:textId="7F02D595">
      <w:pPr>
        <w:pStyle w:val="FootnoteText"/>
      </w:pPr>
    </w:p>
  </w:footnote>
  <w:footnote w:id="29">
    <w:p w:rsidR="008F7E35" w:rsidP="00D82EAF" w14:paraId="50566ACE" w14:textId="04F25595">
      <w:pPr>
        <w:pStyle w:val="ListParagraph"/>
        <w:spacing w:after="120" w:line="240" w:lineRule="auto"/>
        <w:ind w:left="0" w:firstLine="720"/>
        <w:contextualSpacing w:val="0"/>
      </w:pPr>
      <w:r w:rsidRPr="008F7E35">
        <w:rPr>
          <w:rStyle w:val="FootnoteReference"/>
          <w:b/>
          <w:bCs/>
        </w:rPr>
        <w:footnoteRef/>
      </w:r>
      <w:r w:rsidRPr="008F7E35">
        <w:rPr>
          <w:b/>
          <w:bCs/>
        </w:rPr>
        <w:t xml:space="preserve"> </w:t>
      </w:r>
      <w:r w:rsidR="00D82EAF">
        <w:rPr>
          <w:b/>
          <w:bCs/>
        </w:rPr>
        <w:t xml:space="preserve"> </w:t>
      </w:r>
      <w:r>
        <w:rPr>
          <w:rFonts w:eastAsia="Times New Roman" w:cs="Times New Roman"/>
          <w:color w:val="000000"/>
        </w:rPr>
        <w:t>Nor is there any merit in Price and Campbell’s argument that failing to request such a report amounted to ineffective assistance of counsel.  Counsel for Price and Campbell may well have determined that supplemental probation reports would not have benefited their clients.  Price and Campbell do not assert that their post-conviction conduct was such that it could have made a difference in the trial court’s resentencing decisions.</w:t>
      </w:r>
    </w:p>
  </w:footnote>
  <w:footnote w:id="30">
    <w:p w:rsidR="00D03EB4" w:rsidP="00D03EB4" w14:paraId="1B7255A8" w14:textId="49D5C032">
      <w:pPr>
        <w:pStyle w:val="FootnoteText"/>
        <w:ind w:firstLine="720"/>
      </w:pPr>
      <w:r w:rsidRPr="00D03EB4">
        <w:rPr>
          <w:rStyle w:val="FootnoteReference"/>
          <w:b/>
          <w:bCs/>
        </w:rPr>
        <w:footnoteRef/>
      </w:r>
      <w:r w:rsidR="00D82EAF">
        <w:rPr>
          <w:b/>
          <w:bCs/>
        </w:rPr>
        <w:t xml:space="preserve"> </w:t>
      </w:r>
      <w:r w:rsidRPr="00D03EB4">
        <w:rPr>
          <w:b/>
          <w:bCs/>
        </w:rPr>
        <w:t xml:space="preserve"> </w:t>
      </w:r>
      <w:r>
        <w:t xml:space="preserve">Flowers filed his joinder in the other </w:t>
      </w:r>
      <w:r w:rsidR="00CB0AEE">
        <w:t>A</w:t>
      </w:r>
      <w:r>
        <w:t xml:space="preserve">ppellants’ arguments after the People filed their respondent’s brief.  We assume that because the evidence indisputably showed that Anthony was driving the Cadillac when it caused the collisions that killed Ross and Perea, the People would agree that Flowers is similarly situated to Price and Campbell with respect to the deaths of those two individuals and, as such, is entitled to the same relief.  </w:t>
      </w:r>
    </w:p>
  </w:footnote>
  <w:footnote w:id="31">
    <w:p w:rsidR="00F46F42" w:rsidP="00F46F42" w14:paraId="2C733454" w14:textId="7E816737">
      <w:pPr>
        <w:pStyle w:val="FootnoteText"/>
        <w:ind w:firstLine="720"/>
      </w:pPr>
      <w:r w:rsidRPr="00F46F42">
        <w:rPr>
          <w:rStyle w:val="FootnoteReference"/>
          <w:b/>
          <w:bCs/>
        </w:rPr>
        <w:footnoteRef/>
      </w:r>
      <w:r w:rsidRPr="00F46F42">
        <w:rPr>
          <w:b/>
          <w:bCs/>
        </w:rPr>
        <w:t xml:space="preserve"> </w:t>
      </w:r>
      <w:r w:rsidR="00D82EAF">
        <w:rPr>
          <w:b/>
          <w:bCs/>
        </w:rPr>
        <w:t xml:space="preserve"> </w:t>
      </w:r>
      <w:r>
        <w:t xml:space="preserve">Anthony was </w:t>
      </w:r>
      <w:r w:rsidR="005D512F">
        <w:t xml:space="preserve">indisputably </w:t>
      </w:r>
      <w:r>
        <w:t>the driver,</w:t>
      </w:r>
      <w:r w:rsidR="005D512F">
        <w:t xml:space="preserve"> and</w:t>
      </w:r>
      <w:r>
        <w:t xml:space="preserve"> the other </w:t>
      </w:r>
      <w:r w:rsidR="00CB0AEE">
        <w:t>A</w:t>
      </w:r>
      <w:r>
        <w:t xml:space="preserve">ppellants presumably were found guilty on an aiding and abetting </w:t>
      </w:r>
      <w:r w:rsidR="00DE3BF9">
        <w:t xml:space="preserve">or conspiracy </w:t>
      </w:r>
      <w:r>
        <w:t>theory, which none of them</w:t>
      </w:r>
      <w:r w:rsidR="005D512F">
        <w:t xml:space="preserve"> has</w:t>
      </w:r>
      <w:r>
        <w:t xml:space="preserve"> </w:t>
      </w:r>
      <w:r w:rsidR="005D512F">
        <w:t xml:space="preserve">argued is </w:t>
      </w:r>
      <w:r>
        <w:t>impermissible.</w:t>
      </w:r>
    </w:p>
  </w:footnote>
  <w:footnote w:id="32">
    <w:p w:rsidR="004D364B" w:rsidRPr="00C33070" w:rsidP="004D364B" w14:paraId="43AB1EB8" w14:textId="5BAB5FFE">
      <w:pPr>
        <w:spacing w:line="240" w:lineRule="auto"/>
        <w:ind w:firstLine="720"/>
        <w:rPr>
          <w:b/>
          <w:bCs/>
        </w:rPr>
      </w:pPr>
      <w:r w:rsidRPr="0082678E">
        <w:rPr>
          <w:rStyle w:val="FootnoteReference"/>
          <w:b/>
          <w:bCs/>
        </w:rPr>
        <w:footnoteRef/>
      </w:r>
      <w:r w:rsidRPr="0082678E">
        <w:rPr>
          <w:b/>
          <w:bCs/>
        </w:rPr>
        <w:t xml:space="preserve">  </w:t>
      </w:r>
      <w:r w:rsidR="0006680C">
        <w:t>W</w:t>
      </w:r>
      <w:r>
        <w:t xml:space="preserve">e note that the elements of causing death while attempting to evade a peace officer set forth above are not only different from those of murder but are also different from the elements of attempted murder and </w:t>
      </w:r>
      <w:r w:rsidR="00F26D72">
        <w:t xml:space="preserve">those of </w:t>
      </w:r>
      <w:r>
        <w:t>manslaughter.  (</w:t>
      </w:r>
      <w:r w:rsidRPr="00D22560">
        <w:rPr>
          <w:i/>
          <w:iCs/>
        </w:rPr>
        <w:t>Compare</w:t>
      </w:r>
      <w:r>
        <w:t xml:space="preserve"> Veh. Code</w:t>
      </w:r>
      <w:r w:rsidR="00F12AD9">
        <w:t>,</w:t>
      </w:r>
      <w:r>
        <w:t xml:space="preserve"> § 2800.3 </w:t>
      </w:r>
      <w:r w:rsidRPr="00D22560">
        <w:rPr>
          <w:i/>
          <w:iCs/>
        </w:rPr>
        <w:t>with</w:t>
      </w:r>
      <w:r>
        <w:t xml:space="preserve"> </w:t>
      </w:r>
      <w:r w:rsidRPr="002D6762">
        <w:rPr>
          <w:i/>
          <w:iCs/>
        </w:rPr>
        <w:t>People v. Smith</w:t>
      </w:r>
      <w:r>
        <w:t xml:space="preserve"> (2005) </w:t>
      </w:r>
      <w:r w:rsidR="00DA676B">
        <w:t>3</w:t>
      </w:r>
      <w:r>
        <w:t>7 Cal.4th 733, 739 [elements of attempted murder] and §</w:t>
      </w:r>
      <w:r w:rsidR="00FD02C4">
        <w:t> </w:t>
      </w:r>
      <w:r>
        <w:t>192 [manslaughter].)</w:t>
      </w:r>
    </w:p>
  </w:footnote>
  <w:footnote w:id="33">
    <w:p w:rsidR="00A061BA" w:rsidP="00A061BA" w14:paraId="49EDC12D" w14:textId="20B93842">
      <w:pPr>
        <w:pStyle w:val="FootnoteText"/>
        <w:ind w:firstLine="720"/>
      </w:pPr>
      <w:r w:rsidRPr="00A061BA">
        <w:rPr>
          <w:rStyle w:val="FootnoteReference"/>
          <w:b/>
          <w:bCs/>
        </w:rPr>
        <w:footnoteRef/>
      </w:r>
      <w:r w:rsidRPr="00A061BA">
        <w:rPr>
          <w:b/>
          <w:bCs/>
        </w:rPr>
        <w:t xml:space="preserve"> </w:t>
      </w:r>
      <w:r w:rsidR="00D82EAF">
        <w:rPr>
          <w:b/>
          <w:bCs/>
        </w:rPr>
        <w:t xml:space="preserve"> </w:t>
      </w:r>
      <w:r>
        <w:t>Price and Campbell also contend that the court erred because consecutive sentencing was not mandatory under section 667, subdivision</w:t>
      </w:r>
      <w:r w:rsidR="00D82EAF">
        <w:t> </w:t>
      </w:r>
      <w:r>
        <w:t>(c)(6)</w:t>
      </w:r>
      <w:r w:rsidR="000A60E8">
        <w:t>,</w:t>
      </w:r>
      <w:r>
        <w:t xml:space="preserve"> because the Count </w:t>
      </w:r>
      <w:r w:rsidR="000A60E8">
        <w:t>4</w:t>
      </w:r>
      <w:r>
        <w:t xml:space="preserve"> and Count </w:t>
      </w:r>
      <w:r w:rsidR="000A60E8">
        <w:t>5</w:t>
      </w:r>
      <w:r>
        <w:t xml:space="preserve"> convictions occurred on the same occasion and arose from the same set of operative facts.  We reject this argument because, as the People point out, </w:t>
      </w:r>
      <w:r w:rsidR="00CB0AEE">
        <w:t>A</w:t>
      </w:r>
      <w:r>
        <w:t xml:space="preserve">ppellants cite no evidence indicating the trial court thought consecutive sentences were mandatory under that provision rather than discretionary. </w:t>
      </w:r>
    </w:p>
  </w:footnote>
  <w:footnote w:id="34">
    <w:p w:rsidR="004B6D87" w:rsidP="00D43D2B" w14:paraId="47599CA9" w14:textId="7CB00122">
      <w:pPr>
        <w:pStyle w:val="FootnoteText"/>
        <w:spacing w:after="120"/>
        <w:ind w:firstLine="720"/>
      </w:pPr>
      <w:r w:rsidRPr="004B6D87">
        <w:rPr>
          <w:rStyle w:val="FootnoteReference"/>
          <w:b/>
          <w:bCs/>
        </w:rPr>
        <w:footnoteRef/>
      </w:r>
      <w:r w:rsidRPr="004B6D87">
        <w:rPr>
          <w:b/>
          <w:bCs/>
        </w:rPr>
        <w:t xml:space="preserve"> </w:t>
      </w:r>
      <w:r w:rsidR="00146348">
        <w:rPr>
          <w:b/>
          <w:bCs/>
        </w:rPr>
        <w:t xml:space="preserve"> </w:t>
      </w:r>
      <w:r>
        <w:t xml:space="preserve">The People also argue that the record provided by Price does not show that he received no notice of the court’s intended action or that his counsel ever objected to the dismissal of his petition. </w:t>
      </w:r>
    </w:p>
  </w:footnote>
  <w:footnote w:id="35">
    <w:p w:rsidR="00CE4DE9" w:rsidRPr="00CE4DE9" w:rsidP="00CE4DE9" w14:paraId="2FB72183" w14:textId="6D14D37C">
      <w:pPr>
        <w:pStyle w:val="FootnoteText"/>
        <w:ind w:firstLine="720"/>
      </w:pPr>
      <w:r w:rsidRPr="00CE4DE9">
        <w:rPr>
          <w:rStyle w:val="FootnoteReference"/>
          <w:b/>
          <w:bCs/>
        </w:rPr>
        <w:footnoteRef/>
      </w:r>
      <w:r w:rsidRPr="00CE4DE9">
        <w:rPr>
          <w:b/>
          <w:bCs/>
        </w:rPr>
        <w:t xml:space="preserve"> </w:t>
      </w:r>
      <w:r>
        <w:rPr>
          <w:b/>
          <w:bCs/>
        </w:rPr>
        <w:t xml:space="preserve"> </w:t>
      </w:r>
      <w:r>
        <w:t xml:space="preserve">The issue is also moot in light of our remand for an evidentiary hearing under section 1172.6.  We presume the People will not object on remand to the hearsay nature of counsel’s petition and that if they do, counsel </w:t>
      </w:r>
      <w:r w:rsidR="00634297">
        <w:t xml:space="preserve">will resubmit </w:t>
      </w:r>
      <w:r w:rsidR="00CB0AEE">
        <w:t>A</w:t>
      </w:r>
      <w:r w:rsidR="00634297">
        <w:t xml:space="preserve">ppellants’ </w:t>
      </w:r>
      <w:r w:rsidR="00CB0AEE">
        <w:t xml:space="preserve">in </w:t>
      </w:r>
      <w:r w:rsidR="00634297">
        <w:t>pro</w:t>
      </w:r>
      <w:r w:rsidR="00CB0AEE">
        <w:t>pria</w:t>
      </w:r>
      <w:r w:rsidR="00634297">
        <w:t xml:space="preserve"> per</w:t>
      </w:r>
      <w:r w:rsidR="00CB0AEE">
        <w:t>sona</w:t>
      </w:r>
      <w:r w:rsidR="00634297">
        <w:t xml:space="preserve"> petitions or new petitions signed by </w:t>
      </w:r>
      <w:r w:rsidR="00CB0AEE">
        <w:t>A</w:t>
      </w:r>
      <w:r w:rsidR="00634297">
        <w:t>ppellants under penalty of perjury.</w:t>
      </w:r>
    </w:p>
  </w:footnote>
  <w:footnote w:id="36">
    <w:p w:rsidR="00DB6962" w:rsidP="00DB6962" w14:paraId="783B3DA3" w14:textId="0728684C">
      <w:pPr>
        <w:pStyle w:val="FootnoteText"/>
        <w:ind w:firstLine="720"/>
      </w:pPr>
      <w:r w:rsidRPr="00DB6962">
        <w:rPr>
          <w:rStyle w:val="FootnoteReference"/>
          <w:b/>
          <w:bCs/>
        </w:rPr>
        <w:footnoteRef/>
      </w:r>
      <w:r w:rsidRPr="00DB6962">
        <w:rPr>
          <w:b/>
          <w:bCs/>
        </w:rPr>
        <w:t xml:space="preserve"> </w:t>
      </w:r>
      <w:r w:rsidR="00146348">
        <w:rPr>
          <w:b/>
          <w:bCs/>
        </w:rPr>
        <w:t xml:space="preserve"> </w:t>
      </w:r>
      <w:r>
        <w:t xml:space="preserve">The jury was also instructed that the People had to prove beyond a reasonable doubt that the defendant acted with intent to kill.  </w:t>
      </w:r>
    </w:p>
  </w:footnote>
  <w:footnote w:id="37">
    <w:p w:rsidR="00E672B6" w:rsidRPr="00EE6C95" w:rsidP="00074840" w14:paraId="08607B4F" w14:textId="77777777">
      <w:pPr>
        <w:pStyle w:val="FootnoteText"/>
        <w:rPr>
          <w:szCs w:val="26"/>
        </w:rPr>
      </w:pPr>
      <w:r>
        <w:tab/>
      </w:r>
      <w:r w:rsidRPr="00EE6C95">
        <w:rPr>
          <w:rStyle w:val="FootnoteReference"/>
          <w:szCs w:val="26"/>
        </w:rPr>
        <w:t>*</w:t>
      </w:r>
      <w:r w:rsidRPr="00EE6C95">
        <w:rPr>
          <w:szCs w:val="26"/>
        </w:rPr>
        <w:t xml:space="preserve">  </w:t>
      </w:r>
      <w:r>
        <w:rPr>
          <w:szCs w:val="26"/>
        </w:rPr>
        <w:t>Judge of the Alameda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486CF3"/>
    <w:multiLevelType w:val="hybridMultilevel"/>
    <w:tmpl w:val="C15A51A0"/>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
    <w:nsid w:val="2C2665E2"/>
    <w:multiLevelType w:val="hybridMultilevel"/>
    <w:tmpl w:val="560429C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348E7458"/>
    <w:multiLevelType w:val="hybridMultilevel"/>
    <w:tmpl w:val="B47A3C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EA71231"/>
    <w:multiLevelType w:val="hybridMultilevel"/>
    <w:tmpl w:val="DCD6B90A"/>
    <w:lvl w:ilvl="0">
      <w:start w:val="1"/>
      <w:numFmt w:val="upperLetter"/>
      <w:lvlText w:val="%1."/>
      <w:lvlJc w:val="left"/>
      <w:pPr>
        <w:ind w:left="99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EC903A5"/>
    <w:multiLevelType w:val="hybridMultilevel"/>
    <w:tmpl w:val="0D2EE86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7E611A8A"/>
    <w:multiLevelType w:val="hybridMultilevel"/>
    <w:tmpl w:val="B066DF3C"/>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72"/>
    <w:rsid w:val="00002CB2"/>
    <w:rsid w:val="00002F2C"/>
    <w:rsid w:val="00006562"/>
    <w:rsid w:val="00007183"/>
    <w:rsid w:val="000109F0"/>
    <w:rsid w:val="00013B3D"/>
    <w:rsid w:val="00013BE7"/>
    <w:rsid w:val="000140AB"/>
    <w:rsid w:val="0001570B"/>
    <w:rsid w:val="0001650B"/>
    <w:rsid w:val="00017244"/>
    <w:rsid w:val="00017F7E"/>
    <w:rsid w:val="00024B6C"/>
    <w:rsid w:val="00026E77"/>
    <w:rsid w:val="000277E2"/>
    <w:rsid w:val="00027A94"/>
    <w:rsid w:val="000336AB"/>
    <w:rsid w:val="00033C25"/>
    <w:rsid w:val="00033D72"/>
    <w:rsid w:val="00034568"/>
    <w:rsid w:val="00034D8E"/>
    <w:rsid w:val="00035922"/>
    <w:rsid w:val="00036110"/>
    <w:rsid w:val="00036CE2"/>
    <w:rsid w:val="00042C87"/>
    <w:rsid w:val="00044C8D"/>
    <w:rsid w:val="00044FF3"/>
    <w:rsid w:val="00045D04"/>
    <w:rsid w:val="000467DD"/>
    <w:rsid w:val="00046B89"/>
    <w:rsid w:val="0005277D"/>
    <w:rsid w:val="00061348"/>
    <w:rsid w:val="00061368"/>
    <w:rsid w:val="00064595"/>
    <w:rsid w:val="00064882"/>
    <w:rsid w:val="00065A42"/>
    <w:rsid w:val="00065B04"/>
    <w:rsid w:val="0006680C"/>
    <w:rsid w:val="00070291"/>
    <w:rsid w:val="000705DF"/>
    <w:rsid w:val="00071ABC"/>
    <w:rsid w:val="00072764"/>
    <w:rsid w:val="00073840"/>
    <w:rsid w:val="00073DE8"/>
    <w:rsid w:val="00074840"/>
    <w:rsid w:val="00075921"/>
    <w:rsid w:val="00076B5F"/>
    <w:rsid w:val="000776DB"/>
    <w:rsid w:val="00080B7D"/>
    <w:rsid w:val="000819CD"/>
    <w:rsid w:val="00081DE7"/>
    <w:rsid w:val="00084FB1"/>
    <w:rsid w:val="000910FD"/>
    <w:rsid w:val="0009165C"/>
    <w:rsid w:val="00091B60"/>
    <w:rsid w:val="00093688"/>
    <w:rsid w:val="00093ECE"/>
    <w:rsid w:val="000A0D7B"/>
    <w:rsid w:val="000A1C5D"/>
    <w:rsid w:val="000A4F66"/>
    <w:rsid w:val="000A60E8"/>
    <w:rsid w:val="000B138B"/>
    <w:rsid w:val="000B1540"/>
    <w:rsid w:val="000B1E66"/>
    <w:rsid w:val="000B2682"/>
    <w:rsid w:val="000B50E1"/>
    <w:rsid w:val="000B6FEE"/>
    <w:rsid w:val="000B7685"/>
    <w:rsid w:val="000B77C7"/>
    <w:rsid w:val="000C0553"/>
    <w:rsid w:val="000C0F2D"/>
    <w:rsid w:val="000C453F"/>
    <w:rsid w:val="000C52E9"/>
    <w:rsid w:val="000C5C63"/>
    <w:rsid w:val="000C683A"/>
    <w:rsid w:val="000D12BC"/>
    <w:rsid w:val="000D5D78"/>
    <w:rsid w:val="000D6264"/>
    <w:rsid w:val="000D6E29"/>
    <w:rsid w:val="000D6FA0"/>
    <w:rsid w:val="000E107A"/>
    <w:rsid w:val="000E1E55"/>
    <w:rsid w:val="000E30C7"/>
    <w:rsid w:val="000E33DD"/>
    <w:rsid w:val="000E5088"/>
    <w:rsid w:val="000E6E13"/>
    <w:rsid w:val="000F304F"/>
    <w:rsid w:val="000F450C"/>
    <w:rsid w:val="000F4AA3"/>
    <w:rsid w:val="000F5D80"/>
    <w:rsid w:val="00100710"/>
    <w:rsid w:val="001010C5"/>
    <w:rsid w:val="00101B39"/>
    <w:rsid w:val="00101FD8"/>
    <w:rsid w:val="001026A0"/>
    <w:rsid w:val="00102B17"/>
    <w:rsid w:val="00103DF7"/>
    <w:rsid w:val="001046EE"/>
    <w:rsid w:val="0010618C"/>
    <w:rsid w:val="00115125"/>
    <w:rsid w:val="001240C8"/>
    <w:rsid w:val="00125505"/>
    <w:rsid w:val="001269AC"/>
    <w:rsid w:val="00132DD8"/>
    <w:rsid w:val="001349A1"/>
    <w:rsid w:val="00135190"/>
    <w:rsid w:val="001422F5"/>
    <w:rsid w:val="001440C6"/>
    <w:rsid w:val="0014614A"/>
    <w:rsid w:val="00146348"/>
    <w:rsid w:val="00151462"/>
    <w:rsid w:val="00151769"/>
    <w:rsid w:val="001519AE"/>
    <w:rsid w:val="00151DB0"/>
    <w:rsid w:val="00151EA4"/>
    <w:rsid w:val="00151FF6"/>
    <w:rsid w:val="00152538"/>
    <w:rsid w:val="001547FB"/>
    <w:rsid w:val="00156940"/>
    <w:rsid w:val="0016074B"/>
    <w:rsid w:val="00165E3B"/>
    <w:rsid w:val="001662EB"/>
    <w:rsid w:val="00173E8D"/>
    <w:rsid w:val="00175CBD"/>
    <w:rsid w:val="001865B2"/>
    <w:rsid w:val="0018798D"/>
    <w:rsid w:val="0019017F"/>
    <w:rsid w:val="00191F29"/>
    <w:rsid w:val="001926AB"/>
    <w:rsid w:val="00195341"/>
    <w:rsid w:val="00195F1E"/>
    <w:rsid w:val="0019658A"/>
    <w:rsid w:val="001A5C37"/>
    <w:rsid w:val="001A6652"/>
    <w:rsid w:val="001A7018"/>
    <w:rsid w:val="001A7EEF"/>
    <w:rsid w:val="001B0B90"/>
    <w:rsid w:val="001B0F71"/>
    <w:rsid w:val="001B3F24"/>
    <w:rsid w:val="001B55A4"/>
    <w:rsid w:val="001B5C86"/>
    <w:rsid w:val="001B6FF9"/>
    <w:rsid w:val="001B7497"/>
    <w:rsid w:val="001C1965"/>
    <w:rsid w:val="001C256B"/>
    <w:rsid w:val="001C2CBC"/>
    <w:rsid w:val="001C4D89"/>
    <w:rsid w:val="001C4F1D"/>
    <w:rsid w:val="001C6436"/>
    <w:rsid w:val="001C7371"/>
    <w:rsid w:val="001D1177"/>
    <w:rsid w:val="001D2022"/>
    <w:rsid w:val="001D4AEB"/>
    <w:rsid w:val="001E3857"/>
    <w:rsid w:val="001E3F19"/>
    <w:rsid w:val="001E4B37"/>
    <w:rsid w:val="001E6EB6"/>
    <w:rsid w:val="001F1242"/>
    <w:rsid w:val="001F4DF5"/>
    <w:rsid w:val="001F535D"/>
    <w:rsid w:val="001F6918"/>
    <w:rsid w:val="001F78AE"/>
    <w:rsid w:val="00202331"/>
    <w:rsid w:val="00203127"/>
    <w:rsid w:val="00204B4E"/>
    <w:rsid w:val="002052F3"/>
    <w:rsid w:val="00206F7C"/>
    <w:rsid w:val="00207A98"/>
    <w:rsid w:val="00211E31"/>
    <w:rsid w:val="00216807"/>
    <w:rsid w:val="00217030"/>
    <w:rsid w:val="0022012E"/>
    <w:rsid w:val="002217DC"/>
    <w:rsid w:val="002243BA"/>
    <w:rsid w:val="002252B7"/>
    <w:rsid w:val="00231E1A"/>
    <w:rsid w:val="002325B7"/>
    <w:rsid w:val="00232E56"/>
    <w:rsid w:val="00235318"/>
    <w:rsid w:val="002417FC"/>
    <w:rsid w:val="002425CC"/>
    <w:rsid w:val="0024431A"/>
    <w:rsid w:val="0024529E"/>
    <w:rsid w:val="00245472"/>
    <w:rsid w:val="002502C6"/>
    <w:rsid w:val="00251B51"/>
    <w:rsid w:val="00251BED"/>
    <w:rsid w:val="0025232B"/>
    <w:rsid w:val="00255CE3"/>
    <w:rsid w:val="002577CF"/>
    <w:rsid w:val="00261EF6"/>
    <w:rsid w:val="0026403B"/>
    <w:rsid w:val="00265982"/>
    <w:rsid w:val="00266836"/>
    <w:rsid w:val="00266CCB"/>
    <w:rsid w:val="00272343"/>
    <w:rsid w:val="00272503"/>
    <w:rsid w:val="00272864"/>
    <w:rsid w:val="00272D4B"/>
    <w:rsid w:val="0027434E"/>
    <w:rsid w:val="002744C8"/>
    <w:rsid w:val="002760E2"/>
    <w:rsid w:val="00276277"/>
    <w:rsid w:val="00277F59"/>
    <w:rsid w:val="00280BDB"/>
    <w:rsid w:val="00281B2C"/>
    <w:rsid w:val="002834EE"/>
    <w:rsid w:val="002841C1"/>
    <w:rsid w:val="00284AA5"/>
    <w:rsid w:val="00287E1C"/>
    <w:rsid w:val="00293718"/>
    <w:rsid w:val="00294194"/>
    <w:rsid w:val="00294623"/>
    <w:rsid w:val="00294971"/>
    <w:rsid w:val="00296DEE"/>
    <w:rsid w:val="0029738E"/>
    <w:rsid w:val="00297B54"/>
    <w:rsid w:val="002A1754"/>
    <w:rsid w:val="002A4987"/>
    <w:rsid w:val="002A4F79"/>
    <w:rsid w:val="002A57ED"/>
    <w:rsid w:val="002A6A53"/>
    <w:rsid w:val="002A7057"/>
    <w:rsid w:val="002B05DE"/>
    <w:rsid w:val="002B2C15"/>
    <w:rsid w:val="002B30BB"/>
    <w:rsid w:val="002B43FE"/>
    <w:rsid w:val="002B5C97"/>
    <w:rsid w:val="002C1DD4"/>
    <w:rsid w:val="002C413A"/>
    <w:rsid w:val="002C4BA2"/>
    <w:rsid w:val="002C5E61"/>
    <w:rsid w:val="002D0D39"/>
    <w:rsid w:val="002D1A9E"/>
    <w:rsid w:val="002D2DC6"/>
    <w:rsid w:val="002D4BEB"/>
    <w:rsid w:val="002D554B"/>
    <w:rsid w:val="002D6522"/>
    <w:rsid w:val="002D6762"/>
    <w:rsid w:val="002D7712"/>
    <w:rsid w:val="002E14E1"/>
    <w:rsid w:val="002E210C"/>
    <w:rsid w:val="002E4B0F"/>
    <w:rsid w:val="002E55A1"/>
    <w:rsid w:val="002F0242"/>
    <w:rsid w:val="002F0B7A"/>
    <w:rsid w:val="002F4802"/>
    <w:rsid w:val="00304AB2"/>
    <w:rsid w:val="00307FBA"/>
    <w:rsid w:val="003116B4"/>
    <w:rsid w:val="003141E3"/>
    <w:rsid w:val="00316F03"/>
    <w:rsid w:val="00317A1D"/>
    <w:rsid w:val="00320729"/>
    <w:rsid w:val="00320E5E"/>
    <w:rsid w:val="0032118C"/>
    <w:rsid w:val="003211BA"/>
    <w:rsid w:val="003233DF"/>
    <w:rsid w:val="00323984"/>
    <w:rsid w:val="003245CC"/>
    <w:rsid w:val="003309DA"/>
    <w:rsid w:val="00333F8B"/>
    <w:rsid w:val="00341846"/>
    <w:rsid w:val="00343C11"/>
    <w:rsid w:val="00344556"/>
    <w:rsid w:val="0034750C"/>
    <w:rsid w:val="003479FA"/>
    <w:rsid w:val="00347A75"/>
    <w:rsid w:val="00347C96"/>
    <w:rsid w:val="00347E75"/>
    <w:rsid w:val="0035012F"/>
    <w:rsid w:val="00350805"/>
    <w:rsid w:val="003560F8"/>
    <w:rsid w:val="00360544"/>
    <w:rsid w:val="00361A02"/>
    <w:rsid w:val="00361A53"/>
    <w:rsid w:val="0036369F"/>
    <w:rsid w:val="0036439B"/>
    <w:rsid w:val="003702F9"/>
    <w:rsid w:val="00371F07"/>
    <w:rsid w:val="00373168"/>
    <w:rsid w:val="00373BE8"/>
    <w:rsid w:val="003762E8"/>
    <w:rsid w:val="00377C19"/>
    <w:rsid w:val="00380000"/>
    <w:rsid w:val="003819BB"/>
    <w:rsid w:val="00381D2F"/>
    <w:rsid w:val="00382405"/>
    <w:rsid w:val="0038492B"/>
    <w:rsid w:val="00384BC0"/>
    <w:rsid w:val="00386AF2"/>
    <w:rsid w:val="0039039D"/>
    <w:rsid w:val="003A19CB"/>
    <w:rsid w:val="003A44A4"/>
    <w:rsid w:val="003A5238"/>
    <w:rsid w:val="003A78F5"/>
    <w:rsid w:val="003A7941"/>
    <w:rsid w:val="003B0650"/>
    <w:rsid w:val="003B4FDB"/>
    <w:rsid w:val="003B6A27"/>
    <w:rsid w:val="003C1050"/>
    <w:rsid w:val="003C2A35"/>
    <w:rsid w:val="003C2F51"/>
    <w:rsid w:val="003C498A"/>
    <w:rsid w:val="003D0907"/>
    <w:rsid w:val="003D0D9A"/>
    <w:rsid w:val="003D29DA"/>
    <w:rsid w:val="003D2D70"/>
    <w:rsid w:val="003D2FD0"/>
    <w:rsid w:val="003D66EF"/>
    <w:rsid w:val="003E02E7"/>
    <w:rsid w:val="003E2C89"/>
    <w:rsid w:val="003E3436"/>
    <w:rsid w:val="003E585C"/>
    <w:rsid w:val="003E6F74"/>
    <w:rsid w:val="003F0069"/>
    <w:rsid w:val="003F0349"/>
    <w:rsid w:val="003F1049"/>
    <w:rsid w:val="003F19D6"/>
    <w:rsid w:val="003F35B5"/>
    <w:rsid w:val="003F4264"/>
    <w:rsid w:val="003F4969"/>
    <w:rsid w:val="003F7842"/>
    <w:rsid w:val="004004D1"/>
    <w:rsid w:val="0040454D"/>
    <w:rsid w:val="00406D2F"/>
    <w:rsid w:val="00407E46"/>
    <w:rsid w:val="004118CB"/>
    <w:rsid w:val="004140A7"/>
    <w:rsid w:val="00416971"/>
    <w:rsid w:val="00420F8B"/>
    <w:rsid w:val="00421095"/>
    <w:rsid w:val="00421F39"/>
    <w:rsid w:val="004227B2"/>
    <w:rsid w:val="004236A7"/>
    <w:rsid w:val="004238AA"/>
    <w:rsid w:val="00423E2F"/>
    <w:rsid w:val="00424BC2"/>
    <w:rsid w:val="00424D3C"/>
    <w:rsid w:val="0042542E"/>
    <w:rsid w:val="00425830"/>
    <w:rsid w:val="00425AFA"/>
    <w:rsid w:val="004268EE"/>
    <w:rsid w:val="004270F0"/>
    <w:rsid w:val="004277F8"/>
    <w:rsid w:val="00434158"/>
    <w:rsid w:val="00434F11"/>
    <w:rsid w:val="004367F2"/>
    <w:rsid w:val="00437A92"/>
    <w:rsid w:val="00443718"/>
    <w:rsid w:val="00451341"/>
    <w:rsid w:val="004541B5"/>
    <w:rsid w:val="004607EC"/>
    <w:rsid w:val="004624C3"/>
    <w:rsid w:val="00463B54"/>
    <w:rsid w:val="00470052"/>
    <w:rsid w:val="0047052A"/>
    <w:rsid w:val="0047052E"/>
    <w:rsid w:val="00472B2B"/>
    <w:rsid w:val="004735D7"/>
    <w:rsid w:val="0047737A"/>
    <w:rsid w:val="0048032D"/>
    <w:rsid w:val="00483603"/>
    <w:rsid w:val="004861BB"/>
    <w:rsid w:val="00487DF7"/>
    <w:rsid w:val="00487EE0"/>
    <w:rsid w:val="004910AA"/>
    <w:rsid w:val="0049787A"/>
    <w:rsid w:val="00497E4F"/>
    <w:rsid w:val="004A4F03"/>
    <w:rsid w:val="004A73EC"/>
    <w:rsid w:val="004B11B1"/>
    <w:rsid w:val="004B2AFE"/>
    <w:rsid w:val="004B3525"/>
    <w:rsid w:val="004B378E"/>
    <w:rsid w:val="004B6D87"/>
    <w:rsid w:val="004B706B"/>
    <w:rsid w:val="004C13BF"/>
    <w:rsid w:val="004C151C"/>
    <w:rsid w:val="004C2A74"/>
    <w:rsid w:val="004C37B1"/>
    <w:rsid w:val="004C3A97"/>
    <w:rsid w:val="004C5117"/>
    <w:rsid w:val="004C6142"/>
    <w:rsid w:val="004C6514"/>
    <w:rsid w:val="004C7570"/>
    <w:rsid w:val="004D364B"/>
    <w:rsid w:val="004D52E9"/>
    <w:rsid w:val="004D68EE"/>
    <w:rsid w:val="004E05D9"/>
    <w:rsid w:val="004E270A"/>
    <w:rsid w:val="004E4FA7"/>
    <w:rsid w:val="004E5D5F"/>
    <w:rsid w:val="004E7499"/>
    <w:rsid w:val="004F083F"/>
    <w:rsid w:val="004F1828"/>
    <w:rsid w:val="004F4632"/>
    <w:rsid w:val="004F4B19"/>
    <w:rsid w:val="004F4F84"/>
    <w:rsid w:val="004F7AEE"/>
    <w:rsid w:val="0050073C"/>
    <w:rsid w:val="005028F5"/>
    <w:rsid w:val="00503BBC"/>
    <w:rsid w:val="00504074"/>
    <w:rsid w:val="0050438D"/>
    <w:rsid w:val="0050443E"/>
    <w:rsid w:val="00505CAE"/>
    <w:rsid w:val="00507137"/>
    <w:rsid w:val="00510E48"/>
    <w:rsid w:val="00510FA5"/>
    <w:rsid w:val="00512969"/>
    <w:rsid w:val="0051351D"/>
    <w:rsid w:val="0051473A"/>
    <w:rsid w:val="005163FA"/>
    <w:rsid w:val="00516B69"/>
    <w:rsid w:val="00522C2E"/>
    <w:rsid w:val="00523959"/>
    <w:rsid w:val="00523FA4"/>
    <w:rsid w:val="00530EB2"/>
    <w:rsid w:val="00532B25"/>
    <w:rsid w:val="005331B4"/>
    <w:rsid w:val="00533883"/>
    <w:rsid w:val="005374EC"/>
    <w:rsid w:val="00537780"/>
    <w:rsid w:val="00541713"/>
    <w:rsid w:val="00543F24"/>
    <w:rsid w:val="00544491"/>
    <w:rsid w:val="005453D7"/>
    <w:rsid w:val="005462B5"/>
    <w:rsid w:val="005476E1"/>
    <w:rsid w:val="00551646"/>
    <w:rsid w:val="00552A41"/>
    <w:rsid w:val="00552DF4"/>
    <w:rsid w:val="00553721"/>
    <w:rsid w:val="0055481F"/>
    <w:rsid w:val="00557A03"/>
    <w:rsid w:val="005602A8"/>
    <w:rsid w:val="005626CA"/>
    <w:rsid w:val="00564632"/>
    <w:rsid w:val="005654E0"/>
    <w:rsid w:val="005679B4"/>
    <w:rsid w:val="00570E3E"/>
    <w:rsid w:val="00571CEB"/>
    <w:rsid w:val="00573784"/>
    <w:rsid w:val="00576276"/>
    <w:rsid w:val="005802C6"/>
    <w:rsid w:val="00580884"/>
    <w:rsid w:val="00585344"/>
    <w:rsid w:val="00590B84"/>
    <w:rsid w:val="00591DFC"/>
    <w:rsid w:val="00594B8B"/>
    <w:rsid w:val="005A01D4"/>
    <w:rsid w:val="005A249F"/>
    <w:rsid w:val="005A29CF"/>
    <w:rsid w:val="005A448A"/>
    <w:rsid w:val="005A63C2"/>
    <w:rsid w:val="005B4239"/>
    <w:rsid w:val="005B4D1D"/>
    <w:rsid w:val="005B5F13"/>
    <w:rsid w:val="005C0429"/>
    <w:rsid w:val="005C2448"/>
    <w:rsid w:val="005C4B88"/>
    <w:rsid w:val="005C71A6"/>
    <w:rsid w:val="005D044B"/>
    <w:rsid w:val="005D0520"/>
    <w:rsid w:val="005D11E2"/>
    <w:rsid w:val="005D31D2"/>
    <w:rsid w:val="005D512F"/>
    <w:rsid w:val="005D5D15"/>
    <w:rsid w:val="005D67E8"/>
    <w:rsid w:val="005E1154"/>
    <w:rsid w:val="005E3BFD"/>
    <w:rsid w:val="005E5C64"/>
    <w:rsid w:val="005E6DAE"/>
    <w:rsid w:val="005F02CC"/>
    <w:rsid w:val="005F0687"/>
    <w:rsid w:val="005F54B7"/>
    <w:rsid w:val="005F59A7"/>
    <w:rsid w:val="005F61E7"/>
    <w:rsid w:val="00601FEA"/>
    <w:rsid w:val="00603495"/>
    <w:rsid w:val="0060701E"/>
    <w:rsid w:val="00613895"/>
    <w:rsid w:val="00622525"/>
    <w:rsid w:val="00622AE6"/>
    <w:rsid w:val="00631AD1"/>
    <w:rsid w:val="00631D83"/>
    <w:rsid w:val="00634086"/>
    <w:rsid w:val="00634297"/>
    <w:rsid w:val="00634593"/>
    <w:rsid w:val="0063541B"/>
    <w:rsid w:val="0063575C"/>
    <w:rsid w:val="00636735"/>
    <w:rsid w:val="0064297C"/>
    <w:rsid w:val="00642A9D"/>
    <w:rsid w:val="00643E20"/>
    <w:rsid w:val="00643FAC"/>
    <w:rsid w:val="00646A14"/>
    <w:rsid w:val="00646C1D"/>
    <w:rsid w:val="00651BB6"/>
    <w:rsid w:val="006543D5"/>
    <w:rsid w:val="00655F15"/>
    <w:rsid w:val="00656140"/>
    <w:rsid w:val="0065786F"/>
    <w:rsid w:val="00657A15"/>
    <w:rsid w:val="00662696"/>
    <w:rsid w:val="006636D8"/>
    <w:rsid w:val="00665FF0"/>
    <w:rsid w:val="0066608E"/>
    <w:rsid w:val="00666F07"/>
    <w:rsid w:val="006701F5"/>
    <w:rsid w:val="006739DD"/>
    <w:rsid w:val="00674357"/>
    <w:rsid w:val="00676065"/>
    <w:rsid w:val="006770DD"/>
    <w:rsid w:val="006810BA"/>
    <w:rsid w:val="0068158B"/>
    <w:rsid w:val="006961FC"/>
    <w:rsid w:val="00697D50"/>
    <w:rsid w:val="006A34E6"/>
    <w:rsid w:val="006A4BE3"/>
    <w:rsid w:val="006A4D65"/>
    <w:rsid w:val="006A5E72"/>
    <w:rsid w:val="006B219E"/>
    <w:rsid w:val="006B5D63"/>
    <w:rsid w:val="006B6355"/>
    <w:rsid w:val="006C1CCF"/>
    <w:rsid w:val="006C20B3"/>
    <w:rsid w:val="006C2BDD"/>
    <w:rsid w:val="006D0825"/>
    <w:rsid w:val="006D1503"/>
    <w:rsid w:val="006D1D5B"/>
    <w:rsid w:val="006D4E05"/>
    <w:rsid w:val="006D525A"/>
    <w:rsid w:val="006D58F7"/>
    <w:rsid w:val="006D62EB"/>
    <w:rsid w:val="006E0CBB"/>
    <w:rsid w:val="006E4CB8"/>
    <w:rsid w:val="006E5834"/>
    <w:rsid w:val="006E636F"/>
    <w:rsid w:val="006E716D"/>
    <w:rsid w:val="006E7D7A"/>
    <w:rsid w:val="006F2EEF"/>
    <w:rsid w:val="006F3F00"/>
    <w:rsid w:val="006F40B8"/>
    <w:rsid w:val="006F4183"/>
    <w:rsid w:val="006F4270"/>
    <w:rsid w:val="006F5084"/>
    <w:rsid w:val="00700228"/>
    <w:rsid w:val="00705463"/>
    <w:rsid w:val="00705768"/>
    <w:rsid w:val="00705DC7"/>
    <w:rsid w:val="00707323"/>
    <w:rsid w:val="00707C37"/>
    <w:rsid w:val="00710678"/>
    <w:rsid w:val="00711B64"/>
    <w:rsid w:val="00715CF7"/>
    <w:rsid w:val="007213EB"/>
    <w:rsid w:val="00725E6B"/>
    <w:rsid w:val="007315C6"/>
    <w:rsid w:val="0073372F"/>
    <w:rsid w:val="00734EB8"/>
    <w:rsid w:val="0074349B"/>
    <w:rsid w:val="00747CC7"/>
    <w:rsid w:val="00755BB1"/>
    <w:rsid w:val="0075752D"/>
    <w:rsid w:val="007604B1"/>
    <w:rsid w:val="0076341D"/>
    <w:rsid w:val="0076399B"/>
    <w:rsid w:val="00763E02"/>
    <w:rsid w:val="0076477B"/>
    <w:rsid w:val="00767548"/>
    <w:rsid w:val="0077277D"/>
    <w:rsid w:val="007742E3"/>
    <w:rsid w:val="007768E0"/>
    <w:rsid w:val="00777377"/>
    <w:rsid w:val="00777F6E"/>
    <w:rsid w:val="0078469E"/>
    <w:rsid w:val="007858C3"/>
    <w:rsid w:val="0078767E"/>
    <w:rsid w:val="00791025"/>
    <w:rsid w:val="0079248C"/>
    <w:rsid w:val="00792DA1"/>
    <w:rsid w:val="00797204"/>
    <w:rsid w:val="007A037B"/>
    <w:rsid w:val="007A0D7D"/>
    <w:rsid w:val="007A0DFE"/>
    <w:rsid w:val="007A2232"/>
    <w:rsid w:val="007A53A1"/>
    <w:rsid w:val="007A78AD"/>
    <w:rsid w:val="007B12B8"/>
    <w:rsid w:val="007B1AFA"/>
    <w:rsid w:val="007B1D0C"/>
    <w:rsid w:val="007B3B15"/>
    <w:rsid w:val="007B3C5D"/>
    <w:rsid w:val="007B4021"/>
    <w:rsid w:val="007B5215"/>
    <w:rsid w:val="007B5720"/>
    <w:rsid w:val="007C26F1"/>
    <w:rsid w:val="007C5F0A"/>
    <w:rsid w:val="007D168C"/>
    <w:rsid w:val="007D2A0E"/>
    <w:rsid w:val="007D5804"/>
    <w:rsid w:val="007D693D"/>
    <w:rsid w:val="007D7EC3"/>
    <w:rsid w:val="007E0003"/>
    <w:rsid w:val="007E2BB9"/>
    <w:rsid w:val="007E471D"/>
    <w:rsid w:val="007E5375"/>
    <w:rsid w:val="007E567D"/>
    <w:rsid w:val="007E7376"/>
    <w:rsid w:val="007E7BB1"/>
    <w:rsid w:val="007E7E3B"/>
    <w:rsid w:val="007F27F6"/>
    <w:rsid w:val="007F33F9"/>
    <w:rsid w:val="007F74FA"/>
    <w:rsid w:val="00800D64"/>
    <w:rsid w:val="008017E4"/>
    <w:rsid w:val="00811050"/>
    <w:rsid w:val="00811E77"/>
    <w:rsid w:val="00811EA5"/>
    <w:rsid w:val="00816CF2"/>
    <w:rsid w:val="008239F3"/>
    <w:rsid w:val="00824BA4"/>
    <w:rsid w:val="0082678E"/>
    <w:rsid w:val="00826839"/>
    <w:rsid w:val="0083182C"/>
    <w:rsid w:val="00831F95"/>
    <w:rsid w:val="00832384"/>
    <w:rsid w:val="00837598"/>
    <w:rsid w:val="00841034"/>
    <w:rsid w:val="008435CE"/>
    <w:rsid w:val="00843AA8"/>
    <w:rsid w:val="008455A2"/>
    <w:rsid w:val="00847DEB"/>
    <w:rsid w:val="00855847"/>
    <w:rsid w:val="008617D9"/>
    <w:rsid w:val="00861AEF"/>
    <w:rsid w:val="00861B9C"/>
    <w:rsid w:val="0086320D"/>
    <w:rsid w:val="00863448"/>
    <w:rsid w:val="00864D32"/>
    <w:rsid w:val="00866FD8"/>
    <w:rsid w:val="00867B34"/>
    <w:rsid w:val="00867EAD"/>
    <w:rsid w:val="00871C4F"/>
    <w:rsid w:val="00874570"/>
    <w:rsid w:val="0087479D"/>
    <w:rsid w:val="00876514"/>
    <w:rsid w:val="00880216"/>
    <w:rsid w:val="00880534"/>
    <w:rsid w:val="00882202"/>
    <w:rsid w:val="00884559"/>
    <w:rsid w:val="00887A4D"/>
    <w:rsid w:val="00892F76"/>
    <w:rsid w:val="00893FD7"/>
    <w:rsid w:val="008948A1"/>
    <w:rsid w:val="00894A74"/>
    <w:rsid w:val="00894BEF"/>
    <w:rsid w:val="00895CA7"/>
    <w:rsid w:val="00896174"/>
    <w:rsid w:val="00896ACD"/>
    <w:rsid w:val="00896B04"/>
    <w:rsid w:val="008A1A9E"/>
    <w:rsid w:val="008A1D72"/>
    <w:rsid w:val="008A3085"/>
    <w:rsid w:val="008A67D7"/>
    <w:rsid w:val="008A6A91"/>
    <w:rsid w:val="008B2AE5"/>
    <w:rsid w:val="008B4610"/>
    <w:rsid w:val="008B4B80"/>
    <w:rsid w:val="008B6F84"/>
    <w:rsid w:val="008C1A80"/>
    <w:rsid w:val="008C2747"/>
    <w:rsid w:val="008C4548"/>
    <w:rsid w:val="008C4DE8"/>
    <w:rsid w:val="008C5B58"/>
    <w:rsid w:val="008C6589"/>
    <w:rsid w:val="008C69C3"/>
    <w:rsid w:val="008C7699"/>
    <w:rsid w:val="008C7AFC"/>
    <w:rsid w:val="008D3D7C"/>
    <w:rsid w:val="008D496B"/>
    <w:rsid w:val="008D49D2"/>
    <w:rsid w:val="008D4B51"/>
    <w:rsid w:val="008D6FAA"/>
    <w:rsid w:val="008E1A15"/>
    <w:rsid w:val="008E2777"/>
    <w:rsid w:val="008E2B82"/>
    <w:rsid w:val="008E39BB"/>
    <w:rsid w:val="008E7196"/>
    <w:rsid w:val="008E7294"/>
    <w:rsid w:val="008E75EA"/>
    <w:rsid w:val="008E7D58"/>
    <w:rsid w:val="008E7F96"/>
    <w:rsid w:val="008F0CCF"/>
    <w:rsid w:val="008F2FFB"/>
    <w:rsid w:val="008F7E35"/>
    <w:rsid w:val="0090024A"/>
    <w:rsid w:val="00904DB2"/>
    <w:rsid w:val="00910274"/>
    <w:rsid w:val="0091049F"/>
    <w:rsid w:val="00911A4C"/>
    <w:rsid w:val="00911DD1"/>
    <w:rsid w:val="009168F8"/>
    <w:rsid w:val="0091748D"/>
    <w:rsid w:val="00917B65"/>
    <w:rsid w:val="00923371"/>
    <w:rsid w:val="00924A37"/>
    <w:rsid w:val="00926EEB"/>
    <w:rsid w:val="0093079F"/>
    <w:rsid w:val="0093133C"/>
    <w:rsid w:val="0093296B"/>
    <w:rsid w:val="00932D17"/>
    <w:rsid w:val="0093386C"/>
    <w:rsid w:val="009367D7"/>
    <w:rsid w:val="00936CBC"/>
    <w:rsid w:val="00937223"/>
    <w:rsid w:val="00943BC6"/>
    <w:rsid w:val="00945D79"/>
    <w:rsid w:val="00953C9B"/>
    <w:rsid w:val="009566E8"/>
    <w:rsid w:val="009604FB"/>
    <w:rsid w:val="009606F4"/>
    <w:rsid w:val="0096250D"/>
    <w:rsid w:val="009647E9"/>
    <w:rsid w:val="009661B7"/>
    <w:rsid w:val="00971885"/>
    <w:rsid w:val="009728D2"/>
    <w:rsid w:val="009737DA"/>
    <w:rsid w:val="00974F06"/>
    <w:rsid w:val="00977517"/>
    <w:rsid w:val="009832D3"/>
    <w:rsid w:val="00985818"/>
    <w:rsid w:val="009864CF"/>
    <w:rsid w:val="00990EA4"/>
    <w:rsid w:val="009938BE"/>
    <w:rsid w:val="00993D95"/>
    <w:rsid w:val="009953B5"/>
    <w:rsid w:val="00996D1C"/>
    <w:rsid w:val="009972E0"/>
    <w:rsid w:val="0099778E"/>
    <w:rsid w:val="009A556D"/>
    <w:rsid w:val="009B099E"/>
    <w:rsid w:val="009B2914"/>
    <w:rsid w:val="009B298D"/>
    <w:rsid w:val="009B49CC"/>
    <w:rsid w:val="009B7BE1"/>
    <w:rsid w:val="009C28FA"/>
    <w:rsid w:val="009C374B"/>
    <w:rsid w:val="009C3BE1"/>
    <w:rsid w:val="009C44C8"/>
    <w:rsid w:val="009C4FED"/>
    <w:rsid w:val="009C55F9"/>
    <w:rsid w:val="009C56B9"/>
    <w:rsid w:val="009C583A"/>
    <w:rsid w:val="009C5B37"/>
    <w:rsid w:val="009C5ED9"/>
    <w:rsid w:val="009C663B"/>
    <w:rsid w:val="009C6E3E"/>
    <w:rsid w:val="009D2567"/>
    <w:rsid w:val="009D4842"/>
    <w:rsid w:val="009D523A"/>
    <w:rsid w:val="009D5918"/>
    <w:rsid w:val="009D7C5F"/>
    <w:rsid w:val="009E1227"/>
    <w:rsid w:val="009E43C0"/>
    <w:rsid w:val="009F0BFF"/>
    <w:rsid w:val="009F1479"/>
    <w:rsid w:val="009F16BF"/>
    <w:rsid w:val="009F5E3C"/>
    <w:rsid w:val="009F64D8"/>
    <w:rsid w:val="009F6E21"/>
    <w:rsid w:val="009F7AFE"/>
    <w:rsid w:val="00A01D3B"/>
    <w:rsid w:val="00A02251"/>
    <w:rsid w:val="00A022C4"/>
    <w:rsid w:val="00A03113"/>
    <w:rsid w:val="00A036A4"/>
    <w:rsid w:val="00A061BA"/>
    <w:rsid w:val="00A110F7"/>
    <w:rsid w:val="00A11347"/>
    <w:rsid w:val="00A11960"/>
    <w:rsid w:val="00A14B13"/>
    <w:rsid w:val="00A165D2"/>
    <w:rsid w:val="00A16EF8"/>
    <w:rsid w:val="00A179CB"/>
    <w:rsid w:val="00A20F07"/>
    <w:rsid w:val="00A304BA"/>
    <w:rsid w:val="00A308A6"/>
    <w:rsid w:val="00A3201D"/>
    <w:rsid w:val="00A33593"/>
    <w:rsid w:val="00A420A2"/>
    <w:rsid w:val="00A469BB"/>
    <w:rsid w:val="00A478A3"/>
    <w:rsid w:val="00A51BC6"/>
    <w:rsid w:val="00A5262A"/>
    <w:rsid w:val="00A5342A"/>
    <w:rsid w:val="00A53455"/>
    <w:rsid w:val="00A56118"/>
    <w:rsid w:val="00A57193"/>
    <w:rsid w:val="00A5798E"/>
    <w:rsid w:val="00A57EF1"/>
    <w:rsid w:val="00A61EA4"/>
    <w:rsid w:val="00A63210"/>
    <w:rsid w:val="00A662A7"/>
    <w:rsid w:val="00A67110"/>
    <w:rsid w:val="00A70E8E"/>
    <w:rsid w:val="00A75695"/>
    <w:rsid w:val="00A80200"/>
    <w:rsid w:val="00A8083F"/>
    <w:rsid w:val="00A80F6B"/>
    <w:rsid w:val="00A85081"/>
    <w:rsid w:val="00A8542E"/>
    <w:rsid w:val="00A93713"/>
    <w:rsid w:val="00A96CB7"/>
    <w:rsid w:val="00A97331"/>
    <w:rsid w:val="00AA0C63"/>
    <w:rsid w:val="00AA3D5C"/>
    <w:rsid w:val="00AA405E"/>
    <w:rsid w:val="00AA708B"/>
    <w:rsid w:val="00AA7BF4"/>
    <w:rsid w:val="00AB272C"/>
    <w:rsid w:val="00AB5267"/>
    <w:rsid w:val="00AB613E"/>
    <w:rsid w:val="00AB6462"/>
    <w:rsid w:val="00AB6790"/>
    <w:rsid w:val="00AB7569"/>
    <w:rsid w:val="00AC1877"/>
    <w:rsid w:val="00AC2AE0"/>
    <w:rsid w:val="00AC725A"/>
    <w:rsid w:val="00AD309C"/>
    <w:rsid w:val="00AD68CD"/>
    <w:rsid w:val="00AD75E0"/>
    <w:rsid w:val="00AD79D4"/>
    <w:rsid w:val="00AE21B3"/>
    <w:rsid w:val="00AE5478"/>
    <w:rsid w:val="00AF11E0"/>
    <w:rsid w:val="00AF76B3"/>
    <w:rsid w:val="00B01002"/>
    <w:rsid w:val="00B01055"/>
    <w:rsid w:val="00B01872"/>
    <w:rsid w:val="00B01F42"/>
    <w:rsid w:val="00B0375F"/>
    <w:rsid w:val="00B05D1B"/>
    <w:rsid w:val="00B07281"/>
    <w:rsid w:val="00B111F4"/>
    <w:rsid w:val="00B12C0D"/>
    <w:rsid w:val="00B13F75"/>
    <w:rsid w:val="00B205BE"/>
    <w:rsid w:val="00B21808"/>
    <w:rsid w:val="00B22F67"/>
    <w:rsid w:val="00B2618C"/>
    <w:rsid w:val="00B27955"/>
    <w:rsid w:val="00B27E0A"/>
    <w:rsid w:val="00B310EC"/>
    <w:rsid w:val="00B32886"/>
    <w:rsid w:val="00B34C06"/>
    <w:rsid w:val="00B36350"/>
    <w:rsid w:val="00B36D0B"/>
    <w:rsid w:val="00B37BC3"/>
    <w:rsid w:val="00B4124A"/>
    <w:rsid w:val="00B41F3B"/>
    <w:rsid w:val="00B43AF1"/>
    <w:rsid w:val="00B45EAD"/>
    <w:rsid w:val="00B46ACA"/>
    <w:rsid w:val="00B50A3F"/>
    <w:rsid w:val="00B611D0"/>
    <w:rsid w:val="00B61A01"/>
    <w:rsid w:val="00B62397"/>
    <w:rsid w:val="00B62E70"/>
    <w:rsid w:val="00B642FC"/>
    <w:rsid w:val="00B652E9"/>
    <w:rsid w:val="00B66C32"/>
    <w:rsid w:val="00B67C5A"/>
    <w:rsid w:val="00B70EDC"/>
    <w:rsid w:val="00B72099"/>
    <w:rsid w:val="00B73194"/>
    <w:rsid w:val="00B74476"/>
    <w:rsid w:val="00B75565"/>
    <w:rsid w:val="00B77C28"/>
    <w:rsid w:val="00B77CD0"/>
    <w:rsid w:val="00B824F2"/>
    <w:rsid w:val="00B833CC"/>
    <w:rsid w:val="00B86B11"/>
    <w:rsid w:val="00B916F6"/>
    <w:rsid w:val="00BA0CEB"/>
    <w:rsid w:val="00BA0F74"/>
    <w:rsid w:val="00BA437A"/>
    <w:rsid w:val="00BA4931"/>
    <w:rsid w:val="00BB33BC"/>
    <w:rsid w:val="00BB6025"/>
    <w:rsid w:val="00BC0F2B"/>
    <w:rsid w:val="00BC17BE"/>
    <w:rsid w:val="00BC23D6"/>
    <w:rsid w:val="00BC451E"/>
    <w:rsid w:val="00BC7AAA"/>
    <w:rsid w:val="00BD00F9"/>
    <w:rsid w:val="00BD467F"/>
    <w:rsid w:val="00BD5F01"/>
    <w:rsid w:val="00BD7C63"/>
    <w:rsid w:val="00BE1980"/>
    <w:rsid w:val="00BE1C62"/>
    <w:rsid w:val="00BE2CB8"/>
    <w:rsid w:val="00BE40C8"/>
    <w:rsid w:val="00BE46B9"/>
    <w:rsid w:val="00BE759C"/>
    <w:rsid w:val="00BE7EA2"/>
    <w:rsid w:val="00BF0CAD"/>
    <w:rsid w:val="00BF1A42"/>
    <w:rsid w:val="00BF2CF5"/>
    <w:rsid w:val="00BF7960"/>
    <w:rsid w:val="00C00FB4"/>
    <w:rsid w:val="00C010E9"/>
    <w:rsid w:val="00C01622"/>
    <w:rsid w:val="00C0734A"/>
    <w:rsid w:val="00C1117F"/>
    <w:rsid w:val="00C11902"/>
    <w:rsid w:val="00C15EE9"/>
    <w:rsid w:val="00C20081"/>
    <w:rsid w:val="00C25118"/>
    <w:rsid w:val="00C27755"/>
    <w:rsid w:val="00C27A6F"/>
    <w:rsid w:val="00C32B3F"/>
    <w:rsid w:val="00C33070"/>
    <w:rsid w:val="00C33768"/>
    <w:rsid w:val="00C34875"/>
    <w:rsid w:val="00C349CC"/>
    <w:rsid w:val="00C35472"/>
    <w:rsid w:val="00C36265"/>
    <w:rsid w:val="00C40A32"/>
    <w:rsid w:val="00C43B2C"/>
    <w:rsid w:val="00C43C2F"/>
    <w:rsid w:val="00C542CB"/>
    <w:rsid w:val="00C55E2F"/>
    <w:rsid w:val="00C67AF9"/>
    <w:rsid w:val="00C71446"/>
    <w:rsid w:val="00C71482"/>
    <w:rsid w:val="00C76853"/>
    <w:rsid w:val="00C80A7D"/>
    <w:rsid w:val="00C81913"/>
    <w:rsid w:val="00C8434D"/>
    <w:rsid w:val="00C942A9"/>
    <w:rsid w:val="00C953B5"/>
    <w:rsid w:val="00C9584A"/>
    <w:rsid w:val="00C95980"/>
    <w:rsid w:val="00CA527D"/>
    <w:rsid w:val="00CA5C5A"/>
    <w:rsid w:val="00CB0AEE"/>
    <w:rsid w:val="00CB41A0"/>
    <w:rsid w:val="00CB45C9"/>
    <w:rsid w:val="00CC1241"/>
    <w:rsid w:val="00CC38DC"/>
    <w:rsid w:val="00CD10BD"/>
    <w:rsid w:val="00CD3E12"/>
    <w:rsid w:val="00CD76BC"/>
    <w:rsid w:val="00CD77D5"/>
    <w:rsid w:val="00CE0242"/>
    <w:rsid w:val="00CE4DE9"/>
    <w:rsid w:val="00CE59C8"/>
    <w:rsid w:val="00CF0DC1"/>
    <w:rsid w:val="00CF0E38"/>
    <w:rsid w:val="00CF16BE"/>
    <w:rsid w:val="00CF1C9A"/>
    <w:rsid w:val="00CF23B5"/>
    <w:rsid w:val="00CF494A"/>
    <w:rsid w:val="00CF5623"/>
    <w:rsid w:val="00D03DB1"/>
    <w:rsid w:val="00D03EB4"/>
    <w:rsid w:val="00D075CC"/>
    <w:rsid w:val="00D14096"/>
    <w:rsid w:val="00D140B5"/>
    <w:rsid w:val="00D22560"/>
    <w:rsid w:val="00D22C6C"/>
    <w:rsid w:val="00D22C84"/>
    <w:rsid w:val="00D258D9"/>
    <w:rsid w:val="00D2666E"/>
    <w:rsid w:val="00D26D57"/>
    <w:rsid w:val="00D33D86"/>
    <w:rsid w:val="00D351AC"/>
    <w:rsid w:val="00D35F28"/>
    <w:rsid w:val="00D37397"/>
    <w:rsid w:val="00D427E9"/>
    <w:rsid w:val="00D43D2B"/>
    <w:rsid w:val="00D45C9B"/>
    <w:rsid w:val="00D469EE"/>
    <w:rsid w:val="00D47F17"/>
    <w:rsid w:val="00D601C6"/>
    <w:rsid w:val="00D60923"/>
    <w:rsid w:val="00D6096D"/>
    <w:rsid w:val="00D620E4"/>
    <w:rsid w:val="00D63A8C"/>
    <w:rsid w:val="00D63AD7"/>
    <w:rsid w:val="00D65317"/>
    <w:rsid w:val="00D65CB4"/>
    <w:rsid w:val="00D7161B"/>
    <w:rsid w:val="00D749B3"/>
    <w:rsid w:val="00D7754F"/>
    <w:rsid w:val="00D80B32"/>
    <w:rsid w:val="00D8141A"/>
    <w:rsid w:val="00D815B9"/>
    <w:rsid w:val="00D81E10"/>
    <w:rsid w:val="00D82EAF"/>
    <w:rsid w:val="00D85823"/>
    <w:rsid w:val="00D85B48"/>
    <w:rsid w:val="00D87C76"/>
    <w:rsid w:val="00D9352C"/>
    <w:rsid w:val="00DA097F"/>
    <w:rsid w:val="00DA4175"/>
    <w:rsid w:val="00DA51CA"/>
    <w:rsid w:val="00DA544A"/>
    <w:rsid w:val="00DA676B"/>
    <w:rsid w:val="00DA79F5"/>
    <w:rsid w:val="00DA7EA5"/>
    <w:rsid w:val="00DB0A26"/>
    <w:rsid w:val="00DB0ABA"/>
    <w:rsid w:val="00DB3CC5"/>
    <w:rsid w:val="00DB3D46"/>
    <w:rsid w:val="00DB3ECE"/>
    <w:rsid w:val="00DB475B"/>
    <w:rsid w:val="00DB6012"/>
    <w:rsid w:val="00DB6962"/>
    <w:rsid w:val="00DC13A6"/>
    <w:rsid w:val="00DC65A8"/>
    <w:rsid w:val="00DC76FE"/>
    <w:rsid w:val="00DD02EF"/>
    <w:rsid w:val="00DD22E5"/>
    <w:rsid w:val="00DD3771"/>
    <w:rsid w:val="00DE0B9B"/>
    <w:rsid w:val="00DE0F54"/>
    <w:rsid w:val="00DE3BF9"/>
    <w:rsid w:val="00DE4018"/>
    <w:rsid w:val="00DE4327"/>
    <w:rsid w:val="00DE4E65"/>
    <w:rsid w:val="00DE5236"/>
    <w:rsid w:val="00DF1484"/>
    <w:rsid w:val="00DF210A"/>
    <w:rsid w:val="00DF418C"/>
    <w:rsid w:val="00DF4E40"/>
    <w:rsid w:val="00E04267"/>
    <w:rsid w:val="00E049CC"/>
    <w:rsid w:val="00E05C3C"/>
    <w:rsid w:val="00E06099"/>
    <w:rsid w:val="00E06B96"/>
    <w:rsid w:val="00E07637"/>
    <w:rsid w:val="00E102C7"/>
    <w:rsid w:val="00E10480"/>
    <w:rsid w:val="00E123D3"/>
    <w:rsid w:val="00E12FAE"/>
    <w:rsid w:val="00E173A7"/>
    <w:rsid w:val="00E17BAB"/>
    <w:rsid w:val="00E24B58"/>
    <w:rsid w:val="00E27B70"/>
    <w:rsid w:val="00E31403"/>
    <w:rsid w:val="00E32336"/>
    <w:rsid w:val="00E35FB1"/>
    <w:rsid w:val="00E41321"/>
    <w:rsid w:val="00E4197E"/>
    <w:rsid w:val="00E44974"/>
    <w:rsid w:val="00E502EB"/>
    <w:rsid w:val="00E5155C"/>
    <w:rsid w:val="00E54F96"/>
    <w:rsid w:val="00E57D68"/>
    <w:rsid w:val="00E63E7C"/>
    <w:rsid w:val="00E642A6"/>
    <w:rsid w:val="00E66551"/>
    <w:rsid w:val="00E672B6"/>
    <w:rsid w:val="00E75F5A"/>
    <w:rsid w:val="00E762ED"/>
    <w:rsid w:val="00E8112F"/>
    <w:rsid w:val="00E81E0A"/>
    <w:rsid w:val="00E8221A"/>
    <w:rsid w:val="00E82BC6"/>
    <w:rsid w:val="00E855AE"/>
    <w:rsid w:val="00E85AC6"/>
    <w:rsid w:val="00E85ED8"/>
    <w:rsid w:val="00E86314"/>
    <w:rsid w:val="00E86F26"/>
    <w:rsid w:val="00E87D1B"/>
    <w:rsid w:val="00E92C92"/>
    <w:rsid w:val="00E9585D"/>
    <w:rsid w:val="00E95B62"/>
    <w:rsid w:val="00E97258"/>
    <w:rsid w:val="00E9768A"/>
    <w:rsid w:val="00EA501B"/>
    <w:rsid w:val="00EA5499"/>
    <w:rsid w:val="00EB1210"/>
    <w:rsid w:val="00EB3620"/>
    <w:rsid w:val="00EB3881"/>
    <w:rsid w:val="00EB6FCF"/>
    <w:rsid w:val="00EC11FD"/>
    <w:rsid w:val="00EC186B"/>
    <w:rsid w:val="00ED16A9"/>
    <w:rsid w:val="00ED4272"/>
    <w:rsid w:val="00ED4B2B"/>
    <w:rsid w:val="00ED4C71"/>
    <w:rsid w:val="00ED4EA8"/>
    <w:rsid w:val="00EE095B"/>
    <w:rsid w:val="00EE0C62"/>
    <w:rsid w:val="00EE3DC3"/>
    <w:rsid w:val="00EE3E7E"/>
    <w:rsid w:val="00EE4A84"/>
    <w:rsid w:val="00EE5754"/>
    <w:rsid w:val="00EE5F27"/>
    <w:rsid w:val="00EE6C95"/>
    <w:rsid w:val="00EE7CEE"/>
    <w:rsid w:val="00EE7F19"/>
    <w:rsid w:val="00EF19D9"/>
    <w:rsid w:val="00F00886"/>
    <w:rsid w:val="00F016A8"/>
    <w:rsid w:val="00F04696"/>
    <w:rsid w:val="00F05E65"/>
    <w:rsid w:val="00F06DD1"/>
    <w:rsid w:val="00F12AD9"/>
    <w:rsid w:val="00F13839"/>
    <w:rsid w:val="00F249C8"/>
    <w:rsid w:val="00F264B8"/>
    <w:rsid w:val="00F26D72"/>
    <w:rsid w:val="00F30B0C"/>
    <w:rsid w:val="00F31164"/>
    <w:rsid w:val="00F32173"/>
    <w:rsid w:val="00F354CC"/>
    <w:rsid w:val="00F35C09"/>
    <w:rsid w:val="00F37CFD"/>
    <w:rsid w:val="00F40944"/>
    <w:rsid w:val="00F40D43"/>
    <w:rsid w:val="00F41F68"/>
    <w:rsid w:val="00F4434A"/>
    <w:rsid w:val="00F44A29"/>
    <w:rsid w:val="00F46F42"/>
    <w:rsid w:val="00F47CE8"/>
    <w:rsid w:val="00F55E6C"/>
    <w:rsid w:val="00F6099E"/>
    <w:rsid w:val="00F6271B"/>
    <w:rsid w:val="00F64574"/>
    <w:rsid w:val="00F64D67"/>
    <w:rsid w:val="00F67105"/>
    <w:rsid w:val="00F74952"/>
    <w:rsid w:val="00F7795E"/>
    <w:rsid w:val="00F84409"/>
    <w:rsid w:val="00F855E7"/>
    <w:rsid w:val="00F9116A"/>
    <w:rsid w:val="00F94352"/>
    <w:rsid w:val="00F95B46"/>
    <w:rsid w:val="00F95B53"/>
    <w:rsid w:val="00F96B08"/>
    <w:rsid w:val="00F96E2B"/>
    <w:rsid w:val="00F972BF"/>
    <w:rsid w:val="00FA4019"/>
    <w:rsid w:val="00FA58FF"/>
    <w:rsid w:val="00FA7211"/>
    <w:rsid w:val="00FB184A"/>
    <w:rsid w:val="00FB3F45"/>
    <w:rsid w:val="00FB4230"/>
    <w:rsid w:val="00FB4D1A"/>
    <w:rsid w:val="00FB5738"/>
    <w:rsid w:val="00FB5A91"/>
    <w:rsid w:val="00FC19AC"/>
    <w:rsid w:val="00FC309F"/>
    <w:rsid w:val="00FC3D41"/>
    <w:rsid w:val="00FC4C21"/>
    <w:rsid w:val="00FC7B7C"/>
    <w:rsid w:val="00FD02C4"/>
    <w:rsid w:val="00FD2D02"/>
    <w:rsid w:val="00FD374C"/>
    <w:rsid w:val="00FD38BA"/>
    <w:rsid w:val="00FD523E"/>
    <w:rsid w:val="00FD6859"/>
    <w:rsid w:val="00FD6FC7"/>
    <w:rsid w:val="00FE3E2D"/>
    <w:rsid w:val="00FE5474"/>
    <w:rsid w:val="00FE644C"/>
    <w:rsid w:val="00FE6D14"/>
    <w:rsid w:val="00FF151D"/>
    <w:rsid w:val="00FF34A8"/>
    <w:rsid w:val="00FF3FFC"/>
    <w:rsid w:val="00FF5CC5"/>
    <w:rsid w:val="00FF61B4"/>
    <w:rsid w:val="00FF6D40"/>
    <w:rsid w:val="00FF71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paragraph" w:styleId="Heading3">
    <w:name w:val="heading 3"/>
    <w:basedOn w:val="Normal"/>
    <w:link w:val="Heading3Char"/>
    <w:uiPriority w:val="9"/>
    <w:qFormat/>
    <w:rsid w:val="00E44974"/>
    <w:pPr>
      <w:tabs>
        <w:tab w:val="clear" w:pos="720"/>
      </w:tabs>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872"/>
    <w:pPr>
      <w:tabs>
        <w:tab w:val="center" w:pos="4680"/>
        <w:tab w:val="right" w:pos="9360"/>
      </w:tabs>
      <w:spacing w:line="240" w:lineRule="auto"/>
    </w:pPr>
  </w:style>
  <w:style w:type="character" w:customStyle="1" w:styleId="HeaderChar">
    <w:name w:val="Header Char"/>
    <w:basedOn w:val="DefaultParagraphFont"/>
    <w:link w:val="Header"/>
    <w:uiPriority w:val="99"/>
    <w:rsid w:val="00B01872"/>
  </w:style>
  <w:style w:type="paragraph" w:styleId="Footer">
    <w:name w:val="footer"/>
    <w:basedOn w:val="Normal"/>
    <w:link w:val="FooterChar"/>
    <w:uiPriority w:val="99"/>
    <w:unhideWhenUsed/>
    <w:rsid w:val="00B01872"/>
    <w:pPr>
      <w:tabs>
        <w:tab w:val="center" w:pos="4680"/>
        <w:tab w:val="right" w:pos="9360"/>
      </w:tabs>
      <w:spacing w:line="240" w:lineRule="auto"/>
    </w:pPr>
  </w:style>
  <w:style w:type="character" w:customStyle="1" w:styleId="FooterChar">
    <w:name w:val="Footer Char"/>
    <w:basedOn w:val="DefaultParagraphFont"/>
    <w:link w:val="Footer"/>
    <w:uiPriority w:val="99"/>
    <w:rsid w:val="00B01872"/>
  </w:style>
  <w:style w:type="character" w:styleId="PageNumber">
    <w:name w:val="page number"/>
    <w:basedOn w:val="DefaultParagraphFont"/>
    <w:uiPriority w:val="99"/>
    <w:semiHidden/>
    <w:unhideWhenUsed/>
    <w:rsid w:val="00B01872"/>
  </w:style>
  <w:style w:type="paragraph" w:styleId="FootnoteText">
    <w:name w:val="footnote text"/>
    <w:link w:val="FootnoteTextChar"/>
    <w:uiPriority w:val="99"/>
    <w:unhideWhenUsed/>
    <w:rsid w:val="00B01872"/>
    <w:pPr>
      <w:spacing w:line="240" w:lineRule="auto"/>
    </w:pPr>
    <w:rPr>
      <w:szCs w:val="20"/>
    </w:rPr>
  </w:style>
  <w:style w:type="character" w:customStyle="1" w:styleId="FootnoteTextChar">
    <w:name w:val="Footnote Text Char"/>
    <w:basedOn w:val="DefaultParagraphFont"/>
    <w:link w:val="FootnoteText"/>
    <w:uiPriority w:val="99"/>
    <w:rsid w:val="00B01872"/>
    <w:rPr>
      <w:szCs w:val="20"/>
    </w:rPr>
  </w:style>
  <w:style w:type="character" w:styleId="FootnoteReference">
    <w:name w:val="footnote reference"/>
    <w:basedOn w:val="DefaultParagraphFont"/>
    <w:uiPriority w:val="99"/>
    <w:semiHidden/>
    <w:unhideWhenUsed/>
    <w:rsid w:val="003F19D6"/>
    <w:rPr>
      <w:vertAlign w:val="superscript"/>
    </w:rPr>
  </w:style>
  <w:style w:type="paragraph" w:styleId="ListParagraph">
    <w:name w:val="List Paragraph"/>
    <w:basedOn w:val="Normal"/>
    <w:qFormat/>
    <w:rsid w:val="005602A8"/>
    <w:pPr>
      <w:tabs>
        <w:tab w:val="clear" w:pos="720"/>
      </w:tabs>
      <w:spacing w:line="360" w:lineRule="auto"/>
      <w:ind w:left="720"/>
      <w:contextualSpacing/>
    </w:pPr>
    <w:rPr>
      <w:kern w:val="2"/>
      <w14:ligatures w14:val="standardContextual"/>
    </w:rPr>
  </w:style>
  <w:style w:type="character" w:customStyle="1" w:styleId="Heading3Char">
    <w:name w:val="Heading 3 Char"/>
    <w:basedOn w:val="DefaultParagraphFont"/>
    <w:link w:val="Heading3"/>
    <w:uiPriority w:val="9"/>
    <w:rsid w:val="00E44974"/>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1BC6"/>
    <w:rPr>
      <w:i/>
      <w:iCs/>
    </w:rPr>
  </w:style>
  <w:style w:type="paragraph" w:styleId="NormalWeb">
    <w:name w:val="Normal (Web)"/>
    <w:basedOn w:val="Normal"/>
    <w:uiPriority w:val="99"/>
    <w:unhideWhenUsed/>
    <w:rsid w:val="00551646"/>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starpage">
    <w:name w:val="co_starpage"/>
    <w:basedOn w:val="DefaultParagraphFont"/>
    <w:rsid w:val="009832D3"/>
  </w:style>
  <w:style w:type="character" w:customStyle="1" w:styleId="copinpointicon">
    <w:name w:val="co_pinpointicon"/>
    <w:basedOn w:val="DefaultParagraphFont"/>
    <w:rsid w:val="009832D3"/>
  </w:style>
  <w:style w:type="character" w:styleId="Hyperlink">
    <w:name w:val="Hyperlink"/>
    <w:basedOn w:val="DefaultParagraphFont"/>
    <w:uiPriority w:val="99"/>
    <w:semiHidden/>
    <w:unhideWhenUsed/>
    <w:rsid w:val="002D7712"/>
    <w:rPr>
      <w:color w:val="0000FF"/>
      <w:u w:val="single"/>
    </w:rPr>
  </w:style>
  <w:style w:type="character" w:styleId="PlaceholderText">
    <w:name w:val="Placeholder Text"/>
    <w:basedOn w:val="DefaultParagraphFont"/>
    <w:uiPriority w:val="99"/>
    <w:semiHidden/>
    <w:rsid w:val="009661B7"/>
    <w:rPr>
      <w:color w:val="808080"/>
    </w:rPr>
  </w:style>
  <w:style w:type="paragraph" w:styleId="Revision">
    <w:name w:val="Revision"/>
    <w:hidden/>
    <w:uiPriority w:val="99"/>
    <w:semiHidden/>
    <w:rsid w:val="00715CF7"/>
    <w:pPr>
      <w:spacing w:line="240" w:lineRule="auto"/>
    </w:pPr>
  </w:style>
  <w:style w:type="character" w:styleId="CommentReference">
    <w:name w:val="annotation reference"/>
    <w:basedOn w:val="DefaultParagraphFont"/>
    <w:uiPriority w:val="99"/>
    <w:semiHidden/>
    <w:unhideWhenUsed/>
    <w:rsid w:val="00715CF7"/>
    <w:rPr>
      <w:sz w:val="16"/>
      <w:szCs w:val="16"/>
    </w:rPr>
  </w:style>
  <w:style w:type="paragraph" w:styleId="CommentText">
    <w:name w:val="annotation text"/>
    <w:basedOn w:val="Normal"/>
    <w:link w:val="CommentTextChar"/>
    <w:uiPriority w:val="99"/>
    <w:unhideWhenUsed/>
    <w:rsid w:val="00715CF7"/>
    <w:pPr>
      <w:spacing w:line="240" w:lineRule="auto"/>
    </w:pPr>
    <w:rPr>
      <w:sz w:val="20"/>
      <w:szCs w:val="20"/>
    </w:rPr>
  </w:style>
  <w:style w:type="character" w:customStyle="1" w:styleId="CommentTextChar">
    <w:name w:val="Comment Text Char"/>
    <w:basedOn w:val="DefaultParagraphFont"/>
    <w:link w:val="CommentText"/>
    <w:uiPriority w:val="99"/>
    <w:rsid w:val="00715CF7"/>
    <w:rPr>
      <w:sz w:val="20"/>
      <w:szCs w:val="20"/>
    </w:rPr>
  </w:style>
  <w:style w:type="paragraph" w:styleId="CommentSubject">
    <w:name w:val="annotation subject"/>
    <w:basedOn w:val="CommentText"/>
    <w:next w:val="CommentText"/>
    <w:link w:val="CommentSubjectChar"/>
    <w:uiPriority w:val="99"/>
    <w:semiHidden/>
    <w:unhideWhenUsed/>
    <w:rsid w:val="00715CF7"/>
    <w:rPr>
      <w:b/>
      <w:bCs/>
    </w:rPr>
  </w:style>
  <w:style w:type="character" w:customStyle="1" w:styleId="CommentSubjectChar">
    <w:name w:val="Comment Subject Char"/>
    <w:basedOn w:val="CommentTextChar"/>
    <w:link w:val="CommentSubject"/>
    <w:uiPriority w:val="99"/>
    <w:semiHidden/>
    <w:rsid w:val="00715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14698</Words>
  <Characters>83781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2023-12-28T23:15:57Z</dcterms:created>
  <dcterms:modified xsi:type="dcterms:W3CDTF">2023-12-28T23:15:57Z</dcterms:modified>
</cp:coreProperties>
</file>