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119E" w14:textId="730C965E" w:rsidR="006A715F" w:rsidRPr="006A715F" w:rsidRDefault="006A715F" w:rsidP="006A715F">
      <w:pPr>
        <w:spacing w:line="240" w:lineRule="auto"/>
        <w:rPr>
          <w:rFonts w:ascii="Century Schoolbook" w:hAnsi="Century Schoolbook"/>
          <w:sz w:val="20"/>
        </w:rPr>
      </w:pPr>
      <w:r w:rsidRPr="006A715F">
        <w:rPr>
          <w:rFonts w:ascii="Century Schoolbook" w:hAnsi="Century Schoolbook"/>
          <w:sz w:val="20"/>
        </w:rPr>
        <w:t xml:space="preserve">Filed </w:t>
      </w:r>
      <w:r>
        <w:rPr>
          <w:rFonts w:ascii="Century Schoolbook" w:hAnsi="Century Schoolbook"/>
          <w:sz w:val="20"/>
        </w:rPr>
        <w:t>1</w:t>
      </w:r>
      <w:r w:rsidRPr="006A715F">
        <w:rPr>
          <w:rFonts w:ascii="Century Schoolbook" w:hAnsi="Century Schoolbook"/>
          <w:sz w:val="20"/>
        </w:rPr>
        <w:t>/</w:t>
      </w:r>
      <w:r>
        <w:rPr>
          <w:rFonts w:ascii="Century Schoolbook" w:hAnsi="Century Schoolbook"/>
          <w:sz w:val="20"/>
        </w:rPr>
        <w:t>3</w:t>
      </w:r>
      <w:r w:rsidRPr="006A715F">
        <w:rPr>
          <w:rFonts w:ascii="Century Schoolbook" w:hAnsi="Century Schoolbook"/>
          <w:sz w:val="20"/>
        </w:rPr>
        <w:t>1/2</w:t>
      </w:r>
      <w:r>
        <w:rPr>
          <w:rFonts w:ascii="Century Schoolbook" w:hAnsi="Century Schoolbook"/>
          <w:sz w:val="20"/>
        </w:rPr>
        <w:t>4</w:t>
      </w:r>
    </w:p>
    <w:p w14:paraId="3625B6A3" w14:textId="77777777" w:rsidR="006A715F" w:rsidRPr="006A715F" w:rsidRDefault="006A715F" w:rsidP="006A715F">
      <w:pPr>
        <w:spacing w:line="240" w:lineRule="auto"/>
        <w:jc w:val="center"/>
        <w:rPr>
          <w:rFonts w:ascii="Century Schoolbook" w:hAnsi="Century Schoolbook"/>
          <w:b/>
        </w:rPr>
      </w:pPr>
      <w:r w:rsidRPr="006A715F">
        <w:rPr>
          <w:rFonts w:ascii="Century Schoolbook" w:hAnsi="Century Schoolbook"/>
          <w:b/>
        </w:rPr>
        <w:t>CERTIFIED FOR PUBLICATION</w:t>
      </w:r>
    </w:p>
    <w:p w14:paraId="5FDC55B1" w14:textId="77777777" w:rsidR="006A715F" w:rsidRPr="006A715F" w:rsidRDefault="006A715F" w:rsidP="006A715F">
      <w:pPr>
        <w:spacing w:line="240" w:lineRule="auto"/>
        <w:jc w:val="center"/>
        <w:rPr>
          <w:rFonts w:ascii="Century Schoolbook" w:hAnsi="Century Schoolbook"/>
        </w:rPr>
      </w:pPr>
    </w:p>
    <w:p w14:paraId="57895CF1" w14:textId="55D66368" w:rsidR="00FF1E73" w:rsidRPr="00B973EA" w:rsidRDefault="00FF1E73" w:rsidP="00FF1E73">
      <w:pPr>
        <w:spacing w:line="240" w:lineRule="auto"/>
        <w:jc w:val="center"/>
        <w:rPr>
          <w:rFonts w:ascii="Century Schoolbook" w:hAnsi="Century Schoolbook"/>
        </w:rPr>
      </w:pPr>
      <w:r w:rsidRPr="00B973EA">
        <w:rPr>
          <w:rFonts w:ascii="Century Schoolbook" w:hAnsi="Century Schoolbook"/>
        </w:rPr>
        <w:t>IN</w:t>
      </w:r>
      <w:r>
        <w:rPr>
          <w:rFonts w:ascii="Century Schoolbook" w:hAnsi="Century Schoolbook"/>
        </w:rPr>
        <w:t xml:space="preserve"> </w:t>
      </w:r>
      <w:r w:rsidRPr="00B973EA">
        <w:rPr>
          <w:rFonts w:ascii="Century Schoolbook" w:hAnsi="Century Schoolbook"/>
        </w:rPr>
        <w:t>THE</w:t>
      </w:r>
      <w:r>
        <w:rPr>
          <w:rFonts w:ascii="Century Schoolbook" w:hAnsi="Century Schoolbook"/>
        </w:rPr>
        <w:t xml:space="preserve"> </w:t>
      </w:r>
      <w:r w:rsidRPr="00B973EA">
        <w:rPr>
          <w:rFonts w:ascii="Century Schoolbook" w:hAnsi="Century Schoolbook"/>
        </w:rPr>
        <w:t>COURT</w:t>
      </w:r>
      <w:r>
        <w:rPr>
          <w:rFonts w:ascii="Century Schoolbook" w:hAnsi="Century Schoolbook"/>
        </w:rPr>
        <w:t xml:space="preserve"> </w:t>
      </w:r>
      <w:r w:rsidRPr="00B973EA">
        <w:rPr>
          <w:rFonts w:ascii="Century Schoolbook" w:hAnsi="Century Schoolbook"/>
        </w:rPr>
        <w:t>OF</w:t>
      </w:r>
      <w:r>
        <w:rPr>
          <w:rFonts w:ascii="Century Schoolbook" w:hAnsi="Century Schoolbook"/>
        </w:rPr>
        <w:t xml:space="preserve"> </w:t>
      </w:r>
      <w:r w:rsidRPr="00B973EA">
        <w:rPr>
          <w:rFonts w:ascii="Century Schoolbook" w:hAnsi="Century Schoolbook"/>
        </w:rPr>
        <w:t>APPEAL</w:t>
      </w:r>
      <w:r>
        <w:rPr>
          <w:rFonts w:ascii="Century Schoolbook" w:hAnsi="Century Schoolbook"/>
        </w:rPr>
        <w:t xml:space="preserve"> </w:t>
      </w:r>
      <w:r w:rsidRPr="00B973EA">
        <w:rPr>
          <w:rFonts w:ascii="Century Schoolbook" w:hAnsi="Century Schoolbook"/>
        </w:rPr>
        <w:t>OF</w:t>
      </w:r>
      <w:r>
        <w:rPr>
          <w:rFonts w:ascii="Century Schoolbook" w:hAnsi="Century Schoolbook"/>
        </w:rPr>
        <w:t xml:space="preserve"> </w:t>
      </w:r>
      <w:r w:rsidRPr="00B973EA">
        <w:rPr>
          <w:rFonts w:ascii="Century Schoolbook" w:hAnsi="Century Schoolbook"/>
        </w:rPr>
        <w:t>THE</w:t>
      </w:r>
      <w:r>
        <w:rPr>
          <w:rFonts w:ascii="Century Schoolbook" w:hAnsi="Century Schoolbook"/>
        </w:rPr>
        <w:t xml:space="preserve"> </w:t>
      </w:r>
      <w:r w:rsidRPr="00B973EA">
        <w:rPr>
          <w:rFonts w:ascii="Century Schoolbook" w:hAnsi="Century Schoolbook"/>
        </w:rPr>
        <w:t>STATE</w:t>
      </w:r>
      <w:r>
        <w:rPr>
          <w:rFonts w:ascii="Century Schoolbook" w:hAnsi="Century Schoolbook"/>
        </w:rPr>
        <w:t xml:space="preserve"> </w:t>
      </w:r>
      <w:r w:rsidRPr="00B973EA">
        <w:rPr>
          <w:rFonts w:ascii="Century Schoolbook" w:hAnsi="Century Schoolbook"/>
        </w:rPr>
        <w:t>OF</w:t>
      </w:r>
      <w:r>
        <w:rPr>
          <w:rFonts w:ascii="Century Schoolbook" w:hAnsi="Century Schoolbook"/>
        </w:rPr>
        <w:t xml:space="preserve"> </w:t>
      </w:r>
      <w:r w:rsidRPr="00B973EA">
        <w:rPr>
          <w:rFonts w:ascii="Century Schoolbook" w:hAnsi="Century Schoolbook"/>
        </w:rPr>
        <w:t>CALIFORNIA</w:t>
      </w:r>
    </w:p>
    <w:p w14:paraId="4BBF76A5" w14:textId="77777777" w:rsidR="00FF1E73" w:rsidRPr="00B973EA" w:rsidRDefault="00FF1E73" w:rsidP="00FF1E73">
      <w:pPr>
        <w:spacing w:line="240" w:lineRule="auto"/>
        <w:jc w:val="center"/>
        <w:rPr>
          <w:rFonts w:ascii="Century Schoolbook" w:hAnsi="Century Schoolbook"/>
        </w:rPr>
      </w:pPr>
    </w:p>
    <w:p w14:paraId="0B3783C4" w14:textId="77777777" w:rsidR="00FF1E73" w:rsidRPr="00B973EA" w:rsidRDefault="00FF1E73" w:rsidP="00FF1E73">
      <w:pPr>
        <w:spacing w:line="240" w:lineRule="auto"/>
        <w:jc w:val="center"/>
        <w:rPr>
          <w:rFonts w:ascii="Century Schoolbook" w:hAnsi="Century Schoolbook"/>
        </w:rPr>
      </w:pPr>
      <w:r w:rsidRPr="00B973EA">
        <w:rPr>
          <w:rFonts w:ascii="Century Schoolbook" w:hAnsi="Century Schoolbook"/>
        </w:rPr>
        <w:t>FIRST</w:t>
      </w:r>
      <w:r>
        <w:rPr>
          <w:rFonts w:ascii="Century Schoolbook" w:hAnsi="Century Schoolbook"/>
        </w:rPr>
        <w:t xml:space="preserve"> </w:t>
      </w:r>
      <w:r w:rsidRPr="00B973EA">
        <w:rPr>
          <w:rFonts w:ascii="Century Schoolbook" w:hAnsi="Century Schoolbook"/>
        </w:rPr>
        <w:t>APPELLATE</w:t>
      </w:r>
      <w:r>
        <w:rPr>
          <w:rFonts w:ascii="Century Schoolbook" w:hAnsi="Century Schoolbook"/>
        </w:rPr>
        <w:t xml:space="preserve"> </w:t>
      </w:r>
      <w:r w:rsidRPr="00B973EA">
        <w:rPr>
          <w:rFonts w:ascii="Century Schoolbook" w:hAnsi="Century Schoolbook"/>
        </w:rPr>
        <w:t>DISTRICT</w:t>
      </w:r>
    </w:p>
    <w:p w14:paraId="6BC6B84A" w14:textId="77777777" w:rsidR="00FF1E73" w:rsidRPr="00B973EA" w:rsidRDefault="00FF1E73" w:rsidP="00FF1E73">
      <w:pPr>
        <w:spacing w:line="240" w:lineRule="auto"/>
        <w:jc w:val="center"/>
        <w:rPr>
          <w:rFonts w:ascii="Century Schoolbook" w:hAnsi="Century Schoolbook"/>
        </w:rPr>
      </w:pPr>
    </w:p>
    <w:p w14:paraId="4198D0AA" w14:textId="77777777" w:rsidR="00FF1E73" w:rsidRPr="00B973EA" w:rsidRDefault="00FF1E73" w:rsidP="00FF1E73">
      <w:pPr>
        <w:spacing w:line="240" w:lineRule="auto"/>
        <w:jc w:val="center"/>
        <w:rPr>
          <w:rFonts w:ascii="Century Schoolbook" w:hAnsi="Century Schoolbook"/>
        </w:rPr>
      </w:pPr>
      <w:r w:rsidRPr="00B973EA">
        <w:rPr>
          <w:rFonts w:ascii="Century Schoolbook" w:hAnsi="Century Schoolbook"/>
        </w:rPr>
        <w:t>DIVISION</w:t>
      </w:r>
      <w:r>
        <w:rPr>
          <w:rFonts w:ascii="Century Schoolbook" w:hAnsi="Century Schoolbook"/>
        </w:rPr>
        <w:t xml:space="preserve"> </w:t>
      </w:r>
      <w:r w:rsidRPr="00B973EA">
        <w:rPr>
          <w:rFonts w:ascii="Century Schoolbook" w:hAnsi="Century Schoolbook"/>
        </w:rPr>
        <w:t>TWO</w:t>
      </w:r>
    </w:p>
    <w:p w14:paraId="1E89E53F" w14:textId="77777777" w:rsidR="00FF1E73" w:rsidRPr="00B973EA" w:rsidRDefault="00FF1E73" w:rsidP="00FF1E73">
      <w:pPr>
        <w:spacing w:line="240" w:lineRule="auto"/>
        <w:jc w:val="center"/>
        <w:rPr>
          <w:rFonts w:ascii="Century Schoolbook" w:hAnsi="Century Schoolbook"/>
        </w:rPr>
      </w:pPr>
    </w:p>
    <w:p w14:paraId="2B2C7369" w14:textId="77777777" w:rsidR="00FF1E73" w:rsidRPr="00B973EA" w:rsidRDefault="00FF1E73" w:rsidP="00FF1E73">
      <w:pPr>
        <w:spacing w:line="240" w:lineRule="auto"/>
        <w:jc w:val="center"/>
        <w:rPr>
          <w:rFonts w:ascii="Century Schoolbook" w:hAnsi="Century Schoolbook"/>
        </w:rPr>
      </w:pPr>
    </w:p>
    <w:tbl>
      <w:tblPr>
        <w:tblW w:w="0" w:type="auto"/>
        <w:tblLayout w:type="fixed"/>
        <w:tblLook w:val="0000" w:firstRow="0" w:lastRow="0" w:firstColumn="0" w:lastColumn="0" w:noHBand="0" w:noVBand="0"/>
      </w:tblPr>
      <w:tblGrid>
        <w:gridCol w:w="4680"/>
        <w:gridCol w:w="4680"/>
      </w:tblGrid>
      <w:tr w:rsidR="00FF1E73" w:rsidRPr="00B973EA" w14:paraId="3C50C54A" w14:textId="77777777">
        <w:tc>
          <w:tcPr>
            <w:tcW w:w="4680" w:type="dxa"/>
            <w:tcBorders>
              <w:bottom w:val="single" w:sz="4" w:space="0" w:color="auto"/>
              <w:right w:val="single" w:sz="4" w:space="0" w:color="auto"/>
            </w:tcBorders>
            <w:shd w:val="clear" w:color="auto" w:fill="auto"/>
          </w:tcPr>
          <w:p w14:paraId="63544E98" w14:textId="55D10BF2" w:rsidR="00FF1E73" w:rsidRPr="00B973EA" w:rsidRDefault="00FF1E73">
            <w:pPr>
              <w:spacing w:after="120" w:line="240" w:lineRule="auto"/>
              <w:rPr>
                <w:rFonts w:ascii="Century Schoolbook" w:hAnsi="Century Schoolbook"/>
              </w:rPr>
            </w:pPr>
            <w:r>
              <w:rPr>
                <w:rFonts w:ascii="Century Schoolbook" w:hAnsi="Century Schoolbook"/>
              </w:rPr>
              <w:t>DEBRA ABNEY,</w:t>
            </w:r>
          </w:p>
          <w:p w14:paraId="34581A0D" w14:textId="7D9390E6" w:rsidR="00FF1E73" w:rsidRPr="00B973EA" w:rsidRDefault="00FF1E73">
            <w:pPr>
              <w:spacing w:after="120" w:line="240" w:lineRule="auto"/>
              <w:rPr>
                <w:rFonts w:ascii="Century Schoolbook" w:hAnsi="Century Schoolbook"/>
              </w:rPr>
            </w:pPr>
            <w:r w:rsidRPr="00B973EA">
              <w:rPr>
                <w:rFonts w:ascii="Century Schoolbook" w:hAnsi="Century Schoolbook"/>
              </w:rPr>
              <w:tab/>
            </w:r>
            <w:r>
              <w:rPr>
                <w:rFonts w:ascii="Century Schoolbook" w:hAnsi="Century Schoolbook"/>
              </w:rPr>
              <w:t xml:space="preserve">Plaintiff </w:t>
            </w:r>
            <w:r w:rsidRPr="00B973EA">
              <w:rPr>
                <w:rFonts w:ascii="Century Schoolbook" w:hAnsi="Century Schoolbook"/>
              </w:rPr>
              <w:t>and</w:t>
            </w:r>
            <w:r>
              <w:rPr>
                <w:rFonts w:ascii="Century Schoolbook" w:hAnsi="Century Schoolbook"/>
              </w:rPr>
              <w:t xml:space="preserve"> </w:t>
            </w:r>
            <w:r w:rsidRPr="00B973EA">
              <w:rPr>
                <w:rFonts w:ascii="Century Schoolbook" w:hAnsi="Century Schoolbook"/>
              </w:rPr>
              <w:t>Appellant,</w:t>
            </w:r>
          </w:p>
          <w:p w14:paraId="32EC2FBA" w14:textId="77777777" w:rsidR="00FF1E73" w:rsidRPr="00B973EA" w:rsidRDefault="00FF1E73">
            <w:pPr>
              <w:spacing w:after="120" w:line="240" w:lineRule="auto"/>
              <w:rPr>
                <w:rFonts w:ascii="Century Schoolbook" w:hAnsi="Century Schoolbook"/>
              </w:rPr>
            </w:pPr>
            <w:r w:rsidRPr="00B973EA">
              <w:rPr>
                <w:rFonts w:ascii="Century Schoolbook" w:hAnsi="Century Schoolbook"/>
              </w:rPr>
              <w:t>v.</w:t>
            </w:r>
          </w:p>
          <w:p w14:paraId="29EFC598" w14:textId="2E98EA0B" w:rsidR="00FF1E73" w:rsidRPr="00B973EA" w:rsidRDefault="004869FD">
            <w:pPr>
              <w:spacing w:after="120" w:line="240" w:lineRule="auto"/>
              <w:rPr>
                <w:rFonts w:ascii="Century Schoolbook" w:hAnsi="Century Schoolbook"/>
              </w:rPr>
            </w:pPr>
            <w:r>
              <w:rPr>
                <w:rFonts w:ascii="Century Schoolbook" w:hAnsi="Century Schoolbook"/>
              </w:rPr>
              <w:t>STATE</w:t>
            </w:r>
            <w:r w:rsidR="00FF1E73">
              <w:rPr>
                <w:rFonts w:ascii="Century Schoolbook" w:hAnsi="Century Schoolbook"/>
              </w:rPr>
              <w:t xml:space="preserve"> DEPARTMENT OF HEALTH CARE SERVICES et al.,</w:t>
            </w:r>
          </w:p>
          <w:p w14:paraId="6E7C1595" w14:textId="32D8A7DC" w:rsidR="00FF1E73" w:rsidRPr="00B973EA" w:rsidRDefault="00FF1E73">
            <w:pPr>
              <w:spacing w:after="120" w:line="240" w:lineRule="auto"/>
              <w:rPr>
                <w:rFonts w:ascii="Century Schoolbook" w:hAnsi="Century Schoolbook"/>
              </w:rPr>
            </w:pPr>
            <w:r w:rsidRPr="00B973EA">
              <w:rPr>
                <w:rFonts w:ascii="Century Schoolbook" w:hAnsi="Century Schoolbook"/>
              </w:rPr>
              <w:tab/>
            </w:r>
            <w:r>
              <w:rPr>
                <w:rFonts w:ascii="Century Schoolbook" w:hAnsi="Century Schoolbook"/>
              </w:rPr>
              <w:t xml:space="preserve">Defendants </w:t>
            </w:r>
            <w:r w:rsidRPr="00B973EA">
              <w:rPr>
                <w:rFonts w:ascii="Century Schoolbook" w:hAnsi="Century Schoolbook"/>
              </w:rPr>
              <w:t>and</w:t>
            </w:r>
            <w:r>
              <w:rPr>
                <w:rFonts w:ascii="Century Schoolbook" w:hAnsi="Century Schoolbook"/>
              </w:rPr>
              <w:t xml:space="preserve"> </w:t>
            </w:r>
            <w:r w:rsidRPr="00B973EA">
              <w:rPr>
                <w:rFonts w:ascii="Century Schoolbook" w:hAnsi="Century Schoolbook"/>
              </w:rPr>
              <w:t>Respondent</w:t>
            </w:r>
            <w:r>
              <w:rPr>
                <w:rFonts w:ascii="Century Schoolbook" w:hAnsi="Century Schoolbook"/>
              </w:rPr>
              <w:t>s</w:t>
            </w:r>
            <w:r w:rsidRPr="00B973EA">
              <w:rPr>
                <w:rFonts w:ascii="Century Schoolbook" w:hAnsi="Century Schoolbook"/>
              </w:rPr>
              <w:t>.</w:t>
            </w:r>
          </w:p>
        </w:tc>
        <w:tc>
          <w:tcPr>
            <w:tcW w:w="4680" w:type="dxa"/>
            <w:tcBorders>
              <w:left w:val="single" w:sz="4" w:space="0" w:color="auto"/>
            </w:tcBorders>
            <w:shd w:val="clear" w:color="auto" w:fill="auto"/>
          </w:tcPr>
          <w:p w14:paraId="2954EC44" w14:textId="77777777" w:rsidR="00FF1E73" w:rsidRPr="00B973EA" w:rsidRDefault="00FF1E73">
            <w:pPr>
              <w:spacing w:line="240" w:lineRule="auto"/>
              <w:rPr>
                <w:rFonts w:ascii="Century Schoolbook" w:hAnsi="Century Schoolbook"/>
              </w:rPr>
            </w:pPr>
          </w:p>
          <w:p w14:paraId="39F8BF5A" w14:textId="77777777" w:rsidR="00FF1E73" w:rsidRPr="00B973EA" w:rsidRDefault="00FF1E73">
            <w:pPr>
              <w:spacing w:line="240" w:lineRule="auto"/>
              <w:rPr>
                <w:rFonts w:ascii="Century Schoolbook" w:hAnsi="Century Schoolbook"/>
              </w:rPr>
            </w:pPr>
          </w:p>
          <w:p w14:paraId="16D1A096" w14:textId="1520412D" w:rsidR="00FF1E73" w:rsidRPr="00B973EA" w:rsidRDefault="00FF1E73">
            <w:pPr>
              <w:spacing w:line="240" w:lineRule="auto"/>
              <w:rPr>
                <w:rFonts w:ascii="Century Schoolbook" w:hAnsi="Century Schoolbook"/>
              </w:rPr>
            </w:pPr>
            <w:r>
              <w:rPr>
                <w:rFonts w:ascii="Century Schoolbook" w:hAnsi="Century Schoolbook"/>
              </w:rPr>
              <w:t xml:space="preserve">      </w:t>
            </w:r>
            <w:r w:rsidRPr="00CF4CB4">
              <w:rPr>
                <w:rFonts w:ascii="Century Schoolbook" w:hAnsi="Century Schoolbook"/>
              </w:rPr>
              <w:t>A</w:t>
            </w:r>
            <w:r>
              <w:rPr>
                <w:rFonts w:ascii="Century Schoolbook" w:hAnsi="Century Schoolbook"/>
              </w:rPr>
              <w:t>164775</w:t>
            </w:r>
          </w:p>
          <w:p w14:paraId="030A5983" w14:textId="77777777" w:rsidR="00FF1E73" w:rsidRPr="00B973EA" w:rsidRDefault="00FF1E73">
            <w:pPr>
              <w:spacing w:line="240" w:lineRule="auto"/>
              <w:rPr>
                <w:rFonts w:ascii="Century Schoolbook" w:hAnsi="Century Schoolbook"/>
              </w:rPr>
            </w:pPr>
          </w:p>
          <w:p w14:paraId="3F18A0DA" w14:textId="50B68E1B" w:rsidR="00FF1E73" w:rsidRPr="00B973EA" w:rsidRDefault="00FF1E73">
            <w:pPr>
              <w:spacing w:line="240" w:lineRule="auto"/>
              <w:rPr>
                <w:rFonts w:ascii="Century Schoolbook" w:hAnsi="Century Schoolbook"/>
              </w:rPr>
            </w:pPr>
            <w:r>
              <w:rPr>
                <w:rFonts w:ascii="Century Schoolbook" w:hAnsi="Century Schoolbook"/>
              </w:rPr>
              <w:t xml:space="preserve">      </w:t>
            </w:r>
            <w:r w:rsidRPr="00B973EA">
              <w:rPr>
                <w:rFonts w:ascii="Century Schoolbook" w:hAnsi="Century Schoolbook"/>
              </w:rPr>
              <w:t>(</w:t>
            </w:r>
            <w:r>
              <w:rPr>
                <w:rFonts w:ascii="Century Schoolbook" w:hAnsi="Century Schoolbook"/>
              </w:rPr>
              <w:t xml:space="preserve">San Francisco </w:t>
            </w:r>
            <w:r w:rsidR="00A22C40">
              <w:rPr>
                <w:rFonts w:ascii="Century Schoolbook" w:hAnsi="Century Schoolbook"/>
              </w:rPr>
              <w:t xml:space="preserve">City &amp; </w:t>
            </w:r>
            <w:r w:rsidRPr="00A22C40">
              <w:rPr>
                <w:rFonts w:ascii="Century Schoolbook" w:hAnsi="Century Schoolbook"/>
              </w:rPr>
              <w:t>County</w:t>
            </w:r>
          </w:p>
          <w:p w14:paraId="2EDF8FC2" w14:textId="75D1846B" w:rsidR="00FF1E73" w:rsidRPr="00B973EA" w:rsidRDefault="00FF1E73">
            <w:pPr>
              <w:spacing w:line="240" w:lineRule="auto"/>
              <w:rPr>
                <w:rFonts w:ascii="Century Schoolbook" w:hAnsi="Century Schoolbook"/>
              </w:rPr>
            </w:pPr>
            <w:r>
              <w:rPr>
                <w:rFonts w:ascii="Century Schoolbook" w:hAnsi="Century Schoolbook"/>
              </w:rPr>
              <w:t xml:space="preserve">      </w:t>
            </w:r>
            <w:r w:rsidRPr="00B973EA">
              <w:rPr>
                <w:rFonts w:ascii="Century Schoolbook" w:hAnsi="Century Schoolbook"/>
              </w:rPr>
              <w:t>Super.</w:t>
            </w:r>
            <w:r>
              <w:rPr>
                <w:rFonts w:ascii="Century Schoolbook" w:hAnsi="Century Schoolbook"/>
              </w:rPr>
              <w:t xml:space="preserve"> </w:t>
            </w:r>
            <w:r w:rsidRPr="00B973EA">
              <w:rPr>
                <w:rFonts w:ascii="Century Schoolbook" w:hAnsi="Century Schoolbook"/>
              </w:rPr>
              <w:t>Ct.</w:t>
            </w:r>
            <w:r>
              <w:rPr>
                <w:rFonts w:ascii="Century Schoolbook" w:hAnsi="Century Schoolbook"/>
              </w:rPr>
              <w:t xml:space="preserve"> </w:t>
            </w:r>
            <w:r w:rsidRPr="00B973EA">
              <w:rPr>
                <w:rFonts w:ascii="Century Schoolbook" w:hAnsi="Century Schoolbook"/>
              </w:rPr>
              <w:t>No.</w:t>
            </w:r>
            <w:r>
              <w:rPr>
                <w:rFonts w:ascii="Century Schoolbook" w:hAnsi="Century Schoolbook"/>
              </w:rPr>
              <w:t xml:space="preserve"> </w:t>
            </w:r>
            <w:r w:rsidR="007367C9">
              <w:rPr>
                <w:rFonts w:ascii="Century Schoolbook" w:hAnsi="Century Schoolbook"/>
              </w:rPr>
              <w:t>CPF20517020</w:t>
            </w:r>
            <w:r w:rsidRPr="00B973EA">
              <w:rPr>
                <w:rFonts w:ascii="Century Schoolbook" w:hAnsi="Century Schoolbook"/>
              </w:rPr>
              <w:t>)</w:t>
            </w:r>
          </w:p>
          <w:p w14:paraId="519AD7AC" w14:textId="77777777" w:rsidR="00FF1E73" w:rsidRPr="00B973EA" w:rsidRDefault="00FF1E73">
            <w:pPr>
              <w:spacing w:line="240" w:lineRule="auto"/>
              <w:rPr>
                <w:rFonts w:ascii="Century Schoolbook" w:hAnsi="Century Schoolbook"/>
              </w:rPr>
            </w:pPr>
          </w:p>
        </w:tc>
      </w:tr>
    </w:tbl>
    <w:p w14:paraId="14E37C03" w14:textId="07623642" w:rsidR="00FF1E73" w:rsidRPr="001668F6" w:rsidRDefault="00A17680">
      <w:pPr>
        <w:rPr>
          <w:rFonts w:ascii="Century Schoolbook" w:hAnsi="Century Schoolbook"/>
        </w:rPr>
      </w:pPr>
      <w:r w:rsidRPr="001668F6">
        <w:rPr>
          <w:rFonts w:ascii="Century Schoolbook" w:hAnsi="Century Schoolbook"/>
        </w:rPr>
        <w:tab/>
      </w:r>
      <w:r w:rsidR="00935660" w:rsidRPr="001668F6">
        <w:rPr>
          <w:rFonts w:ascii="Century Schoolbook" w:hAnsi="Century Schoolbook"/>
        </w:rPr>
        <w:t xml:space="preserve">In 2018, the Social Security </w:t>
      </w:r>
      <w:r w:rsidR="005F2881" w:rsidRPr="001668F6">
        <w:rPr>
          <w:rFonts w:ascii="Century Schoolbook" w:hAnsi="Century Schoolbook"/>
        </w:rPr>
        <w:t>Administration</w:t>
      </w:r>
      <w:r w:rsidR="00935660" w:rsidRPr="001668F6">
        <w:rPr>
          <w:rFonts w:ascii="Century Schoolbook" w:hAnsi="Century Schoolbook"/>
        </w:rPr>
        <w:t xml:space="preserve"> notified appellant Debra Abney that it would begin withholding almost $600 from her Social Security payment each month to satisfy a debt she owed the IRS.  The City and County of San Francisco </w:t>
      </w:r>
      <w:r w:rsidR="001668F6">
        <w:rPr>
          <w:rFonts w:ascii="Century Schoolbook" w:hAnsi="Century Schoolbook"/>
        </w:rPr>
        <w:t>(</w:t>
      </w:r>
      <w:r w:rsidR="00097CAB">
        <w:rPr>
          <w:rFonts w:ascii="Century Schoolbook" w:hAnsi="Century Schoolbook"/>
        </w:rPr>
        <w:t>the County</w:t>
      </w:r>
      <w:r w:rsidR="001668F6">
        <w:rPr>
          <w:rFonts w:ascii="Century Schoolbook" w:hAnsi="Century Schoolbook"/>
        </w:rPr>
        <w:t xml:space="preserve">) </w:t>
      </w:r>
      <w:r w:rsidR="00935660" w:rsidRPr="001668F6">
        <w:rPr>
          <w:rFonts w:ascii="Century Schoolbook" w:hAnsi="Century Schoolbook"/>
        </w:rPr>
        <w:t xml:space="preserve">subsequently notified Abney that it would consider the garnished money as income for the purposes of calculating her eligibility for benefits under Medi-Cal, making her ineligible to receive those benefits without a share of cost.  Abney unsuccessfully sought writs of administrative mandate and ordinary mandamus seeking to reverse that decision, </w:t>
      </w:r>
      <w:r w:rsidR="00A1449F">
        <w:rPr>
          <w:rFonts w:ascii="Century Schoolbook" w:hAnsi="Century Schoolbook"/>
        </w:rPr>
        <w:t>the trial court rejecting her argument</w:t>
      </w:r>
      <w:r w:rsidR="004419A4">
        <w:rPr>
          <w:rFonts w:ascii="Century Schoolbook" w:hAnsi="Century Schoolbook"/>
        </w:rPr>
        <w:t xml:space="preserve"> </w:t>
      </w:r>
      <w:r w:rsidR="00935660" w:rsidRPr="001668F6">
        <w:rPr>
          <w:rFonts w:ascii="Century Schoolbook" w:hAnsi="Century Schoolbook"/>
        </w:rPr>
        <w:t>that the tax garnishment was not income “actually available to meet [her] needs” under the regulations implementing the Medi-Cal program</w:t>
      </w:r>
      <w:r w:rsidR="001668F6" w:rsidRPr="001668F6">
        <w:rPr>
          <w:rFonts w:ascii="Century Schoolbook" w:hAnsi="Century Schoolbook"/>
        </w:rPr>
        <w:t xml:space="preserve">.  We </w:t>
      </w:r>
      <w:r w:rsidR="004419A4">
        <w:rPr>
          <w:rFonts w:ascii="Century Schoolbook" w:hAnsi="Century Schoolbook"/>
        </w:rPr>
        <w:t xml:space="preserve">also </w:t>
      </w:r>
      <w:r w:rsidR="009A2A59">
        <w:rPr>
          <w:rFonts w:ascii="Century Schoolbook" w:hAnsi="Century Schoolbook"/>
        </w:rPr>
        <w:t xml:space="preserve">reject the </w:t>
      </w:r>
      <w:r w:rsidR="00560B22">
        <w:rPr>
          <w:rFonts w:ascii="Century Schoolbook" w:hAnsi="Century Schoolbook"/>
        </w:rPr>
        <w:t>argument,</w:t>
      </w:r>
      <w:r w:rsidR="009A2A59">
        <w:rPr>
          <w:rFonts w:ascii="Century Schoolbook" w:hAnsi="Century Schoolbook"/>
        </w:rPr>
        <w:t xml:space="preserve"> and we </w:t>
      </w:r>
      <w:r w:rsidR="001668F6" w:rsidRPr="001668F6">
        <w:rPr>
          <w:rFonts w:ascii="Century Schoolbook" w:hAnsi="Century Schoolbook"/>
        </w:rPr>
        <w:t xml:space="preserve">affirm.  </w:t>
      </w:r>
      <w:r w:rsidR="00935660" w:rsidRPr="001668F6">
        <w:rPr>
          <w:rFonts w:ascii="Century Schoolbook" w:hAnsi="Century Schoolbook"/>
        </w:rPr>
        <w:t xml:space="preserve"> </w:t>
      </w:r>
    </w:p>
    <w:p w14:paraId="6C816126" w14:textId="77777777" w:rsidR="00DA7BDF" w:rsidRDefault="00DA7BDF" w:rsidP="00246224">
      <w:pPr>
        <w:jc w:val="center"/>
        <w:rPr>
          <w:rFonts w:ascii="Century Schoolbook" w:hAnsi="Century Schoolbook"/>
          <w:b/>
          <w:bCs/>
        </w:rPr>
      </w:pPr>
    </w:p>
    <w:p w14:paraId="480C4460" w14:textId="77777777" w:rsidR="00DA7BDF" w:rsidRDefault="00DA7BDF" w:rsidP="00246224">
      <w:pPr>
        <w:jc w:val="center"/>
        <w:rPr>
          <w:rFonts w:ascii="Century Schoolbook" w:hAnsi="Century Schoolbook"/>
          <w:b/>
          <w:bCs/>
        </w:rPr>
      </w:pPr>
    </w:p>
    <w:p w14:paraId="584F2ABB" w14:textId="77777777" w:rsidR="00DA7BDF" w:rsidRDefault="00DA7BDF" w:rsidP="00246224">
      <w:pPr>
        <w:jc w:val="center"/>
        <w:rPr>
          <w:rFonts w:ascii="Century Schoolbook" w:hAnsi="Century Schoolbook"/>
          <w:b/>
          <w:bCs/>
        </w:rPr>
      </w:pPr>
    </w:p>
    <w:p w14:paraId="4B195D9B" w14:textId="19A7E028" w:rsidR="00246224" w:rsidRDefault="00246224" w:rsidP="00246224">
      <w:pPr>
        <w:jc w:val="center"/>
        <w:rPr>
          <w:rFonts w:ascii="Century Schoolbook" w:hAnsi="Century Schoolbook"/>
          <w:b/>
          <w:bCs/>
        </w:rPr>
      </w:pPr>
      <w:r w:rsidRPr="00246224">
        <w:rPr>
          <w:rFonts w:ascii="Century Schoolbook" w:hAnsi="Century Schoolbook"/>
          <w:b/>
          <w:bCs/>
        </w:rPr>
        <w:lastRenderedPageBreak/>
        <w:t>BACKGROUND</w:t>
      </w:r>
    </w:p>
    <w:p w14:paraId="3EF2FC7B" w14:textId="46CCC7F3" w:rsidR="00097CAB" w:rsidRPr="00097CAB" w:rsidRDefault="00097CAB" w:rsidP="000B3D29">
      <w:pPr>
        <w:rPr>
          <w:rFonts w:ascii="Century Schoolbook" w:hAnsi="Century Schoolbook"/>
          <w:b/>
          <w:bCs/>
        </w:rPr>
      </w:pPr>
      <w:r>
        <w:rPr>
          <w:rFonts w:ascii="Century Schoolbook" w:hAnsi="Century Schoolbook"/>
        </w:rPr>
        <w:tab/>
      </w:r>
      <w:r w:rsidR="00314F3E">
        <w:rPr>
          <w:rFonts w:ascii="Century Schoolbook" w:hAnsi="Century Schoolbook"/>
          <w:b/>
          <w:bCs/>
        </w:rPr>
        <w:t>Medicaid</w:t>
      </w:r>
      <w:r>
        <w:rPr>
          <w:rFonts w:ascii="Century Schoolbook" w:hAnsi="Century Schoolbook"/>
          <w:b/>
          <w:bCs/>
        </w:rPr>
        <w:t xml:space="preserve"> and Medi-Cal</w:t>
      </w:r>
    </w:p>
    <w:p w14:paraId="1DF18EFB" w14:textId="1874411F" w:rsidR="000B3D29" w:rsidRPr="000B3D29" w:rsidRDefault="000B3D29" w:rsidP="000B3D29">
      <w:pPr>
        <w:rPr>
          <w:rFonts w:ascii="Century Schoolbook" w:hAnsi="Century Schoolbook"/>
        </w:rPr>
      </w:pPr>
      <w:r w:rsidRPr="000B3D29">
        <w:rPr>
          <w:rFonts w:ascii="Century Schoolbook" w:hAnsi="Century Schoolbook"/>
        </w:rPr>
        <w:tab/>
        <w:t>Medi–Cal is California</w:t>
      </w:r>
      <w:r>
        <w:rPr>
          <w:rFonts w:ascii="Century Schoolbook" w:hAnsi="Century Schoolbook"/>
        </w:rPr>
        <w:t>’</w:t>
      </w:r>
      <w:r w:rsidRPr="000B3D29">
        <w:rPr>
          <w:rFonts w:ascii="Century Schoolbook" w:hAnsi="Century Schoolbook"/>
        </w:rPr>
        <w:t xml:space="preserve">s program under the joint federal-state program known as Medicaid. </w:t>
      </w:r>
      <w:r>
        <w:rPr>
          <w:rFonts w:ascii="Century Schoolbook" w:hAnsi="Century Schoolbook"/>
        </w:rPr>
        <w:t xml:space="preserve"> </w:t>
      </w:r>
      <w:r w:rsidRPr="000B3D29">
        <w:rPr>
          <w:rFonts w:ascii="Century Schoolbook" w:hAnsi="Century Schoolbook"/>
        </w:rPr>
        <w:t>(Welf. &amp; Inst.</w:t>
      </w:r>
      <w:r w:rsidR="005F2881">
        <w:rPr>
          <w:rFonts w:ascii="Century Schoolbook" w:hAnsi="Century Schoolbook"/>
        </w:rPr>
        <w:t xml:space="preserve"> </w:t>
      </w:r>
      <w:r w:rsidRPr="000B3D29">
        <w:rPr>
          <w:rFonts w:ascii="Century Schoolbook" w:hAnsi="Century Schoolbook"/>
        </w:rPr>
        <w:t xml:space="preserve">Code, § 14000 et seq.) </w:t>
      </w:r>
      <w:r>
        <w:rPr>
          <w:rFonts w:ascii="Century Schoolbook" w:hAnsi="Century Schoolbook"/>
        </w:rPr>
        <w:t xml:space="preserve"> </w:t>
      </w:r>
      <w:r w:rsidRPr="000B3D29">
        <w:rPr>
          <w:rFonts w:ascii="Century Schoolbook" w:hAnsi="Century Schoolbook"/>
        </w:rPr>
        <w:t xml:space="preserve">Medicaid provides federal financial assistance to participating states to support the provision of health care services to certain categories of low-income individuals and families, including the aged, blind, and disabled, as well as pregnant women and others. </w:t>
      </w:r>
      <w:r>
        <w:rPr>
          <w:rFonts w:ascii="Century Schoolbook" w:hAnsi="Century Schoolbook"/>
        </w:rPr>
        <w:t xml:space="preserve"> </w:t>
      </w:r>
      <w:r w:rsidRPr="000B3D29">
        <w:rPr>
          <w:rFonts w:ascii="Century Schoolbook" w:hAnsi="Century Schoolbook"/>
        </w:rPr>
        <w:t>(42 U.S.C. § 1396 et seq.)</w:t>
      </w:r>
    </w:p>
    <w:p w14:paraId="580864EC" w14:textId="40CD27E3" w:rsidR="000B3D29" w:rsidRDefault="000B3D29" w:rsidP="004C0B02">
      <w:pPr>
        <w:rPr>
          <w:rFonts w:ascii="Century Schoolbook" w:hAnsi="Century Schoolbook"/>
        </w:rPr>
      </w:pPr>
      <w:r w:rsidRPr="000B3D29">
        <w:rPr>
          <w:rFonts w:ascii="Century Schoolbook" w:hAnsi="Century Schoolbook"/>
        </w:rPr>
        <w:tab/>
        <w:t xml:space="preserve">Because California has opted to participate in the Medicaid program and receive federal matching funds, it must comply with all federal Medicaid requirements. </w:t>
      </w:r>
      <w:r>
        <w:rPr>
          <w:rFonts w:ascii="Century Schoolbook" w:hAnsi="Century Schoolbook"/>
        </w:rPr>
        <w:t xml:space="preserve"> </w:t>
      </w:r>
      <w:r w:rsidRPr="000B3D29">
        <w:rPr>
          <w:rFonts w:ascii="Century Schoolbook" w:hAnsi="Century Schoolbook"/>
        </w:rPr>
        <w:t>(</w:t>
      </w:r>
      <w:r w:rsidRPr="000B3D29">
        <w:rPr>
          <w:rFonts w:ascii="Century Schoolbook" w:hAnsi="Century Schoolbook"/>
          <w:i/>
          <w:iCs/>
        </w:rPr>
        <w:t>Conlan v. Bontá</w:t>
      </w:r>
      <w:r w:rsidRPr="000B3D29">
        <w:rPr>
          <w:rFonts w:ascii="Century Schoolbook" w:hAnsi="Century Schoolbook"/>
        </w:rPr>
        <w:t xml:space="preserve"> (2002) 102 Cal.App.4th 745, 753.) </w:t>
      </w:r>
      <w:r>
        <w:rPr>
          <w:rFonts w:ascii="Century Schoolbook" w:hAnsi="Century Schoolbook"/>
        </w:rPr>
        <w:t xml:space="preserve"> </w:t>
      </w:r>
      <w:r w:rsidRPr="000B3D29">
        <w:rPr>
          <w:rFonts w:ascii="Century Schoolbook" w:hAnsi="Century Schoolbook"/>
        </w:rPr>
        <w:t xml:space="preserve">Among other things, the state must administer its Medicaid program through a plan that has been approved by the federal Centers for Medicare and Medicaid Services. </w:t>
      </w:r>
      <w:r>
        <w:rPr>
          <w:rFonts w:ascii="Century Schoolbook" w:hAnsi="Century Schoolbook"/>
        </w:rPr>
        <w:t xml:space="preserve"> </w:t>
      </w:r>
      <w:r w:rsidRPr="000B3D29">
        <w:rPr>
          <w:rFonts w:ascii="Century Schoolbook" w:hAnsi="Century Schoolbook"/>
        </w:rPr>
        <w:t>(See 42 U.S.C. § 1396a; 42 C.F.R. §§ 430.10, 430.15(b) (2014); Welf.</w:t>
      </w:r>
      <w:r w:rsidR="0092692E">
        <w:rPr>
          <w:rFonts w:ascii="Century Schoolbook" w:hAnsi="Century Schoolbook"/>
        </w:rPr>
        <w:t> </w:t>
      </w:r>
      <w:r w:rsidRPr="000B3D29">
        <w:rPr>
          <w:rFonts w:ascii="Century Schoolbook" w:hAnsi="Century Schoolbook"/>
        </w:rPr>
        <w:t>&amp; Inst.</w:t>
      </w:r>
      <w:r w:rsidR="005F2881">
        <w:rPr>
          <w:rFonts w:ascii="Century Schoolbook" w:hAnsi="Century Schoolbook"/>
        </w:rPr>
        <w:t xml:space="preserve"> </w:t>
      </w:r>
      <w:r w:rsidRPr="000B3D29">
        <w:rPr>
          <w:rFonts w:ascii="Century Schoolbook" w:hAnsi="Century Schoolbook"/>
        </w:rPr>
        <w:t>Code, § 14100.1.)</w:t>
      </w:r>
      <w:r w:rsidR="00B271BC">
        <w:rPr>
          <w:rFonts w:ascii="Century Schoolbook" w:hAnsi="Century Schoolbook"/>
        </w:rPr>
        <w:t xml:space="preserve">  </w:t>
      </w:r>
      <w:r w:rsidR="001668F6">
        <w:rPr>
          <w:rFonts w:ascii="Century Schoolbook" w:hAnsi="Century Schoolbook"/>
        </w:rPr>
        <w:t>Respondent, the California Department of Health Care Services</w:t>
      </w:r>
      <w:r w:rsidR="004C0B02" w:rsidRPr="004C0B02">
        <w:rPr>
          <w:rFonts w:ascii="Century Schoolbook" w:hAnsi="Century Schoolbook"/>
        </w:rPr>
        <w:t xml:space="preserve"> </w:t>
      </w:r>
      <w:r w:rsidR="001668F6">
        <w:rPr>
          <w:rFonts w:ascii="Century Schoolbook" w:hAnsi="Century Schoolbook"/>
        </w:rPr>
        <w:t>(</w:t>
      </w:r>
      <w:r w:rsidR="004C0B02" w:rsidRPr="004C0B02">
        <w:rPr>
          <w:rFonts w:ascii="Century Schoolbook" w:hAnsi="Century Schoolbook"/>
        </w:rPr>
        <w:t>Department</w:t>
      </w:r>
      <w:r w:rsidR="001668F6">
        <w:rPr>
          <w:rFonts w:ascii="Century Schoolbook" w:hAnsi="Century Schoolbook"/>
        </w:rPr>
        <w:t>),</w:t>
      </w:r>
      <w:r w:rsidR="004C0B02" w:rsidRPr="004C0B02">
        <w:rPr>
          <w:rFonts w:ascii="Century Schoolbook" w:hAnsi="Century Schoolbook"/>
        </w:rPr>
        <w:t xml:space="preserve"> is the state agency </w:t>
      </w:r>
      <w:r w:rsidR="004C0B02">
        <w:rPr>
          <w:rFonts w:ascii="Century Schoolbook" w:hAnsi="Century Schoolbook"/>
        </w:rPr>
        <w:t>that</w:t>
      </w:r>
      <w:r w:rsidR="004C0B02" w:rsidRPr="004C0B02">
        <w:rPr>
          <w:rFonts w:ascii="Century Schoolbook" w:hAnsi="Century Schoolbook"/>
        </w:rPr>
        <w:t xml:space="preserve"> administer</w:t>
      </w:r>
      <w:r w:rsidR="004C0B02">
        <w:rPr>
          <w:rFonts w:ascii="Century Schoolbook" w:hAnsi="Century Schoolbook"/>
        </w:rPr>
        <w:t>s</w:t>
      </w:r>
      <w:r w:rsidR="004C0B02" w:rsidRPr="004C0B02">
        <w:rPr>
          <w:rFonts w:ascii="Century Schoolbook" w:hAnsi="Century Schoolbook"/>
        </w:rPr>
        <w:t xml:space="preserve"> Medi-Cal, </w:t>
      </w:r>
      <w:r w:rsidR="004C0B02">
        <w:rPr>
          <w:rFonts w:ascii="Century Schoolbook" w:hAnsi="Century Schoolbook"/>
        </w:rPr>
        <w:t xml:space="preserve">but </w:t>
      </w:r>
      <w:r w:rsidR="004C0B02" w:rsidRPr="004C0B02">
        <w:rPr>
          <w:rFonts w:ascii="Century Schoolbook" w:hAnsi="Century Schoolbook"/>
        </w:rPr>
        <w:t xml:space="preserve">counties are responsible for eligibility determinations, subject to </w:t>
      </w:r>
      <w:r w:rsidR="00C31BD6">
        <w:rPr>
          <w:rFonts w:ascii="Century Schoolbook" w:hAnsi="Century Schoolbook"/>
        </w:rPr>
        <w:t>the direction</w:t>
      </w:r>
      <w:r w:rsidR="004C0B02" w:rsidRPr="004C0B02">
        <w:rPr>
          <w:rFonts w:ascii="Century Schoolbook" w:hAnsi="Century Schoolbook"/>
        </w:rPr>
        <w:t xml:space="preserve"> of the Department. (Welf. &amp; Inst. Code, § 14100.1; Cal. Code Regs.,</w:t>
      </w:r>
      <w:r w:rsidR="0011581D">
        <w:rPr>
          <w:rStyle w:val="FootnoteReference"/>
          <w:rFonts w:ascii="Century Schoolbook" w:hAnsi="Century Schoolbook"/>
        </w:rPr>
        <w:footnoteReference w:id="1"/>
      </w:r>
      <w:r w:rsidR="004C0B02" w:rsidRPr="004C0B02">
        <w:rPr>
          <w:rFonts w:ascii="Century Schoolbook" w:hAnsi="Century Schoolbook"/>
        </w:rPr>
        <w:t xml:space="preserve"> tit. 22, § 50004, subd. (c).)</w:t>
      </w:r>
    </w:p>
    <w:p w14:paraId="58B61A94" w14:textId="11E048F0" w:rsidR="00613E2E" w:rsidRPr="00892680" w:rsidRDefault="00613E2E" w:rsidP="0050094B">
      <w:pPr>
        <w:rPr>
          <w:rFonts w:ascii="Century Schoolbook" w:hAnsi="Century Schoolbook"/>
        </w:rPr>
      </w:pPr>
      <w:r>
        <w:rPr>
          <w:rFonts w:ascii="Century Schoolbook" w:hAnsi="Century Schoolbook"/>
        </w:rPr>
        <w:tab/>
      </w:r>
      <w:r w:rsidR="00C4393D">
        <w:rPr>
          <w:rFonts w:ascii="Century Schoolbook" w:hAnsi="Century Schoolbook"/>
        </w:rPr>
        <w:t xml:space="preserve">The </w:t>
      </w:r>
      <w:r w:rsidR="00DE5EA7">
        <w:rPr>
          <w:rFonts w:ascii="Century Schoolbook" w:hAnsi="Century Schoolbook"/>
        </w:rPr>
        <w:t xml:space="preserve">federal </w:t>
      </w:r>
      <w:r w:rsidR="00C4393D">
        <w:rPr>
          <w:rFonts w:ascii="Century Schoolbook" w:hAnsi="Century Schoolbook"/>
        </w:rPr>
        <w:t>Medicaid Act requires</w:t>
      </w:r>
      <w:r w:rsidRPr="00892680">
        <w:rPr>
          <w:rFonts w:ascii="Century Schoolbook" w:hAnsi="Century Schoolbook"/>
        </w:rPr>
        <w:t xml:space="preserve"> that a state plan must “include reasonable standards . . . for determining eligibility for and the extent of medical assistance under the plan which . . . provide for taking into account only such income and resources as are, as determined in accordance with standards prescribed by the Secretary [of Health and Human Services], available to the applicant or recipient . . . .” </w:t>
      </w:r>
      <w:r>
        <w:rPr>
          <w:rFonts w:ascii="Century Schoolbook" w:hAnsi="Century Schoolbook"/>
        </w:rPr>
        <w:t xml:space="preserve"> </w:t>
      </w:r>
      <w:r w:rsidRPr="00892680">
        <w:rPr>
          <w:rFonts w:ascii="Century Schoolbook" w:hAnsi="Century Schoolbook"/>
        </w:rPr>
        <w:t xml:space="preserve">(42 U.S.C. § 1396a(a)(17).) </w:t>
      </w:r>
      <w:r>
        <w:rPr>
          <w:rFonts w:ascii="Century Schoolbook" w:hAnsi="Century Schoolbook"/>
        </w:rPr>
        <w:t xml:space="preserve"> </w:t>
      </w:r>
      <w:r w:rsidR="0050094B">
        <w:rPr>
          <w:rFonts w:ascii="Century Schoolbook" w:hAnsi="Century Schoolbook"/>
        </w:rPr>
        <w:t>A</w:t>
      </w:r>
      <w:r w:rsidRPr="00892680">
        <w:rPr>
          <w:rFonts w:ascii="Century Schoolbook" w:hAnsi="Century Schoolbook"/>
        </w:rPr>
        <w:t xml:space="preserve"> </w:t>
      </w:r>
      <w:r w:rsidRPr="00892680">
        <w:rPr>
          <w:rFonts w:ascii="Century Schoolbook" w:hAnsi="Century Schoolbook"/>
        </w:rPr>
        <w:lastRenderedPageBreak/>
        <w:t>state</w:t>
      </w:r>
      <w:r w:rsidR="0050094B">
        <w:rPr>
          <w:rFonts w:ascii="Century Schoolbook" w:hAnsi="Century Schoolbook"/>
        </w:rPr>
        <w:t>’s</w:t>
      </w:r>
      <w:r w:rsidRPr="00892680">
        <w:rPr>
          <w:rFonts w:ascii="Century Schoolbook" w:hAnsi="Century Schoolbook"/>
        </w:rPr>
        <w:t xml:space="preserve"> </w:t>
      </w:r>
      <w:r w:rsidR="0050094B">
        <w:rPr>
          <w:rFonts w:ascii="Century Schoolbook" w:hAnsi="Century Schoolbook"/>
        </w:rPr>
        <w:t>“</w:t>
      </w:r>
      <w:r w:rsidR="0050094B" w:rsidRPr="0050094B">
        <w:rPr>
          <w:rFonts w:ascii="Century Schoolbook" w:hAnsi="Century Schoolbook"/>
        </w:rPr>
        <w:t>methodology to be employed in determining income and resource eligibility for individuals</w:t>
      </w:r>
      <w:r w:rsidR="0050094B">
        <w:rPr>
          <w:rFonts w:ascii="Century Schoolbook" w:hAnsi="Century Schoolbook"/>
        </w:rPr>
        <w:t xml:space="preserve"> . . . may be less restrictive, and shall be no more restrictive” than the federal Medicaid standard.  </w:t>
      </w:r>
      <w:r w:rsidRPr="00892680">
        <w:rPr>
          <w:rFonts w:ascii="Century Schoolbook" w:hAnsi="Century Schoolbook"/>
        </w:rPr>
        <w:t>(42 U.S.C. § 1396a(r)(2)</w:t>
      </w:r>
      <w:r w:rsidR="00B70465">
        <w:rPr>
          <w:rFonts w:ascii="Century Schoolbook" w:hAnsi="Century Schoolbook"/>
        </w:rPr>
        <w:t>(A)</w:t>
      </w:r>
      <w:r w:rsidRPr="00892680">
        <w:rPr>
          <w:rFonts w:ascii="Century Schoolbook" w:hAnsi="Century Schoolbook"/>
        </w:rPr>
        <w:t xml:space="preserve">; 42 C.F.R. § 435.601(d).) </w:t>
      </w:r>
      <w:r>
        <w:rPr>
          <w:rFonts w:ascii="Century Schoolbook" w:hAnsi="Century Schoolbook"/>
        </w:rPr>
        <w:t xml:space="preserve"> </w:t>
      </w:r>
    </w:p>
    <w:p w14:paraId="483DF67D" w14:textId="01293CDC" w:rsidR="00022D60" w:rsidRDefault="007443C3" w:rsidP="0061723B">
      <w:pPr>
        <w:rPr>
          <w:rFonts w:ascii="Century Schoolbook" w:hAnsi="Century Schoolbook"/>
        </w:rPr>
      </w:pPr>
      <w:r>
        <w:rPr>
          <w:rFonts w:ascii="Century Schoolbook" w:hAnsi="Century Schoolbook"/>
        </w:rPr>
        <w:tab/>
      </w:r>
      <w:r w:rsidRPr="00892680">
        <w:rPr>
          <w:rFonts w:ascii="Century Schoolbook" w:hAnsi="Century Schoolbook"/>
        </w:rPr>
        <w:t>California offers several different Medi</w:t>
      </w:r>
      <w:r w:rsidR="00DE5EA7" w:rsidRPr="000B3D29">
        <w:rPr>
          <w:rFonts w:ascii="Century Schoolbook" w:hAnsi="Century Schoolbook"/>
        </w:rPr>
        <w:t>–</w:t>
      </w:r>
      <w:r w:rsidRPr="00892680">
        <w:rPr>
          <w:rFonts w:ascii="Century Schoolbook" w:hAnsi="Century Schoolbook"/>
        </w:rPr>
        <w:t>Cal programs</w:t>
      </w:r>
      <w:r>
        <w:rPr>
          <w:rFonts w:ascii="Century Schoolbook" w:hAnsi="Century Schoolbook"/>
        </w:rPr>
        <w:t>, including, a</w:t>
      </w:r>
      <w:r w:rsidRPr="00892680">
        <w:rPr>
          <w:rFonts w:ascii="Century Schoolbook" w:hAnsi="Century Schoolbook"/>
        </w:rPr>
        <w:t xml:space="preserve">s relevant here, the Aged, Blind, and Disabled Federal Poverty Level Program (ABD FPL) and the Aged, Blind and Disabled Medically Needy Program (ABD MN). </w:t>
      </w:r>
      <w:r>
        <w:rPr>
          <w:rFonts w:ascii="Century Schoolbook" w:hAnsi="Century Schoolbook"/>
        </w:rPr>
        <w:t xml:space="preserve"> </w:t>
      </w:r>
      <w:r w:rsidRPr="00892680">
        <w:rPr>
          <w:rFonts w:ascii="Century Schoolbook" w:hAnsi="Century Schoolbook"/>
        </w:rPr>
        <w:t>(42 U.S.C. §§ 1396a(a)(10)(A)(ii)(X), (a)(10)(C); Welf. &amp; Inst. Code, §§ 14005.7, 14005.40.)</w:t>
      </w:r>
      <w:r>
        <w:rPr>
          <w:rFonts w:ascii="Century Schoolbook" w:hAnsi="Century Schoolbook"/>
        </w:rPr>
        <w:t xml:space="preserve">  </w:t>
      </w:r>
      <w:r w:rsidRPr="00892680">
        <w:rPr>
          <w:rFonts w:ascii="Century Schoolbook" w:hAnsi="Century Schoolbook"/>
        </w:rPr>
        <w:t xml:space="preserve">The ABD FPL program provides medical coverage to </w:t>
      </w:r>
      <w:r>
        <w:rPr>
          <w:rFonts w:ascii="Century Schoolbook" w:hAnsi="Century Schoolbook"/>
        </w:rPr>
        <w:t>eligible</w:t>
      </w:r>
      <w:r w:rsidRPr="00892680">
        <w:rPr>
          <w:rFonts w:ascii="Century Schoolbook" w:hAnsi="Century Schoolbook"/>
        </w:rPr>
        <w:t xml:space="preserve"> California residents with no share of cost</w:t>
      </w:r>
      <w:r w:rsidR="00671BE8">
        <w:rPr>
          <w:rFonts w:ascii="Century Schoolbook" w:hAnsi="Century Schoolbook"/>
        </w:rPr>
        <w:t xml:space="preserve">, provided </w:t>
      </w:r>
      <w:r w:rsidR="0061723B">
        <w:rPr>
          <w:rFonts w:ascii="Century Schoolbook" w:hAnsi="Century Schoolbook"/>
        </w:rPr>
        <w:t xml:space="preserve">that </w:t>
      </w:r>
      <w:r w:rsidR="00671BE8">
        <w:rPr>
          <w:rFonts w:ascii="Century Schoolbook" w:hAnsi="Century Schoolbook"/>
        </w:rPr>
        <w:t xml:space="preserve">their </w:t>
      </w:r>
      <w:r w:rsidR="0061723B">
        <w:rPr>
          <w:rFonts w:ascii="Century Schoolbook" w:hAnsi="Century Schoolbook"/>
        </w:rPr>
        <w:t xml:space="preserve">“[c]ountable income, </w:t>
      </w:r>
      <w:r w:rsidR="0061723B" w:rsidRPr="0061723B">
        <w:rPr>
          <w:rFonts w:ascii="Century Schoolbook" w:hAnsi="Century Schoolbook"/>
        </w:rPr>
        <w:t>as determined in accordance with Section 1902(m) of the federal Social Security Act (42 U.S.C. Sec. 1396a(m)), does not exceed</w:t>
      </w:r>
      <w:r w:rsidR="0061723B">
        <w:rPr>
          <w:rFonts w:ascii="Century Schoolbook" w:hAnsi="Century Schoolbook"/>
        </w:rPr>
        <w:t xml:space="preserve">” certain limits.  </w:t>
      </w:r>
      <w:r w:rsidR="0061723B" w:rsidRPr="00892680">
        <w:rPr>
          <w:rFonts w:ascii="Century Schoolbook" w:hAnsi="Century Schoolbook"/>
        </w:rPr>
        <w:t>(Welf. &amp; Inst. Code, § 14005.40, subd. (c)(1)</w:t>
      </w:r>
      <w:r w:rsidR="0061723B">
        <w:rPr>
          <w:rFonts w:ascii="Century Schoolbook" w:hAnsi="Century Schoolbook"/>
        </w:rPr>
        <w:t xml:space="preserve"> see </w:t>
      </w:r>
      <w:r w:rsidR="0061723B" w:rsidRPr="0061723B">
        <w:rPr>
          <w:rFonts w:ascii="Century Schoolbook" w:hAnsi="Century Schoolbook"/>
          <w:i/>
          <w:iCs/>
        </w:rPr>
        <w:t>id</w:t>
      </w:r>
      <w:r w:rsidR="0061723B">
        <w:rPr>
          <w:rFonts w:ascii="Century Schoolbook" w:hAnsi="Century Schoolbook"/>
        </w:rPr>
        <w:t>. subd. (c)</w:t>
      </w:r>
      <w:r w:rsidR="0061723B" w:rsidRPr="00892680">
        <w:rPr>
          <w:rFonts w:ascii="Century Schoolbook" w:hAnsi="Century Schoolbook"/>
        </w:rPr>
        <w:t>.)</w:t>
      </w:r>
      <w:r w:rsidR="0061723B">
        <w:rPr>
          <w:rFonts w:ascii="Century Schoolbook" w:hAnsi="Century Schoolbook"/>
        </w:rPr>
        <w:t xml:space="preserve">  </w:t>
      </w:r>
      <w:r w:rsidRPr="00892680">
        <w:rPr>
          <w:rFonts w:ascii="Century Schoolbook" w:hAnsi="Century Schoolbook"/>
        </w:rPr>
        <w:t>The ABD MN program allows individuals to receive Medi</w:t>
      </w:r>
      <w:r w:rsidR="00DE5EA7" w:rsidRPr="000B3D29">
        <w:rPr>
          <w:rFonts w:ascii="Century Schoolbook" w:hAnsi="Century Schoolbook"/>
        </w:rPr>
        <w:t>–</w:t>
      </w:r>
      <w:r w:rsidRPr="00892680">
        <w:rPr>
          <w:rFonts w:ascii="Century Schoolbook" w:hAnsi="Century Schoolbook"/>
        </w:rPr>
        <w:t xml:space="preserve">Cal when their income exceeds the limits for the ABD FPL program. </w:t>
      </w:r>
      <w:r>
        <w:rPr>
          <w:rFonts w:ascii="Century Schoolbook" w:hAnsi="Century Schoolbook"/>
        </w:rPr>
        <w:t xml:space="preserve"> </w:t>
      </w:r>
      <w:r w:rsidRPr="00892680">
        <w:rPr>
          <w:rFonts w:ascii="Century Schoolbook" w:hAnsi="Century Schoolbook"/>
        </w:rPr>
        <w:t xml:space="preserve">(See Welf. &amp; Inst. Code, §§ 14005.7; 14005.) </w:t>
      </w:r>
      <w:r>
        <w:rPr>
          <w:rFonts w:ascii="Century Schoolbook" w:hAnsi="Century Schoolbook"/>
        </w:rPr>
        <w:t xml:space="preserve"> </w:t>
      </w:r>
      <w:r w:rsidRPr="00892680">
        <w:rPr>
          <w:rFonts w:ascii="Century Schoolbook" w:hAnsi="Century Schoolbook"/>
        </w:rPr>
        <w:t xml:space="preserve">However, under the ABD MN program, </w:t>
      </w:r>
      <w:r>
        <w:rPr>
          <w:rFonts w:ascii="Century Schoolbook" w:hAnsi="Century Schoolbook"/>
        </w:rPr>
        <w:t>recipients</w:t>
      </w:r>
      <w:r w:rsidRPr="00892680">
        <w:rPr>
          <w:rFonts w:ascii="Century Schoolbook" w:hAnsi="Century Schoolbook"/>
        </w:rPr>
        <w:t xml:space="preserve"> are required to pay a share of cost</w:t>
      </w:r>
      <w:r>
        <w:rPr>
          <w:rFonts w:ascii="Century Schoolbook" w:hAnsi="Century Schoolbook"/>
        </w:rPr>
        <w:t xml:space="preserve"> </w:t>
      </w:r>
      <w:r w:rsidRPr="00892680">
        <w:rPr>
          <w:rFonts w:ascii="Century Schoolbook" w:hAnsi="Century Schoolbook"/>
        </w:rPr>
        <w:t xml:space="preserve">if they incur medical expenses in a given month. </w:t>
      </w:r>
      <w:r>
        <w:rPr>
          <w:rFonts w:ascii="Century Schoolbook" w:hAnsi="Century Schoolbook"/>
        </w:rPr>
        <w:t xml:space="preserve"> </w:t>
      </w:r>
      <w:r w:rsidRPr="00892680">
        <w:rPr>
          <w:rFonts w:ascii="Century Schoolbook" w:hAnsi="Century Schoolbook"/>
        </w:rPr>
        <w:t>(Welf. &amp; Inst. Code, §§ 14005.7, subds. (b), (c); 14005.9.)</w:t>
      </w:r>
      <w:r w:rsidR="008B7DF3">
        <w:rPr>
          <w:rFonts w:ascii="Century Schoolbook" w:hAnsi="Century Schoolbook"/>
        </w:rPr>
        <w:t xml:space="preserve">  </w:t>
      </w:r>
    </w:p>
    <w:p w14:paraId="0E51F834" w14:textId="26E2561D" w:rsidR="007443C3" w:rsidRDefault="00022D60" w:rsidP="0061723B">
      <w:pPr>
        <w:rPr>
          <w:rFonts w:ascii="Century Schoolbook" w:hAnsi="Century Schoolbook"/>
        </w:rPr>
      </w:pPr>
      <w:r>
        <w:rPr>
          <w:rFonts w:ascii="Century Schoolbook" w:hAnsi="Century Schoolbook"/>
        </w:rPr>
        <w:tab/>
      </w:r>
      <w:r w:rsidR="008B7DF3" w:rsidRPr="008B7DF3">
        <w:rPr>
          <w:rFonts w:ascii="Century Schoolbook" w:hAnsi="Century Schoolbook"/>
        </w:rPr>
        <w:t xml:space="preserve">Under California’s </w:t>
      </w:r>
      <w:r w:rsidR="008B7DF3">
        <w:rPr>
          <w:rFonts w:ascii="Century Schoolbook" w:hAnsi="Century Schoolbook"/>
        </w:rPr>
        <w:t>Medi</w:t>
      </w:r>
      <w:r w:rsidR="00DE5EA7" w:rsidRPr="000B3D29">
        <w:rPr>
          <w:rFonts w:ascii="Century Schoolbook" w:hAnsi="Century Schoolbook"/>
        </w:rPr>
        <w:t>–</w:t>
      </w:r>
      <w:r w:rsidR="008B7DF3">
        <w:rPr>
          <w:rFonts w:ascii="Century Schoolbook" w:hAnsi="Century Schoolbook"/>
        </w:rPr>
        <w:t xml:space="preserve">Cal </w:t>
      </w:r>
      <w:r w:rsidR="008B7DF3" w:rsidRPr="008B7DF3">
        <w:rPr>
          <w:rFonts w:ascii="Century Schoolbook" w:hAnsi="Century Schoolbook"/>
        </w:rPr>
        <w:t xml:space="preserve">regulations, </w:t>
      </w:r>
      <w:r w:rsidR="00544102">
        <w:rPr>
          <w:rFonts w:ascii="Century Schoolbook" w:hAnsi="Century Schoolbook"/>
        </w:rPr>
        <w:t xml:space="preserve">“Income includes benefits in cash or in kind” from various sources, but </w:t>
      </w:r>
      <w:r w:rsidR="00DE5EA7">
        <w:rPr>
          <w:rFonts w:ascii="Century Schoolbook" w:hAnsi="Century Schoolbook"/>
        </w:rPr>
        <w:t xml:space="preserve">income </w:t>
      </w:r>
      <w:r w:rsidR="00544102">
        <w:rPr>
          <w:rFonts w:ascii="Century Schoolbook" w:hAnsi="Century Schoolbook"/>
        </w:rPr>
        <w:t xml:space="preserve">“shall be considered as income only if it </w:t>
      </w:r>
      <w:r w:rsidR="002F29AF">
        <w:rPr>
          <w:rFonts w:ascii="Century Schoolbook" w:hAnsi="Century Schoolbook"/>
        </w:rPr>
        <w:t xml:space="preserve">is </w:t>
      </w:r>
      <w:r w:rsidR="00544102">
        <w:rPr>
          <w:rFonts w:ascii="Century Schoolbook" w:hAnsi="Century Schoolbook"/>
        </w:rPr>
        <w:t xml:space="preserve">currently available in accordance with Sections 50513 through 50517.”  </w:t>
      </w:r>
      <w:r w:rsidR="00544102" w:rsidRPr="008B7DF3">
        <w:rPr>
          <w:rFonts w:ascii="Century Schoolbook" w:hAnsi="Century Schoolbook"/>
        </w:rPr>
        <w:t>(Cal. Code Regs., tit. 22, § 505</w:t>
      </w:r>
      <w:r w:rsidR="00544102">
        <w:rPr>
          <w:rFonts w:ascii="Century Schoolbook" w:hAnsi="Century Schoolbook"/>
        </w:rPr>
        <w:t>01</w:t>
      </w:r>
      <w:r w:rsidR="00544102" w:rsidRPr="008B7DF3">
        <w:rPr>
          <w:rFonts w:ascii="Century Schoolbook" w:hAnsi="Century Schoolbook"/>
        </w:rPr>
        <w:t>, subd</w:t>
      </w:r>
      <w:r w:rsidR="00544102">
        <w:rPr>
          <w:rFonts w:ascii="Century Schoolbook" w:hAnsi="Century Schoolbook"/>
        </w:rPr>
        <w:t>s</w:t>
      </w:r>
      <w:r w:rsidR="00544102" w:rsidRPr="008B7DF3">
        <w:rPr>
          <w:rFonts w:ascii="Century Schoolbook" w:hAnsi="Century Schoolbook"/>
        </w:rPr>
        <w:t>. (a)</w:t>
      </w:r>
      <w:r w:rsidR="00544102">
        <w:rPr>
          <w:rFonts w:ascii="Century Schoolbook" w:hAnsi="Century Schoolbook"/>
        </w:rPr>
        <w:t xml:space="preserve">, (b).) </w:t>
      </w:r>
      <w:r w:rsidR="00544102" w:rsidRPr="008B7DF3">
        <w:rPr>
          <w:rFonts w:ascii="Century Schoolbook" w:hAnsi="Century Schoolbook"/>
        </w:rPr>
        <w:t xml:space="preserve"> </w:t>
      </w:r>
      <w:r w:rsidR="00544102">
        <w:rPr>
          <w:rFonts w:ascii="Century Schoolbook" w:hAnsi="Century Schoolbook"/>
        </w:rPr>
        <w:t xml:space="preserve">The referenced regulations provide that </w:t>
      </w:r>
      <w:r w:rsidR="008B7DF3" w:rsidRPr="008B7DF3">
        <w:rPr>
          <w:rFonts w:ascii="Century Schoolbook" w:hAnsi="Century Schoolbook"/>
        </w:rPr>
        <w:t>“</w:t>
      </w:r>
      <w:r w:rsidR="008B7DF3">
        <w:rPr>
          <w:rFonts w:ascii="Century Schoolbook" w:hAnsi="Century Schoolbook"/>
        </w:rPr>
        <w:t>[o]</w:t>
      </w:r>
      <w:r w:rsidR="008B7DF3" w:rsidRPr="008B7DF3">
        <w:rPr>
          <w:rFonts w:ascii="Century Schoolbook" w:hAnsi="Century Schoolbook"/>
        </w:rPr>
        <w:t>nly income which is actually available to meet the needs of a person or family shall be considered in determining that person’s or family’s share of cost</w:t>
      </w:r>
      <w:r w:rsidR="008B7DF3">
        <w:rPr>
          <w:rFonts w:ascii="Century Schoolbook" w:hAnsi="Century Schoolbook"/>
        </w:rPr>
        <w:t>,</w:t>
      </w:r>
      <w:r w:rsidR="008B7DF3" w:rsidRPr="008B7DF3">
        <w:rPr>
          <w:rFonts w:ascii="Century Schoolbook" w:hAnsi="Century Schoolbook"/>
        </w:rPr>
        <w:t xml:space="preserve">” </w:t>
      </w:r>
      <w:r w:rsidR="008B7DF3">
        <w:rPr>
          <w:rFonts w:ascii="Century Schoolbook" w:hAnsi="Century Schoolbook"/>
        </w:rPr>
        <w:t>and similarly, “[i]</w:t>
      </w:r>
      <w:r w:rsidR="008B7DF3" w:rsidRPr="00B82E46">
        <w:rPr>
          <w:rFonts w:ascii="Century Schoolbook" w:hAnsi="Century Schoolbook"/>
        </w:rPr>
        <w:t xml:space="preserve">ncome which is not available to meet current needs of a person or family shall not be considered </w:t>
      </w:r>
      <w:r w:rsidR="008B7DF3" w:rsidRPr="00B82E46">
        <w:rPr>
          <w:rFonts w:ascii="Century Schoolbook" w:hAnsi="Century Schoolbook"/>
        </w:rPr>
        <w:lastRenderedPageBreak/>
        <w:t>in determining that person</w:t>
      </w:r>
      <w:r w:rsidR="008B7DF3">
        <w:rPr>
          <w:rFonts w:ascii="Century Schoolbook" w:hAnsi="Century Schoolbook"/>
        </w:rPr>
        <w:t>’</w:t>
      </w:r>
      <w:r w:rsidR="008B7DF3" w:rsidRPr="00B82E46">
        <w:rPr>
          <w:rFonts w:ascii="Century Schoolbook" w:hAnsi="Century Schoolbook"/>
        </w:rPr>
        <w:t>s or family</w:t>
      </w:r>
      <w:r w:rsidR="008B7DF3">
        <w:rPr>
          <w:rFonts w:ascii="Century Schoolbook" w:hAnsi="Century Schoolbook"/>
        </w:rPr>
        <w:t>’</w:t>
      </w:r>
      <w:r w:rsidR="008B7DF3" w:rsidRPr="00B82E46">
        <w:rPr>
          <w:rFonts w:ascii="Century Schoolbook" w:hAnsi="Century Schoolbook"/>
        </w:rPr>
        <w:t>s share of cost.</w:t>
      </w:r>
      <w:r w:rsidR="008B7DF3">
        <w:rPr>
          <w:rFonts w:ascii="Century Schoolbook" w:hAnsi="Century Schoolbook"/>
        </w:rPr>
        <w:t>”</w:t>
      </w:r>
      <w:r w:rsidR="008B7DF3" w:rsidRPr="008B7DF3">
        <w:rPr>
          <w:rFonts w:ascii="Century Schoolbook" w:hAnsi="Century Schoolbook"/>
        </w:rPr>
        <w:t xml:space="preserve"> (Cal. Code Regs., tit.</w:t>
      </w:r>
      <w:r w:rsidR="000B7EE8">
        <w:rPr>
          <w:rFonts w:ascii="Century Schoolbook" w:hAnsi="Century Schoolbook"/>
        </w:rPr>
        <w:t> </w:t>
      </w:r>
      <w:r w:rsidR="008B7DF3" w:rsidRPr="008B7DF3">
        <w:rPr>
          <w:rFonts w:ascii="Century Schoolbook" w:hAnsi="Century Schoolbook"/>
        </w:rPr>
        <w:t>22, § 50513, subd. (a)</w:t>
      </w:r>
      <w:r w:rsidR="008B7DF3">
        <w:rPr>
          <w:rFonts w:ascii="Century Schoolbook" w:hAnsi="Century Schoolbook"/>
        </w:rPr>
        <w:t xml:space="preserve">; </w:t>
      </w:r>
      <w:r w:rsidR="00B271BC" w:rsidRPr="008B7DF3">
        <w:rPr>
          <w:rFonts w:ascii="Century Schoolbook" w:hAnsi="Century Schoolbook"/>
        </w:rPr>
        <w:t>Cal. Code Regs., tit. 22, § 5051</w:t>
      </w:r>
      <w:r w:rsidR="00B271BC">
        <w:rPr>
          <w:rFonts w:ascii="Century Schoolbook" w:hAnsi="Century Schoolbook"/>
        </w:rPr>
        <w:t>5</w:t>
      </w:r>
      <w:r w:rsidR="00B271BC" w:rsidRPr="008B7DF3">
        <w:rPr>
          <w:rFonts w:ascii="Century Schoolbook" w:hAnsi="Century Schoolbook"/>
        </w:rPr>
        <w:t>, subd. (a)</w:t>
      </w:r>
      <w:r w:rsidR="008B7DF3" w:rsidRPr="008B7DF3">
        <w:rPr>
          <w:rFonts w:ascii="Century Schoolbook" w:hAnsi="Century Schoolbook"/>
        </w:rPr>
        <w:t xml:space="preserve">.)  </w:t>
      </w:r>
    </w:p>
    <w:p w14:paraId="766605AE" w14:textId="7E8B8258" w:rsidR="00031B53" w:rsidRPr="00AE39AC" w:rsidRDefault="0029478F" w:rsidP="00892680">
      <w:pPr>
        <w:rPr>
          <w:rFonts w:ascii="Century Schoolbook" w:hAnsi="Century Schoolbook"/>
          <w:b/>
          <w:bCs/>
        </w:rPr>
      </w:pPr>
      <w:r>
        <w:rPr>
          <w:rFonts w:ascii="Century Schoolbook" w:hAnsi="Century Schoolbook"/>
        </w:rPr>
        <w:tab/>
      </w:r>
      <w:r w:rsidR="00DE5EA7">
        <w:rPr>
          <w:rFonts w:ascii="Century Schoolbook" w:hAnsi="Century Schoolbook"/>
          <w:b/>
          <w:bCs/>
        </w:rPr>
        <w:t>Abney’s Medi</w:t>
      </w:r>
      <w:r w:rsidR="00DE5EA7" w:rsidRPr="00DE5EA7">
        <w:rPr>
          <w:rFonts w:ascii="Century Schoolbook" w:hAnsi="Century Schoolbook"/>
          <w:b/>
          <w:bCs/>
        </w:rPr>
        <w:t>–</w:t>
      </w:r>
      <w:r w:rsidR="00DE5EA7">
        <w:rPr>
          <w:rFonts w:ascii="Century Schoolbook" w:hAnsi="Century Schoolbook"/>
          <w:b/>
          <w:bCs/>
        </w:rPr>
        <w:t xml:space="preserve">Cal Benefits </w:t>
      </w:r>
    </w:p>
    <w:p w14:paraId="43C18D04" w14:textId="6B36ACBF" w:rsidR="0029478F" w:rsidRDefault="0029478F" w:rsidP="00892680">
      <w:pPr>
        <w:rPr>
          <w:rFonts w:ascii="Century Schoolbook" w:hAnsi="Century Schoolbook"/>
        </w:rPr>
      </w:pPr>
      <w:r>
        <w:rPr>
          <w:rFonts w:ascii="Century Schoolbook" w:hAnsi="Century Schoolbook"/>
        </w:rPr>
        <w:tab/>
      </w:r>
      <w:r w:rsidR="009A2A59">
        <w:rPr>
          <w:rFonts w:ascii="Century Schoolbook" w:hAnsi="Century Schoolbook"/>
        </w:rPr>
        <w:t>S</w:t>
      </w:r>
      <w:r w:rsidR="009A2A59" w:rsidRPr="0029478F">
        <w:rPr>
          <w:rFonts w:ascii="Century Schoolbook" w:hAnsi="Century Schoolbook"/>
        </w:rPr>
        <w:t xml:space="preserve">ince at least November </w:t>
      </w:r>
      <w:r w:rsidR="009A2A59">
        <w:rPr>
          <w:rFonts w:ascii="Century Schoolbook" w:hAnsi="Century Schoolbook"/>
        </w:rPr>
        <w:t xml:space="preserve">1, </w:t>
      </w:r>
      <w:r w:rsidR="009A2A59" w:rsidRPr="0029478F">
        <w:rPr>
          <w:rFonts w:ascii="Century Schoolbook" w:hAnsi="Century Schoolbook"/>
        </w:rPr>
        <w:t>2011</w:t>
      </w:r>
      <w:r w:rsidR="009A2A59">
        <w:rPr>
          <w:rFonts w:ascii="Century Schoolbook" w:hAnsi="Century Schoolbook"/>
        </w:rPr>
        <w:t xml:space="preserve">, </w:t>
      </w:r>
      <w:r w:rsidR="000B7138">
        <w:rPr>
          <w:rFonts w:ascii="Century Schoolbook" w:hAnsi="Century Schoolbook"/>
        </w:rPr>
        <w:t>Abney</w:t>
      </w:r>
      <w:r w:rsidRPr="0029478F">
        <w:rPr>
          <w:rFonts w:ascii="Century Schoolbook" w:hAnsi="Century Schoolbook"/>
        </w:rPr>
        <w:t xml:space="preserve"> has been receiving Medi</w:t>
      </w:r>
      <w:r w:rsidR="00DE5EA7" w:rsidRPr="000B3D29">
        <w:rPr>
          <w:rFonts w:ascii="Century Schoolbook" w:hAnsi="Century Schoolbook"/>
        </w:rPr>
        <w:t>–</w:t>
      </w:r>
      <w:r w:rsidRPr="0029478F">
        <w:rPr>
          <w:rFonts w:ascii="Century Schoolbook" w:hAnsi="Century Schoolbook"/>
        </w:rPr>
        <w:t>Cal benefits</w:t>
      </w:r>
      <w:r w:rsidR="00002BF6">
        <w:rPr>
          <w:rFonts w:ascii="Century Schoolbook" w:hAnsi="Century Schoolbook"/>
        </w:rPr>
        <w:t>—initially through the ABD FPL program—</w:t>
      </w:r>
      <w:r w:rsidR="000B7138">
        <w:rPr>
          <w:rFonts w:ascii="Century Schoolbook" w:hAnsi="Century Schoolbook"/>
        </w:rPr>
        <w:t>for a household of one</w:t>
      </w:r>
      <w:r w:rsidRPr="0029478F">
        <w:rPr>
          <w:rFonts w:ascii="Century Schoolbook" w:hAnsi="Century Schoolbook"/>
        </w:rPr>
        <w:t xml:space="preserve">. </w:t>
      </w:r>
    </w:p>
    <w:p w14:paraId="7806AC88" w14:textId="2B8E0543" w:rsidR="009026FB" w:rsidRDefault="009026FB" w:rsidP="00892680">
      <w:pPr>
        <w:rPr>
          <w:rFonts w:ascii="Century Schoolbook" w:hAnsi="Century Schoolbook"/>
        </w:rPr>
      </w:pPr>
      <w:r>
        <w:rPr>
          <w:rFonts w:ascii="Century Schoolbook" w:hAnsi="Century Schoolbook"/>
        </w:rPr>
        <w:tab/>
        <w:t xml:space="preserve">On November 2, 2018, the Social Security Administration sent Abney an award letter informing her that </w:t>
      </w:r>
      <w:r w:rsidR="00B22675">
        <w:rPr>
          <w:rFonts w:ascii="Century Schoolbook" w:hAnsi="Century Schoolbook"/>
        </w:rPr>
        <w:t xml:space="preserve">it would begin withholding $598.20 from </w:t>
      </w:r>
      <w:r w:rsidR="00695F3F">
        <w:rPr>
          <w:rFonts w:ascii="Century Schoolbook" w:hAnsi="Century Schoolbook"/>
        </w:rPr>
        <w:t>her</w:t>
      </w:r>
      <w:r w:rsidR="00B22675">
        <w:rPr>
          <w:rFonts w:ascii="Century Schoolbook" w:hAnsi="Century Schoolbook"/>
        </w:rPr>
        <w:t xml:space="preserve"> </w:t>
      </w:r>
      <w:r w:rsidR="005F2881">
        <w:rPr>
          <w:rFonts w:ascii="Century Schoolbook" w:hAnsi="Century Schoolbook"/>
        </w:rPr>
        <w:t>monthly</w:t>
      </w:r>
      <w:r w:rsidR="00B22675">
        <w:rPr>
          <w:rFonts w:ascii="Century Schoolbook" w:hAnsi="Century Schoolbook"/>
        </w:rPr>
        <w:t xml:space="preserve"> </w:t>
      </w:r>
      <w:r w:rsidR="00DE5EA7">
        <w:rPr>
          <w:rFonts w:ascii="Century Schoolbook" w:hAnsi="Century Schoolbook"/>
        </w:rPr>
        <w:t>S</w:t>
      </w:r>
      <w:r w:rsidR="00B22675">
        <w:rPr>
          <w:rFonts w:ascii="Century Schoolbook" w:hAnsi="Century Schoolbook"/>
        </w:rPr>
        <w:t xml:space="preserve">ocial </w:t>
      </w:r>
      <w:r w:rsidR="00DE5EA7">
        <w:rPr>
          <w:rFonts w:ascii="Century Schoolbook" w:hAnsi="Century Schoolbook"/>
        </w:rPr>
        <w:t>S</w:t>
      </w:r>
      <w:r w:rsidR="00B22675">
        <w:rPr>
          <w:rFonts w:ascii="Century Schoolbook" w:hAnsi="Century Schoolbook"/>
        </w:rPr>
        <w:t xml:space="preserve">ecurity payment “to pay your debt to the IRS,” leaving </w:t>
      </w:r>
      <w:r w:rsidR="00695F3F">
        <w:rPr>
          <w:rFonts w:ascii="Century Schoolbook" w:hAnsi="Century Schoolbook"/>
        </w:rPr>
        <w:t>her</w:t>
      </w:r>
      <w:r w:rsidR="00B22675">
        <w:rPr>
          <w:rFonts w:ascii="Century Schoolbook" w:hAnsi="Century Schoolbook"/>
        </w:rPr>
        <w:t xml:space="preserve"> with a monthly </w:t>
      </w:r>
      <w:r w:rsidR="00695F3F">
        <w:rPr>
          <w:rFonts w:ascii="Century Schoolbook" w:hAnsi="Century Schoolbook"/>
        </w:rPr>
        <w:t xml:space="preserve">Social Security </w:t>
      </w:r>
      <w:r w:rsidR="00B22675">
        <w:rPr>
          <w:rFonts w:ascii="Century Schoolbook" w:hAnsi="Century Schoolbook"/>
        </w:rPr>
        <w:t xml:space="preserve">payment of $845.80.  </w:t>
      </w:r>
    </w:p>
    <w:p w14:paraId="34D921B4" w14:textId="1E67CB05" w:rsidR="00B22675" w:rsidRPr="00225C9C" w:rsidRDefault="0029478F" w:rsidP="00B22675">
      <w:pPr>
        <w:rPr>
          <w:rFonts w:ascii="Century Schoolbook" w:hAnsi="Century Schoolbook"/>
        </w:rPr>
      </w:pPr>
      <w:r>
        <w:rPr>
          <w:rFonts w:ascii="Century Schoolbook" w:hAnsi="Century Schoolbook"/>
        </w:rPr>
        <w:tab/>
      </w:r>
      <w:r w:rsidR="000B7138">
        <w:rPr>
          <w:rFonts w:ascii="Century Schoolbook" w:hAnsi="Century Schoolbook"/>
        </w:rPr>
        <w:t>O</w:t>
      </w:r>
      <w:r w:rsidRPr="0029478F">
        <w:rPr>
          <w:rFonts w:ascii="Century Schoolbook" w:hAnsi="Century Schoolbook"/>
        </w:rPr>
        <w:t xml:space="preserve">n March </w:t>
      </w:r>
      <w:r w:rsidR="00B22675">
        <w:rPr>
          <w:rFonts w:ascii="Century Schoolbook" w:hAnsi="Century Schoolbook"/>
        </w:rPr>
        <w:t>19</w:t>
      </w:r>
      <w:r w:rsidRPr="0029478F">
        <w:rPr>
          <w:rFonts w:ascii="Century Schoolbook" w:hAnsi="Century Schoolbook"/>
        </w:rPr>
        <w:t xml:space="preserve">, 2019, </w:t>
      </w:r>
      <w:r w:rsidR="00097CAB">
        <w:rPr>
          <w:rFonts w:ascii="Century Schoolbook" w:hAnsi="Century Schoolbook"/>
        </w:rPr>
        <w:t>the County</w:t>
      </w:r>
      <w:r w:rsidRPr="0029478F">
        <w:rPr>
          <w:rFonts w:ascii="Century Schoolbook" w:hAnsi="Century Schoolbook"/>
        </w:rPr>
        <w:t xml:space="preserve"> </w:t>
      </w:r>
      <w:r w:rsidR="000B7138">
        <w:rPr>
          <w:rFonts w:ascii="Century Schoolbook" w:hAnsi="Century Schoolbook"/>
        </w:rPr>
        <w:t>sent Abney a “Notice of Action,” informing</w:t>
      </w:r>
      <w:r w:rsidRPr="0029478F">
        <w:rPr>
          <w:rFonts w:ascii="Century Schoolbook" w:hAnsi="Century Schoolbook"/>
        </w:rPr>
        <w:t xml:space="preserve"> Abney that </w:t>
      </w:r>
      <w:r w:rsidR="000B7138">
        <w:rPr>
          <w:rFonts w:ascii="Century Schoolbook" w:hAnsi="Century Schoolbook"/>
        </w:rPr>
        <w:t xml:space="preserve">her </w:t>
      </w:r>
      <w:r w:rsidR="00DE5EA7" w:rsidRPr="0029478F">
        <w:rPr>
          <w:rFonts w:ascii="Century Schoolbook" w:hAnsi="Century Schoolbook"/>
        </w:rPr>
        <w:t>Medi</w:t>
      </w:r>
      <w:r w:rsidR="00DE5EA7" w:rsidRPr="000B3D29">
        <w:rPr>
          <w:rFonts w:ascii="Century Schoolbook" w:hAnsi="Century Schoolbook"/>
        </w:rPr>
        <w:t>–</w:t>
      </w:r>
      <w:r w:rsidR="00DE5EA7" w:rsidRPr="0029478F">
        <w:rPr>
          <w:rFonts w:ascii="Century Schoolbook" w:hAnsi="Century Schoolbook"/>
        </w:rPr>
        <w:t xml:space="preserve">Cal </w:t>
      </w:r>
      <w:r w:rsidR="000B7138">
        <w:rPr>
          <w:rFonts w:ascii="Century Schoolbook" w:hAnsi="Century Schoolbook"/>
        </w:rPr>
        <w:t>share of cost had changed to $729 per month beginning April 1, 2019</w:t>
      </w:r>
      <w:r w:rsidR="00695F3F">
        <w:rPr>
          <w:rFonts w:ascii="Century Schoolbook" w:hAnsi="Century Schoolbook"/>
        </w:rPr>
        <w:t xml:space="preserve">.  </w:t>
      </w:r>
      <w:r w:rsidR="00097CAB">
        <w:rPr>
          <w:rFonts w:ascii="Century Schoolbook" w:hAnsi="Century Schoolbook"/>
        </w:rPr>
        <w:t>The County</w:t>
      </w:r>
      <w:r w:rsidR="00E25184">
        <w:rPr>
          <w:rFonts w:ascii="Century Schoolbook" w:hAnsi="Century Schoolbook"/>
        </w:rPr>
        <w:t xml:space="preserve"> determined that </w:t>
      </w:r>
      <w:r w:rsidR="008604B3">
        <w:rPr>
          <w:rFonts w:ascii="Century Schoolbook" w:hAnsi="Century Schoolbook"/>
        </w:rPr>
        <w:t xml:space="preserve">Abney had gross unearned income of $1,484.50, and </w:t>
      </w:r>
      <w:r w:rsidR="00E25184">
        <w:rPr>
          <w:rFonts w:ascii="Century Schoolbook" w:hAnsi="Century Schoolbook"/>
        </w:rPr>
        <w:t xml:space="preserve">after </w:t>
      </w:r>
      <w:r w:rsidR="008604B3">
        <w:rPr>
          <w:rFonts w:ascii="Century Schoolbook" w:hAnsi="Century Schoolbook"/>
        </w:rPr>
        <w:t xml:space="preserve">an </w:t>
      </w:r>
      <w:r w:rsidR="00E25184">
        <w:rPr>
          <w:rFonts w:ascii="Century Schoolbook" w:hAnsi="Century Schoolbook"/>
        </w:rPr>
        <w:t xml:space="preserve">income deduction of $155 and </w:t>
      </w:r>
      <w:r w:rsidR="00DE5EA7">
        <w:rPr>
          <w:rFonts w:ascii="Century Schoolbook" w:hAnsi="Century Schoolbook"/>
        </w:rPr>
        <w:t>a</w:t>
      </w:r>
      <w:r w:rsidR="00E25184">
        <w:rPr>
          <w:rFonts w:ascii="Century Schoolbook" w:hAnsi="Century Schoolbook"/>
        </w:rPr>
        <w:t xml:space="preserve"> $230 disregard, a net non</w:t>
      </w:r>
      <w:r w:rsidR="00DE5EA7">
        <w:rPr>
          <w:rFonts w:ascii="Century Schoolbook" w:hAnsi="Century Schoolbook"/>
        </w:rPr>
        <w:t>-</w:t>
      </w:r>
      <w:r w:rsidR="00E25184">
        <w:rPr>
          <w:rFonts w:ascii="Century Schoolbook" w:hAnsi="Century Schoolbook"/>
        </w:rPr>
        <w:t>exempt income of $1,099, exceeding the A</w:t>
      </w:r>
      <w:r w:rsidR="00E4297E">
        <w:rPr>
          <w:rFonts w:ascii="Century Schoolbook" w:hAnsi="Century Schoolbook"/>
        </w:rPr>
        <w:t>B</w:t>
      </w:r>
      <w:r w:rsidR="00E25184">
        <w:rPr>
          <w:rFonts w:ascii="Century Schoolbook" w:hAnsi="Century Schoolbook"/>
        </w:rPr>
        <w:t xml:space="preserve">D FPL income limit of $1,041, and making her </w:t>
      </w:r>
      <w:r w:rsidR="005F2881">
        <w:rPr>
          <w:rFonts w:ascii="Century Schoolbook" w:hAnsi="Century Schoolbook"/>
        </w:rPr>
        <w:t>ineligible</w:t>
      </w:r>
      <w:r w:rsidR="00E25184">
        <w:rPr>
          <w:rFonts w:ascii="Century Schoolbook" w:hAnsi="Century Schoolbook"/>
        </w:rPr>
        <w:t xml:space="preserve"> for </w:t>
      </w:r>
      <w:r w:rsidR="008604B3">
        <w:rPr>
          <w:rFonts w:ascii="Century Schoolbook" w:hAnsi="Century Schoolbook"/>
        </w:rPr>
        <w:t>that program</w:t>
      </w:r>
      <w:r w:rsidR="00E25184">
        <w:rPr>
          <w:rFonts w:ascii="Century Schoolbook" w:hAnsi="Century Schoolbook"/>
        </w:rPr>
        <w:t xml:space="preserve">.  However, </w:t>
      </w:r>
      <w:r w:rsidR="00097CAB">
        <w:rPr>
          <w:rFonts w:ascii="Century Schoolbook" w:hAnsi="Century Schoolbook"/>
        </w:rPr>
        <w:t>the County</w:t>
      </w:r>
      <w:r w:rsidR="00E25184">
        <w:rPr>
          <w:rFonts w:ascii="Century Schoolbook" w:hAnsi="Century Schoolbook"/>
        </w:rPr>
        <w:t xml:space="preserve"> calculated that Abney was eligible for </w:t>
      </w:r>
      <w:r w:rsidR="00E4297E">
        <w:rPr>
          <w:rFonts w:ascii="Century Schoolbook" w:hAnsi="Century Schoolbook"/>
        </w:rPr>
        <w:t>“</w:t>
      </w:r>
      <w:r w:rsidR="00E25184">
        <w:rPr>
          <w:rFonts w:ascii="Century Schoolbook" w:hAnsi="Century Schoolbook"/>
        </w:rPr>
        <w:t>Regular Medi</w:t>
      </w:r>
      <w:r w:rsidR="00E4297E" w:rsidRPr="000B3D29">
        <w:rPr>
          <w:rFonts w:ascii="Century Schoolbook" w:hAnsi="Century Schoolbook"/>
        </w:rPr>
        <w:t>–</w:t>
      </w:r>
      <w:r w:rsidR="00E25184">
        <w:rPr>
          <w:rFonts w:ascii="Century Schoolbook" w:hAnsi="Century Schoolbook"/>
        </w:rPr>
        <w:t>Cal</w:t>
      </w:r>
      <w:r w:rsidR="00E4297E">
        <w:rPr>
          <w:rFonts w:ascii="Century Schoolbook" w:hAnsi="Century Schoolbook"/>
        </w:rPr>
        <w:t>”</w:t>
      </w:r>
      <w:r w:rsidR="00E25184">
        <w:rPr>
          <w:rFonts w:ascii="Century Schoolbook" w:hAnsi="Century Schoolbook"/>
        </w:rPr>
        <w:t xml:space="preserve"> with a $729 monthly share of cost, based on an income deduction of $155.50 and a </w:t>
      </w:r>
      <w:r w:rsidR="008604B3">
        <w:rPr>
          <w:rFonts w:ascii="Century Schoolbook" w:hAnsi="Century Schoolbook"/>
        </w:rPr>
        <w:t>“</w:t>
      </w:r>
      <w:r w:rsidR="00E25184">
        <w:rPr>
          <w:rFonts w:ascii="Century Schoolbook" w:hAnsi="Century Schoolbook"/>
        </w:rPr>
        <w:t>maintenance need</w:t>
      </w:r>
      <w:r w:rsidR="008604B3">
        <w:rPr>
          <w:rFonts w:ascii="Century Schoolbook" w:hAnsi="Century Schoolbook"/>
        </w:rPr>
        <w:t>”</w:t>
      </w:r>
      <w:r w:rsidR="00E25184">
        <w:rPr>
          <w:rFonts w:ascii="Century Schoolbook" w:hAnsi="Century Schoolbook"/>
        </w:rPr>
        <w:t xml:space="preserve"> of $600.  </w:t>
      </w:r>
    </w:p>
    <w:p w14:paraId="29E8A2DD" w14:textId="50F5AD1C" w:rsidR="00225C9C" w:rsidRDefault="00B22675" w:rsidP="00225C9C">
      <w:pPr>
        <w:rPr>
          <w:rFonts w:ascii="Century Schoolbook" w:hAnsi="Century Schoolbook"/>
        </w:rPr>
      </w:pPr>
      <w:r>
        <w:rPr>
          <w:rFonts w:ascii="Century Schoolbook" w:hAnsi="Century Schoolbook"/>
        </w:rPr>
        <w:tab/>
      </w:r>
      <w:r w:rsidR="00225C9C" w:rsidRPr="00225C9C">
        <w:rPr>
          <w:rFonts w:ascii="Century Schoolbook" w:hAnsi="Century Schoolbook"/>
        </w:rPr>
        <w:t xml:space="preserve">On June 10, Abney </w:t>
      </w:r>
      <w:r w:rsidR="003C52FC">
        <w:rPr>
          <w:rFonts w:ascii="Century Schoolbook" w:hAnsi="Century Schoolbook"/>
        </w:rPr>
        <w:t xml:space="preserve">requested </w:t>
      </w:r>
      <w:r w:rsidR="00002BF6">
        <w:rPr>
          <w:rFonts w:ascii="Century Schoolbook" w:hAnsi="Century Schoolbook"/>
        </w:rPr>
        <w:t xml:space="preserve">an </w:t>
      </w:r>
      <w:r w:rsidR="00314F3E">
        <w:rPr>
          <w:rFonts w:ascii="Century Schoolbook" w:hAnsi="Century Schoolbook"/>
        </w:rPr>
        <w:t>administrative</w:t>
      </w:r>
      <w:r w:rsidR="003C52FC">
        <w:rPr>
          <w:rFonts w:ascii="Century Schoolbook" w:hAnsi="Century Schoolbook"/>
        </w:rPr>
        <w:t xml:space="preserve"> hearing on the Notice of Action</w:t>
      </w:r>
      <w:r w:rsidR="00225C9C" w:rsidRPr="00225C9C">
        <w:rPr>
          <w:rFonts w:ascii="Century Schoolbook" w:hAnsi="Century Schoolbook"/>
        </w:rPr>
        <w:t xml:space="preserve">. </w:t>
      </w:r>
      <w:r w:rsidR="00225C9C">
        <w:rPr>
          <w:rFonts w:ascii="Century Schoolbook" w:hAnsi="Century Schoolbook"/>
        </w:rPr>
        <w:t xml:space="preserve"> </w:t>
      </w:r>
      <w:r w:rsidR="00A63EB4">
        <w:rPr>
          <w:rFonts w:ascii="Century Schoolbook" w:hAnsi="Century Schoolbook"/>
        </w:rPr>
        <w:t xml:space="preserve">Abney submitted a statement of position, arguing that the $598.20 withheld from her Social Security payment was not “income which is actually available to meet </w:t>
      </w:r>
      <w:r w:rsidR="008604B3">
        <w:rPr>
          <w:rFonts w:ascii="Century Schoolbook" w:hAnsi="Century Schoolbook"/>
        </w:rPr>
        <w:t>[her]</w:t>
      </w:r>
      <w:r w:rsidR="00A63EB4">
        <w:rPr>
          <w:rFonts w:ascii="Century Schoolbook" w:hAnsi="Century Schoolbook"/>
        </w:rPr>
        <w:t xml:space="preserve"> needs” </w:t>
      </w:r>
      <w:r w:rsidR="008604B3">
        <w:rPr>
          <w:rFonts w:ascii="Century Schoolbook" w:hAnsi="Century Schoolbook"/>
        </w:rPr>
        <w:t xml:space="preserve">within the meaning of </w:t>
      </w:r>
      <w:r w:rsidR="00A63EB4">
        <w:rPr>
          <w:rFonts w:ascii="Century Schoolbook" w:hAnsi="Century Schoolbook"/>
        </w:rPr>
        <w:t>s</w:t>
      </w:r>
      <w:r w:rsidR="00C61128">
        <w:rPr>
          <w:rFonts w:ascii="Century Schoolbook" w:hAnsi="Century Schoolbook"/>
        </w:rPr>
        <w:t>ection</w:t>
      </w:r>
      <w:r w:rsidR="00A63EB4">
        <w:rPr>
          <w:rFonts w:ascii="Century Schoolbook" w:hAnsi="Century Schoolbook"/>
        </w:rPr>
        <w:t xml:space="preserve"> 50513, subd</w:t>
      </w:r>
      <w:r w:rsidR="00C61128">
        <w:rPr>
          <w:rFonts w:ascii="Century Schoolbook" w:hAnsi="Century Schoolbook"/>
        </w:rPr>
        <w:t>ivision</w:t>
      </w:r>
      <w:r w:rsidR="00A63EB4">
        <w:rPr>
          <w:rFonts w:ascii="Century Schoolbook" w:hAnsi="Century Schoolbook"/>
        </w:rPr>
        <w:t xml:space="preserve"> (a)</w:t>
      </w:r>
      <w:r w:rsidR="00E4297E">
        <w:rPr>
          <w:rFonts w:ascii="Century Schoolbook" w:hAnsi="Century Schoolbook"/>
        </w:rPr>
        <w:t>, and should not have been included in determining her Medi</w:t>
      </w:r>
      <w:r w:rsidR="00E4297E" w:rsidRPr="000B3D29">
        <w:rPr>
          <w:rFonts w:ascii="Century Schoolbook" w:hAnsi="Century Schoolbook"/>
        </w:rPr>
        <w:t>–</w:t>
      </w:r>
      <w:r w:rsidR="00E4297E">
        <w:rPr>
          <w:rFonts w:ascii="Century Schoolbook" w:hAnsi="Century Schoolbook"/>
        </w:rPr>
        <w:t>Cal eligibility</w:t>
      </w:r>
      <w:r w:rsidR="00A63EB4">
        <w:rPr>
          <w:rFonts w:ascii="Century Schoolbook" w:hAnsi="Century Schoolbook"/>
        </w:rPr>
        <w:t xml:space="preserve">.  </w:t>
      </w:r>
      <w:r w:rsidR="00D81F9E">
        <w:rPr>
          <w:rFonts w:ascii="Century Schoolbook" w:hAnsi="Century Schoolbook"/>
        </w:rPr>
        <w:t xml:space="preserve">A </w:t>
      </w:r>
      <w:r w:rsidR="00D43DD5">
        <w:rPr>
          <w:rFonts w:ascii="Century Schoolbook" w:hAnsi="Century Schoolbook"/>
        </w:rPr>
        <w:t>hearing was held on September 26</w:t>
      </w:r>
      <w:r w:rsidR="00D81F9E">
        <w:rPr>
          <w:rFonts w:ascii="Century Schoolbook" w:hAnsi="Century Schoolbook"/>
        </w:rPr>
        <w:t>,</w:t>
      </w:r>
      <w:r w:rsidR="00D43DD5">
        <w:rPr>
          <w:rFonts w:ascii="Century Schoolbook" w:hAnsi="Century Schoolbook"/>
        </w:rPr>
        <w:t xml:space="preserve"> </w:t>
      </w:r>
      <w:r w:rsidR="00D81F9E">
        <w:rPr>
          <w:rFonts w:ascii="Century Schoolbook" w:hAnsi="Century Schoolbook"/>
        </w:rPr>
        <w:t>and o</w:t>
      </w:r>
      <w:r w:rsidR="00225C9C" w:rsidRPr="00225C9C">
        <w:rPr>
          <w:rFonts w:ascii="Century Schoolbook" w:hAnsi="Century Schoolbook"/>
        </w:rPr>
        <w:t xml:space="preserve">n December 3, </w:t>
      </w:r>
      <w:r w:rsidR="00472DF0">
        <w:rPr>
          <w:rFonts w:ascii="Century Schoolbook" w:hAnsi="Century Schoolbook"/>
        </w:rPr>
        <w:t>the</w:t>
      </w:r>
      <w:r w:rsidR="00225C9C" w:rsidRPr="00225C9C">
        <w:rPr>
          <w:rFonts w:ascii="Century Schoolbook" w:hAnsi="Century Schoolbook"/>
        </w:rPr>
        <w:t xml:space="preserve"> administrative law judge denied Abney’s </w:t>
      </w:r>
      <w:r w:rsidR="00D43DD5">
        <w:rPr>
          <w:rFonts w:ascii="Century Schoolbook" w:hAnsi="Century Schoolbook"/>
        </w:rPr>
        <w:t>claim</w:t>
      </w:r>
      <w:r w:rsidR="00E4297E">
        <w:rPr>
          <w:rFonts w:ascii="Century Schoolbook" w:hAnsi="Century Schoolbook"/>
        </w:rPr>
        <w:t xml:space="preserve">, relying on </w:t>
      </w:r>
      <w:r w:rsidR="009E63D0">
        <w:rPr>
          <w:rFonts w:ascii="Century Schoolbook" w:hAnsi="Century Schoolbook"/>
        </w:rPr>
        <w:t>T</w:t>
      </w:r>
      <w:r w:rsidR="00D43DD5" w:rsidRPr="00225C9C">
        <w:rPr>
          <w:rFonts w:ascii="Century Schoolbook" w:hAnsi="Century Schoolbook"/>
        </w:rPr>
        <w:t>itle 20, section 416.1123</w:t>
      </w:r>
      <w:r w:rsidR="009E63D0">
        <w:rPr>
          <w:rFonts w:ascii="Century Schoolbook" w:hAnsi="Century Schoolbook"/>
        </w:rPr>
        <w:t>, subdivision (a)(2)</w:t>
      </w:r>
      <w:r w:rsidR="00D43DD5" w:rsidRPr="00225C9C">
        <w:rPr>
          <w:rFonts w:ascii="Century Schoolbook" w:hAnsi="Century Schoolbook"/>
        </w:rPr>
        <w:t xml:space="preserve"> of the Code of Federal Regulations, </w:t>
      </w:r>
      <w:r w:rsidR="009E63D0">
        <w:rPr>
          <w:rFonts w:ascii="Century Schoolbook" w:hAnsi="Century Schoolbook"/>
        </w:rPr>
        <w:t>which provides:  “</w:t>
      </w:r>
      <w:r w:rsidR="009E63D0" w:rsidRPr="009E63D0">
        <w:rPr>
          <w:rFonts w:ascii="Century Schoolbook" w:hAnsi="Century Schoolbook"/>
        </w:rPr>
        <w:t xml:space="preserve">We also include more </w:t>
      </w:r>
      <w:r w:rsidR="009E63D0">
        <w:rPr>
          <w:rFonts w:ascii="Century Schoolbook" w:hAnsi="Century Schoolbook"/>
        </w:rPr>
        <w:t xml:space="preserve">[of your unearned income] </w:t>
      </w:r>
      <w:r w:rsidR="009E63D0" w:rsidRPr="009E63D0">
        <w:rPr>
          <w:rFonts w:ascii="Century Schoolbook" w:hAnsi="Century Schoolbook"/>
        </w:rPr>
        <w:t xml:space="preserve">than you actually </w:t>
      </w:r>
      <w:r w:rsidR="009E63D0" w:rsidRPr="009E63D0">
        <w:rPr>
          <w:rFonts w:ascii="Century Schoolbook" w:hAnsi="Century Schoolbook"/>
        </w:rPr>
        <w:lastRenderedPageBreak/>
        <w:t>receive if amounts are withheld from unearned income because of a garnishment, or to pay a debt or other legal obligation, or to make any other payment such as payment of your Medicare premiums.</w:t>
      </w:r>
      <w:r w:rsidR="009E63D0">
        <w:rPr>
          <w:rFonts w:ascii="Century Schoolbook" w:hAnsi="Century Schoolbook"/>
        </w:rPr>
        <w:t>”</w:t>
      </w:r>
      <w:r w:rsidR="00D43DD5">
        <w:rPr>
          <w:rFonts w:ascii="Century Schoolbook" w:hAnsi="Century Schoolbook"/>
        </w:rPr>
        <w:t xml:space="preserve"> </w:t>
      </w:r>
      <w:r w:rsidR="00225C9C" w:rsidRPr="00225C9C">
        <w:rPr>
          <w:rFonts w:ascii="Century Schoolbook" w:hAnsi="Century Schoolbook"/>
        </w:rPr>
        <w:t xml:space="preserve"> </w:t>
      </w:r>
    </w:p>
    <w:p w14:paraId="1F94F267" w14:textId="40DC3777" w:rsidR="00097CAB" w:rsidRPr="00097CAB" w:rsidRDefault="00097CAB" w:rsidP="00225C9C">
      <w:pPr>
        <w:rPr>
          <w:rFonts w:ascii="Century Schoolbook" w:hAnsi="Century Schoolbook"/>
          <w:b/>
          <w:bCs/>
        </w:rPr>
      </w:pPr>
      <w:r>
        <w:rPr>
          <w:rFonts w:ascii="Century Schoolbook" w:hAnsi="Century Schoolbook"/>
        </w:rPr>
        <w:tab/>
      </w:r>
      <w:r w:rsidRPr="00097CAB">
        <w:rPr>
          <w:rFonts w:ascii="Century Schoolbook" w:hAnsi="Century Schoolbook"/>
          <w:b/>
          <w:bCs/>
        </w:rPr>
        <w:t>The Proceedings Below</w:t>
      </w:r>
    </w:p>
    <w:p w14:paraId="3F42A4BB" w14:textId="7FC391CE" w:rsidR="00225C9C" w:rsidRDefault="00225C9C" w:rsidP="00225C9C">
      <w:pPr>
        <w:rPr>
          <w:rFonts w:ascii="Century Schoolbook" w:hAnsi="Century Schoolbook"/>
        </w:rPr>
      </w:pPr>
      <w:r>
        <w:rPr>
          <w:rFonts w:ascii="Century Schoolbook" w:hAnsi="Century Schoolbook"/>
        </w:rPr>
        <w:tab/>
      </w:r>
      <w:r w:rsidR="00652A5A">
        <w:rPr>
          <w:rFonts w:ascii="Century Schoolbook" w:hAnsi="Century Schoolbook"/>
        </w:rPr>
        <w:t>On</w:t>
      </w:r>
      <w:r w:rsidRPr="00225C9C">
        <w:rPr>
          <w:rFonts w:ascii="Century Schoolbook" w:hAnsi="Century Schoolbook"/>
        </w:rPr>
        <w:t xml:space="preserve"> February </w:t>
      </w:r>
      <w:r w:rsidR="00652A5A">
        <w:rPr>
          <w:rFonts w:ascii="Century Schoolbook" w:hAnsi="Century Schoolbook"/>
        </w:rPr>
        <w:t xml:space="preserve">13, </w:t>
      </w:r>
      <w:r w:rsidRPr="00225C9C">
        <w:rPr>
          <w:rFonts w:ascii="Century Schoolbook" w:hAnsi="Century Schoolbook"/>
        </w:rPr>
        <w:t xml:space="preserve">2020, Abney filed </w:t>
      </w:r>
      <w:r w:rsidR="000E4449" w:rsidRPr="00225C9C">
        <w:rPr>
          <w:rFonts w:ascii="Century Schoolbook" w:hAnsi="Century Schoolbook"/>
        </w:rPr>
        <w:t xml:space="preserve">in San Francisco County Superior Court </w:t>
      </w:r>
      <w:r w:rsidRPr="00225C9C">
        <w:rPr>
          <w:rFonts w:ascii="Century Schoolbook" w:hAnsi="Century Schoolbook"/>
        </w:rPr>
        <w:t xml:space="preserve">a combined petition for writ of </w:t>
      </w:r>
      <w:r w:rsidR="00652A5A">
        <w:rPr>
          <w:rFonts w:ascii="Century Schoolbook" w:hAnsi="Century Schoolbook"/>
        </w:rPr>
        <w:t xml:space="preserve">administrative </w:t>
      </w:r>
      <w:r w:rsidRPr="00225C9C">
        <w:rPr>
          <w:rFonts w:ascii="Century Schoolbook" w:hAnsi="Century Schoolbook"/>
        </w:rPr>
        <w:t xml:space="preserve">mandate </w:t>
      </w:r>
      <w:r w:rsidR="00652A5A">
        <w:rPr>
          <w:rFonts w:ascii="Century Schoolbook" w:hAnsi="Century Schoolbook"/>
        </w:rPr>
        <w:t xml:space="preserve">under </w:t>
      </w:r>
      <w:r w:rsidRPr="00225C9C">
        <w:rPr>
          <w:rFonts w:ascii="Century Schoolbook" w:hAnsi="Century Schoolbook"/>
        </w:rPr>
        <w:t xml:space="preserve">Code of Civil Procedure sections 1094.5 and </w:t>
      </w:r>
      <w:r w:rsidR="00652A5A">
        <w:rPr>
          <w:rFonts w:ascii="Century Schoolbook" w:hAnsi="Century Schoolbook"/>
        </w:rPr>
        <w:t xml:space="preserve">ordinary mandamus under Code of Civil Procedure section </w:t>
      </w:r>
      <w:r w:rsidRPr="00225C9C">
        <w:rPr>
          <w:rFonts w:ascii="Century Schoolbook" w:hAnsi="Century Schoolbook"/>
        </w:rPr>
        <w:t xml:space="preserve">1085.  Abney alleged that </w:t>
      </w:r>
      <w:r w:rsidR="00097CAB">
        <w:rPr>
          <w:rFonts w:ascii="Century Schoolbook" w:hAnsi="Century Schoolbook"/>
        </w:rPr>
        <w:t>the County</w:t>
      </w:r>
      <w:r w:rsidR="00652A5A">
        <w:rPr>
          <w:rFonts w:ascii="Century Schoolbook" w:hAnsi="Century Schoolbook"/>
        </w:rPr>
        <w:t xml:space="preserve"> </w:t>
      </w:r>
      <w:r w:rsidRPr="00225C9C">
        <w:rPr>
          <w:rFonts w:ascii="Century Schoolbook" w:hAnsi="Century Schoolbook"/>
        </w:rPr>
        <w:t xml:space="preserve">violated </w:t>
      </w:r>
      <w:r w:rsidR="00BE756F">
        <w:rPr>
          <w:rFonts w:ascii="Century Schoolbook" w:hAnsi="Century Schoolbook"/>
        </w:rPr>
        <w:t>its</w:t>
      </w:r>
      <w:r w:rsidR="00652A5A">
        <w:rPr>
          <w:rFonts w:ascii="Century Schoolbook" w:hAnsi="Century Schoolbook"/>
        </w:rPr>
        <w:t xml:space="preserve"> legal duty to determine</w:t>
      </w:r>
      <w:r w:rsidR="00BE756F">
        <w:rPr>
          <w:rFonts w:ascii="Century Schoolbook" w:hAnsi="Century Schoolbook"/>
        </w:rPr>
        <w:t xml:space="preserve"> her Medi</w:t>
      </w:r>
      <w:r w:rsidR="00E4297E" w:rsidRPr="000B3D29">
        <w:rPr>
          <w:rFonts w:ascii="Century Schoolbook" w:hAnsi="Century Schoolbook"/>
        </w:rPr>
        <w:t>–</w:t>
      </w:r>
      <w:r w:rsidR="00BE756F">
        <w:rPr>
          <w:rFonts w:ascii="Century Schoolbook" w:hAnsi="Century Schoolbook"/>
        </w:rPr>
        <w:t>Cal</w:t>
      </w:r>
      <w:r w:rsidR="00652A5A">
        <w:rPr>
          <w:rFonts w:ascii="Century Schoolbook" w:hAnsi="Century Schoolbook"/>
        </w:rPr>
        <w:t xml:space="preserve"> eligibility by failing to comply with the </w:t>
      </w:r>
      <w:r w:rsidR="00BE756F">
        <w:rPr>
          <w:rFonts w:ascii="Century Schoolbook" w:hAnsi="Century Schoolbook"/>
        </w:rPr>
        <w:t xml:space="preserve">California </w:t>
      </w:r>
      <w:r w:rsidR="00652A5A">
        <w:rPr>
          <w:rFonts w:ascii="Century Schoolbook" w:hAnsi="Century Schoolbook"/>
        </w:rPr>
        <w:t xml:space="preserve">regulations </w:t>
      </w:r>
      <w:r w:rsidR="00BE756F">
        <w:rPr>
          <w:rFonts w:ascii="Century Schoolbook" w:hAnsi="Century Schoolbook"/>
        </w:rPr>
        <w:t>defining available income</w:t>
      </w:r>
      <w:r w:rsidR="00652A5A">
        <w:rPr>
          <w:rFonts w:ascii="Century Schoolbook" w:hAnsi="Century Schoolbook"/>
        </w:rPr>
        <w:t xml:space="preserve">.  </w:t>
      </w:r>
      <w:r w:rsidRPr="00225C9C">
        <w:rPr>
          <w:rFonts w:ascii="Century Schoolbook" w:hAnsi="Century Schoolbook"/>
        </w:rPr>
        <w:t xml:space="preserve"> </w:t>
      </w:r>
    </w:p>
    <w:p w14:paraId="78671B1D" w14:textId="5F6A251A" w:rsidR="00225C9C" w:rsidRDefault="00225C9C" w:rsidP="00225C9C">
      <w:pPr>
        <w:rPr>
          <w:rFonts w:ascii="Century Schoolbook" w:hAnsi="Century Schoolbook"/>
        </w:rPr>
      </w:pPr>
      <w:r>
        <w:rPr>
          <w:rFonts w:ascii="Century Schoolbook" w:hAnsi="Century Schoolbook"/>
        </w:rPr>
        <w:tab/>
      </w:r>
      <w:r w:rsidRPr="00225C9C">
        <w:rPr>
          <w:rFonts w:ascii="Century Schoolbook" w:hAnsi="Century Schoolbook"/>
        </w:rPr>
        <w:t xml:space="preserve">On </w:t>
      </w:r>
      <w:r w:rsidR="00BE756F">
        <w:rPr>
          <w:rFonts w:ascii="Century Schoolbook" w:hAnsi="Century Schoolbook"/>
        </w:rPr>
        <w:t>December 1</w:t>
      </w:r>
      <w:r w:rsidRPr="00225C9C">
        <w:rPr>
          <w:rFonts w:ascii="Century Schoolbook" w:hAnsi="Century Schoolbook"/>
        </w:rPr>
        <w:t xml:space="preserve">, </w:t>
      </w:r>
      <w:r w:rsidR="00097CAB">
        <w:rPr>
          <w:rFonts w:ascii="Century Schoolbook" w:hAnsi="Century Schoolbook"/>
        </w:rPr>
        <w:t xml:space="preserve">2020, </w:t>
      </w:r>
      <w:r w:rsidRPr="00225C9C">
        <w:rPr>
          <w:rFonts w:ascii="Century Schoolbook" w:hAnsi="Century Schoolbook"/>
        </w:rPr>
        <w:t xml:space="preserve">while her case was pending in </w:t>
      </w:r>
      <w:r w:rsidR="00BE756F">
        <w:rPr>
          <w:rFonts w:ascii="Century Schoolbook" w:hAnsi="Century Schoolbook"/>
        </w:rPr>
        <w:t>the trial court</w:t>
      </w:r>
      <w:r w:rsidRPr="00225C9C">
        <w:rPr>
          <w:rFonts w:ascii="Century Schoolbook" w:hAnsi="Century Schoolbook"/>
        </w:rPr>
        <w:t xml:space="preserve">, </w:t>
      </w:r>
      <w:r w:rsidR="00F81EFF" w:rsidRPr="00225C9C">
        <w:rPr>
          <w:rFonts w:ascii="Century Schoolbook" w:hAnsi="Century Schoolbook"/>
        </w:rPr>
        <w:t xml:space="preserve">Abney again became eligible to receive Medi-Cal </w:t>
      </w:r>
      <w:r w:rsidR="00F81EFF">
        <w:rPr>
          <w:rFonts w:ascii="Century Schoolbook" w:hAnsi="Century Schoolbook"/>
        </w:rPr>
        <w:t xml:space="preserve">under the ABD FPL program after the Legislature raised the income limits for that program.  </w:t>
      </w:r>
      <w:r w:rsidR="005A4875">
        <w:rPr>
          <w:rFonts w:ascii="Century Schoolbook" w:hAnsi="Century Schoolbook"/>
        </w:rPr>
        <w:t>Abney maintains</w:t>
      </w:r>
      <w:r w:rsidR="00E07EC7">
        <w:rPr>
          <w:rFonts w:ascii="Century Schoolbook" w:hAnsi="Century Schoolbook"/>
        </w:rPr>
        <w:t xml:space="preserve">, however, that because of </w:t>
      </w:r>
      <w:r w:rsidR="00097CAB">
        <w:rPr>
          <w:rFonts w:ascii="Century Schoolbook" w:hAnsi="Century Schoolbook"/>
        </w:rPr>
        <w:t>the County</w:t>
      </w:r>
      <w:r w:rsidR="00E07EC7">
        <w:rPr>
          <w:rFonts w:ascii="Century Schoolbook" w:hAnsi="Century Schoolbook"/>
        </w:rPr>
        <w:t>’s erroneous eligibility calculation, she was required to pay $135 per month in Medicare premiums from April 2019 through November of 2020.</w:t>
      </w:r>
      <w:r w:rsidR="005A4875">
        <w:rPr>
          <w:rFonts w:ascii="Century Schoolbook" w:hAnsi="Century Schoolbook"/>
        </w:rPr>
        <w:t xml:space="preserve">   </w:t>
      </w:r>
    </w:p>
    <w:p w14:paraId="292A76C2" w14:textId="3312581B" w:rsidR="00225C9C" w:rsidRDefault="00225C9C" w:rsidP="00225C9C">
      <w:pPr>
        <w:rPr>
          <w:rFonts w:ascii="Century Schoolbook" w:hAnsi="Century Schoolbook"/>
        </w:rPr>
      </w:pPr>
      <w:r>
        <w:rPr>
          <w:rFonts w:ascii="Century Schoolbook" w:hAnsi="Century Schoolbook"/>
        </w:rPr>
        <w:tab/>
      </w:r>
      <w:r w:rsidRPr="00225C9C">
        <w:rPr>
          <w:rFonts w:ascii="Century Schoolbook" w:hAnsi="Century Schoolbook"/>
        </w:rPr>
        <w:t xml:space="preserve">On February 10, 2022, the </w:t>
      </w:r>
      <w:r w:rsidR="005A4875">
        <w:rPr>
          <w:rFonts w:ascii="Century Schoolbook" w:hAnsi="Century Schoolbook"/>
        </w:rPr>
        <w:t>trial</w:t>
      </w:r>
      <w:r w:rsidRPr="00225C9C">
        <w:rPr>
          <w:rFonts w:ascii="Century Schoolbook" w:hAnsi="Century Schoolbook"/>
        </w:rPr>
        <w:t xml:space="preserve"> court denied the petition for writ of mandate</w:t>
      </w:r>
      <w:r w:rsidR="009A2A59">
        <w:rPr>
          <w:rFonts w:ascii="Century Schoolbook" w:hAnsi="Century Schoolbook"/>
        </w:rPr>
        <w:t xml:space="preserve">, </w:t>
      </w:r>
      <w:r w:rsidR="00BC5528">
        <w:rPr>
          <w:rFonts w:ascii="Century Schoolbook" w:hAnsi="Century Schoolbook"/>
        </w:rPr>
        <w:t>concluding as</w:t>
      </w:r>
      <w:r w:rsidRPr="00225C9C">
        <w:rPr>
          <w:rFonts w:ascii="Century Schoolbook" w:hAnsi="Century Schoolbook"/>
        </w:rPr>
        <w:t xml:space="preserve"> </w:t>
      </w:r>
      <w:r w:rsidR="00BC5528">
        <w:rPr>
          <w:rFonts w:ascii="Century Schoolbook" w:hAnsi="Century Schoolbook"/>
        </w:rPr>
        <w:t>follows:</w:t>
      </w:r>
    </w:p>
    <w:p w14:paraId="6CB9BD11" w14:textId="1E7BCC3B" w:rsidR="000D7F16" w:rsidRPr="000D7F16" w:rsidRDefault="000D7F16" w:rsidP="000D7F16">
      <w:pPr>
        <w:rPr>
          <w:rFonts w:ascii="Century Schoolbook" w:hAnsi="Century Schoolbook"/>
        </w:rPr>
      </w:pPr>
      <w:r>
        <w:rPr>
          <w:rFonts w:ascii="Century Schoolbook" w:hAnsi="Century Schoolbook"/>
        </w:rPr>
        <w:tab/>
      </w:r>
      <w:r w:rsidRPr="00C3289C">
        <w:rPr>
          <w:rFonts w:ascii="Century Schoolbook" w:hAnsi="Century Schoolbook"/>
        </w:rPr>
        <w:t>“</w:t>
      </w:r>
      <w:r w:rsidR="00C3289C">
        <w:rPr>
          <w:rFonts w:ascii="Century Schoolbook" w:hAnsi="Century Schoolbook"/>
        </w:rPr>
        <w:t>[T]</w:t>
      </w:r>
      <w:r w:rsidRPr="00C3289C">
        <w:rPr>
          <w:rFonts w:ascii="Century Schoolbook" w:hAnsi="Century Schoolbook"/>
        </w:rPr>
        <w:t>he State Plan and the Welfare and Institutions Code both state that ‘countable income’</w:t>
      </w:r>
      <w:r w:rsidR="00C3289C">
        <w:rPr>
          <w:rFonts w:ascii="Century Schoolbook" w:hAnsi="Century Schoolbook"/>
        </w:rPr>
        <w:t xml:space="preserve"> </w:t>
      </w:r>
      <w:r w:rsidRPr="00C3289C">
        <w:rPr>
          <w:rFonts w:ascii="Century Schoolbook" w:hAnsi="Century Schoolbook"/>
        </w:rPr>
        <w:t xml:space="preserve">is determined in accordance with section 1902(m) of the Medicaid statute, codified at 42 U.S.C. section 1396a(m).  (See California State Plan, Supplement 8a to Attachment 2.6, at p. 6; Welf. &amp; Inst. Code sec. 14005.40.) </w:t>
      </w:r>
      <w:r w:rsidR="00962286">
        <w:rPr>
          <w:rFonts w:ascii="Century Schoolbook" w:hAnsi="Century Schoolbook"/>
        </w:rPr>
        <w:t xml:space="preserve"> </w:t>
      </w:r>
      <w:r w:rsidRPr="00C3289C">
        <w:rPr>
          <w:rFonts w:ascii="Century Schoolbook" w:hAnsi="Century Schoolbook"/>
        </w:rPr>
        <w:t>The federal Medicaid statute, in turn, defers to the Social Security Act’s</w:t>
      </w:r>
      <w:r w:rsidRPr="000D7F16">
        <w:rPr>
          <w:rFonts w:ascii="Century Schoolbook" w:hAnsi="Century Schoolbook"/>
        </w:rPr>
        <w:t xml:space="preserve"> definition of </w:t>
      </w:r>
      <w:r>
        <w:rPr>
          <w:rFonts w:ascii="Century Schoolbook" w:hAnsi="Century Schoolbook"/>
        </w:rPr>
        <w:t>‘</w:t>
      </w:r>
      <w:r w:rsidRPr="000D7F16">
        <w:rPr>
          <w:rFonts w:ascii="Century Schoolbook" w:hAnsi="Century Schoolbook"/>
        </w:rPr>
        <w:t>income.</w:t>
      </w:r>
      <w:r>
        <w:rPr>
          <w:rFonts w:ascii="Century Schoolbook" w:hAnsi="Century Schoolbook"/>
        </w:rPr>
        <w:t>’</w:t>
      </w:r>
      <w:r w:rsidRPr="000D7F16">
        <w:rPr>
          <w:rFonts w:ascii="Century Schoolbook" w:hAnsi="Century Schoolbook"/>
        </w:rPr>
        <w:t xml:space="preserve"> </w:t>
      </w:r>
      <w:r>
        <w:rPr>
          <w:rFonts w:ascii="Century Schoolbook" w:hAnsi="Century Schoolbook"/>
        </w:rPr>
        <w:t xml:space="preserve"> </w:t>
      </w:r>
      <w:r w:rsidRPr="000D7F16">
        <w:rPr>
          <w:rFonts w:ascii="Century Schoolbook" w:hAnsi="Century Schoolbook"/>
        </w:rPr>
        <w:t>(See 42 U.S.C. sec. 1396a(m), referencing 42</w:t>
      </w:r>
      <w:r w:rsidR="00A54524">
        <w:rPr>
          <w:rFonts w:ascii="Century Schoolbook" w:hAnsi="Century Schoolbook"/>
        </w:rPr>
        <w:t> </w:t>
      </w:r>
      <w:r w:rsidRPr="000D7F16">
        <w:rPr>
          <w:rFonts w:ascii="Century Schoolbook" w:hAnsi="Century Schoolbook"/>
        </w:rPr>
        <w:t>U.S.C. sec. 1382a; see also Welf. &amp; Inst. Code sec. 14005.7 [income under the Medically</w:t>
      </w:r>
      <w:r w:rsidR="00C3289C">
        <w:rPr>
          <w:rFonts w:ascii="Century Schoolbook" w:hAnsi="Century Schoolbook"/>
        </w:rPr>
        <w:t xml:space="preserve"> </w:t>
      </w:r>
      <w:r w:rsidRPr="000D7F16">
        <w:rPr>
          <w:rFonts w:ascii="Century Schoolbook" w:hAnsi="Century Schoolbook"/>
        </w:rPr>
        <w:t xml:space="preserve">Needy program is </w:t>
      </w:r>
      <w:r>
        <w:rPr>
          <w:rFonts w:ascii="Century Schoolbook" w:hAnsi="Century Schoolbook"/>
        </w:rPr>
        <w:t>‘</w:t>
      </w:r>
      <w:r w:rsidRPr="000D7F16">
        <w:rPr>
          <w:rFonts w:ascii="Century Schoolbook" w:hAnsi="Century Schoolbook"/>
        </w:rPr>
        <w:t>determined, defined, counted, and valued, in accordance with Title XIX</w:t>
      </w:r>
      <w:r>
        <w:rPr>
          <w:rFonts w:ascii="Century Schoolbook" w:hAnsi="Century Schoolbook"/>
        </w:rPr>
        <w:t xml:space="preserve"> </w:t>
      </w:r>
      <w:r w:rsidRPr="000D7F16">
        <w:rPr>
          <w:rFonts w:ascii="Century Schoolbook" w:hAnsi="Century Schoolbook"/>
        </w:rPr>
        <w:t>of the federal Social Security Act</w:t>
      </w:r>
      <w:r>
        <w:rPr>
          <w:rFonts w:ascii="Century Schoolbook" w:hAnsi="Century Schoolbook"/>
        </w:rPr>
        <w:t>’</w:t>
      </w:r>
      <w:r w:rsidRPr="000D7F16">
        <w:rPr>
          <w:rFonts w:ascii="Century Schoolbook" w:hAnsi="Century Schoolbook"/>
        </w:rPr>
        <w:t xml:space="preserve">].) </w:t>
      </w:r>
      <w:r>
        <w:rPr>
          <w:rFonts w:ascii="Century Schoolbook" w:hAnsi="Century Schoolbook"/>
        </w:rPr>
        <w:t xml:space="preserve"> </w:t>
      </w:r>
      <w:r>
        <w:rPr>
          <w:rFonts w:ascii="Century Schoolbook" w:hAnsi="Century Schoolbook"/>
        </w:rPr>
        <w:lastRenderedPageBreak/>
        <w:t>‘</w:t>
      </w:r>
      <w:r w:rsidRPr="000D7F16">
        <w:rPr>
          <w:rFonts w:ascii="Century Schoolbook" w:hAnsi="Century Schoolbook"/>
        </w:rPr>
        <w:t>Unearned income</w:t>
      </w:r>
      <w:r>
        <w:rPr>
          <w:rFonts w:ascii="Century Schoolbook" w:hAnsi="Century Schoolbook"/>
        </w:rPr>
        <w:t>’</w:t>
      </w:r>
      <w:r w:rsidRPr="000D7F16">
        <w:rPr>
          <w:rFonts w:ascii="Century Schoolbook" w:hAnsi="Century Schoolbook"/>
        </w:rPr>
        <w:t xml:space="preserve"> is expressly defined in the federal</w:t>
      </w:r>
      <w:r>
        <w:rPr>
          <w:rFonts w:ascii="Century Schoolbook" w:hAnsi="Century Schoolbook"/>
        </w:rPr>
        <w:t xml:space="preserve"> </w:t>
      </w:r>
      <w:r w:rsidRPr="000D7F16">
        <w:rPr>
          <w:rFonts w:ascii="Century Schoolbook" w:hAnsi="Century Schoolbook"/>
        </w:rPr>
        <w:t xml:space="preserve">Social Security regulations to include amounts withheld to pay a debt. </w:t>
      </w:r>
      <w:r w:rsidR="006919AE">
        <w:rPr>
          <w:rFonts w:ascii="Century Schoolbook" w:hAnsi="Century Schoolbook"/>
        </w:rPr>
        <w:t xml:space="preserve"> </w:t>
      </w:r>
      <w:r w:rsidRPr="000D7F16">
        <w:rPr>
          <w:rFonts w:ascii="Century Schoolbook" w:hAnsi="Century Schoolbook"/>
        </w:rPr>
        <w:t>(20 C.F.R. § 416.1123</w:t>
      </w:r>
      <w:r>
        <w:rPr>
          <w:rFonts w:ascii="Century Schoolbook" w:hAnsi="Century Schoolbook"/>
        </w:rPr>
        <w:t xml:space="preserve"> </w:t>
      </w:r>
      <w:r w:rsidRPr="000D7F16">
        <w:rPr>
          <w:rFonts w:ascii="Century Schoolbook" w:hAnsi="Century Schoolbook"/>
        </w:rPr>
        <w:t>[</w:t>
      </w:r>
      <w:r>
        <w:rPr>
          <w:rFonts w:ascii="Century Schoolbook" w:hAnsi="Century Schoolbook"/>
        </w:rPr>
        <w:t>‘</w:t>
      </w:r>
      <w:r w:rsidRPr="000D7F16">
        <w:rPr>
          <w:rFonts w:ascii="Century Schoolbook" w:hAnsi="Century Schoolbook"/>
        </w:rPr>
        <w:t>We also include more than you actually receive if amounts are withheld from unearned</w:t>
      </w:r>
      <w:r>
        <w:rPr>
          <w:rFonts w:ascii="Century Schoolbook" w:hAnsi="Century Schoolbook"/>
        </w:rPr>
        <w:t xml:space="preserve"> </w:t>
      </w:r>
      <w:r w:rsidRPr="000D7F16">
        <w:rPr>
          <w:rFonts w:ascii="Century Schoolbook" w:hAnsi="Century Schoolbook"/>
        </w:rPr>
        <w:t>income because of a garnishment, or to pay a debt or other legal obligation</w:t>
      </w:r>
      <w:r>
        <w:rPr>
          <w:rFonts w:ascii="Century Schoolbook" w:hAnsi="Century Schoolbook"/>
        </w:rPr>
        <w:t>’</w:t>
      </w:r>
      <w:r w:rsidRPr="000D7F16">
        <w:rPr>
          <w:rFonts w:ascii="Century Schoolbook" w:hAnsi="Century Schoolbook"/>
        </w:rPr>
        <w:t>]; see also</w:t>
      </w:r>
      <w:r w:rsidR="006919AE">
        <w:rPr>
          <w:rFonts w:ascii="Century Schoolbook" w:hAnsi="Century Schoolbook"/>
        </w:rPr>
        <w:t xml:space="preserve"> </w:t>
      </w:r>
      <w:r w:rsidRPr="000D7F16">
        <w:rPr>
          <w:rFonts w:ascii="Century Schoolbook" w:hAnsi="Century Schoolbook"/>
          <w:i/>
          <w:iCs/>
        </w:rPr>
        <w:t>Cervantez v. Sullivan</w:t>
      </w:r>
      <w:r w:rsidRPr="000D7F16">
        <w:rPr>
          <w:rFonts w:ascii="Century Schoolbook" w:hAnsi="Century Schoolbook"/>
        </w:rPr>
        <w:t xml:space="preserve"> (9th Cir. 1992) 963 F.2d 229, 232 [</w:t>
      </w:r>
      <w:r>
        <w:rPr>
          <w:rFonts w:ascii="Century Schoolbook" w:hAnsi="Century Schoolbook"/>
        </w:rPr>
        <w:t>‘</w:t>
      </w:r>
      <w:r w:rsidRPr="000D7F16">
        <w:rPr>
          <w:rFonts w:ascii="Century Schoolbook" w:hAnsi="Century Schoolbook"/>
        </w:rPr>
        <w:t>we followed four other circuits in</w:t>
      </w:r>
      <w:r>
        <w:rPr>
          <w:rFonts w:ascii="Century Schoolbook" w:hAnsi="Century Schoolbook"/>
        </w:rPr>
        <w:t xml:space="preserve"> </w:t>
      </w:r>
      <w:r w:rsidRPr="000D7F16">
        <w:rPr>
          <w:rFonts w:ascii="Century Schoolbook" w:hAnsi="Century Schoolbook"/>
        </w:rPr>
        <w:t xml:space="preserve">holding the word </w:t>
      </w:r>
      <w:r>
        <w:rPr>
          <w:rFonts w:ascii="Century Schoolbook" w:hAnsi="Century Schoolbook"/>
        </w:rPr>
        <w:t>“</w:t>
      </w:r>
      <w:r w:rsidRPr="000D7F16">
        <w:rPr>
          <w:rFonts w:ascii="Century Schoolbook" w:hAnsi="Century Schoolbook"/>
        </w:rPr>
        <w:t>received</w:t>
      </w:r>
      <w:r>
        <w:rPr>
          <w:rFonts w:ascii="Century Schoolbook" w:hAnsi="Century Schoolbook"/>
        </w:rPr>
        <w:t>”</w:t>
      </w:r>
      <w:r w:rsidRPr="000D7F16">
        <w:rPr>
          <w:rFonts w:ascii="Century Schoolbook" w:hAnsi="Century Schoolbook"/>
        </w:rPr>
        <w:t xml:space="preserve"> is used in subsection (a)(2)(B) as a </w:t>
      </w:r>
      <w:r>
        <w:rPr>
          <w:rFonts w:ascii="Century Schoolbook" w:hAnsi="Century Schoolbook"/>
        </w:rPr>
        <w:t>“</w:t>
      </w:r>
      <w:r w:rsidRPr="000D7F16">
        <w:rPr>
          <w:rFonts w:ascii="Century Schoolbook" w:hAnsi="Century Schoolbook"/>
        </w:rPr>
        <w:t>mere grammatical link,</w:t>
      </w:r>
      <w:r>
        <w:rPr>
          <w:rFonts w:ascii="Century Schoolbook" w:hAnsi="Century Schoolbook"/>
        </w:rPr>
        <w:t>”</w:t>
      </w:r>
      <w:r w:rsidRPr="000D7F16">
        <w:rPr>
          <w:rFonts w:ascii="Century Schoolbook" w:hAnsi="Century Schoolbook"/>
        </w:rPr>
        <w:t xml:space="preserve"> and</w:t>
      </w:r>
      <w:r>
        <w:rPr>
          <w:rFonts w:ascii="Century Schoolbook" w:hAnsi="Century Schoolbook"/>
        </w:rPr>
        <w:t xml:space="preserve"> </w:t>
      </w:r>
      <w:r w:rsidRPr="000D7F16">
        <w:rPr>
          <w:rFonts w:ascii="Century Schoolbook" w:hAnsi="Century Schoolbook"/>
        </w:rPr>
        <w:t xml:space="preserve">does not require that funds be physically received by claimants to be counted as </w:t>
      </w:r>
      <w:r>
        <w:rPr>
          <w:rFonts w:ascii="Century Schoolbook" w:hAnsi="Century Schoolbook"/>
        </w:rPr>
        <w:t>“</w:t>
      </w:r>
      <w:r w:rsidRPr="000D7F16">
        <w:rPr>
          <w:rFonts w:ascii="Century Schoolbook" w:hAnsi="Century Schoolbook"/>
        </w:rPr>
        <w:t>income</w:t>
      </w:r>
      <w:r>
        <w:rPr>
          <w:rFonts w:ascii="Century Schoolbook" w:hAnsi="Century Schoolbook"/>
        </w:rPr>
        <w:t>” ’</w:t>
      </w:r>
      <w:r w:rsidRPr="000D7F16">
        <w:rPr>
          <w:rFonts w:ascii="Century Schoolbook" w:hAnsi="Century Schoolbook"/>
        </w:rPr>
        <w:t>].)</w:t>
      </w:r>
    </w:p>
    <w:p w14:paraId="4FD9391B" w14:textId="5E50B9B8" w:rsidR="000D7F16" w:rsidRPr="000D7F16" w:rsidRDefault="000D7F16" w:rsidP="000D7F16">
      <w:pPr>
        <w:rPr>
          <w:rFonts w:ascii="Century Schoolbook" w:hAnsi="Century Schoolbook"/>
        </w:rPr>
      </w:pPr>
      <w:r>
        <w:rPr>
          <w:rFonts w:ascii="Century Schoolbook" w:hAnsi="Century Schoolbook"/>
        </w:rPr>
        <w:tab/>
        <w:t>“</w:t>
      </w:r>
      <w:r w:rsidRPr="000D7F16">
        <w:rPr>
          <w:rFonts w:ascii="Century Schoolbook" w:hAnsi="Century Schoolbook"/>
        </w:rPr>
        <w:t>Additionally, pursuant to its statutory authority under Welfare and Institutions Code</w:t>
      </w:r>
      <w:r>
        <w:rPr>
          <w:rFonts w:ascii="Century Schoolbook" w:hAnsi="Century Schoolbook"/>
        </w:rPr>
        <w:t xml:space="preserve"> </w:t>
      </w:r>
      <w:r w:rsidRPr="000D7F16">
        <w:rPr>
          <w:rFonts w:ascii="Century Schoolbook" w:hAnsi="Century Schoolbook"/>
        </w:rPr>
        <w:t>sections 14005.40 and 14001.11, the Department provides guidance to counties regarding</w:t>
      </w:r>
      <w:r>
        <w:rPr>
          <w:rFonts w:ascii="Century Schoolbook" w:hAnsi="Century Schoolbook"/>
        </w:rPr>
        <w:t xml:space="preserve"> </w:t>
      </w:r>
      <w:r w:rsidRPr="000D7F16">
        <w:rPr>
          <w:rFonts w:ascii="Century Schoolbook" w:hAnsi="Century Schoolbook"/>
        </w:rPr>
        <w:t xml:space="preserve">Medi-Cal eligibility. </w:t>
      </w:r>
      <w:r>
        <w:rPr>
          <w:rFonts w:ascii="Century Schoolbook" w:hAnsi="Century Schoolbook"/>
        </w:rPr>
        <w:t xml:space="preserve"> </w:t>
      </w:r>
      <w:r w:rsidRPr="000D7F16">
        <w:rPr>
          <w:rFonts w:ascii="Century Schoolbook" w:hAnsi="Century Schoolbook"/>
        </w:rPr>
        <w:t>The Department has recently advised counties on this precise issue,</w:t>
      </w:r>
      <w:r>
        <w:rPr>
          <w:rFonts w:ascii="Century Schoolbook" w:hAnsi="Century Schoolbook"/>
        </w:rPr>
        <w:t xml:space="preserve"> </w:t>
      </w:r>
      <w:r w:rsidRPr="000D7F16">
        <w:rPr>
          <w:rFonts w:ascii="Century Schoolbook" w:hAnsi="Century Schoolbook"/>
        </w:rPr>
        <w:t>consistently instructing them that, pursuant to the above-mentioned rules, income garnished</w:t>
      </w:r>
      <w:r>
        <w:rPr>
          <w:rFonts w:ascii="Century Schoolbook" w:hAnsi="Century Schoolbook"/>
        </w:rPr>
        <w:t xml:space="preserve"> </w:t>
      </w:r>
      <w:r w:rsidRPr="000D7F16">
        <w:rPr>
          <w:rFonts w:ascii="Century Schoolbook" w:hAnsi="Century Schoolbook"/>
        </w:rPr>
        <w:t>by the IRS for tax debt should be counted when determining Medi-Cal income eligibility.</w:t>
      </w:r>
    </w:p>
    <w:p w14:paraId="2574D701" w14:textId="061E3B9A" w:rsidR="000D7F16" w:rsidRDefault="000D7F16" w:rsidP="000D7F16">
      <w:pPr>
        <w:rPr>
          <w:rFonts w:ascii="Century Schoolbook" w:hAnsi="Century Schoolbook"/>
        </w:rPr>
      </w:pPr>
      <w:r w:rsidRPr="000D7F16">
        <w:rPr>
          <w:rFonts w:ascii="Century Schoolbook" w:hAnsi="Century Schoolbook"/>
        </w:rPr>
        <w:t>(Pet. RJN, Ex. 24; Hennessy De</w:t>
      </w:r>
      <w:r w:rsidR="005F2881">
        <w:rPr>
          <w:rFonts w:ascii="Century Schoolbook" w:hAnsi="Century Schoolbook"/>
        </w:rPr>
        <w:t>c</w:t>
      </w:r>
      <w:r w:rsidRPr="000D7F16">
        <w:rPr>
          <w:rFonts w:ascii="Century Schoolbook" w:hAnsi="Century Schoolbook"/>
        </w:rPr>
        <w:t xml:space="preserve">l., </w:t>
      </w:r>
      <w:r w:rsidR="006438FF">
        <w:rPr>
          <w:rFonts w:ascii="Century Schoolbook" w:hAnsi="Century Schoolbook"/>
        </w:rPr>
        <w:t xml:space="preserve">¶ </w:t>
      </w:r>
      <w:r w:rsidRPr="000D7F16">
        <w:rPr>
          <w:rFonts w:ascii="Century Schoolbook" w:hAnsi="Century Schoolbook"/>
        </w:rPr>
        <w:t>2, Ex. 1.)</w:t>
      </w:r>
      <w:r>
        <w:rPr>
          <w:rFonts w:ascii="Century Schoolbook" w:hAnsi="Century Schoolbook"/>
        </w:rPr>
        <w:t>”</w:t>
      </w:r>
      <w:r w:rsidR="000D6294">
        <w:rPr>
          <w:rFonts w:ascii="Century Schoolbook" w:hAnsi="Century Schoolbook"/>
        </w:rPr>
        <w:t xml:space="preserve">  </w:t>
      </w:r>
    </w:p>
    <w:p w14:paraId="2A3295E5" w14:textId="50E13EAA" w:rsidR="00225C9C" w:rsidRDefault="00225C9C" w:rsidP="00225C9C">
      <w:pPr>
        <w:rPr>
          <w:rFonts w:ascii="Century Schoolbook" w:hAnsi="Century Schoolbook"/>
        </w:rPr>
      </w:pPr>
      <w:r>
        <w:rPr>
          <w:rFonts w:ascii="Century Schoolbook" w:hAnsi="Century Schoolbook"/>
        </w:rPr>
        <w:tab/>
      </w:r>
      <w:r w:rsidRPr="00225C9C">
        <w:rPr>
          <w:rFonts w:ascii="Century Schoolbook" w:hAnsi="Century Schoolbook"/>
        </w:rPr>
        <w:t xml:space="preserve">Abney filed a notice of appeal. </w:t>
      </w:r>
    </w:p>
    <w:p w14:paraId="7EB1BC7D" w14:textId="1E1E7941" w:rsidR="000D6294" w:rsidRPr="000D6294" w:rsidRDefault="000D6294" w:rsidP="000D6294">
      <w:pPr>
        <w:jc w:val="center"/>
        <w:rPr>
          <w:rFonts w:ascii="Century Schoolbook" w:hAnsi="Century Schoolbook"/>
          <w:b/>
          <w:bCs/>
        </w:rPr>
      </w:pPr>
      <w:r w:rsidRPr="000D6294">
        <w:rPr>
          <w:rFonts w:ascii="Century Schoolbook" w:hAnsi="Century Schoolbook"/>
          <w:b/>
          <w:bCs/>
        </w:rPr>
        <w:t>DISCUSSION</w:t>
      </w:r>
    </w:p>
    <w:p w14:paraId="3874A61B" w14:textId="2ABE0FB2" w:rsidR="00C815A5" w:rsidRPr="00C815A5" w:rsidRDefault="00C815A5" w:rsidP="00225C9C">
      <w:pPr>
        <w:rPr>
          <w:rFonts w:ascii="Century Schoolbook" w:hAnsi="Century Schoolbook"/>
          <w:b/>
          <w:bCs/>
        </w:rPr>
      </w:pPr>
      <w:r>
        <w:rPr>
          <w:rFonts w:ascii="Century Schoolbook" w:hAnsi="Century Schoolbook"/>
        </w:rPr>
        <w:tab/>
      </w:r>
      <w:r w:rsidRPr="00C815A5">
        <w:rPr>
          <w:rFonts w:ascii="Century Schoolbook" w:hAnsi="Century Schoolbook"/>
          <w:b/>
          <w:bCs/>
        </w:rPr>
        <w:t>Introduction</w:t>
      </w:r>
    </w:p>
    <w:p w14:paraId="44BF8131" w14:textId="7F1A8BDD" w:rsidR="006048A6" w:rsidRDefault="006048A6" w:rsidP="00225C9C">
      <w:pPr>
        <w:rPr>
          <w:rFonts w:ascii="Century Schoolbook" w:hAnsi="Century Schoolbook"/>
        </w:rPr>
      </w:pPr>
      <w:r>
        <w:rPr>
          <w:rFonts w:ascii="Century Schoolbook" w:hAnsi="Century Schoolbook"/>
        </w:rPr>
        <w:tab/>
        <w:t xml:space="preserve">The only issue on appeal is whether </w:t>
      </w:r>
      <w:r w:rsidR="00097CAB">
        <w:rPr>
          <w:rFonts w:ascii="Century Schoolbook" w:hAnsi="Century Schoolbook"/>
        </w:rPr>
        <w:t>the County</w:t>
      </w:r>
      <w:r>
        <w:rPr>
          <w:rFonts w:ascii="Century Schoolbook" w:hAnsi="Century Schoolbook"/>
        </w:rPr>
        <w:t xml:space="preserve"> erred in including the $598.20 garnished each month from Abney’s Social Security benefit to pay her debt to the IRS as “income” for the purposes of calculating her </w:t>
      </w:r>
      <w:r w:rsidR="005F2881">
        <w:rPr>
          <w:rFonts w:ascii="Century Schoolbook" w:hAnsi="Century Schoolbook"/>
        </w:rPr>
        <w:t>eligibility</w:t>
      </w:r>
      <w:r>
        <w:rPr>
          <w:rFonts w:ascii="Century Schoolbook" w:hAnsi="Century Schoolbook"/>
        </w:rPr>
        <w:t xml:space="preserve"> for the ABN FPL program.  Because the facts are undisputed, we review this pure question of law de novo.  (See </w:t>
      </w:r>
      <w:r w:rsidRPr="007B3DDA">
        <w:rPr>
          <w:rFonts w:ascii="Century Schoolbook" w:hAnsi="Century Schoolbook"/>
          <w:i/>
          <w:iCs/>
        </w:rPr>
        <w:t>Cassidy v. California B</w:t>
      </w:r>
      <w:r>
        <w:rPr>
          <w:rFonts w:ascii="Century Schoolbook" w:hAnsi="Century Schoolbook"/>
          <w:i/>
          <w:iCs/>
        </w:rPr>
        <w:t>oard</w:t>
      </w:r>
      <w:r w:rsidRPr="007B3DDA">
        <w:rPr>
          <w:rFonts w:ascii="Century Schoolbook" w:hAnsi="Century Schoolbook"/>
          <w:i/>
          <w:iCs/>
        </w:rPr>
        <w:t xml:space="preserve"> of Accountancy</w:t>
      </w:r>
      <w:r w:rsidRPr="000A580A">
        <w:rPr>
          <w:rFonts w:ascii="Century Schoolbook" w:hAnsi="Century Schoolbook"/>
        </w:rPr>
        <w:t xml:space="preserve"> (2013) 220 Cal.App.4th 620, 627</w:t>
      </w:r>
      <w:r>
        <w:rPr>
          <w:rFonts w:ascii="Century Schoolbook" w:hAnsi="Century Schoolbook"/>
        </w:rPr>
        <w:t xml:space="preserve">.) </w:t>
      </w:r>
    </w:p>
    <w:p w14:paraId="05296404" w14:textId="075A31C2" w:rsidR="006048A6" w:rsidRDefault="006048A6" w:rsidP="00225C9C">
      <w:pPr>
        <w:rPr>
          <w:rFonts w:ascii="Century Schoolbook" w:hAnsi="Century Schoolbook"/>
        </w:rPr>
      </w:pPr>
      <w:r>
        <w:rPr>
          <w:rFonts w:ascii="Century Schoolbook" w:hAnsi="Century Schoolbook"/>
        </w:rPr>
        <w:tab/>
        <w:t xml:space="preserve"> Abney does not dispute that under federal Medicaid regulations, the garnishment counts as income in determining her Medicaid eligibility.  (See </w:t>
      </w:r>
      <w:r w:rsidRPr="000D7F16">
        <w:rPr>
          <w:rFonts w:ascii="Century Schoolbook" w:hAnsi="Century Schoolbook"/>
        </w:rPr>
        <w:t>20 C.F.R. § 416.1123</w:t>
      </w:r>
      <w:r>
        <w:rPr>
          <w:rFonts w:ascii="Century Schoolbook" w:hAnsi="Century Schoolbook"/>
        </w:rPr>
        <w:t xml:space="preserve">.)  </w:t>
      </w:r>
      <w:r w:rsidR="00930433">
        <w:rPr>
          <w:rFonts w:ascii="Century Schoolbook" w:hAnsi="Century Schoolbook"/>
        </w:rPr>
        <w:t>Rather, she argues that California’s Medi</w:t>
      </w:r>
      <w:r w:rsidR="00C31BD6" w:rsidRPr="000B3D29">
        <w:rPr>
          <w:rFonts w:ascii="Century Schoolbook" w:hAnsi="Century Schoolbook"/>
        </w:rPr>
        <w:t>–</w:t>
      </w:r>
      <w:r w:rsidR="00930433">
        <w:rPr>
          <w:rFonts w:ascii="Century Schoolbook" w:hAnsi="Century Schoolbook"/>
        </w:rPr>
        <w:t xml:space="preserve">Cal </w:t>
      </w:r>
      <w:r w:rsidR="00930433">
        <w:rPr>
          <w:rFonts w:ascii="Century Schoolbook" w:hAnsi="Century Schoolbook"/>
        </w:rPr>
        <w:lastRenderedPageBreak/>
        <w:t>regulations</w:t>
      </w:r>
      <w:r w:rsidR="00D30AE3">
        <w:rPr>
          <w:rFonts w:ascii="Century Schoolbook" w:hAnsi="Century Schoolbook"/>
        </w:rPr>
        <w:t>—</w:t>
      </w:r>
      <w:r w:rsidR="00930433">
        <w:rPr>
          <w:rFonts w:ascii="Century Schoolbook" w:hAnsi="Century Schoolbook"/>
        </w:rPr>
        <w:t xml:space="preserve">in particular </w:t>
      </w:r>
      <w:r w:rsidR="00C31BD6" w:rsidRPr="008B7DF3">
        <w:rPr>
          <w:rFonts w:ascii="Century Schoolbook" w:hAnsi="Century Schoolbook"/>
        </w:rPr>
        <w:t>Cal</w:t>
      </w:r>
      <w:r w:rsidR="00C31BD6">
        <w:rPr>
          <w:rFonts w:ascii="Century Schoolbook" w:hAnsi="Century Schoolbook"/>
        </w:rPr>
        <w:t>ifornia</w:t>
      </w:r>
      <w:r w:rsidR="00C31BD6" w:rsidRPr="008B7DF3">
        <w:rPr>
          <w:rFonts w:ascii="Century Schoolbook" w:hAnsi="Century Schoolbook"/>
        </w:rPr>
        <w:t xml:space="preserve"> Code </w:t>
      </w:r>
      <w:r w:rsidR="00C31BD6">
        <w:rPr>
          <w:rFonts w:ascii="Century Schoolbook" w:hAnsi="Century Schoolbook"/>
        </w:rPr>
        <w:t xml:space="preserve">of </w:t>
      </w:r>
      <w:r w:rsidR="00C31BD6" w:rsidRPr="008B7DF3">
        <w:rPr>
          <w:rFonts w:ascii="Century Schoolbook" w:hAnsi="Century Schoolbook"/>
        </w:rPr>
        <w:t>Reg</w:t>
      </w:r>
      <w:r w:rsidR="00C31BD6">
        <w:rPr>
          <w:rFonts w:ascii="Century Schoolbook" w:hAnsi="Century Schoolbook"/>
        </w:rPr>
        <w:t>ulations</w:t>
      </w:r>
      <w:r w:rsidR="00C31BD6" w:rsidRPr="008B7DF3">
        <w:rPr>
          <w:rFonts w:ascii="Century Schoolbook" w:hAnsi="Century Schoolbook"/>
        </w:rPr>
        <w:t xml:space="preserve">, </w:t>
      </w:r>
      <w:r w:rsidR="00C31BD6">
        <w:rPr>
          <w:rFonts w:ascii="Century Schoolbook" w:hAnsi="Century Schoolbook"/>
        </w:rPr>
        <w:t>Title 22,</w:t>
      </w:r>
      <w:r w:rsidR="00C31BD6" w:rsidRPr="008B7DF3">
        <w:rPr>
          <w:rFonts w:ascii="Century Schoolbook" w:hAnsi="Century Schoolbook"/>
        </w:rPr>
        <w:t xml:space="preserve"> </w:t>
      </w:r>
      <w:r w:rsidR="00930433">
        <w:rPr>
          <w:rFonts w:ascii="Century Schoolbook" w:hAnsi="Century Schoolbook"/>
        </w:rPr>
        <w:t>sections 50513 and 50515</w:t>
      </w:r>
      <w:r w:rsidR="00C31BD6">
        <w:rPr>
          <w:rFonts w:ascii="Century Schoolbook" w:hAnsi="Century Schoolbook"/>
        </w:rPr>
        <w:t>,</w:t>
      </w:r>
      <w:r w:rsidR="00930433">
        <w:rPr>
          <w:rFonts w:ascii="Century Schoolbook" w:hAnsi="Century Schoolbook"/>
        </w:rPr>
        <w:t xml:space="preserve"> requiring that income be “actually available to meet [her] needs” in order to be considered</w:t>
      </w:r>
      <w:r w:rsidR="004B44A8">
        <w:rPr>
          <w:rFonts w:ascii="Century Schoolbook" w:hAnsi="Century Schoolbook"/>
        </w:rPr>
        <w:t>—</w:t>
      </w:r>
      <w:r w:rsidR="00930433">
        <w:rPr>
          <w:rFonts w:ascii="Century Schoolbook" w:hAnsi="Century Schoolbook"/>
        </w:rPr>
        <w:t>ha</w:t>
      </w:r>
      <w:r w:rsidR="00A77D5E">
        <w:rPr>
          <w:rFonts w:ascii="Century Schoolbook" w:hAnsi="Century Schoolbook"/>
        </w:rPr>
        <w:t>ve</w:t>
      </w:r>
      <w:r w:rsidR="00930433">
        <w:rPr>
          <w:rFonts w:ascii="Century Schoolbook" w:hAnsi="Century Schoolbook"/>
        </w:rPr>
        <w:t xml:space="preserve"> set up a less restrictive income </w:t>
      </w:r>
      <w:r w:rsidR="00134F7D">
        <w:rPr>
          <w:rFonts w:ascii="Century Schoolbook" w:hAnsi="Century Schoolbook"/>
        </w:rPr>
        <w:t>definition</w:t>
      </w:r>
      <w:r w:rsidR="00930433">
        <w:rPr>
          <w:rFonts w:ascii="Century Schoolbook" w:hAnsi="Century Schoolbook"/>
        </w:rPr>
        <w:t xml:space="preserve"> than the federal standard, a </w:t>
      </w:r>
      <w:r w:rsidR="00D33ACE">
        <w:rPr>
          <w:rFonts w:ascii="Century Schoolbook" w:hAnsi="Century Schoolbook"/>
        </w:rPr>
        <w:t xml:space="preserve">less restrictive </w:t>
      </w:r>
      <w:r w:rsidR="00930433">
        <w:rPr>
          <w:rFonts w:ascii="Century Schoolbook" w:hAnsi="Century Schoolbook"/>
        </w:rPr>
        <w:t xml:space="preserve">standard that requires excluding the garnishment from her income.  </w:t>
      </w:r>
    </w:p>
    <w:p w14:paraId="39507FCB" w14:textId="40ECF593" w:rsidR="00DA27E4" w:rsidRPr="000A580A" w:rsidRDefault="00930433" w:rsidP="00D33ACE">
      <w:pPr>
        <w:rPr>
          <w:rFonts w:ascii="Century Schoolbook" w:hAnsi="Century Schoolbook"/>
        </w:rPr>
      </w:pPr>
      <w:r>
        <w:rPr>
          <w:rFonts w:ascii="Century Schoolbook" w:hAnsi="Century Schoolbook"/>
        </w:rPr>
        <w:tab/>
      </w:r>
      <w:r w:rsidR="00C31BD6">
        <w:rPr>
          <w:rFonts w:ascii="Century Schoolbook" w:hAnsi="Century Schoolbook"/>
        </w:rPr>
        <w:t>The Department</w:t>
      </w:r>
      <w:r>
        <w:rPr>
          <w:rFonts w:ascii="Century Schoolbook" w:hAnsi="Century Schoolbook"/>
        </w:rPr>
        <w:t xml:space="preserve"> offers several arguments why the garnishment should be included in Abney’s income.  </w:t>
      </w:r>
      <w:r w:rsidR="00CD42D1">
        <w:rPr>
          <w:rFonts w:ascii="Century Schoolbook" w:hAnsi="Century Schoolbook"/>
        </w:rPr>
        <w:t xml:space="preserve">It points to the statement, in both the statute defining </w:t>
      </w:r>
      <w:r w:rsidR="005F2881">
        <w:rPr>
          <w:rFonts w:ascii="Century Schoolbook" w:hAnsi="Century Schoolbook"/>
        </w:rPr>
        <w:t>eligibility</w:t>
      </w:r>
      <w:r w:rsidR="00CD42D1">
        <w:rPr>
          <w:rFonts w:ascii="Century Schoolbook" w:hAnsi="Century Schoolbook"/>
        </w:rPr>
        <w:t xml:space="preserve"> for the ABN FPL program and the </w:t>
      </w:r>
      <w:r w:rsidR="00C31BD6">
        <w:rPr>
          <w:rFonts w:ascii="Century Schoolbook" w:hAnsi="Century Schoolbook"/>
        </w:rPr>
        <w:t>state Medicaid plan</w:t>
      </w:r>
      <w:r w:rsidR="00CD42D1">
        <w:rPr>
          <w:rFonts w:ascii="Century Schoolbook" w:hAnsi="Century Schoolbook"/>
        </w:rPr>
        <w:t xml:space="preserve">, that </w:t>
      </w:r>
      <w:r w:rsidR="00B40B8A" w:rsidRPr="00B40B8A">
        <w:rPr>
          <w:rFonts w:ascii="Century Schoolbook" w:hAnsi="Century Schoolbook"/>
        </w:rPr>
        <w:t xml:space="preserve">“[c]ountable income” is “determined in accordance with section 1902(m) of the federal Social Security Act (42 U.S.C. Sec. 1396a(m)) . . . .” </w:t>
      </w:r>
      <w:r w:rsidR="00B40B8A">
        <w:rPr>
          <w:rFonts w:ascii="Century Schoolbook" w:hAnsi="Century Schoolbook"/>
        </w:rPr>
        <w:t xml:space="preserve"> </w:t>
      </w:r>
      <w:r w:rsidR="00B40B8A" w:rsidRPr="00B40B8A">
        <w:rPr>
          <w:rFonts w:ascii="Century Schoolbook" w:hAnsi="Century Schoolbook"/>
        </w:rPr>
        <w:t>(Welf. &amp; Inst. Code, § 14005.40, subd. (c)(1)</w:t>
      </w:r>
      <w:r w:rsidR="00B40B8A">
        <w:rPr>
          <w:rFonts w:ascii="Century Schoolbook" w:hAnsi="Century Schoolbook"/>
        </w:rPr>
        <w:t xml:space="preserve">; see </w:t>
      </w:r>
      <w:r w:rsidR="003D5A19">
        <w:rPr>
          <w:rFonts w:ascii="Century Schoolbook" w:hAnsi="Century Schoolbook"/>
          <w:i/>
          <w:iCs/>
        </w:rPr>
        <w:t>id</w:t>
      </w:r>
      <w:r w:rsidR="003D5A19">
        <w:rPr>
          <w:rFonts w:ascii="Century Schoolbook" w:hAnsi="Century Schoolbook"/>
        </w:rPr>
        <w:t xml:space="preserve">., </w:t>
      </w:r>
      <w:r w:rsidR="00B40B8A" w:rsidRPr="00B40B8A">
        <w:rPr>
          <w:rFonts w:ascii="Century Schoolbook" w:hAnsi="Century Schoolbook"/>
        </w:rPr>
        <w:t>§ 14005.7, subd. (c)</w:t>
      </w:r>
      <w:r w:rsidR="00B40B8A">
        <w:rPr>
          <w:rFonts w:ascii="Century Schoolbook" w:hAnsi="Century Schoolbook"/>
        </w:rPr>
        <w:t xml:space="preserve"> [</w:t>
      </w:r>
      <w:r w:rsidR="00B40B8A" w:rsidRPr="00B40B8A">
        <w:rPr>
          <w:rFonts w:ascii="Century Schoolbook" w:hAnsi="Century Schoolbook"/>
        </w:rPr>
        <w:t xml:space="preserve">“monthly income” </w:t>
      </w:r>
      <w:r w:rsidR="00B40B8A">
        <w:rPr>
          <w:rFonts w:ascii="Century Schoolbook" w:hAnsi="Century Schoolbook"/>
        </w:rPr>
        <w:t xml:space="preserve">for the ABD MN program </w:t>
      </w:r>
      <w:r w:rsidR="00B40B8A" w:rsidRPr="00B40B8A">
        <w:rPr>
          <w:rFonts w:ascii="Century Schoolbook" w:hAnsi="Century Schoolbook"/>
        </w:rPr>
        <w:t>is “determined,</w:t>
      </w:r>
      <w:r w:rsidR="00B40B8A">
        <w:rPr>
          <w:rFonts w:ascii="Century Schoolbook" w:hAnsi="Century Schoolbook"/>
        </w:rPr>
        <w:t xml:space="preserve"> </w:t>
      </w:r>
      <w:r w:rsidR="00B40B8A" w:rsidRPr="00B40B8A">
        <w:rPr>
          <w:rFonts w:ascii="Century Schoolbook" w:hAnsi="Century Schoolbook"/>
        </w:rPr>
        <w:t>defined, counted, and valued” under Title XIX of the federal Social Security Act</w:t>
      </w:r>
      <w:r w:rsidR="00B40B8A">
        <w:rPr>
          <w:rFonts w:ascii="Century Schoolbook" w:hAnsi="Century Schoolbook"/>
        </w:rPr>
        <w:t>].)</w:t>
      </w:r>
      <w:r w:rsidR="00362AF6">
        <w:rPr>
          <w:rStyle w:val="FootnoteReference"/>
          <w:rFonts w:ascii="Century Schoolbook" w:hAnsi="Century Schoolbook"/>
        </w:rPr>
        <w:footnoteReference w:id="2"/>
      </w:r>
      <w:r w:rsidR="00B40B8A">
        <w:rPr>
          <w:rFonts w:ascii="Century Schoolbook" w:hAnsi="Century Schoolbook"/>
        </w:rPr>
        <w:t xml:space="preserve">  </w:t>
      </w:r>
      <w:r w:rsidR="004B44A8">
        <w:rPr>
          <w:rFonts w:ascii="Century Schoolbook" w:hAnsi="Century Schoolbook"/>
        </w:rPr>
        <w:t xml:space="preserve">And the Department </w:t>
      </w:r>
      <w:r>
        <w:rPr>
          <w:rFonts w:ascii="Century Schoolbook" w:hAnsi="Century Schoolbook"/>
        </w:rPr>
        <w:t xml:space="preserve">argues that </w:t>
      </w:r>
      <w:r w:rsidRPr="00930433">
        <w:rPr>
          <w:rFonts w:ascii="Century Schoolbook" w:hAnsi="Century Schoolbook"/>
        </w:rPr>
        <w:t xml:space="preserve">the </w:t>
      </w:r>
      <w:r w:rsidR="00473CAF">
        <w:rPr>
          <w:rFonts w:ascii="Century Schoolbook" w:hAnsi="Century Schoolbook"/>
        </w:rPr>
        <w:t xml:space="preserve">state </w:t>
      </w:r>
      <w:r w:rsidRPr="00930433">
        <w:rPr>
          <w:rFonts w:ascii="Century Schoolbook" w:hAnsi="Century Schoolbook"/>
        </w:rPr>
        <w:t xml:space="preserve">regulations apply to </w:t>
      </w:r>
      <w:r w:rsidR="00134F7D">
        <w:rPr>
          <w:rFonts w:ascii="Century Schoolbook" w:hAnsi="Century Schoolbook"/>
        </w:rPr>
        <w:t xml:space="preserve">the </w:t>
      </w:r>
      <w:r w:rsidRPr="00930433">
        <w:rPr>
          <w:rFonts w:ascii="Century Schoolbook" w:hAnsi="Century Schoolbook"/>
        </w:rPr>
        <w:t>share of cost calculation</w:t>
      </w:r>
      <w:r>
        <w:rPr>
          <w:rFonts w:ascii="Century Schoolbook" w:hAnsi="Century Schoolbook"/>
        </w:rPr>
        <w:t xml:space="preserve"> for </w:t>
      </w:r>
      <w:r w:rsidRPr="00930433">
        <w:rPr>
          <w:rFonts w:ascii="Century Schoolbook" w:hAnsi="Century Schoolbook"/>
        </w:rPr>
        <w:t>the ABD MN</w:t>
      </w:r>
      <w:r>
        <w:rPr>
          <w:rFonts w:ascii="Century Schoolbook" w:hAnsi="Century Schoolbook"/>
        </w:rPr>
        <w:t xml:space="preserve"> program</w:t>
      </w:r>
      <w:r w:rsidRPr="00930433">
        <w:rPr>
          <w:rFonts w:ascii="Century Schoolbook" w:hAnsi="Century Schoolbook"/>
        </w:rPr>
        <w:t xml:space="preserve">, not </w:t>
      </w:r>
      <w:r>
        <w:rPr>
          <w:rFonts w:ascii="Century Schoolbook" w:hAnsi="Century Schoolbook"/>
        </w:rPr>
        <w:t xml:space="preserve">to </w:t>
      </w:r>
      <w:r w:rsidRPr="00930433">
        <w:rPr>
          <w:rFonts w:ascii="Century Schoolbook" w:hAnsi="Century Schoolbook"/>
        </w:rPr>
        <w:t>eligibility determinations</w:t>
      </w:r>
      <w:r w:rsidR="00473CAF">
        <w:rPr>
          <w:rFonts w:ascii="Century Schoolbook" w:hAnsi="Century Schoolbook"/>
        </w:rPr>
        <w:t xml:space="preserve">; </w:t>
      </w:r>
      <w:r>
        <w:rPr>
          <w:rFonts w:ascii="Century Schoolbook" w:hAnsi="Century Schoolbook"/>
        </w:rPr>
        <w:t xml:space="preserve">that the regulations do not apply at all to the </w:t>
      </w:r>
      <w:r w:rsidRPr="00930433">
        <w:rPr>
          <w:rFonts w:ascii="Century Schoolbook" w:hAnsi="Century Schoolbook"/>
        </w:rPr>
        <w:t>ABD FPL program</w:t>
      </w:r>
      <w:r w:rsidR="00473CAF">
        <w:rPr>
          <w:rFonts w:ascii="Century Schoolbook" w:hAnsi="Century Schoolbook"/>
        </w:rPr>
        <w:t>;</w:t>
      </w:r>
      <w:r w:rsidR="00127D22">
        <w:rPr>
          <w:rFonts w:ascii="Century Schoolbook" w:hAnsi="Century Schoolbook"/>
        </w:rPr>
        <w:t xml:space="preserve"> and that even under the regulations, income withheld as a tax garnishment is “available” to meet Abney’s needs.  We agree with this last argument, and on that basis affirm the trial court’s order.  Before explaining why, we first consider </w:t>
      </w:r>
      <w:r w:rsidR="00D33ACE">
        <w:rPr>
          <w:rFonts w:ascii="Century Schoolbook" w:hAnsi="Century Schoolbook"/>
        </w:rPr>
        <w:t>the issue of our standard of review, specifically, how much, if any, deference must we pay</w:t>
      </w:r>
      <w:r w:rsidR="00127D22">
        <w:rPr>
          <w:rFonts w:ascii="Century Schoolbook" w:hAnsi="Century Schoolbook"/>
        </w:rPr>
        <w:t xml:space="preserve"> to the Department’s interpretation of the regulations</w:t>
      </w:r>
      <w:r w:rsidR="00D33ACE">
        <w:rPr>
          <w:rFonts w:ascii="Century Schoolbook" w:hAnsi="Century Schoolbook"/>
        </w:rPr>
        <w:t xml:space="preserve">. </w:t>
      </w:r>
      <w:r w:rsidR="00127D22">
        <w:rPr>
          <w:rFonts w:ascii="Century Schoolbook" w:hAnsi="Century Schoolbook"/>
        </w:rPr>
        <w:t xml:space="preserve"> </w:t>
      </w:r>
    </w:p>
    <w:p w14:paraId="0CF6DB46" w14:textId="7FC3E9D0" w:rsidR="0057023B" w:rsidRDefault="00245C01" w:rsidP="000A580A">
      <w:pPr>
        <w:rPr>
          <w:rFonts w:ascii="Century Schoolbook" w:hAnsi="Century Schoolbook"/>
        </w:rPr>
      </w:pPr>
      <w:r>
        <w:rPr>
          <w:rFonts w:ascii="Century Schoolbook" w:hAnsi="Century Schoolbook"/>
        </w:rPr>
        <w:lastRenderedPageBreak/>
        <w:tab/>
        <w:t xml:space="preserve">The </w:t>
      </w:r>
      <w:r w:rsidR="00D33ACE">
        <w:rPr>
          <w:rFonts w:ascii="Century Schoolbook" w:hAnsi="Century Schoolbook"/>
        </w:rPr>
        <w:t>question was exhaustively discussed in the leading case of</w:t>
      </w:r>
      <w:r w:rsidRPr="00245C01">
        <w:rPr>
          <w:rFonts w:ascii="Century Schoolbook" w:hAnsi="Century Schoolbook"/>
        </w:rPr>
        <w:t xml:space="preserve"> </w:t>
      </w:r>
      <w:r w:rsidRPr="00245C01">
        <w:rPr>
          <w:rFonts w:ascii="Century Schoolbook" w:hAnsi="Century Schoolbook"/>
          <w:i/>
          <w:iCs/>
        </w:rPr>
        <w:t>Yamaha Corporation of America v. State Board of Equalization</w:t>
      </w:r>
      <w:r>
        <w:rPr>
          <w:rFonts w:ascii="Century Schoolbook" w:hAnsi="Century Schoolbook"/>
        </w:rPr>
        <w:t xml:space="preserve"> (1998)</w:t>
      </w:r>
      <w:r w:rsidRPr="00245C01">
        <w:rPr>
          <w:rFonts w:ascii="Century Schoolbook" w:hAnsi="Century Schoolbook"/>
        </w:rPr>
        <w:t xml:space="preserve"> 19 Cal.4th 1, 6–11</w:t>
      </w:r>
      <w:r>
        <w:rPr>
          <w:rFonts w:ascii="Century Schoolbook" w:hAnsi="Century Schoolbook"/>
        </w:rPr>
        <w:t xml:space="preserve"> (</w:t>
      </w:r>
      <w:r w:rsidRPr="00245C01">
        <w:rPr>
          <w:rFonts w:ascii="Century Schoolbook" w:hAnsi="Century Schoolbook"/>
          <w:i/>
          <w:iCs/>
        </w:rPr>
        <w:t>Yamaha</w:t>
      </w:r>
      <w:r>
        <w:rPr>
          <w:rFonts w:ascii="Century Schoolbook" w:hAnsi="Century Schoolbook"/>
        </w:rPr>
        <w:t>)</w:t>
      </w:r>
      <w:r w:rsidR="00D33ACE">
        <w:rPr>
          <w:rFonts w:ascii="Century Schoolbook" w:hAnsi="Century Schoolbook"/>
        </w:rPr>
        <w:t xml:space="preserve">, and also by this court, including in </w:t>
      </w:r>
      <w:r w:rsidR="00D33ACE" w:rsidRPr="00807C7D">
        <w:rPr>
          <w:rFonts w:ascii="Century Schoolbook" w:hAnsi="Century Schoolbook"/>
          <w:i/>
          <w:iCs/>
        </w:rPr>
        <w:t xml:space="preserve">State Building </w:t>
      </w:r>
      <w:r w:rsidR="003D78B8">
        <w:rPr>
          <w:rFonts w:ascii="Century Schoolbook" w:hAnsi="Century Schoolbook"/>
          <w:i/>
          <w:iCs/>
        </w:rPr>
        <w:t xml:space="preserve">&amp; </w:t>
      </w:r>
      <w:r w:rsidR="00D33ACE" w:rsidRPr="00807C7D">
        <w:rPr>
          <w:rFonts w:ascii="Century Schoolbook" w:hAnsi="Century Schoolbook"/>
          <w:i/>
          <w:iCs/>
        </w:rPr>
        <w:t xml:space="preserve">Construction </w:t>
      </w:r>
      <w:r w:rsidR="00807C7D" w:rsidRPr="00807C7D">
        <w:rPr>
          <w:rFonts w:ascii="Century Schoolbook" w:hAnsi="Century Schoolbook"/>
          <w:i/>
          <w:iCs/>
        </w:rPr>
        <w:t>Trades</w:t>
      </w:r>
      <w:r w:rsidR="00D33ACE" w:rsidRPr="00807C7D">
        <w:rPr>
          <w:rFonts w:ascii="Century Schoolbook" w:hAnsi="Century Schoolbook"/>
          <w:i/>
          <w:iCs/>
        </w:rPr>
        <w:t xml:space="preserve"> Council of California </w:t>
      </w:r>
      <w:r w:rsidR="00807C7D" w:rsidRPr="00807C7D">
        <w:rPr>
          <w:rFonts w:ascii="Century Schoolbook" w:hAnsi="Century Schoolbook"/>
          <w:i/>
          <w:iCs/>
        </w:rPr>
        <w:t>v. Duncan</w:t>
      </w:r>
      <w:r w:rsidR="00807C7D">
        <w:rPr>
          <w:rFonts w:ascii="Century Schoolbook" w:hAnsi="Century Schoolbook"/>
        </w:rPr>
        <w:t xml:space="preserve"> </w:t>
      </w:r>
      <w:r w:rsidR="00D33ACE">
        <w:rPr>
          <w:rFonts w:ascii="Century Schoolbook" w:hAnsi="Century Schoolbook"/>
        </w:rPr>
        <w:t>(2008) 162 Cal.App.4th 289, 302–306</w:t>
      </w:r>
      <w:r w:rsidR="003D78B8">
        <w:rPr>
          <w:rFonts w:ascii="Century Schoolbook" w:hAnsi="Century Schoolbook"/>
        </w:rPr>
        <w:t xml:space="preserve"> (</w:t>
      </w:r>
      <w:r w:rsidR="003D78B8">
        <w:rPr>
          <w:rFonts w:ascii="Century Schoolbook" w:hAnsi="Century Schoolbook"/>
          <w:i/>
          <w:iCs/>
        </w:rPr>
        <w:t>Duncan</w:t>
      </w:r>
      <w:r w:rsidR="003D78B8">
        <w:rPr>
          <w:rFonts w:ascii="Century Schoolbook" w:hAnsi="Century Schoolbook"/>
        </w:rPr>
        <w:t>)</w:t>
      </w:r>
      <w:r w:rsidR="00807C7D">
        <w:rPr>
          <w:rFonts w:ascii="Century Schoolbook" w:hAnsi="Century Schoolbook"/>
        </w:rPr>
        <w:t xml:space="preserve">, </w:t>
      </w:r>
      <w:r w:rsidR="00807C7D" w:rsidRPr="00807C7D">
        <w:rPr>
          <w:rFonts w:ascii="Century Schoolbook" w:hAnsi="Century Schoolbook"/>
          <w:i/>
          <w:iCs/>
        </w:rPr>
        <w:t>Pacific Gas and Electric Company v. Public Utilities Commission</w:t>
      </w:r>
      <w:r w:rsidR="00807C7D">
        <w:rPr>
          <w:rFonts w:ascii="Century Schoolbook" w:hAnsi="Century Schoolbook"/>
        </w:rPr>
        <w:t xml:space="preserve"> (2015) 237 Cal.App.4th 812, 839–840, and </w:t>
      </w:r>
      <w:r w:rsidR="001E2A70" w:rsidRPr="009A7D44">
        <w:rPr>
          <w:rFonts w:ascii="Century Schoolbook" w:hAnsi="Century Schoolbook"/>
          <w:i/>
          <w:iCs/>
        </w:rPr>
        <w:t>Christensen v. Lightbourne</w:t>
      </w:r>
      <w:r w:rsidR="001E2A70">
        <w:rPr>
          <w:rFonts w:ascii="Century Schoolbook" w:hAnsi="Century Schoolbook"/>
        </w:rPr>
        <w:t xml:space="preserve"> (2</w:t>
      </w:r>
      <w:r w:rsidR="003D78B8">
        <w:rPr>
          <w:rFonts w:ascii="Century Schoolbook" w:hAnsi="Century Schoolbook"/>
        </w:rPr>
        <w:t>0</w:t>
      </w:r>
      <w:r w:rsidR="001E2A70">
        <w:rPr>
          <w:rFonts w:ascii="Century Schoolbook" w:hAnsi="Century Schoolbook"/>
        </w:rPr>
        <w:t xml:space="preserve">17) </w:t>
      </w:r>
      <w:r w:rsidR="00C917C8">
        <w:rPr>
          <w:rFonts w:ascii="Century Schoolbook" w:hAnsi="Century Schoolbook"/>
        </w:rPr>
        <w:t>15 Cal.App.5th 1239, 1251–1252.</w:t>
      </w:r>
      <w:r w:rsidR="00C917C8">
        <w:rPr>
          <w:rStyle w:val="FootnoteReference"/>
          <w:rFonts w:ascii="Century Schoolbook" w:hAnsi="Century Schoolbook"/>
        </w:rPr>
        <w:footnoteReference w:id="3"/>
      </w:r>
      <w:r w:rsidR="00821CA8">
        <w:rPr>
          <w:rFonts w:ascii="Century Schoolbook" w:hAnsi="Century Schoolbook"/>
        </w:rPr>
        <w:t xml:space="preserve">  As applicable here, </w:t>
      </w:r>
      <w:r w:rsidR="00821CA8" w:rsidRPr="00821CA8">
        <w:rPr>
          <w:rFonts w:ascii="Century Schoolbook" w:hAnsi="Century Schoolbook"/>
          <w:i/>
          <w:iCs/>
        </w:rPr>
        <w:t>Yamaha</w:t>
      </w:r>
      <w:r w:rsidR="00821CA8">
        <w:rPr>
          <w:rFonts w:ascii="Century Schoolbook" w:hAnsi="Century Schoolbook"/>
        </w:rPr>
        <w:t xml:space="preserve"> said this:</w:t>
      </w:r>
    </w:p>
    <w:p w14:paraId="064DBFED" w14:textId="614B7E91" w:rsidR="000A580A" w:rsidRDefault="000A580A" w:rsidP="000A580A">
      <w:pPr>
        <w:rPr>
          <w:rFonts w:ascii="Century Schoolbook" w:hAnsi="Century Schoolbook"/>
        </w:rPr>
      </w:pPr>
      <w:r>
        <w:rPr>
          <w:rFonts w:ascii="Century Schoolbook" w:hAnsi="Century Schoolbook"/>
        </w:rPr>
        <w:tab/>
      </w:r>
      <w:r w:rsidRPr="000A580A">
        <w:rPr>
          <w:rFonts w:ascii="Century Schoolbook" w:hAnsi="Century Schoolbook"/>
        </w:rPr>
        <w:t>“[T]wo broad categories of factors relevant to a court</w:t>
      </w:r>
      <w:r w:rsidR="007E0B9D">
        <w:rPr>
          <w:rFonts w:ascii="Century Schoolbook" w:hAnsi="Century Schoolbook"/>
        </w:rPr>
        <w:t>’</w:t>
      </w:r>
      <w:r w:rsidRPr="000A580A">
        <w:rPr>
          <w:rFonts w:ascii="Century Schoolbook" w:hAnsi="Century Schoolbook"/>
        </w:rPr>
        <w:t>s assessment of the weight due an agency</w:t>
      </w:r>
      <w:r w:rsidR="007E0B9D">
        <w:rPr>
          <w:rFonts w:ascii="Century Schoolbook" w:hAnsi="Century Schoolbook"/>
        </w:rPr>
        <w:t>’</w:t>
      </w:r>
      <w:r w:rsidRPr="000A580A">
        <w:rPr>
          <w:rFonts w:ascii="Century Schoolbook" w:hAnsi="Century Schoolbook"/>
        </w:rPr>
        <w:t xml:space="preserve">s interpretation [are] [t]hose ‘indicating that the agency has a comparative interpretive advantage over the courts,’ and those ‘indicating that the interpretation in question is probably correct.’ ” </w:t>
      </w:r>
      <w:r w:rsidR="007E0B9D">
        <w:rPr>
          <w:rFonts w:ascii="Century Schoolbook" w:hAnsi="Century Schoolbook"/>
        </w:rPr>
        <w:t xml:space="preserve"> </w:t>
      </w:r>
      <w:r w:rsidRPr="000A580A">
        <w:rPr>
          <w:rFonts w:ascii="Century Schoolbook" w:hAnsi="Century Schoolbook"/>
        </w:rPr>
        <w:t>(</w:t>
      </w:r>
      <w:r w:rsidRPr="007E0B9D">
        <w:rPr>
          <w:rFonts w:ascii="Century Schoolbook" w:hAnsi="Century Schoolbook"/>
          <w:i/>
          <w:iCs/>
        </w:rPr>
        <w:t>Yamaha</w:t>
      </w:r>
      <w:r w:rsidRPr="000A580A">
        <w:rPr>
          <w:rFonts w:ascii="Century Schoolbook" w:hAnsi="Century Schoolbook"/>
        </w:rPr>
        <w:t xml:space="preserve">, </w:t>
      </w:r>
      <w:r w:rsidRPr="007E0B9D">
        <w:rPr>
          <w:rFonts w:ascii="Century Schoolbook" w:hAnsi="Century Schoolbook"/>
          <w:i/>
          <w:iCs/>
        </w:rPr>
        <w:t>supra</w:t>
      </w:r>
      <w:r w:rsidRPr="000A580A">
        <w:rPr>
          <w:rFonts w:ascii="Century Schoolbook" w:hAnsi="Century Schoolbook"/>
        </w:rPr>
        <w:t xml:space="preserve">, 19 Cal.4th at p. 12.) </w:t>
      </w:r>
      <w:r w:rsidR="007E0B9D">
        <w:rPr>
          <w:rFonts w:ascii="Century Schoolbook" w:hAnsi="Century Schoolbook"/>
        </w:rPr>
        <w:t xml:space="preserve"> </w:t>
      </w:r>
      <w:r w:rsidRPr="000A580A">
        <w:rPr>
          <w:rFonts w:ascii="Century Schoolbook" w:hAnsi="Century Schoolbook"/>
        </w:rPr>
        <w:t xml:space="preserve">“In the first category are factors that ‘assume the agency has expertise and technical knowledge, especially where the legal text to be interpreted is technical, obscure, complex, open-ended, or entwined with issues of fact, policy, and discretion. </w:t>
      </w:r>
      <w:r>
        <w:rPr>
          <w:rFonts w:ascii="Century Schoolbook" w:hAnsi="Century Schoolbook"/>
        </w:rPr>
        <w:t xml:space="preserve"> </w:t>
      </w:r>
      <w:r w:rsidRPr="000A580A">
        <w:rPr>
          <w:rFonts w:ascii="Century Schoolbook" w:hAnsi="Century Schoolbook"/>
        </w:rPr>
        <w:t>A court is more likely to defer to an agency</w:t>
      </w:r>
      <w:r w:rsidR="007E0B9D">
        <w:rPr>
          <w:rFonts w:ascii="Century Schoolbook" w:hAnsi="Century Schoolbook"/>
        </w:rPr>
        <w:t>’</w:t>
      </w:r>
      <w:r w:rsidRPr="000A580A">
        <w:rPr>
          <w:rFonts w:ascii="Century Schoolbook" w:hAnsi="Century Schoolbook"/>
        </w:rPr>
        <w:t xml:space="preserve">s interpretation of its own regulation than to its interpretation of a statute, since the agency is likely to be intimately familiar </w:t>
      </w:r>
      <w:r w:rsidRPr="000A580A">
        <w:rPr>
          <w:rFonts w:ascii="Century Schoolbook" w:hAnsi="Century Schoolbook"/>
        </w:rPr>
        <w:lastRenderedPageBreak/>
        <w:t xml:space="preserve">with regulations it authored and sensitive to the practical implications of one interpretation over another.’ </w:t>
      </w:r>
      <w:r w:rsidR="007E0B9D">
        <w:rPr>
          <w:rFonts w:ascii="Century Schoolbook" w:hAnsi="Century Schoolbook"/>
        </w:rPr>
        <w:t xml:space="preserve"> </w:t>
      </w:r>
      <w:r w:rsidRPr="000A580A">
        <w:rPr>
          <w:rFonts w:ascii="Century Schoolbook" w:hAnsi="Century Schoolbook"/>
        </w:rPr>
        <w:t>[Citation.]</w:t>
      </w:r>
      <w:r w:rsidR="005B0512">
        <w:rPr>
          <w:rFonts w:ascii="Century Schoolbook" w:hAnsi="Century Schoolbook"/>
        </w:rPr>
        <w:t>”  (</w:t>
      </w:r>
      <w:r w:rsidR="005B0512" w:rsidRPr="005B0512">
        <w:rPr>
          <w:rFonts w:ascii="Century Schoolbook" w:hAnsi="Century Schoolbook"/>
          <w:i/>
          <w:iCs/>
        </w:rPr>
        <w:t>Ibid</w:t>
      </w:r>
      <w:r w:rsidR="005B0512" w:rsidRPr="005B0512">
        <w:rPr>
          <w:rFonts w:ascii="Century Schoolbook" w:hAnsi="Century Schoolbook"/>
        </w:rPr>
        <w:t xml:space="preserve">.) </w:t>
      </w:r>
      <w:r w:rsidR="007E0B9D" w:rsidRPr="005B0512">
        <w:rPr>
          <w:rFonts w:ascii="Century Schoolbook" w:hAnsi="Century Schoolbook"/>
        </w:rPr>
        <w:t xml:space="preserve"> </w:t>
      </w:r>
      <w:r w:rsidRPr="005B0512">
        <w:rPr>
          <w:rFonts w:ascii="Century Schoolbook" w:hAnsi="Century Schoolbook"/>
        </w:rPr>
        <w:t>The second group of factors—those suggesting the agency</w:t>
      </w:r>
      <w:r w:rsidR="007E0B9D" w:rsidRPr="005B0512">
        <w:rPr>
          <w:rFonts w:ascii="Century Schoolbook" w:hAnsi="Century Schoolbook"/>
        </w:rPr>
        <w:t>’</w:t>
      </w:r>
      <w:r w:rsidRPr="005B0512">
        <w:rPr>
          <w:rFonts w:ascii="Century Schoolbook" w:hAnsi="Century Schoolbook"/>
        </w:rPr>
        <w:t>s interpretation is likely to be correct—</w:t>
      </w:r>
      <w:r w:rsidR="00BF5CA9">
        <w:rPr>
          <w:rFonts w:ascii="Century Schoolbook" w:hAnsi="Century Schoolbook"/>
        </w:rPr>
        <w:t>“</w:t>
      </w:r>
      <w:r w:rsidRPr="005B0512">
        <w:rPr>
          <w:rFonts w:ascii="Century Schoolbook" w:hAnsi="Century Schoolbook"/>
        </w:rPr>
        <w:t>includes indications of careful consideration by senior</w:t>
      </w:r>
      <w:r w:rsidRPr="000A580A">
        <w:rPr>
          <w:rFonts w:ascii="Century Schoolbook" w:hAnsi="Century Schoolbook"/>
        </w:rPr>
        <w:t xml:space="preserve"> agency officials (‘an interpretation of a statute contained in a regulation adopted after public notice and comment is more deserving of deference than [one] contained in an advice letter prepared by a single staff member’ [citation]), evidence that the agency ‘has consistently maintained the interpretation in question, especially if [it] is long-standing’ [citation] </w:t>
      </w:r>
      <w:r w:rsidR="00821CA8">
        <w:rPr>
          <w:rFonts w:ascii="Century Schoolbook" w:hAnsi="Century Schoolbook"/>
        </w:rPr>
        <w:t xml:space="preserve">. . . </w:t>
      </w:r>
      <w:r w:rsidRPr="000A580A">
        <w:rPr>
          <w:rFonts w:ascii="Century Schoolbook" w:hAnsi="Century Schoolbook"/>
        </w:rPr>
        <w:t>, and indications that the agency</w:t>
      </w:r>
      <w:r w:rsidR="007E0B9D">
        <w:rPr>
          <w:rFonts w:ascii="Century Schoolbook" w:hAnsi="Century Schoolbook"/>
        </w:rPr>
        <w:t>’</w:t>
      </w:r>
      <w:r w:rsidRPr="000A580A">
        <w:rPr>
          <w:rFonts w:ascii="Century Schoolbook" w:hAnsi="Century Schoolbook"/>
        </w:rPr>
        <w:t>s interpretation was contemporaneous with legislative enactment of the statute being</w:t>
      </w:r>
      <w:r w:rsidR="007E0B9D">
        <w:rPr>
          <w:rFonts w:ascii="Century Schoolbook" w:hAnsi="Century Schoolbook"/>
        </w:rPr>
        <w:t xml:space="preserve"> </w:t>
      </w:r>
      <w:r w:rsidRPr="000A580A">
        <w:rPr>
          <w:rFonts w:ascii="Century Schoolbook" w:hAnsi="Century Schoolbook"/>
        </w:rPr>
        <w:t xml:space="preserve">interpreted.” </w:t>
      </w:r>
      <w:r w:rsidR="007E0B9D">
        <w:rPr>
          <w:rFonts w:ascii="Century Schoolbook" w:hAnsi="Century Schoolbook"/>
        </w:rPr>
        <w:t xml:space="preserve"> </w:t>
      </w:r>
      <w:r w:rsidRPr="000A580A">
        <w:rPr>
          <w:rFonts w:ascii="Century Schoolbook" w:hAnsi="Century Schoolbook"/>
        </w:rPr>
        <w:t>(</w:t>
      </w:r>
      <w:r w:rsidRPr="007E0B9D">
        <w:rPr>
          <w:rFonts w:ascii="Century Schoolbook" w:hAnsi="Century Schoolbook"/>
          <w:i/>
          <w:iCs/>
        </w:rPr>
        <w:t>Yamaha</w:t>
      </w:r>
      <w:r w:rsidRPr="000A580A">
        <w:rPr>
          <w:rFonts w:ascii="Century Schoolbook" w:hAnsi="Century Schoolbook"/>
        </w:rPr>
        <w:t xml:space="preserve">, </w:t>
      </w:r>
      <w:r w:rsidRPr="007E0B9D">
        <w:rPr>
          <w:rFonts w:ascii="Century Schoolbook" w:hAnsi="Century Schoolbook"/>
          <w:i/>
          <w:iCs/>
        </w:rPr>
        <w:t>supra</w:t>
      </w:r>
      <w:r w:rsidRPr="000A580A">
        <w:rPr>
          <w:rFonts w:ascii="Century Schoolbook" w:hAnsi="Century Schoolbook"/>
        </w:rPr>
        <w:t>, 19 Cal.4th at p</w:t>
      </w:r>
      <w:r w:rsidR="005B0512">
        <w:rPr>
          <w:rFonts w:ascii="Century Schoolbook" w:hAnsi="Century Schoolbook"/>
        </w:rPr>
        <w:t>.</w:t>
      </w:r>
      <w:r w:rsidRPr="000A580A">
        <w:rPr>
          <w:rFonts w:ascii="Century Schoolbook" w:hAnsi="Century Schoolbook"/>
        </w:rPr>
        <w:t xml:space="preserve"> </w:t>
      </w:r>
      <w:r w:rsidR="005B0512">
        <w:rPr>
          <w:rFonts w:ascii="Century Schoolbook" w:hAnsi="Century Schoolbook"/>
        </w:rPr>
        <w:t>1</w:t>
      </w:r>
      <w:r w:rsidRPr="000A580A">
        <w:rPr>
          <w:rFonts w:ascii="Century Schoolbook" w:hAnsi="Century Schoolbook"/>
        </w:rPr>
        <w:t>3.)</w:t>
      </w:r>
    </w:p>
    <w:p w14:paraId="1CA3E9DA" w14:textId="2755D1CF" w:rsidR="004815FB" w:rsidRDefault="004815FB" w:rsidP="00C839AF">
      <w:pPr>
        <w:rPr>
          <w:rFonts w:ascii="Century Schoolbook" w:hAnsi="Century Schoolbook"/>
        </w:rPr>
      </w:pPr>
      <w:r>
        <w:rPr>
          <w:rFonts w:ascii="Century Schoolbook" w:hAnsi="Century Schoolbook"/>
        </w:rPr>
        <w:tab/>
        <w:t xml:space="preserve">In support of its opposition to Abney’s petition, the Department submitted a declaration from Brooke Hennessy, </w:t>
      </w:r>
      <w:r w:rsidRPr="004815FB">
        <w:rPr>
          <w:rFonts w:ascii="Century Schoolbook" w:hAnsi="Century Schoolbook"/>
        </w:rPr>
        <w:t>a Staff Services Manager II in the Policy Development Branch</w:t>
      </w:r>
      <w:r w:rsidR="00362AF6">
        <w:rPr>
          <w:rFonts w:ascii="Century Schoolbook" w:hAnsi="Century Schoolbook"/>
        </w:rPr>
        <w:t xml:space="preserve"> of the</w:t>
      </w:r>
      <w:r w:rsidRPr="004815FB">
        <w:rPr>
          <w:rFonts w:ascii="Century Schoolbook" w:hAnsi="Century Schoolbook"/>
        </w:rPr>
        <w:t xml:space="preserve"> Medi</w:t>
      </w:r>
      <w:r w:rsidR="00362AF6">
        <w:rPr>
          <w:rFonts w:ascii="Century Schoolbook" w:hAnsi="Century Schoolbook"/>
        </w:rPr>
        <w:t>–</w:t>
      </w:r>
      <w:r w:rsidRPr="004815FB">
        <w:rPr>
          <w:rFonts w:ascii="Century Schoolbook" w:hAnsi="Century Schoolbook"/>
        </w:rPr>
        <w:t>Cal Eligibility</w:t>
      </w:r>
      <w:r>
        <w:rPr>
          <w:rFonts w:ascii="Century Schoolbook" w:hAnsi="Century Schoolbook"/>
        </w:rPr>
        <w:t xml:space="preserve"> </w:t>
      </w:r>
      <w:r w:rsidRPr="004815FB">
        <w:rPr>
          <w:rFonts w:ascii="Century Schoolbook" w:hAnsi="Century Schoolbook"/>
        </w:rPr>
        <w:t>Division of the Department</w:t>
      </w:r>
      <w:r>
        <w:rPr>
          <w:rFonts w:ascii="Century Schoolbook" w:hAnsi="Century Schoolbook"/>
        </w:rPr>
        <w:t xml:space="preserve">.  According to Hennessy, </w:t>
      </w:r>
      <w:r w:rsidR="00C839AF">
        <w:rPr>
          <w:rFonts w:ascii="Century Schoolbook" w:hAnsi="Century Schoolbook"/>
        </w:rPr>
        <w:t>“[f]</w:t>
      </w:r>
      <w:r w:rsidR="00C839AF" w:rsidRPr="00C839AF">
        <w:rPr>
          <w:rFonts w:ascii="Century Schoolbook" w:hAnsi="Century Schoolbook"/>
        </w:rPr>
        <w:t>rom 2018 to the</w:t>
      </w:r>
      <w:r w:rsidR="00C839AF">
        <w:rPr>
          <w:rFonts w:ascii="Century Schoolbook" w:hAnsi="Century Schoolbook"/>
        </w:rPr>
        <w:t xml:space="preserve"> </w:t>
      </w:r>
      <w:r w:rsidR="00C839AF" w:rsidRPr="00C839AF">
        <w:rPr>
          <w:rFonts w:ascii="Century Schoolbook" w:hAnsi="Century Schoolbook"/>
        </w:rPr>
        <w:t xml:space="preserve">present, the Department has advised counties </w:t>
      </w:r>
      <w:r w:rsidR="00C839AF">
        <w:rPr>
          <w:rFonts w:ascii="Century Schoolbook" w:hAnsi="Century Schoolbook"/>
        </w:rPr>
        <w:t>o</w:t>
      </w:r>
      <w:r w:rsidR="00C839AF" w:rsidRPr="00C839AF">
        <w:rPr>
          <w:rFonts w:ascii="Century Schoolbook" w:hAnsi="Century Schoolbook"/>
        </w:rPr>
        <w:t>n four separate occasions that taxes, garnishments,</w:t>
      </w:r>
      <w:r w:rsidR="00C839AF">
        <w:rPr>
          <w:rFonts w:ascii="Century Schoolbook" w:hAnsi="Century Schoolbook"/>
        </w:rPr>
        <w:t xml:space="preserve"> </w:t>
      </w:r>
      <w:r w:rsidR="00C839AF" w:rsidRPr="00C839AF">
        <w:rPr>
          <w:rFonts w:ascii="Century Schoolbook" w:hAnsi="Century Schoolbook"/>
        </w:rPr>
        <w:t xml:space="preserve">and liens are considered </w:t>
      </w:r>
      <w:r w:rsidR="00C839AF">
        <w:rPr>
          <w:rFonts w:ascii="Century Schoolbook" w:hAnsi="Century Schoolbook"/>
        </w:rPr>
        <w:t>‘</w:t>
      </w:r>
      <w:r w:rsidR="00C839AF" w:rsidRPr="00C839AF">
        <w:rPr>
          <w:rFonts w:ascii="Century Schoolbook" w:hAnsi="Century Schoolbook"/>
        </w:rPr>
        <w:t>available income</w:t>
      </w:r>
      <w:r w:rsidR="00C839AF">
        <w:rPr>
          <w:rFonts w:ascii="Century Schoolbook" w:hAnsi="Century Schoolbook"/>
        </w:rPr>
        <w:t>’</w:t>
      </w:r>
      <w:r w:rsidR="00C839AF" w:rsidRPr="00C839AF">
        <w:rPr>
          <w:rFonts w:ascii="Century Schoolbook" w:hAnsi="Century Schoolbook"/>
        </w:rPr>
        <w:t xml:space="preserve"> for purposes of Medi</w:t>
      </w:r>
      <w:r w:rsidR="00362AF6">
        <w:rPr>
          <w:rFonts w:ascii="Century Schoolbook" w:hAnsi="Century Schoolbook"/>
        </w:rPr>
        <w:t>–</w:t>
      </w:r>
      <w:r w:rsidR="00C839AF" w:rsidRPr="00C839AF">
        <w:rPr>
          <w:rFonts w:ascii="Century Schoolbook" w:hAnsi="Century Schoolbook"/>
        </w:rPr>
        <w:t>Cal eligibility, and that the</w:t>
      </w:r>
      <w:r w:rsidR="00C839AF">
        <w:rPr>
          <w:rFonts w:ascii="Century Schoolbook" w:hAnsi="Century Schoolbook"/>
        </w:rPr>
        <w:t xml:space="preserve"> </w:t>
      </w:r>
      <w:r w:rsidR="00C839AF" w:rsidRPr="00C839AF">
        <w:rPr>
          <w:rFonts w:ascii="Century Schoolbook" w:hAnsi="Century Schoolbook"/>
        </w:rPr>
        <w:t xml:space="preserve">definition of </w:t>
      </w:r>
      <w:r w:rsidR="00362AF6">
        <w:rPr>
          <w:rFonts w:ascii="Century Schoolbook" w:hAnsi="Century Schoolbook"/>
        </w:rPr>
        <w:t>‘</w:t>
      </w:r>
      <w:r w:rsidR="00C839AF" w:rsidRPr="00C839AF">
        <w:rPr>
          <w:rFonts w:ascii="Century Schoolbook" w:hAnsi="Century Schoolbook"/>
        </w:rPr>
        <w:t>income</w:t>
      </w:r>
      <w:r w:rsidR="00362AF6">
        <w:rPr>
          <w:rFonts w:ascii="Century Schoolbook" w:hAnsi="Century Schoolbook"/>
        </w:rPr>
        <w:t>’</w:t>
      </w:r>
      <w:r w:rsidR="00C839AF" w:rsidRPr="00C839AF">
        <w:rPr>
          <w:rFonts w:ascii="Century Schoolbook" w:hAnsi="Century Schoolbook"/>
        </w:rPr>
        <w:t xml:space="preserve"> relies on the federal social security regulations, codified at 20 </w:t>
      </w:r>
      <w:r w:rsidR="00C839AF">
        <w:rPr>
          <w:rFonts w:ascii="Century Schoolbook" w:hAnsi="Century Schoolbook"/>
        </w:rPr>
        <w:t xml:space="preserve"> C</w:t>
      </w:r>
      <w:r w:rsidR="00C839AF" w:rsidRPr="00C839AF">
        <w:rPr>
          <w:rFonts w:ascii="Century Schoolbook" w:hAnsi="Century Schoolbook"/>
        </w:rPr>
        <w:t>FR</w:t>
      </w:r>
      <w:r w:rsidR="00C839AF">
        <w:rPr>
          <w:rFonts w:ascii="Century Schoolbook" w:hAnsi="Century Schoolbook"/>
        </w:rPr>
        <w:t xml:space="preserve"> </w:t>
      </w:r>
      <w:r w:rsidR="00C839AF" w:rsidRPr="00C839AF">
        <w:rPr>
          <w:rFonts w:ascii="Century Schoolbook" w:hAnsi="Century Schoolbook"/>
        </w:rPr>
        <w:t>416.112</w:t>
      </w:r>
      <w:r w:rsidR="00C839AF">
        <w:rPr>
          <w:rFonts w:ascii="Century Schoolbook" w:hAnsi="Century Schoolbook"/>
        </w:rPr>
        <w:t xml:space="preserve">3.”  </w:t>
      </w:r>
      <w:r w:rsidR="00821CA8">
        <w:rPr>
          <w:rFonts w:ascii="Century Schoolbook" w:hAnsi="Century Schoolbook"/>
        </w:rPr>
        <w:t>Hennessy’s</w:t>
      </w:r>
      <w:r w:rsidR="00C839AF">
        <w:rPr>
          <w:rFonts w:ascii="Century Schoolbook" w:hAnsi="Century Schoolbook"/>
        </w:rPr>
        <w:t xml:space="preserve"> declaration </w:t>
      </w:r>
      <w:r w:rsidR="002B7B61">
        <w:rPr>
          <w:rFonts w:ascii="Century Schoolbook" w:hAnsi="Century Schoolbook"/>
        </w:rPr>
        <w:t xml:space="preserve">also </w:t>
      </w:r>
      <w:r w:rsidR="00C839AF">
        <w:rPr>
          <w:rFonts w:ascii="Century Schoolbook" w:hAnsi="Century Schoolbook"/>
        </w:rPr>
        <w:t xml:space="preserve">attached four emails </w:t>
      </w:r>
      <w:r w:rsidR="00CA433D">
        <w:rPr>
          <w:rFonts w:ascii="Century Schoolbook" w:hAnsi="Century Schoolbook"/>
        </w:rPr>
        <w:t xml:space="preserve">from various employees of the Medi-Cal Eligibility Division in response to questions from various California counties, advising that tax withholding or tax garnishments </w:t>
      </w:r>
      <w:r w:rsidR="00754169">
        <w:rPr>
          <w:rFonts w:ascii="Century Schoolbook" w:hAnsi="Century Schoolbook"/>
        </w:rPr>
        <w:t>should</w:t>
      </w:r>
      <w:r w:rsidR="00CA433D">
        <w:rPr>
          <w:rFonts w:ascii="Century Schoolbook" w:hAnsi="Century Schoolbook"/>
        </w:rPr>
        <w:t xml:space="preserve"> be considered “available income” f</w:t>
      </w:r>
      <w:r w:rsidR="00362AF6">
        <w:rPr>
          <w:rFonts w:ascii="Century Schoolbook" w:hAnsi="Century Schoolbook"/>
        </w:rPr>
        <w:t>or</w:t>
      </w:r>
      <w:r w:rsidR="00CA433D">
        <w:rPr>
          <w:rFonts w:ascii="Century Schoolbook" w:hAnsi="Century Schoolbook"/>
        </w:rPr>
        <w:t xml:space="preserve"> the purpose of </w:t>
      </w:r>
      <w:r w:rsidR="005F2881">
        <w:rPr>
          <w:rFonts w:ascii="Century Schoolbook" w:hAnsi="Century Schoolbook"/>
        </w:rPr>
        <w:t>calculating</w:t>
      </w:r>
      <w:r w:rsidR="00CA433D">
        <w:rPr>
          <w:rFonts w:ascii="Century Schoolbook" w:hAnsi="Century Schoolbook"/>
        </w:rPr>
        <w:t xml:space="preserve"> Medi-Cal </w:t>
      </w:r>
      <w:r w:rsidR="005F2881">
        <w:rPr>
          <w:rFonts w:ascii="Century Schoolbook" w:hAnsi="Century Schoolbook"/>
        </w:rPr>
        <w:t>eligibility</w:t>
      </w:r>
      <w:r w:rsidR="00CA433D">
        <w:rPr>
          <w:rFonts w:ascii="Century Schoolbook" w:hAnsi="Century Schoolbook"/>
        </w:rPr>
        <w:t xml:space="preserve">. </w:t>
      </w:r>
    </w:p>
    <w:p w14:paraId="598AA3C2" w14:textId="28436C59" w:rsidR="007E0B9D" w:rsidRDefault="00661F81" w:rsidP="000A580A">
      <w:pPr>
        <w:rPr>
          <w:rFonts w:ascii="Century Schoolbook" w:hAnsi="Century Schoolbook"/>
        </w:rPr>
      </w:pPr>
      <w:r>
        <w:rPr>
          <w:rFonts w:ascii="Century Schoolbook" w:hAnsi="Century Schoolbook"/>
        </w:rPr>
        <w:tab/>
        <w:t xml:space="preserve">The relevant factors in </w:t>
      </w:r>
      <w:r w:rsidR="00E31E15">
        <w:rPr>
          <w:rFonts w:ascii="Century Schoolbook" w:hAnsi="Century Schoolbook"/>
        </w:rPr>
        <w:t xml:space="preserve">the first category under </w:t>
      </w:r>
      <w:r w:rsidR="00E31E15" w:rsidRPr="00991CDB">
        <w:rPr>
          <w:rFonts w:ascii="Century Schoolbook" w:hAnsi="Century Schoolbook"/>
          <w:i/>
          <w:iCs/>
        </w:rPr>
        <w:t>Yamaha</w:t>
      </w:r>
      <w:r w:rsidR="00E31E15">
        <w:rPr>
          <w:rFonts w:ascii="Century Schoolbook" w:hAnsi="Century Schoolbook"/>
        </w:rPr>
        <w:t>—those assuming the agency has expertise and technical knowledge—</w:t>
      </w:r>
      <w:r>
        <w:rPr>
          <w:rFonts w:ascii="Century Schoolbook" w:hAnsi="Century Schoolbook"/>
        </w:rPr>
        <w:t xml:space="preserve">counsel in favor of limited deference to the department’s interpretation of the language of </w:t>
      </w:r>
      <w:r w:rsidR="00BE64C6">
        <w:rPr>
          <w:rFonts w:ascii="Century Schoolbook" w:hAnsi="Century Schoolbook"/>
        </w:rPr>
        <w:t xml:space="preserve">sections </w:t>
      </w:r>
      <w:r w:rsidR="00E904D5">
        <w:rPr>
          <w:rFonts w:ascii="Century Schoolbook" w:hAnsi="Century Schoolbook"/>
        </w:rPr>
        <w:t>50513 and 50515</w:t>
      </w:r>
      <w:r w:rsidR="00977DCF">
        <w:rPr>
          <w:rFonts w:ascii="Century Schoolbook" w:hAnsi="Century Schoolbook"/>
        </w:rPr>
        <w:t>.</w:t>
      </w:r>
      <w:r>
        <w:rPr>
          <w:rFonts w:ascii="Century Schoolbook" w:hAnsi="Century Schoolbook"/>
        </w:rPr>
        <w:t xml:space="preserve">  </w:t>
      </w:r>
      <w:r w:rsidR="00977DCF">
        <w:rPr>
          <w:rFonts w:ascii="Century Schoolbook" w:hAnsi="Century Schoolbook"/>
        </w:rPr>
        <w:t>Determin</w:t>
      </w:r>
      <w:r w:rsidR="005F2881">
        <w:rPr>
          <w:rFonts w:ascii="Century Schoolbook" w:hAnsi="Century Schoolbook"/>
        </w:rPr>
        <w:t>in</w:t>
      </w:r>
      <w:r w:rsidR="00977DCF">
        <w:rPr>
          <w:rFonts w:ascii="Century Schoolbook" w:hAnsi="Century Schoolbook"/>
        </w:rPr>
        <w:t xml:space="preserve">g whether the </w:t>
      </w:r>
      <w:r w:rsidR="00754169">
        <w:rPr>
          <w:rFonts w:ascii="Century Schoolbook" w:hAnsi="Century Schoolbook"/>
        </w:rPr>
        <w:t>phrase</w:t>
      </w:r>
      <w:r w:rsidR="00977DCF">
        <w:rPr>
          <w:rFonts w:ascii="Century Schoolbook" w:hAnsi="Century Schoolbook"/>
        </w:rPr>
        <w:t xml:space="preserve"> “</w:t>
      </w:r>
      <w:r w:rsidR="00366623">
        <w:rPr>
          <w:rFonts w:ascii="Century Schoolbook" w:hAnsi="Century Schoolbook"/>
        </w:rPr>
        <w:t xml:space="preserve">actually </w:t>
      </w:r>
      <w:r w:rsidR="00366623">
        <w:rPr>
          <w:rFonts w:ascii="Century Schoolbook" w:hAnsi="Century Schoolbook"/>
        </w:rPr>
        <w:lastRenderedPageBreak/>
        <w:t>available</w:t>
      </w:r>
      <w:r w:rsidR="00754169">
        <w:rPr>
          <w:rFonts w:ascii="Century Schoolbook" w:hAnsi="Century Schoolbook"/>
        </w:rPr>
        <w:t xml:space="preserve"> to meet the needs of a person</w:t>
      </w:r>
      <w:r w:rsidR="00977DCF">
        <w:rPr>
          <w:rFonts w:ascii="Century Schoolbook" w:hAnsi="Century Schoolbook"/>
        </w:rPr>
        <w:t xml:space="preserve">” includes income garnished to </w:t>
      </w:r>
      <w:r w:rsidR="005F2881">
        <w:rPr>
          <w:rFonts w:ascii="Century Schoolbook" w:hAnsi="Century Schoolbook"/>
        </w:rPr>
        <w:t>satisfy</w:t>
      </w:r>
      <w:r w:rsidR="00977DCF">
        <w:rPr>
          <w:rFonts w:ascii="Century Schoolbook" w:hAnsi="Century Schoolbook"/>
        </w:rPr>
        <w:t xml:space="preserve"> a tax debt does not require expertise or technical knowledge; indeed, Abney’s argument </w:t>
      </w:r>
      <w:r w:rsidR="00366623">
        <w:rPr>
          <w:rFonts w:ascii="Century Schoolbook" w:hAnsi="Century Schoolbook"/>
        </w:rPr>
        <w:t xml:space="preserve">that it does not </w:t>
      </w:r>
      <w:r w:rsidR="00977DCF">
        <w:rPr>
          <w:rFonts w:ascii="Century Schoolbook" w:hAnsi="Century Schoolbook"/>
        </w:rPr>
        <w:t xml:space="preserve">is based on dictionary definitions. </w:t>
      </w:r>
      <w:r w:rsidR="00366623">
        <w:rPr>
          <w:rFonts w:ascii="Century Schoolbook" w:hAnsi="Century Schoolbook"/>
        </w:rPr>
        <w:t xml:space="preserve"> </w:t>
      </w:r>
      <w:r w:rsidRPr="00661F81">
        <w:rPr>
          <w:rFonts w:ascii="Century Schoolbook" w:hAnsi="Century Schoolbook"/>
        </w:rPr>
        <w:t>The regulation</w:t>
      </w:r>
      <w:r w:rsidR="00366623">
        <w:rPr>
          <w:rFonts w:ascii="Century Schoolbook" w:hAnsi="Century Schoolbook"/>
        </w:rPr>
        <w:t>s</w:t>
      </w:r>
      <w:r w:rsidRPr="00661F81">
        <w:rPr>
          <w:rFonts w:ascii="Century Schoolbook" w:hAnsi="Century Schoolbook"/>
        </w:rPr>
        <w:t xml:space="preserve"> </w:t>
      </w:r>
      <w:r w:rsidR="00366623">
        <w:rPr>
          <w:rFonts w:ascii="Century Schoolbook" w:hAnsi="Century Schoolbook"/>
        </w:rPr>
        <w:t>are</w:t>
      </w:r>
      <w:r w:rsidRPr="00661F81">
        <w:rPr>
          <w:rFonts w:ascii="Century Schoolbook" w:hAnsi="Century Schoolbook"/>
        </w:rPr>
        <w:t xml:space="preserve"> not </w:t>
      </w:r>
      <w:r w:rsidR="00366623">
        <w:rPr>
          <w:rFonts w:ascii="Century Schoolbook" w:hAnsi="Century Schoolbook"/>
        </w:rPr>
        <w:t>“</w:t>
      </w:r>
      <w:r w:rsidRPr="00661F81">
        <w:rPr>
          <w:rFonts w:ascii="Century Schoolbook" w:hAnsi="Century Schoolbook"/>
        </w:rPr>
        <w:t xml:space="preserve">technical, obscure, complex, open-ended, or entwined with issues of fact, policy, </w:t>
      </w:r>
      <w:r w:rsidR="00BF5CA9">
        <w:rPr>
          <w:rFonts w:ascii="Century Schoolbook" w:hAnsi="Century Schoolbook"/>
        </w:rPr>
        <w:t>and</w:t>
      </w:r>
      <w:r w:rsidRPr="00661F81">
        <w:rPr>
          <w:rFonts w:ascii="Century Schoolbook" w:hAnsi="Century Schoolbook"/>
        </w:rPr>
        <w:t xml:space="preserve"> discretion.</w:t>
      </w:r>
      <w:r w:rsidR="00366623">
        <w:rPr>
          <w:rFonts w:ascii="Century Schoolbook" w:hAnsi="Century Schoolbook"/>
        </w:rPr>
        <w:t xml:space="preserve">”  </w:t>
      </w:r>
      <w:r w:rsidR="001A5928">
        <w:rPr>
          <w:rFonts w:ascii="Century Schoolbook" w:hAnsi="Century Schoolbook"/>
        </w:rPr>
        <w:t>(</w:t>
      </w:r>
      <w:r w:rsidR="001A5928" w:rsidRPr="001A5928">
        <w:rPr>
          <w:rFonts w:ascii="Century Schoolbook" w:hAnsi="Century Schoolbook"/>
          <w:i/>
          <w:iCs/>
        </w:rPr>
        <w:t>Yamaha</w:t>
      </w:r>
      <w:r w:rsidR="001A5928">
        <w:rPr>
          <w:rFonts w:ascii="Century Schoolbook" w:hAnsi="Century Schoolbook"/>
        </w:rPr>
        <w:t xml:space="preserve">, </w:t>
      </w:r>
      <w:r w:rsidR="001A5928" w:rsidRPr="001A5928">
        <w:rPr>
          <w:rFonts w:ascii="Century Schoolbook" w:hAnsi="Century Schoolbook"/>
          <w:i/>
          <w:iCs/>
        </w:rPr>
        <w:t>supra</w:t>
      </w:r>
      <w:r w:rsidR="001A5928">
        <w:rPr>
          <w:rFonts w:ascii="Century Schoolbook" w:hAnsi="Century Schoolbook"/>
        </w:rPr>
        <w:t>, 19 Cal.4th at p. 12; s</w:t>
      </w:r>
      <w:r w:rsidR="00801EFF">
        <w:rPr>
          <w:rFonts w:ascii="Century Schoolbook" w:hAnsi="Century Schoolbook"/>
        </w:rPr>
        <w:t xml:space="preserve">ee </w:t>
      </w:r>
      <w:r w:rsidR="00801EFF" w:rsidRPr="00801EFF">
        <w:rPr>
          <w:rFonts w:ascii="Century Schoolbook" w:hAnsi="Century Schoolbook"/>
          <w:i/>
          <w:iCs/>
        </w:rPr>
        <w:t>De La Torre v. California Horse Racing Board</w:t>
      </w:r>
      <w:r w:rsidR="00801EFF">
        <w:rPr>
          <w:rFonts w:ascii="Century Schoolbook" w:hAnsi="Century Schoolbook"/>
        </w:rPr>
        <w:t xml:space="preserve"> (2017) 7 Cal.App.5th 1058, 1071</w:t>
      </w:r>
      <w:r w:rsidR="00CD62C0">
        <w:rPr>
          <w:rFonts w:ascii="Century Schoolbook" w:hAnsi="Century Schoolbook"/>
        </w:rPr>
        <w:t xml:space="preserve"> (</w:t>
      </w:r>
      <w:r w:rsidR="00CD62C0" w:rsidRPr="00CD62C0">
        <w:rPr>
          <w:rFonts w:ascii="Century Schoolbook" w:hAnsi="Century Schoolbook"/>
          <w:i/>
          <w:iCs/>
        </w:rPr>
        <w:t>De</w:t>
      </w:r>
      <w:r w:rsidR="00CA275C">
        <w:rPr>
          <w:rFonts w:ascii="Century Schoolbook" w:hAnsi="Century Schoolbook"/>
          <w:i/>
          <w:iCs/>
        </w:rPr>
        <w:t> </w:t>
      </w:r>
      <w:r w:rsidR="00CD62C0" w:rsidRPr="00CD62C0">
        <w:rPr>
          <w:rFonts w:ascii="Century Schoolbook" w:hAnsi="Century Schoolbook"/>
          <w:i/>
          <w:iCs/>
        </w:rPr>
        <w:t>La Torre</w:t>
      </w:r>
      <w:r w:rsidR="00CD62C0">
        <w:rPr>
          <w:rFonts w:ascii="Century Schoolbook" w:hAnsi="Century Schoolbook"/>
        </w:rPr>
        <w:t>)</w:t>
      </w:r>
      <w:r w:rsidR="00801EFF">
        <w:rPr>
          <w:rFonts w:ascii="Century Schoolbook" w:hAnsi="Century Schoolbook"/>
        </w:rPr>
        <w:t>.)</w:t>
      </w:r>
      <w:r>
        <w:rPr>
          <w:rFonts w:ascii="Century Schoolbook" w:hAnsi="Century Schoolbook"/>
        </w:rPr>
        <w:t xml:space="preserve">  </w:t>
      </w:r>
      <w:r w:rsidRPr="00661F81">
        <w:rPr>
          <w:rFonts w:ascii="Century Schoolbook" w:hAnsi="Century Schoolbook"/>
        </w:rPr>
        <w:t>Although issues of fact or policy necessarily motivate</w:t>
      </w:r>
      <w:r w:rsidR="00754169">
        <w:rPr>
          <w:rFonts w:ascii="Century Schoolbook" w:hAnsi="Century Schoolbook"/>
        </w:rPr>
        <w:t>d</w:t>
      </w:r>
      <w:r w:rsidRPr="00661F81">
        <w:rPr>
          <w:rFonts w:ascii="Century Schoolbook" w:hAnsi="Century Schoolbook"/>
        </w:rPr>
        <w:t xml:space="preserve"> the </w:t>
      </w:r>
      <w:r w:rsidR="00A538BD">
        <w:rPr>
          <w:rFonts w:ascii="Century Schoolbook" w:hAnsi="Century Schoolbook"/>
        </w:rPr>
        <w:t>Legislature and the Department in deciding whether to consider tax withholding available income</w:t>
      </w:r>
      <w:r w:rsidRPr="00661F81">
        <w:rPr>
          <w:rFonts w:ascii="Century Schoolbook" w:hAnsi="Century Schoolbook"/>
        </w:rPr>
        <w:t xml:space="preserve">, these fact and policy </w:t>
      </w:r>
      <w:r w:rsidR="00A538BD">
        <w:rPr>
          <w:rFonts w:ascii="Century Schoolbook" w:hAnsi="Century Schoolbook"/>
        </w:rPr>
        <w:t>issues</w:t>
      </w:r>
      <w:r w:rsidRPr="00661F81">
        <w:rPr>
          <w:rFonts w:ascii="Century Schoolbook" w:hAnsi="Century Schoolbook"/>
        </w:rPr>
        <w:t xml:space="preserve"> have nothing to do with the interpretation of the regulation</w:t>
      </w:r>
      <w:r w:rsidR="00A538BD">
        <w:rPr>
          <w:rFonts w:ascii="Century Schoolbook" w:hAnsi="Century Schoolbook"/>
        </w:rPr>
        <w:t>s</w:t>
      </w:r>
      <w:r w:rsidRPr="00661F81">
        <w:rPr>
          <w:rFonts w:ascii="Century Schoolbook" w:hAnsi="Century Schoolbook"/>
        </w:rPr>
        <w:t xml:space="preserve"> </w:t>
      </w:r>
      <w:r w:rsidR="00A538BD">
        <w:rPr>
          <w:rFonts w:ascii="Century Schoolbook" w:hAnsi="Century Schoolbook"/>
        </w:rPr>
        <w:t>themselves</w:t>
      </w:r>
      <w:r w:rsidRPr="00661F81">
        <w:rPr>
          <w:rFonts w:ascii="Century Schoolbook" w:hAnsi="Century Schoolbook"/>
        </w:rPr>
        <w:t>.</w:t>
      </w:r>
      <w:r>
        <w:rPr>
          <w:rFonts w:ascii="Century Schoolbook" w:hAnsi="Century Schoolbook"/>
        </w:rPr>
        <w:t xml:space="preserve"> </w:t>
      </w:r>
    </w:p>
    <w:p w14:paraId="59E021BA" w14:textId="4A4ED033" w:rsidR="007A78D6" w:rsidRDefault="007A78D6" w:rsidP="000A580A">
      <w:pPr>
        <w:rPr>
          <w:rFonts w:ascii="Century Schoolbook" w:hAnsi="Century Schoolbook"/>
        </w:rPr>
      </w:pPr>
      <w:r>
        <w:rPr>
          <w:rFonts w:ascii="Century Schoolbook" w:hAnsi="Century Schoolbook"/>
        </w:rPr>
        <w:tab/>
      </w:r>
      <w:r w:rsidR="00B91FD8">
        <w:rPr>
          <w:rFonts w:ascii="Century Schoolbook" w:hAnsi="Century Schoolbook"/>
        </w:rPr>
        <w:t>The factors in the</w:t>
      </w:r>
      <w:r w:rsidR="00942E4C" w:rsidRPr="00942E4C">
        <w:rPr>
          <w:rFonts w:ascii="Century Schoolbook" w:hAnsi="Century Schoolbook"/>
        </w:rPr>
        <w:t xml:space="preserve"> second category—</w:t>
      </w:r>
      <w:r w:rsidR="00B91FD8" w:rsidRPr="00B91FD8">
        <w:rPr>
          <w:rFonts w:ascii="Century Schoolbook" w:hAnsi="Century Schoolbook"/>
        </w:rPr>
        <w:t xml:space="preserve"> </w:t>
      </w:r>
      <w:r w:rsidR="00B91FD8" w:rsidRPr="000A580A">
        <w:rPr>
          <w:rFonts w:ascii="Century Schoolbook" w:hAnsi="Century Schoolbook"/>
        </w:rPr>
        <w:t>those suggesting the agency</w:t>
      </w:r>
      <w:r w:rsidR="00B91FD8">
        <w:rPr>
          <w:rFonts w:ascii="Century Schoolbook" w:hAnsi="Century Schoolbook"/>
        </w:rPr>
        <w:t>’</w:t>
      </w:r>
      <w:r w:rsidR="00B91FD8" w:rsidRPr="000A580A">
        <w:rPr>
          <w:rFonts w:ascii="Century Schoolbook" w:hAnsi="Century Schoolbook"/>
        </w:rPr>
        <w:t>s interpretation is likely to be correct</w:t>
      </w:r>
      <w:r w:rsidR="00942E4C" w:rsidRPr="00942E4C">
        <w:rPr>
          <w:rFonts w:ascii="Century Schoolbook" w:hAnsi="Century Schoolbook"/>
        </w:rPr>
        <w:t>—</w:t>
      </w:r>
      <w:r w:rsidR="00754169">
        <w:rPr>
          <w:rFonts w:ascii="Century Schoolbook" w:hAnsi="Century Schoolbook"/>
        </w:rPr>
        <w:t xml:space="preserve">also counsel in favor of </w:t>
      </w:r>
      <w:r w:rsidR="005F2881">
        <w:rPr>
          <w:rFonts w:ascii="Century Schoolbook" w:hAnsi="Century Schoolbook"/>
        </w:rPr>
        <w:t>limited</w:t>
      </w:r>
      <w:r w:rsidR="00754169">
        <w:rPr>
          <w:rFonts w:ascii="Century Schoolbook" w:hAnsi="Century Schoolbook"/>
        </w:rPr>
        <w:t xml:space="preserve"> deference to the Department’s interpretation</w:t>
      </w:r>
      <w:r w:rsidR="00942E4C" w:rsidRPr="00942E4C">
        <w:rPr>
          <w:rFonts w:ascii="Century Schoolbook" w:hAnsi="Century Schoolbook"/>
        </w:rPr>
        <w:t>.</w:t>
      </w:r>
      <w:r w:rsidR="00942E4C">
        <w:rPr>
          <w:rFonts w:ascii="Century Schoolbook" w:hAnsi="Century Schoolbook"/>
        </w:rPr>
        <w:t xml:space="preserve">  </w:t>
      </w:r>
      <w:r w:rsidR="001052B2">
        <w:rPr>
          <w:rFonts w:ascii="Century Schoolbook" w:hAnsi="Century Schoolbook"/>
        </w:rPr>
        <w:t>There is no indication that the interpretation was adopted after careful consideration by senior agency officials.  As the Department concedes, t</w:t>
      </w:r>
      <w:r w:rsidR="00993168">
        <w:rPr>
          <w:rFonts w:ascii="Century Schoolbook" w:hAnsi="Century Schoolbook"/>
        </w:rPr>
        <w:t>he interpretation was not adopted after public notice and comment</w:t>
      </w:r>
      <w:r w:rsidR="00CD62C0">
        <w:rPr>
          <w:rFonts w:ascii="Century Schoolbook" w:hAnsi="Century Schoolbook"/>
        </w:rPr>
        <w:t xml:space="preserve">.  And </w:t>
      </w:r>
      <w:r w:rsidR="00821CA8">
        <w:rPr>
          <w:rFonts w:ascii="Century Schoolbook" w:hAnsi="Century Schoolbook"/>
        </w:rPr>
        <w:t>the interpretation</w:t>
      </w:r>
      <w:r w:rsidR="00993168">
        <w:rPr>
          <w:rFonts w:ascii="Century Schoolbook" w:hAnsi="Century Schoolbook"/>
        </w:rPr>
        <w:t xml:space="preserve"> appears in </w:t>
      </w:r>
      <w:r w:rsidR="00611BBB">
        <w:rPr>
          <w:rFonts w:ascii="Century Schoolbook" w:hAnsi="Century Schoolbook"/>
        </w:rPr>
        <w:t xml:space="preserve">only </w:t>
      </w:r>
      <w:r w:rsidR="00993168">
        <w:rPr>
          <w:rFonts w:ascii="Century Schoolbook" w:hAnsi="Century Schoolbook"/>
        </w:rPr>
        <w:t xml:space="preserve">a handful of emails prepared by single staff members, </w:t>
      </w:r>
      <w:r w:rsidR="001052B2">
        <w:rPr>
          <w:rFonts w:ascii="Century Schoolbook" w:hAnsi="Century Schoolbook"/>
        </w:rPr>
        <w:t>emails</w:t>
      </w:r>
      <w:r w:rsidR="00993168">
        <w:rPr>
          <w:rFonts w:ascii="Century Schoolbook" w:hAnsi="Century Schoolbook"/>
        </w:rPr>
        <w:t xml:space="preserve"> </w:t>
      </w:r>
      <w:r w:rsidR="00500056">
        <w:rPr>
          <w:rFonts w:ascii="Century Schoolbook" w:hAnsi="Century Schoolbook"/>
        </w:rPr>
        <w:t xml:space="preserve">that </w:t>
      </w:r>
      <w:r w:rsidR="00993168">
        <w:rPr>
          <w:rFonts w:ascii="Century Schoolbook" w:hAnsi="Century Schoolbook"/>
        </w:rPr>
        <w:t xml:space="preserve">contain little </w:t>
      </w:r>
      <w:r w:rsidR="001052B2">
        <w:rPr>
          <w:rFonts w:ascii="Century Schoolbook" w:hAnsi="Century Schoolbook"/>
        </w:rPr>
        <w:t xml:space="preserve">in the way of </w:t>
      </w:r>
      <w:r w:rsidR="00993168">
        <w:rPr>
          <w:rFonts w:ascii="Century Schoolbook" w:hAnsi="Century Schoolbook"/>
        </w:rPr>
        <w:t xml:space="preserve">discussion or analysis.  </w:t>
      </w:r>
      <w:r w:rsidR="00A070EE">
        <w:rPr>
          <w:rFonts w:ascii="Century Schoolbook" w:hAnsi="Century Schoolbook"/>
        </w:rPr>
        <w:t xml:space="preserve">Although </w:t>
      </w:r>
      <w:r w:rsidR="009C6C40">
        <w:rPr>
          <w:rFonts w:ascii="Century Schoolbook" w:hAnsi="Century Schoolbook"/>
        </w:rPr>
        <w:t>sections 50513 and 50515 were last updated in 1986 and 1987 respectively,</w:t>
      </w:r>
      <w:r w:rsidR="00A070EE">
        <w:rPr>
          <w:rFonts w:ascii="Century Schoolbook" w:hAnsi="Century Schoolbook"/>
        </w:rPr>
        <w:t xml:space="preserve"> the </w:t>
      </w:r>
      <w:r w:rsidR="00CD62C0">
        <w:rPr>
          <w:rFonts w:ascii="Century Schoolbook" w:hAnsi="Century Schoolbook"/>
        </w:rPr>
        <w:t>first</w:t>
      </w:r>
      <w:r w:rsidR="00A070EE">
        <w:rPr>
          <w:rFonts w:ascii="Century Schoolbook" w:hAnsi="Century Schoolbook"/>
        </w:rPr>
        <w:t xml:space="preserve"> email provided by the department evidencing its interpretation is from 2018, some 32 years </w:t>
      </w:r>
      <w:r w:rsidR="009C6C40">
        <w:rPr>
          <w:rFonts w:ascii="Century Schoolbook" w:hAnsi="Century Schoolbook"/>
        </w:rPr>
        <w:t>later</w:t>
      </w:r>
      <w:r w:rsidR="00A070EE">
        <w:rPr>
          <w:rFonts w:ascii="Century Schoolbook" w:hAnsi="Century Schoolbook"/>
        </w:rPr>
        <w:t>.</w:t>
      </w:r>
      <w:r w:rsidR="00754169">
        <w:rPr>
          <w:rStyle w:val="FootnoteReference"/>
          <w:rFonts w:ascii="Century Schoolbook" w:hAnsi="Century Schoolbook"/>
        </w:rPr>
        <w:footnoteReference w:id="4"/>
      </w:r>
      <w:r w:rsidR="00A070EE">
        <w:rPr>
          <w:rFonts w:ascii="Century Schoolbook" w:hAnsi="Century Schoolbook"/>
        </w:rPr>
        <w:t xml:space="preserve"> </w:t>
      </w:r>
    </w:p>
    <w:p w14:paraId="13B9647B" w14:textId="3DCB4517" w:rsidR="00CD62C0" w:rsidRDefault="00A070EE" w:rsidP="00500056">
      <w:pPr>
        <w:spacing w:after="240"/>
        <w:rPr>
          <w:rFonts w:ascii="Century Schoolbook" w:hAnsi="Century Schoolbook"/>
        </w:rPr>
      </w:pPr>
      <w:r>
        <w:rPr>
          <w:rFonts w:ascii="Century Schoolbook" w:hAnsi="Century Schoolbook"/>
        </w:rPr>
        <w:lastRenderedPageBreak/>
        <w:tab/>
      </w:r>
      <w:r w:rsidR="00E31E15">
        <w:rPr>
          <w:rFonts w:ascii="Century Schoolbook" w:hAnsi="Century Schoolbook"/>
        </w:rPr>
        <w:t xml:space="preserve">In short, while we consider the Department’s interpretation of the regulations, we extend that interpretation </w:t>
      </w:r>
      <w:r w:rsidR="00BC5528">
        <w:rPr>
          <w:rFonts w:ascii="Century Schoolbook" w:hAnsi="Century Schoolbook"/>
        </w:rPr>
        <w:t>only limited</w:t>
      </w:r>
      <w:r w:rsidR="00E31E15">
        <w:rPr>
          <w:rFonts w:ascii="Century Schoolbook" w:hAnsi="Century Schoolbook"/>
        </w:rPr>
        <w:t xml:space="preserve"> deference.  W</w:t>
      </w:r>
      <w:r>
        <w:rPr>
          <w:rFonts w:ascii="Century Schoolbook" w:hAnsi="Century Schoolbook"/>
        </w:rPr>
        <w:t xml:space="preserve">e </w:t>
      </w:r>
      <w:r w:rsidR="00E31E15">
        <w:rPr>
          <w:rFonts w:ascii="Century Schoolbook" w:hAnsi="Century Schoolbook"/>
        </w:rPr>
        <w:t xml:space="preserve">nevertheless </w:t>
      </w:r>
      <w:r>
        <w:rPr>
          <w:rFonts w:ascii="Century Schoolbook" w:hAnsi="Century Schoolbook"/>
        </w:rPr>
        <w:t xml:space="preserve">conclude that the </w:t>
      </w:r>
      <w:r w:rsidR="009C6C40">
        <w:rPr>
          <w:rFonts w:ascii="Century Schoolbook" w:hAnsi="Century Schoolbook"/>
        </w:rPr>
        <w:t>D</w:t>
      </w:r>
      <w:r>
        <w:rPr>
          <w:rFonts w:ascii="Century Schoolbook" w:hAnsi="Century Schoolbook"/>
        </w:rPr>
        <w:t xml:space="preserve">epartment’s </w:t>
      </w:r>
      <w:r w:rsidR="005F2881">
        <w:rPr>
          <w:rFonts w:ascii="Century Schoolbook" w:hAnsi="Century Schoolbook"/>
        </w:rPr>
        <w:t>interpretation</w:t>
      </w:r>
      <w:r>
        <w:rPr>
          <w:rFonts w:ascii="Century Schoolbook" w:hAnsi="Century Schoolbook"/>
        </w:rPr>
        <w:t xml:space="preserve"> is correct.</w:t>
      </w:r>
      <w:r w:rsidR="00C84AA9">
        <w:rPr>
          <w:rStyle w:val="FootnoteReference"/>
          <w:rFonts w:ascii="Century Schoolbook" w:hAnsi="Century Schoolbook"/>
        </w:rPr>
        <w:footnoteReference w:id="5"/>
      </w:r>
      <w:r>
        <w:rPr>
          <w:rFonts w:ascii="Century Schoolbook" w:hAnsi="Century Schoolbook"/>
        </w:rPr>
        <w:t xml:space="preserve"> </w:t>
      </w:r>
    </w:p>
    <w:p w14:paraId="35EE0416" w14:textId="77777777" w:rsidR="00CA275C" w:rsidRDefault="000B719C" w:rsidP="00CD62C0">
      <w:pPr>
        <w:spacing w:line="240" w:lineRule="auto"/>
        <w:rPr>
          <w:rFonts w:ascii="Century Schoolbook" w:hAnsi="Century Schoolbook"/>
        </w:rPr>
      </w:pPr>
      <w:r>
        <w:rPr>
          <w:rFonts w:ascii="Century Schoolbook" w:hAnsi="Century Schoolbook"/>
        </w:rPr>
        <w:tab/>
      </w:r>
    </w:p>
    <w:p w14:paraId="60214BC9" w14:textId="77777777" w:rsidR="00CA275C" w:rsidRDefault="00CA275C" w:rsidP="00CD62C0">
      <w:pPr>
        <w:spacing w:line="240" w:lineRule="auto"/>
        <w:rPr>
          <w:rFonts w:ascii="Century Schoolbook" w:hAnsi="Century Schoolbook"/>
        </w:rPr>
      </w:pPr>
    </w:p>
    <w:p w14:paraId="60364C68" w14:textId="77777777" w:rsidR="00CA275C" w:rsidRDefault="00CA275C" w:rsidP="00CD62C0">
      <w:pPr>
        <w:spacing w:line="240" w:lineRule="auto"/>
        <w:rPr>
          <w:rFonts w:ascii="Century Schoolbook" w:hAnsi="Century Schoolbook"/>
        </w:rPr>
      </w:pPr>
    </w:p>
    <w:p w14:paraId="4FF44DC1" w14:textId="1E1E2E3D" w:rsidR="000B719C" w:rsidRPr="009C6C40" w:rsidRDefault="00CA275C" w:rsidP="00CD62C0">
      <w:pPr>
        <w:spacing w:line="240" w:lineRule="auto"/>
        <w:rPr>
          <w:rFonts w:ascii="Century Schoolbook" w:hAnsi="Century Schoolbook"/>
          <w:b/>
          <w:bCs/>
        </w:rPr>
      </w:pPr>
      <w:r>
        <w:rPr>
          <w:rFonts w:ascii="Century Schoolbook" w:hAnsi="Century Schoolbook"/>
        </w:rPr>
        <w:lastRenderedPageBreak/>
        <w:tab/>
      </w:r>
      <w:r w:rsidR="0020328D">
        <w:rPr>
          <w:rFonts w:ascii="Century Schoolbook" w:hAnsi="Century Schoolbook"/>
          <w:b/>
          <w:bCs/>
        </w:rPr>
        <w:t>The Tax Garnishment Is “Actually Available” to Meet Abney’s Needs Under Sections 50513 and 50515</w:t>
      </w:r>
    </w:p>
    <w:p w14:paraId="67E87074" w14:textId="7B57E203" w:rsidR="00A75690" w:rsidRDefault="000A580A" w:rsidP="000A580A">
      <w:pPr>
        <w:rPr>
          <w:rFonts w:ascii="Century Schoolbook" w:hAnsi="Century Schoolbook"/>
        </w:rPr>
      </w:pPr>
      <w:r>
        <w:rPr>
          <w:rFonts w:ascii="Century Schoolbook" w:hAnsi="Century Schoolbook"/>
        </w:rPr>
        <w:tab/>
      </w:r>
      <w:r w:rsidRPr="000A580A">
        <w:rPr>
          <w:rFonts w:ascii="Century Schoolbook" w:hAnsi="Century Schoolbook"/>
        </w:rPr>
        <w:t xml:space="preserve">“Rules governing the interpretation of statutes also apply to interpretation of regulations. </w:t>
      </w:r>
      <w:r w:rsidR="007E0B9D">
        <w:rPr>
          <w:rFonts w:ascii="Century Schoolbook" w:hAnsi="Century Schoolbook"/>
        </w:rPr>
        <w:t xml:space="preserve"> </w:t>
      </w:r>
      <w:r w:rsidRPr="000A580A">
        <w:rPr>
          <w:rFonts w:ascii="Century Schoolbook" w:hAnsi="Century Schoolbook"/>
        </w:rPr>
        <w:t xml:space="preserve">[Citation.] </w:t>
      </w:r>
      <w:r w:rsidR="007E0B9D">
        <w:rPr>
          <w:rFonts w:ascii="Century Schoolbook" w:hAnsi="Century Schoolbook"/>
        </w:rPr>
        <w:t xml:space="preserve"> </w:t>
      </w:r>
      <w:r w:rsidRPr="000A580A">
        <w:rPr>
          <w:rFonts w:ascii="Century Schoolbook" w:hAnsi="Century Schoolbook"/>
        </w:rPr>
        <w:t xml:space="preserve">‘In interpreting regulations, the court seeks to ascertain the intent of the agency issuing the regulation by giving effect to the usual meaning of the language used so as to effectuate the purpose of the law, and by avoiding an interpretation which renders any language mere surplusage.’ ” </w:t>
      </w:r>
      <w:r w:rsidR="007E0B9D">
        <w:rPr>
          <w:rFonts w:ascii="Century Schoolbook" w:hAnsi="Century Schoolbook"/>
        </w:rPr>
        <w:t xml:space="preserve"> </w:t>
      </w:r>
      <w:r w:rsidRPr="000A580A">
        <w:rPr>
          <w:rFonts w:ascii="Century Schoolbook" w:hAnsi="Century Schoolbook"/>
        </w:rPr>
        <w:t>(</w:t>
      </w:r>
      <w:r w:rsidRPr="007E0B9D">
        <w:rPr>
          <w:rFonts w:ascii="Century Schoolbook" w:hAnsi="Century Schoolbook"/>
          <w:i/>
          <w:iCs/>
        </w:rPr>
        <w:t>Diablo Valley College Faculty Senate v. Contra Costa Community College Dist.</w:t>
      </w:r>
      <w:r w:rsidRPr="000A580A">
        <w:rPr>
          <w:rFonts w:ascii="Century Schoolbook" w:hAnsi="Century Schoolbook"/>
        </w:rPr>
        <w:t xml:space="preserve"> (2007) 148 Cal.App.4th 1023, 1037.) </w:t>
      </w:r>
      <w:r w:rsidR="00F8217C">
        <w:rPr>
          <w:rFonts w:ascii="Century Schoolbook" w:hAnsi="Century Schoolbook"/>
        </w:rPr>
        <w:t xml:space="preserve"> </w:t>
      </w:r>
      <w:r w:rsidR="000F7100">
        <w:rPr>
          <w:rFonts w:ascii="Century Schoolbook" w:hAnsi="Century Schoolbook"/>
        </w:rPr>
        <w:t>“</w:t>
      </w:r>
      <w:r w:rsidRPr="000A580A">
        <w:rPr>
          <w:rFonts w:ascii="Century Schoolbook" w:hAnsi="Century Schoolbook"/>
        </w:rPr>
        <w:t xml:space="preserve">We do not construe a regulation in isolation, but instead read it with reference to the scheme of law of which it is a part, so that the whole may be harmonized and retain effectiveness. </w:t>
      </w:r>
      <w:r w:rsidR="007E0B9D">
        <w:rPr>
          <w:rFonts w:ascii="Century Schoolbook" w:hAnsi="Century Schoolbook"/>
        </w:rPr>
        <w:t xml:space="preserve"> </w:t>
      </w:r>
      <w:r w:rsidRPr="000A580A">
        <w:rPr>
          <w:rFonts w:ascii="Century Schoolbook" w:hAnsi="Century Schoolbook"/>
        </w:rPr>
        <w:t>(</w:t>
      </w:r>
      <w:r w:rsidRPr="007E0B9D">
        <w:rPr>
          <w:rFonts w:ascii="Century Schoolbook" w:hAnsi="Century Schoolbook"/>
          <w:i/>
          <w:iCs/>
        </w:rPr>
        <w:t>Spanish Speaking Citizens</w:t>
      </w:r>
      <w:r w:rsidR="000F7100">
        <w:rPr>
          <w:rFonts w:ascii="Century Schoolbook" w:hAnsi="Century Schoolbook"/>
          <w:i/>
          <w:iCs/>
        </w:rPr>
        <w:t>’</w:t>
      </w:r>
      <w:r w:rsidRPr="007E0B9D">
        <w:rPr>
          <w:rFonts w:ascii="Century Schoolbook" w:hAnsi="Century Schoolbook"/>
          <w:i/>
          <w:iCs/>
        </w:rPr>
        <w:t xml:space="preserve"> Foundation, Inc. v. Low</w:t>
      </w:r>
      <w:r w:rsidRPr="000A580A">
        <w:rPr>
          <w:rFonts w:ascii="Century Schoolbook" w:hAnsi="Century Schoolbook"/>
        </w:rPr>
        <w:t xml:space="preserve"> (2000) 85 Cal.App.4th 1179, 1214.)</w:t>
      </w:r>
      <w:r w:rsidR="00175237">
        <w:rPr>
          <w:rFonts w:ascii="Century Schoolbook" w:hAnsi="Century Schoolbook"/>
        </w:rPr>
        <w:t xml:space="preserve">”  </w:t>
      </w:r>
      <w:r>
        <w:rPr>
          <w:rFonts w:ascii="Century Schoolbook" w:hAnsi="Century Schoolbook"/>
        </w:rPr>
        <w:t>(</w:t>
      </w:r>
      <w:r w:rsidRPr="00F8217C">
        <w:rPr>
          <w:rFonts w:ascii="Century Schoolbook" w:hAnsi="Century Schoolbook"/>
          <w:i/>
          <w:iCs/>
        </w:rPr>
        <w:t>De La Torre</w:t>
      </w:r>
      <w:r w:rsidR="00CD62C0">
        <w:rPr>
          <w:rFonts w:ascii="Century Schoolbook" w:hAnsi="Century Schoolbook"/>
        </w:rPr>
        <w:t>,</w:t>
      </w:r>
      <w:r w:rsidRPr="00F8217C">
        <w:rPr>
          <w:rFonts w:ascii="Century Schoolbook" w:hAnsi="Century Schoolbook"/>
          <w:i/>
          <w:iCs/>
        </w:rPr>
        <w:t xml:space="preserve"> </w:t>
      </w:r>
      <w:r w:rsidR="00F8217C" w:rsidRPr="00F8217C">
        <w:rPr>
          <w:rFonts w:ascii="Century Schoolbook" w:hAnsi="Century Schoolbook"/>
          <w:i/>
          <w:iCs/>
        </w:rPr>
        <w:t>supra</w:t>
      </w:r>
      <w:r w:rsidR="00F8217C">
        <w:rPr>
          <w:rFonts w:ascii="Century Schoolbook" w:hAnsi="Century Schoolbook"/>
        </w:rPr>
        <w:t>,</w:t>
      </w:r>
      <w:r w:rsidRPr="000A580A">
        <w:rPr>
          <w:rFonts w:ascii="Century Schoolbook" w:hAnsi="Century Schoolbook"/>
        </w:rPr>
        <w:t xml:space="preserve"> 7 Cal.App.5th </w:t>
      </w:r>
      <w:r w:rsidR="00F8217C">
        <w:rPr>
          <w:rFonts w:ascii="Century Schoolbook" w:hAnsi="Century Schoolbook"/>
        </w:rPr>
        <w:t>at p.</w:t>
      </w:r>
      <w:r w:rsidR="0031748D">
        <w:rPr>
          <w:rFonts w:ascii="Century Schoolbook" w:hAnsi="Century Schoolbook"/>
        </w:rPr>
        <w:t> </w:t>
      </w:r>
      <w:r>
        <w:rPr>
          <w:rFonts w:ascii="Century Schoolbook" w:hAnsi="Century Schoolbook"/>
        </w:rPr>
        <w:t>10</w:t>
      </w:r>
      <w:r w:rsidRPr="000A580A">
        <w:rPr>
          <w:rFonts w:ascii="Century Schoolbook" w:hAnsi="Century Schoolbook"/>
        </w:rPr>
        <w:t>66</w:t>
      </w:r>
      <w:r>
        <w:rPr>
          <w:rFonts w:ascii="Century Schoolbook" w:hAnsi="Century Schoolbook"/>
        </w:rPr>
        <w:t>.</w:t>
      </w:r>
      <w:r w:rsidRPr="000A580A">
        <w:rPr>
          <w:rFonts w:ascii="Century Schoolbook" w:hAnsi="Century Schoolbook"/>
        </w:rPr>
        <w:t>)</w:t>
      </w:r>
    </w:p>
    <w:p w14:paraId="48443297" w14:textId="11B82552" w:rsidR="001E56AD" w:rsidRDefault="005E43ED" w:rsidP="00106096">
      <w:pPr>
        <w:rPr>
          <w:rFonts w:ascii="Century Schoolbook" w:hAnsi="Century Schoolbook"/>
        </w:rPr>
      </w:pPr>
      <w:r>
        <w:rPr>
          <w:rFonts w:ascii="Century Schoolbook" w:hAnsi="Century Schoolbook"/>
        </w:rPr>
        <w:tab/>
        <w:t xml:space="preserve">Abney has not pointed us to, nor have we found, any cases interpreting the “actually available” language of sections 50513 or 50515.  </w:t>
      </w:r>
      <w:r w:rsidR="00D37C3A">
        <w:rPr>
          <w:rFonts w:ascii="Century Schoolbook" w:hAnsi="Century Schoolbook"/>
        </w:rPr>
        <w:t>But i</w:t>
      </w:r>
      <w:r w:rsidR="000C0235">
        <w:rPr>
          <w:rFonts w:ascii="Century Schoolbook" w:hAnsi="Century Schoolbook"/>
        </w:rPr>
        <w:t>n considering whether income garnished to pay a tax debt is “actually available to meet the needs of a person” under section 50513</w:t>
      </w:r>
      <w:r w:rsidR="00D80042">
        <w:rPr>
          <w:rFonts w:ascii="Century Schoolbook" w:hAnsi="Century Schoolbook"/>
        </w:rPr>
        <w:t xml:space="preserve">, we take guidance from the Supreme Court’s decision in </w:t>
      </w:r>
      <w:r w:rsidR="001E56AD" w:rsidRPr="001E56AD">
        <w:rPr>
          <w:rFonts w:ascii="Century Schoolbook" w:hAnsi="Century Schoolbook"/>
          <w:i/>
          <w:iCs/>
        </w:rPr>
        <w:t>Heckler v. Turner</w:t>
      </w:r>
      <w:r w:rsidR="001E56AD">
        <w:rPr>
          <w:rFonts w:ascii="Century Schoolbook" w:hAnsi="Century Schoolbook"/>
        </w:rPr>
        <w:t xml:space="preserve"> (1985)</w:t>
      </w:r>
      <w:r w:rsidR="001E56AD" w:rsidRPr="00DF3FEA">
        <w:rPr>
          <w:rFonts w:ascii="Century Schoolbook" w:hAnsi="Century Schoolbook"/>
        </w:rPr>
        <w:t xml:space="preserve"> 470 U.S. 184</w:t>
      </w:r>
      <w:r w:rsidR="001E56AD">
        <w:rPr>
          <w:rFonts w:ascii="Century Schoolbook" w:hAnsi="Century Schoolbook"/>
        </w:rPr>
        <w:t xml:space="preserve"> (</w:t>
      </w:r>
      <w:r w:rsidR="001E56AD" w:rsidRPr="001E56AD">
        <w:rPr>
          <w:rFonts w:ascii="Century Schoolbook" w:hAnsi="Century Schoolbook"/>
          <w:i/>
          <w:iCs/>
        </w:rPr>
        <w:t>Heckler</w:t>
      </w:r>
      <w:r w:rsidR="001E56AD">
        <w:rPr>
          <w:rFonts w:ascii="Century Schoolbook" w:hAnsi="Century Schoolbook"/>
        </w:rPr>
        <w:t>)</w:t>
      </w:r>
      <w:r w:rsidR="001E56AD" w:rsidRPr="00DF3FEA">
        <w:rPr>
          <w:rFonts w:ascii="Century Schoolbook" w:hAnsi="Century Schoolbook"/>
        </w:rPr>
        <w:t xml:space="preserve">, </w:t>
      </w:r>
      <w:r>
        <w:rPr>
          <w:rFonts w:ascii="Century Schoolbook" w:hAnsi="Century Schoolbook"/>
        </w:rPr>
        <w:t>which</w:t>
      </w:r>
      <w:r w:rsidR="00224189">
        <w:rPr>
          <w:rFonts w:ascii="Century Schoolbook" w:hAnsi="Century Schoolbook"/>
        </w:rPr>
        <w:t xml:space="preserve"> considered a similar question:  </w:t>
      </w:r>
      <w:r w:rsidR="00CC774F">
        <w:rPr>
          <w:rFonts w:ascii="Century Schoolbook" w:hAnsi="Century Schoolbook"/>
        </w:rPr>
        <w:t xml:space="preserve">whether income tax withholding should be included </w:t>
      </w:r>
      <w:r w:rsidR="00CF0399">
        <w:rPr>
          <w:rFonts w:ascii="Century Schoolbook" w:hAnsi="Century Schoolbook"/>
        </w:rPr>
        <w:t>in</w:t>
      </w:r>
      <w:r w:rsidR="00CC774F">
        <w:rPr>
          <w:rFonts w:ascii="Century Schoolbook" w:hAnsi="Century Schoolbook"/>
        </w:rPr>
        <w:t xml:space="preserve"> </w:t>
      </w:r>
      <w:r w:rsidR="00CC774F" w:rsidRPr="00CC774F">
        <w:rPr>
          <w:rFonts w:ascii="Century Schoolbook" w:hAnsi="Century Schoolbook"/>
        </w:rPr>
        <w:t xml:space="preserve">“any </w:t>
      </w:r>
      <w:r w:rsidR="00CF0399">
        <w:rPr>
          <w:rFonts w:ascii="Century Schoolbook" w:hAnsi="Century Schoolbook"/>
        </w:rPr>
        <w:t>. . .</w:t>
      </w:r>
      <w:r w:rsidR="00CC774F" w:rsidRPr="00CC774F">
        <w:rPr>
          <w:rFonts w:ascii="Century Schoolbook" w:hAnsi="Century Schoolbook"/>
        </w:rPr>
        <w:t xml:space="preserve"> income and resources” of the family</w:t>
      </w:r>
      <w:r w:rsidR="00CC774F">
        <w:rPr>
          <w:rFonts w:ascii="Century Schoolbook" w:hAnsi="Century Schoolbook"/>
        </w:rPr>
        <w:t xml:space="preserve"> </w:t>
      </w:r>
      <w:r w:rsidR="00CF0399">
        <w:rPr>
          <w:rFonts w:ascii="Century Schoolbook" w:hAnsi="Century Schoolbook"/>
        </w:rPr>
        <w:t>claiming aid under</w:t>
      </w:r>
      <w:r w:rsidR="00CC774F">
        <w:rPr>
          <w:rFonts w:ascii="Century Schoolbook" w:hAnsi="Century Schoolbook"/>
        </w:rPr>
        <w:t xml:space="preserve"> the Aid to Families with Dependent Children (AFDC) program.  Before 1981, </w:t>
      </w:r>
      <w:r w:rsidR="00CF0399">
        <w:rPr>
          <w:rFonts w:ascii="Century Schoolbook" w:hAnsi="Century Schoolbook"/>
        </w:rPr>
        <w:t>the statute</w:t>
      </w:r>
      <w:r w:rsidR="00CC774F" w:rsidRPr="00CC774F">
        <w:rPr>
          <w:rFonts w:ascii="Century Schoolbook" w:hAnsi="Century Schoolbook"/>
        </w:rPr>
        <w:t xml:space="preserve"> required the state agency to </w:t>
      </w:r>
      <w:r w:rsidR="007A1D1C">
        <w:rPr>
          <w:rFonts w:ascii="Century Schoolbook" w:hAnsi="Century Schoolbook"/>
        </w:rPr>
        <w:t>exclude from income</w:t>
      </w:r>
      <w:r w:rsidR="00CC774F" w:rsidRPr="00CC774F">
        <w:rPr>
          <w:rFonts w:ascii="Century Schoolbook" w:hAnsi="Century Schoolbook"/>
        </w:rPr>
        <w:t xml:space="preserve"> any “expenses reasonably attributable to the earning of any such income</w:t>
      </w:r>
      <w:r w:rsidR="00611BBB">
        <w:rPr>
          <w:rFonts w:ascii="Century Schoolbook" w:hAnsi="Century Schoolbook"/>
        </w:rPr>
        <w:t>”</w:t>
      </w:r>
      <w:r w:rsidR="001C1AB8">
        <w:rPr>
          <w:rFonts w:ascii="Century Schoolbook" w:hAnsi="Century Schoolbook"/>
        </w:rPr>
        <w:t>;</w:t>
      </w:r>
      <w:r w:rsidR="001E56AD">
        <w:rPr>
          <w:rFonts w:ascii="Century Schoolbook" w:hAnsi="Century Schoolbook"/>
        </w:rPr>
        <w:t xml:space="preserve"> </w:t>
      </w:r>
      <w:r w:rsidR="00CC774F">
        <w:rPr>
          <w:rFonts w:ascii="Century Schoolbook" w:hAnsi="Century Schoolbook"/>
        </w:rPr>
        <w:t xml:space="preserve">but in 1981 this provision was eliminated and replaced with </w:t>
      </w:r>
      <w:r w:rsidR="00CF0399" w:rsidRPr="00CF0399">
        <w:rPr>
          <w:rFonts w:ascii="Century Schoolbook" w:hAnsi="Century Schoolbook"/>
        </w:rPr>
        <w:t>a flat $75 “work expense” deduction or “disregard” to be taken from an individual</w:t>
      </w:r>
      <w:r w:rsidR="00CF0399">
        <w:rPr>
          <w:rFonts w:ascii="Century Schoolbook" w:hAnsi="Century Schoolbook"/>
        </w:rPr>
        <w:t>’</w:t>
      </w:r>
      <w:r w:rsidR="00CF0399" w:rsidRPr="00CF0399">
        <w:rPr>
          <w:rFonts w:ascii="Century Schoolbook" w:hAnsi="Century Schoolbook"/>
        </w:rPr>
        <w:t>s “earned income.”</w:t>
      </w:r>
      <w:r w:rsidR="00CF0399">
        <w:rPr>
          <w:rFonts w:ascii="Century Schoolbook" w:hAnsi="Century Schoolbook"/>
        </w:rPr>
        <w:t xml:space="preserve">  (</w:t>
      </w:r>
      <w:r w:rsidR="00CF0399" w:rsidRPr="00CF0399">
        <w:rPr>
          <w:rFonts w:ascii="Century Schoolbook" w:hAnsi="Century Schoolbook"/>
          <w:i/>
          <w:iCs/>
        </w:rPr>
        <w:t>Id</w:t>
      </w:r>
      <w:r w:rsidR="00CF0399">
        <w:rPr>
          <w:rFonts w:ascii="Century Schoolbook" w:hAnsi="Century Schoolbook"/>
        </w:rPr>
        <w:t xml:space="preserve">. at p. 186–187.)  The Supreme Court </w:t>
      </w:r>
      <w:r w:rsidR="00CF0399">
        <w:rPr>
          <w:rFonts w:ascii="Century Schoolbook" w:hAnsi="Century Schoolbook"/>
        </w:rPr>
        <w:lastRenderedPageBreak/>
        <w:t xml:space="preserve">concluded that mandatory tax withholding should be considered </w:t>
      </w:r>
      <w:r>
        <w:rPr>
          <w:rFonts w:ascii="Century Schoolbook" w:hAnsi="Century Schoolbook"/>
        </w:rPr>
        <w:t>“</w:t>
      </w:r>
      <w:r w:rsidR="00CF0399">
        <w:rPr>
          <w:rFonts w:ascii="Century Schoolbook" w:hAnsi="Century Schoolbook"/>
        </w:rPr>
        <w:t>income</w:t>
      </w:r>
      <w:r>
        <w:rPr>
          <w:rFonts w:ascii="Century Schoolbook" w:hAnsi="Century Schoolbook"/>
        </w:rPr>
        <w:t>” under the statute</w:t>
      </w:r>
      <w:r w:rsidR="00CF0399">
        <w:rPr>
          <w:rFonts w:ascii="Century Schoolbook" w:hAnsi="Century Schoolbook"/>
        </w:rPr>
        <w:t>, with the following explanation:</w:t>
      </w:r>
    </w:p>
    <w:p w14:paraId="231297CF" w14:textId="67DC0A43" w:rsidR="00106096" w:rsidRPr="00DF3FEA" w:rsidRDefault="00106096" w:rsidP="00106096">
      <w:pPr>
        <w:rPr>
          <w:rFonts w:ascii="Century Schoolbook" w:hAnsi="Century Schoolbook"/>
        </w:rPr>
      </w:pPr>
      <w:r>
        <w:rPr>
          <w:rFonts w:ascii="Century Schoolbook" w:hAnsi="Century Schoolbook"/>
        </w:rPr>
        <w:tab/>
      </w:r>
      <w:r w:rsidR="00CF0399">
        <w:rPr>
          <w:rFonts w:ascii="Century Schoolbook" w:hAnsi="Century Schoolbook"/>
        </w:rPr>
        <w:t>“[T]</w:t>
      </w:r>
      <w:r w:rsidRPr="00DF3FEA">
        <w:rPr>
          <w:rFonts w:ascii="Century Schoolbook" w:hAnsi="Century Schoolbook"/>
        </w:rPr>
        <w:t xml:space="preserve">he principle of actual availability has not been understood to distinguish the treatment of tax withholdings from that of other work expenses. </w:t>
      </w:r>
      <w:r>
        <w:rPr>
          <w:rFonts w:ascii="Century Schoolbook" w:hAnsi="Century Schoolbook"/>
        </w:rPr>
        <w:t xml:space="preserve"> </w:t>
      </w:r>
      <w:r w:rsidRPr="00DF3FEA">
        <w:rPr>
          <w:rFonts w:ascii="Century Schoolbook" w:hAnsi="Century Schoolbook"/>
        </w:rPr>
        <w:t>Rather, it has served primarily to prevent the States from conjuring fictional sources of income and resources by imputing financial support from persons who have no obligation to furnish it or by overvaluing assets in a manner that attributes nonexistent resources to recipients.</w:t>
      </w:r>
      <w:r w:rsidR="002F14FD">
        <w:rPr>
          <w:rFonts w:ascii="Century Schoolbook" w:hAnsi="Century Schoolbook"/>
        </w:rPr>
        <w:t xml:space="preserve"> </w:t>
      </w:r>
      <w:r w:rsidR="00372522">
        <w:rPr>
          <w:rFonts w:ascii="Century Schoolbook" w:hAnsi="Century Schoolbook"/>
        </w:rPr>
        <w:t xml:space="preserve"> [¶ </w:t>
      </w:r>
      <w:r w:rsidR="002F14FD">
        <w:rPr>
          <w:rFonts w:ascii="Century Schoolbook" w:hAnsi="Century Schoolbook"/>
        </w:rPr>
        <w:t>.</w:t>
      </w:r>
      <w:r w:rsidR="00372522">
        <w:rPr>
          <w:rFonts w:ascii="Century Schoolbook" w:hAnsi="Century Schoolbook"/>
        </w:rPr>
        <w:t> </w:t>
      </w:r>
      <w:r w:rsidR="004759E3">
        <w:rPr>
          <w:rFonts w:ascii="Century Schoolbook" w:hAnsi="Century Schoolbook"/>
        </w:rPr>
        <w:t>. </w:t>
      </w:r>
      <w:r w:rsidR="002F14FD">
        <w:rPr>
          <w:rFonts w:ascii="Century Schoolbook" w:hAnsi="Century Schoolbook"/>
        </w:rPr>
        <w:t>.</w:t>
      </w:r>
      <w:r w:rsidR="004759E3">
        <w:rPr>
          <w:rFonts w:ascii="Century Schoolbook" w:hAnsi="Century Schoolbook"/>
        </w:rPr>
        <w:t> </w:t>
      </w:r>
      <w:r w:rsidR="002F14FD">
        <w:rPr>
          <w:rFonts w:ascii="Century Schoolbook" w:hAnsi="Century Schoolbook"/>
        </w:rPr>
        <w:t>[</w:t>
      </w:r>
      <w:r w:rsidR="00500056">
        <w:rPr>
          <w:rFonts w:ascii="Century Schoolbook" w:hAnsi="Century Schoolbook"/>
        </w:rPr>
        <w:t>¶</w:t>
      </w:r>
      <w:r w:rsidR="002F14FD">
        <w:rPr>
          <w:rFonts w:ascii="Century Schoolbook" w:hAnsi="Century Schoolbook"/>
        </w:rPr>
        <w:t>]</w:t>
      </w:r>
    </w:p>
    <w:p w14:paraId="6384BCF2" w14:textId="3B1EA031" w:rsidR="002F14FD" w:rsidRPr="00DF3FEA" w:rsidRDefault="00106096" w:rsidP="002F14FD">
      <w:pPr>
        <w:rPr>
          <w:rFonts w:ascii="Century Schoolbook" w:hAnsi="Century Schoolbook"/>
        </w:rPr>
      </w:pPr>
      <w:r>
        <w:rPr>
          <w:rFonts w:ascii="Century Schoolbook" w:hAnsi="Century Schoolbook"/>
        </w:rPr>
        <w:tab/>
      </w:r>
      <w:r w:rsidR="007949F9">
        <w:rPr>
          <w:rFonts w:ascii="Century Schoolbook" w:hAnsi="Century Schoolbook"/>
        </w:rPr>
        <w:t>“</w:t>
      </w:r>
      <w:r w:rsidRPr="00DF3FEA">
        <w:rPr>
          <w:rFonts w:ascii="Century Schoolbook" w:hAnsi="Century Schoolbook"/>
        </w:rPr>
        <w:t xml:space="preserve">This Court, too, has viewed the actual availability principle </w:t>
      </w:r>
      <w:r w:rsidR="007949F9">
        <w:rPr>
          <w:rFonts w:ascii="Century Schoolbook" w:hAnsi="Century Schoolbook"/>
        </w:rPr>
        <w:t>‘</w:t>
      </w:r>
      <w:r w:rsidRPr="00DF3FEA">
        <w:rPr>
          <w:rFonts w:ascii="Century Schoolbook" w:hAnsi="Century Schoolbook"/>
        </w:rPr>
        <w:t>clearly [to] comport with the statute,</w:t>
      </w:r>
      <w:r w:rsidR="007949F9">
        <w:rPr>
          <w:rFonts w:ascii="Century Schoolbook" w:hAnsi="Century Schoolbook"/>
        </w:rPr>
        <w:t>’</w:t>
      </w:r>
      <w:r w:rsidRPr="00DF3FEA">
        <w:rPr>
          <w:rFonts w:ascii="Century Schoolbook" w:hAnsi="Century Schoolbook"/>
        </w:rPr>
        <w:t xml:space="preserve"> </w:t>
      </w:r>
      <w:r w:rsidR="007949F9">
        <w:rPr>
          <w:rFonts w:ascii="Century Schoolbook" w:hAnsi="Century Schoolbook"/>
        </w:rPr>
        <w:t>[citation]</w:t>
      </w:r>
      <w:r w:rsidRPr="00DF3FEA">
        <w:rPr>
          <w:rFonts w:ascii="Century Schoolbook" w:hAnsi="Century Schoolbook"/>
        </w:rPr>
        <w:t xml:space="preserve">, and has not hesitated to give it effect in that case and others. </w:t>
      </w:r>
      <w:r w:rsidR="007949F9">
        <w:rPr>
          <w:rFonts w:ascii="Century Schoolbook" w:hAnsi="Century Schoolbook"/>
        </w:rPr>
        <w:t xml:space="preserve"> [Citations.] </w:t>
      </w:r>
      <w:r w:rsidRPr="00DF3FEA">
        <w:rPr>
          <w:rFonts w:ascii="Century Schoolbook" w:hAnsi="Century Schoolbook"/>
        </w:rPr>
        <w:t xml:space="preserve"> But the Court</w:t>
      </w:r>
      <w:r w:rsidR="007949F9">
        <w:rPr>
          <w:rFonts w:ascii="Century Schoolbook" w:hAnsi="Century Schoolbook"/>
        </w:rPr>
        <w:t>’</w:t>
      </w:r>
      <w:r w:rsidRPr="00DF3FEA">
        <w:rPr>
          <w:rFonts w:ascii="Century Schoolbook" w:hAnsi="Century Schoolbook"/>
        </w:rPr>
        <w:t>s cases applying the principle clearly reflect that its purpose is to prevent the States from relying on imputed or unrealizable sources of income artificially to depreciate a recipient</w:t>
      </w:r>
      <w:r w:rsidR="007949F9">
        <w:rPr>
          <w:rFonts w:ascii="Century Schoolbook" w:hAnsi="Century Schoolbook"/>
        </w:rPr>
        <w:t>’</w:t>
      </w:r>
      <w:r w:rsidRPr="00DF3FEA">
        <w:rPr>
          <w:rFonts w:ascii="Century Schoolbook" w:hAnsi="Century Schoolbook"/>
        </w:rPr>
        <w:t xml:space="preserve">s need. </w:t>
      </w:r>
      <w:r w:rsidR="002F14FD">
        <w:rPr>
          <w:rFonts w:ascii="Century Schoolbook" w:hAnsi="Century Schoolbook"/>
        </w:rPr>
        <w:t xml:space="preserve">. . . </w:t>
      </w:r>
    </w:p>
    <w:p w14:paraId="53DB1DD5" w14:textId="73B42932" w:rsidR="00106096" w:rsidRPr="00DF3FEA" w:rsidRDefault="00106096" w:rsidP="00106096">
      <w:pPr>
        <w:rPr>
          <w:rFonts w:ascii="Century Schoolbook" w:hAnsi="Century Schoolbook"/>
        </w:rPr>
      </w:pPr>
      <w:r>
        <w:rPr>
          <w:rFonts w:ascii="Century Schoolbook" w:hAnsi="Century Schoolbook"/>
        </w:rPr>
        <w:tab/>
      </w:r>
      <w:r w:rsidR="007949F9">
        <w:rPr>
          <w:rFonts w:ascii="Century Schoolbook" w:hAnsi="Century Schoolbook"/>
        </w:rPr>
        <w:t>“</w:t>
      </w:r>
      <w:r w:rsidRPr="00DF3FEA">
        <w:rPr>
          <w:rFonts w:ascii="Century Schoolbook" w:hAnsi="Century Schoolbook"/>
        </w:rPr>
        <w:t xml:space="preserve">The failure of the federal agencies administering AFDC to apply the availability principle to distinguish mandatory tax withholdings is not surprising. </w:t>
      </w:r>
      <w:r w:rsidR="007949F9">
        <w:rPr>
          <w:rFonts w:ascii="Century Schoolbook" w:hAnsi="Century Schoolbook"/>
        </w:rPr>
        <w:t xml:space="preserve"> </w:t>
      </w:r>
      <w:r w:rsidRPr="00DF3FEA">
        <w:rPr>
          <w:rFonts w:ascii="Century Schoolbook" w:hAnsi="Century Schoolbook"/>
        </w:rPr>
        <w:t>The sums they consume are no less available for living expenses than other sums mandatorily withheld from the worker</w:t>
      </w:r>
      <w:r w:rsidR="007949F9">
        <w:rPr>
          <w:rFonts w:ascii="Century Schoolbook" w:hAnsi="Century Schoolbook"/>
        </w:rPr>
        <w:t>’</w:t>
      </w:r>
      <w:r w:rsidRPr="00DF3FEA">
        <w:rPr>
          <w:rFonts w:ascii="Century Schoolbook" w:hAnsi="Century Schoolbook"/>
        </w:rPr>
        <w:t xml:space="preserve">s paycheck and other expenses necessarily incurred while employed. </w:t>
      </w:r>
      <w:r w:rsidR="00F86D4B">
        <w:rPr>
          <w:rFonts w:ascii="Century Schoolbook" w:hAnsi="Century Schoolbook"/>
        </w:rPr>
        <w:t>. . .</w:t>
      </w:r>
      <w:r w:rsidRPr="00DF3FEA">
        <w:rPr>
          <w:rFonts w:ascii="Century Schoolbook" w:hAnsi="Century Schoolbook"/>
        </w:rPr>
        <w:t xml:space="preserve"> </w:t>
      </w:r>
      <w:r w:rsidR="00F86D4B">
        <w:rPr>
          <w:rFonts w:ascii="Century Schoolbook" w:hAnsi="Century Schoolbook"/>
        </w:rPr>
        <w:t xml:space="preserve"> [S]</w:t>
      </w:r>
      <w:r w:rsidRPr="00DF3FEA">
        <w:rPr>
          <w:rFonts w:ascii="Century Schoolbook" w:hAnsi="Century Schoolbook"/>
        </w:rPr>
        <w:t>ums mandatorily withheld for obligations such as union dues, medical insurance, or retirement programs no more pass through the wage earner</w:t>
      </w:r>
      <w:r w:rsidR="007949F9">
        <w:rPr>
          <w:rFonts w:ascii="Century Schoolbook" w:hAnsi="Century Schoolbook"/>
        </w:rPr>
        <w:t>’</w:t>
      </w:r>
      <w:r w:rsidRPr="00DF3FEA">
        <w:rPr>
          <w:rFonts w:ascii="Century Schoolbook" w:hAnsi="Century Schoolbook"/>
        </w:rPr>
        <w:t xml:space="preserve">s hands than do mandatory tax withholdings. </w:t>
      </w:r>
      <w:r w:rsidR="007949F9">
        <w:rPr>
          <w:rFonts w:ascii="Century Schoolbook" w:hAnsi="Century Schoolbook"/>
        </w:rPr>
        <w:t xml:space="preserve"> </w:t>
      </w:r>
      <w:r w:rsidRPr="00DF3FEA">
        <w:rPr>
          <w:rFonts w:ascii="Century Schoolbook" w:hAnsi="Century Schoolbook"/>
        </w:rPr>
        <w:t>Insofar as the Court of Appeals</w:t>
      </w:r>
      <w:r w:rsidR="007949F9">
        <w:rPr>
          <w:rFonts w:ascii="Century Schoolbook" w:hAnsi="Century Schoolbook"/>
        </w:rPr>
        <w:t xml:space="preserve">’ </w:t>
      </w:r>
      <w:r w:rsidRPr="00DF3FEA">
        <w:rPr>
          <w:rFonts w:ascii="Century Schoolbook" w:hAnsi="Century Schoolbook"/>
        </w:rPr>
        <w:t xml:space="preserve">definition pivots on availability to meet family expenses, any distinction between various species of payroll withholdings would be </w:t>
      </w:r>
      <w:r w:rsidR="007949F9">
        <w:rPr>
          <w:rFonts w:ascii="Century Schoolbook" w:hAnsi="Century Schoolbook"/>
        </w:rPr>
        <w:t>‘</w:t>
      </w:r>
      <w:r w:rsidRPr="00DF3FEA">
        <w:rPr>
          <w:rFonts w:ascii="Century Schoolbook" w:hAnsi="Century Schoolbook"/>
        </w:rPr>
        <w:t>metaphysical indeed.</w:t>
      </w:r>
      <w:r w:rsidR="007949F9">
        <w:rPr>
          <w:rFonts w:ascii="Century Schoolbook" w:hAnsi="Century Schoolbook"/>
        </w:rPr>
        <w:t xml:space="preserve">’ </w:t>
      </w:r>
      <w:r w:rsidRPr="00DF3FEA">
        <w:rPr>
          <w:rFonts w:ascii="Century Schoolbook" w:hAnsi="Century Schoolbook"/>
        </w:rPr>
        <w:t xml:space="preserve"> </w:t>
      </w:r>
      <w:r w:rsidR="007949F9">
        <w:rPr>
          <w:rFonts w:ascii="Century Schoolbook" w:hAnsi="Century Schoolbook"/>
        </w:rPr>
        <w:t>[Citation.]</w:t>
      </w:r>
      <w:r w:rsidRPr="00DF3FEA">
        <w:rPr>
          <w:rFonts w:ascii="Century Schoolbook" w:hAnsi="Century Schoolbook"/>
        </w:rPr>
        <w:t xml:space="preserve"> </w:t>
      </w:r>
      <w:r w:rsidR="007949F9">
        <w:rPr>
          <w:rFonts w:ascii="Century Schoolbook" w:hAnsi="Century Schoolbook"/>
        </w:rPr>
        <w:t xml:space="preserve"> </w:t>
      </w:r>
      <w:r w:rsidRPr="00DF3FEA">
        <w:rPr>
          <w:rFonts w:ascii="Century Schoolbook" w:hAnsi="Century Schoolbook"/>
        </w:rPr>
        <w:t xml:space="preserve">Likewise, the expenditure of funds on other work-related expenses, such as transportation, meals, and uniforms, just as effectively precludes their use for </w:t>
      </w:r>
      <w:r w:rsidRPr="00DF3FEA">
        <w:rPr>
          <w:rFonts w:ascii="Century Schoolbook" w:hAnsi="Century Schoolbook"/>
        </w:rPr>
        <w:lastRenderedPageBreak/>
        <w:t xml:space="preserve">the needs of the family. </w:t>
      </w:r>
      <w:r w:rsidR="007949F9">
        <w:rPr>
          <w:rFonts w:ascii="Century Schoolbook" w:hAnsi="Century Schoolbook"/>
        </w:rPr>
        <w:t xml:space="preserve"> </w:t>
      </w:r>
      <w:r w:rsidRPr="00DF3FEA">
        <w:rPr>
          <w:rFonts w:ascii="Century Schoolbook" w:hAnsi="Century Schoolbook"/>
        </w:rPr>
        <w:t>That they first pass through the wage earner</w:t>
      </w:r>
      <w:r w:rsidR="007949F9">
        <w:rPr>
          <w:rFonts w:ascii="Century Schoolbook" w:hAnsi="Century Schoolbook"/>
        </w:rPr>
        <w:t>’</w:t>
      </w:r>
      <w:r w:rsidRPr="00DF3FEA">
        <w:rPr>
          <w:rFonts w:ascii="Century Schoolbook" w:hAnsi="Century Schoolbook"/>
        </w:rPr>
        <w:t xml:space="preserve">s hands is a difference of no apparent import: </w:t>
      </w:r>
      <w:r w:rsidR="007949F9">
        <w:rPr>
          <w:rFonts w:ascii="Century Schoolbook" w:hAnsi="Century Schoolbook"/>
        </w:rPr>
        <w:t xml:space="preserve"> ‘</w:t>
      </w:r>
      <w:r w:rsidRPr="00DF3FEA">
        <w:rPr>
          <w:rFonts w:ascii="Century Schoolbook" w:hAnsi="Century Schoolbook"/>
        </w:rPr>
        <w:t xml:space="preserve">the time of payment seems </w:t>
      </w:r>
      <w:r w:rsidR="007949F9">
        <w:rPr>
          <w:rFonts w:ascii="Century Schoolbook" w:hAnsi="Century Schoolbook"/>
        </w:rPr>
        <w:t xml:space="preserve">. . . </w:t>
      </w:r>
      <w:r w:rsidRPr="00DF3FEA">
        <w:rPr>
          <w:rFonts w:ascii="Century Schoolbook" w:hAnsi="Century Schoolbook"/>
        </w:rPr>
        <w:t>but a superficial distinction; all necessary expenses must be met sometime.</w:t>
      </w:r>
      <w:r w:rsidR="007949F9">
        <w:rPr>
          <w:rFonts w:ascii="Century Schoolbook" w:hAnsi="Century Schoolbook"/>
        </w:rPr>
        <w:t>’  [Citation.]</w:t>
      </w:r>
      <w:r w:rsidRPr="00DF3FEA">
        <w:rPr>
          <w:rFonts w:ascii="Century Schoolbook" w:hAnsi="Century Schoolbook"/>
        </w:rPr>
        <w:t xml:space="preserve"> </w:t>
      </w:r>
      <w:r w:rsidR="007949F9">
        <w:rPr>
          <w:rFonts w:ascii="Century Schoolbook" w:hAnsi="Century Schoolbook"/>
        </w:rPr>
        <w:t xml:space="preserve"> </w:t>
      </w:r>
      <w:r w:rsidRPr="00DF3FEA">
        <w:rPr>
          <w:rFonts w:ascii="Century Schoolbook" w:hAnsi="Century Schoolbook"/>
        </w:rPr>
        <w:t>There is no reason, then, why the actual availability principle, once applied to exclude mandatory tax withholdings from the definition of income, would not similarly apply to other mandatory payroll withholdings and other standard work expenses, both of which also render a portion of a wage earner</w:t>
      </w:r>
      <w:r w:rsidR="007949F9">
        <w:rPr>
          <w:rFonts w:ascii="Century Schoolbook" w:hAnsi="Century Schoolbook"/>
        </w:rPr>
        <w:t>’</w:t>
      </w:r>
      <w:r w:rsidRPr="00DF3FEA">
        <w:rPr>
          <w:rFonts w:ascii="Century Schoolbook" w:hAnsi="Century Schoolbook"/>
        </w:rPr>
        <w:t>s income unavailable to meet the recipient family</w:t>
      </w:r>
      <w:r w:rsidR="007949F9">
        <w:rPr>
          <w:rFonts w:ascii="Century Schoolbook" w:hAnsi="Century Schoolbook"/>
        </w:rPr>
        <w:t>’</w:t>
      </w:r>
      <w:r w:rsidRPr="00DF3FEA">
        <w:rPr>
          <w:rFonts w:ascii="Century Schoolbook" w:hAnsi="Century Schoolbook"/>
        </w:rPr>
        <w:t xml:space="preserve">s needs. </w:t>
      </w:r>
      <w:r w:rsidR="007949F9">
        <w:rPr>
          <w:rFonts w:ascii="Century Schoolbook" w:hAnsi="Century Schoolbook"/>
        </w:rPr>
        <w:t xml:space="preserve"> </w:t>
      </w:r>
      <w:r w:rsidRPr="00DF3FEA">
        <w:rPr>
          <w:rFonts w:ascii="Century Schoolbook" w:hAnsi="Century Schoolbook"/>
        </w:rPr>
        <w:t>Yet this would negate Congress</w:t>
      </w:r>
      <w:r w:rsidR="007949F9">
        <w:rPr>
          <w:rFonts w:ascii="Century Schoolbook" w:hAnsi="Century Schoolbook"/>
        </w:rPr>
        <w:t xml:space="preserve">’ </w:t>
      </w:r>
      <w:r w:rsidRPr="00DF3FEA">
        <w:rPr>
          <w:rFonts w:ascii="Century Schoolbook" w:hAnsi="Century Schoolbook"/>
        </w:rPr>
        <w:t xml:space="preserve">enactment of the flat-sum work-expense disregard in 1981. </w:t>
      </w:r>
      <w:r w:rsidR="007949F9">
        <w:rPr>
          <w:rFonts w:ascii="Century Schoolbook" w:hAnsi="Century Schoolbook"/>
        </w:rPr>
        <w:t xml:space="preserve"> </w:t>
      </w:r>
      <w:r w:rsidRPr="00DF3FEA">
        <w:rPr>
          <w:rFonts w:ascii="Century Schoolbook" w:hAnsi="Century Schoolbook"/>
        </w:rPr>
        <w:t>The failure of the Court of Appeals to outline a principled limit to the applicability of the availability principle to sums deducted from gross income is telling.</w:t>
      </w:r>
      <w:r w:rsidR="007949F9">
        <w:rPr>
          <w:rFonts w:ascii="Century Schoolbook" w:hAnsi="Century Schoolbook"/>
        </w:rPr>
        <w:t>”</w:t>
      </w:r>
      <w:r w:rsidR="007E37DF">
        <w:rPr>
          <w:rFonts w:ascii="Century Schoolbook" w:hAnsi="Century Schoolbook"/>
        </w:rPr>
        <w:t xml:space="preserve">  </w:t>
      </w:r>
      <w:r w:rsidR="003174D1">
        <w:rPr>
          <w:rFonts w:ascii="Century Schoolbook" w:hAnsi="Century Schoolbook"/>
        </w:rPr>
        <w:t>(</w:t>
      </w:r>
      <w:r w:rsidR="003174D1" w:rsidRPr="003174D1">
        <w:rPr>
          <w:rFonts w:ascii="Century Schoolbook" w:hAnsi="Century Schoolbook"/>
          <w:i/>
          <w:iCs/>
        </w:rPr>
        <w:t>Heckler</w:t>
      </w:r>
      <w:r w:rsidR="003174D1">
        <w:rPr>
          <w:rFonts w:ascii="Century Schoolbook" w:hAnsi="Century Schoolbook"/>
        </w:rPr>
        <w:t xml:space="preserve">, </w:t>
      </w:r>
      <w:r w:rsidR="003174D1" w:rsidRPr="003174D1">
        <w:rPr>
          <w:rFonts w:ascii="Century Schoolbook" w:hAnsi="Century Schoolbook"/>
          <w:i/>
          <w:iCs/>
        </w:rPr>
        <w:t>supra</w:t>
      </w:r>
      <w:r w:rsidR="003174D1">
        <w:rPr>
          <w:rFonts w:ascii="Century Schoolbook" w:hAnsi="Century Schoolbook"/>
        </w:rPr>
        <w:t>, 470 U.S. at pp. 200–202</w:t>
      </w:r>
      <w:r w:rsidR="00BB5318">
        <w:rPr>
          <w:rFonts w:ascii="Century Schoolbook" w:hAnsi="Century Schoolbook"/>
        </w:rPr>
        <w:t>, fn.</w:t>
      </w:r>
      <w:r w:rsidR="00CA275C">
        <w:rPr>
          <w:rFonts w:ascii="Century Schoolbook" w:hAnsi="Century Schoolbook"/>
        </w:rPr>
        <w:t> </w:t>
      </w:r>
      <w:r w:rsidR="00BB5318">
        <w:rPr>
          <w:rFonts w:ascii="Century Schoolbook" w:hAnsi="Century Schoolbook"/>
        </w:rPr>
        <w:t>omitted</w:t>
      </w:r>
      <w:r w:rsidR="003174D1">
        <w:rPr>
          <w:rFonts w:ascii="Century Schoolbook" w:hAnsi="Century Schoolbook"/>
        </w:rPr>
        <w:t xml:space="preserve">.) </w:t>
      </w:r>
    </w:p>
    <w:p w14:paraId="3D65E3E1" w14:textId="3D59F9B9" w:rsidR="00682392" w:rsidRDefault="00EB26D3" w:rsidP="00122176">
      <w:pPr>
        <w:rPr>
          <w:rFonts w:ascii="Century Schoolbook" w:hAnsi="Century Schoolbook"/>
        </w:rPr>
      </w:pPr>
      <w:r>
        <w:rPr>
          <w:rFonts w:ascii="Century Schoolbook" w:hAnsi="Century Schoolbook"/>
        </w:rPr>
        <w:tab/>
      </w:r>
      <w:r w:rsidR="001C1AB8">
        <w:rPr>
          <w:rFonts w:ascii="Century Schoolbook" w:hAnsi="Century Schoolbook"/>
        </w:rPr>
        <w:t>In s</w:t>
      </w:r>
      <w:r w:rsidR="00DE69D6">
        <w:rPr>
          <w:rFonts w:ascii="Century Schoolbook" w:hAnsi="Century Schoolbook"/>
        </w:rPr>
        <w:t>um</w:t>
      </w:r>
      <w:r w:rsidR="005B422B">
        <w:rPr>
          <w:rFonts w:ascii="Century Schoolbook" w:hAnsi="Century Schoolbook"/>
        </w:rPr>
        <w:t>, the actual availability principle does not distinguish between income that is required to be used for work-related expenses and that which is available for the recipient to spend, but rather between income that actually exists, as opposed to income that is assumed or imputed.  Income is “actually available” even if it</w:t>
      </w:r>
      <w:r w:rsidR="00466A94">
        <w:rPr>
          <w:rFonts w:ascii="Century Schoolbook" w:hAnsi="Century Schoolbook"/>
        </w:rPr>
        <w:t xml:space="preserve"> never passes through the wage earner’s hands.  </w:t>
      </w:r>
      <w:r w:rsidR="001C1AB8">
        <w:rPr>
          <w:rFonts w:ascii="Century Schoolbook" w:hAnsi="Century Schoolbook"/>
        </w:rPr>
        <w:t>So</w:t>
      </w:r>
      <w:r w:rsidR="00466A94">
        <w:rPr>
          <w:rFonts w:ascii="Century Schoolbook" w:hAnsi="Century Schoolbook"/>
        </w:rPr>
        <w:t>, income mandatorily withheld to pay taxes, or as here, garnished to satisfy a tax debt, is nevertheless “actually available”</w:t>
      </w:r>
      <w:r w:rsidR="00D37C3A">
        <w:rPr>
          <w:rFonts w:ascii="Century Schoolbook" w:hAnsi="Century Schoolbook"/>
        </w:rPr>
        <w:t xml:space="preserve"> to the recipient. </w:t>
      </w:r>
      <w:r w:rsidR="00A73A56">
        <w:rPr>
          <w:rFonts w:ascii="Century Schoolbook" w:hAnsi="Century Schoolbook"/>
        </w:rPr>
        <w:t xml:space="preserve"> </w:t>
      </w:r>
    </w:p>
    <w:p w14:paraId="1763AC81" w14:textId="0DE5E935" w:rsidR="007D4126" w:rsidRDefault="003174D1" w:rsidP="00C11FD7">
      <w:pPr>
        <w:rPr>
          <w:rFonts w:ascii="Century Schoolbook" w:hAnsi="Century Schoolbook"/>
          <w:b/>
          <w:bCs/>
        </w:rPr>
      </w:pPr>
      <w:r>
        <w:rPr>
          <w:rFonts w:ascii="Century Schoolbook" w:hAnsi="Century Schoolbook"/>
        </w:rPr>
        <w:tab/>
        <w:t xml:space="preserve">More recently, </w:t>
      </w:r>
      <w:r w:rsidR="009A7D44">
        <w:rPr>
          <w:rFonts w:ascii="Century Schoolbook" w:hAnsi="Century Schoolbook"/>
        </w:rPr>
        <w:t xml:space="preserve">in </w:t>
      </w:r>
      <w:r w:rsidR="009A7D44" w:rsidRPr="009A7D44">
        <w:rPr>
          <w:rFonts w:ascii="Century Schoolbook" w:hAnsi="Century Schoolbook"/>
          <w:i/>
          <w:iCs/>
        </w:rPr>
        <w:t>Christensen v. Lightbourne</w:t>
      </w:r>
      <w:r w:rsidR="009A7D44">
        <w:rPr>
          <w:rFonts w:ascii="Century Schoolbook" w:hAnsi="Century Schoolbook"/>
        </w:rPr>
        <w:t xml:space="preserve"> (2019)</w:t>
      </w:r>
      <w:r w:rsidR="009A7D44" w:rsidRPr="001D73DF">
        <w:rPr>
          <w:rFonts w:ascii="Century Schoolbook" w:hAnsi="Century Schoolbook"/>
        </w:rPr>
        <w:t xml:space="preserve"> 7 Cal.5th 761</w:t>
      </w:r>
      <w:r w:rsidR="009A7D44">
        <w:rPr>
          <w:rFonts w:ascii="Century Schoolbook" w:hAnsi="Century Schoolbook"/>
        </w:rPr>
        <w:t xml:space="preserve"> (</w:t>
      </w:r>
      <w:r w:rsidR="009A7D44" w:rsidRPr="009A7D44">
        <w:rPr>
          <w:rFonts w:ascii="Century Schoolbook" w:hAnsi="Century Schoolbook"/>
          <w:i/>
          <w:iCs/>
        </w:rPr>
        <w:t>Christensen</w:t>
      </w:r>
      <w:r w:rsidR="009A7D44">
        <w:rPr>
          <w:rFonts w:ascii="Century Schoolbook" w:hAnsi="Century Schoolbook"/>
        </w:rPr>
        <w:t>)</w:t>
      </w:r>
      <w:r w:rsidR="009A7D44" w:rsidRPr="001D73DF">
        <w:rPr>
          <w:rFonts w:ascii="Century Schoolbook" w:hAnsi="Century Schoolbook"/>
        </w:rPr>
        <w:t>,</w:t>
      </w:r>
      <w:r w:rsidR="009A7D44">
        <w:rPr>
          <w:rFonts w:ascii="Century Schoolbook" w:hAnsi="Century Schoolbook"/>
        </w:rPr>
        <w:t xml:space="preserve"> </w:t>
      </w:r>
      <w:r>
        <w:rPr>
          <w:rFonts w:ascii="Century Schoolbook" w:hAnsi="Century Schoolbook"/>
        </w:rPr>
        <w:t xml:space="preserve">our Supreme Court </w:t>
      </w:r>
      <w:r w:rsidR="009A7D44">
        <w:rPr>
          <w:rFonts w:ascii="Century Schoolbook" w:hAnsi="Century Schoolbook"/>
        </w:rPr>
        <w:t>considered a similar question</w:t>
      </w:r>
      <w:r w:rsidR="00466A94">
        <w:rPr>
          <w:rFonts w:ascii="Century Schoolbook" w:hAnsi="Century Schoolbook"/>
        </w:rPr>
        <w:t xml:space="preserve"> to </w:t>
      </w:r>
      <w:r w:rsidR="001C1AB8">
        <w:rPr>
          <w:rFonts w:ascii="Century Schoolbook" w:hAnsi="Century Schoolbook"/>
        </w:rPr>
        <w:t>that</w:t>
      </w:r>
      <w:r w:rsidR="00466A94">
        <w:rPr>
          <w:rFonts w:ascii="Century Schoolbook" w:hAnsi="Century Schoolbook"/>
        </w:rPr>
        <w:t xml:space="preserve"> presented here</w:t>
      </w:r>
      <w:r w:rsidR="009A7D44">
        <w:rPr>
          <w:rFonts w:ascii="Century Schoolbook" w:hAnsi="Century Schoolbook"/>
        </w:rPr>
        <w:t xml:space="preserve">:  </w:t>
      </w:r>
      <w:r w:rsidR="00C11FD7" w:rsidRPr="00C11FD7">
        <w:rPr>
          <w:rFonts w:ascii="Century Schoolbook" w:hAnsi="Century Schoolbook"/>
        </w:rPr>
        <w:t>whether a household member</w:t>
      </w:r>
      <w:r w:rsidR="00C11FD7">
        <w:rPr>
          <w:rFonts w:ascii="Century Schoolbook" w:hAnsi="Century Schoolbook"/>
        </w:rPr>
        <w:t>’</w:t>
      </w:r>
      <w:r w:rsidR="00C11FD7" w:rsidRPr="00C11FD7">
        <w:rPr>
          <w:rFonts w:ascii="Century Schoolbook" w:hAnsi="Century Schoolbook"/>
        </w:rPr>
        <w:t>s income that is used to pay child support for a child living in another household counts as income “reasonably anticipated” to be “received” by the paying household within the meaning of Welfare and Institutions Code section 11265.2 for purposes of determining eligibility for state welfare benefits</w:t>
      </w:r>
      <w:r w:rsidR="00C11FD7">
        <w:rPr>
          <w:rFonts w:ascii="Century Schoolbook" w:hAnsi="Century Schoolbook"/>
        </w:rPr>
        <w:t xml:space="preserve"> under the CalWORKs </w:t>
      </w:r>
      <w:r w:rsidR="00C11FD7">
        <w:rPr>
          <w:rFonts w:ascii="Century Schoolbook" w:hAnsi="Century Schoolbook"/>
        </w:rPr>
        <w:lastRenderedPageBreak/>
        <w:t>program.  (</w:t>
      </w:r>
      <w:r w:rsidR="004F2604" w:rsidRPr="009A7D44">
        <w:rPr>
          <w:rFonts w:ascii="Century Schoolbook" w:hAnsi="Century Schoolbook"/>
          <w:i/>
          <w:iCs/>
        </w:rPr>
        <w:t>Christensen</w:t>
      </w:r>
      <w:r w:rsidR="004F2604">
        <w:rPr>
          <w:rFonts w:ascii="Century Schoolbook" w:hAnsi="Century Schoolbook"/>
        </w:rPr>
        <w:t xml:space="preserve">, </w:t>
      </w:r>
      <w:r w:rsidR="004F2604">
        <w:rPr>
          <w:rFonts w:ascii="Century Schoolbook" w:hAnsi="Century Schoolbook"/>
          <w:i/>
          <w:iCs/>
        </w:rPr>
        <w:t>supra</w:t>
      </w:r>
      <w:r w:rsidR="00805D4A">
        <w:rPr>
          <w:rFonts w:ascii="Century Schoolbook" w:hAnsi="Century Schoolbook"/>
        </w:rPr>
        <w:t>, 7 Cal.5th</w:t>
      </w:r>
      <w:r w:rsidR="004F2604" w:rsidRPr="009A7D44">
        <w:rPr>
          <w:rFonts w:ascii="Century Schoolbook" w:hAnsi="Century Schoolbook"/>
          <w:i/>
          <w:iCs/>
        </w:rPr>
        <w:t xml:space="preserve"> </w:t>
      </w:r>
      <w:r w:rsidR="00C11FD7">
        <w:rPr>
          <w:rFonts w:ascii="Century Schoolbook" w:hAnsi="Century Schoolbook"/>
        </w:rPr>
        <w:t xml:space="preserve">at p. 766.)  </w:t>
      </w:r>
      <w:r w:rsidR="00611BBB">
        <w:rPr>
          <w:rFonts w:ascii="Century Schoolbook" w:hAnsi="Century Schoolbook"/>
        </w:rPr>
        <w:t xml:space="preserve">As indicated, </w:t>
      </w:r>
      <w:r w:rsidR="00611BBB" w:rsidRPr="00815B23">
        <w:rPr>
          <w:rFonts w:ascii="Century Schoolbook" w:hAnsi="Century Schoolbook"/>
          <w:i/>
          <w:iCs/>
        </w:rPr>
        <w:t>Christen</w:t>
      </w:r>
      <w:r w:rsidR="00815B23" w:rsidRPr="00815B23">
        <w:rPr>
          <w:rFonts w:ascii="Century Schoolbook" w:hAnsi="Century Schoolbook"/>
          <w:i/>
          <w:iCs/>
        </w:rPr>
        <w:t>sen</w:t>
      </w:r>
      <w:r w:rsidR="00815B23">
        <w:rPr>
          <w:rFonts w:ascii="Century Schoolbook" w:hAnsi="Century Schoolbook"/>
        </w:rPr>
        <w:t xml:space="preserve"> came through our court, and we held that it did.  The Supreme Court affirmed our judgment, concluding </w:t>
      </w:r>
      <w:r w:rsidR="001E2A70">
        <w:rPr>
          <w:rFonts w:ascii="Century Schoolbook" w:hAnsi="Century Schoolbook"/>
        </w:rPr>
        <w:t>that</w:t>
      </w:r>
      <w:r w:rsidR="00C11FD7">
        <w:rPr>
          <w:rFonts w:ascii="Century Schoolbook" w:hAnsi="Century Schoolbook"/>
        </w:rPr>
        <w:t xml:space="preserve"> the agency’s determination that </w:t>
      </w:r>
      <w:r w:rsidR="00D37C3A">
        <w:rPr>
          <w:rFonts w:ascii="Century Schoolbook" w:hAnsi="Century Schoolbook"/>
        </w:rPr>
        <w:t>such income should be counted</w:t>
      </w:r>
      <w:r w:rsidR="00C11FD7">
        <w:rPr>
          <w:rFonts w:ascii="Century Schoolbook" w:hAnsi="Century Schoolbook"/>
        </w:rPr>
        <w:t xml:space="preserve"> was reasonable</w:t>
      </w:r>
      <w:r w:rsidR="00815B23">
        <w:rPr>
          <w:rFonts w:ascii="Century Schoolbook" w:hAnsi="Century Schoolbook"/>
        </w:rPr>
        <w:t>.  Doing so, the court</w:t>
      </w:r>
      <w:r w:rsidR="00C11FD7">
        <w:rPr>
          <w:rFonts w:ascii="Century Schoolbook" w:hAnsi="Century Schoolbook"/>
        </w:rPr>
        <w:t xml:space="preserve"> rejected the argument that because the income was not “actually available”</w:t>
      </w:r>
      <w:r w:rsidR="00466A94">
        <w:rPr>
          <w:rFonts w:ascii="Century Schoolbook" w:hAnsi="Century Schoolbook"/>
        </w:rPr>
        <w:t xml:space="preserve"> to meet the recipient’s needs</w:t>
      </w:r>
      <w:r w:rsidR="00C11FD7">
        <w:rPr>
          <w:rFonts w:ascii="Century Schoolbook" w:hAnsi="Century Schoolbook"/>
        </w:rPr>
        <w:t xml:space="preserve"> it should not be </w:t>
      </w:r>
      <w:r w:rsidR="00466A94">
        <w:rPr>
          <w:rFonts w:ascii="Century Schoolbook" w:hAnsi="Century Schoolbook"/>
        </w:rPr>
        <w:t>considered</w:t>
      </w:r>
      <w:r w:rsidR="00C11FD7">
        <w:rPr>
          <w:rFonts w:ascii="Century Schoolbook" w:hAnsi="Century Schoolbook"/>
        </w:rPr>
        <w:t xml:space="preserve">, relying in part on </w:t>
      </w:r>
      <w:r w:rsidR="00C11FD7" w:rsidRPr="00C11FD7">
        <w:rPr>
          <w:rFonts w:ascii="Century Schoolbook" w:hAnsi="Century Schoolbook"/>
          <w:i/>
          <w:iCs/>
        </w:rPr>
        <w:t>Heckler</w:t>
      </w:r>
      <w:r w:rsidR="00C11FD7">
        <w:rPr>
          <w:rFonts w:ascii="Century Schoolbook" w:hAnsi="Century Schoolbook"/>
        </w:rPr>
        <w:t>:</w:t>
      </w:r>
    </w:p>
    <w:p w14:paraId="0059A607" w14:textId="5B65A511" w:rsidR="001D73DF" w:rsidRPr="001D73DF" w:rsidRDefault="005D23B4" w:rsidP="001D73DF">
      <w:pPr>
        <w:rPr>
          <w:rFonts w:ascii="Century Schoolbook" w:hAnsi="Century Schoolbook"/>
        </w:rPr>
      </w:pPr>
      <w:r w:rsidRPr="001D73DF">
        <w:rPr>
          <w:rFonts w:ascii="Century Schoolbook" w:hAnsi="Century Schoolbook"/>
        </w:rPr>
        <w:tab/>
      </w:r>
      <w:r w:rsidR="00C11FD7">
        <w:rPr>
          <w:rFonts w:ascii="Century Schoolbook" w:hAnsi="Century Schoolbook"/>
        </w:rPr>
        <w:t>“</w:t>
      </w:r>
      <w:r w:rsidR="00971AFC" w:rsidRPr="00971AFC">
        <w:rPr>
          <w:rFonts w:ascii="Century Schoolbook" w:hAnsi="Century Schoolbook"/>
        </w:rPr>
        <w:t>Christensen argues that the funds used to pay Bruce</w:t>
      </w:r>
      <w:r w:rsidR="00971AFC">
        <w:rPr>
          <w:rFonts w:ascii="Century Schoolbook" w:hAnsi="Century Schoolbook"/>
        </w:rPr>
        <w:t>’</w:t>
      </w:r>
      <w:r w:rsidR="00971AFC" w:rsidRPr="00971AFC">
        <w:rPr>
          <w:rFonts w:ascii="Century Schoolbook" w:hAnsi="Century Schoolbook"/>
        </w:rPr>
        <w:t xml:space="preserve">s child support obligations cannot constitute </w:t>
      </w:r>
      <w:r w:rsidR="00971AFC">
        <w:rPr>
          <w:rFonts w:ascii="Century Schoolbook" w:hAnsi="Century Schoolbook"/>
        </w:rPr>
        <w:t>‘</w:t>
      </w:r>
      <w:r w:rsidR="00971AFC" w:rsidRPr="00971AFC">
        <w:rPr>
          <w:rFonts w:ascii="Century Schoolbook" w:hAnsi="Century Schoolbook"/>
        </w:rPr>
        <w:t>income</w:t>
      </w:r>
      <w:r w:rsidR="00971AFC">
        <w:rPr>
          <w:rFonts w:ascii="Century Schoolbook" w:hAnsi="Century Schoolbook"/>
        </w:rPr>
        <w:t>’</w:t>
      </w:r>
      <w:r w:rsidR="00971AFC" w:rsidRPr="00971AFC">
        <w:rPr>
          <w:rFonts w:ascii="Century Schoolbook" w:hAnsi="Century Schoolbook"/>
        </w:rPr>
        <w:t xml:space="preserve"> to her household because her family can never actually receive or benefit from those funds, and therefore the </w:t>
      </w:r>
      <w:r w:rsidR="00971AFC">
        <w:rPr>
          <w:rFonts w:ascii="Century Schoolbook" w:hAnsi="Century Schoolbook"/>
        </w:rPr>
        <w:t xml:space="preserve"> </w:t>
      </w:r>
      <w:r w:rsidR="00971AFC" w:rsidRPr="00971AFC">
        <w:rPr>
          <w:rFonts w:ascii="Century Schoolbook" w:hAnsi="Century Schoolbook"/>
        </w:rPr>
        <w:t xml:space="preserve">funds are not </w:t>
      </w:r>
      <w:r w:rsidR="00971AFC">
        <w:rPr>
          <w:rFonts w:ascii="Century Schoolbook" w:hAnsi="Century Schoolbook"/>
        </w:rPr>
        <w:t>‘</w:t>
      </w:r>
      <w:r w:rsidR="00971AFC" w:rsidRPr="00971AFC">
        <w:rPr>
          <w:rFonts w:ascii="Century Schoolbook" w:hAnsi="Century Schoolbook"/>
        </w:rPr>
        <w:t>reasonably anticipated</w:t>
      </w:r>
      <w:r w:rsidR="00971AFC">
        <w:rPr>
          <w:rFonts w:ascii="Century Schoolbook" w:hAnsi="Century Schoolbook"/>
        </w:rPr>
        <w:t>’</w:t>
      </w:r>
      <w:r w:rsidR="00971AFC" w:rsidRPr="00971AFC">
        <w:rPr>
          <w:rFonts w:ascii="Century Schoolbook" w:hAnsi="Century Schoolbook"/>
        </w:rPr>
        <w:t xml:space="preserve"> to be </w:t>
      </w:r>
      <w:r w:rsidR="00971AFC">
        <w:rPr>
          <w:rFonts w:ascii="Century Schoolbook" w:hAnsi="Century Schoolbook"/>
        </w:rPr>
        <w:t>‘</w:t>
      </w:r>
      <w:r w:rsidR="00971AFC" w:rsidRPr="00971AFC">
        <w:rPr>
          <w:rFonts w:ascii="Century Schoolbook" w:hAnsi="Century Schoolbook"/>
        </w:rPr>
        <w:t>received</w:t>
      </w:r>
      <w:r w:rsidR="00971AFC">
        <w:rPr>
          <w:rFonts w:ascii="Century Schoolbook" w:hAnsi="Century Schoolbook"/>
        </w:rPr>
        <w:t>’</w:t>
      </w:r>
      <w:r w:rsidR="00971AFC" w:rsidRPr="00971AFC">
        <w:rPr>
          <w:rFonts w:ascii="Century Schoolbook" w:hAnsi="Century Schoolbook"/>
        </w:rPr>
        <w:t xml:space="preserve"> within the meaning of </w:t>
      </w:r>
      <w:r w:rsidR="00A26ECF">
        <w:rPr>
          <w:rFonts w:ascii="Century Schoolbook" w:hAnsi="Century Schoolbook"/>
        </w:rPr>
        <w:t>[</w:t>
      </w:r>
      <w:r w:rsidR="00A26ECF" w:rsidRPr="00C11FD7">
        <w:rPr>
          <w:rFonts w:ascii="Century Schoolbook" w:hAnsi="Century Schoolbook"/>
        </w:rPr>
        <w:t>Welfare and Institutions Code</w:t>
      </w:r>
      <w:r w:rsidR="00A26ECF">
        <w:rPr>
          <w:rFonts w:ascii="Century Schoolbook" w:hAnsi="Century Schoolbook"/>
        </w:rPr>
        <w:t>]</w:t>
      </w:r>
      <w:r w:rsidR="00A26ECF" w:rsidRPr="00C11FD7">
        <w:rPr>
          <w:rFonts w:ascii="Century Schoolbook" w:hAnsi="Century Schoolbook"/>
        </w:rPr>
        <w:t xml:space="preserve"> </w:t>
      </w:r>
      <w:r w:rsidR="00971AFC" w:rsidRPr="00971AFC">
        <w:rPr>
          <w:rFonts w:ascii="Century Schoolbook" w:hAnsi="Century Schoolbook"/>
        </w:rPr>
        <w:t>section 11265.2.</w:t>
      </w:r>
      <w:r w:rsidR="00971AFC">
        <w:rPr>
          <w:rFonts w:ascii="Century Schoolbook" w:hAnsi="Century Schoolbook"/>
        </w:rPr>
        <w:t xml:space="preserve">  </w:t>
      </w:r>
      <w:r w:rsidR="001D73DF" w:rsidRPr="001D73DF">
        <w:rPr>
          <w:rFonts w:ascii="Century Schoolbook" w:hAnsi="Century Schoolbook"/>
        </w:rPr>
        <w:t xml:space="preserve">Because the money used to pay child support is not actually available to her household, Christensen contends, that money cannot be counted as part of </w:t>
      </w:r>
      <w:r w:rsidR="00C11FD7">
        <w:rPr>
          <w:rFonts w:ascii="Century Schoolbook" w:hAnsi="Century Schoolbook"/>
        </w:rPr>
        <w:t>‘</w:t>
      </w:r>
      <w:r w:rsidR="001D73DF" w:rsidRPr="001D73DF">
        <w:rPr>
          <w:rFonts w:ascii="Century Schoolbook" w:hAnsi="Century Schoolbook"/>
        </w:rPr>
        <w:t>the family</w:t>
      </w:r>
      <w:r w:rsidR="00101982">
        <w:rPr>
          <w:rFonts w:ascii="Century Schoolbook" w:hAnsi="Century Schoolbook"/>
        </w:rPr>
        <w:t>’</w:t>
      </w:r>
      <w:r w:rsidR="001D73DF" w:rsidRPr="001D73DF">
        <w:rPr>
          <w:rFonts w:ascii="Century Schoolbook" w:hAnsi="Century Schoolbook"/>
        </w:rPr>
        <w:t>s income</w:t>
      </w:r>
      <w:r w:rsidR="00C11FD7">
        <w:rPr>
          <w:rFonts w:ascii="Century Schoolbook" w:hAnsi="Century Schoolbook"/>
        </w:rPr>
        <w:t>’</w:t>
      </w:r>
      <w:r w:rsidR="001D73DF" w:rsidRPr="001D73DF">
        <w:rPr>
          <w:rFonts w:ascii="Century Schoolbook" w:hAnsi="Century Schoolbook"/>
        </w:rPr>
        <w:t xml:space="preserve"> for purposes of calculating CalWORKs aid. </w:t>
      </w:r>
      <w:r w:rsidR="00C11FD7">
        <w:rPr>
          <w:rFonts w:ascii="Century Schoolbook" w:hAnsi="Century Schoolbook"/>
        </w:rPr>
        <w:t xml:space="preserve"> </w:t>
      </w:r>
      <w:r w:rsidR="001D73DF" w:rsidRPr="001D73DF">
        <w:rPr>
          <w:rFonts w:ascii="Century Schoolbook" w:hAnsi="Century Schoolbook"/>
        </w:rPr>
        <w:t>(</w:t>
      </w:r>
      <w:r w:rsidR="00101982">
        <w:rPr>
          <w:rFonts w:ascii="Century Schoolbook" w:hAnsi="Century Schoolbook"/>
        </w:rPr>
        <w:t xml:space="preserve">[Welf. &amp; Inst. Code,] </w:t>
      </w:r>
      <w:r w:rsidR="001D73DF" w:rsidRPr="001D73DF">
        <w:rPr>
          <w:rFonts w:ascii="Century Schoolbook" w:hAnsi="Century Schoolbook"/>
        </w:rPr>
        <w:t>§ 11450, subd.</w:t>
      </w:r>
      <w:r w:rsidR="00CA275C">
        <w:rPr>
          <w:rFonts w:ascii="Century Schoolbook" w:hAnsi="Century Schoolbook"/>
        </w:rPr>
        <w:t> </w:t>
      </w:r>
      <w:r w:rsidR="001D73DF" w:rsidRPr="001D73DF">
        <w:rPr>
          <w:rFonts w:ascii="Century Schoolbook" w:hAnsi="Century Schoolbook"/>
        </w:rPr>
        <w:t xml:space="preserve">(a)(1)(A).) </w:t>
      </w:r>
      <w:r w:rsidR="00C11FD7">
        <w:rPr>
          <w:rFonts w:ascii="Century Schoolbook" w:hAnsi="Century Schoolbook"/>
        </w:rPr>
        <w:t xml:space="preserve"> </w:t>
      </w:r>
      <w:r w:rsidR="001D73DF" w:rsidRPr="001D73DF">
        <w:rPr>
          <w:rFonts w:ascii="Century Schoolbook" w:hAnsi="Century Schoolbook"/>
        </w:rPr>
        <w:t>We find this argument unpersuasive.</w:t>
      </w:r>
    </w:p>
    <w:p w14:paraId="0A4306D4" w14:textId="25D5932C" w:rsidR="001D73DF" w:rsidRPr="001D73DF" w:rsidRDefault="001D73DF" w:rsidP="001D73DF">
      <w:pPr>
        <w:rPr>
          <w:rFonts w:ascii="Century Schoolbook" w:hAnsi="Century Schoolbook"/>
        </w:rPr>
      </w:pPr>
      <w:r>
        <w:rPr>
          <w:rFonts w:ascii="Century Schoolbook" w:hAnsi="Century Schoolbook"/>
        </w:rPr>
        <w:tab/>
      </w:r>
      <w:r w:rsidR="00101982">
        <w:rPr>
          <w:rFonts w:ascii="Century Schoolbook" w:hAnsi="Century Schoolbook"/>
        </w:rPr>
        <w:t>“</w:t>
      </w:r>
      <w:r w:rsidRPr="001D73DF">
        <w:rPr>
          <w:rFonts w:ascii="Century Schoolbook" w:hAnsi="Century Schoolbook"/>
        </w:rPr>
        <w:t xml:space="preserve">In </w:t>
      </w:r>
      <w:r w:rsidRPr="00101982">
        <w:rPr>
          <w:rFonts w:ascii="Century Schoolbook" w:hAnsi="Century Schoolbook"/>
          <w:i/>
          <w:iCs/>
        </w:rPr>
        <w:t>Heckler</w:t>
      </w:r>
      <w:r w:rsidR="00101982">
        <w:rPr>
          <w:rFonts w:ascii="Century Schoolbook" w:hAnsi="Century Schoolbook"/>
        </w:rPr>
        <w:t>[,</w:t>
      </w:r>
      <w:r w:rsidRPr="001D73DF">
        <w:rPr>
          <w:rFonts w:ascii="Century Schoolbook" w:hAnsi="Century Schoolbook"/>
        </w:rPr>
        <w:t xml:space="preserve"> </w:t>
      </w:r>
      <w:r w:rsidR="00101982" w:rsidRPr="00101982">
        <w:rPr>
          <w:rFonts w:ascii="Century Schoolbook" w:hAnsi="Century Schoolbook"/>
          <w:i/>
          <w:iCs/>
        </w:rPr>
        <w:t>supra</w:t>
      </w:r>
      <w:r w:rsidR="00101982">
        <w:rPr>
          <w:rFonts w:ascii="Century Schoolbook" w:hAnsi="Century Schoolbook"/>
        </w:rPr>
        <w:t>,]</w:t>
      </w:r>
      <w:r w:rsidRPr="001D73DF">
        <w:rPr>
          <w:rFonts w:ascii="Century Schoolbook" w:hAnsi="Century Schoolbook"/>
        </w:rPr>
        <w:t xml:space="preserve"> 470 U.S. 184</w:t>
      </w:r>
      <w:r w:rsidR="008521BD">
        <w:rPr>
          <w:rFonts w:ascii="Century Schoolbook" w:hAnsi="Century Schoolbook"/>
        </w:rPr>
        <w:t xml:space="preserve"> . . .</w:t>
      </w:r>
      <w:r w:rsidR="002C45BC">
        <w:rPr>
          <w:rFonts w:ascii="Century Schoolbook" w:hAnsi="Century Schoolbook"/>
        </w:rPr>
        <w:t xml:space="preserve"> </w:t>
      </w:r>
      <w:r w:rsidRPr="001D73DF">
        <w:rPr>
          <w:rFonts w:ascii="Century Schoolbook" w:hAnsi="Century Schoolbook"/>
        </w:rPr>
        <w:t xml:space="preserve">, the high court explained that the principle of actual availability </w:t>
      </w:r>
      <w:r w:rsidR="00101982">
        <w:rPr>
          <w:rFonts w:ascii="Century Schoolbook" w:hAnsi="Century Schoolbook"/>
        </w:rPr>
        <w:t>‘</w:t>
      </w:r>
      <w:r w:rsidRPr="001D73DF">
        <w:rPr>
          <w:rFonts w:ascii="Century Schoolbook" w:hAnsi="Century Schoolbook"/>
        </w:rPr>
        <w:t>traces its origins to congressional consideration of the 1939 amendments</w:t>
      </w:r>
      <w:r w:rsidR="00101982">
        <w:rPr>
          <w:rFonts w:ascii="Century Schoolbook" w:hAnsi="Century Schoolbook"/>
        </w:rPr>
        <w:t>’</w:t>
      </w:r>
      <w:r w:rsidRPr="001D73DF">
        <w:rPr>
          <w:rFonts w:ascii="Century Schoolbook" w:hAnsi="Century Schoolbook"/>
        </w:rPr>
        <w:t xml:space="preserve"> to the Social Security Act, during which legislators expressed concern that state agencies might assume financial assistance from potential sources (e.g., a recipient</w:t>
      </w:r>
      <w:r w:rsidR="00101982">
        <w:rPr>
          <w:rFonts w:ascii="Century Schoolbook" w:hAnsi="Century Schoolbook"/>
        </w:rPr>
        <w:t>’</w:t>
      </w:r>
      <w:r w:rsidRPr="001D73DF">
        <w:rPr>
          <w:rFonts w:ascii="Century Schoolbook" w:hAnsi="Century Schoolbook"/>
        </w:rPr>
        <w:t xml:space="preserve">s children) who might not actually contribute. </w:t>
      </w:r>
      <w:r w:rsidR="00101982">
        <w:rPr>
          <w:rFonts w:ascii="Century Schoolbook" w:hAnsi="Century Schoolbook"/>
        </w:rPr>
        <w:t xml:space="preserve"> </w:t>
      </w:r>
      <w:r w:rsidRPr="001D73DF">
        <w:rPr>
          <w:rFonts w:ascii="Century Schoolbook" w:hAnsi="Century Schoolbook"/>
        </w:rPr>
        <w:t>(</w:t>
      </w:r>
      <w:r w:rsidRPr="00101982">
        <w:rPr>
          <w:rFonts w:ascii="Century Schoolbook" w:hAnsi="Century Schoolbook"/>
          <w:i/>
          <w:iCs/>
        </w:rPr>
        <w:t>Heckler</w:t>
      </w:r>
      <w:r w:rsidRPr="001D73DF">
        <w:rPr>
          <w:rFonts w:ascii="Century Schoolbook" w:hAnsi="Century Schoolbook"/>
        </w:rPr>
        <w:t xml:space="preserve">, at p. 200.) </w:t>
      </w:r>
      <w:r w:rsidR="00101982">
        <w:rPr>
          <w:rFonts w:ascii="Century Schoolbook" w:hAnsi="Century Schoolbook"/>
        </w:rPr>
        <w:t xml:space="preserve"> </w:t>
      </w:r>
      <w:r w:rsidRPr="001D73DF">
        <w:rPr>
          <w:rFonts w:ascii="Century Schoolbook" w:hAnsi="Century Schoolbook"/>
        </w:rPr>
        <w:t xml:space="preserve">The requirement that income be actually available prohibits states from </w:t>
      </w:r>
      <w:r w:rsidR="00101982">
        <w:rPr>
          <w:rFonts w:ascii="Century Schoolbook" w:hAnsi="Century Schoolbook"/>
        </w:rPr>
        <w:t>‘</w:t>
      </w:r>
      <w:r w:rsidRPr="001D73DF">
        <w:rPr>
          <w:rFonts w:ascii="Century Schoolbook" w:hAnsi="Century Schoolbook"/>
        </w:rPr>
        <w:t>conjuring fictional sources of income and resources by imputing financial support from persons who have no obligation to furnish it or by overvaluing assets in a manner that attributes nonexistent resources to recipients.</w:t>
      </w:r>
      <w:r w:rsidR="00101982">
        <w:rPr>
          <w:rFonts w:ascii="Century Schoolbook" w:hAnsi="Century Schoolbook"/>
        </w:rPr>
        <w:t xml:space="preserve">’ </w:t>
      </w:r>
      <w:r w:rsidRPr="001D73DF">
        <w:rPr>
          <w:rFonts w:ascii="Century Schoolbook" w:hAnsi="Century Schoolbook"/>
        </w:rPr>
        <w:t xml:space="preserve"> (</w:t>
      </w:r>
      <w:r w:rsidRPr="00101982">
        <w:rPr>
          <w:rFonts w:ascii="Century Schoolbook" w:hAnsi="Century Schoolbook"/>
          <w:i/>
          <w:iCs/>
        </w:rPr>
        <w:t>Ibid</w:t>
      </w:r>
      <w:r w:rsidRPr="001D73DF">
        <w:rPr>
          <w:rFonts w:ascii="Century Schoolbook" w:hAnsi="Century Schoolbook"/>
        </w:rPr>
        <w:t xml:space="preserve">.) </w:t>
      </w:r>
      <w:r w:rsidR="00101982">
        <w:rPr>
          <w:rFonts w:ascii="Century Schoolbook" w:hAnsi="Century Schoolbook"/>
        </w:rPr>
        <w:t xml:space="preserve"> </w:t>
      </w:r>
      <w:r w:rsidRPr="001D73DF">
        <w:rPr>
          <w:rFonts w:ascii="Century Schoolbook" w:hAnsi="Century Schoolbook"/>
        </w:rPr>
        <w:t xml:space="preserve">This policy was endorsed by federal agencies administering the former AFDC program. </w:t>
      </w:r>
      <w:r w:rsidR="00101982">
        <w:rPr>
          <w:rFonts w:ascii="Century Schoolbook" w:hAnsi="Century Schoolbook"/>
        </w:rPr>
        <w:t xml:space="preserve"> </w:t>
      </w:r>
      <w:r w:rsidRPr="001D73DF">
        <w:rPr>
          <w:rFonts w:ascii="Century Schoolbook" w:hAnsi="Century Schoolbook"/>
        </w:rPr>
        <w:t>(</w:t>
      </w:r>
      <w:r w:rsidRPr="00101982">
        <w:rPr>
          <w:rFonts w:ascii="Century Schoolbook" w:hAnsi="Century Schoolbook"/>
          <w:i/>
          <w:iCs/>
        </w:rPr>
        <w:t>Id</w:t>
      </w:r>
      <w:r w:rsidRPr="001D73DF">
        <w:rPr>
          <w:rFonts w:ascii="Century Schoolbook" w:hAnsi="Century Schoolbook"/>
        </w:rPr>
        <w:t>.</w:t>
      </w:r>
      <w:r w:rsidR="00CA275C">
        <w:rPr>
          <w:rFonts w:ascii="Century Schoolbook" w:hAnsi="Century Schoolbook"/>
        </w:rPr>
        <w:t> </w:t>
      </w:r>
      <w:r w:rsidRPr="001D73DF">
        <w:rPr>
          <w:rFonts w:ascii="Century Schoolbook" w:hAnsi="Century Schoolbook"/>
        </w:rPr>
        <w:t>at pp. 200–201.)</w:t>
      </w:r>
    </w:p>
    <w:p w14:paraId="4869B3E8" w14:textId="673F149C" w:rsidR="001D73DF" w:rsidRPr="001D73DF" w:rsidRDefault="001D73DF" w:rsidP="001D73DF">
      <w:pPr>
        <w:rPr>
          <w:rFonts w:ascii="Century Schoolbook" w:hAnsi="Century Schoolbook"/>
        </w:rPr>
      </w:pPr>
      <w:r>
        <w:rPr>
          <w:rFonts w:ascii="Century Schoolbook" w:hAnsi="Century Schoolbook"/>
        </w:rPr>
        <w:lastRenderedPageBreak/>
        <w:tab/>
      </w:r>
      <w:r w:rsidR="00101982">
        <w:rPr>
          <w:rFonts w:ascii="Century Schoolbook" w:hAnsi="Century Schoolbook"/>
        </w:rPr>
        <w:t>“</w:t>
      </w:r>
      <w:r w:rsidRPr="001D73DF">
        <w:rPr>
          <w:rFonts w:ascii="Century Schoolbook" w:hAnsi="Century Schoolbook"/>
        </w:rPr>
        <w:t xml:space="preserve">We recognized a comparable principle in </w:t>
      </w:r>
      <w:r w:rsidRPr="00101982">
        <w:rPr>
          <w:rFonts w:ascii="Century Schoolbook" w:hAnsi="Century Schoolbook"/>
          <w:i/>
          <w:iCs/>
        </w:rPr>
        <w:t>Cooper v. Swoap</w:t>
      </w:r>
      <w:r w:rsidRPr="001D73DF">
        <w:rPr>
          <w:rFonts w:ascii="Century Schoolbook" w:hAnsi="Century Schoolbook"/>
        </w:rPr>
        <w:t xml:space="preserve"> (1974) 11</w:t>
      </w:r>
      <w:r w:rsidR="00B76066">
        <w:rPr>
          <w:rFonts w:ascii="Century Schoolbook" w:hAnsi="Century Schoolbook"/>
        </w:rPr>
        <w:t> </w:t>
      </w:r>
      <w:r w:rsidRPr="001D73DF">
        <w:rPr>
          <w:rFonts w:ascii="Century Schoolbook" w:hAnsi="Century Schoolbook"/>
        </w:rPr>
        <w:t>Cal.3d 856 (</w:t>
      </w:r>
      <w:r w:rsidRPr="00101982">
        <w:rPr>
          <w:rFonts w:ascii="Century Schoolbook" w:hAnsi="Century Schoolbook"/>
          <w:i/>
          <w:iCs/>
        </w:rPr>
        <w:t>Cooper</w:t>
      </w:r>
      <w:r w:rsidRPr="001D73DF">
        <w:rPr>
          <w:rFonts w:ascii="Century Schoolbook" w:hAnsi="Century Schoolbook"/>
        </w:rPr>
        <w:t xml:space="preserve">), where we held that treating </w:t>
      </w:r>
      <w:r w:rsidR="00101982" w:rsidRPr="001D73DF">
        <w:rPr>
          <w:rFonts w:ascii="Century Schoolbook" w:hAnsi="Century Schoolbook"/>
        </w:rPr>
        <w:t xml:space="preserve">‘ </w:t>
      </w:r>
      <w:r w:rsidRPr="001D73DF">
        <w:rPr>
          <w:rFonts w:ascii="Century Schoolbook" w:hAnsi="Century Schoolbook"/>
        </w:rPr>
        <w:t>“noncash economic benefits,”</w:t>
      </w:r>
      <w:r w:rsidR="00101982">
        <w:rPr>
          <w:rFonts w:ascii="Century Schoolbook" w:hAnsi="Century Schoolbook"/>
        </w:rPr>
        <w:t xml:space="preserve"> </w:t>
      </w:r>
      <w:r w:rsidR="00101982" w:rsidRPr="001D73DF">
        <w:rPr>
          <w:rFonts w:ascii="Century Schoolbook" w:hAnsi="Century Schoolbook"/>
        </w:rPr>
        <w:t>’</w:t>
      </w:r>
      <w:r w:rsidRPr="001D73DF">
        <w:rPr>
          <w:rFonts w:ascii="Century Schoolbook" w:hAnsi="Century Schoolbook"/>
        </w:rPr>
        <w:t xml:space="preserve"> such as shared housing, as </w:t>
      </w:r>
      <w:r w:rsidR="00101982" w:rsidRPr="001D73DF">
        <w:rPr>
          <w:rFonts w:ascii="Century Schoolbook" w:hAnsi="Century Schoolbook"/>
        </w:rPr>
        <w:t xml:space="preserve">‘ </w:t>
      </w:r>
      <w:r w:rsidRPr="001D73DF">
        <w:rPr>
          <w:rFonts w:ascii="Century Schoolbook" w:hAnsi="Century Schoolbook"/>
        </w:rPr>
        <w:t xml:space="preserve">“income” </w:t>
      </w:r>
      <w:r w:rsidR="00101982" w:rsidRPr="001D73DF">
        <w:rPr>
          <w:rFonts w:ascii="Century Schoolbook" w:hAnsi="Century Schoolbook"/>
        </w:rPr>
        <w:t>’</w:t>
      </w:r>
      <w:r w:rsidRPr="001D73DF">
        <w:rPr>
          <w:rFonts w:ascii="Century Schoolbook" w:hAnsi="Century Schoolbook"/>
        </w:rPr>
        <w:t xml:space="preserve">under the former AFDC program was invalid. </w:t>
      </w:r>
      <w:r w:rsidR="00101982">
        <w:rPr>
          <w:rFonts w:ascii="Century Schoolbook" w:hAnsi="Century Schoolbook"/>
        </w:rPr>
        <w:t xml:space="preserve"> </w:t>
      </w:r>
      <w:r w:rsidRPr="001D73DF">
        <w:rPr>
          <w:rFonts w:ascii="Century Schoolbook" w:hAnsi="Century Schoolbook"/>
        </w:rPr>
        <w:t>(</w:t>
      </w:r>
      <w:r w:rsidRPr="00101982">
        <w:rPr>
          <w:rFonts w:ascii="Century Schoolbook" w:hAnsi="Century Schoolbook"/>
          <w:i/>
          <w:iCs/>
        </w:rPr>
        <w:t>Id</w:t>
      </w:r>
      <w:r w:rsidRPr="001D73DF">
        <w:rPr>
          <w:rFonts w:ascii="Century Schoolbook" w:hAnsi="Century Schoolbook"/>
        </w:rPr>
        <w:t xml:space="preserve">. at p. 859.) </w:t>
      </w:r>
      <w:r w:rsidR="00101982">
        <w:rPr>
          <w:rFonts w:ascii="Century Schoolbook" w:hAnsi="Century Schoolbook"/>
        </w:rPr>
        <w:t xml:space="preserve"> </w:t>
      </w:r>
      <w:r w:rsidRPr="001D73DF">
        <w:rPr>
          <w:rFonts w:ascii="Century Schoolbook" w:hAnsi="Century Schoolbook"/>
        </w:rPr>
        <w:t xml:space="preserve">We explained that </w:t>
      </w:r>
      <w:r w:rsidR="00101982">
        <w:rPr>
          <w:rFonts w:ascii="Century Schoolbook" w:hAnsi="Century Schoolbook"/>
        </w:rPr>
        <w:t>‘</w:t>
      </w:r>
      <w:r w:rsidRPr="001D73DF">
        <w:rPr>
          <w:rFonts w:ascii="Century Schoolbook" w:hAnsi="Century Schoolbook"/>
        </w:rPr>
        <w:t>under the governing provisions of the federal Social Security Act only a recipient</w:t>
      </w:r>
      <w:r w:rsidR="00101982">
        <w:rPr>
          <w:rFonts w:ascii="Century Schoolbook" w:hAnsi="Century Schoolbook"/>
        </w:rPr>
        <w:t>’</w:t>
      </w:r>
      <w:r w:rsidRPr="001D73DF">
        <w:rPr>
          <w:rFonts w:ascii="Century Schoolbook" w:hAnsi="Century Schoolbook"/>
        </w:rPr>
        <w:t xml:space="preserve">s actual available income may be deducted from his basic welfare benefit; arbitrary or constructive </w:t>
      </w:r>
      <w:r w:rsidR="00101982">
        <w:rPr>
          <w:rFonts w:ascii="Century Schoolbook" w:hAnsi="Century Schoolbook"/>
        </w:rPr>
        <w:t>“</w:t>
      </w:r>
      <w:r w:rsidRPr="001D73DF">
        <w:rPr>
          <w:rFonts w:ascii="Century Schoolbook" w:hAnsi="Century Schoolbook"/>
        </w:rPr>
        <w:t>presumptions</w:t>
      </w:r>
      <w:r w:rsidR="00101982">
        <w:rPr>
          <w:rFonts w:ascii="Century Schoolbook" w:hAnsi="Century Schoolbook"/>
        </w:rPr>
        <w:t>”</w:t>
      </w:r>
      <w:r w:rsidRPr="001D73DF">
        <w:rPr>
          <w:rFonts w:ascii="Century Schoolbook" w:hAnsi="Century Schoolbook"/>
        </w:rPr>
        <w:t xml:space="preserve"> of income are not permissible.</w:t>
      </w:r>
      <w:r w:rsidR="00101982">
        <w:rPr>
          <w:rFonts w:ascii="Century Schoolbook" w:hAnsi="Century Schoolbook"/>
        </w:rPr>
        <w:t>’</w:t>
      </w:r>
      <w:r w:rsidRPr="001D73DF">
        <w:rPr>
          <w:rFonts w:ascii="Century Schoolbook" w:hAnsi="Century Schoolbook"/>
        </w:rPr>
        <w:t xml:space="preserve"> </w:t>
      </w:r>
      <w:r w:rsidR="00101982">
        <w:rPr>
          <w:rFonts w:ascii="Century Schoolbook" w:hAnsi="Century Schoolbook"/>
        </w:rPr>
        <w:t xml:space="preserve"> </w:t>
      </w:r>
      <w:r w:rsidRPr="001D73DF">
        <w:rPr>
          <w:rFonts w:ascii="Century Schoolbook" w:hAnsi="Century Schoolbook"/>
        </w:rPr>
        <w:t>(</w:t>
      </w:r>
      <w:r w:rsidRPr="00101982">
        <w:rPr>
          <w:rFonts w:ascii="Century Schoolbook" w:hAnsi="Century Schoolbook"/>
          <w:i/>
          <w:iCs/>
        </w:rPr>
        <w:t>Id</w:t>
      </w:r>
      <w:r w:rsidRPr="001D73DF">
        <w:rPr>
          <w:rFonts w:ascii="Century Schoolbook" w:hAnsi="Century Schoolbook"/>
        </w:rPr>
        <w:t xml:space="preserve">. at p. 870; see </w:t>
      </w:r>
      <w:r w:rsidRPr="00101982">
        <w:rPr>
          <w:rFonts w:ascii="Century Schoolbook" w:hAnsi="Century Schoolbook"/>
          <w:i/>
          <w:iCs/>
        </w:rPr>
        <w:t>Waits v. Swoap</w:t>
      </w:r>
      <w:r w:rsidRPr="001D73DF">
        <w:rPr>
          <w:rFonts w:ascii="Century Schoolbook" w:hAnsi="Century Schoolbook"/>
        </w:rPr>
        <w:t xml:space="preserve"> (1974) 11 Cal.3d 887, 894–895 (</w:t>
      </w:r>
      <w:r w:rsidRPr="00101982">
        <w:rPr>
          <w:rFonts w:ascii="Century Schoolbook" w:hAnsi="Century Schoolbook"/>
          <w:i/>
          <w:iCs/>
        </w:rPr>
        <w:t>Waits</w:t>
      </w:r>
      <w:r w:rsidRPr="001D73DF">
        <w:rPr>
          <w:rFonts w:ascii="Century Schoolbook" w:hAnsi="Century Schoolbook"/>
        </w:rPr>
        <w:t xml:space="preserve">) [only the </w:t>
      </w:r>
      <w:r w:rsidR="00101982" w:rsidRPr="001D73DF">
        <w:rPr>
          <w:rFonts w:ascii="Century Schoolbook" w:hAnsi="Century Schoolbook"/>
        </w:rPr>
        <w:t xml:space="preserve">‘ </w:t>
      </w:r>
      <w:r w:rsidRPr="001D73DF">
        <w:rPr>
          <w:rFonts w:ascii="Century Schoolbook" w:hAnsi="Century Schoolbook"/>
        </w:rPr>
        <w:t>“</w:t>
      </w:r>
      <w:r w:rsidRPr="004146A9">
        <w:rPr>
          <w:rFonts w:ascii="Century Schoolbook" w:hAnsi="Century Schoolbook"/>
          <w:i/>
          <w:iCs/>
        </w:rPr>
        <w:t>actual value</w:t>
      </w:r>
      <w:r w:rsidRPr="001D73DF">
        <w:rPr>
          <w:rFonts w:ascii="Century Schoolbook" w:hAnsi="Century Schoolbook"/>
        </w:rPr>
        <w:t xml:space="preserve"> of housing and utilities benefits received could possibly constitute income to the recipient</w:t>
      </w:r>
      <w:r w:rsidR="00101982" w:rsidRPr="001D73DF">
        <w:rPr>
          <w:rFonts w:ascii="Century Schoolbook" w:hAnsi="Century Schoolbook"/>
        </w:rPr>
        <w:t>”</w:t>
      </w:r>
      <w:r w:rsidR="00101982">
        <w:rPr>
          <w:rFonts w:ascii="Century Schoolbook" w:hAnsi="Century Schoolbook"/>
        </w:rPr>
        <w:t xml:space="preserve"> </w:t>
      </w:r>
      <w:r w:rsidRPr="001D73DF">
        <w:rPr>
          <w:rFonts w:ascii="Century Schoolbook" w:hAnsi="Century Schoolbook"/>
        </w:rPr>
        <w:t xml:space="preserve">’ (quoting </w:t>
      </w:r>
      <w:r w:rsidRPr="00101982">
        <w:rPr>
          <w:rFonts w:ascii="Century Schoolbook" w:hAnsi="Century Schoolbook"/>
          <w:i/>
          <w:iCs/>
        </w:rPr>
        <w:t>Cooper</w:t>
      </w:r>
      <w:r w:rsidRPr="001D73DF">
        <w:rPr>
          <w:rFonts w:ascii="Century Schoolbook" w:hAnsi="Century Schoolbook"/>
        </w:rPr>
        <w:t xml:space="preserve">, at p. 870)]; </w:t>
      </w:r>
      <w:r w:rsidRPr="00101982">
        <w:rPr>
          <w:rFonts w:ascii="Century Schoolbook" w:hAnsi="Century Schoolbook"/>
          <w:i/>
          <w:iCs/>
        </w:rPr>
        <w:t>Mooney v. Pickett</w:t>
      </w:r>
      <w:r w:rsidRPr="001D73DF">
        <w:rPr>
          <w:rFonts w:ascii="Century Schoolbook" w:hAnsi="Century Schoolbook"/>
        </w:rPr>
        <w:t xml:space="preserve"> (1971) 4 Cal.3d 669, 680 (</w:t>
      </w:r>
      <w:r w:rsidRPr="00101982">
        <w:rPr>
          <w:rFonts w:ascii="Century Schoolbook" w:hAnsi="Century Schoolbook"/>
          <w:i/>
          <w:iCs/>
        </w:rPr>
        <w:t>Mooney</w:t>
      </w:r>
      <w:r w:rsidRPr="001D73DF">
        <w:rPr>
          <w:rFonts w:ascii="Century Schoolbook" w:hAnsi="Century Schoolbook"/>
        </w:rPr>
        <w:t xml:space="preserve">) [concluding that a county regulation denying general assistance to </w:t>
      </w:r>
      <w:r w:rsidR="00101982">
        <w:rPr>
          <w:rFonts w:ascii="Century Schoolbook" w:hAnsi="Century Schoolbook"/>
        </w:rPr>
        <w:t>‘</w:t>
      </w:r>
      <w:r w:rsidRPr="001D73DF">
        <w:rPr>
          <w:rFonts w:ascii="Century Schoolbook" w:hAnsi="Century Schoolbook"/>
        </w:rPr>
        <w:t>employable</w:t>
      </w:r>
      <w:r w:rsidR="00101982">
        <w:rPr>
          <w:rFonts w:ascii="Century Schoolbook" w:hAnsi="Century Schoolbook"/>
        </w:rPr>
        <w:t>’</w:t>
      </w:r>
      <w:r w:rsidRPr="001D73DF">
        <w:rPr>
          <w:rFonts w:ascii="Century Schoolbook" w:hAnsi="Century Schoolbook"/>
        </w:rPr>
        <w:t xml:space="preserve"> single men was invalid because </w:t>
      </w:r>
      <w:r w:rsidR="00101982">
        <w:rPr>
          <w:rFonts w:ascii="Century Schoolbook" w:hAnsi="Century Schoolbook"/>
        </w:rPr>
        <w:t>‘</w:t>
      </w:r>
      <w:r w:rsidRPr="001D73DF">
        <w:rPr>
          <w:rFonts w:ascii="Century Schoolbook" w:hAnsi="Century Schoolbook"/>
        </w:rPr>
        <w:t>theoretical employability is a barren resource; it is inedible; it provides neither shelter nor any other necessity of life</w:t>
      </w:r>
      <w:r w:rsidR="00101982">
        <w:rPr>
          <w:rFonts w:ascii="Century Schoolbook" w:hAnsi="Century Schoolbook"/>
        </w:rPr>
        <w:t>’</w:t>
      </w:r>
      <w:r w:rsidRPr="001D73DF">
        <w:rPr>
          <w:rFonts w:ascii="Century Schoolbook" w:hAnsi="Century Schoolbook"/>
        </w:rPr>
        <w:t>].)</w:t>
      </w:r>
    </w:p>
    <w:p w14:paraId="7C18E163" w14:textId="041AC18E" w:rsidR="001D73DF" w:rsidRPr="001D73DF" w:rsidRDefault="001D73DF" w:rsidP="001D73DF">
      <w:pPr>
        <w:rPr>
          <w:rFonts w:ascii="Century Schoolbook" w:hAnsi="Century Schoolbook"/>
        </w:rPr>
      </w:pPr>
      <w:r>
        <w:rPr>
          <w:rFonts w:ascii="Century Schoolbook" w:hAnsi="Century Schoolbook"/>
        </w:rPr>
        <w:tab/>
      </w:r>
      <w:r w:rsidR="00101982">
        <w:rPr>
          <w:rFonts w:ascii="Century Schoolbook" w:hAnsi="Century Schoolbook"/>
        </w:rPr>
        <w:t>“</w:t>
      </w:r>
      <w:r w:rsidRPr="001D73DF">
        <w:rPr>
          <w:rFonts w:ascii="Century Schoolbook" w:hAnsi="Century Schoolbook"/>
        </w:rPr>
        <w:t xml:space="preserve">The agency in </w:t>
      </w:r>
      <w:r w:rsidRPr="00101982">
        <w:rPr>
          <w:rFonts w:ascii="Century Schoolbook" w:hAnsi="Century Schoolbook"/>
          <w:i/>
          <w:iCs/>
        </w:rPr>
        <w:t>Cooper</w:t>
      </w:r>
      <w:r w:rsidRPr="001D73DF">
        <w:rPr>
          <w:rFonts w:ascii="Century Schoolbook" w:hAnsi="Century Schoolbook"/>
        </w:rPr>
        <w:t xml:space="preserve"> and </w:t>
      </w:r>
      <w:r w:rsidRPr="00101982">
        <w:rPr>
          <w:rFonts w:ascii="Century Schoolbook" w:hAnsi="Century Schoolbook"/>
          <w:i/>
          <w:iCs/>
        </w:rPr>
        <w:t>Waits</w:t>
      </w:r>
      <w:r w:rsidRPr="001D73DF">
        <w:rPr>
          <w:rFonts w:ascii="Century Schoolbook" w:hAnsi="Century Schoolbook"/>
        </w:rPr>
        <w:t xml:space="preserve"> assigned </w:t>
      </w:r>
      <w:r w:rsidR="00101982">
        <w:rPr>
          <w:rFonts w:ascii="Century Schoolbook" w:hAnsi="Century Schoolbook"/>
        </w:rPr>
        <w:t>‘</w:t>
      </w:r>
      <w:r w:rsidRPr="001D73DF">
        <w:rPr>
          <w:rFonts w:ascii="Century Schoolbook" w:hAnsi="Century Schoolbook"/>
        </w:rPr>
        <w:t>a fictional value</w:t>
      </w:r>
      <w:r w:rsidR="00101982">
        <w:rPr>
          <w:rFonts w:ascii="Century Schoolbook" w:hAnsi="Century Schoolbook"/>
        </w:rPr>
        <w:t>’</w:t>
      </w:r>
      <w:r w:rsidRPr="001D73DF">
        <w:rPr>
          <w:rFonts w:ascii="Century Schoolbook" w:hAnsi="Century Schoolbook"/>
        </w:rPr>
        <w:t xml:space="preserve"> to benefits received by a recipient rather than attempting to measure the </w:t>
      </w:r>
      <w:r w:rsidR="00101982">
        <w:rPr>
          <w:rFonts w:ascii="Century Schoolbook" w:hAnsi="Century Schoolbook"/>
        </w:rPr>
        <w:t>‘</w:t>
      </w:r>
      <w:r w:rsidRPr="001D73DF">
        <w:rPr>
          <w:rFonts w:ascii="Century Schoolbook" w:hAnsi="Century Schoolbook"/>
        </w:rPr>
        <w:t>actual value of the benefits received.</w:t>
      </w:r>
      <w:r w:rsidR="00101982">
        <w:rPr>
          <w:rFonts w:ascii="Century Schoolbook" w:hAnsi="Century Schoolbook"/>
        </w:rPr>
        <w:t xml:space="preserve">’ </w:t>
      </w:r>
      <w:r w:rsidRPr="001D73DF">
        <w:rPr>
          <w:rFonts w:ascii="Century Schoolbook" w:hAnsi="Century Schoolbook"/>
        </w:rPr>
        <w:t xml:space="preserve"> (</w:t>
      </w:r>
      <w:r w:rsidRPr="00101982">
        <w:rPr>
          <w:rFonts w:ascii="Century Schoolbook" w:hAnsi="Century Schoolbook"/>
          <w:i/>
          <w:iCs/>
        </w:rPr>
        <w:t>Waits</w:t>
      </w:r>
      <w:r w:rsidRPr="001D73DF">
        <w:rPr>
          <w:rFonts w:ascii="Century Schoolbook" w:hAnsi="Century Schoolbook"/>
        </w:rPr>
        <w:t xml:space="preserve">, </w:t>
      </w:r>
      <w:r w:rsidRPr="00101982">
        <w:rPr>
          <w:rFonts w:ascii="Century Schoolbook" w:hAnsi="Century Schoolbook"/>
          <w:i/>
          <w:iCs/>
        </w:rPr>
        <w:t>supra</w:t>
      </w:r>
      <w:r w:rsidRPr="001D73DF">
        <w:rPr>
          <w:rFonts w:ascii="Century Schoolbook" w:hAnsi="Century Schoolbook"/>
        </w:rPr>
        <w:t xml:space="preserve">, 11 Cal.3d at p. 890; see </w:t>
      </w:r>
      <w:r w:rsidRPr="00101982">
        <w:rPr>
          <w:rFonts w:ascii="Century Schoolbook" w:hAnsi="Century Schoolbook"/>
          <w:i/>
          <w:iCs/>
        </w:rPr>
        <w:t>Cooper</w:t>
      </w:r>
      <w:r w:rsidRPr="001D73DF">
        <w:rPr>
          <w:rFonts w:ascii="Century Schoolbook" w:hAnsi="Century Schoolbook"/>
        </w:rPr>
        <w:t xml:space="preserve">, </w:t>
      </w:r>
      <w:r w:rsidRPr="00101982">
        <w:rPr>
          <w:rFonts w:ascii="Century Schoolbook" w:hAnsi="Century Schoolbook"/>
          <w:i/>
          <w:iCs/>
        </w:rPr>
        <w:t>supra</w:t>
      </w:r>
      <w:r w:rsidRPr="001D73DF">
        <w:rPr>
          <w:rFonts w:ascii="Century Schoolbook" w:hAnsi="Century Schoolbook"/>
        </w:rPr>
        <w:t>, 11 Cal.3d at p. 8</w:t>
      </w:r>
      <w:r w:rsidR="004146A9">
        <w:rPr>
          <w:rFonts w:ascii="Century Schoolbook" w:hAnsi="Century Schoolbook"/>
        </w:rPr>
        <w:t>7</w:t>
      </w:r>
      <w:r w:rsidRPr="001D73DF">
        <w:rPr>
          <w:rFonts w:ascii="Century Schoolbook" w:hAnsi="Century Schoolbook"/>
        </w:rPr>
        <w:t>0.)</w:t>
      </w:r>
      <w:r w:rsidR="00101982">
        <w:rPr>
          <w:rFonts w:ascii="Century Schoolbook" w:hAnsi="Century Schoolbook"/>
        </w:rPr>
        <w:t xml:space="preserve"> </w:t>
      </w:r>
      <w:r w:rsidRPr="001D73DF">
        <w:rPr>
          <w:rFonts w:ascii="Century Schoolbook" w:hAnsi="Century Schoolbook"/>
        </w:rPr>
        <w:t xml:space="preserve"> Here, by contrast, the child support payments garnished from Bruce</w:t>
      </w:r>
      <w:r w:rsidR="00101982">
        <w:rPr>
          <w:rFonts w:ascii="Century Schoolbook" w:hAnsi="Century Schoolbook"/>
        </w:rPr>
        <w:t>’</w:t>
      </w:r>
      <w:r w:rsidRPr="001D73DF">
        <w:rPr>
          <w:rFonts w:ascii="Century Schoolbook" w:hAnsi="Century Schoolbook"/>
        </w:rPr>
        <w:t xml:space="preserve">s income were not </w:t>
      </w:r>
      <w:r w:rsidR="00101982">
        <w:rPr>
          <w:rFonts w:ascii="Century Schoolbook" w:hAnsi="Century Schoolbook"/>
        </w:rPr>
        <w:t>‘</w:t>
      </w:r>
      <w:r w:rsidRPr="001D73DF">
        <w:rPr>
          <w:rFonts w:ascii="Century Schoolbook" w:hAnsi="Century Schoolbook"/>
        </w:rPr>
        <w:t>fictional,</w:t>
      </w:r>
      <w:r w:rsidR="00101982">
        <w:rPr>
          <w:rFonts w:ascii="Century Schoolbook" w:hAnsi="Century Schoolbook"/>
        </w:rPr>
        <w:t>’</w:t>
      </w:r>
      <w:r w:rsidRPr="001D73DF">
        <w:rPr>
          <w:rFonts w:ascii="Century Schoolbook" w:hAnsi="Century Schoolbook"/>
        </w:rPr>
        <w:t xml:space="preserve"> </w:t>
      </w:r>
      <w:r w:rsidR="00101982">
        <w:rPr>
          <w:rFonts w:ascii="Century Schoolbook" w:hAnsi="Century Schoolbook"/>
        </w:rPr>
        <w:t>‘</w:t>
      </w:r>
      <w:r w:rsidRPr="001D73DF">
        <w:rPr>
          <w:rFonts w:ascii="Century Schoolbook" w:hAnsi="Century Schoolbook"/>
        </w:rPr>
        <w:t>theoretical,</w:t>
      </w:r>
      <w:r w:rsidR="00101982">
        <w:rPr>
          <w:rFonts w:ascii="Century Schoolbook" w:hAnsi="Century Schoolbook"/>
        </w:rPr>
        <w:t>’</w:t>
      </w:r>
      <w:r w:rsidRPr="001D73DF">
        <w:rPr>
          <w:rFonts w:ascii="Century Schoolbook" w:hAnsi="Century Schoolbook"/>
        </w:rPr>
        <w:t xml:space="preserve"> or merely </w:t>
      </w:r>
      <w:r w:rsidR="00101982" w:rsidRPr="001D73DF">
        <w:rPr>
          <w:rFonts w:ascii="Century Schoolbook" w:hAnsi="Century Schoolbook"/>
        </w:rPr>
        <w:t xml:space="preserve">‘ </w:t>
      </w:r>
      <w:r w:rsidRPr="001D73DF">
        <w:rPr>
          <w:rFonts w:ascii="Century Schoolbook" w:hAnsi="Century Schoolbook"/>
        </w:rPr>
        <w:t xml:space="preserve">“imputed.” </w:t>
      </w:r>
      <w:r w:rsidR="00101982" w:rsidRPr="001D73DF">
        <w:rPr>
          <w:rFonts w:ascii="Century Schoolbook" w:hAnsi="Century Schoolbook"/>
        </w:rPr>
        <w:t xml:space="preserve">’ </w:t>
      </w:r>
      <w:r w:rsidRPr="001D73DF">
        <w:rPr>
          <w:rFonts w:ascii="Century Schoolbook" w:hAnsi="Century Schoolbook"/>
        </w:rPr>
        <w:t>(</w:t>
      </w:r>
      <w:r w:rsidRPr="00101982">
        <w:rPr>
          <w:rFonts w:ascii="Century Schoolbook" w:hAnsi="Century Schoolbook"/>
          <w:i/>
          <w:iCs/>
        </w:rPr>
        <w:t>Heckler</w:t>
      </w:r>
      <w:r w:rsidRPr="001D73DF">
        <w:rPr>
          <w:rFonts w:ascii="Century Schoolbook" w:hAnsi="Century Schoolbook"/>
        </w:rPr>
        <w:t xml:space="preserve">, </w:t>
      </w:r>
      <w:r w:rsidRPr="00101982">
        <w:rPr>
          <w:rFonts w:ascii="Century Schoolbook" w:hAnsi="Century Schoolbook"/>
          <w:i/>
          <w:iCs/>
        </w:rPr>
        <w:t>supra</w:t>
      </w:r>
      <w:r w:rsidRPr="001D73DF">
        <w:rPr>
          <w:rFonts w:ascii="Century Schoolbook" w:hAnsi="Century Schoolbook"/>
        </w:rPr>
        <w:t xml:space="preserve">, 470 U.S. at p. 200; </w:t>
      </w:r>
      <w:r w:rsidRPr="00101982">
        <w:rPr>
          <w:rFonts w:ascii="Century Schoolbook" w:hAnsi="Century Schoolbook"/>
          <w:i/>
          <w:iCs/>
        </w:rPr>
        <w:t>Cooper</w:t>
      </w:r>
      <w:r w:rsidRPr="001D73DF">
        <w:rPr>
          <w:rFonts w:ascii="Century Schoolbook" w:hAnsi="Century Schoolbook"/>
        </w:rPr>
        <w:t xml:space="preserve">, </w:t>
      </w:r>
      <w:r w:rsidRPr="00101982">
        <w:rPr>
          <w:rFonts w:ascii="Century Schoolbook" w:hAnsi="Century Schoolbook"/>
          <w:i/>
          <w:iCs/>
        </w:rPr>
        <w:t>supra</w:t>
      </w:r>
      <w:r w:rsidRPr="001D73DF">
        <w:rPr>
          <w:rFonts w:ascii="Century Schoolbook" w:hAnsi="Century Schoolbook"/>
        </w:rPr>
        <w:t xml:space="preserve">, 11 Cal.3d at p. 870; </w:t>
      </w:r>
      <w:r w:rsidRPr="00101982">
        <w:rPr>
          <w:rFonts w:ascii="Century Schoolbook" w:hAnsi="Century Schoolbook"/>
          <w:i/>
          <w:iCs/>
        </w:rPr>
        <w:t>Mooney</w:t>
      </w:r>
      <w:r w:rsidRPr="001D73DF">
        <w:rPr>
          <w:rFonts w:ascii="Century Schoolbook" w:hAnsi="Century Schoolbook"/>
        </w:rPr>
        <w:t xml:space="preserve">, </w:t>
      </w:r>
      <w:r w:rsidRPr="00101982">
        <w:rPr>
          <w:rFonts w:ascii="Century Schoolbook" w:hAnsi="Century Schoolbook"/>
          <w:i/>
          <w:iCs/>
        </w:rPr>
        <w:t>supra</w:t>
      </w:r>
      <w:r w:rsidRPr="001D73DF">
        <w:rPr>
          <w:rFonts w:ascii="Century Schoolbook" w:hAnsi="Century Schoolbook"/>
        </w:rPr>
        <w:t xml:space="preserve">, 4 Cal.3d at p. 680.) </w:t>
      </w:r>
      <w:r w:rsidR="00101982">
        <w:rPr>
          <w:rFonts w:ascii="Century Schoolbook" w:hAnsi="Century Schoolbook"/>
        </w:rPr>
        <w:t xml:space="preserve"> </w:t>
      </w:r>
      <w:r w:rsidRPr="001D73DF">
        <w:rPr>
          <w:rFonts w:ascii="Century Schoolbook" w:hAnsi="Century Schoolbook"/>
        </w:rPr>
        <w:t xml:space="preserve">Bruce received actual income—his wages plus his unemployment insurance benefits—from which child support payments were deducted. </w:t>
      </w:r>
      <w:r w:rsidR="00101982">
        <w:rPr>
          <w:rFonts w:ascii="Century Schoolbook" w:hAnsi="Century Schoolbook"/>
        </w:rPr>
        <w:t xml:space="preserve"> </w:t>
      </w:r>
      <w:r w:rsidRPr="001D73DF">
        <w:rPr>
          <w:rFonts w:ascii="Century Schoolbook" w:hAnsi="Century Schoolbook"/>
        </w:rPr>
        <w:t xml:space="preserve">The circumstances here do not involve </w:t>
      </w:r>
      <w:r w:rsidR="00101982">
        <w:rPr>
          <w:rFonts w:ascii="Century Schoolbook" w:hAnsi="Century Schoolbook"/>
        </w:rPr>
        <w:t>‘</w:t>
      </w:r>
      <w:r w:rsidRPr="001D73DF">
        <w:rPr>
          <w:rFonts w:ascii="Century Schoolbook" w:hAnsi="Century Schoolbook"/>
        </w:rPr>
        <w:t>imputing financial support from persons who have no obligation to furnish it or by overvaluing assets in a manner that attributes nonexistent resources to recipients.</w:t>
      </w:r>
      <w:r w:rsidR="00101982">
        <w:rPr>
          <w:rFonts w:ascii="Century Schoolbook" w:hAnsi="Century Schoolbook"/>
        </w:rPr>
        <w:t xml:space="preserve">’ </w:t>
      </w:r>
      <w:r w:rsidRPr="001D73DF">
        <w:rPr>
          <w:rFonts w:ascii="Century Schoolbook" w:hAnsi="Century Schoolbook"/>
        </w:rPr>
        <w:t xml:space="preserve"> (</w:t>
      </w:r>
      <w:r w:rsidRPr="00101982">
        <w:rPr>
          <w:rFonts w:ascii="Century Schoolbook" w:hAnsi="Century Schoolbook"/>
          <w:i/>
          <w:iCs/>
        </w:rPr>
        <w:t>Heckler</w:t>
      </w:r>
      <w:r w:rsidRPr="001D73DF">
        <w:rPr>
          <w:rFonts w:ascii="Century Schoolbook" w:hAnsi="Century Schoolbook"/>
        </w:rPr>
        <w:t xml:space="preserve">, </w:t>
      </w:r>
      <w:r w:rsidRPr="00101982">
        <w:rPr>
          <w:rFonts w:ascii="Century Schoolbook" w:hAnsi="Century Schoolbook"/>
          <w:i/>
          <w:iCs/>
        </w:rPr>
        <w:t>supra</w:t>
      </w:r>
      <w:r w:rsidRPr="001D73DF">
        <w:rPr>
          <w:rFonts w:ascii="Century Schoolbook" w:hAnsi="Century Schoolbook"/>
        </w:rPr>
        <w:t>, 470 U.S. at p. 200.)</w:t>
      </w:r>
      <w:r w:rsidR="00971AFC">
        <w:rPr>
          <w:rFonts w:ascii="Century Schoolbook" w:hAnsi="Century Schoolbook"/>
        </w:rPr>
        <w:t>”</w:t>
      </w:r>
      <w:r w:rsidR="00496200">
        <w:rPr>
          <w:rFonts w:ascii="Century Schoolbook" w:hAnsi="Century Schoolbook"/>
        </w:rPr>
        <w:t xml:space="preserve"> </w:t>
      </w:r>
      <w:r w:rsidR="004127BC">
        <w:rPr>
          <w:rFonts w:ascii="Century Schoolbook" w:hAnsi="Century Schoolbook"/>
        </w:rPr>
        <w:t xml:space="preserve"> </w:t>
      </w:r>
      <w:r w:rsidR="000D4A50">
        <w:rPr>
          <w:rFonts w:ascii="Century Schoolbook" w:hAnsi="Century Schoolbook"/>
        </w:rPr>
        <w:t>(</w:t>
      </w:r>
      <w:r w:rsidR="000D4A50" w:rsidRPr="000D4A50">
        <w:rPr>
          <w:rFonts w:ascii="Century Schoolbook" w:hAnsi="Century Schoolbook"/>
          <w:i/>
          <w:iCs/>
        </w:rPr>
        <w:t>Christensen</w:t>
      </w:r>
      <w:r w:rsidR="000D4A50">
        <w:rPr>
          <w:rFonts w:ascii="Century Schoolbook" w:hAnsi="Century Schoolbook"/>
        </w:rPr>
        <w:t xml:space="preserve">, </w:t>
      </w:r>
      <w:r w:rsidR="000D4A50" w:rsidRPr="000D4A50">
        <w:rPr>
          <w:rFonts w:ascii="Century Schoolbook" w:hAnsi="Century Schoolbook"/>
          <w:i/>
          <w:iCs/>
        </w:rPr>
        <w:t>supra</w:t>
      </w:r>
      <w:r w:rsidR="000D4A50">
        <w:rPr>
          <w:rFonts w:ascii="Century Schoolbook" w:hAnsi="Century Schoolbook"/>
        </w:rPr>
        <w:t>, 7</w:t>
      </w:r>
      <w:r w:rsidR="00AC12A1">
        <w:rPr>
          <w:rFonts w:ascii="Century Schoolbook" w:hAnsi="Century Schoolbook"/>
        </w:rPr>
        <w:t> </w:t>
      </w:r>
      <w:r w:rsidR="000D4A50">
        <w:rPr>
          <w:rFonts w:ascii="Century Schoolbook" w:hAnsi="Century Schoolbook"/>
        </w:rPr>
        <w:t xml:space="preserve">Cal.5th at pp. 773–774.) </w:t>
      </w:r>
    </w:p>
    <w:p w14:paraId="1612AFD2" w14:textId="68544953" w:rsidR="00D41023" w:rsidRPr="001D73DF" w:rsidRDefault="005060A9" w:rsidP="00D41023">
      <w:pPr>
        <w:rPr>
          <w:rFonts w:ascii="Century Schoolbook" w:hAnsi="Century Schoolbook"/>
        </w:rPr>
      </w:pPr>
      <w:r>
        <w:rPr>
          <w:rFonts w:ascii="Century Schoolbook" w:hAnsi="Century Schoolbook"/>
        </w:rPr>
        <w:lastRenderedPageBreak/>
        <w:tab/>
        <w:t xml:space="preserve">Here, as in </w:t>
      </w:r>
      <w:r w:rsidRPr="005060A9">
        <w:rPr>
          <w:rFonts w:ascii="Century Schoolbook" w:hAnsi="Century Schoolbook"/>
          <w:i/>
          <w:iCs/>
        </w:rPr>
        <w:t>Christensen</w:t>
      </w:r>
      <w:r>
        <w:rPr>
          <w:rFonts w:ascii="Century Schoolbook" w:hAnsi="Century Schoolbook"/>
        </w:rPr>
        <w:t>, the $598.20 garnished from Abney’s Social Security income to pay the IRS is “</w:t>
      </w:r>
      <w:r w:rsidRPr="001D73DF">
        <w:rPr>
          <w:rFonts w:ascii="Century Schoolbook" w:hAnsi="Century Schoolbook"/>
        </w:rPr>
        <w:t xml:space="preserve">not </w:t>
      </w:r>
      <w:r>
        <w:rPr>
          <w:rFonts w:ascii="Century Schoolbook" w:hAnsi="Century Schoolbook"/>
        </w:rPr>
        <w:t>‘</w:t>
      </w:r>
      <w:r w:rsidRPr="001D73DF">
        <w:rPr>
          <w:rFonts w:ascii="Century Schoolbook" w:hAnsi="Century Schoolbook"/>
        </w:rPr>
        <w:t>fictional,</w:t>
      </w:r>
      <w:r>
        <w:rPr>
          <w:rFonts w:ascii="Century Schoolbook" w:hAnsi="Century Schoolbook"/>
        </w:rPr>
        <w:t>’</w:t>
      </w:r>
      <w:r w:rsidRPr="001D73DF">
        <w:rPr>
          <w:rFonts w:ascii="Century Schoolbook" w:hAnsi="Century Schoolbook"/>
        </w:rPr>
        <w:t xml:space="preserve"> </w:t>
      </w:r>
      <w:r>
        <w:rPr>
          <w:rFonts w:ascii="Century Schoolbook" w:hAnsi="Century Schoolbook"/>
        </w:rPr>
        <w:t>‘</w:t>
      </w:r>
      <w:r w:rsidRPr="001D73DF">
        <w:rPr>
          <w:rFonts w:ascii="Century Schoolbook" w:hAnsi="Century Schoolbook"/>
        </w:rPr>
        <w:t>theoretical,</w:t>
      </w:r>
      <w:r>
        <w:rPr>
          <w:rFonts w:ascii="Century Schoolbook" w:hAnsi="Century Schoolbook"/>
        </w:rPr>
        <w:t>’</w:t>
      </w:r>
      <w:r w:rsidRPr="001D73DF">
        <w:rPr>
          <w:rFonts w:ascii="Century Schoolbook" w:hAnsi="Century Schoolbook"/>
        </w:rPr>
        <w:t xml:space="preserve"> or merely ‘</w:t>
      </w:r>
      <w:r w:rsidR="00325148">
        <w:rPr>
          <w:rFonts w:ascii="Century Schoolbook" w:hAnsi="Century Schoolbook"/>
        </w:rPr>
        <w:t> </w:t>
      </w:r>
      <w:r w:rsidRPr="001D73DF">
        <w:rPr>
          <w:rFonts w:ascii="Century Schoolbook" w:hAnsi="Century Schoolbook"/>
        </w:rPr>
        <w:t>“imputed</w:t>
      </w:r>
      <w:r>
        <w:rPr>
          <w:rFonts w:ascii="Century Schoolbook" w:hAnsi="Century Schoolbook"/>
        </w:rPr>
        <w:t>,</w:t>
      </w:r>
      <w:r w:rsidRPr="001D73DF">
        <w:rPr>
          <w:rFonts w:ascii="Century Schoolbook" w:hAnsi="Century Schoolbook"/>
        </w:rPr>
        <w:t>” ’</w:t>
      </w:r>
      <w:r w:rsidR="00325148">
        <w:rPr>
          <w:rFonts w:ascii="Century Schoolbook" w:hAnsi="Century Schoolbook"/>
        </w:rPr>
        <w:t xml:space="preserve"> </w:t>
      </w:r>
      <w:r>
        <w:rPr>
          <w:rFonts w:ascii="Century Schoolbook" w:hAnsi="Century Schoolbook"/>
        </w:rPr>
        <w:t xml:space="preserve">” and </w:t>
      </w:r>
      <w:r w:rsidR="00D41023">
        <w:rPr>
          <w:rFonts w:ascii="Century Schoolbook" w:hAnsi="Century Schoolbook"/>
        </w:rPr>
        <w:t>“[t]</w:t>
      </w:r>
      <w:r w:rsidR="00D41023" w:rsidRPr="001D73DF">
        <w:rPr>
          <w:rFonts w:ascii="Century Schoolbook" w:hAnsi="Century Schoolbook"/>
        </w:rPr>
        <w:t xml:space="preserve">he circumstances here do not involve </w:t>
      </w:r>
      <w:r w:rsidR="00D41023">
        <w:rPr>
          <w:rFonts w:ascii="Century Schoolbook" w:hAnsi="Century Schoolbook"/>
        </w:rPr>
        <w:t>‘</w:t>
      </w:r>
      <w:r w:rsidR="00D41023" w:rsidRPr="001D73DF">
        <w:rPr>
          <w:rFonts w:ascii="Century Schoolbook" w:hAnsi="Century Schoolbook"/>
        </w:rPr>
        <w:t>imputing financial support from persons who have no obligation to furnish it or by overvaluing assets in a manner that attributes nonexistent resources to recipients.</w:t>
      </w:r>
      <w:r w:rsidR="00D41023">
        <w:rPr>
          <w:rFonts w:ascii="Century Schoolbook" w:hAnsi="Century Schoolbook"/>
        </w:rPr>
        <w:t xml:space="preserve">’ </w:t>
      </w:r>
      <w:r w:rsidR="00D41023" w:rsidRPr="001D73DF">
        <w:rPr>
          <w:rFonts w:ascii="Century Schoolbook" w:hAnsi="Century Schoolbook"/>
        </w:rPr>
        <w:t xml:space="preserve"> (</w:t>
      </w:r>
      <w:r w:rsidR="00D41023" w:rsidRPr="00101982">
        <w:rPr>
          <w:rFonts w:ascii="Century Schoolbook" w:hAnsi="Century Schoolbook"/>
          <w:i/>
          <w:iCs/>
        </w:rPr>
        <w:t>Heckler</w:t>
      </w:r>
      <w:r w:rsidR="00D41023" w:rsidRPr="001D73DF">
        <w:rPr>
          <w:rFonts w:ascii="Century Schoolbook" w:hAnsi="Century Schoolbook"/>
        </w:rPr>
        <w:t xml:space="preserve">, </w:t>
      </w:r>
      <w:r w:rsidR="00D41023" w:rsidRPr="00101982">
        <w:rPr>
          <w:rFonts w:ascii="Century Schoolbook" w:hAnsi="Century Schoolbook"/>
          <w:i/>
          <w:iCs/>
        </w:rPr>
        <w:t>supra</w:t>
      </w:r>
      <w:r w:rsidR="00D41023" w:rsidRPr="001D73DF">
        <w:rPr>
          <w:rFonts w:ascii="Century Schoolbook" w:hAnsi="Century Schoolbook"/>
        </w:rPr>
        <w:t>, 470 U.S. at p. 200.)</w:t>
      </w:r>
      <w:r w:rsidR="00D41023">
        <w:rPr>
          <w:rFonts w:ascii="Century Schoolbook" w:hAnsi="Century Schoolbook"/>
        </w:rPr>
        <w:t>”  (</w:t>
      </w:r>
      <w:r w:rsidR="00D41023" w:rsidRPr="00D41023">
        <w:rPr>
          <w:rFonts w:ascii="Century Schoolbook" w:hAnsi="Century Schoolbook"/>
          <w:i/>
          <w:iCs/>
        </w:rPr>
        <w:t>Christensen</w:t>
      </w:r>
      <w:r w:rsidR="00D41023">
        <w:rPr>
          <w:rFonts w:ascii="Century Schoolbook" w:hAnsi="Century Schoolbook"/>
        </w:rPr>
        <w:t xml:space="preserve">, </w:t>
      </w:r>
      <w:r w:rsidR="00D41023" w:rsidRPr="00D41023">
        <w:rPr>
          <w:rFonts w:ascii="Century Schoolbook" w:hAnsi="Century Schoolbook"/>
          <w:i/>
          <w:iCs/>
        </w:rPr>
        <w:t>supra</w:t>
      </w:r>
      <w:r w:rsidR="00D41023">
        <w:rPr>
          <w:rFonts w:ascii="Century Schoolbook" w:hAnsi="Century Schoolbook"/>
        </w:rPr>
        <w:t>, 7</w:t>
      </w:r>
      <w:r w:rsidR="00963D62">
        <w:rPr>
          <w:rFonts w:ascii="Century Schoolbook" w:hAnsi="Century Schoolbook"/>
        </w:rPr>
        <w:t> </w:t>
      </w:r>
      <w:r w:rsidR="00D41023">
        <w:rPr>
          <w:rFonts w:ascii="Century Schoolbook" w:hAnsi="Century Schoolbook"/>
        </w:rPr>
        <w:t>Cal.5th at p.</w:t>
      </w:r>
      <w:r w:rsidR="00AC12A1">
        <w:rPr>
          <w:rFonts w:ascii="Century Schoolbook" w:hAnsi="Century Schoolbook"/>
        </w:rPr>
        <w:t> </w:t>
      </w:r>
      <w:r w:rsidR="00D41023">
        <w:rPr>
          <w:rFonts w:ascii="Century Schoolbook" w:hAnsi="Century Schoolbook"/>
        </w:rPr>
        <w:t xml:space="preserve">774.) </w:t>
      </w:r>
      <w:r w:rsidR="00935F0D">
        <w:rPr>
          <w:rFonts w:ascii="Century Schoolbook" w:hAnsi="Century Schoolbook"/>
        </w:rPr>
        <w:t xml:space="preserve"> </w:t>
      </w:r>
    </w:p>
    <w:p w14:paraId="31CEC523" w14:textId="52FF4D44" w:rsidR="00582FA3" w:rsidRDefault="005A568F" w:rsidP="00582FA3">
      <w:pPr>
        <w:rPr>
          <w:rFonts w:ascii="Century Schoolbook" w:hAnsi="Century Schoolbook"/>
        </w:rPr>
      </w:pPr>
      <w:r>
        <w:rPr>
          <w:rFonts w:ascii="Century Schoolbook" w:hAnsi="Century Schoolbook"/>
        </w:rPr>
        <w:tab/>
      </w:r>
      <w:r w:rsidR="001C1AB8">
        <w:rPr>
          <w:rFonts w:ascii="Century Schoolbook" w:hAnsi="Century Schoolbook"/>
        </w:rPr>
        <w:t>While</w:t>
      </w:r>
      <w:r>
        <w:rPr>
          <w:rFonts w:ascii="Century Schoolbook" w:hAnsi="Century Schoolbook"/>
        </w:rPr>
        <w:t xml:space="preserve"> Abney’s tax garnishment is “actually available” </w:t>
      </w:r>
      <w:r w:rsidR="00B76851">
        <w:rPr>
          <w:rFonts w:ascii="Century Schoolbook" w:hAnsi="Century Schoolbook"/>
        </w:rPr>
        <w:t xml:space="preserve">income </w:t>
      </w:r>
      <w:r>
        <w:rPr>
          <w:rFonts w:ascii="Century Schoolbook" w:hAnsi="Century Schoolbook"/>
        </w:rPr>
        <w:t xml:space="preserve">as that term has been understood under </w:t>
      </w:r>
      <w:r w:rsidRPr="001C1AB8">
        <w:rPr>
          <w:rFonts w:ascii="Century Schoolbook" w:hAnsi="Century Schoolbook"/>
          <w:i/>
          <w:iCs/>
        </w:rPr>
        <w:t>Heckler</w:t>
      </w:r>
      <w:r>
        <w:rPr>
          <w:rFonts w:ascii="Century Schoolbook" w:hAnsi="Century Schoolbook"/>
        </w:rPr>
        <w:t xml:space="preserve"> and </w:t>
      </w:r>
      <w:r w:rsidRPr="001C1AB8">
        <w:rPr>
          <w:rFonts w:ascii="Century Schoolbook" w:hAnsi="Century Schoolbook"/>
          <w:i/>
          <w:iCs/>
        </w:rPr>
        <w:t>Christensen</w:t>
      </w:r>
      <w:r w:rsidR="001C1AB8">
        <w:rPr>
          <w:rFonts w:ascii="Century Schoolbook" w:hAnsi="Century Schoolbook"/>
        </w:rPr>
        <w:t>,</w:t>
      </w:r>
      <w:r>
        <w:rPr>
          <w:rFonts w:ascii="Century Schoolbook" w:hAnsi="Century Schoolbook"/>
        </w:rPr>
        <w:t xml:space="preserve"> the </w:t>
      </w:r>
      <w:r w:rsidR="00B76851">
        <w:rPr>
          <w:rFonts w:ascii="Century Schoolbook" w:hAnsi="Century Schoolbook"/>
        </w:rPr>
        <w:t>regulation further require</w:t>
      </w:r>
      <w:r w:rsidR="005B7256">
        <w:rPr>
          <w:rFonts w:ascii="Century Schoolbook" w:hAnsi="Century Schoolbook"/>
        </w:rPr>
        <w:t>s</w:t>
      </w:r>
      <w:r w:rsidR="00B76851">
        <w:rPr>
          <w:rFonts w:ascii="Century Schoolbook" w:hAnsi="Century Schoolbook"/>
        </w:rPr>
        <w:t xml:space="preserve"> that it be “actually available </w:t>
      </w:r>
      <w:r w:rsidR="00B76851" w:rsidRPr="005B7256">
        <w:rPr>
          <w:rFonts w:ascii="Century Schoolbook" w:hAnsi="Century Schoolbook"/>
        </w:rPr>
        <w:t>to meet the needs of a person</w:t>
      </w:r>
      <w:r w:rsidR="005B7256">
        <w:rPr>
          <w:rFonts w:ascii="Century Schoolbook" w:hAnsi="Century Schoolbook"/>
        </w:rPr>
        <w:t>.</w:t>
      </w:r>
      <w:r w:rsidR="00B76851">
        <w:rPr>
          <w:rFonts w:ascii="Century Schoolbook" w:hAnsi="Century Schoolbook"/>
        </w:rPr>
        <w:t>”</w:t>
      </w:r>
      <w:r w:rsidR="005B7256">
        <w:rPr>
          <w:rFonts w:ascii="Century Schoolbook" w:hAnsi="Century Schoolbook"/>
        </w:rPr>
        <w:t xml:space="preserve">  </w:t>
      </w:r>
      <w:r w:rsidR="00B76851">
        <w:rPr>
          <w:rFonts w:ascii="Century Schoolbook" w:hAnsi="Century Schoolbook"/>
        </w:rPr>
        <w:t>We conclude that</w:t>
      </w:r>
      <w:r w:rsidR="006A577B">
        <w:rPr>
          <w:rFonts w:ascii="Century Schoolbook" w:hAnsi="Century Schoolbook"/>
        </w:rPr>
        <w:t xml:space="preserve"> the garnished money </w:t>
      </w:r>
      <w:r w:rsidR="00617C8A">
        <w:rPr>
          <w:rFonts w:ascii="Century Schoolbook" w:hAnsi="Century Schoolbook"/>
        </w:rPr>
        <w:t>is available to meet Abney’s needs because it benefits her financially by helping to extinguish her debt to the IRS</w:t>
      </w:r>
      <w:r w:rsidR="009B6A33">
        <w:rPr>
          <w:rFonts w:ascii="Century Schoolbook" w:hAnsi="Century Schoolbook"/>
        </w:rPr>
        <w:t>, a point on which we find</w:t>
      </w:r>
      <w:r w:rsidR="00617C8A">
        <w:rPr>
          <w:rFonts w:ascii="Century Schoolbook" w:hAnsi="Century Schoolbook"/>
        </w:rPr>
        <w:t xml:space="preserve"> </w:t>
      </w:r>
      <w:r w:rsidR="00617C8A" w:rsidRPr="009F1CF6">
        <w:rPr>
          <w:rFonts w:ascii="Century Schoolbook" w:hAnsi="Century Schoolbook"/>
          <w:i/>
          <w:iCs/>
        </w:rPr>
        <w:t>Martin v. Sullivan</w:t>
      </w:r>
      <w:r w:rsidR="00617C8A">
        <w:rPr>
          <w:rFonts w:ascii="Century Schoolbook" w:hAnsi="Century Schoolbook"/>
        </w:rPr>
        <w:t xml:space="preserve"> (9th Cir. 199</w:t>
      </w:r>
      <w:r w:rsidR="00963D62">
        <w:rPr>
          <w:rFonts w:ascii="Century Schoolbook" w:hAnsi="Century Schoolbook"/>
        </w:rPr>
        <w:t>1</w:t>
      </w:r>
      <w:r w:rsidR="00617C8A">
        <w:rPr>
          <w:rFonts w:ascii="Century Schoolbook" w:hAnsi="Century Schoolbook"/>
        </w:rPr>
        <w:t>) 932 F.2d 1273 (</w:t>
      </w:r>
      <w:r w:rsidR="00617C8A" w:rsidRPr="009F1CF6">
        <w:rPr>
          <w:rFonts w:ascii="Century Schoolbook" w:hAnsi="Century Schoolbook"/>
          <w:i/>
          <w:iCs/>
        </w:rPr>
        <w:t>Martin</w:t>
      </w:r>
      <w:r w:rsidR="00617C8A">
        <w:rPr>
          <w:rFonts w:ascii="Century Schoolbook" w:hAnsi="Century Schoolbook"/>
        </w:rPr>
        <w:t xml:space="preserve">) instructive.  There, </w:t>
      </w:r>
      <w:r w:rsidR="009F1CF6">
        <w:rPr>
          <w:rFonts w:ascii="Century Schoolbook" w:hAnsi="Century Schoolbook"/>
        </w:rPr>
        <w:t xml:space="preserve">Martin </w:t>
      </w:r>
      <w:r w:rsidR="005F2881">
        <w:rPr>
          <w:rFonts w:ascii="Century Schoolbook" w:hAnsi="Century Schoolbook"/>
        </w:rPr>
        <w:t>received</w:t>
      </w:r>
      <w:r w:rsidR="009F1CF6">
        <w:rPr>
          <w:rFonts w:ascii="Century Schoolbook" w:hAnsi="Century Schoolbook"/>
        </w:rPr>
        <w:t xml:space="preserve"> monthly survivor benefits from the Railroad Retirement Board, neglected to report additional income, and the Board </w:t>
      </w:r>
      <w:r w:rsidR="00617C8A">
        <w:rPr>
          <w:rFonts w:ascii="Century Schoolbook" w:hAnsi="Century Schoolbook"/>
        </w:rPr>
        <w:t xml:space="preserve">ultimately </w:t>
      </w:r>
      <w:r w:rsidR="009F1CF6">
        <w:rPr>
          <w:rFonts w:ascii="Century Schoolbook" w:hAnsi="Century Schoolbook"/>
        </w:rPr>
        <w:t>began withholding a certain sum from her Social Security benefits to recover the prior overpayment</w:t>
      </w:r>
      <w:r w:rsidR="001C1AB8">
        <w:rPr>
          <w:rFonts w:ascii="Century Schoolbook" w:hAnsi="Century Schoolbook"/>
        </w:rPr>
        <w:t>s</w:t>
      </w:r>
      <w:r w:rsidR="009F1CF6">
        <w:rPr>
          <w:rFonts w:ascii="Century Schoolbook" w:hAnsi="Century Schoolbook"/>
        </w:rPr>
        <w:t>.  (</w:t>
      </w:r>
      <w:r w:rsidR="009F1CF6" w:rsidRPr="009F1CF6">
        <w:rPr>
          <w:rFonts w:ascii="Century Schoolbook" w:hAnsi="Century Schoolbook"/>
          <w:i/>
          <w:iCs/>
        </w:rPr>
        <w:t>Id</w:t>
      </w:r>
      <w:r w:rsidR="009F1CF6">
        <w:rPr>
          <w:rFonts w:ascii="Century Schoolbook" w:hAnsi="Century Schoolbook"/>
        </w:rPr>
        <w:t>. at p. 127</w:t>
      </w:r>
      <w:r w:rsidR="00AC12A1">
        <w:rPr>
          <w:rFonts w:ascii="Century Schoolbook" w:hAnsi="Century Schoolbook"/>
        </w:rPr>
        <w:t>4</w:t>
      </w:r>
      <w:r w:rsidR="009F1CF6">
        <w:rPr>
          <w:rFonts w:ascii="Century Schoolbook" w:hAnsi="Century Schoolbook"/>
        </w:rPr>
        <w:t xml:space="preserve">.)  The Ninth Circuit rejected the argument that the withholding was not “income” to Martin under the statutory definition of </w:t>
      </w:r>
      <w:r w:rsidR="00617C8A">
        <w:rPr>
          <w:rFonts w:ascii="Century Schoolbook" w:hAnsi="Century Schoolbook"/>
        </w:rPr>
        <w:t>“</w:t>
      </w:r>
      <w:r w:rsidR="009F1CF6">
        <w:rPr>
          <w:rFonts w:ascii="Century Schoolbook" w:hAnsi="Century Schoolbook"/>
        </w:rPr>
        <w:t>income</w:t>
      </w:r>
      <w:r w:rsidR="00617C8A">
        <w:rPr>
          <w:rFonts w:ascii="Century Schoolbook" w:hAnsi="Century Schoolbook"/>
        </w:rPr>
        <w:t>”</w:t>
      </w:r>
      <w:r w:rsidR="009F1CF6">
        <w:rPr>
          <w:rFonts w:ascii="Century Schoolbook" w:hAnsi="Century Schoolbook"/>
        </w:rPr>
        <w:t xml:space="preserve"> as </w:t>
      </w:r>
      <w:r w:rsidR="009F1CF6" w:rsidRPr="009F1CF6">
        <w:rPr>
          <w:rFonts w:ascii="Century Schoolbook" w:hAnsi="Century Schoolbook"/>
        </w:rPr>
        <w:t xml:space="preserve">“payments </w:t>
      </w:r>
      <w:r w:rsidR="009F1CF6" w:rsidRPr="00510046">
        <w:rPr>
          <w:rFonts w:ascii="Century Schoolbook" w:hAnsi="Century Schoolbook"/>
          <w:i/>
          <w:iCs/>
        </w:rPr>
        <w:t>received</w:t>
      </w:r>
      <w:r w:rsidR="009F1CF6" w:rsidRPr="009F1CF6">
        <w:rPr>
          <w:rFonts w:ascii="Century Schoolbook" w:hAnsi="Century Schoolbook"/>
        </w:rPr>
        <w:t xml:space="preserve"> as an annuity, pension, retirement or disability benefit </w:t>
      </w:r>
      <w:r w:rsidR="009F1CF6">
        <w:rPr>
          <w:rFonts w:ascii="Century Schoolbook" w:hAnsi="Century Schoolbook"/>
        </w:rPr>
        <w:t>. . . .”</w:t>
      </w:r>
      <w:r w:rsidR="009F1CF6" w:rsidRPr="009F1CF6">
        <w:rPr>
          <w:rFonts w:ascii="Century Schoolbook" w:hAnsi="Century Schoolbook"/>
        </w:rPr>
        <w:t xml:space="preserve"> </w:t>
      </w:r>
      <w:r w:rsidR="001C1AB8">
        <w:rPr>
          <w:rFonts w:ascii="Century Schoolbook" w:hAnsi="Century Schoolbook"/>
        </w:rPr>
        <w:t>(</w:t>
      </w:r>
      <w:r w:rsidR="001C1AB8">
        <w:rPr>
          <w:rFonts w:ascii="Century Schoolbook" w:hAnsi="Century Schoolbook"/>
          <w:i/>
          <w:iCs/>
        </w:rPr>
        <w:t>i</w:t>
      </w:r>
      <w:r w:rsidR="009F1CF6" w:rsidRPr="00510046">
        <w:rPr>
          <w:rFonts w:ascii="Century Schoolbook" w:hAnsi="Century Schoolbook"/>
          <w:i/>
          <w:iCs/>
        </w:rPr>
        <w:t>d</w:t>
      </w:r>
      <w:r w:rsidR="009F1CF6">
        <w:rPr>
          <w:rFonts w:ascii="Century Schoolbook" w:hAnsi="Century Schoolbook"/>
        </w:rPr>
        <w:t xml:space="preserve">. at p. </w:t>
      </w:r>
      <w:r w:rsidR="00510046">
        <w:rPr>
          <w:rFonts w:ascii="Century Schoolbook" w:hAnsi="Century Schoolbook"/>
        </w:rPr>
        <w:t>1275</w:t>
      </w:r>
      <w:r w:rsidR="001C1AB8">
        <w:rPr>
          <w:rFonts w:ascii="Century Schoolbook" w:hAnsi="Century Schoolbook"/>
        </w:rPr>
        <w:t xml:space="preserve">), </w:t>
      </w:r>
      <w:r w:rsidR="00510046">
        <w:rPr>
          <w:rFonts w:ascii="Century Schoolbook" w:hAnsi="Century Schoolbook"/>
        </w:rPr>
        <w:t>conclud</w:t>
      </w:r>
      <w:r w:rsidR="001C1AB8">
        <w:rPr>
          <w:rFonts w:ascii="Century Schoolbook" w:hAnsi="Century Schoolbook"/>
        </w:rPr>
        <w:t>ing</w:t>
      </w:r>
      <w:r w:rsidR="00510046">
        <w:rPr>
          <w:rFonts w:ascii="Century Schoolbook" w:hAnsi="Century Schoolbook"/>
        </w:rPr>
        <w:t xml:space="preserve"> the withholding was available income:</w:t>
      </w:r>
      <w:r w:rsidR="001C1AB8">
        <w:rPr>
          <w:rFonts w:ascii="Century Schoolbook" w:hAnsi="Century Schoolbook"/>
        </w:rPr>
        <w:t xml:space="preserve">  </w:t>
      </w:r>
      <w:r w:rsidR="00510046">
        <w:rPr>
          <w:rFonts w:ascii="Century Schoolbook" w:hAnsi="Century Schoolbook"/>
        </w:rPr>
        <w:t>“</w:t>
      </w:r>
      <w:r w:rsidR="00582FA3" w:rsidRPr="00582FA3">
        <w:rPr>
          <w:rFonts w:ascii="Century Schoolbook" w:hAnsi="Century Schoolbook"/>
        </w:rPr>
        <w:t xml:space="preserve">In the present case, however, the Railroad Retirement Act (RRA) benefits being withheld by the Board—recouped or unrecouped, apportioned or unapportioned—are solely for Martin. </w:t>
      </w:r>
      <w:r w:rsidR="005333F3">
        <w:rPr>
          <w:rFonts w:ascii="Century Schoolbook" w:hAnsi="Century Schoolbook"/>
        </w:rPr>
        <w:t xml:space="preserve"> </w:t>
      </w:r>
      <w:r w:rsidR="00582FA3" w:rsidRPr="00582FA3">
        <w:rPr>
          <w:rFonts w:ascii="Century Schoolbook" w:hAnsi="Century Schoolbook"/>
        </w:rPr>
        <w:t xml:space="preserve">The underlying debt to the Board represents overpaid benefits that aided Martin. </w:t>
      </w:r>
      <w:r w:rsidR="005333F3">
        <w:rPr>
          <w:rFonts w:ascii="Century Schoolbook" w:hAnsi="Century Schoolbook"/>
        </w:rPr>
        <w:t xml:space="preserve"> </w:t>
      </w:r>
      <w:r w:rsidR="00582FA3" w:rsidRPr="00582FA3">
        <w:rPr>
          <w:rFonts w:ascii="Century Schoolbook" w:hAnsi="Century Schoolbook"/>
        </w:rPr>
        <w:t>Moreover, the Board</w:t>
      </w:r>
      <w:r w:rsidR="00510046">
        <w:rPr>
          <w:rFonts w:ascii="Century Schoolbook" w:hAnsi="Century Schoolbook"/>
        </w:rPr>
        <w:t>’</w:t>
      </w:r>
      <w:r w:rsidR="00582FA3" w:rsidRPr="00582FA3">
        <w:rPr>
          <w:rFonts w:ascii="Century Schoolbook" w:hAnsi="Century Schoolbook"/>
        </w:rPr>
        <w:t xml:space="preserve">s withholding of the amount to recover the RRA overpayment actually benefitted her by extinguishing an outstanding debt. </w:t>
      </w:r>
      <w:r w:rsidR="005333F3">
        <w:rPr>
          <w:rFonts w:ascii="Century Schoolbook" w:hAnsi="Century Schoolbook"/>
        </w:rPr>
        <w:t xml:space="preserve"> </w:t>
      </w:r>
      <w:r w:rsidR="00582FA3" w:rsidRPr="00582FA3">
        <w:rPr>
          <w:rFonts w:ascii="Century Schoolbook" w:hAnsi="Century Schoolbook"/>
        </w:rPr>
        <w:t>Thus, because Martin</w:t>
      </w:r>
      <w:r w:rsidR="00510046">
        <w:rPr>
          <w:rFonts w:ascii="Century Schoolbook" w:hAnsi="Century Schoolbook"/>
        </w:rPr>
        <w:t>’</w:t>
      </w:r>
      <w:r w:rsidR="00582FA3" w:rsidRPr="00582FA3">
        <w:rPr>
          <w:rFonts w:ascii="Century Schoolbook" w:hAnsi="Century Schoolbook"/>
        </w:rPr>
        <w:t xml:space="preserve">s income is used to pay off her </w:t>
      </w:r>
      <w:r w:rsidR="00582FA3" w:rsidRPr="00582FA3">
        <w:rPr>
          <w:rFonts w:ascii="Century Schoolbook" w:hAnsi="Century Schoolbook"/>
        </w:rPr>
        <w:lastRenderedPageBreak/>
        <w:t xml:space="preserve">obligation and because she is benefitting financially from the satisfaction of the debt, the RRA sums being withheld to recover the overpayment are to be considered available income. </w:t>
      </w:r>
      <w:r w:rsidR="005333F3">
        <w:rPr>
          <w:rFonts w:ascii="Century Schoolbook" w:hAnsi="Century Schoolbook"/>
        </w:rPr>
        <w:t xml:space="preserve"> </w:t>
      </w:r>
      <w:r w:rsidR="00582FA3" w:rsidRPr="00582FA3">
        <w:rPr>
          <w:rFonts w:ascii="Century Schoolbook" w:hAnsi="Century Schoolbook"/>
        </w:rPr>
        <w:t xml:space="preserve">See also </w:t>
      </w:r>
      <w:r w:rsidR="00582FA3" w:rsidRPr="00A36723">
        <w:rPr>
          <w:rFonts w:ascii="Century Schoolbook" w:hAnsi="Century Schoolbook"/>
          <w:i/>
          <w:iCs/>
        </w:rPr>
        <w:t>Lyon v. Bowen</w:t>
      </w:r>
      <w:r w:rsidR="00582FA3" w:rsidRPr="00582FA3">
        <w:rPr>
          <w:rFonts w:ascii="Century Schoolbook" w:hAnsi="Century Schoolbook"/>
        </w:rPr>
        <w:t xml:space="preserve"> </w:t>
      </w:r>
      <w:r w:rsidR="00A36723">
        <w:rPr>
          <w:rFonts w:ascii="Century Schoolbook" w:hAnsi="Century Schoolbook"/>
        </w:rPr>
        <w:t xml:space="preserve">[(5th Cir. 1986)] </w:t>
      </w:r>
      <w:r w:rsidR="00582FA3" w:rsidRPr="00582FA3">
        <w:rPr>
          <w:rFonts w:ascii="Century Schoolbook" w:hAnsi="Century Schoolbook"/>
        </w:rPr>
        <w:t>802</w:t>
      </w:r>
      <w:r w:rsidR="00326364">
        <w:rPr>
          <w:rFonts w:ascii="Century Schoolbook" w:hAnsi="Century Schoolbook"/>
        </w:rPr>
        <w:t> </w:t>
      </w:r>
      <w:r w:rsidR="00582FA3" w:rsidRPr="00582FA3">
        <w:rPr>
          <w:rFonts w:ascii="Century Schoolbook" w:hAnsi="Century Schoolbook"/>
        </w:rPr>
        <w:t>F.2d at 797.</w:t>
      </w:r>
      <w:r w:rsidR="00510046">
        <w:rPr>
          <w:rFonts w:ascii="Century Schoolbook" w:hAnsi="Century Schoolbook"/>
        </w:rPr>
        <w:t>”  (</w:t>
      </w:r>
      <w:r w:rsidR="00582FA3" w:rsidRPr="00510046">
        <w:rPr>
          <w:rFonts w:ascii="Century Schoolbook" w:hAnsi="Century Schoolbook"/>
          <w:i/>
          <w:iCs/>
        </w:rPr>
        <w:t>Martin</w:t>
      </w:r>
      <w:r w:rsidR="00510046">
        <w:rPr>
          <w:rFonts w:ascii="Century Schoolbook" w:hAnsi="Century Schoolbook"/>
        </w:rPr>
        <w:t>,</w:t>
      </w:r>
      <w:r w:rsidR="00582FA3" w:rsidRPr="00582FA3">
        <w:rPr>
          <w:rFonts w:ascii="Century Schoolbook" w:hAnsi="Century Schoolbook"/>
        </w:rPr>
        <w:t xml:space="preserve"> </w:t>
      </w:r>
      <w:r w:rsidR="00510046" w:rsidRPr="00510046">
        <w:rPr>
          <w:rFonts w:ascii="Century Schoolbook" w:hAnsi="Century Schoolbook"/>
          <w:i/>
          <w:iCs/>
        </w:rPr>
        <w:t>supra</w:t>
      </w:r>
      <w:r w:rsidR="00582FA3" w:rsidRPr="00582FA3">
        <w:rPr>
          <w:rFonts w:ascii="Century Schoolbook" w:hAnsi="Century Schoolbook"/>
        </w:rPr>
        <w:t xml:space="preserve">, 932 F.2d </w:t>
      </w:r>
      <w:r w:rsidR="00510046">
        <w:rPr>
          <w:rFonts w:ascii="Century Schoolbook" w:hAnsi="Century Schoolbook"/>
        </w:rPr>
        <w:t>at p.</w:t>
      </w:r>
      <w:r w:rsidR="00582FA3" w:rsidRPr="00582FA3">
        <w:rPr>
          <w:rFonts w:ascii="Century Schoolbook" w:hAnsi="Century Schoolbook"/>
        </w:rPr>
        <w:t xml:space="preserve"> 1276</w:t>
      </w:r>
      <w:r w:rsidR="00510046">
        <w:rPr>
          <w:rFonts w:ascii="Century Schoolbook" w:hAnsi="Century Schoolbook"/>
        </w:rPr>
        <w:t>.</w:t>
      </w:r>
      <w:r w:rsidR="00582FA3" w:rsidRPr="00582FA3">
        <w:rPr>
          <w:rFonts w:ascii="Century Schoolbook" w:hAnsi="Century Schoolbook"/>
        </w:rPr>
        <w:t>)</w:t>
      </w:r>
    </w:p>
    <w:p w14:paraId="32484D6C" w14:textId="3DA06CD9" w:rsidR="00DF3FEA" w:rsidRDefault="00617C8A" w:rsidP="00582FA3">
      <w:pPr>
        <w:rPr>
          <w:rFonts w:ascii="Century Schoolbook" w:hAnsi="Century Schoolbook"/>
        </w:rPr>
      </w:pPr>
      <w:r>
        <w:rPr>
          <w:rFonts w:ascii="Century Schoolbook" w:hAnsi="Century Schoolbook"/>
        </w:rPr>
        <w:tab/>
      </w:r>
      <w:r w:rsidR="004B7933">
        <w:rPr>
          <w:rFonts w:ascii="Century Schoolbook" w:hAnsi="Century Schoolbook"/>
        </w:rPr>
        <w:t>The same logic applies here</w:t>
      </w:r>
      <w:r w:rsidR="001E2A70">
        <w:rPr>
          <w:rFonts w:ascii="Century Schoolbook" w:hAnsi="Century Schoolbook"/>
        </w:rPr>
        <w:t xml:space="preserve">.  </w:t>
      </w:r>
      <w:r w:rsidR="004B7933">
        <w:rPr>
          <w:rFonts w:ascii="Century Schoolbook" w:hAnsi="Century Schoolbook"/>
        </w:rPr>
        <w:t>Abney’s income is being used to pay off her obligation to the IRS</w:t>
      </w:r>
      <w:r w:rsidR="009B6A33">
        <w:rPr>
          <w:rFonts w:ascii="Century Schoolbook" w:hAnsi="Century Schoolbook"/>
        </w:rPr>
        <w:t>—</w:t>
      </w:r>
      <w:r w:rsidR="004B4627">
        <w:rPr>
          <w:rFonts w:ascii="Century Schoolbook" w:hAnsi="Century Schoolbook"/>
        </w:rPr>
        <w:t xml:space="preserve">which she is legally required to do and </w:t>
      </w:r>
      <w:r w:rsidR="004B7933">
        <w:rPr>
          <w:rFonts w:ascii="Century Schoolbook" w:hAnsi="Century Schoolbook"/>
        </w:rPr>
        <w:t>from which she benefits financially</w:t>
      </w:r>
      <w:r w:rsidR="001E2A70">
        <w:rPr>
          <w:rFonts w:ascii="Century Schoolbook" w:hAnsi="Century Schoolbook"/>
        </w:rPr>
        <w:t>—</w:t>
      </w:r>
      <w:r w:rsidR="009B6A33">
        <w:rPr>
          <w:rFonts w:ascii="Century Schoolbook" w:hAnsi="Century Schoolbook"/>
        </w:rPr>
        <w:t xml:space="preserve">and thus </w:t>
      </w:r>
      <w:r w:rsidR="004B7933">
        <w:rPr>
          <w:rFonts w:ascii="Century Schoolbook" w:hAnsi="Century Schoolbook"/>
        </w:rPr>
        <w:t xml:space="preserve">the income is considered available to meet her needs within the meaning of sections 50513 and 50515.  </w:t>
      </w:r>
      <w:r w:rsidR="00B76851">
        <w:rPr>
          <w:rFonts w:ascii="Century Schoolbook" w:hAnsi="Century Schoolbook"/>
        </w:rPr>
        <w:t>Like making child support payments, satisfying Abney’s tax obligations to the IRS is properly considered one of her needs.</w:t>
      </w:r>
      <w:r w:rsidR="000967EC">
        <w:rPr>
          <w:rFonts w:ascii="Century Schoolbook" w:hAnsi="Century Schoolbook"/>
        </w:rPr>
        <w:t xml:space="preserve"> </w:t>
      </w:r>
      <w:r w:rsidR="00B76851">
        <w:rPr>
          <w:rFonts w:ascii="Century Schoolbook" w:hAnsi="Century Schoolbook"/>
        </w:rPr>
        <w:t xml:space="preserve"> </w:t>
      </w:r>
      <w:r w:rsidR="00152794">
        <w:rPr>
          <w:rFonts w:ascii="Century Schoolbook" w:hAnsi="Century Schoolbook"/>
        </w:rPr>
        <w:t xml:space="preserve">(See </w:t>
      </w:r>
      <w:r w:rsidR="00152794" w:rsidRPr="00152794">
        <w:rPr>
          <w:rFonts w:ascii="Century Schoolbook" w:hAnsi="Century Schoolbook"/>
          <w:i/>
          <w:iCs/>
        </w:rPr>
        <w:t>Emerson v. Steffen</w:t>
      </w:r>
      <w:r w:rsidR="00152794">
        <w:rPr>
          <w:rFonts w:ascii="Century Schoolbook" w:hAnsi="Century Schoolbook"/>
        </w:rPr>
        <w:t xml:space="preserve"> (8th Cir. 1992) 959 F.2d 119, 121</w:t>
      </w:r>
      <w:r w:rsidR="00B76851">
        <w:rPr>
          <w:rFonts w:ascii="Century Schoolbook" w:hAnsi="Century Schoolbook"/>
        </w:rPr>
        <w:t>–</w:t>
      </w:r>
      <w:r w:rsidR="00152794">
        <w:rPr>
          <w:rFonts w:ascii="Century Schoolbook" w:hAnsi="Century Schoolbook"/>
        </w:rPr>
        <w:t>122 [</w:t>
      </w:r>
      <w:r w:rsidR="004B4627">
        <w:rPr>
          <w:rFonts w:ascii="Century Schoolbook" w:hAnsi="Century Schoolbook"/>
        </w:rPr>
        <w:t>“[I]</w:t>
      </w:r>
      <w:r w:rsidR="004B4627" w:rsidRPr="004B4627">
        <w:rPr>
          <w:rFonts w:ascii="Century Schoolbook" w:hAnsi="Century Schoolbook"/>
        </w:rPr>
        <w:t xml:space="preserve">ncome which has been paid out in child support cannot later be </w:t>
      </w:r>
      <w:r w:rsidR="004B4627">
        <w:rPr>
          <w:rFonts w:ascii="Century Schoolbook" w:hAnsi="Century Schoolbook"/>
        </w:rPr>
        <w:t>‘</w:t>
      </w:r>
      <w:r w:rsidR="004B4627" w:rsidRPr="004B4627">
        <w:rPr>
          <w:rFonts w:ascii="Century Schoolbook" w:hAnsi="Century Schoolbook"/>
        </w:rPr>
        <w:t>used</w:t>
      </w:r>
      <w:r w:rsidR="004B4627">
        <w:rPr>
          <w:rFonts w:ascii="Century Schoolbook" w:hAnsi="Century Schoolbook"/>
        </w:rPr>
        <w:t>’</w:t>
      </w:r>
      <w:r w:rsidR="004B4627" w:rsidRPr="004B4627">
        <w:rPr>
          <w:rFonts w:ascii="Century Schoolbook" w:hAnsi="Century Schoolbook"/>
        </w:rPr>
        <w:t xml:space="preserve"> or </w:t>
      </w:r>
      <w:r w:rsidR="004B4627">
        <w:rPr>
          <w:rFonts w:ascii="Century Schoolbook" w:hAnsi="Century Schoolbook"/>
        </w:rPr>
        <w:t>‘</w:t>
      </w:r>
      <w:r w:rsidR="004B4627" w:rsidRPr="004B4627">
        <w:rPr>
          <w:rFonts w:ascii="Century Schoolbook" w:hAnsi="Century Schoolbook"/>
        </w:rPr>
        <w:t>availed of</w:t>
      </w:r>
      <w:r w:rsidR="004B4627">
        <w:rPr>
          <w:rFonts w:ascii="Century Schoolbook" w:hAnsi="Century Schoolbook"/>
        </w:rPr>
        <w:t>’</w:t>
      </w:r>
      <w:r w:rsidR="004B4627" w:rsidRPr="004B4627">
        <w:rPr>
          <w:rFonts w:ascii="Century Schoolbook" w:hAnsi="Century Schoolbook"/>
        </w:rPr>
        <w:t xml:space="preserve"> to pay another bill, but neither can income which has been paid out for groceries.</w:t>
      </w:r>
      <w:r w:rsidR="004B4627">
        <w:rPr>
          <w:rFonts w:ascii="Century Schoolbook" w:hAnsi="Century Schoolbook"/>
        </w:rPr>
        <w:t xml:space="preserve"> </w:t>
      </w:r>
      <w:r w:rsidR="004B4627" w:rsidRPr="004B4627">
        <w:rPr>
          <w:rFonts w:ascii="Century Schoolbook" w:hAnsi="Century Schoolbook"/>
        </w:rPr>
        <w:t xml:space="preserve"> Although maybe different in kind, the two are both obligations of the person making the payments</w:t>
      </w:r>
      <w:r w:rsidR="004B4627">
        <w:rPr>
          <w:rFonts w:ascii="Century Schoolbook" w:hAnsi="Century Schoolbook"/>
        </w:rPr>
        <w:t xml:space="preserve"> </w:t>
      </w:r>
      <w:r w:rsidR="004B4627" w:rsidRPr="004B4627">
        <w:rPr>
          <w:rFonts w:ascii="Century Schoolbook" w:hAnsi="Century Schoolbook"/>
        </w:rPr>
        <w:t>.</w:t>
      </w:r>
      <w:r w:rsidR="004B4627">
        <w:rPr>
          <w:rFonts w:ascii="Century Schoolbook" w:hAnsi="Century Schoolbook"/>
        </w:rPr>
        <w:t xml:space="preserve"> . .</w:t>
      </w:r>
      <w:r w:rsidR="004B4627" w:rsidRPr="004B4627">
        <w:rPr>
          <w:rFonts w:ascii="Century Schoolbook" w:hAnsi="Century Schoolbook"/>
        </w:rPr>
        <w:t xml:space="preserve"> </w:t>
      </w:r>
      <w:r w:rsidR="00152794">
        <w:rPr>
          <w:rFonts w:ascii="Century Schoolbook" w:hAnsi="Century Schoolbook"/>
        </w:rPr>
        <w:t xml:space="preserve">[o]ne could reasonably argue that supporting his children is one of the payor’s needs”]; </w:t>
      </w:r>
      <w:r w:rsidR="00152794" w:rsidRPr="00152794">
        <w:rPr>
          <w:rFonts w:ascii="Century Schoolbook" w:hAnsi="Century Schoolbook"/>
          <w:i/>
          <w:iCs/>
        </w:rPr>
        <w:t>Peura By and Through Herman v. Mala</w:t>
      </w:r>
      <w:r w:rsidR="00152794">
        <w:rPr>
          <w:rFonts w:ascii="Century Schoolbook" w:hAnsi="Century Schoolbook"/>
        </w:rPr>
        <w:t xml:space="preserve"> (9th Cir. 1992) 977 F.2d 484, 491 [“</w:t>
      </w:r>
      <w:r w:rsidR="00152794" w:rsidRPr="00152794">
        <w:rPr>
          <w:rFonts w:ascii="Century Schoolbook" w:hAnsi="Century Schoolbook"/>
        </w:rPr>
        <w:t>If child support is considered a need of the payor, and arguably it is, then the Secretary may attribute the money as income to both the payor and, in due course, the payee</w:t>
      </w:r>
      <w:r w:rsidR="00152794">
        <w:rPr>
          <w:rFonts w:ascii="Century Schoolbook" w:hAnsi="Century Schoolbook"/>
        </w:rPr>
        <w:t xml:space="preserve">”].)  </w:t>
      </w:r>
    </w:p>
    <w:p w14:paraId="5D0D1AD0" w14:textId="25DE1A50" w:rsidR="00257C2B" w:rsidRDefault="00C14E30" w:rsidP="00403C22">
      <w:pPr>
        <w:rPr>
          <w:rFonts w:ascii="Century Schoolbook" w:hAnsi="Century Schoolbook"/>
        </w:rPr>
      </w:pPr>
      <w:r>
        <w:rPr>
          <w:rFonts w:ascii="Century Schoolbook" w:hAnsi="Century Schoolbook"/>
        </w:rPr>
        <w:tab/>
      </w:r>
      <w:r w:rsidR="00720F4D">
        <w:rPr>
          <w:rFonts w:ascii="Century Schoolbook" w:hAnsi="Century Schoolbook"/>
        </w:rPr>
        <w:t xml:space="preserve">Finally, Abney argues that </w:t>
      </w:r>
      <w:r w:rsidR="00F74D9C">
        <w:rPr>
          <w:rFonts w:ascii="Century Schoolbook" w:hAnsi="Century Schoolbook"/>
        </w:rPr>
        <w:t xml:space="preserve">the tax garnishment is unavailable income under </w:t>
      </w:r>
      <w:r w:rsidR="00403C22">
        <w:rPr>
          <w:rFonts w:ascii="Century Schoolbook" w:hAnsi="Century Schoolbook"/>
        </w:rPr>
        <w:t>section</w:t>
      </w:r>
      <w:r w:rsidR="00403C22" w:rsidRPr="00403C22">
        <w:rPr>
          <w:rFonts w:ascii="Century Schoolbook" w:hAnsi="Century Schoolbook"/>
        </w:rPr>
        <w:t xml:space="preserve"> 50515</w:t>
      </w:r>
      <w:r w:rsidR="00403C22">
        <w:rPr>
          <w:rFonts w:ascii="Century Schoolbook" w:hAnsi="Century Schoolbook"/>
        </w:rPr>
        <w:t xml:space="preserve">, </w:t>
      </w:r>
      <w:r w:rsidR="0010629B">
        <w:rPr>
          <w:rFonts w:ascii="Century Schoolbook" w:hAnsi="Century Schoolbook"/>
        </w:rPr>
        <w:t>subdivision (a), which provides that “[u]navailable income includes, but is not limited to</w:t>
      </w:r>
      <w:r w:rsidR="004B4627">
        <w:rPr>
          <w:rFonts w:ascii="Century Schoolbook" w:hAnsi="Century Schoolbook"/>
        </w:rPr>
        <w:t>,” portions of the following types of income, provided that they meet certain criteria:</w:t>
      </w:r>
      <w:r w:rsidR="0010629B">
        <w:rPr>
          <w:rFonts w:ascii="Century Schoolbook" w:hAnsi="Century Schoolbook"/>
        </w:rPr>
        <w:t xml:space="preserve">  (1) “</w:t>
      </w:r>
      <w:r w:rsidR="0010629B" w:rsidRPr="0010629B">
        <w:rPr>
          <w:rFonts w:ascii="Century Schoolbook" w:hAnsi="Century Schoolbook"/>
        </w:rPr>
        <w:t>Worker</w:t>
      </w:r>
      <w:r w:rsidR="0010629B">
        <w:rPr>
          <w:rFonts w:ascii="Century Schoolbook" w:hAnsi="Century Schoolbook"/>
        </w:rPr>
        <w:t>’</w:t>
      </w:r>
      <w:r w:rsidR="0010629B" w:rsidRPr="0010629B">
        <w:rPr>
          <w:rFonts w:ascii="Century Schoolbook" w:hAnsi="Century Schoolbook"/>
        </w:rPr>
        <w:t>s Compensation and other public or private insurance settlements</w:t>
      </w:r>
      <w:r w:rsidR="004B4627">
        <w:rPr>
          <w:rFonts w:ascii="Century Schoolbook" w:hAnsi="Century Schoolbook"/>
        </w:rPr>
        <w:t>,</w:t>
      </w:r>
      <w:r w:rsidR="0010629B">
        <w:rPr>
          <w:rFonts w:ascii="Century Schoolbook" w:hAnsi="Century Schoolbook"/>
        </w:rPr>
        <w:t>” (2) “</w:t>
      </w:r>
      <w:r w:rsidR="0010629B" w:rsidRPr="0010629B">
        <w:rPr>
          <w:rFonts w:ascii="Century Schoolbook" w:hAnsi="Century Schoolbook"/>
        </w:rPr>
        <w:t>a contribution</w:t>
      </w:r>
      <w:r w:rsidR="0010629B">
        <w:rPr>
          <w:rFonts w:ascii="Century Schoolbook" w:hAnsi="Century Schoolbook"/>
        </w:rPr>
        <w:t xml:space="preserve"> . . . [f]rom a person living in the household</w:t>
      </w:r>
      <w:r w:rsidR="004B4627">
        <w:rPr>
          <w:rFonts w:ascii="Century Schoolbook" w:hAnsi="Century Schoolbook"/>
        </w:rPr>
        <w:t>,</w:t>
      </w:r>
      <w:r w:rsidR="0010629B">
        <w:rPr>
          <w:rFonts w:ascii="Century Schoolbook" w:hAnsi="Century Schoolbook"/>
        </w:rPr>
        <w:t>” (3) “</w:t>
      </w:r>
      <w:r w:rsidR="0010629B" w:rsidRPr="0010629B">
        <w:rPr>
          <w:rFonts w:ascii="Century Schoolbook" w:hAnsi="Century Schoolbook"/>
        </w:rPr>
        <w:t>monthly income of a medically needy person residing in a licensed board and care facility</w:t>
      </w:r>
      <w:r w:rsidR="004B4627">
        <w:rPr>
          <w:rFonts w:ascii="Century Schoolbook" w:hAnsi="Century Schoolbook"/>
        </w:rPr>
        <w:t>,</w:t>
      </w:r>
      <w:r w:rsidR="0010629B">
        <w:rPr>
          <w:rFonts w:ascii="Century Schoolbook" w:hAnsi="Century Schoolbook"/>
        </w:rPr>
        <w:t>” and (4) “</w:t>
      </w:r>
      <w:r w:rsidR="004B4627">
        <w:rPr>
          <w:rFonts w:ascii="Century Schoolbook" w:hAnsi="Century Schoolbook"/>
        </w:rPr>
        <w:t>[a]</w:t>
      </w:r>
      <w:r w:rsidR="009E03E3" w:rsidRPr="009E03E3">
        <w:rPr>
          <w:rFonts w:ascii="Century Schoolbook" w:hAnsi="Century Schoolbook"/>
        </w:rPr>
        <w:t xml:space="preserve">n advance or a reimbursement from an employer to cover expenses necessary </w:t>
      </w:r>
      <w:r w:rsidR="009E03E3" w:rsidRPr="009E03E3">
        <w:rPr>
          <w:rFonts w:ascii="Century Schoolbook" w:hAnsi="Century Schoolbook"/>
        </w:rPr>
        <w:lastRenderedPageBreak/>
        <w:t>for job performance</w:t>
      </w:r>
      <w:r w:rsidR="004B4627">
        <w:rPr>
          <w:rFonts w:ascii="Century Schoolbook" w:hAnsi="Century Schoolbook"/>
        </w:rPr>
        <w:t>.</w:t>
      </w:r>
      <w:r w:rsidR="009E03E3">
        <w:rPr>
          <w:rFonts w:ascii="Century Schoolbook" w:hAnsi="Century Schoolbook"/>
        </w:rPr>
        <w:t>”</w:t>
      </w:r>
      <w:r w:rsidR="004B4627">
        <w:rPr>
          <w:rFonts w:ascii="Century Schoolbook" w:hAnsi="Century Schoolbook"/>
        </w:rPr>
        <w:t xml:space="preserve"> </w:t>
      </w:r>
      <w:r w:rsidR="009E03E3">
        <w:rPr>
          <w:rFonts w:ascii="Century Schoolbook" w:hAnsi="Century Schoolbook"/>
        </w:rPr>
        <w:t xml:space="preserve"> (</w:t>
      </w:r>
      <w:r w:rsidR="00C20546">
        <w:rPr>
          <w:rFonts w:ascii="Century Schoolbook" w:hAnsi="Century Schoolbook"/>
        </w:rPr>
        <w:t>Cal. Code Regs., tit. 22,</w:t>
      </w:r>
      <w:r w:rsidR="009E03E3" w:rsidRPr="009E03E3">
        <w:rPr>
          <w:rFonts w:ascii="Century Schoolbook" w:hAnsi="Century Schoolbook"/>
        </w:rPr>
        <w:t xml:space="preserve"> § 50515</w:t>
      </w:r>
      <w:r w:rsidR="009E03E3">
        <w:rPr>
          <w:rFonts w:ascii="Century Schoolbook" w:hAnsi="Century Schoolbook"/>
        </w:rPr>
        <w:t xml:space="preserve">, subd. (a).)  </w:t>
      </w:r>
      <w:r w:rsidR="00257C2B">
        <w:rPr>
          <w:rFonts w:ascii="Century Schoolbook" w:hAnsi="Century Schoolbook"/>
        </w:rPr>
        <w:t xml:space="preserve">The tax garnishment at issue plainly does not fall into any of these categories.  </w:t>
      </w:r>
      <w:r w:rsidR="009B6A33">
        <w:rPr>
          <w:rFonts w:ascii="Century Schoolbook" w:hAnsi="Century Schoolbook"/>
        </w:rPr>
        <w:t>Moreover</w:t>
      </w:r>
      <w:r w:rsidR="00257C2B">
        <w:rPr>
          <w:rFonts w:ascii="Century Schoolbook" w:hAnsi="Century Schoolbook"/>
        </w:rPr>
        <w:t>, as Abney argues</w:t>
      </w:r>
      <w:r w:rsidR="00E24485">
        <w:rPr>
          <w:rFonts w:ascii="Century Schoolbook" w:hAnsi="Century Schoolbook"/>
        </w:rPr>
        <w:t>,</w:t>
      </w:r>
      <w:r w:rsidR="00257C2B">
        <w:rPr>
          <w:rFonts w:ascii="Century Schoolbook" w:hAnsi="Century Schoolbook"/>
        </w:rPr>
        <w:t xml:space="preserve"> each of the examples “share ‘a unifying trait’</w:t>
      </w:r>
      <w:r w:rsidR="00E24485" w:rsidRPr="00E24485">
        <w:rPr>
          <w:rFonts w:ascii="Century Schoolbook" w:hAnsi="Century Schoolbook"/>
        </w:rPr>
        <w:t>—income that is beyond a person’s control and unavailable to meet their needs.</w:t>
      </w:r>
      <w:r w:rsidR="00E24485">
        <w:rPr>
          <w:rFonts w:ascii="Century Schoolbook" w:hAnsi="Century Schoolbook"/>
        </w:rPr>
        <w:t xml:space="preserve">”  </w:t>
      </w:r>
      <w:r w:rsidR="009B6A33">
        <w:rPr>
          <w:rFonts w:ascii="Century Schoolbook" w:hAnsi="Century Schoolbook"/>
        </w:rPr>
        <w:t>That is not the situation here</w:t>
      </w:r>
      <w:r w:rsidR="00E24485">
        <w:rPr>
          <w:rFonts w:ascii="Century Schoolbook" w:hAnsi="Century Schoolbook"/>
        </w:rPr>
        <w:t xml:space="preserve">.  </w:t>
      </w:r>
    </w:p>
    <w:p w14:paraId="2B71A465" w14:textId="77F00729" w:rsidR="00CE5C10" w:rsidRPr="007600DA" w:rsidRDefault="007600DA" w:rsidP="007600DA">
      <w:pPr>
        <w:jc w:val="center"/>
        <w:rPr>
          <w:rFonts w:ascii="Century Schoolbook" w:hAnsi="Century Schoolbook"/>
          <w:b/>
          <w:bCs/>
        </w:rPr>
      </w:pPr>
      <w:r w:rsidRPr="007600DA">
        <w:rPr>
          <w:rFonts w:ascii="Century Schoolbook" w:hAnsi="Century Schoolbook"/>
          <w:b/>
          <w:bCs/>
        </w:rPr>
        <w:t>DISPOSITION</w:t>
      </w:r>
    </w:p>
    <w:p w14:paraId="5EF3258E" w14:textId="7B2C028B" w:rsidR="007600DA" w:rsidRPr="00152595" w:rsidRDefault="007600DA" w:rsidP="00582FA3">
      <w:pPr>
        <w:rPr>
          <w:rFonts w:ascii="Century Schoolbook" w:hAnsi="Century Schoolbook"/>
          <w:b/>
          <w:bCs/>
        </w:rPr>
      </w:pPr>
      <w:r>
        <w:rPr>
          <w:rFonts w:ascii="Century Schoolbook" w:hAnsi="Century Schoolbook"/>
        </w:rPr>
        <w:tab/>
        <w:t xml:space="preserve">The order is affirmed.  </w:t>
      </w:r>
      <w:r w:rsidR="00A41DEF">
        <w:rPr>
          <w:rFonts w:ascii="Century Schoolbook" w:hAnsi="Century Schoolbook"/>
        </w:rPr>
        <w:t xml:space="preserve">In the interests of justice, each side shall bear its own costs. </w:t>
      </w:r>
      <w:r w:rsidR="00CE4C31">
        <w:rPr>
          <w:rFonts w:ascii="Century Schoolbook" w:hAnsi="Century Schoolbook"/>
        </w:rPr>
        <w:t xml:space="preserve"> </w:t>
      </w:r>
      <w:r w:rsidR="0024281B">
        <w:rPr>
          <w:rFonts w:ascii="Century Schoolbook" w:hAnsi="Century Schoolbook"/>
        </w:rPr>
        <w:t xml:space="preserve">(Cal. Rules of Court, rule </w:t>
      </w:r>
      <w:r w:rsidR="0073445D">
        <w:rPr>
          <w:rFonts w:ascii="Century Schoolbook" w:hAnsi="Century Schoolbook"/>
        </w:rPr>
        <w:t>8.278(a)(5).)</w:t>
      </w:r>
    </w:p>
    <w:p w14:paraId="1EF6739B" w14:textId="26F97EFF" w:rsidR="00CF64E7" w:rsidRDefault="00CF64E7">
      <w:pPr>
        <w:tabs>
          <w:tab w:val="clear" w:pos="720"/>
        </w:tabs>
        <w:spacing w:line="240" w:lineRule="auto"/>
        <w:rPr>
          <w:rFonts w:ascii="Century Schoolbook" w:hAnsi="Century Schoolbook"/>
        </w:rPr>
      </w:pPr>
      <w:r>
        <w:rPr>
          <w:rFonts w:ascii="Century Schoolbook" w:hAnsi="Century Schoolbook"/>
        </w:rPr>
        <w:br w:type="page"/>
      </w:r>
    </w:p>
    <w:p w14:paraId="7272A0EF" w14:textId="4544C213" w:rsidR="00A57F80" w:rsidRPr="00A57F80" w:rsidRDefault="00A57F80" w:rsidP="00A57F80">
      <w:pPr>
        <w:spacing w:line="240" w:lineRule="auto"/>
        <w:ind w:right="90"/>
        <w:rPr>
          <w:rFonts w:ascii="Century Schoolbook" w:hAnsi="Century Schoolbook"/>
          <w:szCs w:val="26"/>
        </w:rPr>
      </w:pPr>
      <w:r w:rsidRPr="00A57F80">
        <w:rPr>
          <w:rFonts w:ascii="Century Schoolbook" w:hAnsi="Century Schoolbook"/>
          <w:szCs w:val="26"/>
        </w:rPr>
        <w:lastRenderedPageBreak/>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t>_________________________</w:t>
      </w:r>
    </w:p>
    <w:p w14:paraId="3294EA36" w14:textId="77777777" w:rsidR="00A57F80" w:rsidRPr="00A57F80" w:rsidRDefault="00A57F80" w:rsidP="00A57F80">
      <w:pPr>
        <w:spacing w:line="240" w:lineRule="auto"/>
        <w:ind w:right="90"/>
        <w:rPr>
          <w:rFonts w:ascii="Century Schoolbook" w:hAnsi="Century Schoolbook"/>
          <w:szCs w:val="26"/>
        </w:rPr>
      </w:pP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r>
      <w:r w:rsidRPr="00A57F80">
        <w:rPr>
          <w:rFonts w:ascii="Century Schoolbook" w:hAnsi="Century Schoolbook"/>
          <w:szCs w:val="26"/>
        </w:rPr>
        <w:tab/>
        <w:t>Richman, J.</w:t>
      </w:r>
    </w:p>
    <w:p w14:paraId="15E9D6FD" w14:textId="77777777" w:rsidR="00A57F80" w:rsidRPr="00A57F80" w:rsidRDefault="00A57F80" w:rsidP="00A57F80">
      <w:pPr>
        <w:spacing w:line="240" w:lineRule="auto"/>
        <w:ind w:right="90"/>
        <w:rPr>
          <w:rFonts w:ascii="Century Schoolbook" w:hAnsi="Century Schoolbook"/>
          <w:szCs w:val="26"/>
        </w:rPr>
      </w:pPr>
    </w:p>
    <w:p w14:paraId="46E95252" w14:textId="77777777" w:rsidR="00A57F80" w:rsidRPr="00A57F80" w:rsidRDefault="00A57F80" w:rsidP="00A57F80">
      <w:pPr>
        <w:spacing w:line="240" w:lineRule="auto"/>
        <w:ind w:right="90"/>
        <w:rPr>
          <w:rFonts w:ascii="Century Schoolbook" w:hAnsi="Century Schoolbook"/>
          <w:szCs w:val="26"/>
        </w:rPr>
      </w:pPr>
    </w:p>
    <w:p w14:paraId="0007E64A" w14:textId="1847AE65" w:rsidR="00A57F80" w:rsidRPr="00A57F80" w:rsidRDefault="00A57F80" w:rsidP="00A57F80">
      <w:pPr>
        <w:spacing w:line="240" w:lineRule="auto"/>
        <w:ind w:right="90"/>
        <w:rPr>
          <w:rFonts w:ascii="Century Schoolbook" w:hAnsi="Century Schoolbook"/>
          <w:szCs w:val="26"/>
        </w:rPr>
      </w:pPr>
      <w:r w:rsidRPr="00A57F80">
        <w:rPr>
          <w:rFonts w:ascii="Century Schoolbook" w:hAnsi="Century Schoolbook"/>
          <w:szCs w:val="26"/>
        </w:rPr>
        <w:t>We concur:</w:t>
      </w:r>
    </w:p>
    <w:p w14:paraId="4A1A57D5" w14:textId="77777777" w:rsidR="00A57F80" w:rsidRPr="00A57F80" w:rsidRDefault="00A57F80" w:rsidP="00A57F80">
      <w:pPr>
        <w:spacing w:line="240" w:lineRule="auto"/>
        <w:ind w:right="90"/>
        <w:rPr>
          <w:rFonts w:ascii="Century Schoolbook" w:hAnsi="Century Schoolbook"/>
          <w:szCs w:val="26"/>
        </w:rPr>
      </w:pPr>
    </w:p>
    <w:p w14:paraId="6FA873FF" w14:textId="607172A1" w:rsidR="00A57F80" w:rsidRDefault="00B23987" w:rsidP="00A57F80">
      <w:pPr>
        <w:spacing w:line="240" w:lineRule="auto"/>
        <w:ind w:right="90"/>
        <w:rPr>
          <w:rFonts w:ascii="Century Schoolbook" w:hAnsi="Century Schoolbook"/>
          <w:szCs w:val="26"/>
        </w:rPr>
      </w:pPr>
      <w:r>
        <w:rPr>
          <w:rFonts w:ascii="Century Schoolbook" w:hAnsi="Century Schoolbook"/>
          <w:szCs w:val="26"/>
        </w:rPr>
        <w:t>_________________________</w:t>
      </w:r>
    </w:p>
    <w:p w14:paraId="7D6AB5FA" w14:textId="7785169A" w:rsidR="00B23987" w:rsidRDefault="00B23987" w:rsidP="00A57F80">
      <w:pPr>
        <w:spacing w:line="240" w:lineRule="auto"/>
        <w:ind w:right="90"/>
        <w:rPr>
          <w:rFonts w:ascii="Century Schoolbook" w:hAnsi="Century Schoolbook"/>
          <w:szCs w:val="26"/>
        </w:rPr>
      </w:pPr>
      <w:r>
        <w:rPr>
          <w:rFonts w:ascii="Century Schoolbook" w:hAnsi="Century Schoolbook"/>
          <w:szCs w:val="26"/>
        </w:rPr>
        <w:t>Stewart, P.J.</w:t>
      </w:r>
    </w:p>
    <w:p w14:paraId="50E566C2" w14:textId="77777777" w:rsidR="00DE667E" w:rsidRPr="00A57F80" w:rsidRDefault="00DE667E" w:rsidP="00A57F80">
      <w:pPr>
        <w:spacing w:line="240" w:lineRule="auto"/>
        <w:ind w:right="90"/>
        <w:rPr>
          <w:rFonts w:ascii="Century Schoolbook" w:hAnsi="Century Schoolbook"/>
          <w:szCs w:val="26"/>
        </w:rPr>
      </w:pPr>
    </w:p>
    <w:p w14:paraId="2C770183" w14:textId="77777777" w:rsidR="00A57F80" w:rsidRPr="00A57F80" w:rsidRDefault="00A57F80" w:rsidP="00A57F80">
      <w:pPr>
        <w:spacing w:line="240" w:lineRule="auto"/>
        <w:ind w:right="90"/>
        <w:rPr>
          <w:rFonts w:ascii="Century Schoolbook" w:hAnsi="Century Schoolbook"/>
          <w:szCs w:val="26"/>
        </w:rPr>
      </w:pPr>
      <w:r w:rsidRPr="00A57F80">
        <w:rPr>
          <w:rFonts w:ascii="Century Schoolbook" w:hAnsi="Century Schoolbook"/>
          <w:szCs w:val="26"/>
        </w:rPr>
        <w:t>_________________________</w:t>
      </w:r>
    </w:p>
    <w:p w14:paraId="6C81CC70" w14:textId="77777777" w:rsidR="00A57F80" w:rsidRPr="00A57F80" w:rsidRDefault="00A57F80" w:rsidP="00A57F80">
      <w:pPr>
        <w:spacing w:line="240" w:lineRule="auto"/>
        <w:ind w:right="90"/>
        <w:rPr>
          <w:rFonts w:ascii="Century Schoolbook" w:hAnsi="Century Schoolbook"/>
          <w:szCs w:val="26"/>
        </w:rPr>
      </w:pPr>
      <w:r w:rsidRPr="00A57F80">
        <w:rPr>
          <w:rFonts w:ascii="Century Schoolbook" w:hAnsi="Century Schoolbook"/>
          <w:szCs w:val="26"/>
        </w:rPr>
        <w:t>Miller, J.</w:t>
      </w:r>
    </w:p>
    <w:p w14:paraId="4A8CDA53" w14:textId="77777777" w:rsidR="00A57F80" w:rsidRPr="00A57F80" w:rsidRDefault="00A57F80" w:rsidP="00A57F80">
      <w:pPr>
        <w:spacing w:line="240" w:lineRule="auto"/>
        <w:ind w:right="90"/>
        <w:rPr>
          <w:rFonts w:ascii="Century Schoolbook" w:hAnsi="Century Schoolbook"/>
          <w:szCs w:val="26"/>
        </w:rPr>
      </w:pPr>
    </w:p>
    <w:p w14:paraId="18A082E3" w14:textId="77777777" w:rsidR="00A57F80" w:rsidRPr="00A57F80" w:rsidRDefault="00A57F80" w:rsidP="00A57F80">
      <w:pPr>
        <w:spacing w:line="240" w:lineRule="auto"/>
        <w:ind w:right="90"/>
        <w:rPr>
          <w:rFonts w:ascii="Century Schoolbook" w:hAnsi="Century Schoolbook"/>
          <w:szCs w:val="26"/>
        </w:rPr>
      </w:pPr>
    </w:p>
    <w:p w14:paraId="60CA050C" w14:textId="77777777" w:rsidR="00A57F80" w:rsidRPr="00A57F80" w:rsidRDefault="00A57F80" w:rsidP="00A57F80">
      <w:pPr>
        <w:spacing w:line="240" w:lineRule="auto"/>
        <w:ind w:right="90"/>
        <w:rPr>
          <w:rFonts w:ascii="Century Schoolbook" w:hAnsi="Century Schoolbook"/>
          <w:szCs w:val="26"/>
        </w:rPr>
      </w:pPr>
    </w:p>
    <w:p w14:paraId="41307B3F" w14:textId="77777777" w:rsidR="00A57F80" w:rsidRPr="00A57F80" w:rsidRDefault="00A57F80" w:rsidP="00A57F80">
      <w:pPr>
        <w:spacing w:line="240" w:lineRule="auto"/>
        <w:ind w:right="90"/>
        <w:rPr>
          <w:rFonts w:ascii="Century Schoolbook" w:hAnsi="Century Schoolbook"/>
          <w:szCs w:val="26"/>
        </w:rPr>
      </w:pPr>
    </w:p>
    <w:p w14:paraId="7BF4EA36" w14:textId="77777777" w:rsidR="00A57F80" w:rsidRPr="00A57F80" w:rsidRDefault="00A57F80" w:rsidP="00A57F80">
      <w:pPr>
        <w:spacing w:line="240" w:lineRule="auto"/>
        <w:ind w:right="90"/>
        <w:rPr>
          <w:rFonts w:ascii="Century Schoolbook" w:hAnsi="Century Schoolbook"/>
          <w:szCs w:val="26"/>
        </w:rPr>
      </w:pPr>
    </w:p>
    <w:p w14:paraId="7DCA2102" w14:textId="77777777" w:rsidR="00A57F80" w:rsidRPr="00A57F80" w:rsidRDefault="00A57F80" w:rsidP="00A57F80">
      <w:pPr>
        <w:spacing w:line="240" w:lineRule="auto"/>
        <w:ind w:right="90"/>
        <w:rPr>
          <w:rFonts w:ascii="Century Schoolbook" w:hAnsi="Century Schoolbook"/>
          <w:szCs w:val="26"/>
        </w:rPr>
      </w:pPr>
    </w:p>
    <w:p w14:paraId="4E61529F" w14:textId="77777777" w:rsidR="00A57F80" w:rsidRPr="00A57F80" w:rsidRDefault="00A57F80" w:rsidP="00A57F80">
      <w:pPr>
        <w:spacing w:line="240" w:lineRule="auto"/>
        <w:ind w:right="90"/>
        <w:rPr>
          <w:rFonts w:ascii="Century Schoolbook" w:hAnsi="Century Schoolbook"/>
          <w:szCs w:val="26"/>
        </w:rPr>
      </w:pPr>
    </w:p>
    <w:p w14:paraId="06AB7236" w14:textId="77777777" w:rsidR="00A57F80" w:rsidRPr="00A57F80" w:rsidRDefault="00A57F80" w:rsidP="00A57F80">
      <w:pPr>
        <w:spacing w:line="240" w:lineRule="auto"/>
        <w:ind w:right="90"/>
        <w:rPr>
          <w:rFonts w:ascii="Century Schoolbook" w:hAnsi="Century Schoolbook"/>
          <w:szCs w:val="26"/>
        </w:rPr>
      </w:pPr>
    </w:p>
    <w:p w14:paraId="7A4929ED" w14:textId="77777777" w:rsidR="00A57F80" w:rsidRPr="00A57F80" w:rsidRDefault="00A57F80" w:rsidP="00A57F80">
      <w:pPr>
        <w:spacing w:line="240" w:lineRule="auto"/>
        <w:ind w:right="90"/>
        <w:rPr>
          <w:rFonts w:ascii="Century Schoolbook" w:hAnsi="Century Schoolbook"/>
          <w:szCs w:val="26"/>
        </w:rPr>
      </w:pPr>
    </w:p>
    <w:p w14:paraId="63DA5EA9" w14:textId="77777777" w:rsidR="00A57F80" w:rsidRPr="00A57F80" w:rsidRDefault="00A57F80" w:rsidP="00A57F80">
      <w:pPr>
        <w:spacing w:line="240" w:lineRule="auto"/>
        <w:ind w:right="90"/>
        <w:rPr>
          <w:rFonts w:ascii="Century Schoolbook" w:hAnsi="Century Schoolbook"/>
          <w:szCs w:val="26"/>
        </w:rPr>
      </w:pPr>
    </w:p>
    <w:p w14:paraId="4B6E5315" w14:textId="77777777" w:rsidR="00A57F80" w:rsidRPr="00A57F80" w:rsidRDefault="00A57F80" w:rsidP="00A57F80">
      <w:pPr>
        <w:spacing w:line="240" w:lineRule="auto"/>
        <w:ind w:right="90"/>
        <w:rPr>
          <w:rFonts w:ascii="Century Schoolbook" w:hAnsi="Century Schoolbook"/>
          <w:szCs w:val="26"/>
        </w:rPr>
      </w:pPr>
    </w:p>
    <w:p w14:paraId="627636BA" w14:textId="77777777" w:rsidR="00A57F80" w:rsidRPr="00A57F80" w:rsidRDefault="00A57F80" w:rsidP="00A57F80">
      <w:pPr>
        <w:spacing w:line="240" w:lineRule="auto"/>
        <w:ind w:right="90"/>
        <w:rPr>
          <w:rFonts w:ascii="Century Schoolbook" w:hAnsi="Century Schoolbook"/>
          <w:szCs w:val="26"/>
        </w:rPr>
      </w:pPr>
    </w:p>
    <w:p w14:paraId="6C1E5F33" w14:textId="77777777" w:rsidR="00A57F80" w:rsidRPr="00A57F80" w:rsidRDefault="00A57F80" w:rsidP="00A57F80">
      <w:pPr>
        <w:spacing w:line="240" w:lineRule="auto"/>
        <w:ind w:right="90"/>
        <w:rPr>
          <w:rFonts w:ascii="Century Schoolbook" w:hAnsi="Century Schoolbook"/>
          <w:szCs w:val="26"/>
        </w:rPr>
      </w:pPr>
    </w:p>
    <w:p w14:paraId="64371B5D" w14:textId="77777777" w:rsidR="00A57F80" w:rsidRPr="00A57F80" w:rsidRDefault="00A57F80" w:rsidP="00A57F80">
      <w:pPr>
        <w:spacing w:line="240" w:lineRule="auto"/>
        <w:ind w:right="90"/>
        <w:rPr>
          <w:rFonts w:ascii="Century Schoolbook" w:hAnsi="Century Schoolbook"/>
          <w:szCs w:val="26"/>
        </w:rPr>
      </w:pPr>
    </w:p>
    <w:p w14:paraId="3121B818" w14:textId="77777777" w:rsidR="00A57F80" w:rsidRPr="00A57F80" w:rsidRDefault="00A57F80" w:rsidP="00A57F80">
      <w:pPr>
        <w:spacing w:line="240" w:lineRule="auto"/>
        <w:ind w:right="90"/>
        <w:rPr>
          <w:rFonts w:ascii="Century Schoolbook" w:hAnsi="Century Schoolbook"/>
          <w:szCs w:val="26"/>
        </w:rPr>
      </w:pPr>
    </w:p>
    <w:p w14:paraId="75A04D7A" w14:textId="77777777" w:rsidR="00A57F80" w:rsidRPr="00A57F80" w:rsidRDefault="00A57F80" w:rsidP="00A57F80">
      <w:pPr>
        <w:spacing w:line="240" w:lineRule="auto"/>
        <w:ind w:right="90"/>
        <w:rPr>
          <w:rFonts w:ascii="Century Schoolbook" w:hAnsi="Century Schoolbook"/>
          <w:szCs w:val="26"/>
        </w:rPr>
      </w:pPr>
    </w:p>
    <w:p w14:paraId="21C93C94" w14:textId="77777777" w:rsidR="00A57F80" w:rsidRPr="00A57F80" w:rsidRDefault="00A57F80" w:rsidP="00A57F80">
      <w:pPr>
        <w:spacing w:line="240" w:lineRule="auto"/>
        <w:ind w:right="90"/>
        <w:rPr>
          <w:rFonts w:ascii="Century Schoolbook" w:hAnsi="Century Schoolbook"/>
          <w:szCs w:val="26"/>
        </w:rPr>
      </w:pPr>
    </w:p>
    <w:p w14:paraId="4025CBF6" w14:textId="77777777" w:rsidR="00A57F80" w:rsidRPr="00A57F80" w:rsidRDefault="00A57F80" w:rsidP="00A57F80">
      <w:pPr>
        <w:spacing w:line="240" w:lineRule="auto"/>
        <w:ind w:right="90"/>
        <w:rPr>
          <w:rFonts w:ascii="Century Schoolbook" w:hAnsi="Century Schoolbook"/>
          <w:szCs w:val="26"/>
        </w:rPr>
      </w:pPr>
    </w:p>
    <w:p w14:paraId="050E802D" w14:textId="77777777" w:rsidR="00A57F80" w:rsidRPr="00A57F80" w:rsidRDefault="00A57F80" w:rsidP="00A57F80">
      <w:pPr>
        <w:spacing w:line="240" w:lineRule="auto"/>
        <w:ind w:right="90"/>
        <w:rPr>
          <w:rFonts w:ascii="Century Schoolbook" w:hAnsi="Century Schoolbook"/>
          <w:szCs w:val="26"/>
        </w:rPr>
      </w:pPr>
    </w:p>
    <w:p w14:paraId="1857EFBA" w14:textId="77777777" w:rsidR="00A57F80" w:rsidRPr="00A57F80" w:rsidRDefault="00A57F80" w:rsidP="00A57F80">
      <w:pPr>
        <w:spacing w:line="240" w:lineRule="auto"/>
        <w:ind w:right="90"/>
        <w:rPr>
          <w:rFonts w:ascii="Century Schoolbook" w:hAnsi="Century Schoolbook"/>
          <w:szCs w:val="26"/>
        </w:rPr>
      </w:pPr>
    </w:p>
    <w:p w14:paraId="009480F3" w14:textId="77777777" w:rsidR="00A57F80" w:rsidRPr="00A57F80" w:rsidRDefault="00A57F80" w:rsidP="00A57F80">
      <w:pPr>
        <w:spacing w:line="240" w:lineRule="auto"/>
        <w:ind w:right="90"/>
        <w:rPr>
          <w:rFonts w:ascii="Century Schoolbook" w:hAnsi="Century Schoolbook"/>
          <w:szCs w:val="26"/>
        </w:rPr>
      </w:pPr>
    </w:p>
    <w:p w14:paraId="5C239D9A" w14:textId="77777777" w:rsidR="00A57F80" w:rsidRPr="00A57F80" w:rsidRDefault="00A57F80" w:rsidP="00A57F80">
      <w:pPr>
        <w:spacing w:line="240" w:lineRule="auto"/>
        <w:ind w:right="90"/>
        <w:rPr>
          <w:rFonts w:ascii="Century Schoolbook" w:hAnsi="Century Schoolbook"/>
          <w:szCs w:val="26"/>
        </w:rPr>
      </w:pPr>
    </w:p>
    <w:p w14:paraId="5D62070B" w14:textId="77777777" w:rsidR="00A57F80" w:rsidRPr="00A57F80" w:rsidRDefault="00A57F80" w:rsidP="00A57F80">
      <w:pPr>
        <w:spacing w:line="240" w:lineRule="auto"/>
        <w:ind w:right="90"/>
        <w:rPr>
          <w:rFonts w:ascii="Century Schoolbook" w:hAnsi="Century Schoolbook"/>
          <w:szCs w:val="26"/>
        </w:rPr>
      </w:pPr>
    </w:p>
    <w:p w14:paraId="14B51E18" w14:textId="54F1409E" w:rsidR="00A57F80" w:rsidRPr="00A57F80" w:rsidRDefault="00B23987" w:rsidP="00A57F80">
      <w:pPr>
        <w:spacing w:line="240" w:lineRule="auto"/>
        <w:ind w:right="90"/>
        <w:rPr>
          <w:rFonts w:ascii="Century Schoolbook" w:hAnsi="Century Schoolbook"/>
          <w:szCs w:val="26"/>
        </w:rPr>
      </w:pPr>
      <w:r>
        <w:rPr>
          <w:rFonts w:ascii="Century Schoolbook" w:hAnsi="Century Schoolbook"/>
          <w:i/>
          <w:szCs w:val="26"/>
          <w:lang w:val="it-IT"/>
        </w:rPr>
        <w:t xml:space="preserve">Abney v. </w:t>
      </w:r>
      <w:r w:rsidR="004869FD">
        <w:rPr>
          <w:rFonts w:ascii="Century Schoolbook" w:hAnsi="Century Schoolbook"/>
          <w:i/>
          <w:szCs w:val="26"/>
          <w:lang w:val="it-IT"/>
        </w:rPr>
        <w:t>State</w:t>
      </w:r>
      <w:r w:rsidR="00725B1C">
        <w:rPr>
          <w:rFonts w:ascii="Century Schoolbook" w:hAnsi="Century Schoolbook"/>
          <w:i/>
          <w:szCs w:val="26"/>
          <w:lang w:val="it-IT"/>
        </w:rPr>
        <w:t xml:space="preserve"> Department of Health Care Services </w:t>
      </w:r>
      <w:r w:rsidR="00A57F80" w:rsidRPr="00A57F80">
        <w:rPr>
          <w:rFonts w:ascii="Century Schoolbook" w:hAnsi="Century Schoolbook"/>
          <w:szCs w:val="26"/>
          <w:lang w:val="it-IT"/>
        </w:rPr>
        <w:t>(</w:t>
      </w:r>
      <w:r w:rsidR="00A57F80" w:rsidRPr="00A57F80">
        <w:rPr>
          <w:rFonts w:ascii="Century Schoolbook" w:hAnsi="Century Schoolbook"/>
          <w:szCs w:val="26"/>
        </w:rPr>
        <w:t>A</w:t>
      </w:r>
      <w:r w:rsidR="00725B1C">
        <w:rPr>
          <w:rFonts w:ascii="Century Schoolbook" w:hAnsi="Century Schoolbook"/>
          <w:szCs w:val="26"/>
        </w:rPr>
        <w:t>164775</w:t>
      </w:r>
      <w:r w:rsidR="00A57F80" w:rsidRPr="00A57F80">
        <w:rPr>
          <w:rFonts w:ascii="Century Schoolbook" w:hAnsi="Century Schoolbook"/>
          <w:szCs w:val="26"/>
          <w:lang w:val="it-IT"/>
        </w:rPr>
        <w:t>)</w:t>
      </w:r>
      <w:r w:rsidR="00A57F80" w:rsidRPr="00A57F80">
        <w:rPr>
          <w:rFonts w:ascii="Century Schoolbook" w:hAnsi="Century Schoolbook"/>
          <w:szCs w:val="26"/>
        </w:rPr>
        <w:t xml:space="preserve"> </w:t>
      </w:r>
    </w:p>
    <w:p w14:paraId="0350442E" w14:textId="77777777" w:rsidR="00A57F80" w:rsidRPr="00A57F80" w:rsidRDefault="00A57F80" w:rsidP="00A57F80">
      <w:pPr>
        <w:tabs>
          <w:tab w:val="clear" w:pos="720"/>
        </w:tabs>
        <w:spacing w:line="360" w:lineRule="auto"/>
        <w:ind w:right="90"/>
        <w:rPr>
          <w:rFonts w:ascii="Century Schoolbook" w:hAnsi="Century Schoolbook"/>
          <w:szCs w:val="26"/>
        </w:rPr>
      </w:pPr>
      <w:r w:rsidRPr="00A57F80">
        <w:rPr>
          <w:rFonts w:ascii="Century Schoolbook" w:hAnsi="Century Schoolbook"/>
          <w:szCs w:val="26"/>
        </w:rPr>
        <w:br w:type="page"/>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77"/>
      </w:tblGrid>
      <w:tr w:rsidR="00A57F80" w:rsidRPr="00A57F80" w14:paraId="627BC872" w14:textId="77777777" w:rsidTr="00156894">
        <w:tc>
          <w:tcPr>
            <w:tcW w:w="4788" w:type="dxa"/>
            <w:tcBorders>
              <w:top w:val="nil"/>
              <w:left w:val="nil"/>
              <w:bottom w:val="nil"/>
              <w:right w:val="nil"/>
            </w:tcBorders>
            <w:hideMark/>
          </w:tcPr>
          <w:p w14:paraId="39545ACC" w14:textId="77777777" w:rsidR="00A57F80" w:rsidRPr="00A57F80" w:rsidRDefault="00A57F80" w:rsidP="00156894">
            <w:pPr>
              <w:spacing w:line="240" w:lineRule="auto"/>
              <w:ind w:right="90"/>
              <w:rPr>
                <w:rFonts w:ascii="Century Schoolbook" w:hAnsi="Century Schoolbook"/>
                <w:szCs w:val="26"/>
              </w:rPr>
            </w:pPr>
            <w:r w:rsidRPr="00A57F80">
              <w:rPr>
                <w:rFonts w:ascii="Century Schoolbook" w:hAnsi="Century Schoolbook"/>
                <w:szCs w:val="26"/>
              </w:rPr>
              <w:lastRenderedPageBreak/>
              <w:t>Trial Court:</w:t>
            </w:r>
          </w:p>
        </w:tc>
        <w:tc>
          <w:tcPr>
            <w:tcW w:w="4788" w:type="dxa"/>
            <w:tcBorders>
              <w:top w:val="nil"/>
              <w:left w:val="nil"/>
              <w:bottom w:val="nil"/>
              <w:right w:val="nil"/>
            </w:tcBorders>
          </w:tcPr>
          <w:p w14:paraId="742C25E4" w14:textId="77777777" w:rsidR="00A57F80" w:rsidRPr="00A57F80" w:rsidRDefault="00A57F80" w:rsidP="00156894">
            <w:pPr>
              <w:spacing w:line="240" w:lineRule="auto"/>
              <w:ind w:right="90"/>
              <w:rPr>
                <w:rFonts w:ascii="Century Schoolbook" w:hAnsi="Century Schoolbook"/>
                <w:szCs w:val="26"/>
              </w:rPr>
            </w:pPr>
            <w:r w:rsidRPr="00A57F80">
              <w:rPr>
                <w:rFonts w:ascii="Century Schoolbook" w:hAnsi="Century Schoolbook"/>
                <w:szCs w:val="26"/>
              </w:rPr>
              <w:t>San Francisco County Superior Court;</w:t>
            </w:r>
          </w:p>
          <w:p w14:paraId="5CB68E3E" w14:textId="77777777" w:rsidR="00A57F80" w:rsidRPr="00A57F80" w:rsidRDefault="00A57F80" w:rsidP="00156894">
            <w:pPr>
              <w:spacing w:line="240" w:lineRule="auto"/>
              <w:ind w:right="90"/>
              <w:rPr>
                <w:rFonts w:ascii="Century Schoolbook" w:hAnsi="Century Schoolbook"/>
                <w:szCs w:val="26"/>
              </w:rPr>
            </w:pPr>
          </w:p>
        </w:tc>
      </w:tr>
      <w:tr w:rsidR="00A57F80" w:rsidRPr="00A57F80" w14:paraId="5F9108FE" w14:textId="77777777" w:rsidTr="00156894">
        <w:tc>
          <w:tcPr>
            <w:tcW w:w="4788" w:type="dxa"/>
            <w:tcBorders>
              <w:top w:val="nil"/>
              <w:left w:val="nil"/>
              <w:bottom w:val="nil"/>
              <w:right w:val="nil"/>
            </w:tcBorders>
            <w:hideMark/>
          </w:tcPr>
          <w:p w14:paraId="41C5BB25" w14:textId="77777777" w:rsidR="00A57F80" w:rsidRPr="00A57F80" w:rsidRDefault="00A57F80" w:rsidP="00156894">
            <w:pPr>
              <w:spacing w:line="240" w:lineRule="auto"/>
              <w:ind w:right="90"/>
              <w:rPr>
                <w:rFonts w:ascii="Century Schoolbook" w:hAnsi="Century Schoolbook"/>
                <w:szCs w:val="26"/>
              </w:rPr>
            </w:pPr>
            <w:r w:rsidRPr="00A57F80">
              <w:rPr>
                <w:rFonts w:ascii="Century Schoolbook" w:hAnsi="Century Schoolbook"/>
                <w:szCs w:val="26"/>
              </w:rPr>
              <w:t>Trial Judge:</w:t>
            </w:r>
          </w:p>
        </w:tc>
        <w:tc>
          <w:tcPr>
            <w:tcW w:w="4788" w:type="dxa"/>
            <w:tcBorders>
              <w:top w:val="nil"/>
              <w:left w:val="nil"/>
              <w:bottom w:val="nil"/>
              <w:right w:val="nil"/>
            </w:tcBorders>
          </w:tcPr>
          <w:p w14:paraId="59A94C56" w14:textId="1112B2D4" w:rsidR="00A57F80" w:rsidRPr="00A57F80" w:rsidRDefault="00A57F80" w:rsidP="00156894">
            <w:pPr>
              <w:spacing w:line="240" w:lineRule="auto"/>
              <w:ind w:right="90"/>
              <w:rPr>
                <w:rFonts w:ascii="Century Schoolbook" w:hAnsi="Century Schoolbook"/>
                <w:szCs w:val="26"/>
              </w:rPr>
            </w:pPr>
            <w:r w:rsidRPr="00A57F80">
              <w:rPr>
                <w:rFonts w:ascii="Century Schoolbook" w:hAnsi="Century Schoolbook"/>
                <w:szCs w:val="26"/>
              </w:rPr>
              <w:t xml:space="preserve">Honorable </w:t>
            </w:r>
            <w:r w:rsidR="00D1240E">
              <w:rPr>
                <w:rFonts w:ascii="Century Schoolbook" w:hAnsi="Century Schoolbook"/>
                <w:szCs w:val="26"/>
              </w:rPr>
              <w:t>Suzanne Ramos Bolanos</w:t>
            </w:r>
            <w:r w:rsidRPr="00A57F80">
              <w:rPr>
                <w:rFonts w:ascii="Century Schoolbook" w:hAnsi="Century Schoolbook"/>
                <w:szCs w:val="26"/>
              </w:rPr>
              <w:t>;</w:t>
            </w:r>
          </w:p>
          <w:p w14:paraId="4EE26D89" w14:textId="77777777" w:rsidR="00A57F80" w:rsidRPr="00A57F80" w:rsidRDefault="00A57F80" w:rsidP="00156894">
            <w:pPr>
              <w:spacing w:line="240" w:lineRule="auto"/>
              <w:ind w:right="90"/>
              <w:rPr>
                <w:rFonts w:ascii="Century Schoolbook" w:hAnsi="Century Schoolbook"/>
                <w:szCs w:val="26"/>
              </w:rPr>
            </w:pPr>
          </w:p>
        </w:tc>
      </w:tr>
      <w:tr w:rsidR="00A57F80" w:rsidRPr="00A57F80" w14:paraId="0D58B577" w14:textId="77777777" w:rsidTr="00156894">
        <w:tc>
          <w:tcPr>
            <w:tcW w:w="4788" w:type="dxa"/>
            <w:tcBorders>
              <w:top w:val="nil"/>
              <w:left w:val="nil"/>
              <w:bottom w:val="nil"/>
              <w:right w:val="nil"/>
            </w:tcBorders>
            <w:hideMark/>
          </w:tcPr>
          <w:p w14:paraId="5A12EB83" w14:textId="7FB998CA" w:rsidR="00A57F80" w:rsidRPr="00A57F80" w:rsidRDefault="00A57F80" w:rsidP="00156894">
            <w:pPr>
              <w:spacing w:line="240" w:lineRule="auto"/>
              <w:ind w:right="90"/>
              <w:rPr>
                <w:rFonts w:ascii="Century Schoolbook" w:hAnsi="Century Schoolbook"/>
                <w:szCs w:val="26"/>
              </w:rPr>
            </w:pPr>
            <w:r w:rsidRPr="00A57F80">
              <w:rPr>
                <w:rFonts w:ascii="Century Schoolbook" w:hAnsi="Century Schoolbook"/>
                <w:szCs w:val="26"/>
              </w:rPr>
              <w:t xml:space="preserve">Attorney for Plaintiff and Appellant, </w:t>
            </w:r>
            <w:r w:rsidR="00977728">
              <w:rPr>
                <w:rFonts w:ascii="Century Schoolbook" w:hAnsi="Century Schoolbook"/>
                <w:szCs w:val="26"/>
              </w:rPr>
              <w:t>Debra Abney</w:t>
            </w:r>
            <w:r w:rsidRPr="00A57F80">
              <w:rPr>
                <w:rFonts w:ascii="Century Schoolbook" w:hAnsi="Century Schoolbook"/>
                <w:szCs w:val="26"/>
              </w:rPr>
              <w:t>:</w:t>
            </w:r>
          </w:p>
          <w:p w14:paraId="22E1E85E" w14:textId="77777777" w:rsidR="00A57F80" w:rsidRPr="00A57F80" w:rsidRDefault="00A57F80" w:rsidP="00156894">
            <w:pPr>
              <w:spacing w:line="240" w:lineRule="auto"/>
              <w:ind w:right="90"/>
              <w:rPr>
                <w:rFonts w:ascii="Century Schoolbook" w:hAnsi="Century Schoolbook"/>
                <w:szCs w:val="26"/>
              </w:rPr>
            </w:pPr>
          </w:p>
        </w:tc>
        <w:tc>
          <w:tcPr>
            <w:tcW w:w="4788" w:type="dxa"/>
            <w:tcBorders>
              <w:top w:val="nil"/>
              <w:left w:val="nil"/>
              <w:bottom w:val="nil"/>
              <w:right w:val="nil"/>
            </w:tcBorders>
          </w:tcPr>
          <w:p w14:paraId="4F9C2794" w14:textId="7A9D2E77" w:rsidR="00A57F80" w:rsidRPr="00A57F80" w:rsidRDefault="00B33E86" w:rsidP="00156894">
            <w:pPr>
              <w:spacing w:line="240" w:lineRule="auto"/>
              <w:ind w:right="90"/>
              <w:rPr>
                <w:rFonts w:ascii="Century Schoolbook" w:hAnsi="Century Schoolbook"/>
                <w:szCs w:val="26"/>
              </w:rPr>
            </w:pPr>
            <w:r>
              <w:rPr>
                <w:rFonts w:ascii="Century Schoolbook" w:hAnsi="Century Schoolbook"/>
                <w:szCs w:val="26"/>
              </w:rPr>
              <w:t>Western Center on Law &amp; Poverty, David Kane, Robert D. Newman, Richard A. Roth</w:t>
            </w:r>
            <w:r w:rsidR="00170F95">
              <w:rPr>
                <w:rFonts w:ascii="Century Schoolbook" w:hAnsi="Century Schoolbook"/>
                <w:szCs w:val="26"/>
              </w:rPr>
              <w:t>schild; Bay Area Legal Aid, Michael Keys</w:t>
            </w:r>
            <w:r w:rsidR="00A57F80" w:rsidRPr="00A57F80">
              <w:rPr>
                <w:rFonts w:ascii="Century Schoolbook" w:hAnsi="Century Schoolbook"/>
                <w:szCs w:val="26"/>
              </w:rPr>
              <w:t>;</w:t>
            </w:r>
          </w:p>
          <w:p w14:paraId="34A732E8" w14:textId="77777777" w:rsidR="00A57F80" w:rsidRPr="00A57F80" w:rsidRDefault="00A57F80" w:rsidP="00156894">
            <w:pPr>
              <w:spacing w:line="240" w:lineRule="auto"/>
              <w:ind w:right="90"/>
              <w:rPr>
                <w:rFonts w:ascii="Century Schoolbook" w:hAnsi="Century Schoolbook"/>
                <w:szCs w:val="26"/>
              </w:rPr>
            </w:pPr>
          </w:p>
        </w:tc>
      </w:tr>
      <w:tr w:rsidR="00A57F80" w:rsidRPr="00A57F80" w14:paraId="5D264442" w14:textId="77777777" w:rsidTr="00156894">
        <w:tc>
          <w:tcPr>
            <w:tcW w:w="4788" w:type="dxa"/>
            <w:tcBorders>
              <w:top w:val="nil"/>
              <w:left w:val="nil"/>
              <w:bottom w:val="nil"/>
              <w:right w:val="nil"/>
            </w:tcBorders>
            <w:hideMark/>
          </w:tcPr>
          <w:p w14:paraId="1F365F23" w14:textId="00019370" w:rsidR="00A57F80" w:rsidRPr="00A57F80" w:rsidRDefault="00A57F80" w:rsidP="00156894">
            <w:pPr>
              <w:spacing w:line="240" w:lineRule="auto"/>
              <w:ind w:right="90"/>
              <w:rPr>
                <w:rFonts w:ascii="Century Schoolbook" w:hAnsi="Century Schoolbook"/>
                <w:szCs w:val="26"/>
              </w:rPr>
            </w:pPr>
            <w:r w:rsidRPr="00A57F80">
              <w:rPr>
                <w:rFonts w:ascii="Century Schoolbook" w:hAnsi="Century Schoolbook"/>
                <w:szCs w:val="26"/>
              </w:rPr>
              <w:t>Attorney for Defendant</w:t>
            </w:r>
            <w:r w:rsidR="0009543D">
              <w:rPr>
                <w:rFonts w:ascii="Century Schoolbook" w:hAnsi="Century Schoolbook"/>
                <w:szCs w:val="26"/>
              </w:rPr>
              <w:t>s</w:t>
            </w:r>
            <w:r w:rsidRPr="00A57F80">
              <w:rPr>
                <w:rFonts w:ascii="Century Schoolbook" w:hAnsi="Century Schoolbook"/>
                <w:szCs w:val="26"/>
              </w:rPr>
              <w:t xml:space="preserve"> and Respondent</w:t>
            </w:r>
            <w:r w:rsidR="0009543D">
              <w:rPr>
                <w:rFonts w:ascii="Century Schoolbook" w:hAnsi="Century Schoolbook"/>
                <w:szCs w:val="26"/>
              </w:rPr>
              <w:t>s</w:t>
            </w:r>
            <w:r w:rsidRPr="00A57F80">
              <w:rPr>
                <w:rFonts w:ascii="Century Schoolbook" w:hAnsi="Century Schoolbook"/>
                <w:szCs w:val="26"/>
              </w:rPr>
              <w:t xml:space="preserve">, </w:t>
            </w:r>
            <w:r w:rsidR="004869FD">
              <w:rPr>
                <w:rFonts w:ascii="Century Schoolbook" w:hAnsi="Century Schoolbook"/>
                <w:szCs w:val="26"/>
              </w:rPr>
              <w:t>State</w:t>
            </w:r>
            <w:r w:rsidR="00B9179C">
              <w:rPr>
                <w:rFonts w:ascii="Century Schoolbook" w:hAnsi="Century Schoolbook"/>
                <w:szCs w:val="26"/>
              </w:rPr>
              <w:t xml:space="preserve"> Department of Health Care Services</w:t>
            </w:r>
            <w:r w:rsidR="0009543D">
              <w:rPr>
                <w:rFonts w:ascii="Century Schoolbook" w:hAnsi="Century Schoolbook"/>
                <w:szCs w:val="26"/>
              </w:rPr>
              <w:t xml:space="preserve"> </w:t>
            </w:r>
            <w:r w:rsidR="00CB17AF">
              <w:rPr>
                <w:rFonts w:ascii="Century Schoolbook" w:hAnsi="Century Schoolbook"/>
                <w:szCs w:val="26"/>
              </w:rPr>
              <w:t>et al.:</w:t>
            </w:r>
          </w:p>
          <w:p w14:paraId="03EC9171" w14:textId="77777777" w:rsidR="00A57F80" w:rsidRPr="00A57F80" w:rsidRDefault="00A57F80" w:rsidP="00156894">
            <w:pPr>
              <w:spacing w:line="240" w:lineRule="auto"/>
              <w:ind w:right="90"/>
              <w:rPr>
                <w:rFonts w:ascii="Century Schoolbook" w:hAnsi="Century Schoolbook"/>
                <w:szCs w:val="26"/>
              </w:rPr>
            </w:pPr>
          </w:p>
          <w:p w14:paraId="35B965DF" w14:textId="77777777" w:rsidR="00A57F80" w:rsidRDefault="00A57F80" w:rsidP="00156894">
            <w:pPr>
              <w:spacing w:line="240" w:lineRule="auto"/>
              <w:ind w:right="90"/>
              <w:rPr>
                <w:rFonts w:ascii="Century Schoolbook" w:hAnsi="Century Schoolbook"/>
                <w:szCs w:val="26"/>
              </w:rPr>
            </w:pPr>
          </w:p>
          <w:p w14:paraId="429FD915" w14:textId="77777777" w:rsidR="00F263D2" w:rsidRDefault="00F263D2" w:rsidP="00156894">
            <w:pPr>
              <w:spacing w:line="240" w:lineRule="auto"/>
              <w:ind w:right="90"/>
              <w:rPr>
                <w:rFonts w:ascii="Century Schoolbook" w:hAnsi="Century Schoolbook"/>
                <w:szCs w:val="26"/>
              </w:rPr>
            </w:pPr>
          </w:p>
          <w:p w14:paraId="0992F05D" w14:textId="77777777" w:rsidR="00F263D2" w:rsidRDefault="00F263D2" w:rsidP="00156894">
            <w:pPr>
              <w:spacing w:line="240" w:lineRule="auto"/>
              <w:ind w:right="90"/>
              <w:rPr>
                <w:rFonts w:ascii="Century Schoolbook" w:hAnsi="Century Schoolbook"/>
                <w:szCs w:val="26"/>
              </w:rPr>
            </w:pPr>
          </w:p>
          <w:p w14:paraId="259459B8" w14:textId="3AB4F4FB" w:rsidR="00F263D2" w:rsidRPr="00A57F80" w:rsidRDefault="00C57204" w:rsidP="00156894">
            <w:pPr>
              <w:spacing w:line="240" w:lineRule="auto"/>
              <w:ind w:right="90"/>
              <w:rPr>
                <w:rFonts w:ascii="Century Schoolbook" w:hAnsi="Century Schoolbook"/>
                <w:szCs w:val="26"/>
              </w:rPr>
            </w:pPr>
            <w:r>
              <w:rPr>
                <w:rFonts w:ascii="Century Schoolbook" w:hAnsi="Century Schoolbook"/>
                <w:szCs w:val="26"/>
              </w:rPr>
              <w:t xml:space="preserve">Attorney for Respondent City and County of San </w:t>
            </w:r>
            <w:r w:rsidR="00AC7E12">
              <w:rPr>
                <w:rFonts w:ascii="Century Schoolbook" w:hAnsi="Century Schoolbook"/>
                <w:szCs w:val="26"/>
              </w:rPr>
              <w:t>Francisco:</w:t>
            </w:r>
          </w:p>
        </w:tc>
        <w:tc>
          <w:tcPr>
            <w:tcW w:w="4788" w:type="dxa"/>
            <w:tcBorders>
              <w:top w:val="nil"/>
              <w:left w:val="nil"/>
              <w:bottom w:val="nil"/>
              <w:right w:val="nil"/>
            </w:tcBorders>
          </w:tcPr>
          <w:p w14:paraId="4742AE20" w14:textId="7E34CB84" w:rsidR="00A57F80" w:rsidRPr="00A57F80" w:rsidRDefault="0009543D" w:rsidP="00156894">
            <w:pPr>
              <w:spacing w:line="240" w:lineRule="auto"/>
              <w:ind w:right="90"/>
              <w:rPr>
                <w:rFonts w:ascii="Century Schoolbook" w:hAnsi="Century Schoolbook"/>
                <w:szCs w:val="26"/>
              </w:rPr>
            </w:pPr>
            <w:r>
              <w:rPr>
                <w:rFonts w:ascii="Century Schoolbook" w:hAnsi="Century Schoolbook"/>
                <w:szCs w:val="26"/>
              </w:rPr>
              <w:t>Rob Bonta, Attorney General of California, Cheryl L. Feiner</w:t>
            </w:r>
            <w:r w:rsidR="0017024D">
              <w:rPr>
                <w:rFonts w:ascii="Century Schoolbook" w:hAnsi="Century Schoolbook"/>
                <w:szCs w:val="26"/>
              </w:rPr>
              <w:t>, Senior Assistant Attorney General, Gregory D. Brown,</w:t>
            </w:r>
            <w:r w:rsidR="00E702F0">
              <w:rPr>
                <w:rFonts w:ascii="Century Schoolbook" w:hAnsi="Century Schoolbook"/>
                <w:szCs w:val="26"/>
              </w:rPr>
              <w:t xml:space="preserve"> Charles J. Antonen, Supervising</w:t>
            </w:r>
            <w:r w:rsidR="00E96156">
              <w:rPr>
                <w:rFonts w:ascii="Century Schoolbook" w:hAnsi="Century Schoolbook"/>
                <w:szCs w:val="26"/>
              </w:rPr>
              <w:t xml:space="preserve"> Deputy Attorneys General, Katherine J. Grainger, Deputy Attorney General</w:t>
            </w:r>
            <w:r w:rsidR="00A57F80" w:rsidRPr="00A57F80">
              <w:rPr>
                <w:rFonts w:ascii="Century Schoolbook" w:hAnsi="Century Schoolbook"/>
                <w:szCs w:val="26"/>
              </w:rPr>
              <w:t xml:space="preserve">. </w:t>
            </w:r>
          </w:p>
          <w:p w14:paraId="641EEA00" w14:textId="77777777" w:rsidR="00A57F80" w:rsidRPr="00A57F80" w:rsidRDefault="00A57F80" w:rsidP="00156894">
            <w:pPr>
              <w:spacing w:line="240" w:lineRule="auto"/>
              <w:ind w:right="90"/>
              <w:rPr>
                <w:rFonts w:ascii="Century Schoolbook" w:hAnsi="Century Schoolbook"/>
                <w:szCs w:val="26"/>
              </w:rPr>
            </w:pPr>
          </w:p>
          <w:p w14:paraId="5C3AF718" w14:textId="746C641C" w:rsidR="00A57F80" w:rsidRPr="00A57F80" w:rsidRDefault="00AC7E12" w:rsidP="00156894">
            <w:pPr>
              <w:spacing w:line="240" w:lineRule="auto"/>
              <w:ind w:right="90"/>
              <w:rPr>
                <w:rFonts w:ascii="Century Schoolbook" w:hAnsi="Century Schoolbook"/>
                <w:szCs w:val="26"/>
              </w:rPr>
            </w:pPr>
            <w:r>
              <w:rPr>
                <w:rFonts w:ascii="Century Schoolbook" w:hAnsi="Century Schoolbook"/>
                <w:szCs w:val="26"/>
              </w:rPr>
              <w:t>David Chiu</w:t>
            </w:r>
            <w:r w:rsidR="00A81E32">
              <w:rPr>
                <w:rFonts w:ascii="Century Schoolbook" w:hAnsi="Century Schoolbook"/>
                <w:szCs w:val="26"/>
              </w:rPr>
              <w:t xml:space="preserve">, </w:t>
            </w:r>
            <w:r w:rsidR="008510D3">
              <w:rPr>
                <w:rFonts w:ascii="Century Schoolbook" w:hAnsi="Century Schoolbook"/>
                <w:szCs w:val="26"/>
              </w:rPr>
              <w:t>City Attorney, Wayne Snodgrass</w:t>
            </w:r>
            <w:r w:rsidR="005A663C">
              <w:rPr>
                <w:rFonts w:ascii="Century Schoolbook" w:hAnsi="Century Schoolbook"/>
                <w:szCs w:val="26"/>
              </w:rPr>
              <w:t>, Tara M. Steeley Deputy City Attorneys</w:t>
            </w:r>
          </w:p>
        </w:tc>
      </w:tr>
      <w:tr w:rsidR="00F263D2" w:rsidRPr="00A57F80" w14:paraId="7A78DAB0" w14:textId="77777777" w:rsidTr="00156894">
        <w:tc>
          <w:tcPr>
            <w:tcW w:w="4788" w:type="dxa"/>
            <w:tcBorders>
              <w:top w:val="nil"/>
              <w:left w:val="nil"/>
              <w:bottom w:val="nil"/>
              <w:right w:val="nil"/>
            </w:tcBorders>
          </w:tcPr>
          <w:p w14:paraId="16C9934F" w14:textId="77777777" w:rsidR="00F263D2" w:rsidRPr="00A57F80" w:rsidRDefault="00F263D2" w:rsidP="00156894">
            <w:pPr>
              <w:spacing w:line="240" w:lineRule="auto"/>
              <w:ind w:right="90"/>
              <w:rPr>
                <w:rFonts w:ascii="Century Schoolbook" w:hAnsi="Century Schoolbook"/>
                <w:szCs w:val="26"/>
              </w:rPr>
            </w:pPr>
          </w:p>
        </w:tc>
        <w:tc>
          <w:tcPr>
            <w:tcW w:w="4788" w:type="dxa"/>
            <w:tcBorders>
              <w:top w:val="nil"/>
              <w:left w:val="nil"/>
              <w:bottom w:val="nil"/>
              <w:right w:val="nil"/>
            </w:tcBorders>
          </w:tcPr>
          <w:p w14:paraId="4E24F286" w14:textId="77777777" w:rsidR="00F263D2" w:rsidRDefault="00F263D2" w:rsidP="00156894">
            <w:pPr>
              <w:spacing w:line="240" w:lineRule="auto"/>
              <w:ind w:right="90"/>
              <w:rPr>
                <w:rFonts w:ascii="Century Schoolbook" w:hAnsi="Century Schoolbook"/>
                <w:szCs w:val="26"/>
              </w:rPr>
            </w:pPr>
          </w:p>
        </w:tc>
      </w:tr>
    </w:tbl>
    <w:p w14:paraId="20159170" w14:textId="77777777" w:rsidR="00A57F80" w:rsidRPr="00A57F80" w:rsidRDefault="00A57F80" w:rsidP="00A57F80">
      <w:pPr>
        <w:shd w:val="clear" w:color="auto" w:fill="FFFFFF"/>
        <w:spacing w:line="360" w:lineRule="auto"/>
        <w:ind w:left="-720" w:right="-720" w:firstLine="720"/>
        <w:textAlignment w:val="baseline"/>
        <w:rPr>
          <w:rFonts w:ascii="Century Schoolbook" w:hAnsi="Century Schoolbook"/>
          <w:szCs w:val="26"/>
        </w:rPr>
      </w:pPr>
    </w:p>
    <w:p w14:paraId="4C89C95D" w14:textId="77777777" w:rsidR="009B6A33" w:rsidRPr="00A57F80" w:rsidRDefault="009B6A33" w:rsidP="00582FA3">
      <w:pPr>
        <w:rPr>
          <w:rFonts w:ascii="Century Schoolbook" w:hAnsi="Century Schoolbook"/>
          <w:szCs w:val="26"/>
        </w:rPr>
      </w:pPr>
    </w:p>
    <w:sectPr w:rsidR="009B6A33" w:rsidRPr="00A57F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F3E0" w14:textId="77777777" w:rsidR="001B67BB" w:rsidRDefault="001B67BB" w:rsidP="000D6294">
      <w:pPr>
        <w:spacing w:line="240" w:lineRule="auto"/>
      </w:pPr>
      <w:r>
        <w:separator/>
      </w:r>
    </w:p>
  </w:endnote>
  <w:endnote w:type="continuationSeparator" w:id="0">
    <w:p w14:paraId="1000DAEF" w14:textId="77777777" w:rsidR="001B67BB" w:rsidRDefault="001B67BB" w:rsidP="000D6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812540"/>
      <w:docPartObj>
        <w:docPartGallery w:val="Page Numbers (Bottom of Page)"/>
        <w:docPartUnique/>
      </w:docPartObj>
    </w:sdtPr>
    <w:sdtEndPr>
      <w:rPr>
        <w:rStyle w:val="PageNumber"/>
      </w:rPr>
    </w:sdtEndPr>
    <w:sdtContent>
      <w:p w14:paraId="5BC61D63" w14:textId="05A2C314" w:rsidR="000D6294" w:rsidRDefault="000D62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69DF1" w14:textId="77777777" w:rsidR="000D6294" w:rsidRDefault="000D6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590595"/>
      <w:docPartObj>
        <w:docPartGallery w:val="Page Numbers (Bottom of Page)"/>
        <w:docPartUnique/>
      </w:docPartObj>
    </w:sdtPr>
    <w:sdtEndPr>
      <w:rPr>
        <w:rStyle w:val="PageNumber"/>
        <w:rFonts w:ascii="Century Schoolbook" w:hAnsi="Century Schoolbook"/>
      </w:rPr>
    </w:sdtEndPr>
    <w:sdtContent>
      <w:p w14:paraId="2D9A9FEB" w14:textId="39E3D9CD" w:rsidR="000D6294" w:rsidRPr="000D6294" w:rsidRDefault="000D6294">
        <w:pPr>
          <w:pStyle w:val="Footer"/>
          <w:framePr w:wrap="none" w:vAnchor="text" w:hAnchor="margin" w:xAlign="center" w:y="1"/>
          <w:rPr>
            <w:rStyle w:val="PageNumber"/>
            <w:rFonts w:ascii="Century Schoolbook" w:hAnsi="Century Schoolbook"/>
          </w:rPr>
        </w:pPr>
        <w:r w:rsidRPr="000D6294">
          <w:rPr>
            <w:rStyle w:val="PageNumber"/>
            <w:rFonts w:ascii="Century Schoolbook" w:hAnsi="Century Schoolbook"/>
          </w:rPr>
          <w:fldChar w:fldCharType="begin"/>
        </w:r>
        <w:r w:rsidRPr="000D6294">
          <w:rPr>
            <w:rStyle w:val="PageNumber"/>
            <w:rFonts w:ascii="Century Schoolbook" w:hAnsi="Century Schoolbook"/>
          </w:rPr>
          <w:instrText xml:space="preserve"> PAGE </w:instrText>
        </w:r>
        <w:r w:rsidRPr="000D6294">
          <w:rPr>
            <w:rStyle w:val="PageNumber"/>
            <w:rFonts w:ascii="Century Schoolbook" w:hAnsi="Century Schoolbook"/>
          </w:rPr>
          <w:fldChar w:fldCharType="separate"/>
        </w:r>
        <w:r w:rsidRPr="000D6294">
          <w:rPr>
            <w:rStyle w:val="PageNumber"/>
            <w:rFonts w:ascii="Century Schoolbook" w:hAnsi="Century Schoolbook"/>
            <w:noProof/>
          </w:rPr>
          <w:t>1</w:t>
        </w:r>
        <w:r w:rsidRPr="000D6294">
          <w:rPr>
            <w:rStyle w:val="PageNumber"/>
            <w:rFonts w:ascii="Century Schoolbook" w:hAnsi="Century Schoolbook"/>
          </w:rPr>
          <w:fldChar w:fldCharType="end"/>
        </w:r>
      </w:p>
    </w:sdtContent>
  </w:sdt>
  <w:p w14:paraId="76015EB1" w14:textId="77777777" w:rsidR="000D6294" w:rsidRDefault="000D6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4343" w14:textId="77777777" w:rsidR="00702C9A" w:rsidRDefault="0070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8383" w14:textId="77777777" w:rsidR="001B67BB" w:rsidRDefault="001B67BB" w:rsidP="000D6294">
      <w:pPr>
        <w:spacing w:line="240" w:lineRule="auto"/>
      </w:pPr>
      <w:r>
        <w:separator/>
      </w:r>
    </w:p>
  </w:footnote>
  <w:footnote w:type="continuationSeparator" w:id="0">
    <w:p w14:paraId="752D65A7" w14:textId="77777777" w:rsidR="001B67BB" w:rsidRDefault="001B67BB" w:rsidP="000D6294">
      <w:pPr>
        <w:spacing w:line="240" w:lineRule="auto"/>
      </w:pPr>
      <w:r>
        <w:continuationSeparator/>
      </w:r>
    </w:p>
  </w:footnote>
  <w:footnote w:id="1">
    <w:p w14:paraId="19801452" w14:textId="32AB6D5C" w:rsidR="0011581D" w:rsidRPr="0011581D" w:rsidRDefault="0011581D" w:rsidP="00AD2742">
      <w:pPr>
        <w:pStyle w:val="FootnoteText"/>
        <w:ind w:firstLine="720"/>
        <w:rPr>
          <w:rFonts w:ascii="Century Schoolbook" w:hAnsi="Century Schoolbook"/>
          <w:sz w:val="26"/>
          <w:szCs w:val="26"/>
        </w:rPr>
      </w:pPr>
      <w:r w:rsidRPr="0011581D">
        <w:rPr>
          <w:rStyle w:val="FootnoteReference"/>
          <w:rFonts w:ascii="Century Schoolbook" w:hAnsi="Century Schoolbook"/>
          <w:sz w:val="26"/>
          <w:szCs w:val="26"/>
        </w:rPr>
        <w:footnoteRef/>
      </w:r>
      <w:r w:rsidRPr="0011581D">
        <w:rPr>
          <w:rFonts w:ascii="Century Schoolbook" w:hAnsi="Century Schoolbook"/>
          <w:sz w:val="26"/>
          <w:szCs w:val="26"/>
        </w:rPr>
        <w:t xml:space="preserve"> </w:t>
      </w:r>
      <w:r w:rsidR="00AD2742">
        <w:rPr>
          <w:rFonts w:ascii="Century Schoolbook" w:hAnsi="Century Schoolbook"/>
          <w:sz w:val="26"/>
          <w:szCs w:val="26"/>
        </w:rPr>
        <w:t>Further undesignated citations are to Title 22 of the California Code of Regulations.</w:t>
      </w:r>
    </w:p>
  </w:footnote>
  <w:footnote w:id="2">
    <w:p w14:paraId="72BF1637" w14:textId="3783E212" w:rsidR="00362AF6" w:rsidRPr="00362AF6" w:rsidRDefault="00362AF6">
      <w:pPr>
        <w:pStyle w:val="FootnoteText"/>
        <w:rPr>
          <w:rFonts w:ascii="Century Schoolbook" w:hAnsi="Century Schoolbook"/>
          <w:sz w:val="26"/>
          <w:szCs w:val="26"/>
        </w:rPr>
      </w:pPr>
      <w:r>
        <w:tab/>
      </w:r>
      <w:r w:rsidRPr="00690D96">
        <w:rPr>
          <w:rStyle w:val="FootnoteReference"/>
          <w:rFonts w:ascii="Century Schoolbook" w:hAnsi="Century Schoolbook"/>
          <w:sz w:val="26"/>
          <w:szCs w:val="26"/>
        </w:rPr>
        <w:footnoteRef/>
      </w:r>
      <w:r w:rsidRPr="00690D96">
        <w:rPr>
          <w:rFonts w:ascii="Century Schoolbook" w:hAnsi="Century Schoolbook"/>
          <w:sz w:val="26"/>
          <w:szCs w:val="26"/>
        </w:rPr>
        <w:t xml:space="preserve"> We granted the Department’s unopposed request to take judicial notice of </w:t>
      </w:r>
      <w:r w:rsidR="00690D96" w:rsidRPr="00690D96">
        <w:rPr>
          <w:rFonts w:ascii="Century Schoolbook" w:hAnsi="Century Schoolbook"/>
          <w:sz w:val="26"/>
          <w:szCs w:val="26"/>
        </w:rPr>
        <w:t xml:space="preserve">Supplement 8a to Attachment 2.6–A of California’s Medicaid State Plan, titled “Methodologies for Treatment of Income That Differs from Those of the SSI </w:t>
      </w:r>
      <w:r w:rsidR="002D7744">
        <w:rPr>
          <w:rFonts w:ascii="Century Schoolbook" w:hAnsi="Century Schoolbook"/>
          <w:sz w:val="26"/>
          <w:szCs w:val="26"/>
        </w:rPr>
        <w:t xml:space="preserve">. . . </w:t>
      </w:r>
      <w:r w:rsidR="00690D96" w:rsidRPr="00690D96">
        <w:rPr>
          <w:rFonts w:ascii="Century Schoolbook" w:hAnsi="Century Schoolbook"/>
          <w:sz w:val="26"/>
          <w:szCs w:val="26"/>
        </w:rPr>
        <w:t>Program</w:t>
      </w:r>
      <w:r w:rsidR="009A5D9B">
        <w:rPr>
          <w:rFonts w:ascii="Century Schoolbook" w:hAnsi="Century Schoolbook"/>
          <w:sz w:val="26"/>
          <w:szCs w:val="26"/>
        </w:rPr>
        <w:t>,</w:t>
      </w:r>
      <w:r w:rsidR="00690D96" w:rsidRPr="00690D96">
        <w:rPr>
          <w:rFonts w:ascii="Century Schoolbook" w:hAnsi="Century Schoolbook"/>
          <w:sz w:val="26"/>
          <w:szCs w:val="26"/>
        </w:rPr>
        <w:t>”</w:t>
      </w:r>
      <w:r w:rsidR="009A5D9B">
        <w:rPr>
          <w:rFonts w:ascii="Century Schoolbook" w:hAnsi="Century Schoolbook"/>
          <w:sz w:val="26"/>
          <w:szCs w:val="26"/>
        </w:rPr>
        <w:t xml:space="preserve"> which sets eligibility requirements based on “[c]ountable income, as determined in accordance with Section 1902(m) of the [federal Social Security] Act.”   </w:t>
      </w:r>
    </w:p>
  </w:footnote>
  <w:footnote w:id="3">
    <w:p w14:paraId="21EE2329" w14:textId="21323210" w:rsidR="00C917C8" w:rsidRPr="00C917C8" w:rsidRDefault="00C917C8">
      <w:pPr>
        <w:pStyle w:val="FootnoteText"/>
        <w:rPr>
          <w:rFonts w:ascii="Century Schoolbook" w:hAnsi="Century Schoolbook"/>
          <w:sz w:val="26"/>
          <w:szCs w:val="26"/>
        </w:rPr>
      </w:pPr>
      <w:r w:rsidRPr="00C917C8">
        <w:rPr>
          <w:rFonts w:ascii="Century Schoolbook" w:hAnsi="Century Schoolbook"/>
          <w:sz w:val="26"/>
          <w:szCs w:val="26"/>
        </w:rPr>
        <w:tab/>
      </w:r>
      <w:r w:rsidRPr="00C917C8">
        <w:rPr>
          <w:rStyle w:val="FootnoteReference"/>
          <w:rFonts w:ascii="Century Schoolbook" w:hAnsi="Century Schoolbook"/>
          <w:sz w:val="26"/>
          <w:szCs w:val="26"/>
        </w:rPr>
        <w:footnoteRef/>
      </w:r>
      <w:r w:rsidRPr="00C917C8">
        <w:rPr>
          <w:rFonts w:ascii="Century Schoolbook" w:hAnsi="Century Schoolbook"/>
          <w:sz w:val="26"/>
          <w:szCs w:val="26"/>
        </w:rPr>
        <w:t xml:space="preserve"> </w:t>
      </w:r>
      <w:r w:rsidR="00AC2455">
        <w:rPr>
          <w:rFonts w:ascii="Century Schoolbook" w:hAnsi="Century Schoolbook"/>
          <w:sz w:val="26"/>
          <w:szCs w:val="26"/>
        </w:rPr>
        <w:t xml:space="preserve">We began our discussion in </w:t>
      </w:r>
      <w:r w:rsidR="00AC2455" w:rsidRPr="00AC2455">
        <w:rPr>
          <w:rFonts w:ascii="Century Schoolbook" w:hAnsi="Century Schoolbook"/>
          <w:i/>
          <w:iCs/>
          <w:sz w:val="26"/>
          <w:szCs w:val="26"/>
        </w:rPr>
        <w:t>Duncan</w:t>
      </w:r>
      <w:r w:rsidR="00AC2455">
        <w:rPr>
          <w:rFonts w:ascii="Century Schoolbook" w:hAnsi="Century Schoolbook"/>
          <w:sz w:val="26"/>
          <w:szCs w:val="26"/>
        </w:rPr>
        <w:t xml:space="preserve"> with this paragraph:  “</w:t>
      </w:r>
      <w:r w:rsidR="00AC2455" w:rsidRPr="00AC2455">
        <w:rPr>
          <w:rFonts w:ascii="Century Schoolbook" w:hAnsi="Century Schoolbook"/>
          <w:sz w:val="26"/>
          <w:szCs w:val="26"/>
        </w:rPr>
        <w:t xml:space="preserve">The broad question of the deference due to administrative decisions has perplexed some of our best judicial minds. </w:t>
      </w:r>
      <w:r w:rsidR="00AC2455">
        <w:rPr>
          <w:rFonts w:ascii="Century Schoolbook" w:hAnsi="Century Schoolbook"/>
          <w:sz w:val="26"/>
          <w:szCs w:val="26"/>
        </w:rPr>
        <w:t xml:space="preserve"> </w:t>
      </w:r>
      <w:r w:rsidR="00AC2455" w:rsidRPr="00AC2455">
        <w:rPr>
          <w:rFonts w:ascii="Century Schoolbook" w:hAnsi="Century Schoolbook"/>
          <w:sz w:val="26"/>
          <w:szCs w:val="26"/>
        </w:rPr>
        <w:t>(See maj</w:t>
      </w:r>
      <w:r w:rsidR="000326EF">
        <w:rPr>
          <w:rFonts w:ascii="Century Schoolbook" w:hAnsi="Century Schoolbook"/>
          <w:sz w:val="26"/>
          <w:szCs w:val="26"/>
        </w:rPr>
        <w:t>.</w:t>
      </w:r>
      <w:r w:rsidR="00AC2455" w:rsidRPr="00AC2455">
        <w:rPr>
          <w:rFonts w:ascii="Century Schoolbook" w:hAnsi="Century Schoolbook"/>
          <w:sz w:val="26"/>
          <w:szCs w:val="26"/>
        </w:rPr>
        <w:t xml:space="preserve"> </w:t>
      </w:r>
      <w:r w:rsidR="00DC0DBC">
        <w:rPr>
          <w:rFonts w:ascii="Century Schoolbook" w:hAnsi="Century Schoolbook"/>
          <w:sz w:val="26"/>
          <w:szCs w:val="26"/>
        </w:rPr>
        <w:t>o</w:t>
      </w:r>
      <w:r w:rsidR="00AC2455" w:rsidRPr="00AC2455">
        <w:rPr>
          <w:rFonts w:ascii="Century Schoolbook" w:hAnsi="Century Schoolbook"/>
          <w:sz w:val="26"/>
          <w:szCs w:val="26"/>
        </w:rPr>
        <w:t>pn</w:t>
      </w:r>
      <w:r w:rsidR="000326EF">
        <w:rPr>
          <w:rFonts w:ascii="Century Schoolbook" w:hAnsi="Century Schoolbook"/>
          <w:sz w:val="26"/>
          <w:szCs w:val="26"/>
        </w:rPr>
        <w:t>.</w:t>
      </w:r>
      <w:r w:rsidR="00AC2455" w:rsidRPr="00AC2455">
        <w:rPr>
          <w:rFonts w:ascii="Century Schoolbook" w:hAnsi="Century Schoolbook"/>
          <w:sz w:val="26"/>
          <w:szCs w:val="26"/>
        </w:rPr>
        <w:t xml:space="preserve"> of Brown, J. and the conc</w:t>
      </w:r>
      <w:r w:rsidR="000326EF">
        <w:rPr>
          <w:rFonts w:ascii="Century Schoolbook" w:hAnsi="Century Schoolbook"/>
          <w:sz w:val="26"/>
          <w:szCs w:val="26"/>
        </w:rPr>
        <w:t>.</w:t>
      </w:r>
      <w:r w:rsidR="00AC2455" w:rsidRPr="00AC2455">
        <w:rPr>
          <w:rFonts w:ascii="Century Schoolbook" w:hAnsi="Century Schoolbook"/>
          <w:sz w:val="26"/>
          <w:szCs w:val="26"/>
        </w:rPr>
        <w:t xml:space="preserve"> op</w:t>
      </w:r>
      <w:r w:rsidR="000326EF">
        <w:rPr>
          <w:rFonts w:ascii="Century Schoolbook" w:hAnsi="Century Schoolbook"/>
          <w:sz w:val="26"/>
          <w:szCs w:val="26"/>
        </w:rPr>
        <w:t>n.</w:t>
      </w:r>
      <w:r w:rsidR="00AC2455" w:rsidRPr="00AC2455">
        <w:rPr>
          <w:rFonts w:ascii="Century Schoolbook" w:hAnsi="Century Schoolbook"/>
          <w:sz w:val="26"/>
          <w:szCs w:val="26"/>
        </w:rPr>
        <w:t xml:space="preserve"> of Mosk, J., in </w:t>
      </w:r>
      <w:r w:rsidR="00AC2455" w:rsidRPr="00AC2455">
        <w:rPr>
          <w:rFonts w:ascii="Century Schoolbook" w:hAnsi="Century Schoolbook"/>
          <w:i/>
          <w:iCs/>
          <w:sz w:val="26"/>
          <w:szCs w:val="26"/>
        </w:rPr>
        <w:t>Yamaha</w:t>
      </w:r>
      <w:r w:rsidR="00FB5493">
        <w:rPr>
          <w:rFonts w:ascii="Century Schoolbook" w:hAnsi="Century Schoolbook"/>
          <w:sz w:val="26"/>
          <w:szCs w:val="26"/>
        </w:rPr>
        <w:t>,</w:t>
      </w:r>
      <w:r w:rsidR="00AC2455" w:rsidRPr="00AC2455">
        <w:rPr>
          <w:rFonts w:ascii="Century Schoolbook" w:hAnsi="Century Schoolbook"/>
          <w:sz w:val="26"/>
          <w:szCs w:val="26"/>
        </w:rPr>
        <w:t xml:space="preserve"> </w:t>
      </w:r>
      <w:r w:rsidR="00AC2455">
        <w:rPr>
          <w:rFonts w:ascii="Century Schoolbook" w:hAnsi="Century Schoolbook"/>
          <w:sz w:val="26"/>
          <w:szCs w:val="26"/>
        </w:rPr>
        <w:t>[</w:t>
      </w:r>
      <w:r w:rsidR="00AC2455" w:rsidRPr="00AC2455">
        <w:rPr>
          <w:rFonts w:ascii="Century Schoolbook" w:hAnsi="Century Schoolbook"/>
          <w:i/>
          <w:iCs/>
          <w:sz w:val="26"/>
          <w:szCs w:val="26"/>
        </w:rPr>
        <w:t>supra</w:t>
      </w:r>
      <w:r w:rsidR="00AC2455">
        <w:rPr>
          <w:rFonts w:ascii="Century Schoolbook" w:hAnsi="Century Schoolbook"/>
          <w:sz w:val="26"/>
          <w:szCs w:val="26"/>
        </w:rPr>
        <w:t>,]</w:t>
      </w:r>
      <w:r w:rsidR="00AC2455" w:rsidRPr="00AC2455">
        <w:rPr>
          <w:rFonts w:ascii="Century Schoolbook" w:hAnsi="Century Schoolbook"/>
          <w:sz w:val="26"/>
          <w:szCs w:val="26"/>
        </w:rPr>
        <w:t xml:space="preserve"> 19 Cal.4th </w:t>
      </w:r>
      <w:r w:rsidR="00AC2455">
        <w:rPr>
          <w:rFonts w:ascii="Century Schoolbook" w:hAnsi="Century Schoolbook"/>
          <w:sz w:val="26"/>
          <w:szCs w:val="26"/>
        </w:rPr>
        <w:t>[at p.</w:t>
      </w:r>
      <w:r w:rsidR="00814717">
        <w:rPr>
          <w:rFonts w:ascii="Century Schoolbook" w:hAnsi="Century Schoolbook"/>
          <w:sz w:val="26"/>
          <w:szCs w:val="26"/>
        </w:rPr>
        <w:t xml:space="preserve"> 15</w:t>
      </w:r>
      <w:r w:rsidR="00AC2455">
        <w:rPr>
          <w:rFonts w:ascii="Century Schoolbook" w:hAnsi="Century Schoolbook"/>
          <w:sz w:val="26"/>
          <w:szCs w:val="26"/>
        </w:rPr>
        <w:t>]</w:t>
      </w:r>
      <w:r w:rsidR="00AC2455" w:rsidRPr="00AC2455">
        <w:rPr>
          <w:rFonts w:ascii="Century Schoolbook" w:hAnsi="Century Schoolbook"/>
          <w:sz w:val="26"/>
          <w:szCs w:val="26"/>
        </w:rPr>
        <w:t xml:space="preserve"> [citing, e.g., </w:t>
      </w:r>
      <w:r w:rsidR="00AC2455" w:rsidRPr="00AC2455">
        <w:rPr>
          <w:rFonts w:ascii="Century Schoolbook" w:hAnsi="Century Schoolbook"/>
          <w:i/>
          <w:iCs/>
          <w:sz w:val="26"/>
          <w:szCs w:val="26"/>
        </w:rPr>
        <w:t>Wilkinson v. Workers’ Comp. Appeals Bd.</w:t>
      </w:r>
      <w:r w:rsidR="00AC2455" w:rsidRPr="00AC2455">
        <w:rPr>
          <w:rFonts w:ascii="Century Schoolbook" w:hAnsi="Century Schoolbook"/>
          <w:sz w:val="26"/>
          <w:szCs w:val="26"/>
        </w:rPr>
        <w:t xml:space="preserve"> (1977) 19 Cal.3d 491, (Tobriner, J.); </w:t>
      </w:r>
      <w:r w:rsidR="00AC2455" w:rsidRPr="00AC2455">
        <w:rPr>
          <w:rFonts w:ascii="Century Schoolbook" w:hAnsi="Century Schoolbook"/>
          <w:i/>
          <w:iCs/>
          <w:sz w:val="26"/>
          <w:szCs w:val="26"/>
        </w:rPr>
        <w:t>Culligan Water Conditioning v. State Bd. Of Equalization</w:t>
      </w:r>
      <w:r w:rsidR="00AC2455" w:rsidRPr="00AC2455">
        <w:rPr>
          <w:rFonts w:ascii="Century Schoolbook" w:hAnsi="Century Schoolbook"/>
          <w:sz w:val="26"/>
          <w:szCs w:val="26"/>
        </w:rPr>
        <w:t xml:space="preserve"> (1976) 17 Cal.3d 86 (Sullivan, J.); </w:t>
      </w:r>
      <w:r w:rsidR="00AC2455" w:rsidRPr="00AC2455">
        <w:rPr>
          <w:rFonts w:ascii="Century Schoolbook" w:hAnsi="Century Schoolbook"/>
          <w:i/>
          <w:iCs/>
          <w:sz w:val="26"/>
          <w:szCs w:val="26"/>
        </w:rPr>
        <w:t>Whitcomb Hotel, Inc. v. Cal. Emp. Com.</w:t>
      </w:r>
      <w:r w:rsidR="00AC2455" w:rsidRPr="00AC2455">
        <w:rPr>
          <w:rFonts w:ascii="Century Schoolbook" w:hAnsi="Century Schoolbook"/>
          <w:sz w:val="26"/>
          <w:szCs w:val="26"/>
        </w:rPr>
        <w:t xml:space="preserve"> (1944) 24 Cal.2d 753 (Traynor, J.); </w:t>
      </w:r>
      <w:r w:rsidR="00AC2455" w:rsidRPr="00AC2455">
        <w:rPr>
          <w:rFonts w:ascii="Century Schoolbook" w:hAnsi="Century Schoolbook"/>
          <w:i/>
          <w:iCs/>
          <w:sz w:val="26"/>
          <w:szCs w:val="26"/>
        </w:rPr>
        <w:t>Bodinson Mfg. Co. v. California E. Com.</w:t>
      </w:r>
      <w:r w:rsidR="00AC2455" w:rsidRPr="00AC2455">
        <w:rPr>
          <w:rFonts w:ascii="Century Schoolbook" w:hAnsi="Century Schoolbook"/>
          <w:sz w:val="26"/>
          <w:szCs w:val="26"/>
        </w:rPr>
        <w:t xml:space="preserve"> (1941) 17 Cal.2d 321 (Gibson, C.J.)]; see also </w:t>
      </w:r>
      <w:r w:rsidR="00AC2455" w:rsidRPr="00AC2455">
        <w:rPr>
          <w:rFonts w:ascii="Century Schoolbook" w:hAnsi="Century Schoolbook"/>
          <w:i/>
          <w:iCs/>
          <w:sz w:val="26"/>
          <w:szCs w:val="26"/>
        </w:rPr>
        <w:t>Dare v. Bd. of Medical Examiners</w:t>
      </w:r>
      <w:r w:rsidR="00AC2455" w:rsidRPr="00AC2455">
        <w:rPr>
          <w:rFonts w:ascii="Century Schoolbook" w:hAnsi="Century Schoolbook"/>
          <w:sz w:val="26"/>
          <w:szCs w:val="26"/>
        </w:rPr>
        <w:t xml:space="preserve"> (1943) 21 Cal.2d 790, 803 (conc. &amp; dis. opn. of Traynor, J.); </w:t>
      </w:r>
      <w:r w:rsidR="00AC2455" w:rsidRPr="00AC2455">
        <w:rPr>
          <w:rFonts w:ascii="Century Schoolbook" w:hAnsi="Century Schoolbook"/>
          <w:i/>
          <w:iCs/>
          <w:sz w:val="26"/>
          <w:szCs w:val="26"/>
        </w:rPr>
        <w:t>Laisne v. Cal. St. Bd. of Optometry</w:t>
      </w:r>
      <w:r w:rsidR="00AC2455" w:rsidRPr="00AC2455">
        <w:rPr>
          <w:rFonts w:ascii="Century Schoolbook" w:hAnsi="Century Schoolbook"/>
          <w:sz w:val="26"/>
          <w:szCs w:val="26"/>
        </w:rPr>
        <w:t xml:space="preserve"> (1942) 19 Cal.2d 831, 848 (dis. opn. of Gibson, C.J.).)</w:t>
      </w:r>
      <w:r w:rsidR="00BC5528">
        <w:rPr>
          <w:rFonts w:ascii="Century Schoolbook" w:hAnsi="Century Schoolbook"/>
          <w:sz w:val="26"/>
          <w:szCs w:val="26"/>
        </w:rPr>
        <w:t xml:space="preserve"> . . .</w:t>
      </w:r>
      <w:r w:rsidR="00AC2455">
        <w:rPr>
          <w:rFonts w:ascii="Century Schoolbook" w:hAnsi="Century Schoolbook"/>
          <w:sz w:val="26"/>
          <w:szCs w:val="26"/>
        </w:rPr>
        <w:t>”  (</w:t>
      </w:r>
      <w:r w:rsidR="00AC2455" w:rsidRPr="00AC2455">
        <w:rPr>
          <w:rFonts w:ascii="Century Schoolbook" w:hAnsi="Century Schoolbook"/>
          <w:i/>
          <w:iCs/>
          <w:sz w:val="26"/>
          <w:szCs w:val="26"/>
        </w:rPr>
        <w:t>Duncan</w:t>
      </w:r>
      <w:r w:rsidR="00AC2455">
        <w:rPr>
          <w:rFonts w:ascii="Century Schoolbook" w:hAnsi="Century Schoolbook"/>
          <w:sz w:val="26"/>
          <w:szCs w:val="26"/>
        </w:rPr>
        <w:t xml:space="preserve">, </w:t>
      </w:r>
      <w:r w:rsidR="00AC2455" w:rsidRPr="00AC2455">
        <w:rPr>
          <w:rFonts w:ascii="Century Schoolbook" w:hAnsi="Century Schoolbook"/>
          <w:i/>
          <w:iCs/>
          <w:sz w:val="26"/>
          <w:szCs w:val="26"/>
        </w:rPr>
        <w:t>supra</w:t>
      </w:r>
      <w:r w:rsidR="00AC2455">
        <w:rPr>
          <w:rFonts w:ascii="Century Schoolbook" w:hAnsi="Century Schoolbook"/>
          <w:sz w:val="26"/>
          <w:szCs w:val="26"/>
        </w:rPr>
        <w:t>, 162 Cal.App.4th at p. 302.)</w:t>
      </w:r>
    </w:p>
  </w:footnote>
  <w:footnote w:id="4">
    <w:p w14:paraId="6CB027C4" w14:textId="5648A5DA" w:rsidR="00EF74CA" w:rsidRPr="00EF74CA" w:rsidRDefault="00754169" w:rsidP="00EF74CA">
      <w:pPr>
        <w:spacing w:line="240" w:lineRule="auto"/>
        <w:rPr>
          <w:rFonts w:ascii="Century Schoolbook" w:hAnsi="Century Schoolbook"/>
        </w:rPr>
      </w:pPr>
      <w:r w:rsidRPr="00754169">
        <w:rPr>
          <w:rFonts w:ascii="Century Schoolbook" w:hAnsi="Century Schoolbook"/>
        </w:rPr>
        <w:tab/>
      </w:r>
      <w:r w:rsidRPr="00754169">
        <w:rPr>
          <w:rStyle w:val="FootnoteReference"/>
          <w:rFonts w:ascii="Century Schoolbook" w:hAnsi="Century Schoolbook"/>
        </w:rPr>
        <w:footnoteRef/>
      </w:r>
      <w:r w:rsidRPr="00754169">
        <w:rPr>
          <w:rFonts w:ascii="Century Schoolbook" w:hAnsi="Century Schoolbook"/>
        </w:rPr>
        <w:t xml:space="preserve"> </w:t>
      </w:r>
      <w:r w:rsidR="004C43C9">
        <w:rPr>
          <w:rFonts w:ascii="Century Schoolbook" w:hAnsi="Century Schoolbook"/>
        </w:rPr>
        <w:t xml:space="preserve">We granted the Department’s unopposed request to take judicial notice of a May 2, 1985 </w:t>
      </w:r>
      <w:r w:rsidR="004C43C9" w:rsidRPr="004C43C9">
        <w:rPr>
          <w:rFonts w:ascii="Century Schoolbook" w:hAnsi="Century Schoolbook"/>
        </w:rPr>
        <w:t>All-County Welfare Directors Letter</w:t>
      </w:r>
      <w:r w:rsidR="004C43C9">
        <w:rPr>
          <w:rFonts w:ascii="Century Schoolbook" w:hAnsi="Century Schoolbook"/>
        </w:rPr>
        <w:t xml:space="preserve"> from the Department, providing that </w:t>
      </w:r>
      <w:r w:rsidR="00EF74CA">
        <w:rPr>
          <w:rFonts w:ascii="Century Schoolbook" w:hAnsi="Century Schoolbook"/>
        </w:rPr>
        <w:t>“</w:t>
      </w:r>
      <w:r w:rsidR="00765F75">
        <w:rPr>
          <w:rFonts w:ascii="Century Schoolbook" w:hAnsi="Century Schoolbook"/>
        </w:rPr>
        <w:t>[</w:t>
      </w:r>
      <w:r w:rsidR="00EF74CA">
        <w:rPr>
          <w:rFonts w:ascii="Century Schoolbook" w:hAnsi="Century Schoolbook"/>
        </w:rPr>
        <w:t>a</w:t>
      </w:r>
      <w:r w:rsidR="00765F75">
        <w:rPr>
          <w:rFonts w:ascii="Century Schoolbook" w:hAnsi="Century Schoolbook"/>
        </w:rPr>
        <w:t>]</w:t>
      </w:r>
      <w:r w:rsidR="00EF74CA">
        <w:rPr>
          <w:rFonts w:ascii="Century Schoolbook" w:hAnsi="Century Schoolbook"/>
        </w:rPr>
        <w:t>s a result of the clarified definition of earned income under [The Deficit Reduction Act of 1984] . . . counties</w:t>
      </w:r>
      <w:r w:rsidR="00EF74CA" w:rsidRPr="00EF74CA">
        <w:rPr>
          <w:rFonts w:ascii="Century Schoolbook" w:hAnsi="Century Schoolbook"/>
        </w:rPr>
        <w:t xml:space="preserve"> shall no longer subtract</w:t>
      </w:r>
      <w:r w:rsidR="00EF74CA">
        <w:rPr>
          <w:rFonts w:ascii="Century Schoolbook" w:hAnsi="Century Schoolbook"/>
        </w:rPr>
        <w:t xml:space="preserve"> </w:t>
      </w:r>
      <w:r w:rsidR="00EF74CA" w:rsidRPr="00EF74CA">
        <w:rPr>
          <w:rFonts w:ascii="Century Schoolbook" w:hAnsi="Century Schoolbook"/>
        </w:rPr>
        <w:t xml:space="preserve">mandatory payroll deductions from gross earned income. </w:t>
      </w:r>
      <w:r w:rsidR="00EF74CA">
        <w:rPr>
          <w:rFonts w:ascii="Century Schoolbook" w:hAnsi="Century Schoolbook"/>
        </w:rPr>
        <w:t xml:space="preserve"> </w:t>
      </w:r>
      <w:r w:rsidR="00EF74CA" w:rsidRPr="00EF74CA">
        <w:rPr>
          <w:rFonts w:ascii="Century Schoolbook" w:hAnsi="Century Schoolbook"/>
        </w:rPr>
        <w:t>This applies to all AFDC-MN cases (including</w:t>
      </w:r>
      <w:r w:rsidR="00EF74CA">
        <w:rPr>
          <w:rFonts w:ascii="Century Schoolbook" w:hAnsi="Century Schoolbook"/>
        </w:rPr>
        <w:t xml:space="preserve"> </w:t>
      </w:r>
      <w:r w:rsidR="00EF74CA" w:rsidRPr="00EF74CA">
        <w:rPr>
          <w:rFonts w:ascii="Century Schoolbook" w:hAnsi="Century Schoolbook"/>
        </w:rPr>
        <w:t xml:space="preserve">those in which </w:t>
      </w:r>
      <w:r w:rsidR="00765F75">
        <w:rPr>
          <w:rFonts w:ascii="Century Schoolbook" w:hAnsi="Century Schoolbook"/>
        </w:rPr>
        <w:t>a</w:t>
      </w:r>
      <w:r w:rsidR="00EF74CA" w:rsidRPr="00EF74CA">
        <w:rPr>
          <w:rFonts w:ascii="Century Schoolbook" w:hAnsi="Century Schoolbook"/>
        </w:rPr>
        <w:t xml:space="preserve"> stepparent</w:t>
      </w:r>
      <w:r w:rsidR="00EF74CA">
        <w:rPr>
          <w:rFonts w:ascii="Century Schoolbook" w:hAnsi="Century Schoolbook"/>
        </w:rPr>
        <w:t>’</w:t>
      </w:r>
      <w:r w:rsidR="00EF74CA" w:rsidRPr="00EF74CA">
        <w:rPr>
          <w:rFonts w:ascii="Century Schoolbook" w:hAnsi="Century Schoolbook"/>
        </w:rPr>
        <w:t>s income or the income of an ABD-MN is used), the medically indigent</w:t>
      </w:r>
    </w:p>
    <w:p w14:paraId="7E4BFF01" w14:textId="4DE78BD4" w:rsidR="00754169" w:rsidRDefault="00EF74CA" w:rsidP="00466D79">
      <w:pPr>
        <w:spacing w:after="120" w:line="240" w:lineRule="auto"/>
      </w:pPr>
      <w:r w:rsidRPr="00EF74CA">
        <w:rPr>
          <w:rFonts w:ascii="Century Schoolbook" w:hAnsi="Century Schoolbook"/>
        </w:rPr>
        <w:t>pregnant woman and the medically indigent child</w:t>
      </w:r>
      <w:r>
        <w:rPr>
          <w:rFonts w:ascii="Century Schoolbook" w:hAnsi="Century Schoolbook"/>
        </w:rPr>
        <w:t>.”  The Department cites this letter as evidence that “since 1985, because of a contemporaneous change in federal regulations, California has consistently treated tax withholdings as available income.”  But it is unclear whether the policy set forth in letter applies to the ABD FPL program at issue here.  In any event, the letter does not mention</w:t>
      </w:r>
      <w:r w:rsidR="00690D96">
        <w:rPr>
          <w:rFonts w:ascii="Century Schoolbook" w:hAnsi="Century Schoolbook"/>
        </w:rPr>
        <w:t>, much less interpret,</w:t>
      </w:r>
      <w:r>
        <w:rPr>
          <w:rFonts w:ascii="Century Schoolbook" w:hAnsi="Century Schoolbook"/>
        </w:rPr>
        <w:t xml:space="preserve"> sections </w:t>
      </w:r>
      <w:r w:rsidR="00690D96">
        <w:rPr>
          <w:rFonts w:ascii="Century Schoolbook" w:hAnsi="Century Schoolbook"/>
        </w:rPr>
        <w:t xml:space="preserve">50513 or 50515, and so is of limited value in demonstrating the longstanding nature of the Department’s interpretation of those regulations. </w:t>
      </w:r>
    </w:p>
  </w:footnote>
  <w:footnote w:id="5">
    <w:p w14:paraId="378F6CCC" w14:textId="46EC1D8E" w:rsidR="00307C5C" w:rsidRDefault="00C84AA9" w:rsidP="00466D79">
      <w:pPr>
        <w:pStyle w:val="FootnoteText"/>
        <w:spacing w:after="120"/>
        <w:rPr>
          <w:rFonts w:ascii="Century Schoolbook" w:hAnsi="Century Schoolbook"/>
          <w:sz w:val="26"/>
          <w:szCs w:val="26"/>
        </w:rPr>
      </w:pPr>
      <w:r w:rsidRPr="00C84AA9">
        <w:rPr>
          <w:rFonts w:ascii="Century Schoolbook" w:hAnsi="Century Schoolbook"/>
          <w:sz w:val="26"/>
          <w:szCs w:val="26"/>
        </w:rPr>
        <w:tab/>
      </w:r>
      <w:r w:rsidRPr="00C84AA9">
        <w:rPr>
          <w:rStyle w:val="FootnoteReference"/>
          <w:rFonts w:ascii="Century Schoolbook" w:hAnsi="Century Schoolbook"/>
          <w:sz w:val="26"/>
          <w:szCs w:val="26"/>
        </w:rPr>
        <w:footnoteRef/>
      </w:r>
      <w:r w:rsidRPr="00C84AA9">
        <w:rPr>
          <w:rFonts w:ascii="Century Schoolbook" w:hAnsi="Century Schoolbook"/>
          <w:sz w:val="26"/>
          <w:szCs w:val="26"/>
        </w:rPr>
        <w:t xml:space="preserve"> </w:t>
      </w:r>
      <w:r>
        <w:rPr>
          <w:rFonts w:ascii="Century Schoolbook" w:hAnsi="Century Schoolbook"/>
          <w:sz w:val="26"/>
          <w:szCs w:val="26"/>
        </w:rPr>
        <w:t xml:space="preserve">Abney also argues that the Department’s interpretation is “void” for failure to comply with the </w:t>
      </w:r>
      <w:r w:rsidR="00932C69" w:rsidRPr="00932C69">
        <w:rPr>
          <w:rFonts w:ascii="Century Schoolbook" w:hAnsi="Century Schoolbook"/>
          <w:sz w:val="26"/>
          <w:szCs w:val="26"/>
        </w:rPr>
        <w:t>Administrative Procedure Act (APA) (Gov. Code, §</w:t>
      </w:r>
      <w:r w:rsidR="00372522">
        <w:rPr>
          <w:rFonts w:ascii="Century Schoolbook" w:hAnsi="Century Schoolbook"/>
          <w:sz w:val="26"/>
          <w:szCs w:val="26"/>
        </w:rPr>
        <w:t> </w:t>
      </w:r>
      <w:r w:rsidR="00932C69" w:rsidRPr="00932C69">
        <w:rPr>
          <w:rFonts w:ascii="Century Schoolbook" w:hAnsi="Century Schoolbook"/>
          <w:sz w:val="26"/>
          <w:szCs w:val="26"/>
        </w:rPr>
        <w:t>11340 et seq.)</w:t>
      </w:r>
      <w:r w:rsidR="00F731A2">
        <w:rPr>
          <w:rFonts w:ascii="Century Schoolbook" w:hAnsi="Century Schoolbook"/>
          <w:sz w:val="26"/>
          <w:szCs w:val="26"/>
        </w:rPr>
        <w:t>.</w:t>
      </w:r>
      <w:r w:rsidR="00D26996">
        <w:rPr>
          <w:rFonts w:ascii="Century Schoolbook" w:hAnsi="Century Schoolbook"/>
          <w:sz w:val="26"/>
          <w:szCs w:val="26"/>
        </w:rPr>
        <w:t xml:space="preserve"> </w:t>
      </w:r>
      <w:r>
        <w:rPr>
          <w:rFonts w:ascii="Century Schoolbook" w:hAnsi="Century Schoolbook"/>
          <w:sz w:val="26"/>
          <w:szCs w:val="26"/>
        </w:rPr>
        <w:t xml:space="preserve"> </w:t>
      </w:r>
      <w:r w:rsidR="001E2F31">
        <w:rPr>
          <w:rFonts w:ascii="Century Schoolbook" w:hAnsi="Century Schoolbook"/>
          <w:sz w:val="26"/>
          <w:szCs w:val="26"/>
        </w:rPr>
        <w:t xml:space="preserve">But </w:t>
      </w:r>
      <w:r w:rsidR="00754169">
        <w:rPr>
          <w:rFonts w:ascii="Century Schoolbook" w:hAnsi="Century Schoolbook"/>
          <w:sz w:val="26"/>
          <w:szCs w:val="26"/>
        </w:rPr>
        <w:t>the APA</w:t>
      </w:r>
      <w:r w:rsidR="00913120">
        <w:rPr>
          <w:rFonts w:ascii="Century Schoolbook" w:hAnsi="Century Schoolbook"/>
          <w:sz w:val="26"/>
          <w:szCs w:val="26"/>
        </w:rPr>
        <w:t>’s rulemaking requirements</w:t>
      </w:r>
      <w:r w:rsidR="00932C69">
        <w:rPr>
          <w:rFonts w:ascii="Century Schoolbook" w:hAnsi="Century Schoolbook"/>
          <w:sz w:val="26"/>
          <w:szCs w:val="26"/>
        </w:rPr>
        <w:t xml:space="preserve"> </w:t>
      </w:r>
      <w:r w:rsidR="00754169">
        <w:rPr>
          <w:rFonts w:ascii="Century Schoolbook" w:hAnsi="Century Schoolbook"/>
          <w:sz w:val="26"/>
          <w:szCs w:val="26"/>
        </w:rPr>
        <w:t>appl</w:t>
      </w:r>
      <w:r w:rsidR="00932C69">
        <w:rPr>
          <w:rFonts w:ascii="Century Schoolbook" w:hAnsi="Century Schoolbook"/>
          <w:sz w:val="26"/>
          <w:szCs w:val="26"/>
        </w:rPr>
        <w:t>y</w:t>
      </w:r>
      <w:r w:rsidR="00754169">
        <w:rPr>
          <w:rFonts w:ascii="Century Schoolbook" w:hAnsi="Century Schoolbook"/>
          <w:sz w:val="26"/>
          <w:szCs w:val="26"/>
        </w:rPr>
        <w:t xml:space="preserve"> only to regulations, and </w:t>
      </w:r>
      <w:r w:rsidR="00307C5C" w:rsidRPr="00307C5C">
        <w:rPr>
          <w:rFonts w:ascii="Century Schoolbook" w:hAnsi="Century Schoolbook"/>
          <w:sz w:val="26"/>
          <w:szCs w:val="26"/>
        </w:rPr>
        <w:t>“[i]t is not at all clear that an agency’s interpretation of its own regulation constitutes a regulation itself.  A regulation ‘interpret[s] . . . the law enforced or administered’ by the agency.  (Gov. Code, § 11342.600.)  It could be argued that ‘the law enforced or administered’ by the agency does not include the agency’s own regulations, but only the governing statute.”  (</w:t>
      </w:r>
      <w:r w:rsidR="00307C5C" w:rsidRPr="00307C5C">
        <w:rPr>
          <w:rFonts w:ascii="Century Schoolbook" w:hAnsi="Century Schoolbook"/>
          <w:i/>
          <w:iCs/>
          <w:sz w:val="26"/>
          <w:szCs w:val="26"/>
        </w:rPr>
        <w:t>Missionary Guadalupanas of Holy Spirit Inc. v. Rouillard</w:t>
      </w:r>
      <w:r w:rsidR="00307C5C" w:rsidRPr="00307C5C">
        <w:rPr>
          <w:rFonts w:ascii="Century Schoolbook" w:hAnsi="Century Schoolbook"/>
          <w:sz w:val="26"/>
          <w:szCs w:val="26"/>
        </w:rPr>
        <w:t xml:space="preserve"> (2019) 38 Cal.App.5th 421, 434.)</w:t>
      </w:r>
      <w:r w:rsidR="005A47D6">
        <w:rPr>
          <w:rFonts w:ascii="Century Schoolbook" w:hAnsi="Century Schoolbook"/>
          <w:sz w:val="26"/>
          <w:szCs w:val="26"/>
        </w:rPr>
        <w:t xml:space="preserve"> </w:t>
      </w:r>
    </w:p>
    <w:p w14:paraId="696BA3A6" w14:textId="25FB4CC2" w:rsidR="00C84AA9" w:rsidRPr="00C84AA9" w:rsidRDefault="00307C5C" w:rsidP="006E2AAB">
      <w:pPr>
        <w:pStyle w:val="FootnoteText"/>
        <w:rPr>
          <w:rFonts w:ascii="Century Schoolbook" w:hAnsi="Century Schoolbook"/>
          <w:sz w:val="26"/>
          <w:szCs w:val="26"/>
        </w:rPr>
      </w:pPr>
      <w:r>
        <w:rPr>
          <w:rFonts w:ascii="Century Schoolbook" w:hAnsi="Century Schoolbook"/>
          <w:sz w:val="26"/>
          <w:szCs w:val="26"/>
        </w:rPr>
        <w:tab/>
      </w:r>
      <w:r w:rsidR="00F731A2">
        <w:rPr>
          <w:rFonts w:ascii="Century Schoolbook" w:hAnsi="Century Schoolbook"/>
          <w:sz w:val="26"/>
          <w:szCs w:val="26"/>
        </w:rPr>
        <w:t>Even assuming, however, that the Department</w:t>
      </w:r>
      <w:r w:rsidR="00932C69">
        <w:rPr>
          <w:rFonts w:ascii="Century Schoolbook" w:hAnsi="Century Schoolbook"/>
          <w:sz w:val="26"/>
          <w:szCs w:val="26"/>
        </w:rPr>
        <w:t xml:space="preserve"> </w:t>
      </w:r>
      <w:r w:rsidR="00F731A2">
        <w:rPr>
          <w:rFonts w:ascii="Century Schoolbook" w:hAnsi="Century Schoolbook"/>
          <w:sz w:val="26"/>
          <w:szCs w:val="26"/>
        </w:rPr>
        <w:t>was required to</w:t>
      </w:r>
      <w:r w:rsidR="00CD62C0">
        <w:rPr>
          <w:rFonts w:ascii="Century Schoolbook" w:hAnsi="Century Schoolbook"/>
          <w:sz w:val="26"/>
          <w:szCs w:val="26"/>
        </w:rPr>
        <w:t>,</w:t>
      </w:r>
      <w:r w:rsidR="00F731A2">
        <w:rPr>
          <w:rFonts w:ascii="Century Schoolbook" w:hAnsi="Century Schoolbook"/>
          <w:sz w:val="26"/>
          <w:szCs w:val="26"/>
        </w:rPr>
        <w:t xml:space="preserve"> but did not</w:t>
      </w:r>
      <w:r w:rsidR="00DE69D6">
        <w:rPr>
          <w:rFonts w:ascii="Century Schoolbook" w:hAnsi="Century Schoolbook"/>
          <w:sz w:val="26"/>
          <w:szCs w:val="26"/>
        </w:rPr>
        <w:t>,</w:t>
      </w:r>
      <w:r w:rsidR="00F731A2">
        <w:rPr>
          <w:rFonts w:ascii="Century Schoolbook" w:hAnsi="Century Schoolbook"/>
          <w:sz w:val="26"/>
          <w:szCs w:val="26"/>
        </w:rPr>
        <w:t xml:space="preserve"> comply with the APA</w:t>
      </w:r>
      <w:r w:rsidR="00932C69">
        <w:rPr>
          <w:rFonts w:ascii="Century Schoolbook" w:hAnsi="Century Schoolbook"/>
          <w:sz w:val="26"/>
          <w:szCs w:val="26"/>
        </w:rPr>
        <w:t xml:space="preserve"> in interpreting the regulations</w:t>
      </w:r>
      <w:r w:rsidR="00F731A2">
        <w:rPr>
          <w:rFonts w:ascii="Century Schoolbook" w:hAnsi="Century Schoolbook"/>
          <w:sz w:val="26"/>
          <w:szCs w:val="26"/>
        </w:rPr>
        <w:t>, th</w:t>
      </w:r>
      <w:r w:rsidR="00DE69D6">
        <w:rPr>
          <w:rFonts w:ascii="Century Schoolbook" w:hAnsi="Century Schoolbook"/>
          <w:sz w:val="26"/>
          <w:szCs w:val="26"/>
        </w:rPr>
        <w:t>is</w:t>
      </w:r>
      <w:r w:rsidR="00F731A2">
        <w:rPr>
          <w:rFonts w:ascii="Century Schoolbook" w:hAnsi="Century Schoolbook"/>
          <w:sz w:val="26"/>
          <w:szCs w:val="26"/>
        </w:rPr>
        <w:t xml:space="preserve"> means only that we do not accord </w:t>
      </w:r>
      <w:r w:rsidR="0020328D">
        <w:rPr>
          <w:rFonts w:ascii="Century Schoolbook" w:hAnsi="Century Schoolbook"/>
          <w:sz w:val="26"/>
          <w:szCs w:val="26"/>
        </w:rPr>
        <w:t>the interpretation</w:t>
      </w:r>
      <w:r w:rsidR="00F731A2">
        <w:rPr>
          <w:rFonts w:ascii="Century Schoolbook" w:hAnsi="Century Schoolbook"/>
          <w:sz w:val="26"/>
          <w:szCs w:val="26"/>
        </w:rPr>
        <w:t xml:space="preserve"> any special deference</w:t>
      </w:r>
      <w:r w:rsidR="00CD62C0">
        <w:rPr>
          <w:rFonts w:ascii="Century Schoolbook" w:hAnsi="Century Schoolbook"/>
          <w:sz w:val="26"/>
          <w:szCs w:val="26"/>
        </w:rPr>
        <w:t>.  B</w:t>
      </w:r>
      <w:r w:rsidR="00F731A2">
        <w:rPr>
          <w:rFonts w:ascii="Century Schoolbook" w:hAnsi="Century Schoolbook"/>
          <w:sz w:val="26"/>
          <w:szCs w:val="26"/>
        </w:rPr>
        <w:t xml:space="preserve">ut we can still adopt </w:t>
      </w:r>
      <w:r w:rsidR="0020328D">
        <w:rPr>
          <w:rFonts w:ascii="Century Schoolbook" w:hAnsi="Century Schoolbook"/>
          <w:sz w:val="26"/>
          <w:szCs w:val="26"/>
        </w:rPr>
        <w:t>it</w:t>
      </w:r>
      <w:r w:rsidR="00F731A2">
        <w:rPr>
          <w:rFonts w:ascii="Century Schoolbook" w:hAnsi="Century Schoolbook"/>
          <w:sz w:val="26"/>
          <w:szCs w:val="26"/>
        </w:rPr>
        <w:t xml:space="preserve"> as our own.  (See </w:t>
      </w:r>
      <w:r w:rsidR="00F731A2" w:rsidRPr="00F731A2">
        <w:rPr>
          <w:rFonts w:ascii="Century Schoolbook" w:hAnsi="Century Schoolbook"/>
          <w:i/>
          <w:iCs/>
          <w:sz w:val="26"/>
          <w:szCs w:val="26"/>
        </w:rPr>
        <w:t>Alvarado v. Dart Container Cor</w:t>
      </w:r>
      <w:r w:rsidR="00F731A2">
        <w:rPr>
          <w:rFonts w:ascii="Century Schoolbook" w:hAnsi="Century Schoolbook"/>
          <w:i/>
          <w:iCs/>
          <w:sz w:val="26"/>
          <w:szCs w:val="26"/>
        </w:rPr>
        <w:t>oration</w:t>
      </w:r>
      <w:r w:rsidR="00F731A2" w:rsidRPr="00F731A2">
        <w:rPr>
          <w:rFonts w:ascii="Century Schoolbook" w:hAnsi="Century Schoolbook"/>
          <w:i/>
          <w:iCs/>
          <w:sz w:val="26"/>
          <w:szCs w:val="26"/>
        </w:rPr>
        <w:t xml:space="preserve"> of California</w:t>
      </w:r>
      <w:r w:rsidR="00F731A2" w:rsidRPr="00F731A2">
        <w:rPr>
          <w:rFonts w:ascii="Century Schoolbook" w:hAnsi="Century Schoolbook"/>
          <w:sz w:val="26"/>
          <w:szCs w:val="26"/>
        </w:rPr>
        <w:t xml:space="preserve"> (2018) 4 Cal.5th 542, 558</w:t>
      </w:r>
      <w:r w:rsidR="00F731A2">
        <w:rPr>
          <w:rFonts w:ascii="Century Schoolbook" w:hAnsi="Century Schoolbook"/>
          <w:sz w:val="26"/>
          <w:szCs w:val="26"/>
        </w:rPr>
        <w:t xml:space="preserve"> [interpretation adopted without APA compliance “</w:t>
      </w:r>
      <w:r w:rsidR="00F731A2" w:rsidRPr="00F731A2">
        <w:rPr>
          <w:rFonts w:ascii="Century Schoolbook" w:hAnsi="Century Schoolbook"/>
          <w:sz w:val="26"/>
          <w:szCs w:val="26"/>
        </w:rPr>
        <w:t>should not be afforded any special weight or deference, but it is nonetheless something a court may consider, and assuming the court is persuaded that the agency’s interpretation is correct, the court may adopt it as its own</w:t>
      </w:r>
      <w:r w:rsidR="00F731A2">
        <w:rPr>
          <w:rFonts w:ascii="Century Schoolbook" w:hAnsi="Century Schoolbook"/>
          <w:sz w:val="26"/>
          <w:szCs w:val="26"/>
        </w:rPr>
        <w:t>”]</w:t>
      </w:r>
      <w:r w:rsidR="006E2AAB">
        <w:rPr>
          <w:rFonts w:ascii="Century Schoolbook" w:hAnsi="Century Schoolbook"/>
          <w:sz w:val="26"/>
          <w:szCs w:val="26"/>
        </w:rPr>
        <w:t xml:space="preserve">; </w:t>
      </w:r>
      <w:r w:rsidRPr="00307C5C">
        <w:rPr>
          <w:rFonts w:ascii="Century Schoolbook" w:hAnsi="Century Schoolbook"/>
          <w:i/>
          <w:iCs/>
          <w:sz w:val="26"/>
          <w:szCs w:val="26"/>
        </w:rPr>
        <w:t>Malaga County Water District v. Central Valley Regional Water Quality Control Board</w:t>
      </w:r>
      <w:r>
        <w:rPr>
          <w:rFonts w:ascii="Century Schoolbook" w:hAnsi="Century Schoolbook"/>
          <w:sz w:val="26"/>
          <w:szCs w:val="26"/>
        </w:rPr>
        <w:t xml:space="preserve"> (2020)</w:t>
      </w:r>
      <w:r w:rsidRPr="006E2AAB">
        <w:rPr>
          <w:rFonts w:ascii="Century Schoolbook" w:hAnsi="Century Schoolbook"/>
          <w:sz w:val="26"/>
          <w:szCs w:val="26"/>
        </w:rPr>
        <w:t xml:space="preserve"> 58 Cal.App.5th 418, 443</w:t>
      </w:r>
      <w:r>
        <w:rPr>
          <w:rFonts w:ascii="Century Schoolbook" w:hAnsi="Century Schoolbook"/>
          <w:sz w:val="26"/>
          <w:szCs w:val="26"/>
        </w:rPr>
        <w:t xml:space="preserve"> [“</w:t>
      </w:r>
      <w:r w:rsidR="006E2AAB" w:rsidRPr="006E2AAB">
        <w:rPr>
          <w:rFonts w:ascii="Century Schoolbook" w:hAnsi="Century Schoolbook"/>
          <w:sz w:val="26"/>
          <w:szCs w:val="26"/>
        </w:rPr>
        <w:t>the penalty for adopting a void regulation is not a complete rejection of an agency</w:t>
      </w:r>
      <w:r>
        <w:rPr>
          <w:rFonts w:ascii="Century Schoolbook" w:hAnsi="Century Schoolbook"/>
          <w:sz w:val="26"/>
          <w:szCs w:val="26"/>
        </w:rPr>
        <w:t>’</w:t>
      </w:r>
      <w:r w:rsidR="006E2AAB" w:rsidRPr="006E2AAB">
        <w:rPr>
          <w:rFonts w:ascii="Century Schoolbook" w:hAnsi="Century Schoolbook"/>
          <w:sz w:val="26"/>
          <w:szCs w:val="26"/>
        </w:rPr>
        <w:t>s actions, but the elimination of any deference to the choice supporting that action</w:t>
      </w:r>
      <w:r>
        <w:rPr>
          <w:rFonts w:ascii="Century Schoolbook" w:hAnsi="Century Schoolbook"/>
          <w:sz w:val="26"/>
          <w:szCs w:val="26"/>
        </w:rPr>
        <w:t xml:space="preserve">”].) </w:t>
      </w:r>
      <w:r w:rsidR="00F731A2">
        <w:rPr>
          <w:rFonts w:ascii="Century Schoolbook" w:hAnsi="Century Schoolbook"/>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B244" w14:textId="77777777" w:rsidR="00702C9A" w:rsidRDefault="00702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2503" w14:textId="77777777" w:rsidR="00702C9A" w:rsidRDefault="00702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CE0E" w14:textId="77777777" w:rsidR="00702C9A" w:rsidRDefault="00702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73"/>
    <w:rsid w:val="00002BF6"/>
    <w:rsid w:val="00022CC1"/>
    <w:rsid w:val="00022D60"/>
    <w:rsid w:val="00031B53"/>
    <w:rsid w:val="000326EF"/>
    <w:rsid w:val="0009543D"/>
    <w:rsid w:val="000967EC"/>
    <w:rsid w:val="00097CAB"/>
    <w:rsid w:val="000A580A"/>
    <w:rsid w:val="000B2002"/>
    <w:rsid w:val="000B3D29"/>
    <w:rsid w:val="000B4F66"/>
    <w:rsid w:val="000B7138"/>
    <w:rsid w:val="000B719C"/>
    <w:rsid w:val="000B7EE8"/>
    <w:rsid w:val="000C0235"/>
    <w:rsid w:val="000D4A50"/>
    <w:rsid w:val="000D6294"/>
    <w:rsid w:val="000D6B9E"/>
    <w:rsid w:val="000D7F16"/>
    <w:rsid w:val="000E4449"/>
    <w:rsid w:val="000F7100"/>
    <w:rsid w:val="00101982"/>
    <w:rsid w:val="001052B2"/>
    <w:rsid w:val="001058E4"/>
    <w:rsid w:val="00106096"/>
    <w:rsid w:val="0010629B"/>
    <w:rsid w:val="0011581D"/>
    <w:rsid w:val="00122176"/>
    <w:rsid w:val="001265D0"/>
    <w:rsid w:val="00127D22"/>
    <w:rsid w:val="00134584"/>
    <w:rsid w:val="00134F7D"/>
    <w:rsid w:val="001357D1"/>
    <w:rsid w:val="00152595"/>
    <w:rsid w:val="00152794"/>
    <w:rsid w:val="001534B0"/>
    <w:rsid w:val="00156128"/>
    <w:rsid w:val="001668F6"/>
    <w:rsid w:val="0017024D"/>
    <w:rsid w:val="00170F95"/>
    <w:rsid w:val="00175237"/>
    <w:rsid w:val="00187395"/>
    <w:rsid w:val="00195CBF"/>
    <w:rsid w:val="001A5928"/>
    <w:rsid w:val="001B67BB"/>
    <w:rsid w:val="001B6CD8"/>
    <w:rsid w:val="001C1AB8"/>
    <w:rsid w:val="001C7705"/>
    <w:rsid w:val="001D73DF"/>
    <w:rsid w:val="001E2A70"/>
    <w:rsid w:val="001E2F31"/>
    <w:rsid w:val="001E56AD"/>
    <w:rsid w:val="001E7743"/>
    <w:rsid w:val="0020328D"/>
    <w:rsid w:val="00213F6D"/>
    <w:rsid w:val="002216F4"/>
    <w:rsid w:val="00223C88"/>
    <w:rsid w:val="00224189"/>
    <w:rsid w:val="00225C9C"/>
    <w:rsid w:val="00232878"/>
    <w:rsid w:val="0024281B"/>
    <w:rsid w:val="00245C01"/>
    <w:rsid w:val="00246224"/>
    <w:rsid w:val="00257C2B"/>
    <w:rsid w:val="0026357A"/>
    <w:rsid w:val="0029196D"/>
    <w:rsid w:val="0029478F"/>
    <w:rsid w:val="002B7B61"/>
    <w:rsid w:val="002C45BC"/>
    <w:rsid w:val="002C7CD6"/>
    <w:rsid w:val="002D2DE8"/>
    <w:rsid w:val="002D7744"/>
    <w:rsid w:val="002F14FD"/>
    <w:rsid w:val="002F1D16"/>
    <w:rsid w:val="002F29AF"/>
    <w:rsid w:val="002F52C3"/>
    <w:rsid w:val="0030388D"/>
    <w:rsid w:val="00307C5C"/>
    <w:rsid w:val="00314F3E"/>
    <w:rsid w:val="0031748D"/>
    <w:rsid w:val="003174D1"/>
    <w:rsid w:val="00325148"/>
    <w:rsid w:val="00326364"/>
    <w:rsid w:val="00362AF6"/>
    <w:rsid w:val="00366623"/>
    <w:rsid w:val="00372522"/>
    <w:rsid w:val="00383050"/>
    <w:rsid w:val="00387DE8"/>
    <w:rsid w:val="00393538"/>
    <w:rsid w:val="003C2ABC"/>
    <w:rsid w:val="003C52FC"/>
    <w:rsid w:val="003D5A19"/>
    <w:rsid w:val="003D78B8"/>
    <w:rsid w:val="003F05D9"/>
    <w:rsid w:val="00403C22"/>
    <w:rsid w:val="004127BC"/>
    <w:rsid w:val="004146A9"/>
    <w:rsid w:val="00424144"/>
    <w:rsid w:val="004419A4"/>
    <w:rsid w:val="004516F8"/>
    <w:rsid w:val="00466A94"/>
    <w:rsid w:val="00466D79"/>
    <w:rsid w:val="004702C4"/>
    <w:rsid w:val="00472DF0"/>
    <w:rsid w:val="00473CAF"/>
    <w:rsid w:val="004759E3"/>
    <w:rsid w:val="004815FB"/>
    <w:rsid w:val="004869FD"/>
    <w:rsid w:val="004946D5"/>
    <w:rsid w:val="00496200"/>
    <w:rsid w:val="004A478C"/>
    <w:rsid w:val="004B1912"/>
    <w:rsid w:val="004B3DF3"/>
    <w:rsid w:val="004B44A8"/>
    <w:rsid w:val="004B4627"/>
    <w:rsid w:val="004B7933"/>
    <w:rsid w:val="004C0B02"/>
    <w:rsid w:val="004C10C9"/>
    <w:rsid w:val="004C43C9"/>
    <w:rsid w:val="004D20C4"/>
    <w:rsid w:val="004D3375"/>
    <w:rsid w:val="004F2604"/>
    <w:rsid w:val="00500056"/>
    <w:rsid w:val="0050094B"/>
    <w:rsid w:val="005060A9"/>
    <w:rsid w:val="00510046"/>
    <w:rsid w:val="00517F97"/>
    <w:rsid w:val="005333F3"/>
    <w:rsid w:val="005369F2"/>
    <w:rsid w:val="00544102"/>
    <w:rsid w:val="00560B22"/>
    <w:rsid w:val="00565EE2"/>
    <w:rsid w:val="0057023B"/>
    <w:rsid w:val="00581D43"/>
    <w:rsid w:val="00582FA3"/>
    <w:rsid w:val="0059711F"/>
    <w:rsid w:val="005A47D6"/>
    <w:rsid w:val="005A4875"/>
    <w:rsid w:val="005A568F"/>
    <w:rsid w:val="005A663C"/>
    <w:rsid w:val="005B0512"/>
    <w:rsid w:val="005B422B"/>
    <w:rsid w:val="005B7256"/>
    <w:rsid w:val="005C442E"/>
    <w:rsid w:val="005C456E"/>
    <w:rsid w:val="005D23B4"/>
    <w:rsid w:val="005E43ED"/>
    <w:rsid w:val="005F2881"/>
    <w:rsid w:val="005F421B"/>
    <w:rsid w:val="006048A6"/>
    <w:rsid w:val="00611BBB"/>
    <w:rsid w:val="00613E2E"/>
    <w:rsid w:val="0061723B"/>
    <w:rsid w:val="00617C8A"/>
    <w:rsid w:val="006216FB"/>
    <w:rsid w:val="00633CDB"/>
    <w:rsid w:val="006438FF"/>
    <w:rsid w:val="00652A5A"/>
    <w:rsid w:val="0065483C"/>
    <w:rsid w:val="00661F81"/>
    <w:rsid w:val="00671BE8"/>
    <w:rsid w:val="00682392"/>
    <w:rsid w:val="00690D96"/>
    <w:rsid w:val="00691353"/>
    <w:rsid w:val="006919AE"/>
    <w:rsid w:val="00695F3F"/>
    <w:rsid w:val="006A2916"/>
    <w:rsid w:val="006A577B"/>
    <w:rsid w:val="006A715F"/>
    <w:rsid w:val="006E2AAB"/>
    <w:rsid w:val="006E3644"/>
    <w:rsid w:val="00702C9A"/>
    <w:rsid w:val="00716500"/>
    <w:rsid w:val="0072010F"/>
    <w:rsid w:val="00720F4D"/>
    <w:rsid w:val="00725B1C"/>
    <w:rsid w:val="0073445D"/>
    <w:rsid w:val="007367C9"/>
    <w:rsid w:val="007443C3"/>
    <w:rsid w:val="00754169"/>
    <w:rsid w:val="00754BCB"/>
    <w:rsid w:val="007600DA"/>
    <w:rsid w:val="00765F75"/>
    <w:rsid w:val="0077485C"/>
    <w:rsid w:val="007949F9"/>
    <w:rsid w:val="007A1D1C"/>
    <w:rsid w:val="007A4349"/>
    <w:rsid w:val="007A78D6"/>
    <w:rsid w:val="007B3DDA"/>
    <w:rsid w:val="007C0BC6"/>
    <w:rsid w:val="007D4126"/>
    <w:rsid w:val="007E06A3"/>
    <w:rsid w:val="007E0B9D"/>
    <w:rsid w:val="007E37DF"/>
    <w:rsid w:val="007E467D"/>
    <w:rsid w:val="0080084A"/>
    <w:rsid w:val="00801EFF"/>
    <w:rsid w:val="00805D4A"/>
    <w:rsid w:val="00807C7D"/>
    <w:rsid w:val="00814717"/>
    <w:rsid w:val="00815B23"/>
    <w:rsid w:val="00821CA8"/>
    <w:rsid w:val="00841218"/>
    <w:rsid w:val="008510D3"/>
    <w:rsid w:val="008521BD"/>
    <w:rsid w:val="0085298C"/>
    <w:rsid w:val="008604B3"/>
    <w:rsid w:val="0087776B"/>
    <w:rsid w:val="00892680"/>
    <w:rsid w:val="008936E7"/>
    <w:rsid w:val="008B7DF3"/>
    <w:rsid w:val="008E5D7E"/>
    <w:rsid w:val="009026FB"/>
    <w:rsid w:val="00913120"/>
    <w:rsid w:val="0092692E"/>
    <w:rsid w:val="00930433"/>
    <w:rsid w:val="00932C69"/>
    <w:rsid w:val="00935660"/>
    <w:rsid w:val="00935F0D"/>
    <w:rsid w:val="00942E4C"/>
    <w:rsid w:val="00962286"/>
    <w:rsid w:val="00963D62"/>
    <w:rsid w:val="00971AFC"/>
    <w:rsid w:val="00977728"/>
    <w:rsid w:val="00977DCF"/>
    <w:rsid w:val="00991CDB"/>
    <w:rsid w:val="00993168"/>
    <w:rsid w:val="009A2A59"/>
    <w:rsid w:val="009A3F1A"/>
    <w:rsid w:val="009A5D9B"/>
    <w:rsid w:val="009A7D44"/>
    <w:rsid w:val="009B6A33"/>
    <w:rsid w:val="009C6C40"/>
    <w:rsid w:val="009E03E3"/>
    <w:rsid w:val="009E14F1"/>
    <w:rsid w:val="009E63D0"/>
    <w:rsid w:val="009E6997"/>
    <w:rsid w:val="009F1CF6"/>
    <w:rsid w:val="00A070EE"/>
    <w:rsid w:val="00A1449F"/>
    <w:rsid w:val="00A17680"/>
    <w:rsid w:val="00A217AA"/>
    <w:rsid w:val="00A22C40"/>
    <w:rsid w:val="00A26ECF"/>
    <w:rsid w:val="00A36723"/>
    <w:rsid w:val="00A41DEF"/>
    <w:rsid w:val="00A538BD"/>
    <w:rsid w:val="00A54524"/>
    <w:rsid w:val="00A57F80"/>
    <w:rsid w:val="00A63EB4"/>
    <w:rsid w:val="00A73A56"/>
    <w:rsid w:val="00A75690"/>
    <w:rsid w:val="00A77D5E"/>
    <w:rsid w:val="00A81E32"/>
    <w:rsid w:val="00AC12A1"/>
    <w:rsid w:val="00AC2455"/>
    <w:rsid w:val="00AC478A"/>
    <w:rsid w:val="00AC5F1D"/>
    <w:rsid w:val="00AC7E12"/>
    <w:rsid w:val="00AD2742"/>
    <w:rsid w:val="00AE39AC"/>
    <w:rsid w:val="00AE7BAD"/>
    <w:rsid w:val="00B07ECB"/>
    <w:rsid w:val="00B22675"/>
    <w:rsid w:val="00B23987"/>
    <w:rsid w:val="00B271BC"/>
    <w:rsid w:val="00B33E86"/>
    <w:rsid w:val="00B40B8A"/>
    <w:rsid w:val="00B70465"/>
    <w:rsid w:val="00B76066"/>
    <w:rsid w:val="00B76851"/>
    <w:rsid w:val="00B82E46"/>
    <w:rsid w:val="00B9179C"/>
    <w:rsid w:val="00B91FD8"/>
    <w:rsid w:val="00BA5015"/>
    <w:rsid w:val="00BB5318"/>
    <w:rsid w:val="00BC5528"/>
    <w:rsid w:val="00BE64C6"/>
    <w:rsid w:val="00BE756F"/>
    <w:rsid w:val="00BF13F0"/>
    <w:rsid w:val="00BF5CA9"/>
    <w:rsid w:val="00C11FD7"/>
    <w:rsid w:val="00C14E30"/>
    <w:rsid w:val="00C20546"/>
    <w:rsid w:val="00C31BD6"/>
    <w:rsid w:val="00C3289C"/>
    <w:rsid w:val="00C4393D"/>
    <w:rsid w:val="00C43F7F"/>
    <w:rsid w:val="00C57204"/>
    <w:rsid w:val="00C61128"/>
    <w:rsid w:val="00C815A5"/>
    <w:rsid w:val="00C839AF"/>
    <w:rsid w:val="00C84AA9"/>
    <w:rsid w:val="00C917C8"/>
    <w:rsid w:val="00CA275C"/>
    <w:rsid w:val="00CA433D"/>
    <w:rsid w:val="00CA74FC"/>
    <w:rsid w:val="00CB17AF"/>
    <w:rsid w:val="00CC2AB8"/>
    <w:rsid w:val="00CC774F"/>
    <w:rsid w:val="00CD1AFB"/>
    <w:rsid w:val="00CD42D1"/>
    <w:rsid w:val="00CD62C0"/>
    <w:rsid w:val="00CE4C31"/>
    <w:rsid w:val="00CE5C10"/>
    <w:rsid w:val="00CF0399"/>
    <w:rsid w:val="00CF64E7"/>
    <w:rsid w:val="00D1240E"/>
    <w:rsid w:val="00D26996"/>
    <w:rsid w:val="00D30AE3"/>
    <w:rsid w:val="00D322DB"/>
    <w:rsid w:val="00D33ACE"/>
    <w:rsid w:val="00D351B4"/>
    <w:rsid w:val="00D37C3A"/>
    <w:rsid w:val="00D41023"/>
    <w:rsid w:val="00D43DD5"/>
    <w:rsid w:val="00D47493"/>
    <w:rsid w:val="00D57478"/>
    <w:rsid w:val="00D80042"/>
    <w:rsid w:val="00D81F9E"/>
    <w:rsid w:val="00D8235A"/>
    <w:rsid w:val="00DA27E4"/>
    <w:rsid w:val="00DA696E"/>
    <w:rsid w:val="00DA7BDF"/>
    <w:rsid w:val="00DB071A"/>
    <w:rsid w:val="00DC0DBC"/>
    <w:rsid w:val="00DC2CA8"/>
    <w:rsid w:val="00DC45C3"/>
    <w:rsid w:val="00DE5EA7"/>
    <w:rsid w:val="00DE667E"/>
    <w:rsid w:val="00DE69D6"/>
    <w:rsid w:val="00DF3FEA"/>
    <w:rsid w:val="00E00BA3"/>
    <w:rsid w:val="00E02A8D"/>
    <w:rsid w:val="00E07EC7"/>
    <w:rsid w:val="00E24485"/>
    <w:rsid w:val="00E25184"/>
    <w:rsid w:val="00E31E15"/>
    <w:rsid w:val="00E33A01"/>
    <w:rsid w:val="00E4297E"/>
    <w:rsid w:val="00E5384A"/>
    <w:rsid w:val="00E702F0"/>
    <w:rsid w:val="00E71B75"/>
    <w:rsid w:val="00E904D5"/>
    <w:rsid w:val="00E96156"/>
    <w:rsid w:val="00EA72F3"/>
    <w:rsid w:val="00EB26D3"/>
    <w:rsid w:val="00EC1FCF"/>
    <w:rsid w:val="00EF74CA"/>
    <w:rsid w:val="00F01F6C"/>
    <w:rsid w:val="00F263D2"/>
    <w:rsid w:val="00F60F2B"/>
    <w:rsid w:val="00F731A2"/>
    <w:rsid w:val="00F74D9C"/>
    <w:rsid w:val="00F76524"/>
    <w:rsid w:val="00F81EFF"/>
    <w:rsid w:val="00F8217C"/>
    <w:rsid w:val="00F86D4B"/>
    <w:rsid w:val="00FB5493"/>
    <w:rsid w:val="00FB5C8F"/>
    <w:rsid w:val="00FE6E3E"/>
    <w:rsid w:val="00FF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3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73"/>
    <w:pPr>
      <w:tabs>
        <w:tab w:val="left" w:pos="720"/>
      </w:tabs>
      <w:spacing w:line="480" w:lineRule="atLeast"/>
    </w:pPr>
    <w:rPr>
      <w:rFonts w:ascii="Times New Roman" w:hAnsi="Times New Roman" w:cs="Times New Roman"/>
      <w:kern w:val="0"/>
      <w:sz w:val="26"/>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294"/>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0D6294"/>
    <w:rPr>
      <w:rFonts w:ascii="Times New Roman" w:hAnsi="Times New Roman" w:cs="Times New Roman"/>
      <w:kern w:val="0"/>
      <w:sz w:val="26"/>
      <w:szCs w:val="22"/>
      <w14:ligatures w14:val="none"/>
    </w:rPr>
  </w:style>
  <w:style w:type="character" w:styleId="PageNumber">
    <w:name w:val="page number"/>
    <w:basedOn w:val="DefaultParagraphFont"/>
    <w:uiPriority w:val="99"/>
    <w:semiHidden/>
    <w:unhideWhenUsed/>
    <w:rsid w:val="000D6294"/>
  </w:style>
  <w:style w:type="paragraph" w:styleId="Header">
    <w:name w:val="header"/>
    <w:basedOn w:val="Normal"/>
    <w:link w:val="HeaderChar"/>
    <w:uiPriority w:val="99"/>
    <w:unhideWhenUsed/>
    <w:rsid w:val="000D6294"/>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0D6294"/>
    <w:rPr>
      <w:rFonts w:ascii="Times New Roman" w:hAnsi="Times New Roman" w:cs="Times New Roman"/>
      <w:kern w:val="0"/>
      <w:sz w:val="26"/>
      <w:szCs w:val="22"/>
      <w14:ligatures w14:val="none"/>
    </w:rPr>
  </w:style>
  <w:style w:type="paragraph" w:styleId="FootnoteText">
    <w:name w:val="footnote text"/>
    <w:basedOn w:val="Normal"/>
    <w:link w:val="FootnoteTextChar"/>
    <w:uiPriority w:val="99"/>
    <w:semiHidden/>
    <w:unhideWhenUsed/>
    <w:rsid w:val="00C84AA9"/>
    <w:pPr>
      <w:spacing w:line="240" w:lineRule="auto"/>
    </w:pPr>
    <w:rPr>
      <w:sz w:val="20"/>
      <w:szCs w:val="20"/>
    </w:rPr>
  </w:style>
  <w:style w:type="character" w:customStyle="1" w:styleId="FootnoteTextChar">
    <w:name w:val="Footnote Text Char"/>
    <w:basedOn w:val="DefaultParagraphFont"/>
    <w:link w:val="FootnoteText"/>
    <w:uiPriority w:val="99"/>
    <w:semiHidden/>
    <w:rsid w:val="00C84AA9"/>
    <w:rPr>
      <w:rFonts w:ascii="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C84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4912</Words>
  <Characters>26518</Characters>
  <Application>Microsoft Office Word</Application>
  <DocSecurity>0</DocSecurity>
  <Lines>537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2024-01-31T22:30:00Z</dcterms:created>
  <dcterms:modified xsi:type="dcterms:W3CDTF">2024-01-31T22:30:00Z</dcterms:modified>
  <cp:category/>
</cp:coreProperties>
</file>