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B3E66" w14:textId="77777777" w:rsidR="00E402EF" w:rsidRDefault="00E402EF" w:rsidP="00E402EF">
      <w:pPr>
        <w:pStyle w:val="Heading1"/>
        <w:keepNext w:val="0"/>
        <w:numPr>
          <w:ilvl w:val="0"/>
          <w:numId w:val="0"/>
        </w:numPr>
        <w:spacing w:line="480" w:lineRule="auto"/>
        <w:jc w:val="left"/>
        <w:rPr>
          <w:b w:val="0"/>
          <w:bCs w:val="0"/>
          <w:sz w:val="20"/>
        </w:rPr>
      </w:pPr>
      <w:r>
        <w:rPr>
          <w:b w:val="0"/>
          <w:bCs w:val="0"/>
          <w:sz w:val="20"/>
        </w:rPr>
        <w:t>F</w:t>
      </w:r>
      <w:r>
        <w:rPr>
          <w:b w:val="0"/>
          <w:bCs w:val="0"/>
          <w:caps w:val="0"/>
          <w:sz w:val="20"/>
        </w:rPr>
        <w:t>iled 1/8/24</w:t>
      </w:r>
      <w:r>
        <w:rPr>
          <w:b w:val="0"/>
          <w:bCs w:val="0"/>
          <w:sz w:val="20"/>
        </w:rPr>
        <w:t xml:space="preserve"> </w:t>
      </w:r>
    </w:p>
    <w:p w14:paraId="68259376" w14:textId="77777777" w:rsidR="00E402EF" w:rsidRPr="00001EEF" w:rsidRDefault="00E402EF" w:rsidP="00E402EF">
      <w:pPr>
        <w:pStyle w:val="Heading1"/>
        <w:keepNext w:val="0"/>
        <w:numPr>
          <w:ilvl w:val="0"/>
          <w:numId w:val="0"/>
        </w:numPr>
        <w:spacing w:line="480" w:lineRule="auto"/>
        <w:rPr>
          <w:bCs w:val="0"/>
        </w:rPr>
      </w:pPr>
      <w:r>
        <w:rPr>
          <w:bCs w:val="0"/>
        </w:rPr>
        <w:t>CERTIFIED FOR PUBLICATION</w:t>
      </w:r>
    </w:p>
    <w:p w14:paraId="04970FDB" w14:textId="77777777" w:rsidR="00E402EF" w:rsidRPr="00A16C2A" w:rsidRDefault="00E402EF" w:rsidP="00E402EF">
      <w:pPr>
        <w:pStyle w:val="Heading1"/>
        <w:keepNext w:val="0"/>
        <w:numPr>
          <w:ilvl w:val="0"/>
          <w:numId w:val="0"/>
        </w:numPr>
        <w:spacing w:line="480" w:lineRule="auto"/>
        <w:rPr>
          <w:b w:val="0"/>
          <w:bCs w:val="0"/>
        </w:rPr>
      </w:pPr>
      <w:r w:rsidRPr="00A16C2A">
        <w:rPr>
          <w:b w:val="0"/>
          <w:bCs w:val="0"/>
        </w:rPr>
        <w:t>IN THE COURT OF APPEAL OF THE STATE OF CALIFORNIA</w:t>
      </w:r>
    </w:p>
    <w:p w14:paraId="3247ECF2" w14:textId="77777777" w:rsidR="00E402EF" w:rsidRDefault="00E402EF" w:rsidP="00E402EF">
      <w:pPr>
        <w:spacing w:line="480" w:lineRule="auto"/>
        <w:ind w:firstLine="0"/>
        <w:jc w:val="center"/>
      </w:pPr>
      <w:r>
        <w:t>FIRST APPELLATE DISTRICT</w:t>
      </w:r>
    </w:p>
    <w:p w14:paraId="0C59D616" w14:textId="77777777" w:rsidR="00E402EF" w:rsidRDefault="00E402EF" w:rsidP="00E402EF">
      <w:pPr>
        <w:spacing w:line="480" w:lineRule="auto"/>
        <w:ind w:firstLine="0"/>
        <w:jc w:val="center"/>
      </w:pPr>
      <w:r>
        <w:t>DIVISION FOUR</w:t>
      </w:r>
    </w:p>
    <w:p w14:paraId="6D76B91F" w14:textId="77777777" w:rsidR="00E402EF" w:rsidRDefault="00E402EF" w:rsidP="00E402EF">
      <w:pPr>
        <w:spacing w:line="240" w:lineRule="auto"/>
        <w:ind w:firstLine="0"/>
        <w:jc w:val="center"/>
      </w:pPr>
    </w:p>
    <w:tbl>
      <w:tblPr>
        <w:tblW w:w="0" w:type="auto"/>
        <w:tblLayout w:type="fixed"/>
        <w:tblLook w:val="0000" w:firstRow="0" w:lastRow="0" w:firstColumn="0" w:lastColumn="0" w:noHBand="0" w:noVBand="0"/>
      </w:tblPr>
      <w:tblGrid>
        <w:gridCol w:w="4680"/>
        <w:gridCol w:w="4680"/>
      </w:tblGrid>
      <w:tr w:rsidR="00E402EF" w14:paraId="375BE48E" w14:textId="77777777" w:rsidTr="00052CAE">
        <w:tc>
          <w:tcPr>
            <w:tcW w:w="4680" w:type="dxa"/>
            <w:tcBorders>
              <w:bottom w:val="single" w:sz="4" w:space="0" w:color="auto"/>
              <w:right w:val="single" w:sz="4" w:space="0" w:color="auto"/>
            </w:tcBorders>
            <w:shd w:val="clear" w:color="auto" w:fill="auto"/>
          </w:tcPr>
          <w:p w14:paraId="7EA8BDC3" w14:textId="77777777" w:rsidR="00E402EF" w:rsidRPr="000E12FE" w:rsidRDefault="00E402EF" w:rsidP="00052CAE">
            <w:pPr>
              <w:spacing w:after="120" w:line="240" w:lineRule="auto"/>
              <w:ind w:firstLine="0"/>
            </w:pPr>
            <w:r>
              <w:t>GREEN TREE HEADLANDS LLC et al.</w:t>
            </w:r>
            <w:r w:rsidRPr="000E12FE">
              <w:t>,</w:t>
            </w:r>
          </w:p>
          <w:p w14:paraId="2A84EA70" w14:textId="77777777" w:rsidR="00E402EF" w:rsidRPr="000E12FE" w:rsidRDefault="00E402EF" w:rsidP="00052CAE">
            <w:pPr>
              <w:tabs>
                <w:tab w:val="left" w:pos="610"/>
              </w:tabs>
              <w:spacing w:after="120" w:line="240" w:lineRule="auto"/>
              <w:ind w:firstLine="0"/>
            </w:pPr>
            <w:r w:rsidRPr="000E12FE">
              <w:tab/>
            </w:r>
            <w:r>
              <w:t>Plaintiffs and Respondents</w:t>
            </w:r>
            <w:r w:rsidRPr="000E12FE">
              <w:t>,</w:t>
            </w:r>
          </w:p>
          <w:p w14:paraId="48228342" w14:textId="77777777" w:rsidR="00E402EF" w:rsidRPr="000E12FE" w:rsidRDefault="00E402EF" w:rsidP="00052CAE">
            <w:pPr>
              <w:tabs>
                <w:tab w:val="left" w:pos="1870"/>
              </w:tabs>
              <w:spacing w:after="120" w:line="240" w:lineRule="auto"/>
              <w:ind w:firstLine="0"/>
            </w:pPr>
            <w:r w:rsidRPr="000E12FE">
              <w:tab/>
              <w:t>v.</w:t>
            </w:r>
          </w:p>
          <w:p w14:paraId="6F125A22" w14:textId="77777777" w:rsidR="00E402EF" w:rsidRPr="000E12FE" w:rsidRDefault="00E402EF" w:rsidP="00052CAE">
            <w:pPr>
              <w:tabs>
                <w:tab w:val="left" w:pos="610"/>
              </w:tabs>
              <w:spacing w:line="240" w:lineRule="auto"/>
              <w:ind w:firstLine="0"/>
            </w:pPr>
            <w:r>
              <w:t>TARA CRAWFORD et al.,</w:t>
            </w:r>
          </w:p>
          <w:p w14:paraId="2E18BE6B" w14:textId="77777777" w:rsidR="00E402EF" w:rsidRPr="000E12FE" w:rsidRDefault="00E402EF" w:rsidP="00052CAE">
            <w:pPr>
              <w:tabs>
                <w:tab w:val="left" w:pos="610"/>
              </w:tabs>
              <w:spacing w:before="120" w:after="240" w:line="240" w:lineRule="auto"/>
              <w:ind w:firstLine="0"/>
            </w:pPr>
            <w:r w:rsidRPr="000E12FE">
              <w:tab/>
              <w:t>Defendant</w:t>
            </w:r>
            <w:r>
              <w:t>s</w:t>
            </w:r>
            <w:r w:rsidRPr="000E12FE">
              <w:t xml:space="preserve"> and </w:t>
            </w:r>
            <w:r>
              <w:t>Appellants.</w:t>
            </w:r>
          </w:p>
        </w:tc>
        <w:tc>
          <w:tcPr>
            <w:tcW w:w="4680" w:type="dxa"/>
            <w:tcBorders>
              <w:left w:val="single" w:sz="4" w:space="0" w:color="auto"/>
            </w:tcBorders>
            <w:shd w:val="clear" w:color="auto" w:fill="auto"/>
          </w:tcPr>
          <w:p w14:paraId="064DD04A" w14:textId="77777777" w:rsidR="00E402EF" w:rsidRPr="000E12FE" w:rsidRDefault="00E402EF" w:rsidP="00052CAE">
            <w:pPr>
              <w:spacing w:after="120" w:line="240" w:lineRule="auto"/>
              <w:ind w:firstLine="0"/>
            </w:pPr>
          </w:p>
          <w:p w14:paraId="723C49F2" w14:textId="77777777" w:rsidR="00E402EF" w:rsidRPr="000E12FE" w:rsidRDefault="00E402EF" w:rsidP="00052CAE">
            <w:pPr>
              <w:tabs>
                <w:tab w:val="left" w:pos="346"/>
              </w:tabs>
              <w:spacing w:after="240" w:line="240" w:lineRule="auto"/>
              <w:ind w:firstLine="0"/>
            </w:pPr>
            <w:r w:rsidRPr="000E12FE">
              <w:tab/>
              <w:t>A</w:t>
            </w:r>
            <w:r>
              <w:t>164867</w:t>
            </w:r>
          </w:p>
          <w:p w14:paraId="0DEDC96B" w14:textId="77777777" w:rsidR="00E402EF" w:rsidRPr="000E12FE" w:rsidRDefault="00E402EF" w:rsidP="00052CAE">
            <w:pPr>
              <w:tabs>
                <w:tab w:val="left" w:pos="346"/>
              </w:tabs>
              <w:spacing w:line="240" w:lineRule="auto"/>
              <w:ind w:firstLine="0"/>
            </w:pPr>
            <w:r w:rsidRPr="000E12FE">
              <w:tab/>
              <w:t>(</w:t>
            </w:r>
            <w:r>
              <w:t>Marin</w:t>
            </w:r>
            <w:r w:rsidRPr="000E12FE">
              <w:t xml:space="preserve"> County Super. Ct.</w:t>
            </w:r>
          </w:p>
          <w:p w14:paraId="7654D520" w14:textId="77777777" w:rsidR="00E402EF" w:rsidRPr="000E12FE" w:rsidRDefault="00E402EF" w:rsidP="00052CAE">
            <w:pPr>
              <w:tabs>
                <w:tab w:val="left" w:pos="346"/>
              </w:tabs>
              <w:spacing w:line="240" w:lineRule="auto"/>
              <w:ind w:firstLine="0"/>
            </w:pPr>
            <w:r w:rsidRPr="000E12FE">
              <w:tab/>
              <w:t>No. </w:t>
            </w:r>
            <w:r>
              <w:t>CIV2100342</w:t>
            </w:r>
            <w:r w:rsidRPr="000E12FE">
              <w:t>)</w:t>
            </w:r>
          </w:p>
          <w:p w14:paraId="2F8122DD" w14:textId="77777777" w:rsidR="00E402EF" w:rsidRPr="000E12FE" w:rsidRDefault="00E402EF" w:rsidP="00052CAE">
            <w:pPr>
              <w:tabs>
                <w:tab w:val="left" w:pos="346"/>
              </w:tabs>
              <w:spacing w:line="240" w:lineRule="auto"/>
              <w:ind w:firstLine="0"/>
            </w:pPr>
          </w:p>
          <w:p w14:paraId="0823440B" w14:textId="77777777" w:rsidR="00E402EF" w:rsidRDefault="00E402EF" w:rsidP="00052CAE">
            <w:pPr>
              <w:tabs>
                <w:tab w:val="left" w:pos="346"/>
              </w:tabs>
              <w:spacing w:line="240" w:lineRule="auto"/>
              <w:ind w:firstLine="0"/>
            </w:pPr>
            <w:r w:rsidRPr="000E12FE">
              <w:tab/>
            </w:r>
            <w:r>
              <w:t>ORDER MODIFYING OPINION;</w:t>
            </w:r>
          </w:p>
          <w:p w14:paraId="4BF5FF9C" w14:textId="77777777" w:rsidR="00E402EF" w:rsidRPr="000E12FE" w:rsidRDefault="00E402EF" w:rsidP="00052CAE">
            <w:pPr>
              <w:tabs>
                <w:tab w:val="left" w:pos="346"/>
              </w:tabs>
              <w:spacing w:line="240" w:lineRule="auto"/>
              <w:ind w:firstLine="0"/>
            </w:pPr>
            <w:r>
              <w:t xml:space="preserve">     NO CHANGE IN JUDGMENT</w:t>
            </w:r>
          </w:p>
        </w:tc>
      </w:tr>
    </w:tbl>
    <w:p w14:paraId="5B5BF01B" w14:textId="77777777" w:rsidR="00E402EF" w:rsidRDefault="00E402EF" w:rsidP="00E402EF">
      <w:pPr>
        <w:spacing w:line="240" w:lineRule="auto"/>
      </w:pPr>
    </w:p>
    <w:p w14:paraId="71171173" w14:textId="77777777" w:rsidR="00E402EF" w:rsidRPr="00663D95" w:rsidRDefault="00E402EF" w:rsidP="00E402EF">
      <w:pPr>
        <w:ind w:firstLine="0"/>
      </w:pPr>
      <w:r>
        <w:t>BY THE COURT</w:t>
      </w:r>
      <w:r>
        <w:rPr>
          <w:rStyle w:val="FootnoteReference"/>
        </w:rPr>
        <w:footnoteReference w:customMarkFollows="1" w:id="2"/>
        <w:t>*</w:t>
      </w:r>
      <w:r>
        <w:t>:</w:t>
      </w:r>
    </w:p>
    <w:p w14:paraId="1D055A39" w14:textId="77777777" w:rsidR="00E402EF" w:rsidRDefault="00E402EF" w:rsidP="00E402EF">
      <w:pPr>
        <w:spacing w:line="276" w:lineRule="auto"/>
      </w:pPr>
      <w:r>
        <w:t xml:space="preserve">Appellant Crawford has filed a “Motion to Correct Clerical Error in Opinion.”  The motion is granted, and we will direct that the requested correction be made to the opinion (#1 below).  In addition, the court orders a separate modification on its own motion (#2 below). </w:t>
      </w:r>
    </w:p>
    <w:p w14:paraId="7162F07B" w14:textId="77777777" w:rsidR="00E402EF" w:rsidRDefault="00E402EF" w:rsidP="00E402EF">
      <w:pPr>
        <w:spacing w:line="276" w:lineRule="auto"/>
      </w:pPr>
    </w:p>
    <w:p w14:paraId="7BB08C3A" w14:textId="77777777" w:rsidR="00E402EF" w:rsidRPr="00663D95" w:rsidRDefault="00E402EF" w:rsidP="00E402EF">
      <w:pPr>
        <w:spacing w:line="276" w:lineRule="auto"/>
      </w:pPr>
      <w:r>
        <w:t>The court orders that the opinion filed in this appeal on December 19, 2023, be modified as follows:</w:t>
      </w:r>
    </w:p>
    <w:p w14:paraId="3F007C7D" w14:textId="77777777" w:rsidR="00E402EF" w:rsidRDefault="00E402EF" w:rsidP="00E402EF">
      <w:pPr>
        <w:spacing w:line="240" w:lineRule="auto"/>
      </w:pPr>
    </w:p>
    <w:p w14:paraId="10B4A526" w14:textId="77777777" w:rsidR="00E402EF" w:rsidRDefault="00E402EF" w:rsidP="00E402EF">
      <w:pPr>
        <w:pStyle w:val="ListParagraph"/>
        <w:numPr>
          <w:ilvl w:val="0"/>
          <w:numId w:val="25"/>
        </w:numPr>
        <w:spacing w:line="276" w:lineRule="auto"/>
        <w:ind w:left="1440"/>
        <w:rPr>
          <w:rFonts w:cs="Times New Roman"/>
        </w:rPr>
      </w:pPr>
      <w:r>
        <w:rPr>
          <w:rFonts w:cs="Times New Roman"/>
        </w:rPr>
        <w:t>On page 21, in the seventh sentence of the first full paragraph which continues onto page 22, replace the word “Graves’s” and insert the word “Crawford’s” so the sentence reads:</w:t>
      </w:r>
    </w:p>
    <w:p w14:paraId="7D305F32" w14:textId="77777777" w:rsidR="00E402EF" w:rsidRDefault="00E402EF" w:rsidP="00E402EF">
      <w:pPr>
        <w:pStyle w:val="ListParagraph"/>
        <w:spacing w:line="276" w:lineRule="auto"/>
        <w:ind w:left="2160" w:firstLine="0"/>
        <w:rPr>
          <w:rFonts w:cs="Times New Roman"/>
        </w:rPr>
      </w:pPr>
    </w:p>
    <w:p w14:paraId="43C0EA70" w14:textId="77777777" w:rsidR="00E402EF" w:rsidRDefault="00E402EF" w:rsidP="00E402EF">
      <w:pPr>
        <w:pStyle w:val="ListParagraph"/>
        <w:spacing w:line="276" w:lineRule="auto"/>
        <w:ind w:left="2160" w:firstLine="0"/>
        <w:rPr>
          <w:rFonts w:cs="Times New Roman"/>
        </w:rPr>
      </w:pPr>
      <w:r>
        <w:rPr>
          <w:rFonts w:cs="Times New Roman"/>
        </w:rPr>
        <w:lastRenderedPageBreak/>
        <w:t xml:space="preserve">The Declaration of Restrictions is itself a contract </w:t>
      </w:r>
      <w:r w:rsidRPr="00924432">
        <w:rPr>
          <w:rFonts w:eastAsia="Times New Roman" w:cs="Times New Roman"/>
          <w:color w:val="000000"/>
        </w:rPr>
        <w:t>(</w:t>
      </w:r>
      <w:r w:rsidRPr="006621C2">
        <w:rPr>
          <w:rFonts w:eastAsia="Times New Roman" w:cs="Times New Roman"/>
          <w:i/>
          <w:color w:val="3D3D3D"/>
          <w:bdr w:val="none" w:sz="0" w:space="0" w:color="auto" w:frame="1"/>
        </w:rPr>
        <w:t>Pinnacle Museum Tower Assn. v. Pinnacle Market Development (US), LLC</w:t>
      </w:r>
      <w:r w:rsidRPr="006621C2">
        <w:rPr>
          <w:rFonts w:eastAsia="Times New Roman" w:cs="Times New Roman"/>
          <w:color w:val="000000"/>
        </w:rPr>
        <w:t xml:space="preserve"> (2012) 55</w:t>
      </w:r>
      <w:r>
        <w:rPr>
          <w:rFonts w:eastAsia="Times New Roman" w:cs="Times New Roman"/>
          <w:color w:val="000000"/>
        </w:rPr>
        <w:t> </w:t>
      </w:r>
      <w:r w:rsidRPr="006621C2">
        <w:rPr>
          <w:rFonts w:eastAsia="Times New Roman" w:cs="Times New Roman"/>
          <w:color w:val="000000"/>
        </w:rPr>
        <w:t>Cal.4th 223, 239)</w:t>
      </w:r>
      <w:r>
        <w:rPr>
          <w:rFonts w:eastAsia="Times New Roman" w:cs="Times New Roman"/>
          <w:color w:val="000000"/>
        </w:rPr>
        <w:t>, and as Crawford’s counsel pointed out at</w:t>
      </w:r>
      <w:r w:rsidRPr="00BB59C4">
        <w:rPr>
          <w:rFonts w:eastAsia="Times New Roman" w:cs="Times New Roman"/>
          <w:color w:val="000000"/>
        </w:rPr>
        <w:t xml:space="preserve"> </w:t>
      </w:r>
      <w:r>
        <w:rPr>
          <w:rFonts w:eastAsia="Times New Roman" w:cs="Times New Roman"/>
          <w:color w:val="000000"/>
        </w:rPr>
        <w:t>oral argument, contains a continuing enforcement clause that is not temporally limited.</w:t>
      </w:r>
      <w:r w:rsidRPr="00E873AB">
        <w:rPr>
          <w:rFonts w:cs="Times New Roman"/>
          <w:vertAlign w:val="superscript"/>
        </w:rPr>
        <w:t xml:space="preserve"> </w:t>
      </w:r>
    </w:p>
    <w:p w14:paraId="5AEEAC78" w14:textId="77777777" w:rsidR="00E402EF" w:rsidRDefault="00E402EF" w:rsidP="00E402EF">
      <w:pPr>
        <w:pStyle w:val="ListParagraph"/>
        <w:spacing w:line="276" w:lineRule="auto"/>
        <w:ind w:left="2160" w:firstLine="0"/>
        <w:rPr>
          <w:rFonts w:cs="Times New Roman"/>
        </w:rPr>
      </w:pPr>
    </w:p>
    <w:p w14:paraId="115B5302" w14:textId="77777777" w:rsidR="00E402EF" w:rsidRDefault="00E402EF" w:rsidP="00E402EF">
      <w:pPr>
        <w:pStyle w:val="ListParagraph"/>
        <w:spacing w:line="240" w:lineRule="auto"/>
        <w:ind w:left="1440" w:firstLine="0"/>
        <w:rPr>
          <w:rFonts w:cs="Times New Roman"/>
        </w:rPr>
      </w:pPr>
      <w:r>
        <w:rPr>
          <w:rFonts w:cs="Times New Roman"/>
        </w:rPr>
        <w:t>Footnote 10 will remain unchanged and will immediately follow the above sentence, as it currently does in the opinion.</w:t>
      </w:r>
    </w:p>
    <w:p w14:paraId="778C3E47" w14:textId="77777777" w:rsidR="00E402EF" w:rsidRPr="001D7CFB" w:rsidRDefault="00E402EF" w:rsidP="00E402EF">
      <w:pPr>
        <w:pStyle w:val="ListParagraph"/>
        <w:spacing w:line="276" w:lineRule="auto"/>
        <w:ind w:left="2160" w:firstLine="0"/>
        <w:rPr>
          <w:rFonts w:cs="Times New Roman"/>
        </w:rPr>
      </w:pPr>
    </w:p>
    <w:p w14:paraId="5A3E1FBB" w14:textId="77777777" w:rsidR="00E402EF" w:rsidRDefault="00E402EF" w:rsidP="00E402EF">
      <w:pPr>
        <w:pStyle w:val="ListParagraph"/>
        <w:numPr>
          <w:ilvl w:val="0"/>
          <w:numId w:val="25"/>
        </w:numPr>
        <w:spacing w:line="276" w:lineRule="auto"/>
        <w:ind w:left="1440"/>
        <w:rPr>
          <w:rFonts w:cs="Times New Roman"/>
        </w:rPr>
      </w:pPr>
      <w:r w:rsidRPr="00677178">
        <w:rPr>
          <w:rFonts w:cs="Times New Roman"/>
        </w:rPr>
        <w:t xml:space="preserve">On page </w:t>
      </w:r>
      <w:r>
        <w:rPr>
          <w:rFonts w:cs="Times New Roman"/>
        </w:rPr>
        <w:t xml:space="preserve">22, in the paragraph that continues from page 21, delete the following sentence: </w:t>
      </w:r>
    </w:p>
    <w:p w14:paraId="1C541F2E" w14:textId="77777777" w:rsidR="00E402EF" w:rsidRDefault="00E402EF" w:rsidP="00E402EF">
      <w:pPr>
        <w:pStyle w:val="ListParagraph"/>
        <w:spacing w:line="276" w:lineRule="auto"/>
        <w:ind w:left="2160" w:firstLine="0"/>
        <w:rPr>
          <w:rFonts w:cs="Times New Roman"/>
        </w:rPr>
      </w:pPr>
    </w:p>
    <w:p w14:paraId="623CDDCF" w14:textId="77777777" w:rsidR="00E402EF" w:rsidRDefault="00E402EF" w:rsidP="00E402EF">
      <w:pPr>
        <w:pStyle w:val="ListParagraph"/>
        <w:spacing w:line="276" w:lineRule="auto"/>
        <w:ind w:left="2160" w:firstLine="0"/>
        <w:rPr>
          <w:rFonts w:cs="Times New Roman"/>
        </w:rPr>
      </w:pPr>
      <w:r>
        <w:rPr>
          <w:rFonts w:cs="Times New Roman"/>
        </w:rPr>
        <w:t xml:space="preserve">McArthur was free to argue waiver of estoppel, or to counter Crawford’s theory that the Declaration of Restrictions controls by presenting his own version of the drafting history—making the Rider the centerpiece of his case—but these responsive moves simply underscore the fact there was an evidentiary and legal conflict to be resolved by trial or dispositive motion. </w:t>
      </w:r>
    </w:p>
    <w:p w14:paraId="54162D95" w14:textId="77777777" w:rsidR="00E402EF" w:rsidRDefault="00E402EF" w:rsidP="00E402EF">
      <w:pPr>
        <w:spacing w:line="240" w:lineRule="auto"/>
        <w:ind w:left="1440" w:firstLine="0"/>
        <w:rPr>
          <w:rFonts w:cs="Times New Roman"/>
        </w:rPr>
      </w:pPr>
    </w:p>
    <w:p w14:paraId="71DF8FBB" w14:textId="77777777" w:rsidR="00E402EF" w:rsidRDefault="00E402EF" w:rsidP="00E402EF">
      <w:pPr>
        <w:spacing w:line="240" w:lineRule="auto"/>
        <w:ind w:left="1440" w:firstLine="0"/>
        <w:rPr>
          <w:rFonts w:cs="Times New Roman"/>
        </w:rPr>
      </w:pPr>
      <w:r>
        <w:rPr>
          <w:rFonts w:cs="Times New Roman"/>
        </w:rPr>
        <w:t>Insert in place of the deleted sentence indicated above, continuing within the same paragraph, the following substitute language:</w:t>
      </w:r>
    </w:p>
    <w:p w14:paraId="2899FAA3" w14:textId="77777777" w:rsidR="00E402EF" w:rsidRPr="00F5135E" w:rsidRDefault="00E402EF" w:rsidP="00E402EF">
      <w:pPr>
        <w:spacing w:line="240" w:lineRule="auto"/>
        <w:ind w:left="1440" w:firstLine="0"/>
        <w:rPr>
          <w:rFonts w:cs="Times New Roman"/>
        </w:rPr>
      </w:pPr>
    </w:p>
    <w:p w14:paraId="363102E0" w14:textId="77777777" w:rsidR="00E402EF" w:rsidRDefault="00E402EF" w:rsidP="00E402EF">
      <w:pPr>
        <w:pStyle w:val="ListParagraph"/>
        <w:spacing w:line="276" w:lineRule="auto"/>
        <w:ind w:left="2160" w:firstLine="0"/>
        <w:rPr>
          <w:rFonts w:cs="Times New Roman"/>
        </w:rPr>
      </w:pPr>
      <w:r>
        <w:rPr>
          <w:rFonts w:cs="Times New Roman"/>
        </w:rPr>
        <w:t>McArthur was free to argue waiver or estoppel, or to counter Crawford’s theory by presenting his own version of the drafting history with a focus on the Rider as the centerpiece of his case.  But these possible counter moves simply underscore the fact that there was an evidentiary and legal conflict to be resolved by trial or dispositive motion.</w:t>
      </w:r>
    </w:p>
    <w:p w14:paraId="1148260B" w14:textId="77777777" w:rsidR="00E402EF" w:rsidRDefault="00E402EF" w:rsidP="00E402EF">
      <w:pPr>
        <w:pStyle w:val="ListParagraph"/>
        <w:spacing w:line="276" w:lineRule="auto"/>
        <w:ind w:left="2160" w:firstLine="0"/>
        <w:rPr>
          <w:rFonts w:cs="Times New Roman"/>
        </w:rPr>
      </w:pPr>
    </w:p>
    <w:p w14:paraId="17E81F3C" w14:textId="77777777" w:rsidR="00E402EF" w:rsidRDefault="00E402EF" w:rsidP="00E402EF">
      <w:pPr>
        <w:pStyle w:val="ListParagraph"/>
        <w:spacing w:line="276" w:lineRule="auto"/>
        <w:ind w:left="0" w:firstLine="0"/>
        <w:rPr>
          <w:rFonts w:cs="Times New Roman"/>
        </w:rPr>
      </w:pPr>
      <w:r>
        <w:rPr>
          <w:rFonts w:cs="Times New Roman"/>
        </w:rPr>
        <w:tab/>
        <w:t>The modifications effect no change in the judgment.</w:t>
      </w:r>
    </w:p>
    <w:p w14:paraId="3F02ECDB" w14:textId="77777777" w:rsidR="00E402EF" w:rsidRDefault="00E402EF" w:rsidP="00E402EF">
      <w:pPr>
        <w:pStyle w:val="ListParagraph"/>
        <w:spacing w:line="276" w:lineRule="auto"/>
        <w:ind w:left="0" w:firstLine="0"/>
        <w:rPr>
          <w:rFonts w:cs="Times New Roman"/>
        </w:rPr>
      </w:pPr>
    </w:p>
    <w:p w14:paraId="6E455FE7" w14:textId="77777777" w:rsidR="00E402EF" w:rsidRDefault="00E402EF" w:rsidP="00E402EF">
      <w:pPr>
        <w:pStyle w:val="ListParagraph"/>
        <w:spacing w:line="276" w:lineRule="auto"/>
        <w:ind w:left="0" w:firstLine="0"/>
        <w:rPr>
          <w:rFonts w:cs="Times New Roman"/>
        </w:rPr>
        <w:sectPr w:rsidR="00E402EF" w:rsidSect="00B114BA">
          <w:footerReference w:type="default" r:id="rId7"/>
          <w:footerReference w:type="first" r:id="rId8"/>
          <w:pgSz w:w="12240" w:h="15840"/>
          <w:pgMar w:top="1440" w:right="1440" w:bottom="1440" w:left="1440" w:header="720" w:footer="720" w:gutter="0"/>
          <w:cols w:space="720"/>
          <w:docGrid w:linePitch="360"/>
        </w:sectPr>
      </w:pPr>
      <w:r>
        <w:rPr>
          <w:rFonts w:cs="Times New Roman"/>
        </w:rPr>
        <w:t>Dated:  January 8, 2024</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BROWN, P. J.</w:t>
      </w:r>
    </w:p>
    <w:p w14:paraId="767D12A8" w14:textId="77777777" w:rsidR="00E402EF" w:rsidRDefault="00E402EF" w:rsidP="00E402EF">
      <w:pPr>
        <w:spacing w:line="480" w:lineRule="auto"/>
        <w:ind w:right="720"/>
      </w:pPr>
      <w:r>
        <w:lastRenderedPageBreak/>
        <w:t>Trial Court:</w:t>
      </w:r>
      <w:r>
        <w:tab/>
      </w:r>
      <w:r>
        <w:tab/>
        <w:t xml:space="preserve">Superior Court of California, County of Marin </w:t>
      </w:r>
    </w:p>
    <w:p w14:paraId="3741AD0B" w14:textId="77777777" w:rsidR="00E402EF" w:rsidRDefault="00E402EF" w:rsidP="00E402EF">
      <w:pPr>
        <w:spacing w:line="480" w:lineRule="auto"/>
      </w:pPr>
      <w:r>
        <w:t xml:space="preserve">Trial Judge: </w:t>
      </w:r>
      <w:r>
        <w:tab/>
        <w:t xml:space="preserve">Hon. Andrew E. Sweet </w:t>
      </w:r>
    </w:p>
    <w:p w14:paraId="6D985C21" w14:textId="77777777" w:rsidR="00E402EF" w:rsidRDefault="00E402EF" w:rsidP="00E402EF">
      <w:pPr>
        <w:tabs>
          <w:tab w:val="left" w:pos="2160"/>
          <w:tab w:val="left" w:pos="2880"/>
        </w:tabs>
        <w:spacing w:line="240" w:lineRule="auto"/>
        <w:ind w:left="3240" w:right="180" w:hanging="2520"/>
      </w:pPr>
      <w:r>
        <w:t>Counsel:</w:t>
      </w:r>
      <w:r>
        <w:tab/>
        <w:t xml:space="preserve"> </w:t>
      </w:r>
      <w:r>
        <w:tab/>
        <w:t>Hanson Bridgett, Gary A. Watt, Batya F. Forsyth, and Patrick Burns for Defendant and Appellant Tara Crawford.</w:t>
      </w:r>
    </w:p>
    <w:p w14:paraId="091355BA" w14:textId="77777777" w:rsidR="00E402EF" w:rsidRDefault="00E402EF" w:rsidP="00E402EF">
      <w:pPr>
        <w:spacing w:line="240" w:lineRule="auto"/>
        <w:ind w:left="3240" w:hanging="360"/>
      </w:pPr>
    </w:p>
    <w:p w14:paraId="45CC7E3C" w14:textId="77777777" w:rsidR="00E402EF" w:rsidRDefault="00E402EF" w:rsidP="00E402EF">
      <w:pPr>
        <w:spacing w:line="240" w:lineRule="auto"/>
        <w:ind w:left="3240" w:hanging="360"/>
      </w:pPr>
      <w:r>
        <w:t>Murphy, Pearson, Bradley &amp; Feeney, Timothy J. Halloran and Tyra M. Mendez for Defendant and Appellant Benjamin Graves.</w:t>
      </w:r>
    </w:p>
    <w:p w14:paraId="5113B071" w14:textId="77777777" w:rsidR="00E402EF" w:rsidRDefault="00E402EF" w:rsidP="00E402EF">
      <w:pPr>
        <w:spacing w:line="240" w:lineRule="auto"/>
        <w:ind w:left="3240" w:hanging="360"/>
      </w:pPr>
    </w:p>
    <w:p w14:paraId="7B64C76C" w14:textId="77777777" w:rsidR="00E402EF" w:rsidRDefault="00E402EF" w:rsidP="00E402EF">
      <w:pPr>
        <w:spacing w:line="240" w:lineRule="auto"/>
        <w:ind w:left="3240" w:hanging="360"/>
      </w:pPr>
      <w:r>
        <w:t>Brekhus Law Partners and Elizabeth A. Brekhus and Paul Kerkorian for Plaintiffs and Respondents.</w:t>
      </w:r>
    </w:p>
    <w:p w14:paraId="64437B69" w14:textId="77777777" w:rsidR="00E402EF" w:rsidRDefault="00E402EF" w:rsidP="00E402EF">
      <w:pPr>
        <w:ind w:firstLine="0"/>
        <w:rPr>
          <w:rFonts w:cs="Times New Roman"/>
        </w:rPr>
      </w:pPr>
    </w:p>
    <w:p w14:paraId="0BE24AAE" w14:textId="77777777" w:rsidR="00E402EF" w:rsidRDefault="00E402EF" w:rsidP="00E402EF">
      <w:pPr>
        <w:pStyle w:val="ListParagraph"/>
        <w:spacing w:line="276" w:lineRule="auto"/>
        <w:ind w:left="0" w:firstLine="0"/>
        <w:rPr>
          <w:rFonts w:cs="Times New Roman"/>
        </w:rPr>
      </w:pPr>
    </w:p>
    <w:p w14:paraId="0357BF65" w14:textId="77777777" w:rsidR="00E402EF" w:rsidRPr="00677178" w:rsidRDefault="00E402EF" w:rsidP="00E402EF">
      <w:pPr>
        <w:pStyle w:val="ListParagraph"/>
        <w:spacing w:line="276" w:lineRule="auto"/>
        <w:ind w:left="0" w:firstLine="0"/>
        <w:rPr>
          <w:rFonts w:cs="Times New Roman"/>
        </w:rPr>
      </w:pPr>
    </w:p>
    <w:p w14:paraId="183B5489" w14:textId="77777777" w:rsidR="00E402EF" w:rsidRDefault="00E402EF" w:rsidP="00F47D2A">
      <w:pPr>
        <w:spacing w:line="480" w:lineRule="auto"/>
        <w:ind w:firstLine="0"/>
        <w:rPr>
          <w:sz w:val="20"/>
        </w:rPr>
        <w:sectPr w:rsidR="00E402EF" w:rsidSect="00C97AA9">
          <w:headerReference w:type="default" r:id="rId9"/>
          <w:footerReference w:type="default" r:id="rId10"/>
          <w:footerReference w:type="first" r:id="rId11"/>
          <w:pgSz w:w="12240" w:h="15840"/>
          <w:pgMar w:top="1440" w:right="1440" w:bottom="1440" w:left="1440" w:header="720" w:footer="720" w:gutter="0"/>
          <w:cols w:space="720"/>
          <w:docGrid w:linePitch="360"/>
        </w:sectPr>
      </w:pPr>
    </w:p>
    <w:p w14:paraId="0929D7B9" w14:textId="77777777" w:rsidR="00E402EF" w:rsidRDefault="00E402EF" w:rsidP="00F47D2A">
      <w:pPr>
        <w:spacing w:line="480" w:lineRule="auto"/>
        <w:ind w:firstLine="0"/>
        <w:rPr>
          <w:sz w:val="20"/>
        </w:rPr>
      </w:pPr>
      <w:r>
        <w:rPr>
          <w:sz w:val="20"/>
        </w:rPr>
        <w:lastRenderedPageBreak/>
        <w:t>Filed 12/19/23</w:t>
      </w:r>
    </w:p>
    <w:p w14:paraId="25459AF1" w14:textId="77777777" w:rsidR="00E402EF" w:rsidRPr="00F47D2A" w:rsidRDefault="00E402EF" w:rsidP="00F47D2A">
      <w:pPr>
        <w:spacing w:line="480" w:lineRule="auto"/>
        <w:ind w:firstLine="0"/>
        <w:jc w:val="center"/>
        <w:rPr>
          <w:b/>
        </w:rPr>
      </w:pPr>
      <w:r>
        <w:rPr>
          <w:b/>
        </w:rPr>
        <w:t>CERTIFIED FOR PUBLICATION</w:t>
      </w:r>
    </w:p>
    <w:p w14:paraId="7A55D502" w14:textId="77777777" w:rsidR="00E402EF" w:rsidRPr="00944C2C" w:rsidRDefault="00E402EF" w:rsidP="00F85CE6">
      <w:pPr>
        <w:spacing w:line="480" w:lineRule="auto"/>
        <w:ind w:firstLine="0"/>
        <w:jc w:val="center"/>
      </w:pPr>
      <w:r w:rsidRPr="00944C2C">
        <w:t>IN THE COURT OF APPEAL OF THE STATE OF CALIFORNIA</w:t>
      </w:r>
    </w:p>
    <w:p w14:paraId="49D9962D" w14:textId="77777777" w:rsidR="00E402EF" w:rsidRDefault="00E402EF" w:rsidP="00F85CE6">
      <w:pPr>
        <w:spacing w:line="480" w:lineRule="auto"/>
        <w:ind w:firstLine="0"/>
        <w:jc w:val="center"/>
      </w:pPr>
      <w:r>
        <w:t>FIRST APPELLATE DISTRICT</w:t>
      </w:r>
    </w:p>
    <w:p w14:paraId="3B631E48" w14:textId="77777777" w:rsidR="00E402EF" w:rsidRDefault="00E402EF" w:rsidP="00F85CE6">
      <w:pPr>
        <w:spacing w:line="480" w:lineRule="auto"/>
        <w:ind w:firstLine="0"/>
        <w:jc w:val="center"/>
      </w:pPr>
      <w:r>
        <w:t>DIVISION FOUR</w:t>
      </w:r>
    </w:p>
    <w:p w14:paraId="648D7324" w14:textId="77777777" w:rsidR="00E402EF" w:rsidRDefault="00E402EF" w:rsidP="00F85CE6">
      <w:pPr>
        <w:spacing w:line="240" w:lineRule="auto"/>
        <w:ind w:firstLine="0"/>
        <w:jc w:val="center"/>
      </w:pPr>
    </w:p>
    <w:tbl>
      <w:tblPr>
        <w:tblW w:w="0" w:type="auto"/>
        <w:tblLayout w:type="fixed"/>
        <w:tblLook w:val="0000" w:firstRow="0" w:lastRow="0" w:firstColumn="0" w:lastColumn="0" w:noHBand="0" w:noVBand="0"/>
      </w:tblPr>
      <w:tblGrid>
        <w:gridCol w:w="4680"/>
        <w:gridCol w:w="4680"/>
      </w:tblGrid>
      <w:tr w:rsidR="00C14B7E" w14:paraId="7AE99449" w14:textId="77777777" w:rsidTr="00FB46FC">
        <w:tc>
          <w:tcPr>
            <w:tcW w:w="4680" w:type="dxa"/>
            <w:tcBorders>
              <w:bottom w:val="single" w:sz="4" w:space="0" w:color="auto"/>
              <w:right w:val="single" w:sz="4" w:space="0" w:color="auto"/>
            </w:tcBorders>
            <w:shd w:val="clear" w:color="auto" w:fill="auto"/>
          </w:tcPr>
          <w:p w14:paraId="218714C1" w14:textId="77777777" w:rsidR="00E402EF" w:rsidRPr="000E12FE" w:rsidRDefault="00E402EF" w:rsidP="00F239EC">
            <w:pPr>
              <w:spacing w:after="120" w:line="240" w:lineRule="auto"/>
              <w:ind w:firstLine="0"/>
            </w:pPr>
            <w:r>
              <w:t>GREEN TREE HEADLANDS LLC et al.</w:t>
            </w:r>
            <w:r w:rsidRPr="000E12FE">
              <w:t>,</w:t>
            </w:r>
          </w:p>
          <w:p w14:paraId="5634006F" w14:textId="77777777" w:rsidR="00E402EF" w:rsidRPr="000E12FE" w:rsidRDefault="00E402EF" w:rsidP="00F239EC">
            <w:pPr>
              <w:tabs>
                <w:tab w:val="left" w:pos="610"/>
              </w:tabs>
              <w:spacing w:after="120" w:line="240" w:lineRule="auto"/>
              <w:ind w:firstLine="0"/>
            </w:pPr>
            <w:r w:rsidRPr="000E12FE">
              <w:tab/>
            </w:r>
            <w:r>
              <w:t>Plaintiffs and Respondents</w:t>
            </w:r>
            <w:r w:rsidRPr="000E12FE">
              <w:t>,</w:t>
            </w:r>
          </w:p>
          <w:p w14:paraId="240197BD" w14:textId="77777777" w:rsidR="00E402EF" w:rsidRPr="000E12FE" w:rsidRDefault="00E402EF" w:rsidP="00F239EC">
            <w:pPr>
              <w:tabs>
                <w:tab w:val="left" w:pos="1870"/>
              </w:tabs>
              <w:spacing w:after="120" w:line="240" w:lineRule="auto"/>
              <w:ind w:firstLine="0"/>
            </w:pPr>
            <w:r w:rsidRPr="000E12FE">
              <w:tab/>
              <w:t>v.</w:t>
            </w:r>
          </w:p>
          <w:p w14:paraId="6C26F956" w14:textId="77777777" w:rsidR="00E402EF" w:rsidRPr="000E12FE" w:rsidRDefault="00E402EF" w:rsidP="00F239EC">
            <w:pPr>
              <w:tabs>
                <w:tab w:val="left" w:pos="610"/>
              </w:tabs>
              <w:spacing w:line="240" w:lineRule="auto"/>
              <w:ind w:firstLine="0"/>
            </w:pPr>
            <w:r>
              <w:t>TARA CRAWFORD et al.,</w:t>
            </w:r>
          </w:p>
          <w:p w14:paraId="2E38439E" w14:textId="77777777" w:rsidR="00E402EF" w:rsidRPr="000E12FE" w:rsidRDefault="00E402EF" w:rsidP="006365E6">
            <w:pPr>
              <w:tabs>
                <w:tab w:val="left" w:pos="610"/>
              </w:tabs>
              <w:spacing w:before="120" w:after="240" w:line="240" w:lineRule="auto"/>
              <w:ind w:firstLine="0"/>
            </w:pPr>
            <w:r w:rsidRPr="000E12FE">
              <w:tab/>
              <w:t>Defendant</w:t>
            </w:r>
            <w:r>
              <w:t>s</w:t>
            </w:r>
            <w:r w:rsidRPr="000E12FE">
              <w:t xml:space="preserve"> and </w:t>
            </w:r>
            <w:r>
              <w:t>Appellants.</w:t>
            </w:r>
          </w:p>
        </w:tc>
        <w:tc>
          <w:tcPr>
            <w:tcW w:w="4680" w:type="dxa"/>
            <w:tcBorders>
              <w:left w:val="single" w:sz="4" w:space="0" w:color="auto"/>
            </w:tcBorders>
            <w:shd w:val="clear" w:color="auto" w:fill="auto"/>
          </w:tcPr>
          <w:p w14:paraId="3F86C31D" w14:textId="77777777" w:rsidR="00E402EF" w:rsidRPr="000E12FE" w:rsidRDefault="00E402EF" w:rsidP="00E7127E">
            <w:pPr>
              <w:spacing w:after="120" w:line="240" w:lineRule="auto"/>
              <w:ind w:firstLine="0"/>
            </w:pPr>
          </w:p>
          <w:p w14:paraId="2FF80AA6" w14:textId="77777777" w:rsidR="00E402EF" w:rsidRPr="000E12FE" w:rsidRDefault="00E402EF" w:rsidP="00AF290D">
            <w:pPr>
              <w:tabs>
                <w:tab w:val="left" w:pos="346"/>
              </w:tabs>
              <w:spacing w:after="240" w:line="240" w:lineRule="auto"/>
              <w:ind w:firstLine="0"/>
            </w:pPr>
            <w:r w:rsidRPr="000E12FE">
              <w:tab/>
              <w:t>A</w:t>
            </w:r>
            <w:r>
              <w:t>164867</w:t>
            </w:r>
          </w:p>
          <w:p w14:paraId="59BD5759" w14:textId="77777777" w:rsidR="00E402EF" w:rsidRPr="000E12FE" w:rsidRDefault="00E402EF" w:rsidP="00AF290D">
            <w:pPr>
              <w:tabs>
                <w:tab w:val="left" w:pos="346"/>
              </w:tabs>
              <w:spacing w:line="240" w:lineRule="auto"/>
              <w:ind w:firstLine="0"/>
            </w:pPr>
            <w:r w:rsidRPr="000E12FE">
              <w:tab/>
              <w:t>(</w:t>
            </w:r>
            <w:r>
              <w:t>Marin</w:t>
            </w:r>
            <w:r w:rsidRPr="000E12FE">
              <w:t xml:space="preserve"> County Super. Ct.</w:t>
            </w:r>
          </w:p>
          <w:p w14:paraId="4FCCD164" w14:textId="77777777" w:rsidR="00E402EF" w:rsidRPr="000E12FE" w:rsidRDefault="00E402EF" w:rsidP="00AF290D">
            <w:pPr>
              <w:tabs>
                <w:tab w:val="left" w:pos="346"/>
              </w:tabs>
              <w:spacing w:line="240" w:lineRule="auto"/>
              <w:ind w:firstLine="0"/>
            </w:pPr>
            <w:r w:rsidRPr="000E12FE">
              <w:tab/>
              <w:t>No. </w:t>
            </w:r>
            <w:r>
              <w:t>CIV2100342</w:t>
            </w:r>
            <w:r w:rsidRPr="000E12FE">
              <w:t>)</w:t>
            </w:r>
          </w:p>
          <w:p w14:paraId="7F89BDEB" w14:textId="77777777" w:rsidR="00E402EF" w:rsidRPr="000E12FE" w:rsidRDefault="00E402EF" w:rsidP="00E7127E">
            <w:pPr>
              <w:tabs>
                <w:tab w:val="left" w:pos="346"/>
              </w:tabs>
              <w:spacing w:line="240" w:lineRule="auto"/>
              <w:ind w:firstLine="0"/>
            </w:pPr>
          </w:p>
          <w:p w14:paraId="6247E358" w14:textId="77777777" w:rsidR="00E402EF" w:rsidRPr="000E12FE" w:rsidRDefault="00E402EF" w:rsidP="00E7127E">
            <w:pPr>
              <w:tabs>
                <w:tab w:val="left" w:pos="346"/>
              </w:tabs>
              <w:spacing w:line="240" w:lineRule="auto"/>
              <w:ind w:firstLine="0"/>
            </w:pPr>
            <w:r w:rsidRPr="000E12FE">
              <w:tab/>
            </w:r>
          </w:p>
        </w:tc>
      </w:tr>
    </w:tbl>
    <w:p w14:paraId="6DEAB53E" w14:textId="77777777" w:rsidR="00E402EF" w:rsidRDefault="00E402EF">
      <w:pPr>
        <w:spacing w:line="240" w:lineRule="auto"/>
      </w:pPr>
    </w:p>
    <w:p w14:paraId="60380E1F" w14:textId="77777777" w:rsidR="00E402EF" w:rsidRDefault="00E402EF" w:rsidP="00394626">
      <w:r>
        <w:t>Appellants Tara Crawford and her lawyer Benjamin Graves appeal the denial of their respective motions under the anti-SLAPP statute (Code Civ. Proc. § 425.16 et. seq.)</w:t>
      </w:r>
      <w:r>
        <w:rPr>
          <w:rStyle w:val="FootnoteReference"/>
        </w:rPr>
        <w:footnoteReference w:id="3"/>
      </w:r>
      <w:r>
        <w:t xml:space="preserve"> seeking to strike a malicious prosecution complaint against them by respondents Green Tree Headlands LLC and Steven McArthur.  We agree the motions were denied in error and will reverse.  </w:t>
      </w:r>
    </w:p>
    <w:p w14:paraId="6182AC2D" w14:textId="77777777" w:rsidR="00E402EF" w:rsidRDefault="00E402EF" w:rsidP="00394626">
      <w:pPr>
        <w:pStyle w:val="Heading1"/>
        <w:numPr>
          <w:ilvl w:val="0"/>
          <w:numId w:val="17"/>
        </w:numPr>
      </w:pPr>
      <w:r w:rsidRPr="00D92215">
        <w:t>BACKGROUND</w:t>
      </w:r>
    </w:p>
    <w:p w14:paraId="6D143048" w14:textId="77777777" w:rsidR="00E402EF" w:rsidRDefault="00E402EF" w:rsidP="00F8139B">
      <w:pPr>
        <w:pStyle w:val="Heading2"/>
      </w:pPr>
      <w:r>
        <w:t>The Sale of Lot 3 to McArthur</w:t>
      </w:r>
    </w:p>
    <w:p w14:paraId="3A8D369D" w14:textId="77777777" w:rsidR="00E402EF" w:rsidRDefault="00E402EF" w:rsidP="00394626">
      <w:r>
        <w:t xml:space="preserve">Alan Patterson once owned a group of residential lots in a subdivided area of Sausalito known as Wolfback Ridge Estates.  Patterson’s residence, a house with panoramic views of the Golden Gate Bridge, sat on Lot 3, adjacent to undeveloped Lot 4.  It is undisputed that, during the time he lived there, a </w:t>
      </w:r>
      <w:r>
        <w:lastRenderedPageBreak/>
        <w:t xml:space="preserve">15-foot easement across Lot 4 allowed access to his garage on Lot 3 (the Driveway Easement).  </w:t>
      </w:r>
    </w:p>
    <w:p w14:paraId="5674F3A2" w14:textId="77777777" w:rsidR="00E402EF" w:rsidRDefault="00E402EF" w:rsidP="009815B1">
      <w:r>
        <w:t xml:space="preserve">Patterson sold Lot 3 to Steven McArthur in 2008, and McArthur took title in the name of a limited liability company, Green Tree </w:t>
      </w:r>
      <w:r>
        <w:t>Headlands LLC.</w:t>
      </w:r>
      <w:r>
        <w:rPr>
          <w:rStyle w:val="FootnoteReference"/>
        </w:rPr>
        <w:footnoteReference w:id="4"/>
      </w:r>
      <w:r>
        <w:t xml:space="preserve">  To effectuate the sale, Patterson and McArthur signed a Purchase Agreement dated June 13, 2008 (the Purchase Agreement).  The Purchase Agreement included two addenda (collectively the Addenda), one entitled “Addendum – ‘As Is’ Sale,” and the other entitled “Addendum” (the Second Addendum).  Most of the agreed terms of the acquisition are undisputed.  As pertinent here, they are: </w:t>
      </w:r>
    </w:p>
    <w:p w14:paraId="5FB37C72" w14:textId="77777777" w:rsidR="00E402EF" w:rsidRDefault="00E402EF" w:rsidP="00095C57">
      <w:pPr>
        <w:pStyle w:val="ListParagraph"/>
        <w:tabs>
          <w:tab w:val="left" w:pos="720"/>
        </w:tabs>
        <w:ind w:left="90" w:firstLine="630"/>
      </w:pPr>
      <w:r>
        <w:t>(1) During the 18-month period following the sale of Lot 3 to McArthur (the 18-month post-sale period), Patterson was free to attempt to sell three lots in Wolfback Ridge Estates as a group, and if such a sale took place, McArthur would participate as a seller and receive an agreed premium over the price he paid for Lot 3, (2) Patterson was free to undertake a construction project on Lot 4, but agreed to shape, height, location and size restrictions (the Building Restrictions) on any structure built there s</w:t>
      </w:r>
      <w:r>
        <w:t>o that the views from Lot 3 would remain unimpeded, (3) if Patterson ever sold Lot 4, McArthur would have an optional right of first refusal to buy it, and (4) during the 18-month post-sale period, McArthur would allow Patterson to continue to live in the house on Lot 3, rent free.</w:t>
      </w:r>
    </w:p>
    <w:p w14:paraId="03B9FF27" w14:textId="77777777" w:rsidR="00E402EF" w:rsidRDefault="00E402EF" w:rsidP="0033579F">
      <w:pPr>
        <w:pStyle w:val="Heading2"/>
      </w:pPr>
      <w:r>
        <w:lastRenderedPageBreak/>
        <w:t>The Purchase Agreement and Other Documentation Relating to McArthur’s Acquisition of Lot 3</w:t>
      </w:r>
    </w:p>
    <w:p w14:paraId="117E3790" w14:textId="77777777" w:rsidR="00E402EF" w:rsidRDefault="00E402EF" w:rsidP="00A539EE">
      <w:r>
        <w:t>The form and recorded status of the signed documents relating to McArthur’s purchase of Lot 3 are key here, and of those various writings, the Purchase Agreement is the foundational document.  The main body of the Purchase Agreement is on a printed California Association of Realtors form; attached to the form are the Addenda, each manually prepared in typescript, with some handwritten revisions and corrections.  The focal point of the dispute in this case is Paragraph 3 of the Second Addendum.  The revision</w:t>
      </w:r>
      <w:r>
        <w:t>s and corrections to the Second Addendum reveal that, in the drafting process, the text of the original Paragraph 3 was deleted and replaced with new text.</w:t>
      </w:r>
    </w:p>
    <w:p w14:paraId="3226523A" w14:textId="77777777" w:rsidR="00E402EF" w:rsidRDefault="00E402EF" w:rsidP="00A539EE">
      <w:r>
        <w:t xml:space="preserve">A manually crossed out and circled Paragraph 3 of the Second Addendum originally stated: “3.  </w:t>
      </w:r>
      <w:r w:rsidRPr="006B0FBC">
        <w:rPr>
          <w:u w:val="single"/>
        </w:rPr>
        <w:t>Rights of Purchase</w:t>
      </w:r>
      <w:r>
        <w:t>.  For a period of 18 months following the Closing, Buyer shall have a right of first refusal to purchase Lot #4 on all the terms that have been offered to and accepted by Seller. . . . This right shall expire 5 working days after Seller notifies Buyer of an offer to purchase Lot #4 unless prior to the expiration of that 5 days Buyer notifies Seller of his intent to exercise this purchase right.  For a period of 18 months following the Closing, Seller shall have the right to repurchase fro</w:t>
      </w:r>
      <w:r>
        <w:t>m Buyer the Property (51 Wolfback Ridge) for the total sum of [price redacted] . . . .”  Next to the above crossed out and circled language—evidencing its replacement—is the handwritten annotation, “</w:t>
      </w:r>
      <w:r w:rsidRPr="00C16D1A">
        <w:t>See attached rider</w:t>
      </w:r>
      <w:r>
        <w:t xml:space="preserve"> SM.”</w:t>
      </w:r>
    </w:p>
    <w:p w14:paraId="032D366B" w14:textId="77777777" w:rsidR="00E402EF" w:rsidRDefault="00E402EF" w:rsidP="00394626">
      <w:r>
        <w:t xml:space="preserve">There follows a separate and final page to the Second Addendum entitled “Rider to be added to addendum” (the Rider), which replaces the original draft language of Paragraph 3 with the following text:  “3)  </w:t>
      </w:r>
      <w:r w:rsidRPr="00B00A1D">
        <w:t xml:space="preserve">Lot building agreements: </w:t>
      </w:r>
      <w:r>
        <w:t xml:space="preserve"> </w:t>
      </w:r>
      <w:r w:rsidRPr="00B00A1D">
        <w:t>Se</w:t>
      </w:r>
      <w:r>
        <w:t xml:space="preserve">ller </w:t>
      </w:r>
      <w:r w:rsidRPr="00B00A1D">
        <w:t>and Buyer will before Closing enter in</w:t>
      </w:r>
      <w:r>
        <w:t>t</w:t>
      </w:r>
      <w:r w:rsidRPr="00B00A1D">
        <w:t>o mutually agreed restrictive covenant agreements having the following te</w:t>
      </w:r>
      <w:r>
        <w:t>rm</w:t>
      </w:r>
      <w:r w:rsidRPr="00B00A1D">
        <w:t>s:</w:t>
      </w:r>
      <w:r>
        <w:t xml:space="preserve"> </w:t>
      </w:r>
      <w:r w:rsidRPr="00B00A1D">
        <w:t xml:space="preserve"> (i)</w:t>
      </w:r>
      <w:r>
        <w:t> </w:t>
      </w:r>
      <w:r w:rsidRPr="00B00A1D">
        <w:t xml:space="preserve">a building footprint on the existing elevated western portion on Lot# 4, </w:t>
      </w:r>
      <w:r w:rsidRPr="00B00A1D">
        <w:lastRenderedPageBreak/>
        <w:t>with a one story height restriction on the existing elevated portion of</w:t>
      </w:r>
      <w:r>
        <w:t xml:space="preserve"> t</w:t>
      </w:r>
      <w:r w:rsidRPr="00B00A1D">
        <w:t xml:space="preserve">he lot adjacent to the access road and a two story height restriction if such existing elevated western portion of such lot is excavated down to the level of the </w:t>
      </w:r>
      <w:r>
        <w:t>unel</w:t>
      </w:r>
      <w:r w:rsidRPr="00B00A1D">
        <w:t>evated portion), and (ii)</w:t>
      </w:r>
      <w:r>
        <w:t> </w:t>
      </w:r>
      <w:r w:rsidRPr="00B00A1D">
        <w:t xml:space="preserve">a one story height </w:t>
      </w:r>
      <w:r w:rsidRPr="00B00A1D">
        <w:t xml:space="preserve">restriction on Lot </w:t>
      </w:r>
      <w:r>
        <w:t>#</w:t>
      </w:r>
      <w:r w:rsidRPr="00B00A1D">
        <w:t xml:space="preserve"> 5 (with an exception for a second story with the building footprin</w:t>
      </w:r>
      <w:r>
        <w:t xml:space="preserve">t for that second story to be on the north west side of such lot, running from approximately the [east west] middle [point] of the north [border] to the flat building site to the south tip of such building site.  </w:t>
      </w:r>
      <w:r w:rsidRPr="00BB7DB7">
        <w:rPr>
          <w:i/>
          <w:iCs/>
        </w:rPr>
        <w:t xml:space="preserve">The existing driveway easements over Lot #5, and Lot #4 to access </w:t>
      </w:r>
      <w:r>
        <w:rPr>
          <w:i/>
          <w:iCs/>
        </w:rPr>
        <w:t>L</w:t>
      </w:r>
      <w:r w:rsidRPr="00BB7DB7">
        <w:rPr>
          <w:i/>
          <w:iCs/>
        </w:rPr>
        <w:t>ot #3 will remain in existence</w:t>
      </w:r>
      <w:r>
        <w:t>.”  (Italics added.)</w:t>
      </w:r>
      <w:r>
        <w:rPr>
          <w:rStyle w:val="FootnoteReference"/>
        </w:rPr>
        <w:footnoteReference w:id="5"/>
      </w:r>
      <w:r>
        <w:t xml:space="preserve">  </w:t>
      </w:r>
    </w:p>
    <w:p w14:paraId="788D54F3" w14:textId="77777777" w:rsidR="00E402EF" w:rsidRDefault="00E402EF" w:rsidP="00394626">
      <w:r>
        <w:t xml:space="preserve">The Purchase Agreement was not recorded.  The only recorded documents relating to the Patterson’s sale of Lot 3 to McArthur were (1) the deed to Lot 3, (2) a “Declaration of Restrictions Regarding Building Height and Location and Easements Wolfback Ridge Estates Lot #4” (the Declaration of Restrictions), and (3) an “Agreement Between Buyer and Seller Granting Buyer the Right of First Refusal to Purchase Lot 4 of Wolfback Ridge Estates” (the Right of First Refusal). </w:t>
      </w:r>
    </w:p>
    <w:p w14:paraId="6100E351" w14:textId="77777777" w:rsidR="00E402EF" w:rsidRDefault="00E402EF" w:rsidP="005D46CA">
      <w:r>
        <w:t xml:space="preserve">The Declaration of Restrictions, which was mutually executed by Patterson and McArthur and recorded on September 3, 2008, states: “Pursuant to Paragraph 3 of the Rider . . . Declarant as the owner of Lot #4 </w:t>
      </w:r>
      <w:r>
        <w:t>. . . intends to restrict it in accordance with the following terms and conditions for the benefit of the Buyer [McArthur] and future Owners of the Property.”  After specifying in detail the shape, height, location and size of the structure that may be built on Lot 4, the Declaration of Restrictions states that the Driveway Easement “</w:t>
      </w:r>
      <w:r>
        <w:rPr>
          <w:i/>
          <w:iCs/>
        </w:rPr>
        <w:t>will</w:t>
      </w:r>
      <w:r w:rsidRPr="00D4341A">
        <w:rPr>
          <w:i/>
          <w:iCs/>
        </w:rPr>
        <w:t xml:space="preserve"> remain in existence for a limited period</w:t>
      </w:r>
      <w:r>
        <w:t xml:space="preserve"> </w:t>
      </w:r>
      <w:r w:rsidRPr="00C16D1A">
        <w:rPr>
          <w:i/>
          <w:iCs/>
        </w:rPr>
        <w:t xml:space="preserve">as follows:  for use by the </w:t>
      </w:r>
      <w:r>
        <w:rPr>
          <w:i/>
          <w:iCs/>
        </w:rPr>
        <w:t>B</w:t>
      </w:r>
      <w:r w:rsidRPr="00C16D1A">
        <w:rPr>
          <w:i/>
          <w:iCs/>
        </w:rPr>
        <w:t xml:space="preserve">uyer of Lot </w:t>
      </w:r>
      <w:r>
        <w:rPr>
          <w:i/>
          <w:iCs/>
        </w:rPr>
        <w:t>#</w:t>
      </w:r>
      <w:r w:rsidRPr="00C16D1A">
        <w:rPr>
          <w:i/>
          <w:iCs/>
        </w:rPr>
        <w:t xml:space="preserve">3 for access of construction </w:t>
      </w:r>
      <w:r w:rsidRPr="00C16D1A">
        <w:rPr>
          <w:i/>
          <w:iCs/>
        </w:rPr>
        <w:lastRenderedPageBreak/>
        <w:t>equipment and materials for a period of</w:t>
      </w:r>
      <w:r>
        <w:t xml:space="preserve"> </w:t>
      </w:r>
      <w:r w:rsidRPr="00BC7C83">
        <w:rPr>
          <w:i/>
          <w:iCs/>
        </w:rPr>
        <w:t xml:space="preserve">twenty four months </w:t>
      </w:r>
      <w:r w:rsidRPr="00BC7C83">
        <w:rPr>
          <w:i/>
          <w:iCs/>
        </w:rPr>
        <w:t xml:space="preserve">commencing </w:t>
      </w:r>
      <w:r>
        <w:rPr>
          <w:i/>
          <w:iCs/>
        </w:rPr>
        <w:t>on</w:t>
      </w:r>
      <w:r w:rsidRPr="00BC7C83">
        <w:rPr>
          <w:i/>
          <w:iCs/>
        </w:rPr>
        <w:t xml:space="preserve"> the</w:t>
      </w:r>
      <w:r>
        <w:rPr>
          <w:i/>
          <w:iCs/>
        </w:rPr>
        <w:t xml:space="preserve"> first</w:t>
      </w:r>
      <w:r w:rsidRPr="00BC7C83">
        <w:rPr>
          <w:i/>
          <w:iCs/>
        </w:rPr>
        <w:t xml:space="preserve"> month after Seller vacate</w:t>
      </w:r>
      <w:r>
        <w:rPr>
          <w:i/>
          <w:iCs/>
        </w:rPr>
        <w:t>s</w:t>
      </w:r>
      <w:r w:rsidRPr="00BC7C83">
        <w:rPr>
          <w:i/>
          <w:iCs/>
        </w:rPr>
        <w:t xml:space="preserve"> the residence on Lot </w:t>
      </w:r>
      <w:r>
        <w:rPr>
          <w:i/>
          <w:iCs/>
        </w:rPr>
        <w:t>#</w:t>
      </w:r>
      <w:r w:rsidRPr="00BC7C83">
        <w:rPr>
          <w:i/>
          <w:iCs/>
        </w:rPr>
        <w:t>3</w:t>
      </w:r>
      <w:r>
        <w:t xml:space="preserve">, </w:t>
      </w:r>
      <w:r w:rsidRPr="00C16D1A">
        <w:rPr>
          <w:i/>
          <w:iCs/>
        </w:rPr>
        <w:t>a</w:t>
      </w:r>
      <w:r>
        <w:rPr>
          <w:i/>
          <w:iCs/>
        </w:rPr>
        <w:t>nd</w:t>
      </w:r>
      <w:r w:rsidRPr="00C16D1A">
        <w:rPr>
          <w:i/>
          <w:iCs/>
        </w:rPr>
        <w:t xml:space="preserve"> </w:t>
      </w:r>
      <w:r>
        <w:rPr>
          <w:i/>
          <w:iCs/>
        </w:rPr>
        <w:t>thereafter</w:t>
      </w:r>
      <w:r w:rsidRPr="00BC7C83">
        <w:rPr>
          <w:i/>
          <w:iCs/>
        </w:rPr>
        <w:t xml:space="preserve"> shall expire</w:t>
      </w:r>
      <w:r>
        <w:t>.” (Italics added.)</w:t>
      </w:r>
      <w:r>
        <w:rPr>
          <w:rStyle w:val="FootnoteReference"/>
        </w:rPr>
        <w:footnoteReference w:id="6"/>
      </w:r>
    </w:p>
    <w:p w14:paraId="7A1D80B3" w14:textId="77777777" w:rsidR="00E402EF" w:rsidRDefault="00E402EF" w:rsidP="0074568F">
      <w:pPr>
        <w:pStyle w:val="Heading2"/>
      </w:pPr>
      <w:r>
        <w:t xml:space="preserve">Events Following the Sale of Lot 3 to McArthur, and the Filing of Suit Against McArthur by Crawford </w:t>
      </w:r>
    </w:p>
    <w:p w14:paraId="58DF50E8" w14:textId="77777777" w:rsidR="00E402EF" w:rsidRDefault="00E402EF" w:rsidP="00394626">
      <w:r>
        <w:t xml:space="preserve">No group sale of the lots in Wolfback Ridge Estates took place, and McArthur had no occasion to exercise his Right of First Refusal for Lot 4.  Patterson moved out of the residence on Lot 3 in 2011, and never undertook any construction on Lot 4.  After McArthur’s purchase of Lot 3, McArthur claims Patterson knew for years that McArthur and his wife continued to use the Driveway Easement, and never objected.  Patterson died in 2017, and his three adult children are the beneficiaries of his estate.  </w:t>
      </w:r>
    </w:p>
    <w:p w14:paraId="0A2FB41E" w14:textId="77777777" w:rsidR="00E402EF" w:rsidRDefault="00E402EF" w:rsidP="000A6172">
      <w:r>
        <w:t>Following Patterson’s death, Crawford, the trustee of a trust holding his assets (the Trust or the Patterson Trust), took over the management of Lot 4.  Crawford had been Patterson’s accountant.  When this lawsuit was filed, she knew nothing about Patterson’s intent in negotiating the sale of Lot 3 to McArthur.  In a declaration, she stated that “The entire universe of my knowledge about the [Driveway Easement] is that it could have some limited value on the building envelope of Lot 4 if extinguished.”  And</w:t>
      </w:r>
      <w:r>
        <w:t xml:space="preserve"> “As trustee, I have a fiduciary duty to preserve the value of trust assets.” </w:t>
      </w:r>
    </w:p>
    <w:p w14:paraId="631DA296" w14:textId="77777777" w:rsidR="00E402EF" w:rsidRDefault="00E402EF" w:rsidP="00394626">
      <w:r>
        <w:t xml:space="preserve">McArthur attempted to negotiate a purchase of Lot 4, and according to him, the parties were close to agreeing on terms of sale.  But the negotiations foundered when an issue surfaced concerning the status of the Driveway Easement.  Crawford, relying on the Declaration of Restrictions, took the position that the Driveway Easement expired in 2012, some twenty-four </w:t>
      </w:r>
      <w:r>
        <w:lastRenderedPageBreak/>
        <w:t xml:space="preserve">months after Patterson moved out of his house on Lot 3.  Her counsel, Benjamin Graves, wrote to McArthur’s counsel, Elizabeth Brekhus, demanding a quitclaim deed on November 19, 2018.  Brekhus took the position that Patterson had “expressly agreed” to McArthur’s continued use of the Driveway Easement and that, in any event, McArthur enjoyed prescriptive easement rights to continued use of it.  </w:t>
      </w:r>
    </w:p>
    <w:p w14:paraId="02F33D79" w14:textId="77777777" w:rsidR="00E402EF" w:rsidRDefault="00E402EF" w:rsidP="00394626">
      <w:r>
        <w:t>On December 7, 2018, Brekhus advised Graves that McArthur believed a complete copy of the Purchase Agreement, including its Addenda, would prove his and Patterson’s mutual intent.  At the time, she said, McArthur was traveling and would not be able to retrieve the relevant files for a couple of weeks.  Rather than wait for McArthur to locate and send whatever files he had that evidenced his position concerning the Driveway Easement, Crawford brought suit later that day on behalf of the Patterson Trust, alle</w:t>
      </w:r>
      <w:r>
        <w:t xml:space="preserve">ging claims for (1) breach of contract, (2) declaratory relief, (3) to quiet title, and (4) for preliminary and permanent injunctive relief.  Attached to the complaint was a copy of the Purchase Agreement, without its Addenda or the Rider. </w:t>
      </w:r>
    </w:p>
    <w:p w14:paraId="4889EA6D" w14:textId="77777777" w:rsidR="00E402EF" w:rsidRDefault="00E402EF" w:rsidP="0074568F">
      <w:pPr>
        <w:pStyle w:val="Heading2"/>
      </w:pPr>
      <w:r>
        <w:t>Brekhus Brings the Rider to Graves’s Attention and Graves Takes the Position That, in the Declaration of Restrictions, the Parties Agreed To Extinguish the Driveway Easement At Closing</w:t>
      </w:r>
    </w:p>
    <w:p w14:paraId="6DF33C87" w14:textId="77777777" w:rsidR="00E402EF" w:rsidRDefault="00E402EF" w:rsidP="00394626">
      <w:r>
        <w:t>The first cause of action in the complaint alleged that Brekhus committed a breach of contract for which McArthur is liable by writing a letter to Crawford on November 21, 2018, claiming that the Driveway Easement remains in effect.  The second cause of action, for declaratory relief, sought a declaration that the Driveway Easement was temporary and expired according to the alleged terms of the Declaration of Restrictions.  And in the third cause of action, a quiet title claim, Crawford alleged that McArthu</w:t>
      </w:r>
      <w:r>
        <w:t xml:space="preserve">r’s refusal to grant a quitclaim deed acknowledging the expiration of </w:t>
      </w:r>
      <w:r>
        <w:lastRenderedPageBreak/>
        <w:t>the Driveway Easement breached an agreement to deliver such a deed, entitling her to relief under Civil Code section 3306a.</w:t>
      </w:r>
      <w:r>
        <w:rPr>
          <w:rStyle w:val="FootnoteReference"/>
        </w:rPr>
        <w:footnoteReference w:id="7"/>
      </w:r>
      <w:r>
        <w:t xml:space="preserve"> </w:t>
      </w:r>
    </w:p>
    <w:p w14:paraId="2765EB39" w14:textId="77777777" w:rsidR="00E402EF" w:rsidRDefault="00E402EF" w:rsidP="00394626">
      <w:r>
        <w:t xml:space="preserve">In meet-and-confer correspondence with Graves preliminary to a demurrer, Brekhus pointed out that, in fact, the Rider—which McArthur had since found in his files—specifically stated that the Driveway Easement shall “remain in existence” post-closing, and that, by failing to allege or attach the Rider, Crawford had violated the sham pleading doctrine.   </w:t>
      </w:r>
    </w:p>
    <w:p w14:paraId="0BFDBE01" w14:textId="77777777" w:rsidR="00E402EF" w:rsidRDefault="00E402EF" w:rsidP="00394626">
      <w:r>
        <w:t xml:space="preserve">Before answering the complaint, Crawford filed a first amended complaint (FAC).  In the FAC, Crawford realleged her first and second causes of action for breach of contract and declaratory relief; added a new third cause of action for declaratory relief focused solely on the building restrictions; realleged her original quiet title claim as a fourth cause of action; and dropped her cause of action for preliminary and permanent injunctive relief. </w:t>
      </w:r>
    </w:p>
    <w:p w14:paraId="206EED1B" w14:textId="77777777" w:rsidR="00E402EF" w:rsidRDefault="00E402EF" w:rsidP="00394626">
      <w:r>
        <w:t xml:space="preserve">Despite the fact that, in further meet and confer correspondence, Brekhus again brought the Rider to Graves’s attention, Crawford attached a copy of the Purchase Agreement to the FAC without including the Addenda, as she had done in the original complaint.  Instead of attaching the Addenda, Crawford responded to Brekhus’s contention that the Rider was essential to </w:t>
      </w:r>
      <w:r>
        <w:lastRenderedPageBreak/>
        <w:t xml:space="preserve">the Purchase Agreement by alleging that the parties had agreed to cancel the Rider to the extent it was repugnant to the Declaration of Restrictions.   </w:t>
      </w:r>
    </w:p>
    <w:p w14:paraId="5A8AD5E3" w14:textId="77777777" w:rsidR="00E402EF" w:rsidRDefault="00E402EF" w:rsidP="00394626">
      <w:r>
        <w:t>The FAC drew a demurrer from McArthur.  The demurrer attacked the FAC on a variety of legal grounds, the most pertinent of which here are that (1) the amended complaint was a sham pleading because it included only a partial copy of the Purchase Agreement and (2) Brekhus’s pre-suit letter to Crawford could not constitute a breach of any contract.  Along with the demurrer, McArthur filed a motion to strike Crawford’s Civil Code section 3306a demand, since that demand was not supported by any allegation of a s</w:t>
      </w:r>
      <w:r>
        <w:t>pecific agreement requiring him to execute and deliver a quitclaim deed.</w:t>
      </w:r>
    </w:p>
    <w:p w14:paraId="1B3C3E55" w14:textId="77777777" w:rsidR="00E402EF" w:rsidRDefault="00E402EF" w:rsidP="00394626">
      <w:r>
        <w:t xml:space="preserve">In response to the demurrer, Crawford argued that the Rider and anything else inconsistent with the recorded documents was irrelevant under the merger by deed doctrine </w:t>
      </w:r>
      <w:r w:rsidRPr="004A3716">
        <w:t xml:space="preserve">(see </w:t>
      </w:r>
      <w:r w:rsidRPr="00D9063A">
        <w:rPr>
          <w:rFonts w:eastAsia="Times New Roman" w:cs="Times New Roman"/>
          <w:i/>
          <w:bdr w:val="none" w:sz="0" w:space="0" w:color="auto" w:frame="1"/>
        </w:rPr>
        <w:t>Ram’s Gate Winery, LLC v. Roche</w:t>
      </w:r>
      <w:r w:rsidRPr="00D9063A">
        <w:rPr>
          <w:rFonts w:eastAsia="Times New Roman" w:cs="Times New Roman"/>
        </w:rPr>
        <w:t xml:space="preserve"> </w:t>
      </w:r>
      <w:r w:rsidRPr="004A3716">
        <w:rPr>
          <w:rFonts w:eastAsia="Times New Roman" w:cs="Times New Roman"/>
          <w:color w:val="000000"/>
        </w:rPr>
        <w:t>(2015) 235</w:t>
      </w:r>
      <w:r>
        <w:rPr>
          <w:rFonts w:eastAsia="Times New Roman" w:cs="Times New Roman"/>
          <w:color w:val="000000"/>
        </w:rPr>
        <w:t> </w:t>
      </w:r>
      <w:r w:rsidRPr="004A3716">
        <w:rPr>
          <w:rFonts w:eastAsia="Times New Roman" w:cs="Times New Roman"/>
          <w:color w:val="000000"/>
        </w:rPr>
        <w:t>Cal.App.4th 1071, 1079</w:t>
      </w:r>
      <w:r>
        <w:rPr>
          <w:rFonts w:eastAsia="Times New Roman" w:cs="Times New Roman"/>
          <w:color w:val="000000"/>
        </w:rPr>
        <w:t>–</w:t>
      </w:r>
      <w:r w:rsidRPr="004A3716">
        <w:rPr>
          <w:rFonts w:eastAsia="Times New Roman" w:cs="Times New Roman"/>
          <w:color w:val="000000"/>
        </w:rPr>
        <w:t>1083)</w:t>
      </w:r>
      <w:r>
        <w:t xml:space="preserve">, and that the breach of contract claim in the FAC was actually a claim for repudiation of contractual obligations.  </w:t>
      </w:r>
    </w:p>
    <w:p w14:paraId="713006B0" w14:textId="77777777" w:rsidR="00E402EF" w:rsidRDefault="00E402EF" w:rsidP="00247C3F">
      <w:pPr>
        <w:ind w:firstLine="0"/>
      </w:pPr>
      <w:r>
        <w:t xml:space="preserve">To explain why he omitted any reference to the Addenda when he prepared the FAC, Graves filed a declaration.  According to this declaration, the recorded documents—the Declaration of Restrictions in particular—provide a “clear expression” of the parties’ contracting intent, and as a result, McArthur’s reliance on the Rider, with its various interlineations, constitutes an improper “attempt to change the terms of the recorded documents.”  </w:t>
      </w:r>
    </w:p>
    <w:p w14:paraId="5A7D7689" w14:textId="77777777" w:rsidR="00E402EF" w:rsidRDefault="00E402EF" w:rsidP="009001C0">
      <w:r>
        <w:t xml:space="preserve">In support of his argument that the Rider contradicts the parties’ final, “clear expression” of intent, Graves also pointed to evidence he claimed is consistent with Crawford’s interpretation of the recorded documents—specifically, a purported third addendum dated June 21, 2008 (the June 21 Addendum), bearing what appears to be McArthur’s signature.  The June 21 Addendum, which was produced by Crawford in response to McArthur’s </w:t>
      </w:r>
      <w:r>
        <w:lastRenderedPageBreak/>
        <w:t xml:space="preserve">initial document demand in the case, states that “[t]he property being conveyed by this Agreement does not include a certain 15 feet driveway easement across Lot #4 . . . as being appurtenant to Lot #3.  Said easement shall be extinguished by Seller at the Closing.”  </w:t>
      </w:r>
    </w:p>
    <w:p w14:paraId="1A39557E" w14:textId="77777777" w:rsidR="00E402EF" w:rsidRDefault="00E402EF" w:rsidP="00394626">
      <w:r>
        <w:t>Graves’s use of the June 21 Addendum in opposing the demurrer proved to be highly controversial.  From the moment the June 21 Addendum surfaced in discovery, McArthur has repeatedly insisted it is a forgery.</w:t>
      </w:r>
      <w:r>
        <w:rPr>
          <w:rStyle w:val="FootnoteReference"/>
        </w:rPr>
        <w:footnoteReference w:id="8"/>
      </w:r>
      <w:r>
        <w:t xml:space="preserve">  This allegation, however, played no role in the court’s ruling on the demurrer.  The court overruled McArthur’s demurrer in part, rejecting his pleading challenge to the sufficiency of the declaratory relief claims and the quiet title claim, but sustained the demurrer with leave to amend the breach of contract claim.  And in so ruling, the court made no reference to the June 21 Addendum.</w:t>
      </w:r>
    </w:p>
    <w:p w14:paraId="24916F95" w14:textId="77777777" w:rsidR="00E402EF" w:rsidRDefault="00E402EF" w:rsidP="00AF193C">
      <w:r>
        <w:t xml:space="preserve">The court’s order on demurrer began by rejecting McArthur’s sham pleading argument and explaining that, at the pleading stage, the court must accept Crawford’s allegations.  Under the contract Crawford alleged, “The benefit that the Trust was entitled to receive . . . was to have the Driveway Easement automatically expire and to have its property free and clear of the Driveway Easement.” </w:t>
      </w:r>
      <w:r>
        <w:rPr>
          <w:rFonts w:eastAsia="Times New Roman" w:cs="Times New Roman"/>
          <w:color w:val="000000"/>
        </w:rPr>
        <w:t xml:space="preserve"> </w:t>
      </w:r>
      <w:r>
        <w:t xml:space="preserve">Even accepting that theory as valid, the court explained, Brekhus’s act of writing a letter disputing Crawford’s legal position did not amount to a breach of contract.  The court granted the </w:t>
      </w:r>
      <w:r>
        <w:lastRenderedPageBreak/>
        <w:t xml:space="preserve">motion to strike on the ground that Crawford conceded the Civil Code section 3306 demand may be stricken.  Graves’s declaration submitted in response to the motion to strike stated that aspect of her prayer for relief was “erroneous” and was “not an essential component of [Crawford’s] legal theory.” </w:t>
      </w:r>
    </w:p>
    <w:p w14:paraId="7A72726E" w14:textId="77777777" w:rsidR="00E402EF" w:rsidRDefault="00E402EF" w:rsidP="009001C0">
      <w:pPr>
        <w:pStyle w:val="Heading2"/>
      </w:pPr>
      <w:r>
        <w:t xml:space="preserve">In the Face of a Second Demurrer, Three Motions for Sanctions, and Discovery Focused on the Origin of the June 21 Addendum, Crawford Decides To Dismiss the Action </w:t>
      </w:r>
    </w:p>
    <w:p w14:paraId="139CD4DC" w14:textId="77777777" w:rsidR="00E402EF" w:rsidRDefault="00E402EF" w:rsidP="00BE5EDA">
      <w:pPr>
        <w:autoSpaceDE w:val="0"/>
        <w:autoSpaceDN w:val="0"/>
        <w:adjustRightInd w:val="0"/>
        <w:rPr>
          <w:rFonts w:cs="TimesNewRomanPSMT"/>
        </w:rPr>
      </w:pPr>
      <w:r w:rsidRPr="00BE5EDA">
        <w:t xml:space="preserve">In an effort to save her breach of contract claim, Crawford added </w:t>
      </w:r>
      <w:r>
        <w:t xml:space="preserve">certain </w:t>
      </w:r>
      <w:r w:rsidRPr="00BE5EDA">
        <w:t xml:space="preserve">allegations in a </w:t>
      </w:r>
      <w:r>
        <w:t xml:space="preserve">Second </w:t>
      </w:r>
      <w:r w:rsidRPr="00BE5EDA">
        <w:t>Amended Complaint (</w:t>
      </w:r>
      <w:r>
        <w:t>S</w:t>
      </w:r>
      <w:r w:rsidRPr="00BE5EDA">
        <w:t>AC)</w:t>
      </w:r>
      <w:r>
        <w:t xml:space="preserve">, including an allegation that “during 2018, the Patterson Trust became aware, for the first time, of the use by construction vehicles instructed to use the former easement by Defendants Green Tree LLC and McArthur. . . . This use was repugnant to the . . . agreement that the extinguishment of the easement was automatic.” </w:t>
      </w:r>
      <w:r w:rsidRPr="00BE5EDA">
        <w:rPr>
          <w:rFonts w:cs="TimesNewRomanPSMT"/>
        </w:rPr>
        <w:t xml:space="preserve"> </w:t>
      </w:r>
      <w:r>
        <w:rPr>
          <w:rFonts w:cs="TimesNewRomanPSMT"/>
        </w:rPr>
        <w:t xml:space="preserve">McArthur filed another demurrer, arguing that the SAC failed to cure the deficiencies of the FAC. </w:t>
      </w:r>
    </w:p>
    <w:p w14:paraId="029EA8CF" w14:textId="77777777" w:rsidR="00E402EF" w:rsidRDefault="00E402EF" w:rsidP="00ED3B89">
      <w:r>
        <w:t xml:space="preserve">Meanwhile, McArthur pursued discovery designed to gather information about the provenance of the June 21 Addendum.  He served a set of special interrogatories asking about, among other things, the whereabouts of the original of the document; the identities of anyone who ever had custody of it; when the document came into Graves’s possession; and whether Crawford knew of anyone who had witnessed the purported execution of the document. </w:t>
      </w:r>
    </w:p>
    <w:p w14:paraId="1BBEB91C" w14:textId="77777777" w:rsidR="00E402EF" w:rsidRDefault="00E402EF" w:rsidP="008E0DA7">
      <w:r>
        <w:t xml:space="preserve">In her responses to these special interrogatories, Crawford claimed that all she had in her possession was an unsigned copy of a Word version of the June 21 Addendum; that the document had come from the files of an attorney (Robert Knox), who once represented Patterson in connection with various personal matters; and that to her knowledge, no signed, original version of the document existed.  She interposed an attorney-client privilege objection </w:t>
      </w:r>
      <w:r>
        <w:lastRenderedPageBreak/>
        <w:t xml:space="preserve">to questions seeking information about the circumstances under which Knox came into possession of the original and Graves came into possession of a copy. </w:t>
      </w:r>
    </w:p>
    <w:p w14:paraId="7ED02B95" w14:textId="77777777" w:rsidR="00E402EF" w:rsidRDefault="00E402EF" w:rsidP="008E0DA7">
      <w:r>
        <w:t xml:space="preserve">Dissatisfied with what he considered Crawford’s evasive responses to inquiries into an unethical effort to gain advantage in litigation against him by the use of false evidence, McArthur filed a motion to compel further responses to his special interrogatories, accompanied by three motions for sanctions against both Crawford and Graves.  </w:t>
      </w:r>
    </w:p>
    <w:p w14:paraId="1324DDC1" w14:textId="77777777" w:rsidR="00E402EF" w:rsidRDefault="00E402EF" w:rsidP="00C92F8B">
      <w:r>
        <w:t>McArthur brought the first sanctions motion under section 128.7 for discovery abuse based on Crawford’s evasive responses to his discovery; the second sanctions motion under section 128.5 for actions or tactics undertaken frivolously and in bad faith; and the third sanctions motion—which asked for issue and terminating sanctions, an order referring Graves for discipline to the State Bar, and for an order appointing a special master to investigate fraud—under the court’s inherent power to punish contempt.  T</w:t>
      </w:r>
      <w:r>
        <w:t>hese sanctions motions were accompanied by the declarations of four experts, each of whom opined that the copy of McArthur’s signature on the June 21 Addendum was forged.</w:t>
      </w:r>
      <w:r>
        <w:rPr>
          <w:rStyle w:val="FootnoteReference"/>
        </w:rPr>
        <w:footnoteReference w:id="9"/>
      </w:r>
      <w:r>
        <w:t xml:space="preserve">   </w:t>
      </w:r>
    </w:p>
    <w:p w14:paraId="085BFAE0" w14:textId="77777777" w:rsidR="00E402EF" w:rsidRDefault="00E402EF" w:rsidP="00C92F8B">
      <w:r>
        <w:t xml:space="preserve">On January 21, 2020, rather than file responses to McArthur’s second demurrer, motion to compel further responses to his special interrogatories, </w:t>
      </w:r>
      <w:r>
        <w:lastRenderedPageBreak/>
        <w:t xml:space="preserve">and sanctions motions, Crawford filed a voluntary dismissal of her action against McArthur.  Although at that point all pending motions were taken off calendar, McArthur continued to pursue his sanctions motions, recalendering them for hearing following dismissal of the action and seeking a post-judgment award of prevailing party attorney’s fees under the disputed contract.    </w:t>
      </w:r>
    </w:p>
    <w:p w14:paraId="4BB41AF9" w14:textId="77777777" w:rsidR="00E402EF" w:rsidRDefault="00E402EF" w:rsidP="00ED3B89">
      <w:r>
        <w:t>In a declaration accompanying her opposition to the sanctions motions, Crawford claimed she decided to dismiss the action against McArthur because the mounting attorney’s fees and costs required to continue with the action had risen to a level that was disproportionate to the value of Lot 4, and that, in addition, she had sought and been presented with architectural plans for building a structure on Lot 4 in a way that would accommodate the Driveway Easement, making further pursuit of the litigation against</w:t>
      </w:r>
      <w:r>
        <w:t xml:space="preserve"> McArthur unnecessary.  </w:t>
      </w:r>
    </w:p>
    <w:p w14:paraId="577B93C1" w14:textId="77777777" w:rsidR="00E402EF" w:rsidRDefault="00E402EF" w:rsidP="00ED3B89">
      <w:r>
        <w:t xml:space="preserve">When the sanctions motions came on for hearing, the court’s tentative ruling was (1) to grant in part McArthur’s motion for discovery sanctions under section 128.7 and issue a post-judgment order under section 2023.030, subdivision (a), awarding attorney’s fees and costs against Crawford and Graves jointly in the amount of $63,800 for discovery abuse, but (2) to deny all other sanctions.  </w:t>
      </w:r>
    </w:p>
    <w:p w14:paraId="3AE03006" w14:textId="77777777" w:rsidR="00E402EF" w:rsidRDefault="00E402EF" w:rsidP="00DE2A60">
      <w:r>
        <w:t>At the hearing on the sanctions motions, Brekhus argued that “I would describe the court’s tentative ruling as a bit of a slap on the wrist because it addresses the malfeasance in the discovery abuse, but it does not address the malfeasance in presenting the forged document. [¶] . . . [¶] Now, my clients, since finding out about the forgery, spent a small fortune, and by giving a portion of the money s[p]ent to vindicate that forgery back, that’s not justice.”  In an order entered September 23, 2020, the co</w:t>
      </w:r>
      <w:r>
        <w:t xml:space="preserve">urt adhered to its tentative </w:t>
      </w:r>
      <w:r>
        <w:lastRenderedPageBreak/>
        <w:t xml:space="preserve">ruling, granting the section 128.7 motion in part and denying all other requested sanctions.  </w:t>
      </w:r>
      <w:r w:rsidRPr="00167F32">
        <w:t xml:space="preserve">  </w:t>
      </w:r>
    </w:p>
    <w:p w14:paraId="459F3903" w14:textId="77777777" w:rsidR="00E402EF" w:rsidRDefault="00E402EF" w:rsidP="00A474A2">
      <w:r w:rsidRPr="00167F32">
        <w:t>Although the order denying the section 128.5 motion state</w:t>
      </w:r>
      <w:r>
        <w:t>d</w:t>
      </w:r>
      <w:r w:rsidRPr="00167F32">
        <w:t xml:space="preserve"> no reason for the denial, the tentative ruling </w:t>
      </w:r>
      <w:r>
        <w:t>explained</w:t>
      </w:r>
      <w:r w:rsidRPr="00167F32">
        <w:t>:  “Defendants have not complied with the statutory requirements in order to be afforded relief under Code of Civil Procedure 128.5.  Defendants were required to provide 21-days safe harbor notice prior to filing their motion but failed to do so.  The allegedly fraudulent document was attached to Plaintiff’s Opposition to the Demurrer and could have been stricken or withdrawn. Plaintiff also could have dismissed the case, as she in fact did, in order</w:t>
      </w:r>
      <w:r w:rsidRPr="00167F32">
        <w:t xml:space="preserve"> to correct the issue.  The motion for sanctions is therefore denied.”  </w:t>
      </w:r>
    </w:p>
    <w:p w14:paraId="085AF1F9" w14:textId="77777777" w:rsidR="00E402EF" w:rsidRDefault="00E402EF" w:rsidP="002D76EB">
      <w:pPr>
        <w:autoSpaceDE w:val="0"/>
        <w:autoSpaceDN w:val="0"/>
        <w:adjustRightInd w:val="0"/>
        <w:rPr>
          <w:rFonts w:cs="Times New Roman"/>
        </w:rPr>
      </w:pPr>
      <w:r w:rsidRPr="00167F32">
        <w:t>With respect to the various forms of contempt sanctions</w:t>
      </w:r>
      <w:r>
        <w:t xml:space="preserve"> requested by McArthur</w:t>
      </w:r>
      <w:r w:rsidRPr="00167F32">
        <w:t xml:space="preserve">, the court stated: </w:t>
      </w:r>
      <w:r>
        <w:t xml:space="preserve"> </w:t>
      </w:r>
      <w:r w:rsidRPr="00167F32">
        <w:t>“</w:t>
      </w:r>
      <w:r w:rsidRPr="00167F32">
        <w:rPr>
          <w:rFonts w:cs="Times New Roman"/>
        </w:rPr>
        <w:t>Defendants</w:t>
      </w:r>
      <w:r>
        <w:rPr>
          <w:rFonts w:cs="Times New Roman"/>
        </w:rPr>
        <w:t>’</w:t>
      </w:r>
      <w:r w:rsidRPr="00167F32">
        <w:rPr>
          <w:rFonts w:cs="Times New Roman"/>
        </w:rPr>
        <w:t xml:space="preserve"> requests to dismiss the case with prejudice, for terminating or contempt sanctions, for the court report counsel to the state bar, and for appointment of a special master to manage an inquiry into plaintif</w:t>
      </w:r>
      <w:r w:rsidRPr="004F2E33">
        <w:rPr>
          <w:rFonts w:cs="Times New Roman"/>
          <w:spacing w:val="20"/>
        </w:rPr>
        <w:t>f’</w:t>
      </w:r>
      <w:r w:rsidRPr="00167F32">
        <w:rPr>
          <w:rFonts w:cs="Times New Roman"/>
        </w:rPr>
        <w:t xml:space="preserve">s alleged fraud, are denied. </w:t>
      </w:r>
      <w:r>
        <w:rPr>
          <w:rFonts w:cs="Times New Roman"/>
        </w:rPr>
        <w:t xml:space="preserve"> </w:t>
      </w:r>
      <w:r w:rsidRPr="00167F32">
        <w:rPr>
          <w:rFonts w:cs="Times New Roman"/>
        </w:rPr>
        <w:t xml:space="preserve">The court finds monetary sanctions are the appropriate remedy.”  </w:t>
      </w:r>
    </w:p>
    <w:p w14:paraId="240194AE" w14:textId="77777777" w:rsidR="00E402EF" w:rsidRDefault="00E402EF" w:rsidP="002D76EB">
      <w:pPr>
        <w:autoSpaceDE w:val="0"/>
        <w:autoSpaceDN w:val="0"/>
        <w:adjustRightInd w:val="0"/>
      </w:pPr>
      <w:r w:rsidRPr="00167F32">
        <w:t>None of the sanctions orders has been appealed by any party.</w:t>
      </w:r>
    </w:p>
    <w:p w14:paraId="6BB1AC07" w14:textId="77777777" w:rsidR="00E402EF" w:rsidRDefault="00E402EF" w:rsidP="0074568F">
      <w:pPr>
        <w:pStyle w:val="Heading2"/>
      </w:pPr>
      <w:r>
        <w:t xml:space="preserve"> McArthur Sues for Malicious Prosecution and Crawford and Graves Respond with an Anti-SLAPP Motion</w:t>
      </w:r>
    </w:p>
    <w:p w14:paraId="1A217A10" w14:textId="77777777" w:rsidR="00E402EF" w:rsidRDefault="00E402EF" w:rsidP="00314B06">
      <w:pPr>
        <w:shd w:val="clear" w:color="auto" w:fill="FFFFFF"/>
        <w:rPr>
          <w:rFonts w:eastAsia="Times New Roman" w:cs="Times New Roman"/>
          <w:color w:val="000000"/>
        </w:rPr>
      </w:pPr>
      <w:r w:rsidRPr="001D7764">
        <w:t>On January</w:t>
      </w:r>
      <w:r>
        <w:t> </w:t>
      </w:r>
      <w:r w:rsidRPr="001D7764">
        <w:t xml:space="preserve">20, 2021, </w:t>
      </w:r>
      <w:r>
        <w:t>McArthur</w:t>
      </w:r>
      <w:r w:rsidRPr="001D7764">
        <w:t xml:space="preserve"> filed</w:t>
      </w:r>
      <w:r>
        <w:t xml:space="preserve"> a </w:t>
      </w:r>
      <w:r w:rsidRPr="001D7764">
        <w:t xml:space="preserve">malicious prosecution </w:t>
      </w:r>
      <w:r>
        <w:t xml:space="preserve">action </w:t>
      </w:r>
      <w:r w:rsidRPr="001D7764">
        <w:t>against Crawford</w:t>
      </w:r>
      <w:r>
        <w:t xml:space="preserve"> and Graves</w:t>
      </w:r>
      <w:r w:rsidRPr="001D7764">
        <w:t xml:space="preserve">.  </w:t>
      </w:r>
      <w:r>
        <w:t xml:space="preserve">In response, </w:t>
      </w:r>
      <w:r w:rsidRPr="001D7764">
        <w:t xml:space="preserve">Crawford </w:t>
      </w:r>
      <w:r>
        <w:t>and Graves each filed a moti</w:t>
      </w:r>
      <w:r w:rsidRPr="001D7764">
        <w:t>on to strike</w:t>
      </w:r>
      <w:r w:rsidRPr="001D7764">
        <w:rPr>
          <w:rFonts w:eastAsia="Times New Roman" w:cs="Times New Roman"/>
          <w:color w:val="000000"/>
        </w:rPr>
        <w:t xml:space="preserve"> </w:t>
      </w:r>
      <w:r>
        <w:rPr>
          <w:rFonts w:eastAsia="Times New Roman" w:cs="Times New Roman"/>
          <w:color w:val="000000"/>
        </w:rPr>
        <w:t xml:space="preserve">the complaint in its entirety </w:t>
      </w:r>
      <w:r w:rsidRPr="001D7764">
        <w:rPr>
          <w:rFonts w:eastAsia="Times New Roman" w:cs="Times New Roman"/>
          <w:color w:val="000000"/>
        </w:rPr>
        <w:t>under section 425.16</w:t>
      </w:r>
      <w:r>
        <w:rPr>
          <w:rFonts w:eastAsia="Times New Roman" w:cs="Times New Roman"/>
          <w:color w:val="000000"/>
        </w:rPr>
        <w:t>.  At issue in this appeal is the trial court’s order denying these two anti-SLAPP motions.  In that order, which starts from the premise that, by definition, a malicious prosecution action targets protected petitioning activity under the anti-SLAPP statute, the court focused only on the second step of the two-</w:t>
      </w:r>
      <w:r>
        <w:rPr>
          <w:rFonts w:eastAsia="Times New Roman" w:cs="Times New Roman"/>
          <w:color w:val="000000"/>
        </w:rPr>
        <w:t xml:space="preserve">step anti-SLAPP framework of analysis—whether McArthur produced enough </w:t>
      </w:r>
      <w:r>
        <w:rPr>
          <w:rFonts w:eastAsia="Times New Roman" w:cs="Times New Roman"/>
          <w:color w:val="000000"/>
        </w:rPr>
        <w:lastRenderedPageBreak/>
        <w:t xml:space="preserve">evidence to show a reasonable probability of success on the merits.  It found that he did, and ruled for McArthur. </w:t>
      </w:r>
    </w:p>
    <w:p w14:paraId="1154727C" w14:textId="77777777" w:rsidR="00E402EF" w:rsidRPr="00BE5EDA" w:rsidRDefault="00E402EF" w:rsidP="00ED0FAC">
      <w:pPr>
        <w:shd w:val="clear" w:color="auto" w:fill="FFFFFF"/>
      </w:pPr>
      <w:r>
        <w:rPr>
          <w:rFonts w:eastAsia="Times New Roman" w:cs="Times New Roman"/>
          <w:color w:val="000000"/>
        </w:rPr>
        <w:t xml:space="preserve">Crawford and Graves filed timely notices of appeal. </w:t>
      </w:r>
      <w:r w:rsidRPr="00BE5EDA">
        <w:t xml:space="preserve"> </w:t>
      </w:r>
    </w:p>
    <w:p w14:paraId="6FB8BB23" w14:textId="77777777" w:rsidR="00E402EF" w:rsidRDefault="00E402EF" w:rsidP="00394626">
      <w:pPr>
        <w:pStyle w:val="Heading1"/>
      </w:pPr>
      <w:r>
        <w:t>DISCUSSION</w:t>
      </w:r>
    </w:p>
    <w:p w14:paraId="1CF0217B" w14:textId="77777777" w:rsidR="00E402EF" w:rsidRDefault="00E402EF" w:rsidP="00900797">
      <w:pPr>
        <w:pStyle w:val="Heading2"/>
        <w:numPr>
          <w:ilvl w:val="0"/>
          <w:numId w:val="24"/>
        </w:numPr>
      </w:pPr>
      <w:r>
        <w:t>Applicable Legal Principles</w:t>
      </w:r>
    </w:p>
    <w:p w14:paraId="43413796" w14:textId="77777777" w:rsidR="00E402EF" w:rsidRPr="00963A04" w:rsidRDefault="00E402EF" w:rsidP="006F0139">
      <w:pPr>
        <w:shd w:val="clear" w:color="auto" w:fill="FFFFFF"/>
        <w:rPr>
          <w:rFonts w:eastAsia="Times New Roman" w:cs="Times New Roman"/>
          <w:color w:val="000000"/>
        </w:rPr>
      </w:pPr>
      <w:r w:rsidRPr="006F0139">
        <w:rPr>
          <w:rFonts w:eastAsia="Times New Roman" w:cs="Times New Roman"/>
          <w:color w:val="000000"/>
        </w:rPr>
        <w:t>“</w:t>
      </w:r>
      <w:r w:rsidRPr="00963A04">
        <w:rPr>
          <w:rFonts w:eastAsia="Times New Roman" w:cs="Times New Roman"/>
          <w:color w:val="000000"/>
        </w:rPr>
        <w:t xml:space="preserve">The anti-SLAPP statute requires a two-step analysis. </w:t>
      </w:r>
      <w:r>
        <w:rPr>
          <w:rFonts w:eastAsia="Times New Roman" w:cs="Times New Roman"/>
          <w:color w:val="000000"/>
        </w:rPr>
        <w:t xml:space="preserve"> </w:t>
      </w:r>
      <w:r w:rsidRPr="00963A04">
        <w:rPr>
          <w:rFonts w:eastAsia="Times New Roman" w:cs="Times New Roman"/>
          <w:color w:val="000000"/>
        </w:rPr>
        <w:t xml:space="preserve">First, the defendant must establish that the challenged claim arises from his or her act in furtherance of the </w:t>
      </w:r>
      <w:r>
        <w:rPr>
          <w:rFonts w:eastAsia="Times New Roman" w:cs="Times New Roman"/>
          <w:color w:val="000000"/>
        </w:rPr>
        <w:t>‘ </w:t>
      </w:r>
      <w:r w:rsidRPr="00963A04">
        <w:rPr>
          <w:rFonts w:eastAsia="Times New Roman" w:cs="Times New Roman"/>
          <w:color w:val="000000"/>
        </w:rPr>
        <w:t xml:space="preserve">“ right of petition or free speech under the [federal or state] Constitution in connection with a public issue </w:t>
      </w:r>
      <w:r>
        <w:rPr>
          <w:rFonts w:eastAsia="Times New Roman" w:cs="Times New Roman"/>
          <w:color w:val="000000"/>
        </w:rPr>
        <w:t>. . .” . . . .</w:t>
      </w:r>
      <w:r w:rsidRPr="00963A04">
        <w:rPr>
          <w:rFonts w:eastAsia="Times New Roman" w:cs="Times New Roman"/>
          <w:color w:val="000000"/>
        </w:rPr>
        <w:t xml:space="preserve"> (§</w:t>
      </w:r>
      <w:r>
        <w:rPr>
          <w:rFonts w:eastAsia="Times New Roman" w:cs="Times New Roman"/>
          <w:color w:val="000000"/>
        </w:rPr>
        <w:t> </w:t>
      </w:r>
      <w:r w:rsidRPr="00963A04">
        <w:rPr>
          <w:rFonts w:eastAsia="Times New Roman" w:cs="Times New Roman"/>
          <w:color w:val="000000"/>
        </w:rPr>
        <w:t>425.16, subd.</w:t>
      </w:r>
      <w:r>
        <w:rPr>
          <w:rFonts w:eastAsia="Times New Roman" w:cs="Times New Roman"/>
          <w:color w:val="000000"/>
        </w:rPr>
        <w:t> </w:t>
      </w:r>
      <w:r w:rsidRPr="00963A04">
        <w:rPr>
          <w:rFonts w:eastAsia="Times New Roman" w:cs="Times New Roman"/>
          <w:color w:val="000000"/>
        </w:rPr>
        <w:t xml:space="preserve">(b)(1).) </w:t>
      </w:r>
      <w:r>
        <w:rPr>
          <w:rFonts w:eastAsia="Times New Roman" w:cs="Times New Roman"/>
          <w:color w:val="000000"/>
        </w:rPr>
        <w:t xml:space="preserve"> “</w:t>
      </w:r>
      <w:r w:rsidRPr="00963A04">
        <w:rPr>
          <w:rFonts w:eastAsia="Times New Roman" w:cs="Times New Roman"/>
          <w:color w:val="000000"/>
        </w:rPr>
        <w:t xml:space="preserve">The anti-SLAPP statute does not insulate defendants from </w:t>
      </w:r>
      <w:r w:rsidRPr="00963A04">
        <w:rPr>
          <w:rFonts w:eastAsia="Times New Roman" w:cs="Times New Roman"/>
          <w:i/>
          <w:iCs/>
          <w:color w:val="3D3D3D"/>
          <w:bdr w:val="none" w:sz="0" w:space="0" w:color="auto" w:frame="1"/>
        </w:rPr>
        <w:t>any</w:t>
      </w:r>
      <w:r w:rsidRPr="00963A04">
        <w:rPr>
          <w:rFonts w:eastAsia="Times New Roman" w:cs="Times New Roman"/>
          <w:color w:val="000000"/>
        </w:rPr>
        <w:t xml:space="preserve"> liability for claims arising from the protected rights of petition or speech. It only provides a procedure for weeding out, at an </w:t>
      </w:r>
      <w:r w:rsidRPr="00963A04">
        <w:rPr>
          <w:rFonts w:eastAsia="Times New Roman" w:cs="Times New Roman"/>
          <w:color w:val="000000"/>
        </w:rPr>
        <w:t xml:space="preserve">early stage, </w:t>
      </w:r>
      <w:r w:rsidRPr="00963A04">
        <w:rPr>
          <w:rFonts w:eastAsia="Times New Roman" w:cs="Times New Roman"/>
          <w:i/>
          <w:iCs/>
          <w:color w:val="3D3D3D"/>
          <w:bdr w:val="none" w:sz="0" w:space="0" w:color="auto" w:frame="1"/>
        </w:rPr>
        <w:t>meritless</w:t>
      </w:r>
      <w:r w:rsidRPr="00963A04">
        <w:rPr>
          <w:rFonts w:eastAsia="Times New Roman" w:cs="Times New Roman"/>
          <w:color w:val="000000"/>
        </w:rPr>
        <w:t xml:space="preserve"> claims arising from protected activity.</w:t>
      </w:r>
      <w:r>
        <w:rPr>
          <w:rFonts w:eastAsia="Times New Roman" w:cs="Times New Roman"/>
          <w:color w:val="000000"/>
        </w:rPr>
        <w:t>” </w:t>
      </w:r>
      <w:r w:rsidRPr="00963A04">
        <w:rPr>
          <w:rFonts w:eastAsia="Times New Roman" w:cs="Times New Roman"/>
          <w:color w:val="000000"/>
        </w:rPr>
        <w:t>’</w:t>
      </w:r>
      <w:r>
        <w:rPr>
          <w:rFonts w:eastAsia="Times New Roman" w:cs="Times New Roman"/>
          <w:color w:val="000000"/>
        </w:rPr>
        <w:t> </w:t>
      </w:r>
      <w:r w:rsidRPr="00963A04">
        <w:rPr>
          <w:rFonts w:eastAsia="Times New Roman" w:cs="Times New Roman"/>
          <w:color w:val="000000"/>
        </w:rPr>
        <w:t>”</w:t>
      </w:r>
      <w:r w:rsidRPr="006F0139">
        <w:rPr>
          <w:rFonts w:eastAsia="Times New Roman" w:cs="Times New Roman"/>
          <w:color w:val="000000"/>
        </w:rPr>
        <w:t xml:space="preserve">  (</w:t>
      </w:r>
      <w:r w:rsidRPr="00963A04">
        <w:rPr>
          <w:rFonts w:eastAsia="Times New Roman" w:cs="Times New Roman"/>
          <w:i/>
          <w:iCs/>
          <w:color w:val="3D3D3D"/>
          <w:bdr w:val="none" w:sz="0" w:space="0" w:color="auto" w:frame="1"/>
        </w:rPr>
        <w:t>Roche v. Hyde</w:t>
      </w:r>
      <w:r w:rsidRPr="00963A04">
        <w:rPr>
          <w:rFonts w:eastAsia="Times New Roman" w:cs="Times New Roman"/>
          <w:color w:val="000000"/>
        </w:rPr>
        <w:t xml:space="preserve"> (2020) 51</w:t>
      </w:r>
      <w:r>
        <w:rPr>
          <w:rFonts w:eastAsia="Times New Roman" w:cs="Times New Roman"/>
          <w:color w:val="000000"/>
        </w:rPr>
        <w:t> </w:t>
      </w:r>
      <w:r w:rsidRPr="00963A04">
        <w:rPr>
          <w:rFonts w:eastAsia="Times New Roman" w:cs="Times New Roman"/>
          <w:color w:val="000000"/>
        </w:rPr>
        <w:t xml:space="preserve">Cal.App.5th 757, </w:t>
      </w:r>
      <w:r w:rsidRPr="00963A04">
        <w:rPr>
          <w:rFonts w:eastAsia="Times New Roman" w:cs="Times New Roman"/>
          <w:color w:val="000000"/>
        </w:rPr>
        <w:t>786–787</w:t>
      </w:r>
      <w:r w:rsidRPr="006F0139">
        <w:rPr>
          <w:rFonts w:eastAsia="Times New Roman" w:cs="Times New Roman"/>
          <w:color w:val="000000"/>
        </w:rPr>
        <w:t xml:space="preserve"> (</w:t>
      </w:r>
      <w:r w:rsidRPr="00DB61FF">
        <w:rPr>
          <w:rFonts w:eastAsia="Times New Roman" w:cs="Times New Roman"/>
          <w:i/>
          <w:iCs/>
          <w:color w:val="000000"/>
        </w:rPr>
        <w:t>Roche</w:t>
      </w:r>
      <w:r w:rsidRPr="006F0139">
        <w:rPr>
          <w:rFonts w:eastAsia="Times New Roman" w:cs="Times New Roman"/>
          <w:color w:val="000000"/>
        </w:rPr>
        <w:t>)</w:t>
      </w:r>
      <w:r>
        <w:rPr>
          <w:rFonts w:eastAsia="Times New Roman" w:cs="Times New Roman"/>
          <w:color w:val="000000"/>
        </w:rPr>
        <w:t>, original italics</w:t>
      </w:r>
      <w:r w:rsidRPr="006F0139">
        <w:rPr>
          <w:rFonts w:eastAsia="Times New Roman" w:cs="Times New Roman"/>
          <w:color w:val="000000"/>
        </w:rPr>
        <w:t xml:space="preserve">.) </w:t>
      </w:r>
    </w:p>
    <w:p w14:paraId="37FE4F68" w14:textId="77777777" w:rsidR="00E402EF" w:rsidRDefault="00E402EF" w:rsidP="006F0139">
      <w:pPr>
        <w:shd w:val="clear" w:color="auto" w:fill="FFFFFF"/>
        <w:rPr>
          <w:rFonts w:eastAsia="Times New Roman" w:cs="Times New Roman"/>
          <w:color w:val="000000"/>
        </w:rPr>
      </w:pPr>
      <w:r w:rsidRPr="006F0139">
        <w:rPr>
          <w:rFonts w:eastAsia="Times New Roman" w:cs="Times New Roman"/>
          <w:color w:val="000000"/>
        </w:rPr>
        <w:t>“</w:t>
      </w:r>
      <w:r>
        <w:rPr>
          <w:rFonts w:eastAsia="Times New Roman" w:cs="Times New Roman"/>
          <w:color w:val="000000"/>
        </w:rPr>
        <w:t> </w:t>
      </w:r>
      <w:r w:rsidRPr="00963A04">
        <w:rPr>
          <w:rFonts w:eastAsia="Times New Roman" w:cs="Times New Roman"/>
          <w:color w:val="000000"/>
        </w:rPr>
        <w:t>‘</w:t>
      </w:r>
      <w:r>
        <w:rPr>
          <w:rFonts w:eastAsia="Times New Roman" w:cs="Times New Roman"/>
          <w:color w:val="000000"/>
        </w:rPr>
        <w:t> “</w:t>
      </w:r>
      <w:r w:rsidRPr="00963A04">
        <w:rPr>
          <w:rFonts w:eastAsia="Times New Roman" w:cs="Times New Roman"/>
          <w:color w:val="000000"/>
        </w:rPr>
        <w:t xml:space="preserve">If the defendant makes the required showing, the burden shifts to the plaintiff to demonstrate the merit of the claim by establishing a probability of success. </w:t>
      </w:r>
      <w:r>
        <w:rPr>
          <w:rFonts w:eastAsia="Times New Roman" w:cs="Times New Roman"/>
          <w:color w:val="000000"/>
        </w:rPr>
        <w:t xml:space="preserve"> </w:t>
      </w:r>
      <w:r w:rsidRPr="00963A04">
        <w:rPr>
          <w:rFonts w:eastAsia="Times New Roman" w:cs="Times New Roman"/>
          <w:color w:val="000000"/>
        </w:rPr>
        <w:t xml:space="preserve">We have described this second step as a </w:t>
      </w:r>
      <w:r>
        <w:rPr>
          <w:rFonts w:eastAsia="Times New Roman" w:cs="Times New Roman"/>
          <w:color w:val="000000"/>
        </w:rPr>
        <w:t>‘</w:t>
      </w:r>
      <w:r w:rsidRPr="00963A04">
        <w:rPr>
          <w:rFonts w:eastAsia="Times New Roman" w:cs="Times New Roman"/>
          <w:color w:val="000000"/>
        </w:rPr>
        <w:t>summary-judgment-like procedure.</w:t>
      </w:r>
      <w:r>
        <w:rPr>
          <w:rFonts w:eastAsia="Times New Roman" w:cs="Times New Roman"/>
          <w:color w:val="000000"/>
        </w:rPr>
        <w:t xml:space="preserve">’ </w:t>
      </w:r>
      <w:r w:rsidRPr="00963A04">
        <w:rPr>
          <w:rFonts w:eastAsia="Times New Roman" w:cs="Times New Roman"/>
          <w:color w:val="000000"/>
        </w:rPr>
        <w:t xml:space="preserve"> [Citation.] </w:t>
      </w:r>
      <w:r>
        <w:rPr>
          <w:rFonts w:eastAsia="Times New Roman" w:cs="Times New Roman"/>
          <w:color w:val="000000"/>
        </w:rPr>
        <w:t xml:space="preserve"> </w:t>
      </w:r>
      <w:r w:rsidRPr="00963A04">
        <w:rPr>
          <w:rFonts w:eastAsia="Times New Roman" w:cs="Times New Roman"/>
          <w:color w:val="000000"/>
        </w:rPr>
        <w:t>The court does not weigh evidence or resolve conflicting factual claims.</w:t>
      </w:r>
      <w:r>
        <w:rPr>
          <w:rFonts w:eastAsia="Times New Roman" w:cs="Times New Roman"/>
          <w:color w:val="000000"/>
        </w:rPr>
        <w:t xml:space="preserve"> </w:t>
      </w:r>
      <w:r w:rsidRPr="00963A04">
        <w:rPr>
          <w:rFonts w:eastAsia="Times New Roman" w:cs="Times New Roman"/>
          <w:color w:val="000000"/>
        </w:rPr>
        <w:t xml:space="preserve"> Its inquiry is limited to whether the plaintiff has stated a legally sufficient claim and made a prima facie factual showing sufficient to sustain a favorable judgment. </w:t>
      </w:r>
      <w:r>
        <w:rPr>
          <w:rFonts w:eastAsia="Times New Roman" w:cs="Times New Roman"/>
          <w:color w:val="000000"/>
        </w:rPr>
        <w:t xml:space="preserve"> </w:t>
      </w:r>
      <w:r w:rsidRPr="00963A04">
        <w:rPr>
          <w:rFonts w:eastAsia="Times New Roman" w:cs="Times New Roman"/>
          <w:color w:val="000000"/>
        </w:rPr>
        <w:t>It accepts the</w:t>
      </w:r>
      <w:r w:rsidRPr="00963A04">
        <w:rPr>
          <w:rFonts w:eastAsia="Times New Roman" w:cs="Times New Roman"/>
          <w:color w:val="000000"/>
        </w:rPr>
        <w:t xml:space="preserve"> plaintif</w:t>
      </w:r>
      <w:r w:rsidRPr="00702F87">
        <w:rPr>
          <w:rFonts w:eastAsia="Times New Roman" w:cs="Times New Roman"/>
          <w:color w:val="000000"/>
          <w:spacing w:val="20"/>
        </w:rPr>
        <w:t>f</w:t>
      </w:r>
      <w:r w:rsidRPr="00563BA0">
        <w:rPr>
          <w:rFonts w:eastAsia="Times New Roman" w:cs="Times New Roman"/>
          <w:color w:val="000000"/>
        </w:rPr>
        <w:t>’</w:t>
      </w:r>
      <w:r w:rsidRPr="00963A04">
        <w:rPr>
          <w:rFonts w:eastAsia="Times New Roman" w:cs="Times New Roman"/>
          <w:color w:val="000000"/>
        </w:rPr>
        <w:t>s evidence as true, and evaluates the defendant</w:t>
      </w:r>
      <w:r>
        <w:rPr>
          <w:rFonts w:eastAsia="Times New Roman" w:cs="Times New Roman"/>
          <w:color w:val="000000"/>
        </w:rPr>
        <w:t>’</w:t>
      </w:r>
      <w:r w:rsidRPr="00963A04">
        <w:rPr>
          <w:rFonts w:eastAsia="Times New Roman" w:cs="Times New Roman"/>
          <w:color w:val="000000"/>
        </w:rPr>
        <w:t>s showing only to determine if it defeats the plaintif</w:t>
      </w:r>
      <w:r w:rsidRPr="00702F87">
        <w:rPr>
          <w:rFonts w:eastAsia="Times New Roman" w:cs="Times New Roman"/>
          <w:color w:val="000000"/>
          <w:spacing w:val="20"/>
        </w:rPr>
        <w:t>f</w:t>
      </w:r>
      <w:r w:rsidRPr="00563BA0">
        <w:rPr>
          <w:rFonts w:eastAsia="Times New Roman" w:cs="Times New Roman"/>
          <w:color w:val="000000"/>
        </w:rPr>
        <w:t>’</w:t>
      </w:r>
      <w:r w:rsidRPr="00963A04">
        <w:rPr>
          <w:rFonts w:eastAsia="Times New Roman" w:cs="Times New Roman"/>
          <w:color w:val="000000"/>
        </w:rPr>
        <w:t xml:space="preserve">s claim as a matter of law. </w:t>
      </w:r>
      <w:r>
        <w:rPr>
          <w:rFonts w:eastAsia="Times New Roman" w:cs="Times New Roman"/>
          <w:color w:val="000000"/>
        </w:rPr>
        <w:t xml:space="preserve"> </w:t>
      </w:r>
      <w:r w:rsidRPr="00963A04">
        <w:rPr>
          <w:rFonts w:eastAsia="Times New Roman" w:cs="Times New Roman"/>
          <w:color w:val="000000"/>
        </w:rPr>
        <w:t xml:space="preserve">[Citation.]  </w:t>
      </w:r>
      <w:r>
        <w:rPr>
          <w:rFonts w:eastAsia="Times New Roman" w:cs="Times New Roman"/>
          <w:color w:val="000000"/>
        </w:rPr>
        <w:t>‘</w:t>
      </w:r>
      <w:r w:rsidRPr="00963A04">
        <w:rPr>
          <w:rFonts w:eastAsia="Times New Roman" w:cs="Times New Roman"/>
          <w:color w:val="000000"/>
        </w:rPr>
        <w:t>[C]laims with the requisite minimal merit may proceed.</w:t>
      </w:r>
      <w:r>
        <w:rPr>
          <w:rFonts w:eastAsia="Times New Roman" w:cs="Times New Roman"/>
          <w:color w:val="000000"/>
        </w:rPr>
        <w:t>’ </w:t>
      </w:r>
      <w:r w:rsidRPr="00963A04">
        <w:rPr>
          <w:rFonts w:eastAsia="Times New Roman" w:cs="Times New Roman"/>
          <w:color w:val="000000"/>
        </w:rPr>
        <w:t>”</w:t>
      </w:r>
      <w:r>
        <w:rPr>
          <w:rFonts w:eastAsia="Times New Roman" w:cs="Times New Roman"/>
          <w:color w:val="000000"/>
        </w:rPr>
        <w:t> </w:t>
      </w:r>
      <w:r w:rsidRPr="00963A04">
        <w:rPr>
          <w:rFonts w:eastAsia="Times New Roman" w:cs="Times New Roman"/>
          <w:color w:val="000000"/>
        </w:rPr>
        <w:t>’</w:t>
      </w:r>
      <w:r>
        <w:rPr>
          <w:rFonts w:eastAsia="Times New Roman" w:cs="Times New Roman"/>
          <w:color w:val="000000"/>
        </w:rPr>
        <w:t> </w:t>
      </w:r>
      <w:r w:rsidRPr="00963A04">
        <w:rPr>
          <w:rFonts w:eastAsia="Times New Roman" w:cs="Times New Roman"/>
          <w:color w:val="000000"/>
        </w:rPr>
        <w:t xml:space="preserve">” </w:t>
      </w:r>
      <w:r w:rsidRPr="006F0139">
        <w:rPr>
          <w:rFonts w:eastAsia="Times New Roman" w:cs="Times New Roman"/>
          <w:color w:val="000000"/>
        </w:rPr>
        <w:t xml:space="preserve"> </w:t>
      </w:r>
      <w:r w:rsidRPr="00CA53E9">
        <w:rPr>
          <w:rFonts w:eastAsia="Times New Roman" w:cs="Times New Roman"/>
        </w:rPr>
        <w:t>(</w:t>
      </w:r>
      <w:r w:rsidRPr="00CA53E9">
        <w:rPr>
          <w:rFonts w:eastAsia="Times New Roman" w:cs="Times New Roman"/>
          <w:i/>
          <w:iCs/>
          <w:bdr w:val="none" w:sz="0" w:space="0" w:color="auto" w:frame="1"/>
        </w:rPr>
        <w:t>Roche, supra,</w:t>
      </w:r>
      <w:r w:rsidRPr="00CA53E9">
        <w:rPr>
          <w:rFonts w:eastAsia="Times New Roman" w:cs="Times New Roman"/>
          <w:i/>
          <w:bdr w:val="none" w:sz="0" w:space="0" w:color="auto" w:frame="1"/>
        </w:rPr>
        <w:t xml:space="preserve"> </w:t>
      </w:r>
      <w:r w:rsidRPr="00963A04">
        <w:rPr>
          <w:rFonts w:eastAsia="Times New Roman" w:cs="Times New Roman"/>
          <w:color w:val="000000"/>
        </w:rPr>
        <w:t>51</w:t>
      </w:r>
      <w:r>
        <w:rPr>
          <w:rFonts w:eastAsia="Times New Roman" w:cs="Times New Roman"/>
          <w:color w:val="000000"/>
        </w:rPr>
        <w:t> </w:t>
      </w:r>
      <w:r w:rsidRPr="00963A04">
        <w:rPr>
          <w:rFonts w:eastAsia="Times New Roman" w:cs="Times New Roman"/>
          <w:color w:val="000000"/>
        </w:rPr>
        <w:t xml:space="preserve">Cal.App.5th </w:t>
      </w:r>
      <w:r w:rsidRPr="006F0139">
        <w:rPr>
          <w:rFonts w:eastAsia="Times New Roman" w:cs="Times New Roman"/>
          <w:color w:val="000000"/>
        </w:rPr>
        <w:t>at p.</w:t>
      </w:r>
      <w:r>
        <w:rPr>
          <w:rFonts w:eastAsia="Times New Roman" w:cs="Times New Roman"/>
          <w:color w:val="000000"/>
        </w:rPr>
        <w:t> </w:t>
      </w:r>
      <w:r w:rsidRPr="00963A04">
        <w:rPr>
          <w:rFonts w:eastAsia="Times New Roman" w:cs="Times New Roman"/>
          <w:color w:val="000000"/>
        </w:rPr>
        <w:t>787</w:t>
      </w:r>
      <w:r w:rsidRPr="006F0139">
        <w:rPr>
          <w:rFonts w:eastAsia="Times New Roman" w:cs="Times New Roman"/>
          <w:color w:val="000000"/>
        </w:rPr>
        <w:t xml:space="preserve">.)  </w:t>
      </w:r>
    </w:p>
    <w:p w14:paraId="3239216C" w14:textId="77777777" w:rsidR="00E402EF" w:rsidRPr="006F0139" w:rsidRDefault="00E402EF" w:rsidP="006E6E3B">
      <w:pPr>
        <w:shd w:val="clear" w:color="auto" w:fill="FFFFFF"/>
        <w:rPr>
          <w:rFonts w:eastAsia="Times New Roman" w:cs="Times New Roman"/>
          <w:color w:val="000000"/>
        </w:rPr>
      </w:pPr>
      <w:r w:rsidRPr="00963A04">
        <w:rPr>
          <w:rFonts w:eastAsia="Times New Roman" w:cs="Times New Roman"/>
          <w:color w:val="000000"/>
        </w:rPr>
        <w:t>“</w:t>
      </w:r>
      <w:r>
        <w:rPr>
          <w:rFonts w:eastAsia="Times New Roman" w:cs="Times New Roman"/>
          <w:color w:val="000000"/>
        </w:rPr>
        <w:t> ‘</w:t>
      </w:r>
      <w:r w:rsidRPr="00963A04">
        <w:rPr>
          <w:rFonts w:eastAsia="Times New Roman" w:cs="Times New Roman"/>
          <w:color w:val="000000"/>
        </w:rPr>
        <w:t>We review the trial court</w:t>
      </w:r>
      <w:r>
        <w:rPr>
          <w:rFonts w:eastAsia="Times New Roman" w:cs="Times New Roman"/>
          <w:color w:val="000000"/>
        </w:rPr>
        <w:t>’</w:t>
      </w:r>
      <w:r w:rsidRPr="00963A04">
        <w:rPr>
          <w:rFonts w:eastAsia="Times New Roman" w:cs="Times New Roman"/>
          <w:color w:val="000000"/>
        </w:rPr>
        <w:t>s rulings on an anti-SLAPP motion de novo, conducting an independent review of the entire record.</w:t>
      </w:r>
      <w:r>
        <w:rPr>
          <w:rFonts w:eastAsia="Times New Roman" w:cs="Times New Roman"/>
          <w:color w:val="000000"/>
        </w:rPr>
        <w:t>’</w:t>
      </w:r>
      <w:r w:rsidRPr="00963A04">
        <w:rPr>
          <w:rFonts w:eastAsia="Times New Roman" w:cs="Times New Roman"/>
          <w:color w:val="000000"/>
        </w:rPr>
        <w:t xml:space="preserve"> </w:t>
      </w:r>
      <w:r>
        <w:rPr>
          <w:rFonts w:eastAsia="Times New Roman" w:cs="Times New Roman"/>
          <w:color w:val="000000"/>
        </w:rPr>
        <w:t xml:space="preserve"> [Citation.] </w:t>
      </w:r>
      <w:r w:rsidRPr="00963A04">
        <w:rPr>
          <w:rFonts w:eastAsia="Times New Roman" w:cs="Times New Roman"/>
          <w:color w:val="000000"/>
        </w:rPr>
        <w:t xml:space="preserve"> In exercising our independent judgment, we </w:t>
      </w:r>
      <w:r>
        <w:rPr>
          <w:rFonts w:eastAsia="Times New Roman" w:cs="Times New Roman"/>
          <w:color w:val="000000"/>
        </w:rPr>
        <w:t>‘</w:t>
      </w:r>
      <w:r w:rsidRPr="00963A04">
        <w:rPr>
          <w:rFonts w:eastAsia="Times New Roman" w:cs="Times New Roman"/>
          <w:color w:val="000000"/>
        </w:rPr>
        <w:t xml:space="preserve">may consider affidavits, </w:t>
      </w:r>
      <w:r w:rsidRPr="00963A04">
        <w:rPr>
          <w:rFonts w:eastAsia="Times New Roman" w:cs="Times New Roman"/>
          <w:color w:val="000000"/>
        </w:rPr>
        <w:lastRenderedPageBreak/>
        <w:t>declarations, and their equivalents if it is reasonably possible the proffered evidence set out in those statements will be admissible at trial.</w:t>
      </w:r>
      <w:r>
        <w:rPr>
          <w:rFonts w:eastAsia="Times New Roman" w:cs="Times New Roman"/>
          <w:color w:val="000000"/>
        </w:rPr>
        <w:t>’</w:t>
      </w:r>
      <w:r w:rsidRPr="00963A04">
        <w:rPr>
          <w:rFonts w:eastAsia="Times New Roman" w:cs="Times New Roman"/>
          <w:color w:val="000000"/>
        </w:rPr>
        <w:t xml:space="preserve"> </w:t>
      </w:r>
      <w:r>
        <w:rPr>
          <w:rFonts w:eastAsia="Times New Roman" w:cs="Times New Roman"/>
          <w:color w:val="000000"/>
        </w:rPr>
        <w:t xml:space="preserve"> [Citations.] </w:t>
      </w:r>
      <w:r w:rsidRPr="00963A04">
        <w:rPr>
          <w:rFonts w:eastAsia="Times New Roman" w:cs="Times New Roman"/>
          <w:color w:val="000000"/>
        </w:rPr>
        <w:t xml:space="preserve"> And we </w:t>
      </w:r>
      <w:r>
        <w:rPr>
          <w:rFonts w:eastAsia="Times New Roman" w:cs="Times New Roman"/>
          <w:color w:val="000000"/>
        </w:rPr>
        <w:t>‘</w:t>
      </w:r>
      <w:r w:rsidRPr="00963A04">
        <w:rPr>
          <w:rFonts w:eastAsia="Times New Roman" w:cs="Times New Roman"/>
          <w:color w:val="000000"/>
        </w:rPr>
        <w:t xml:space="preserve">must draw </w:t>
      </w:r>
      <w:r>
        <w:rPr>
          <w:rFonts w:eastAsia="Times New Roman" w:cs="Times New Roman"/>
          <w:color w:val="000000"/>
        </w:rPr>
        <w:t>“</w:t>
      </w:r>
      <w:r w:rsidRPr="00963A04">
        <w:rPr>
          <w:rFonts w:eastAsia="Times New Roman" w:cs="Times New Roman"/>
          <w:color w:val="000000"/>
        </w:rPr>
        <w:t>every legitimate favorable inference</w:t>
      </w:r>
      <w:r>
        <w:rPr>
          <w:rFonts w:eastAsia="Times New Roman" w:cs="Times New Roman"/>
          <w:color w:val="000000"/>
        </w:rPr>
        <w:t>”</w:t>
      </w:r>
      <w:r w:rsidRPr="00963A04">
        <w:rPr>
          <w:rFonts w:eastAsia="Times New Roman" w:cs="Times New Roman"/>
          <w:color w:val="000000"/>
        </w:rPr>
        <w:t xml:space="preserve"> from the [anti-SLAPP] plaintif</w:t>
      </w:r>
      <w:r w:rsidRPr="00B80DD3">
        <w:rPr>
          <w:rFonts w:eastAsia="Times New Roman" w:cs="Times New Roman"/>
          <w:color w:val="000000"/>
          <w:spacing w:val="20"/>
        </w:rPr>
        <w:t>f</w:t>
      </w:r>
      <w:r w:rsidRPr="00563BA0">
        <w:rPr>
          <w:rFonts w:eastAsia="Times New Roman" w:cs="Times New Roman"/>
          <w:color w:val="000000"/>
        </w:rPr>
        <w:t>’</w:t>
      </w:r>
      <w:r w:rsidRPr="00963A04">
        <w:rPr>
          <w:rFonts w:eastAsia="Times New Roman" w:cs="Times New Roman"/>
          <w:color w:val="000000"/>
        </w:rPr>
        <w:t>s evidence.</w:t>
      </w:r>
      <w:r>
        <w:rPr>
          <w:rFonts w:eastAsia="Times New Roman" w:cs="Times New Roman"/>
          <w:color w:val="000000"/>
        </w:rPr>
        <w:t>’ </w:t>
      </w:r>
      <w:r w:rsidRPr="00963A04">
        <w:rPr>
          <w:rFonts w:eastAsia="Times New Roman" w:cs="Times New Roman"/>
          <w:color w:val="000000"/>
        </w:rPr>
        <w:t>”</w:t>
      </w:r>
      <w:r w:rsidRPr="006F0139">
        <w:rPr>
          <w:rFonts w:eastAsia="Times New Roman" w:cs="Times New Roman"/>
          <w:color w:val="000000"/>
        </w:rPr>
        <w:t xml:space="preserve"> </w:t>
      </w:r>
      <w:r w:rsidRPr="00963A04">
        <w:rPr>
          <w:rFonts w:eastAsia="Times New Roman" w:cs="Times New Roman"/>
          <w:color w:val="000000"/>
        </w:rPr>
        <w:t xml:space="preserve"> </w:t>
      </w:r>
      <w:r w:rsidRPr="006F0139">
        <w:rPr>
          <w:rFonts w:eastAsia="Times New Roman" w:cs="Times New Roman"/>
          <w:color w:val="000000"/>
        </w:rPr>
        <w:t>(</w:t>
      </w:r>
      <w:r w:rsidRPr="00963A04">
        <w:rPr>
          <w:rFonts w:eastAsia="Times New Roman" w:cs="Times New Roman"/>
          <w:i/>
          <w:iCs/>
          <w:color w:val="3D3D3D"/>
          <w:bdr w:val="none" w:sz="0" w:space="0" w:color="auto" w:frame="1"/>
        </w:rPr>
        <w:t>Roche</w:t>
      </w:r>
      <w:r w:rsidRPr="006F0139">
        <w:rPr>
          <w:rFonts w:eastAsia="Times New Roman" w:cs="Times New Roman"/>
          <w:i/>
          <w:iCs/>
          <w:color w:val="3D3D3D"/>
          <w:bdr w:val="none" w:sz="0" w:space="0" w:color="auto" w:frame="1"/>
        </w:rPr>
        <w:t xml:space="preserve">, supra, </w:t>
      </w:r>
      <w:r w:rsidRPr="00963A04">
        <w:rPr>
          <w:rFonts w:eastAsia="Times New Roman" w:cs="Times New Roman"/>
          <w:color w:val="000000"/>
        </w:rPr>
        <w:t>51</w:t>
      </w:r>
      <w:r>
        <w:rPr>
          <w:rFonts w:eastAsia="Times New Roman" w:cs="Times New Roman"/>
          <w:color w:val="000000"/>
        </w:rPr>
        <w:t> </w:t>
      </w:r>
      <w:r w:rsidRPr="00963A04">
        <w:rPr>
          <w:rFonts w:eastAsia="Times New Roman" w:cs="Times New Roman"/>
          <w:color w:val="000000"/>
        </w:rPr>
        <w:t xml:space="preserve">Cal.App.5th </w:t>
      </w:r>
      <w:r w:rsidRPr="006F0139">
        <w:rPr>
          <w:rFonts w:eastAsia="Times New Roman" w:cs="Times New Roman"/>
          <w:color w:val="000000"/>
        </w:rPr>
        <w:t>at p.</w:t>
      </w:r>
      <w:r>
        <w:rPr>
          <w:rFonts w:eastAsia="Times New Roman" w:cs="Times New Roman"/>
          <w:color w:val="000000"/>
        </w:rPr>
        <w:t> </w:t>
      </w:r>
      <w:r w:rsidRPr="00963A04">
        <w:rPr>
          <w:rFonts w:eastAsia="Times New Roman" w:cs="Times New Roman"/>
          <w:color w:val="000000"/>
        </w:rPr>
        <w:t>787</w:t>
      </w:r>
      <w:r w:rsidRPr="006F0139">
        <w:rPr>
          <w:rFonts w:eastAsia="Times New Roman" w:cs="Times New Roman"/>
          <w:color w:val="000000"/>
        </w:rPr>
        <w:t xml:space="preserve">.)  </w:t>
      </w:r>
    </w:p>
    <w:p w14:paraId="54C40180" w14:textId="77777777" w:rsidR="00E402EF" w:rsidRDefault="00E402EF" w:rsidP="00E95916">
      <w:pPr>
        <w:shd w:val="clear" w:color="auto" w:fill="FFFFFF"/>
        <w:rPr>
          <w:rFonts w:eastAsia="Times New Roman" w:cs="Times New Roman"/>
          <w:color w:val="000000"/>
        </w:rPr>
      </w:pPr>
      <w:r>
        <w:rPr>
          <w:rFonts w:eastAsia="Times New Roman" w:cs="Times New Roman"/>
          <w:color w:val="000000"/>
        </w:rPr>
        <w:t xml:space="preserve">As the trial court recognized here, </w:t>
      </w:r>
      <w:r w:rsidRPr="006F0139">
        <w:rPr>
          <w:rFonts w:eastAsia="Times New Roman" w:cs="Times New Roman"/>
          <w:color w:val="000000"/>
        </w:rPr>
        <w:t>“</w:t>
      </w:r>
      <w:r w:rsidRPr="00CE35A1">
        <w:rPr>
          <w:rFonts w:eastAsia="Times New Roman" w:cs="Times New Roman"/>
          <w:color w:val="000000"/>
        </w:rPr>
        <w:t xml:space="preserve">A cause of action for malicious prosecution fits by definition into the scope of the </w:t>
      </w:r>
      <w:r w:rsidRPr="00CE35A1">
        <w:rPr>
          <w:rFonts w:eastAsia="Times New Roman" w:cs="Times New Roman"/>
          <w:color w:val="000000"/>
        </w:rPr>
        <w:t>anti-SLAPP statute.</w:t>
      </w:r>
      <w:r w:rsidRPr="006F0139">
        <w:rPr>
          <w:rFonts w:eastAsia="Times New Roman" w:cs="Times New Roman"/>
          <w:color w:val="000000"/>
        </w:rPr>
        <w:t xml:space="preserve">  [Citation.]  </w:t>
      </w:r>
      <w:r w:rsidRPr="00CE35A1">
        <w:rPr>
          <w:rFonts w:eastAsia="Times New Roman" w:cs="Times New Roman"/>
          <w:color w:val="000000"/>
        </w:rPr>
        <w:t>Hence, the first step of the analysis is satisfied, and we proceed to the second step.</w:t>
      </w:r>
      <w:r>
        <w:rPr>
          <w:rFonts w:eastAsia="Times New Roman" w:cs="Times New Roman"/>
          <w:color w:val="000000"/>
        </w:rPr>
        <w:t xml:space="preserve">”  </w:t>
      </w:r>
      <w:r w:rsidRPr="006F0139">
        <w:rPr>
          <w:rFonts w:eastAsia="Times New Roman" w:cs="Times New Roman"/>
          <w:color w:val="000000"/>
        </w:rPr>
        <w:t>(</w:t>
      </w:r>
      <w:r w:rsidRPr="00E95916">
        <w:rPr>
          <w:rFonts w:eastAsia="Times New Roman" w:cs="Times New Roman"/>
          <w:i/>
          <w:iCs/>
          <w:color w:val="000000"/>
        </w:rPr>
        <w:t>Roche</w:t>
      </w:r>
      <w:r w:rsidRPr="006F0139">
        <w:rPr>
          <w:rFonts w:eastAsia="Times New Roman" w:cs="Times New Roman"/>
          <w:color w:val="000000"/>
        </w:rPr>
        <w:t xml:space="preserve">, </w:t>
      </w:r>
      <w:r w:rsidRPr="00E95916">
        <w:rPr>
          <w:rFonts w:eastAsia="Times New Roman" w:cs="Times New Roman"/>
          <w:i/>
          <w:iCs/>
          <w:color w:val="000000"/>
        </w:rPr>
        <w:t>supra</w:t>
      </w:r>
      <w:r w:rsidRPr="006F0139">
        <w:rPr>
          <w:rFonts w:eastAsia="Times New Roman" w:cs="Times New Roman"/>
          <w:color w:val="000000"/>
        </w:rPr>
        <w:t xml:space="preserve">, </w:t>
      </w:r>
      <w:r w:rsidRPr="00CE35A1">
        <w:rPr>
          <w:rFonts w:eastAsia="Times New Roman" w:cs="Times New Roman"/>
          <w:color w:val="000000"/>
        </w:rPr>
        <w:t>51</w:t>
      </w:r>
      <w:r>
        <w:rPr>
          <w:rFonts w:eastAsia="Times New Roman" w:cs="Times New Roman"/>
          <w:color w:val="000000"/>
        </w:rPr>
        <w:t> </w:t>
      </w:r>
      <w:r w:rsidRPr="00CE35A1">
        <w:rPr>
          <w:rFonts w:eastAsia="Times New Roman" w:cs="Times New Roman"/>
          <w:color w:val="000000"/>
        </w:rPr>
        <w:t xml:space="preserve">Cal.App.5th </w:t>
      </w:r>
      <w:r w:rsidRPr="006F0139">
        <w:rPr>
          <w:rFonts w:eastAsia="Times New Roman" w:cs="Times New Roman"/>
          <w:color w:val="000000"/>
        </w:rPr>
        <w:t>at p.</w:t>
      </w:r>
      <w:r>
        <w:rPr>
          <w:rFonts w:eastAsia="Times New Roman" w:cs="Times New Roman"/>
          <w:color w:val="000000"/>
        </w:rPr>
        <w:t> </w:t>
      </w:r>
      <w:r w:rsidRPr="00CE35A1">
        <w:rPr>
          <w:rFonts w:eastAsia="Times New Roman" w:cs="Times New Roman"/>
          <w:color w:val="000000"/>
        </w:rPr>
        <w:t>787</w:t>
      </w:r>
      <w:r w:rsidRPr="006F0139">
        <w:rPr>
          <w:rFonts w:eastAsia="Times New Roman" w:cs="Times New Roman"/>
          <w:color w:val="000000"/>
        </w:rPr>
        <w:t xml:space="preserve">.) </w:t>
      </w:r>
      <w:r>
        <w:rPr>
          <w:rFonts w:eastAsia="Times New Roman" w:cs="Times New Roman"/>
          <w:color w:val="000000"/>
        </w:rPr>
        <w:t xml:space="preserve"> In this case, “[t]</w:t>
      </w:r>
      <w:r w:rsidRPr="00CE35A1">
        <w:rPr>
          <w:rFonts w:eastAsia="Times New Roman" w:cs="Times New Roman"/>
          <w:color w:val="000000"/>
        </w:rPr>
        <w:t>he issue</w:t>
      </w:r>
      <w:r>
        <w:rPr>
          <w:rFonts w:eastAsia="Times New Roman" w:cs="Times New Roman"/>
          <w:color w:val="000000"/>
        </w:rPr>
        <w:t>” at the second step “</w:t>
      </w:r>
      <w:r w:rsidRPr="00CE35A1">
        <w:rPr>
          <w:rFonts w:eastAsia="Times New Roman" w:cs="Times New Roman"/>
          <w:color w:val="000000"/>
        </w:rPr>
        <w:t xml:space="preserve">is whether </w:t>
      </w:r>
      <w:r>
        <w:rPr>
          <w:rFonts w:eastAsia="Times New Roman" w:cs="Times New Roman"/>
          <w:color w:val="000000"/>
        </w:rPr>
        <w:t xml:space="preserve">[McArthur] </w:t>
      </w:r>
      <w:r w:rsidRPr="00CE35A1">
        <w:rPr>
          <w:rFonts w:eastAsia="Times New Roman" w:cs="Times New Roman"/>
          <w:color w:val="000000"/>
        </w:rPr>
        <w:t>provided sufficient evidence to make out a prima facie case of malicious prosecution, which requires a plaintiff to establish three elements: the underlying action was (1)</w:t>
      </w:r>
      <w:r>
        <w:rPr>
          <w:rFonts w:eastAsia="Times New Roman" w:cs="Times New Roman"/>
          <w:color w:val="000000"/>
        </w:rPr>
        <w:t> </w:t>
      </w:r>
      <w:r w:rsidRPr="00CE35A1">
        <w:rPr>
          <w:rFonts w:eastAsia="Times New Roman" w:cs="Times New Roman"/>
          <w:color w:val="000000"/>
        </w:rPr>
        <w:t>initiated or maintained by, or at the direction of, the defendants, and pursued to a legal termination i</w:t>
      </w:r>
      <w:r w:rsidRPr="00CE35A1">
        <w:rPr>
          <w:rFonts w:eastAsia="Times New Roman" w:cs="Times New Roman"/>
          <w:color w:val="000000"/>
        </w:rPr>
        <w:t>n favor of the malicious prosecution plaintiff; (2)</w:t>
      </w:r>
      <w:r>
        <w:rPr>
          <w:rFonts w:eastAsia="Times New Roman" w:cs="Times New Roman"/>
          <w:color w:val="000000"/>
        </w:rPr>
        <w:t> </w:t>
      </w:r>
      <w:r w:rsidRPr="00CE35A1">
        <w:rPr>
          <w:rFonts w:eastAsia="Times New Roman" w:cs="Times New Roman"/>
          <w:color w:val="000000"/>
        </w:rPr>
        <w:t>initiated or maintained without probable cause; and (3)</w:t>
      </w:r>
      <w:r>
        <w:rPr>
          <w:rFonts w:eastAsia="Times New Roman" w:cs="Times New Roman"/>
          <w:color w:val="000000"/>
        </w:rPr>
        <w:t> </w:t>
      </w:r>
      <w:r w:rsidRPr="00CE35A1">
        <w:rPr>
          <w:rFonts w:eastAsia="Times New Roman" w:cs="Times New Roman"/>
          <w:color w:val="000000"/>
        </w:rPr>
        <w:t>initiated or maintained with malice.</w:t>
      </w:r>
      <w:r w:rsidRPr="006F0139">
        <w:rPr>
          <w:rFonts w:eastAsia="Times New Roman" w:cs="Times New Roman"/>
          <w:color w:val="000000"/>
        </w:rPr>
        <w:t>”  (</w:t>
      </w:r>
      <w:r>
        <w:rPr>
          <w:rFonts w:eastAsia="Times New Roman" w:cs="Times New Roman"/>
          <w:i/>
          <w:iCs/>
          <w:color w:val="000000"/>
        </w:rPr>
        <w:t>Ibid</w:t>
      </w:r>
      <w:r w:rsidRPr="006F0139">
        <w:rPr>
          <w:rFonts w:eastAsia="Times New Roman" w:cs="Times New Roman"/>
          <w:color w:val="000000"/>
        </w:rPr>
        <w:t xml:space="preserve">.) </w:t>
      </w:r>
    </w:p>
    <w:p w14:paraId="7E7A8076" w14:textId="77777777" w:rsidR="00E402EF" w:rsidRDefault="00E402EF" w:rsidP="006F0568">
      <w:pPr>
        <w:shd w:val="clear" w:color="auto" w:fill="FFFFFF"/>
        <w:rPr>
          <w:rFonts w:eastAsia="Times New Roman" w:cs="Times New Roman"/>
          <w:color w:val="000000"/>
        </w:rPr>
      </w:pPr>
      <w:r>
        <w:rPr>
          <w:rFonts w:eastAsia="Times New Roman" w:cs="Times New Roman"/>
          <w:color w:val="000000"/>
        </w:rPr>
        <w:t xml:space="preserve">The foundational case on the probable cause element of malicious prosecution is </w:t>
      </w:r>
      <w:r w:rsidRPr="00DC7F68">
        <w:rPr>
          <w:rFonts w:eastAsia="Times New Roman" w:cs="Times New Roman"/>
          <w:i/>
          <w:iCs/>
          <w:bdr w:val="none" w:sz="0" w:space="0" w:color="auto" w:frame="1"/>
        </w:rPr>
        <w:t>Sheldon Appel Co. v. Albert &amp; Oliker</w:t>
      </w:r>
      <w:r w:rsidRPr="00DC7F68">
        <w:rPr>
          <w:rFonts w:eastAsia="Times New Roman" w:cs="Times New Roman"/>
        </w:rPr>
        <w:t xml:space="preserve"> </w:t>
      </w:r>
      <w:r w:rsidRPr="00462325">
        <w:rPr>
          <w:rFonts w:eastAsia="Times New Roman" w:cs="Times New Roman"/>
          <w:color w:val="000000"/>
        </w:rPr>
        <w:t>(1989) 47</w:t>
      </w:r>
      <w:r>
        <w:rPr>
          <w:rFonts w:eastAsia="Times New Roman" w:cs="Times New Roman"/>
          <w:color w:val="000000"/>
        </w:rPr>
        <w:t> </w:t>
      </w:r>
      <w:r w:rsidRPr="00462325">
        <w:rPr>
          <w:rFonts w:eastAsia="Times New Roman" w:cs="Times New Roman"/>
          <w:color w:val="000000"/>
        </w:rPr>
        <w:t>Cal.3d 863</w:t>
      </w:r>
      <w:r>
        <w:rPr>
          <w:rFonts w:eastAsia="Times New Roman" w:cs="Times New Roman"/>
          <w:color w:val="000000"/>
        </w:rPr>
        <w:t xml:space="preserve"> (</w:t>
      </w:r>
      <w:r w:rsidRPr="00D219B7">
        <w:rPr>
          <w:rFonts w:eastAsia="Times New Roman" w:cs="Times New Roman"/>
          <w:i/>
          <w:iCs/>
          <w:color w:val="000000"/>
        </w:rPr>
        <w:t>Sheld</w:t>
      </w:r>
      <w:r>
        <w:rPr>
          <w:rFonts w:eastAsia="Times New Roman" w:cs="Times New Roman"/>
          <w:i/>
          <w:iCs/>
          <w:color w:val="000000"/>
        </w:rPr>
        <w:t>o</w:t>
      </w:r>
      <w:r w:rsidRPr="00D219B7">
        <w:rPr>
          <w:rFonts w:eastAsia="Times New Roman" w:cs="Times New Roman"/>
          <w:i/>
          <w:iCs/>
          <w:color w:val="000000"/>
        </w:rPr>
        <w:t>n Appel</w:t>
      </w:r>
      <w:r>
        <w:rPr>
          <w:rFonts w:eastAsia="Times New Roman" w:cs="Times New Roman"/>
          <w:color w:val="000000"/>
        </w:rPr>
        <w:t>)</w:t>
      </w:r>
      <w:r w:rsidRPr="00637654">
        <w:rPr>
          <w:rFonts w:eastAsia="Times New Roman" w:cs="Times New Roman"/>
          <w:color w:val="000000"/>
        </w:rPr>
        <w:t>.</w:t>
      </w:r>
      <w:r>
        <w:rPr>
          <w:rFonts w:eastAsia="Times New Roman" w:cs="Times New Roman"/>
          <w:color w:val="000000"/>
        </w:rPr>
        <w:t xml:space="preserve">  Applying </w:t>
      </w:r>
      <w:r w:rsidRPr="00F967BA">
        <w:rPr>
          <w:rFonts w:eastAsia="Times New Roman" w:cs="Times New Roman"/>
          <w:i/>
          <w:iCs/>
          <w:color w:val="000000"/>
        </w:rPr>
        <w:t>Sheldon Appel</w:t>
      </w:r>
      <w:r>
        <w:rPr>
          <w:rFonts w:eastAsia="Times New Roman" w:cs="Times New Roman"/>
          <w:color w:val="000000"/>
        </w:rPr>
        <w:t xml:space="preserve"> and its progeny in </w:t>
      </w:r>
      <w:r w:rsidRPr="00212CE0">
        <w:rPr>
          <w:rFonts w:eastAsia="Times New Roman" w:cs="Times New Roman"/>
          <w:i/>
          <w:iCs/>
          <w:color w:val="000000"/>
        </w:rPr>
        <w:t>Roche</w:t>
      </w:r>
      <w:r>
        <w:rPr>
          <w:rFonts w:eastAsia="Times New Roman" w:cs="Times New Roman"/>
          <w:color w:val="000000"/>
        </w:rPr>
        <w:t xml:space="preserve">, we explained, </w:t>
      </w:r>
      <w:r w:rsidRPr="00A41A5C">
        <w:rPr>
          <w:rFonts w:eastAsia="Times New Roman" w:cs="Times New Roman"/>
          <w:color w:val="000000"/>
        </w:rPr>
        <w:t>“</w:t>
      </w:r>
      <w:r w:rsidRPr="00CD41F5">
        <w:rPr>
          <w:rFonts w:eastAsia="Times New Roman" w:cs="Times New Roman"/>
          <w:color w:val="000000"/>
        </w:rPr>
        <w:t xml:space="preserve">On the question whether there was probable cause to pursue the underlying action, we review the elements of each cause of action individually. </w:t>
      </w:r>
      <w:r w:rsidRPr="00A41A5C">
        <w:rPr>
          <w:rFonts w:eastAsia="Times New Roman" w:cs="Times New Roman"/>
          <w:color w:val="000000"/>
        </w:rPr>
        <w:t xml:space="preserve"> [Citation.]  </w:t>
      </w:r>
      <w:r w:rsidRPr="00CD41F5">
        <w:rPr>
          <w:rFonts w:eastAsia="Times New Roman" w:cs="Times New Roman"/>
          <w:color w:val="000000"/>
        </w:rPr>
        <w:t xml:space="preserve">The decision on the probable cause element is normally made by the court as a matter of law based on an objective assessment of the merits of the underlying action. </w:t>
      </w:r>
      <w:r w:rsidRPr="00A41A5C">
        <w:rPr>
          <w:rFonts w:eastAsia="Times New Roman" w:cs="Times New Roman"/>
          <w:color w:val="000000"/>
        </w:rPr>
        <w:t xml:space="preserve"> [Citation</w:t>
      </w:r>
      <w:r>
        <w:rPr>
          <w:rFonts w:eastAsia="Times New Roman" w:cs="Times New Roman"/>
          <w:color w:val="000000"/>
        </w:rPr>
        <w:t>s</w:t>
      </w:r>
      <w:r w:rsidRPr="00A41A5C">
        <w:rPr>
          <w:rFonts w:eastAsia="Times New Roman" w:cs="Times New Roman"/>
          <w:color w:val="000000"/>
        </w:rPr>
        <w:t>.]</w:t>
      </w:r>
      <w:r>
        <w:rPr>
          <w:rFonts w:eastAsia="Times New Roman" w:cs="Times New Roman"/>
          <w:color w:val="000000"/>
        </w:rPr>
        <w:t>”  (</w:t>
      </w:r>
      <w:r w:rsidRPr="00AF6BE5">
        <w:rPr>
          <w:rFonts w:eastAsia="Times New Roman" w:cs="Times New Roman"/>
          <w:i/>
          <w:iCs/>
          <w:color w:val="3D3D3D"/>
          <w:bdr w:val="none" w:sz="0" w:space="0" w:color="auto" w:frame="1"/>
        </w:rPr>
        <w:t xml:space="preserve">Roche, supra, </w:t>
      </w:r>
      <w:r w:rsidRPr="00AF6BE5">
        <w:rPr>
          <w:rFonts w:eastAsia="Times New Roman" w:cs="Times New Roman"/>
          <w:color w:val="000000"/>
        </w:rPr>
        <w:t>51</w:t>
      </w:r>
      <w:r>
        <w:rPr>
          <w:rFonts w:eastAsia="Times New Roman" w:cs="Times New Roman"/>
          <w:color w:val="000000"/>
        </w:rPr>
        <w:t> </w:t>
      </w:r>
      <w:r w:rsidRPr="00AF6BE5">
        <w:rPr>
          <w:rFonts w:eastAsia="Times New Roman" w:cs="Times New Roman"/>
          <w:color w:val="000000"/>
        </w:rPr>
        <w:t>Cal.App.5th at pp.</w:t>
      </w:r>
      <w:r>
        <w:rPr>
          <w:rFonts w:eastAsia="Times New Roman" w:cs="Times New Roman"/>
          <w:color w:val="000000"/>
        </w:rPr>
        <w:t> </w:t>
      </w:r>
      <w:r w:rsidRPr="00AF6BE5">
        <w:rPr>
          <w:rFonts w:eastAsia="Times New Roman" w:cs="Times New Roman"/>
          <w:color w:val="000000"/>
        </w:rPr>
        <w:t>793–794.)</w:t>
      </w:r>
      <w:r>
        <w:rPr>
          <w:rFonts w:eastAsia="Times New Roman" w:cs="Times New Roman"/>
          <w:color w:val="000000"/>
        </w:rPr>
        <w:t xml:space="preserve">     </w:t>
      </w:r>
    </w:p>
    <w:p w14:paraId="3C9F1D76" w14:textId="77777777" w:rsidR="00E402EF" w:rsidRPr="00237633" w:rsidRDefault="00E402EF" w:rsidP="00237633">
      <w:pPr>
        <w:shd w:val="clear" w:color="auto" w:fill="FFFFFF"/>
        <w:rPr>
          <w:rFonts w:eastAsia="Times New Roman" w:cs="Times New Roman"/>
          <w:color w:val="000000"/>
        </w:rPr>
      </w:pPr>
      <w:r w:rsidRPr="00CD41F5">
        <w:rPr>
          <w:rFonts w:eastAsia="Times New Roman" w:cs="Times New Roman"/>
          <w:color w:val="000000"/>
        </w:rPr>
        <w:t>“</w:t>
      </w:r>
      <w:r>
        <w:rPr>
          <w:rFonts w:eastAsia="Times New Roman" w:cs="Times New Roman"/>
          <w:color w:val="000000"/>
        </w:rPr>
        <w:t> ‘</w:t>
      </w:r>
      <w:r w:rsidRPr="00CD41F5">
        <w:rPr>
          <w:rFonts w:eastAsia="Times New Roman" w:cs="Times New Roman"/>
          <w:color w:val="000000"/>
        </w:rPr>
        <w:t xml:space="preserve">[T]he probable cause element calls on the trial court to make an objective determination of the </w:t>
      </w:r>
      <w:r>
        <w:rPr>
          <w:rFonts w:eastAsia="Times New Roman" w:cs="Times New Roman"/>
          <w:color w:val="000000"/>
        </w:rPr>
        <w:t>“</w:t>
      </w:r>
      <w:r w:rsidRPr="00CD41F5">
        <w:rPr>
          <w:rFonts w:eastAsia="Times New Roman" w:cs="Times New Roman"/>
          <w:color w:val="000000"/>
        </w:rPr>
        <w:t>reasonableness</w:t>
      </w:r>
      <w:r>
        <w:rPr>
          <w:rFonts w:eastAsia="Times New Roman" w:cs="Times New Roman"/>
          <w:color w:val="000000"/>
        </w:rPr>
        <w:t>”</w:t>
      </w:r>
      <w:r w:rsidRPr="00CD41F5">
        <w:rPr>
          <w:rFonts w:eastAsia="Times New Roman" w:cs="Times New Roman"/>
          <w:color w:val="000000"/>
        </w:rPr>
        <w:t xml:space="preserve"> of the defendant</w:t>
      </w:r>
      <w:r>
        <w:rPr>
          <w:rFonts w:eastAsia="Times New Roman" w:cs="Times New Roman"/>
          <w:color w:val="000000"/>
        </w:rPr>
        <w:t>’</w:t>
      </w:r>
      <w:r w:rsidRPr="00CD41F5">
        <w:rPr>
          <w:rFonts w:eastAsia="Times New Roman" w:cs="Times New Roman"/>
          <w:color w:val="000000"/>
        </w:rPr>
        <w:t xml:space="preserve">s conduct, i.e., to determine whether, on the basis of the facts known to the </w:t>
      </w:r>
      <w:r w:rsidRPr="00237633">
        <w:rPr>
          <w:rFonts w:eastAsia="Times New Roman" w:cs="Times New Roman"/>
          <w:color w:val="000000"/>
        </w:rPr>
        <w:t xml:space="preserve">defendant, </w:t>
      </w:r>
      <w:r w:rsidRPr="00237633">
        <w:rPr>
          <w:rFonts w:eastAsia="Times New Roman" w:cs="Times New Roman"/>
          <w:color w:val="000000"/>
        </w:rPr>
        <w:lastRenderedPageBreak/>
        <w:t>the institution of the prior action was legally tenable.</w:t>
      </w:r>
      <w:r>
        <w:rPr>
          <w:rFonts w:eastAsia="Times New Roman" w:cs="Times New Roman"/>
          <w:color w:val="000000"/>
        </w:rPr>
        <w:t>’</w:t>
      </w:r>
      <w:r w:rsidRPr="00237633">
        <w:rPr>
          <w:rFonts w:eastAsia="Times New Roman" w:cs="Times New Roman"/>
          <w:color w:val="000000"/>
        </w:rPr>
        <w:t xml:space="preserve">  [Citation.]  A claim is unsupported by probable cause if any reasonable attorney would </w:t>
      </w:r>
      <w:r w:rsidRPr="00AF6BE5">
        <w:rPr>
          <w:rFonts w:eastAsia="Times New Roman" w:cs="Times New Roman"/>
          <w:color w:val="000000"/>
        </w:rPr>
        <w:t>agree that it is totally and completely without merit.  [Citation.]”  (</w:t>
      </w:r>
      <w:r w:rsidRPr="00AF6BE5">
        <w:rPr>
          <w:rFonts w:eastAsia="Times New Roman" w:cs="Times New Roman"/>
          <w:i/>
          <w:iCs/>
          <w:color w:val="3D3D3D"/>
          <w:bdr w:val="none" w:sz="0" w:space="0" w:color="auto" w:frame="1"/>
        </w:rPr>
        <w:t xml:space="preserve">Roche, supra, </w:t>
      </w:r>
      <w:r w:rsidRPr="00AF6BE5">
        <w:rPr>
          <w:rFonts w:eastAsia="Times New Roman" w:cs="Times New Roman"/>
          <w:color w:val="000000"/>
        </w:rPr>
        <w:t>51</w:t>
      </w:r>
      <w:r>
        <w:rPr>
          <w:rFonts w:eastAsia="Times New Roman" w:cs="Times New Roman"/>
          <w:color w:val="000000"/>
        </w:rPr>
        <w:t> </w:t>
      </w:r>
      <w:r w:rsidRPr="00AF6BE5">
        <w:rPr>
          <w:rFonts w:eastAsia="Times New Roman" w:cs="Times New Roman"/>
          <w:color w:val="000000"/>
        </w:rPr>
        <w:t>Cal.App.5th at p.</w:t>
      </w:r>
      <w:r>
        <w:rPr>
          <w:rFonts w:eastAsia="Times New Roman" w:cs="Times New Roman"/>
          <w:color w:val="000000"/>
        </w:rPr>
        <w:t> </w:t>
      </w:r>
      <w:r w:rsidRPr="00AF6BE5">
        <w:rPr>
          <w:rFonts w:eastAsia="Times New Roman" w:cs="Times New Roman"/>
          <w:color w:val="000000"/>
        </w:rPr>
        <w:t>794.)</w:t>
      </w:r>
      <w:r>
        <w:rPr>
          <w:rFonts w:eastAsia="Times New Roman" w:cs="Times New Roman"/>
          <w:color w:val="000000"/>
        </w:rPr>
        <w:t xml:space="preserve">  </w:t>
      </w:r>
      <w:r w:rsidRPr="00CA53E9">
        <w:rPr>
          <w:rFonts w:eastAsia="Times New Roman" w:cs="Times New Roman"/>
          <w:color w:val="000000"/>
        </w:rPr>
        <w:t>Stated otherwise, “</w:t>
      </w:r>
      <w:r>
        <w:rPr>
          <w:rFonts w:eastAsia="Times New Roman" w:cs="Times New Roman"/>
          <w:color w:val="000000"/>
        </w:rPr>
        <w:t> </w:t>
      </w:r>
      <w:r w:rsidRPr="00CA53E9">
        <w:rPr>
          <w:rFonts w:eastAsia="Times New Roman" w:cs="Times New Roman"/>
          <w:color w:val="000000"/>
        </w:rPr>
        <w:t>‘[s]uits whi</w:t>
      </w:r>
      <w:r w:rsidRPr="00CA53E9">
        <w:rPr>
          <w:rFonts w:eastAsia="Times New Roman" w:cs="Times New Roman"/>
          <w:color w:val="000000"/>
        </w:rPr>
        <w:t xml:space="preserve">ch </w:t>
      </w:r>
      <w:r w:rsidRPr="0030440E">
        <w:rPr>
          <w:rFonts w:eastAsia="Times New Roman" w:cs="Times New Roman"/>
          <w:i/>
          <w:iCs/>
          <w:color w:val="000000"/>
        </w:rPr>
        <w:t>all</w:t>
      </w:r>
      <w:r w:rsidRPr="00CA53E9">
        <w:rPr>
          <w:rFonts w:eastAsia="Times New Roman" w:cs="Times New Roman"/>
          <w:color w:val="000000"/>
        </w:rPr>
        <w:t xml:space="preserve"> reasonable lawyers agree totally lack merit—that is, those which lack probable cause—are the least meritorious of all meritless suits. </w:t>
      </w:r>
      <w:r>
        <w:rPr>
          <w:rFonts w:eastAsia="Times New Roman" w:cs="Times New Roman"/>
          <w:color w:val="000000"/>
        </w:rPr>
        <w:t xml:space="preserve"> </w:t>
      </w:r>
      <w:r w:rsidRPr="00CA53E9">
        <w:rPr>
          <w:rFonts w:eastAsia="Times New Roman" w:cs="Times New Roman"/>
          <w:color w:val="000000"/>
        </w:rPr>
        <w:t xml:space="preserve">Only this subgroup of meritless suits present[s] no probable cause.’ </w:t>
      </w:r>
      <w:r>
        <w:rPr>
          <w:rFonts w:eastAsia="Times New Roman" w:cs="Times New Roman"/>
          <w:color w:val="000000"/>
        </w:rPr>
        <w:t xml:space="preserve"> </w:t>
      </w:r>
      <w:r w:rsidRPr="00CA53E9">
        <w:rPr>
          <w:rFonts w:eastAsia="Times New Roman" w:cs="Times New Roman"/>
          <w:color w:val="000000"/>
        </w:rPr>
        <w:t xml:space="preserve">[Citations.]” </w:t>
      </w:r>
      <w:r>
        <w:rPr>
          <w:rFonts w:eastAsia="Times New Roman" w:cs="Times New Roman"/>
          <w:color w:val="000000"/>
        </w:rPr>
        <w:t xml:space="preserve"> </w:t>
      </w:r>
      <w:r w:rsidRPr="00CA53E9">
        <w:rPr>
          <w:rFonts w:eastAsia="Times New Roman" w:cs="Times New Roman"/>
          <w:color w:val="000000"/>
        </w:rPr>
        <w:t>(</w:t>
      </w:r>
      <w:r w:rsidRPr="00CA53E9">
        <w:rPr>
          <w:rFonts w:eastAsia="Times New Roman" w:cs="Times New Roman"/>
          <w:i/>
          <w:iCs/>
          <w:color w:val="3D3D3D"/>
          <w:bdr w:val="none" w:sz="0" w:space="0" w:color="auto" w:frame="1"/>
        </w:rPr>
        <w:t>Jarrow Formulas, Inc. v. LaMarche</w:t>
      </w:r>
      <w:r w:rsidRPr="00CA53E9">
        <w:rPr>
          <w:rFonts w:eastAsia="Times New Roman" w:cs="Times New Roman"/>
          <w:color w:val="000000"/>
        </w:rPr>
        <w:t xml:space="preserve"> (2003) 31</w:t>
      </w:r>
      <w:r>
        <w:rPr>
          <w:rFonts w:eastAsia="Times New Roman" w:cs="Times New Roman"/>
          <w:color w:val="000000"/>
        </w:rPr>
        <w:t> </w:t>
      </w:r>
      <w:r w:rsidRPr="00CA53E9">
        <w:rPr>
          <w:rFonts w:eastAsia="Times New Roman" w:cs="Times New Roman"/>
          <w:color w:val="000000"/>
        </w:rPr>
        <w:t>Cal.4th 728, 743, fn.</w:t>
      </w:r>
      <w:r>
        <w:rPr>
          <w:rFonts w:eastAsia="Times New Roman" w:cs="Times New Roman"/>
          <w:color w:val="000000"/>
        </w:rPr>
        <w:t> </w:t>
      </w:r>
      <w:r w:rsidRPr="00CA53E9">
        <w:rPr>
          <w:rFonts w:eastAsia="Times New Roman" w:cs="Times New Roman"/>
          <w:color w:val="000000"/>
        </w:rPr>
        <w:t xml:space="preserve">13, quoting </w:t>
      </w:r>
      <w:r w:rsidRPr="00CA53E9">
        <w:rPr>
          <w:rFonts w:eastAsia="Times New Roman" w:cs="Times New Roman"/>
          <w:i/>
          <w:iCs/>
          <w:color w:val="3D3D3D"/>
          <w:bdr w:val="none" w:sz="0" w:space="0" w:color="auto" w:frame="1"/>
        </w:rPr>
        <w:t>Roberts v. Sentry Life Insurance</w:t>
      </w:r>
      <w:r w:rsidRPr="00CA53E9">
        <w:rPr>
          <w:rFonts w:eastAsia="Times New Roman" w:cs="Times New Roman"/>
          <w:color w:val="000000"/>
        </w:rPr>
        <w:t xml:space="preserve"> (1999) 76</w:t>
      </w:r>
      <w:r>
        <w:rPr>
          <w:rFonts w:eastAsia="Times New Roman" w:cs="Times New Roman"/>
          <w:color w:val="000000"/>
        </w:rPr>
        <w:t> </w:t>
      </w:r>
      <w:r w:rsidRPr="00CA53E9">
        <w:rPr>
          <w:rFonts w:eastAsia="Times New Roman" w:cs="Times New Roman"/>
          <w:color w:val="000000"/>
        </w:rPr>
        <w:t>Cal.App.4th 375, 382</w:t>
      </w:r>
      <w:r>
        <w:rPr>
          <w:rFonts w:eastAsia="Times New Roman" w:cs="Times New Roman"/>
          <w:color w:val="000000"/>
        </w:rPr>
        <w:t>, original italics</w:t>
      </w:r>
      <w:r w:rsidRPr="00CA53E9">
        <w:rPr>
          <w:rFonts w:eastAsia="Times New Roman" w:cs="Times New Roman"/>
          <w:color w:val="000000"/>
        </w:rPr>
        <w:t>.)</w:t>
      </w:r>
      <w:r>
        <w:rPr>
          <w:rFonts w:eastAsia="Times New Roman" w:cs="Times New Roman"/>
          <w:color w:val="000000"/>
        </w:rPr>
        <w:t xml:space="preserve">   </w:t>
      </w:r>
    </w:p>
    <w:p w14:paraId="3F3A159A" w14:textId="77777777" w:rsidR="00E402EF" w:rsidRDefault="00E402EF" w:rsidP="006F0568">
      <w:pPr>
        <w:shd w:val="clear" w:color="auto" w:fill="FFFFFF"/>
        <w:rPr>
          <w:rFonts w:eastAsia="Times New Roman" w:cs="Times New Roman"/>
          <w:color w:val="000000"/>
        </w:rPr>
      </w:pPr>
      <w:r>
        <w:rPr>
          <w:rFonts w:cs="TimesNewRomanPSMT"/>
        </w:rPr>
        <w:t xml:space="preserve">On appeal, our review is de novo.  </w:t>
      </w:r>
      <w:r w:rsidRPr="00143601">
        <w:rPr>
          <w:rFonts w:cs="TimesNewRomanPSMT"/>
        </w:rPr>
        <w:t>(</w:t>
      </w:r>
      <w:r w:rsidRPr="00143601">
        <w:rPr>
          <w:rFonts w:eastAsia="Times New Roman" w:cs="Times New Roman"/>
          <w:i/>
          <w:iCs/>
          <w:color w:val="3D3D3D"/>
          <w:bdr w:val="none" w:sz="0" w:space="0" w:color="auto" w:frame="1"/>
        </w:rPr>
        <w:t xml:space="preserve">Roche, </w:t>
      </w:r>
      <w:r w:rsidRPr="00AF6BE5">
        <w:rPr>
          <w:rFonts w:eastAsia="Times New Roman" w:cs="Times New Roman"/>
          <w:i/>
          <w:iCs/>
          <w:color w:val="3D3D3D"/>
          <w:bdr w:val="none" w:sz="0" w:space="0" w:color="auto" w:frame="1"/>
        </w:rPr>
        <w:t xml:space="preserve">supra, </w:t>
      </w:r>
      <w:r w:rsidRPr="00AF6BE5">
        <w:rPr>
          <w:rFonts w:eastAsia="Times New Roman" w:cs="Times New Roman"/>
          <w:color w:val="000000"/>
        </w:rPr>
        <w:t>51</w:t>
      </w:r>
      <w:r>
        <w:rPr>
          <w:rFonts w:eastAsia="Times New Roman" w:cs="Times New Roman"/>
          <w:color w:val="000000"/>
        </w:rPr>
        <w:t> </w:t>
      </w:r>
      <w:r w:rsidRPr="00AF6BE5">
        <w:rPr>
          <w:rFonts w:eastAsia="Times New Roman" w:cs="Times New Roman"/>
          <w:color w:val="000000"/>
        </w:rPr>
        <w:t>Cal.App.5th at p</w:t>
      </w:r>
      <w:r>
        <w:rPr>
          <w:rFonts w:eastAsia="Times New Roman" w:cs="Times New Roman"/>
          <w:color w:val="000000"/>
        </w:rPr>
        <w:t xml:space="preserve">. 794.)  We apply the same legal precepts the trial court does in assessing probable cause. </w:t>
      </w:r>
      <w:r>
        <w:rPr>
          <w:rFonts w:cs="TimesNewRomanPSMT"/>
        </w:rPr>
        <w:t xml:space="preserve"> A</w:t>
      </w:r>
      <w:r w:rsidRPr="005A06FB">
        <w:rPr>
          <w:rFonts w:cs="TimesNewRomanPSMT"/>
        </w:rPr>
        <w:t xml:space="preserve"> litigant will lack probable cause if he or she either (1)</w:t>
      </w:r>
      <w:r>
        <w:rPr>
          <w:rFonts w:cs="TimesNewRomanPSMT"/>
        </w:rPr>
        <w:t> </w:t>
      </w:r>
      <w:r w:rsidRPr="005A06FB">
        <w:rPr>
          <w:rFonts w:cs="TimesNewRomanPSMT"/>
        </w:rPr>
        <w:t>“</w:t>
      </w:r>
      <w:r>
        <w:t> ‘</w:t>
      </w:r>
      <w:r w:rsidRPr="005A06FB">
        <w:rPr>
          <w:rFonts w:cs="TimesNewRomanPS-ItalicMT"/>
        </w:rPr>
        <w:t xml:space="preserve">relies upon facts </w:t>
      </w:r>
      <w:r w:rsidRPr="005A06FB">
        <w:rPr>
          <w:rFonts w:cs="TimesNewRomanPSMT"/>
        </w:rPr>
        <w:t>which he has no reasonable cause to believe to be true,</w:t>
      </w:r>
      <w:r>
        <w:rPr>
          <w:rFonts w:cs="TimesNewRomanPSMT"/>
        </w:rPr>
        <w:t>’ </w:t>
      </w:r>
      <w:r w:rsidRPr="005A06FB">
        <w:rPr>
          <w:rFonts w:cs="TimesNewRomanPSMT"/>
        </w:rPr>
        <w:t xml:space="preserve">” </w:t>
      </w:r>
      <w:r w:rsidRPr="006621C2">
        <w:rPr>
          <w:rFonts w:cs="TimesNewRomanPSMT"/>
          <w:i/>
        </w:rPr>
        <w:t>or</w:t>
      </w:r>
      <w:r w:rsidRPr="005A06FB">
        <w:rPr>
          <w:rFonts w:cs="TimesNewRomanPSMT"/>
        </w:rPr>
        <w:t xml:space="preserve"> (2)</w:t>
      </w:r>
      <w:r>
        <w:rPr>
          <w:rFonts w:cs="TimesNewRomanPSMT"/>
        </w:rPr>
        <w:t> </w:t>
      </w:r>
      <w:r w:rsidRPr="005A06FB">
        <w:rPr>
          <w:rFonts w:cs="TimesNewRomanPSMT"/>
        </w:rPr>
        <w:t>“</w:t>
      </w:r>
      <w:r>
        <w:rPr>
          <w:rFonts w:cs="TimesNewRomanPSMT"/>
        </w:rPr>
        <w:t> ‘</w:t>
      </w:r>
      <w:r w:rsidRPr="005A06FB">
        <w:rPr>
          <w:rFonts w:cs="TimesNewRomanPS-ItalicMT"/>
        </w:rPr>
        <w:t>seeks recovery upon a legal theory</w:t>
      </w:r>
      <w:r w:rsidRPr="005A06FB">
        <w:rPr>
          <w:rFonts w:cs="TimesNewRomanPS-ItalicMT"/>
          <w:i/>
          <w:iCs/>
        </w:rPr>
        <w:t xml:space="preserve"> </w:t>
      </w:r>
      <w:r w:rsidRPr="005A06FB">
        <w:rPr>
          <w:rFonts w:cs="TimesNewRomanPSMT"/>
        </w:rPr>
        <w:t xml:space="preserve">which is untenable under the </w:t>
      </w:r>
      <w:r w:rsidRPr="005A06FB">
        <w:rPr>
          <w:rFonts w:cs="TimesNewRomanPSMT"/>
        </w:rPr>
        <w:t>facts known to him.</w:t>
      </w:r>
      <w:r>
        <w:rPr>
          <w:rFonts w:cs="TimesNewRomanPSMT"/>
        </w:rPr>
        <w:t>’ </w:t>
      </w:r>
      <w:r w:rsidRPr="005A06FB">
        <w:rPr>
          <w:rFonts w:cs="TimesNewRomanPSMT"/>
        </w:rPr>
        <w:t>”  (</w:t>
      </w:r>
      <w:r w:rsidRPr="005A06FB">
        <w:rPr>
          <w:rFonts w:cs="TimesNewRomanPSMT"/>
          <w:i/>
          <w:iCs/>
        </w:rPr>
        <w:t>Soukup v. Law Offices of Herbert Hafif</w:t>
      </w:r>
      <w:r w:rsidRPr="005A06FB">
        <w:rPr>
          <w:rFonts w:cs="TimesNewRomanPSMT"/>
        </w:rPr>
        <w:t xml:space="preserve"> (2006) 39</w:t>
      </w:r>
      <w:r>
        <w:rPr>
          <w:rFonts w:cs="TimesNewRomanPSMT"/>
        </w:rPr>
        <w:t> </w:t>
      </w:r>
      <w:r w:rsidRPr="005A06FB">
        <w:rPr>
          <w:rFonts w:cs="TimesNewRomanPSMT"/>
        </w:rPr>
        <w:t xml:space="preserve">Cal.4th 260, 292.)  </w:t>
      </w:r>
      <w:r>
        <w:rPr>
          <w:rFonts w:cs="TimesNewRomanPSMT"/>
        </w:rPr>
        <w:t>We do not literally sit in the same seat the trial court does when making this assessment on appeal, since there can sometimes be antecedent factual i</w:t>
      </w:r>
      <w:r w:rsidRPr="00143601">
        <w:rPr>
          <w:rFonts w:cs="TimesNewRomanPSMT"/>
        </w:rPr>
        <w:t xml:space="preserve">ssues a trier of fact </w:t>
      </w:r>
      <w:r>
        <w:rPr>
          <w:rFonts w:cs="TimesNewRomanPSMT"/>
        </w:rPr>
        <w:t xml:space="preserve">must decide concerning what the malicious prosecution defendant knew or should have known upon filing suit.  </w:t>
      </w:r>
      <w:r w:rsidRPr="00143601">
        <w:rPr>
          <w:rFonts w:cs="TimesNewRomanPSMT"/>
        </w:rPr>
        <w:t>(</w:t>
      </w:r>
      <w:r>
        <w:rPr>
          <w:rFonts w:cs="TimesNewRomanPSMT"/>
        </w:rPr>
        <w:t>S</w:t>
      </w:r>
      <w:r w:rsidRPr="00143601">
        <w:rPr>
          <w:rFonts w:cs="TimesNewRomanPSMT"/>
        </w:rPr>
        <w:t xml:space="preserve">ee </w:t>
      </w:r>
      <w:r w:rsidRPr="00143601">
        <w:rPr>
          <w:rFonts w:eastAsia="Times New Roman" w:cs="Times New Roman"/>
          <w:i/>
          <w:iCs/>
          <w:color w:val="3D3D3D"/>
          <w:bdr w:val="none" w:sz="0" w:space="0" w:color="auto" w:frame="1"/>
        </w:rPr>
        <w:t xml:space="preserve">Roche, supra, </w:t>
      </w:r>
      <w:r w:rsidRPr="00143601">
        <w:rPr>
          <w:rFonts w:eastAsia="Times New Roman" w:cs="Times New Roman"/>
          <w:color w:val="000000"/>
        </w:rPr>
        <w:t>51</w:t>
      </w:r>
      <w:r>
        <w:rPr>
          <w:rFonts w:eastAsia="Times New Roman" w:cs="Times New Roman"/>
          <w:color w:val="000000"/>
        </w:rPr>
        <w:t> </w:t>
      </w:r>
      <w:r w:rsidRPr="00143601">
        <w:rPr>
          <w:rFonts w:eastAsia="Times New Roman" w:cs="Times New Roman"/>
          <w:color w:val="000000"/>
        </w:rPr>
        <w:t>Cal.App.5th at p.</w:t>
      </w:r>
      <w:r>
        <w:rPr>
          <w:rFonts w:eastAsia="Times New Roman" w:cs="Times New Roman"/>
          <w:color w:val="000000"/>
        </w:rPr>
        <w:t> </w:t>
      </w:r>
      <w:r w:rsidRPr="00143601">
        <w:rPr>
          <w:rFonts w:eastAsia="Times New Roman" w:cs="Times New Roman"/>
          <w:color w:val="000000"/>
        </w:rPr>
        <w:t>795</w:t>
      </w:r>
      <w:r>
        <w:rPr>
          <w:rFonts w:eastAsia="Times New Roman" w:cs="Times New Roman"/>
          <w:color w:val="000000"/>
        </w:rPr>
        <w:t xml:space="preserve">; </w:t>
      </w:r>
      <w:r w:rsidRPr="005A06FB">
        <w:rPr>
          <w:rFonts w:cs="TimesNewRomanPSMT"/>
          <w:i/>
          <w:iCs/>
        </w:rPr>
        <w:t>Sierra Club Foundation v. Graham</w:t>
      </w:r>
      <w:r w:rsidRPr="005A06FB">
        <w:rPr>
          <w:rFonts w:cs="TimesNewRomanPSMT"/>
        </w:rPr>
        <w:t xml:space="preserve"> (1999) 72</w:t>
      </w:r>
      <w:r>
        <w:rPr>
          <w:rFonts w:cs="TimesNewRomanPSMT"/>
        </w:rPr>
        <w:t> </w:t>
      </w:r>
      <w:r w:rsidRPr="005A06FB">
        <w:rPr>
          <w:rFonts w:cs="TimesNewRomanPSMT"/>
        </w:rPr>
        <w:t>Cal.App.4th 1135, 1153</w:t>
      </w:r>
      <w:r>
        <w:rPr>
          <w:rFonts w:cs="TimesNewRomanPSMT"/>
        </w:rPr>
        <w:t>–</w:t>
      </w:r>
      <w:r w:rsidRPr="005A06FB">
        <w:rPr>
          <w:rFonts w:cs="TimesNewRomanPSMT"/>
        </w:rPr>
        <w:t>1154</w:t>
      </w:r>
      <w:r>
        <w:rPr>
          <w:rFonts w:cs="TimesNewRomanPSMT"/>
        </w:rPr>
        <w:t>.</w:t>
      </w:r>
      <w:r w:rsidRPr="00143601">
        <w:rPr>
          <w:rFonts w:eastAsia="Times New Roman" w:cs="Times New Roman"/>
          <w:color w:val="000000"/>
        </w:rPr>
        <w:t>)</w:t>
      </w:r>
      <w:r>
        <w:rPr>
          <w:rFonts w:eastAsia="Times New Roman" w:cs="Times New Roman"/>
          <w:color w:val="000000"/>
        </w:rPr>
        <w:t xml:space="preserve">  But where “ ‘</w:t>
      </w:r>
      <w:r w:rsidRPr="006621C2">
        <w:rPr>
          <w:rFonts w:eastAsia="Times New Roman" w:cs="Times New Roman"/>
          <w:color w:val="000000"/>
        </w:rPr>
        <w:t>the s</w:t>
      </w:r>
      <w:r w:rsidRPr="006621C2">
        <w:rPr>
          <w:rFonts w:eastAsia="Times New Roman" w:cs="Times New Roman"/>
          <w:color w:val="000000"/>
        </w:rPr>
        <w:t>tate of the [malicious prosecution] defendant</w:t>
      </w:r>
      <w:r>
        <w:rPr>
          <w:rFonts w:eastAsia="Times New Roman" w:cs="Times New Roman"/>
          <w:color w:val="000000"/>
        </w:rPr>
        <w:t>’</w:t>
      </w:r>
      <w:r w:rsidRPr="006621C2">
        <w:rPr>
          <w:rFonts w:eastAsia="Times New Roman" w:cs="Times New Roman"/>
          <w:color w:val="000000"/>
        </w:rPr>
        <w:t>s factual knowledge is resolved or undisp</w:t>
      </w:r>
      <w:r>
        <w:rPr>
          <w:rFonts w:eastAsia="Times New Roman" w:cs="Times New Roman"/>
          <w:color w:val="000000"/>
        </w:rPr>
        <w:t>u</w:t>
      </w:r>
      <w:r w:rsidRPr="006621C2">
        <w:rPr>
          <w:rFonts w:eastAsia="Times New Roman" w:cs="Times New Roman"/>
          <w:color w:val="000000"/>
        </w:rPr>
        <w:t>ted</w:t>
      </w:r>
      <w:r>
        <w:rPr>
          <w:rFonts w:eastAsia="Times New Roman" w:cs="Times New Roman"/>
          <w:color w:val="000000"/>
        </w:rPr>
        <w:t xml:space="preserve">’ ” </w:t>
      </w:r>
      <w:r w:rsidRPr="00B84FDA">
        <w:rPr>
          <w:rFonts w:eastAsia="Times New Roman" w:cs="Times New Roman"/>
          <w:color w:val="000000"/>
        </w:rPr>
        <w:t>(</w:t>
      </w:r>
      <w:r w:rsidRPr="006621C2">
        <w:rPr>
          <w:rFonts w:eastAsia="Times New Roman" w:cs="Times New Roman"/>
          <w:i/>
          <w:iCs/>
          <w:color w:val="3D3D3D"/>
          <w:bdr w:val="none" w:sz="0" w:space="0" w:color="auto" w:frame="1"/>
        </w:rPr>
        <w:t>Leonardini v. Shell Oil Co.</w:t>
      </w:r>
      <w:r w:rsidRPr="006621C2">
        <w:rPr>
          <w:rFonts w:eastAsia="Times New Roman" w:cs="Times New Roman"/>
          <w:color w:val="000000"/>
        </w:rPr>
        <w:t xml:space="preserve"> (1989) 216</w:t>
      </w:r>
      <w:r>
        <w:rPr>
          <w:rFonts w:eastAsia="Times New Roman" w:cs="Times New Roman"/>
          <w:color w:val="000000"/>
        </w:rPr>
        <w:t> </w:t>
      </w:r>
      <w:r w:rsidRPr="006621C2">
        <w:rPr>
          <w:rFonts w:eastAsia="Times New Roman" w:cs="Times New Roman"/>
          <w:color w:val="000000"/>
        </w:rPr>
        <w:t>Cal.App.3d 547, 570)</w:t>
      </w:r>
      <w:r>
        <w:rPr>
          <w:rFonts w:eastAsia="Times New Roman" w:cs="Times New Roman"/>
          <w:color w:val="000000"/>
        </w:rPr>
        <w:t xml:space="preserve">, as it is in this case, the ultimate legal question of </w:t>
      </w:r>
      <w:r w:rsidRPr="006621C2">
        <w:rPr>
          <w:rFonts w:eastAsia="Times New Roman" w:cs="Times New Roman"/>
          <w:color w:val="000000"/>
        </w:rPr>
        <w:t xml:space="preserve">probable cause </w:t>
      </w:r>
      <w:r>
        <w:rPr>
          <w:rFonts w:eastAsia="Times New Roman" w:cs="Times New Roman"/>
          <w:color w:val="000000"/>
        </w:rPr>
        <w:t xml:space="preserve">is for us to decide without deference. </w:t>
      </w:r>
    </w:p>
    <w:p w14:paraId="325B97B4" w14:textId="77777777" w:rsidR="00E402EF" w:rsidRPr="006F0568" w:rsidRDefault="00E402EF" w:rsidP="006F0568">
      <w:pPr>
        <w:shd w:val="clear" w:color="auto" w:fill="FFFFFF"/>
        <w:rPr>
          <w:rFonts w:eastAsia="Times New Roman" w:cs="Times New Roman"/>
          <w:color w:val="000000"/>
        </w:rPr>
      </w:pPr>
      <w:r>
        <w:rPr>
          <w:rFonts w:cs="TimesNewRomanPSMT"/>
        </w:rPr>
        <w:lastRenderedPageBreak/>
        <w:t xml:space="preserve">Central to the analysis here is the principle that, in addressing the legal question of probable cause, it is not necessary to conclude the entire lawsuit was filed and maintained without probable cause. </w:t>
      </w:r>
      <w:r w:rsidRPr="005A06FB">
        <w:rPr>
          <w:rFonts w:cs="TimesNewRomanPSMT"/>
        </w:rPr>
        <w:t xml:space="preserve"> A malicious prosecution claim lies if probable cause is lacking for </w:t>
      </w:r>
      <w:r w:rsidRPr="005A06FB">
        <w:rPr>
          <w:rFonts w:cs="TimesNewRomanPS-ItalicMT"/>
        </w:rPr>
        <w:t xml:space="preserve">any </w:t>
      </w:r>
      <w:r w:rsidRPr="005A06FB">
        <w:rPr>
          <w:rFonts w:cs="TimesNewRomanPSMT"/>
        </w:rPr>
        <w:t>“ground” or “theory” of liability</w:t>
      </w:r>
      <w:r>
        <w:rPr>
          <w:rFonts w:cs="TimesNewRomanPSMT"/>
        </w:rPr>
        <w:t>.</w:t>
      </w:r>
      <w:r w:rsidRPr="005A06FB">
        <w:rPr>
          <w:rFonts w:cs="TimesNewRomanPSMT"/>
        </w:rPr>
        <w:t xml:space="preserve">  (</w:t>
      </w:r>
      <w:r w:rsidRPr="00531937">
        <w:rPr>
          <w:rFonts w:cs="TimesNewRomanPSMT"/>
        </w:rPr>
        <w:t xml:space="preserve">See </w:t>
      </w:r>
      <w:r w:rsidRPr="00531937">
        <w:rPr>
          <w:rFonts w:eastAsia="Times New Roman" w:cs="Times New Roman"/>
          <w:i/>
          <w:iCs/>
          <w:bdr w:val="none" w:sz="0" w:space="0" w:color="auto" w:frame="1"/>
        </w:rPr>
        <w:t>Bertero v. National General Corp.</w:t>
      </w:r>
      <w:r w:rsidRPr="00531937">
        <w:rPr>
          <w:rFonts w:eastAsia="Times New Roman" w:cs="Times New Roman"/>
        </w:rPr>
        <w:t xml:space="preserve"> (1974) 13</w:t>
      </w:r>
      <w:r>
        <w:rPr>
          <w:rFonts w:eastAsia="Times New Roman" w:cs="Times New Roman"/>
        </w:rPr>
        <w:t> </w:t>
      </w:r>
      <w:r w:rsidRPr="006621C2">
        <w:rPr>
          <w:rFonts w:eastAsia="Times New Roman" w:cs="Times New Roman"/>
          <w:color w:val="000000"/>
        </w:rPr>
        <w:t>Cal.3d 43, 57</w:t>
      </w:r>
      <w:r>
        <w:rPr>
          <w:rFonts w:eastAsia="Times New Roman" w:cs="Times New Roman"/>
          <w:color w:val="000000"/>
        </w:rPr>
        <w:t xml:space="preserve"> (</w:t>
      </w:r>
      <w:r w:rsidRPr="006621C2">
        <w:rPr>
          <w:rFonts w:eastAsia="Times New Roman" w:cs="Times New Roman"/>
          <w:i/>
          <w:iCs/>
          <w:color w:val="000000"/>
        </w:rPr>
        <w:t>Bertero</w:t>
      </w:r>
      <w:r>
        <w:rPr>
          <w:rFonts w:eastAsia="Times New Roman" w:cs="Times New Roman"/>
          <w:color w:val="000000"/>
        </w:rPr>
        <w:t>)</w:t>
      </w:r>
      <w:r w:rsidRPr="006621C2">
        <w:rPr>
          <w:rFonts w:eastAsia="Times New Roman" w:cs="Times New Roman"/>
          <w:color w:val="000000"/>
        </w:rPr>
        <w:t xml:space="preserve">; </w:t>
      </w:r>
      <w:r w:rsidRPr="005A06FB">
        <w:rPr>
          <w:rFonts w:cs="TimesNewRomanPSMT"/>
          <w:i/>
          <w:iCs/>
        </w:rPr>
        <w:t>Crowley v. Katleman</w:t>
      </w:r>
      <w:r w:rsidRPr="005A06FB">
        <w:rPr>
          <w:rFonts w:cs="TimesNewRomanPSMT"/>
        </w:rPr>
        <w:t xml:space="preserve"> (1994) 8</w:t>
      </w:r>
      <w:r>
        <w:rPr>
          <w:rFonts w:cs="TimesNewRomanPSMT"/>
        </w:rPr>
        <w:t> </w:t>
      </w:r>
      <w:r w:rsidRPr="005A06FB">
        <w:rPr>
          <w:rFonts w:cs="TimesNewRomanPSMT"/>
        </w:rPr>
        <w:t>Cal.4th 666, 679, 683, 686</w:t>
      </w:r>
      <w:r>
        <w:rPr>
          <w:rFonts w:cs="TimesNewRomanPSMT"/>
        </w:rPr>
        <w:t>–</w:t>
      </w:r>
      <w:r w:rsidRPr="005A06FB">
        <w:rPr>
          <w:rFonts w:cs="TimesNewRomanPSMT"/>
        </w:rPr>
        <w:t>687, 691</w:t>
      </w:r>
      <w:r>
        <w:rPr>
          <w:rFonts w:cs="TimesNewRomanPSMT"/>
        </w:rPr>
        <w:t xml:space="preserve"> (</w:t>
      </w:r>
      <w:r w:rsidRPr="006621C2">
        <w:rPr>
          <w:rFonts w:cs="TimesNewRomanPSMT"/>
          <w:i/>
          <w:iCs/>
        </w:rPr>
        <w:t>Crowley</w:t>
      </w:r>
      <w:r>
        <w:rPr>
          <w:rFonts w:cs="TimesNewRomanPSMT"/>
        </w:rPr>
        <w:t>)</w:t>
      </w:r>
      <w:r w:rsidRPr="00237633">
        <w:rPr>
          <w:rFonts w:cs="TimesNewRomanPSMT"/>
        </w:rPr>
        <w:t>.)</w:t>
      </w:r>
      <w:r>
        <w:rPr>
          <w:rFonts w:cs="TimesNewRomanPSMT"/>
        </w:rPr>
        <w:t xml:space="preserve">  At first blush, what we will call the </w:t>
      </w:r>
      <w:r w:rsidRPr="00322AF1">
        <w:rPr>
          <w:rFonts w:cs="TimesNewRomanPSMT"/>
          <w:i/>
        </w:rPr>
        <w:t>Bertero-Crowley</w:t>
      </w:r>
      <w:r>
        <w:rPr>
          <w:rFonts w:cs="TimesNewRomanPSMT"/>
        </w:rPr>
        <w:t xml:space="preserve"> rule may seem to stand in some tension to various cautionary statements about the tort of malicious prosecution </w:t>
      </w:r>
      <w:r>
        <w:rPr>
          <w:rFonts w:eastAsia="Times New Roman" w:cs="Times New Roman"/>
          <w:color w:val="000000"/>
        </w:rPr>
        <w:t xml:space="preserve">the Supreme Court has made over the years.  As the court explained in </w:t>
      </w:r>
      <w:r w:rsidRPr="006621C2">
        <w:rPr>
          <w:rFonts w:eastAsia="Times New Roman" w:cs="Times New Roman"/>
          <w:i/>
          <w:color w:val="000000"/>
        </w:rPr>
        <w:t xml:space="preserve">Sheldon </w:t>
      </w:r>
      <w:r w:rsidRPr="006621C2">
        <w:rPr>
          <w:rFonts w:eastAsia="Times New Roman" w:cs="Times New Roman"/>
          <w:i/>
          <w:iCs/>
          <w:color w:val="000000"/>
        </w:rPr>
        <w:t>Appel</w:t>
      </w:r>
      <w:r>
        <w:rPr>
          <w:rFonts w:eastAsia="Times New Roman" w:cs="Times New Roman"/>
          <w:color w:val="000000"/>
        </w:rPr>
        <w:t>,</w:t>
      </w:r>
      <w:r w:rsidRPr="00637654">
        <w:rPr>
          <w:rFonts w:eastAsia="Times New Roman" w:cs="Times New Roman"/>
          <w:color w:val="000000"/>
        </w:rPr>
        <w:t xml:space="preserve"> </w:t>
      </w:r>
      <w:r w:rsidRPr="00637654">
        <w:rPr>
          <w:rFonts w:eastAsia="Times New Roman" w:cs="Times New Roman"/>
          <w:color w:val="000000"/>
        </w:rPr>
        <w:t>“</w:t>
      </w:r>
      <w:r>
        <w:rPr>
          <w:rFonts w:eastAsia="Times New Roman" w:cs="Times New Roman"/>
          <w:color w:val="000000"/>
        </w:rPr>
        <w:t>t</w:t>
      </w:r>
      <w:r w:rsidRPr="00DC7F68">
        <w:rPr>
          <w:shd w:val="clear" w:color="auto" w:fill="FFFFFF"/>
        </w:rPr>
        <w:t xml:space="preserve">he tort [of malicious prosecution] has traditionally been regarded as a disfavored cause of action.” </w:t>
      </w:r>
      <w:r>
        <w:rPr>
          <w:shd w:val="clear" w:color="auto" w:fill="FFFFFF"/>
        </w:rPr>
        <w:t xml:space="preserve"> </w:t>
      </w:r>
      <w:r w:rsidRPr="00DC7F68">
        <w:rPr>
          <w:shd w:val="clear" w:color="auto" w:fill="FFFFFF"/>
        </w:rPr>
        <w:t>(</w:t>
      </w:r>
      <w:r w:rsidRPr="00DC7F68">
        <w:rPr>
          <w:rFonts w:eastAsia="Times New Roman" w:cs="Times New Roman"/>
          <w:i/>
          <w:iCs/>
          <w:bdr w:val="none" w:sz="0" w:space="0" w:color="auto" w:frame="1"/>
        </w:rPr>
        <w:t>Sheldon Appel</w:t>
      </w:r>
      <w:r>
        <w:rPr>
          <w:rFonts w:eastAsia="Times New Roman" w:cs="Times New Roman"/>
          <w:i/>
          <w:iCs/>
          <w:bdr w:val="none" w:sz="0" w:space="0" w:color="auto" w:frame="1"/>
        </w:rPr>
        <w:t xml:space="preserve">, supra, </w:t>
      </w:r>
      <w:r w:rsidRPr="00462325">
        <w:rPr>
          <w:rFonts w:eastAsia="Times New Roman" w:cs="Times New Roman"/>
          <w:color w:val="000000"/>
        </w:rPr>
        <w:t>47</w:t>
      </w:r>
      <w:r>
        <w:rPr>
          <w:rFonts w:eastAsia="Times New Roman" w:cs="Times New Roman"/>
          <w:color w:val="000000"/>
        </w:rPr>
        <w:t> </w:t>
      </w:r>
      <w:r w:rsidRPr="00462325">
        <w:rPr>
          <w:rFonts w:eastAsia="Times New Roman" w:cs="Times New Roman"/>
          <w:color w:val="000000"/>
        </w:rPr>
        <w:t xml:space="preserve">Cal.3d </w:t>
      </w:r>
      <w:r>
        <w:rPr>
          <w:rFonts w:eastAsia="Times New Roman" w:cs="Times New Roman"/>
          <w:color w:val="000000"/>
        </w:rPr>
        <w:t>at p. </w:t>
      </w:r>
      <w:r w:rsidRPr="00462325">
        <w:rPr>
          <w:rFonts w:eastAsia="Times New Roman" w:cs="Times New Roman"/>
          <w:color w:val="000000"/>
        </w:rPr>
        <w:t>872</w:t>
      </w:r>
      <w:r>
        <w:rPr>
          <w:rFonts w:eastAsia="Times New Roman" w:cs="Times New Roman"/>
          <w:color w:val="000000"/>
        </w:rPr>
        <w:t xml:space="preserve">.)  </w:t>
      </w:r>
      <w:r w:rsidRPr="00637654">
        <w:rPr>
          <w:rFonts w:eastAsia="Times New Roman" w:cs="Times New Roman"/>
          <w:color w:val="000000"/>
        </w:rPr>
        <w:t>This is so “</w:t>
      </w:r>
      <w:r w:rsidRPr="00E72A47">
        <w:rPr>
          <w:rFonts w:eastAsia="Times New Roman" w:cs="Times New Roman"/>
          <w:color w:val="000000"/>
        </w:rPr>
        <w:t xml:space="preserve">both because of its </w:t>
      </w:r>
      <w:r w:rsidRPr="00637654">
        <w:rPr>
          <w:rFonts w:eastAsia="Times New Roman" w:cs="Times New Roman"/>
          <w:color w:val="000000"/>
        </w:rPr>
        <w:t>‘</w:t>
      </w:r>
      <w:r w:rsidRPr="00E72A47">
        <w:rPr>
          <w:rFonts w:eastAsia="Times New Roman" w:cs="Times New Roman"/>
          <w:color w:val="000000"/>
          <w:bdr w:val="none" w:sz="0" w:space="0" w:color="auto" w:frame="1"/>
          <w:shd w:val="clear" w:color="auto" w:fill="FFFFFF"/>
        </w:rPr>
        <w:t xml:space="preserve">potential to impose an undue </w:t>
      </w:r>
      <w:r>
        <w:rPr>
          <w:rFonts w:eastAsia="Times New Roman" w:cs="Times New Roman"/>
          <w:color w:val="000000"/>
          <w:bdr w:val="none" w:sz="0" w:space="0" w:color="auto" w:frame="1"/>
          <w:shd w:val="clear" w:color="auto" w:fill="FFFFFF"/>
        </w:rPr>
        <w:t>“</w:t>
      </w:r>
      <w:r w:rsidRPr="00E72A47">
        <w:rPr>
          <w:rFonts w:eastAsia="Times New Roman" w:cs="Times New Roman"/>
          <w:color w:val="000000"/>
          <w:bdr w:val="none" w:sz="0" w:space="0" w:color="auto" w:frame="1"/>
          <w:shd w:val="clear" w:color="auto" w:fill="FFFFFF"/>
        </w:rPr>
        <w:t>chilling effect</w:t>
      </w:r>
      <w:r>
        <w:rPr>
          <w:rFonts w:eastAsia="Times New Roman" w:cs="Times New Roman"/>
          <w:color w:val="000000"/>
          <w:bdr w:val="none" w:sz="0" w:space="0" w:color="auto" w:frame="1"/>
          <w:shd w:val="clear" w:color="auto" w:fill="FFFFFF"/>
        </w:rPr>
        <w:t>”</w:t>
      </w:r>
      <w:r w:rsidRPr="00E72A47">
        <w:rPr>
          <w:rFonts w:eastAsia="Times New Roman" w:cs="Times New Roman"/>
          <w:color w:val="000000"/>
          <w:bdr w:val="none" w:sz="0" w:space="0" w:color="auto" w:frame="1"/>
          <w:shd w:val="clear" w:color="auto" w:fill="FFFFFF"/>
        </w:rPr>
        <w:t xml:space="preserve"> on the ordinary citizen</w:t>
      </w:r>
      <w:r>
        <w:rPr>
          <w:rFonts w:eastAsia="Times New Roman" w:cs="Times New Roman"/>
          <w:color w:val="000000"/>
          <w:bdr w:val="none" w:sz="0" w:space="0" w:color="auto" w:frame="1"/>
          <w:shd w:val="clear" w:color="auto" w:fill="FFFFFF"/>
        </w:rPr>
        <w:t>’</w:t>
      </w:r>
      <w:r w:rsidRPr="00E72A47">
        <w:rPr>
          <w:rFonts w:eastAsia="Times New Roman" w:cs="Times New Roman"/>
          <w:color w:val="000000"/>
          <w:bdr w:val="none" w:sz="0" w:space="0" w:color="auto" w:frame="1"/>
          <w:shd w:val="clear" w:color="auto" w:fill="FFFFFF"/>
        </w:rPr>
        <w:t>s willingness to report criminal conduct or to bring a civil dispute to court</w:t>
      </w:r>
      <w:r>
        <w:rPr>
          <w:rFonts w:eastAsia="Times New Roman" w:cs="Times New Roman"/>
          <w:color w:val="000000"/>
          <w:bdr w:val="none" w:sz="0" w:space="0" w:color="auto" w:frame="1"/>
          <w:shd w:val="clear" w:color="auto" w:fill="FFFFFF"/>
        </w:rPr>
        <w:t>’ </w:t>
      </w:r>
      <w:r w:rsidRPr="00E72A47">
        <w:rPr>
          <w:rFonts w:eastAsia="Times New Roman" w:cs="Times New Roman"/>
          <w:color w:val="000000"/>
          <w:bdr w:val="none" w:sz="0" w:space="0" w:color="auto" w:frame="1"/>
          <w:shd w:val="clear" w:color="auto" w:fill="FFFFFF"/>
        </w:rPr>
        <w:t>”</w:t>
      </w:r>
      <w:r w:rsidRPr="00E72A47">
        <w:rPr>
          <w:rFonts w:eastAsia="Times New Roman" w:cs="Times New Roman"/>
          <w:color w:val="000000"/>
        </w:rPr>
        <w:t xml:space="preserve"> </w:t>
      </w:r>
      <w:r w:rsidRPr="00E72A47">
        <w:rPr>
          <w:rFonts w:eastAsia="Times New Roman" w:cs="Times New Roman"/>
          <w:color w:val="000000"/>
          <w:bdr w:val="none" w:sz="0" w:space="0" w:color="auto" w:frame="1"/>
          <w:shd w:val="clear" w:color="auto" w:fill="FFFFFF"/>
        </w:rPr>
        <w:t>(</w:t>
      </w:r>
      <w:r w:rsidRPr="00E72A47">
        <w:rPr>
          <w:rFonts w:eastAsia="Times New Roman" w:cs="Times New Roman"/>
          <w:i/>
          <w:iCs/>
          <w:color w:val="3D3D3D"/>
          <w:bdr w:val="none" w:sz="0" w:space="0" w:color="auto" w:frame="1"/>
        </w:rPr>
        <w:t>Wilson v. Parker, Covert &amp; Chidester</w:t>
      </w:r>
      <w:r w:rsidRPr="00E72A47">
        <w:rPr>
          <w:rFonts w:eastAsia="Times New Roman" w:cs="Times New Roman"/>
          <w:color w:val="000000"/>
        </w:rPr>
        <w:t xml:space="preserve"> (2002) 28</w:t>
      </w:r>
      <w:r>
        <w:rPr>
          <w:rFonts w:eastAsia="Times New Roman" w:cs="Times New Roman"/>
          <w:color w:val="000000"/>
        </w:rPr>
        <w:t> </w:t>
      </w:r>
      <w:r w:rsidRPr="00E72A47">
        <w:rPr>
          <w:rFonts w:eastAsia="Times New Roman" w:cs="Times New Roman"/>
          <w:color w:val="000000"/>
        </w:rPr>
        <w:t>Cal.4th 811, 817</w:t>
      </w:r>
      <w:r w:rsidRPr="00637654">
        <w:rPr>
          <w:rFonts w:eastAsia="Times New Roman" w:cs="Times New Roman"/>
          <w:color w:val="000000"/>
        </w:rPr>
        <w:t>) “</w:t>
      </w:r>
      <w:r w:rsidRPr="00E72A47">
        <w:rPr>
          <w:rFonts w:eastAsia="Times New Roman" w:cs="Times New Roman"/>
          <w:color w:val="000000"/>
        </w:rPr>
        <w:t xml:space="preserve">and because, as a means of deterring excessive and frivolous lawsuits, it has the disadvantage of </w:t>
      </w:r>
      <w:r w:rsidRPr="006F0568">
        <w:rPr>
          <w:rFonts w:eastAsia="Times New Roman" w:cs="Times New Roman"/>
          <w:color w:val="000000"/>
        </w:rPr>
        <w:t>constituting a new round of litigation itself.  [Citation.]  A preferable approach is ‘</w:t>
      </w:r>
      <w:r w:rsidRPr="006F0568">
        <w:rPr>
          <w:rFonts w:eastAsia="Times New Roman" w:cs="Times New Roman"/>
          <w:color w:val="000000"/>
          <w:bdr w:val="none" w:sz="0" w:space="0" w:color="auto" w:frame="1"/>
          <w:shd w:val="clear" w:color="auto" w:fill="FFFFFF"/>
        </w:rPr>
        <w:t>the adoption of measures facilitating the speedy resolution of the initial lawsuit and authorizing the imposition of sanctions for frivolous or delaying c</w:t>
      </w:r>
      <w:r w:rsidRPr="006F0568">
        <w:rPr>
          <w:rFonts w:eastAsia="Times New Roman" w:cs="Times New Roman"/>
          <w:color w:val="000000"/>
          <w:bdr w:val="none" w:sz="0" w:space="0" w:color="auto" w:frame="1"/>
          <w:shd w:val="clear" w:color="auto" w:fill="FFFFFF"/>
        </w:rPr>
        <w:t xml:space="preserve">onduct within that first action itself.’  [Citation.]” </w:t>
      </w:r>
      <w:r w:rsidRPr="006F0568">
        <w:rPr>
          <w:rFonts w:eastAsia="Times New Roman" w:cs="Times New Roman"/>
          <w:color w:val="000000"/>
        </w:rPr>
        <w:t xml:space="preserve"> (</w:t>
      </w:r>
      <w:r w:rsidRPr="006F0568">
        <w:rPr>
          <w:rFonts w:eastAsia="Times New Roman" w:cs="Times New Roman"/>
          <w:i/>
          <w:iCs/>
          <w:color w:val="3D3D3D"/>
          <w:bdr w:val="none" w:sz="0" w:space="0" w:color="auto" w:frame="1"/>
        </w:rPr>
        <w:t>Ibid</w:t>
      </w:r>
      <w:r w:rsidRPr="006F0568">
        <w:rPr>
          <w:rFonts w:eastAsia="Times New Roman" w:cs="Times New Roman"/>
          <w:color w:val="3D3D3D"/>
          <w:bdr w:val="none" w:sz="0" w:space="0" w:color="auto" w:frame="1"/>
        </w:rPr>
        <w:t>.</w:t>
      </w:r>
      <w:r w:rsidRPr="006F0568">
        <w:rPr>
          <w:rFonts w:eastAsia="Times New Roman" w:cs="Times New Roman"/>
          <w:color w:val="000000"/>
        </w:rPr>
        <w:t>)</w:t>
      </w:r>
    </w:p>
    <w:p w14:paraId="7ED7974C" w14:textId="77777777" w:rsidR="00E402EF" w:rsidRPr="00726024" w:rsidRDefault="00E402EF" w:rsidP="006621C2">
      <w:pPr>
        <w:shd w:val="clear" w:color="auto" w:fill="FFFFFF"/>
        <w:rPr>
          <w:rFonts w:eastAsia="Times New Roman" w:cs="Times New Roman"/>
          <w:color w:val="000000"/>
        </w:rPr>
      </w:pPr>
      <w:r>
        <w:rPr>
          <w:rFonts w:eastAsia="Times New Roman" w:cs="Times New Roman"/>
          <w:color w:val="000000"/>
        </w:rPr>
        <w:t xml:space="preserve">But these considerations are subordinate to the importance of providing tort relief where a </w:t>
      </w:r>
      <w:r w:rsidRPr="006621C2">
        <w:rPr>
          <w:rFonts w:eastAsia="Times New Roman" w:cs="Times New Roman"/>
          <w:color w:val="000000"/>
        </w:rPr>
        <w:t>malicious prosecution defendant pursu</w:t>
      </w:r>
      <w:r>
        <w:rPr>
          <w:rFonts w:eastAsia="Times New Roman" w:cs="Times New Roman"/>
          <w:color w:val="000000"/>
        </w:rPr>
        <w:t xml:space="preserve">es </w:t>
      </w:r>
      <w:r w:rsidRPr="006621C2">
        <w:rPr>
          <w:rFonts w:eastAsia="Times New Roman" w:cs="Times New Roman"/>
          <w:color w:val="000000"/>
        </w:rPr>
        <w:t>“counts and theories</w:t>
      </w:r>
      <w:r>
        <w:rPr>
          <w:rFonts w:eastAsia="Times New Roman" w:cs="Times New Roman"/>
          <w:color w:val="000000"/>
        </w:rPr>
        <w:t xml:space="preserve">” it knows or should know are frivolous, even if other aspects of its litigation are supported by probable cause.  </w:t>
      </w:r>
      <w:r w:rsidRPr="006621C2">
        <w:rPr>
          <w:rFonts w:eastAsia="Times New Roman" w:cs="Times New Roman"/>
          <w:color w:val="000000"/>
        </w:rPr>
        <w:t>(</w:t>
      </w:r>
      <w:r w:rsidRPr="006621C2">
        <w:rPr>
          <w:rFonts w:eastAsia="Times New Roman" w:cs="Times New Roman"/>
          <w:i/>
          <w:color w:val="000000"/>
        </w:rPr>
        <w:t>Bertero</w:t>
      </w:r>
      <w:r w:rsidRPr="006621C2">
        <w:rPr>
          <w:rFonts w:eastAsia="Times New Roman" w:cs="Times New Roman"/>
          <w:color w:val="000000"/>
        </w:rPr>
        <w:t xml:space="preserve">, </w:t>
      </w:r>
      <w:r w:rsidRPr="006621C2">
        <w:rPr>
          <w:rFonts w:eastAsia="Times New Roman" w:cs="Times New Roman"/>
          <w:i/>
          <w:color w:val="000000"/>
        </w:rPr>
        <w:t>supra</w:t>
      </w:r>
      <w:r w:rsidRPr="006621C2">
        <w:rPr>
          <w:rFonts w:eastAsia="Times New Roman" w:cs="Times New Roman"/>
          <w:color w:val="000000"/>
        </w:rPr>
        <w:t>, 13</w:t>
      </w:r>
      <w:r>
        <w:rPr>
          <w:rFonts w:eastAsia="Times New Roman" w:cs="Times New Roman"/>
          <w:color w:val="000000"/>
        </w:rPr>
        <w:t> </w:t>
      </w:r>
      <w:r w:rsidRPr="006621C2">
        <w:rPr>
          <w:rFonts w:eastAsia="Times New Roman" w:cs="Times New Roman"/>
          <w:color w:val="000000"/>
        </w:rPr>
        <w:t>Cal. 3d at p.</w:t>
      </w:r>
      <w:r>
        <w:rPr>
          <w:rFonts w:eastAsia="Times New Roman" w:cs="Times New Roman"/>
          <w:color w:val="000000"/>
        </w:rPr>
        <w:t> </w:t>
      </w:r>
      <w:r w:rsidRPr="006621C2">
        <w:rPr>
          <w:rFonts w:eastAsia="Times New Roman" w:cs="Times New Roman"/>
          <w:color w:val="000000"/>
        </w:rPr>
        <w:t xml:space="preserve">57; see </w:t>
      </w:r>
      <w:r w:rsidRPr="006621C2">
        <w:rPr>
          <w:rFonts w:eastAsia="Times New Roman" w:cs="Times New Roman"/>
          <w:i/>
          <w:color w:val="000000"/>
        </w:rPr>
        <w:t>Crowley</w:t>
      </w:r>
      <w:r w:rsidRPr="006621C2">
        <w:rPr>
          <w:rFonts w:eastAsia="Times New Roman" w:cs="Times New Roman"/>
          <w:color w:val="000000"/>
        </w:rPr>
        <w:t xml:space="preserve">, </w:t>
      </w:r>
      <w:r w:rsidRPr="006621C2">
        <w:rPr>
          <w:rFonts w:eastAsia="Times New Roman" w:cs="Times New Roman"/>
          <w:i/>
          <w:color w:val="000000"/>
        </w:rPr>
        <w:t>supra</w:t>
      </w:r>
      <w:r w:rsidRPr="006621C2">
        <w:rPr>
          <w:rFonts w:eastAsia="Times New Roman" w:cs="Times New Roman"/>
          <w:color w:val="000000"/>
        </w:rPr>
        <w:t>, 8</w:t>
      </w:r>
      <w:r>
        <w:rPr>
          <w:rFonts w:eastAsia="Times New Roman" w:cs="Times New Roman"/>
          <w:color w:val="000000"/>
        </w:rPr>
        <w:t> </w:t>
      </w:r>
      <w:r w:rsidRPr="006621C2">
        <w:rPr>
          <w:rFonts w:eastAsia="Times New Roman" w:cs="Times New Roman"/>
          <w:color w:val="000000"/>
        </w:rPr>
        <w:t>Cal.4th at p.</w:t>
      </w:r>
      <w:r>
        <w:rPr>
          <w:rFonts w:eastAsia="Times New Roman" w:cs="Times New Roman"/>
          <w:color w:val="000000"/>
        </w:rPr>
        <w:t> </w:t>
      </w:r>
      <w:r w:rsidRPr="006621C2">
        <w:rPr>
          <w:rFonts w:eastAsia="Times New Roman" w:cs="Times New Roman"/>
          <w:color w:val="000000"/>
        </w:rPr>
        <w:t>683</w:t>
      </w:r>
      <w:r w:rsidRPr="006F0568">
        <w:rPr>
          <w:rFonts w:eastAsia="Times New Roman" w:cs="Times New Roman"/>
          <w:color w:val="000000"/>
        </w:rPr>
        <w:t xml:space="preserve"> [</w:t>
      </w:r>
      <w:r>
        <w:rPr>
          <w:rFonts w:eastAsia="Times New Roman" w:cs="Times New Roman"/>
          <w:color w:val="000000"/>
        </w:rPr>
        <w:t xml:space="preserve">reaffirming and </w:t>
      </w:r>
      <w:r w:rsidRPr="006F0568">
        <w:rPr>
          <w:rFonts w:eastAsia="Times New Roman" w:cs="Times New Roman"/>
          <w:color w:val="000000"/>
        </w:rPr>
        <w:t xml:space="preserve">declining invitation to overrule </w:t>
      </w:r>
      <w:r w:rsidRPr="006621C2">
        <w:rPr>
          <w:rFonts w:eastAsia="Times New Roman" w:cs="Times New Roman"/>
          <w:i/>
          <w:color w:val="000000"/>
        </w:rPr>
        <w:t>Bertero</w:t>
      </w:r>
      <w:r>
        <w:rPr>
          <w:rFonts w:eastAsia="Times New Roman" w:cs="Times New Roman"/>
          <w:color w:val="000000"/>
        </w:rPr>
        <w:t>].</w:t>
      </w:r>
      <w:r w:rsidRPr="006621C2">
        <w:rPr>
          <w:rFonts w:eastAsia="Times New Roman" w:cs="Times New Roman"/>
          <w:color w:val="000000"/>
        </w:rPr>
        <w:t>)</w:t>
      </w:r>
      <w:r w:rsidRPr="006F0568">
        <w:rPr>
          <w:rFonts w:eastAsia="Times New Roman" w:cs="Times New Roman"/>
          <w:color w:val="000000"/>
        </w:rPr>
        <w:t xml:space="preserve">  </w:t>
      </w:r>
      <w:r>
        <w:rPr>
          <w:rFonts w:cs="TimesNewRomanPSMT"/>
        </w:rPr>
        <w:t xml:space="preserve">The </w:t>
      </w:r>
      <w:r w:rsidRPr="006621C2">
        <w:rPr>
          <w:rFonts w:cs="TimesNewRomanPSMT"/>
          <w:i/>
          <w:iCs/>
        </w:rPr>
        <w:t>Bertero-Crowley</w:t>
      </w:r>
      <w:r>
        <w:rPr>
          <w:rFonts w:cs="TimesNewRomanPSMT"/>
        </w:rPr>
        <w:t xml:space="preserve"> rule, by design, frowns on what the Supreme Court has described as “shotgun tactics.”  (</w:t>
      </w:r>
      <w:r w:rsidRPr="006621C2">
        <w:rPr>
          <w:rFonts w:cs="TimesNewRomanPSMT"/>
          <w:i/>
          <w:iCs/>
        </w:rPr>
        <w:t>Bertero</w:t>
      </w:r>
      <w:r>
        <w:rPr>
          <w:rFonts w:cs="TimesNewRomanPSMT"/>
        </w:rPr>
        <w:t xml:space="preserve">, at </w:t>
      </w:r>
      <w:r>
        <w:rPr>
          <w:rFonts w:cs="TimesNewRomanPSMT"/>
        </w:rPr>
        <w:lastRenderedPageBreak/>
        <w:t xml:space="preserve">p. 57; </w:t>
      </w:r>
      <w:r w:rsidRPr="006621C2">
        <w:rPr>
          <w:rFonts w:eastAsia="Times New Roman" w:cs="Times New Roman"/>
          <w:i/>
          <w:color w:val="000000"/>
        </w:rPr>
        <w:t>Crowley</w:t>
      </w:r>
      <w:r w:rsidRPr="006621C2">
        <w:rPr>
          <w:rFonts w:eastAsia="Times New Roman" w:cs="Times New Roman"/>
          <w:color w:val="000000"/>
        </w:rPr>
        <w:t xml:space="preserve">, </w:t>
      </w:r>
      <w:r w:rsidRPr="006621C2">
        <w:rPr>
          <w:rFonts w:eastAsia="Times New Roman" w:cs="Times New Roman"/>
          <w:i/>
          <w:color w:val="000000"/>
        </w:rPr>
        <w:t>supra</w:t>
      </w:r>
      <w:r w:rsidRPr="006621C2">
        <w:rPr>
          <w:rFonts w:eastAsia="Times New Roman" w:cs="Times New Roman"/>
          <w:color w:val="000000"/>
        </w:rPr>
        <w:t>, 8</w:t>
      </w:r>
      <w:r>
        <w:rPr>
          <w:rFonts w:eastAsia="Times New Roman" w:cs="Times New Roman"/>
          <w:color w:val="000000"/>
        </w:rPr>
        <w:t> </w:t>
      </w:r>
      <w:r w:rsidRPr="006621C2">
        <w:rPr>
          <w:rFonts w:eastAsia="Times New Roman" w:cs="Times New Roman"/>
          <w:color w:val="000000"/>
        </w:rPr>
        <w:t>Cal.4th at p.</w:t>
      </w:r>
      <w:r>
        <w:rPr>
          <w:rFonts w:eastAsia="Times New Roman" w:cs="Times New Roman"/>
          <w:color w:val="000000"/>
        </w:rPr>
        <w:t> </w:t>
      </w:r>
      <w:r w:rsidRPr="006621C2">
        <w:rPr>
          <w:rFonts w:eastAsia="Times New Roman" w:cs="Times New Roman"/>
          <w:color w:val="000000"/>
        </w:rPr>
        <w:t>6</w:t>
      </w:r>
      <w:r>
        <w:rPr>
          <w:rFonts w:eastAsia="Times New Roman" w:cs="Times New Roman"/>
          <w:color w:val="000000"/>
        </w:rPr>
        <w:t>7</w:t>
      </w:r>
      <w:r w:rsidRPr="006621C2">
        <w:rPr>
          <w:rFonts w:eastAsia="Times New Roman" w:cs="Times New Roman"/>
          <w:color w:val="000000"/>
        </w:rPr>
        <w:t>8</w:t>
      </w:r>
      <w:r>
        <w:rPr>
          <w:rFonts w:cs="TimesNewRomanPSMT"/>
        </w:rPr>
        <w:t xml:space="preserve">.)  </w:t>
      </w:r>
      <w:r w:rsidRPr="006621C2">
        <w:rPr>
          <w:rFonts w:eastAsia="Times New Roman" w:cs="Times New Roman"/>
          <w:color w:val="000000"/>
        </w:rPr>
        <w:t xml:space="preserve">According to the dissent in </w:t>
      </w:r>
      <w:r w:rsidRPr="006621C2">
        <w:rPr>
          <w:rFonts w:eastAsia="Times New Roman" w:cs="Times New Roman"/>
          <w:i/>
          <w:color w:val="000000"/>
        </w:rPr>
        <w:t>Crowley</w:t>
      </w:r>
      <w:r w:rsidRPr="006621C2">
        <w:rPr>
          <w:rFonts w:eastAsia="Times New Roman" w:cs="Times New Roman"/>
          <w:color w:val="000000"/>
        </w:rPr>
        <w:t xml:space="preserve">, “it is a hard rule that permits the [prevailing] defendant in the first action to then sue the plaintiff in that action in a subsequent malicious prosecution tort suit on the ground that </w:t>
      </w:r>
      <w:r w:rsidRPr="006621C2">
        <w:rPr>
          <w:rFonts w:eastAsia="Times New Roman" w:cs="Times New Roman"/>
          <w:i/>
          <w:color w:val="3D3D3D"/>
          <w:bdr w:val="none" w:sz="0" w:space="0" w:color="auto" w:frame="1"/>
        </w:rPr>
        <w:t>some</w:t>
      </w:r>
      <w:r w:rsidRPr="006621C2">
        <w:rPr>
          <w:rFonts w:eastAsia="Times New Roman" w:cs="Times New Roman"/>
          <w:color w:val="000000"/>
        </w:rPr>
        <w:t xml:space="preserve"> of the </w:t>
      </w:r>
      <w:r w:rsidRPr="006621C2">
        <w:rPr>
          <w:rFonts w:eastAsia="Times New Roman" w:cs="Times New Roman"/>
          <w:i/>
          <w:color w:val="3D3D3D"/>
          <w:bdr w:val="none" w:sz="0" w:space="0" w:color="auto" w:frame="1"/>
        </w:rPr>
        <w:t>theories</w:t>
      </w:r>
      <w:r w:rsidRPr="006621C2">
        <w:rPr>
          <w:rFonts w:eastAsia="Times New Roman" w:cs="Times New Roman"/>
          <w:color w:val="000000"/>
        </w:rPr>
        <w:t xml:space="preserve"> supporting a single claim for relief lacked probable cause” </w:t>
      </w:r>
      <w:r w:rsidRPr="00726024">
        <w:rPr>
          <w:rFonts w:eastAsia="Times New Roman" w:cs="Times New Roman"/>
          <w:color w:val="000000"/>
        </w:rPr>
        <w:t>(</w:t>
      </w:r>
      <w:r w:rsidRPr="00726024">
        <w:rPr>
          <w:rFonts w:eastAsia="Times New Roman" w:cs="Times New Roman"/>
          <w:i/>
          <w:color w:val="000000"/>
        </w:rPr>
        <w:t>Crowley</w:t>
      </w:r>
      <w:r w:rsidRPr="00726024">
        <w:rPr>
          <w:rFonts w:eastAsia="Times New Roman" w:cs="Times New Roman"/>
          <w:color w:val="000000"/>
        </w:rPr>
        <w:t>, at p</w:t>
      </w:r>
      <w:r>
        <w:rPr>
          <w:rFonts w:eastAsia="Times New Roman" w:cs="Times New Roman"/>
          <w:color w:val="000000"/>
        </w:rPr>
        <w:t>p</w:t>
      </w:r>
      <w:r w:rsidRPr="00726024">
        <w:rPr>
          <w:rFonts w:eastAsia="Times New Roman" w:cs="Times New Roman"/>
          <w:color w:val="000000"/>
        </w:rPr>
        <w:t>.</w:t>
      </w:r>
      <w:r>
        <w:rPr>
          <w:rFonts w:eastAsia="Times New Roman" w:cs="Times New Roman"/>
          <w:color w:val="000000"/>
        </w:rPr>
        <w:t> </w:t>
      </w:r>
      <w:r w:rsidRPr="00726024">
        <w:rPr>
          <w:rFonts w:eastAsia="Times New Roman" w:cs="Times New Roman"/>
          <w:color w:val="000000"/>
        </w:rPr>
        <w:t>6</w:t>
      </w:r>
      <w:r>
        <w:rPr>
          <w:rFonts w:eastAsia="Times New Roman" w:cs="Times New Roman"/>
          <w:color w:val="000000"/>
        </w:rPr>
        <w:t xml:space="preserve">98–699 (dis. opn. of Arabian, J.), original italics), </w:t>
      </w:r>
      <w:r w:rsidRPr="006621C2">
        <w:rPr>
          <w:rFonts w:eastAsia="Times New Roman" w:cs="Times New Roman"/>
          <w:color w:val="000000"/>
        </w:rPr>
        <w:t>but “hard rule”</w:t>
      </w:r>
      <w:r w:rsidRPr="006F0568">
        <w:rPr>
          <w:rFonts w:eastAsia="Times New Roman" w:cs="Times New Roman"/>
          <w:color w:val="000000"/>
        </w:rPr>
        <w:t xml:space="preserve"> </w:t>
      </w:r>
      <w:r w:rsidRPr="006621C2">
        <w:rPr>
          <w:rFonts w:eastAsia="Times New Roman" w:cs="Times New Roman"/>
          <w:color w:val="000000"/>
        </w:rPr>
        <w:t xml:space="preserve">or not, that is the policy balance the Supreme Court </w:t>
      </w:r>
      <w:r w:rsidRPr="00726024">
        <w:rPr>
          <w:rFonts w:eastAsia="Times New Roman" w:cs="Times New Roman"/>
          <w:color w:val="000000"/>
        </w:rPr>
        <w:t>has struck (</w:t>
      </w:r>
      <w:r>
        <w:rPr>
          <w:rFonts w:eastAsia="Times New Roman" w:cs="Times New Roman"/>
          <w:i/>
          <w:iCs/>
          <w:color w:val="000000"/>
        </w:rPr>
        <w:t>i</w:t>
      </w:r>
      <w:r w:rsidRPr="00175565">
        <w:rPr>
          <w:rFonts w:eastAsia="Times New Roman" w:cs="Times New Roman"/>
          <w:i/>
          <w:iCs/>
          <w:color w:val="000000"/>
        </w:rPr>
        <w:t>d</w:t>
      </w:r>
      <w:r>
        <w:rPr>
          <w:rFonts w:eastAsia="Times New Roman" w:cs="Times New Roman"/>
          <w:color w:val="000000"/>
        </w:rPr>
        <w:t>.</w:t>
      </w:r>
      <w:r w:rsidRPr="00726024">
        <w:rPr>
          <w:rFonts w:eastAsia="Times New Roman" w:cs="Times New Roman"/>
          <w:color w:val="000000"/>
        </w:rPr>
        <w:t xml:space="preserve"> at pp.</w:t>
      </w:r>
      <w:r>
        <w:rPr>
          <w:rFonts w:eastAsia="Times New Roman" w:cs="Times New Roman"/>
          <w:color w:val="000000"/>
        </w:rPr>
        <w:t> </w:t>
      </w:r>
      <w:r w:rsidRPr="00726024">
        <w:rPr>
          <w:rFonts w:eastAsia="Times New Roman" w:cs="Times New Roman"/>
          <w:color w:val="000000"/>
        </w:rPr>
        <w:t>681</w:t>
      </w:r>
      <w:r>
        <w:rPr>
          <w:rFonts w:eastAsia="Times New Roman" w:cs="Times New Roman"/>
          <w:color w:val="000000"/>
        </w:rPr>
        <w:t>–</w:t>
      </w:r>
      <w:r w:rsidRPr="00726024">
        <w:rPr>
          <w:rFonts w:eastAsia="Times New Roman" w:cs="Times New Roman"/>
          <w:color w:val="000000"/>
        </w:rPr>
        <w:t>692</w:t>
      </w:r>
      <w:r>
        <w:rPr>
          <w:rFonts w:eastAsia="Times New Roman" w:cs="Times New Roman"/>
          <w:color w:val="000000"/>
        </w:rPr>
        <w:t>).</w:t>
      </w:r>
      <w:r w:rsidRPr="00726024">
        <w:rPr>
          <w:rFonts w:eastAsia="Times New Roman" w:cs="Times New Roman"/>
          <w:color w:val="000000"/>
        </w:rPr>
        <w:t xml:space="preserve">  </w:t>
      </w:r>
    </w:p>
    <w:p w14:paraId="2FD446AE" w14:textId="77777777" w:rsidR="00E402EF" w:rsidRPr="00726024" w:rsidRDefault="00E402EF" w:rsidP="006621C2">
      <w:pPr>
        <w:shd w:val="clear" w:color="auto" w:fill="FFFFFF"/>
        <w:rPr>
          <w:rFonts w:eastAsia="Times New Roman" w:cs="Times New Roman"/>
          <w:color w:val="000000"/>
        </w:rPr>
      </w:pPr>
      <w:r w:rsidRPr="00726024">
        <w:rPr>
          <w:rFonts w:eastAsia="Times New Roman" w:cs="Times New Roman"/>
          <w:color w:val="000000"/>
        </w:rPr>
        <w:t xml:space="preserve">The question in this case is how the </w:t>
      </w:r>
      <w:r w:rsidRPr="00726024">
        <w:rPr>
          <w:rFonts w:eastAsia="Times New Roman" w:cs="Times New Roman"/>
          <w:i/>
          <w:color w:val="000000"/>
        </w:rPr>
        <w:t xml:space="preserve">Bertero-Crowley </w:t>
      </w:r>
      <w:r w:rsidRPr="00726024">
        <w:rPr>
          <w:rFonts w:eastAsia="Times New Roman" w:cs="Times New Roman"/>
          <w:color w:val="000000"/>
        </w:rPr>
        <w:t xml:space="preserve">rule applies on this record, bearing in mind that </w:t>
      </w:r>
      <w:r w:rsidRPr="00CA53E9">
        <w:rPr>
          <w:rFonts w:eastAsia="Times New Roman" w:cs="Times New Roman"/>
          <w:i/>
          <w:iCs/>
          <w:color w:val="000000"/>
        </w:rPr>
        <w:t>Sheldon Appel</w:t>
      </w:r>
      <w:r w:rsidRPr="00726024">
        <w:rPr>
          <w:rFonts w:eastAsia="Times New Roman" w:cs="Times New Roman"/>
          <w:color w:val="000000"/>
        </w:rPr>
        <w:t xml:space="preserve"> sets a “low standard of probable cause.”</w:t>
      </w:r>
      <w:r>
        <w:rPr>
          <w:rFonts w:eastAsia="Times New Roman" w:cs="Times New Roman"/>
          <w:color w:val="000000"/>
        </w:rPr>
        <w:t xml:space="preserve"> </w:t>
      </w:r>
      <w:r w:rsidRPr="00726024">
        <w:rPr>
          <w:rFonts w:eastAsia="Times New Roman" w:cs="Times New Roman"/>
          <w:color w:val="000000"/>
        </w:rPr>
        <w:t xml:space="preserve"> (</w:t>
      </w:r>
      <w:r w:rsidRPr="00CA53E9">
        <w:rPr>
          <w:rFonts w:eastAsia="Times New Roman" w:cs="Times New Roman"/>
          <w:i/>
          <w:iCs/>
          <w:color w:val="3D3D3D"/>
          <w:bdr w:val="none" w:sz="0" w:space="0" w:color="auto" w:frame="1"/>
        </w:rPr>
        <w:t>Wilson v. Parker, Covert &amp; Chidester</w:t>
      </w:r>
      <w:r w:rsidRPr="00CA53E9">
        <w:rPr>
          <w:rFonts w:eastAsia="Times New Roman" w:cs="Times New Roman"/>
          <w:color w:val="000000"/>
        </w:rPr>
        <w:t xml:space="preserve">, </w:t>
      </w:r>
      <w:r w:rsidRPr="00CA53E9">
        <w:rPr>
          <w:rFonts w:eastAsia="Times New Roman" w:cs="Times New Roman"/>
          <w:i/>
          <w:iCs/>
          <w:color w:val="000000"/>
        </w:rPr>
        <w:t>supra</w:t>
      </w:r>
      <w:r w:rsidRPr="00CA53E9">
        <w:rPr>
          <w:rFonts w:eastAsia="Times New Roman" w:cs="Times New Roman"/>
          <w:color w:val="000000"/>
        </w:rPr>
        <w:t>, 28</w:t>
      </w:r>
      <w:r>
        <w:rPr>
          <w:rFonts w:eastAsia="Times New Roman" w:cs="Times New Roman"/>
          <w:color w:val="000000"/>
        </w:rPr>
        <w:t> </w:t>
      </w:r>
      <w:r w:rsidRPr="00CA53E9">
        <w:rPr>
          <w:rFonts w:eastAsia="Times New Roman" w:cs="Times New Roman"/>
          <w:color w:val="000000"/>
        </w:rPr>
        <w:t>Cal.4th at p.</w:t>
      </w:r>
      <w:r>
        <w:rPr>
          <w:rFonts w:eastAsia="Times New Roman" w:cs="Times New Roman"/>
          <w:color w:val="000000"/>
        </w:rPr>
        <w:t> </w:t>
      </w:r>
      <w:r w:rsidRPr="00CA53E9">
        <w:rPr>
          <w:rFonts w:eastAsia="Times New Roman" w:cs="Times New Roman"/>
          <w:color w:val="000000"/>
        </w:rPr>
        <w:t xml:space="preserve">826.) </w:t>
      </w:r>
    </w:p>
    <w:p w14:paraId="7DA855A7" w14:textId="77777777" w:rsidR="00E402EF" w:rsidRPr="00CD41F5" w:rsidRDefault="00E402EF" w:rsidP="00572C44">
      <w:pPr>
        <w:pStyle w:val="Heading2"/>
        <w:rPr>
          <w:rFonts w:eastAsia="Times New Roman"/>
          <w:color w:val="000000"/>
        </w:rPr>
      </w:pPr>
      <w:r>
        <w:t>Analysis</w:t>
      </w:r>
    </w:p>
    <w:p w14:paraId="3DEADCB5" w14:textId="77777777" w:rsidR="00E402EF" w:rsidRDefault="00E402EF" w:rsidP="00EE46C0">
      <w:pPr>
        <w:shd w:val="clear" w:color="auto" w:fill="FFFFFF"/>
        <w:rPr>
          <w:rFonts w:eastAsia="Times New Roman" w:cs="Times New Roman"/>
          <w:color w:val="000000"/>
        </w:rPr>
      </w:pPr>
      <w:r>
        <w:rPr>
          <w:rFonts w:eastAsia="Times New Roman" w:cs="Times New Roman"/>
          <w:color w:val="000000"/>
        </w:rPr>
        <w:t xml:space="preserve">McArthur focuses on two aspects of the FAC that he claims were </w:t>
      </w:r>
      <w:r>
        <w:rPr>
          <w:rFonts w:eastAsia="Times New Roman" w:cs="Times New Roman"/>
          <w:color w:val="000000"/>
        </w:rPr>
        <w:t>frivolous—the breach of contract claim, and the Civil Code section 3306a demand.  He argues he has a viable malicious prosecution claim because these two theories of recovery lacked probable cause, the case as a whole terminated in his favor, and Crawford pursued the action in bad faith.  Exercising de novo review, we conclude that the record does not show lack of probable cause.  We need not address the other elements of malicious prosecution.</w:t>
      </w:r>
    </w:p>
    <w:p w14:paraId="7621DB1A" w14:textId="77777777" w:rsidR="00E402EF" w:rsidRDefault="00E402EF" w:rsidP="00EE46C0">
      <w:pPr>
        <w:shd w:val="clear" w:color="auto" w:fill="FFFFFF"/>
        <w:rPr>
          <w:rFonts w:eastAsia="Times New Roman" w:cs="Times New Roman"/>
          <w:color w:val="000000"/>
        </w:rPr>
      </w:pPr>
      <w:r>
        <w:rPr>
          <w:rFonts w:eastAsia="Times New Roman" w:cs="Times New Roman"/>
          <w:color w:val="000000"/>
        </w:rPr>
        <w:t xml:space="preserve">The recorded and unrecorded documents memorializing McArthur’s purchase of Lot 3 from Patterson are fundamentally in conflict:  While the Rider provides that the Driveway Easement “will remain in existence,” the Declaration of Restrictions provides that the Driveway Easement shall “expire” after the “limited period” in which Patterson continued to live in the house on Lot 3 after the closing of the sale.  It is undisputed that McArthur signed both of these documents.  The Declaration of Restrictions, which </w:t>
      </w:r>
      <w:r>
        <w:rPr>
          <w:rFonts w:eastAsia="Times New Roman" w:cs="Times New Roman"/>
          <w:color w:val="000000"/>
        </w:rPr>
        <w:t xml:space="preserve">came </w:t>
      </w:r>
      <w:r>
        <w:rPr>
          <w:rFonts w:eastAsia="Times New Roman" w:cs="Times New Roman"/>
          <w:color w:val="000000"/>
        </w:rPr>
        <w:lastRenderedPageBreak/>
        <w:t xml:space="preserve">later in time, </w:t>
      </w:r>
      <w:r w:rsidRPr="00B02132">
        <w:rPr>
          <w:rFonts w:eastAsia="Times New Roman" w:cs="Times New Roman"/>
          <w:i/>
          <w:iCs/>
          <w:color w:val="000000"/>
        </w:rPr>
        <w:t xml:space="preserve">arguably </w:t>
      </w:r>
      <w:r>
        <w:rPr>
          <w:rFonts w:eastAsia="Times New Roman" w:cs="Times New Roman"/>
          <w:color w:val="000000"/>
        </w:rPr>
        <w:t xml:space="preserve">modifies the Rider by subsequent, mutually executed writing. </w:t>
      </w:r>
    </w:p>
    <w:p w14:paraId="0BDF5C00" w14:textId="77777777" w:rsidR="00E402EF" w:rsidRDefault="00E402EF" w:rsidP="00EE46C0">
      <w:pPr>
        <w:shd w:val="clear" w:color="auto" w:fill="FFFFFF"/>
        <w:rPr>
          <w:rFonts w:eastAsia="Times New Roman" w:cs="Times New Roman"/>
          <w:color w:val="000000"/>
        </w:rPr>
      </w:pPr>
      <w:r>
        <w:rPr>
          <w:rFonts w:eastAsia="Times New Roman" w:cs="Times New Roman"/>
          <w:color w:val="000000"/>
        </w:rPr>
        <w:t>We emphasize “arguably” because, to resolve this appeal, we need not and do not make any determination that that is the correct interpretation of the written instruments governing this transaction, taken collectively.  McArthur argues that the language in the Declaration of Restrictions addresses one specific use of the easement and may be reconciled with the continued existence of the Driveway Easement (i.e., the language merely addresses usage by construction vehicles during the period Patterson contempla</w:t>
      </w:r>
      <w:r>
        <w:rPr>
          <w:rFonts w:eastAsia="Times New Roman" w:cs="Times New Roman"/>
          <w:color w:val="000000"/>
        </w:rPr>
        <w:t xml:space="preserve">ted building on Lot 4).  This reading of the contract documents strikes us as a reasonable interpretation.  Indeed, it may well be the better interpretation, but it is not so clear as to be compelled as a matter of law.  </w:t>
      </w:r>
    </w:p>
    <w:p w14:paraId="12D920AD" w14:textId="77777777" w:rsidR="00E402EF" w:rsidRDefault="00E402EF" w:rsidP="00EE46C0">
      <w:pPr>
        <w:shd w:val="clear" w:color="auto" w:fill="FFFFFF"/>
        <w:rPr>
          <w:rFonts w:eastAsia="Times New Roman" w:cs="Times New Roman"/>
          <w:color w:val="000000"/>
        </w:rPr>
      </w:pPr>
      <w:r>
        <w:rPr>
          <w:rFonts w:eastAsia="Times New Roman" w:cs="Times New Roman"/>
          <w:color w:val="000000"/>
        </w:rPr>
        <w:t xml:space="preserve">We need only determine that the conflict between the Declaration of Restrictions and the Rider creates an ambiguity, a choice between two readings, each of which is reasonably plausible on the face of mutually executed language, pending a factual determination of the parties’ intent at trial or by dispositive motion.  </w:t>
      </w:r>
      <w:r w:rsidRPr="004A3716">
        <w:rPr>
          <w:rFonts w:eastAsia="Times New Roman" w:cs="Times New Roman"/>
          <w:color w:val="000000"/>
        </w:rPr>
        <w:t xml:space="preserve">(See </w:t>
      </w:r>
      <w:r w:rsidRPr="004A3716">
        <w:rPr>
          <w:rFonts w:eastAsia="Times New Roman" w:cs="Times New Roman"/>
          <w:i/>
          <w:iCs/>
          <w:color w:val="3D3D3D"/>
          <w:bdr w:val="none" w:sz="0" w:space="0" w:color="auto" w:frame="1"/>
        </w:rPr>
        <w:t>Winet v. Price</w:t>
      </w:r>
      <w:r w:rsidRPr="004A3716">
        <w:rPr>
          <w:rFonts w:eastAsia="Times New Roman" w:cs="Times New Roman"/>
          <w:color w:val="000000"/>
        </w:rPr>
        <w:t xml:space="preserve"> (1992) 4</w:t>
      </w:r>
      <w:r>
        <w:rPr>
          <w:rFonts w:eastAsia="Times New Roman" w:cs="Times New Roman"/>
          <w:color w:val="000000"/>
        </w:rPr>
        <w:t> </w:t>
      </w:r>
      <w:r w:rsidRPr="004A3716">
        <w:rPr>
          <w:rFonts w:eastAsia="Times New Roman" w:cs="Times New Roman"/>
          <w:color w:val="000000"/>
        </w:rPr>
        <w:t>Cal.App.4th 1159, 1165.)  Crawford</w:t>
      </w:r>
      <w:r>
        <w:rPr>
          <w:rFonts w:eastAsia="Times New Roman" w:cs="Times New Roman"/>
          <w:color w:val="000000"/>
        </w:rPr>
        <w:t xml:space="preserve"> was entitled to seek judicial resolution of that conflict.  The fact that the trial court sustained a demurrer with an invitation to replead does not convince us that she lacked probable cause to sue.  Had she unsuccessfully attempted to cure the pleading deficiencies in the FAC, persisting with her breach of contract claim even after suffering a dismissal with prejudice, we might have seen things differently, but that is not the record we have</w:t>
      </w:r>
      <w:r>
        <w:rPr>
          <w:rFonts w:eastAsia="Times New Roman" w:cs="Times New Roman"/>
          <w:color w:val="000000"/>
        </w:rPr>
        <w:t xml:space="preserve">.   </w:t>
      </w:r>
    </w:p>
    <w:p w14:paraId="2EC75AED" w14:textId="77777777" w:rsidR="00E402EF" w:rsidRDefault="00E402EF" w:rsidP="001A3AE9">
      <w:pPr>
        <w:shd w:val="clear" w:color="auto" w:fill="FFFFFF"/>
        <w:rPr>
          <w:rFonts w:eastAsia="Times New Roman" w:cs="Times New Roman"/>
          <w:color w:val="000000"/>
        </w:rPr>
      </w:pPr>
      <w:r>
        <w:rPr>
          <w:rFonts w:eastAsia="Times New Roman" w:cs="Times New Roman"/>
          <w:color w:val="000000"/>
        </w:rPr>
        <w:t xml:space="preserve">In suing for breach of contract, Crawford appears to have made what might be called a category error.  A temporally limited right to use the real property of another is </w:t>
      </w:r>
      <w:r w:rsidRPr="00456F74">
        <w:rPr>
          <w:rFonts w:eastAsia="Times New Roman" w:cs="Times New Roman"/>
          <w:color w:val="000000"/>
        </w:rPr>
        <w:t xml:space="preserve">properly characterized as a </w:t>
      </w:r>
      <w:r>
        <w:rPr>
          <w:rFonts w:eastAsia="Times New Roman" w:cs="Times New Roman"/>
          <w:color w:val="000000"/>
        </w:rPr>
        <w:t>license, not an easement</w:t>
      </w:r>
      <w:r w:rsidRPr="00456F74">
        <w:rPr>
          <w:rFonts w:eastAsia="Times New Roman" w:cs="Times New Roman"/>
          <w:color w:val="000000"/>
        </w:rPr>
        <w:t xml:space="preserve">.  </w:t>
      </w:r>
      <w:r w:rsidRPr="00456F74">
        <w:rPr>
          <w:rFonts w:eastAsia="Times New Roman" w:cs="Times New Roman"/>
          <w:color w:val="000000"/>
        </w:rPr>
        <w:lastRenderedPageBreak/>
        <w:t>A license is a personal right granted to the licensee (</w:t>
      </w:r>
      <w:r w:rsidRPr="002158FB">
        <w:rPr>
          <w:rFonts w:eastAsia="Times New Roman" w:cs="Times New Roman"/>
          <w:i/>
          <w:iCs/>
          <w:color w:val="3D3D3D"/>
          <w:bdr w:val="none" w:sz="0" w:space="0" w:color="auto" w:frame="1"/>
        </w:rPr>
        <w:t>Golden West Baseball Co. v. City of Anaheim</w:t>
      </w:r>
      <w:r w:rsidRPr="002158FB">
        <w:rPr>
          <w:rFonts w:eastAsia="Times New Roman" w:cs="Times New Roman"/>
          <w:color w:val="000000"/>
        </w:rPr>
        <w:t xml:space="preserve"> (1994) 25</w:t>
      </w:r>
      <w:r>
        <w:rPr>
          <w:rFonts w:eastAsia="Times New Roman" w:cs="Times New Roman"/>
          <w:color w:val="000000"/>
        </w:rPr>
        <w:t> </w:t>
      </w:r>
      <w:r w:rsidRPr="002158FB">
        <w:rPr>
          <w:rFonts w:eastAsia="Times New Roman" w:cs="Times New Roman"/>
          <w:color w:val="000000"/>
        </w:rPr>
        <w:t>Cal.App.4th 11, 36</w:t>
      </w:r>
      <w:r w:rsidRPr="00456F74">
        <w:rPr>
          <w:rFonts w:eastAsia="Times New Roman" w:cs="Times New Roman"/>
          <w:color w:val="000000"/>
        </w:rPr>
        <w:t>)</w:t>
      </w:r>
      <w:r>
        <w:rPr>
          <w:rFonts w:eastAsia="Times New Roman" w:cs="Times New Roman"/>
          <w:color w:val="000000"/>
        </w:rPr>
        <w:t>,</w:t>
      </w:r>
      <w:r w:rsidRPr="00456F74">
        <w:rPr>
          <w:rFonts w:eastAsia="Times New Roman" w:cs="Times New Roman"/>
          <w:color w:val="000000"/>
        </w:rPr>
        <w:t xml:space="preserve"> </w:t>
      </w:r>
      <w:r>
        <w:rPr>
          <w:rFonts w:eastAsia="Times New Roman" w:cs="Times New Roman"/>
          <w:color w:val="000000"/>
        </w:rPr>
        <w:t xml:space="preserve">and, unlike an easement, is generally </w:t>
      </w:r>
      <w:r w:rsidRPr="00456F74">
        <w:rPr>
          <w:rFonts w:eastAsia="Times New Roman" w:cs="Times New Roman"/>
          <w:color w:val="000000"/>
        </w:rPr>
        <w:t>not a servitude that runs with the land (</w:t>
      </w:r>
      <w:r w:rsidRPr="0020147D">
        <w:rPr>
          <w:rFonts w:eastAsia="Times New Roman" w:cs="Times New Roman"/>
          <w:i/>
          <w:iCs/>
          <w:color w:val="3D3D3D"/>
          <w:bdr w:val="none" w:sz="0" w:space="0" w:color="auto" w:frame="1"/>
        </w:rPr>
        <w:t>Gamerberg v. 3000 E. 11th St., LLC</w:t>
      </w:r>
      <w:r w:rsidRPr="0020147D">
        <w:rPr>
          <w:rFonts w:eastAsia="Times New Roman" w:cs="Times New Roman"/>
          <w:color w:val="000000"/>
        </w:rPr>
        <w:t xml:space="preserve"> (2020) 44</w:t>
      </w:r>
      <w:r>
        <w:rPr>
          <w:rFonts w:eastAsia="Times New Roman" w:cs="Times New Roman"/>
          <w:color w:val="000000"/>
        </w:rPr>
        <w:t> </w:t>
      </w:r>
      <w:r w:rsidRPr="0020147D">
        <w:rPr>
          <w:rFonts w:eastAsia="Times New Roman" w:cs="Times New Roman"/>
          <w:color w:val="000000"/>
        </w:rPr>
        <w:t>Cal.App.5th 424, 429</w:t>
      </w:r>
      <w:r w:rsidRPr="00456F74">
        <w:rPr>
          <w:rFonts w:eastAsia="Times New Roman" w:cs="Times New Roman"/>
          <w:color w:val="000000"/>
        </w:rPr>
        <w:t xml:space="preserve"> (</w:t>
      </w:r>
      <w:r w:rsidRPr="00456F74">
        <w:rPr>
          <w:rFonts w:eastAsia="Times New Roman" w:cs="Times New Roman"/>
          <w:i/>
          <w:iCs/>
          <w:color w:val="000000"/>
        </w:rPr>
        <w:t>Gamerberg</w:t>
      </w:r>
      <w:r w:rsidRPr="00456F74">
        <w:rPr>
          <w:rFonts w:eastAsia="Times New Roman" w:cs="Times New Roman"/>
          <w:color w:val="000000"/>
        </w:rPr>
        <w:t>).)</w:t>
      </w:r>
      <w:r>
        <w:rPr>
          <w:rStyle w:val="FootnoteReference"/>
          <w:rFonts w:eastAsia="Times New Roman" w:cs="Times New Roman"/>
          <w:color w:val="000000"/>
        </w:rPr>
        <w:footnoteReference w:id="10"/>
      </w:r>
      <w:r w:rsidRPr="00456F74">
        <w:rPr>
          <w:rFonts w:eastAsia="Times New Roman" w:cs="Times New Roman"/>
          <w:color w:val="000000"/>
        </w:rPr>
        <w:t xml:space="preserve">  </w:t>
      </w:r>
      <w:r>
        <w:rPr>
          <w:rFonts w:eastAsia="Times New Roman" w:cs="Times New Roman"/>
          <w:color w:val="000000"/>
        </w:rPr>
        <w:t>Under Crawford’s alleged facts, as a legal matter, McArthur’s right to access his garage from Lot 4 has the status of a license because it was limited in time.  And a</w:t>
      </w:r>
      <w:r w:rsidRPr="00456F74">
        <w:rPr>
          <w:rFonts w:eastAsia="Times New Roman" w:cs="Times New Roman"/>
          <w:color w:val="000000"/>
        </w:rPr>
        <w:t>t</w:t>
      </w:r>
      <w:r>
        <w:rPr>
          <w:rFonts w:eastAsia="Times New Roman" w:cs="Times New Roman"/>
          <w:color w:val="000000"/>
        </w:rPr>
        <w:t xml:space="preserve"> the expiration of any license right held by McArthur on the facts </w:t>
      </w:r>
      <w:r w:rsidRPr="00456F74">
        <w:rPr>
          <w:rFonts w:eastAsia="Times New Roman" w:cs="Times New Roman"/>
          <w:color w:val="000000"/>
        </w:rPr>
        <w:t>Crawford</w:t>
      </w:r>
      <w:r>
        <w:rPr>
          <w:rFonts w:eastAsia="Times New Roman" w:cs="Times New Roman"/>
          <w:color w:val="000000"/>
        </w:rPr>
        <w:t xml:space="preserve"> alleged, her remedy against him was to sue in tort for trespass, not in contract for breach.  </w:t>
      </w:r>
      <w:r w:rsidRPr="00456F74">
        <w:rPr>
          <w:rFonts w:eastAsia="Times New Roman" w:cs="Times New Roman"/>
          <w:color w:val="000000"/>
        </w:rPr>
        <w:t>(</w:t>
      </w:r>
      <w:r>
        <w:rPr>
          <w:rFonts w:eastAsia="Times New Roman" w:cs="Times New Roman"/>
          <w:i/>
          <w:iCs/>
          <w:color w:val="000000"/>
        </w:rPr>
        <w:t>Gamerberg</w:t>
      </w:r>
      <w:r w:rsidRPr="00623BBA">
        <w:rPr>
          <w:rFonts w:eastAsia="Times New Roman" w:cs="Times New Roman"/>
          <w:color w:val="000000"/>
        </w:rPr>
        <w:t>, at p. 429</w:t>
      </w:r>
      <w:r w:rsidRPr="00456F74">
        <w:rPr>
          <w:rFonts w:eastAsia="Times New Roman" w:cs="Times New Roman"/>
          <w:color w:val="000000"/>
        </w:rPr>
        <w:t xml:space="preserve">.)  </w:t>
      </w:r>
    </w:p>
    <w:p w14:paraId="30F7F3EA" w14:textId="77777777" w:rsidR="00E402EF" w:rsidRDefault="00E402EF" w:rsidP="004A3716">
      <w:pPr>
        <w:shd w:val="clear" w:color="auto" w:fill="FFFFFF"/>
        <w:rPr>
          <w:rFonts w:eastAsia="Times New Roman" w:cs="Times New Roman"/>
          <w:color w:val="000000"/>
        </w:rPr>
      </w:pPr>
      <w:r>
        <w:rPr>
          <w:rFonts w:eastAsia="Times New Roman" w:cs="Times New Roman"/>
          <w:color w:val="000000"/>
        </w:rPr>
        <w:t>But t</w:t>
      </w:r>
      <w:r w:rsidRPr="004A3716">
        <w:rPr>
          <w:rFonts w:eastAsia="Times New Roman" w:cs="Times New Roman"/>
          <w:color w:val="000000"/>
        </w:rPr>
        <w:t xml:space="preserve">he distinction between easements and licenses is often not obvious.  </w:t>
      </w:r>
      <w:r w:rsidRPr="004A3716">
        <w:rPr>
          <w:rFonts w:eastAsia="Times New Roman" w:cs="Times New Roman"/>
        </w:rPr>
        <w:t xml:space="preserve">(See </w:t>
      </w:r>
      <w:r w:rsidRPr="004A3716">
        <w:rPr>
          <w:rFonts w:eastAsia="Times New Roman" w:cs="Times New Roman"/>
          <w:i/>
          <w:iCs/>
          <w:bdr w:val="none" w:sz="0" w:space="0" w:color="auto" w:frame="1"/>
        </w:rPr>
        <w:t>Gamerberg</w:t>
      </w:r>
      <w:r w:rsidRPr="004A3716">
        <w:rPr>
          <w:rFonts w:eastAsia="Times New Roman" w:cs="Times New Roman"/>
        </w:rPr>
        <w:t xml:space="preserve">, </w:t>
      </w:r>
      <w:r w:rsidRPr="004A3716">
        <w:rPr>
          <w:rFonts w:eastAsia="Times New Roman" w:cs="Times New Roman"/>
          <w:i/>
          <w:iCs/>
        </w:rPr>
        <w:t>supra</w:t>
      </w:r>
      <w:r w:rsidRPr="004A3716">
        <w:rPr>
          <w:rFonts w:eastAsia="Times New Roman" w:cs="Times New Roman"/>
        </w:rPr>
        <w:t>, 44</w:t>
      </w:r>
      <w:r>
        <w:rPr>
          <w:rFonts w:eastAsia="Times New Roman" w:cs="Times New Roman"/>
        </w:rPr>
        <w:t> </w:t>
      </w:r>
      <w:r w:rsidRPr="004A3716">
        <w:rPr>
          <w:rFonts w:eastAsia="Times New Roman" w:cs="Times New Roman"/>
        </w:rPr>
        <w:t>Cal.App.5th at p.</w:t>
      </w:r>
      <w:r>
        <w:rPr>
          <w:rFonts w:eastAsia="Times New Roman" w:cs="Times New Roman"/>
        </w:rPr>
        <w:t> </w:t>
      </w:r>
      <w:r w:rsidRPr="004A3716">
        <w:rPr>
          <w:rFonts w:eastAsia="Times New Roman" w:cs="Times New Roman"/>
        </w:rPr>
        <w:t xml:space="preserve">433 [citing French, </w:t>
      </w:r>
      <w:r w:rsidRPr="004A3716">
        <w:rPr>
          <w:rFonts w:eastAsia="Times New Roman" w:cs="Times New Roman"/>
          <w:i/>
          <w:iCs/>
          <w:bdr w:val="none" w:sz="0" w:space="0" w:color="auto" w:frame="1"/>
        </w:rPr>
        <w:t>Toward A Modern Law of Servitudes: Reweaving the Ancient Strands</w:t>
      </w:r>
      <w:r w:rsidRPr="004A3716">
        <w:rPr>
          <w:rFonts w:eastAsia="Times New Roman" w:cs="Times New Roman"/>
        </w:rPr>
        <w:t xml:space="preserve"> (1982) 55</w:t>
      </w:r>
      <w:r>
        <w:rPr>
          <w:rFonts w:eastAsia="Times New Roman" w:cs="Times New Roman"/>
        </w:rPr>
        <w:t> </w:t>
      </w:r>
      <w:r w:rsidRPr="004A3716">
        <w:rPr>
          <w:rFonts w:eastAsia="Times New Roman" w:cs="Times New Roman"/>
        </w:rPr>
        <w:t xml:space="preserve">So.Cal. L.Rev. 1261 [“[t]he law of easements, real covenants, and equitable </w:t>
      </w:r>
      <w:r w:rsidRPr="004A3716">
        <w:rPr>
          <w:rFonts w:eastAsia="Times New Roman" w:cs="Times New Roman"/>
          <w:color w:val="000000"/>
        </w:rPr>
        <w:t>servitudes is the most complex and archaic body of American property law remaining in the twentieth century”]</w:t>
      </w:r>
      <w:r>
        <w:rPr>
          <w:rFonts w:eastAsia="Times New Roman" w:cs="Times New Roman"/>
          <w:color w:val="000000"/>
        </w:rPr>
        <w:t xml:space="preserve">; see also </w:t>
      </w:r>
      <w:r w:rsidRPr="00E037E1">
        <w:rPr>
          <w:rFonts w:eastAsia="Times New Roman" w:cs="Times New Roman"/>
          <w:i/>
          <w:color w:val="000000"/>
        </w:rPr>
        <w:t>Gamerberg</w:t>
      </w:r>
      <w:r>
        <w:rPr>
          <w:rFonts w:eastAsia="Times New Roman" w:cs="Times New Roman"/>
          <w:color w:val="000000"/>
        </w:rPr>
        <w:t xml:space="preserve">, </w:t>
      </w:r>
      <w:r w:rsidRPr="00E037E1">
        <w:rPr>
          <w:rFonts w:eastAsia="Times New Roman" w:cs="Times New Roman"/>
          <w:i/>
          <w:color w:val="000000"/>
        </w:rPr>
        <w:t>supra</w:t>
      </w:r>
      <w:r>
        <w:rPr>
          <w:rFonts w:eastAsia="Times New Roman" w:cs="Times New Roman"/>
          <w:color w:val="000000"/>
        </w:rPr>
        <w:t xml:space="preserve">, at p. 433 [describing the “ ‘system of classification’ ” at common law on which the distinction between licenses and easements rests as a “doctrinal thicket”].) </w:t>
      </w:r>
      <w:r w:rsidRPr="004A3716">
        <w:rPr>
          <w:rFonts w:eastAsia="Times New Roman" w:cs="Times New Roman"/>
          <w:color w:val="000000"/>
        </w:rPr>
        <w:t xml:space="preserve"> </w:t>
      </w:r>
      <w:r>
        <w:rPr>
          <w:rFonts w:eastAsia="Times New Roman" w:cs="Times New Roman"/>
          <w:color w:val="000000"/>
        </w:rPr>
        <w:t>We do not here decide who had the better of the legal argument about the permanent or temporary status of McArthur’s access rights.  W</w:t>
      </w:r>
      <w:r w:rsidRPr="004A3716">
        <w:rPr>
          <w:rFonts w:eastAsia="Times New Roman" w:cs="Times New Roman"/>
          <w:color w:val="000000"/>
        </w:rPr>
        <w:t>ha</w:t>
      </w:r>
      <w:r w:rsidRPr="004A3716">
        <w:rPr>
          <w:rFonts w:eastAsia="Times New Roman" w:cs="Times New Roman"/>
          <w:color w:val="000000"/>
        </w:rPr>
        <w:t>t is important</w:t>
      </w:r>
      <w:r>
        <w:rPr>
          <w:rFonts w:eastAsia="Times New Roman" w:cs="Times New Roman"/>
          <w:color w:val="000000"/>
        </w:rPr>
        <w:t xml:space="preserve"> </w:t>
      </w:r>
      <w:r w:rsidRPr="004A3716">
        <w:rPr>
          <w:rFonts w:eastAsia="Times New Roman" w:cs="Times New Roman"/>
          <w:color w:val="000000"/>
        </w:rPr>
        <w:t>is that there was an a</w:t>
      </w:r>
      <w:r>
        <w:rPr>
          <w:rFonts w:eastAsia="Times New Roman" w:cs="Times New Roman"/>
          <w:color w:val="000000"/>
        </w:rPr>
        <w:t xml:space="preserve">rguable </w:t>
      </w:r>
      <w:r w:rsidRPr="004A3716">
        <w:rPr>
          <w:rFonts w:eastAsia="Times New Roman" w:cs="Times New Roman"/>
          <w:color w:val="000000"/>
        </w:rPr>
        <w:t>legal</w:t>
      </w:r>
      <w:r w:rsidRPr="004A3716">
        <w:rPr>
          <w:rFonts w:eastAsia="Times New Roman" w:cs="Times New Roman"/>
          <w:i/>
          <w:iCs/>
          <w:color w:val="000000"/>
        </w:rPr>
        <w:t xml:space="preserve"> </w:t>
      </w:r>
      <w:r w:rsidRPr="004A3716">
        <w:rPr>
          <w:rFonts w:eastAsia="Times New Roman" w:cs="Times New Roman"/>
          <w:color w:val="000000"/>
        </w:rPr>
        <w:t>basis to seek damages relief</w:t>
      </w:r>
      <w:r>
        <w:rPr>
          <w:rFonts w:eastAsia="Times New Roman" w:cs="Times New Roman"/>
          <w:color w:val="000000"/>
        </w:rPr>
        <w:t xml:space="preserve"> on Crawford’s alleged facts, either in tort or in contract</w:t>
      </w:r>
      <w:r w:rsidRPr="004A3716">
        <w:rPr>
          <w:rFonts w:eastAsia="Times New Roman" w:cs="Times New Roman"/>
          <w:color w:val="000000"/>
        </w:rPr>
        <w:t xml:space="preserve">.  </w:t>
      </w:r>
      <w:r>
        <w:rPr>
          <w:rFonts w:eastAsia="Times New Roman" w:cs="Times New Roman"/>
          <w:color w:val="000000"/>
        </w:rPr>
        <w:t>W</w:t>
      </w:r>
      <w:r w:rsidRPr="004A3716">
        <w:rPr>
          <w:rFonts w:eastAsia="Times New Roman" w:cs="Times New Roman"/>
          <w:color w:val="000000"/>
        </w:rPr>
        <w:t>hether</w:t>
      </w:r>
      <w:r>
        <w:rPr>
          <w:rFonts w:eastAsia="Times New Roman" w:cs="Times New Roman"/>
          <w:color w:val="000000"/>
        </w:rPr>
        <w:t xml:space="preserve"> those facts </w:t>
      </w:r>
      <w:r w:rsidRPr="004A3716">
        <w:rPr>
          <w:rFonts w:eastAsia="Times New Roman" w:cs="Times New Roman"/>
          <w:color w:val="000000"/>
        </w:rPr>
        <w:lastRenderedPageBreak/>
        <w:t>could be proved is</w:t>
      </w:r>
      <w:r>
        <w:rPr>
          <w:rFonts w:eastAsia="Times New Roman" w:cs="Times New Roman"/>
          <w:color w:val="000000"/>
        </w:rPr>
        <w:t xml:space="preserve"> another matter, but at the pleading stage her allegations had to be accepted as true.  </w:t>
      </w:r>
    </w:p>
    <w:p w14:paraId="33552C3A" w14:textId="77777777" w:rsidR="00E402EF" w:rsidRPr="00924432" w:rsidRDefault="00E402EF" w:rsidP="00924432">
      <w:pPr>
        <w:shd w:val="clear" w:color="auto" w:fill="FFFFFF"/>
        <w:rPr>
          <w:rFonts w:eastAsia="Times New Roman" w:cs="Times New Roman"/>
          <w:color w:val="000000"/>
        </w:rPr>
      </w:pPr>
      <w:r>
        <w:rPr>
          <w:rFonts w:eastAsia="Times New Roman" w:cs="Times New Roman"/>
          <w:color w:val="000000"/>
        </w:rPr>
        <w:t>McArthur’s effort to invoke the sham pleading doctrine having failed, we conclude that the conflict between the language of the Declaration of Restrictions, on the one hand, and the language of the Rider, on the other hand, provided a minimally sufficient basis for Crawford to seek the damages remedy she sought.  McArthur insists that Crawford presented the court with a “false and incomplete copy of the Purchase Agreement that omitted” (italics omitted) the Addenda.  But that was the basis of his unsuccessf</w:t>
      </w:r>
      <w:r>
        <w:rPr>
          <w:rFonts w:eastAsia="Times New Roman" w:cs="Times New Roman"/>
          <w:color w:val="000000"/>
        </w:rPr>
        <w:t xml:space="preserve">ul sham pleading argument.  It may have been unwise for Crawford not to attach the Rider to her operative complaint because, in the end, omitting any reference to it probably stood to undermine her credibility. But she was not </w:t>
      </w:r>
      <w:r w:rsidRPr="00677BE1">
        <w:rPr>
          <w:rFonts w:eastAsia="Times New Roman" w:cs="Times New Roman"/>
          <w:i/>
          <w:iCs/>
          <w:color w:val="000000"/>
        </w:rPr>
        <w:t>required</w:t>
      </w:r>
      <w:r>
        <w:rPr>
          <w:rFonts w:eastAsia="Times New Roman" w:cs="Times New Roman"/>
          <w:color w:val="000000"/>
        </w:rPr>
        <w:t xml:space="preserve"> to include it.  She proceeded on the theory</w:t>
      </w:r>
      <w:r w:rsidRPr="00924432">
        <w:rPr>
          <w:rFonts w:eastAsia="Times New Roman" w:cs="Times New Roman"/>
          <w:color w:val="000000"/>
        </w:rPr>
        <w:t xml:space="preserve"> that the controlling instrument </w:t>
      </w:r>
      <w:r>
        <w:rPr>
          <w:rFonts w:eastAsia="Times New Roman" w:cs="Times New Roman"/>
          <w:color w:val="000000"/>
        </w:rPr>
        <w:t xml:space="preserve">is </w:t>
      </w:r>
      <w:r w:rsidRPr="00924432">
        <w:rPr>
          <w:rFonts w:eastAsia="Times New Roman" w:cs="Times New Roman"/>
          <w:color w:val="000000"/>
        </w:rPr>
        <w:t>the Declaration of Restrictions</w:t>
      </w:r>
      <w:r>
        <w:rPr>
          <w:rFonts w:eastAsia="Times New Roman" w:cs="Times New Roman"/>
          <w:color w:val="000000"/>
        </w:rPr>
        <w:t>.</w:t>
      </w:r>
      <w:r>
        <w:rPr>
          <w:rStyle w:val="FootnoteReference"/>
          <w:rFonts w:eastAsia="Times New Roman" w:cs="Times New Roman"/>
          <w:color w:val="000000"/>
        </w:rPr>
        <w:footnoteReference w:id="11"/>
      </w:r>
      <w:r>
        <w:rPr>
          <w:rFonts w:eastAsia="Times New Roman" w:cs="Times New Roman"/>
          <w:color w:val="000000"/>
        </w:rPr>
        <w:t xml:space="preserve">  The Declaration of Restrictions is </w:t>
      </w:r>
      <w:r w:rsidRPr="00924432">
        <w:rPr>
          <w:rFonts w:eastAsia="Times New Roman" w:cs="Times New Roman"/>
          <w:color w:val="000000"/>
        </w:rPr>
        <w:t>itself a contract</w:t>
      </w:r>
      <w:r>
        <w:rPr>
          <w:rFonts w:eastAsia="Times New Roman" w:cs="Times New Roman"/>
          <w:color w:val="000000"/>
        </w:rPr>
        <w:t xml:space="preserve"> </w:t>
      </w:r>
      <w:r w:rsidRPr="00924432">
        <w:rPr>
          <w:rFonts w:eastAsia="Times New Roman" w:cs="Times New Roman"/>
          <w:color w:val="000000"/>
        </w:rPr>
        <w:t>(</w:t>
      </w:r>
      <w:r w:rsidRPr="006621C2">
        <w:rPr>
          <w:rFonts w:eastAsia="Times New Roman" w:cs="Times New Roman"/>
          <w:i/>
          <w:color w:val="3D3D3D"/>
          <w:bdr w:val="none" w:sz="0" w:space="0" w:color="auto" w:frame="1"/>
        </w:rPr>
        <w:t>Pinnacle Museum Tower Assn. v. Pinnacle Market Development (US), LLC</w:t>
      </w:r>
      <w:r w:rsidRPr="006621C2">
        <w:rPr>
          <w:rFonts w:eastAsia="Times New Roman" w:cs="Times New Roman"/>
          <w:color w:val="000000"/>
        </w:rPr>
        <w:t xml:space="preserve"> (2012) 55</w:t>
      </w:r>
      <w:r>
        <w:rPr>
          <w:rFonts w:eastAsia="Times New Roman" w:cs="Times New Roman"/>
          <w:color w:val="000000"/>
        </w:rPr>
        <w:t> </w:t>
      </w:r>
      <w:r w:rsidRPr="006621C2">
        <w:rPr>
          <w:rFonts w:eastAsia="Times New Roman" w:cs="Times New Roman"/>
          <w:color w:val="000000"/>
        </w:rPr>
        <w:t>Cal.4th 223, 239)</w:t>
      </w:r>
      <w:r>
        <w:rPr>
          <w:rFonts w:eastAsia="Times New Roman" w:cs="Times New Roman"/>
          <w:color w:val="000000"/>
        </w:rPr>
        <w:t xml:space="preserve">, and as </w:t>
      </w:r>
      <w:r>
        <w:rPr>
          <w:rFonts w:eastAsia="Times New Roman" w:cs="Times New Roman"/>
          <w:color w:val="000000"/>
        </w:rPr>
        <w:t xml:space="preserve">Graves’s counsel pointed out at </w:t>
      </w:r>
      <w:r>
        <w:rPr>
          <w:rFonts w:eastAsia="Times New Roman" w:cs="Times New Roman"/>
          <w:color w:val="000000"/>
        </w:rPr>
        <w:lastRenderedPageBreak/>
        <w:t>oral argument, contains a continuing enforcement clause that is not temporally limited.</w:t>
      </w:r>
      <w:r>
        <w:rPr>
          <w:rStyle w:val="FootnoteReference"/>
          <w:rFonts w:eastAsia="Times New Roman" w:cs="Times New Roman"/>
          <w:color w:val="000000"/>
        </w:rPr>
        <w:footnoteReference w:id="12"/>
      </w:r>
      <w:r w:rsidRPr="00924432">
        <w:rPr>
          <w:rFonts w:eastAsia="Times New Roman" w:cs="Times New Roman"/>
          <w:color w:val="000000"/>
        </w:rPr>
        <w:t xml:space="preserve"> </w:t>
      </w:r>
      <w:r>
        <w:rPr>
          <w:rFonts w:eastAsia="Times New Roman" w:cs="Times New Roman"/>
          <w:color w:val="000000"/>
        </w:rPr>
        <w:t xml:space="preserve"> McArthur was free to argue waiver of estoppel, or to counter Crawford’s theory that the Declaration of Restrictions controls by presenting his own version of the drafting history—making the Rider the centerpiece of his case—but these responsive moves simply underscore the fact there was an evidentiary and legal conflict to be resolved by trial or dispositive motion. </w:t>
      </w:r>
      <w:r w:rsidRPr="00924432">
        <w:rPr>
          <w:rFonts w:eastAsia="Times New Roman" w:cs="Times New Roman"/>
          <w:color w:val="000000"/>
        </w:rPr>
        <w:t xml:space="preserve"> </w:t>
      </w:r>
    </w:p>
    <w:p w14:paraId="658E8D34" w14:textId="77777777" w:rsidR="00E402EF" w:rsidRDefault="00E402EF" w:rsidP="00F10ACE">
      <w:pPr>
        <w:shd w:val="clear" w:color="auto" w:fill="FFFFFF"/>
        <w:rPr>
          <w:rFonts w:eastAsia="Times New Roman" w:cs="Times New Roman"/>
          <w:color w:val="000000"/>
        </w:rPr>
      </w:pPr>
      <w:r>
        <w:rPr>
          <w:rFonts w:eastAsia="Times New Roman" w:cs="Times New Roman"/>
          <w:color w:val="000000"/>
        </w:rPr>
        <w:t>McArthur, naturally, focuses only on the aspects of the Purchase Agreement and the Addenda that benefited him, but the undisputed terms of his purchase of Lot 3, when read in light of the Declaration of Restrictions, show that preserving the development potential of Lot 4 was among Patterson’s objectives.  It takes no speculation to see that Patterson was interested in building a structure on Lot 4 and that, in doing so, as long as he honored the agreed Building Restrictions, having the freedom to build wit</w:t>
      </w:r>
      <w:r>
        <w:rPr>
          <w:rFonts w:eastAsia="Times New Roman" w:cs="Times New Roman"/>
          <w:color w:val="000000"/>
        </w:rPr>
        <w:t xml:space="preserve">hin the 15-foot encroachment of the Driveway Easement was to his advantage.  On demurrer, the trial court concluded that, in focusing on Brekhus’s pre-suit letter, Crawford failed to identify conduct that deprived Patterson’s beneficiaries of this benefit.  Crawford claims she had a fiduciary duty to pursue such a theory, if one was legally available.  And in representing her interests, we cannot say no reasonable lawyer would have tried to identify a breach of contract on this record, even after the first </w:t>
      </w:r>
      <w:r>
        <w:rPr>
          <w:rFonts w:eastAsia="Times New Roman" w:cs="Times New Roman"/>
          <w:color w:val="000000"/>
        </w:rPr>
        <w:t xml:space="preserve">demurrer was sustained in part.  </w:t>
      </w:r>
    </w:p>
    <w:p w14:paraId="28CBDF74" w14:textId="77777777" w:rsidR="00E402EF" w:rsidRPr="00F10ACE" w:rsidRDefault="00E402EF" w:rsidP="00F10ACE">
      <w:pPr>
        <w:shd w:val="clear" w:color="auto" w:fill="FFFFFF"/>
        <w:rPr>
          <w:rFonts w:eastAsia="Times New Roman" w:cs="Times New Roman"/>
          <w:color w:val="000000"/>
        </w:rPr>
      </w:pPr>
      <w:r>
        <w:rPr>
          <w:rFonts w:eastAsia="Times New Roman" w:cs="Times New Roman"/>
          <w:color w:val="000000"/>
        </w:rPr>
        <w:lastRenderedPageBreak/>
        <w:t xml:space="preserve">In the SAC, Graves pleaded a revised breach of contract theory that McArthur’s continued use of the expired Driveway Easement in 2018 deprived Patterson’s beneficiaries of a contractual benefit Patterson and McArthur agreed upon in the Declaration of Restrictions, thus constituting an actionable breach of </w:t>
      </w:r>
      <w:r w:rsidRPr="00F10ACE">
        <w:rPr>
          <w:rFonts w:eastAsia="Times New Roman" w:cs="Times New Roman"/>
          <w:color w:val="000000"/>
        </w:rPr>
        <w:t>contract</w:t>
      </w:r>
      <w:r>
        <w:rPr>
          <w:rFonts w:eastAsia="Times New Roman" w:cs="Times New Roman"/>
          <w:color w:val="000000"/>
        </w:rPr>
        <w:t xml:space="preserve"> seven years after Patterson moved out of the residence on Lot 3</w:t>
      </w:r>
      <w:r w:rsidRPr="00F10ACE">
        <w:rPr>
          <w:rFonts w:eastAsia="Times New Roman" w:cs="Times New Roman"/>
          <w:color w:val="000000"/>
        </w:rPr>
        <w:t xml:space="preserve">.  </w:t>
      </w:r>
      <w:r>
        <w:rPr>
          <w:rFonts w:eastAsia="Times New Roman" w:cs="Times New Roman"/>
          <w:color w:val="000000"/>
        </w:rPr>
        <w:t xml:space="preserve">Because Crawford dismissed her action against McArthur before the second demurrer came on for hearing, the trial court had no occasion to address the viability of her revised theory of breach, but we think it passes the </w:t>
      </w:r>
      <w:r w:rsidRPr="004A33CA">
        <w:rPr>
          <w:rFonts w:eastAsia="Times New Roman" w:cs="Times New Roman"/>
          <w:i/>
          <w:iCs/>
          <w:color w:val="000000"/>
        </w:rPr>
        <w:t>Sheldon Appel</w:t>
      </w:r>
      <w:r>
        <w:rPr>
          <w:rFonts w:eastAsia="Times New Roman" w:cs="Times New Roman"/>
          <w:color w:val="000000"/>
        </w:rPr>
        <w:t xml:space="preserve"> tenability test.  The theory </w:t>
      </w:r>
      <w:r w:rsidRPr="00F10ACE">
        <w:rPr>
          <w:rFonts w:eastAsia="Times New Roman" w:cs="Times New Roman"/>
          <w:color w:val="000000"/>
        </w:rPr>
        <w:t xml:space="preserve">may </w:t>
      </w:r>
      <w:r>
        <w:rPr>
          <w:rFonts w:eastAsia="Times New Roman" w:cs="Times New Roman"/>
          <w:color w:val="000000"/>
        </w:rPr>
        <w:t xml:space="preserve">have been </w:t>
      </w:r>
      <w:r w:rsidRPr="00F10ACE">
        <w:rPr>
          <w:rFonts w:eastAsia="Times New Roman" w:cs="Times New Roman"/>
          <w:color w:val="000000"/>
        </w:rPr>
        <w:t>weak and likely to lose</w:t>
      </w:r>
      <w:r>
        <w:rPr>
          <w:rFonts w:eastAsia="Times New Roman" w:cs="Times New Roman"/>
          <w:color w:val="000000"/>
        </w:rPr>
        <w:t xml:space="preserve"> in the face of testimony from McArthur—the only living person who knew what he and Patterson discussed concerning the Driveway Easement—</w:t>
      </w:r>
      <w:r w:rsidRPr="00F10ACE">
        <w:rPr>
          <w:rFonts w:eastAsia="Times New Roman" w:cs="Times New Roman"/>
          <w:color w:val="000000"/>
        </w:rPr>
        <w:t xml:space="preserve">but it was not </w:t>
      </w:r>
      <w:r w:rsidRPr="0058533C">
        <w:rPr>
          <w:rFonts w:eastAsia="Times New Roman" w:cs="Times New Roman"/>
          <w:color w:val="000000"/>
        </w:rPr>
        <w:t xml:space="preserve">so </w:t>
      </w:r>
      <w:r w:rsidRPr="00F10ACE">
        <w:rPr>
          <w:rFonts w:eastAsia="Times New Roman" w:cs="Times New Roman"/>
          <w:color w:val="000000"/>
        </w:rPr>
        <w:t>“</w:t>
      </w:r>
      <w:r>
        <w:rPr>
          <w:rFonts w:eastAsia="Times New Roman" w:cs="Times New Roman"/>
          <w:color w:val="000000"/>
        </w:rPr>
        <w:t> ‘</w:t>
      </w:r>
      <w:r w:rsidRPr="00F10ACE">
        <w:rPr>
          <w:rFonts w:eastAsia="Times New Roman" w:cs="Times New Roman"/>
          <w:color w:val="000000"/>
        </w:rPr>
        <w:t>totally and completely without merit</w:t>
      </w:r>
      <w:r>
        <w:rPr>
          <w:rFonts w:eastAsia="Times New Roman" w:cs="Times New Roman"/>
          <w:color w:val="000000"/>
        </w:rPr>
        <w:t>’ </w:t>
      </w:r>
      <w:r w:rsidRPr="00F10ACE">
        <w:rPr>
          <w:rFonts w:eastAsia="Times New Roman" w:cs="Times New Roman"/>
          <w:color w:val="000000"/>
        </w:rPr>
        <w:t xml:space="preserve">” that no reasonable attorney would </w:t>
      </w:r>
      <w:r>
        <w:rPr>
          <w:rFonts w:eastAsia="Times New Roman" w:cs="Times New Roman"/>
          <w:color w:val="000000"/>
        </w:rPr>
        <w:t xml:space="preserve">have </w:t>
      </w:r>
      <w:r w:rsidRPr="00F10ACE">
        <w:rPr>
          <w:rFonts w:eastAsia="Times New Roman" w:cs="Times New Roman"/>
          <w:color w:val="000000"/>
        </w:rPr>
        <w:t>advance</w:t>
      </w:r>
      <w:r>
        <w:rPr>
          <w:rFonts w:eastAsia="Times New Roman" w:cs="Times New Roman"/>
          <w:color w:val="000000"/>
        </w:rPr>
        <w:t>d</w:t>
      </w:r>
      <w:r w:rsidRPr="00F10ACE">
        <w:rPr>
          <w:rFonts w:eastAsia="Times New Roman" w:cs="Times New Roman"/>
          <w:color w:val="000000"/>
        </w:rPr>
        <w:t xml:space="preserve"> it.  (</w:t>
      </w:r>
      <w:r w:rsidRPr="00F10ACE">
        <w:rPr>
          <w:rFonts w:eastAsia="Times New Roman" w:cs="Times New Roman"/>
          <w:i/>
          <w:iCs/>
          <w:color w:val="3D3D3D"/>
          <w:bdr w:val="none" w:sz="0" w:space="0" w:color="auto" w:frame="1"/>
        </w:rPr>
        <w:t>Sheldon Appel</w:t>
      </w:r>
      <w:r w:rsidRPr="006E1960">
        <w:rPr>
          <w:rFonts w:eastAsia="Times New Roman" w:cs="Times New Roman"/>
          <w:color w:val="3D3D3D"/>
          <w:bdr w:val="none" w:sz="0" w:space="0" w:color="auto" w:frame="1"/>
        </w:rPr>
        <w:t>,</w:t>
      </w:r>
      <w:r>
        <w:rPr>
          <w:rFonts w:eastAsia="Times New Roman" w:cs="Times New Roman"/>
          <w:i/>
          <w:iCs/>
          <w:color w:val="3D3D3D"/>
          <w:bdr w:val="none" w:sz="0" w:space="0" w:color="auto" w:frame="1"/>
        </w:rPr>
        <w:t xml:space="preserve"> supra</w:t>
      </w:r>
      <w:r w:rsidRPr="006E1960">
        <w:rPr>
          <w:rFonts w:eastAsia="Times New Roman" w:cs="Times New Roman"/>
          <w:color w:val="3D3D3D"/>
          <w:bdr w:val="none" w:sz="0" w:space="0" w:color="auto" w:frame="1"/>
        </w:rPr>
        <w:t>,</w:t>
      </w:r>
      <w:r w:rsidRPr="00F10ACE">
        <w:rPr>
          <w:rFonts w:eastAsia="Times New Roman" w:cs="Times New Roman"/>
          <w:i/>
          <w:iCs/>
          <w:color w:val="3D3D3D"/>
          <w:bdr w:val="none" w:sz="0" w:space="0" w:color="auto" w:frame="1"/>
        </w:rPr>
        <w:t xml:space="preserve"> </w:t>
      </w:r>
      <w:r w:rsidRPr="00F10ACE">
        <w:rPr>
          <w:rFonts w:eastAsia="Times New Roman" w:cs="Times New Roman"/>
          <w:color w:val="000000"/>
        </w:rPr>
        <w:t>47</w:t>
      </w:r>
      <w:r>
        <w:rPr>
          <w:rFonts w:eastAsia="Times New Roman" w:cs="Times New Roman"/>
          <w:color w:val="000000"/>
        </w:rPr>
        <w:t> </w:t>
      </w:r>
      <w:r w:rsidRPr="00F10ACE">
        <w:rPr>
          <w:rFonts w:eastAsia="Times New Roman" w:cs="Times New Roman"/>
          <w:color w:val="000000"/>
        </w:rPr>
        <w:t>Cal.3d at p.</w:t>
      </w:r>
      <w:r>
        <w:rPr>
          <w:rFonts w:eastAsia="Times New Roman" w:cs="Times New Roman"/>
          <w:color w:val="000000"/>
        </w:rPr>
        <w:t> </w:t>
      </w:r>
      <w:r w:rsidRPr="00F10ACE">
        <w:rPr>
          <w:rFonts w:eastAsia="Times New Roman" w:cs="Times New Roman"/>
          <w:color w:val="000000"/>
        </w:rPr>
        <w:t>885</w:t>
      </w:r>
      <w:r>
        <w:rPr>
          <w:rFonts w:eastAsia="Times New Roman" w:cs="Times New Roman"/>
          <w:color w:val="000000"/>
        </w:rPr>
        <w:t>.</w:t>
      </w:r>
      <w:r w:rsidRPr="00F10ACE">
        <w:rPr>
          <w:rFonts w:eastAsia="Times New Roman" w:cs="Times New Roman"/>
          <w:color w:val="000000"/>
        </w:rPr>
        <w:t>)</w:t>
      </w:r>
    </w:p>
    <w:p w14:paraId="30483DA2" w14:textId="77777777" w:rsidR="00E402EF" w:rsidRDefault="00E402EF" w:rsidP="001A3AE9">
      <w:pPr>
        <w:shd w:val="clear" w:color="auto" w:fill="FFFFFF"/>
        <w:rPr>
          <w:rFonts w:eastAsia="Times New Roman" w:cs="Times New Roman"/>
          <w:color w:val="000000"/>
        </w:rPr>
      </w:pPr>
      <w:r>
        <w:rPr>
          <w:rFonts w:eastAsia="Times New Roman" w:cs="Times New Roman"/>
          <w:color w:val="000000"/>
        </w:rPr>
        <w:t xml:space="preserve">We arrive at the same tenability conclusion with respect to the Civil Code section 3306a demand, but for different </w:t>
      </w:r>
      <w:r w:rsidRPr="00F10ACE">
        <w:rPr>
          <w:rFonts w:eastAsia="Times New Roman" w:cs="Times New Roman"/>
          <w:color w:val="000000"/>
        </w:rPr>
        <w:t>reasons.</w:t>
      </w:r>
      <w:r>
        <w:rPr>
          <w:rFonts w:eastAsia="Times New Roman" w:cs="Times New Roman"/>
          <w:color w:val="000000"/>
        </w:rPr>
        <w:t xml:space="preserve">  In his responding brief, McArthur characterizes Crawford’s Civil Code section 3306a demand as a separate “claim,” but it was pleaded within the quiet title cause of action as requested remedy, not as an affirmative claim or theory of liability.  So far as we can discern, the Civil Code section 3306a demand added nothing material to the relief Crawford would have been entitled to receive had she prevailed on her quiet title cause of action, which survived attack on demurrer.  It was but another req</w:t>
      </w:r>
      <w:r>
        <w:rPr>
          <w:rFonts w:eastAsia="Times New Roman" w:cs="Times New Roman"/>
          <w:color w:val="000000"/>
        </w:rPr>
        <w:t xml:space="preserve">uest for relief flowing from </w:t>
      </w:r>
      <w:r w:rsidRPr="00535324">
        <w:rPr>
          <w:rFonts w:eastAsia="Times New Roman" w:cs="Times New Roman"/>
          <w:color w:val="000000"/>
        </w:rPr>
        <w:t>the same alleged injury</w:t>
      </w:r>
      <w:r>
        <w:rPr>
          <w:rFonts w:eastAsia="Times New Roman" w:cs="Times New Roman"/>
          <w:color w:val="000000"/>
        </w:rPr>
        <w:t>—McArthur</w:t>
      </w:r>
      <w:r w:rsidRPr="00535324">
        <w:rPr>
          <w:rFonts w:eastAsia="Times New Roman" w:cs="Times New Roman"/>
          <w:color w:val="000000"/>
        </w:rPr>
        <w:t xml:space="preserve">’s use of Lot 4 after the </w:t>
      </w:r>
      <w:r>
        <w:rPr>
          <w:rFonts w:eastAsia="Times New Roman" w:cs="Times New Roman"/>
          <w:color w:val="000000"/>
        </w:rPr>
        <w:t>Driveway Easement</w:t>
      </w:r>
      <w:r w:rsidRPr="00535324">
        <w:rPr>
          <w:rFonts w:eastAsia="Times New Roman" w:cs="Times New Roman"/>
          <w:color w:val="000000"/>
        </w:rPr>
        <w:t xml:space="preserve"> allegedly expired</w:t>
      </w:r>
      <w:r>
        <w:rPr>
          <w:rFonts w:eastAsia="Times New Roman" w:cs="Times New Roman"/>
          <w:color w:val="000000"/>
        </w:rPr>
        <w:t xml:space="preserve">.  As we suggested above, Crawford may well have lost the core argument underlying this and all the rest of her claims.  In the end, however, we are not convinced that her attempt to seek redundant relief on a cause of action </w:t>
      </w:r>
      <w:r>
        <w:rPr>
          <w:rFonts w:eastAsia="Times New Roman" w:cs="Times New Roman"/>
          <w:color w:val="000000"/>
        </w:rPr>
        <w:lastRenderedPageBreak/>
        <w:t xml:space="preserve">that survived demurrer is enough to trigger malicious prosecution liability.  The trial court rejected McArthur’s contention that Crawford lacked probable cause in </w:t>
      </w:r>
      <w:r>
        <w:rPr>
          <w:rFonts w:eastAsia="Times New Roman" w:cs="Times New Roman"/>
          <w:color w:val="000000"/>
        </w:rPr>
        <w:t xml:space="preserve">making the Civil Code section 3306a demand, and so do we. </w:t>
      </w:r>
    </w:p>
    <w:p w14:paraId="5E71372F" w14:textId="77777777" w:rsidR="00E402EF" w:rsidRPr="00535324" w:rsidRDefault="00E402EF" w:rsidP="001A3AE9">
      <w:pPr>
        <w:shd w:val="clear" w:color="auto" w:fill="FFFFFF"/>
        <w:rPr>
          <w:rFonts w:eastAsia="Times New Roman" w:cs="Times New Roman"/>
          <w:color w:val="000000"/>
        </w:rPr>
      </w:pPr>
      <w:r>
        <w:rPr>
          <w:rFonts w:eastAsia="Times New Roman" w:cs="Times New Roman"/>
          <w:color w:val="000000"/>
        </w:rPr>
        <w:t xml:space="preserve">The tenability standard under </w:t>
      </w:r>
      <w:r w:rsidRPr="00082F3E">
        <w:rPr>
          <w:rFonts w:eastAsia="Times New Roman" w:cs="Times New Roman"/>
          <w:i/>
          <w:iCs/>
          <w:color w:val="000000"/>
        </w:rPr>
        <w:t>Sheldon Appel</w:t>
      </w:r>
      <w:r>
        <w:rPr>
          <w:rFonts w:eastAsia="Times New Roman" w:cs="Times New Roman"/>
          <w:color w:val="000000"/>
        </w:rPr>
        <w:t xml:space="preserve"> looks to what a </w:t>
      </w:r>
      <w:r w:rsidRPr="00A2374E">
        <w:rPr>
          <w:rFonts w:eastAsia="Times New Roman" w:cs="Times New Roman"/>
          <w:i/>
          <w:iCs/>
          <w:color w:val="000000"/>
        </w:rPr>
        <w:t>reasonable</w:t>
      </w:r>
      <w:r>
        <w:rPr>
          <w:rFonts w:eastAsia="Times New Roman" w:cs="Times New Roman"/>
          <w:color w:val="000000"/>
        </w:rPr>
        <w:t xml:space="preserve"> </w:t>
      </w:r>
      <w:r w:rsidRPr="00A2374E">
        <w:rPr>
          <w:rFonts w:eastAsia="Times New Roman" w:cs="Times New Roman"/>
          <w:i/>
          <w:iCs/>
          <w:color w:val="000000"/>
        </w:rPr>
        <w:t>attorney</w:t>
      </w:r>
      <w:r>
        <w:rPr>
          <w:rFonts w:eastAsia="Times New Roman" w:cs="Times New Roman"/>
          <w:color w:val="000000"/>
        </w:rPr>
        <w:t xml:space="preserve"> would have done with the facts alleged.  Without question, the legal judgments </w:t>
      </w:r>
      <w:r w:rsidRPr="00A2374E">
        <w:rPr>
          <w:rFonts w:eastAsia="Times New Roman" w:cs="Times New Roman"/>
          <w:i/>
          <w:iCs/>
          <w:color w:val="000000"/>
        </w:rPr>
        <w:t>this</w:t>
      </w:r>
      <w:r>
        <w:rPr>
          <w:rFonts w:eastAsia="Times New Roman" w:cs="Times New Roman"/>
          <w:color w:val="000000"/>
        </w:rPr>
        <w:t xml:space="preserve"> </w:t>
      </w:r>
      <w:r w:rsidRPr="00A2374E">
        <w:rPr>
          <w:rFonts w:eastAsia="Times New Roman" w:cs="Times New Roman"/>
          <w:i/>
          <w:iCs/>
          <w:color w:val="000000"/>
        </w:rPr>
        <w:t>attorney</w:t>
      </w:r>
      <w:r>
        <w:rPr>
          <w:rFonts w:eastAsia="Times New Roman" w:cs="Times New Roman"/>
          <w:color w:val="000000"/>
        </w:rPr>
        <w:t xml:space="preserve"> (Graves) made were flawed on multiple levels, but that does not mean he lacked probable cause to bring suit, since, objectively, on this set of alleged facts, we cannot conclude no reasonable lawyer would have advanced the claims and theories he put forth.  </w:t>
      </w:r>
      <w:r w:rsidRPr="004E7674">
        <w:rPr>
          <w:rFonts w:eastAsia="Times New Roman" w:cs="Times New Roman"/>
          <w:color w:val="000000"/>
        </w:rPr>
        <w:t>Under the circumstances</w:t>
      </w:r>
      <w:r>
        <w:rPr>
          <w:rFonts w:eastAsia="Times New Roman" w:cs="Times New Roman"/>
          <w:color w:val="000000"/>
        </w:rPr>
        <w:t xml:space="preserve"> presented</w:t>
      </w:r>
      <w:r w:rsidRPr="004E7674">
        <w:rPr>
          <w:rFonts w:eastAsia="Times New Roman" w:cs="Times New Roman"/>
          <w:color w:val="000000"/>
        </w:rPr>
        <w:t>,</w:t>
      </w:r>
      <w:r>
        <w:rPr>
          <w:rFonts w:eastAsia="Times New Roman" w:cs="Times New Roman"/>
          <w:color w:val="000000"/>
        </w:rPr>
        <w:t xml:space="preserve"> </w:t>
      </w:r>
      <w:r w:rsidRPr="004E7674">
        <w:rPr>
          <w:rFonts w:eastAsia="Times New Roman" w:cs="Times New Roman"/>
          <w:color w:val="000000"/>
        </w:rPr>
        <w:t>“</w:t>
      </w:r>
      <w:r w:rsidRPr="00A1373C">
        <w:rPr>
          <w:rFonts w:eastAsia="Times New Roman" w:cs="Times New Roman"/>
          <w:color w:val="000000"/>
        </w:rPr>
        <w:t>it is not unfair to bar</w:t>
      </w:r>
      <w:r w:rsidRPr="004E7674">
        <w:rPr>
          <w:rFonts w:eastAsia="Times New Roman" w:cs="Times New Roman"/>
          <w:color w:val="000000"/>
        </w:rPr>
        <w:t xml:space="preserve"> </w:t>
      </w:r>
      <w:r>
        <w:rPr>
          <w:rFonts w:eastAsia="Times New Roman" w:cs="Times New Roman"/>
          <w:color w:val="000000"/>
        </w:rPr>
        <w:t>. . .</w:t>
      </w:r>
      <w:r w:rsidRPr="004E7674">
        <w:rPr>
          <w:rFonts w:eastAsia="Times New Roman" w:cs="Times New Roman"/>
          <w:color w:val="000000"/>
        </w:rPr>
        <w:t xml:space="preserve"> [McArthur’s]</w:t>
      </w:r>
      <w:r w:rsidRPr="00A1373C">
        <w:rPr>
          <w:rFonts w:eastAsia="Times New Roman" w:cs="Times New Roman"/>
          <w:color w:val="000000"/>
        </w:rPr>
        <w:t xml:space="preserve">suit for </w:t>
      </w:r>
      <w:r>
        <w:rPr>
          <w:rFonts w:eastAsia="Times New Roman" w:cs="Times New Roman"/>
          <w:color w:val="000000"/>
        </w:rPr>
        <w:t xml:space="preserve">[malicious prosecution] </w:t>
      </w:r>
      <w:r w:rsidRPr="00A1373C">
        <w:rPr>
          <w:rFonts w:eastAsia="Times New Roman" w:cs="Times New Roman"/>
          <w:color w:val="000000"/>
        </w:rPr>
        <w:t xml:space="preserve">damages even if </w:t>
      </w:r>
      <w:r w:rsidRPr="004E7674">
        <w:rPr>
          <w:rFonts w:eastAsia="Times New Roman" w:cs="Times New Roman"/>
          <w:color w:val="000000"/>
        </w:rPr>
        <w:t>[he]</w:t>
      </w:r>
      <w:r>
        <w:rPr>
          <w:rFonts w:eastAsia="Times New Roman" w:cs="Times New Roman"/>
          <w:color w:val="000000"/>
        </w:rPr>
        <w:t xml:space="preserve"> </w:t>
      </w:r>
      <w:r w:rsidRPr="00A1373C">
        <w:rPr>
          <w:rFonts w:eastAsia="Times New Roman" w:cs="Times New Roman"/>
          <w:color w:val="000000"/>
        </w:rPr>
        <w:t xml:space="preserve">can show that </w:t>
      </w:r>
      <w:r w:rsidRPr="004E7674">
        <w:rPr>
          <w:rFonts w:eastAsia="Times New Roman" w:cs="Times New Roman"/>
          <w:color w:val="000000"/>
        </w:rPr>
        <w:t>[his]</w:t>
      </w:r>
      <w:r w:rsidRPr="00A1373C">
        <w:rPr>
          <w:rFonts w:eastAsia="Times New Roman" w:cs="Times New Roman"/>
          <w:color w:val="000000"/>
        </w:rPr>
        <w:t xml:space="preserve"> adversary</w:t>
      </w:r>
      <w:r>
        <w:rPr>
          <w:rFonts w:eastAsia="Times New Roman" w:cs="Times New Roman"/>
          <w:color w:val="000000"/>
        </w:rPr>
        <w:t>’</w:t>
      </w:r>
      <w:r w:rsidRPr="00A1373C">
        <w:rPr>
          <w:rFonts w:eastAsia="Times New Roman" w:cs="Times New Roman"/>
          <w:color w:val="000000"/>
        </w:rPr>
        <w:t>s law firm did not realize how tenable the prior claim actually was, since</w:t>
      </w:r>
      <w:r>
        <w:rPr>
          <w:rFonts w:eastAsia="Times New Roman" w:cs="Times New Roman"/>
          <w:color w:val="000000"/>
        </w:rPr>
        <w:t xml:space="preserve"> . . . </w:t>
      </w:r>
      <w:r w:rsidRPr="004E7674">
        <w:rPr>
          <w:rFonts w:eastAsia="Times New Roman" w:cs="Times New Roman"/>
          <w:color w:val="000000"/>
        </w:rPr>
        <w:t xml:space="preserve">[McArthur] </w:t>
      </w:r>
      <w:r w:rsidRPr="00A1373C">
        <w:rPr>
          <w:rFonts w:eastAsia="Times New Roman" w:cs="Times New Roman"/>
          <w:color w:val="000000"/>
        </w:rPr>
        <w:t xml:space="preserve">could properly have been put to the very same burden of defending an identical claim if </w:t>
      </w:r>
      <w:r w:rsidRPr="004E7674">
        <w:rPr>
          <w:rFonts w:eastAsia="Times New Roman" w:cs="Times New Roman"/>
          <w:color w:val="000000"/>
        </w:rPr>
        <w:t>[his]</w:t>
      </w:r>
      <w:r>
        <w:rPr>
          <w:rFonts w:eastAsia="Times New Roman" w:cs="Times New Roman"/>
          <w:color w:val="000000"/>
        </w:rPr>
        <w:t xml:space="preserve"> </w:t>
      </w:r>
      <w:r w:rsidRPr="00A1373C">
        <w:rPr>
          <w:rFonts w:eastAsia="Times New Roman" w:cs="Times New Roman"/>
          <w:color w:val="000000"/>
        </w:rPr>
        <w:t xml:space="preserve">adversary had simply consulted a different, more legally astute, attorney. </w:t>
      </w:r>
      <w:r>
        <w:rPr>
          <w:rFonts w:eastAsia="Times New Roman" w:cs="Times New Roman"/>
          <w:color w:val="000000"/>
        </w:rPr>
        <w:t xml:space="preserve"> </w:t>
      </w:r>
      <w:r w:rsidRPr="00A1373C">
        <w:rPr>
          <w:rFonts w:eastAsia="Times New Roman" w:cs="Times New Roman"/>
          <w:color w:val="000000"/>
        </w:rPr>
        <w:t xml:space="preserve">This is a classic case of </w:t>
      </w:r>
      <w:r w:rsidRPr="004E7674">
        <w:rPr>
          <w:rFonts w:eastAsia="Times New Roman" w:cs="Times New Roman"/>
          <w:color w:val="000000"/>
        </w:rPr>
        <w:t>‘</w:t>
      </w:r>
      <w:r w:rsidRPr="00A1373C">
        <w:rPr>
          <w:rFonts w:eastAsia="Times New Roman" w:cs="Times New Roman"/>
          <w:color w:val="000000"/>
        </w:rPr>
        <w:t>no harm, no foul.</w:t>
      </w:r>
      <w:r w:rsidRPr="004E7674">
        <w:rPr>
          <w:rFonts w:eastAsia="Times New Roman" w:cs="Times New Roman"/>
          <w:color w:val="000000"/>
        </w:rPr>
        <w:t>’</w:t>
      </w:r>
      <w:r>
        <w:rPr>
          <w:rFonts w:eastAsia="Times New Roman" w:cs="Times New Roman"/>
          <w:color w:val="000000"/>
        </w:rPr>
        <w:t> </w:t>
      </w:r>
      <w:r w:rsidRPr="00A1373C">
        <w:rPr>
          <w:rFonts w:eastAsia="Times New Roman" w:cs="Times New Roman"/>
          <w:color w:val="000000"/>
        </w:rPr>
        <w:t>”</w:t>
      </w:r>
      <w:r w:rsidRPr="004E7674">
        <w:rPr>
          <w:rFonts w:eastAsia="Times New Roman" w:cs="Times New Roman"/>
          <w:color w:val="000000"/>
        </w:rPr>
        <w:t xml:space="preserve">  (</w:t>
      </w:r>
      <w:r w:rsidRPr="004E7674">
        <w:rPr>
          <w:rFonts w:eastAsia="Times New Roman" w:cs="Times New Roman"/>
          <w:i/>
          <w:iCs/>
          <w:color w:val="000000"/>
        </w:rPr>
        <w:t>Sheldon Appel</w:t>
      </w:r>
      <w:r w:rsidRPr="004E7674">
        <w:rPr>
          <w:rFonts w:eastAsia="Times New Roman" w:cs="Times New Roman"/>
          <w:color w:val="000000"/>
        </w:rPr>
        <w:t xml:space="preserve">, </w:t>
      </w:r>
      <w:r w:rsidRPr="004E7674">
        <w:rPr>
          <w:rFonts w:eastAsia="Times New Roman" w:cs="Times New Roman"/>
          <w:i/>
          <w:iCs/>
          <w:color w:val="000000"/>
        </w:rPr>
        <w:t>supra</w:t>
      </w:r>
      <w:r w:rsidRPr="004E7674">
        <w:rPr>
          <w:rFonts w:eastAsia="Times New Roman" w:cs="Times New Roman"/>
          <w:color w:val="000000"/>
        </w:rPr>
        <w:t xml:space="preserve">, </w:t>
      </w:r>
      <w:r w:rsidRPr="00A1373C">
        <w:rPr>
          <w:rFonts w:eastAsia="Times New Roman" w:cs="Times New Roman"/>
          <w:color w:val="000000"/>
        </w:rPr>
        <w:t>47</w:t>
      </w:r>
      <w:r>
        <w:rPr>
          <w:rFonts w:eastAsia="Times New Roman" w:cs="Times New Roman"/>
          <w:color w:val="000000"/>
        </w:rPr>
        <w:t> </w:t>
      </w:r>
      <w:r w:rsidRPr="00A1373C">
        <w:rPr>
          <w:rFonts w:eastAsia="Times New Roman" w:cs="Times New Roman"/>
          <w:color w:val="000000"/>
        </w:rPr>
        <w:t xml:space="preserve">Cal.3d </w:t>
      </w:r>
      <w:r w:rsidRPr="004E7674">
        <w:rPr>
          <w:rFonts w:eastAsia="Times New Roman" w:cs="Times New Roman"/>
          <w:color w:val="000000"/>
        </w:rPr>
        <w:t>at</w:t>
      </w:r>
      <w:r>
        <w:rPr>
          <w:rFonts w:eastAsia="Times New Roman" w:cs="Times New Roman"/>
          <w:color w:val="000000"/>
        </w:rPr>
        <w:t xml:space="preserve"> p. </w:t>
      </w:r>
      <w:r w:rsidRPr="00A1373C">
        <w:rPr>
          <w:rFonts w:eastAsia="Times New Roman" w:cs="Times New Roman"/>
          <w:color w:val="000000"/>
        </w:rPr>
        <w:t>882</w:t>
      </w:r>
      <w:r w:rsidRPr="004E7674">
        <w:rPr>
          <w:rFonts w:eastAsia="Times New Roman" w:cs="Times New Roman"/>
          <w:color w:val="000000"/>
        </w:rPr>
        <w:t xml:space="preserve">.) </w:t>
      </w:r>
    </w:p>
    <w:p w14:paraId="385EDCEB" w14:textId="77777777" w:rsidR="00E402EF" w:rsidRDefault="00E402EF" w:rsidP="00F47AE7">
      <w:pPr>
        <w:shd w:val="clear" w:color="auto" w:fill="FFFFFF"/>
        <w:rPr>
          <w:rFonts w:eastAsia="Times New Roman" w:cs="Times New Roman"/>
          <w:color w:val="000000"/>
        </w:rPr>
      </w:pPr>
      <w:r w:rsidRPr="00535324">
        <w:rPr>
          <w:rFonts w:eastAsia="Times New Roman" w:cs="Times New Roman"/>
          <w:color w:val="000000"/>
        </w:rPr>
        <w:t xml:space="preserve">We acknowledge, to be sure, that there is considerable force to </w:t>
      </w:r>
      <w:r>
        <w:rPr>
          <w:rFonts w:eastAsia="Times New Roman" w:cs="Times New Roman"/>
          <w:color w:val="000000"/>
        </w:rPr>
        <w:t>McArthur</w:t>
      </w:r>
      <w:r w:rsidRPr="00535324">
        <w:rPr>
          <w:rFonts w:eastAsia="Times New Roman" w:cs="Times New Roman"/>
          <w:color w:val="000000"/>
        </w:rPr>
        <w:t xml:space="preserve">’s complaint that </w:t>
      </w:r>
      <w:r>
        <w:rPr>
          <w:rFonts w:eastAsia="Times New Roman" w:cs="Times New Roman"/>
          <w:color w:val="000000"/>
        </w:rPr>
        <w:t xml:space="preserve">Graves </w:t>
      </w:r>
      <w:r w:rsidRPr="00535324">
        <w:rPr>
          <w:rFonts w:eastAsia="Times New Roman" w:cs="Times New Roman"/>
          <w:color w:val="000000"/>
        </w:rPr>
        <w:t>was caught red-handed attempting</w:t>
      </w:r>
      <w:r>
        <w:rPr>
          <w:rFonts w:eastAsia="Times New Roman" w:cs="Times New Roman"/>
          <w:color w:val="000000"/>
        </w:rPr>
        <w:t xml:space="preserve"> to use and rely upon a forged document.  According to McArthur, rather than try to defend the indefensible, Crawford decided to fold rather than proceed in the face of certain defeat.  This argument has visceral appeal, but is overstated.  The June 21 Addendum was not essential to Crawford’s case as pleaded.  Given the clash between two contradictory, mutually executed documents, the conflict on the face of the Rider and the Declaration of Re</w:t>
      </w:r>
      <w:r>
        <w:rPr>
          <w:rFonts w:eastAsia="Times New Roman" w:cs="Times New Roman"/>
          <w:color w:val="000000"/>
        </w:rPr>
        <w:t xml:space="preserve">strictions was enough to provide probable cause to sue, even though Graves struggled to find that correct legal framework for the claims he pleaded and the relief he sought.  While we in no way wish to be understood as condoning conduct that, </w:t>
      </w:r>
      <w:r>
        <w:rPr>
          <w:rFonts w:eastAsia="Times New Roman" w:cs="Times New Roman"/>
          <w:color w:val="000000"/>
        </w:rPr>
        <w:lastRenderedPageBreak/>
        <w:t>if true, would be an egregious violation of every lawyer’s obligation never to “offer evidence that the lawyer knows to be false” (Rules of Prof. Conduct, rule 3.3(a)(3)), at oral argument McArthur’s counsel conceded this issue is not relevant to the probable cause ana</w:t>
      </w:r>
      <w:r>
        <w:rPr>
          <w:rFonts w:eastAsia="Times New Roman" w:cs="Times New Roman"/>
          <w:color w:val="000000"/>
        </w:rPr>
        <w:t xml:space="preserve">lysis.  He acknowledged relying on it here only to support the favorable termination and malice elements of his malicious prosecution claim, neither of which we have occasion to address. </w:t>
      </w:r>
    </w:p>
    <w:p w14:paraId="2A4DEADB" w14:textId="77777777" w:rsidR="00E402EF" w:rsidRPr="00A51B8A" w:rsidRDefault="00E402EF" w:rsidP="00EA7B18">
      <w:pPr>
        <w:shd w:val="clear" w:color="auto" w:fill="FFFFFF"/>
        <w:rPr>
          <w:rFonts w:eastAsia="Times New Roman" w:cs="Times New Roman"/>
          <w:color w:val="000000"/>
        </w:rPr>
      </w:pPr>
      <w:r>
        <w:rPr>
          <w:rFonts w:eastAsia="Times New Roman" w:cs="Times New Roman"/>
          <w:color w:val="000000"/>
        </w:rPr>
        <w:t>It is instructive to c</w:t>
      </w:r>
      <w:r w:rsidRPr="00A51B8A">
        <w:rPr>
          <w:rFonts w:eastAsia="Times New Roman" w:cs="Times New Roman"/>
          <w:color w:val="000000"/>
        </w:rPr>
        <w:t xml:space="preserve">ontrast what happened here to </w:t>
      </w:r>
      <w:r w:rsidRPr="0004674F">
        <w:rPr>
          <w:rFonts w:eastAsia="Times New Roman" w:cs="Times New Roman"/>
          <w:i/>
          <w:iCs/>
          <w:color w:val="000000"/>
        </w:rPr>
        <w:t>Roche</w:t>
      </w:r>
      <w:r>
        <w:rPr>
          <w:rFonts w:eastAsia="Times New Roman" w:cs="Times New Roman"/>
          <w:i/>
          <w:iCs/>
          <w:color w:val="000000"/>
        </w:rPr>
        <w:t xml:space="preserve"> v. Hyde, supra, </w:t>
      </w:r>
      <w:r w:rsidRPr="00963A04">
        <w:rPr>
          <w:rFonts w:eastAsia="Times New Roman" w:cs="Times New Roman"/>
          <w:color w:val="000000"/>
        </w:rPr>
        <w:t>51</w:t>
      </w:r>
      <w:r>
        <w:rPr>
          <w:rFonts w:eastAsia="Times New Roman" w:cs="Times New Roman"/>
          <w:color w:val="000000"/>
        </w:rPr>
        <w:t> </w:t>
      </w:r>
      <w:r w:rsidRPr="00963A04">
        <w:rPr>
          <w:rFonts w:eastAsia="Times New Roman" w:cs="Times New Roman"/>
          <w:color w:val="000000"/>
        </w:rPr>
        <w:t>Cal.App.5th 757</w:t>
      </w:r>
      <w:r>
        <w:rPr>
          <w:rFonts w:eastAsia="Times New Roman" w:cs="Times New Roman"/>
          <w:color w:val="000000"/>
        </w:rPr>
        <w:t>,</w:t>
      </w:r>
      <w:r w:rsidRPr="0004674F">
        <w:rPr>
          <w:rFonts w:eastAsia="Times New Roman" w:cs="Times New Roman"/>
          <w:i/>
          <w:iCs/>
          <w:color w:val="000000"/>
        </w:rPr>
        <w:t xml:space="preserve"> </w:t>
      </w:r>
      <w:r w:rsidRPr="00A51B8A">
        <w:rPr>
          <w:rFonts w:eastAsia="Times New Roman" w:cs="Times New Roman"/>
          <w:color w:val="000000"/>
        </w:rPr>
        <w:t xml:space="preserve">a recent case involving voluntary dismissal in the face of a sanctions motion.  There, as here, a deceitful effort to manipulate the provable facts was alleged.  In affirming the denial of an anti-SLAPP motion filed in response to a malicious prosecution claim, we said, “This is not a situation in which an attorney brought suit on thin evidence, hoping his case would grow stronger in discovery, or on a novel legal theory, hoping the law would evolve in his favor, only to suffer a predictable defeat that he </w:t>
      </w:r>
      <w:r w:rsidRPr="00A51B8A">
        <w:rPr>
          <w:rFonts w:eastAsia="Times New Roman" w:cs="Times New Roman"/>
          <w:color w:val="000000"/>
        </w:rPr>
        <w:t xml:space="preserve">cannot be charged with a duty to predict. </w:t>
      </w:r>
      <w:r>
        <w:rPr>
          <w:rFonts w:eastAsia="Times New Roman" w:cs="Times New Roman"/>
          <w:color w:val="000000"/>
        </w:rPr>
        <w:t xml:space="preserve"> </w:t>
      </w:r>
      <w:r w:rsidRPr="00A51B8A">
        <w:rPr>
          <w:rFonts w:eastAsia="Times New Roman" w:cs="Times New Roman"/>
          <w:color w:val="000000"/>
        </w:rPr>
        <w:t>To the contrary, Roche”</w:t>
      </w:r>
      <w:r w:rsidRPr="000A6C22">
        <w:rPr>
          <w:rFonts w:eastAsia="Times New Roman" w:cs="Times New Roman"/>
          <w:color w:val="000000"/>
        </w:rPr>
        <w:t xml:space="preserve"> </w:t>
      </w:r>
      <w:r>
        <w:rPr>
          <w:rFonts w:eastAsia="Times New Roman" w:cs="Times New Roman"/>
          <w:color w:val="000000"/>
        </w:rPr>
        <w:t>(t</w:t>
      </w:r>
      <w:r w:rsidRPr="00A51B8A">
        <w:rPr>
          <w:rFonts w:eastAsia="Times New Roman" w:cs="Times New Roman"/>
          <w:color w:val="000000"/>
        </w:rPr>
        <w:t>he malicious prosecution plaintiff in that case</w:t>
      </w:r>
      <w:r>
        <w:rPr>
          <w:rFonts w:eastAsia="Times New Roman" w:cs="Times New Roman"/>
          <w:color w:val="000000"/>
        </w:rPr>
        <w:t>) “</w:t>
      </w:r>
      <w:r w:rsidRPr="00A51B8A">
        <w:rPr>
          <w:rFonts w:eastAsia="Times New Roman" w:cs="Times New Roman"/>
          <w:color w:val="000000"/>
        </w:rPr>
        <w:t>has made a showing that Hyde”</w:t>
      </w:r>
      <w:r>
        <w:rPr>
          <w:rFonts w:eastAsia="Times New Roman" w:cs="Times New Roman"/>
          <w:color w:val="000000"/>
        </w:rPr>
        <w:t xml:space="preserve"> (</w:t>
      </w:r>
      <w:r w:rsidRPr="00A51B8A">
        <w:rPr>
          <w:rFonts w:eastAsia="Times New Roman" w:cs="Times New Roman"/>
          <w:color w:val="000000"/>
        </w:rPr>
        <w:t xml:space="preserve">the attorney </w:t>
      </w:r>
      <w:r>
        <w:rPr>
          <w:rFonts w:eastAsia="Times New Roman" w:cs="Times New Roman"/>
          <w:color w:val="000000"/>
        </w:rPr>
        <w:t xml:space="preserve">there who had </w:t>
      </w:r>
      <w:r w:rsidRPr="00A51B8A">
        <w:rPr>
          <w:rFonts w:eastAsia="Times New Roman" w:cs="Times New Roman"/>
          <w:color w:val="000000"/>
        </w:rPr>
        <w:t xml:space="preserve">Graves’s </w:t>
      </w:r>
      <w:r>
        <w:rPr>
          <w:rFonts w:eastAsia="Times New Roman" w:cs="Times New Roman"/>
          <w:color w:val="000000"/>
        </w:rPr>
        <w:t>role here) “</w:t>
      </w:r>
      <w:r w:rsidRPr="00A51B8A">
        <w:rPr>
          <w:rFonts w:eastAsia="Times New Roman" w:cs="Times New Roman"/>
          <w:color w:val="000000"/>
        </w:rPr>
        <w:t xml:space="preserve">had no objectively provable case at all, yet proceeded anyway.” </w:t>
      </w:r>
      <w:r>
        <w:rPr>
          <w:rFonts w:eastAsia="Times New Roman" w:cs="Times New Roman"/>
          <w:color w:val="000000"/>
        </w:rPr>
        <w:t xml:space="preserve"> (</w:t>
      </w:r>
      <w:r w:rsidRPr="002B63F6">
        <w:rPr>
          <w:rFonts w:eastAsia="Times New Roman" w:cs="Times New Roman"/>
          <w:i/>
          <w:iCs/>
          <w:color w:val="000000"/>
        </w:rPr>
        <w:t>Id</w:t>
      </w:r>
      <w:r>
        <w:rPr>
          <w:rFonts w:eastAsia="Times New Roman" w:cs="Times New Roman"/>
          <w:i/>
          <w:iCs/>
          <w:color w:val="000000"/>
        </w:rPr>
        <w:t>.</w:t>
      </w:r>
      <w:r>
        <w:rPr>
          <w:rFonts w:eastAsia="Times New Roman" w:cs="Times New Roman"/>
          <w:color w:val="000000"/>
        </w:rPr>
        <w:t xml:space="preserve"> at p. 795.) </w:t>
      </w:r>
      <w:r w:rsidRPr="00A51B8A">
        <w:rPr>
          <w:rFonts w:eastAsia="Times New Roman" w:cs="Times New Roman"/>
          <w:color w:val="000000"/>
        </w:rPr>
        <w:t xml:space="preserve">  </w:t>
      </w:r>
    </w:p>
    <w:p w14:paraId="0A3791FA" w14:textId="77777777" w:rsidR="00E402EF" w:rsidRPr="00CA53E9" w:rsidRDefault="00E402EF" w:rsidP="00CA53E9">
      <w:pPr>
        <w:shd w:val="clear" w:color="auto" w:fill="FFFFFF"/>
        <w:rPr>
          <w:rFonts w:eastAsia="Times New Roman" w:cs="Times New Roman"/>
          <w:color w:val="000000"/>
        </w:rPr>
      </w:pPr>
      <w:r>
        <w:rPr>
          <w:rFonts w:eastAsia="Times New Roman" w:cs="Times New Roman"/>
          <w:color w:val="000000"/>
        </w:rPr>
        <w:t>That case involved a years-long pattern of discovery abuse so serious that we said a pending motion for terminating sanctions “was almost certainly going to be granted” (</w:t>
      </w:r>
      <w:r w:rsidRPr="005A06FB">
        <w:rPr>
          <w:rFonts w:eastAsia="Times New Roman" w:cs="Times New Roman"/>
          <w:i/>
          <w:iCs/>
          <w:color w:val="000000"/>
        </w:rPr>
        <w:t>Roche</w:t>
      </w:r>
      <w:r>
        <w:rPr>
          <w:rFonts w:eastAsia="Times New Roman" w:cs="Times New Roman"/>
          <w:color w:val="000000"/>
        </w:rPr>
        <w:t xml:space="preserve">, </w:t>
      </w:r>
      <w:r w:rsidRPr="005A06FB">
        <w:rPr>
          <w:rFonts w:eastAsia="Times New Roman" w:cs="Times New Roman"/>
          <w:i/>
          <w:iCs/>
          <w:color w:val="000000"/>
        </w:rPr>
        <w:t>supra</w:t>
      </w:r>
      <w:r>
        <w:rPr>
          <w:rFonts w:eastAsia="Times New Roman" w:cs="Times New Roman"/>
          <w:color w:val="000000"/>
        </w:rPr>
        <w:t>, 51 Cal.App.5</w:t>
      </w:r>
      <w:r w:rsidRPr="00105041">
        <w:rPr>
          <w:rFonts w:eastAsia="Times New Roman" w:cs="Times New Roman"/>
          <w:color w:val="000000"/>
        </w:rPr>
        <w:t>th</w:t>
      </w:r>
      <w:r>
        <w:rPr>
          <w:rFonts w:eastAsia="Times New Roman" w:cs="Times New Roman"/>
          <w:color w:val="000000"/>
        </w:rPr>
        <w:t xml:space="preserve"> at p. 770), something that cannot be said here given the denial of McArthur’s requested sanctions except in an amount Brekhus characterized as a “slap on the wrist.” </w:t>
      </w:r>
      <w:r>
        <w:t xml:space="preserve"> </w:t>
      </w:r>
      <w:r w:rsidRPr="00A51B8A">
        <w:rPr>
          <w:rFonts w:eastAsia="Times New Roman" w:cs="Times New Roman"/>
          <w:color w:val="000000"/>
        </w:rPr>
        <w:t xml:space="preserve">Unlike the scenario in </w:t>
      </w:r>
      <w:r w:rsidRPr="00B05DD5">
        <w:rPr>
          <w:rFonts w:eastAsia="Times New Roman" w:cs="Times New Roman"/>
          <w:i/>
          <w:iCs/>
          <w:color w:val="000000"/>
        </w:rPr>
        <w:t>Roche</w:t>
      </w:r>
      <w:r w:rsidRPr="00B05DD5">
        <w:rPr>
          <w:rFonts w:eastAsia="Times New Roman" w:cs="Times New Roman"/>
          <w:color w:val="000000"/>
        </w:rPr>
        <w:t xml:space="preserve">—where the alleged unethical conduct was so central to the case that, had it not been exposed, it would likely have been outcome-determinative—the controversy sparked by Crawford’s use of the June 21 Addendum was essentially a side-show.  Here, the Declaration of </w:t>
      </w:r>
      <w:r w:rsidRPr="00B05DD5">
        <w:rPr>
          <w:rFonts w:eastAsia="Times New Roman" w:cs="Times New Roman"/>
          <w:color w:val="000000"/>
        </w:rPr>
        <w:lastRenderedPageBreak/>
        <w:t>Restrictions, by itself,</w:t>
      </w:r>
      <w:r w:rsidRPr="00B05DD5">
        <w:rPr>
          <w:rFonts w:eastAsia="Times New Roman" w:cs="Times New Roman"/>
          <w:color w:val="000000"/>
        </w:rPr>
        <w:t xml:space="preserve"> gave Crawford a factual basis to try to prove that the Driveway Easement was temporally limited and had expired, regardless of whether Graves realized how to formulate the correct legal arguments</w:t>
      </w:r>
      <w:r>
        <w:rPr>
          <w:rFonts w:eastAsia="Times New Roman" w:cs="Times New Roman"/>
          <w:color w:val="000000"/>
        </w:rPr>
        <w:t xml:space="preserve"> for that position</w:t>
      </w:r>
      <w:r w:rsidRPr="00B05DD5">
        <w:rPr>
          <w:rFonts w:eastAsia="Times New Roman" w:cs="Times New Roman"/>
          <w:color w:val="000000"/>
        </w:rPr>
        <w:t xml:space="preserve">.  </w:t>
      </w:r>
      <w:r>
        <w:rPr>
          <w:rFonts w:eastAsia="Times New Roman" w:cs="Times New Roman"/>
          <w:color w:val="000000"/>
        </w:rPr>
        <w:t xml:space="preserve">Litigants should always be mindful that, under the </w:t>
      </w:r>
      <w:r w:rsidRPr="002E611F">
        <w:rPr>
          <w:rFonts w:eastAsia="Times New Roman" w:cs="Times New Roman"/>
          <w:i/>
          <w:iCs/>
          <w:color w:val="000000"/>
        </w:rPr>
        <w:t>Bertero-Crowley</w:t>
      </w:r>
      <w:r>
        <w:rPr>
          <w:rFonts w:eastAsia="Times New Roman" w:cs="Times New Roman"/>
          <w:color w:val="000000"/>
        </w:rPr>
        <w:t xml:space="preserve"> rule, a partially well-founded lawsuit will not ward off malicious prosecution exposure if they bring a case that overreaches even in part.  But despite the strictures of that rule, </w:t>
      </w:r>
      <w:r w:rsidRPr="00CA53E9">
        <w:rPr>
          <w:rFonts w:eastAsia="Times New Roman" w:cs="Times New Roman"/>
          <w:color w:val="000000"/>
        </w:rPr>
        <w:t>“</w:t>
      </w:r>
      <w:r>
        <w:t> </w:t>
      </w:r>
      <w:r w:rsidRPr="00CA53E9">
        <w:rPr>
          <w:rFonts w:eastAsia="Times New Roman" w:cs="Times New Roman"/>
          <w:color w:val="000000"/>
        </w:rPr>
        <w:t>‘Counsel and their clients have a right to present issues that are arguably correct, even if it is extremely unlikely that they will win.</w:t>
      </w:r>
      <w:r>
        <w:rPr>
          <w:rFonts w:eastAsia="Times New Roman" w:cs="Times New Roman"/>
          <w:color w:val="000000"/>
        </w:rPr>
        <w:t xml:space="preserve"> . . .</w:t>
      </w:r>
      <w:r w:rsidRPr="00CA53E9">
        <w:rPr>
          <w:rFonts w:eastAsia="Times New Roman" w:cs="Times New Roman"/>
          <w:color w:val="000000"/>
        </w:rPr>
        <w:t xml:space="preserve">’ [Citation.]” </w:t>
      </w:r>
      <w:r>
        <w:rPr>
          <w:rFonts w:eastAsia="Times New Roman" w:cs="Times New Roman"/>
          <w:color w:val="000000"/>
        </w:rPr>
        <w:t xml:space="preserve"> </w:t>
      </w:r>
      <w:r w:rsidRPr="00CA53E9">
        <w:rPr>
          <w:rFonts w:eastAsia="Times New Roman" w:cs="Times New Roman"/>
          <w:color w:val="000000"/>
        </w:rPr>
        <w:t>(</w:t>
      </w:r>
      <w:r w:rsidRPr="00CA53E9">
        <w:rPr>
          <w:rFonts w:eastAsia="Times New Roman" w:cs="Times New Roman"/>
          <w:i/>
          <w:iCs/>
          <w:color w:val="3D3D3D"/>
          <w:bdr w:val="none" w:sz="0" w:space="0" w:color="auto" w:frame="1"/>
        </w:rPr>
        <w:t>Sheldon Appel, supra,</w:t>
      </w:r>
      <w:r w:rsidRPr="00CA53E9">
        <w:rPr>
          <w:rFonts w:eastAsia="Times New Roman" w:cs="Times New Roman"/>
          <w:color w:val="000000"/>
        </w:rPr>
        <w:t xml:space="preserve"> 47</w:t>
      </w:r>
      <w:r>
        <w:rPr>
          <w:rFonts w:eastAsia="Times New Roman" w:cs="Times New Roman"/>
          <w:color w:val="000000"/>
        </w:rPr>
        <w:t> </w:t>
      </w:r>
      <w:r w:rsidRPr="00CA53E9">
        <w:rPr>
          <w:rFonts w:eastAsia="Times New Roman" w:cs="Times New Roman"/>
          <w:color w:val="000000"/>
        </w:rPr>
        <w:t>Cal.3d at p.</w:t>
      </w:r>
      <w:r>
        <w:rPr>
          <w:rFonts w:eastAsia="Times New Roman" w:cs="Times New Roman"/>
          <w:color w:val="000000"/>
        </w:rPr>
        <w:t> </w:t>
      </w:r>
      <w:r w:rsidRPr="00CA53E9">
        <w:rPr>
          <w:rFonts w:eastAsia="Times New Roman" w:cs="Times New Roman"/>
          <w:color w:val="000000"/>
        </w:rPr>
        <w:t>885</w:t>
      </w:r>
      <w:r>
        <w:rPr>
          <w:rFonts w:eastAsia="Times New Roman" w:cs="Times New Roman"/>
          <w:color w:val="000000"/>
        </w:rPr>
        <w:t xml:space="preserve">, quoting </w:t>
      </w:r>
      <w:r w:rsidRPr="00F10ACE">
        <w:rPr>
          <w:rFonts w:eastAsia="Times New Roman" w:cs="Times New Roman"/>
          <w:i/>
          <w:iCs/>
          <w:color w:val="3D3D3D"/>
          <w:bdr w:val="none" w:sz="0" w:space="0" w:color="auto" w:frame="1"/>
        </w:rPr>
        <w:t>In</w:t>
      </w:r>
      <w:r>
        <w:rPr>
          <w:rFonts w:eastAsia="Times New Roman" w:cs="Times New Roman"/>
          <w:i/>
          <w:iCs/>
          <w:color w:val="3D3D3D"/>
          <w:bdr w:val="none" w:sz="0" w:space="0" w:color="auto" w:frame="1"/>
        </w:rPr>
        <w:t> </w:t>
      </w:r>
      <w:r w:rsidRPr="00F10ACE">
        <w:rPr>
          <w:rFonts w:eastAsia="Times New Roman" w:cs="Times New Roman"/>
          <w:i/>
          <w:iCs/>
          <w:color w:val="3D3D3D"/>
          <w:bdr w:val="none" w:sz="0" w:space="0" w:color="auto" w:frame="1"/>
        </w:rPr>
        <w:t>re Marriage of Flaherty</w:t>
      </w:r>
      <w:r w:rsidRPr="00F10ACE">
        <w:rPr>
          <w:rFonts w:eastAsia="Times New Roman" w:cs="Times New Roman"/>
          <w:color w:val="000000"/>
        </w:rPr>
        <w:t xml:space="preserve"> (1982) 31</w:t>
      </w:r>
      <w:r>
        <w:rPr>
          <w:rFonts w:eastAsia="Times New Roman" w:cs="Times New Roman"/>
          <w:color w:val="000000"/>
        </w:rPr>
        <w:t> </w:t>
      </w:r>
      <w:r w:rsidRPr="00F10ACE">
        <w:rPr>
          <w:rFonts w:eastAsia="Times New Roman" w:cs="Times New Roman"/>
          <w:color w:val="000000"/>
        </w:rPr>
        <w:t>Cal.3d 637, 650</w:t>
      </w:r>
      <w:r>
        <w:rPr>
          <w:rFonts w:eastAsia="Times New Roman" w:cs="Times New Roman"/>
          <w:color w:val="000000"/>
        </w:rPr>
        <w:t>.)</w:t>
      </w:r>
    </w:p>
    <w:p w14:paraId="10E7E310" w14:textId="77777777" w:rsidR="00E402EF" w:rsidRDefault="00E402EF" w:rsidP="00394626">
      <w:pPr>
        <w:pStyle w:val="Heading1"/>
      </w:pPr>
      <w:r>
        <w:t>DISPOSITION</w:t>
      </w:r>
    </w:p>
    <w:p w14:paraId="2AFE9BFB" w14:textId="77777777" w:rsidR="00E402EF" w:rsidRPr="00D92215" w:rsidRDefault="00E402EF" w:rsidP="00394626">
      <w:r>
        <w:t>The order denying Crawford’s and Graves’s anti-SLAPP motion is reversed and the trial court is directed to enter a new and different order granting the motion.  Costs on appeal shall be awarded to Crawford and Graves.</w:t>
      </w:r>
    </w:p>
    <w:p w14:paraId="04B2A462" w14:textId="77777777" w:rsidR="00E402EF" w:rsidRDefault="00E402EF" w:rsidP="00AA16C7">
      <w:pPr>
        <w:tabs>
          <w:tab w:val="left" w:pos="6120"/>
        </w:tabs>
        <w:spacing w:before="240" w:line="240" w:lineRule="auto"/>
      </w:pPr>
      <w:r>
        <w:tab/>
        <w:t xml:space="preserve">STREETER, J. </w:t>
      </w:r>
    </w:p>
    <w:p w14:paraId="5458FFEB" w14:textId="77777777" w:rsidR="00E402EF" w:rsidRDefault="00E402EF" w:rsidP="00F64775">
      <w:pPr>
        <w:tabs>
          <w:tab w:val="left" w:pos="1620"/>
        </w:tabs>
        <w:spacing w:before="240" w:after="240" w:line="240" w:lineRule="auto"/>
        <w:ind w:firstLine="0"/>
      </w:pPr>
      <w:r>
        <w:t>WE CONCUR:</w:t>
      </w:r>
    </w:p>
    <w:p w14:paraId="755EBCAD" w14:textId="77777777" w:rsidR="00E402EF" w:rsidRDefault="00E402EF" w:rsidP="00F64775">
      <w:pPr>
        <w:tabs>
          <w:tab w:val="left" w:pos="1620"/>
        </w:tabs>
        <w:spacing w:line="240" w:lineRule="auto"/>
        <w:ind w:firstLine="0"/>
      </w:pPr>
      <w:r>
        <w:t>BROWN, P. J.</w:t>
      </w:r>
    </w:p>
    <w:p w14:paraId="4E791EAD" w14:textId="77777777" w:rsidR="00E402EF" w:rsidRDefault="00E402EF" w:rsidP="00F64775">
      <w:pPr>
        <w:tabs>
          <w:tab w:val="left" w:pos="1620"/>
        </w:tabs>
        <w:spacing w:line="240" w:lineRule="auto"/>
        <w:ind w:firstLine="0"/>
      </w:pPr>
      <w:r>
        <w:t>HIRAMOTO, J.</w:t>
      </w:r>
      <w:r>
        <w:rPr>
          <w:rStyle w:val="FootnoteReference"/>
        </w:rPr>
        <w:footnoteReference w:customMarkFollows="1" w:id="13"/>
        <w:t>*</w:t>
      </w:r>
    </w:p>
    <w:p w14:paraId="179AA6FF" w14:textId="77777777" w:rsidR="00E402EF" w:rsidRDefault="00E402EF" w:rsidP="00394626">
      <w:pPr>
        <w:ind w:firstLine="0"/>
        <w:rPr>
          <w:rFonts w:cs="Times New Roman"/>
        </w:rPr>
      </w:pPr>
    </w:p>
    <w:p w14:paraId="23053771" w14:textId="77777777" w:rsidR="00E402EF" w:rsidRDefault="00E402EF" w:rsidP="00394626">
      <w:pPr>
        <w:ind w:firstLine="0"/>
        <w:rPr>
          <w:rFonts w:cs="Times New Roman"/>
        </w:rPr>
      </w:pPr>
    </w:p>
    <w:p w14:paraId="1A2CA360" w14:textId="77777777" w:rsidR="00E402EF" w:rsidRDefault="00E402EF" w:rsidP="00394626">
      <w:pPr>
        <w:ind w:firstLine="0"/>
        <w:rPr>
          <w:rFonts w:cs="Times New Roman"/>
        </w:rPr>
        <w:sectPr w:rsidR="006A39C6" w:rsidSect="00E402EF">
          <w:pgSz w:w="12240" w:h="15840"/>
          <w:pgMar w:top="1440" w:right="1440" w:bottom="1440" w:left="1440" w:header="720" w:footer="720" w:gutter="0"/>
          <w:pgNumType w:start="1"/>
          <w:cols w:space="720"/>
          <w:docGrid w:linePitch="360"/>
        </w:sectPr>
      </w:pPr>
    </w:p>
    <w:p w14:paraId="3D844BA1" w14:textId="77777777" w:rsidR="00E402EF" w:rsidRPr="00326090" w:rsidRDefault="00E402EF" w:rsidP="00B01013">
      <w:pPr>
        <w:ind w:firstLine="0"/>
        <w:jc w:val="center"/>
        <w:rPr>
          <w:b/>
          <w:bCs/>
          <w:noProof/>
        </w:rPr>
      </w:pPr>
      <w:r>
        <w:rPr>
          <w:noProof/>
        </w:rPr>
        <w:lastRenderedPageBreak/>
        <w:drawing>
          <wp:anchor distT="0" distB="0" distL="114300" distR="114300" simplePos="0" relativeHeight="251662336" behindDoc="0" locked="0" layoutInCell="1" allowOverlap="1" wp14:anchorId="06FEC507" wp14:editId="76D95908">
            <wp:simplePos x="0" y="0"/>
            <wp:positionH relativeFrom="column">
              <wp:posOffset>-102870</wp:posOffset>
            </wp:positionH>
            <wp:positionV relativeFrom="paragraph">
              <wp:posOffset>477520</wp:posOffset>
            </wp:positionV>
            <wp:extent cx="5924550" cy="6647815"/>
            <wp:effectExtent l="0" t="0" r="0" b="635"/>
            <wp:wrapTopAndBottom/>
            <wp:docPr id="1164043652" name="Picture 116404365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43652" name="Picture 1"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24550" cy="6647815"/>
                    </a:xfrm>
                    <a:prstGeom prst="rect">
                      <a:avLst/>
                    </a:prstGeom>
                  </pic:spPr>
                </pic:pic>
              </a:graphicData>
            </a:graphic>
            <wp14:sizeRelH relativeFrom="margin">
              <wp14:pctWidth>0</wp14:pctWidth>
            </wp14:sizeRelH>
            <wp14:sizeRelV relativeFrom="margin">
              <wp14:pctHeight>0</wp14:pctHeight>
            </wp14:sizeRelV>
          </wp:anchor>
        </w:drawing>
      </w:r>
      <w:r w:rsidRPr="00326090">
        <w:rPr>
          <w:b/>
          <w:bCs/>
          <w:noProof/>
        </w:rPr>
        <w:t>APPENDIX A</w:t>
      </w:r>
    </w:p>
    <w:p w14:paraId="17562A58" w14:textId="77777777" w:rsidR="00E402EF" w:rsidRDefault="00E402EF" w:rsidP="00E81B01">
      <w:pPr>
        <w:ind w:right="10800" w:firstLine="0"/>
        <w:rPr>
          <w:noProof/>
        </w:rPr>
      </w:pPr>
    </w:p>
    <w:p w14:paraId="5FA3370D" w14:textId="77777777" w:rsidR="00E402EF" w:rsidRDefault="00E402EF" w:rsidP="00E81B01">
      <w:pPr>
        <w:ind w:right="10800" w:firstLine="0"/>
      </w:pPr>
    </w:p>
    <w:p w14:paraId="1383D9B3" w14:textId="77777777" w:rsidR="00E402EF" w:rsidRDefault="00E402EF" w:rsidP="00476794">
      <w:pPr>
        <w:ind w:right="10800" w:firstLine="0"/>
      </w:pPr>
    </w:p>
    <w:p w14:paraId="444351B0" w14:textId="77777777" w:rsidR="00E402EF" w:rsidRDefault="00E402EF" w:rsidP="00394626">
      <w:pPr>
        <w:ind w:firstLine="0"/>
        <w:rPr>
          <w:rFonts w:cs="Times New Roman"/>
        </w:rPr>
      </w:pPr>
    </w:p>
    <w:p w14:paraId="65A1A67A" w14:textId="77777777" w:rsidR="00E402EF" w:rsidRDefault="00E402EF" w:rsidP="00394626">
      <w:pPr>
        <w:ind w:firstLine="0"/>
        <w:rPr>
          <w:rFonts w:cs="Times New Roman"/>
        </w:rPr>
      </w:pPr>
    </w:p>
    <w:p w14:paraId="057C727C" w14:textId="77777777" w:rsidR="00E402EF" w:rsidRDefault="00E402EF" w:rsidP="00394626">
      <w:pPr>
        <w:ind w:firstLine="0"/>
        <w:rPr>
          <w:rFonts w:cs="Times New Roman"/>
        </w:rPr>
      </w:pPr>
      <w:r>
        <w:rPr>
          <w:noProof/>
        </w:rPr>
        <w:drawing>
          <wp:anchor distT="0" distB="0" distL="114300" distR="114300" simplePos="0" relativeHeight="251661312" behindDoc="1" locked="0" layoutInCell="1" allowOverlap="1" wp14:anchorId="0B3990A7" wp14:editId="3A6F1D2D">
            <wp:simplePos x="0" y="0"/>
            <wp:positionH relativeFrom="page">
              <wp:align>center</wp:align>
            </wp:positionH>
            <wp:positionV relativeFrom="paragraph">
              <wp:posOffset>304165</wp:posOffset>
            </wp:positionV>
            <wp:extent cx="4770120" cy="1600200"/>
            <wp:effectExtent l="0" t="0" r="0" b="0"/>
            <wp:wrapTight wrapText="bothSides">
              <wp:wrapPolygon edited="0">
                <wp:start x="0" y="0"/>
                <wp:lineTo x="0" y="21343"/>
                <wp:lineTo x="21479" y="21343"/>
                <wp:lineTo x="21479" y="0"/>
                <wp:lineTo x="0" y="0"/>
              </wp:wrapPolygon>
            </wp:wrapTight>
            <wp:docPr id="1805" name="Picture 1805"/>
            <wp:cNvGraphicFramePr/>
            <a:graphic xmlns:a="http://schemas.openxmlformats.org/drawingml/2006/main">
              <a:graphicData uri="http://schemas.openxmlformats.org/drawingml/2006/picture">
                <pic:pic xmlns:pic="http://schemas.openxmlformats.org/drawingml/2006/picture">
                  <pic:nvPicPr>
                    <pic:cNvPr id="1805" name="Picture 180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70120" cy="1600200"/>
                    </a:xfrm>
                    <a:prstGeom prst="rect">
                      <a:avLst/>
                    </a:prstGeom>
                  </pic:spPr>
                </pic:pic>
              </a:graphicData>
            </a:graphic>
            <wp14:sizeRelH relativeFrom="margin">
              <wp14:pctWidth>0</wp14:pctWidth>
            </wp14:sizeRelH>
            <wp14:sizeRelV relativeFrom="margin">
              <wp14:pctHeight>0</wp14:pctHeight>
            </wp14:sizeRelV>
          </wp:anchor>
        </w:drawing>
      </w:r>
    </w:p>
    <w:p w14:paraId="1240C28F" w14:textId="77777777" w:rsidR="00E402EF" w:rsidRDefault="00E402EF" w:rsidP="007C43F6">
      <w:pPr>
        <w:spacing w:after="8500"/>
        <w:ind w:firstLine="0"/>
        <w:jc w:val="center"/>
      </w:pPr>
    </w:p>
    <w:p w14:paraId="5974B4AD" w14:textId="77777777" w:rsidR="00E402EF" w:rsidRDefault="00E402EF" w:rsidP="002F77DB">
      <w:pPr>
        <w:ind w:left="90" w:firstLine="0"/>
        <w:jc w:val="center"/>
      </w:pPr>
      <w:r>
        <w:rPr>
          <w:rFonts w:ascii="Times New Roman" w:eastAsia="Times New Roman" w:hAnsi="Times New Roman" w:cs="Times New Roman"/>
          <w:sz w:val="18"/>
        </w:rPr>
        <w:t>2</w:t>
      </w:r>
    </w:p>
    <w:p w14:paraId="6D442AAF" w14:textId="77777777" w:rsidR="00E402EF" w:rsidRDefault="00E402EF" w:rsidP="00394626">
      <w:pPr>
        <w:ind w:firstLine="0"/>
        <w:rPr>
          <w:rFonts w:cs="Times New Roman"/>
        </w:rPr>
      </w:pPr>
      <w:r>
        <w:rPr>
          <w:noProof/>
        </w:rPr>
        <w:lastRenderedPageBreak/>
        <w:drawing>
          <wp:anchor distT="0" distB="0" distL="114300" distR="114300" simplePos="0" relativeHeight="251658240" behindDoc="0" locked="0" layoutInCell="1" allowOverlap="1" wp14:anchorId="53BF1E43" wp14:editId="65F8E527">
            <wp:simplePos x="0" y="0"/>
            <wp:positionH relativeFrom="column">
              <wp:posOffset>-163830</wp:posOffset>
            </wp:positionH>
            <wp:positionV relativeFrom="paragraph">
              <wp:posOffset>22860</wp:posOffset>
            </wp:positionV>
            <wp:extent cx="6233160" cy="6196965"/>
            <wp:effectExtent l="0" t="0" r="0" b="0"/>
            <wp:wrapTopAndBottom/>
            <wp:docPr id="1958166889" name="Picture 195816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66889" name=""/>
                    <pic:cNvPicPr/>
                  </pic:nvPicPr>
                  <pic:blipFill>
                    <a:blip r:embed="rId14">
                      <a:extLst>
                        <a:ext uri="{28A0092B-C50C-407E-A947-70E740481C1C}">
                          <a14:useLocalDpi xmlns:a14="http://schemas.microsoft.com/office/drawing/2010/main" val="0"/>
                        </a:ext>
                      </a:extLst>
                    </a:blip>
                    <a:stretch>
                      <a:fillRect/>
                    </a:stretch>
                  </pic:blipFill>
                  <pic:spPr>
                    <a:xfrm>
                      <a:off x="0" y="0"/>
                      <a:ext cx="6233160" cy="6196965"/>
                    </a:xfrm>
                    <a:prstGeom prst="rect">
                      <a:avLst/>
                    </a:prstGeom>
                  </pic:spPr>
                </pic:pic>
              </a:graphicData>
            </a:graphic>
            <wp14:sizeRelH relativeFrom="margin">
              <wp14:pctWidth>0</wp14:pctWidth>
            </wp14:sizeRelH>
            <wp14:sizeRelV relativeFrom="margin">
              <wp14:pctHeight>0</wp14:pctHeight>
            </wp14:sizeRelV>
          </wp:anchor>
        </w:drawing>
      </w:r>
    </w:p>
    <w:p w14:paraId="6B26739B" w14:textId="77777777" w:rsidR="00E402EF" w:rsidRDefault="00E402EF" w:rsidP="00394626">
      <w:pPr>
        <w:ind w:firstLine="0"/>
        <w:rPr>
          <w:rFonts w:cs="Times New Roman"/>
        </w:rPr>
      </w:pPr>
    </w:p>
    <w:p w14:paraId="3D2E0136" w14:textId="77777777" w:rsidR="00E402EF" w:rsidRDefault="00E402EF">
      <w:pPr>
        <w:ind w:left="-1440" w:right="10800"/>
      </w:pPr>
    </w:p>
    <w:p w14:paraId="28F150DB" w14:textId="77777777" w:rsidR="00E402EF" w:rsidRDefault="00E402EF">
      <w:pPr>
        <w:ind w:left="-1440" w:right="10800"/>
      </w:pPr>
    </w:p>
    <w:p w14:paraId="4CB7AC09" w14:textId="77777777" w:rsidR="00E402EF" w:rsidRDefault="00E402EF">
      <w:pPr>
        <w:ind w:left="-1440" w:right="10800"/>
      </w:pPr>
    </w:p>
    <w:p w14:paraId="3D4FC43D" w14:textId="77777777" w:rsidR="00E402EF" w:rsidRDefault="00E402EF">
      <w:pPr>
        <w:ind w:left="-1440" w:right="10800"/>
      </w:pPr>
    </w:p>
    <w:p w14:paraId="38283260" w14:textId="77777777" w:rsidR="00E402EF" w:rsidRDefault="00E402EF">
      <w:pPr>
        <w:ind w:left="-1440" w:right="10800"/>
      </w:pPr>
    </w:p>
    <w:p w14:paraId="79215B06" w14:textId="77777777" w:rsidR="00E402EF" w:rsidRDefault="00E402EF" w:rsidP="00B163A9">
      <w:pPr>
        <w:ind w:right="10800" w:firstLine="0"/>
      </w:pPr>
    </w:p>
    <w:p w14:paraId="0FADE055" w14:textId="77777777" w:rsidR="00E402EF" w:rsidRPr="00EE12CA" w:rsidRDefault="00E402EF" w:rsidP="00700565">
      <w:pPr>
        <w:ind w:firstLine="0"/>
        <w:jc w:val="center"/>
        <w:rPr>
          <w:rFonts w:cs="Arial"/>
          <w:b/>
        </w:rPr>
      </w:pPr>
      <w:r w:rsidRPr="00EE12CA">
        <w:rPr>
          <w:rFonts w:cs="Arial"/>
          <w:b/>
          <w:noProof/>
        </w:rPr>
        <w:drawing>
          <wp:anchor distT="0" distB="0" distL="114300" distR="114300" simplePos="0" relativeHeight="251660288" behindDoc="0" locked="0" layoutInCell="1" allowOverlap="1" wp14:anchorId="187BE9D4" wp14:editId="64C629A1">
            <wp:simplePos x="0" y="0"/>
            <wp:positionH relativeFrom="column">
              <wp:posOffset>-65405</wp:posOffset>
            </wp:positionH>
            <wp:positionV relativeFrom="paragraph">
              <wp:posOffset>281305</wp:posOffset>
            </wp:positionV>
            <wp:extent cx="5926455" cy="7437120"/>
            <wp:effectExtent l="0" t="0" r="0" b="0"/>
            <wp:wrapTopAndBottom/>
            <wp:docPr id="1794372934" name="Picture 179437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72934" name=""/>
                    <pic:cNvPicPr/>
                  </pic:nvPicPr>
                  <pic:blipFill>
                    <a:blip r:embed="rId15">
                      <a:extLst>
                        <a:ext uri="{28A0092B-C50C-407E-A947-70E740481C1C}">
                          <a14:useLocalDpi xmlns:a14="http://schemas.microsoft.com/office/drawing/2010/main" val="0"/>
                        </a:ext>
                      </a:extLst>
                    </a:blip>
                    <a:stretch>
                      <a:fillRect/>
                    </a:stretch>
                  </pic:blipFill>
                  <pic:spPr>
                    <a:xfrm>
                      <a:off x="0" y="0"/>
                      <a:ext cx="5926455" cy="7437120"/>
                    </a:xfrm>
                    <a:prstGeom prst="rect">
                      <a:avLst/>
                    </a:prstGeom>
                  </pic:spPr>
                </pic:pic>
              </a:graphicData>
            </a:graphic>
            <wp14:sizeRelH relativeFrom="margin">
              <wp14:pctWidth>0</wp14:pctWidth>
            </wp14:sizeRelH>
            <wp14:sizeRelV relativeFrom="margin">
              <wp14:pctHeight>0</wp14:pctHeight>
            </wp14:sizeRelV>
          </wp:anchor>
        </w:drawing>
      </w:r>
      <w:r w:rsidRPr="00EE12CA">
        <w:rPr>
          <w:rFonts w:cs="Arial"/>
          <w:b/>
          <w:bCs/>
        </w:rPr>
        <w:t>APPENDIX B</w:t>
      </w:r>
    </w:p>
    <w:p w14:paraId="1C83C6C4" w14:textId="77777777" w:rsidR="00E402EF" w:rsidRPr="000C0656" w:rsidRDefault="00E402EF" w:rsidP="000C0656">
      <w:pPr>
        <w:ind w:firstLine="0"/>
        <w:jc w:val="center"/>
        <w:rPr>
          <w:rFonts w:ascii="Arial" w:hAnsi="Arial" w:cs="Arial"/>
          <w:sz w:val="24"/>
          <w:szCs w:val="24"/>
        </w:rPr>
      </w:pPr>
    </w:p>
    <w:p w14:paraId="066D154A" w14:textId="77777777" w:rsidR="00E402EF" w:rsidRDefault="00E402EF" w:rsidP="00394626">
      <w:pPr>
        <w:ind w:firstLine="0"/>
        <w:rPr>
          <w:rFonts w:cs="Times New Roman"/>
        </w:rPr>
      </w:pPr>
      <w:r>
        <w:rPr>
          <w:noProof/>
        </w:rPr>
        <w:lastRenderedPageBreak/>
        <w:drawing>
          <wp:anchor distT="0" distB="0" distL="114300" distR="114300" simplePos="0" relativeHeight="251659264" behindDoc="0" locked="0" layoutInCell="1" allowOverlap="1" wp14:anchorId="2137E77F" wp14:editId="78B8BD16">
            <wp:simplePos x="0" y="0"/>
            <wp:positionH relativeFrom="column">
              <wp:posOffset>57150</wp:posOffset>
            </wp:positionH>
            <wp:positionV relativeFrom="paragraph">
              <wp:posOffset>129540</wp:posOffset>
            </wp:positionV>
            <wp:extent cx="5425440" cy="7464425"/>
            <wp:effectExtent l="0" t="0" r="3810" b="3175"/>
            <wp:wrapTopAndBottom/>
            <wp:docPr id="575749550" name="Picture 57574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49550" name=""/>
                    <pic:cNvPicPr/>
                  </pic:nvPicPr>
                  <pic:blipFill>
                    <a:blip r:embed="rId16">
                      <a:extLst>
                        <a:ext uri="{28A0092B-C50C-407E-A947-70E740481C1C}">
                          <a14:useLocalDpi xmlns:a14="http://schemas.microsoft.com/office/drawing/2010/main" val="0"/>
                        </a:ext>
                      </a:extLst>
                    </a:blip>
                    <a:stretch>
                      <a:fillRect/>
                    </a:stretch>
                  </pic:blipFill>
                  <pic:spPr>
                    <a:xfrm>
                      <a:off x="0" y="0"/>
                      <a:ext cx="5425440" cy="7464425"/>
                    </a:xfrm>
                    <a:prstGeom prst="rect">
                      <a:avLst/>
                    </a:prstGeom>
                  </pic:spPr>
                </pic:pic>
              </a:graphicData>
            </a:graphic>
            <wp14:sizeRelH relativeFrom="margin">
              <wp14:pctWidth>0</wp14:pctWidth>
            </wp14:sizeRelH>
            <wp14:sizeRelV relativeFrom="margin">
              <wp14:pctHeight>0</wp14:pctHeight>
            </wp14:sizeRelV>
          </wp:anchor>
        </w:drawing>
      </w:r>
    </w:p>
    <w:p w14:paraId="21D66152" w14:textId="77777777" w:rsidR="00E402EF" w:rsidRDefault="00E402EF" w:rsidP="00394626">
      <w:pPr>
        <w:ind w:firstLine="0"/>
        <w:rPr>
          <w:rFonts w:cs="Times New Roman"/>
        </w:rPr>
      </w:pPr>
    </w:p>
    <w:p w14:paraId="38604B6D" w14:textId="77777777" w:rsidR="00E402EF" w:rsidRDefault="00E402EF" w:rsidP="00394626">
      <w:pPr>
        <w:ind w:firstLine="0"/>
        <w:rPr>
          <w:rFonts w:cs="Times New Roman"/>
        </w:rPr>
      </w:pPr>
      <w:r>
        <w:rPr>
          <w:noProof/>
        </w:rPr>
        <w:lastRenderedPageBreak/>
        <w:drawing>
          <wp:inline distT="0" distB="0" distL="0" distR="0" wp14:anchorId="623AFFE8" wp14:editId="0C785E7F">
            <wp:extent cx="5686425" cy="7840980"/>
            <wp:effectExtent l="0" t="0" r="9525" b="7620"/>
            <wp:docPr id="453960296" name="Picture 45396029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60296" name="Picture 1" descr="Text, letter&#10;&#10;Description automatically generated"/>
                    <pic:cNvPicPr/>
                  </pic:nvPicPr>
                  <pic:blipFill>
                    <a:blip r:embed="rId17"/>
                    <a:stretch>
                      <a:fillRect/>
                    </a:stretch>
                  </pic:blipFill>
                  <pic:spPr>
                    <a:xfrm>
                      <a:off x="0" y="0"/>
                      <a:ext cx="5686425" cy="7840980"/>
                    </a:xfrm>
                    <a:prstGeom prst="rect">
                      <a:avLst/>
                    </a:prstGeom>
                  </pic:spPr>
                </pic:pic>
              </a:graphicData>
            </a:graphic>
          </wp:inline>
        </w:drawing>
      </w:r>
    </w:p>
    <w:p w14:paraId="613A56C2" w14:textId="77777777" w:rsidR="00E402EF" w:rsidRDefault="00E402EF" w:rsidP="008F4CB3">
      <w:pPr>
        <w:ind w:firstLine="0"/>
        <w:jc w:val="center"/>
        <w:rPr>
          <w:rFonts w:cs="Times New Roman"/>
        </w:rPr>
        <w:sectPr w:rsidR="00057AA4" w:rsidSect="00B65DEB">
          <w:pgSz w:w="12240" w:h="15840"/>
          <w:pgMar w:top="1440" w:right="1440" w:bottom="1440" w:left="1440" w:header="720" w:footer="720" w:gutter="0"/>
          <w:cols w:space="720"/>
          <w:docGrid w:linePitch="360"/>
        </w:sectPr>
      </w:pPr>
      <w:r w:rsidRPr="00685EBF">
        <w:rPr>
          <w:rFonts w:cs="Times New Roman"/>
        </w:rPr>
        <w:t xml:space="preserve">(Remainder of Exhibit “A” omitted.) </w:t>
      </w:r>
    </w:p>
    <w:p w14:paraId="161F393B" w14:textId="77777777" w:rsidR="00E402EF" w:rsidRDefault="00E402EF" w:rsidP="002F7FF3">
      <w:pPr>
        <w:spacing w:line="480" w:lineRule="auto"/>
        <w:ind w:right="720"/>
      </w:pPr>
      <w:r>
        <w:lastRenderedPageBreak/>
        <w:t>Trial Court:</w:t>
      </w:r>
      <w:r>
        <w:tab/>
      </w:r>
      <w:r>
        <w:tab/>
      </w:r>
      <w:r>
        <w:t xml:space="preserve">Superior Court of California, County of Marin </w:t>
      </w:r>
    </w:p>
    <w:p w14:paraId="46E33D5D" w14:textId="77777777" w:rsidR="00E402EF" w:rsidRDefault="00E402EF" w:rsidP="002F7FF3">
      <w:pPr>
        <w:spacing w:line="480" w:lineRule="auto"/>
      </w:pPr>
      <w:r>
        <w:t xml:space="preserve">Trial Judge: </w:t>
      </w:r>
      <w:r>
        <w:tab/>
        <w:t xml:space="preserve">Hon. Andrew E. Sweet </w:t>
      </w:r>
    </w:p>
    <w:p w14:paraId="16B5E3B7" w14:textId="77777777" w:rsidR="00E402EF" w:rsidRDefault="00E402EF" w:rsidP="00D772A3">
      <w:pPr>
        <w:tabs>
          <w:tab w:val="left" w:pos="2160"/>
          <w:tab w:val="left" w:pos="2880"/>
        </w:tabs>
        <w:spacing w:line="240" w:lineRule="auto"/>
        <w:ind w:left="3240" w:right="180" w:hanging="2520"/>
      </w:pPr>
      <w:r>
        <w:t>Counsel:</w:t>
      </w:r>
      <w:r>
        <w:tab/>
        <w:t xml:space="preserve"> </w:t>
      </w:r>
      <w:r>
        <w:tab/>
        <w:t>Hanson Bridgett, Gary A. Watt, Batya F. Forsyth, and Patrick Burns for Defendant and Appellant Tara Crawford.</w:t>
      </w:r>
    </w:p>
    <w:p w14:paraId="5AEDAF88" w14:textId="77777777" w:rsidR="00E402EF" w:rsidRDefault="00E402EF" w:rsidP="004B3AB7">
      <w:pPr>
        <w:spacing w:line="240" w:lineRule="auto"/>
        <w:ind w:left="3240" w:hanging="360"/>
      </w:pPr>
    </w:p>
    <w:p w14:paraId="6B73DC41" w14:textId="77777777" w:rsidR="00E402EF" w:rsidRDefault="00E402EF" w:rsidP="009656B1">
      <w:pPr>
        <w:spacing w:line="240" w:lineRule="auto"/>
        <w:ind w:left="3240" w:hanging="360"/>
      </w:pPr>
      <w:r>
        <w:t xml:space="preserve">Murphy, Pearson, Bradley &amp; Feeney, </w:t>
      </w:r>
      <w:r>
        <w:t>Timothy J. Halloran and Tyra M. Mendez for Defendant and Appellant Benjamin Graves.</w:t>
      </w:r>
    </w:p>
    <w:p w14:paraId="56D5A060" w14:textId="77777777" w:rsidR="00E402EF" w:rsidRDefault="00E402EF" w:rsidP="009656B1">
      <w:pPr>
        <w:spacing w:line="240" w:lineRule="auto"/>
        <w:ind w:left="3240" w:hanging="360"/>
      </w:pPr>
    </w:p>
    <w:p w14:paraId="5C7658F7" w14:textId="77777777" w:rsidR="00E402EF" w:rsidRDefault="00E402EF" w:rsidP="005F3364">
      <w:pPr>
        <w:spacing w:line="240" w:lineRule="auto"/>
        <w:ind w:left="3240" w:hanging="360"/>
      </w:pPr>
      <w:r>
        <w:t>Brekhus Law Partners and Elizabeth A. Brekhus and Paul Kerkorian for Plaintiffs and Respondents.</w:t>
      </w:r>
    </w:p>
    <w:p w14:paraId="433FF09E" w14:textId="77777777" w:rsidR="00E402EF" w:rsidRDefault="00E402EF" w:rsidP="00C77653">
      <w:pPr>
        <w:ind w:firstLine="0"/>
        <w:rPr>
          <w:rFonts w:cs="Times New Roman"/>
        </w:rPr>
      </w:pPr>
    </w:p>
    <w:sectPr w:rsidR="00B371A3" w:rsidSect="00B010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650A4" w14:textId="77777777" w:rsidR="00E402EF" w:rsidRDefault="00E402EF">
      <w:pPr>
        <w:spacing w:line="240" w:lineRule="auto"/>
      </w:pPr>
      <w:r>
        <w:separator/>
      </w:r>
    </w:p>
  </w:endnote>
  <w:endnote w:type="continuationSeparator" w:id="0">
    <w:p w14:paraId="60DA0378" w14:textId="77777777" w:rsidR="00E402EF" w:rsidRDefault="00E402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sig w:usb0="00000003" w:usb1="00000000" w:usb2="00000000" w:usb3="00000000" w:csb0="00000001" w:csb1="00000000"/>
  </w:font>
  <w:font w:name="TimesNewRomanPS-ItalicMT">
    <w:altName w:val="Times New Roman"/>
    <w:charset w:val="00"/>
    <w:family w:val="roman"/>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4891619"/>
      <w:docPartObj>
        <w:docPartGallery w:val="Page Numbers (Bottom of Page)"/>
        <w:docPartUnique/>
      </w:docPartObj>
    </w:sdtPr>
    <w:sdtEndPr>
      <w:rPr>
        <w:noProof/>
      </w:rPr>
    </w:sdtEndPr>
    <w:sdtContent>
      <w:p w14:paraId="7DD943EE" w14:textId="77777777" w:rsidR="00E402EF" w:rsidRDefault="00E402EF" w:rsidP="00E2772A">
        <w:pPr>
          <w:pStyle w:val="Footer"/>
          <w:tabs>
            <w:tab w:val="clear" w:pos="720"/>
          </w:tabs>
          <w:ind w:firstLine="0"/>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2BF44" w14:textId="77777777" w:rsidR="00E402EF" w:rsidRPr="00B85D31" w:rsidRDefault="00E402EF" w:rsidP="0031017B">
    <w:pPr>
      <w:pStyle w:val="Footer"/>
      <w:ind w:firstLine="0"/>
      <w:rPr>
        <w:sz w:val="20"/>
        <w:szCs w:val="20"/>
      </w:rPr>
    </w:pPr>
    <w:r w:rsidRPr="00CD7404">
      <w:rPr>
        <w:i/>
        <w:iCs/>
        <w:sz w:val="20"/>
        <w:szCs w:val="20"/>
      </w:rPr>
      <w:t>Green Tree Headlands LLC et al. v. Tara Crawford et al.</w:t>
    </w:r>
    <w:r w:rsidRPr="00CD7404">
      <w:rPr>
        <w:sz w:val="20"/>
        <w:szCs w:val="20"/>
      </w:rPr>
      <w:t xml:space="preserve"> – A164867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4136926"/>
      <w:docPartObj>
        <w:docPartGallery w:val="Page Numbers (Bottom of Page)"/>
        <w:docPartUnique/>
      </w:docPartObj>
    </w:sdtPr>
    <w:sdtEndPr>
      <w:rPr>
        <w:noProof/>
      </w:rPr>
    </w:sdtEndPr>
    <w:sdtContent>
      <w:p w14:paraId="68A17BB9" w14:textId="77777777" w:rsidR="00E402EF" w:rsidRDefault="00E402EF" w:rsidP="00E2772A">
        <w:pPr>
          <w:pStyle w:val="Footer"/>
          <w:tabs>
            <w:tab w:val="clear" w:pos="720"/>
          </w:tabs>
          <w:ind w:firstLine="0"/>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40AC" w14:textId="77777777" w:rsidR="00E402EF" w:rsidRPr="00CD7404" w:rsidRDefault="00E402EF" w:rsidP="00CA705E">
    <w:pPr>
      <w:pStyle w:val="Footer"/>
      <w:ind w:firstLine="0"/>
      <w:rPr>
        <w:sz w:val="20"/>
        <w:szCs w:val="20"/>
      </w:rPr>
    </w:pPr>
    <w:r w:rsidRPr="00CD7404">
      <w:rPr>
        <w:i/>
        <w:iCs/>
        <w:sz w:val="20"/>
        <w:szCs w:val="20"/>
      </w:rPr>
      <w:t>Green Tree Headlands LLC et al. v. Tara Crawford et al.</w:t>
    </w:r>
    <w:r w:rsidRPr="00CD7404">
      <w:rPr>
        <w:sz w:val="20"/>
        <w:szCs w:val="20"/>
      </w:rPr>
      <w:t xml:space="preserve"> – A164867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6B65A" w14:textId="77777777" w:rsidR="00E402EF" w:rsidRDefault="00E402EF" w:rsidP="003B2BC2">
      <w:pPr>
        <w:spacing w:line="240" w:lineRule="auto"/>
        <w:ind w:firstLine="0"/>
      </w:pPr>
      <w:r>
        <w:separator/>
      </w:r>
    </w:p>
  </w:footnote>
  <w:footnote w:type="continuationSeparator" w:id="0">
    <w:p w14:paraId="725EC630" w14:textId="77777777" w:rsidR="00E402EF" w:rsidRDefault="00E402EF" w:rsidP="003B2BC2">
      <w:pPr>
        <w:spacing w:line="240" w:lineRule="auto"/>
        <w:ind w:firstLine="0"/>
      </w:pPr>
      <w:r>
        <w:continuationSeparator/>
      </w:r>
    </w:p>
  </w:footnote>
  <w:footnote w:type="continuationNotice" w:id="1">
    <w:p w14:paraId="6FB783FB" w14:textId="77777777" w:rsidR="00E402EF" w:rsidRDefault="00E402EF">
      <w:pPr>
        <w:spacing w:line="240" w:lineRule="auto"/>
      </w:pPr>
    </w:p>
  </w:footnote>
  <w:footnote w:id="2">
    <w:p w14:paraId="5856326C" w14:textId="77777777" w:rsidR="00E402EF" w:rsidRDefault="00E402EF" w:rsidP="00E402EF">
      <w:pPr>
        <w:pStyle w:val="FootnoteText"/>
      </w:pPr>
      <w:r>
        <w:rPr>
          <w:rStyle w:val="FootnoteReference"/>
        </w:rPr>
        <w:t>*</w:t>
      </w:r>
      <w:r>
        <w:t xml:space="preserve"> Brown, P. J., Streeter, J., Hiramoto, J. (Judge of the Superior Court of California, County of Contra Costa, assigned by the Chief Justice pursuant to article VI, section 6 of the California Constitution.)</w:t>
      </w:r>
    </w:p>
  </w:footnote>
  <w:footnote w:id="3">
    <w:p w14:paraId="0E03809E" w14:textId="77777777" w:rsidR="00E402EF" w:rsidRDefault="00E402EF">
      <w:pPr>
        <w:pStyle w:val="FootnoteText"/>
      </w:pPr>
      <w:r>
        <w:rPr>
          <w:rStyle w:val="FootnoteReference"/>
        </w:rPr>
        <w:footnoteRef/>
      </w:r>
      <w:r>
        <w:t xml:space="preserve"> All further undesignated statutory references are to the Code of Civil Procedure. </w:t>
      </w:r>
    </w:p>
  </w:footnote>
  <w:footnote w:id="4">
    <w:p w14:paraId="3769E9F1" w14:textId="77777777" w:rsidR="00E402EF" w:rsidRDefault="00E402EF">
      <w:pPr>
        <w:pStyle w:val="FootnoteText"/>
      </w:pPr>
      <w:r>
        <w:rPr>
          <w:rStyle w:val="FootnoteReference"/>
        </w:rPr>
        <w:footnoteRef/>
      </w:r>
      <w:r>
        <w:t xml:space="preserve"> For convenience, we refer collectively to McArthur and Green Tree Headlands LLC as “McArthur” since, for purposes of the issues we address here, the difference between McArthur and the title-holding entity is immaterial.  Similarly, on Patterson’s side of the transaction, Patterson appears to have held the Wolfback Ridge Estates lots in his name jointly with his wife, Carolyn Wean.  For convenience, we refer only to Patterson since the record reflects that he alone negotiated the seller-side of the transac</w:t>
      </w:r>
      <w:r>
        <w:t>tion with McArthur.  We mean no disrespect to Ms. Wean.</w:t>
      </w:r>
    </w:p>
  </w:footnote>
  <w:footnote w:id="5">
    <w:p w14:paraId="75409365" w14:textId="77777777" w:rsidR="00E402EF" w:rsidRDefault="00E402EF" w:rsidP="006540B0">
      <w:pPr>
        <w:pStyle w:val="FootnoteText"/>
      </w:pPr>
      <w:r>
        <w:rPr>
          <w:rStyle w:val="FootnoteReference"/>
        </w:rPr>
        <w:footnoteRef/>
      </w:r>
      <w:r>
        <w:t xml:space="preserve"> Attached as Appendix A to this opinion is a copy of the Second Addendum, with its attached Rider. </w:t>
      </w:r>
    </w:p>
  </w:footnote>
  <w:footnote w:id="6">
    <w:p w14:paraId="49638985" w14:textId="77777777" w:rsidR="00E402EF" w:rsidRDefault="00E402EF">
      <w:pPr>
        <w:pStyle w:val="FootnoteText"/>
      </w:pPr>
      <w:r>
        <w:rPr>
          <w:rStyle w:val="FootnoteReference"/>
        </w:rPr>
        <w:footnoteRef/>
      </w:r>
      <w:r>
        <w:t xml:space="preserve"> Attached as Appendix B to this opinion is a copy of the Declaration of Restrictions.</w:t>
      </w:r>
    </w:p>
  </w:footnote>
  <w:footnote w:id="7">
    <w:p w14:paraId="0A9F88AA" w14:textId="77777777" w:rsidR="00E402EF" w:rsidRPr="00385F21" w:rsidRDefault="00E402EF" w:rsidP="00385F21">
      <w:pPr>
        <w:shd w:val="clear" w:color="auto" w:fill="FFFFFF"/>
        <w:spacing w:line="320" w:lineRule="atLeast"/>
        <w:rPr>
          <w:rFonts w:eastAsia="Times New Roman" w:cs="Times New Roman"/>
          <w:color w:val="000000"/>
        </w:rPr>
      </w:pPr>
      <w:r w:rsidRPr="00385F21">
        <w:rPr>
          <w:rStyle w:val="FootnoteReference"/>
        </w:rPr>
        <w:footnoteRef/>
      </w:r>
      <w:r w:rsidRPr="00385F21">
        <w:t xml:space="preserve"> Civil Code section 3306a, entitled “Breach of agreement to deliver quitclaim; minimum detriment,” provides that </w:t>
      </w:r>
      <w:r>
        <w:t>“</w:t>
      </w:r>
      <w:r w:rsidRPr="00385F21">
        <w:rPr>
          <w:rFonts w:eastAsia="Times New Roman" w:cs="Times New Roman"/>
          <w:color w:val="000000"/>
        </w:rPr>
        <w:t>The minimum detriment caused by the breach of an agreement to execute and deliver a quitclaim deed to real property is deemed to be the expenses incurred by the promisee in quieting title to such property, and the expenses incidental to the entry upon such property. Such expenses which shall include reasonable attorneys</w:t>
      </w:r>
      <w:r>
        <w:rPr>
          <w:rFonts w:eastAsia="Times New Roman" w:cs="Times New Roman"/>
          <w:color w:val="000000"/>
        </w:rPr>
        <w:t>’</w:t>
      </w:r>
      <w:r w:rsidRPr="00385F21">
        <w:rPr>
          <w:rFonts w:eastAsia="Times New Roman" w:cs="Times New Roman"/>
          <w:color w:val="000000"/>
        </w:rPr>
        <w:t xml:space="preserve"> fees shall be fixed by the court in the quiet title action.”</w:t>
      </w:r>
      <w:r>
        <w:rPr>
          <w:rFonts w:eastAsia="Times New Roman" w:cs="Times New Roman"/>
          <w:color w:val="000000"/>
        </w:rPr>
        <w:t xml:space="preserve">  (West’s Ann. </w:t>
      </w:r>
      <w:r>
        <w:rPr>
          <w:rFonts w:eastAsia="Times New Roman" w:cs="Times New Roman"/>
          <w:color w:val="000000"/>
        </w:rPr>
        <w:t>Civ. Code (2023 ed.) foll. § 3306a.)</w:t>
      </w:r>
    </w:p>
    <w:p w14:paraId="254A90F7" w14:textId="77777777" w:rsidR="00E402EF" w:rsidRDefault="00E402EF">
      <w:pPr>
        <w:pStyle w:val="FootnoteText"/>
      </w:pPr>
    </w:p>
  </w:footnote>
  <w:footnote w:id="8">
    <w:p w14:paraId="38A817D7" w14:textId="77777777" w:rsidR="00E402EF" w:rsidRDefault="00E402EF" w:rsidP="006C116A">
      <w:pPr>
        <w:pStyle w:val="FootnoteText"/>
      </w:pPr>
      <w:r>
        <w:rPr>
          <w:rStyle w:val="FootnoteReference"/>
        </w:rPr>
        <w:footnoteRef/>
      </w:r>
      <w:r>
        <w:t xml:space="preserve"> In a declaration submitted later in opposition to Crawford’s and Graves’s Anti-SLAPP motions, McArthur states that “when I first saw the Forged Addendum, I instantly recognized it as a document that Alan R. Patterson had sent to me (unsigned) by way of proposal prior to the close of escrow, I responded to this proposal by telling Alan R. Patterson that the continued existence of the Driveway Easement was essential to my purchase of Lot 3 and, therefore, I would not sign the document.  The Forged Addendum w</w:t>
      </w:r>
      <w:r>
        <w:t xml:space="preserve">as apparently created by taking that unsigned document and affixing a forgery of my signature on it.”  </w:t>
      </w:r>
    </w:p>
  </w:footnote>
  <w:footnote w:id="9">
    <w:p w14:paraId="23A77138" w14:textId="77777777" w:rsidR="00E402EF" w:rsidRDefault="00E402EF" w:rsidP="005A06FB">
      <w:pPr>
        <w:autoSpaceDE w:val="0"/>
        <w:autoSpaceDN w:val="0"/>
        <w:adjustRightInd w:val="0"/>
        <w:spacing w:line="240" w:lineRule="auto"/>
        <w:rPr>
          <w:rFonts w:cs="Times New Roman"/>
          <w:color w:val="090909"/>
        </w:rPr>
      </w:pPr>
      <w:r w:rsidRPr="005A06FB">
        <w:rPr>
          <w:rStyle w:val="FootnoteReference"/>
        </w:rPr>
        <w:footnoteRef/>
      </w:r>
      <w:r w:rsidRPr="005A06FB">
        <w:t xml:space="preserve"> </w:t>
      </w:r>
      <w:r>
        <w:t xml:space="preserve">Crawford and Graves do not admit that MacArthur’s signature on the June 21 Addendum is a forgery, but they do not deny it either.  </w:t>
      </w:r>
      <w:r w:rsidRPr="005A06FB">
        <w:t>In a declaration submitted in support of Crawford’s anti-SLAPP motion, Graves stated, “</w:t>
      </w:r>
      <w:r w:rsidRPr="005A06FB">
        <w:rPr>
          <w:rFonts w:cs="TimesNewRomanPSMT"/>
        </w:rPr>
        <w:t xml:space="preserve">Prior to the demurrer hearing, neither Crawford nor I had any evidence to suggest the </w:t>
      </w:r>
      <w:r>
        <w:rPr>
          <w:rFonts w:cs="TimesNewRomanPSMT"/>
        </w:rPr>
        <w:t>[June 21 A</w:t>
      </w:r>
      <w:r w:rsidRPr="005A06FB">
        <w:rPr>
          <w:rFonts w:cs="TimesNewRomanPSMT"/>
        </w:rPr>
        <w:t>ddendum</w:t>
      </w:r>
      <w:r>
        <w:rPr>
          <w:rFonts w:cs="TimesNewRomanPSMT"/>
        </w:rPr>
        <w:t>]</w:t>
      </w:r>
      <w:r w:rsidRPr="005A06FB">
        <w:rPr>
          <w:rFonts w:cs="TimesNewRomanPSMT"/>
        </w:rPr>
        <w:t xml:space="preserve"> was not authentic.”  And in a declaration </w:t>
      </w:r>
      <w:r>
        <w:rPr>
          <w:rFonts w:cs="TimesNewRomanPSMT"/>
        </w:rPr>
        <w:t>opposing McArthur’s motion for sanctions under section 128.5, Crawford states, “I have no knowledge of any facts about how the document in question</w:t>
      </w:r>
      <w:r>
        <w:rPr>
          <w:rFonts w:cs="TimesNewRomanPSMT"/>
        </w:rPr>
        <w:t xml:space="preserve"> was manipulated, changed or forged.” </w:t>
      </w:r>
      <w:r>
        <w:rPr>
          <w:rFonts w:cs="Times New Roman"/>
          <w:color w:val="090909"/>
        </w:rPr>
        <w:t xml:space="preserve"> </w:t>
      </w:r>
    </w:p>
    <w:p w14:paraId="69AF2A36" w14:textId="77777777" w:rsidR="00E402EF" w:rsidRPr="005A06FB" w:rsidRDefault="00E402EF" w:rsidP="005A06FB">
      <w:pPr>
        <w:autoSpaceDE w:val="0"/>
        <w:autoSpaceDN w:val="0"/>
        <w:adjustRightInd w:val="0"/>
        <w:spacing w:line="240" w:lineRule="auto"/>
        <w:rPr>
          <w:rFonts w:cs="Times New Roman"/>
          <w:color w:val="090909"/>
        </w:rPr>
      </w:pPr>
    </w:p>
  </w:footnote>
  <w:footnote w:id="10">
    <w:p w14:paraId="7FF354A5" w14:textId="77777777" w:rsidR="00E402EF" w:rsidRPr="00207AB0" w:rsidRDefault="00E402EF">
      <w:pPr>
        <w:pStyle w:val="FootnoteText"/>
        <w:rPr>
          <w:szCs w:val="26"/>
        </w:rPr>
      </w:pPr>
      <w:r w:rsidRPr="00207AB0">
        <w:rPr>
          <w:rStyle w:val="FootnoteReference"/>
          <w:szCs w:val="26"/>
        </w:rPr>
        <w:footnoteRef/>
      </w:r>
      <w:r w:rsidRPr="00207AB0">
        <w:rPr>
          <w:szCs w:val="26"/>
        </w:rPr>
        <w:t xml:space="preserve"> Although in some circumstance an </w:t>
      </w:r>
      <w:r w:rsidRPr="00207AB0">
        <w:rPr>
          <w:i/>
          <w:iCs/>
          <w:szCs w:val="26"/>
        </w:rPr>
        <w:t>irrevocable</w:t>
      </w:r>
      <w:r w:rsidRPr="00207AB0">
        <w:rPr>
          <w:szCs w:val="26"/>
        </w:rPr>
        <w:t xml:space="preserve"> license </w:t>
      </w:r>
      <w:r>
        <w:rPr>
          <w:szCs w:val="26"/>
        </w:rPr>
        <w:t>is</w:t>
      </w:r>
      <w:r w:rsidRPr="00207AB0">
        <w:rPr>
          <w:szCs w:val="26"/>
        </w:rPr>
        <w:t xml:space="preserve"> the equivalent of an easement</w:t>
      </w:r>
      <w:r>
        <w:rPr>
          <w:szCs w:val="26"/>
        </w:rPr>
        <w:t xml:space="preserve"> </w:t>
      </w:r>
      <w:r w:rsidRPr="00207AB0">
        <w:rPr>
          <w:rFonts w:eastAsia="Times New Roman" w:cs="Times New Roman"/>
          <w:color w:val="000000"/>
          <w:szCs w:val="26"/>
        </w:rPr>
        <w:t>(</w:t>
      </w:r>
      <w:r w:rsidRPr="0020147D">
        <w:rPr>
          <w:rFonts w:eastAsia="Times New Roman" w:cs="Times New Roman"/>
          <w:i/>
          <w:iCs/>
          <w:color w:val="3D3D3D"/>
          <w:szCs w:val="26"/>
          <w:bdr w:val="none" w:sz="0" w:space="0" w:color="auto" w:frame="1"/>
        </w:rPr>
        <w:t>Gamerberg</w:t>
      </w:r>
      <w:r>
        <w:rPr>
          <w:rFonts w:eastAsia="Times New Roman" w:cs="Times New Roman"/>
          <w:color w:val="000000"/>
          <w:szCs w:val="26"/>
        </w:rPr>
        <w:t>,</w:t>
      </w:r>
      <w:r w:rsidRPr="0020147D">
        <w:rPr>
          <w:rFonts w:eastAsia="Times New Roman" w:cs="Times New Roman"/>
          <w:color w:val="000000"/>
          <w:szCs w:val="26"/>
        </w:rPr>
        <w:t xml:space="preserve"> </w:t>
      </w:r>
      <w:r w:rsidRPr="00C95371">
        <w:rPr>
          <w:rFonts w:eastAsia="Times New Roman" w:cs="Times New Roman"/>
          <w:i/>
          <w:iCs/>
          <w:color w:val="000000"/>
          <w:szCs w:val="26"/>
        </w:rPr>
        <w:t>supra</w:t>
      </w:r>
      <w:r>
        <w:rPr>
          <w:rFonts w:eastAsia="Times New Roman" w:cs="Times New Roman"/>
          <w:color w:val="000000"/>
          <w:szCs w:val="26"/>
        </w:rPr>
        <w:t xml:space="preserve">, </w:t>
      </w:r>
      <w:r w:rsidRPr="0020147D">
        <w:rPr>
          <w:rFonts w:eastAsia="Times New Roman" w:cs="Times New Roman"/>
          <w:color w:val="000000"/>
          <w:szCs w:val="26"/>
        </w:rPr>
        <w:t>44</w:t>
      </w:r>
      <w:r>
        <w:rPr>
          <w:rFonts w:eastAsia="Times New Roman" w:cs="Times New Roman"/>
          <w:color w:val="000000"/>
          <w:szCs w:val="26"/>
        </w:rPr>
        <w:t> </w:t>
      </w:r>
      <w:r w:rsidRPr="0020147D">
        <w:rPr>
          <w:rFonts w:eastAsia="Times New Roman" w:cs="Times New Roman"/>
          <w:color w:val="000000"/>
          <w:szCs w:val="26"/>
        </w:rPr>
        <w:t xml:space="preserve">Cal.App.5th </w:t>
      </w:r>
      <w:r>
        <w:rPr>
          <w:rFonts w:eastAsia="Times New Roman" w:cs="Times New Roman"/>
          <w:color w:val="000000"/>
          <w:szCs w:val="26"/>
        </w:rPr>
        <w:t>at p. </w:t>
      </w:r>
      <w:r w:rsidRPr="0020147D">
        <w:rPr>
          <w:rFonts w:eastAsia="Times New Roman" w:cs="Times New Roman"/>
          <w:color w:val="000000"/>
          <w:szCs w:val="26"/>
        </w:rPr>
        <w:t>429</w:t>
      </w:r>
      <w:r>
        <w:rPr>
          <w:rFonts w:eastAsia="Times New Roman" w:cs="Times New Roman"/>
          <w:color w:val="000000"/>
          <w:szCs w:val="26"/>
        </w:rPr>
        <w:t xml:space="preserve">; </w:t>
      </w:r>
      <w:r w:rsidRPr="0040748F">
        <w:rPr>
          <w:rFonts w:eastAsia="Times New Roman" w:cs="Times New Roman"/>
          <w:color w:val="000000"/>
          <w:szCs w:val="26"/>
        </w:rPr>
        <w:t>see Rest.3d Property, Servitudes, §</w:t>
      </w:r>
      <w:r>
        <w:rPr>
          <w:rFonts w:eastAsia="Times New Roman" w:cs="Times New Roman"/>
          <w:color w:val="000000"/>
          <w:szCs w:val="26"/>
        </w:rPr>
        <w:t> </w:t>
      </w:r>
      <w:r w:rsidRPr="0040748F">
        <w:rPr>
          <w:rFonts w:eastAsia="Times New Roman" w:cs="Times New Roman"/>
          <w:color w:val="000000"/>
          <w:szCs w:val="26"/>
        </w:rPr>
        <w:t xml:space="preserve">1.2(4) [“[a]s used in this </w:t>
      </w:r>
      <w:r w:rsidRPr="0040748F">
        <w:rPr>
          <w:rFonts w:eastAsia="Times New Roman" w:cs="Times New Roman"/>
          <w:color w:val="000000"/>
          <w:szCs w:val="26"/>
        </w:rPr>
        <w:t>Restatement, the term ‘easement’ includes an irrevocable license to enter and use land in the possession of another”]</w:t>
      </w:r>
      <w:r w:rsidRPr="00207AB0">
        <w:rPr>
          <w:rFonts w:eastAsia="Times New Roman" w:cs="Times New Roman"/>
          <w:color w:val="000000"/>
          <w:szCs w:val="26"/>
        </w:rPr>
        <w:t>), that is so only were the document creating it is recorded (</w:t>
      </w:r>
      <w:r w:rsidRPr="0020147D">
        <w:rPr>
          <w:rFonts w:eastAsia="Times New Roman" w:cs="Times New Roman"/>
          <w:i/>
          <w:iCs/>
          <w:color w:val="3D3D3D"/>
          <w:szCs w:val="26"/>
          <w:bdr w:val="none" w:sz="0" w:space="0" w:color="auto" w:frame="1"/>
        </w:rPr>
        <w:t>Gamerberg</w:t>
      </w:r>
      <w:r>
        <w:rPr>
          <w:rFonts w:eastAsia="Times New Roman" w:cs="Times New Roman"/>
          <w:i/>
          <w:iCs/>
          <w:color w:val="3D3D3D"/>
          <w:szCs w:val="26"/>
          <w:bdr w:val="none" w:sz="0" w:space="0" w:color="auto" w:frame="1"/>
        </w:rPr>
        <w:t>,</w:t>
      </w:r>
      <w:r w:rsidRPr="0020147D">
        <w:rPr>
          <w:rFonts w:eastAsia="Times New Roman" w:cs="Times New Roman"/>
          <w:color w:val="000000"/>
          <w:szCs w:val="26"/>
        </w:rPr>
        <w:t xml:space="preserve"> </w:t>
      </w:r>
      <w:r>
        <w:rPr>
          <w:rFonts w:eastAsia="Times New Roman" w:cs="Times New Roman"/>
          <w:color w:val="000000"/>
          <w:szCs w:val="26"/>
        </w:rPr>
        <w:t>at p. </w:t>
      </w:r>
      <w:r w:rsidRPr="0020147D">
        <w:rPr>
          <w:rFonts w:eastAsia="Times New Roman" w:cs="Times New Roman"/>
          <w:color w:val="000000"/>
          <w:szCs w:val="26"/>
        </w:rPr>
        <w:t>429</w:t>
      </w:r>
      <w:r>
        <w:rPr>
          <w:rFonts w:eastAsia="Times New Roman" w:cs="Times New Roman"/>
          <w:color w:val="000000"/>
          <w:szCs w:val="26"/>
        </w:rPr>
        <w:t>).</w:t>
      </w:r>
      <w:r w:rsidRPr="00207AB0">
        <w:rPr>
          <w:rFonts w:eastAsia="Times New Roman" w:cs="Times New Roman"/>
          <w:color w:val="000000"/>
          <w:szCs w:val="26"/>
        </w:rPr>
        <w:t xml:space="preserve">  T</w:t>
      </w:r>
      <w:r w:rsidRPr="00207AB0">
        <w:rPr>
          <w:szCs w:val="26"/>
        </w:rPr>
        <w:t xml:space="preserve">he only recorded document granting what might be construed as an </w:t>
      </w:r>
      <w:r>
        <w:rPr>
          <w:szCs w:val="26"/>
        </w:rPr>
        <w:t xml:space="preserve">irrevocable </w:t>
      </w:r>
      <w:r w:rsidRPr="00207AB0">
        <w:rPr>
          <w:szCs w:val="26"/>
        </w:rPr>
        <w:t>easement here is the Declaration of Restrictions</w:t>
      </w:r>
      <w:r>
        <w:rPr>
          <w:szCs w:val="26"/>
        </w:rPr>
        <w:t>, which, as we noted above, is ambiguous.</w:t>
      </w:r>
    </w:p>
  </w:footnote>
  <w:footnote w:id="11">
    <w:p w14:paraId="350347E3" w14:textId="77777777" w:rsidR="00E402EF" w:rsidRDefault="00E402EF" w:rsidP="00D270FA">
      <w:pPr>
        <w:shd w:val="clear" w:color="auto" w:fill="FFFFFF"/>
        <w:spacing w:line="320" w:lineRule="atLeast"/>
        <w:rPr>
          <w:rFonts w:eastAsia="Times New Roman" w:cs="Times New Roman"/>
          <w:color w:val="000000"/>
        </w:rPr>
      </w:pPr>
      <w:r w:rsidRPr="004A3716">
        <w:rPr>
          <w:rStyle w:val="FootnoteReference"/>
        </w:rPr>
        <w:footnoteRef/>
      </w:r>
      <w:r w:rsidRPr="004A3716">
        <w:t xml:space="preserve"> </w:t>
      </w:r>
      <w:r>
        <w:t xml:space="preserve">In the trial court, Graves relied on a more aggressive theory.  Citing the </w:t>
      </w:r>
      <w:r w:rsidRPr="004A3716">
        <w:t>merger by deed doctrine</w:t>
      </w:r>
      <w:r>
        <w:rPr>
          <w:rFonts w:eastAsia="Times New Roman" w:cs="Times New Roman"/>
          <w:color w:val="000000"/>
        </w:rPr>
        <w:t xml:space="preserve">, </w:t>
      </w:r>
      <w:r w:rsidRPr="004A3716">
        <w:t xml:space="preserve">he attempted to </w:t>
      </w:r>
      <w:r>
        <w:t>argue that the recorded Declaration of Restrict</w:t>
      </w:r>
      <w:r w:rsidRPr="004A3716">
        <w:t>i</w:t>
      </w:r>
      <w:r>
        <w:t xml:space="preserve">ons and the Right of First Refusal were fully integrated and </w:t>
      </w:r>
      <w:r w:rsidRPr="00EB536D">
        <w:t>as a matter of law</w:t>
      </w:r>
      <w:r>
        <w:t xml:space="preserve"> superseded anything in the Purchase Agreement that contradicted them.  This theory was advanced in Graves’s declaration opposing McArthur’s demurrer.  It was an overreach, among other reasons </w:t>
      </w:r>
      <w:r w:rsidRPr="004A3716">
        <w:rPr>
          <w:rFonts w:eastAsia="Times New Roman" w:cs="Times New Roman"/>
          <w:color w:val="000000"/>
        </w:rPr>
        <w:t xml:space="preserve">because </w:t>
      </w:r>
      <w:r>
        <w:rPr>
          <w:rFonts w:eastAsia="Times New Roman" w:cs="Times New Roman"/>
          <w:color w:val="000000"/>
        </w:rPr>
        <w:t xml:space="preserve">neither the </w:t>
      </w:r>
      <w:r w:rsidRPr="004A3716">
        <w:rPr>
          <w:rFonts w:eastAsia="Times New Roman" w:cs="Times New Roman"/>
          <w:color w:val="000000"/>
        </w:rPr>
        <w:t xml:space="preserve">Declaration of Restrictions </w:t>
      </w:r>
      <w:r>
        <w:rPr>
          <w:rFonts w:eastAsia="Times New Roman" w:cs="Times New Roman"/>
          <w:color w:val="000000"/>
        </w:rPr>
        <w:t>nor the Right of First Refu</w:t>
      </w:r>
      <w:r>
        <w:rPr>
          <w:rFonts w:eastAsia="Times New Roman" w:cs="Times New Roman"/>
          <w:color w:val="000000"/>
        </w:rPr>
        <w:t xml:space="preserve">sal </w:t>
      </w:r>
      <w:r w:rsidRPr="004A3716">
        <w:rPr>
          <w:rFonts w:eastAsia="Times New Roman" w:cs="Times New Roman"/>
          <w:color w:val="000000"/>
        </w:rPr>
        <w:t>is a deed</w:t>
      </w:r>
      <w:r>
        <w:rPr>
          <w:rFonts w:eastAsia="Times New Roman" w:cs="Times New Roman"/>
          <w:color w:val="000000"/>
        </w:rPr>
        <w:t>.  To win, Crawford did not need to rely on the merger by deed doctrine or otherwise convince the court to accept the Declaration of Restrictions as the sole relevant written instrument here.  She only needed to persuade the court that, when resolving the fundamental conflict between the Rider, which favors McArthur’s side of the dispute, and the Declaration of Restrictions, which favors Crawford’s side of the dispute, the text of the Declaration of Restrictions should be taken as the best expression of the</w:t>
      </w:r>
      <w:r>
        <w:rPr>
          <w:rFonts w:eastAsia="Times New Roman" w:cs="Times New Roman"/>
          <w:color w:val="000000"/>
        </w:rPr>
        <w:t xml:space="preserve"> parties’ intent. </w:t>
      </w:r>
    </w:p>
    <w:p w14:paraId="59E99260" w14:textId="77777777" w:rsidR="00E402EF" w:rsidRDefault="00E402EF" w:rsidP="00D270FA">
      <w:pPr>
        <w:shd w:val="clear" w:color="auto" w:fill="FFFFFF"/>
        <w:spacing w:line="320" w:lineRule="atLeast"/>
      </w:pPr>
    </w:p>
  </w:footnote>
  <w:footnote w:id="12">
    <w:p w14:paraId="70A14E94" w14:textId="77777777" w:rsidR="00E402EF" w:rsidRDefault="00E402EF" w:rsidP="00AA6233">
      <w:pPr>
        <w:pStyle w:val="FootnoteText"/>
      </w:pPr>
      <w:r>
        <w:rPr>
          <w:rStyle w:val="FootnoteReference"/>
        </w:rPr>
        <w:footnoteRef/>
      </w:r>
      <w:r>
        <w:t xml:space="preserve"> </w:t>
      </w:r>
      <w:r>
        <w:rPr>
          <w:rFonts w:eastAsia="Times New Roman" w:cs="Times New Roman"/>
          <w:color w:val="000000"/>
        </w:rPr>
        <w:t xml:space="preserve">Paragraph 3 of the Declaration of Restrictions, which expressly permits enforcement “at law” by claim for damages, states that “[t]hese covenants are to run with the land and shall be binding on all successor Lot Owners . . . and may not be amended or waived except by mutual written consent of the parties, duly recorded.”  </w:t>
      </w:r>
    </w:p>
  </w:footnote>
  <w:footnote w:id="13">
    <w:p w14:paraId="77507E92" w14:textId="77777777" w:rsidR="00E402EF" w:rsidRDefault="00E402EF">
      <w:pPr>
        <w:pStyle w:val="FootnoteText"/>
      </w:pPr>
      <w:r>
        <w:rPr>
          <w:rStyle w:val="FootnoteReference"/>
        </w:rPr>
        <w:t>*</w:t>
      </w:r>
      <w:r>
        <w:t xml:space="preserve"> Judge of the Superior Court of California, County of Contra Costa, assigned by the Chief Justice pursuant to article VI, section 6 of the California Constitution.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71E08" w14:textId="77777777" w:rsidR="00E402EF" w:rsidRPr="00F66C45" w:rsidRDefault="00E402EF" w:rsidP="00594645">
    <w:pPr>
      <w:pStyle w:val="Header"/>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57B6B"/>
    <w:multiLevelType w:val="hybridMultilevel"/>
    <w:tmpl w:val="1FF07D22"/>
    <w:lvl w:ilvl="0" w:tplc="6576EB5A">
      <w:start w:val="3"/>
      <w:numFmt w:val="decimal"/>
      <w:lvlText w:val="%1.)"/>
      <w:lvlJc w:val="left"/>
      <w:pPr>
        <w:ind w:left="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EACB270">
      <w:start w:val="1"/>
      <w:numFmt w:val="lowerLetter"/>
      <w:lvlText w:val="%2"/>
      <w:lvlJc w:val="left"/>
      <w:pPr>
        <w:ind w:left="1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C1A9C6A">
      <w:start w:val="1"/>
      <w:numFmt w:val="lowerRoman"/>
      <w:lvlText w:val="%3"/>
      <w:lvlJc w:val="left"/>
      <w:pPr>
        <w:ind w:left="18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59ED678">
      <w:start w:val="1"/>
      <w:numFmt w:val="decimal"/>
      <w:lvlText w:val="%4"/>
      <w:lvlJc w:val="left"/>
      <w:pPr>
        <w:ind w:left="26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9A8C0F4">
      <w:start w:val="1"/>
      <w:numFmt w:val="lowerLetter"/>
      <w:lvlText w:val="%5"/>
      <w:lvlJc w:val="left"/>
      <w:pPr>
        <w:ind w:left="3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C0ACB6E">
      <w:start w:val="1"/>
      <w:numFmt w:val="lowerRoman"/>
      <w:lvlText w:val="%6"/>
      <w:lvlJc w:val="left"/>
      <w:pPr>
        <w:ind w:left="40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7B48F9E">
      <w:start w:val="1"/>
      <w:numFmt w:val="decimal"/>
      <w:lvlText w:val="%7"/>
      <w:lvlJc w:val="left"/>
      <w:pPr>
        <w:ind w:left="47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10C5994">
      <w:start w:val="1"/>
      <w:numFmt w:val="lowerLetter"/>
      <w:lvlText w:val="%8"/>
      <w:lvlJc w:val="left"/>
      <w:pPr>
        <w:ind w:left="5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8E3C8E">
      <w:start w:val="1"/>
      <w:numFmt w:val="lowerRoman"/>
      <w:lvlText w:val="%9"/>
      <w:lvlJc w:val="left"/>
      <w:pPr>
        <w:ind w:left="6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C3D2875"/>
    <w:multiLevelType w:val="hybridMultilevel"/>
    <w:tmpl w:val="4DAE9A1C"/>
    <w:lvl w:ilvl="0" w:tplc="313877FE">
      <w:start w:val="1"/>
      <w:numFmt w:val="lowerRoman"/>
      <w:pStyle w:val="Heading5"/>
      <w:lvlText w:val="%1."/>
      <w:lvlJc w:val="right"/>
      <w:pPr>
        <w:ind w:left="2340" w:hanging="360"/>
      </w:pPr>
    </w:lvl>
    <w:lvl w:ilvl="1" w:tplc="B728E8C6" w:tentative="1">
      <w:start w:val="1"/>
      <w:numFmt w:val="lowerLetter"/>
      <w:lvlText w:val="%2."/>
      <w:lvlJc w:val="left"/>
      <w:pPr>
        <w:ind w:left="3060" w:hanging="360"/>
      </w:pPr>
    </w:lvl>
    <w:lvl w:ilvl="2" w:tplc="862264E0" w:tentative="1">
      <w:start w:val="1"/>
      <w:numFmt w:val="lowerRoman"/>
      <w:lvlText w:val="%3."/>
      <w:lvlJc w:val="right"/>
      <w:pPr>
        <w:ind w:left="3780" w:hanging="180"/>
      </w:pPr>
    </w:lvl>
    <w:lvl w:ilvl="3" w:tplc="5EFC67D2" w:tentative="1">
      <w:start w:val="1"/>
      <w:numFmt w:val="decimal"/>
      <w:lvlText w:val="%4."/>
      <w:lvlJc w:val="left"/>
      <w:pPr>
        <w:ind w:left="4500" w:hanging="360"/>
      </w:pPr>
    </w:lvl>
    <w:lvl w:ilvl="4" w:tplc="55E6C8B8" w:tentative="1">
      <w:start w:val="1"/>
      <w:numFmt w:val="lowerLetter"/>
      <w:lvlText w:val="%5."/>
      <w:lvlJc w:val="left"/>
      <w:pPr>
        <w:ind w:left="5220" w:hanging="360"/>
      </w:pPr>
    </w:lvl>
    <w:lvl w:ilvl="5" w:tplc="D8585FB0" w:tentative="1">
      <w:start w:val="1"/>
      <w:numFmt w:val="lowerRoman"/>
      <w:lvlText w:val="%6."/>
      <w:lvlJc w:val="right"/>
      <w:pPr>
        <w:ind w:left="5940" w:hanging="180"/>
      </w:pPr>
    </w:lvl>
    <w:lvl w:ilvl="6" w:tplc="546AEC52" w:tentative="1">
      <w:start w:val="1"/>
      <w:numFmt w:val="decimal"/>
      <w:lvlText w:val="%7."/>
      <w:lvlJc w:val="left"/>
      <w:pPr>
        <w:ind w:left="6660" w:hanging="360"/>
      </w:pPr>
    </w:lvl>
    <w:lvl w:ilvl="7" w:tplc="AF5C0A34" w:tentative="1">
      <w:start w:val="1"/>
      <w:numFmt w:val="lowerLetter"/>
      <w:lvlText w:val="%8."/>
      <w:lvlJc w:val="left"/>
      <w:pPr>
        <w:ind w:left="7380" w:hanging="360"/>
      </w:pPr>
    </w:lvl>
    <w:lvl w:ilvl="8" w:tplc="D97622B4" w:tentative="1">
      <w:start w:val="1"/>
      <w:numFmt w:val="lowerRoman"/>
      <w:lvlText w:val="%9."/>
      <w:lvlJc w:val="right"/>
      <w:pPr>
        <w:ind w:left="8100" w:hanging="180"/>
      </w:pPr>
    </w:lvl>
  </w:abstractNum>
  <w:abstractNum w:abstractNumId="2" w15:restartNumberingAfterBreak="0">
    <w:nsid w:val="1B1E7D42"/>
    <w:multiLevelType w:val="hybridMultilevel"/>
    <w:tmpl w:val="A8CC11C4"/>
    <w:lvl w:ilvl="0" w:tplc="707CDD56">
      <w:start w:val="1"/>
      <w:numFmt w:val="upperRoman"/>
      <w:pStyle w:val="Heading1"/>
      <w:lvlText w:val="%1."/>
      <w:lvlJc w:val="right"/>
      <w:pPr>
        <w:ind w:left="72" w:hanging="72"/>
      </w:pPr>
      <w:rPr>
        <w:rFonts w:hint="default"/>
        <w:b/>
        <w:i w:val="0"/>
        <w:sz w:val="26"/>
      </w:rPr>
    </w:lvl>
    <w:lvl w:ilvl="1" w:tplc="E55C8EFC" w:tentative="1">
      <w:start w:val="1"/>
      <w:numFmt w:val="lowerLetter"/>
      <w:lvlText w:val="%2."/>
      <w:lvlJc w:val="left"/>
      <w:pPr>
        <w:ind w:left="8010" w:hanging="360"/>
      </w:pPr>
    </w:lvl>
    <w:lvl w:ilvl="2" w:tplc="064E35C6" w:tentative="1">
      <w:start w:val="1"/>
      <w:numFmt w:val="lowerRoman"/>
      <w:lvlText w:val="%3."/>
      <w:lvlJc w:val="right"/>
      <w:pPr>
        <w:ind w:left="8730" w:hanging="180"/>
      </w:pPr>
    </w:lvl>
    <w:lvl w:ilvl="3" w:tplc="45400FEA" w:tentative="1">
      <w:start w:val="1"/>
      <w:numFmt w:val="decimal"/>
      <w:lvlText w:val="%4."/>
      <w:lvlJc w:val="left"/>
      <w:pPr>
        <w:ind w:left="9450" w:hanging="360"/>
      </w:pPr>
    </w:lvl>
    <w:lvl w:ilvl="4" w:tplc="DECCC08A" w:tentative="1">
      <w:start w:val="1"/>
      <w:numFmt w:val="lowerLetter"/>
      <w:lvlText w:val="%5."/>
      <w:lvlJc w:val="left"/>
      <w:pPr>
        <w:ind w:left="10170" w:hanging="360"/>
      </w:pPr>
    </w:lvl>
    <w:lvl w:ilvl="5" w:tplc="F9840546" w:tentative="1">
      <w:start w:val="1"/>
      <w:numFmt w:val="lowerRoman"/>
      <w:lvlText w:val="%6."/>
      <w:lvlJc w:val="right"/>
      <w:pPr>
        <w:ind w:left="10890" w:hanging="180"/>
      </w:pPr>
    </w:lvl>
    <w:lvl w:ilvl="6" w:tplc="B33A2490" w:tentative="1">
      <w:start w:val="1"/>
      <w:numFmt w:val="decimal"/>
      <w:lvlText w:val="%7."/>
      <w:lvlJc w:val="left"/>
      <w:pPr>
        <w:ind w:left="11610" w:hanging="360"/>
      </w:pPr>
    </w:lvl>
    <w:lvl w:ilvl="7" w:tplc="33F835BA" w:tentative="1">
      <w:start w:val="1"/>
      <w:numFmt w:val="lowerLetter"/>
      <w:lvlText w:val="%8."/>
      <w:lvlJc w:val="left"/>
      <w:pPr>
        <w:ind w:left="12330" w:hanging="360"/>
      </w:pPr>
    </w:lvl>
    <w:lvl w:ilvl="8" w:tplc="979CBA6C" w:tentative="1">
      <w:start w:val="1"/>
      <w:numFmt w:val="lowerRoman"/>
      <w:lvlText w:val="%9."/>
      <w:lvlJc w:val="right"/>
      <w:pPr>
        <w:ind w:left="13050" w:hanging="180"/>
      </w:pPr>
    </w:lvl>
  </w:abstractNum>
  <w:abstractNum w:abstractNumId="3" w15:restartNumberingAfterBreak="0">
    <w:nsid w:val="38555485"/>
    <w:multiLevelType w:val="hybridMultilevel"/>
    <w:tmpl w:val="95B0E46E"/>
    <w:lvl w:ilvl="0" w:tplc="BD944E30">
      <w:start w:val="1"/>
      <w:numFmt w:val="decimal"/>
      <w:pStyle w:val="Heading3"/>
      <w:lvlText w:val="%1."/>
      <w:lvlJc w:val="left"/>
      <w:pPr>
        <w:ind w:left="1080" w:hanging="360"/>
      </w:pPr>
      <w:rPr>
        <w:rFonts w:hint="default"/>
      </w:rPr>
    </w:lvl>
    <w:lvl w:ilvl="1" w:tplc="12C42AB8" w:tentative="1">
      <w:start w:val="1"/>
      <w:numFmt w:val="lowerLetter"/>
      <w:lvlText w:val="%2."/>
      <w:lvlJc w:val="left"/>
      <w:pPr>
        <w:ind w:left="1800" w:hanging="360"/>
      </w:pPr>
    </w:lvl>
    <w:lvl w:ilvl="2" w:tplc="38D4AB74" w:tentative="1">
      <w:start w:val="1"/>
      <w:numFmt w:val="lowerRoman"/>
      <w:lvlText w:val="%3."/>
      <w:lvlJc w:val="right"/>
      <w:pPr>
        <w:ind w:left="2520" w:hanging="180"/>
      </w:pPr>
    </w:lvl>
    <w:lvl w:ilvl="3" w:tplc="EF401540" w:tentative="1">
      <w:start w:val="1"/>
      <w:numFmt w:val="decimal"/>
      <w:lvlText w:val="%4."/>
      <w:lvlJc w:val="left"/>
      <w:pPr>
        <w:ind w:left="3240" w:hanging="360"/>
      </w:pPr>
    </w:lvl>
    <w:lvl w:ilvl="4" w:tplc="B70CFCCA" w:tentative="1">
      <w:start w:val="1"/>
      <w:numFmt w:val="lowerLetter"/>
      <w:lvlText w:val="%5."/>
      <w:lvlJc w:val="left"/>
      <w:pPr>
        <w:ind w:left="3960" w:hanging="360"/>
      </w:pPr>
    </w:lvl>
    <w:lvl w:ilvl="5" w:tplc="8326ECEE" w:tentative="1">
      <w:start w:val="1"/>
      <w:numFmt w:val="lowerRoman"/>
      <w:lvlText w:val="%6."/>
      <w:lvlJc w:val="right"/>
      <w:pPr>
        <w:ind w:left="4680" w:hanging="180"/>
      </w:pPr>
    </w:lvl>
    <w:lvl w:ilvl="6" w:tplc="04C2E8D4" w:tentative="1">
      <w:start w:val="1"/>
      <w:numFmt w:val="decimal"/>
      <w:lvlText w:val="%7."/>
      <w:lvlJc w:val="left"/>
      <w:pPr>
        <w:ind w:left="5400" w:hanging="360"/>
      </w:pPr>
    </w:lvl>
    <w:lvl w:ilvl="7" w:tplc="9AD46808" w:tentative="1">
      <w:start w:val="1"/>
      <w:numFmt w:val="lowerLetter"/>
      <w:lvlText w:val="%8."/>
      <w:lvlJc w:val="left"/>
      <w:pPr>
        <w:ind w:left="6120" w:hanging="360"/>
      </w:pPr>
    </w:lvl>
    <w:lvl w:ilvl="8" w:tplc="6F6AD510" w:tentative="1">
      <w:start w:val="1"/>
      <w:numFmt w:val="lowerRoman"/>
      <w:lvlText w:val="%9."/>
      <w:lvlJc w:val="right"/>
      <w:pPr>
        <w:ind w:left="6840" w:hanging="180"/>
      </w:pPr>
    </w:lvl>
  </w:abstractNum>
  <w:abstractNum w:abstractNumId="4" w15:restartNumberingAfterBreak="0">
    <w:nsid w:val="3BC53C32"/>
    <w:multiLevelType w:val="hybridMultilevel"/>
    <w:tmpl w:val="FFF6061C"/>
    <w:lvl w:ilvl="0" w:tplc="27F07258">
      <w:start w:val="1"/>
      <w:numFmt w:val="upperLetter"/>
      <w:pStyle w:val="Heading2"/>
      <w:lvlText w:val="%1."/>
      <w:lvlJc w:val="left"/>
      <w:pPr>
        <w:ind w:left="720" w:hanging="360"/>
      </w:pPr>
      <w:rPr>
        <w:rFonts w:hint="default"/>
        <w:i w:val="0"/>
        <w:iCs/>
      </w:rPr>
    </w:lvl>
    <w:lvl w:ilvl="1" w:tplc="0780231E" w:tentative="1">
      <w:start w:val="1"/>
      <w:numFmt w:val="lowerLetter"/>
      <w:lvlText w:val="%2."/>
      <w:lvlJc w:val="left"/>
      <w:pPr>
        <w:ind w:left="1440" w:hanging="360"/>
      </w:pPr>
    </w:lvl>
    <w:lvl w:ilvl="2" w:tplc="9D429956" w:tentative="1">
      <w:start w:val="1"/>
      <w:numFmt w:val="lowerRoman"/>
      <w:lvlText w:val="%3."/>
      <w:lvlJc w:val="right"/>
      <w:pPr>
        <w:ind w:left="2160" w:hanging="180"/>
      </w:pPr>
    </w:lvl>
    <w:lvl w:ilvl="3" w:tplc="1BD2B79C" w:tentative="1">
      <w:start w:val="1"/>
      <w:numFmt w:val="decimal"/>
      <w:lvlText w:val="%4."/>
      <w:lvlJc w:val="left"/>
      <w:pPr>
        <w:ind w:left="2880" w:hanging="360"/>
      </w:pPr>
    </w:lvl>
    <w:lvl w:ilvl="4" w:tplc="8920F1C0" w:tentative="1">
      <w:start w:val="1"/>
      <w:numFmt w:val="lowerLetter"/>
      <w:lvlText w:val="%5."/>
      <w:lvlJc w:val="left"/>
      <w:pPr>
        <w:ind w:left="3600" w:hanging="360"/>
      </w:pPr>
    </w:lvl>
    <w:lvl w:ilvl="5" w:tplc="D4C2B410" w:tentative="1">
      <w:start w:val="1"/>
      <w:numFmt w:val="lowerRoman"/>
      <w:lvlText w:val="%6."/>
      <w:lvlJc w:val="right"/>
      <w:pPr>
        <w:ind w:left="4320" w:hanging="180"/>
      </w:pPr>
    </w:lvl>
    <w:lvl w:ilvl="6" w:tplc="7DB891BE" w:tentative="1">
      <w:start w:val="1"/>
      <w:numFmt w:val="decimal"/>
      <w:lvlText w:val="%7."/>
      <w:lvlJc w:val="left"/>
      <w:pPr>
        <w:ind w:left="5040" w:hanging="360"/>
      </w:pPr>
    </w:lvl>
    <w:lvl w:ilvl="7" w:tplc="C602B038" w:tentative="1">
      <w:start w:val="1"/>
      <w:numFmt w:val="lowerLetter"/>
      <w:lvlText w:val="%8."/>
      <w:lvlJc w:val="left"/>
      <w:pPr>
        <w:ind w:left="5760" w:hanging="360"/>
      </w:pPr>
    </w:lvl>
    <w:lvl w:ilvl="8" w:tplc="E2741E2E" w:tentative="1">
      <w:start w:val="1"/>
      <w:numFmt w:val="lowerRoman"/>
      <w:lvlText w:val="%9."/>
      <w:lvlJc w:val="right"/>
      <w:pPr>
        <w:ind w:left="6480" w:hanging="180"/>
      </w:pPr>
    </w:lvl>
  </w:abstractNum>
  <w:abstractNum w:abstractNumId="5" w15:restartNumberingAfterBreak="0">
    <w:nsid w:val="41273193"/>
    <w:multiLevelType w:val="hybridMultilevel"/>
    <w:tmpl w:val="5824AE5E"/>
    <w:lvl w:ilvl="0" w:tplc="3CB8DDFC">
      <w:start w:val="1"/>
      <w:numFmt w:val="decimal"/>
      <w:lvlText w:val="(%1)"/>
      <w:lvlJc w:val="left"/>
      <w:pPr>
        <w:ind w:left="1080" w:hanging="360"/>
      </w:pPr>
      <w:rPr>
        <w:rFonts w:hint="default"/>
      </w:rPr>
    </w:lvl>
    <w:lvl w:ilvl="1" w:tplc="AAA4CA72" w:tentative="1">
      <w:start w:val="1"/>
      <w:numFmt w:val="lowerLetter"/>
      <w:lvlText w:val="%2."/>
      <w:lvlJc w:val="left"/>
      <w:pPr>
        <w:ind w:left="1800" w:hanging="360"/>
      </w:pPr>
    </w:lvl>
    <w:lvl w:ilvl="2" w:tplc="1EDC5A5A" w:tentative="1">
      <w:start w:val="1"/>
      <w:numFmt w:val="lowerRoman"/>
      <w:lvlText w:val="%3."/>
      <w:lvlJc w:val="right"/>
      <w:pPr>
        <w:ind w:left="2520" w:hanging="180"/>
      </w:pPr>
    </w:lvl>
    <w:lvl w:ilvl="3" w:tplc="84B0C276" w:tentative="1">
      <w:start w:val="1"/>
      <w:numFmt w:val="decimal"/>
      <w:lvlText w:val="%4."/>
      <w:lvlJc w:val="left"/>
      <w:pPr>
        <w:ind w:left="3240" w:hanging="360"/>
      </w:pPr>
    </w:lvl>
    <w:lvl w:ilvl="4" w:tplc="E1D09422" w:tentative="1">
      <w:start w:val="1"/>
      <w:numFmt w:val="lowerLetter"/>
      <w:lvlText w:val="%5."/>
      <w:lvlJc w:val="left"/>
      <w:pPr>
        <w:ind w:left="3960" w:hanging="360"/>
      </w:pPr>
    </w:lvl>
    <w:lvl w:ilvl="5" w:tplc="4274EFA8" w:tentative="1">
      <w:start w:val="1"/>
      <w:numFmt w:val="lowerRoman"/>
      <w:lvlText w:val="%6."/>
      <w:lvlJc w:val="right"/>
      <w:pPr>
        <w:ind w:left="4680" w:hanging="180"/>
      </w:pPr>
    </w:lvl>
    <w:lvl w:ilvl="6" w:tplc="95BCB248" w:tentative="1">
      <w:start w:val="1"/>
      <w:numFmt w:val="decimal"/>
      <w:lvlText w:val="%7."/>
      <w:lvlJc w:val="left"/>
      <w:pPr>
        <w:ind w:left="5400" w:hanging="360"/>
      </w:pPr>
    </w:lvl>
    <w:lvl w:ilvl="7" w:tplc="2174CD84" w:tentative="1">
      <w:start w:val="1"/>
      <w:numFmt w:val="lowerLetter"/>
      <w:lvlText w:val="%8."/>
      <w:lvlJc w:val="left"/>
      <w:pPr>
        <w:ind w:left="6120" w:hanging="360"/>
      </w:pPr>
    </w:lvl>
    <w:lvl w:ilvl="8" w:tplc="C0CE16E0" w:tentative="1">
      <w:start w:val="1"/>
      <w:numFmt w:val="lowerRoman"/>
      <w:lvlText w:val="%9."/>
      <w:lvlJc w:val="right"/>
      <w:pPr>
        <w:ind w:left="6840" w:hanging="180"/>
      </w:pPr>
    </w:lvl>
  </w:abstractNum>
  <w:abstractNum w:abstractNumId="6" w15:restartNumberingAfterBreak="0">
    <w:nsid w:val="418012BA"/>
    <w:multiLevelType w:val="hybridMultilevel"/>
    <w:tmpl w:val="8AF44FC2"/>
    <w:lvl w:ilvl="0" w:tplc="76C4B3F4">
      <w:start w:val="1"/>
      <w:numFmt w:val="decimal"/>
      <w:lvlText w:val="(%1)"/>
      <w:lvlJc w:val="left"/>
      <w:pPr>
        <w:ind w:left="1110" w:hanging="390"/>
      </w:pPr>
      <w:rPr>
        <w:rFonts w:hint="default"/>
      </w:rPr>
    </w:lvl>
    <w:lvl w:ilvl="1" w:tplc="2054A796" w:tentative="1">
      <w:start w:val="1"/>
      <w:numFmt w:val="lowerLetter"/>
      <w:lvlText w:val="%2."/>
      <w:lvlJc w:val="left"/>
      <w:pPr>
        <w:ind w:left="1800" w:hanging="360"/>
      </w:pPr>
    </w:lvl>
    <w:lvl w:ilvl="2" w:tplc="D1B6DDAC" w:tentative="1">
      <w:start w:val="1"/>
      <w:numFmt w:val="lowerRoman"/>
      <w:lvlText w:val="%3."/>
      <w:lvlJc w:val="right"/>
      <w:pPr>
        <w:ind w:left="2520" w:hanging="180"/>
      </w:pPr>
    </w:lvl>
    <w:lvl w:ilvl="3" w:tplc="9F562B90" w:tentative="1">
      <w:start w:val="1"/>
      <w:numFmt w:val="decimal"/>
      <w:lvlText w:val="%4."/>
      <w:lvlJc w:val="left"/>
      <w:pPr>
        <w:ind w:left="3240" w:hanging="360"/>
      </w:pPr>
    </w:lvl>
    <w:lvl w:ilvl="4" w:tplc="AA60BF64" w:tentative="1">
      <w:start w:val="1"/>
      <w:numFmt w:val="lowerLetter"/>
      <w:lvlText w:val="%5."/>
      <w:lvlJc w:val="left"/>
      <w:pPr>
        <w:ind w:left="3960" w:hanging="360"/>
      </w:pPr>
    </w:lvl>
    <w:lvl w:ilvl="5" w:tplc="E81E4C64" w:tentative="1">
      <w:start w:val="1"/>
      <w:numFmt w:val="lowerRoman"/>
      <w:lvlText w:val="%6."/>
      <w:lvlJc w:val="right"/>
      <w:pPr>
        <w:ind w:left="4680" w:hanging="180"/>
      </w:pPr>
    </w:lvl>
    <w:lvl w:ilvl="6" w:tplc="1C7C20CA" w:tentative="1">
      <w:start w:val="1"/>
      <w:numFmt w:val="decimal"/>
      <w:lvlText w:val="%7."/>
      <w:lvlJc w:val="left"/>
      <w:pPr>
        <w:ind w:left="5400" w:hanging="360"/>
      </w:pPr>
    </w:lvl>
    <w:lvl w:ilvl="7" w:tplc="68BA1300" w:tentative="1">
      <w:start w:val="1"/>
      <w:numFmt w:val="lowerLetter"/>
      <w:lvlText w:val="%8."/>
      <w:lvlJc w:val="left"/>
      <w:pPr>
        <w:ind w:left="6120" w:hanging="360"/>
      </w:pPr>
    </w:lvl>
    <w:lvl w:ilvl="8" w:tplc="699E71CA" w:tentative="1">
      <w:start w:val="1"/>
      <w:numFmt w:val="lowerRoman"/>
      <w:lvlText w:val="%9."/>
      <w:lvlJc w:val="right"/>
      <w:pPr>
        <w:ind w:left="6840" w:hanging="180"/>
      </w:pPr>
    </w:lvl>
  </w:abstractNum>
  <w:abstractNum w:abstractNumId="7" w15:restartNumberingAfterBreak="0">
    <w:nsid w:val="49296A7B"/>
    <w:multiLevelType w:val="hybridMultilevel"/>
    <w:tmpl w:val="69B261D6"/>
    <w:lvl w:ilvl="0" w:tplc="ADC6F852">
      <w:start w:val="3"/>
      <w:numFmt w:val="decimal"/>
      <w:lvlText w:val="%1.)"/>
      <w:lvlJc w:val="left"/>
      <w:pPr>
        <w:ind w:left="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2C718C">
      <w:start w:val="1"/>
      <w:numFmt w:val="lowerLetter"/>
      <w:lvlText w:val="%2"/>
      <w:lvlJc w:val="left"/>
      <w:pPr>
        <w:ind w:left="1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E04620">
      <w:start w:val="1"/>
      <w:numFmt w:val="lowerRoman"/>
      <w:lvlText w:val="%3"/>
      <w:lvlJc w:val="left"/>
      <w:pPr>
        <w:ind w:left="18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EABC5A">
      <w:start w:val="1"/>
      <w:numFmt w:val="decimal"/>
      <w:lvlText w:val="%4"/>
      <w:lvlJc w:val="left"/>
      <w:pPr>
        <w:ind w:left="26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F022336">
      <w:start w:val="1"/>
      <w:numFmt w:val="lowerLetter"/>
      <w:lvlText w:val="%5"/>
      <w:lvlJc w:val="left"/>
      <w:pPr>
        <w:ind w:left="3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054D59E">
      <w:start w:val="1"/>
      <w:numFmt w:val="lowerRoman"/>
      <w:lvlText w:val="%6"/>
      <w:lvlJc w:val="left"/>
      <w:pPr>
        <w:ind w:left="40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154D1A8">
      <w:start w:val="1"/>
      <w:numFmt w:val="decimal"/>
      <w:lvlText w:val="%7"/>
      <w:lvlJc w:val="left"/>
      <w:pPr>
        <w:ind w:left="47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EF449AE">
      <w:start w:val="1"/>
      <w:numFmt w:val="lowerLetter"/>
      <w:lvlText w:val="%8"/>
      <w:lvlJc w:val="left"/>
      <w:pPr>
        <w:ind w:left="5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5F23880">
      <w:start w:val="1"/>
      <w:numFmt w:val="lowerRoman"/>
      <w:lvlText w:val="%9"/>
      <w:lvlJc w:val="left"/>
      <w:pPr>
        <w:ind w:left="6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A7C30E2"/>
    <w:multiLevelType w:val="hybridMultilevel"/>
    <w:tmpl w:val="1FC2E096"/>
    <w:lvl w:ilvl="0" w:tplc="93D499AC">
      <w:start w:val="1"/>
      <w:numFmt w:val="lowerLetter"/>
      <w:pStyle w:val="Heading4"/>
      <w:lvlText w:val="%1."/>
      <w:lvlJc w:val="left"/>
      <w:pPr>
        <w:ind w:left="1440" w:hanging="360"/>
      </w:pPr>
      <w:rPr>
        <w:rFonts w:hint="default"/>
        <w:i w:val="0"/>
        <w:iCs w:val="0"/>
      </w:rPr>
    </w:lvl>
    <w:lvl w:ilvl="1" w:tplc="C7D2735E" w:tentative="1">
      <w:start w:val="1"/>
      <w:numFmt w:val="lowerLetter"/>
      <w:lvlText w:val="%2."/>
      <w:lvlJc w:val="left"/>
      <w:pPr>
        <w:ind w:left="2160" w:hanging="360"/>
      </w:pPr>
    </w:lvl>
    <w:lvl w:ilvl="2" w:tplc="7D743B76" w:tentative="1">
      <w:start w:val="1"/>
      <w:numFmt w:val="lowerRoman"/>
      <w:lvlText w:val="%3."/>
      <w:lvlJc w:val="right"/>
      <w:pPr>
        <w:ind w:left="2880" w:hanging="180"/>
      </w:pPr>
    </w:lvl>
    <w:lvl w:ilvl="3" w:tplc="66FA200A" w:tentative="1">
      <w:start w:val="1"/>
      <w:numFmt w:val="decimal"/>
      <w:lvlText w:val="%4."/>
      <w:lvlJc w:val="left"/>
      <w:pPr>
        <w:ind w:left="3600" w:hanging="360"/>
      </w:pPr>
    </w:lvl>
    <w:lvl w:ilvl="4" w:tplc="9834B0AE" w:tentative="1">
      <w:start w:val="1"/>
      <w:numFmt w:val="lowerLetter"/>
      <w:lvlText w:val="%5."/>
      <w:lvlJc w:val="left"/>
      <w:pPr>
        <w:ind w:left="4320" w:hanging="360"/>
      </w:pPr>
    </w:lvl>
    <w:lvl w:ilvl="5" w:tplc="74F08C9C" w:tentative="1">
      <w:start w:val="1"/>
      <w:numFmt w:val="lowerRoman"/>
      <w:lvlText w:val="%6."/>
      <w:lvlJc w:val="right"/>
      <w:pPr>
        <w:ind w:left="5040" w:hanging="180"/>
      </w:pPr>
    </w:lvl>
    <w:lvl w:ilvl="6" w:tplc="B486071A" w:tentative="1">
      <w:start w:val="1"/>
      <w:numFmt w:val="decimal"/>
      <w:lvlText w:val="%7."/>
      <w:lvlJc w:val="left"/>
      <w:pPr>
        <w:ind w:left="5760" w:hanging="360"/>
      </w:pPr>
    </w:lvl>
    <w:lvl w:ilvl="7" w:tplc="E1F4DBEA" w:tentative="1">
      <w:start w:val="1"/>
      <w:numFmt w:val="lowerLetter"/>
      <w:lvlText w:val="%8."/>
      <w:lvlJc w:val="left"/>
      <w:pPr>
        <w:ind w:left="6480" w:hanging="360"/>
      </w:pPr>
    </w:lvl>
    <w:lvl w:ilvl="8" w:tplc="2596342A" w:tentative="1">
      <w:start w:val="1"/>
      <w:numFmt w:val="lowerRoman"/>
      <w:lvlText w:val="%9."/>
      <w:lvlJc w:val="right"/>
      <w:pPr>
        <w:ind w:left="7200" w:hanging="180"/>
      </w:pPr>
    </w:lvl>
  </w:abstractNum>
  <w:abstractNum w:abstractNumId="9" w15:restartNumberingAfterBreak="0">
    <w:nsid w:val="63BD1E06"/>
    <w:multiLevelType w:val="hybridMultilevel"/>
    <w:tmpl w:val="E88846EC"/>
    <w:lvl w:ilvl="0" w:tplc="D4E880B6">
      <w:start w:val="1"/>
      <w:numFmt w:val="decimal"/>
      <w:lvlText w:val="%1."/>
      <w:lvlJc w:val="left"/>
      <w:pPr>
        <w:ind w:left="720" w:hanging="360"/>
      </w:pPr>
    </w:lvl>
    <w:lvl w:ilvl="1" w:tplc="602E5F54" w:tentative="1">
      <w:start w:val="1"/>
      <w:numFmt w:val="lowerLetter"/>
      <w:lvlText w:val="%2."/>
      <w:lvlJc w:val="left"/>
      <w:pPr>
        <w:ind w:left="1440" w:hanging="360"/>
      </w:pPr>
    </w:lvl>
    <w:lvl w:ilvl="2" w:tplc="921835C6" w:tentative="1">
      <w:start w:val="1"/>
      <w:numFmt w:val="lowerRoman"/>
      <w:lvlText w:val="%3."/>
      <w:lvlJc w:val="right"/>
      <w:pPr>
        <w:ind w:left="2160" w:hanging="180"/>
      </w:pPr>
    </w:lvl>
    <w:lvl w:ilvl="3" w:tplc="41EC5928" w:tentative="1">
      <w:start w:val="1"/>
      <w:numFmt w:val="decimal"/>
      <w:lvlText w:val="%4."/>
      <w:lvlJc w:val="left"/>
      <w:pPr>
        <w:ind w:left="2880" w:hanging="360"/>
      </w:pPr>
    </w:lvl>
    <w:lvl w:ilvl="4" w:tplc="E92867B8" w:tentative="1">
      <w:start w:val="1"/>
      <w:numFmt w:val="lowerLetter"/>
      <w:lvlText w:val="%5."/>
      <w:lvlJc w:val="left"/>
      <w:pPr>
        <w:ind w:left="3600" w:hanging="360"/>
      </w:pPr>
    </w:lvl>
    <w:lvl w:ilvl="5" w:tplc="5DE47616" w:tentative="1">
      <w:start w:val="1"/>
      <w:numFmt w:val="lowerRoman"/>
      <w:lvlText w:val="%6."/>
      <w:lvlJc w:val="right"/>
      <w:pPr>
        <w:ind w:left="4320" w:hanging="180"/>
      </w:pPr>
    </w:lvl>
    <w:lvl w:ilvl="6" w:tplc="88D00888" w:tentative="1">
      <w:start w:val="1"/>
      <w:numFmt w:val="decimal"/>
      <w:lvlText w:val="%7."/>
      <w:lvlJc w:val="left"/>
      <w:pPr>
        <w:ind w:left="5040" w:hanging="360"/>
      </w:pPr>
    </w:lvl>
    <w:lvl w:ilvl="7" w:tplc="AA8A145C" w:tentative="1">
      <w:start w:val="1"/>
      <w:numFmt w:val="lowerLetter"/>
      <w:lvlText w:val="%8."/>
      <w:lvlJc w:val="left"/>
      <w:pPr>
        <w:ind w:left="5760" w:hanging="360"/>
      </w:pPr>
    </w:lvl>
    <w:lvl w:ilvl="8" w:tplc="5EA0A2CC" w:tentative="1">
      <w:start w:val="1"/>
      <w:numFmt w:val="lowerRoman"/>
      <w:lvlText w:val="%9."/>
      <w:lvlJc w:val="right"/>
      <w:pPr>
        <w:ind w:left="6480" w:hanging="180"/>
      </w:pPr>
    </w:lvl>
  </w:abstractNum>
  <w:abstractNum w:abstractNumId="10" w15:restartNumberingAfterBreak="0">
    <w:nsid w:val="74203E11"/>
    <w:multiLevelType w:val="hybridMultilevel"/>
    <w:tmpl w:val="B55070CE"/>
    <w:lvl w:ilvl="0" w:tplc="E8D02A0E">
      <w:start w:val="3"/>
      <w:numFmt w:val="decimal"/>
      <w:lvlText w:val="%1.)"/>
      <w:lvlJc w:val="left"/>
      <w:pPr>
        <w:ind w:left="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FAEEA76">
      <w:start w:val="1"/>
      <w:numFmt w:val="lowerLetter"/>
      <w:lvlText w:val="%2"/>
      <w:lvlJc w:val="left"/>
      <w:pPr>
        <w:ind w:left="1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F26B6F8">
      <w:start w:val="1"/>
      <w:numFmt w:val="lowerRoman"/>
      <w:lvlText w:val="%3"/>
      <w:lvlJc w:val="left"/>
      <w:pPr>
        <w:ind w:left="18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AD24086">
      <w:start w:val="1"/>
      <w:numFmt w:val="decimal"/>
      <w:lvlText w:val="%4"/>
      <w:lvlJc w:val="left"/>
      <w:pPr>
        <w:ind w:left="26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4D23C24">
      <w:start w:val="1"/>
      <w:numFmt w:val="lowerLetter"/>
      <w:lvlText w:val="%5"/>
      <w:lvlJc w:val="left"/>
      <w:pPr>
        <w:ind w:left="3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7C07B86">
      <w:start w:val="1"/>
      <w:numFmt w:val="lowerRoman"/>
      <w:lvlText w:val="%6"/>
      <w:lvlJc w:val="left"/>
      <w:pPr>
        <w:ind w:left="40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E9039CE">
      <w:start w:val="1"/>
      <w:numFmt w:val="decimal"/>
      <w:lvlText w:val="%7"/>
      <w:lvlJc w:val="left"/>
      <w:pPr>
        <w:ind w:left="47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67E0D18">
      <w:start w:val="1"/>
      <w:numFmt w:val="lowerLetter"/>
      <w:lvlText w:val="%8"/>
      <w:lvlJc w:val="left"/>
      <w:pPr>
        <w:ind w:left="5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D24103E">
      <w:start w:val="1"/>
      <w:numFmt w:val="lowerRoman"/>
      <w:lvlText w:val="%9"/>
      <w:lvlJc w:val="left"/>
      <w:pPr>
        <w:ind w:left="6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1858883592">
    <w:abstractNumId w:val="2"/>
  </w:num>
  <w:num w:numId="2" w16cid:durableId="1271858638">
    <w:abstractNumId w:val="4"/>
  </w:num>
  <w:num w:numId="3" w16cid:durableId="773331120">
    <w:abstractNumId w:val="3"/>
  </w:num>
  <w:num w:numId="4" w16cid:durableId="2045519475">
    <w:abstractNumId w:val="8"/>
  </w:num>
  <w:num w:numId="5" w16cid:durableId="2063166946">
    <w:abstractNumId w:val="2"/>
    <w:lvlOverride w:ilvl="0">
      <w:startOverride w:val="1"/>
    </w:lvlOverride>
  </w:num>
  <w:num w:numId="6" w16cid:durableId="2079093158">
    <w:abstractNumId w:val="2"/>
    <w:lvlOverride w:ilvl="0">
      <w:startOverride w:val="1"/>
    </w:lvlOverride>
  </w:num>
  <w:num w:numId="7" w16cid:durableId="85031796">
    <w:abstractNumId w:val="2"/>
    <w:lvlOverride w:ilvl="0">
      <w:startOverride w:val="1"/>
    </w:lvlOverride>
  </w:num>
  <w:num w:numId="8" w16cid:durableId="1580140557">
    <w:abstractNumId w:val="2"/>
    <w:lvlOverride w:ilvl="0">
      <w:startOverride w:val="1"/>
    </w:lvlOverride>
  </w:num>
  <w:num w:numId="9" w16cid:durableId="1387218444">
    <w:abstractNumId w:val="2"/>
    <w:lvlOverride w:ilvl="0">
      <w:startOverride w:val="1"/>
    </w:lvlOverride>
  </w:num>
  <w:num w:numId="10" w16cid:durableId="742679222">
    <w:abstractNumId w:val="2"/>
    <w:lvlOverride w:ilvl="0">
      <w:startOverride w:val="1"/>
    </w:lvlOverride>
  </w:num>
  <w:num w:numId="11" w16cid:durableId="640384253">
    <w:abstractNumId w:val="2"/>
    <w:lvlOverride w:ilvl="0">
      <w:startOverride w:val="1"/>
    </w:lvlOverride>
  </w:num>
  <w:num w:numId="12" w16cid:durableId="2033266251">
    <w:abstractNumId w:val="2"/>
    <w:lvlOverride w:ilvl="0">
      <w:startOverride w:val="1"/>
    </w:lvlOverride>
  </w:num>
  <w:num w:numId="13" w16cid:durableId="1767119519">
    <w:abstractNumId w:val="2"/>
    <w:lvlOverride w:ilvl="0">
      <w:startOverride w:val="1"/>
    </w:lvlOverride>
  </w:num>
  <w:num w:numId="14" w16cid:durableId="660888216">
    <w:abstractNumId w:val="2"/>
    <w:lvlOverride w:ilvl="0">
      <w:startOverride w:val="1"/>
    </w:lvlOverride>
  </w:num>
  <w:num w:numId="15" w16cid:durableId="401105586">
    <w:abstractNumId w:val="2"/>
    <w:lvlOverride w:ilvl="0">
      <w:startOverride w:val="1"/>
    </w:lvlOverride>
  </w:num>
  <w:num w:numId="16" w16cid:durableId="2108109745">
    <w:abstractNumId w:val="2"/>
    <w:lvlOverride w:ilvl="0">
      <w:startOverride w:val="1"/>
    </w:lvlOverride>
  </w:num>
  <w:num w:numId="17" w16cid:durableId="160127646">
    <w:abstractNumId w:val="2"/>
    <w:lvlOverride w:ilvl="0">
      <w:startOverride w:val="1"/>
    </w:lvlOverride>
  </w:num>
  <w:num w:numId="18" w16cid:durableId="1798065671">
    <w:abstractNumId w:val="1"/>
  </w:num>
  <w:num w:numId="19" w16cid:durableId="810244758">
    <w:abstractNumId w:val="6"/>
  </w:num>
  <w:num w:numId="20" w16cid:durableId="774789076">
    <w:abstractNumId w:val="5"/>
  </w:num>
  <w:num w:numId="21" w16cid:durableId="1848060542">
    <w:abstractNumId w:val="7"/>
  </w:num>
  <w:num w:numId="22" w16cid:durableId="1583374408">
    <w:abstractNumId w:val="0"/>
  </w:num>
  <w:num w:numId="23" w16cid:durableId="594287868">
    <w:abstractNumId w:val="10"/>
  </w:num>
  <w:num w:numId="24" w16cid:durableId="842933776">
    <w:abstractNumId w:val="4"/>
    <w:lvlOverride w:ilvl="0">
      <w:startOverride w:val="1"/>
    </w:lvlOverride>
  </w:num>
  <w:num w:numId="25" w16cid:durableId="18282766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7E"/>
    <w:rsid w:val="007644A1"/>
    <w:rsid w:val="00C14B7E"/>
    <w:rsid w:val="00D43189"/>
    <w:rsid w:val="00E402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44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Schoolbook" w:eastAsiaTheme="minorHAnsi" w:hAnsi="Century Schoolbook" w:cstheme="minorBidi"/>
        <w:sz w:val="26"/>
        <w:szCs w:val="26"/>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813BB"/>
    <w:pPr>
      <w:ind w:firstLine="720"/>
    </w:pPr>
  </w:style>
  <w:style w:type="paragraph" w:styleId="Heading1">
    <w:name w:val="heading 1"/>
    <w:basedOn w:val="Normal"/>
    <w:next w:val="Normal"/>
    <w:link w:val="Heading1Char"/>
    <w:uiPriority w:val="1"/>
    <w:qFormat/>
    <w:rsid w:val="00D92215"/>
    <w:pPr>
      <w:keepNext/>
      <w:numPr>
        <w:numId w:val="1"/>
      </w:numPr>
      <w:jc w:val="center"/>
      <w:outlineLvl w:val="0"/>
    </w:pPr>
    <w:rPr>
      <w:rFonts w:cs="Times New Roman"/>
      <w:b/>
      <w:bCs/>
      <w:caps/>
    </w:rPr>
  </w:style>
  <w:style w:type="paragraph" w:styleId="Heading2">
    <w:name w:val="heading 2"/>
    <w:basedOn w:val="ListParagraph"/>
    <w:next w:val="Normal"/>
    <w:link w:val="Heading2Char"/>
    <w:uiPriority w:val="2"/>
    <w:qFormat/>
    <w:rsid w:val="007B005C"/>
    <w:pPr>
      <w:keepNext/>
      <w:numPr>
        <w:numId w:val="2"/>
      </w:numPr>
      <w:tabs>
        <w:tab w:val="left" w:pos="360"/>
      </w:tabs>
      <w:spacing w:after="120" w:line="240" w:lineRule="auto"/>
      <w:outlineLvl w:val="1"/>
    </w:pPr>
    <w:rPr>
      <w:rFonts w:cs="Times New Roman"/>
      <w:b/>
      <w:i/>
    </w:rPr>
  </w:style>
  <w:style w:type="paragraph" w:styleId="Heading3">
    <w:name w:val="heading 3"/>
    <w:basedOn w:val="ListParagraph"/>
    <w:next w:val="Normal"/>
    <w:link w:val="Heading3Char"/>
    <w:uiPriority w:val="3"/>
    <w:qFormat/>
    <w:rsid w:val="000775C3"/>
    <w:pPr>
      <w:keepNext/>
      <w:numPr>
        <w:numId w:val="3"/>
      </w:numPr>
      <w:spacing w:after="120" w:line="240" w:lineRule="auto"/>
      <w:outlineLvl w:val="2"/>
    </w:pPr>
    <w:rPr>
      <w:rFonts w:cs="Times New Roman"/>
      <w:b/>
    </w:rPr>
  </w:style>
  <w:style w:type="paragraph" w:styleId="Heading4">
    <w:name w:val="heading 4"/>
    <w:basedOn w:val="ListParagraph"/>
    <w:next w:val="Normal"/>
    <w:link w:val="Heading4Char"/>
    <w:uiPriority w:val="4"/>
    <w:qFormat/>
    <w:rsid w:val="000775C3"/>
    <w:pPr>
      <w:keepNext/>
      <w:numPr>
        <w:numId w:val="4"/>
      </w:numPr>
      <w:spacing w:after="120" w:line="240" w:lineRule="auto"/>
      <w:outlineLvl w:val="3"/>
    </w:pPr>
    <w:rPr>
      <w:rFonts w:cs="Times New Roman"/>
      <w:i/>
      <w:iCs/>
    </w:rPr>
  </w:style>
  <w:style w:type="paragraph" w:styleId="Heading5">
    <w:name w:val="heading 5"/>
    <w:basedOn w:val="Normal"/>
    <w:next w:val="Normal"/>
    <w:link w:val="Heading5Char"/>
    <w:uiPriority w:val="9"/>
    <w:unhideWhenUsed/>
    <w:rsid w:val="00663D95"/>
    <w:pPr>
      <w:numPr>
        <w:numId w:val="18"/>
      </w:numPr>
      <w:spacing w:after="120" w:line="240" w:lineRule="auto"/>
      <w:ind w:left="1800" w:hanging="180"/>
      <w:outlineLvl w:val="4"/>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92215"/>
    <w:rPr>
      <w:rFonts w:cs="Times New Roman"/>
      <w:b/>
      <w:bCs/>
      <w:caps/>
    </w:rPr>
  </w:style>
  <w:style w:type="paragraph" w:styleId="Header">
    <w:name w:val="header"/>
    <w:basedOn w:val="Normal"/>
    <w:link w:val="HeaderChar"/>
    <w:uiPriority w:val="99"/>
    <w:unhideWhenUsed/>
    <w:rsid w:val="00737B68"/>
    <w:pPr>
      <w:tabs>
        <w:tab w:val="left" w:pos="720"/>
        <w:tab w:val="center" w:pos="4680"/>
        <w:tab w:val="right" w:pos="9360"/>
      </w:tabs>
      <w:spacing w:line="240" w:lineRule="auto"/>
    </w:pPr>
    <w:rPr>
      <w:rFonts w:cs="Times New Roman"/>
    </w:rPr>
  </w:style>
  <w:style w:type="character" w:customStyle="1" w:styleId="HeaderChar">
    <w:name w:val="Header Char"/>
    <w:basedOn w:val="DefaultParagraphFont"/>
    <w:link w:val="Header"/>
    <w:uiPriority w:val="99"/>
    <w:rsid w:val="00737B68"/>
    <w:rPr>
      <w:rFonts w:cs="Times New Roman"/>
    </w:rPr>
  </w:style>
  <w:style w:type="paragraph" w:styleId="Footer">
    <w:name w:val="footer"/>
    <w:basedOn w:val="Normal"/>
    <w:link w:val="FooterChar"/>
    <w:uiPriority w:val="99"/>
    <w:unhideWhenUsed/>
    <w:rsid w:val="00737B68"/>
    <w:pPr>
      <w:tabs>
        <w:tab w:val="left" w:pos="720"/>
        <w:tab w:val="center" w:pos="4680"/>
        <w:tab w:val="right" w:pos="9360"/>
      </w:tabs>
      <w:spacing w:line="240" w:lineRule="auto"/>
    </w:pPr>
    <w:rPr>
      <w:rFonts w:cs="Times New Roman"/>
    </w:rPr>
  </w:style>
  <w:style w:type="character" w:customStyle="1" w:styleId="FooterChar">
    <w:name w:val="Footer Char"/>
    <w:basedOn w:val="DefaultParagraphFont"/>
    <w:link w:val="Footer"/>
    <w:uiPriority w:val="99"/>
    <w:rsid w:val="00737B68"/>
    <w:rPr>
      <w:rFonts w:cs="Times New Roman"/>
    </w:rPr>
  </w:style>
  <w:style w:type="character" w:customStyle="1" w:styleId="Heading2Char">
    <w:name w:val="Heading 2 Char"/>
    <w:basedOn w:val="DefaultParagraphFont"/>
    <w:link w:val="Heading2"/>
    <w:uiPriority w:val="2"/>
    <w:rsid w:val="007B005C"/>
    <w:rPr>
      <w:rFonts w:cs="Times New Roman"/>
      <w:b/>
      <w:i/>
    </w:rPr>
  </w:style>
  <w:style w:type="character" w:customStyle="1" w:styleId="Heading3Char">
    <w:name w:val="Heading 3 Char"/>
    <w:basedOn w:val="DefaultParagraphFont"/>
    <w:link w:val="Heading3"/>
    <w:uiPriority w:val="3"/>
    <w:rsid w:val="00944C2C"/>
    <w:rPr>
      <w:rFonts w:cs="Times New Roman"/>
      <w:b/>
    </w:rPr>
  </w:style>
  <w:style w:type="character" w:customStyle="1" w:styleId="Heading4Char">
    <w:name w:val="Heading 4 Char"/>
    <w:basedOn w:val="DefaultParagraphFont"/>
    <w:link w:val="Heading4"/>
    <w:uiPriority w:val="4"/>
    <w:rsid w:val="00944C2C"/>
    <w:rPr>
      <w:rFonts w:cs="Times New Roman"/>
      <w:i/>
      <w:iCs/>
    </w:rPr>
  </w:style>
  <w:style w:type="paragraph" w:styleId="FootnoteText">
    <w:name w:val="footnote text"/>
    <w:basedOn w:val="Normal"/>
    <w:link w:val="FootnoteTextChar"/>
    <w:uiPriority w:val="99"/>
    <w:unhideWhenUsed/>
    <w:rsid w:val="00DB0E83"/>
    <w:pPr>
      <w:spacing w:after="120" w:line="240" w:lineRule="auto"/>
    </w:pPr>
    <w:rPr>
      <w:szCs w:val="20"/>
    </w:rPr>
  </w:style>
  <w:style w:type="character" w:customStyle="1" w:styleId="FootnoteTextChar">
    <w:name w:val="Footnote Text Char"/>
    <w:basedOn w:val="DefaultParagraphFont"/>
    <w:link w:val="FootnoteText"/>
    <w:uiPriority w:val="99"/>
    <w:rsid w:val="00DB0E83"/>
    <w:rPr>
      <w:szCs w:val="20"/>
    </w:rPr>
  </w:style>
  <w:style w:type="character" w:styleId="FootnoteReference">
    <w:name w:val="footnote reference"/>
    <w:basedOn w:val="DefaultParagraphFont"/>
    <w:uiPriority w:val="99"/>
    <w:semiHidden/>
    <w:unhideWhenUsed/>
    <w:rsid w:val="00737B68"/>
    <w:rPr>
      <w:vertAlign w:val="superscript"/>
    </w:rPr>
  </w:style>
  <w:style w:type="paragraph" w:styleId="ListParagraph">
    <w:name w:val="List Paragraph"/>
    <w:basedOn w:val="Normal"/>
    <w:uiPriority w:val="34"/>
    <w:rsid w:val="000775C3"/>
    <w:pPr>
      <w:ind w:left="720"/>
      <w:contextualSpacing/>
    </w:pPr>
  </w:style>
  <w:style w:type="paragraph" w:customStyle="1" w:styleId="Footnote">
    <w:name w:val="Footnote"/>
    <w:basedOn w:val="FootnoteText"/>
    <w:link w:val="FootnoteChar"/>
    <w:uiPriority w:val="9"/>
    <w:qFormat/>
    <w:rsid w:val="00750DF6"/>
    <w:rPr>
      <w:szCs w:val="26"/>
    </w:rPr>
  </w:style>
  <w:style w:type="character" w:customStyle="1" w:styleId="Heading5Char">
    <w:name w:val="Heading 5 Char"/>
    <w:basedOn w:val="DefaultParagraphFont"/>
    <w:link w:val="Heading5"/>
    <w:uiPriority w:val="9"/>
    <w:rsid w:val="00663D95"/>
    <w:rPr>
      <w:i/>
      <w:iCs/>
    </w:rPr>
  </w:style>
  <w:style w:type="character" w:customStyle="1" w:styleId="FootnoteChar">
    <w:name w:val="Footnote Char"/>
    <w:basedOn w:val="FootnoteTextChar"/>
    <w:link w:val="Footnote"/>
    <w:uiPriority w:val="9"/>
    <w:rsid w:val="00750DF6"/>
    <w:rPr>
      <w:szCs w:val="20"/>
    </w:rPr>
  </w:style>
  <w:style w:type="paragraph" w:customStyle="1" w:styleId="FootnoteText0">
    <w:name w:val="FootnoteText"/>
    <w:basedOn w:val="ListParagraph"/>
    <w:uiPriority w:val="99"/>
    <w:semiHidden/>
    <w:rsid w:val="00146202"/>
  </w:style>
  <w:style w:type="character" w:customStyle="1" w:styleId="costarpage">
    <w:name w:val="co_starpage"/>
    <w:basedOn w:val="DefaultParagraphFont"/>
    <w:rsid w:val="00E86D6E"/>
  </w:style>
  <w:style w:type="character" w:styleId="Emphasis">
    <w:name w:val="Emphasis"/>
    <w:basedOn w:val="DefaultParagraphFont"/>
    <w:uiPriority w:val="20"/>
    <w:qFormat/>
    <w:rsid w:val="00900A57"/>
    <w:rPr>
      <w:i/>
      <w:iCs/>
    </w:rPr>
  </w:style>
  <w:style w:type="character" w:customStyle="1" w:styleId="cohighlightpoints">
    <w:name w:val="co_highlightpoints"/>
    <w:basedOn w:val="DefaultParagraphFont"/>
    <w:rsid w:val="00E72A47"/>
  </w:style>
  <w:style w:type="character" w:styleId="Hyperlink">
    <w:name w:val="Hyperlink"/>
    <w:basedOn w:val="DefaultParagraphFont"/>
    <w:uiPriority w:val="99"/>
    <w:semiHidden/>
    <w:unhideWhenUsed/>
    <w:rsid w:val="00625C25"/>
    <w:rPr>
      <w:color w:val="0000FF"/>
      <w:u w:val="single"/>
    </w:rPr>
  </w:style>
  <w:style w:type="character" w:customStyle="1" w:styleId="cosearchterm">
    <w:name w:val="co_searchterm"/>
    <w:basedOn w:val="DefaultParagraphFont"/>
    <w:rsid w:val="00625C25"/>
  </w:style>
  <w:style w:type="paragraph" w:styleId="Revision">
    <w:name w:val="Revision"/>
    <w:hidden/>
    <w:uiPriority w:val="99"/>
    <w:semiHidden/>
    <w:rsid w:val="00803874"/>
    <w:pPr>
      <w:spacing w:line="240" w:lineRule="auto"/>
    </w:pPr>
  </w:style>
  <w:style w:type="character" w:styleId="CommentReference">
    <w:name w:val="annotation reference"/>
    <w:basedOn w:val="DefaultParagraphFont"/>
    <w:uiPriority w:val="99"/>
    <w:semiHidden/>
    <w:unhideWhenUsed/>
    <w:rsid w:val="00B3600E"/>
    <w:rPr>
      <w:sz w:val="16"/>
      <w:szCs w:val="16"/>
    </w:rPr>
  </w:style>
  <w:style w:type="paragraph" w:styleId="CommentText">
    <w:name w:val="annotation text"/>
    <w:basedOn w:val="Normal"/>
    <w:link w:val="CommentTextChar"/>
    <w:uiPriority w:val="99"/>
    <w:unhideWhenUsed/>
    <w:rsid w:val="00B3600E"/>
    <w:pPr>
      <w:spacing w:line="240" w:lineRule="auto"/>
    </w:pPr>
    <w:rPr>
      <w:sz w:val="20"/>
      <w:szCs w:val="20"/>
    </w:rPr>
  </w:style>
  <w:style w:type="character" w:customStyle="1" w:styleId="CommentTextChar">
    <w:name w:val="Comment Text Char"/>
    <w:basedOn w:val="DefaultParagraphFont"/>
    <w:link w:val="CommentText"/>
    <w:uiPriority w:val="99"/>
    <w:rsid w:val="00B3600E"/>
    <w:rPr>
      <w:sz w:val="20"/>
      <w:szCs w:val="20"/>
    </w:rPr>
  </w:style>
  <w:style w:type="paragraph" w:styleId="CommentSubject">
    <w:name w:val="annotation subject"/>
    <w:basedOn w:val="CommentText"/>
    <w:next w:val="CommentText"/>
    <w:link w:val="CommentSubjectChar"/>
    <w:uiPriority w:val="99"/>
    <w:semiHidden/>
    <w:unhideWhenUsed/>
    <w:rsid w:val="00B3600E"/>
    <w:rPr>
      <w:b/>
      <w:bCs/>
    </w:rPr>
  </w:style>
  <w:style w:type="character" w:customStyle="1" w:styleId="CommentSubjectChar">
    <w:name w:val="Comment Subject Char"/>
    <w:basedOn w:val="CommentTextChar"/>
    <w:link w:val="CommentSubject"/>
    <w:uiPriority w:val="99"/>
    <w:semiHidden/>
    <w:rsid w:val="00B3600E"/>
    <w:rPr>
      <w:b/>
      <w:bCs/>
      <w:sz w:val="20"/>
      <w:szCs w:val="20"/>
    </w:rPr>
  </w:style>
  <w:style w:type="table" w:customStyle="1" w:styleId="TableGrid1">
    <w:name w:val="Table Grid1"/>
    <w:rsid w:val="006E48FE"/>
    <w:pPr>
      <w:spacing w:line="240" w:lineRule="auto"/>
    </w:pPr>
    <w:rPr>
      <w:rFonts w:asciiTheme="minorHAnsi" w:eastAsiaTheme="minorEastAsia" w:hAnsiTheme="minorHAnsi"/>
      <w:kern w:val="2"/>
      <w:sz w:val="22"/>
      <w:szCs w:val="2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7097</Words>
  <Characters>40457</Characters>
  <Application>Microsoft Office Word</Application>
  <DocSecurity>0</DocSecurity>
  <Lines>337</Lines>
  <Paragraphs>94</Paragraphs>
  <ScaleCrop>false</ScaleCrop>
  <Company/>
  <LinksUpToDate>false</LinksUpToDate>
  <CharactersWithSpaces>47460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2024-01-08T19:52:00Z</dcterms:created>
  <dcterms:modified xsi:type="dcterms:W3CDTF">2024-01-08T19:55:00Z</dcterms:modified>
</cp:coreProperties>
</file>