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800E03" w:rsidP="00800E03" w14:paraId="0BC67341" w14:textId="4DE6A376">
      <w:pPr>
        <w:spacing w:line="240" w:lineRule="auto"/>
        <w:rPr>
          <w:sz w:val="20"/>
        </w:rPr>
      </w:pPr>
      <w:r>
        <w:rPr>
          <w:sz w:val="20"/>
        </w:rPr>
        <w:t xml:space="preserve">Filed </w:t>
      </w:r>
      <w:r w:rsidR="001E2FB9">
        <w:rPr>
          <w:sz w:val="20"/>
        </w:rPr>
        <w:t>3/29/24</w:t>
      </w:r>
    </w:p>
    <w:p w:rsidR="00800E03" w:rsidRPr="00800E03" w:rsidP="00800E03" w14:paraId="5174AEFC" w14:textId="5C2E8A82">
      <w:pPr>
        <w:spacing w:line="240" w:lineRule="auto"/>
        <w:jc w:val="center"/>
      </w:pPr>
      <w:r>
        <w:rPr>
          <w:b/>
        </w:rPr>
        <w:t>CERTIFIED FOR PARTIAL PUBLICATION</w:t>
      </w:r>
      <w:r>
        <w:rPr>
          <w:rStyle w:val="FootnoteReference"/>
          <w:b/>
        </w:rPr>
        <w:footnoteReference w:customMarkFollows="1" w:id="3"/>
        <w:t xml:space="preserve">*</w:t>
      </w:r>
    </w:p>
    <w:p w:rsidR="00800E03" w:rsidRPr="00800E03" w:rsidP="00800E03" w14:paraId="6C15C0AB" w14:textId="77777777">
      <w:pPr>
        <w:spacing w:line="240" w:lineRule="auto"/>
        <w:rPr>
          <w:sz w:val="20"/>
        </w:rPr>
      </w:pPr>
    </w:p>
    <w:p w:rsidR="00D235F5" w:rsidP="002C1BB9" w14:paraId="21E414DD" w14:textId="3E98ECEF">
      <w:pPr>
        <w:spacing w:line="240" w:lineRule="auto"/>
        <w:jc w:val="center"/>
      </w:pPr>
      <w:r>
        <w:t>IN THE COURT OF APPEAL OF THE STATE OF CALIFORNIA</w:t>
      </w:r>
    </w:p>
    <w:p w:rsidR="002C1BB9" w:rsidP="002C1BB9" w14:paraId="75AC0EDB" w14:textId="77777777">
      <w:pPr>
        <w:spacing w:line="240" w:lineRule="auto"/>
        <w:jc w:val="center"/>
      </w:pPr>
    </w:p>
    <w:p w:rsidR="002C1BB9" w:rsidP="002C1BB9" w14:paraId="1DDEAE36" w14:textId="02CE1075">
      <w:pPr>
        <w:spacing w:line="240" w:lineRule="auto"/>
        <w:jc w:val="center"/>
      </w:pPr>
      <w:r>
        <w:t>FIRST APPELLATE DISTRICT</w:t>
      </w:r>
    </w:p>
    <w:p w:rsidR="002C1BB9" w:rsidP="002C1BB9" w14:paraId="37ACEC4F" w14:textId="77777777">
      <w:pPr>
        <w:spacing w:line="240" w:lineRule="auto"/>
        <w:jc w:val="center"/>
      </w:pPr>
    </w:p>
    <w:p w:rsidR="002C1BB9" w:rsidP="002C1BB9" w14:paraId="0E32CA3C" w14:textId="4D85288D">
      <w:pPr>
        <w:spacing w:line="240" w:lineRule="auto"/>
        <w:jc w:val="center"/>
      </w:pPr>
      <w:r>
        <w:t>DIVISION FOUR</w:t>
      </w:r>
    </w:p>
    <w:p w:rsidR="002C1BB9" w:rsidP="002C1BB9" w14:paraId="07E2D5C9" w14:textId="77777777">
      <w:pPr>
        <w:spacing w:line="240" w:lineRule="auto"/>
        <w:jc w:val="center"/>
      </w:pPr>
    </w:p>
    <w:p w:rsidR="002C1BB9" w:rsidP="002C1BB9" w14:paraId="6AE921A4" w14:textId="77777777">
      <w:pPr>
        <w:spacing w:line="240" w:lineRule="auto"/>
        <w:jc w:val="center"/>
      </w:pPr>
    </w:p>
    <w:tbl>
      <w:tblPr>
        <w:tblW w:w="0" w:type="auto"/>
        <w:tblInd w:w="-90" w:type="dxa"/>
        <w:tblLayout w:type="fixed"/>
        <w:tblCellMar>
          <w:top w:w="0" w:type="dxa"/>
          <w:left w:w="108" w:type="dxa"/>
          <w:bottom w:w="0" w:type="dxa"/>
          <w:right w:w="108" w:type="dxa"/>
        </w:tblCellMar>
        <w:tblLook w:val="0000"/>
      </w:tblPr>
      <w:tblGrid>
        <w:gridCol w:w="4860"/>
        <w:gridCol w:w="4500"/>
      </w:tblGrid>
      <w:tr w14:paraId="24362A63" w14:textId="77777777" w:rsidTr="00203C29">
        <w:tblPrEx>
          <w:tblW w:w="0" w:type="auto"/>
          <w:tblInd w:w="-90" w:type="dxa"/>
          <w:tblLayout w:type="fixed"/>
          <w:tblCellMar>
            <w:top w:w="0" w:type="dxa"/>
            <w:left w:w="108" w:type="dxa"/>
            <w:bottom w:w="0" w:type="dxa"/>
            <w:right w:w="108" w:type="dxa"/>
          </w:tblCellMar>
          <w:tblLook w:val="0000"/>
        </w:tblPrEx>
        <w:tc>
          <w:tcPr>
            <w:tcW w:w="4860" w:type="dxa"/>
            <w:tcBorders>
              <w:bottom w:val="single" w:sz="4" w:space="0" w:color="auto"/>
              <w:right w:val="single" w:sz="4" w:space="0" w:color="auto"/>
            </w:tcBorders>
            <w:shd w:val="clear" w:color="auto" w:fill="auto"/>
          </w:tcPr>
          <w:p w:rsidR="002C1BB9" w:rsidP="002C1BB9" w14:paraId="2D372E8C" w14:textId="77777777">
            <w:pPr>
              <w:tabs>
                <w:tab w:val="left" w:pos="720"/>
              </w:tabs>
              <w:spacing w:after="120" w:line="240" w:lineRule="auto"/>
              <w:rPr>
                <w:rStyle w:val="DefaultParagraphFont"/>
                <w:rFonts w:ascii="Century Schoolbook" w:hAnsi="Century Schoolbook" w:eastAsiaTheme="minorHAnsi" w:cstheme="minorBidi"/>
                <w:sz w:val="26"/>
                <w:szCs w:val="22"/>
                <w:lang w:val="en-US" w:eastAsia="en-US" w:bidi="ar-SA"/>
              </w:rPr>
            </w:pPr>
            <w:r>
              <w:rPr>
                <w:rFonts w:ascii="Century Schoolbook" w:hAnsi="Century Schoolbook" w:eastAsiaTheme="minorHAnsi" w:cstheme="minorBidi"/>
                <w:sz w:val="26"/>
                <w:szCs w:val="22"/>
                <w:lang w:val="en-US" w:eastAsia="en-US" w:bidi="ar-SA"/>
              </w:rPr>
              <w:t>VICHY SPRINGS RESORT, INC.,</w:t>
            </w:r>
          </w:p>
          <w:p w:rsidR="002C1BB9" w:rsidP="002C1BB9" w14:paraId="7973820B" w14:textId="31489CE8">
            <w:pPr>
              <w:tabs>
                <w:tab w:val="left" w:pos="720"/>
              </w:tabs>
              <w:spacing w:after="120" w:line="240" w:lineRule="auto"/>
              <w:rPr>
                <w:rStyle w:val="DefaultParagraphFont"/>
                <w:rFonts w:ascii="Century Schoolbook" w:hAnsi="Century Schoolbook" w:eastAsiaTheme="minorHAnsi" w:cstheme="minorBidi"/>
                <w:sz w:val="26"/>
                <w:szCs w:val="22"/>
                <w:lang w:val="en-US" w:eastAsia="en-US" w:bidi="ar-SA"/>
              </w:rPr>
            </w:pPr>
            <w:r>
              <w:rPr>
                <w:rFonts w:ascii="Century Schoolbook" w:hAnsi="Century Schoolbook" w:eastAsiaTheme="minorHAnsi" w:cstheme="minorBidi"/>
                <w:sz w:val="26"/>
                <w:szCs w:val="22"/>
                <w:lang w:val="en-US" w:eastAsia="en-US" w:bidi="ar-SA"/>
              </w:rPr>
              <w:tab/>
              <w:t>Plaintiff and Appellant,</w:t>
            </w:r>
          </w:p>
          <w:p w:rsidR="002C1BB9" w:rsidP="002C1BB9" w14:paraId="5A10DCF2" w14:textId="77777777">
            <w:pPr>
              <w:tabs>
                <w:tab w:val="left" w:pos="720"/>
              </w:tabs>
              <w:spacing w:after="120" w:line="240" w:lineRule="auto"/>
              <w:rPr>
                <w:rStyle w:val="DefaultParagraphFont"/>
                <w:rFonts w:ascii="Century Schoolbook" w:hAnsi="Century Schoolbook" w:eastAsiaTheme="minorHAnsi" w:cstheme="minorBidi"/>
                <w:sz w:val="26"/>
                <w:szCs w:val="22"/>
                <w:lang w:val="en-US" w:eastAsia="en-US" w:bidi="ar-SA"/>
              </w:rPr>
            </w:pPr>
            <w:r>
              <w:rPr>
                <w:rFonts w:ascii="Century Schoolbook" w:hAnsi="Century Schoolbook" w:eastAsiaTheme="minorHAnsi" w:cstheme="minorBidi"/>
                <w:sz w:val="26"/>
                <w:szCs w:val="22"/>
                <w:lang w:val="en-US" w:eastAsia="en-US" w:bidi="ar-SA"/>
              </w:rPr>
              <w:t>v.</w:t>
            </w:r>
          </w:p>
          <w:p w:rsidR="002C1BB9" w:rsidP="002C1BB9" w14:paraId="368E9B28" w14:textId="715E4113">
            <w:pPr>
              <w:tabs>
                <w:tab w:val="left" w:pos="720"/>
              </w:tabs>
              <w:spacing w:after="120" w:line="240" w:lineRule="auto"/>
              <w:rPr>
                <w:rStyle w:val="DefaultParagraphFont"/>
                <w:rFonts w:ascii="Century Schoolbook" w:hAnsi="Century Schoolbook" w:eastAsiaTheme="minorHAnsi" w:cstheme="minorBidi"/>
                <w:sz w:val="26"/>
                <w:szCs w:val="22"/>
                <w:lang w:val="en-US" w:eastAsia="en-US" w:bidi="ar-SA"/>
              </w:rPr>
            </w:pPr>
            <w:r>
              <w:rPr>
                <w:rFonts w:ascii="Century Schoolbook" w:hAnsi="Century Schoolbook" w:eastAsiaTheme="minorHAnsi" w:cstheme="minorBidi"/>
                <w:sz w:val="26"/>
                <w:szCs w:val="22"/>
                <w:lang w:val="en-US" w:eastAsia="en-US" w:bidi="ar-SA"/>
              </w:rPr>
              <w:t>CITY OF UKIAH et al.,</w:t>
            </w:r>
          </w:p>
          <w:p w:rsidR="002C1BB9" w:rsidP="002C1BB9" w14:paraId="004CD02B" w14:textId="5B5FF559">
            <w:pPr>
              <w:tabs>
                <w:tab w:val="left" w:pos="720"/>
              </w:tabs>
              <w:spacing w:after="120" w:line="240" w:lineRule="auto"/>
              <w:rPr>
                <w:rStyle w:val="DefaultParagraphFont"/>
                <w:rFonts w:ascii="Century Schoolbook" w:hAnsi="Century Schoolbook" w:eastAsiaTheme="minorHAnsi" w:cstheme="minorBidi"/>
                <w:sz w:val="26"/>
                <w:szCs w:val="22"/>
                <w:lang w:val="en-US" w:eastAsia="en-US" w:bidi="ar-SA"/>
              </w:rPr>
            </w:pPr>
            <w:r>
              <w:rPr>
                <w:rFonts w:ascii="Century Schoolbook" w:hAnsi="Century Schoolbook" w:eastAsiaTheme="minorHAnsi" w:cstheme="minorBidi"/>
                <w:sz w:val="26"/>
                <w:szCs w:val="22"/>
                <w:lang w:val="en-US" w:eastAsia="en-US" w:bidi="ar-SA"/>
              </w:rPr>
              <w:tab/>
              <w:t>Defendant</w:t>
            </w:r>
            <w:r w:rsidR="00B47E0F">
              <w:rPr>
                <w:rFonts w:ascii="Century Schoolbook" w:hAnsi="Century Schoolbook" w:eastAsiaTheme="minorHAnsi" w:cstheme="minorBidi"/>
                <w:sz w:val="26"/>
                <w:szCs w:val="22"/>
                <w:lang w:val="en-US" w:eastAsia="en-US" w:bidi="ar-SA"/>
              </w:rPr>
              <w:t>s</w:t>
            </w:r>
            <w:r>
              <w:rPr>
                <w:rFonts w:ascii="Century Schoolbook" w:hAnsi="Century Schoolbook" w:eastAsiaTheme="minorHAnsi" w:cstheme="minorBidi"/>
                <w:sz w:val="26"/>
                <w:szCs w:val="22"/>
                <w:lang w:val="en-US" w:eastAsia="en-US" w:bidi="ar-SA"/>
              </w:rPr>
              <w:t xml:space="preserve"> and Respondents;</w:t>
            </w:r>
          </w:p>
          <w:p w:rsidR="002C1BB9" w:rsidP="009C5680" w14:paraId="6082D125" w14:textId="160DB03D">
            <w:pPr>
              <w:tabs>
                <w:tab w:val="left" w:pos="720"/>
              </w:tabs>
              <w:spacing w:before="240" w:after="120" w:line="240" w:lineRule="auto"/>
              <w:rPr>
                <w:rStyle w:val="DefaultParagraphFont"/>
                <w:rFonts w:ascii="Century Schoolbook" w:hAnsi="Century Schoolbook" w:eastAsiaTheme="minorHAnsi" w:cstheme="minorBidi"/>
                <w:sz w:val="26"/>
                <w:szCs w:val="22"/>
                <w:lang w:val="en-US" w:eastAsia="en-US" w:bidi="ar-SA"/>
              </w:rPr>
            </w:pPr>
            <w:r>
              <w:rPr>
                <w:rFonts w:ascii="Century Schoolbook" w:hAnsi="Century Schoolbook" w:eastAsiaTheme="minorHAnsi" w:cstheme="minorBidi"/>
                <w:sz w:val="26"/>
                <w:szCs w:val="22"/>
                <w:lang w:val="en-US" w:eastAsia="en-US" w:bidi="ar-SA"/>
              </w:rPr>
              <w:t xml:space="preserve">UKIAH RIFLE </w:t>
            </w:r>
            <w:r w:rsidR="0007285D">
              <w:rPr>
                <w:rFonts w:ascii="Century Schoolbook" w:hAnsi="Century Schoolbook" w:eastAsiaTheme="minorHAnsi" w:cstheme="minorBidi"/>
                <w:sz w:val="26"/>
                <w:szCs w:val="22"/>
                <w:lang w:val="en-US" w:eastAsia="en-US" w:bidi="ar-SA"/>
              </w:rPr>
              <w:t>AND</w:t>
            </w:r>
            <w:r>
              <w:rPr>
                <w:rFonts w:ascii="Century Schoolbook" w:hAnsi="Century Schoolbook" w:eastAsiaTheme="minorHAnsi" w:cstheme="minorBidi"/>
                <w:sz w:val="26"/>
                <w:szCs w:val="22"/>
                <w:lang w:val="en-US" w:eastAsia="en-US" w:bidi="ar-SA"/>
              </w:rPr>
              <w:t xml:space="preserve"> PISTOL CLUB, INC.,</w:t>
            </w:r>
          </w:p>
          <w:p w:rsidR="002C1BB9" w:rsidP="001614D4" w14:paraId="387BC547" w14:textId="159E5189">
            <w:pPr>
              <w:tabs>
                <w:tab w:val="left" w:pos="720"/>
              </w:tabs>
              <w:spacing w:after="240" w:line="240" w:lineRule="auto"/>
              <w:rPr>
                <w:rStyle w:val="DefaultParagraphFont"/>
                <w:rFonts w:ascii="Century Schoolbook" w:hAnsi="Century Schoolbook" w:eastAsiaTheme="minorHAnsi" w:cstheme="minorBidi"/>
                <w:sz w:val="26"/>
                <w:szCs w:val="22"/>
                <w:lang w:val="en-US" w:eastAsia="en-US" w:bidi="ar-SA"/>
              </w:rPr>
            </w:pPr>
            <w:r>
              <w:rPr>
                <w:rFonts w:ascii="Century Schoolbook" w:hAnsi="Century Schoolbook" w:eastAsiaTheme="minorHAnsi" w:cstheme="minorBidi"/>
                <w:sz w:val="26"/>
                <w:szCs w:val="22"/>
                <w:lang w:val="en-US" w:eastAsia="en-US" w:bidi="ar-SA"/>
              </w:rPr>
              <w:tab/>
              <w:t>Real Party in Interest.</w:t>
            </w:r>
          </w:p>
        </w:tc>
        <w:tc>
          <w:tcPr>
            <w:tcW w:w="4500" w:type="dxa"/>
            <w:tcBorders>
              <w:left w:val="single" w:sz="4" w:space="0" w:color="auto"/>
            </w:tcBorders>
            <w:shd w:val="clear" w:color="auto" w:fill="auto"/>
          </w:tcPr>
          <w:p w:rsidR="002C1BB9" w:rsidP="002C1BB9" w14:paraId="2EDA2C80" w14:textId="77777777">
            <w:pPr>
              <w:tabs>
                <w:tab w:val="left" w:pos="720"/>
              </w:tabs>
              <w:spacing w:after="0" w:line="240" w:lineRule="auto"/>
              <w:rPr>
                <w:rStyle w:val="DefaultParagraphFont"/>
                <w:rFonts w:ascii="Century Schoolbook" w:hAnsi="Century Schoolbook" w:eastAsiaTheme="minorHAnsi" w:cstheme="minorBidi"/>
                <w:sz w:val="26"/>
                <w:szCs w:val="22"/>
                <w:lang w:val="en-US" w:eastAsia="en-US" w:bidi="ar-SA"/>
              </w:rPr>
            </w:pPr>
          </w:p>
          <w:p w:rsidR="002C1BB9" w:rsidP="002C1BB9" w14:paraId="646AE9A8" w14:textId="77777777">
            <w:pPr>
              <w:tabs>
                <w:tab w:val="left" w:pos="720"/>
              </w:tabs>
              <w:spacing w:after="0" w:line="240" w:lineRule="auto"/>
              <w:rPr>
                <w:rStyle w:val="DefaultParagraphFont"/>
                <w:rFonts w:ascii="Century Schoolbook" w:hAnsi="Century Schoolbook" w:eastAsiaTheme="minorHAnsi" w:cstheme="minorBidi"/>
                <w:sz w:val="26"/>
                <w:szCs w:val="22"/>
                <w:lang w:val="en-US" w:eastAsia="en-US" w:bidi="ar-SA"/>
              </w:rPr>
            </w:pPr>
          </w:p>
          <w:p w:rsidR="002C1BB9" w:rsidP="002C1BB9" w14:paraId="3F0876F0" w14:textId="77777777">
            <w:pPr>
              <w:tabs>
                <w:tab w:val="left" w:pos="720"/>
              </w:tabs>
              <w:spacing w:after="0" w:line="240" w:lineRule="auto"/>
              <w:rPr>
                <w:rStyle w:val="DefaultParagraphFont"/>
                <w:rFonts w:ascii="Century Schoolbook" w:hAnsi="Century Schoolbook" w:eastAsiaTheme="minorHAnsi" w:cstheme="minorBidi"/>
                <w:sz w:val="26"/>
                <w:szCs w:val="22"/>
                <w:lang w:val="en-US" w:eastAsia="en-US" w:bidi="ar-SA"/>
              </w:rPr>
            </w:pPr>
          </w:p>
          <w:p w:rsidR="002C1BB9" w:rsidP="002C1BB9" w14:paraId="024A68F1" w14:textId="77777777">
            <w:pPr>
              <w:tabs>
                <w:tab w:val="left" w:pos="720"/>
              </w:tabs>
              <w:spacing w:after="0" w:line="240" w:lineRule="auto"/>
              <w:rPr>
                <w:rStyle w:val="DefaultParagraphFont"/>
                <w:rFonts w:ascii="Century Schoolbook" w:hAnsi="Century Schoolbook" w:eastAsiaTheme="minorHAnsi" w:cstheme="minorBidi"/>
                <w:sz w:val="26"/>
                <w:szCs w:val="22"/>
                <w:lang w:val="en-US" w:eastAsia="en-US" w:bidi="ar-SA"/>
              </w:rPr>
            </w:pPr>
          </w:p>
          <w:p w:rsidR="002C1BB9" w:rsidP="002C1BB9" w14:paraId="315BF31C" w14:textId="41E5D86B">
            <w:pPr>
              <w:tabs>
                <w:tab w:val="left" w:pos="720"/>
              </w:tabs>
              <w:spacing w:after="0" w:line="240" w:lineRule="auto"/>
              <w:rPr>
                <w:rStyle w:val="DefaultParagraphFont"/>
                <w:rFonts w:ascii="Century Schoolbook" w:hAnsi="Century Schoolbook" w:eastAsiaTheme="minorHAnsi" w:cstheme="minorBidi"/>
                <w:sz w:val="26"/>
                <w:szCs w:val="22"/>
                <w:lang w:val="en-US" w:eastAsia="en-US" w:bidi="ar-SA"/>
              </w:rPr>
            </w:pPr>
            <w:r>
              <w:rPr>
                <w:rFonts w:ascii="Century Schoolbook" w:hAnsi="Century Schoolbook" w:eastAsiaTheme="minorHAnsi" w:cstheme="minorBidi"/>
                <w:sz w:val="26"/>
                <w:szCs w:val="22"/>
                <w:lang w:val="en-US" w:eastAsia="en-US" w:bidi="ar-SA"/>
              </w:rPr>
              <w:t xml:space="preserve">      A165345, A167000</w:t>
            </w:r>
          </w:p>
          <w:p w:rsidR="002C1BB9" w:rsidP="002C1BB9" w14:paraId="64134023" w14:textId="77777777">
            <w:pPr>
              <w:tabs>
                <w:tab w:val="left" w:pos="720"/>
              </w:tabs>
              <w:spacing w:after="0" w:line="240" w:lineRule="auto"/>
              <w:rPr>
                <w:rStyle w:val="DefaultParagraphFont"/>
                <w:rFonts w:ascii="Century Schoolbook" w:hAnsi="Century Schoolbook" w:eastAsiaTheme="minorHAnsi" w:cstheme="minorBidi"/>
                <w:sz w:val="26"/>
                <w:szCs w:val="22"/>
                <w:lang w:val="en-US" w:eastAsia="en-US" w:bidi="ar-SA"/>
              </w:rPr>
            </w:pPr>
          </w:p>
          <w:p w:rsidR="009C5680" w:rsidP="009C5680" w14:paraId="5C9B58B9" w14:textId="77777777">
            <w:pPr>
              <w:tabs>
                <w:tab w:val="left" w:pos="433"/>
                <w:tab w:val="clear" w:pos="720"/>
              </w:tabs>
              <w:spacing w:after="0" w:line="240" w:lineRule="auto"/>
              <w:ind w:left="-17"/>
              <w:rPr>
                <w:rStyle w:val="DefaultParagraphFont"/>
                <w:rFonts w:ascii="Century Schoolbook" w:hAnsi="Century Schoolbook" w:eastAsiaTheme="minorHAnsi" w:cstheme="minorBidi"/>
                <w:sz w:val="26"/>
                <w:szCs w:val="22"/>
                <w:lang w:val="en-US" w:eastAsia="en-US" w:bidi="ar-SA"/>
              </w:rPr>
            </w:pPr>
            <w:r>
              <w:rPr>
                <w:rFonts w:ascii="Century Schoolbook" w:hAnsi="Century Schoolbook" w:eastAsiaTheme="minorHAnsi" w:cstheme="minorBidi"/>
                <w:sz w:val="26"/>
                <w:szCs w:val="22"/>
                <w:lang w:val="en-US" w:eastAsia="en-US" w:bidi="ar-SA"/>
              </w:rPr>
              <w:t xml:space="preserve">      (</w:t>
            </w:r>
            <w:r w:rsidR="00BB18AF">
              <w:rPr>
                <w:rFonts w:ascii="Century Schoolbook" w:hAnsi="Century Schoolbook" w:eastAsiaTheme="minorHAnsi" w:cstheme="minorBidi"/>
                <w:sz w:val="26"/>
                <w:szCs w:val="22"/>
                <w:lang w:val="en-US" w:eastAsia="en-US" w:bidi="ar-SA"/>
              </w:rPr>
              <w:t>Mendocino</w:t>
            </w:r>
            <w:r>
              <w:rPr>
                <w:rFonts w:ascii="Century Schoolbook" w:hAnsi="Century Schoolbook" w:eastAsiaTheme="minorHAnsi" w:cstheme="minorBidi"/>
                <w:sz w:val="26"/>
                <w:szCs w:val="22"/>
                <w:lang w:val="en-US" w:eastAsia="en-US" w:bidi="ar-SA"/>
              </w:rPr>
              <w:t xml:space="preserve"> County</w:t>
            </w:r>
            <w:r w:rsidR="00B80BF3">
              <w:rPr>
                <w:rFonts w:ascii="Century Schoolbook" w:hAnsi="Century Schoolbook" w:eastAsiaTheme="minorHAnsi" w:cstheme="minorBidi"/>
                <w:sz w:val="26"/>
                <w:szCs w:val="22"/>
                <w:lang w:val="en-US" w:eastAsia="en-US" w:bidi="ar-SA"/>
              </w:rPr>
              <w:t xml:space="preserve"> </w:t>
            </w:r>
            <w:r>
              <w:rPr>
                <w:rFonts w:ascii="Century Schoolbook" w:hAnsi="Century Schoolbook" w:eastAsiaTheme="minorHAnsi" w:cstheme="minorBidi"/>
                <w:sz w:val="26"/>
                <w:szCs w:val="22"/>
                <w:lang w:val="en-US" w:eastAsia="en-US" w:bidi="ar-SA"/>
              </w:rPr>
              <w:t xml:space="preserve">Super. Ct. </w:t>
            </w:r>
          </w:p>
          <w:p w:rsidR="002C1BB9" w:rsidP="009C5680" w14:paraId="2C9A57CC" w14:textId="06A1D614">
            <w:pPr>
              <w:tabs>
                <w:tab w:val="left" w:pos="433"/>
                <w:tab w:val="clear" w:pos="720"/>
              </w:tabs>
              <w:spacing w:after="0" w:line="240" w:lineRule="auto"/>
              <w:ind w:left="-17"/>
              <w:rPr>
                <w:rStyle w:val="DefaultParagraphFont"/>
                <w:rFonts w:ascii="Century Schoolbook" w:hAnsi="Century Schoolbook" w:eastAsiaTheme="minorHAnsi" w:cstheme="minorBidi"/>
                <w:sz w:val="26"/>
                <w:szCs w:val="22"/>
                <w:lang w:val="en-US" w:eastAsia="en-US" w:bidi="ar-SA"/>
              </w:rPr>
            </w:pPr>
            <w:r>
              <w:rPr>
                <w:rFonts w:ascii="Century Schoolbook" w:hAnsi="Century Schoolbook" w:eastAsiaTheme="minorHAnsi" w:cstheme="minorBidi"/>
                <w:sz w:val="26"/>
                <w:szCs w:val="22"/>
                <w:lang w:val="en-US" w:eastAsia="en-US" w:bidi="ar-SA"/>
              </w:rPr>
              <w:t xml:space="preserve"> </w:t>
            </w:r>
            <w:r w:rsidR="00B80BF3">
              <w:rPr>
                <w:rFonts w:ascii="Century Schoolbook" w:hAnsi="Century Schoolbook" w:eastAsiaTheme="minorHAnsi" w:cstheme="minorBidi"/>
                <w:sz w:val="26"/>
                <w:szCs w:val="22"/>
                <w:lang w:val="en-US" w:eastAsia="en-US" w:bidi="ar-SA"/>
              </w:rPr>
              <w:t xml:space="preserve">   </w:t>
            </w:r>
            <w:r>
              <w:rPr>
                <w:rFonts w:ascii="Century Schoolbook" w:hAnsi="Century Schoolbook" w:eastAsiaTheme="minorHAnsi" w:cstheme="minorBidi"/>
                <w:sz w:val="26"/>
                <w:szCs w:val="22"/>
                <w:lang w:val="en-US" w:eastAsia="en-US" w:bidi="ar-SA"/>
              </w:rPr>
              <w:t xml:space="preserve">  No. SCUK-CVPT 18-70200)</w:t>
            </w:r>
          </w:p>
          <w:p w:rsidR="002C1BB9" w:rsidP="002C1BB9" w14:paraId="7F4C1107" w14:textId="1AA329AD">
            <w:pPr>
              <w:tabs>
                <w:tab w:val="left" w:pos="720"/>
              </w:tabs>
              <w:spacing w:after="0" w:line="240" w:lineRule="auto"/>
              <w:rPr>
                <w:rStyle w:val="DefaultParagraphFont"/>
                <w:rFonts w:ascii="Century Schoolbook" w:hAnsi="Century Schoolbook" w:eastAsiaTheme="minorHAnsi" w:cstheme="minorBidi"/>
                <w:sz w:val="26"/>
                <w:szCs w:val="22"/>
                <w:lang w:val="en-US" w:eastAsia="en-US" w:bidi="ar-SA"/>
              </w:rPr>
            </w:pPr>
          </w:p>
        </w:tc>
      </w:tr>
    </w:tbl>
    <w:p w:rsidR="00AB4B3A" w:rsidP="002514EA" w14:paraId="49406C6C" w14:textId="024CFE9E">
      <w:pPr>
        <w:spacing w:before="240" w:line="360" w:lineRule="auto"/>
      </w:pPr>
      <w:r>
        <w:tab/>
      </w:r>
      <w:r w:rsidR="00BA18EA">
        <w:t>Real Party in Interest</w:t>
      </w:r>
      <w:r w:rsidR="00821C4A">
        <w:t xml:space="preserve"> Ukiah Rifle and Pistol Club</w:t>
      </w:r>
      <w:r w:rsidR="00A60944">
        <w:t>, Inc.</w:t>
      </w:r>
      <w:r w:rsidR="00821C4A">
        <w:t xml:space="preserve"> (Club) operates a shooting range on </w:t>
      </w:r>
      <w:r w:rsidR="00F255B3">
        <w:t>land</w:t>
      </w:r>
      <w:r w:rsidR="00A73F5B">
        <w:t xml:space="preserve"> it leases from the </w:t>
      </w:r>
      <w:bookmarkStart w:id="0" w:name="_Hlk162614453"/>
      <w:r w:rsidR="00A73F5B">
        <w:t xml:space="preserve">City of Ukiah </w:t>
      </w:r>
      <w:bookmarkEnd w:id="0"/>
      <w:r w:rsidR="00A73F5B">
        <w:t>(City)</w:t>
      </w:r>
      <w:r w:rsidR="00FE5487">
        <w:t>.</w:t>
      </w:r>
      <w:r w:rsidR="00E416AF">
        <w:t xml:space="preserve"> </w:t>
      </w:r>
      <w:r w:rsidR="00FE5487">
        <w:t xml:space="preserve"> </w:t>
      </w:r>
      <w:r w:rsidR="00FC47D7">
        <w:t>T</w:t>
      </w:r>
      <w:r w:rsidR="00E416AF">
        <w:t>he property</w:t>
      </w:r>
      <w:r w:rsidR="00FC47D7">
        <w:t>, although</w:t>
      </w:r>
      <w:r w:rsidR="00FE5487">
        <w:t xml:space="preserve"> owned by the City, </w:t>
      </w:r>
      <w:r w:rsidR="00A56685">
        <w:t>is located</w:t>
      </w:r>
      <w:r w:rsidR="00113691">
        <w:t xml:space="preserve"> in</w:t>
      </w:r>
      <w:r w:rsidR="001642B6">
        <w:t xml:space="preserve"> an unincorporated area of Mendocino County (County)</w:t>
      </w:r>
      <w:r w:rsidR="00981CE6">
        <w:t xml:space="preserve">.  </w:t>
      </w:r>
      <w:r w:rsidR="00910188">
        <w:t xml:space="preserve">Half a mile from the Club </w:t>
      </w:r>
      <w:r w:rsidR="00933260">
        <w:t>lies</w:t>
      </w:r>
      <w:r w:rsidR="00910188">
        <w:t xml:space="preserve"> </w:t>
      </w:r>
      <w:bookmarkStart w:id="1" w:name="_Hlk162614408"/>
      <w:r w:rsidR="00E03011">
        <w:t>Vichy Springs Resort, Inc</w:t>
      </w:r>
      <w:r w:rsidR="00103890">
        <w:t>.</w:t>
      </w:r>
      <w:r w:rsidR="00E03011">
        <w:t xml:space="preserve"> </w:t>
      </w:r>
      <w:bookmarkEnd w:id="1"/>
      <w:r w:rsidR="00E03011">
        <w:t>(Vichy)</w:t>
      </w:r>
      <w:r w:rsidR="009E5294">
        <w:t>, a mineral springs resort and spa</w:t>
      </w:r>
      <w:r w:rsidR="004A2933">
        <w:t xml:space="preserve">. </w:t>
      </w:r>
      <w:r w:rsidR="00E76B1C">
        <w:t xml:space="preserve"> </w:t>
      </w:r>
      <w:r w:rsidR="00304A50">
        <w:t>Faced with</w:t>
      </w:r>
      <w:r w:rsidR="00CF66A0">
        <w:t xml:space="preserve"> </w:t>
      </w:r>
      <w:r w:rsidR="00220DDE">
        <w:t xml:space="preserve">uncertainty </w:t>
      </w:r>
      <w:r w:rsidR="001F02DB">
        <w:t>about</w:t>
      </w:r>
      <w:r w:rsidR="0069013D">
        <w:t xml:space="preserve"> whether or to what extent</w:t>
      </w:r>
      <w:r w:rsidR="00E76B1C">
        <w:t xml:space="preserve"> the City </w:t>
      </w:r>
      <w:r w:rsidR="00CC32DF">
        <w:t xml:space="preserve">or </w:t>
      </w:r>
      <w:r w:rsidR="00E76B1C">
        <w:t>the County</w:t>
      </w:r>
      <w:r w:rsidR="00E03011">
        <w:t xml:space="preserve"> </w:t>
      </w:r>
      <w:r w:rsidR="002D6FE2">
        <w:t>ha</w:t>
      </w:r>
      <w:r w:rsidR="00EC73BB">
        <w:t>s</w:t>
      </w:r>
      <w:r w:rsidR="002D6FE2">
        <w:t xml:space="preserve"> regulatory authority over </w:t>
      </w:r>
      <w:r w:rsidR="00C3299E">
        <w:t xml:space="preserve">the </w:t>
      </w:r>
      <w:r w:rsidR="00EF0251">
        <w:t xml:space="preserve">Club’s </w:t>
      </w:r>
      <w:r w:rsidR="00B23801">
        <w:t>activities</w:t>
      </w:r>
      <w:r w:rsidR="00CA0073">
        <w:t xml:space="preserve">, </w:t>
      </w:r>
      <w:r w:rsidR="00723390">
        <w:t xml:space="preserve">Vichy sued both entities </w:t>
      </w:r>
      <w:r w:rsidR="00B10782">
        <w:t>regarding</w:t>
      </w:r>
      <w:r w:rsidR="00A97564">
        <w:t xml:space="preserve"> the Club’s planned </w:t>
      </w:r>
      <w:r w:rsidR="00CA0073">
        <w:t>demoli</w:t>
      </w:r>
      <w:r w:rsidR="00E96113">
        <w:t>tion of</w:t>
      </w:r>
      <w:r w:rsidR="00CA0073">
        <w:t xml:space="preserve"> its existing main shooting range and construct</w:t>
      </w:r>
      <w:r w:rsidR="00E96113">
        <w:t>ion of</w:t>
      </w:r>
      <w:r w:rsidR="00CA0073">
        <w:t xml:space="preserve"> a new range</w:t>
      </w:r>
      <w:r w:rsidR="00BF647E">
        <w:t xml:space="preserve"> (Project)</w:t>
      </w:r>
      <w:r w:rsidR="00DA5C9E">
        <w:t xml:space="preserve">, </w:t>
      </w:r>
      <w:r w:rsidR="00BF647E">
        <w:t xml:space="preserve">which </w:t>
      </w:r>
      <w:r w:rsidR="004705EB">
        <w:t>Vichy contended would have significant environmental impacts</w:t>
      </w:r>
      <w:r w:rsidR="001C4E57">
        <w:t xml:space="preserve"> </w:t>
      </w:r>
      <w:r w:rsidR="000D3FE3">
        <w:t>such as</w:t>
      </w:r>
      <w:r w:rsidR="00156512">
        <w:t xml:space="preserve"> </w:t>
      </w:r>
      <w:r w:rsidR="00D134B3">
        <w:t xml:space="preserve">lead contamination and </w:t>
      </w:r>
      <w:r w:rsidR="001C4E57">
        <w:t xml:space="preserve">increased </w:t>
      </w:r>
      <w:r w:rsidR="001C4E57">
        <w:t>noise and traffic</w:t>
      </w:r>
      <w:r w:rsidR="00CA0073">
        <w:t>.</w:t>
      </w:r>
      <w:r w:rsidR="004704FB">
        <w:t xml:space="preserve"> </w:t>
      </w:r>
      <w:r w:rsidR="009F4A9D">
        <w:t xml:space="preserve"> </w:t>
      </w:r>
      <w:r w:rsidR="004704FB">
        <w:t xml:space="preserve">While the </w:t>
      </w:r>
      <w:r w:rsidR="001D6C8C">
        <w:t>case</w:t>
      </w:r>
      <w:r w:rsidR="004704FB">
        <w:t xml:space="preserve"> </w:t>
      </w:r>
      <w:r w:rsidR="003974B0">
        <w:t>was</w:t>
      </w:r>
      <w:r w:rsidR="004704FB">
        <w:t xml:space="preserve"> pending</w:t>
      </w:r>
      <w:r w:rsidR="00133B69">
        <w:t xml:space="preserve"> in the trial court</w:t>
      </w:r>
      <w:r w:rsidR="004704FB">
        <w:t xml:space="preserve">, the Club completed </w:t>
      </w:r>
      <w:r w:rsidR="00EE1F45">
        <w:t xml:space="preserve">the </w:t>
      </w:r>
      <w:r w:rsidR="004459FE">
        <w:t>P</w:t>
      </w:r>
      <w:r w:rsidR="00EE1F45">
        <w:t>roject</w:t>
      </w:r>
      <w:r w:rsidR="004D7324">
        <w:t>—</w:t>
      </w:r>
      <w:r w:rsidR="006034F3">
        <w:t xml:space="preserve">Vichy did not </w:t>
      </w:r>
      <w:r w:rsidR="004C229B">
        <w:t>ask the court</w:t>
      </w:r>
      <w:r w:rsidR="00893BAB">
        <w:t xml:space="preserve"> to enjoin </w:t>
      </w:r>
      <w:r w:rsidR="00B86B3B">
        <w:t>it</w:t>
      </w:r>
      <w:r w:rsidR="004D7324">
        <w:t>—</w:t>
      </w:r>
      <w:r w:rsidR="004704FB">
        <w:t xml:space="preserve">and the City and the County entered into </w:t>
      </w:r>
      <w:r w:rsidR="00A47D01">
        <w:t>an Agreement for Shared Exercise of Land Use and California Building Code Authority under the Joint Exercise of Powers Act, Gov</w:t>
      </w:r>
      <w:r w:rsidR="00844DEE">
        <w:t>ernment</w:t>
      </w:r>
      <w:r w:rsidR="00A47D01">
        <w:t xml:space="preserve"> Code </w:t>
      </w:r>
      <w:r w:rsidR="00844DEE">
        <w:t>sections</w:t>
      </w:r>
      <w:r w:rsidR="004333B9">
        <w:t> </w:t>
      </w:r>
      <w:r w:rsidR="00A47D01">
        <w:t xml:space="preserve">6500 et seq, (the Joint Powers Agreement or Agreement) with respect to </w:t>
      </w:r>
      <w:r w:rsidR="001C731C">
        <w:t xml:space="preserve">the </w:t>
      </w:r>
      <w:r w:rsidR="005A49AD">
        <w:t xml:space="preserve">Club’s </w:t>
      </w:r>
      <w:r w:rsidR="00EC71EF">
        <w:t xml:space="preserve">activities. </w:t>
      </w:r>
      <w:r w:rsidR="009F4A9D">
        <w:t xml:space="preserve"> </w:t>
      </w:r>
      <w:r w:rsidR="00EF4858">
        <w:t>Ultimately, a</w:t>
      </w:r>
      <w:r w:rsidR="001C731C">
        <w:t xml:space="preserve">fter several rounds </w:t>
      </w:r>
      <w:r w:rsidR="00EF4858">
        <w:t>of motions</w:t>
      </w:r>
      <w:r w:rsidR="00232C76">
        <w:t xml:space="preserve">, the trial court entered </w:t>
      </w:r>
      <w:r w:rsidR="00F554F6">
        <w:t xml:space="preserve">judgment in favor of the City and </w:t>
      </w:r>
      <w:r w:rsidR="009F6792">
        <w:t xml:space="preserve">the </w:t>
      </w:r>
      <w:r w:rsidR="00F554F6">
        <w:t>County on</w:t>
      </w:r>
      <w:r w:rsidR="009F6792">
        <w:t xml:space="preserve"> Vichy’s</w:t>
      </w:r>
      <w:r w:rsidR="00F554F6">
        <w:t xml:space="preserve"> </w:t>
      </w:r>
      <w:r w:rsidR="00E11E83">
        <w:t>S</w:t>
      </w:r>
      <w:r w:rsidR="00C4735C">
        <w:t xml:space="preserve">econd </w:t>
      </w:r>
      <w:r w:rsidR="00E11E83">
        <w:t>A</w:t>
      </w:r>
      <w:r w:rsidR="00C4735C">
        <w:t xml:space="preserve">mended </w:t>
      </w:r>
      <w:r w:rsidR="00E11E83">
        <w:t>P</w:t>
      </w:r>
      <w:r w:rsidR="003E7A4B">
        <w:t>etition</w:t>
      </w:r>
      <w:r w:rsidR="00F554F6">
        <w:t xml:space="preserve"> for </w:t>
      </w:r>
      <w:r w:rsidR="00E11E83">
        <w:t>W</w:t>
      </w:r>
      <w:r w:rsidR="003E7A4B">
        <w:t xml:space="preserve">rit of </w:t>
      </w:r>
      <w:r w:rsidR="00E11E83">
        <w:t>M</w:t>
      </w:r>
      <w:r w:rsidR="003E7A4B">
        <w:t xml:space="preserve">andate and </w:t>
      </w:r>
      <w:r w:rsidR="00E11E83">
        <w:t>C</w:t>
      </w:r>
      <w:r w:rsidR="003E7A4B">
        <w:t xml:space="preserve">omplaint for </w:t>
      </w:r>
      <w:r w:rsidR="00E11E83">
        <w:t>D</w:t>
      </w:r>
      <w:r w:rsidR="00C4735C">
        <w:t xml:space="preserve">eclaratory and </w:t>
      </w:r>
      <w:r w:rsidR="00E11E83">
        <w:t>I</w:t>
      </w:r>
      <w:r w:rsidR="00C4735C">
        <w:t xml:space="preserve">njunctive </w:t>
      </w:r>
      <w:r w:rsidR="00E11E83">
        <w:t>R</w:t>
      </w:r>
      <w:r w:rsidR="00C4735C">
        <w:t>elief (Petition)</w:t>
      </w:r>
      <w:r w:rsidR="00B52C99">
        <w:t>.</w:t>
      </w:r>
      <w:r w:rsidR="00C12794">
        <w:t xml:space="preserve"> </w:t>
      </w:r>
      <w:r w:rsidR="009F4A9D">
        <w:t xml:space="preserve"> </w:t>
      </w:r>
      <w:r w:rsidR="008A0FCA">
        <w:t>The</w:t>
      </w:r>
      <w:r w:rsidR="00C12794">
        <w:t xml:space="preserve"> trial court </w:t>
      </w:r>
      <w:r w:rsidR="008A0FCA">
        <w:t xml:space="preserve">then </w:t>
      </w:r>
      <w:r w:rsidR="00C12794">
        <w:t>denied Vichy’s motion for attorneys’ fees</w:t>
      </w:r>
      <w:r w:rsidR="00B52C99">
        <w:t xml:space="preserve"> </w:t>
      </w:r>
      <w:r w:rsidR="00A47D01">
        <w:t xml:space="preserve">under </w:t>
      </w:r>
      <w:r w:rsidR="00D02005">
        <w:t>Code of Civil Procedure section</w:t>
      </w:r>
      <w:r w:rsidR="004333B9">
        <w:t> </w:t>
      </w:r>
      <w:r w:rsidR="00D02005">
        <w:t>1021.5</w:t>
      </w:r>
      <w:r w:rsidR="00304459">
        <w:t>,</w:t>
      </w:r>
      <w:r w:rsidR="00D02005">
        <w:t xml:space="preserve"> </w:t>
      </w:r>
      <w:r w:rsidR="000C1248">
        <w:t>rejecting Vichy’s argument</w:t>
      </w:r>
      <w:r w:rsidR="00A47D01">
        <w:t xml:space="preserve"> that th</w:t>
      </w:r>
      <w:r w:rsidR="00304459">
        <w:t>e</w:t>
      </w:r>
      <w:r w:rsidR="00A47D01">
        <w:t xml:space="preserve"> </w:t>
      </w:r>
      <w:r w:rsidR="003A3ECA">
        <w:t>lawsuit</w:t>
      </w:r>
      <w:r w:rsidR="00A47D01">
        <w:t xml:space="preserve"> was the “catalyst” for the </w:t>
      </w:r>
      <w:r w:rsidR="008A0FCA">
        <w:t>establishment</w:t>
      </w:r>
      <w:r w:rsidR="00A47D01">
        <w:t xml:space="preserve"> of the Joint Powers Agreement.</w:t>
      </w:r>
    </w:p>
    <w:p w:rsidR="007F3357" w:rsidP="002C1BB9" w14:paraId="3B3BD620" w14:textId="0BE7DF74">
      <w:pPr>
        <w:spacing w:line="360" w:lineRule="auto"/>
      </w:pPr>
      <w:r>
        <w:tab/>
        <w:t xml:space="preserve">On appeal, </w:t>
      </w:r>
      <w:r w:rsidR="00C4735C">
        <w:t xml:space="preserve">Vichy contends the trial court erred </w:t>
      </w:r>
      <w:r w:rsidR="0058005C">
        <w:t xml:space="preserve">by </w:t>
      </w:r>
      <w:r w:rsidR="00B67644">
        <w:t>(1)</w:t>
      </w:r>
      <w:r w:rsidR="004333B9">
        <w:t> </w:t>
      </w:r>
      <w:r w:rsidR="0058005C">
        <w:t xml:space="preserve">sustaining without leave to amend </w:t>
      </w:r>
      <w:r w:rsidR="009D3351">
        <w:t xml:space="preserve">demurrers to </w:t>
      </w:r>
      <w:r w:rsidR="00B95501">
        <w:t xml:space="preserve">the </w:t>
      </w:r>
      <w:r w:rsidR="0058005C">
        <w:t xml:space="preserve">causes of action </w:t>
      </w:r>
      <w:r w:rsidR="00961EAE">
        <w:t xml:space="preserve">alleging that the City and the County failed to comply with the </w:t>
      </w:r>
      <w:r w:rsidRPr="00A00EB6" w:rsidR="00A00EB6">
        <w:t>California Environmental Quality Act (CEQA) (Pub. Resources Code, §</w:t>
      </w:r>
      <w:r w:rsidR="004333B9">
        <w:t> </w:t>
      </w:r>
      <w:r w:rsidRPr="00A00EB6" w:rsidR="00A00EB6">
        <w:t>21000 et seq.</w:t>
      </w:r>
      <w:r w:rsidR="00FE035D">
        <w:t xml:space="preserve">; future undesignated </w:t>
      </w:r>
      <w:r w:rsidR="00CD3933">
        <w:t>statutory references are to this code</w:t>
      </w:r>
      <w:r w:rsidRPr="00A00EB6" w:rsidR="00A00EB6">
        <w:t>)</w:t>
      </w:r>
      <w:r w:rsidR="005242F6">
        <w:t xml:space="preserve"> and their respective General Plans and local ordinances</w:t>
      </w:r>
      <w:r w:rsidR="00A24C9C">
        <w:t>; (2)</w:t>
      </w:r>
      <w:r w:rsidR="00A10E33">
        <w:t> </w:t>
      </w:r>
      <w:r w:rsidR="00A24C9C">
        <w:t xml:space="preserve">granting </w:t>
      </w:r>
      <w:r w:rsidR="00671F20">
        <w:t xml:space="preserve">the Club’s motion to strike </w:t>
      </w:r>
      <w:r w:rsidR="00986F3C">
        <w:t xml:space="preserve">allegations </w:t>
      </w:r>
      <w:r w:rsidR="00DE10DC">
        <w:t>related to</w:t>
      </w:r>
      <w:r w:rsidR="00986F3C">
        <w:t xml:space="preserve"> its lease with the City;</w:t>
      </w:r>
      <w:r w:rsidR="00B67644">
        <w:t xml:space="preserve"> and (</w:t>
      </w:r>
      <w:r w:rsidR="00986F3C">
        <w:t>3</w:t>
      </w:r>
      <w:r w:rsidR="00B67644">
        <w:t>)</w:t>
      </w:r>
      <w:r w:rsidR="00A10E33">
        <w:t> </w:t>
      </w:r>
      <w:r w:rsidR="0036318F">
        <w:t>granting the City</w:t>
      </w:r>
      <w:r w:rsidR="00F01BC0">
        <w:t>’s</w:t>
      </w:r>
      <w:r w:rsidR="0036318F">
        <w:t xml:space="preserve"> and the County’s motion for judgment on the pleadings </w:t>
      </w:r>
      <w:r w:rsidR="00B51663">
        <w:t>on</w:t>
      </w:r>
      <w:r w:rsidR="0036318F">
        <w:t xml:space="preserve"> Vichy’s claim for declaratory relief</w:t>
      </w:r>
      <w:r w:rsidR="007344BF">
        <w:t xml:space="preserve"> on the ground</w:t>
      </w:r>
      <w:r w:rsidR="00F02589">
        <w:t xml:space="preserve"> that </w:t>
      </w:r>
      <w:r w:rsidR="007344BF">
        <w:t>it</w:t>
      </w:r>
      <w:r w:rsidR="002015FB">
        <w:t xml:space="preserve"> </w:t>
      </w:r>
      <w:r w:rsidR="00F02589">
        <w:t>was moot</w:t>
      </w:r>
      <w:r w:rsidR="0097482E">
        <w:t>ed by the Joint Powers Agreement</w:t>
      </w:r>
      <w:r w:rsidR="0036318F">
        <w:t>.</w:t>
      </w:r>
      <w:r w:rsidR="009F4A9D">
        <w:t xml:space="preserve"> </w:t>
      </w:r>
      <w:r w:rsidR="0036318F">
        <w:t xml:space="preserve"> </w:t>
      </w:r>
      <w:r w:rsidR="00387CDB">
        <w:t xml:space="preserve">Vichy </w:t>
      </w:r>
      <w:r w:rsidR="00F5759C">
        <w:t xml:space="preserve">also </w:t>
      </w:r>
      <w:r w:rsidR="00387CDB">
        <w:t>contends the court erred in denying its motion for attorneys’ fees</w:t>
      </w:r>
      <w:r w:rsidR="00B84088">
        <w:t>.</w:t>
      </w:r>
      <w:r w:rsidR="008535F9">
        <w:t xml:space="preserve"> </w:t>
      </w:r>
      <w:r w:rsidR="009F4A9D">
        <w:t xml:space="preserve"> </w:t>
      </w:r>
    </w:p>
    <w:p w:rsidR="00DF21D3" w:rsidP="002C1BB9" w14:paraId="210E9A83" w14:textId="3A03758C">
      <w:pPr>
        <w:spacing w:line="360" w:lineRule="auto"/>
      </w:pPr>
      <w:r>
        <w:tab/>
      </w:r>
      <w:r w:rsidR="0011229A">
        <w:t>W</w:t>
      </w:r>
      <w:r w:rsidR="008913A0">
        <w:t>e find no error in</w:t>
      </w:r>
      <w:r w:rsidR="003A3189">
        <w:t>sofar as</w:t>
      </w:r>
      <w:r w:rsidR="008913A0">
        <w:t xml:space="preserve"> the trial </w:t>
      </w:r>
      <w:r w:rsidR="003A3189">
        <w:t>court sustained the demurrer to</w:t>
      </w:r>
      <w:r w:rsidR="00C67A68">
        <w:t xml:space="preserve"> the second and third causes of action against the City</w:t>
      </w:r>
      <w:r w:rsidR="004A364D">
        <w:t xml:space="preserve"> (for alleged violations of </w:t>
      </w:r>
      <w:r w:rsidR="00330B74">
        <w:t>local law</w:t>
      </w:r>
      <w:r w:rsidR="005C4F32">
        <w:t xml:space="preserve"> in issuing </w:t>
      </w:r>
      <w:r w:rsidR="00DB204E">
        <w:t>a building permit</w:t>
      </w:r>
      <w:r w:rsidR="004A364D">
        <w:t>)</w:t>
      </w:r>
      <w:r w:rsidR="00C67A68">
        <w:t xml:space="preserve">, </w:t>
      </w:r>
      <w:r w:rsidR="00D25542">
        <w:t>and</w:t>
      </w:r>
      <w:r w:rsidR="00844FF5">
        <w:t xml:space="preserve"> insofar as it</w:t>
      </w:r>
      <w:r w:rsidR="00D25542">
        <w:t xml:space="preserve"> </w:t>
      </w:r>
      <w:r w:rsidR="004A728A">
        <w:t>found that</w:t>
      </w:r>
      <w:r w:rsidR="00D25542">
        <w:t xml:space="preserve"> </w:t>
      </w:r>
      <w:r w:rsidR="00514F1C">
        <w:t xml:space="preserve">the </w:t>
      </w:r>
      <w:r w:rsidR="005C5FF9">
        <w:t xml:space="preserve">claim for </w:t>
      </w:r>
      <w:r w:rsidR="00514F1C">
        <w:t>declaratory relief</w:t>
      </w:r>
      <w:r w:rsidR="004A728A">
        <w:t xml:space="preserve"> was moot</w:t>
      </w:r>
      <w:r w:rsidR="00FF1C1D">
        <w:t xml:space="preserve">. </w:t>
      </w:r>
      <w:r w:rsidR="009F4A9D">
        <w:t xml:space="preserve"> </w:t>
      </w:r>
      <w:r w:rsidR="00FF1C1D">
        <w:t>We conclude</w:t>
      </w:r>
      <w:r w:rsidR="00E320A8">
        <w:t>,</w:t>
      </w:r>
      <w:r w:rsidR="00FF1C1D">
        <w:t xml:space="preserve"> however, that the </w:t>
      </w:r>
      <w:r w:rsidR="00867EDB">
        <w:t xml:space="preserve">trial court erred in granting the motion to strike, </w:t>
      </w:r>
      <w:r w:rsidR="00A15A67">
        <w:t xml:space="preserve">and that the </w:t>
      </w:r>
      <w:r w:rsidR="003C093A">
        <w:t xml:space="preserve">Petition sufficiently alleges </w:t>
      </w:r>
      <w:r w:rsidR="006E5726">
        <w:t xml:space="preserve">that both the </w:t>
      </w:r>
      <w:r w:rsidR="003C6003">
        <w:t xml:space="preserve">City and the County violated CEQA and the County abused its discretion </w:t>
      </w:r>
      <w:r w:rsidR="00570DBB">
        <w:t xml:space="preserve">in </w:t>
      </w:r>
      <w:r w:rsidR="0087638F">
        <w:t>determining</w:t>
      </w:r>
      <w:r w:rsidR="00570DBB">
        <w:t xml:space="preserve"> it had no regulatory </w:t>
      </w:r>
      <w:r w:rsidR="002B3622">
        <w:t>authority</w:t>
      </w:r>
      <w:r w:rsidR="00570DBB">
        <w:t xml:space="preserve"> over the Club’s Project. </w:t>
      </w:r>
      <w:r w:rsidR="00BD4BDB">
        <w:t xml:space="preserve"> </w:t>
      </w:r>
      <w:r w:rsidR="00CC50EF">
        <w:t xml:space="preserve">Accordingly, </w:t>
      </w:r>
      <w:r w:rsidR="0030213A">
        <w:t xml:space="preserve">we </w:t>
      </w:r>
      <w:r w:rsidR="00F91B70">
        <w:t xml:space="preserve">reverse the judgment </w:t>
      </w:r>
      <w:r w:rsidR="00CC50EF">
        <w:t>and remand for further proceedings</w:t>
      </w:r>
      <w:r w:rsidR="00A251F3">
        <w:t xml:space="preserve">. </w:t>
      </w:r>
      <w:r w:rsidR="009F4A9D">
        <w:t xml:space="preserve"> </w:t>
      </w:r>
      <w:r w:rsidR="00F91B70">
        <w:t>I</w:t>
      </w:r>
      <w:r w:rsidR="000910FD">
        <w:t xml:space="preserve">n light of our reversal of the judgment, </w:t>
      </w:r>
      <w:r w:rsidR="00DA2C95">
        <w:t xml:space="preserve">we will dismiss </w:t>
      </w:r>
      <w:r w:rsidR="00845088">
        <w:t xml:space="preserve">Vichy’s </w:t>
      </w:r>
      <w:r w:rsidR="00112AC4">
        <w:t>appeal of</w:t>
      </w:r>
      <w:r w:rsidR="00845088">
        <w:t xml:space="preserve"> </w:t>
      </w:r>
      <w:r w:rsidR="00814959">
        <w:t xml:space="preserve">the order </w:t>
      </w:r>
      <w:r w:rsidR="002B5572">
        <w:t>den</w:t>
      </w:r>
      <w:r w:rsidR="00814959">
        <w:t>ying</w:t>
      </w:r>
      <w:r w:rsidR="002B5572">
        <w:t xml:space="preserve"> </w:t>
      </w:r>
      <w:r w:rsidR="00814959">
        <w:t>the</w:t>
      </w:r>
      <w:r w:rsidR="002B5572">
        <w:t xml:space="preserve"> motion for attorneys’ fees. </w:t>
      </w:r>
      <w:r w:rsidR="00FB22CC">
        <w:t xml:space="preserve"> </w:t>
      </w:r>
    </w:p>
    <w:p w:rsidR="00DF21D3" w:rsidRPr="00FB3715" w:rsidP="00152246" w14:paraId="69E7AB8C" w14:textId="24EE19D9">
      <w:pPr>
        <w:keepNext/>
        <w:spacing w:line="360" w:lineRule="auto"/>
        <w:jc w:val="center"/>
        <w:rPr>
          <w:smallCaps/>
        </w:rPr>
      </w:pPr>
      <w:r w:rsidRPr="00FB3715">
        <w:rPr>
          <w:b/>
          <w:smallCaps/>
        </w:rPr>
        <w:t>BACKGROUND</w:t>
      </w:r>
    </w:p>
    <w:p w:rsidR="00086EF7" w:rsidP="00104643" w14:paraId="715AC039" w14:textId="68350B1F">
      <w:pPr>
        <w:spacing w:line="360" w:lineRule="auto"/>
      </w:pPr>
      <w:r>
        <w:tab/>
      </w:r>
      <w:r w:rsidR="0089532A">
        <w:t>I</w:t>
      </w:r>
      <w:r>
        <w:t xml:space="preserve">n </w:t>
      </w:r>
      <w:r w:rsidR="0089532A">
        <w:t xml:space="preserve">January 2018, </w:t>
      </w:r>
      <w:r w:rsidR="00B53E0E">
        <w:t xml:space="preserve">Vichy </w:t>
      </w:r>
      <w:r w:rsidR="00EC5F74">
        <w:t>sued</w:t>
      </w:r>
      <w:r w:rsidR="00242A11">
        <w:t xml:space="preserve"> to </w:t>
      </w:r>
      <w:r w:rsidR="00C733B5">
        <w:t>(1)</w:t>
      </w:r>
      <w:r w:rsidR="00A10E33">
        <w:t> </w:t>
      </w:r>
      <w:r w:rsidR="00242A11">
        <w:t xml:space="preserve">set aside </w:t>
      </w:r>
      <w:r w:rsidR="006530C7">
        <w:t xml:space="preserve">the </w:t>
      </w:r>
      <w:r w:rsidR="00242A11">
        <w:t>building permit issued</w:t>
      </w:r>
      <w:r w:rsidR="00EB5E66">
        <w:t xml:space="preserve"> by the City</w:t>
      </w:r>
      <w:r w:rsidR="00242A11">
        <w:t xml:space="preserve"> in December</w:t>
      </w:r>
      <w:r w:rsidR="00A10E33">
        <w:t> </w:t>
      </w:r>
      <w:r w:rsidR="00242A11">
        <w:t>2017</w:t>
      </w:r>
      <w:r w:rsidR="00EB5E66">
        <w:t xml:space="preserve"> </w:t>
      </w:r>
      <w:r w:rsidR="00FD504B">
        <w:t xml:space="preserve">authorizing the demolition of the Club’s existing main </w:t>
      </w:r>
      <w:r w:rsidR="00545F0A">
        <w:t xml:space="preserve">shooting </w:t>
      </w:r>
      <w:r w:rsidR="00FD504B">
        <w:t>range and construction of a new range</w:t>
      </w:r>
      <w:r w:rsidR="009C36B3">
        <w:t>,</w:t>
      </w:r>
      <w:r w:rsidR="00463837">
        <w:t xml:space="preserve"> </w:t>
      </w:r>
      <w:r w:rsidR="00A47AF1">
        <w:t xml:space="preserve">and </w:t>
      </w:r>
      <w:r w:rsidR="00C733B5">
        <w:t>(2)</w:t>
      </w:r>
      <w:r w:rsidR="00A10E33">
        <w:t> </w:t>
      </w:r>
      <w:r w:rsidR="00910909">
        <w:t xml:space="preserve">enjoin operation of all unauthorized </w:t>
      </w:r>
      <w:r w:rsidR="00A312C4">
        <w:t>and</w:t>
      </w:r>
      <w:r w:rsidR="00910909">
        <w:t xml:space="preserve"> improperly authorized activity at the Club until </w:t>
      </w:r>
      <w:r w:rsidR="00A47AF1">
        <w:t xml:space="preserve">the City and the County </w:t>
      </w:r>
      <w:r w:rsidR="00A312C4">
        <w:t xml:space="preserve">have </w:t>
      </w:r>
      <w:r w:rsidR="00E320A8">
        <w:t xml:space="preserve">properly </w:t>
      </w:r>
      <w:r w:rsidR="00174594">
        <w:t>exercise</w:t>
      </w:r>
      <w:r w:rsidR="00A312C4">
        <w:t>d</w:t>
      </w:r>
      <w:r w:rsidR="00174594">
        <w:t xml:space="preserve"> their </w:t>
      </w:r>
      <w:r w:rsidR="00BF4DA0">
        <w:t xml:space="preserve">regulatory </w:t>
      </w:r>
      <w:r w:rsidR="00B56A6F">
        <w:t xml:space="preserve">authority </w:t>
      </w:r>
      <w:r w:rsidR="00BF4DA0">
        <w:t xml:space="preserve">over </w:t>
      </w:r>
      <w:r w:rsidR="00C733B5">
        <w:t>the Club</w:t>
      </w:r>
      <w:r w:rsidR="00737A66">
        <w:t xml:space="preserve">’s </w:t>
      </w:r>
      <w:r w:rsidR="00BF4DA0">
        <w:t>use of the property</w:t>
      </w:r>
      <w:r w:rsidR="00910909">
        <w:t xml:space="preserve"> and </w:t>
      </w:r>
      <w:r w:rsidR="00C3507F">
        <w:t>issued</w:t>
      </w:r>
      <w:r w:rsidR="00910909">
        <w:t xml:space="preserve"> the necessary permits</w:t>
      </w:r>
      <w:r w:rsidR="00FD504B">
        <w:t>.</w:t>
      </w:r>
      <w:r w:rsidR="00421A93">
        <w:t xml:space="preserve"> </w:t>
      </w:r>
      <w:r w:rsidR="00D03679">
        <w:t xml:space="preserve"> </w:t>
      </w:r>
      <w:r w:rsidR="001E15E6">
        <w:t xml:space="preserve">The petition described the </w:t>
      </w:r>
      <w:r w:rsidR="00892829">
        <w:t>Project</w:t>
      </w:r>
      <w:r w:rsidR="001E15E6">
        <w:t xml:space="preserve"> as follows: </w:t>
      </w:r>
      <w:r w:rsidR="00A10E33">
        <w:t xml:space="preserve"> </w:t>
      </w:r>
      <w:r w:rsidR="001E15E6">
        <w:t xml:space="preserve">“In order to accommodate the increase in use, the </w:t>
      </w:r>
      <w:r w:rsidR="00FE7EC1">
        <w:t>Gun</w:t>
      </w:r>
      <w:r w:rsidR="001E15E6">
        <w:t xml:space="preserve"> Club </w:t>
      </w:r>
      <w:r w:rsidR="009E07F5">
        <w:t>is undertaking</w:t>
      </w:r>
      <w:r w:rsidR="001E15E6">
        <w:t xml:space="preserve"> to demolish the main range and rebuild with a different and modern structure.” </w:t>
      </w:r>
      <w:r w:rsidR="00CB1343">
        <w:t xml:space="preserve"> T</w:t>
      </w:r>
      <w:r w:rsidR="0070351F">
        <w:t xml:space="preserve">he </w:t>
      </w:r>
      <w:r w:rsidR="00CB1343">
        <w:t>petition</w:t>
      </w:r>
      <w:r w:rsidR="0070351F">
        <w:t xml:space="preserve"> also detailed an alleged </w:t>
      </w:r>
      <w:r w:rsidR="005D2747">
        <w:t>“pattern and practice of failing to regulate</w:t>
      </w:r>
      <w:r w:rsidR="003744EC">
        <w:t>”</w:t>
      </w:r>
      <w:r w:rsidR="005D2747">
        <w:t xml:space="preserve"> the Club </w:t>
      </w:r>
      <w:r w:rsidR="00FB53B7">
        <w:t>by both the City and the County</w:t>
      </w:r>
      <w:r w:rsidR="00525368">
        <w:t>,</w:t>
      </w:r>
      <w:r w:rsidR="00FB53B7">
        <w:t xml:space="preserve"> </w:t>
      </w:r>
      <w:r w:rsidR="005D2747">
        <w:t xml:space="preserve">and sought a declaration </w:t>
      </w:r>
      <w:r w:rsidR="008F482F">
        <w:t>that the property is subject to land use regulation by</w:t>
      </w:r>
      <w:r w:rsidR="00E320A8">
        <w:t xml:space="preserve"> both</w:t>
      </w:r>
      <w:r w:rsidR="008F482F">
        <w:t xml:space="preserve"> </w:t>
      </w:r>
      <w:r w:rsidR="008D704A">
        <w:t>entities</w:t>
      </w:r>
      <w:r w:rsidR="008F482F">
        <w:t>.</w:t>
      </w:r>
      <w:r w:rsidR="002A282C">
        <w:t xml:space="preserve"> </w:t>
      </w:r>
      <w:r w:rsidR="0070351F">
        <w:t xml:space="preserve"> </w:t>
      </w:r>
    </w:p>
    <w:p w:rsidR="00D61F3E" w:rsidP="008B1CCD" w14:paraId="24E1DC55" w14:textId="350CEADA">
      <w:pPr>
        <w:spacing w:line="360" w:lineRule="auto"/>
      </w:pPr>
      <w:r>
        <w:tab/>
      </w:r>
      <w:r w:rsidR="007A15E2">
        <w:t xml:space="preserve">As amended, </w:t>
      </w:r>
      <w:r w:rsidR="00E320A8">
        <w:t xml:space="preserve">the </w:t>
      </w:r>
      <w:r w:rsidR="007A15E2">
        <w:t xml:space="preserve">Petition </w:t>
      </w:r>
      <w:r w:rsidR="00E5529B">
        <w:t>alleges</w:t>
      </w:r>
      <w:r w:rsidR="00396BA4">
        <w:t xml:space="preserve"> that</w:t>
      </w:r>
      <w:r w:rsidR="00EA7831">
        <w:t xml:space="preserve"> the County </w:t>
      </w:r>
      <w:r w:rsidR="00B214AB">
        <w:t>erroneously</w:t>
      </w:r>
      <w:r w:rsidR="00EA7831">
        <w:t xml:space="preserve"> </w:t>
      </w:r>
      <w:r w:rsidR="00C47EA6">
        <w:t>determined</w:t>
      </w:r>
      <w:r w:rsidR="00EA7831">
        <w:t xml:space="preserve"> that the</w:t>
      </w:r>
      <w:r w:rsidR="00277EB7">
        <w:t xml:space="preserve"> City’s ownership of the</w:t>
      </w:r>
      <w:r w:rsidR="00EA7831">
        <w:t xml:space="preserve"> property </w:t>
      </w:r>
      <w:r w:rsidR="00F86409">
        <w:t>rendered the Club’s activities</w:t>
      </w:r>
      <w:r w:rsidR="00EA7831">
        <w:t xml:space="preserve"> immune </w:t>
      </w:r>
      <w:r w:rsidR="0077744E">
        <w:t xml:space="preserve">from </w:t>
      </w:r>
      <w:r w:rsidR="00F86409">
        <w:t>the County’s</w:t>
      </w:r>
      <w:r w:rsidR="0077744E">
        <w:t xml:space="preserve"> regulatory authority</w:t>
      </w:r>
      <w:r w:rsidR="00EA7831">
        <w:t xml:space="preserve"> under Government Code sections</w:t>
      </w:r>
      <w:r w:rsidR="0019051E">
        <w:t> </w:t>
      </w:r>
      <w:r w:rsidR="00EA7831">
        <w:t>53090 and 53091</w:t>
      </w:r>
      <w:r w:rsidR="00C828CD">
        <w:t xml:space="preserve">, which </w:t>
      </w:r>
      <w:r w:rsidR="0024567E">
        <w:t xml:space="preserve">(as relevant here) </w:t>
      </w:r>
      <w:r w:rsidR="006C5FF2">
        <w:t>exempt</w:t>
      </w:r>
      <w:r w:rsidR="00EC19CE">
        <w:t xml:space="preserve"> cities from</w:t>
      </w:r>
      <w:r w:rsidR="006C2564">
        <w:t xml:space="preserve"> a county’s building and zoning ordinances</w:t>
      </w:r>
      <w:r w:rsidR="00533C26">
        <w:t>.</w:t>
      </w:r>
      <w:r>
        <w:rPr>
          <w:rStyle w:val="FootnoteReference"/>
        </w:rPr>
        <w:footnoteReference w:id="4"/>
      </w:r>
      <w:r w:rsidR="00533C26">
        <w:t xml:space="preserve">  </w:t>
      </w:r>
      <w:r w:rsidR="00436208">
        <w:t>According to the Petition,</w:t>
      </w:r>
      <w:r w:rsidR="00E05C0F">
        <w:t xml:space="preserve"> the Club</w:t>
      </w:r>
      <w:r w:rsidR="00BD3E10">
        <w:t>’s use of</w:t>
      </w:r>
      <w:r w:rsidR="00E05C0F">
        <w:t xml:space="preserve"> the property </w:t>
      </w:r>
      <w:r w:rsidR="00BD3E10">
        <w:t xml:space="preserve">is </w:t>
      </w:r>
      <w:r w:rsidR="00E05C0F">
        <w:t>for</w:t>
      </w:r>
      <w:r w:rsidR="00BD3E10">
        <w:t xml:space="preserve"> a</w:t>
      </w:r>
      <w:r w:rsidR="00E05C0F">
        <w:t xml:space="preserve"> private purpose, and</w:t>
      </w:r>
      <w:r w:rsidR="00436208">
        <w:t xml:space="preserve"> the City’s immunity from County </w:t>
      </w:r>
      <w:r w:rsidR="00C36F2D">
        <w:t>regulation</w:t>
      </w:r>
      <w:r w:rsidR="00436208">
        <w:t xml:space="preserve"> </w:t>
      </w:r>
      <w:r w:rsidR="00297847">
        <w:t>does not extend</w:t>
      </w:r>
      <w:r w:rsidR="00436208">
        <w:t xml:space="preserve"> </w:t>
      </w:r>
      <w:r w:rsidR="005C397E">
        <w:t xml:space="preserve">to </w:t>
      </w:r>
      <w:r w:rsidR="004537DC">
        <w:t>c</w:t>
      </w:r>
      <w:r w:rsidR="005C397E">
        <w:t>ity-owned</w:t>
      </w:r>
      <w:r w:rsidR="00DF0A65">
        <w:t xml:space="preserve"> property </w:t>
      </w:r>
      <w:r w:rsidR="00CD2B3A">
        <w:t xml:space="preserve">located </w:t>
      </w:r>
      <w:r w:rsidR="00BD4D27">
        <w:t xml:space="preserve">outside its territorial jurisdiction </w:t>
      </w:r>
      <w:r w:rsidR="005C397E">
        <w:t xml:space="preserve">that is leased </w:t>
      </w:r>
      <w:r w:rsidR="00DF0A65">
        <w:t xml:space="preserve">to </w:t>
      </w:r>
      <w:r w:rsidR="00EA7831">
        <w:t xml:space="preserve">a private entity for a private purpose. </w:t>
      </w:r>
      <w:r w:rsidR="00165A6B">
        <w:t xml:space="preserve"> </w:t>
      </w:r>
      <w:r w:rsidR="00B94AE1">
        <w:t>With respect to the City</w:t>
      </w:r>
      <w:r w:rsidR="00431F54">
        <w:t>, the Petition alleges that</w:t>
      </w:r>
      <w:r w:rsidR="00E5529B">
        <w:t xml:space="preserve"> </w:t>
      </w:r>
      <w:r w:rsidR="00431F54">
        <w:t>it</w:t>
      </w:r>
      <w:r w:rsidR="00096486">
        <w:t xml:space="preserve"> has no </w:t>
      </w:r>
      <w:r w:rsidRPr="00B41B23" w:rsidR="00096486">
        <w:rPr>
          <w:i/>
        </w:rPr>
        <w:t>statutory</w:t>
      </w:r>
      <w:r w:rsidR="00096486">
        <w:t xml:space="preserve"> authority to regulate </w:t>
      </w:r>
      <w:r w:rsidR="00CD6653">
        <w:t xml:space="preserve">uses of property </w:t>
      </w:r>
      <w:r w:rsidR="00096486">
        <w:t>outside of its jurisdiction</w:t>
      </w:r>
      <w:r w:rsidR="00396BA4">
        <w:t>,</w:t>
      </w:r>
      <w:r w:rsidR="00FB31A6">
        <w:t xml:space="preserve"> </w:t>
      </w:r>
      <w:r w:rsidR="00B63A4A">
        <w:t xml:space="preserve">but that </w:t>
      </w:r>
      <w:r w:rsidR="00A35E5E">
        <w:t>the City’s</w:t>
      </w:r>
      <w:r w:rsidR="00DC13F0">
        <w:t xml:space="preserve"> lease with the Club </w:t>
      </w:r>
      <w:r w:rsidR="008C3163">
        <w:t xml:space="preserve">enables </w:t>
      </w:r>
      <w:r w:rsidR="00712B47">
        <w:t>it</w:t>
      </w:r>
      <w:r w:rsidRPr="00E332E5" w:rsidR="00096486">
        <w:t xml:space="preserve"> to</w:t>
      </w:r>
      <w:r w:rsidRPr="00FF01FC" w:rsidR="00096486">
        <w:t xml:space="preserve"> </w:t>
      </w:r>
      <w:r w:rsidR="00255667">
        <w:t>condition any improvements</w:t>
      </w:r>
      <w:r w:rsidR="00965A57">
        <w:t xml:space="preserve"> </w:t>
      </w:r>
      <w:r w:rsidRPr="00FF01FC" w:rsidR="00096486">
        <w:t xml:space="preserve">the </w:t>
      </w:r>
      <w:r w:rsidR="00096486">
        <w:t>Club</w:t>
      </w:r>
      <w:r w:rsidRPr="00FF01FC" w:rsidR="00096486">
        <w:t xml:space="preserve"> </w:t>
      </w:r>
      <w:r w:rsidR="00255667">
        <w:t xml:space="preserve">wishes to </w:t>
      </w:r>
      <w:r w:rsidR="00B63A4A">
        <w:t>make</w:t>
      </w:r>
      <w:r w:rsidR="00255667">
        <w:t xml:space="preserve"> </w:t>
      </w:r>
      <w:r w:rsidR="00692AA9">
        <w:t xml:space="preserve">on compliance </w:t>
      </w:r>
      <w:r w:rsidRPr="00FF01FC" w:rsidR="00096486">
        <w:t>with</w:t>
      </w:r>
      <w:r w:rsidR="00096486">
        <w:t xml:space="preserve"> </w:t>
      </w:r>
      <w:r w:rsidR="00035F60">
        <w:t xml:space="preserve">the City’s and </w:t>
      </w:r>
      <w:r w:rsidRPr="00FF01FC" w:rsidR="00096486">
        <w:t xml:space="preserve">the </w:t>
      </w:r>
      <w:r w:rsidR="00096486">
        <w:t xml:space="preserve">County’s </w:t>
      </w:r>
      <w:r w:rsidR="00035F60">
        <w:t>local</w:t>
      </w:r>
      <w:r w:rsidR="00FC04E8">
        <w:t xml:space="preserve"> plans and </w:t>
      </w:r>
      <w:r w:rsidR="00035F60">
        <w:t>ordinances.</w:t>
      </w:r>
      <w:r w:rsidR="00096486">
        <w:t xml:space="preserve"> </w:t>
      </w:r>
      <w:r>
        <w:t xml:space="preserve"> </w:t>
      </w:r>
      <w:r w:rsidR="0081280B">
        <w:t>It also alleges</w:t>
      </w:r>
      <w:r w:rsidR="00354F1B">
        <w:t xml:space="preserve"> that the City accepts the County’s position </w:t>
      </w:r>
      <w:r w:rsidR="00D037F8">
        <w:t>tha</w:t>
      </w:r>
      <w:r w:rsidR="006D3ECC">
        <w:t xml:space="preserve">t </w:t>
      </w:r>
      <w:r w:rsidR="00915348">
        <w:t>the County’s</w:t>
      </w:r>
      <w:r w:rsidR="006D3ECC">
        <w:t xml:space="preserve"> General Plan</w:t>
      </w:r>
      <w:r w:rsidR="00A22F87">
        <w:t xml:space="preserve"> and zoning and building codes do not apply to the Club’s activities</w:t>
      </w:r>
      <w:r w:rsidR="004F614E">
        <w:t xml:space="preserve">, and </w:t>
      </w:r>
      <w:r w:rsidR="00514BE0">
        <w:t xml:space="preserve">that </w:t>
      </w:r>
      <w:r w:rsidR="00501304">
        <w:t xml:space="preserve">the City </w:t>
      </w:r>
      <w:r w:rsidR="004F614E">
        <w:t>therefore does</w:t>
      </w:r>
      <w:r w:rsidR="007E5623">
        <w:t xml:space="preserve"> not require the Club to comply with the County’s laws</w:t>
      </w:r>
      <w:r w:rsidR="00A22F87">
        <w:t xml:space="preserve">. </w:t>
      </w:r>
      <w:r w:rsidR="00E5529B">
        <w:t xml:space="preserve"> </w:t>
      </w:r>
    </w:p>
    <w:p w:rsidR="00CC4FC5" w:rsidP="008B1CCD" w14:paraId="5BC356AC" w14:textId="7F1EF9C3">
      <w:pPr>
        <w:spacing w:line="360" w:lineRule="auto"/>
      </w:pPr>
      <w:r>
        <w:tab/>
      </w:r>
      <w:r w:rsidR="00642A15">
        <w:t xml:space="preserve">The first cause of action </w:t>
      </w:r>
      <w:r w:rsidR="00241616">
        <w:t>alleges</w:t>
      </w:r>
      <w:r w:rsidR="00EE14EC">
        <w:t xml:space="preserve"> CEQA violations by</w:t>
      </w:r>
      <w:r w:rsidR="00F26FCC">
        <w:t xml:space="preserve"> the County and the City.</w:t>
      </w:r>
      <w:r w:rsidR="00EE14EC">
        <w:t xml:space="preserve"> </w:t>
      </w:r>
      <w:r w:rsidR="00241616">
        <w:t xml:space="preserve"> </w:t>
      </w:r>
      <w:r w:rsidR="00C04A3A">
        <w:t xml:space="preserve">According to the </w:t>
      </w:r>
      <w:r w:rsidR="004E6A7D">
        <w:t>P</w:t>
      </w:r>
      <w:r w:rsidR="00C04A3A">
        <w:t xml:space="preserve">etition, </w:t>
      </w:r>
      <w:r w:rsidR="002F38A5">
        <w:t>the County violated CEQA</w:t>
      </w:r>
      <w:r w:rsidR="00612A46">
        <w:t xml:space="preserve"> by </w:t>
      </w:r>
      <w:r w:rsidR="00452790">
        <w:t xml:space="preserve">erroneously </w:t>
      </w:r>
      <w:r w:rsidR="00612A46">
        <w:t xml:space="preserve">determining that it had </w:t>
      </w:r>
      <w:r w:rsidR="007C4F54">
        <w:t>no regula</w:t>
      </w:r>
      <w:r w:rsidR="00F82AAD">
        <w:t>tor</w:t>
      </w:r>
      <w:r w:rsidR="007C4F54">
        <w:t xml:space="preserve">y </w:t>
      </w:r>
      <w:r w:rsidR="00452790">
        <w:t>responsibility for</w:t>
      </w:r>
      <w:r w:rsidR="007C4F54">
        <w:t xml:space="preserve"> </w:t>
      </w:r>
      <w:r w:rsidR="003D205E">
        <w:t xml:space="preserve">the </w:t>
      </w:r>
      <w:r w:rsidR="00167088">
        <w:t>Project</w:t>
      </w:r>
      <w:r w:rsidR="00B27BA9">
        <w:t xml:space="preserve"> and</w:t>
      </w:r>
      <w:r w:rsidR="006D2F3F">
        <w:t>, as a result</w:t>
      </w:r>
      <w:r w:rsidR="004072B2">
        <w:t xml:space="preserve"> of</w:t>
      </w:r>
      <w:r w:rsidR="00D12E92">
        <w:t xml:space="preserve"> that determination</w:t>
      </w:r>
      <w:r w:rsidR="006D2F3F">
        <w:t xml:space="preserve">, </w:t>
      </w:r>
      <w:r w:rsidR="00B27BA9">
        <w:t xml:space="preserve">allowing </w:t>
      </w:r>
      <w:r w:rsidR="00167088">
        <w:t>it</w:t>
      </w:r>
      <w:r w:rsidR="00B27BA9">
        <w:t xml:space="preserve"> to proceed without review or interruption</w:t>
      </w:r>
      <w:r w:rsidR="00E20710">
        <w:t xml:space="preserve">. </w:t>
      </w:r>
      <w:r w:rsidR="004E6A7D">
        <w:t xml:space="preserve"> It alleges </w:t>
      </w:r>
      <w:r w:rsidR="00241616">
        <w:t xml:space="preserve">that the </w:t>
      </w:r>
      <w:r w:rsidR="005707D7">
        <w:t>City</w:t>
      </w:r>
      <w:r w:rsidR="00271391">
        <w:t>’s violations consisted in</w:t>
      </w:r>
      <w:r w:rsidR="005707D7">
        <w:t xml:space="preserve"> </w:t>
      </w:r>
      <w:r w:rsidR="00BB6D0C">
        <w:t xml:space="preserve">issuing a building permit outside </w:t>
      </w:r>
      <w:r w:rsidR="002826D5">
        <w:t xml:space="preserve">of </w:t>
      </w:r>
      <w:r w:rsidR="00BB6D0C">
        <w:t>its jurisdiction</w:t>
      </w:r>
      <w:r w:rsidR="00CF4F31">
        <w:t>,</w:t>
      </w:r>
      <w:r w:rsidR="005D1827">
        <w:t xml:space="preserve"> improperly determining that the </w:t>
      </w:r>
      <w:r w:rsidR="00284E6F">
        <w:t>P</w:t>
      </w:r>
      <w:r w:rsidR="005D1827">
        <w:t xml:space="preserve">roject was </w:t>
      </w:r>
      <w:r w:rsidR="00284E6F">
        <w:t>not subject to</w:t>
      </w:r>
      <w:r w:rsidR="00DE6052">
        <w:t xml:space="preserve"> CEQA</w:t>
      </w:r>
      <w:r w:rsidR="00BB6D0C">
        <w:t>,</w:t>
      </w:r>
      <w:r w:rsidR="00F1578B">
        <w:t xml:space="preserve"> and failing to require </w:t>
      </w:r>
      <w:r w:rsidR="004A4D7D">
        <w:t>the Club to obtain approvals, including a building permit and use permit, from the County.</w:t>
      </w:r>
      <w:r w:rsidR="00BB6D0C">
        <w:t xml:space="preserve"> </w:t>
      </w:r>
      <w:r w:rsidR="002902C7">
        <w:t xml:space="preserve"> </w:t>
      </w:r>
    </w:p>
    <w:p w:rsidR="00E7371F" w:rsidP="008B1CCD" w14:paraId="732A5CE2" w14:textId="110D2F41">
      <w:pPr>
        <w:spacing w:line="360" w:lineRule="auto"/>
      </w:pPr>
      <w:r>
        <w:tab/>
      </w:r>
      <w:r w:rsidR="006A1626">
        <w:t xml:space="preserve">The second cause of action </w:t>
      </w:r>
      <w:r w:rsidR="0090044C">
        <w:t xml:space="preserve">alleges </w:t>
      </w:r>
      <w:r w:rsidR="004C29BE">
        <w:t>that the County violated section</w:t>
      </w:r>
      <w:r w:rsidR="00E04B8E">
        <w:t> </w:t>
      </w:r>
      <w:r w:rsidR="004C29BE">
        <w:t xml:space="preserve">20.204.015(B) of its zoning code, which Vichy contends prohibited the Club from resuming its nonconforming use after demolishing the main range, by refusing to take any action against the </w:t>
      </w:r>
      <w:r w:rsidR="002F0031">
        <w:t>P</w:t>
      </w:r>
      <w:r w:rsidR="004C29BE">
        <w:t xml:space="preserve">roject, and </w:t>
      </w:r>
      <w:r w:rsidR="00AE43C3">
        <w:t xml:space="preserve">by </w:t>
      </w:r>
      <w:r w:rsidR="004C29BE">
        <w:t>improperly allow</w:t>
      </w:r>
      <w:r w:rsidR="00AE43C3">
        <w:t>ing</w:t>
      </w:r>
      <w:r w:rsidR="004C29BE">
        <w:t xml:space="preserve"> the City to issue a building permit and certificate of occupancy in the County’s jurisdiction. </w:t>
      </w:r>
      <w:r w:rsidR="00D578CA">
        <w:t xml:space="preserve"> </w:t>
      </w:r>
      <w:r w:rsidR="00216D68">
        <w:t>It alleges</w:t>
      </w:r>
      <w:r w:rsidR="00AE43C3">
        <w:t xml:space="preserve"> </w:t>
      </w:r>
      <w:r w:rsidR="0090044C">
        <w:t xml:space="preserve">that </w:t>
      </w:r>
      <w:r w:rsidR="00AE7C55">
        <w:t xml:space="preserve">the City violated the Ukiah </w:t>
      </w:r>
      <w:r w:rsidR="002F0031">
        <w:t xml:space="preserve">City </w:t>
      </w:r>
      <w:r w:rsidR="00AE7C55">
        <w:t>Code</w:t>
      </w:r>
      <w:r w:rsidR="0012666F">
        <w:t xml:space="preserve"> </w:t>
      </w:r>
      <w:r w:rsidR="00AE7C55">
        <w:t xml:space="preserve">by issuing </w:t>
      </w:r>
      <w:r w:rsidR="007526B3">
        <w:t xml:space="preserve">a building permit and certificate of occupancy </w:t>
      </w:r>
      <w:r w:rsidR="00AE7C55">
        <w:t>outside of its jurisdiction</w:t>
      </w:r>
      <w:r w:rsidR="00D578CA">
        <w:t xml:space="preserve">. </w:t>
      </w:r>
    </w:p>
    <w:p w:rsidR="008A1961" w:rsidP="008B1CCD" w14:paraId="1EFDF3B7" w14:textId="37EC2B83">
      <w:pPr>
        <w:spacing w:line="360" w:lineRule="auto"/>
      </w:pPr>
      <w:r>
        <w:tab/>
      </w:r>
      <w:r w:rsidR="00714BE3">
        <w:t>The third cause of action alleges that the City</w:t>
      </w:r>
      <w:r w:rsidR="00B42E4A">
        <w:t xml:space="preserve"> unlawfully failed to consider the City’s and </w:t>
      </w:r>
      <w:r w:rsidR="009E26C0">
        <w:t xml:space="preserve">the </w:t>
      </w:r>
      <w:r w:rsidR="00B42E4A">
        <w:t xml:space="preserve">County’s </w:t>
      </w:r>
      <w:r w:rsidR="009E26C0">
        <w:t xml:space="preserve">general plan policies when it issued a building permit to the Club. </w:t>
      </w:r>
      <w:r w:rsidR="003B5208">
        <w:t xml:space="preserve"> </w:t>
      </w:r>
    </w:p>
    <w:p w:rsidR="00766281" w:rsidP="008B1CCD" w14:paraId="6BEA4B9C" w14:textId="7A4E1927">
      <w:pPr>
        <w:spacing w:line="360" w:lineRule="auto"/>
      </w:pPr>
      <w:r>
        <w:tab/>
      </w:r>
      <w:r w:rsidR="008B4B19">
        <w:t xml:space="preserve">Under </w:t>
      </w:r>
      <w:r w:rsidR="006E4E9A">
        <w:t>the first three</w:t>
      </w:r>
      <w:r w:rsidR="008B4B19">
        <w:t xml:space="preserve"> causes of action, t</w:t>
      </w:r>
      <w:r w:rsidR="00402D2F">
        <w:t xml:space="preserve">he Petition seeks </w:t>
      </w:r>
      <w:r w:rsidR="00F94BC9">
        <w:t>a writ of mandate directi</w:t>
      </w:r>
      <w:r w:rsidR="00B90499">
        <w:t>ng</w:t>
      </w:r>
      <w:r w:rsidR="00F94BC9">
        <w:t xml:space="preserve"> the City</w:t>
      </w:r>
      <w:r w:rsidR="0093365C">
        <w:t xml:space="preserve"> to set aside the building permits</w:t>
      </w:r>
      <w:r w:rsidR="00F06DBC">
        <w:t xml:space="preserve"> and</w:t>
      </w:r>
      <w:r w:rsidR="00F94BC9">
        <w:t xml:space="preserve"> </w:t>
      </w:r>
      <w:r w:rsidR="00FC04E8">
        <w:t xml:space="preserve">both the City and </w:t>
      </w:r>
      <w:r w:rsidR="00B90499">
        <w:t xml:space="preserve">the </w:t>
      </w:r>
      <w:r w:rsidR="00F94BC9">
        <w:t xml:space="preserve">County to comply with CEQA and their respective </w:t>
      </w:r>
      <w:r w:rsidR="00A53904">
        <w:t>local laws</w:t>
      </w:r>
      <w:r w:rsidR="00877D15">
        <w:t>,</w:t>
      </w:r>
      <w:r w:rsidR="008B4B19">
        <w:t xml:space="preserve"> and </w:t>
      </w:r>
      <w:r w:rsidR="006F1518">
        <w:t xml:space="preserve">an injunction prohibiting </w:t>
      </w:r>
      <w:r w:rsidR="000E40A3">
        <w:t>the continued</w:t>
      </w:r>
      <w:r w:rsidR="008B4B19">
        <w:t xml:space="preserve"> use of the Club property until all necessary </w:t>
      </w:r>
      <w:r w:rsidR="008D7D1D">
        <w:t xml:space="preserve">review has been conducted and required </w:t>
      </w:r>
      <w:r w:rsidR="008B4B19">
        <w:t>permits have been issued.</w:t>
      </w:r>
      <w:r w:rsidR="002A282C">
        <w:t xml:space="preserve"> </w:t>
      </w:r>
      <w:r w:rsidR="008B4B19">
        <w:t xml:space="preserve"> </w:t>
      </w:r>
    </w:p>
    <w:p w:rsidR="008B1CCD" w:rsidRPr="00321592" w:rsidP="008B1CCD" w14:paraId="7168C587" w14:textId="2127E1D5">
      <w:pPr>
        <w:spacing w:line="360" w:lineRule="auto"/>
      </w:pPr>
      <w:r>
        <w:tab/>
      </w:r>
      <w:r w:rsidR="00475FDB">
        <w:t>F</w:t>
      </w:r>
      <w:r w:rsidR="00622D25">
        <w:t>inally, t</w:t>
      </w:r>
      <w:r w:rsidR="008B4B19">
        <w:t xml:space="preserve">he fourth cause of action seeks </w:t>
      </w:r>
      <w:r w:rsidR="00B90499">
        <w:t xml:space="preserve">a declaration that the Club is subject to land use regulation by the County </w:t>
      </w:r>
      <w:r w:rsidR="00AD12DB">
        <w:t>and</w:t>
      </w:r>
      <w:r w:rsidR="00B90499">
        <w:t xml:space="preserve"> the City.</w:t>
      </w:r>
      <w:r w:rsidR="002A282C">
        <w:t xml:space="preserve"> </w:t>
      </w:r>
    </w:p>
    <w:p w:rsidR="0099668F" w:rsidP="006D0EEB" w14:paraId="7E8BEA59" w14:textId="3A35B99B">
      <w:pPr>
        <w:spacing w:line="360" w:lineRule="auto"/>
      </w:pPr>
      <w:r>
        <w:tab/>
        <w:t>While the action was pending</w:t>
      </w:r>
      <w:r w:rsidR="00FE7563">
        <w:t>,</w:t>
      </w:r>
      <w:r w:rsidR="000E40A3">
        <w:t xml:space="preserve"> and in response to a </w:t>
      </w:r>
      <w:r w:rsidR="00BD1450">
        <w:t xml:space="preserve">2014 </w:t>
      </w:r>
      <w:r w:rsidR="000E40A3">
        <w:t>request by the County,</w:t>
      </w:r>
      <w:r>
        <w:t xml:space="preserve"> the Attorney General issued Opinion</w:t>
      </w:r>
      <w:r w:rsidR="004B55E8">
        <w:t> </w:t>
      </w:r>
      <w:r>
        <w:t>14</w:t>
      </w:r>
      <w:r w:rsidR="004B55E8">
        <w:t>–</w:t>
      </w:r>
      <w:r>
        <w:t>403</w:t>
      </w:r>
      <w:r w:rsidR="006B12AD">
        <w:t>,</w:t>
      </w:r>
      <w:r w:rsidRPr="000743BC" w:rsidR="000743BC">
        <w:t xml:space="preserve"> </w:t>
      </w:r>
      <w:r>
        <w:t xml:space="preserve">clarifying that “a city’s private lessee is exempt under </w:t>
      </w:r>
      <w:r w:rsidR="003A2514">
        <w:t>[</w:t>
      </w:r>
      <w:r>
        <w:t>Government Code</w:t>
      </w:r>
      <w:r w:rsidR="003A2514">
        <w:t>]</w:t>
      </w:r>
      <w:r>
        <w:t xml:space="preserve"> </w:t>
      </w:r>
      <w:r w:rsidR="003A2514">
        <w:t>section</w:t>
      </w:r>
      <w:r w:rsidR="004B55E8">
        <w:t> </w:t>
      </w:r>
      <w:r>
        <w:t>53090, provided that the lessee’s use of the property primarily serves the city’s public purposes, but that it is not exempt where the lessee’s use of the property primarily serves the lessee’s private interests.”</w:t>
      </w:r>
      <w:r w:rsidR="009614CF">
        <w:t xml:space="preserve"> </w:t>
      </w:r>
      <w:r>
        <w:t xml:space="preserve"> </w:t>
      </w:r>
      <w:r w:rsidR="003E4607">
        <w:t>(</w:t>
      </w:r>
      <w:r w:rsidR="008C6027">
        <w:t>80</w:t>
      </w:r>
      <w:r w:rsidR="006E47FC">
        <w:t> </w:t>
      </w:r>
      <w:r w:rsidR="008C6027">
        <w:t>Ops. Cal. Atty. Gen.</w:t>
      </w:r>
      <w:r w:rsidR="006E47FC">
        <w:t> </w:t>
      </w:r>
      <w:r w:rsidR="008C6027">
        <w:t>88 (2018)</w:t>
      </w:r>
      <w:r w:rsidR="00B9488D">
        <w:t>.)</w:t>
      </w:r>
      <w:r>
        <w:t xml:space="preserve"> </w:t>
      </w:r>
      <w:r w:rsidR="009614CF">
        <w:t xml:space="preserve"> </w:t>
      </w:r>
      <w:r w:rsidR="00C75083">
        <w:t xml:space="preserve">The </w:t>
      </w:r>
      <w:r w:rsidR="003D2FA0">
        <w:t>o</w:t>
      </w:r>
      <w:r w:rsidR="00C666C6">
        <w:t xml:space="preserve">pinion is therefore consistent with the Petition’s </w:t>
      </w:r>
      <w:r w:rsidR="00222B1B">
        <w:t>contention</w:t>
      </w:r>
      <w:r w:rsidR="00EB7490">
        <w:t xml:space="preserve"> that a private lessee </w:t>
      </w:r>
      <w:r w:rsidR="00DC36D5">
        <w:t xml:space="preserve">who uses </w:t>
      </w:r>
      <w:r w:rsidR="00EB7490">
        <w:t xml:space="preserve">city-owned </w:t>
      </w:r>
      <w:r w:rsidR="00DC36D5">
        <w:t>property for a private purpose does not receive intergovernmental immunity</w:t>
      </w:r>
      <w:r w:rsidR="00C666C6">
        <w:t xml:space="preserve">, </w:t>
      </w:r>
      <w:r w:rsidR="004063F2">
        <w:t xml:space="preserve">although </w:t>
      </w:r>
      <w:r w:rsidR="001458E9">
        <w:t>it does</w:t>
      </w:r>
      <w:r w:rsidR="004063F2">
        <w:t xml:space="preserve"> not </w:t>
      </w:r>
      <w:r w:rsidR="0047545E">
        <w:t>decide</w:t>
      </w:r>
      <w:r w:rsidR="004063F2">
        <w:t xml:space="preserve"> whether th</w:t>
      </w:r>
      <w:r w:rsidR="00047E80">
        <w:t xml:space="preserve">e </w:t>
      </w:r>
      <w:r w:rsidR="00DB3A78">
        <w:t>Club is using the property primarily for a private purpose</w:t>
      </w:r>
      <w:r w:rsidR="00B14668">
        <w:t>, as the Petition</w:t>
      </w:r>
      <w:r w:rsidR="00222B1B">
        <w:t xml:space="preserve"> alleges</w:t>
      </w:r>
      <w:r w:rsidR="00047E80">
        <w:t>.</w:t>
      </w:r>
    </w:p>
    <w:p w:rsidR="001B4B3D" w:rsidP="007566F5" w14:paraId="2F9CB73A" w14:textId="466F6143">
      <w:pPr>
        <w:spacing w:line="360" w:lineRule="auto"/>
      </w:pPr>
      <w:r>
        <w:tab/>
      </w:r>
      <w:r w:rsidR="006D0EEB">
        <w:t>In May</w:t>
      </w:r>
      <w:r w:rsidR="00A36615">
        <w:t> </w:t>
      </w:r>
      <w:r w:rsidR="006D0EEB">
        <w:t xml:space="preserve">2021, the County </w:t>
      </w:r>
      <w:r w:rsidR="00954067">
        <w:t>demurred</w:t>
      </w:r>
      <w:r w:rsidR="006D0EEB">
        <w:t xml:space="preserve"> to the first and second causes of action</w:t>
      </w:r>
      <w:r w:rsidR="005D6A1E">
        <w:t>.  It a</w:t>
      </w:r>
      <w:r w:rsidR="00232A7C">
        <w:t>rgu</w:t>
      </w:r>
      <w:r w:rsidR="005D6A1E">
        <w:t>ed</w:t>
      </w:r>
      <w:r w:rsidR="00232A7C">
        <w:t xml:space="preserve"> that the first cause of action failed </w:t>
      </w:r>
      <w:r w:rsidR="00494AC7">
        <w:t>to state a claim</w:t>
      </w:r>
      <w:r w:rsidR="005E734B">
        <w:t xml:space="preserve"> against the County</w:t>
      </w:r>
      <w:r w:rsidR="00494AC7">
        <w:t xml:space="preserve"> for violation of CEQA </w:t>
      </w:r>
      <w:r w:rsidR="00232A7C">
        <w:t xml:space="preserve">because </w:t>
      </w:r>
      <w:r w:rsidR="00375116">
        <w:t xml:space="preserve">there was no “project” </w:t>
      </w:r>
      <w:r w:rsidR="0030073A">
        <w:t>subject</w:t>
      </w:r>
      <w:r w:rsidR="00375116">
        <w:t xml:space="preserve"> to CEQA</w:t>
      </w:r>
      <w:r w:rsidR="0030073A">
        <w:t xml:space="preserve"> whe</w:t>
      </w:r>
      <w:r w:rsidR="005E734B">
        <w:t>n</w:t>
      </w:r>
      <w:r w:rsidR="0030073A">
        <w:t xml:space="preserve"> Vichy was complaining solely of the County’s failure to act</w:t>
      </w:r>
      <w:r w:rsidR="00156771">
        <w:t xml:space="preserve">. </w:t>
      </w:r>
      <w:r w:rsidR="006D0EEB">
        <w:t xml:space="preserve"> </w:t>
      </w:r>
      <w:r w:rsidR="00A8032B">
        <w:t xml:space="preserve">It argued that the second cause of action failed because </w:t>
      </w:r>
      <w:r w:rsidR="00932D44">
        <w:t xml:space="preserve">a </w:t>
      </w:r>
      <w:r w:rsidR="00D162E9">
        <w:t xml:space="preserve">writ of mandate does not lie to compel the County to take specific action to enforce its </w:t>
      </w:r>
      <w:r w:rsidR="00940B6B">
        <w:t xml:space="preserve">zoning laws. </w:t>
      </w:r>
      <w:r w:rsidR="00FD1501">
        <w:t xml:space="preserve"> </w:t>
      </w:r>
      <w:r w:rsidR="006D0EEB">
        <w:t>The Club</w:t>
      </w:r>
      <w:r w:rsidR="00054500">
        <w:t>, joined by the City,</w:t>
      </w:r>
      <w:r w:rsidR="006D0EEB">
        <w:t xml:space="preserve"> filed a demurrer </w:t>
      </w:r>
      <w:r w:rsidR="00482D61">
        <w:t>to the first, second</w:t>
      </w:r>
      <w:r w:rsidR="00934FD0">
        <w:t>,</w:t>
      </w:r>
      <w:r w:rsidR="00482D61">
        <w:t xml:space="preserve"> and third</w:t>
      </w:r>
      <w:r w:rsidR="00F85058">
        <w:t xml:space="preserve"> causes of action</w:t>
      </w:r>
      <w:r w:rsidR="006D0EEB">
        <w:t xml:space="preserve">, </w:t>
      </w:r>
      <w:r w:rsidR="00C9236A">
        <w:t>arguing that t</w:t>
      </w:r>
      <w:r w:rsidR="00C22BE3">
        <w:t xml:space="preserve">hey were </w:t>
      </w:r>
      <w:r w:rsidR="00914DC9">
        <w:t xml:space="preserve">all </w:t>
      </w:r>
      <w:r w:rsidR="00C22BE3">
        <w:t xml:space="preserve">mooted by the </w:t>
      </w:r>
      <w:r w:rsidR="000F2C16">
        <w:t xml:space="preserve">Project’s </w:t>
      </w:r>
      <w:r w:rsidR="00C22BE3">
        <w:t>completion</w:t>
      </w:r>
      <w:r w:rsidR="006D0EEB">
        <w:t>.</w:t>
      </w:r>
      <w:r w:rsidR="00B04849">
        <w:t xml:space="preserve"> </w:t>
      </w:r>
      <w:r w:rsidR="006D0EEB">
        <w:t xml:space="preserve"> </w:t>
      </w:r>
      <w:r w:rsidR="00E95980">
        <w:t xml:space="preserve">The Club also filed a motion to strike various allegations </w:t>
      </w:r>
      <w:r w:rsidR="00A31260">
        <w:t>from the Petition, in which the City</w:t>
      </w:r>
      <w:r>
        <w:t xml:space="preserve"> likewise</w:t>
      </w:r>
      <w:r w:rsidR="00A31260">
        <w:t xml:space="preserve"> joined</w:t>
      </w:r>
      <w:r>
        <w:t>.</w:t>
      </w:r>
      <w:r w:rsidR="001D6EE4">
        <w:t xml:space="preserve">  </w:t>
      </w:r>
      <w:r w:rsidR="00E16C21">
        <w:t>T</w:t>
      </w:r>
      <w:r w:rsidR="006D0EEB">
        <w:t>h</w:t>
      </w:r>
      <w:r w:rsidR="00F85058">
        <w:t>e</w:t>
      </w:r>
      <w:r w:rsidR="006D0EEB">
        <w:t xml:space="preserve"> Court </w:t>
      </w:r>
      <w:r w:rsidR="00F85058">
        <w:t>sustained</w:t>
      </w:r>
      <w:r w:rsidR="004A2186">
        <w:t xml:space="preserve"> </w:t>
      </w:r>
      <w:r w:rsidR="00F628A3">
        <w:t xml:space="preserve">the demurrers </w:t>
      </w:r>
      <w:r w:rsidR="004A2186">
        <w:t>without leave to amend</w:t>
      </w:r>
      <w:r w:rsidR="001D6EE4">
        <w:t>, and granted the motion to strike</w:t>
      </w:r>
      <w:r w:rsidR="00E60FA3">
        <w:t>.</w:t>
      </w:r>
      <w:r>
        <w:rPr>
          <w:rStyle w:val="FootnoteReference"/>
        </w:rPr>
        <w:footnoteReference w:id="5"/>
      </w:r>
      <w:r w:rsidR="00F85058">
        <w:t xml:space="preserve">  </w:t>
      </w:r>
    </w:p>
    <w:p w:rsidR="004C5E93" w:rsidP="007566F5" w14:paraId="2348DD28" w14:textId="1032CCA5">
      <w:pPr>
        <w:spacing w:line="360" w:lineRule="auto"/>
      </w:pPr>
      <w:r>
        <w:tab/>
      </w:r>
      <w:r w:rsidR="004D5047">
        <w:t>T</w:t>
      </w:r>
      <w:r>
        <w:t xml:space="preserve">he City and the County </w:t>
      </w:r>
      <w:r w:rsidR="004D5047">
        <w:t xml:space="preserve">later </w:t>
      </w:r>
      <w:r>
        <w:t xml:space="preserve">entered into </w:t>
      </w:r>
      <w:r w:rsidR="003303B1">
        <w:t>the Joint Powers Agreement</w:t>
      </w:r>
      <w:r>
        <w:t xml:space="preserve">.  </w:t>
      </w:r>
      <w:r w:rsidR="00B930F8">
        <w:t>They</w:t>
      </w:r>
      <w:r w:rsidR="0006737E">
        <w:t xml:space="preserve"> agreed that </w:t>
      </w:r>
      <w:r w:rsidR="001E3D4D">
        <w:t>(1)</w:t>
      </w:r>
      <w:r w:rsidR="0005285A">
        <w:t> </w:t>
      </w:r>
      <w:r w:rsidR="0006737E">
        <w:t>“</w:t>
      </w:r>
      <w:r>
        <w:t>the County shall exercise land use jurisdiction over the Gun Club’s use of the Gun Club Property in accordance with the County’s duly adopted zoning ordinance as it currently reads in Title</w:t>
      </w:r>
      <w:r w:rsidR="0005285A">
        <w:t> </w:t>
      </w:r>
      <w:r>
        <w:t>20 of the Mendocino County Code or as it may be amended or superseded in the future”</w:t>
      </w:r>
      <w:r w:rsidR="00FD7628">
        <w:t>;</w:t>
      </w:r>
      <w:r w:rsidR="00057D51">
        <w:t xml:space="preserve"> </w:t>
      </w:r>
      <w:r w:rsidR="001E3D4D">
        <w:t>(2)</w:t>
      </w:r>
      <w:r w:rsidR="0005285A">
        <w:t> </w:t>
      </w:r>
      <w:r w:rsidR="001E3D4D">
        <w:t>“[t]he City rather than the County shall continue to assure that any improvements constructed on the Gun Club Property comply with the procedures and substantive requirements of the Model Codes adopted by the City pursuant to Division</w:t>
      </w:r>
      <w:r w:rsidR="00B25C83">
        <w:t> </w:t>
      </w:r>
      <w:r w:rsidR="001E3D4D">
        <w:t>3, Chapter</w:t>
      </w:r>
      <w:r w:rsidR="00B25C83">
        <w:t> </w:t>
      </w:r>
      <w:r w:rsidR="001E3D4D">
        <w:t>1 of the Ukiah City Code (</w:t>
      </w:r>
      <w:r w:rsidR="00F82829">
        <w:t>‘</w:t>
      </w:r>
      <w:r w:rsidR="001E3D4D">
        <w:t>UCC</w:t>
      </w:r>
      <w:r w:rsidR="00F82829">
        <w:t>’</w:t>
      </w:r>
      <w:r w:rsidR="001E3D4D">
        <w:t>) as it currently reads or as it may be amended or superseded in the future”</w:t>
      </w:r>
      <w:r w:rsidR="00C816E7">
        <w:t>;</w:t>
      </w:r>
      <w:r w:rsidR="001E3D4D">
        <w:t xml:space="preserve"> </w:t>
      </w:r>
      <w:r w:rsidR="007566F5">
        <w:t xml:space="preserve">and </w:t>
      </w:r>
      <w:r w:rsidR="001E3D4D">
        <w:t>(3)</w:t>
      </w:r>
      <w:r w:rsidR="00B25C83">
        <w:t> </w:t>
      </w:r>
      <w:r w:rsidR="007566F5">
        <w:t xml:space="preserve">“[t]he City and the County shall agree upon a process by which the City can verify that County has made all necessary zoning review, prior to the City issuing a permit.” </w:t>
      </w:r>
      <w:r>
        <w:t xml:space="preserve"> </w:t>
      </w:r>
      <w:r w:rsidR="00E40346">
        <w:t xml:space="preserve">The </w:t>
      </w:r>
      <w:r w:rsidR="00B6642D">
        <w:t>A</w:t>
      </w:r>
      <w:r w:rsidR="00E40346">
        <w:t xml:space="preserve">greement provides that either party may withdraw from </w:t>
      </w:r>
      <w:r w:rsidR="00CF2399">
        <w:t>it</w:t>
      </w:r>
      <w:r w:rsidR="00E40346">
        <w:t xml:space="preserve"> with </w:t>
      </w:r>
      <w:r w:rsidR="000E40A3">
        <w:t>specified</w:t>
      </w:r>
      <w:r w:rsidR="00E40346">
        <w:t xml:space="preserve"> notice. </w:t>
      </w:r>
    </w:p>
    <w:p w:rsidR="00B754ED" w:rsidP="00363658" w14:paraId="2629D469" w14:textId="63A680D6">
      <w:pPr>
        <w:spacing w:line="360" w:lineRule="auto"/>
      </w:pPr>
      <w:r>
        <w:tab/>
      </w:r>
      <w:r w:rsidR="000818B6">
        <w:t xml:space="preserve">Thereafter, </w:t>
      </w:r>
      <w:r w:rsidR="00B93F4C">
        <w:t>the City filed a motion for judgment on the pleadings</w:t>
      </w:r>
      <w:r>
        <w:t>, which the County joined</w:t>
      </w:r>
      <w:r w:rsidR="00B93F4C">
        <w:t>, seeking dismissal of the fourth cause of action</w:t>
      </w:r>
      <w:r w:rsidR="00593350">
        <w:t xml:space="preserve"> on the ground that it</w:t>
      </w:r>
      <w:r w:rsidR="00E0150D">
        <w:t xml:space="preserve"> </w:t>
      </w:r>
      <w:r w:rsidR="00A34E45">
        <w:t xml:space="preserve">had been rendered </w:t>
      </w:r>
      <w:r w:rsidR="00E0150D">
        <w:t xml:space="preserve">moot </w:t>
      </w:r>
      <w:r w:rsidR="00F10C5A">
        <w:t>by</w:t>
      </w:r>
      <w:r w:rsidR="00A34E45">
        <w:t xml:space="preserve"> the </w:t>
      </w:r>
      <w:r w:rsidR="000C61EE">
        <w:t>entry of the</w:t>
      </w:r>
      <w:r w:rsidR="005C2972">
        <w:t xml:space="preserve"> </w:t>
      </w:r>
      <w:r w:rsidR="0058208E">
        <w:t>A</w:t>
      </w:r>
      <w:r w:rsidR="005C2972">
        <w:t>greement between the</w:t>
      </w:r>
      <w:r w:rsidR="00A34E45">
        <w:t xml:space="preserve"> County and the</w:t>
      </w:r>
      <w:r w:rsidR="000C61EE">
        <w:t xml:space="preserve"> City.</w:t>
      </w:r>
      <w:r w:rsidR="00EE5CA0">
        <w:t xml:space="preserve"> </w:t>
      </w:r>
      <w:r w:rsidR="00FD0B13">
        <w:t xml:space="preserve"> </w:t>
      </w:r>
      <w:r w:rsidR="00047C4B">
        <w:t>The trial court agreed</w:t>
      </w:r>
      <w:r w:rsidR="00EE5CA0">
        <w:t xml:space="preserve"> </w:t>
      </w:r>
      <w:r w:rsidR="002B7DFE">
        <w:t xml:space="preserve">and entered </w:t>
      </w:r>
      <w:r w:rsidR="00363658">
        <w:t>judgment in favor of the City</w:t>
      </w:r>
      <w:r w:rsidR="004A763B">
        <w:t xml:space="preserve"> and</w:t>
      </w:r>
      <w:r w:rsidR="00363658">
        <w:t xml:space="preserve"> the County.  Vichy timely filed a notice of appeal.</w:t>
      </w:r>
      <w:r w:rsidR="00A00B84">
        <w:t xml:space="preserve"> </w:t>
      </w:r>
    </w:p>
    <w:p w:rsidR="009F233C" w:rsidP="00047C4B" w14:paraId="3484FC1E" w14:textId="0A141ECB">
      <w:pPr>
        <w:spacing w:line="360" w:lineRule="auto"/>
      </w:pPr>
      <w:r>
        <w:tab/>
      </w:r>
      <w:r w:rsidR="0046321D">
        <w:t xml:space="preserve">Vichy </w:t>
      </w:r>
      <w:r w:rsidR="00E1511D">
        <w:t xml:space="preserve">subsequently </w:t>
      </w:r>
      <w:r w:rsidR="0046321D">
        <w:t xml:space="preserve">filed </w:t>
      </w:r>
      <w:r w:rsidR="00EE5CA0">
        <w:t>its</w:t>
      </w:r>
      <w:r w:rsidR="0046321D">
        <w:t xml:space="preserve"> motion for attorney</w:t>
      </w:r>
      <w:r w:rsidR="00E61FEF">
        <w:t>s’</w:t>
      </w:r>
      <w:r w:rsidR="0046321D">
        <w:t xml:space="preserve"> fees</w:t>
      </w:r>
      <w:r w:rsidR="00EE5CA0">
        <w:t xml:space="preserve">. </w:t>
      </w:r>
      <w:r w:rsidR="00B82B51">
        <w:t xml:space="preserve"> The trial </w:t>
      </w:r>
      <w:r w:rsidR="0046321D">
        <w:t>court denied</w:t>
      </w:r>
      <w:r w:rsidR="004E72BC">
        <w:t xml:space="preserve"> the motion </w:t>
      </w:r>
      <w:r w:rsidR="00EE5CA0">
        <w:t>and</w:t>
      </w:r>
      <w:r w:rsidR="004E72BC">
        <w:t xml:space="preserve"> Vichy timely filed a second notice of appeal.  </w:t>
      </w:r>
      <w:r w:rsidR="00882A8D">
        <w:t xml:space="preserve">At the request of the parties, </w:t>
      </w:r>
      <w:r w:rsidR="009944EE">
        <w:t xml:space="preserve">we ordered </w:t>
      </w:r>
      <w:r w:rsidR="00882A8D">
        <w:t>t</w:t>
      </w:r>
      <w:r w:rsidR="00CA270D">
        <w:t xml:space="preserve">he </w:t>
      </w:r>
      <w:r w:rsidR="001F7E63">
        <w:t>appeals</w:t>
      </w:r>
      <w:r w:rsidR="00CA270D">
        <w:t xml:space="preserve"> consolidated for all purposes.</w:t>
      </w:r>
      <w:r>
        <w:rPr>
          <w:rStyle w:val="FootnoteReference"/>
        </w:rPr>
        <w:footnoteReference w:id="6"/>
      </w:r>
      <w:r w:rsidR="00882A8D">
        <w:t xml:space="preserve"> </w:t>
      </w:r>
    </w:p>
    <w:p w:rsidR="00D54D20" w:rsidRPr="00933F0C" w:rsidP="00933F0C" w14:paraId="66AB4B70" w14:textId="6B6F3DB8">
      <w:pPr>
        <w:keepNext/>
        <w:keepLines/>
        <w:spacing w:line="360" w:lineRule="auto"/>
        <w:jc w:val="center"/>
        <w:rPr>
          <w:smallCaps/>
        </w:rPr>
      </w:pPr>
      <w:r w:rsidRPr="00606E58">
        <w:rPr>
          <w:b/>
          <w:smallCaps/>
        </w:rPr>
        <w:t>D</w:t>
      </w:r>
      <w:r w:rsidRPr="00606E58" w:rsidR="008A475F">
        <w:rPr>
          <w:b/>
          <w:smallCaps/>
        </w:rPr>
        <w:t>ISCUSSION</w:t>
      </w:r>
    </w:p>
    <w:p w:rsidR="00933F0C" w:rsidP="00F44832" w14:paraId="4B71F833" w14:textId="68DE9711">
      <w:pPr>
        <w:spacing w:line="360" w:lineRule="auto"/>
      </w:pPr>
      <w:r>
        <w:tab/>
        <w:t xml:space="preserve">The judgment was entered after the trial court </w:t>
      </w:r>
      <w:r w:rsidR="00396E87">
        <w:t xml:space="preserve">sustained demurrers to the first three causes without </w:t>
      </w:r>
      <w:r w:rsidR="001A2464">
        <w:t xml:space="preserve">leave to amend and then granted </w:t>
      </w:r>
      <w:r w:rsidR="001E2882">
        <w:t>a motion for judgment on the pleadings as to the fourth cause of action</w:t>
      </w:r>
      <w:r w:rsidR="00D23121">
        <w:t xml:space="preserve"> on the ground that it was moot</w:t>
      </w:r>
      <w:r w:rsidR="001E2882">
        <w:t xml:space="preserve">.  </w:t>
      </w:r>
      <w:r>
        <w:t xml:space="preserve">We review </w:t>
      </w:r>
      <w:r w:rsidR="00A84B7D">
        <w:t xml:space="preserve">de novo </w:t>
      </w:r>
      <w:r>
        <w:t>the trial court’s order</w:t>
      </w:r>
      <w:r w:rsidR="001E2882">
        <w:t xml:space="preserve"> sustaining</w:t>
      </w:r>
      <w:r w:rsidR="00D23121">
        <w:t xml:space="preserve"> the demurrers</w:t>
      </w:r>
      <w:r>
        <w:t xml:space="preserve"> and exercise our independent judgment as to whether the </w:t>
      </w:r>
      <w:r w:rsidR="00A84B7D">
        <w:t>Petition</w:t>
      </w:r>
      <w:r>
        <w:t xml:space="preserve"> states a cause of action as a matter of law.  (</w:t>
      </w:r>
      <w:r w:rsidRPr="0072644E">
        <w:rPr>
          <w:i/>
          <w:iCs/>
        </w:rPr>
        <w:t>Moore v. Regents of University of California</w:t>
      </w:r>
      <w:r>
        <w:t xml:space="preserve"> (1990) 51</w:t>
      </w:r>
      <w:r w:rsidR="00E97343">
        <w:t> </w:t>
      </w:r>
      <w:r>
        <w:t>Cal.3d 120, 125.)  We accept as true all material facts properly pled and matters which may be judicially noticed, but disregard contentions, deductions, or conclusions of fact or law.  (</w:t>
      </w:r>
      <w:r w:rsidRPr="0072644E">
        <w:rPr>
          <w:i/>
          <w:iCs/>
        </w:rPr>
        <w:t>Blank v. Kirwan</w:t>
      </w:r>
      <w:r>
        <w:rPr>
          <w:i/>
          <w:iCs/>
        </w:rPr>
        <w:t xml:space="preserve"> </w:t>
      </w:r>
      <w:r>
        <w:t>(1985) 39</w:t>
      </w:r>
      <w:r w:rsidR="00E97343">
        <w:t> </w:t>
      </w:r>
      <w:r>
        <w:t>Cal.3d 311, 318.)  We “give the complaint a reasonable interpretation, reading it as a whole and its parts in their context.”  (</w:t>
      </w:r>
      <w:r w:rsidRPr="0072644E">
        <w:rPr>
          <w:i/>
          <w:iCs/>
        </w:rPr>
        <w:t>I</w:t>
      </w:r>
      <w:r w:rsidR="00DD1AD1">
        <w:rPr>
          <w:i/>
          <w:iCs/>
        </w:rPr>
        <w:t>bi</w:t>
      </w:r>
      <w:r w:rsidRPr="0072644E">
        <w:rPr>
          <w:i/>
          <w:iCs/>
        </w:rPr>
        <w:t>d</w:t>
      </w:r>
      <w:r>
        <w:t>.)</w:t>
      </w:r>
      <w:r w:rsidR="00894869">
        <w:t xml:space="preserve">  Because a motion for judgment on the pleadings is equivalent to a demurrer, it is governed by the same standard of review.  </w:t>
      </w:r>
      <w:r w:rsidR="00F44832">
        <w:t>(</w:t>
      </w:r>
      <w:r w:rsidRPr="00F44832" w:rsidR="00F44832">
        <w:rPr>
          <w:i/>
          <w:iCs/>
        </w:rPr>
        <w:t xml:space="preserve">People ex rel. Harris v. Pac Anchor Transportation, Inc. </w:t>
      </w:r>
      <w:r w:rsidR="00F44832">
        <w:t>(2014) 59</w:t>
      </w:r>
      <w:r w:rsidR="00E97343">
        <w:t> </w:t>
      </w:r>
      <w:r w:rsidR="00F44832">
        <w:t>Cal.4th 772, 777.)</w:t>
      </w:r>
    </w:p>
    <w:p w:rsidR="00D23121" w:rsidRPr="0005161E" w:rsidP="005E6DB9" w14:paraId="3F01E476" w14:textId="0F19E9A5">
      <w:pPr>
        <w:spacing w:line="360" w:lineRule="auto"/>
      </w:pPr>
      <w:r>
        <w:tab/>
      </w:r>
      <w:r w:rsidR="009D013D">
        <w:t>“I</w:t>
      </w:r>
      <w:r>
        <w:t>ssues of justiciability, such as mootness, are generally reviewed de novo.”  (</w:t>
      </w:r>
      <w:r w:rsidRPr="00F050B4">
        <w:rPr>
          <w:i/>
          <w:iCs/>
        </w:rPr>
        <w:t>Robinson v. U-Haul Co. of California</w:t>
      </w:r>
      <w:r>
        <w:t xml:space="preserve"> (2016) 4</w:t>
      </w:r>
      <w:r w:rsidR="00E97343">
        <w:t> </w:t>
      </w:r>
      <w:r>
        <w:t>Cal.App.5th 304, 319.)  However, insofar as the trial court’s rejection of the “public interest exception to mootness is an exercise of the court’s ‘inherent discretion’ [citation], [this] determination [is] arguably . . . subject to an abuse of discretion standard of review.”  (</w:t>
      </w:r>
      <w:r w:rsidRPr="009C25D1">
        <w:rPr>
          <w:i/>
          <w:iCs/>
        </w:rPr>
        <w:t>Ibid</w:t>
      </w:r>
      <w:r>
        <w:t>.)</w:t>
      </w:r>
    </w:p>
    <w:p w:rsidR="008A65F9" w:rsidRPr="00804ABA" w:rsidP="009A433C" w14:paraId="1AA411AB" w14:textId="1CED2230">
      <w:pPr>
        <w:pStyle w:val="Heading1"/>
        <w:keepNext w:val="0"/>
        <w:keepLines w:val="0"/>
        <w:spacing w:before="0" w:after="0" w:line="360" w:lineRule="auto"/>
      </w:pPr>
      <w:r w:rsidRPr="00804ABA">
        <w:t>CEQA Claim</w:t>
      </w:r>
    </w:p>
    <w:p w:rsidR="00B0524F" w:rsidP="009A433C" w14:paraId="262DA4F6" w14:textId="54E426E0">
      <w:pPr>
        <w:spacing w:line="360" w:lineRule="auto"/>
      </w:pPr>
      <w:r>
        <w:tab/>
      </w:r>
      <w:r w:rsidRPr="00965CCC">
        <w:t>The purpose of CEQA is to protect and maintain California</w:t>
      </w:r>
      <w:r>
        <w:t>’</w:t>
      </w:r>
      <w:r w:rsidRPr="00965CCC">
        <w:t>s environmental quality.</w:t>
      </w:r>
      <w:r>
        <w:t xml:space="preserve">  (§ 21000.)  As explained in the CEQA Guidelines,</w:t>
      </w:r>
      <w:r>
        <w:rPr>
          <w:rStyle w:val="FootnoteReference"/>
        </w:rPr>
        <w:footnoteReference w:id="7"/>
      </w:r>
      <w:r>
        <w:t xml:space="preserve"> “CEQA is intended to be used in conjunction with discretionary powers granted to public agencies by other laws.  [¶] []</w:t>
      </w:r>
      <w:r w:rsidR="00501554">
        <w:t> </w:t>
      </w:r>
      <w:r>
        <w:t>CEQA does not grant an agency new powers independent of the powers granted to the agency by other laws.  [¶] []</w:t>
      </w:r>
      <w:r w:rsidR="00501554">
        <w:t> </w:t>
      </w:r>
      <w:r>
        <w:t>Where another law grants an agency discretionary powers, CEQA supplements those discretionary powers by authorizing the agency to use the discretionary powers to mitigate or avoid significant effects on the environment when it is feasible to do so with respect to projects subject to the powers of the agency.”  (CEQA Guidelines,</w:t>
      </w:r>
      <w:r w:rsidRPr="00303685">
        <w:t xml:space="preserve"> §</w:t>
      </w:r>
      <w:r w:rsidR="00501554">
        <w:t> </w:t>
      </w:r>
      <w:r>
        <w:t>15040.)</w:t>
      </w:r>
      <w:r w:rsidRPr="008471F3">
        <w:rPr>
          <w:rStyle w:val="FootnoteReference"/>
        </w:rPr>
        <w:t xml:space="preserve"> </w:t>
      </w:r>
      <w:r w:rsidR="00E25DD4">
        <w:t xml:space="preserve"> </w:t>
      </w:r>
    </w:p>
    <w:p w:rsidR="00B0524F" w:rsidP="00B0524F" w14:paraId="401E3554" w14:textId="29B54BA0">
      <w:pPr>
        <w:spacing w:line="360" w:lineRule="auto"/>
      </w:pPr>
      <w:r>
        <w:tab/>
        <w:t>CEQA establishes “a three-tier process to ensure that public agencies inform their decisions with environmental considerations.”  (</w:t>
      </w:r>
      <w:r w:rsidRPr="00896BC1">
        <w:rPr>
          <w:i/>
          <w:iCs/>
        </w:rPr>
        <w:t>Muzzy Ranch Co. v. Solano County Airport Land Use Com</w:t>
      </w:r>
      <w:r>
        <w:t>. (2007) 41</w:t>
      </w:r>
      <w:r w:rsidR="00501554">
        <w:t> </w:t>
      </w:r>
      <w:r>
        <w:t>Cal.4th 372, 379–380.)</w:t>
      </w:r>
      <w:r w:rsidRPr="00133606">
        <w:t xml:space="preserve"> </w:t>
      </w:r>
      <w:r>
        <w:t xml:space="preserve"> In this case, we are concerned only with the first tier, which requires that “an agency conduct a preliminary review to determine whether an activity is subject to CEQA.”  (</w:t>
      </w:r>
      <w:r>
        <w:rPr>
          <w:i/>
          <w:iCs/>
        </w:rPr>
        <w:t>Id</w:t>
      </w:r>
      <w:r>
        <w:t>.</w:t>
      </w:r>
      <w:r w:rsidR="00C737FD">
        <w:t xml:space="preserve"> at p.</w:t>
      </w:r>
      <w:r w:rsidR="009A5BC1">
        <w:t> </w:t>
      </w:r>
      <w:r w:rsidR="00C737FD">
        <w:t>380</w:t>
      </w:r>
      <w:r w:rsidR="009A5BC1">
        <w:t>.</w:t>
      </w:r>
      <w:r>
        <w:t>)</w:t>
      </w:r>
      <w:r w:rsidRPr="00133606">
        <w:t xml:space="preserve"> </w:t>
      </w:r>
      <w:r>
        <w:t xml:space="preserve"> “</w:t>
      </w:r>
      <w:r w:rsidRPr="00D33778">
        <w:t xml:space="preserve">An activity that is not a </w:t>
      </w:r>
      <w:r>
        <w:t>‘</w:t>
      </w:r>
      <w:r w:rsidRPr="00D33778">
        <w:t>project</w:t>
      </w:r>
      <w:r>
        <w:t>’</w:t>
      </w:r>
      <w:r w:rsidRPr="00D33778">
        <w:t xml:space="preserve"> as defined in the Public Resources Code (see §</w:t>
      </w:r>
      <w:r w:rsidR="00F70CEE">
        <w:t> </w:t>
      </w:r>
      <w:r w:rsidRPr="00D33778">
        <w:t>21065) and the CEQA Guidelines (see §</w:t>
      </w:r>
      <w:r w:rsidR="00F70CEE">
        <w:t> </w:t>
      </w:r>
      <w:r w:rsidRPr="00D33778">
        <w:t>15378) is not subject to CEQA.</w:t>
      </w:r>
      <w:r>
        <w:t xml:space="preserve">” </w:t>
      </w:r>
      <w:r w:rsidRPr="00D33778">
        <w:t xml:space="preserve"> (</w:t>
      </w:r>
      <w:r>
        <w:rPr>
          <w:i/>
          <w:iCs/>
        </w:rPr>
        <w:t>Ibid</w:t>
      </w:r>
      <w:r>
        <w:t>.)</w:t>
      </w:r>
      <w:r w:rsidRPr="00133606">
        <w:t xml:space="preserve"> </w:t>
      </w:r>
      <w:r>
        <w:t xml:space="preserve"> As relevant here, section</w:t>
      </w:r>
      <w:r w:rsidR="00F70CEE">
        <w:t> </w:t>
      </w:r>
      <w:r>
        <w:t>21065 defines a</w:t>
      </w:r>
      <w:r w:rsidRPr="00D33778">
        <w:t xml:space="preserve"> </w:t>
      </w:r>
      <w:r>
        <w:t>“Project” as “an activity which may cause either a direct physical change in the environment, or a reasonably foreseeable indirect physical change in the environment, and which is any of the following:</w:t>
      </w:r>
      <w:r w:rsidR="000B2D83">
        <w:t xml:space="preserve"> </w:t>
      </w:r>
      <w:r>
        <w:t xml:space="preserve"> [¶] . . . [¶] </w:t>
      </w:r>
      <w:r w:rsidRPr="00CA4AAF">
        <w:t>(c)</w:t>
      </w:r>
      <w:r w:rsidR="00F70CEE">
        <w:t> </w:t>
      </w:r>
      <w:r w:rsidRPr="00CA4AAF">
        <w:t>An activity that involves the issuance to a person of a lease, permit, license, certificate, or other entitlement for use by one or more public agencies</w:t>
      </w:r>
      <w:r>
        <w:t>.”</w:t>
      </w:r>
      <w:r>
        <w:rPr>
          <w:rStyle w:val="FootnoteReference"/>
        </w:rPr>
        <w:footnoteReference w:id="8"/>
      </w:r>
      <w:r>
        <w:t xml:space="preserve">  </w:t>
      </w:r>
      <w:r w:rsidR="00575AB2">
        <w:t>However, b</w:t>
      </w:r>
      <w:r w:rsidR="004601C6">
        <w:t>ecause CEQA regulates the use of discretionary powers, it does not apply to a project that requires only “ministerial” approval.  (§</w:t>
      </w:r>
      <w:r w:rsidR="00F70CEE">
        <w:t> </w:t>
      </w:r>
      <w:r w:rsidR="004601C6">
        <w:t>21080, subd.</w:t>
      </w:r>
      <w:r w:rsidR="00F70CEE">
        <w:t> </w:t>
      </w:r>
      <w:r w:rsidR="004601C6">
        <w:t xml:space="preserve">(b)(1); </w:t>
      </w:r>
      <w:r w:rsidRPr="00BB2F88" w:rsidR="004601C6">
        <w:rPr>
          <w:i/>
          <w:iCs/>
        </w:rPr>
        <w:t>Mission Peak Conservancy v. State Water Resources Control Bd.</w:t>
      </w:r>
      <w:r w:rsidR="004601C6">
        <w:t xml:space="preserve"> (2021) 72</w:t>
      </w:r>
      <w:r w:rsidR="00F70CEE">
        <w:t> </w:t>
      </w:r>
      <w:r w:rsidR="004601C6">
        <w:t>Cal.App.5th 873, 880.)</w:t>
      </w:r>
      <w:r w:rsidR="000E7D3D">
        <w:t xml:space="preserve">  </w:t>
      </w:r>
      <w:r w:rsidRPr="00B169E1" w:rsidR="00B169E1">
        <w:t xml:space="preserve">“A project is discretionary when an agency is required to exercise judgment or deliberation in deciding whether to approve an activity.” </w:t>
      </w:r>
      <w:r w:rsidR="009304F7">
        <w:t xml:space="preserve"> </w:t>
      </w:r>
      <w:r w:rsidRPr="00B169E1" w:rsidR="00B169E1">
        <w:t>(</w:t>
      </w:r>
      <w:r w:rsidRPr="00B169E1" w:rsidR="00B169E1">
        <w:rPr>
          <w:i/>
          <w:iCs/>
        </w:rPr>
        <w:t>Protecting Our Water &amp; Environmental Resources v. County of Stanislaus</w:t>
      </w:r>
      <w:r w:rsidRPr="00B169E1" w:rsidR="00B169E1">
        <w:t xml:space="preserve"> (2020) 10</w:t>
      </w:r>
      <w:r w:rsidR="00F70CEE">
        <w:t> </w:t>
      </w:r>
      <w:r w:rsidRPr="00B169E1" w:rsidR="00B169E1">
        <w:t>Cal.5th 479, 489</w:t>
      </w:r>
      <w:r w:rsidR="00B169E1">
        <w:t>.)</w:t>
      </w:r>
    </w:p>
    <w:p w:rsidR="00B0524F" w:rsidP="00B0524F" w14:paraId="61F0A7B0" w14:textId="4E169E23">
      <w:pPr>
        <w:spacing w:line="360" w:lineRule="auto"/>
      </w:pPr>
      <w:r>
        <w:tab/>
        <w:t>“When a governmental agency . . . has violated CEQA, ‘[t]he mechanism through which the remedy or remedies are implemented [to correct the CEQA violation] is a peremptory writ of mandate.’</w:t>
      </w:r>
      <w:r w:rsidR="00F70CEE">
        <w:t> </w:t>
      </w:r>
      <w:r>
        <w:t>”  (</w:t>
      </w:r>
      <w:r w:rsidRPr="00E00114">
        <w:rPr>
          <w:i/>
          <w:iCs/>
        </w:rPr>
        <w:t>McCann v. City of San Diego</w:t>
      </w:r>
      <w:r>
        <w:t xml:space="preserve"> (2023) 94</w:t>
      </w:r>
      <w:r w:rsidR="00F70CEE">
        <w:t> </w:t>
      </w:r>
      <w:r>
        <w:t>Cal.App.5th 284, 292.)  Under section</w:t>
      </w:r>
      <w:r w:rsidR="00F70CEE">
        <w:t> </w:t>
      </w:r>
      <w:r>
        <w:t xml:space="preserve">21168.5, “In </w:t>
      </w:r>
      <w:r w:rsidRPr="0026501D">
        <w:t>any action or proceeding, other than an action or proceeding under Section</w:t>
      </w:r>
      <w:r w:rsidR="00F70CEE">
        <w:t> </w:t>
      </w:r>
      <w:r w:rsidRPr="0026501D">
        <w:t xml:space="preserve">21168, to attack, review, set aside, void or annul a determination, finding, or decision of a public agency on the grounds of noncompliance with this division, the inquiry shall extend only to whether there was a prejudicial abuse of discretion. </w:t>
      </w:r>
      <w:r>
        <w:t xml:space="preserve"> </w:t>
      </w:r>
      <w:r w:rsidRPr="0026501D">
        <w:t>Abuse of discretion is established if the agency has not proceeded in a manner required by law or if the determination or decision is not supported by substantial evidence.</w:t>
      </w:r>
      <w:r>
        <w:t>”</w:t>
      </w:r>
    </w:p>
    <w:p w:rsidR="00313195" w:rsidRPr="00313195" w:rsidP="00583F65" w14:paraId="65BBCA50" w14:textId="77777777">
      <w:pPr>
        <w:pStyle w:val="ListParagraph"/>
        <w:keepNext/>
        <w:numPr>
          <w:ilvl w:val="0"/>
          <w:numId w:val="21"/>
        </w:numPr>
        <w:spacing w:line="360" w:lineRule="auto"/>
      </w:pPr>
      <w:r w:rsidRPr="004C7711">
        <w:rPr>
          <w:b/>
          <w:bCs/>
        </w:rPr>
        <w:t>Mootness</w:t>
      </w:r>
    </w:p>
    <w:p w:rsidR="00313195" w:rsidP="00791BC0" w14:paraId="0AF94383" w14:textId="088A1384">
      <w:pPr>
        <w:spacing w:line="360" w:lineRule="auto"/>
      </w:pPr>
      <w:r>
        <w:tab/>
      </w:r>
      <w:r w:rsidR="000010C3">
        <w:t>As an initial matter, t</w:t>
      </w:r>
      <w:r w:rsidR="009C7A17">
        <w:t xml:space="preserve">he Club, joined by the City, </w:t>
      </w:r>
      <w:r w:rsidR="00343459">
        <w:t xml:space="preserve">argues that the </w:t>
      </w:r>
      <w:r w:rsidR="000B3F77">
        <w:t>CEQA claim</w:t>
      </w:r>
      <w:r w:rsidR="008D12F8">
        <w:t xml:space="preserve"> is</w:t>
      </w:r>
      <w:r w:rsidR="00343459">
        <w:t xml:space="preserve"> moot because there is no effective relief the court can order now that the </w:t>
      </w:r>
      <w:r w:rsidR="000010C3">
        <w:t>P</w:t>
      </w:r>
      <w:r w:rsidR="00343459">
        <w:t>roject has been completed.</w:t>
      </w:r>
      <w:r w:rsidR="00CF525C">
        <w:t xml:space="preserve"> </w:t>
      </w:r>
      <w:r w:rsidR="00370F4A">
        <w:t xml:space="preserve"> </w:t>
      </w:r>
      <w:r w:rsidR="00DB51DC">
        <w:t>“</w:t>
      </w:r>
      <w:r w:rsidR="00F70CEE">
        <w:t> </w:t>
      </w:r>
      <w:r w:rsidR="00DB51DC">
        <w:t>‘</w:t>
      </w:r>
      <w:r w:rsidR="00F70CEE">
        <w:t> </w:t>
      </w:r>
      <w:r>
        <w:t>“</w:t>
      </w:r>
      <w:r w:rsidR="00DB51DC">
        <w:t xml:space="preserve">It is well settled that an appellate court will decide only actual controversies and that a live appeal may be rendered moot by events occurring after the notice of appeal was filed. </w:t>
      </w:r>
      <w:r w:rsidR="006043F0">
        <w:t xml:space="preserve"> </w:t>
      </w:r>
      <w:r w:rsidR="00DB51DC">
        <w:t>We will not render opinions on moot questions or abstract propositions, or declare principles of law which cannot affect the matter at issue on appeal.”</w:t>
      </w:r>
      <w:r w:rsidR="00F70CEE">
        <w:t> </w:t>
      </w:r>
      <w:r>
        <w:t>’</w:t>
      </w:r>
      <w:r w:rsidR="00DB51DC">
        <w:t xml:space="preserve"> </w:t>
      </w:r>
      <w:r w:rsidR="006043F0">
        <w:t xml:space="preserve"> </w:t>
      </w:r>
      <w:r>
        <w:t xml:space="preserve">[Citation.] </w:t>
      </w:r>
      <w:r w:rsidR="006043F0">
        <w:t xml:space="preserve"> </w:t>
      </w:r>
      <w:r>
        <w:t>‘</w:t>
      </w:r>
      <w:r w:rsidR="00DB51DC">
        <w:t xml:space="preserve">A case is moot when the decision of the reviewing court </w:t>
      </w:r>
      <w:r>
        <w:t>“</w:t>
      </w:r>
      <w:r w:rsidR="00DB51DC">
        <w:t>can have no practical impact or provide the parties effectual relief.</w:t>
      </w:r>
      <w:r>
        <w:t>”</w:t>
      </w:r>
      <w:r w:rsidR="00F70CEE">
        <w:t> </w:t>
      </w:r>
      <w:r w:rsidR="00DB51DC">
        <w:t xml:space="preserve">’ </w:t>
      </w:r>
      <w:r>
        <w:t xml:space="preserve">[Citation.] </w:t>
      </w:r>
      <w:r w:rsidR="006043F0">
        <w:t xml:space="preserve"> </w:t>
      </w:r>
      <w:r>
        <w:t>[¶] </w:t>
      </w:r>
      <w:r w:rsidR="006043F0">
        <w:t xml:space="preserve"> </w:t>
      </w:r>
      <w:r>
        <w:t>‘</w:t>
      </w:r>
      <w:r w:rsidR="00DB51DC">
        <w:t xml:space="preserve">Stated differently, moot cases </w:t>
      </w:r>
      <w:r>
        <w:t>“</w:t>
      </w:r>
      <w:r w:rsidR="00DB51DC">
        <w:t xml:space="preserve">are </w:t>
      </w:r>
      <w:r>
        <w:t>‘</w:t>
      </w:r>
      <w:r w:rsidR="00DB51DC">
        <w:t>[t]hose in which an actual controversy did exist but, by the passage of time or a change in circumstances, ceased to exist.</w:t>
      </w:r>
      <w:r>
        <w:t>’</w:t>
      </w:r>
      <w:r w:rsidR="00633A1C">
        <w:t> </w:t>
      </w:r>
      <w:r w:rsidR="00DB51DC">
        <w:t>”</w:t>
      </w:r>
      <w:r w:rsidR="00633A1C">
        <w:t> </w:t>
      </w:r>
      <w:r w:rsidR="00DB51DC">
        <w:t xml:space="preserve">’ </w:t>
      </w:r>
      <w:r w:rsidR="006043F0">
        <w:t xml:space="preserve"> </w:t>
      </w:r>
      <w:r>
        <w:t>[Citation.]</w:t>
      </w:r>
      <w:r w:rsidR="00DB51DC">
        <w:t xml:space="preserve"> </w:t>
      </w:r>
      <w:r>
        <w:t>‘</w:t>
      </w:r>
      <w:r w:rsidR="00DB51DC">
        <w:t>The pivotal question in determining if a case is moot is therefore whether the court can grant the plaintiff any effectual relief.</w:t>
      </w:r>
      <w:r>
        <w:t>’</w:t>
      </w:r>
      <w:r w:rsidR="00633A1C">
        <w:t> </w:t>
      </w:r>
      <w:r w:rsidR="00DB51DC">
        <w:t>”</w:t>
      </w:r>
      <w:r w:rsidR="00A10E1B">
        <w:t xml:space="preserve"> </w:t>
      </w:r>
      <w:r w:rsidR="00DB51DC">
        <w:t xml:space="preserve"> (</w:t>
      </w:r>
      <w:r w:rsidRPr="004922E6" w:rsidR="00DB51DC">
        <w:rPr>
          <w:i/>
          <w:iCs/>
        </w:rPr>
        <w:t>Comm</w:t>
      </w:r>
      <w:r w:rsidR="009A5BC1">
        <w:rPr>
          <w:i/>
          <w:iCs/>
        </w:rPr>
        <w:t>ittee</w:t>
      </w:r>
      <w:r w:rsidRPr="004922E6" w:rsidR="00DB51DC">
        <w:rPr>
          <w:i/>
          <w:iCs/>
        </w:rPr>
        <w:t xml:space="preserve"> for Sound Water &amp; Land Dev</w:t>
      </w:r>
      <w:r w:rsidR="00140D12">
        <w:rPr>
          <w:i/>
          <w:iCs/>
        </w:rPr>
        <w:t>elopment</w:t>
      </w:r>
      <w:r w:rsidRPr="004922E6" w:rsidR="00DB51DC">
        <w:rPr>
          <w:i/>
          <w:iCs/>
        </w:rPr>
        <w:t xml:space="preserve"> v. City of Seaside</w:t>
      </w:r>
      <w:r>
        <w:t xml:space="preserve"> (2022)</w:t>
      </w:r>
      <w:r w:rsidR="00DB51DC">
        <w:t xml:space="preserve"> 79</w:t>
      </w:r>
      <w:r w:rsidR="00633A1C">
        <w:t> </w:t>
      </w:r>
      <w:r w:rsidR="00DB51DC">
        <w:t>Cal.App.5th 389, 405</w:t>
      </w:r>
      <w:r>
        <w:t>.</w:t>
      </w:r>
      <w:r w:rsidR="00DB51DC">
        <w:t>)</w:t>
      </w:r>
    </w:p>
    <w:p w:rsidR="003013B2" w:rsidP="00305C5C" w14:paraId="4DB57DB7" w14:textId="7A6417E3">
      <w:pPr>
        <w:spacing w:line="360" w:lineRule="auto"/>
      </w:pPr>
      <w:r>
        <w:tab/>
      </w:r>
      <w:r w:rsidR="0075454D">
        <w:t>We disagree</w:t>
      </w:r>
      <w:r w:rsidR="00B74B03">
        <w:t xml:space="preserve"> that the </w:t>
      </w:r>
      <w:r w:rsidR="000B3F77">
        <w:t>claim is</w:t>
      </w:r>
      <w:r w:rsidR="00B74B03">
        <w:t xml:space="preserve"> moot.</w:t>
      </w:r>
      <w:r>
        <w:rPr>
          <w:rStyle w:val="FootnoteReference"/>
        </w:rPr>
        <w:footnoteReference w:id="9"/>
      </w:r>
      <w:r w:rsidR="00B74B03">
        <w:t xml:space="preserve">  </w:t>
      </w:r>
      <w:r w:rsidR="00E95B6C">
        <w:t xml:space="preserve">In </w:t>
      </w:r>
      <w:r w:rsidRPr="00D749B3" w:rsidR="00E95B6C">
        <w:rPr>
          <w:i/>
          <w:iCs/>
        </w:rPr>
        <w:t>Bakersfield</w:t>
      </w:r>
      <w:r w:rsidRPr="00305C5C" w:rsidR="00E95B6C">
        <w:rPr>
          <w:i/>
          <w:iCs/>
        </w:rPr>
        <w:t xml:space="preserve"> Citizens for Local Control v. City of Bakersfield</w:t>
      </w:r>
      <w:r w:rsidRPr="00E95B6C" w:rsidR="00E95B6C">
        <w:t xml:space="preserve"> (2004) 124</w:t>
      </w:r>
      <w:r w:rsidR="00633A1C">
        <w:t> </w:t>
      </w:r>
      <w:r w:rsidRPr="00E95B6C" w:rsidR="00E95B6C">
        <w:t xml:space="preserve">Cal.App.4th 1184, </w:t>
      </w:r>
      <w:r w:rsidR="001B1E6B">
        <w:t>1203</w:t>
      </w:r>
      <w:r w:rsidR="000D4A7C">
        <w:t>–</w:t>
      </w:r>
      <w:r w:rsidR="006D685A">
        <w:t xml:space="preserve">1204, the court </w:t>
      </w:r>
      <w:r w:rsidR="00305C5C">
        <w:t xml:space="preserve">rejected </w:t>
      </w:r>
      <w:r w:rsidR="00BC0FDD">
        <w:t>Bakersfield’s</w:t>
      </w:r>
      <w:r w:rsidR="00305C5C">
        <w:t xml:space="preserve"> argument that the a</w:t>
      </w:r>
      <w:r w:rsidR="006D685A">
        <w:t>ppeal</w:t>
      </w:r>
      <w:r w:rsidR="00305C5C">
        <w:t>, which</w:t>
      </w:r>
      <w:r w:rsidR="006D685A">
        <w:t xml:space="preserve"> challeng</w:t>
      </w:r>
      <w:r w:rsidR="00305C5C">
        <w:t>ed</w:t>
      </w:r>
      <w:r w:rsidR="006D685A">
        <w:t xml:space="preserve"> </w:t>
      </w:r>
      <w:r w:rsidR="00BB2837">
        <w:t xml:space="preserve">project approvals for </w:t>
      </w:r>
      <w:r w:rsidR="00903971">
        <w:t xml:space="preserve">two </w:t>
      </w:r>
      <w:r w:rsidR="00BB2837">
        <w:t>retail shopping center</w:t>
      </w:r>
      <w:r w:rsidR="00326B1C">
        <w:t>s</w:t>
      </w:r>
      <w:r w:rsidR="00A61EC4">
        <w:t xml:space="preserve">, was </w:t>
      </w:r>
      <w:r w:rsidR="00D749B3">
        <w:t xml:space="preserve">rendered </w:t>
      </w:r>
      <w:r w:rsidR="00A61EC4">
        <w:t>moot</w:t>
      </w:r>
      <w:r w:rsidR="00D749B3">
        <w:t xml:space="preserve"> by the completion of the project</w:t>
      </w:r>
      <w:r w:rsidR="00B7197E">
        <w:t xml:space="preserve">. </w:t>
      </w:r>
      <w:r w:rsidR="00A10E1B">
        <w:t xml:space="preserve"> </w:t>
      </w:r>
      <w:r w:rsidR="00B7197E">
        <w:t xml:space="preserve">The court </w:t>
      </w:r>
      <w:r>
        <w:t xml:space="preserve">held </w:t>
      </w:r>
      <w:r w:rsidR="00B7197E">
        <w:t xml:space="preserve">that while </w:t>
      </w:r>
      <w:r w:rsidR="004E1072">
        <w:t>the shopping center</w:t>
      </w:r>
      <w:r w:rsidR="00326B1C">
        <w:t>s</w:t>
      </w:r>
      <w:r w:rsidR="004E1072">
        <w:t xml:space="preserve"> w</w:t>
      </w:r>
      <w:r w:rsidR="00326B1C">
        <w:t>ere</w:t>
      </w:r>
      <w:r w:rsidR="004E1072">
        <w:t xml:space="preserve"> complete and several businesses were already in operation, </w:t>
      </w:r>
      <w:r w:rsidR="00812D98">
        <w:t xml:space="preserve">the appeal was not moot because, among other reasons, </w:t>
      </w:r>
      <w:r>
        <w:t>“</w:t>
      </w:r>
      <w:r w:rsidR="00305C5C">
        <w:t>even at this late juncture full CEQA compliance would not be a meaningless exercise of form over substance.</w:t>
      </w:r>
      <w:r>
        <w:t xml:space="preserve">” </w:t>
      </w:r>
      <w:r w:rsidR="00A10E1B">
        <w:t xml:space="preserve"> </w:t>
      </w:r>
      <w:r>
        <w:t>(</w:t>
      </w:r>
      <w:r>
        <w:rPr>
          <w:i/>
          <w:iCs/>
        </w:rPr>
        <w:t>Id</w:t>
      </w:r>
      <w:r>
        <w:t>. at p.</w:t>
      </w:r>
      <w:r w:rsidR="00633A1C">
        <w:t> </w:t>
      </w:r>
      <w:r>
        <w:t xml:space="preserve">1204.) </w:t>
      </w:r>
      <w:r w:rsidR="00A10E1B">
        <w:t xml:space="preserve"> </w:t>
      </w:r>
      <w:r>
        <w:t>The court explained, “</w:t>
      </w:r>
      <w:r w:rsidR="00305C5C">
        <w:t>The City possesses discretion to reject either or both of the shopping centers after further environmental study and weighing of the projects</w:t>
      </w:r>
      <w:r>
        <w:t>’</w:t>
      </w:r>
      <w:r w:rsidR="00305C5C">
        <w:t xml:space="preserve"> benefits versus their environmental, economic and social costs. </w:t>
      </w:r>
      <w:r w:rsidR="00D52C33">
        <w:t xml:space="preserve"> </w:t>
      </w:r>
      <w:r w:rsidR="00305C5C">
        <w:t xml:space="preserve">As conditions of reapproval, the City may compel additional mitigation measures or require the projects to be modified, reconfigured or reduced. </w:t>
      </w:r>
      <w:r w:rsidR="00D52C33">
        <w:t xml:space="preserve"> </w:t>
      </w:r>
      <w:r w:rsidR="00305C5C">
        <w:t>The City can require completed portions of the projects to be modified or removed and it can compel restoration of the project sites to their original condition.</w:t>
      </w:r>
      <w:r>
        <w:t xml:space="preserve">” </w:t>
      </w:r>
      <w:r w:rsidR="00A10E1B">
        <w:t xml:space="preserve"> </w:t>
      </w:r>
      <w:r>
        <w:t>(</w:t>
      </w:r>
      <w:r>
        <w:rPr>
          <w:i/>
          <w:iCs/>
        </w:rPr>
        <w:t>Ibid</w:t>
      </w:r>
      <w:r>
        <w:t xml:space="preserve">; see also </w:t>
      </w:r>
      <w:r w:rsidRPr="00B26CC3" w:rsidR="0065114A">
        <w:rPr>
          <w:i/>
          <w:iCs/>
        </w:rPr>
        <w:t>Woodward Park</w:t>
      </w:r>
      <w:r w:rsidRPr="0065114A" w:rsidR="0065114A">
        <w:rPr>
          <w:i/>
          <w:iCs/>
        </w:rPr>
        <w:t xml:space="preserve"> Homeowners Assn v. Garreks, Inc</w:t>
      </w:r>
      <w:r w:rsidRPr="0065114A" w:rsidR="0065114A">
        <w:t>. (2000) 77</w:t>
      </w:r>
      <w:r w:rsidR="00FB32B4">
        <w:t> </w:t>
      </w:r>
      <w:r w:rsidRPr="0065114A" w:rsidR="0065114A">
        <w:t>Cal.App.4th 880, 888</w:t>
      </w:r>
      <w:r w:rsidR="00A646E4">
        <w:t xml:space="preserve"> </w:t>
      </w:r>
      <w:r w:rsidR="00190617">
        <w:t>[</w:t>
      </w:r>
      <w:r w:rsidR="00903971">
        <w:t>c</w:t>
      </w:r>
      <w:r w:rsidRPr="00190617" w:rsidR="00190617">
        <w:t>hallenge to approval of car wash without preparation of an EIR</w:t>
      </w:r>
      <w:r w:rsidR="00190617">
        <w:t xml:space="preserve"> is not moot</w:t>
      </w:r>
      <w:r w:rsidR="0077630B">
        <w:t xml:space="preserve">, despite completion of project, where “decision </w:t>
      </w:r>
      <w:r w:rsidRPr="0077630B" w:rsidR="0077630B">
        <w:t xml:space="preserve">upholding the </w:t>
      </w:r>
      <w:r w:rsidR="001A5480">
        <w:t>[</w:t>
      </w:r>
      <w:r w:rsidRPr="0077630B" w:rsidR="0077630B">
        <w:t>court’s</w:t>
      </w:r>
      <w:r w:rsidR="001A5480">
        <w:t>]</w:t>
      </w:r>
      <w:r w:rsidRPr="0077630B" w:rsidR="0077630B">
        <w:t xml:space="preserve"> order directing </w:t>
      </w:r>
      <w:r w:rsidR="001A5480">
        <w:t>[</w:t>
      </w:r>
      <w:r w:rsidRPr="0077630B" w:rsidR="0077630B">
        <w:t>the</w:t>
      </w:r>
      <w:r w:rsidR="001A5480">
        <w:t>]</w:t>
      </w:r>
      <w:r w:rsidRPr="0077630B" w:rsidR="0077630B">
        <w:t xml:space="preserve"> preparation of an EIR could result in modification of the project to mitigate adverse impacts or </w:t>
      </w:r>
      <w:r w:rsidR="00F83B4C">
        <w:t xml:space="preserve">. . . </w:t>
      </w:r>
      <w:r w:rsidRPr="0077630B" w:rsidR="0077630B">
        <w:t>removal of the project altogether”</w:t>
      </w:r>
      <w:r w:rsidR="0077630B">
        <w:t>].</w:t>
      </w:r>
      <w:r>
        <w:t>)</w:t>
      </w:r>
    </w:p>
    <w:p w:rsidR="00D930A9" w:rsidP="00305C5C" w14:paraId="0815FED3" w14:textId="5B2EEC10">
      <w:pPr>
        <w:spacing w:line="360" w:lineRule="auto"/>
      </w:pPr>
      <w:r>
        <w:tab/>
        <w:t xml:space="preserve">The same is true here.  </w:t>
      </w:r>
      <w:r w:rsidR="00257025">
        <w:t>The Petition alleges that the Project will increase use of the range and that</w:t>
      </w:r>
      <w:r w:rsidR="00D16498">
        <w:t>,</w:t>
      </w:r>
      <w:r w:rsidR="00257025">
        <w:t xml:space="preserve"> as a result, the contamination of the water flowing off site, noise, and traffic will all increase.  According to the Petition, the County could require the Club to alleviate environmental impacts by engaging in a proactive lead removal program, implementing a pollution prevention plan, using lead-free ammunition at the main range until the Club demonstrates that it is no longer contributing lead to Sulfur Creek and the Russian River, and limiting the hours of use and allowed uses at the main range. </w:t>
      </w:r>
      <w:r w:rsidRPr="00257025" w:rsidR="00257025">
        <w:t xml:space="preserve"> </w:t>
      </w:r>
      <w:r w:rsidR="00257025">
        <w:t xml:space="preserve">Thus, while the Project may be complete, </w:t>
      </w:r>
      <w:r w:rsidRPr="009C3721" w:rsidR="00257025">
        <w:t>mitigat</w:t>
      </w:r>
      <w:r w:rsidR="00257025">
        <w:t xml:space="preserve">ion measures could still be imposed to reduce or </w:t>
      </w:r>
      <w:r w:rsidRPr="009C3721" w:rsidR="00257025">
        <w:t xml:space="preserve">avoid </w:t>
      </w:r>
      <w:r w:rsidR="00257025">
        <w:t xml:space="preserve">the </w:t>
      </w:r>
      <w:r w:rsidRPr="009C3721" w:rsidR="00257025">
        <w:t xml:space="preserve">significant </w:t>
      </w:r>
      <w:r w:rsidR="00257025">
        <w:t xml:space="preserve">environmental impacts alleged in the Petition. </w:t>
      </w:r>
      <w:r w:rsidR="00AB0340">
        <w:t xml:space="preserve"> </w:t>
      </w:r>
      <w:r w:rsidR="00B32889">
        <w:t>The permit and certificate of occupancy issued by the City could be revoked and held in abeyance while the County completes its review.</w:t>
      </w:r>
      <w:r w:rsidR="00050C60">
        <w:t xml:space="preserve">  (</w:t>
      </w:r>
      <w:r w:rsidR="00CE0C64">
        <w:t xml:space="preserve">See, e.g., </w:t>
      </w:r>
      <w:r w:rsidRPr="00CE0C64" w:rsidR="003F353F">
        <w:rPr>
          <w:i/>
          <w:iCs/>
        </w:rPr>
        <w:t>Save Our Skyline v. Board of Permit Appeals</w:t>
      </w:r>
      <w:r w:rsidR="003F353F">
        <w:t xml:space="preserve"> (1976) 60</w:t>
      </w:r>
      <w:r w:rsidR="007E400F">
        <w:t> </w:t>
      </w:r>
      <w:r w:rsidR="003F353F">
        <w:t>Cal.App.3d 512, 514</w:t>
      </w:r>
      <w:r w:rsidR="005C5BC1">
        <w:t>, 522</w:t>
      </w:r>
      <w:r w:rsidR="00F96EA1">
        <w:t xml:space="preserve"> [affirming writ of mandate requiring revocation of building permit for failure to comply </w:t>
      </w:r>
      <w:r w:rsidR="00427AFE">
        <w:t>with</w:t>
      </w:r>
      <w:r w:rsidR="00F96EA1">
        <w:t xml:space="preserve"> CEQA</w:t>
      </w:r>
      <w:r w:rsidR="003F353F">
        <w:t>]</w:t>
      </w:r>
      <w:r w:rsidR="00B27B32">
        <w:t>.)</w:t>
      </w:r>
    </w:p>
    <w:p w:rsidR="00472664" w:rsidP="00305C5C" w14:paraId="11799847" w14:textId="1C06655E">
      <w:pPr>
        <w:spacing w:line="360" w:lineRule="auto"/>
      </w:pPr>
      <w:r>
        <w:tab/>
      </w:r>
      <w:r w:rsidR="00CB02AC">
        <w:t>The Club relies on</w:t>
      </w:r>
      <w:r>
        <w:t xml:space="preserve"> </w:t>
      </w:r>
      <w:r w:rsidRPr="00F04188" w:rsidR="00A07386">
        <w:rPr>
          <w:i/>
          <w:iCs/>
        </w:rPr>
        <w:t>Parkford</w:t>
      </w:r>
      <w:r w:rsidRPr="00A07386" w:rsidR="00A07386">
        <w:rPr>
          <w:i/>
          <w:iCs/>
        </w:rPr>
        <w:t xml:space="preserve"> Owners for a Better Community v. County of Placer </w:t>
      </w:r>
      <w:r w:rsidRPr="00A07386" w:rsidR="00A07386">
        <w:t>(2020) 54</w:t>
      </w:r>
      <w:r w:rsidR="007E400F">
        <w:t> </w:t>
      </w:r>
      <w:r w:rsidRPr="00A07386" w:rsidR="00A07386">
        <w:t>Cal.App.5th 714</w:t>
      </w:r>
      <w:r w:rsidR="00F04188">
        <w:t xml:space="preserve"> (</w:t>
      </w:r>
      <w:r w:rsidR="00F04188">
        <w:rPr>
          <w:i/>
          <w:iCs/>
        </w:rPr>
        <w:t>Parkford</w:t>
      </w:r>
      <w:r w:rsidR="00F04188">
        <w:t>)</w:t>
      </w:r>
      <w:r w:rsidRPr="00A07386" w:rsidR="00A07386">
        <w:t xml:space="preserve"> </w:t>
      </w:r>
      <w:r w:rsidR="00F04188">
        <w:t xml:space="preserve">and </w:t>
      </w:r>
      <w:r w:rsidRPr="00B3089D" w:rsidR="00F04188">
        <w:rPr>
          <w:i/>
          <w:iCs/>
        </w:rPr>
        <w:t>Santa Monica Baykeeper v. City of Malibu</w:t>
      </w:r>
      <w:r w:rsidR="00F04188">
        <w:t xml:space="preserve"> (2011) 193</w:t>
      </w:r>
      <w:r w:rsidR="007E400F">
        <w:t> </w:t>
      </w:r>
      <w:r w:rsidR="00F04188">
        <w:t>Cal.App.4th 1538 (</w:t>
      </w:r>
      <w:r w:rsidRPr="00F04188" w:rsidR="00F04188">
        <w:rPr>
          <w:i/>
          <w:iCs/>
        </w:rPr>
        <w:t>Baykeeper</w:t>
      </w:r>
      <w:r w:rsidR="00F04188">
        <w:t xml:space="preserve">), </w:t>
      </w:r>
      <w:r w:rsidR="00CB02AC">
        <w:t>but they are both distinguishable</w:t>
      </w:r>
      <w:r w:rsidR="00C04FD6">
        <w:t>.</w:t>
      </w:r>
      <w:r w:rsidR="00A07386">
        <w:t xml:space="preserve"> </w:t>
      </w:r>
      <w:r w:rsidR="00257025">
        <w:t xml:space="preserve"> </w:t>
      </w:r>
      <w:r w:rsidR="004721F8">
        <w:t xml:space="preserve">In </w:t>
      </w:r>
      <w:r w:rsidRPr="00F04188" w:rsidR="00F04188">
        <w:rPr>
          <w:i/>
          <w:iCs/>
        </w:rPr>
        <w:t>Parkford</w:t>
      </w:r>
      <w:r w:rsidR="004721F8">
        <w:t xml:space="preserve">, the court found that </w:t>
      </w:r>
      <w:r w:rsidR="00832F4D">
        <w:t>the appellant</w:t>
      </w:r>
      <w:r w:rsidR="00F80011">
        <w:t>’</w:t>
      </w:r>
      <w:r w:rsidR="00832F4D">
        <w:t xml:space="preserve">s </w:t>
      </w:r>
      <w:r w:rsidRPr="00832F4D" w:rsidR="00832F4D">
        <w:t>CEQA claims</w:t>
      </w:r>
      <w:r w:rsidR="00832F4D">
        <w:t xml:space="preserve">, which </w:t>
      </w:r>
      <w:r w:rsidRPr="00832F4D" w:rsidR="00832F4D">
        <w:t>challenge</w:t>
      </w:r>
      <w:r w:rsidR="00832F4D">
        <w:t>d</w:t>
      </w:r>
      <w:r w:rsidRPr="00832F4D" w:rsidR="00832F4D">
        <w:t xml:space="preserve"> </w:t>
      </w:r>
      <w:r w:rsidR="00832F4D">
        <w:t xml:space="preserve">the </w:t>
      </w:r>
      <w:r w:rsidR="008F3B43">
        <w:t xml:space="preserve">expansion </w:t>
      </w:r>
      <w:r w:rsidRPr="00832F4D" w:rsidR="00832F4D">
        <w:t xml:space="preserve">of </w:t>
      </w:r>
      <w:r w:rsidR="00F04188">
        <w:t>self-storage facility</w:t>
      </w:r>
      <w:r w:rsidRPr="00832F4D" w:rsidR="00832F4D">
        <w:t xml:space="preserve"> without preparation of an EIR</w:t>
      </w:r>
      <w:r w:rsidR="00832F4D">
        <w:t xml:space="preserve">, </w:t>
      </w:r>
      <w:r w:rsidRPr="00832F4D" w:rsidR="00832F4D">
        <w:t xml:space="preserve">were rendered moot by completion of the </w:t>
      </w:r>
      <w:r w:rsidR="008F3B43">
        <w:t xml:space="preserve">expansion </w:t>
      </w:r>
      <w:r w:rsidRPr="00832F4D" w:rsidR="00832F4D">
        <w:t>project</w:t>
      </w:r>
      <w:r w:rsidR="00832F4D">
        <w:t>.</w:t>
      </w:r>
      <w:r w:rsidR="00A07386">
        <w:t xml:space="preserve"> </w:t>
      </w:r>
      <w:r w:rsidR="00C04FD6">
        <w:t xml:space="preserve"> </w:t>
      </w:r>
      <w:r w:rsidR="00A07386">
        <w:t>(</w:t>
      </w:r>
      <w:r w:rsidR="00637463">
        <w:rPr>
          <w:i/>
          <w:iCs/>
        </w:rPr>
        <w:t>Parkford,</w:t>
      </w:r>
      <w:r w:rsidR="00A07386">
        <w:t xml:space="preserve"> at p</w:t>
      </w:r>
      <w:r w:rsidR="00637463">
        <w:t>p</w:t>
      </w:r>
      <w:r w:rsidR="00A07386">
        <w:t>.</w:t>
      </w:r>
      <w:r w:rsidR="007E400F">
        <w:t> </w:t>
      </w:r>
      <w:r w:rsidR="00637463">
        <w:t>716–</w:t>
      </w:r>
      <w:r w:rsidR="00185F21">
        <w:t>717.</w:t>
      </w:r>
      <w:r w:rsidR="00CB3254">
        <w:t>)</w:t>
      </w:r>
      <w:r w:rsidR="00C04FD6">
        <w:t xml:space="preserve"> </w:t>
      </w:r>
      <w:r w:rsidR="00CB3254">
        <w:t xml:space="preserve"> </w:t>
      </w:r>
      <w:r w:rsidR="00185F21">
        <w:t>Unlike in the present case,</w:t>
      </w:r>
      <w:r w:rsidR="00CB3254">
        <w:t xml:space="preserve"> however, </w:t>
      </w:r>
      <w:r w:rsidR="00452891">
        <w:t xml:space="preserve">although </w:t>
      </w:r>
      <w:r w:rsidR="00DC1312">
        <w:t xml:space="preserve">the appellant argued summarily in </w:t>
      </w:r>
      <w:r w:rsidRPr="00B133E1" w:rsidR="00B133E1">
        <w:t>the trial court that the County could still “</w:t>
      </w:r>
      <w:r w:rsidR="0046456F">
        <w:t> </w:t>
      </w:r>
      <w:r w:rsidR="00DC1312">
        <w:t>‘</w:t>
      </w:r>
      <w:r w:rsidRPr="00B133E1" w:rsidR="00B133E1">
        <w:t>modify the project or impose mitigation measures, or require that the property be restored,</w:t>
      </w:r>
      <w:r w:rsidR="00DC1312">
        <w:t>’</w:t>
      </w:r>
      <w:r w:rsidR="007E400F">
        <w:t> </w:t>
      </w:r>
      <w:r w:rsidRPr="00B133E1" w:rsidR="00B133E1">
        <w:t xml:space="preserve">” </w:t>
      </w:r>
      <w:r w:rsidR="00452891">
        <w:t xml:space="preserve">it </w:t>
      </w:r>
      <w:r w:rsidR="00DC1312">
        <w:t xml:space="preserve">did not </w:t>
      </w:r>
      <w:r w:rsidR="002F2698">
        <w:t xml:space="preserve">elaborate </w:t>
      </w:r>
      <w:r w:rsidR="00C67A78">
        <w:t>and it did not</w:t>
      </w:r>
      <w:r w:rsidR="002F2698">
        <w:t xml:space="preserve"> </w:t>
      </w:r>
      <w:r w:rsidR="00DC1312">
        <w:t>reassert that</w:t>
      </w:r>
      <w:r w:rsidRPr="00B133E1" w:rsidR="00B133E1">
        <w:t xml:space="preserve"> argument in its briefing on appeal.</w:t>
      </w:r>
      <w:r w:rsidR="00DC1312">
        <w:t xml:space="preserve"> </w:t>
      </w:r>
      <w:r w:rsidR="00C04FD6">
        <w:t xml:space="preserve"> </w:t>
      </w:r>
      <w:r w:rsidR="00DC1312">
        <w:t>(</w:t>
      </w:r>
      <w:r w:rsidRPr="00BF741C" w:rsidR="00DC1312">
        <w:rPr>
          <w:i/>
          <w:iCs/>
        </w:rPr>
        <w:t>Id</w:t>
      </w:r>
      <w:r w:rsidR="00DC1312">
        <w:t>. at p.</w:t>
      </w:r>
      <w:r w:rsidR="007E400F">
        <w:t> </w:t>
      </w:r>
      <w:r w:rsidR="00DC1312">
        <w:t xml:space="preserve">725.) </w:t>
      </w:r>
      <w:r w:rsidR="00C04FD6">
        <w:t xml:space="preserve"> </w:t>
      </w:r>
      <w:r w:rsidR="00BF741C">
        <w:t xml:space="preserve">Similarly, in </w:t>
      </w:r>
      <w:r w:rsidR="00BF741C">
        <w:rPr>
          <w:i/>
          <w:iCs/>
        </w:rPr>
        <w:t>Baykeeper</w:t>
      </w:r>
      <w:r w:rsidR="00BF741C">
        <w:t xml:space="preserve">, </w:t>
      </w:r>
      <w:r w:rsidR="00450E02">
        <w:t xml:space="preserve">in holding that the completion of </w:t>
      </w:r>
      <w:r w:rsidR="008C4B3D">
        <w:t>a park</w:t>
      </w:r>
      <w:r w:rsidR="00450E02">
        <w:t xml:space="preserve"> project rendered appellant’s CEQA claim moot</w:t>
      </w:r>
      <w:r w:rsidR="008C4B3D">
        <w:t xml:space="preserve">, the </w:t>
      </w:r>
      <w:r w:rsidR="00450E02">
        <w:t>court noted that a</w:t>
      </w:r>
      <w:r w:rsidRPr="00AF6736" w:rsidR="00450E02">
        <w:t>lthough</w:t>
      </w:r>
      <w:r w:rsidR="00450E02">
        <w:t xml:space="preserve"> appellant</w:t>
      </w:r>
      <w:r w:rsidRPr="00AF6736" w:rsidR="00450E02">
        <w:t xml:space="preserve"> claim</w:t>
      </w:r>
      <w:r w:rsidR="00450E02">
        <w:t>ed that</w:t>
      </w:r>
      <w:r w:rsidRPr="00AF6736" w:rsidR="00450E02">
        <w:t xml:space="preserve"> “</w:t>
      </w:r>
      <w:r w:rsidR="00706D37">
        <w:t> ‘</w:t>
      </w:r>
      <w:r w:rsidRPr="00AF6736" w:rsidR="00450E02">
        <w:t>the project can be modified and the construction impacts can be ameliorated,</w:t>
      </w:r>
      <w:r w:rsidR="0096569E">
        <w:t>’ </w:t>
      </w:r>
      <w:r w:rsidRPr="00AF6736" w:rsidR="00450E02">
        <w:t xml:space="preserve">” it </w:t>
      </w:r>
      <w:r w:rsidR="00450E02">
        <w:t>had</w:t>
      </w:r>
      <w:r w:rsidRPr="00AF6736" w:rsidR="00450E02">
        <w:t xml:space="preserve"> not suggest</w:t>
      </w:r>
      <w:r w:rsidR="00450E02">
        <w:t>ed</w:t>
      </w:r>
      <w:r w:rsidRPr="00AF6736" w:rsidR="00450E02">
        <w:t xml:space="preserve"> how that could be accomplished “now that the project is finished and operating</w:t>
      </w:r>
      <w:r w:rsidR="00450E02">
        <w:t>.</w:t>
      </w:r>
      <w:r w:rsidRPr="00AF6736" w:rsidR="00450E02">
        <w:t xml:space="preserve">” </w:t>
      </w:r>
      <w:r w:rsidR="00C04FD6">
        <w:t xml:space="preserve"> </w:t>
      </w:r>
      <w:r w:rsidRPr="00AF6736" w:rsidR="00450E02">
        <w:t>(</w:t>
      </w:r>
      <w:r w:rsidRPr="00A16F26" w:rsidR="0096569E">
        <w:rPr>
          <w:i/>
        </w:rPr>
        <w:t>Baykeeper</w:t>
      </w:r>
      <w:r w:rsidRPr="00A16F26" w:rsidR="00602CEF">
        <w:rPr>
          <w:i/>
        </w:rPr>
        <w:t>,</w:t>
      </w:r>
      <w:r w:rsidR="00450E02">
        <w:t xml:space="preserve"> at p.</w:t>
      </w:r>
      <w:r w:rsidR="007E400F">
        <w:t> </w:t>
      </w:r>
      <w:r w:rsidRPr="00AF6736" w:rsidR="00450E02">
        <w:t>1549</w:t>
      </w:r>
      <w:r w:rsidR="00450E02">
        <w:t>.</w:t>
      </w:r>
      <w:r w:rsidRPr="00AF6736" w:rsidR="00450E02">
        <w:t>)</w:t>
      </w:r>
      <w:r w:rsidR="00450E02">
        <w:t xml:space="preserve"> </w:t>
      </w:r>
      <w:r w:rsidR="0009006F">
        <w:t xml:space="preserve"> Here, Vichy has included allegations about </w:t>
      </w:r>
      <w:r w:rsidR="0010797E">
        <w:t xml:space="preserve">post-completion mitigation measures </w:t>
      </w:r>
      <w:r w:rsidR="0009006F">
        <w:t>in its Petition.</w:t>
      </w:r>
    </w:p>
    <w:p w:rsidR="00CA26DD" w:rsidP="00CA26DD" w14:paraId="1C31BF17" w14:textId="1D8FF4E1">
      <w:pPr>
        <w:spacing w:line="360" w:lineRule="auto"/>
      </w:pPr>
      <w:r>
        <w:tab/>
      </w:r>
      <w:r w:rsidR="00657E25">
        <w:t>We are also not persuaded by</w:t>
      </w:r>
      <w:r>
        <w:t xml:space="preserve"> the Club’s argument</w:t>
      </w:r>
      <w:r w:rsidR="00657E25">
        <w:t xml:space="preserve"> that we should find the claims moot because</w:t>
      </w:r>
      <w:r>
        <w:t xml:space="preserve"> Vichy</w:t>
      </w:r>
      <w:r w:rsidR="00657E25">
        <w:t xml:space="preserve"> did not</w:t>
      </w:r>
      <w:r>
        <w:t xml:space="preserve"> seek a preliminary injunction </w:t>
      </w:r>
      <w:r w:rsidR="00376C9F">
        <w:t xml:space="preserve">staying construction </w:t>
      </w:r>
      <w:r w:rsidR="000348AB">
        <w:t>during the pendency of the litigation</w:t>
      </w:r>
      <w:r>
        <w:t>.</w:t>
      </w:r>
      <w:r w:rsidR="0092101F">
        <w:t xml:space="preserve"> </w:t>
      </w:r>
      <w:r w:rsidR="00C04FD6">
        <w:t xml:space="preserve"> </w:t>
      </w:r>
      <w:r w:rsidR="009D7F5D">
        <w:t xml:space="preserve">Doubtless it would have been preferable for Vichy to ask for temporary injunctive relief; the progress of a project can impact the feasibility of mitigation measures and in some cases can indeed mean there is no longer anything the court could reasonably order as a remedy.  </w:t>
      </w:r>
      <w:r w:rsidR="00621A1D">
        <w:t>Al</w:t>
      </w:r>
      <w:r w:rsidR="00CF13B5">
        <w:t xml:space="preserve">though the Club knew Vichy was challenging the City’s determination that the Project was not subject to CEQA or qualified for an exemption, </w:t>
      </w:r>
      <w:r w:rsidR="009D7F5D">
        <w:t>w</w:t>
      </w:r>
      <w:r w:rsidR="001C67BB">
        <w:t xml:space="preserve">e </w:t>
      </w:r>
      <w:r w:rsidR="00236F6A">
        <w:t>can</w:t>
      </w:r>
      <w:r w:rsidR="001C67BB">
        <w:t xml:space="preserve">not fault </w:t>
      </w:r>
      <w:r w:rsidR="00CF13B5">
        <w:t>it</w:t>
      </w:r>
      <w:r w:rsidR="00236F6A">
        <w:t xml:space="preserve"> for proceeding with construction</w:t>
      </w:r>
      <w:r w:rsidR="006E4E95">
        <w:t xml:space="preserve"> given Vichy’s inaction</w:t>
      </w:r>
      <w:r w:rsidR="009B2BDB">
        <w:t xml:space="preserve">.  </w:t>
      </w:r>
      <w:r w:rsidR="00821E91">
        <w:t>But</w:t>
      </w:r>
      <w:r w:rsidR="001C2BE4">
        <w:t xml:space="preserve"> </w:t>
      </w:r>
      <w:r w:rsidR="004742F5">
        <w:t xml:space="preserve">we </w:t>
      </w:r>
      <w:r w:rsidR="0014441A">
        <w:t>see</w:t>
      </w:r>
      <w:r w:rsidR="004742F5">
        <w:t xml:space="preserve"> no legal basis for </w:t>
      </w:r>
      <w:r w:rsidR="009E2B65">
        <w:t>concluding</w:t>
      </w:r>
      <w:r w:rsidR="004742F5">
        <w:t xml:space="preserve"> that </w:t>
      </w:r>
      <w:r w:rsidR="00E24C42">
        <w:t>a</w:t>
      </w:r>
      <w:r w:rsidR="00BF4661">
        <w:t xml:space="preserve"> </w:t>
      </w:r>
      <w:r w:rsidR="0034465C">
        <w:t xml:space="preserve">petitioner’s </w:t>
      </w:r>
      <w:r w:rsidR="00787157">
        <w:t xml:space="preserve">earlier </w:t>
      </w:r>
      <w:r w:rsidR="00BF4661">
        <w:t xml:space="preserve">failure to seek </w:t>
      </w:r>
      <w:r w:rsidR="00BB4AAF">
        <w:t xml:space="preserve">injunctive relief </w:t>
      </w:r>
      <w:r w:rsidR="002404F7">
        <w:t>requires</w:t>
      </w:r>
      <w:r w:rsidR="00C817C8">
        <w:t xml:space="preserve"> </w:t>
      </w:r>
      <w:r w:rsidR="009E2B65">
        <w:t>a</w:t>
      </w:r>
      <w:r w:rsidR="00C817C8">
        <w:t xml:space="preserve"> court </w:t>
      </w:r>
      <w:r w:rsidR="00787157">
        <w:t>to</w:t>
      </w:r>
      <w:r w:rsidR="00C817C8">
        <w:t xml:space="preserve"> find </w:t>
      </w:r>
      <w:r w:rsidR="00BB4AAF">
        <w:t>a CEQA claim</w:t>
      </w:r>
      <w:r w:rsidR="00C33981">
        <w:t xml:space="preserve"> moot </w:t>
      </w:r>
      <w:r w:rsidR="00BB4AAF">
        <w:t>in a situation in which effective relief remains available</w:t>
      </w:r>
      <w:r w:rsidR="00C33981">
        <w:t>.</w:t>
      </w:r>
    </w:p>
    <w:p w:rsidR="0092101F" w:rsidP="00127329" w14:paraId="2B53462F" w14:textId="12CA10D7">
      <w:pPr>
        <w:spacing w:line="360" w:lineRule="auto"/>
      </w:pPr>
      <w:r>
        <w:tab/>
      </w:r>
      <w:r w:rsidR="002056A3">
        <w:t>T</w:t>
      </w:r>
      <w:r w:rsidR="004B6B47">
        <w:t xml:space="preserve">he cases </w:t>
      </w:r>
      <w:r w:rsidR="006E4E95">
        <w:t>the Club cites</w:t>
      </w:r>
      <w:r w:rsidR="002056A3">
        <w:t xml:space="preserve"> on this subject</w:t>
      </w:r>
      <w:r>
        <w:t>,</w:t>
      </w:r>
      <w:r w:rsidRPr="0057629B">
        <w:rPr>
          <w:i/>
          <w:iCs/>
        </w:rPr>
        <w:t xml:space="preserve"> </w:t>
      </w:r>
      <w:r w:rsidRPr="00B3089D">
        <w:rPr>
          <w:i/>
          <w:iCs/>
        </w:rPr>
        <w:t>Baykeeper</w:t>
      </w:r>
      <w:r>
        <w:rPr>
          <w:i/>
          <w:iCs/>
        </w:rPr>
        <w:t xml:space="preserve">, supra, </w:t>
      </w:r>
      <w:r>
        <w:t>193</w:t>
      </w:r>
      <w:r w:rsidR="001F59AE">
        <w:t> </w:t>
      </w:r>
      <w:r>
        <w:t xml:space="preserve">Cal.App.4th 1538 and </w:t>
      </w:r>
      <w:r w:rsidRPr="005B006A">
        <w:rPr>
          <w:i/>
          <w:iCs/>
        </w:rPr>
        <w:t>Wilson &amp; Wilson v. City Council of Redwood City</w:t>
      </w:r>
      <w:r w:rsidRPr="005B006A">
        <w:t xml:space="preserve"> (2011) 191</w:t>
      </w:r>
      <w:r w:rsidR="001F59AE">
        <w:t> </w:t>
      </w:r>
      <w:r w:rsidRPr="005B006A">
        <w:t>Cal.App.4th 1559</w:t>
      </w:r>
      <w:r>
        <w:t xml:space="preserve">, </w:t>
      </w:r>
      <w:r w:rsidR="005A62BE">
        <w:t>do not</w:t>
      </w:r>
      <w:r w:rsidR="001753CA">
        <w:t xml:space="preserve"> support such a broad proposition</w:t>
      </w:r>
      <w:r>
        <w:t>.</w:t>
      </w:r>
      <w:r w:rsidR="008E7AE1">
        <w:t xml:space="preserve"> </w:t>
      </w:r>
      <w:r w:rsidR="00C04FD6">
        <w:t xml:space="preserve"> </w:t>
      </w:r>
      <w:r>
        <w:t xml:space="preserve">In </w:t>
      </w:r>
      <w:r w:rsidRPr="00B3089D">
        <w:rPr>
          <w:i/>
          <w:iCs/>
        </w:rPr>
        <w:t>Baykeeper</w:t>
      </w:r>
      <w:r>
        <w:rPr>
          <w:i/>
          <w:iCs/>
        </w:rPr>
        <w:t>,</w:t>
      </w:r>
      <w:r>
        <w:t xml:space="preserve"> the court noted that </w:t>
      </w:r>
      <w:r w:rsidR="003546AC">
        <w:t xml:space="preserve">the </w:t>
      </w:r>
      <w:r>
        <w:t xml:space="preserve">appellant had failed to take steps to maintain the status quo pending resolution of its claims by seeking injunctive relief or a stay, doing so only once the case reached the court of appeal and construction was nearly complete. </w:t>
      </w:r>
      <w:r w:rsidR="00C04FD6">
        <w:t xml:space="preserve"> </w:t>
      </w:r>
      <w:r>
        <w:t>(</w:t>
      </w:r>
      <w:r w:rsidRPr="00A16F26" w:rsidR="007831B2">
        <w:rPr>
          <w:i/>
        </w:rPr>
        <w:t>Baykeeper,</w:t>
      </w:r>
      <w:r w:rsidRPr="00874101">
        <w:t xml:space="preserve"> </w:t>
      </w:r>
      <w:r>
        <w:t>at p</w:t>
      </w:r>
      <w:r w:rsidR="00057158">
        <w:t>p</w:t>
      </w:r>
      <w:r>
        <w:t>.</w:t>
      </w:r>
      <w:r w:rsidR="001F59AE">
        <w:t> </w:t>
      </w:r>
      <w:r>
        <w:t>1547</w:t>
      </w:r>
      <w:r w:rsidR="008567D9">
        <w:t>–</w:t>
      </w:r>
      <w:r>
        <w:t xml:space="preserve">1548.) </w:t>
      </w:r>
      <w:r w:rsidR="00C04FD6">
        <w:t xml:space="preserve"> </w:t>
      </w:r>
      <w:r w:rsidR="00335B5C">
        <w:t>But</w:t>
      </w:r>
      <w:r w:rsidR="00831E41">
        <w:t xml:space="preserve"> as discussed above, appellants in that case </w:t>
      </w:r>
      <w:r w:rsidR="00E80FCF">
        <w:t>offered only conclusory arguments regarding what relief might be available.</w:t>
      </w:r>
      <w:r w:rsidR="00831E41">
        <w:t xml:space="preserve"> </w:t>
      </w:r>
      <w:r w:rsidR="00824129">
        <w:t xml:space="preserve"> </w:t>
      </w:r>
      <w:r w:rsidR="008359E8">
        <w:t>I</w:t>
      </w:r>
      <w:r>
        <w:t xml:space="preserve">n </w:t>
      </w:r>
      <w:r w:rsidRPr="005B006A">
        <w:rPr>
          <w:i/>
          <w:iCs/>
        </w:rPr>
        <w:t>Wilson &amp; Wilson v. City Council of Redwood City</w:t>
      </w:r>
      <w:r w:rsidR="0060731F">
        <w:rPr>
          <w:i/>
          <w:iCs/>
        </w:rPr>
        <w:t>, supra,</w:t>
      </w:r>
      <w:r w:rsidRPr="005B006A">
        <w:t xml:space="preserve"> 191</w:t>
      </w:r>
      <w:r w:rsidR="001139BC">
        <w:t> </w:t>
      </w:r>
      <w:r w:rsidRPr="005B006A">
        <w:t>Cal.App.4th 1559</w:t>
      </w:r>
      <w:r w:rsidR="009109B9">
        <w:t>,</w:t>
      </w:r>
      <w:r>
        <w:t xml:space="preserve"> the court held that appellant’s action was moot because construction had been completed prior to entry of judgment in </w:t>
      </w:r>
      <w:r w:rsidR="00292641">
        <w:t xml:space="preserve">the </w:t>
      </w:r>
      <w:r>
        <w:t xml:space="preserve">trial court and no injunctive relief </w:t>
      </w:r>
      <w:r w:rsidR="002368AD">
        <w:t xml:space="preserve">was </w:t>
      </w:r>
      <w:r>
        <w:t>sought.</w:t>
      </w:r>
      <w:r w:rsidR="00AE4C21">
        <w:t xml:space="preserve"> </w:t>
      </w:r>
      <w:r w:rsidR="00C04FD6">
        <w:t xml:space="preserve"> </w:t>
      </w:r>
      <w:r w:rsidR="00AE4C21">
        <w:t>Th</w:t>
      </w:r>
      <w:r w:rsidR="00226FC0">
        <w:t>at</w:t>
      </w:r>
      <w:r w:rsidR="00AE4C21">
        <w:t xml:space="preserve"> case, however, was a reverse validation</w:t>
      </w:r>
      <w:r>
        <w:t xml:space="preserve"> </w:t>
      </w:r>
      <w:r w:rsidR="00AE4C21">
        <w:t>action under</w:t>
      </w:r>
      <w:r w:rsidRPr="00226FC0" w:rsidR="00226FC0">
        <w:t xml:space="preserve"> Code of Civil Procedure section</w:t>
      </w:r>
      <w:r w:rsidR="001139BC">
        <w:t> </w:t>
      </w:r>
      <w:r w:rsidRPr="00226FC0" w:rsidR="00226FC0">
        <w:t>863</w:t>
      </w:r>
      <w:r w:rsidR="0088028D">
        <w:t>,</w:t>
      </w:r>
      <w:r w:rsidR="00226FC0">
        <w:t xml:space="preserve"> </w:t>
      </w:r>
      <w:r w:rsidR="00544F05">
        <w:t xml:space="preserve">not </w:t>
      </w:r>
      <w:r w:rsidR="00983FBC">
        <w:t xml:space="preserve">a </w:t>
      </w:r>
      <w:r w:rsidR="004E52FB">
        <w:t xml:space="preserve">petition for writ of mandate challenging the approval of </w:t>
      </w:r>
      <w:r w:rsidR="00983FBC">
        <w:t>a</w:t>
      </w:r>
      <w:r w:rsidR="004E52FB">
        <w:t xml:space="preserve"> project in violation of CEQA.</w:t>
      </w:r>
      <w:r w:rsidR="007172F2">
        <w:t xml:space="preserve"> </w:t>
      </w:r>
      <w:r w:rsidR="00C04FD6">
        <w:t xml:space="preserve"> </w:t>
      </w:r>
      <w:r w:rsidR="007172F2">
        <w:t>(</w:t>
      </w:r>
      <w:r w:rsidR="007172F2">
        <w:rPr>
          <w:i/>
          <w:iCs/>
        </w:rPr>
        <w:t>Id.</w:t>
      </w:r>
      <w:r w:rsidR="007172F2">
        <w:t xml:space="preserve"> at p.</w:t>
      </w:r>
      <w:r w:rsidR="001139BC">
        <w:t> </w:t>
      </w:r>
      <w:r w:rsidR="007172F2">
        <w:t xml:space="preserve">1567.) </w:t>
      </w:r>
      <w:r w:rsidR="002368AD">
        <w:t xml:space="preserve"> </w:t>
      </w:r>
      <w:r w:rsidR="00641B48">
        <w:t xml:space="preserve">The trial court’s judgment invalidated </w:t>
      </w:r>
      <w:r w:rsidR="009E0EA7">
        <w:t>resolutions and development agreements, but “did not order the City to take any corrective action.”  (</w:t>
      </w:r>
      <w:r w:rsidR="009E0EA7">
        <w:rPr>
          <w:i/>
          <w:iCs/>
        </w:rPr>
        <w:t>Id.</w:t>
      </w:r>
      <w:r w:rsidR="009E0EA7">
        <w:t xml:space="preserve"> at p.</w:t>
      </w:r>
      <w:r w:rsidR="001139BC">
        <w:t> </w:t>
      </w:r>
      <w:r w:rsidR="009E0EA7">
        <w:t xml:space="preserve">1571.)  </w:t>
      </w:r>
      <w:r w:rsidR="003A54AA">
        <w:t xml:space="preserve">Although the court rejected </w:t>
      </w:r>
      <w:r w:rsidR="003E7958">
        <w:t xml:space="preserve">the </w:t>
      </w:r>
      <w:r w:rsidR="003A54AA">
        <w:t xml:space="preserve">appellant’s argument that the developer had </w:t>
      </w:r>
      <w:r w:rsidR="008832BD">
        <w:t>proceeded with construction at its own ris</w:t>
      </w:r>
      <w:r w:rsidR="00127329">
        <w:t>k</w:t>
      </w:r>
      <w:r w:rsidR="008832BD">
        <w:t xml:space="preserve">, </w:t>
      </w:r>
      <w:r w:rsidR="0031676E">
        <w:t>it</w:t>
      </w:r>
      <w:r w:rsidR="00983FBC">
        <w:t xml:space="preserve"> did not </w:t>
      </w:r>
      <w:r w:rsidR="00AE019C">
        <w:t xml:space="preserve">consider any argument </w:t>
      </w:r>
      <w:r w:rsidR="00304D79">
        <w:t xml:space="preserve">that the </w:t>
      </w:r>
      <w:r w:rsidR="004478C1">
        <w:t xml:space="preserve">trial </w:t>
      </w:r>
      <w:r w:rsidR="00304D79">
        <w:t xml:space="preserve">court </w:t>
      </w:r>
      <w:r w:rsidR="007634E6">
        <w:t>c</w:t>
      </w:r>
      <w:r w:rsidR="00304D79">
        <w:t xml:space="preserve">ould or </w:t>
      </w:r>
      <w:r w:rsidR="007634E6">
        <w:t>sh</w:t>
      </w:r>
      <w:r w:rsidR="00304D79">
        <w:t>ould have ordered mitigation measures notwithstanding the completion of construction</w:t>
      </w:r>
      <w:r w:rsidR="008E7AE1">
        <w:t>.</w:t>
      </w:r>
      <w:r w:rsidR="00541B26">
        <w:t xml:space="preserve"> </w:t>
      </w:r>
      <w:r w:rsidR="00C04FD6">
        <w:t xml:space="preserve"> </w:t>
      </w:r>
      <w:r w:rsidR="00541B26">
        <w:t>(</w:t>
      </w:r>
      <w:r w:rsidR="00541B26">
        <w:rPr>
          <w:i/>
          <w:iCs/>
        </w:rPr>
        <w:t xml:space="preserve">Id. </w:t>
      </w:r>
      <w:r w:rsidR="00541B26">
        <w:t>at p</w:t>
      </w:r>
      <w:r w:rsidR="004478C1">
        <w:t>p</w:t>
      </w:r>
      <w:r w:rsidR="00541B26">
        <w:t>.</w:t>
      </w:r>
      <w:r w:rsidR="001139BC">
        <w:t> </w:t>
      </w:r>
      <w:r w:rsidR="00B30798">
        <w:t>1579</w:t>
      </w:r>
      <w:r w:rsidR="00FC08B0">
        <w:t>–</w:t>
      </w:r>
      <w:r w:rsidR="00B30798">
        <w:t>1580</w:t>
      </w:r>
      <w:r w:rsidR="00541B26">
        <w:t>.)</w:t>
      </w:r>
      <w:r w:rsidR="00C04FD6">
        <w:t xml:space="preserve"> </w:t>
      </w:r>
      <w:r w:rsidR="00127329">
        <w:t xml:space="preserve"> </w:t>
      </w:r>
    </w:p>
    <w:p w:rsidR="00AE69C4" w:rsidP="00D079D7" w14:paraId="0107C6A9" w14:textId="390401D4">
      <w:pPr>
        <w:spacing w:line="360" w:lineRule="auto"/>
      </w:pPr>
      <w:r>
        <w:tab/>
      </w:r>
      <w:r w:rsidR="0084572A">
        <w:t xml:space="preserve">Finally, </w:t>
      </w:r>
      <w:r w:rsidR="004618E6">
        <w:t xml:space="preserve">the Club argues that the possible </w:t>
      </w:r>
      <w:r w:rsidRPr="003848D9" w:rsidR="004618E6">
        <w:t>mitigation measures</w:t>
      </w:r>
      <w:r w:rsidR="004618E6">
        <w:t xml:space="preserve"> alleged in the Petition</w:t>
      </w:r>
      <w:r w:rsidRPr="003848D9" w:rsidR="004618E6">
        <w:t xml:space="preserve"> do</w:t>
      </w:r>
      <w:r w:rsidR="004618E6">
        <w:t xml:space="preserve"> </w:t>
      </w:r>
      <w:r w:rsidRPr="003848D9" w:rsidR="004618E6">
        <w:t>n</w:t>
      </w:r>
      <w:r w:rsidR="004618E6">
        <w:t>o</w:t>
      </w:r>
      <w:r w:rsidRPr="003848D9" w:rsidR="004618E6">
        <w:t>t relate to</w:t>
      </w:r>
      <w:r w:rsidR="004618E6">
        <w:t xml:space="preserve"> the</w:t>
      </w:r>
      <w:r w:rsidRPr="003848D9" w:rsidR="004618E6">
        <w:t xml:space="preserve"> harms caused by the </w:t>
      </w:r>
      <w:r w:rsidR="004618E6">
        <w:t>P</w:t>
      </w:r>
      <w:r w:rsidRPr="003848D9" w:rsidR="004618E6">
        <w:t>roject</w:t>
      </w:r>
      <w:r w:rsidR="004618E6">
        <w:t xml:space="preserve">, and that Vichy is improperly attempting to obtain environmental review of the Club’s use of the </w:t>
      </w:r>
      <w:r w:rsidR="004618E6">
        <w:rPr>
          <w:i/>
          <w:iCs/>
        </w:rPr>
        <w:t>entire</w:t>
      </w:r>
      <w:r w:rsidR="004618E6">
        <w:t xml:space="preserve"> facility through its claims regarding the Project. </w:t>
      </w:r>
      <w:r w:rsidRPr="00BE2E63" w:rsidR="004618E6">
        <w:t xml:space="preserve"> </w:t>
      </w:r>
      <w:r w:rsidR="004618E6">
        <w:t>The Club suggests, for example, that the Petition is “silent on how lead-free bullets or annual reclamation efforts would mitigate the discrete construction project at issue.”  This argument, however, ignores the allegation in the Petition that the Project will increase use of the facility, which would in turn result in increased bullets</w:t>
      </w:r>
      <w:r w:rsidR="00365118">
        <w:t xml:space="preserve">.  </w:t>
      </w:r>
      <w:r w:rsidR="009417FA">
        <w:t xml:space="preserve">(Cf. </w:t>
      </w:r>
      <w:r w:rsidRPr="00010AC3" w:rsidR="00010AC3">
        <w:rPr>
          <w:i/>
          <w:iCs/>
        </w:rPr>
        <w:t>Berkeley Keep Jets Over the Bay Committee v. Board of Port Com’rs</w:t>
      </w:r>
      <w:r w:rsidR="00010AC3">
        <w:t xml:space="preserve"> (2001) 91 Cal.App.4th 1344, 1382 [</w:t>
      </w:r>
      <w:r w:rsidR="007B708E">
        <w:t>EIR for airport expansion project did not adequately consider potential noise impact of increased nighttime flights]</w:t>
      </w:r>
      <w:r w:rsidR="00F32376">
        <w:t xml:space="preserve">.) </w:t>
      </w:r>
      <w:r w:rsidR="00365118">
        <w:t xml:space="preserve"> B</w:t>
      </w:r>
      <w:r w:rsidR="00703624">
        <w:t xml:space="preserve">ecause this appeal follows </w:t>
      </w:r>
      <w:r w:rsidR="00E20CCD">
        <w:t>the trial court’s decision</w:t>
      </w:r>
      <w:r w:rsidR="00703624">
        <w:t xml:space="preserve"> sustaining demurrers</w:t>
      </w:r>
      <w:r w:rsidR="0020203F">
        <w:t xml:space="preserve">, </w:t>
      </w:r>
      <w:r w:rsidR="00EE2038">
        <w:t xml:space="preserve">we </w:t>
      </w:r>
      <w:r w:rsidR="003B327A">
        <w:t>cannot</w:t>
      </w:r>
      <w:r w:rsidR="00EE2038">
        <w:t xml:space="preserve"> find the claim moot based on </w:t>
      </w:r>
      <w:r w:rsidR="00774DB6">
        <w:t>factual</w:t>
      </w:r>
      <w:r w:rsidR="00D079D7">
        <w:t xml:space="preserve"> challenge</w:t>
      </w:r>
      <w:r w:rsidR="001C3B39">
        <w:t>s</w:t>
      </w:r>
      <w:r w:rsidR="00D079D7">
        <w:t xml:space="preserve"> to the </w:t>
      </w:r>
      <w:r w:rsidR="00484E8F">
        <w:t>mitigation measures</w:t>
      </w:r>
      <w:r w:rsidR="003B327A">
        <w:t xml:space="preserve"> alleged in the Petition</w:t>
      </w:r>
      <w:r w:rsidR="0076171C">
        <w:t xml:space="preserve">, although the Club </w:t>
      </w:r>
      <w:r w:rsidR="000A5697">
        <w:t>remains</w:t>
      </w:r>
      <w:r w:rsidR="005219FF">
        <w:t xml:space="preserve"> free to raise</w:t>
      </w:r>
      <w:r w:rsidR="0076171C">
        <w:t xml:space="preserve"> those</w:t>
      </w:r>
      <w:r w:rsidR="005219FF">
        <w:t xml:space="preserve"> </w:t>
      </w:r>
      <w:r w:rsidR="00D94996">
        <w:t>issues</w:t>
      </w:r>
      <w:r w:rsidR="005219FF">
        <w:t xml:space="preserve"> later on</w:t>
      </w:r>
      <w:r w:rsidR="003B327A">
        <w:t>.</w:t>
      </w:r>
      <w:r w:rsidR="00484E8F">
        <w:t xml:space="preserve"> </w:t>
      </w:r>
      <w:r w:rsidR="00A934CE">
        <w:t xml:space="preserve"> </w:t>
      </w:r>
    </w:p>
    <w:p w:rsidR="009B4244" w:rsidRPr="00A40BAF" w:rsidP="00BE7B2D" w14:paraId="547B1849" w14:textId="5399F6B0">
      <w:pPr>
        <w:pStyle w:val="ListParagraph"/>
        <w:keepNext/>
        <w:keepLines/>
        <w:numPr>
          <w:ilvl w:val="0"/>
          <w:numId w:val="21"/>
        </w:numPr>
        <w:spacing w:line="360" w:lineRule="auto"/>
        <w:rPr>
          <w:b/>
          <w:bCs/>
        </w:rPr>
      </w:pPr>
      <w:r>
        <w:rPr>
          <w:b/>
          <w:bCs/>
        </w:rPr>
        <w:t>T</w:t>
      </w:r>
      <w:r w:rsidRPr="00A40BAF">
        <w:rPr>
          <w:b/>
          <w:bCs/>
        </w:rPr>
        <w:t>he County</w:t>
      </w:r>
    </w:p>
    <w:p w:rsidR="00EE5B3B" w:rsidP="006E6C97" w14:paraId="7790B334" w14:textId="49B54448">
      <w:pPr>
        <w:spacing w:line="360" w:lineRule="auto"/>
      </w:pPr>
      <w:r>
        <w:tab/>
      </w:r>
      <w:r w:rsidR="00D303CC">
        <w:t xml:space="preserve">The Petition alleges that </w:t>
      </w:r>
      <w:r w:rsidR="00231822">
        <w:t>(1)</w:t>
      </w:r>
      <w:r w:rsidR="001139BC">
        <w:t> </w:t>
      </w:r>
      <w:r w:rsidR="00231822">
        <w:t xml:space="preserve">the County’s local ordinances required the Club to obtain a discretionary </w:t>
      </w:r>
      <w:r w:rsidR="00660802">
        <w:t xml:space="preserve">use </w:t>
      </w:r>
      <w:r w:rsidR="00231822">
        <w:t>permit from the County, and that because the Club’s Project would have reasonably foreseeable significant environmental impacts, the County’s discretionary authority over the Project required CEQA review;</w:t>
      </w:r>
      <w:r w:rsidR="00313A7D">
        <w:t xml:space="preserve"> </w:t>
      </w:r>
      <w:r w:rsidR="00231822">
        <w:t>(2)</w:t>
      </w:r>
      <w:r w:rsidR="007316D0">
        <w:t xml:space="preserve"> Vichy filed complaints with the County in </w:t>
      </w:r>
      <w:r w:rsidR="009E0CF3">
        <w:t>January</w:t>
      </w:r>
      <w:r w:rsidR="001139BC">
        <w:t> </w:t>
      </w:r>
      <w:r w:rsidR="009E0CF3">
        <w:t xml:space="preserve">2017 and </w:t>
      </w:r>
      <w:r w:rsidR="00BF2FFD">
        <w:t>November</w:t>
      </w:r>
      <w:r w:rsidR="001139BC">
        <w:t> </w:t>
      </w:r>
      <w:r w:rsidR="007316D0">
        <w:t>2017</w:t>
      </w:r>
      <w:r w:rsidR="00574AB4">
        <w:t xml:space="preserve"> asserting that the Club was </w:t>
      </w:r>
      <w:r w:rsidR="0055745D">
        <w:t>constructing a new facility without having obtain</w:t>
      </w:r>
      <w:r w:rsidR="00CD2162">
        <w:t>ed</w:t>
      </w:r>
      <w:r w:rsidR="0055745D">
        <w:t xml:space="preserve"> necessary permits or </w:t>
      </w:r>
      <w:r w:rsidR="00CD2162">
        <w:t>complied with CEQA</w:t>
      </w:r>
      <w:r w:rsidR="009E0CF3">
        <w:t xml:space="preserve">, </w:t>
      </w:r>
      <w:r w:rsidR="00DC0D10">
        <w:t>and both complaints</w:t>
      </w:r>
      <w:r w:rsidR="009E0CF3">
        <w:t xml:space="preserve"> were </w:t>
      </w:r>
      <w:r w:rsidR="002E389B">
        <w:t xml:space="preserve">closed without enforcement based on </w:t>
      </w:r>
      <w:r w:rsidR="00DD7C4C">
        <w:t xml:space="preserve">the County’s </w:t>
      </w:r>
      <w:r w:rsidR="002E389B">
        <w:t xml:space="preserve">determination that the Project is within the </w:t>
      </w:r>
      <w:r w:rsidR="008B0E75">
        <w:t xml:space="preserve">sole </w:t>
      </w:r>
      <w:r w:rsidR="002E389B">
        <w:t xml:space="preserve">jurisdiction of the City; </w:t>
      </w:r>
      <w:r w:rsidR="00A72ADD">
        <w:t xml:space="preserve">and </w:t>
      </w:r>
      <w:r w:rsidR="007316D0">
        <w:t>(3)</w:t>
      </w:r>
      <w:r w:rsidR="00231822">
        <w:t xml:space="preserve"> </w:t>
      </w:r>
      <w:r w:rsidR="00D303CC">
        <w:t>the County</w:t>
      </w:r>
      <w:r w:rsidR="005431F0">
        <w:t xml:space="preserve">’s failure to </w:t>
      </w:r>
      <w:r w:rsidR="00BB4EF7">
        <w:t xml:space="preserve">exercise </w:t>
      </w:r>
      <w:r w:rsidR="00313A7D">
        <w:t>its regulatory</w:t>
      </w:r>
      <w:r w:rsidR="00BB4EF7">
        <w:t xml:space="preserve"> authority </w:t>
      </w:r>
      <w:r w:rsidR="005431F0">
        <w:t>was based on its</w:t>
      </w:r>
      <w:r w:rsidR="00313A7D">
        <w:t xml:space="preserve"> mistaken belie</w:t>
      </w:r>
      <w:r w:rsidR="005431F0">
        <w:t>f</w:t>
      </w:r>
      <w:r w:rsidR="00313A7D">
        <w:t xml:space="preserve"> that the Club was immune from regulation under Government Code sections</w:t>
      </w:r>
      <w:r w:rsidR="00A70F2E">
        <w:t> </w:t>
      </w:r>
      <w:r w:rsidR="00313A7D">
        <w:t>53090 and 53091.</w:t>
      </w:r>
      <w:r w:rsidR="008B0E75">
        <w:t xml:space="preserve"> </w:t>
      </w:r>
      <w:r w:rsidR="00313A7D">
        <w:t xml:space="preserve"> </w:t>
      </w:r>
      <w:r w:rsidR="00952173">
        <w:t>Accordingly, the Petition alleges that the County</w:t>
      </w:r>
      <w:r w:rsidR="00BE3A3B">
        <w:t xml:space="preserve"> </w:t>
      </w:r>
      <w:r w:rsidR="00B811F3">
        <w:t xml:space="preserve">failed to proceed in </w:t>
      </w:r>
      <w:r w:rsidR="00BD2598">
        <w:t>the</w:t>
      </w:r>
      <w:r w:rsidR="00B811F3">
        <w:t xml:space="preserve"> manner </w:t>
      </w:r>
      <w:r w:rsidR="00BD2598">
        <w:t xml:space="preserve">required by law </w:t>
      </w:r>
      <w:r w:rsidR="00BF2FFD">
        <w:t xml:space="preserve">by </w:t>
      </w:r>
      <w:r w:rsidR="00BD2598">
        <w:t>maintaining</w:t>
      </w:r>
      <w:r w:rsidR="00892D4A">
        <w:t xml:space="preserve"> a “blanket policy of no CEQA enforcement against the</w:t>
      </w:r>
      <w:r w:rsidR="0025396A">
        <w:t xml:space="preserve"> </w:t>
      </w:r>
      <w:r w:rsidR="00892D4A">
        <w:t>Gun Club</w:t>
      </w:r>
      <w:r w:rsidR="0025396A">
        <w:t>.</w:t>
      </w:r>
      <w:r w:rsidR="00892D4A">
        <w:t>”</w:t>
      </w:r>
      <w:r w:rsidR="00D303CC">
        <w:t xml:space="preserve">  </w:t>
      </w:r>
      <w:r w:rsidR="00914143">
        <w:t xml:space="preserve">We agree with </w:t>
      </w:r>
      <w:r w:rsidR="0011785F">
        <w:t xml:space="preserve">Vichy that </w:t>
      </w:r>
      <w:r w:rsidR="00D1734F">
        <w:t xml:space="preserve">these </w:t>
      </w:r>
      <w:r w:rsidR="00013187">
        <w:t xml:space="preserve">allegations are sufficient to state a cause of action for violation of CEQA. </w:t>
      </w:r>
      <w:r w:rsidR="0030213A">
        <w:t xml:space="preserve"> </w:t>
      </w:r>
    </w:p>
    <w:p w:rsidR="006C6039" w:rsidP="006C6039" w14:paraId="34768080" w14:textId="23CBFB5A">
      <w:pPr>
        <w:spacing w:line="360" w:lineRule="auto"/>
      </w:pPr>
      <w:r>
        <w:tab/>
      </w:r>
      <w:r w:rsidR="00885898">
        <w:t>Again, section</w:t>
      </w:r>
      <w:r w:rsidR="00A70F2E">
        <w:t> </w:t>
      </w:r>
      <w:r w:rsidR="00885898">
        <w:t>21168.5</w:t>
      </w:r>
      <w:r w:rsidR="006F5C96">
        <w:t xml:space="preserve"> applies to an action </w:t>
      </w:r>
      <w:r w:rsidR="00885898">
        <w:t>“</w:t>
      </w:r>
      <w:r w:rsidRPr="0026501D" w:rsidR="00885898">
        <w:t>to attack, review, set aside, void or annul a determination, finding, or decision of a public agency on the grounds of noncompliance with</w:t>
      </w:r>
      <w:r w:rsidR="006F5C96">
        <w:t>” CEQA</w:t>
      </w:r>
      <w:r w:rsidRPr="0026501D" w:rsidR="00885898">
        <w:t xml:space="preserve">. </w:t>
      </w:r>
      <w:r w:rsidR="005C3A46">
        <w:t xml:space="preserve"> Vichy </w:t>
      </w:r>
      <w:r w:rsidR="00CF6A44">
        <w:t>is attacking</w:t>
      </w:r>
      <w:r w:rsidR="008E0D1D">
        <w:t xml:space="preserve"> the</w:t>
      </w:r>
      <w:r w:rsidR="000A4C39">
        <w:t xml:space="preserve"> </w:t>
      </w:r>
      <w:r w:rsidR="008E0D1D">
        <w:t>County</w:t>
      </w:r>
      <w:r w:rsidR="00CF6A44">
        <w:t>’s determination that it did not have</w:t>
      </w:r>
      <w:r w:rsidR="008E0D1D">
        <w:t xml:space="preserve"> </w:t>
      </w:r>
      <w:r w:rsidR="000A4C39">
        <w:t>regulatory responsibility for the Club’s Project</w:t>
      </w:r>
      <w:r w:rsidR="007B77AF">
        <w:t xml:space="preserve">, </w:t>
      </w:r>
      <w:r w:rsidR="00D744A8">
        <w:t xml:space="preserve">in the absence of which the County cannot have any </w:t>
      </w:r>
      <w:r w:rsidR="00402364">
        <w:t xml:space="preserve">CEQA </w:t>
      </w:r>
      <w:r w:rsidR="00D744A8">
        <w:t>obligations</w:t>
      </w:r>
      <w:r w:rsidR="007B77AF">
        <w:t>.</w:t>
      </w:r>
      <w:r w:rsidR="00035FF8">
        <w:t xml:space="preserve">  </w:t>
      </w:r>
      <w:r w:rsidR="001034C4">
        <w:t>Because</w:t>
      </w:r>
      <w:r w:rsidR="007955EB">
        <w:t xml:space="preserve"> </w:t>
      </w:r>
      <w:r w:rsidR="00766DCF">
        <w:t>the County</w:t>
      </w:r>
      <w:r w:rsidR="00DC12EF">
        <w:t xml:space="preserve">’s </w:t>
      </w:r>
      <w:r w:rsidR="006D1C7D">
        <w:t xml:space="preserve">alleged </w:t>
      </w:r>
      <w:r w:rsidR="00DC12EF">
        <w:t>decision</w:t>
      </w:r>
      <w:r w:rsidR="00766DCF">
        <w:t xml:space="preserve"> did not </w:t>
      </w:r>
      <w:r w:rsidR="00DC12EF">
        <w:t>rest on</w:t>
      </w:r>
      <w:r w:rsidR="007955EB">
        <w:t xml:space="preserve"> any provision of CEQA,</w:t>
      </w:r>
      <w:r w:rsidR="00D47FAF">
        <w:t xml:space="preserve"> </w:t>
      </w:r>
      <w:r w:rsidR="00DC12EF">
        <w:t>and</w:t>
      </w:r>
      <w:r w:rsidR="00B8592D">
        <w:t xml:space="preserve"> instead </w:t>
      </w:r>
      <w:r w:rsidR="00766DCF">
        <w:t>allegedly</w:t>
      </w:r>
      <w:r w:rsidR="00E10C9C">
        <w:t xml:space="preserve"> misappli</w:t>
      </w:r>
      <w:r w:rsidR="00766DCF">
        <w:t>ed</w:t>
      </w:r>
      <w:r w:rsidR="00B8592D">
        <w:t xml:space="preserve"> intergovernmental immunity </w:t>
      </w:r>
      <w:r w:rsidR="002A3929">
        <w:t>statutes</w:t>
      </w:r>
      <w:r w:rsidR="005731BC">
        <w:t xml:space="preserve">, </w:t>
      </w:r>
      <w:r w:rsidR="00055EAF">
        <w:t xml:space="preserve">arguably </w:t>
      </w:r>
      <w:r w:rsidR="00153B2D">
        <w:t>Vichy’s</w:t>
      </w:r>
      <w:r w:rsidR="009C0180">
        <w:t xml:space="preserve"> challenge </w:t>
      </w:r>
      <w:r w:rsidR="008A1AD4">
        <w:t xml:space="preserve">to </w:t>
      </w:r>
      <w:r w:rsidR="00BF0CD3">
        <w:t>it</w:t>
      </w:r>
      <w:r w:rsidR="008A1AD4">
        <w:t xml:space="preserve"> </w:t>
      </w:r>
      <w:r w:rsidR="009C0180">
        <w:t>is not “on the grounds of noncompliance with</w:t>
      </w:r>
      <w:r w:rsidR="00340BF7">
        <w:t>” CEQA</w:t>
      </w:r>
      <w:r w:rsidR="00E003C9">
        <w:t xml:space="preserve">.  But </w:t>
      </w:r>
      <w:r w:rsidR="006350F4">
        <w:t xml:space="preserve">we think </w:t>
      </w:r>
      <w:r w:rsidR="00891D55">
        <w:t>that</w:t>
      </w:r>
      <w:r w:rsidR="005E43F7">
        <w:t xml:space="preserve"> narrow</w:t>
      </w:r>
      <w:r w:rsidR="00891D55">
        <w:t xml:space="preserve"> reading</w:t>
      </w:r>
      <w:r w:rsidR="008A129B">
        <w:t xml:space="preserve"> of section 21168.5 would be overly formalistic</w:t>
      </w:r>
      <w:r w:rsidR="00307936">
        <w:t xml:space="preserve"> whe</w:t>
      </w:r>
      <w:r w:rsidR="00264B00">
        <w:t>n</w:t>
      </w:r>
      <w:r w:rsidR="00307936">
        <w:t xml:space="preserve"> </w:t>
      </w:r>
      <w:r w:rsidR="00CA6F50">
        <w:t>Vichy is complaining of the County’s</w:t>
      </w:r>
      <w:r w:rsidR="004F139A">
        <w:t xml:space="preserve"> resulting</w:t>
      </w:r>
      <w:r w:rsidR="00CA6F50">
        <w:t xml:space="preserve"> </w:t>
      </w:r>
      <w:r w:rsidR="00DC6AC2">
        <w:t xml:space="preserve">failure to </w:t>
      </w:r>
      <w:r w:rsidR="00B572F4">
        <w:t>follow</w:t>
      </w:r>
      <w:r w:rsidR="00DC6AC2">
        <w:t xml:space="preserve"> </w:t>
      </w:r>
      <w:r w:rsidR="0092007E">
        <w:t xml:space="preserve">any of </w:t>
      </w:r>
      <w:r w:rsidR="00DC6AC2">
        <w:t xml:space="preserve">CEQA’s </w:t>
      </w:r>
      <w:r w:rsidR="000B74C4">
        <w:t>requirements</w:t>
      </w:r>
      <w:r w:rsidR="00362F19">
        <w:t xml:space="preserve">. </w:t>
      </w:r>
      <w:r>
        <w:t xml:space="preserve"> (Cf. </w:t>
      </w:r>
      <w:r w:rsidRPr="006C6039">
        <w:rPr>
          <w:i/>
          <w:iCs/>
        </w:rPr>
        <w:t>Central Delta Water Agency v. Department of Water Resources</w:t>
      </w:r>
      <w:r>
        <w:t xml:space="preserve"> (2021) 69</w:t>
      </w:r>
      <w:r w:rsidR="00A70F2E">
        <w:t> </w:t>
      </w:r>
      <w:r>
        <w:t xml:space="preserve">Cal.App.5th 170, 207 </w:t>
      </w:r>
      <w:r w:rsidR="00982092">
        <w:t>[</w:t>
      </w:r>
      <w:r>
        <w:t>ensur</w:t>
      </w:r>
      <w:r w:rsidR="00982092">
        <w:t>ing</w:t>
      </w:r>
      <w:r>
        <w:t xml:space="preserve"> agency</w:t>
      </w:r>
      <w:r w:rsidR="00982092">
        <w:t>’</w:t>
      </w:r>
      <w:r>
        <w:t>s compliance with CEQA</w:t>
      </w:r>
      <w:r w:rsidR="00982092">
        <w:t>’</w:t>
      </w:r>
      <w:r>
        <w:t xml:space="preserve">s substantive and procedural requirements with respect to a particular environmental impact is </w:t>
      </w:r>
      <w:r w:rsidR="00982092">
        <w:t>the</w:t>
      </w:r>
      <w:r>
        <w:t xml:space="preserve"> </w:t>
      </w:r>
      <w:r w:rsidR="00982092">
        <w:t>“</w:t>
      </w:r>
      <w:r>
        <w:t>primary right</w:t>
      </w:r>
      <w:r w:rsidR="00982092">
        <w:t>” of a CEQA cause of action].)</w:t>
      </w:r>
    </w:p>
    <w:p w:rsidR="00FC165D" w:rsidP="006E6C97" w14:paraId="281BB3A7" w14:textId="4A09584B">
      <w:pPr>
        <w:spacing w:line="360" w:lineRule="auto"/>
      </w:pPr>
      <w:r>
        <w:tab/>
      </w:r>
      <w:r w:rsidR="00C750B3">
        <w:t xml:space="preserve">The </w:t>
      </w:r>
      <w:r w:rsidR="00FD66A7">
        <w:t xml:space="preserve">County argues that </w:t>
      </w:r>
      <w:r w:rsidR="008C5C80">
        <w:t xml:space="preserve">the trial court correctly concluded that the Petition does not describe a “project” for purposes of CEQA because </w:t>
      </w:r>
      <w:r w:rsidR="00D1734F">
        <w:t>the County</w:t>
      </w:r>
      <w:r w:rsidR="008C5C80">
        <w:t xml:space="preserve"> did not issue </w:t>
      </w:r>
      <w:r w:rsidR="005E636B">
        <w:t>a permit.</w:t>
      </w:r>
      <w:r w:rsidR="0030213A">
        <w:t xml:space="preserve"> </w:t>
      </w:r>
      <w:r w:rsidR="005E636B">
        <w:t xml:space="preserve"> But the definition of a</w:t>
      </w:r>
      <w:r w:rsidRPr="00D33778" w:rsidR="005E636B">
        <w:t xml:space="preserve"> </w:t>
      </w:r>
      <w:r w:rsidR="005E636B">
        <w:t xml:space="preserve">“project” under section 21065 does not require that a permit be issued. </w:t>
      </w:r>
      <w:r w:rsidR="0030213A">
        <w:t xml:space="preserve"> </w:t>
      </w:r>
      <w:r w:rsidR="005E636B">
        <w:t xml:space="preserve">It requires that the proposed </w:t>
      </w:r>
      <w:r w:rsidRPr="00CA4AAF" w:rsidR="005E636B">
        <w:t xml:space="preserve">activity </w:t>
      </w:r>
      <w:r w:rsidR="005E636B">
        <w:t>“</w:t>
      </w:r>
      <w:r w:rsidRPr="00CA4AAF" w:rsidR="005E636B">
        <w:t>involve</w:t>
      </w:r>
      <w:r w:rsidR="00184A74">
        <w:t>[]</w:t>
      </w:r>
      <w:r w:rsidRPr="00CA4AAF" w:rsidR="005E636B">
        <w:t xml:space="preserve"> the issuance to a person of a </w:t>
      </w:r>
      <w:r w:rsidR="005E636B">
        <w:t>. . .</w:t>
      </w:r>
      <w:r w:rsidRPr="00CA4AAF" w:rsidR="005E636B">
        <w:t xml:space="preserve"> permit</w:t>
      </w:r>
      <w:r w:rsidR="005E636B">
        <w:t>.”</w:t>
      </w:r>
      <w:r w:rsidR="000868E4">
        <w:t xml:space="preserve"> </w:t>
      </w:r>
      <w:r w:rsidR="0030213A">
        <w:t xml:space="preserve"> </w:t>
      </w:r>
      <w:r w:rsidR="000868E4">
        <w:t>The Petition alleges, and the County does not dispute, that</w:t>
      </w:r>
      <w:r w:rsidR="004620B5">
        <w:t xml:space="preserve"> if the activity was subject to the County’s authority, a permit would be required. </w:t>
      </w:r>
      <w:r w:rsidR="0030213A">
        <w:t xml:space="preserve"> </w:t>
      </w:r>
      <w:r>
        <w:t>Thus, the Petition sufficiently alleges that the Club purported to carry out a project within the meaning of CEQA.</w:t>
      </w:r>
    </w:p>
    <w:p w:rsidR="00626ED7" w:rsidP="006E6C97" w14:paraId="59D703D6" w14:textId="7432AE5D">
      <w:pPr>
        <w:spacing w:line="360" w:lineRule="auto"/>
      </w:pPr>
      <w:r>
        <w:tab/>
      </w:r>
      <w:r w:rsidR="009837ED">
        <w:t xml:space="preserve">The County </w:t>
      </w:r>
      <w:r w:rsidR="00B505F9">
        <w:t xml:space="preserve">also </w:t>
      </w:r>
      <w:r w:rsidR="004A0232">
        <w:t>argues</w:t>
      </w:r>
      <w:r>
        <w:t xml:space="preserve"> </w:t>
      </w:r>
      <w:r w:rsidR="004A0232">
        <w:t xml:space="preserve">that CEQA applies </w:t>
      </w:r>
      <w:r w:rsidR="00FB3500">
        <w:t xml:space="preserve">only </w:t>
      </w:r>
      <w:r w:rsidR="004A0232">
        <w:t>to project approvals</w:t>
      </w:r>
      <w:r w:rsidR="00FB3500">
        <w:t>,</w:t>
      </w:r>
      <w:r w:rsidR="004A0232">
        <w:t xml:space="preserve"> </w:t>
      </w:r>
      <w:r w:rsidR="00FB56FB">
        <w:t>not</w:t>
      </w:r>
      <w:r w:rsidR="00FB3500">
        <w:t xml:space="preserve"> to governmental</w:t>
      </w:r>
      <w:r w:rsidR="00FB56FB">
        <w:t xml:space="preserve"> inaction, </w:t>
      </w:r>
      <w:r w:rsidR="00E93093">
        <w:t xml:space="preserve">and that </w:t>
      </w:r>
      <w:r w:rsidR="009B55EB">
        <w:t xml:space="preserve">the County </w:t>
      </w:r>
      <w:r w:rsidR="00E93093">
        <w:t xml:space="preserve">did not </w:t>
      </w:r>
      <w:r w:rsidR="009837ED">
        <w:t>approve</w:t>
      </w:r>
      <w:r w:rsidR="00E93093">
        <w:t xml:space="preserve"> </w:t>
      </w:r>
      <w:r w:rsidR="009837ED">
        <w:t>the Project.</w:t>
      </w:r>
      <w:r w:rsidRPr="00C56B57" w:rsidR="009837ED">
        <w:t xml:space="preserve"> </w:t>
      </w:r>
      <w:r w:rsidR="009837ED">
        <w:t xml:space="preserve"> The County explains</w:t>
      </w:r>
      <w:r w:rsidR="005B4D90">
        <w:t>:</w:t>
      </w:r>
      <w:r w:rsidR="00A826B4">
        <w:t xml:space="preserve"> </w:t>
      </w:r>
      <w:r w:rsidR="009837ED">
        <w:t xml:space="preserve"> “At the time that work on the main range commenced, the County’s request for an opinion had been submitted to the Attorney General’s Office and the Gun Club was on notice that the County was seeking a formal Attorney General opinion on whether County zoning ordinances applied to Gun Club activities on City property.  The Gun Club, however, appears to have decided to commence work without waiting for that opinion and without obtaining or seeking a use permit from the County.  This unusually bold choice exposed the Gun Club to potential enforcement action, penalties, and other adverse consequences if its conduct was ultimately determined to be illegal.  The County, however, was neither required to nor capable of conducting environmental analysis of a third party’s decision to start work without County approval.”  The County argues that, because it has not approved the Club’s Project, any claimed violation of CEQA is not ripe.</w:t>
      </w:r>
      <w:r w:rsidRPr="00C56B57" w:rsidR="009837ED">
        <w:t xml:space="preserve"> </w:t>
      </w:r>
    </w:p>
    <w:p w:rsidR="00570C72" w:rsidP="006E6C97" w14:paraId="279F4E26" w14:textId="51CDA88C">
      <w:pPr>
        <w:spacing w:line="360" w:lineRule="auto"/>
      </w:pPr>
      <w:r>
        <w:tab/>
      </w:r>
      <w:r w:rsidR="00F83B4E">
        <w:t>T</w:t>
      </w:r>
      <w:r>
        <w:t>he County’s explanation</w:t>
      </w:r>
      <w:r w:rsidR="00216093">
        <w:t>, however,</w:t>
      </w:r>
      <w:r>
        <w:t xml:space="preserve"> conflicts with the Petition</w:t>
      </w:r>
      <w:r w:rsidR="00D52808">
        <w:t>’</w:t>
      </w:r>
      <w:r>
        <w:t xml:space="preserve">s allegations.  The Petition alleges that the County </w:t>
      </w:r>
      <w:r w:rsidR="00216093">
        <w:t>declined</w:t>
      </w:r>
      <w:r>
        <w:t xml:space="preserve"> to regulate the Club’s activities based on </w:t>
      </w:r>
      <w:r w:rsidR="00216093">
        <w:t>its</w:t>
      </w:r>
      <w:r>
        <w:t xml:space="preserve"> incorrect conclusion that it had no authority to do so.  </w:t>
      </w:r>
      <w:r w:rsidR="007537B1">
        <w:t xml:space="preserve">Consistent with this allegation </w:t>
      </w:r>
      <w:r w:rsidR="00F541B0">
        <w:t xml:space="preserve">are documents </w:t>
      </w:r>
      <w:r w:rsidR="0041641D">
        <w:t>attached</w:t>
      </w:r>
      <w:r>
        <w:t xml:space="preserve"> to the Petition </w:t>
      </w:r>
      <w:r w:rsidR="00185C77">
        <w:t xml:space="preserve">showing that the County </w:t>
      </w:r>
      <w:r w:rsidR="0041641D">
        <w:t>clos</w:t>
      </w:r>
      <w:r w:rsidR="00185C77">
        <w:t>ed</w:t>
      </w:r>
      <w:r w:rsidR="0041641D">
        <w:t xml:space="preserve"> two complaints </w:t>
      </w:r>
      <w:r w:rsidR="00185C77">
        <w:t xml:space="preserve">Vichy submitted </w:t>
      </w:r>
      <w:r w:rsidR="000F7147">
        <w:t>about the Project</w:t>
      </w:r>
      <w:r w:rsidR="003A1648">
        <w:t>.</w:t>
      </w:r>
      <w:r w:rsidR="007339C1">
        <w:t xml:space="preserve">  The first</w:t>
      </w:r>
      <w:r>
        <w:t xml:space="preserve"> document</w:t>
      </w:r>
      <w:r w:rsidR="007339C1">
        <w:t xml:space="preserve">, </w:t>
      </w:r>
      <w:r w:rsidR="000F7147">
        <w:t>from</w:t>
      </w:r>
      <w:r w:rsidR="007339C1">
        <w:t xml:space="preserve"> April 2017, </w:t>
      </w:r>
      <w:r w:rsidR="00FC200D">
        <w:t xml:space="preserve">stated that </w:t>
      </w:r>
      <w:r>
        <w:t xml:space="preserve">Vichy’s complaint </w:t>
      </w:r>
      <w:r w:rsidR="00FC200D">
        <w:t>was closed pending</w:t>
      </w:r>
      <w:r w:rsidR="0012493F">
        <w:t xml:space="preserve"> </w:t>
      </w:r>
      <w:r w:rsidR="00FC200D">
        <w:t>advice from</w:t>
      </w:r>
      <w:r w:rsidR="00F05987">
        <w:t xml:space="preserve"> </w:t>
      </w:r>
      <w:r w:rsidR="00FC200D">
        <w:t>C</w:t>
      </w:r>
      <w:r w:rsidR="00F05987">
        <w:t xml:space="preserve">ounty counsel </w:t>
      </w:r>
      <w:r w:rsidR="00FC200D">
        <w:t>about</w:t>
      </w:r>
      <w:r w:rsidR="00F05987">
        <w:t xml:space="preserve"> </w:t>
      </w:r>
      <w:r w:rsidR="00AF53C9">
        <w:t xml:space="preserve">which entity was responsible for issuing permits. </w:t>
      </w:r>
      <w:r w:rsidR="00F167C6">
        <w:t xml:space="preserve"> </w:t>
      </w:r>
      <w:r w:rsidR="001E440F">
        <w:t>The second</w:t>
      </w:r>
      <w:r w:rsidR="00886743">
        <w:t>, from</w:t>
      </w:r>
      <w:r>
        <w:t xml:space="preserve"> </w:t>
      </w:r>
      <w:r w:rsidR="00886743">
        <w:t>December</w:t>
      </w:r>
      <w:r w:rsidR="00A364E2">
        <w:t> </w:t>
      </w:r>
      <w:r>
        <w:t>2017</w:t>
      </w:r>
      <w:r w:rsidR="001969F2">
        <w:t>,</w:t>
      </w:r>
      <w:r>
        <w:t xml:space="preserve"> </w:t>
      </w:r>
      <w:r w:rsidR="001969F2">
        <w:t xml:space="preserve">stated that </w:t>
      </w:r>
      <w:r>
        <w:t xml:space="preserve">the </w:t>
      </w:r>
      <w:r w:rsidR="001969F2">
        <w:t>complaint was being closed because</w:t>
      </w:r>
      <w:r>
        <w:t xml:space="preserve"> “</w:t>
      </w:r>
      <w:r w:rsidR="001969F2">
        <w:t>[t]</w:t>
      </w:r>
      <w:r>
        <w:t>his is the jurisdiction of City of Ukiah per lease agreement.”  For purposes of a demurrer, we must take as true the allegation that the County determined that the Project</w:t>
      </w:r>
      <w:r w:rsidR="002939AF">
        <w:t xml:space="preserve"> was not subject to CEQA review</w:t>
      </w:r>
      <w:r>
        <w:t>.</w:t>
      </w:r>
      <w:r>
        <w:rPr>
          <w:rStyle w:val="FootnoteReference"/>
        </w:rPr>
        <w:footnoteReference w:id="10"/>
      </w:r>
    </w:p>
    <w:p w:rsidR="00034704" w:rsidP="006E6C97" w14:paraId="7AEE4BB2" w14:textId="7F7D221F">
      <w:pPr>
        <w:spacing w:line="360" w:lineRule="auto"/>
      </w:pPr>
      <w:r>
        <w:tab/>
        <w:t>The County</w:t>
      </w:r>
      <w:r w:rsidR="00626ED7">
        <w:t>’s reliance on</w:t>
      </w:r>
      <w:r w:rsidR="009837ED">
        <w:t xml:space="preserve"> </w:t>
      </w:r>
      <w:r w:rsidRPr="00A60F52" w:rsidR="009837ED">
        <w:rPr>
          <w:i/>
          <w:iCs/>
        </w:rPr>
        <w:t>Center for Biological Diversity v. Department of Conservation, etc</w:t>
      </w:r>
      <w:r w:rsidR="009837ED">
        <w:t>. (2019) 36</w:t>
      </w:r>
      <w:r w:rsidR="00787FED">
        <w:t> </w:t>
      </w:r>
      <w:r w:rsidR="009837ED">
        <w:t>Cal.App.5th 210, 226</w:t>
      </w:r>
      <w:r w:rsidRPr="002F449D" w:rsidR="002F449D">
        <w:rPr>
          <w:rFonts w:eastAsia="Calibri" w:cs="Times New Roman"/>
          <w:sz w:val="24"/>
          <w:szCs w:val="24"/>
        </w:rPr>
        <w:t>–</w:t>
      </w:r>
      <w:r w:rsidR="009837ED">
        <w:t>227</w:t>
      </w:r>
      <w:r w:rsidR="008A1C7C">
        <w:t>,</w:t>
      </w:r>
      <w:r w:rsidR="009837ED">
        <w:t xml:space="preserve"> </w:t>
      </w:r>
      <w:r w:rsidR="008A6950">
        <w:t xml:space="preserve">for the proposition that a </w:t>
      </w:r>
      <w:r w:rsidR="009837ED">
        <w:t xml:space="preserve">CEQA challenge is not ripe before </w:t>
      </w:r>
      <w:r w:rsidRPr="006467EF" w:rsidR="009837ED">
        <w:rPr>
          <w:iCs/>
        </w:rPr>
        <w:t>approval</w:t>
      </w:r>
      <w:r w:rsidR="009837ED">
        <w:t xml:space="preserve"> of the project</w:t>
      </w:r>
      <w:r w:rsidR="00626ED7">
        <w:t xml:space="preserve"> is misplaced</w:t>
      </w:r>
      <w:r w:rsidR="002F0F45">
        <w:t>.</w:t>
      </w:r>
      <w:r w:rsidR="00D3389C">
        <w:t xml:space="preserve"> </w:t>
      </w:r>
      <w:r w:rsidR="00E01AB9">
        <w:t xml:space="preserve"> In that case</w:t>
      </w:r>
      <w:r w:rsidR="008751AC">
        <w:t xml:space="preserve">, </w:t>
      </w:r>
      <w:r w:rsidR="000F0FA5">
        <w:t xml:space="preserve">the CEQA challenge was not ripe because there was no project </w:t>
      </w:r>
      <w:r w:rsidR="002B6E12">
        <w:t>for</w:t>
      </w:r>
      <w:r w:rsidR="00D52808">
        <w:t xml:space="preserve"> the local agency</w:t>
      </w:r>
      <w:r w:rsidR="002B6E12">
        <w:t>’s consideration</w:t>
      </w:r>
      <w:r w:rsidR="00282360">
        <w:t>.</w:t>
      </w:r>
      <w:r w:rsidR="00BE7B2D">
        <w:t xml:space="preserve"> </w:t>
      </w:r>
      <w:r w:rsidR="00282360">
        <w:t xml:space="preserve"> Here, however, the Petition alleges the </w:t>
      </w:r>
      <w:r w:rsidR="00ED28E9">
        <w:t>existence of a project that the</w:t>
      </w:r>
      <w:r w:rsidR="002F0F45">
        <w:t xml:space="preserve"> County determined was not subject to </w:t>
      </w:r>
      <w:r w:rsidR="0013232C">
        <w:t xml:space="preserve">regulation. </w:t>
      </w:r>
      <w:r w:rsidR="00BE7B2D">
        <w:t xml:space="preserve"> </w:t>
      </w:r>
      <w:r w:rsidR="0013232C">
        <w:t>Whether that determination was correct is a question ripe for review.</w:t>
      </w:r>
      <w:r w:rsidR="00ED28E9">
        <w:t xml:space="preserve"> </w:t>
      </w:r>
      <w:r w:rsidR="00117201">
        <w:t xml:space="preserve"> While the Club did not apply for a permit, doing so would have been an idle act </w:t>
      </w:r>
      <w:r w:rsidR="007009E0">
        <w:t>so</w:t>
      </w:r>
      <w:r w:rsidR="00FA7FFE">
        <w:t xml:space="preserve"> long as the County maintained it had no regul</w:t>
      </w:r>
      <w:r w:rsidR="00073179">
        <w:t>atory</w:t>
      </w:r>
      <w:r w:rsidR="00FA7FFE">
        <w:t xml:space="preserve"> authority.</w:t>
      </w:r>
      <w:r w:rsidR="00117201">
        <w:t xml:space="preserve"> </w:t>
      </w:r>
      <w:r w:rsidRPr="00E675A4" w:rsidR="008A6950">
        <w:t xml:space="preserve"> </w:t>
      </w:r>
      <w:r w:rsidR="00B81BDC">
        <w:t>I</w:t>
      </w:r>
      <w:r w:rsidR="00F0320E">
        <w:t>n th</w:t>
      </w:r>
      <w:r w:rsidR="006001A6">
        <w:t>is</w:t>
      </w:r>
      <w:r w:rsidR="00F0320E">
        <w:t xml:space="preserve"> unusual circumstance, </w:t>
      </w:r>
      <w:r w:rsidR="006001A6">
        <w:t>the County’s determination</w:t>
      </w:r>
      <w:r w:rsidR="00DE7F1F">
        <w:t xml:space="preserve"> meant that</w:t>
      </w:r>
      <w:r w:rsidR="00431A89">
        <w:t xml:space="preserve"> the Project was allowed to proceed without environmental review</w:t>
      </w:r>
      <w:r w:rsidR="0051050A">
        <w:t>,</w:t>
      </w:r>
      <w:r w:rsidR="002C505D">
        <w:t xml:space="preserve"> which directly conflicts with the stated purpose of CEQA</w:t>
      </w:r>
      <w:r w:rsidR="00431A89">
        <w:t xml:space="preserve">. </w:t>
      </w:r>
      <w:r w:rsidR="00BE7B2D">
        <w:t xml:space="preserve"> </w:t>
      </w:r>
    </w:p>
    <w:p w:rsidR="00851885" w:rsidP="0007104F" w14:paraId="50D5CED4" w14:textId="695F7C0A">
      <w:pPr>
        <w:spacing w:line="360" w:lineRule="auto"/>
      </w:pPr>
      <w:r>
        <w:tab/>
      </w:r>
      <w:r w:rsidR="005E33B2">
        <w:t>For this reason, w</w:t>
      </w:r>
      <w:r w:rsidR="00F92F11">
        <w:t>e likewise find unavailing t</w:t>
      </w:r>
      <w:r w:rsidR="00422A73">
        <w:t xml:space="preserve">he </w:t>
      </w:r>
      <w:r w:rsidR="0009329D">
        <w:t xml:space="preserve">County’s reliance on </w:t>
      </w:r>
      <w:r w:rsidRPr="0007104F" w:rsidR="0007104F">
        <w:rPr>
          <w:i/>
          <w:iCs/>
        </w:rPr>
        <w:t>Lake Norconian Club Found</w:t>
      </w:r>
      <w:r w:rsidR="008E1532">
        <w:rPr>
          <w:i/>
          <w:iCs/>
        </w:rPr>
        <w:t>ation</w:t>
      </w:r>
      <w:r w:rsidRPr="0007104F" w:rsidR="0007104F">
        <w:rPr>
          <w:i/>
          <w:iCs/>
        </w:rPr>
        <w:t xml:space="preserve"> v. Dep</w:t>
      </w:r>
      <w:r w:rsidR="00DA3A13">
        <w:rPr>
          <w:i/>
          <w:iCs/>
        </w:rPr>
        <w:t>artment</w:t>
      </w:r>
      <w:r w:rsidRPr="0007104F" w:rsidR="0007104F">
        <w:rPr>
          <w:i/>
          <w:iCs/>
        </w:rPr>
        <w:t xml:space="preserve"> of Corr</w:t>
      </w:r>
      <w:r w:rsidR="00DA3A13">
        <w:rPr>
          <w:i/>
          <w:iCs/>
        </w:rPr>
        <w:t>ections</w:t>
      </w:r>
      <w:r w:rsidRPr="0007104F" w:rsidR="0007104F">
        <w:rPr>
          <w:i/>
          <w:iCs/>
        </w:rPr>
        <w:t xml:space="preserve"> &amp; Rehab</w:t>
      </w:r>
      <w:r w:rsidR="00DA3A13">
        <w:rPr>
          <w:i/>
          <w:iCs/>
        </w:rPr>
        <w:t>ilitation</w:t>
      </w:r>
      <w:r w:rsidR="0007104F">
        <w:t xml:space="preserve"> (2019) 39</w:t>
      </w:r>
      <w:r w:rsidR="00787FED">
        <w:t> </w:t>
      </w:r>
      <w:r w:rsidR="0007104F">
        <w:t xml:space="preserve">Cal.App.5th 1044, </w:t>
      </w:r>
      <w:r w:rsidR="009978AB">
        <w:t>which it cites</w:t>
      </w:r>
      <w:r w:rsidR="000051E0">
        <w:t xml:space="preserve"> </w:t>
      </w:r>
      <w:r w:rsidR="008F6ABC">
        <w:t>when arguing that it cannot violate CEQA through inaction</w:t>
      </w:r>
      <w:r w:rsidR="0007104F">
        <w:t xml:space="preserve">. </w:t>
      </w:r>
      <w:r w:rsidR="0030213A">
        <w:t xml:space="preserve"> </w:t>
      </w:r>
      <w:r w:rsidR="0007104F">
        <w:t xml:space="preserve">In that case, </w:t>
      </w:r>
      <w:r w:rsidR="00F62FA7">
        <w:t>the</w:t>
      </w:r>
      <w:r w:rsidR="005D68E2">
        <w:t xml:space="preserve"> court held that the </w:t>
      </w:r>
      <w:r w:rsidR="001113C6">
        <w:t>public</w:t>
      </w:r>
      <w:r w:rsidR="005D68E2">
        <w:t xml:space="preserve"> agency’s failure </w:t>
      </w:r>
      <w:r w:rsidR="001B6767">
        <w:t>to repair a historic building</w:t>
      </w:r>
      <w:r w:rsidR="005D68E2">
        <w:t xml:space="preserve"> </w:t>
      </w:r>
      <w:r w:rsidR="0007104F">
        <w:t>was not</w:t>
      </w:r>
      <w:r w:rsidR="005D68E2">
        <w:t xml:space="preserve"> a </w:t>
      </w:r>
      <w:r w:rsidRPr="00C54AA6" w:rsidR="005D68E2">
        <w:rPr>
          <w:i/>
          <w:iCs/>
        </w:rPr>
        <w:t>project</w:t>
      </w:r>
      <w:r w:rsidR="005D68E2">
        <w:t xml:space="preserve"> subject to CEQA</w:t>
      </w:r>
      <w:r w:rsidR="00D21804">
        <w:t xml:space="preserve"> because “the failure to act is not itself an activity, even if, as may commonly be true, there are consequences, possibly including environmental consequences, resulting from the inactivity.” </w:t>
      </w:r>
      <w:r w:rsidR="004B6EA7">
        <w:t xml:space="preserve"> (</w:t>
      </w:r>
      <w:r w:rsidR="004B6EA7">
        <w:rPr>
          <w:i/>
          <w:iCs/>
        </w:rPr>
        <w:t>Id.</w:t>
      </w:r>
      <w:r w:rsidR="004B6EA7">
        <w:t xml:space="preserve"> at p.</w:t>
      </w:r>
      <w:r w:rsidR="00787FED">
        <w:t> </w:t>
      </w:r>
      <w:r w:rsidR="004B6EA7">
        <w:t>1051.)</w:t>
      </w:r>
      <w:r w:rsidR="0030213A">
        <w:t xml:space="preserve"> </w:t>
      </w:r>
      <w:r w:rsidR="00C575B0">
        <w:t xml:space="preserve"> </w:t>
      </w:r>
      <w:r w:rsidR="0030213A">
        <w:t>T</w:t>
      </w:r>
      <w:r w:rsidR="005D68E2">
        <w:t xml:space="preserve">he </w:t>
      </w:r>
      <w:r w:rsidR="00F01AEA">
        <w:t>p</w:t>
      </w:r>
      <w:r w:rsidR="005D68E2">
        <w:t>roject</w:t>
      </w:r>
      <w:r w:rsidR="00470F22">
        <w:t xml:space="preserve"> at issue here</w:t>
      </w:r>
      <w:r w:rsidR="0030213A">
        <w:t>, however,</w:t>
      </w:r>
      <w:r w:rsidR="00470F22">
        <w:t xml:space="preserve"> is not the County’s inaction</w:t>
      </w:r>
      <w:r w:rsidR="00F06367">
        <w:t>; i</w:t>
      </w:r>
      <w:r w:rsidR="00B72DE0">
        <w:t xml:space="preserve">t is the </w:t>
      </w:r>
      <w:r w:rsidR="00470F22">
        <w:t xml:space="preserve">Club’s </w:t>
      </w:r>
      <w:r w:rsidR="00712308">
        <w:t>demolition and construction of the main range</w:t>
      </w:r>
      <w:r w:rsidR="00A565E3">
        <w:t xml:space="preserve">. </w:t>
      </w:r>
      <w:r w:rsidR="0030213A">
        <w:t xml:space="preserve"> </w:t>
      </w:r>
      <w:r w:rsidR="00F55006">
        <w:t>B</w:t>
      </w:r>
      <w:r w:rsidR="00315C04">
        <w:t xml:space="preserve">ecause </w:t>
      </w:r>
      <w:r w:rsidR="00030CFC">
        <w:t>the County does not dispute that</w:t>
      </w:r>
      <w:r w:rsidR="00A64E20">
        <w:t xml:space="preserve"> the Project would have been subject to </w:t>
      </w:r>
      <w:r w:rsidR="00030CFC">
        <w:t xml:space="preserve">its </w:t>
      </w:r>
      <w:r w:rsidR="00A64E20">
        <w:t xml:space="preserve">environmental review </w:t>
      </w:r>
      <w:r w:rsidR="00EC1C3E">
        <w:t>if the County had regulatory authority</w:t>
      </w:r>
      <w:r w:rsidR="00076A9A">
        <w:t xml:space="preserve">, the </w:t>
      </w:r>
      <w:r w:rsidR="00030CFC">
        <w:t xml:space="preserve">Petition </w:t>
      </w:r>
      <w:r w:rsidR="00DA7CEF">
        <w:t xml:space="preserve">properly alleges a </w:t>
      </w:r>
      <w:r w:rsidR="003D1FE4">
        <w:t>violation of CEQA</w:t>
      </w:r>
      <w:r w:rsidR="00DA7CEF">
        <w:t xml:space="preserve"> with its allegations that the County </w:t>
      </w:r>
      <w:r w:rsidR="00815B1C">
        <w:t>erroneously concluded</w:t>
      </w:r>
      <w:r w:rsidR="00757D53">
        <w:t xml:space="preserve"> it had no </w:t>
      </w:r>
      <w:r w:rsidR="00287D78">
        <w:t xml:space="preserve">responsibility for issuing a discretionary permit that would </w:t>
      </w:r>
      <w:r w:rsidR="00815B1C">
        <w:t xml:space="preserve">have triggered its </w:t>
      </w:r>
      <w:r w:rsidR="001E572D">
        <w:t xml:space="preserve">review </w:t>
      </w:r>
      <w:r w:rsidR="00815B1C">
        <w:t>obligations</w:t>
      </w:r>
      <w:r w:rsidR="003D1FE4">
        <w:t>.</w:t>
      </w:r>
    </w:p>
    <w:p w:rsidR="003508E8" w:rsidRPr="00A40BAF" w:rsidP="003508E8" w14:paraId="1F064562" w14:textId="2A6020C8">
      <w:pPr>
        <w:pStyle w:val="ListParagraph"/>
        <w:keepNext/>
        <w:keepLines/>
        <w:numPr>
          <w:ilvl w:val="0"/>
          <w:numId w:val="21"/>
        </w:numPr>
        <w:spacing w:line="360" w:lineRule="auto"/>
        <w:rPr>
          <w:b/>
          <w:bCs/>
        </w:rPr>
      </w:pPr>
      <w:r>
        <w:rPr>
          <w:b/>
          <w:bCs/>
        </w:rPr>
        <w:t>T</w:t>
      </w:r>
      <w:r w:rsidRPr="00A40BAF">
        <w:rPr>
          <w:b/>
          <w:bCs/>
        </w:rPr>
        <w:t xml:space="preserve">he </w:t>
      </w:r>
      <w:r>
        <w:rPr>
          <w:b/>
          <w:bCs/>
        </w:rPr>
        <w:t>City</w:t>
      </w:r>
    </w:p>
    <w:p w:rsidR="000901C6" w:rsidP="0010620E" w14:paraId="278DA127" w14:textId="6CD84FFA">
      <w:pPr>
        <w:spacing w:line="360" w:lineRule="auto"/>
      </w:pPr>
      <w:r>
        <w:tab/>
      </w:r>
      <w:r w:rsidR="009C26A0">
        <w:t>The Petition alleges that the City violated CEQA (1)</w:t>
      </w:r>
      <w:r w:rsidR="00787FED">
        <w:t> </w:t>
      </w:r>
      <w:r w:rsidR="009C26A0">
        <w:t xml:space="preserve">by issuing the building permit and concluding the </w:t>
      </w:r>
      <w:r w:rsidR="00C31B16">
        <w:t>P</w:t>
      </w:r>
      <w:r w:rsidR="009C26A0">
        <w:t>roject was exempt from CEQA</w:t>
      </w:r>
      <w:r w:rsidR="00C01F6F">
        <w:t>;</w:t>
      </w:r>
      <w:r w:rsidR="009C26A0">
        <w:t xml:space="preserve"> and (2)</w:t>
      </w:r>
      <w:r w:rsidR="00787FED">
        <w:t> </w:t>
      </w:r>
      <w:r w:rsidR="009C26A0">
        <w:t xml:space="preserve">by failing to require the Club </w:t>
      </w:r>
      <w:r w:rsidR="0008342E">
        <w:t xml:space="preserve">to </w:t>
      </w:r>
      <w:r w:rsidR="009C26A0">
        <w:t>obtain project approvals, including a discretionary use permit, from the County before issuance of the building permits.</w:t>
      </w:r>
      <w:r w:rsidR="00241665">
        <w:t xml:space="preserve"> </w:t>
      </w:r>
      <w:r w:rsidR="009C26A0">
        <w:t xml:space="preserve"> </w:t>
      </w:r>
      <w:r w:rsidR="001C27BE">
        <w:t>We find that these allegations adequately state a CEQA claim.</w:t>
      </w:r>
    </w:p>
    <w:p w:rsidR="000D5AD9" w:rsidRPr="00CB66BE" w:rsidP="00031831" w14:paraId="62F72E08" w14:textId="35AFF044">
      <w:pPr>
        <w:spacing w:line="360" w:lineRule="auto"/>
      </w:pPr>
      <w:r>
        <w:tab/>
      </w:r>
      <w:r w:rsidR="00A759AE">
        <w:t xml:space="preserve">First, </w:t>
      </w:r>
      <w:r w:rsidR="00890AC9">
        <w:t xml:space="preserve">we </w:t>
      </w:r>
      <w:r w:rsidR="00D20FE6">
        <w:t>take a brief detour to</w:t>
      </w:r>
      <w:r w:rsidR="00233FE4">
        <w:t xml:space="preserve"> address the trial court’s order granting the Club’s motion to strike, </w:t>
      </w:r>
      <w:r w:rsidR="003445FE">
        <w:t xml:space="preserve">since it struck various allegations against the City, </w:t>
      </w:r>
      <w:r w:rsidR="00CA3594">
        <w:t xml:space="preserve">including the allegation </w:t>
      </w:r>
      <w:r w:rsidR="00BA1679">
        <w:t xml:space="preserve">in the CEQA cause of action </w:t>
      </w:r>
      <w:r w:rsidR="000F286E">
        <w:t xml:space="preserve">that the City must require the Club to obtain </w:t>
      </w:r>
      <w:r w:rsidR="00BA1679">
        <w:t>permits from the County.</w:t>
      </w:r>
      <w:r w:rsidR="00CB354B">
        <w:t xml:space="preserve"> </w:t>
      </w:r>
      <w:r w:rsidR="00F33558">
        <w:t xml:space="preserve"> </w:t>
      </w:r>
      <w:r w:rsidR="00E34E39">
        <w:t>The threshold question is</w:t>
      </w:r>
      <w:r w:rsidR="00441784">
        <w:t xml:space="preserve"> whether we should consider the stricken allegations i</w:t>
      </w:r>
      <w:r w:rsidR="007F7C58">
        <w:t xml:space="preserve">n </w:t>
      </w:r>
      <w:r w:rsidR="00C02B2D">
        <w:t>assessing</w:t>
      </w:r>
      <w:r w:rsidR="007F7C58">
        <w:t xml:space="preserve"> whether the Petition states a CEQA claim against the City</w:t>
      </w:r>
      <w:r w:rsidR="00CB66BE">
        <w:t xml:space="preserve">.  </w:t>
      </w:r>
      <w:r w:rsidR="00642F7F">
        <w:t xml:space="preserve">We </w:t>
      </w:r>
      <w:r w:rsidR="00DB7D25">
        <w:t xml:space="preserve">conclude that </w:t>
      </w:r>
      <w:r w:rsidR="00642F7F">
        <w:t>we should.</w:t>
      </w:r>
      <w:r w:rsidR="00CB66BE">
        <w:t xml:space="preserve">  </w:t>
      </w:r>
      <w:r w:rsidR="00EB7A00">
        <w:t xml:space="preserve">While there </w:t>
      </w:r>
      <w:r w:rsidR="004A0C40">
        <w:t>may be</w:t>
      </w:r>
      <w:r w:rsidR="00EB7A00">
        <w:t xml:space="preserve"> circumstances in which</w:t>
      </w:r>
      <w:r w:rsidR="0098086B">
        <w:t xml:space="preserve"> a cause of action </w:t>
      </w:r>
      <w:r w:rsidR="004A0C40">
        <w:t>would</w:t>
      </w:r>
      <w:r w:rsidR="0098086B">
        <w:t xml:space="preserve"> fail </w:t>
      </w:r>
      <w:r w:rsidR="002D5EBD">
        <w:t>on demurrer</w:t>
      </w:r>
      <w:r w:rsidR="0098086B">
        <w:t xml:space="preserve"> only after certain allegations are stricken for independent reasons, here the Club did not characterize its demurrer as dependent on </w:t>
      </w:r>
      <w:r w:rsidR="00745406">
        <w:t>resolving</w:t>
      </w:r>
      <w:r w:rsidR="0098086B">
        <w:t xml:space="preserve"> the motion to strike in its favor.  On the contrary, it asked the court to grant the motion “[i]n the event the Court overrules the demurrer.” </w:t>
      </w:r>
      <w:r w:rsidR="00CD1F21">
        <w:t xml:space="preserve"> Because the court sustained the demurrers </w:t>
      </w:r>
      <w:r w:rsidR="006350A4">
        <w:t xml:space="preserve">without leave to amend, </w:t>
      </w:r>
      <w:r w:rsidR="0087664B">
        <w:t xml:space="preserve">the motion to strike was moot and the court need not have addressed it at all.  </w:t>
      </w:r>
      <w:r w:rsidR="00EC45A2">
        <w:t>(See, e.g.,</w:t>
      </w:r>
      <w:r w:rsidRPr="00F676E9" w:rsidR="00EC45A2">
        <w:rPr>
          <w:szCs w:val="20"/>
        </w:rPr>
        <w:t xml:space="preserve"> </w:t>
      </w:r>
      <w:r w:rsidRPr="00F676E9" w:rsidR="00EC45A2">
        <w:rPr>
          <w:i/>
          <w:iCs/>
          <w:szCs w:val="20"/>
        </w:rPr>
        <w:t>Salimi v. State Comp. Ins. Fund</w:t>
      </w:r>
      <w:r w:rsidRPr="00F676E9" w:rsidR="00EC45A2">
        <w:rPr>
          <w:szCs w:val="20"/>
        </w:rPr>
        <w:t xml:space="preserve"> (1997) 54</w:t>
      </w:r>
      <w:r w:rsidR="00787FED">
        <w:rPr>
          <w:szCs w:val="20"/>
        </w:rPr>
        <w:t> </w:t>
      </w:r>
      <w:r w:rsidRPr="00F676E9" w:rsidR="00EC45A2">
        <w:rPr>
          <w:szCs w:val="20"/>
        </w:rPr>
        <w:t>Cal.App.4th 216, 218</w:t>
      </w:r>
      <w:r w:rsidR="00EC45A2">
        <w:t>, fn.</w:t>
      </w:r>
      <w:r w:rsidR="00787FED">
        <w:t> </w:t>
      </w:r>
      <w:r w:rsidR="00EC45A2">
        <w:t>1.)</w:t>
      </w:r>
      <w:r w:rsidR="00632A99">
        <w:t xml:space="preserve">  </w:t>
      </w:r>
      <w:r w:rsidR="00EB7A00">
        <w:t>That is</w:t>
      </w:r>
      <w:r w:rsidR="00256051">
        <w:t xml:space="preserve"> reason enough </w:t>
      </w:r>
      <w:r w:rsidR="00415E8D">
        <w:t xml:space="preserve">for us </w:t>
      </w:r>
      <w:r w:rsidR="00256051">
        <w:t>to</w:t>
      </w:r>
      <w:r w:rsidR="005977AE">
        <w:t xml:space="preserve"> </w:t>
      </w:r>
      <w:r w:rsidR="00C07845">
        <w:t xml:space="preserve">evaluate the Petition as if the motion to strike had not been </w:t>
      </w:r>
      <w:r w:rsidR="00AC4D32">
        <w:t>granted.</w:t>
      </w:r>
    </w:p>
    <w:p w:rsidR="00830E6F" w:rsidP="00031831" w14:paraId="19530D38" w14:textId="3077F870">
      <w:pPr>
        <w:spacing w:line="360" w:lineRule="auto"/>
      </w:pPr>
      <w:r>
        <w:tab/>
      </w:r>
      <w:r w:rsidR="001054D7">
        <w:t>However, b</w:t>
      </w:r>
      <w:r w:rsidR="005B0588">
        <w:t xml:space="preserve">ecause we are reversing </w:t>
      </w:r>
      <w:r w:rsidR="00FE67EF">
        <w:t>in part the court’s decision</w:t>
      </w:r>
      <w:r w:rsidR="00584A58">
        <w:t xml:space="preserve"> sustaining the demurrers</w:t>
      </w:r>
      <w:r w:rsidR="00731283">
        <w:t>,</w:t>
      </w:r>
      <w:r w:rsidR="007147E6">
        <w:t xml:space="preserve"> and the parties have briefed the propriety of the order granting the motion to strike</w:t>
      </w:r>
      <w:r w:rsidR="00BB03B7">
        <w:t xml:space="preserve">, it </w:t>
      </w:r>
      <w:r w:rsidR="00AF7DA3">
        <w:t xml:space="preserve">is </w:t>
      </w:r>
      <w:r w:rsidR="00BB03B7">
        <w:t>appropriate</w:t>
      </w:r>
      <w:r w:rsidR="00AF7DA3">
        <w:t xml:space="preserve"> for us</w:t>
      </w:r>
      <w:r w:rsidR="00BB03B7">
        <w:t xml:space="preserve"> to </w:t>
      </w:r>
      <w:r w:rsidR="00867D0B">
        <w:t>consider it</w:t>
      </w:r>
      <w:r w:rsidR="00E308FE">
        <w:t xml:space="preserve"> </w:t>
      </w:r>
      <w:r w:rsidR="00415E8D">
        <w:t>on its merits</w:t>
      </w:r>
      <w:r w:rsidR="00867D0B">
        <w:t xml:space="preserve">. </w:t>
      </w:r>
      <w:r w:rsidR="00BB03B7">
        <w:t xml:space="preserve"> </w:t>
      </w:r>
      <w:r w:rsidR="008C1C64">
        <w:t>A court may strike out “</w:t>
      </w:r>
      <w:r w:rsidRPr="008306C5" w:rsidR="008C1C64">
        <w:t>any irrelevant, false, or improper matter inserted in any pleading</w:t>
      </w:r>
      <w:r w:rsidR="008C1C64">
        <w:t>,” or “</w:t>
      </w:r>
      <w:r w:rsidRPr="00392FBA" w:rsidR="008C1C64">
        <w:t>all or any part of any pleading not drawn or filed in conformity with the laws of this state, a court rule, or an order of the court</w:t>
      </w:r>
      <w:r w:rsidR="008C1C64">
        <w:t>.”  (</w:t>
      </w:r>
      <w:r w:rsidRPr="00392FBA" w:rsidR="008C1C64">
        <w:t>Code Civ. Proc., §</w:t>
      </w:r>
      <w:r w:rsidR="00CB49B9">
        <w:t> </w:t>
      </w:r>
      <w:r w:rsidRPr="00392FBA" w:rsidR="008C1C64">
        <w:t>436</w:t>
      </w:r>
      <w:r w:rsidR="008C1C64">
        <w:t>, subds.</w:t>
      </w:r>
      <w:r w:rsidR="00CB49B9">
        <w:t> </w:t>
      </w:r>
      <w:r w:rsidR="008C1C64">
        <w:t>(a), (b).)</w:t>
      </w:r>
      <w:r w:rsidR="00867D0B">
        <w:t xml:space="preserve"> </w:t>
      </w:r>
      <w:r w:rsidR="00BB03B7">
        <w:t xml:space="preserve"> </w:t>
      </w:r>
      <w:r w:rsidR="002E24CE">
        <w:t>W</w:t>
      </w:r>
      <w:r w:rsidR="00F33558">
        <w:t xml:space="preserve">e review an order </w:t>
      </w:r>
      <w:r w:rsidR="006E34B0">
        <w:t>on</w:t>
      </w:r>
      <w:r w:rsidR="00F33558">
        <w:t xml:space="preserve"> </w:t>
      </w:r>
      <w:r w:rsidR="001F1A48">
        <w:t>a motion to strike for abuse of discretion, although to the extent it rests on a que</w:t>
      </w:r>
      <w:r w:rsidR="00AF5249">
        <w:t xml:space="preserve">stion of law, it is subject to </w:t>
      </w:r>
      <w:r w:rsidR="00A32717">
        <w:t>our independent</w:t>
      </w:r>
      <w:r w:rsidR="00AF5249">
        <w:t xml:space="preserve"> review.  (</w:t>
      </w:r>
      <w:r w:rsidRPr="00031831" w:rsidR="00031831">
        <w:rPr>
          <w:i/>
          <w:iCs/>
        </w:rPr>
        <w:t>Abbott Laboratories v. Superior Court</w:t>
      </w:r>
      <w:r w:rsidR="00031831">
        <w:t xml:space="preserve"> (2020) 9</w:t>
      </w:r>
      <w:r w:rsidR="00CB49B9">
        <w:t> </w:t>
      </w:r>
      <w:r w:rsidR="00031831">
        <w:t xml:space="preserve">Cal.5th 642, 651; </w:t>
      </w:r>
      <w:r w:rsidRPr="00AF5249" w:rsidR="00AF5249">
        <w:rPr>
          <w:i/>
          <w:iCs/>
        </w:rPr>
        <w:t xml:space="preserve">Ruiz v. Musclewood </w:t>
      </w:r>
      <w:r w:rsidR="00EA4937">
        <w:rPr>
          <w:i/>
          <w:iCs/>
        </w:rPr>
        <w:t xml:space="preserve">Property </w:t>
      </w:r>
      <w:r w:rsidRPr="00AF5249" w:rsidR="00AF5249">
        <w:rPr>
          <w:i/>
          <w:iCs/>
        </w:rPr>
        <w:t>Investment</w:t>
      </w:r>
      <w:r w:rsidR="00EA4937">
        <w:rPr>
          <w:i/>
          <w:iCs/>
        </w:rPr>
        <w:t>s</w:t>
      </w:r>
      <w:r w:rsidRPr="00AF5249" w:rsidR="00AF5249">
        <w:rPr>
          <w:i/>
          <w:iCs/>
        </w:rPr>
        <w:t>, LLC</w:t>
      </w:r>
      <w:r w:rsidR="00AF5249">
        <w:t xml:space="preserve"> (2018) 28</w:t>
      </w:r>
      <w:r w:rsidR="00CB49B9">
        <w:t> </w:t>
      </w:r>
      <w:r w:rsidR="00AF5249">
        <w:t>Cal.App.5th 15, 24</w:t>
      </w:r>
      <w:r w:rsidR="00031831">
        <w:t>.)</w:t>
      </w:r>
      <w:r w:rsidR="002E24CE">
        <w:t xml:space="preserve">  </w:t>
      </w:r>
    </w:p>
    <w:p w:rsidR="00CA3594" w:rsidP="00031831" w14:paraId="363C9F84" w14:textId="26F415D9">
      <w:pPr>
        <w:spacing w:line="360" w:lineRule="auto"/>
      </w:pPr>
      <w:r>
        <w:tab/>
      </w:r>
      <w:r w:rsidR="002E24CE">
        <w:t xml:space="preserve">The Club moved to strike allegations on the ground </w:t>
      </w:r>
      <w:r w:rsidR="005F7946">
        <w:t xml:space="preserve">that </w:t>
      </w:r>
      <w:r w:rsidR="008E68F1">
        <w:t>some of them</w:t>
      </w:r>
      <w:r w:rsidR="00F82FE1">
        <w:t xml:space="preserve"> </w:t>
      </w:r>
      <w:r w:rsidR="00C63550">
        <w:t>had been</w:t>
      </w:r>
      <w:r w:rsidR="00AC7DDC">
        <w:t xml:space="preserve"> ordered stricken from the prior complaint—the </w:t>
      </w:r>
      <w:r w:rsidR="00697959">
        <w:t>first amended petition</w:t>
      </w:r>
      <w:r w:rsidR="00AC7DDC">
        <w:t xml:space="preserve">—without leave to amend, </w:t>
      </w:r>
      <w:r w:rsidR="008E68F1">
        <w:t xml:space="preserve">and others inconsistently alleged </w:t>
      </w:r>
      <w:r w:rsidR="004E43E0">
        <w:t xml:space="preserve">both </w:t>
      </w:r>
      <w:r w:rsidR="00E07847">
        <w:t xml:space="preserve">that </w:t>
      </w:r>
      <w:r w:rsidR="004E43E0">
        <w:t>the City ha</w:t>
      </w:r>
      <w:r w:rsidR="00327066">
        <w:t>s</w:t>
      </w:r>
      <w:r w:rsidR="004E43E0">
        <w:t xml:space="preserve"> no regulatory jurisdiction over </w:t>
      </w:r>
      <w:r w:rsidR="00327066">
        <w:t xml:space="preserve">property outside its territorial limits and that </w:t>
      </w:r>
      <w:r w:rsidR="00F74A29">
        <w:t xml:space="preserve">the City was required to regulate the Club under CEQA. </w:t>
      </w:r>
      <w:r w:rsidR="00E57F31">
        <w:t xml:space="preserve"> The </w:t>
      </w:r>
      <w:r w:rsidR="001D1C87">
        <w:t xml:space="preserve">Club’s </w:t>
      </w:r>
      <w:r w:rsidR="00E57F31">
        <w:t xml:space="preserve">previous motion to strike raised the same argument about inconsistent allegations, </w:t>
      </w:r>
      <w:r w:rsidR="0004142C">
        <w:t>and</w:t>
      </w:r>
      <w:r w:rsidR="003C0AAA">
        <w:t xml:space="preserve"> also</w:t>
      </w:r>
      <w:r w:rsidR="0004142C">
        <w:t xml:space="preserve"> argued that allegations about the </w:t>
      </w:r>
      <w:r w:rsidR="00046783">
        <w:t xml:space="preserve">City’s lease with the Club were </w:t>
      </w:r>
      <w:r w:rsidR="00F84B3A">
        <w:t>irrelevant</w:t>
      </w:r>
      <w:r w:rsidR="00547E5E">
        <w:t xml:space="preserve"> because Vichy lacked standing to enforce the lease and because </w:t>
      </w:r>
      <w:r w:rsidR="00DF7542">
        <w:t xml:space="preserve">the lease could not </w:t>
      </w:r>
      <w:r w:rsidR="00393427">
        <w:t>provide the City with</w:t>
      </w:r>
      <w:r w:rsidR="00DF7542">
        <w:t xml:space="preserve"> discretionary regulatory authority</w:t>
      </w:r>
      <w:r w:rsidR="00D04959">
        <w:t xml:space="preserve"> in any event</w:t>
      </w:r>
      <w:r w:rsidR="00DF7542">
        <w:t>.</w:t>
      </w:r>
      <w:r w:rsidR="008144E9">
        <w:t xml:space="preserve"> </w:t>
      </w:r>
      <w:r w:rsidR="00665F33">
        <w:t xml:space="preserve"> </w:t>
      </w:r>
    </w:p>
    <w:p w:rsidR="006113D3" w:rsidP="00F43945" w14:paraId="6954991D" w14:textId="0688F193">
      <w:pPr>
        <w:spacing w:line="360" w:lineRule="auto"/>
      </w:pPr>
      <w:r>
        <w:tab/>
        <w:t xml:space="preserve">We agree with Vichy that </w:t>
      </w:r>
      <w:r w:rsidR="00F60421">
        <w:t>there was no basis</w:t>
      </w:r>
      <w:r w:rsidR="00191FFB">
        <w:t xml:space="preserve"> for the trial court to order allegations stricken </w:t>
      </w:r>
      <w:r w:rsidR="00733212">
        <w:t xml:space="preserve">for </w:t>
      </w:r>
      <w:r w:rsidR="00191FFB">
        <w:t>inconsistency</w:t>
      </w:r>
      <w:r>
        <w:t xml:space="preserve">.  </w:t>
      </w:r>
      <w:r w:rsidR="007A2B29">
        <w:t xml:space="preserve">While a complaint may not plead inconsistent </w:t>
      </w:r>
      <w:r w:rsidR="007A2B29">
        <w:rPr>
          <w:i/>
          <w:iCs/>
        </w:rPr>
        <w:t>facts</w:t>
      </w:r>
      <w:r w:rsidR="007A2B29">
        <w:t xml:space="preserve">, </w:t>
      </w:r>
      <w:r w:rsidR="008B5A00">
        <w:t xml:space="preserve">it may plead inconsistent legal theories or causes of action.  </w:t>
      </w:r>
      <w:r w:rsidR="00283351">
        <w:t>(</w:t>
      </w:r>
      <w:r w:rsidRPr="00283351" w:rsidR="00283351">
        <w:rPr>
          <w:i/>
          <w:iCs/>
        </w:rPr>
        <w:t>Berman v. Bromberg</w:t>
      </w:r>
      <w:r w:rsidR="00283351">
        <w:t xml:space="preserve"> (1997) 56</w:t>
      </w:r>
      <w:r w:rsidR="00CB49B9">
        <w:t> </w:t>
      </w:r>
      <w:r w:rsidR="00283351">
        <w:t>Cal.App.4th 936, 944–945.)</w:t>
      </w:r>
      <w:r w:rsidR="00C25DF9">
        <w:t xml:space="preserve">  </w:t>
      </w:r>
      <w:r w:rsidR="008E2D35">
        <w:t>The allegations about the City’s regulatory authority, or lack thereof</w:t>
      </w:r>
      <w:r w:rsidR="00832049">
        <w:t xml:space="preserve">, </w:t>
      </w:r>
      <w:r w:rsidR="00BC5BF6">
        <w:t>are</w:t>
      </w:r>
      <w:r w:rsidR="00AF4C2C">
        <w:t xml:space="preserve"> alternative </w:t>
      </w:r>
      <w:r w:rsidR="000C24B1">
        <w:t>theories of liability, not inconsistent facts.</w:t>
      </w:r>
    </w:p>
    <w:p w:rsidR="00093421" w:rsidP="004C4419" w14:paraId="1DBF8360" w14:textId="4AC97331">
      <w:pPr>
        <w:spacing w:line="360" w:lineRule="auto"/>
      </w:pPr>
      <w:r>
        <w:tab/>
      </w:r>
      <w:r w:rsidR="00BF0379">
        <w:t xml:space="preserve">We also agree </w:t>
      </w:r>
      <w:r w:rsidR="005D7D0D">
        <w:t xml:space="preserve">with Vichy </w:t>
      </w:r>
      <w:r w:rsidR="00BF0379">
        <w:t xml:space="preserve">that the </w:t>
      </w:r>
      <w:r w:rsidR="005D7D0D">
        <w:t xml:space="preserve">allegations about the lease were </w:t>
      </w:r>
      <w:r w:rsidR="00DB62A0">
        <w:t>relevant to its legal theories</w:t>
      </w:r>
      <w:r w:rsidR="005D7D0D">
        <w:t>.</w:t>
      </w:r>
      <w:r w:rsidR="003C65F2">
        <w:t xml:space="preserve"> </w:t>
      </w:r>
      <w:r w:rsidR="00DB62A0">
        <w:t xml:space="preserve"> Vichy </w:t>
      </w:r>
      <w:r w:rsidR="00227525">
        <w:t xml:space="preserve">was not seeking to “enforce” the lease </w:t>
      </w:r>
      <w:r w:rsidR="00F902E2">
        <w:t xml:space="preserve">between the City and the Club, so its asserted lack of standing to do so is beside the point. </w:t>
      </w:r>
      <w:r w:rsidR="009854BB">
        <w:t xml:space="preserve"> </w:t>
      </w:r>
      <w:r w:rsidR="00704517">
        <w:t xml:space="preserve">The lease was </w:t>
      </w:r>
      <w:r w:rsidR="00652129">
        <w:t xml:space="preserve">legally </w:t>
      </w:r>
      <w:r w:rsidR="00704517">
        <w:t>relevant</w:t>
      </w:r>
      <w:r w:rsidR="00652129">
        <w:t xml:space="preserve"> </w:t>
      </w:r>
      <w:r w:rsidR="003E4571">
        <w:t xml:space="preserve">because </w:t>
      </w:r>
      <w:r w:rsidR="00472563">
        <w:t xml:space="preserve">Vichy </w:t>
      </w:r>
      <w:r w:rsidR="007F17AC">
        <w:t>alleged</w:t>
      </w:r>
      <w:r w:rsidR="00472563">
        <w:t xml:space="preserve"> that </w:t>
      </w:r>
      <w:r w:rsidR="00652129">
        <w:t xml:space="preserve">it </w:t>
      </w:r>
      <w:r w:rsidR="00472563">
        <w:t>was</w:t>
      </w:r>
      <w:r w:rsidR="00DF6C86">
        <w:t xml:space="preserve"> the source </w:t>
      </w:r>
      <w:r w:rsidR="003E4571">
        <w:t>of the City’s regulatory authority</w:t>
      </w:r>
      <w:r w:rsidR="00B11890">
        <w:t xml:space="preserve"> over the Club</w:t>
      </w:r>
      <w:r w:rsidR="003E4571">
        <w:t>.</w:t>
      </w:r>
      <w:r w:rsidR="00F902E2">
        <w:t xml:space="preserve"> </w:t>
      </w:r>
      <w:r w:rsidR="00472563">
        <w:t xml:space="preserve"> </w:t>
      </w:r>
      <w:r w:rsidR="00B43CB5">
        <w:t>T</w:t>
      </w:r>
      <w:r w:rsidR="00747345">
        <w:t xml:space="preserve">he Club </w:t>
      </w:r>
      <w:r w:rsidR="009A626D">
        <w:t xml:space="preserve">argues that the lease is irrelevant because </w:t>
      </w:r>
      <w:r w:rsidR="00D849AC">
        <w:t xml:space="preserve">the </w:t>
      </w:r>
      <w:r w:rsidR="0019270A">
        <w:t xml:space="preserve">City properly found that the </w:t>
      </w:r>
      <w:r w:rsidR="00D849AC">
        <w:t xml:space="preserve">Project was </w:t>
      </w:r>
      <w:r w:rsidR="00562FAD">
        <w:t>either not subject to CEQA or qualified for an exemption.</w:t>
      </w:r>
      <w:r w:rsidR="0012509A">
        <w:t xml:space="preserve"> </w:t>
      </w:r>
      <w:r w:rsidR="007229DA">
        <w:t xml:space="preserve"> But </w:t>
      </w:r>
      <w:r w:rsidR="009D67BF">
        <w:t>the Petition</w:t>
      </w:r>
      <w:r w:rsidR="0060266B">
        <w:t xml:space="preserve"> contest</w:t>
      </w:r>
      <w:r w:rsidR="009D1D3F">
        <w:t>s</w:t>
      </w:r>
      <w:r w:rsidR="0060266B">
        <w:t xml:space="preserve"> </w:t>
      </w:r>
      <w:r w:rsidR="00F54F95">
        <w:t>those findings</w:t>
      </w:r>
      <w:r w:rsidR="00990C8F">
        <w:t>;</w:t>
      </w:r>
      <w:r w:rsidR="00E6698C">
        <w:t xml:space="preserve"> to rely on them </w:t>
      </w:r>
      <w:r w:rsidR="000A2FCF">
        <w:t>as a basis for granting</w:t>
      </w:r>
      <w:r w:rsidR="00E6698C">
        <w:t xml:space="preserve"> </w:t>
      </w:r>
      <w:r w:rsidR="004435D7">
        <w:t>the</w:t>
      </w:r>
      <w:r w:rsidR="00AE5852">
        <w:t xml:space="preserve"> motion to strike </w:t>
      </w:r>
      <w:r w:rsidR="000A2FCF">
        <w:t xml:space="preserve">would </w:t>
      </w:r>
      <w:r w:rsidR="00AE5852">
        <w:t xml:space="preserve">put the cart before the horse.  </w:t>
      </w:r>
      <w:r w:rsidR="002B21EC">
        <w:t xml:space="preserve">As </w:t>
      </w:r>
      <w:r w:rsidR="00343614">
        <w:t>we discuss</w:t>
      </w:r>
      <w:r w:rsidR="002B21EC">
        <w:t xml:space="preserve"> </w:t>
      </w:r>
      <w:r w:rsidR="00841C19">
        <w:t>next</w:t>
      </w:r>
      <w:r w:rsidR="002B21EC">
        <w:t xml:space="preserve">, the </w:t>
      </w:r>
      <w:r w:rsidR="00862BE4">
        <w:t xml:space="preserve">Club’s </w:t>
      </w:r>
      <w:r w:rsidR="002B21EC">
        <w:t xml:space="preserve">arguments that the Project </w:t>
      </w:r>
      <w:r w:rsidR="00AF2347">
        <w:t xml:space="preserve">was exempt </w:t>
      </w:r>
      <w:r w:rsidR="0087693D">
        <w:t xml:space="preserve">do not defeat the CEQA cause of action at the pleading stage, </w:t>
      </w:r>
      <w:r w:rsidR="0052629C">
        <w:t xml:space="preserve">so they do not supply a valid </w:t>
      </w:r>
      <w:r w:rsidR="000B6278">
        <w:t>reason to grant</w:t>
      </w:r>
      <w:r w:rsidR="0052629C">
        <w:t xml:space="preserve"> the </w:t>
      </w:r>
      <w:r w:rsidR="003F425E">
        <w:t>motion to strike</w:t>
      </w:r>
      <w:r w:rsidR="00FF464B">
        <w:t xml:space="preserve"> (</w:t>
      </w:r>
      <w:r w:rsidR="00D951A3">
        <w:t xml:space="preserve">and if they </w:t>
      </w:r>
      <w:r w:rsidR="00B91EDB">
        <w:t>did defeat</w:t>
      </w:r>
      <w:r w:rsidR="00B10B61">
        <w:t xml:space="preserve"> the cause of action, they would</w:t>
      </w:r>
      <w:r w:rsidR="001155E3">
        <w:t xml:space="preserve"> have</w:t>
      </w:r>
      <w:r w:rsidR="00B10B61">
        <w:t xml:space="preserve"> render</w:t>
      </w:r>
      <w:r w:rsidR="001155E3">
        <w:t>ed</w:t>
      </w:r>
      <w:r w:rsidR="00B10B61">
        <w:t xml:space="preserve"> the motion</w:t>
      </w:r>
      <w:r w:rsidR="00C36617">
        <w:t xml:space="preserve"> to strike</w:t>
      </w:r>
      <w:r w:rsidR="00B10B61">
        <w:t xml:space="preserve"> </w:t>
      </w:r>
      <w:r w:rsidR="00406EF5">
        <w:t>moot</w:t>
      </w:r>
      <w:r w:rsidR="00C36617">
        <w:t xml:space="preserve">, as </w:t>
      </w:r>
      <w:r w:rsidR="00DC7C5C">
        <w:t>previously noted</w:t>
      </w:r>
      <w:r w:rsidR="00FF464B">
        <w:t>)</w:t>
      </w:r>
      <w:r w:rsidR="003F425E">
        <w:t>.</w:t>
      </w:r>
      <w:r>
        <w:rPr>
          <w:rStyle w:val="FootnoteReference"/>
        </w:rPr>
        <w:footnoteReference w:id="11"/>
      </w:r>
      <w:r w:rsidR="003F425E">
        <w:t xml:space="preserve">  </w:t>
      </w:r>
      <w:r w:rsidR="000A5409">
        <w:t xml:space="preserve">Because there was no </w:t>
      </w:r>
      <w:r w:rsidR="00520E4F">
        <w:t>proper</w:t>
      </w:r>
      <w:r w:rsidR="000A5409">
        <w:t xml:space="preserve"> legal basis for</w:t>
      </w:r>
      <w:r w:rsidR="00C96F9A">
        <w:t xml:space="preserve"> granting the motion</w:t>
      </w:r>
      <w:r w:rsidR="00520E4F">
        <w:t>,</w:t>
      </w:r>
      <w:r w:rsidR="00F24216">
        <w:t xml:space="preserve"> </w:t>
      </w:r>
      <w:r w:rsidR="00C96F9A">
        <w:t xml:space="preserve">the </w:t>
      </w:r>
      <w:r w:rsidR="00520E4F">
        <w:t>trial court abused its discretion in doing so</w:t>
      </w:r>
      <w:r w:rsidR="00FF30A3">
        <w:t>.</w:t>
      </w:r>
      <w:r w:rsidR="00F741F7">
        <w:t xml:space="preserve"> </w:t>
      </w:r>
      <w:r w:rsidR="00FD3BC6">
        <w:t xml:space="preserve"> </w:t>
      </w:r>
    </w:p>
    <w:p w:rsidR="0050706A" w:rsidP="0010620E" w14:paraId="365CD9F7" w14:textId="7159607D">
      <w:pPr>
        <w:spacing w:line="360" w:lineRule="auto"/>
      </w:pPr>
      <w:r>
        <w:tab/>
      </w:r>
      <w:r w:rsidR="008E1447">
        <w:t>T</w:t>
      </w:r>
      <w:r w:rsidR="00EF51EF">
        <w:t>he City found</w:t>
      </w:r>
      <w:r w:rsidR="00D02EED">
        <w:t xml:space="preserve"> </w:t>
      </w:r>
      <w:r w:rsidR="0010620E">
        <w:t xml:space="preserve">that the </w:t>
      </w:r>
      <w:r w:rsidR="003B0006">
        <w:t>Project</w:t>
      </w:r>
      <w:r w:rsidR="001D7A7B">
        <w:t xml:space="preserve"> </w:t>
      </w:r>
      <w:r w:rsidR="0010620E">
        <w:t>was</w:t>
      </w:r>
      <w:r w:rsidR="001F0A20">
        <w:t xml:space="preserve"> not subject to CEQA because it was</w:t>
      </w:r>
      <w:r w:rsidR="0010620E">
        <w:t xml:space="preserve"> ministerial</w:t>
      </w:r>
      <w:r w:rsidR="00986159">
        <w:t xml:space="preserve">, </w:t>
      </w:r>
      <w:r w:rsidR="001F0A20">
        <w:t>or alternatively</w:t>
      </w:r>
      <w:r w:rsidR="006937E1">
        <w:t xml:space="preserve">, </w:t>
      </w:r>
      <w:r w:rsidR="00986159">
        <w:t xml:space="preserve">that </w:t>
      </w:r>
      <w:r w:rsidR="003B0006">
        <w:t>it was</w:t>
      </w:r>
      <w:r w:rsidR="00986159">
        <w:t xml:space="preserve"> </w:t>
      </w:r>
      <w:r w:rsidR="0080168F">
        <w:t>categorically exempt as</w:t>
      </w:r>
      <w:r w:rsidR="00986159">
        <w:t xml:space="preserve"> the replacement of an existing structure that would not expand the current use of the property. </w:t>
      </w:r>
      <w:r w:rsidR="00A25216">
        <w:t xml:space="preserve"> </w:t>
      </w:r>
      <w:r w:rsidR="00986159">
        <w:t>(See CEQA Guidelines, §</w:t>
      </w:r>
      <w:r w:rsidR="00496260">
        <w:t>§</w:t>
      </w:r>
      <w:r w:rsidR="00BD2E6E">
        <w:t> </w:t>
      </w:r>
      <w:r w:rsidR="00986159">
        <w:t>15301</w:t>
      </w:r>
      <w:r w:rsidR="00496260">
        <w:t>, 15302</w:t>
      </w:r>
      <w:r w:rsidR="00986159">
        <w:t>.)</w:t>
      </w:r>
      <w:r>
        <w:rPr>
          <w:rStyle w:val="FootnoteReference"/>
        </w:rPr>
        <w:footnoteReference w:id="12"/>
      </w:r>
      <w:r w:rsidR="0010620E">
        <w:t xml:space="preserve">  </w:t>
      </w:r>
      <w:r w:rsidR="00C71B10">
        <w:t>T</w:t>
      </w:r>
      <w:r w:rsidR="00C93D3D">
        <w:t>o start with the latter, t</w:t>
      </w:r>
      <w:r w:rsidR="00C71B10">
        <w:t xml:space="preserve">he allegations of the Petition prevent us from concluding that </w:t>
      </w:r>
      <w:r w:rsidR="002A7E65">
        <w:t xml:space="preserve">the Project was categorically exempt.  </w:t>
      </w:r>
      <w:r w:rsidR="00D933D7">
        <w:t>T</w:t>
      </w:r>
      <w:r w:rsidR="00BB71D3">
        <w:t xml:space="preserve">he </w:t>
      </w:r>
      <w:r w:rsidRPr="003848D9" w:rsidR="00BB71D3">
        <w:t>City argu</w:t>
      </w:r>
      <w:r w:rsidR="00BB71D3">
        <w:t>es</w:t>
      </w:r>
      <w:r w:rsidRPr="003848D9" w:rsidR="00BB71D3">
        <w:t xml:space="preserve"> that </w:t>
      </w:r>
      <w:r w:rsidR="00BB71D3">
        <w:t xml:space="preserve">the allegation that the Project would increase usage is “directly refuted” by </w:t>
      </w:r>
      <w:r w:rsidRPr="003848D9" w:rsidR="00BB71D3">
        <w:t xml:space="preserve">the exhibits attached to the </w:t>
      </w:r>
      <w:r w:rsidR="00BB71D3">
        <w:t>P</w:t>
      </w:r>
      <w:r w:rsidRPr="003848D9" w:rsidR="00BB71D3">
        <w:t>etition</w:t>
      </w:r>
      <w:r w:rsidR="00BB71D3">
        <w:t xml:space="preserve">.  The attachments, however, which describe the Project as “one of the biggest projects in recent Club history,” are silent as to increased usage and thus do not necessarily conflict with or negate the allegation in the Petition. </w:t>
      </w:r>
      <w:r w:rsidR="003A33FA">
        <w:t xml:space="preserve"> Similarly, while the Club argues that the Petition </w:t>
      </w:r>
      <w:r w:rsidR="00E72D19">
        <w:t xml:space="preserve">alleges that the Project involved the demolition and replacement of an existing structure, </w:t>
      </w:r>
      <w:r w:rsidR="005D7C07">
        <w:t>that</w:t>
      </w:r>
      <w:r w:rsidR="000C6A81">
        <w:t xml:space="preserve"> characterization is an oversimplification.  The Petition</w:t>
      </w:r>
      <w:r w:rsidR="00C44704">
        <w:t xml:space="preserve"> alleges</w:t>
      </w:r>
      <w:r w:rsidR="002B7E09">
        <w:t xml:space="preserve"> that the Project involved</w:t>
      </w:r>
      <w:r w:rsidR="00C44704">
        <w:t xml:space="preserve"> the construction “of a different and modern structure”</w:t>
      </w:r>
      <w:r w:rsidR="00A02C99">
        <w:t xml:space="preserve"> that will “increase the use and capacity.” </w:t>
      </w:r>
      <w:r w:rsidR="00BB71D3">
        <w:t xml:space="preserve"> </w:t>
      </w:r>
      <w:r w:rsidR="003F450C">
        <w:t>F</w:t>
      </w:r>
      <w:r w:rsidR="00BB71D3">
        <w:t xml:space="preserve">or purposes of demurrer, we must take </w:t>
      </w:r>
      <w:r w:rsidR="003F450C">
        <w:t xml:space="preserve">these allegations </w:t>
      </w:r>
      <w:r w:rsidR="00BB71D3">
        <w:t>as true</w:t>
      </w:r>
      <w:r w:rsidR="002D1D55">
        <w:t>.</w:t>
      </w:r>
    </w:p>
    <w:p w:rsidR="0010620E" w:rsidRPr="00B75E48" w:rsidP="0010620E" w14:paraId="31EA0A41" w14:textId="0D250556">
      <w:pPr>
        <w:spacing w:line="360" w:lineRule="auto"/>
      </w:pPr>
      <w:r>
        <w:tab/>
        <w:t xml:space="preserve">With respect to the City’s finding that the </w:t>
      </w:r>
      <w:r w:rsidR="004E3821">
        <w:t>Project</w:t>
      </w:r>
      <w:r>
        <w:t xml:space="preserve"> was ministerial, Vichy argues that, even </w:t>
      </w:r>
      <w:r w:rsidR="00894581">
        <w:t>if</w:t>
      </w:r>
      <w:r>
        <w:t xml:space="preserve"> </w:t>
      </w:r>
      <w:r w:rsidR="006271AC">
        <w:t xml:space="preserve">the </w:t>
      </w:r>
      <w:r w:rsidR="0012585E">
        <w:t xml:space="preserve">building </w:t>
      </w:r>
      <w:r w:rsidR="006271AC">
        <w:t>permit</w:t>
      </w:r>
      <w:r>
        <w:t xml:space="preserve"> would be ministerial if issued to a private landowner pursuant to the City’s statutory authority, here </w:t>
      </w:r>
      <w:r w:rsidR="0006141A">
        <w:t>it</w:t>
      </w:r>
      <w:r>
        <w:t xml:space="preserve"> should be considered discretionary because the City, as the property’s owner, did not have to allow the Club to undertake any improvements at all and could impose any conditions on the Project it saw fit.  The parties have not identified any authority addressing whether an otherwise ministerial permit should be considered discretionary when it is issued to a lessee of government-owned property who does not have a right to construct any improvements without the lessor’s (i.e., the government’s) permission.  </w:t>
      </w:r>
      <w:r w:rsidR="00945DF2">
        <w:t xml:space="preserve">But </w:t>
      </w:r>
      <w:r w:rsidRPr="00B75E48" w:rsidR="00945DF2">
        <w:t>w</w:t>
      </w:r>
      <w:r w:rsidRPr="009D5A30" w:rsidR="00945DF2">
        <w:t>e think that the City’s approval of the Project could be considered discretionary if the lease meant the City was under no obligation to allow the Club to make any improvements on the property or was free to impose its own conditions.  A ministerial decision is one “involving little or no personal judgment by the public official as to the wisdom or manner of carrying out the project.”  (CEQA Guidelines, § 15369.)  While we do not preclude the possibility that the City or the Club could show that the lease did not give City officials the requisite level of discretion, at this stage of the proceedings we cannot find that the scope of their permissible decision-making with respect to the Club’s Project “involves only the use of fixed standards or objective measurements,” with no room for “personal, subjective judgment in deciding whether or how the project should be carried out.”  (</w:t>
      </w:r>
      <w:r w:rsidRPr="009D5A30" w:rsidR="00945DF2">
        <w:rPr>
          <w:i/>
        </w:rPr>
        <w:t>Ibid.</w:t>
      </w:r>
      <w:r w:rsidRPr="009D5A30" w:rsidR="00945DF2">
        <w:t>)</w:t>
      </w:r>
    </w:p>
    <w:p w:rsidR="00DB2D76" w:rsidP="009B4244" w14:paraId="26AFE87E" w14:textId="6709985B">
      <w:pPr>
        <w:spacing w:line="360" w:lineRule="auto"/>
      </w:pPr>
      <w:r w:rsidRPr="00B75E48">
        <w:tab/>
      </w:r>
      <w:r w:rsidRPr="009D5A30" w:rsidR="00742F49">
        <w:t>Moreover, whether or not the building permit was ministerial, the Petition alleges that it was not the only permit the Project required, and there is no dispute that the County use permit would be discretionary.</w:t>
      </w:r>
      <w:r w:rsidR="00742F49">
        <w:t xml:space="preserve">  </w:t>
      </w:r>
      <w:r>
        <w:t>The CEQA Guidelines define a project as including “the whole of an action, which has a potential for resulting in either a direct physical change in the environment, or a reasonably foreseeable indirect physical change in the environment.”  (CEQA Guidelines, § 15378.)  Where a project is to be approved by more than one public agency, the CEQA Guidelines provide directions for how the environmental review should be conducted.</w:t>
      </w:r>
      <w:r w:rsidRPr="00691091">
        <w:t xml:space="preserve"> </w:t>
      </w:r>
      <w:r>
        <w:t xml:space="preserve"> (CEQA Guidelines, § 15050.)  The public agency with the greatest responsibility for supervising or approving the project as a whole shall be designated the lead agency and the lead agency shall be responsible for preparing an EIR or negative declaration for the project.  (CEQA Guidelines, § 15050, subd.</w:t>
      </w:r>
      <w:r w:rsidR="00CA39BE">
        <w:t> </w:t>
      </w:r>
      <w:r>
        <w:t>(a)</w:t>
      </w:r>
      <w:r w:rsidR="009E7273">
        <w:t>,</w:t>
      </w:r>
      <w:r>
        <w:t xml:space="preserve"> § 15051, subd.</w:t>
      </w:r>
      <w:r w:rsidR="00CA39BE">
        <w:t> </w:t>
      </w:r>
      <w:r>
        <w:t xml:space="preserve">(b).)  </w:t>
      </w:r>
      <w:r w:rsidR="00D95A6C">
        <w:t xml:space="preserve">The parties have not </w:t>
      </w:r>
      <w:r w:rsidR="00B71D43">
        <w:t>addressed</w:t>
      </w:r>
      <w:r w:rsidR="00D95A6C">
        <w:t xml:space="preserve"> </w:t>
      </w:r>
      <w:r w:rsidR="00B71D43">
        <w:t xml:space="preserve">how these Guidelines apply to the Project here, but </w:t>
      </w:r>
      <w:r w:rsidR="00DC72E4">
        <w:t>according to the Petition,</w:t>
      </w:r>
      <w:r w:rsidR="00B71D43">
        <w:t xml:space="preserve"> there was no</w:t>
      </w:r>
      <w:r w:rsidR="00A454BD">
        <w:t xml:space="preserve"> coordination between the City and the County apart from the County’s </w:t>
      </w:r>
      <w:r w:rsidR="00DC72E4">
        <w:t>legally erroneous disavowal</w:t>
      </w:r>
      <w:r w:rsidR="009E7273">
        <w:t xml:space="preserve"> of responsibility and the City’s acceptance of that position.</w:t>
      </w:r>
      <w:r w:rsidR="00DC72E4">
        <w:t xml:space="preserve"> </w:t>
      </w:r>
      <w:r w:rsidR="00B71D43">
        <w:t xml:space="preserve"> </w:t>
      </w:r>
      <w:r w:rsidR="0045403E">
        <w:t xml:space="preserve">Neither the City nor the Club has </w:t>
      </w:r>
      <w:r w:rsidR="006B5B71">
        <w:t>established</w:t>
      </w:r>
      <w:r w:rsidR="0045403E">
        <w:t xml:space="preserve"> that the Project did not require a </w:t>
      </w:r>
      <w:r w:rsidR="00BD5B6D">
        <w:t xml:space="preserve">discretionary use permit from the County, </w:t>
      </w:r>
      <w:r w:rsidR="00462243">
        <w:t xml:space="preserve">or that the </w:t>
      </w:r>
      <w:r w:rsidR="00DA360D">
        <w:t xml:space="preserve">City was bound by the </w:t>
      </w:r>
      <w:r w:rsidR="00462243">
        <w:t xml:space="preserve">County’s </w:t>
      </w:r>
      <w:r w:rsidR="00DA360D">
        <w:t>alleged misinterpretation of intergovernmental immunity statutes</w:t>
      </w:r>
      <w:r w:rsidR="00826E5F">
        <w:t xml:space="preserve">.  </w:t>
      </w:r>
      <w:r w:rsidR="00C91C6F">
        <w:t xml:space="preserve">Such arguments </w:t>
      </w:r>
      <w:r w:rsidR="00D279DD">
        <w:t xml:space="preserve">(or others) may be developed on remand, </w:t>
      </w:r>
      <w:r w:rsidR="00725714">
        <w:t>but on the record before us, t</w:t>
      </w:r>
      <w:r w:rsidR="00455570">
        <w:t xml:space="preserve">o the extent the City’s finding that the </w:t>
      </w:r>
      <w:r w:rsidR="00E201F0">
        <w:t xml:space="preserve">Project was ministerial rested on </w:t>
      </w:r>
      <w:r w:rsidR="00BD1A5C">
        <w:t>a</w:t>
      </w:r>
      <w:r w:rsidR="00E201F0">
        <w:t xml:space="preserve"> conclusion</w:t>
      </w:r>
      <w:r w:rsidR="003F094A">
        <w:t xml:space="preserve"> that </w:t>
      </w:r>
      <w:r w:rsidR="003A56EB">
        <w:t xml:space="preserve">no use permit was required because </w:t>
      </w:r>
      <w:r w:rsidR="003F094A">
        <w:t xml:space="preserve">the County lacked regulatory authority, it was legally unsound.  </w:t>
      </w:r>
    </w:p>
    <w:p w:rsidR="003508E8" w:rsidP="009B4244" w14:paraId="11210C05" w14:textId="122F1496">
      <w:pPr>
        <w:spacing w:line="360" w:lineRule="auto"/>
      </w:pPr>
      <w:r>
        <w:tab/>
      </w:r>
      <w:r w:rsidRPr="006A46DA" w:rsidR="0010620E">
        <w:t xml:space="preserve">Accordingly, the </w:t>
      </w:r>
      <w:r w:rsidR="0010620E">
        <w:t xml:space="preserve">trial </w:t>
      </w:r>
      <w:r w:rsidRPr="006A46DA" w:rsidR="0010620E">
        <w:t>court err</w:t>
      </w:r>
      <w:r w:rsidR="0010620E">
        <w:t>ed</w:t>
      </w:r>
      <w:r w:rsidRPr="006A46DA" w:rsidR="0010620E">
        <w:t xml:space="preserve"> in sustaining the </w:t>
      </w:r>
      <w:r w:rsidR="0010620E">
        <w:t>City’s demurrer</w:t>
      </w:r>
      <w:r w:rsidRPr="006A46DA" w:rsidR="0010620E">
        <w:t xml:space="preserve"> to the </w:t>
      </w:r>
      <w:r w:rsidR="0010620E">
        <w:t>CEQA</w:t>
      </w:r>
      <w:r w:rsidRPr="006A46DA" w:rsidR="0010620E">
        <w:t xml:space="preserve"> cause of action</w:t>
      </w:r>
      <w:r w:rsidR="0010620E">
        <w:t xml:space="preserve">. </w:t>
      </w:r>
    </w:p>
    <w:p w:rsidR="009B4244" w:rsidRPr="00DB4F0D" w:rsidP="006C3450" w14:paraId="348F39E9" w14:textId="1E170507">
      <w:pPr>
        <w:pStyle w:val="Heading1"/>
        <w:keepLines w:val="0"/>
        <w:spacing w:before="0" w:after="0" w:line="360" w:lineRule="auto"/>
        <w:rPr>
          <w:b w:val="0"/>
          <w:bCs/>
        </w:rPr>
      </w:pPr>
      <w:r w:rsidRPr="00804ABA">
        <w:t>Writ of Mandate (</w:t>
      </w:r>
      <w:r w:rsidRPr="00804ABA" w:rsidR="004C0817">
        <w:t>Violation</w:t>
      </w:r>
      <w:r w:rsidRPr="00804ABA">
        <w:t xml:space="preserve"> of </w:t>
      </w:r>
      <w:r w:rsidRPr="00804ABA" w:rsidR="004C0817">
        <w:t>Mendocino and Ukiah Codes</w:t>
      </w:r>
      <w:r w:rsidRPr="00804ABA">
        <w:t>)</w:t>
      </w:r>
      <w:r w:rsidRPr="00F358C5">
        <w:rPr>
          <w:bCs/>
        </w:rPr>
        <w:t xml:space="preserve"> </w:t>
      </w:r>
    </w:p>
    <w:p w:rsidR="008F1944" w:rsidP="00D62EB6" w14:paraId="6F885550" w14:textId="104D2490">
      <w:pPr>
        <w:spacing w:line="360" w:lineRule="auto"/>
      </w:pPr>
      <w:r>
        <w:tab/>
      </w:r>
      <w:r w:rsidR="00B97D2B">
        <w:t>Under Code of Civil Procedure section</w:t>
      </w:r>
      <w:r w:rsidR="00CA39BE">
        <w:t> </w:t>
      </w:r>
      <w:r w:rsidR="00B97D2B">
        <w:t>1085, subdivision</w:t>
      </w:r>
      <w:r w:rsidR="00CA39BE">
        <w:t> </w:t>
      </w:r>
      <w:r w:rsidR="00B97D2B">
        <w:t>(a), “A writ of mandate may be issued by any court to any inferior tribunal, corporation, board, or person, to compel the performance of an act which the law specially enjoins, as a duty resulting from an office, trust, or station.”  A writ of mandate “will issue against a county, city, or other public body.”  (</w:t>
      </w:r>
      <w:r w:rsidRPr="00AA63BE" w:rsidR="00B97D2B">
        <w:rPr>
          <w:i/>
          <w:iCs/>
        </w:rPr>
        <w:t>Venice Town Council, Inc. v. City of Los Angeles</w:t>
      </w:r>
      <w:r w:rsidR="00B97D2B">
        <w:t xml:space="preserve"> (1996) 47</w:t>
      </w:r>
      <w:r w:rsidR="00CA39BE">
        <w:t> </w:t>
      </w:r>
      <w:r w:rsidR="00B97D2B">
        <w:t xml:space="preserve">Cal.App.4th 1547, 1558.) </w:t>
      </w:r>
      <w:r w:rsidRPr="00A94D1C" w:rsidR="00B97D2B">
        <w:t xml:space="preserve"> </w:t>
      </w:r>
      <w:r w:rsidR="00B97D2B">
        <w:t>“</w:t>
      </w:r>
      <w:r w:rsidR="00CA39BE">
        <w:t> </w:t>
      </w:r>
      <w:r w:rsidR="00B97D2B">
        <w:t xml:space="preserve">‘However, the writ will not lie to control discretion conferred upon a public officer or agency. </w:t>
      </w:r>
      <w:r w:rsidR="00847544">
        <w:t xml:space="preserve"> </w:t>
      </w:r>
      <w:r w:rsidR="00B97D2B">
        <w:t xml:space="preserve">[Citations.] </w:t>
      </w:r>
      <w:r w:rsidR="00847544">
        <w:t xml:space="preserve"> </w:t>
      </w:r>
      <w:r w:rsidR="00B97D2B">
        <w:t>Two basic requirements are essential to the issuance of the writ:</w:t>
      </w:r>
      <w:r w:rsidR="0017579B">
        <w:t xml:space="preserve"> </w:t>
      </w:r>
      <w:r w:rsidR="00B97D2B">
        <w:t xml:space="preserve"> (1)</w:t>
      </w:r>
      <w:r w:rsidR="00CA39BE">
        <w:t> </w:t>
      </w:r>
      <w:r w:rsidR="00B97D2B">
        <w:t>A clear, present and usually ministerial duty upon the part of the respondent [citations]; and (2)</w:t>
      </w:r>
      <w:r w:rsidR="00CA39BE">
        <w:t> </w:t>
      </w:r>
      <w:r w:rsidR="00B97D2B">
        <w:t xml:space="preserve">a clear, present and beneficial right in the petitioner to the performance of that duty[.]’ </w:t>
      </w:r>
      <w:r w:rsidR="00847544">
        <w:t xml:space="preserve"> </w:t>
      </w:r>
      <w:r w:rsidR="00B97D2B">
        <w:t xml:space="preserve">[Citation.] </w:t>
      </w:r>
      <w:r w:rsidR="00847544">
        <w:t xml:space="preserve"> </w:t>
      </w:r>
      <w:r w:rsidR="00B97D2B">
        <w:t xml:space="preserve">[¶]  Where a statute leaves room for discretion, a challenger must show the official acted arbitrarily, beyond the bounds of reason or in derogation of the applicable legal standards. </w:t>
      </w:r>
      <w:r w:rsidR="00847544">
        <w:t xml:space="preserve"> </w:t>
      </w:r>
      <w:r w:rsidR="00B97D2B">
        <w:t xml:space="preserve">[Citation.] </w:t>
      </w:r>
      <w:r w:rsidR="00847544">
        <w:t xml:space="preserve"> </w:t>
      </w:r>
      <w:r w:rsidR="00B97D2B">
        <w:t>Where only one choice can be a reasonable exercise of discretion, a court may compel an official to make that choice.”  (</w:t>
      </w:r>
      <w:r w:rsidRPr="00AA63BE" w:rsidR="00B97D2B">
        <w:rPr>
          <w:i/>
          <w:iCs/>
        </w:rPr>
        <w:t>California Corr</w:t>
      </w:r>
      <w:r w:rsidR="00736E19">
        <w:rPr>
          <w:i/>
          <w:iCs/>
        </w:rPr>
        <w:t>ectional</w:t>
      </w:r>
      <w:r w:rsidRPr="00AA63BE" w:rsidR="00B97D2B">
        <w:rPr>
          <w:i/>
          <w:iCs/>
        </w:rPr>
        <w:t xml:space="preserve"> Supervisors Org</w:t>
      </w:r>
      <w:r w:rsidR="00736E19">
        <w:rPr>
          <w:i/>
          <w:iCs/>
        </w:rPr>
        <w:t>anization</w:t>
      </w:r>
      <w:r w:rsidRPr="00AA63BE" w:rsidR="00B97D2B">
        <w:rPr>
          <w:i/>
          <w:iCs/>
        </w:rPr>
        <w:t>, Inc. v. Dep</w:t>
      </w:r>
      <w:r w:rsidR="00890F21">
        <w:rPr>
          <w:i/>
          <w:iCs/>
        </w:rPr>
        <w:t>artment</w:t>
      </w:r>
      <w:r w:rsidRPr="00AA63BE" w:rsidR="00B97D2B">
        <w:rPr>
          <w:i/>
          <w:iCs/>
        </w:rPr>
        <w:t xml:space="preserve"> of Corr</w:t>
      </w:r>
      <w:r w:rsidR="00890F21">
        <w:rPr>
          <w:i/>
          <w:iCs/>
        </w:rPr>
        <w:t>ections</w:t>
      </w:r>
      <w:r w:rsidR="00B97D2B">
        <w:t xml:space="preserve"> (2002) 96</w:t>
      </w:r>
      <w:r w:rsidR="009F7E15">
        <w:t> </w:t>
      </w:r>
      <w:r w:rsidR="00B97D2B">
        <w:t>Cal.App.4th 824, 827</w:t>
      </w:r>
      <w:r>
        <w:t xml:space="preserve">; </w:t>
      </w:r>
      <w:r w:rsidRPr="00E162CB">
        <w:rPr>
          <w:i/>
          <w:iCs/>
        </w:rPr>
        <w:t>Citizens for E</w:t>
      </w:r>
      <w:r w:rsidR="00890F21">
        <w:rPr>
          <w:i/>
          <w:iCs/>
        </w:rPr>
        <w:t>ast</w:t>
      </w:r>
      <w:r w:rsidRPr="00E162CB">
        <w:rPr>
          <w:i/>
          <w:iCs/>
        </w:rPr>
        <w:t xml:space="preserve"> Shore Parks v. State Lands Com.</w:t>
      </w:r>
      <w:r>
        <w:t xml:space="preserve"> (2011) 202</w:t>
      </w:r>
      <w:r w:rsidR="009F7E15">
        <w:t> </w:t>
      </w:r>
      <w:r>
        <w:t>Cal.App.4th 549, 573 [“[T]he arbitrary or capricious standard applicable in traditional mandamus proceedings under Code of Civil Procedure section</w:t>
      </w:r>
      <w:r w:rsidR="009F7E15">
        <w:t> </w:t>
      </w:r>
      <w:r>
        <w:t>1085, embrace[s] review for legal error”].)</w:t>
      </w:r>
    </w:p>
    <w:p w:rsidR="00D87E78" w:rsidRPr="00A40BAF" w:rsidP="00D87E78" w14:paraId="7636C194" w14:textId="77777777">
      <w:pPr>
        <w:pStyle w:val="ListParagraph"/>
        <w:keepNext/>
        <w:keepLines/>
        <w:numPr>
          <w:ilvl w:val="0"/>
          <w:numId w:val="25"/>
        </w:numPr>
        <w:spacing w:line="360" w:lineRule="auto"/>
        <w:rPr>
          <w:b/>
          <w:bCs/>
        </w:rPr>
      </w:pPr>
      <w:r>
        <w:rPr>
          <w:b/>
          <w:bCs/>
        </w:rPr>
        <w:t>T</w:t>
      </w:r>
      <w:r w:rsidRPr="00A40BAF">
        <w:rPr>
          <w:b/>
          <w:bCs/>
        </w:rPr>
        <w:t>he County</w:t>
      </w:r>
    </w:p>
    <w:p w:rsidR="00E92E0E" w:rsidP="009B4244" w14:paraId="0ABC1977" w14:textId="3B910011">
      <w:pPr>
        <w:spacing w:line="360" w:lineRule="auto"/>
      </w:pPr>
      <w:r>
        <w:tab/>
      </w:r>
      <w:r w:rsidR="009B4244">
        <w:t>The Petition alleges that (1)</w:t>
      </w:r>
      <w:r w:rsidR="009F7E15">
        <w:t> </w:t>
      </w:r>
      <w:r w:rsidR="009B4244">
        <w:t>the Club’s Project demolished an existing structure that had been authorized by a 1982 designation of non-conforming use by the County; (2)</w:t>
      </w:r>
      <w:r w:rsidR="00C71438">
        <w:t> </w:t>
      </w:r>
      <w:r w:rsidR="009B4244">
        <w:t>Mendocino</w:t>
      </w:r>
      <w:r w:rsidRPr="00A71E89" w:rsidR="009B4244">
        <w:t xml:space="preserve"> County Code </w:t>
      </w:r>
      <w:r w:rsidR="009B4244">
        <w:t>section</w:t>
      </w:r>
      <w:r w:rsidR="00C71438">
        <w:t> </w:t>
      </w:r>
      <w:r w:rsidR="009B4244">
        <w:t xml:space="preserve">20.204.015(B) requires that once a nonconforming structure is “voluntarily demolished,” the non-conforming use designation that was previously issued </w:t>
      </w:r>
      <w:r w:rsidRPr="00C94626" w:rsidR="009B4244">
        <w:t>must</w:t>
      </w:r>
      <w:r w:rsidR="009B4244">
        <w:t xml:space="preserve"> be reconsidered;</w:t>
      </w:r>
      <w:r>
        <w:rPr>
          <w:rStyle w:val="FootnoteReference"/>
        </w:rPr>
        <w:footnoteReference w:id="13"/>
      </w:r>
      <w:r w:rsidR="009B4244">
        <w:t xml:space="preserve"> and</w:t>
      </w:r>
      <w:r w:rsidRPr="00632511" w:rsidR="009B4244">
        <w:t xml:space="preserve"> </w:t>
      </w:r>
      <w:r w:rsidR="009B4244">
        <w:t>(3)</w:t>
      </w:r>
      <w:r w:rsidR="00C71438">
        <w:t> </w:t>
      </w:r>
      <w:r w:rsidR="009B4244">
        <w:t xml:space="preserve">instead of reevaluating the nonconforming use, the County </w:t>
      </w:r>
      <w:r w:rsidRPr="00DB4F0D" w:rsidR="009B4244">
        <w:t>willfully ignored the Club</w:t>
      </w:r>
      <w:r w:rsidR="009B4244">
        <w:t>’</w:t>
      </w:r>
      <w:r w:rsidRPr="00DB4F0D" w:rsidR="009B4244">
        <w:t>s actions and failed to act altogether</w:t>
      </w:r>
      <w:r w:rsidR="009B4244">
        <w:t xml:space="preserve">.  </w:t>
      </w:r>
      <w:r w:rsidR="00476D0D">
        <w:t>T</w:t>
      </w:r>
      <w:r w:rsidR="009B4244">
        <w:t xml:space="preserve">he Petition alleges </w:t>
      </w:r>
      <w:r w:rsidR="005115DF">
        <w:t xml:space="preserve">that provisions </w:t>
      </w:r>
      <w:r w:rsidR="0051742D">
        <w:t>of the Mendocino C</w:t>
      </w:r>
      <w:r w:rsidR="00097213">
        <w:t xml:space="preserve">ode create </w:t>
      </w:r>
      <w:r w:rsidR="00C46854">
        <w:t xml:space="preserve">mandatory duties to enforce zoning laws, and </w:t>
      </w:r>
      <w:r w:rsidR="009B4244">
        <w:t>that the County’s continued reliance on “its unreasonable and arbitrary interpretation of Government Code §§</w:t>
      </w:r>
      <w:r w:rsidR="00C71438">
        <w:t> </w:t>
      </w:r>
      <w:r w:rsidR="009B4244">
        <w:t xml:space="preserve">53090 and 53091, despite recent Attorney General opinions” is an abuse of discretion “in view of the environmental harm caused by the Gun Club’s activities.”  </w:t>
      </w:r>
    </w:p>
    <w:p w:rsidR="009B4244" w:rsidP="009B4244" w14:paraId="75AD6D3B" w14:textId="16BD2230">
      <w:pPr>
        <w:spacing w:line="360" w:lineRule="auto"/>
      </w:pPr>
      <w:r>
        <w:tab/>
        <w:t>On appeal, Vichy</w:t>
      </w:r>
      <w:r w:rsidRPr="00A04F44">
        <w:t xml:space="preserve"> acknowledge</w:t>
      </w:r>
      <w:r>
        <w:t>s</w:t>
      </w:r>
      <w:r w:rsidRPr="00A04F44">
        <w:t xml:space="preserve"> that the </w:t>
      </w:r>
      <w:r>
        <w:t xml:space="preserve">County cannot be </w:t>
      </w:r>
      <w:r w:rsidRPr="00A04F44">
        <w:t>compel</w:t>
      </w:r>
      <w:r>
        <w:t>led</w:t>
      </w:r>
      <w:r w:rsidRPr="00A04F44">
        <w:t xml:space="preserve"> to take any specific action to enforce its zoning laws, but argue</w:t>
      </w:r>
      <w:r>
        <w:t>s</w:t>
      </w:r>
      <w:r w:rsidRPr="00A04F44">
        <w:t xml:space="preserve"> that the County can and should be compelled to exercise its discretionary powers </w:t>
      </w:r>
      <w:r w:rsidRPr="003030F6">
        <w:t>in some way</w:t>
      </w:r>
      <w:r w:rsidRPr="00A04F44">
        <w:t xml:space="preserve">. </w:t>
      </w:r>
      <w:r>
        <w:t xml:space="preserve"> </w:t>
      </w:r>
      <w:r w:rsidRPr="00A04F44">
        <w:t xml:space="preserve">(See </w:t>
      </w:r>
      <w:r w:rsidRPr="00A52BD6" w:rsidR="00A52BD6">
        <w:rPr>
          <w:i/>
          <w:iCs/>
        </w:rPr>
        <w:t>Ellena v. Department of Ins</w:t>
      </w:r>
      <w:r w:rsidR="00A52BD6">
        <w:t>. (2014) 230 Cal.App.4th 198, 205</w:t>
      </w:r>
      <w:r w:rsidRPr="00A04F44" w:rsidR="00A52BD6">
        <w:t xml:space="preserve"> </w:t>
      </w:r>
      <w:r w:rsidRPr="00A04F44" w:rsidR="00BC4BE3">
        <w:t>[if a public entity refuses to act, “mandate is available to compel the exercise of those discretionary powers in some way”]</w:t>
      </w:r>
      <w:r w:rsidR="00A52BD6">
        <w:t xml:space="preserve">; </w:t>
      </w:r>
      <w:r w:rsidRPr="00A04F44">
        <w:rPr>
          <w:i/>
          <w:iCs/>
        </w:rPr>
        <w:t>Sunset Drive Corp. v. City of Redlands</w:t>
      </w:r>
      <w:r w:rsidRPr="00A04F44">
        <w:t xml:space="preserve"> (199</w:t>
      </w:r>
      <w:r w:rsidR="00E3146A">
        <w:t>9</w:t>
      </w:r>
      <w:r w:rsidRPr="00A04F44">
        <w:t>) 73</w:t>
      </w:r>
      <w:r w:rsidR="00951618">
        <w:t> </w:t>
      </w:r>
      <w:r w:rsidRPr="00A04F44">
        <w:t xml:space="preserve">Cal.App.4th 215, 222 </w:t>
      </w:r>
      <w:r w:rsidRPr="00A04F44" w:rsidR="0075667D">
        <w:t xml:space="preserve"> [“A refusal to exercise discretion is itself an abuse of discretion</w:t>
      </w:r>
      <w:r w:rsidRPr="00A04F44">
        <w:t>”].)</w:t>
      </w:r>
      <w:r>
        <w:t xml:space="preserve"> </w:t>
      </w:r>
    </w:p>
    <w:p w:rsidR="009B4244" w:rsidP="009B4244" w14:paraId="194460DE" w14:textId="21F508E1">
      <w:pPr>
        <w:spacing w:line="360" w:lineRule="auto"/>
      </w:pPr>
      <w:r>
        <w:tab/>
        <w:t xml:space="preserve">Initially, the County </w:t>
      </w:r>
      <w:r w:rsidR="005D7BF3">
        <w:t>counters</w:t>
      </w:r>
      <w:r>
        <w:t xml:space="preserve"> that “even when the terms of the ordinance or statute appear, on their face, to require officials to pursue </w:t>
      </w:r>
      <w:r w:rsidRPr="00550C05">
        <w:rPr>
          <w:i/>
        </w:rPr>
        <w:t>all</w:t>
      </w:r>
      <w:r>
        <w:t xml:space="preserve"> violations,” government entities retain “significant discretion” not subject to mandate.  The County suggests that “any duty to enforce necessarily requires the official to exercise discretion in determining whether a violation has occurred” and that “[e]ven where a responsible official subjectively believes that a zoning violation has occurred, they still may have discretion to pursue alternatives to enforcement.”  </w:t>
      </w:r>
      <w:r w:rsidR="00850761">
        <w:t>T</w:t>
      </w:r>
      <w:r>
        <w:t>he County’s arguments</w:t>
      </w:r>
      <w:r w:rsidR="007E2230">
        <w:t xml:space="preserve"> would have some force if the question were</w:t>
      </w:r>
      <w:r>
        <w:t xml:space="preserve"> whether it </w:t>
      </w:r>
      <w:r w:rsidR="007E2230">
        <w:t xml:space="preserve">could </w:t>
      </w:r>
      <w:r>
        <w:t>be compelled to act in a specific manner, i.e.</w:t>
      </w:r>
      <w:r w:rsidR="00D5084C">
        <w:t>,</w:t>
      </w:r>
      <w:r>
        <w:t xml:space="preserve"> declare the building a nuisance or commence enforcement proceedings</w:t>
      </w:r>
      <w:r w:rsidR="007E2230">
        <w:t>.</w:t>
      </w:r>
      <w:r>
        <w:t xml:space="preserve"> </w:t>
      </w:r>
      <w:r w:rsidR="007E2230">
        <w:t xml:space="preserve"> Here, however, the question is </w:t>
      </w:r>
      <w:r>
        <w:t xml:space="preserve">whether it can be compelled to “take some action” when the </w:t>
      </w:r>
      <w:r w:rsidR="00F71A0F">
        <w:t>P</w:t>
      </w:r>
      <w:r>
        <w:t xml:space="preserve">etition alleges that it has </w:t>
      </w:r>
      <w:r w:rsidR="00716AEC">
        <w:t xml:space="preserve">refused to </w:t>
      </w:r>
      <w:r>
        <w:t xml:space="preserve">do </w:t>
      </w:r>
      <w:r w:rsidR="00800BA9">
        <w:t>anything</w:t>
      </w:r>
      <w:r w:rsidR="00037D79">
        <w:t xml:space="preserve"> based on </w:t>
      </w:r>
      <w:r w:rsidR="00501D54">
        <w:t>a</w:t>
      </w:r>
      <w:r w:rsidR="00E30F9C">
        <w:t xml:space="preserve"> legally</w:t>
      </w:r>
      <w:r w:rsidR="00037D79">
        <w:t xml:space="preserve"> incorrect </w:t>
      </w:r>
      <w:r w:rsidR="00501D54">
        <w:t>understanding of its authority</w:t>
      </w:r>
      <w:r>
        <w:t>.</w:t>
      </w:r>
    </w:p>
    <w:p w:rsidR="009B4244" w:rsidP="009B4244" w14:paraId="704CFC61" w14:textId="15141F62">
      <w:pPr>
        <w:spacing w:line="360" w:lineRule="auto"/>
      </w:pPr>
      <w:r>
        <w:tab/>
        <w:t>The County disputes the allegation that it has taken no action</w:t>
      </w:r>
      <w:r w:rsidR="004F38CB">
        <w:t xml:space="preserve">, arguing </w:t>
      </w:r>
      <w:r>
        <w:t xml:space="preserve">that its “forbearance </w:t>
      </w:r>
      <w:r w:rsidR="00ED658B">
        <w:t>[</w:t>
      </w:r>
      <w:r>
        <w:t>of</w:t>
      </w:r>
      <w:r w:rsidR="00ED658B">
        <w:t>]</w:t>
      </w:r>
      <w:r>
        <w:t xml:space="preserve"> enforcement while seeking legal guidance” was an appropriate and reasonable exercise of discretion in this instance.  </w:t>
      </w:r>
      <w:r w:rsidR="004F38CB">
        <w:t>Once again, however, this argument</w:t>
      </w:r>
      <w:r>
        <w:t xml:space="preserve"> exceeds the scope of our review on a demurrer.  </w:t>
      </w:r>
      <w:r w:rsidR="0031142B">
        <w:t>T</w:t>
      </w:r>
      <w:r w:rsidR="00C11223">
        <w:t xml:space="preserve">he Petition alleges that the County refused to regulate the Club’s activities based on the incorrect conclusion that it had no authority or discretion to do so.  </w:t>
      </w:r>
      <w:r w:rsidR="000F087F">
        <w:t>A</w:t>
      </w:r>
      <w:r>
        <w:t>lthough the County has now accepted</w:t>
      </w:r>
      <w:r w:rsidR="006A46DD">
        <w:t>, under the Joint Powers Agreement,</w:t>
      </w:r>
      <w:r>
        <w:t xml:space="preserve"> its authority to regulate the Club’s use of the property, the record does not reflect that the County has, in fact, exercised that authority.  </w:t>
      </w:r>
      <w:r w:rsidR="00DA184C">
        <w:t>S</w:t>
      </w:r>
      <w:r w:rsidR="00C604BF">
        <w:t>ection 20.204.015(B)</w:t>
      </w:r>
      <w:r w:rsidR="001A7711">
        <w:t xml:space="preserve"> </w:t>
      </w:r>
      <w:r w:rsidR="00053D26">
        <w:t>of the Mendocino County Code</w:t>
      </w:r>
      <w:r w:rsidR="001A7711">
        <w:t xml:space="preserve"> prohibits the resumption of a nonco</w:t>
      </w:r>
      <w:r w:rsidR="00C91C46">
        <w:t>nforming use after a structure’s demolition and reconstruction.</w:t>
      </w:r>
      <w:r w:rsidR="00AB404E">
        <w:t xml:space="preserve">  </w:t>
      </w:r>
      <w:r w:rsidR="00157416">
        <w:t>The County does not contend</w:t>
      </w:r>
      <w:r w:rsidR="002A7E9D">
        <w:t xml:space="preserve"> that it has</w:t>
      </w:r>
      <w:r w:rsidR="00C91C46">
        <w:t xml:space="preserve"> </w:t>
      </w:r>
      <w:r w:rsidR="00254C17">
        <w:t xml:space="preserve">considered </w:t>
      </w:r>
      <w:r w:rsidR="00FB195E">
        <w:t>in any way the application of this provision</w:t>
      </w:r>
      <w:r w:rsidR="000E4F95">
        <w:t>—which i</w:t>
      </w:r>
      <w:r w:rsidR="005D5246">
        <w:t>t</w:t>
      </w:r>
      <w:r w:rsidR="000E4F95">
        <w:t>s briefing does not mention—</w:t>
      </w:r>
      <w:r w:rsidR="00FB195E">
        <w:t xml:space="preserve">to the Club’s current activities. </w:t>
      </w:r>
      <w:r w:rsidR="00C604BF">
        <w:t xml:space="preserve"> </w:t>
      </w:r>
      <w:r>
        <w:t>Accordingly, the allegations in the Petition state a valid claim for relief</w:t>
      </w:r>
      <w:r w:rsidR="00F1780F">
        <w:t xml:space="preserve"> </w:t>
      </w:r>
      <w:r w:rsidR="009162DF">
        <w:t>that is not moot</w:t>
      </w:r>
      <w:r>
        <w:t>.</w:t>
      </w:r>
    </w:p>
    <w:p w:rsidR="0065613A" w:rsidRPr="00A40BAF" w:rsidP="00F67E25" w14:paraId="62F1C1B7" w14:textId="0944A036">
      <w:pPr>
        <w:pStyle w:val="ListParagraph"/>
        <w:keepNext/>
        <w:keepLines/>
        <w:numPr>
          <w:ilvl w:val="0"/>
          <w:numId w:val="25"/>
        </w:numPr>
        <w:spacing w:line="360" w:lineRule="auto"/>
        <w:rPr>
          <w:b/>
          <w:bCs/>
        </w:rPr>
      </w:pPr>
      <w:r>
        <w:rPr>
          <w:b/>
          <w:bCs/>
        </w:rPr>
        <w:t>T</w:t>
      </w:r>
      <w:r w:rsidRPr="00A40BAF">
        <w:rPr>
          <w:b/>
          <w:bCs/>
        </w:rPr>
        <w:t>he C</w:t>
      </w:r>
      <w:r w:rsidR="00F67E25">
        <w:rPr>
          <w:b/>
          <w:bCs/>
        </w:rPr>
        <w:t>i</w:t>
      </w:r>
      <w:r w:rsidRPr="00A40BAF">
        <w:rPr>
          <w:b/>
          <w:bCs/>
        </w:rPr>
        <w:t>ty</w:t>
      </w:r>
    </w:p>
    <w:p w:rsidR="007433A3" w:rsidP="009B4244" w14:paraId="796C1E4F" w14:textId="008EEC45">
      <w:pPr>
        <w:spacing w:line="360" w:lineRule="auto"/>
      </w:pPr>
      <w:r>
        <w:tab/>
      </w:r>
      <w:r w:rsidR="00126112">
        <w:t>Against the City, Vichy</w:t>
      </w:r>
      <w:r>
        <w:t xml:space="preserve"> alleges that the building permit</w:t>
      </w:r>
      <w:r w:rsidR="00C21F67">
        <w:t xml:space="preserve"> is</w:t>
      </w:r>
      <w:r>
        <w:t xml:space="preserve"> void and should be set aside because the City ha</w:t>
      </w:r>
      <w:r w:rsidR="00B94A8A">
        <w:t>s</w:t>
      </w:r>
      <w:r>
        <w:t xml:space="preserve"> no authority to issue extraterritorial permits. </w:t>
      </w:r>
      <w:r w:rsidR="00A25E7E">
        <w:t xml:space="preserve"> </w:t>
      </w:r>
      <w:r w:rsidR="00AA1413">
        <w:t>According to t</w:t>
      </w:r>
      <w:r w:rsidR="00367F0A">
        <w:t>he Petition</w:t>
      </w:r>
      <w:r w:rsidR="00AA1413">
        <w:t>,</w:t>
      </w:r>
      <w:r w:rsidR="00367F0A">
        <w:t xml:space="preserve"> </w:t>
      </w:r>
      <w:r w:rsidR="00FB23F8">
        <w:t xml:space="preserve">the issuance of the permit </w:t>
      </w:r>
      <w:r w:rsidR="00AA1413">
        <w:t>violates</w:t>
      </w:r>
      <w:r w:rsidR="00FB23F8">
        <w:t xml:space="preserve"> the Ukiah </w:t>
      </w:r>
      <w:r w:rsidR="00F21A73">
        <w:t>City</w:t>
      </w:r>
      <w:r w:rsidR="00FB23F8">
        <w:t xml:space="preserve"> Code</w:t>
      </w:r>
      <w:r w:rsidR="00AA1413">
        <w:t xml:space="preserve"> because </w:t>
      </w:r>
      <w:r w:rsidR="00D62C6E">
        <w:t>the Code</w:t>
      </w:r>
      <w:r w:rsidR="005B2775">
        <w:t xml:space="preserve"> makes</w:t>
      </w:r>
      <w:r w:rsidR="00D5530A">
        <w:t xml:space="preserve"> building regulations</w:t>
      </w:r>
      <w:r w:rsidR="009F7636">
        <w:t xml:space="preserve"> “effective within the city” and </w:t>
      </w:r>
      <w:r w:rsidR="008B3E83">
        <w:t>defines</w:t>
      </w:r>
      <w:r w:rsidR="0027331C">
        <w:t xml:space="preserve"> “jurisdiction” </w:t>
      </w:r>
      <w:r w:rsidR="008B3E83">
        <w:t>to mean</w:t>
      </w:r>
      <w:r w:rsidR="0027331C">
        <w:t xml:space="preserve"> the “City of Ukiah</w:t>
      </w:r>
      <w:r w:rsidR="008B3E83">
        <w:t>.</w:t>
      </w:r>
      <w:r w:rsidR="003F78BE">
        <w:t>”</w:t>
      </w:r>
      <w:r w:rsidR="00E715BF">
        <w:t xml:space="preserve"> </w:t>
      </w:r>
      <w:r w:rsidR="00DE1D08">
        <w:t xml:space="preserve"> </w:t>
      </w:r>
      <w:r w:rsidR="00C10F17">
        <w:t>The parties</w:t>
      </w:r>
      <w:r w:rsidR="00A2021F">
        <w:t xml:space="preserve"> devote scant attention to this claim in their briefing.</w:t>
      </w:r>
    </w:p>
    <w:p w:rsidR="00907A6A" w:rsidP="009B4244" w14:paraId="5CF25973" w14:textId="5C5713BF">
      <w:pPr>
        <w:spacing w:line="360" w:lineRule="auto"/>
      </w:pPr>
      <w:r>
        <w:tab/>
        <w:t xml:space="preserve">The argument </w:t>
      </w:r>
      <w:r w:rsidR="004D62C1">
        <w:t xml:space="preserve">raised against this claim in the </w:t>
      </w:r>
      <w:r w:rsidR="00D6250B">
        <w:t xml:space="preserve">Club’s </w:t>
      </w:r>
      <w:r w:rsidR="00F62875">
        <w:t xml:space="preserve">demurrer </w:t>
      </w:r>
      <w:r w:rsidR="00654171">
        <w:t>was that, like the CEQA claim, it was rendered moot by the completion of construction.</w:t>
      </w:r>
      <w:r w:rsidR="00F07963">
        <w:t xml:space="preserve"> </w:t>
      </w:r>
      <w:r w:rsidR="00654171">
        <w:t xml:space="preserve"> </w:t>
      </w:r>
      <w:r w:rsidR="004371F7">
        <w:t xml:space="preserve">Vichy did not </w:t>
      </w:r>
      <w:r w:rsidR="00526AB7">
        <w:t xml:space="preserve">meaningfully </w:t>
      </w:r>
      <w:r w:rsidR="004371F7">
        <w:t xml:space="preserve">address mootness </w:t>
      </w:r>
      <w:r w:rsidR="00CD1C3F">
        <w:t xml:space="preserve">in its opening brief, </w:t>
      </w:r>
      <w:r w:rsidR="008209DB">
        <w:t>and in its reply, it argue</w:t>
      </w:r>
      <w:r w:rsidR="002C2F0E">
        <w:t>d</w:t>
      </w:r>
      <w:r w:rsidR="008209DB">
        <w:t xml:space="preserve"> only that the completion of construction </w:t>
      </w:r>
      <w:r w:rsidR="00964D73">
        <w:t>did not moot the CEQA claim.</w:t>
      </w:r>
      <w:r w:rsidR="007322D5">
        <w:t xml:space="preserve"> </w:t>
      </w:r>
      <w:r w:rsidR="00C56633">
        <w:t xml:space="preserve"> We have agreed with that </w:t>
      </w:r>
      <w:r w:rsidR="00CD36E3">
        <w:t xml:space="preserve">argument based on the alleged feasibility of mitigation measures </w:t>
      </w:r>
      <w:r w:rsidR="0007710C">
        <w:t xml:space="preserve">under CEQA, but </w:t>
      </w:r>
      <w:r w:rsidR="00F12E32">
        <w:t>Vichy does not identify any comparable basis for finding th</w:t>
      </w:r>
      <w:r w:rsidR="0031527C">
        <w:t xml:space="preserve">at the second cause of action is not moot.  </w:t>
      </w:r>
      <w:r w:rsidR="002A669C">
        <w:t>Even p</w:t>
      </w:r>
      <w:r w:rsidR="00CD53FE">
        <w:t>utting aside the</w:t>
      </w:r>
      <w:r w:rsidR="00357BE2">
        <w:t xml:space="preserve"> now-effective</w:t>
      </w:r>
      <w:r w:rsidR="00CD53FE">
        <w:t xml:space="preserve"> </w:t>
      </w:r>
      <w:r w:rsidR="00A65334">
        <w:t>Joint Powers Agreement, a</w:t>
      </w:r>
      <w:r w:rsidR="00880D74">
        <w:t>n order directing the City to revoke a building permit on the ground that the City cannot issue</w:t>
      </w:r>
      <w:r w:rsidR="00BB4377">
        <w:t xml:space="preserve"> such a permit extraterritorially</w:t>
      </w:r>
      <w:r w:rsidR="00637EBD">
        <w:t xml:space="preserve">—as opposed to enable </w:t>
      </w:r>
      <w:r w:rsidR="00382112">
        <w:t>a CEQA review—</w:t>
      </w:r>
      <w:r w:rsidR="00BB4377">
        <w:t>would have no practical effect</w:t>
      </w:r>
      <w:r w:rsidR="002E0B00">
        <w:t xml:space="preserve"> long after construction is complete</w:t>
      </w:r>
      <w:r w:rsidR="00026897">
        <w:t>.</w:t>
      </w:r>
    </w:p>
    <w:p w:rsidR="00876570" w:rsidRPr="00232F56" w:rsidP="00804ABA" w14:paraId="2F4349DB" w14:textId="2B880980">
      <w:pPr>
        <w:pStyle w:val="Heading1"/>
        <w:spacing w:before="0" w:after="0" w:line="360" w:lineRule="auto"/>
        <w:rPr>
          <w:bCs/>
        </w:rPr>
      </w:pPr>
      <w:r w:rsidRPr="00232F56">
        <w:rPr>
          <w:bCs/>
        </w:rPr>
        <w:t xml:space="preserve">Writ of Mandate (Violation of Planning Laws) </w:t>
      </w:r>
    </w:p>
    <w:p w:rsidR="008A65F9" w:rsidP="00122A2B" w14:paraId="38B2D4B2" w14:textId="139D76EF">
      <w:pPr>
        <w:spacing w:line="360" w:lineRule="auto"/>
      </w:pPr>
      <w:r>
        <w:rPr>
          <w:b/>
          <w:bCs/>
        </w:rPr>
        <w:tab/>
      </w:r>
      <w:r w:rsidR="00966597">
        <w:t>The third cause of action</w:t>
      </w:r>
      <w:r w:rsidR="009104A0">
        <w:t>, asserte</w:t>
      </w:r>
      <w:r w:rsidR="003037C6">
        <w:t xml:space="preserve">d only against the City, does not warrant extended discussion.  </w:t>
      </w:r>
      <w:r w:rsidR="00382112">
        <w:t>Again, t</w:t>
      </w:r>
      <w:r w:rsidR="00AA2120">
        <w:t>his claim</w:t>
      </w:r>
      <w:r w:rsidR="003037C6">
        <w:t xml:space="preserve"> alleges</w:t>
      </w:r>
      <w:r w:rsidR="00966597">
        <w:t xml:space="preserve"> that</w:t>
      </w:r>
      <w:r w:rsidR="000E46D8">
        <w:t>, when the City issued the building permit, it</w:t>
      </w:r>
      <w:r w:rsidR="00966597">
        <w:t xml:space="preserve"> failed to consider</w:t>
      </w:r>
      <w:r w:rsidR="00205494">
        <w:t>—or “there is no evidence” that it considered—</w:t>
      </w:r>
      <w:r w:rsidR="00966597">
        <w:t xml:space="preserve">its General Plan policies or </w:t>
      </w:r>
      <w:r w:rsidR="008E22AD">
        <w:t>those</w:t>
      </w:r>
      <w:r w:rsidR="00966597">
        <w:t xml:space="preserve"> of the County</w:t>
      </w:r>
      <w:r w:rsidR="004670B0">
        <w:t>,</w:t>
      </w:r>
      <w:r w:rsidR="00CC26BB">
        <w:t xml:space="preserve"> and </w:t>
      </w:r>
      <w:r w:rsidR="004670B0">
        <w:t>on</w:t>
      </w:r>
      <w:r w:rsidR="00CC26BB">
        <w:t xml:space="preserve"> that </w:t>
      </w:r>
      <w:r w:rsidR="004670B0">
        <w:t>basis</w:t>
      </w:r>
      <w:r w:rsidR="00966597">
        <w:t xml:space="preserve"> seeks a writ directing the City to set </w:t>
      </w:r>
      <w:r w:rsidR="008151FF">
        <w:t>the permit</w:t>
      </w:r>
      <w:r w:rsidR="00966597">
        <w:t xml:space="preserve"> aside. </w:t>
      </w:r>
      <w:r w:rsidR="00C04DD2">
        <w:t xml:space="preserve"> </w:t>
      </w:r>
      <w:r w:rsidR="00496AC2">
        <w:t>We note that</w:t>
      </w:r>
      <w:r w:rsidR="00B2076B">
        <w:t xml:space="preserve"> t</w:t>
      </w:r>
      <w:r w:rsidR="00FC4B95">
        <w:t>he</w:t>
      </w:r>
      <w:r w:rsidR="00E42BC8">
        <w:t xml:space="preserve"> Petition does not identify any provision</w:t>
      </w:r>
      <w:r w:rsidR="009B685B">
        <w:t xml:space="preserve"> of the </w:t>
      </w:r>
      <w:r w:rsidR="00813BAA">
        <w:t>Ukiah</w:t>
      </w:r>
      <w:r w:rsidR="00DB6FA1">
        <w:t xml:space="preserve"> </w:t>
      </w:r>
      <w:r w:rsidR="00A0184B">
        <w:t>C</w:t>
      </w:r>
      <w:r w:rsidR="00FC4B95">
        <w:t xml:space="preserve">ode </w:t>
      </w:r>
      <w:r w:rsidR="00A0184B">
        <w:t xml:space="preserve">that </w:t>
      </w:r>
      <w:r w:rsidR="00FC4B95">
        <w:t>require</w:t>
      </w:r>
      <w:r w:rsidR="00A0184B">
        <w:t>s</w:t>
      </w:r>
      <w:r w:rsidR="00FC4B95">
        <w:t xml:space="preserve"> </w:t>
      </w:r>
      <w:r w:rsidR="0095012A">
        <w:t>consideration of General Plan policies</w:t>
      </w:r>
      <w:r w:rsidR="00703AD5">
        <w:t>, let alone the County’s General Plan,</w:t>
      </w:r>
      <w:r w:rsidR="0095012A">
        <w:t xml:space="preserve"> before issuance of a </w:t>
      </w:r>
      <w:r w:rsidR="00703AD5">
        <w:t xml:space="preserve">building </w:t>
      </w:r>
      <w:r w:rsidR="0095012A">
        <w:t>permit</w:t>
      </w:r>
      <w:r w:rsidR="00496AC2">
        <w:t>.  In</w:t>
      </w:r>
      <w:r w:rsidR="00B2076B">
        <w:t xml:space="preserve"> any event</w:t>
      </w:r>
      <w:r w:rsidR="00496AC2">
        <w:t>, as with the second cause of action against the City,</w:t>
      </w:r>
      <w:r w:rsidR="00B2076B">
        <w:t xml:space="preserve"> Vichy fails to offer </w:t>
      </w:r>
      <w:r w:rsidR="005B04AE">
        <w:t xml:space="preserve">any </w:t>
      </w:r>
      <w:r w:rsidR="005C58E8">
        <w:t xml:space="preserve">meaningful </w:t>
      </w:r>
      <w:r w:rsidR="005B04AE">
        <w:t>argument that this claim was not mooted by the completion of construction</w:t>
      </w:r>
      <w:r w:rsidR="0095012A">
        <w:t>.</w:t>
      </w:r>
      <w:r w:rsidR="00DA7091">
        <w:t xml:space="preserve"> </w:t>
      </w:r>
      <w:r w:rsidR="0020276D">
        <w:t xml:space="preserve"> </w:t>
      </w:r>
      <w:r w:rsidR="00663BFF">
        <w:t>It has therefore failed to</w:t>
      </w:r>
      <w:r w:rsidR="006F232E">
        <w:t xml:space="preserve"> </w:t>
      </w:r>
      <w:r w:rsidR="00663BFF">
        <w:t xml:space="preserve">carry </w:t>
      </w:r>
      <w:r w:rsidR="006F232E">
        <w:t xml:space="preserve">its burden to establish </w:t>
      </w:r>
      <w:r w:rsidR="006E2288">
        <w:t xml:space="preserve">that </w:t>
      </w:r>
      <w:r w:rsidR="00A2685D">
        <w:t xml:space="preserve">the court </w:t>
      </w:r>
      <w:r w:rsidR="006E2288">
        <w:t>erred</w:t>
      </w:r>
      <w:r w:rsidR="00A2685D">
        <w:t xml:space="preserve"> in sustaining the </w:t>
      </w:r>
      <w:r w:rsidR="006A46DA">
        <w:t xml:space="preserve">demurrer to </w:t>
      </w:r>
      <w:r w:rsidR="00C06D67">
        <w:t>this</w:t>
      </w:r>
      <w:r w:rsidR="006A46DA">
        <w:t xml:space="preserve"> cause of action. </w:t>
      </w:r>
      <w:r w:rsidR="00E523B8">
        <w:t xml:space="preserve"> (See </w:t>
      </w:r>
      <w:r w:rsidRPr="00966F4D" w:rsidR="00E523B8">
        <w:rPr>
          <w:i/>
          <w:iCs/>
        </w:rPr>
        <w:t>Paterno v. State of California</w:t>
      </w:r>
      <w:r w:rsidR="00E523B8">
        <w:t xml:space="preserve"> (1999) 74</w:t>
      </w:r>
      <w:r w:rsidR="00E64DC6">
        <w:t> </w:t>
      </w:r>
      <w:r w:rsidR="00E523B8">
        <w:t>Cal.App.4th 68, 106</w:t>
      </w:r>
      <w:r w:rsidR="00966F4D">
        <w:t>.</w:t>
      </w:r>
      <w:r w:rsidR="00E523B8">
        <w:t>)</w:t>
      </w:r>
    </w:p>
    <w:p w:rsidR="001B60E0" w:rsidRPr="00232F56" w:rsidP="001B60E0" w14:paraId="3B1CD844" w14:textId="7FBB32C9">
      <w:pPr>
        <w:pStyle w:val="Heading1"/>
        <w:spacing w:before="0" w:after="0" w:line="360" w:lineRule="auto"/>
        <w:rPr>
          <w:bCs/>
        </w:rPr>
      </w:pPr>
      <w:r>
        <w:rPr>
          <w:bCs/>
        </w:rPr>
        <w:t>Declaratory Relief</w:t>
      </w:r>
      <w:r w:rsidRPr="00232F56">
        <w:rPr>
          <w:bCs/>
        </w:rPr>
        <w:t xml:space="preserve"> </w:t>
      </w:r>
    </w:p>
    <w:p w:rsidR="006146D8" w:rsidP="00CD5713" w14:paraId="367B2746" w14:textId="7CBF6495">
      <w:pPr>
        <w:spacing w:line="360" w:lineRule="auto"/>
      </w:pPr>
      <w:r>
        <w:tab/>
        <w:t>“The purpose of declaratory relief is ‘to set controversies at rest before they lead to repudiation of obligations, invasion of rights or commission of wrongs.’</w:t>
      </w:r>
      <w:r w:rsidR="005966AD">
        <w:t xml:space="preserve"> </w:t>
      </w:r>
      <w:r>
        <w:t xml:space="preserve"> [Citation.]</w:t>
      </w:r>
      <w:r w:rsidR="005966AD">
        <w:t xml:space="preserve"> </w:t>
      </w:r>
      <w:r>
        <w:t xml:space="preserve"> It ‘is to be used in the interests of preventive justice, to declare rights rather than execute them.’</w:t>
      </w:r>
      <w:r w:rsidR="005966AD">
        <w:t xml:space="preserve"> </w:t>
      </w:r>
      <w:r>
        <w:t xml:space="preserve"> [Citation.]</w:t>
      </w:r>
      <w:r w:rsidR="005966AD">
        <w:t xml:space="preserve"> </w:t>
      </w:r>
      <w:r>
        <w:t xml:space="preserve"> To this end, Code of Civil Procedure section</w:t>
      </w:r>
      <w:r w:rsidR="00E64DC6">
        <w:t> </w:t>
      </w:r>
      <w:r>
        <w:t xml:space="preserve">1060, which authorizes actions for declaratory relief, provides in pertinent part: </w:t>
      </w:r>
      <w:r w:rsidR="0097186C">
        <w:t xml:space="preserve"> </w:t>
      </w:r>
      <w:r>
        <w:t>‘Any person</w:t>
      </w:r>
      <w:r w:rsidR="00C44D2D">
        <w:t xml:space="preserve"> . . .</w:t>
      </w:r>
      <w:r>
        <w:t xml:space="preserve"> who desires a declaration of his or her rights or duties with respect to another, or in respect to, in, over or upon property .</w:t>
      </w:r>
      <w:r w:rsidR="00E64DC6">
        <w:t> . .</w:t>
      </w:r>
      <w:r>
        <w:t xml:space="preserve"> may, </w:t>
      </w:r>
      <w:r w:rsidRPr="0087126B">
        <w:rPr>
          <w:i/>
          <w:iCs/>
        </w:rPr>
        <w:t>in cases of actual controversy</w:t>
      </w:r>
      <w:r>
        <w:t xml:space="preserve"> relating to the legal rights and duties of the respective parties, bring an original action .</w:t>
      </w:r>
      <w:r w:rsidR="00E64DC6">
        <w:t> . .</w:t>
      </w:r>
      <w:r>
        <w:t xml:space="preserve"> in the superior court for a declaration of his or her rights .</w:t>
      </w:r>
      <w:r w:rsidR="00A733BD">
        <w:t> </w:t>
      </w:r>
      <w:r w:rsidR="00E64DC6">
        <w:t>.</w:t>
      </w:r>
      <w:r w:rsidR="00A733BD">
        <w:t> </w:t>
      </w:r>
      <w:r w:rsidR="00E64DC6">
        <w:t>.</w:t>
      </w:r>
      <w:r>
        <w:t xml:space="preserve"> including a determination of any question of construction or validity arising under the instrument or contract.</w:t>
      </w:r>
      <w:r w:rsidR="0087126B">
        <w:t>’</w:t>
      </w:r>
      <w:r w:rsidR="000B6AFF">
        <w:t xml:space="preserve"> </w:t>
      </w:r>
      <w:r w:rsidR="00880D83">
        <w:t xml:space="preserve">. . . </w:t>
      </w:r>
      <w:r w:rsidR="000B6AFF">
        <w:t>[¶] </w:t>
      </w:r>
      <w:r>
        <w:t xml:space="preserve"> The </w:t>
      </w:r>
      <w:r w:rsidR="000B6AFF">
        <w:t>‘</w:t>
      </w:r>
      <w:r>
        <w:t>actual controversy</w:t>
      </w:r>
      <w:r w:rsidR="000B6AFF">
        <w:t>’</w:t>
      </w:r>
      <w:r>
        <w:t xml:space="preserve"> language in Code of Civil Procedure section</w:t>
      </w:r>
      <w:r w:rsidR="00A733BD">
        <w:t> </w:t>
      </w:r>
      <w:r>
        <w:t xml:space="preserve">1060 encompasses a probable future controversy relating to the legal rights and duties of the parties. </w:t>
      </w:r>
      <w:r w:rsidR="005966AD">
        <w:t xml:space="preserve"> </w:t>
      </w:r>
      <w:r w:rsidR="000B6AFF">
        <w:t>[Citation.]</w:t>
      </w:r>
      <w:r w:rsidR="005966AD">
        <w:t xml:space="preserve"> </w:t>
      </w:r>
      <w:r>
        <w:t xml:space="preserve"> For a probable future controversy to constitute an </w:t>
      </w:r>
      <w:r w:rsidR="000B6AFF">
        <w:t>‘</w:t>
      </w:r>
      <w:r>
        <w:t>actual controversy,</w:t>
      </w:r>
      <w:r w:rsidR="000B6AFF">
        <w:t>’</w:t>
      </w:r>
      <w:r>
        <w:t xml:space="preserve"> however, the probable future controversy must be ripe. </w:t>
      </w:r>
      <w:r w:rsidR="005966AD">
        <w:t xml:space="preserve"> </w:t>
      </w:r>
      <w:r w:rsidR="000B6AFF">
        <w:t>[Citation</w:t>
      </w:r>
      <w:r>
        <w:t xml:space="preserve">.] </w:t>
      </w:r>
      <w:r w:rsidR="005966AD">
        <w:t xml:space="preserve"> </w:t>
      </w:r>
      <w:r>
        <w:t xml:space="preserve">A </w:t>
      </w:r>
      <w:r w:rsidR="00BF37BB">
        <w:t>‘</w:t>
      </w:r>
      <w:r>
        <w:t xml:space="preserve">controversy is </w:t>
      </w:r>
      <w:r w:rsidR="00BF37BB">
        <w:t>“</w:t>
      </w:r>
      <w:r>
        <w:t>ripe</w:t>
      </w:r>
      <w:r w:rsidR="00BF37BB">
        <w:t>”</w:t>
      </w:r>
      <w:r>
        <w:t xml:space="preserve"> when it has reached, but has not passed, the point that the facts have sufficiently congealed to permit an intelligent and useful decision to be made.’</w:t>
      </w:r>
      <w:r w:rsidR="00A733BD">
        <w:t> </w:t>
      </w:r>
      <w:r>
        <w:t xml:space="preserve">” </w:t>
      </w:r>
      <w:r w:rsidR="00434246">
        <w:t xml:space="preserve"> </w:t>
      </w:r>
      <w:r>
        <w:t>(</w:t>
      </w:r>
      <w:r w:rsidRPr="006146D8">
        <w:rPr>
          <w:i/>
          <w:iCs/>
        </w:rPr>
        <w:t>Env</w:t>
      </w:r>
      <w:r w:rsidR="0020464E">
        <w:rPr>
          <w:i/>
          <w:iCs/>
        </w:rPr>
        <w:t>ironmental</w:t>
      </w:r>
      <w:r w:rsidRPr="006146D8">
        <w:rPr>
          <w:i/>
          <w:iCs/>
        </w:rPr>
        <w:t xml:space="preserve"> Def</w:t>
      </w:r>
      <w:r w:rsidR="0020464E">
        <w:rPr>
          <w:i/>
          <w:iCs/>
        </w:rPr>
        <w:t>ense</w:t>
      </w:r>
      <w:r w:rsidRPr="006146D8">
        <w:rPr>
          <w:i/>
          <w:iCs/>
        </w:rPr>
        <w:t xml:space="preserve"> Project of Sierra </w:t>
      </w:r>
      <w:r w:rsidRPr="006146D8" w:rsidR="00B74E06">
        <w:rPr>
          <w:i/>
          <w:iCs/>
        </w:rPr>
        <w:t>County</w:t>
      </w:r>
      <w:r w:rsidRPr="006146D8">
        <w:rPr>
          <w:i/>
          <w:iCs/>
        </w:rPr>
        <w:t xml:space="preserve"> v. </w:t>
      </w:r>
      <w:r w:rsidRPr="006146D8" w:rsidR="00B74E06">
        <w:rPr>
          <w:i/>
          <w:iCs/>
        </w:rPr>
        <w:t>County</w:t>
      </w:r>
      <w:r w:rsidRPr="006146D8">
        <w:rPr>
          <w:i/>
          <w:iCs/>
        </w:rPr>
        <w:t xml:space="preserve"> of Sierra </w:t>
      </w:r>
      <w:r>
        <w:t>(2008) 158</w:t>
      </w:r>
      <w:r w:rsidR="00A733BD">
        <w:t> </w:t>
      </w:r>
      <w:r>
        <w:t>Cal.App.4th 877, 884–885.)</w:t>
      </w:r>
    </w:p>
    <w:p w:rsidR="00B01A94" w:rsidP="00E063FE" w14:paraId="400D5F4C" w14:textId="3F7675F3">
      <w:pPr>
        <w:spacing w:line="360" w:lineRule="auto"/>
      </w:pPr>
      <w:r>
        <w:tab/>
      </w:r>
      <w:r w:rsidR="00BA7435">
        <w:t>A claim for declaratory relief “</w:t>
      </w:r>
      <w:r w:rsidR="00A733BD">
        <w:t> </w:t>
      </w:r>
      <w:r w:rsidR="00BA7435">
        <w:t>‘becomes moot when some event has occurred which “deprive[s] the controversy of its life.”</w:t>
      </w:r>
      <w:r w:rsidR="00B442FD">
        <w:t xml:space="preserve"> </w:t>
      </w:r>
      <w:r w:rsidR="00BA7435">
        <w:t xml:space="preserve"> [Citation.] </w:t>
      </w:r>
      <w:r w:rsidR="00B442FD">
        <w:t xml:space="preserve"> </w:t>
      </w:r>
      <w:r w:rsidR="00BA7435">
        <w:t>The policy behind a mootness dismissal is that “courts decide justiciable controversies and will normally not render advisory opinions.”</w:t>
      </w:r>
      <w:r w:rsidR="006248D4">
        <w:t> </w:t>
      </w:r>
      <w:r w:rsidR="00BA7435">
        <w:t>’</w:t>
      </w:r>
      <w:r w:rsidR="00B442FD">
        <w:t xml:space="preserve"> </w:t>
      </w:r>
      <w:r w:rsidR="00BA7435">
        <w:t xml:space="preserve"> [Citations.] </w:t>
      </w:r>
      <w:r w:rsidR="00B442FD">
        <w:t xml:space="preserve"> </w:t>
      </w:r>
      <w:r w:rsidR="00BA7435">
        <w:t xml:space="preserve">The voluntary cessation of allegedly wrongful conduct destroys the justiciability of a controversy and renders an action moot unless there is a reasonable expectation the allegedly wrongful conduct will be repeated.” </w:t>
      </w:r>
      <w:r w:rsidR="00434246">
        <w:t xml:space="preserve"> </w:t>
      </w:r>
      <w:r w:rsidR="00BA7435">
        <w:t>(</w:t>
      </w:r>
      <w:r w:rsidRPr="00E063FE" w:rsidR="00BA7435">
        <w:rPr>
          <w:i/>
          <w:iCs/>
        </w:rPr>
        <w:t>Center for Local Government Accountability v. City of San Diego</w:t>
      </w:r>
      <w:r w:rsidR="00BA7435">
        <w:t xml:space="preserve"> (2016) 247</w:t>
      </w:r>
      <w:r w:rsidR="006248D4">
        <w:t> </w:t>
      </w:r>
      <w:r w:rsidR="00BA7435">
        <w:t>Cal.App.4th 1146, 1157</w:t>
      </w:r>
      <w:r w:rsidR="00E063FE">
        <w:t>.)</w:t>
      </w:r>
      <w:r w:rsidR="00434246">
        <w:t xml:space="preserve"> </w:t>
      </w:r>
      <w:r w:rsidRPr="00570B45" w:rsidR="00570B45">
        <w:t xml:space="preserve"> </w:t>
      </w:r>
      <w:r w:rsidRPr="00B01A94">
        <w:t>Notwithstanding this general rule, a court has the discretion to issue an opinion on the merits of a controversy, even though the dispute between the original parties has become moot by subsequent events, if the issue is one of broad public interest and is likely to recur.</w:t>
      </w:r>
      <w:r w:rsidR="00434246">
        <w:t xml:space="preserve"> </w:t>
      </w:r>
      <w:r w:rsidRPr="00B01A94">
        <w:t xml:space="preserve"> (</w:t>
      </w:r>
      <w:r w:rsidRPr="00B01A94">
        <w:rPr>
          <w:i/>
          <w:iCs/>
        </w:rPr>
        <w:t>Save Stanislaus Area Farm Economy v. Board of Supervisors</w:t>
      </w:r>
      <w:r w:rsidRPr="00B01A94">
        <w:t xml:space="preserve"> (1993) 13</w:t>
      </w:r>
      <w:r w:rsidR="006248D4">
        <w:t> </w:t>
      </w:r>
      <w:r w:rsidRPr="00B01A94">
        <w:t>Cal.App.4th 141, 146</w:t>
      </w:r>
      <w:r w:rsidRPr="00B71B66" w:rsidR="00B71B66">
        <w:rPr>
          <w:rFonts w:eastAsia="Calibri" w:cs="Times New Roman"/>
          <w:sz w:val="24"/>
          <w:szCs w:val="24"/>
        </w:rPr>
        <w:t>–</w:t>
      </w:r>
      <w:r w:rsidRPr="00B01A94">
        <w:t>148</w:t>
      </w:r>
      <w:r>
        <w:t>.)</w:t>
      </w:r>
    </w:p>
    <w:p w:rsidR="00F050B4" w:rsidP="00B72E96" w14:paraId="0ED00D4B" w14:textId="5C3DC50B">
      <w:pPr>
        <w:spacing w:line="360" w:lineRule="auto"/>
      </w:pPr>
      <w:r>
        <w:tab/>
      </w:r>
      <w:r w:rsidR="00981EAA">
        <w:t>The P</w:t>
      </w:r>
      <w:r>
        <w:t xml:space="preserve">etition seeks </w:t>
      </w:r>
      <w:r w:rsidR="00F80CA1">
        <w:t>“a declaration that the City owned property leased to the Gun Club is subject to land use regulations by</w:t>
      </w:r>
      <w:r>
        <w:t xml:space="preserve"> </w:t>
      </w:r>
      <w:r w:rsidR="00F80CA1">
        <w:t xml:space="preserve">the City, under its contracting powers, and the County’s jurisdiction and a determination that there is no immunity under Government Code §53090 and 53091.” </w:t>
      </w:r>
      <w:r w:rsidR="00764CAD">
        <w:t xml:space="preserve"> </w:t>
      </w:r>
      <w:r w:rsidR="004B377E">
        <w:t>R</w:t>
      </w:r>
      <w:r w:rsidR="00F84CC9">
        <w:t>espondents’</w:t>
      </w:r>
      <w:r w:rsidR="00101657">
        <w:t xml:space="preserve"> motion for judgment on the pleadings </w:t>
      </w:r>
      <w:r w:rsidR="00435DA7">
        <w:t>argue</w:t>
      </w:r>
      <w:r w:rsidR="00101657">
        <w:t>d</w:t>
      </w:r>
      <w:r w:rsidR="00435DA7">
        <w:t xml:space="preserve"> that</w:t>
      </w:r>
      <w:r w:rsidR="00101657">
        <w:t xml:space="preserve"> </w:t>
      </w:r>
      <w:r w:rsidR="00435DA7">
        <w:t>the Joint Powers Agreement fully addresses which entity will enforce the applicable</w:t>
      </w:r>
      <w:r w:rsidR="00101657">
        <w:t xml:space="preserve"> </w:t>
      </w:r>
      <w:r w:rsidR="00435DA7">
        <w:t>land use or zoning regulations as to this property, and therefore, there is no</w:t>
      </w:r>
      <w:r w:rsidR="00101657">
        <w:t xml:space="preserve"> </w:t>
      </w:r>
      <w:r w:rsidR="00435DA7">
        <w:t>justiciable controversy remaining.</w:t>
      </w:r>
      <w:r w:rsidR="00434246">
        <w:t xml:space="preserve"> </w:t>
      </w:r>
      <w:r w:rsidR="00435DA7">
        <w:t xml:space="preserve"> </w:t>
      </w:r>
      <w:r w:rsidR="00101657">
        <w:t xml:space="preserve">In response, Vichy argued </w:t>
      </w:r>
      <w:r w:rsidR="00435DA7">
        <w:t>that the Joint Powers</w:t>
      </w:r>
      <w:r w:rsidR="00101657">
        <w:t xml:space="preserve"> </w:t>
      </w:r>
      <w:r w:rsidR="00435DA7">
        <w:t xml:space="preserve">Agreement </w:t>
      </w:r>
      <w:r w:rsidR="00101657">
        <w:t xml:space="preserve">did not moot the legal controversy because it </w:t>
      </w:r>
      <w:r w:rsidR="00435DA7">
        <w:t>p</w:t>
      </w:r>
      <w:r w:rsidR="00082B7F">
        <w:t>ermits</w:t>
      </w:r>
      <w:r w:rsidR="00435DA7">
        <w:t xml:space="preserve"> either side to withdraw from the agreement, and if</w:t>
      </w:r>
      <w:r w:rsidR="00101657">
        <w:t xml:space="preserve"> </w:t>
      </w:r>
      <w:r w:rsidR="00435DA7">
        <w:t>that</w:t>
      </w:r>
      <w:r w:rsidR="00101657">
        <w:t xml:space="preserve"> </w:t>
      </w:r>
      <w:r w:rsidR="00435DA7">
        <w:t>were to occur, the parties would return to the status quo ante.</w:t>
      </w:r>
      <w:r w:rsidR="00101657">
        <w:t xml:space="preserve"> </w:t>
      </w:r>
      <w:r w:rsidR="00434246">
        <w:t xml:space="preserve"> </w:t>
      </w:r>
      <w:r w:rsidR="00764CAD">
        <w:t xml:space="preserve">The trial court </w:t>
      </w:r>
      <w:r w:rsidR="00E9712E">
        <w:t xml:space="preserve">granted the </w:t>
      </w:r>
      <w:r w:rsidR="000D5BBB">
        <w:t>motion</w:t>
      </w:r>
      <w:r w:rsidR="006850D0">
        <w:t>.</w:t>
      </w:r>
      <w:r w:rsidR="00434246">
        <w:t xml:space="preserve"> </w:t>
      </w:r>
      <w:r w:rsidR="006850D0">
        <w:t xml:space="preserve"> The court explained, “</w:t>
      </w:r>
      <w:r w:rsidR="00045397">
        <w:t xml:space="preserve">Here, the need for the declaratory and injunctive relief sought by petitioner has been addressed by the Joint Powers Agreement between the City and the County that was effectuated since this action was filed. </w:t>
      </w:r>
      <w:r w:rsidR="008E598D">
        <w:t xml:space="preserve"> </w:t>
      </w:r>
      <w:r w:rsidR="00045397">
        <w:t xml:space="preserve">The fact that one side or the other could at any point withdraw from the Agreement does not mean a current controversy exists. </w:t>
      </w:r>
      <w:r w:rsidR="008E598D">
        <w:t xml:space="preserve"> </w:t>
      </w:r>
      <w:r w:rsidR="00045397">
        <w:t xml:space="preserve">A future withdrawal could come with conditions or other agreements or be based on events not currently present that could have no relationship to the current controversy. </w:t>
      </w:r>
      <w:r w:rsidR="008E598D">
        <w:t xml:space="preserve"> </w:t>
      </w:r>
      <w:r w:rsidR="00E75A82">
        <w:t xml:space="preserve">The situation that the Court would be presented with in the event of a withdrawal is too speculative to be the basis of a declaratory relief action at this time. </w:t>
      </w:r>
      <w:r w:rsidR="008E598D">
        <w:t xml:space="preserve"> </w:t>
      </w:r>
      <w:r w:rsidR="00E75A82">
        <w:t>To go forward with the declaratory relief cause of action considering the Joint Powers Agreement would mean the Court is acting as an advisory body which is an improper function for the Court to fulfill.”</w:t>
      </w:r>
      <w:r w:rsidR="00434246">
        <w:t xml:space="preserve"> </w:t>
      </w:r>
      <w:r w:rsidR="00E75A82">
        <w:t xml:space="preserve"> The court also rejected Vichy’s arguments that exceptions to the mootness doctrine </w:t>
      </w:r>
      <w:r w:rsidR="007D306F">
        <w:t xml:space="preserve">were applicable in this case. </w:t>
      </w:r>
      <w:r w:rsidR="00434246">
        <w:t xml:space="preserve"> </w:t>
      </w:r>
      <w:r w:rsidR="007D306F">
        <w:t xml:space="preserve">The court </w:t>
      </w:r>
      <w:r w:rsidR="007B5D4F">
        <w:t xml:space="preserve">found that “[b]ased on the record, it would be an unreasonable exercise of discretion to conclude that the controversy between the parties is </w:t>
      </w:r>
      <w:r w:rsidRPr="00B8259A" w:rsidR="007B5D4F">
        <w:rPr>
          <w:i/>
        </w:rPr>
        <w:t>likely</w:t>
      </w:r>
      <w:r w:rsidR="007B5D4F">
        <w:t xml:space="preserve"> to reoccur. </w:t>
      </w:r>
      <w:r w:rsidR="000F0DCE">
        <w:t xml:space="preserve"> </w:t>
      </w:r>
      <w:r w:rsidR="007B5D4F">
        <w:t>The Joint Powers Agreement spells out the relative responsibilities of the City and the County which renders a future controversy of the type alleged in the petition possible, but not likely.”</w:t>
      </w:r>
      <w:r w:rsidR="00F24503">
        <w:t xml:space="preserve">  </w:t>
      </w:r>
      <w:r w:rsidR="00AE4308">
        <w:t>Finally, the</w:t>
      </w:r>
      <w:r w:rsidR="007B5D4F">
        <w:t xml:space="preserve"> court found</w:t>
      </w:r>
      <w:r w:rsidR="00B72E96">
        <w:t xml:space="preserve"> that the “[e]nforcement of land use and zoning regulations on this property is not an issue of broad public interest.”</w:t>
      </w:r>
      <w:r w:rsidR="00F24503">
        <w:t xml:space="preserve"> </w:t>
      </w:r>
    </w:p>
    <w:p w:rsidR="00F050B4" w:rsidP="00F050B4" w14:paraId="335A791A" w14:textId="7FEFEDA1">
      <w:pPr>
        <w:spacing w:line="360" w:lineRule="auto"/>
      </w:pPr>
      <w:r>
        <w:tab/>
      </w:r>
      <w:r w:rsidR="004C753C">
        <w:t xml:space="preserve">We agree that entry of the Joint Powers Agreement mooted Vichy’s claim for declaratory relief. </w:t>
      </w:r>
      <w:r w:rsidR="00434246">
        <w:t xml:space="preserve"> </w:t>
      </w:r>
      <w:r w:rsidR="00CC462F">
        <w:t xml:space="preserve">As noted, the Agreement requires </w:t>
      </w:r>
      <w:r w:rsidR="00C739FC">
        <w:t>both the County and the City to exercise regulatory authority over the property</w:t>
      </w:r>
      <w:r w:rsidR="00CC462F">
        <w:t xml:space="preserve"> </w:t>
      </w:r>
      <w:r w:rsidR="00010DA5">
        <w:t>in a manner consistent with what Vichy alleged w</w:t>
      </w:r>
      <w:r w:rsidR="00BB6B0E">
        <w:t>ere</w:t>
      </w:r>
      <w:r w:rsidR="00010DA5">
        <w:t xml:space="preserve"> their legal obligations. </w:t>
      </w:r>
      <w:r w:rsidR="00434246">
        <w:t xml:space="preserve"> </w:t>
      </w:r>
      <w:r w:rsidR="004438F3">
        <w:t xml:space="preserve">As such, there is no longer a justiciable controversy. </w:t>
      </w:r>
      <w:r w:rsidR="00434246">
        <w:t xml:space="preserve"> </w:t>
      </w:r>
      <w:r w:rsidR="00010DA5">
        <w:t xml:space="preserve">Vichy’s </w:t>
      </w:r>
      <w:r w:rsidR="003A30FD">
        <w:t>arguments to the contrary are not persuasive.</w:t>
      </w:r>
    </w:p>
    <w:p w:rsidR="00061710" w:rsidP="00D771B5" w14:paraId="2B034351" w14:textId="7DDCD8EC">
      <w:pPr>
        <w:spacing w:line="360" w:lineRule="auto"/>
      </w:pPr>
      <w:r>
        <w:tab/>
        <w:t>Vichy argues that its declaratory relief claim is not m</w:t>
      </w:r>
      <w:r w:rsidR="00335807">
        <w:t>oot b</w:t>
      </w:r>
      <w:r>
        <w:t>ecause</w:t>
      </w:r>
      <w:r w:rsidR="00335807">
        <w:t xml:space="preserve"> </w:t>
      </w:r>
      <w:r w:rsidR="000550C5">
        <w:t>“</w:t>
      </w:r>
      <w:r w:rsidR="00623B1E">
        <w:t>v</w:t>
      </w:r>
      <w:r w:rsidR="000550C5">
        <w:t>oluntary discontinuation of illegal practices does not remove the pending claims of illegality from judicial power or relieve the court of the duty of determining the validity of the claims, especially where the plaintiff alleges the behavior could recur</w:t>
      </w:r>
      <w:r w:rsidR="00C739FC">
        <w:t>.</w:t>
      </w:r>
      <w:r w:rsidR="000550C5">
        <w:t>”</w:t>
      </w:r>
      <w:r w:rsidR="00C739FC">
        <w:t xml:space="preserve"> </w:t>
      </w:r>
      <w:r w:rsidRPr="00061710">
        <w:t xml:space="preserve"> </w:t>
      </w:r>
      <w:r w:rsidR="004C4C71">
        <w:t>But w</w:t>
      </w:r>
      <w:r w:rsidR="009A02F3">
        <w:t>hile</w:t>
      </w:r>
      <w:r w:rsidR="006A4F89">
        <w:t xml:space="preserve"> </w:t>
      </w:r>
      <w:r w:rsidR="00576136">
        <w:t>“</w:t>
      </w:r>
      <w:r w:rsidRPr="00576136" w:rsidR="00576136">
        <w:t>there is no hard-and-fast rule that a party</w:t>
      </w:r>
      <w:r w:rsidR="00576136">
        <w:t>’</w:t>
      </w:r>
      <w:r w:rsidRPr="00576136" w:rsidR="00576136">
        <w:t>s discontinuance of illegal behavior makes injunctive relief against him or her unavailable</w:t>
      </w:r>
      <w:r w:rsidR="00576136">
        <w:t>, . . .</w:t>
      </w:r>
      <w:r>
        <w:t xml:space="preserve"> </w:t>
      </w:r>
      <w:r w:rsidR="00576136">
        <w:t>‘</w:t>
      </w:r>
      <w:r>
        <w:t>voluntary cessation of conduct may be a factor in a court</w:t>
      </w:r>
      <w:r w:rsidR="00576136">
        <w:t>’</w:t>
      </w:r>
      <w:r>
        <w:t>s exercise of its equitable jurisdiction</w:t>
      </w:r>
      <w:r w:rsidR="00576136">
        <w:t>.’</w:t>
      </w:r>
      <w:r w:rsidR="00EE1DC0">
        <w:t> </w:t>
      </w:r>
      <w:r>
        <w:t xml:space="preserve">” </w:t>
      </w:r>
      <w:r w:rsidR="00434246">
        <w:t xml:space="preserve"> </w:t>
      </w:r>
      <w:r>
        <w:t>(</w:t>
      </w:r>
      <w:r w:rsidRPr="00576136" w:rsidR="00576136">
        <w:rPr>
          <w:i/>
          <w:iCs/>
        </w:rPr>
        <w:t>Robinson v. U-Haul Co. of California</w:t>
      </w:r>
      <w:r w:rsidR="00AE4308">
        <w:t xml:space="preserve">, </w:t>
      </w:r>
      <w:r w:rsidRPr="00AE4308" w:rsidR="00AE4308">
        <w:rPr>
          <w:i/>
          <w:iCs/>
        </w:rPr>
        <w:t>supra</w:t>
      </w:r>
      <w:r w:rsidR="00AE4308">
        <w:t xml:space="preserve">, </w:t>
      </w:r>
      <w:r w:rsidR="00576136">
        <w:t>4</w:t>
      </w:r>
      <w:r w:rsidR="00EE1DC0">
        <w:t> </w:t>
      </w:r>
      <w:r w:rsidR="00576136">
        <w:t xml:space="preserve">Cal.App.5th </w:t>
      </w:r>
      <w:r w:rsidR="00AE4308">
        <w:t xml:space="preserve">at </w:t>
      </w:r>
      <w:r w:rsidR="00714DD7">
        <w:t>p</w:t>
      </w:r>
      <w:r w:rsidR="00AE4308">
        <w:t>.</w:t>
      </w:r>
      <w:r w:rsidR="00EE1DC0">
        <w:t> </w:t>
      </w:r>
      <w:r w:rsidR="00576136">
        <w:t>315</w:t>
      </w:r>
      <w:r w:rsidR="00FC0AE3">
        <w:t xml:space="preserve">; </w:t>
      </w:r>
      <w:r w:rsidRPr="00FC0AE3" w:rsidR="00FC0AE3">
        <w:rPr>
          <w:i/>
          <w:iCs/>
        </w:rPr>
        <w:t>Artus v. Gramercy Towers Condo</w:t>
      </w:r>
      <w:r w:rsidR="000E5C3F">
        <w:rPr>
          <w:i/>
          <w:iCs/>
        </w:rPr>
        <w:t>minium</w:t>
      </w:r>
      <w:r w:rsidRPr="00FC0AE3" w:rsidR="00FC0AE3">
        <w:rPr>
          <w:i/>
          <w:iCs/>
        </w:rPr>
        <w:t xml:space="preserve"> Assn</w:t>
      </w:r>
      <w:r w:rsidR="00FC0AE3">
        <w:t>. (2018) 19</w:t>
      </w:r>
      <w:r w:rsidR="00EE1DC0">
        <w:t> </w:t>
      </w:r>
      <w:r w:rsidR="00FC0AE3">
        <w:t>Cal.App.5th 923, 930 [“[D]eclaratory relief is an equitable remedy and need not be awarded if the circumstances do not warrant</w:t>
      </w:r>
      <w:r w:rsidR="00BA636E">
        <w:t>”].</w:t>
      </w:r>
      <w:r w:rsidR="00576136">
        <w:t>)</w:t>
      </w:r>
      <w:r w:rsidR="00133136">
        <w:t xml:space="preserve"> </w:t>
      </w:r>
      <w:r w:rsidR="00434246">
        <w:t xml:space="preserve"> </w:t>
      </w:r>
      <w:r w:rsidR="00BA636E">
        <w:t>W</w:t>
      </w:r>
      <w:r>
        <w:t xml:space="preserve">here </w:t>
      </w:r>
      <w:r w:rsidR="00BA636E">
        <w:t>equitable relief “</w:t>
      </w:r>
      <w:r w:rsidR="00EE1DC0">
        <w:t> </w:t>
      </w:r>
      <w:r w:rsidR="00A01FED">
        <w:t>‘</w:t>
      </w:r>
      <w:r>
        <w:t xml:space="preserve">is sought solely to prevent recurrence of proscribed conduct which has, </w:t>
      </w:r>
      <w:r w:rsidRPr="00B8259A">
        <w:rPr>
          <w:i/>
        </w:rPr>
        <w:t>in good faith</w:t>
      </w:r>
      <w:r>
        <w:t xml:space="preserve"> been discontinued, there is no equitable reason</w:t>
      </w:r>
      <w:r w:rsidR="00A01FED">
        <w:t>’</w:t>
      </w:r>
      <w:r w:rsidR="00EE1DC0">
        <w:t> </w:t>
      </w:r>
      <w:r>
        <w:t>”</w:t>
      </w:r>
      <w:r w:rsidR="00AA0BB6">
        <w:t xml:space="preserve"> for the court to act.</w:t>
      </w:r>
      <w:r w:rsidR="00BA636E">
        <w:t xml:space="preserve"> </w:t>
      </w:r>
      <w:r w:rsidR="00434246">
        <w:t xml:space="preserve"> </w:t>
      </w:r>
      <w:r w:rsidR="00BA636E">
        <w:t>(</w:t>
      </w:r>
      <w:r w:rsidR="009E08FA">
        <w:rPr>
          <w:i/>
          <w:iCs/>
        </w:rPr>
        <w:t>Robinson</w:t>
      </w:r>
      <w:r w:rsidR="009E08FA">
        <w:t>,</w:t>
      </w:r>
      <w:r w:rsidR="00A01FED">
        <w:rPr>
          <w:i/>
          <w:iCs/>
        </w:rPr>
        <w:t xml:space="preserve"> </w:t>
      </w:r>
      <w:r w:rsidR="00A01FED">
        <w:t>at p.</w:t>
      </w:r>
      <w:r w:rsidR="00EE1DC0">
        <w:t> </w:t>
      </w:r>
      <w:r w:rsidR="00A01FED">
        <w:t xml:space="preserve">316; </w:t>
      </w:r>
      <w:r w:rsidR="004277CC">
        <w:t>s</w:t>
      </w:r>
      <w:r w:rsidR="00D771B5">
        <w:t xml:space="preserve">ee also </w:t>
      </w:r>
      <w:r w:rsidRPr="00D771B5" w:rsidR="00D771B5">
        <w:rPr>
          <w:i/>
          <w:iCs/>
        </w:rPr>
        <w:t>Artus</w:t>
      </w:r>
      <w:r w:rsidR="00CF6B87">
        <w:rPr>
          <w:i/>
          <w:iCs/>
        </w:rPr>
        <w:t>,</w:t>
      </w:r>
      <w:r w:rsidR="00D771B5">
        <w:t xml:space="preserve"> at p.</w:t>
      </w:r>
      <w:r w:rsidR="00EE1DC0">
        <w:t> </w:t>
      </w:r>
      <w:r w:rsidR="00D771B5">
        <w:t xml:space="preserve">932 [declaratory relief was properly denied where </w:t>
      </w:r>
      <w:r w:rsidR="000633CD">
        <w:t xml:space="preserve">defendant had </w:t>
      </w:r>
      <w:r w:rsidR="00D771B5">
        <w:t xml:space="preserve">made </w:t>
      </w:r>
      <w:r w:rsidR="000633CD">
        <w:t>“</w:t>
      </w:r>
      <w:r w:rsidR="00D771B5">
        <w:t>good faith efforts</w:t>
      </w:r>
      <w:r w:rsidR="000633CD">
        <w:t>”</w:t>
      </w:r>
      <w:r w:rsidR="00D771B5">
        <w:t xml:space="preserve"> to comply with all procedures required by law to remedy </w:t>
      </w:r>
      <w:r w:rsidR="000633CD">
        <w:t>prior</w:t>
      </w:r>
      <w:r w:rsidR="00D771B5">
        <w:t xml:space="preserve"> deficiencies</w:t>
      </w:r>
      <w:r w:rsidR="000633CD">
        <w:t>].</w:t>
      </w:r>
      <w:r w:rsidR="00BA636E">
        <w:t xml:space="preserve">) </w:t>
      </w:r>
      <w:r>
        <w:t xml:space="preserve"> </w:t>
      </w:r>
      <w:r w:rsidR="00605AC4">
        <w:t>As the trial court concluded</w:t>
      </w:r>
      <w:r w:rsidR="00CE7596">
        <w:t>,</w:t>
      </w:r>
      <w:r w:rsidR="00605AC4">
        <w:t xml:space="preserve"> there is no reason to doubt the good faith of the City and the County with respect to the Agreement</w:t>
      </w:r>
      <w:r w:rsidR="00444774">
        <w:t>,</w:t>
      </w:r>
      <w:r w:rsidR="00605AC4">
        <w:t xml:space="preserve"> and thus, little reason to believe that either will withdraw from </w:t>
      </w:r>
      <w:r w:rsidR="00673C91">
        <w:t>it</w:t>
      </w:r>
      <w:r w:rsidR="00605AC4">
        <w:t>.</w:t>
      </w:r>
    </w:p>
    <w:p w:rsidR="00685328" w:rsidP="004209EA" w14:paraId="3EA25298" w14:textId="551624DD">
      <w:pPr>
        <w:spacing w:line="360" w:lineRule="auto"/>
      </w:pPr>
      <w:r>
        <w:tab/>
        <w:t xml:space="preserve">Vichy also argues that the </w:t>
      </w:r>
      <w:r w:rsidR="009C0E27">
        <w:t>trial</w:t>
      </w:r>
      <w:r>
        <w:t xml:space="preserve"> court should have recognized</w:t>
      </w:r>
      <w:r w:rsidR="004D526F">
        <w:t xml:space="preserve"> that</w:t>
      </w:r>
      <w:r>
        <w:t xml:space="preserve"> the underlying issues were of general public interest</w:t>
      </w:r>
      <w:r w:rsidR="00D5657D">
        <w:t xml:space="preserve"> </w:t>
      </w:r>
      <w:r w:rsidR="004209EA">
        <w:t>because the petition included</w:t>
      </w:r>
      <w:r w:rsidR="00D5657D">
        <w:t xml:space="preserve"> </w:t>
      </w:r>
      <w:r w:rsidR="004209EA">
        <w:t>allegations of lead contamination</w:t>
      </w:r>
      <w:r w:rsidR="00D5657D">
        <w:t xml:space="preserve"> and other significant environmental impacts</w:t>
      </w:r>
      <w:r w:rsidR="004209EA">
        <w:t>.</w:t>
      </w:r>
      <w:r w:rsidR="00D5657D">
        <w:t xml:space="preserve"> </w:t>
      </w:r>
      <w:r w:rsidR="004209EA">
        <w:t xml:space="preserve"> The trial court concluded</w:t>
      </w:r>
      <w:r w:rsidR="006173A0">
        <w:t xml:space="preserve">, however, </w:t>
      </w:r>
      <w:r w:rsidR="004209EA">
        <w:t xml:space="preserve">that the allegations of lead contamination “have nothing to do with the declaratory or injunctive relief sought” </w:t>
      </w:r>
      <w:r w:rsidR="009C0E27">
        <w:t xml:space="preserve">because </w:t>
      </w:r>
      <w:r w:rsidR="00603B57">
        <w:t xml:space="preserve">the </w:t>
      </w:r>
      <w:r w:rsidR="0027401E">
        <w:t xml:space="preserve">declaratory </w:t>
      </w:r>
      <w:r w:rsidR="00CB1CDE">
        <w:t>and</w:t>
      </w:r>
      <w:r w:rsidR="0027401E">
        <w:t xml:space="preserve"> injunctive relief </w:t>
      </w:r>
      <w:r w:rsidR="00603B57">
        <w:t>requested</w:t>
      </w:r>
      <w:r w:rsidR="00610237">
        <w:t xml:space="preserve"> </w:t>
      </w:r>
      <w:r w:rsidR="001A27DD">
        <w:t xml:space="preserve">does not </w:t>
      </w:r>
      <w:r w:rsidR="00CB1CDE">
        <w:t>relate to</w:t>
      </w:r>
      <w:r w:rsidR="00603B57">
        <w:t xml:space="preserve"> </w:t>
      </w:r>
      <w:r w:rsidR="00CB1CDE">
        <w:t xml:space="preserve">environmental contamination. </w:t>
      </w:r>
      <w:r w:rsidR="00945A47">
        <w:t xml:space="preserve"> The court did not abuse its discretion in concluding that </w:t>
      </w:r>
      <w:r w:rsidR="00BF0276">
        <w:t xml:space="preserve">the general public did not have an interest in </w:t>
      </w:r>
      <w:r w:rsidR="00FF7EF3">
        <w:t xml:space="preserve">the resolution of </w:t>
      </w:r>
      <w:r w:rsidR="00945A47">
        <w:t>lan</w:t>
      </w:r>
      <w:r w:rsidR="00FF7EF3">
        <w:t>d</w:t>
      </w:r>
      <w:r w:rsidR="00945A47">
        <w:t xml:space="preserve"> use</w:t>
      </w:r>
      <w:r w:rsidR="00FF7EF3">
        <w:t xml:space="preserve"> authority</w:t>
      </w:r>
      <w:r w:rsidR="00BF0276">
        <w:t xml:space="preserve"> over the property</w:t>
      </w:r>
      <w:r w:rsidR="00FF7EF3">
        <w:t xml:space="preserve">, </w:t>
      </w:r>
      <w:r w:rsidR="00BF0276">
        <w:t xml:space="preserve">as </w:t>
      </w:r>
      <w:r w:rsidR="0054277A">
        <w:t>contrasted with how</w:t>
      </w:r>
      <w:r w:rsidR="00746649">
        <w:t xml:space="preserve"> that authority</w:t>
      </w:r>
      <w:r w:rsidR="0054277A">
        <w:t xml:space="preserve"> is exercised</w:t>
      </w:r>
      <w:r w:rsidR="00BF0276">
        <w:t>.</w:t>
      </w:r>
    </w:p>
    <w:p w:rsidR="00D64551" w:rsidP="00D64551" w14:paraId="2DCA2755" w14:textId="4D9115DD">
      <w:pPr>
        <w:spacing w:line="360" w:lineRule="auto"/>
      </w:pPr>
      <w:r>
        <w:tab/>
        <w:t>Finally, Vichy contends that the court abused its discretion in denying it leave to amend</w:t>
      </w:r>
      <w:r w:rsidR="002655ED">
        <w:t xml:space="preserve"> the fourth cause of action</w:t>
      </w:r>
      <w:r>
        <w:t xml:space="preserve">. </w:t>
      </w:r>
      <w:r w:rsidR="00434246">
        <w:t xml:space="preserve"> </w:t>
      </w:r>
      <w:r w:rsidR="00357144">
        <w:t xml:space="preserve">Vichy argues, </w:t>
      </w:r>
      <w:r>
        <w:t xml:space="preserve">“Given that the </w:t>
      </w:r>
      <w:r w:rsidR="00357144">
        <w:t>[Joint Powers Agreement]</w:t>
      </w:r>
      <w:r>
        <w:t xml:space="preserve"> was entered into after the Second Amended Petition was filed and that clear facts were articulated that could have supported the fourth cause of action, the superior court</w:t>
      </w:r>
      <w:r w:rsidR="00357144">
        <w:t>’</w:t>
      </w:r>
      <w:r>
        <w:t xml:space="preserve">s denial of the request for leave to amend was an abuse of discretion and should be overturned.” </w:t>
      </w:r>
      <w:r w:rsidR="00357144">
        <w:t xml:space="preserve"> The </w:t>
      </w:r>
      <w:r w:rsidR="00E7284F">
        <w:t xml:space="preserve">proffered </w:t>
      </w:r>
      <w:r w:rsidR="00357144">
        <w:t xml:space="preserve">facts, however, again relate to the ability of the County and the City to withdraw from the agreement. </w:t>
      </w:r>
      <w:r w:rsidR="00434246">
        <w:t xml:space="preserve"> </w:t>
      </w:r>
      <w:r w:rsidR="006D2825">
        <w:t>T</w:t>
      </w:r>
      <w:r w:rsidR="00577BB8">
        <w:t xml:space="preserve">hese facts, if alleged in an amended complaint, would not </w:t>
      </w:r>
      <w:r w:rsidR="006D2825">
        <w:t>establish an</w:t>
      </w:r>
      <w:r w:rsidRPr="006D2825" w:rsidR="006D2825">
        <w:rPr>
          <w:i/>
          <w:iCs/>
        </w:rPr>
        <w:t xml:space="preserve"> </w:t>
      </w:r>
      <w:r w:rsidRPr="006D2825" w:rsidR="006D2825">
        <w:t>actual controversy</w:t>
      </w:r>
      <w:r w:rsidR="006D2825">
        <w:t>.</w:t>
      </w:r>
      <w:r w:rsidR="00434246">
        <w:t xml:space="preserve"> </w:t>
      </w:r>
      <w:r w:rsidR="006D2825">
        <w:t xml:space="preserve"> As explained by the trial court, </w:t>
      </w:r>
      <w:r w:rsidR="00844BAC">
        <w:t xml:space="preserve">the likelihood of </w:t>
      </w:r>
      <w:r w:rsidR="00AF0026">
        <w:t xml:space="preserve">the parties’ </w:t>
      </w:r>
      <w:r w:rsidR="00844BAC">
        <w:t>withdraw</w:t>
      </w:r>
      <w:r w:rsidR="00AF0026">
        <w:t>al from the Agreement</w:t>
      </w:r>
      <w:r w:rsidR="00844BAC">
        <w:t xml:space="preserve"> is small</w:t>
      </w:r>
      <w:r w:rsidR="00AF0026">
        <w:t xml:space="preserve"> and the circumstances of</w:t>
      </w:r>
      <w:r w:rsidR="006D2825">
        <w:t xml:space="preserve"> </w:t>
      </w:r>
      <w:r w:rsidR="00AF0026">
        <w:t xml:space="preserve">any such withdrawal are uncertain and speculative. </w:t>
      </w:r>
    </w:p>
    <w:p w:rsidR="008C5968" w:rsidRPr="004D71A1" w:rsidP="00AB6058" w14:paraId="24443C2E" w14:textId="7CA30717">
      <w:pPr>
        <w:pStyle w:val="Heading1"/>
        <w:spacing w:before="0" w:after="0" w:line="360" w:lineRule="auto"/>
        <w:rPr>
          <w:b w:val="0"/>
          <w:bCs/>
        </w:rPr>
      </w:pPr>
      <w:r>
        <w:t>Attorneys’ F</w:t>
      </w:r>
      <w:r>
        <w:rPr>
          <w:bCs/>
        </w:rPr>
        <w:t>ees</w:t>
      </w:r>
    </w:p>
    <w:p w:rsidR="004D71A1" w:rsidRPr="00AB6058" w:rsidP="00AB6058" w14:paraId="1C1881CE" w14:textId="61C72355">
      <w:pPr>
        <w:spacing w:line="360" w:lineRule="auto"/>
      </w:pPr>
      <w:r>
        <w:tab/>
      </w:r>
      <w:r w:rsidR="00CC45EC">
        <w:t>In a</w:t>
      </w:r>
      <w:r w:rsidR="00203E8E">
        <w:t xml:space="preserve">ppeal </w:t>
      </w:r>
      <w:r w:rsidR="00CC45EC">
        <w:t>n</w:t>
      </w:r>
      <w:r w:rsidR="00203E8E">
        <w:t>umber</w:t>
      </w:r>
      <w:r w:rsidR="0064434B">
        <w:t> </w:t>
      </w:r>
      <w:r w:rsidR="00203E8E">
        <w:t>A167000</w:t>
      </w:r>
      <w:r w:rsidR="00EA1F07">
        <w:t>,</w:t>
      </w:r>
      <w:r w:rsidR="00CC45EC">
        <w:t xml:space="preserve"> Vichy</w:t>
      </w:r>
      <w:r w:rsidR="00203E8E">
        <w:t xml:space="preserve"> challeng</w:t>
      </w:r>
      <w:r w:rsidR="00CC45EC">
        <w:t>es</w:t>
      </w:r>
      <w:r w:rsidR="00203E8E">
        <w:t xml:space="preserve"> </w:t>
      </w:r>
      <w:r w:rsidRPr="00AB6058">
        <w:t xml:space="preserve">the </w:t>
      </w:r>
      <w:r w:rsidR="000E3BAD">
        <w:t xml:space="preserve">postjudgment </w:t>
      </w:r>
      <w:r>
        <w:t>o</w:t>
      </w:r>
      <w:r w:rsidRPr="00AB6058">
        <w:t xml:space="preserve">rder denying </w:t>
      </w:r>
      <w:r w:rsidR="00CC45EC">
        <w:t xml:space="preserve">its motion for </w:t>
      </w:r>
      <w:r w:rsidRPr="00AB6058">
        <w:t>attorney</w:t>
      </w:r>
      <w:r w:rsidR="00645A9E">
        <w:t>s’</w:t>
      </w:r>
      <w:r w:rsidRPr="00AB6058">
        <w:t xml:space="preserve"> fees</w:t>
      </w:r>
      <w:r w:rsidR="00645A9E">
        <w:t xml:space="preserve">. </w:t>
      </w:r>
      <w:r w:rsidR="00DB6FA1">
        <w:t xml:space="preserve"> </w:t>
      </w:r>
      <w:r w:rsidR="00A57020">
        <w:t xml:space="preserve">The reversal of the judgment </w:t>
      </w:r>
      <w:r w:rsidR="00780A54">
        <w:t>in appeal number</w:t>
      </w:r>
      <w:r w:rsidR="0064434B">
        <w:t> </w:t>
      </w:r>
      <w:r w:rsidR="00780A54">
        <w:t xml:space="preserve">A165345 </w:t>
      </w:r>
      <w:r w:rsidR="001674FC">
        <w:t>requires us to dismiss</w:t>
      </w:r>
      <w:r w:rsidR="00A57020">
        <w:t xml:space="preserve"> this </w:t>
      </w:r>
      <w:r w:rsidR="00EC5292">
        <w:t xml:space="preserve">appeal </w:t>
      </w:r>
      <w:r w:rsidR="002E62FD">
        <w:t xml:space="preserve">as </w:t>
      </w:r>
      <w:r w:rsidR="00A57020">
        <w:t>moot</w:t>
      </w:r>
      <w:r w:rsidR="00EC5292">
        <w:t xml:space="preserve">. </w:t>
      </w:r>
      <w:r w:rsidR="0090614B">
        <w:t xml:space="preserve"> </w:t>
      </w:r>
      <w:r w:rsidR="00C60E3E">
        <w:t xml:space="preserve">(See </w:t>
      </w:r>
      <w:r w:rsidRPr="00C11E74" w:rsidR="00C11E74">
        <w:rPr>
          <w:i/>
          <w:iCs/>
        </w:rPr>
        <w:t>Krantz</w:t>
      </w:r>
      <w:r w:rsidRPr="00426E1D" w:rsidR="00426E1D">
        <w:rPr>
          <w:i/>
          <w:iCs/>
        </w:rPr>
        <w:t xml:space="preserve"> v. </w:t>
      </w:r>
      <w:r w:rsidRPr="00C11E74" w:rsidR="00C11E74">
        <w:rPr>
          <w:i/>
          <w:iCs/>
        </w:rPr>
        <w:t xml:space="preserve">BT Visual Images </w:t>
      </w:r>
      <w:r w:rsidRPr="00C11E74" w:rsidR="00C11E74">
        <w:t>(2001) 89</w:t>
      </w:r>
      <w:r w:rsidR="0064434B">
        <w:t> </w:t>
      </w:r>
      <w:r w:rsidRPr="00C11E74" w:rsidR="00C11E74">
        <w:t>Cal.App.4th 164, 167</w:t>
      </w:r>
      <w:r w:rsidR="001674FC">
        <w:t xml:space="preserve">; </w:t>
      </w:r>
      <w:r w:rsidRPr="001674FC" w:rsidR="001674FC">
        <w:rPr>
          <w:i/>
          <w:iCs/>
        </w:rPr>
        <w:t>Doyle v. Board of Supervisors</w:t>
      </w:r>
      <w:r w:rsidR="001674FC">
        <w:t xml:space="preserve"> (1988) 197</w:t>
      </w:r>
      <w:r w:rsidR="0064434B">
        <w:t> </w:t>
      </w:r>
      <w:r w:rsidR="001674FC">
        <w:t>Cal.App.3d 1358, 1367</w:t>
      </w:r>
      <w:r w:rsidRPr="00C11E74" w:rsidR="00426E1D">
        <w:t>.)</w:t>
      </w:r>
      <w:r w:rsidRPr="00426E1D" w:rsidR="00426E1D">
        <w:t xml:space="preserve"> </w:t>
      </w:r>
    </w:p>
    <w:p w:rsidR="00AE52BD" w:rsidP="00AE52BD" w14:paraId="79B5F9D7" w14:textId="1FCA8619">
      <w:pPr>
        <w:spacing w:line="360" w:lineRule="auto"/>
        <w:jc w:val="center"/>
        <w:rPr>
          <w:b/>
          <w:bCs/>
          <w:smallCaps/>
        </w:rPr>
      </w:pPr>
      <w:r w:rsidRPr="00AE52BD">
        <w:rPr>
          <w:b/>
          <w:bCs/>
          <w:smallCaps/>
        </w:rPr>
        <w:t>DISPOSITION</w:t>
      </w:r>
    </w:p>
    <w:p w:rsidR="00CD1A7E" w:rsidP="00AE52BD" w14:paraId="5AC73F45" w14:textId="06526540">
      <w:pPr>
        <w:spacing w:line="360" w:lineRule="auto"/>
      </w:pPr>
      <w:r>
        <w:rPr>
          <w:smallCaps/>
        </w:rPr>
        <w:tab/>
      </w:r>
      <w:r w:rsidRPr="00AE52BD">
        <w:t xml:space="preserve">The judgment </w:t>
      </w:r>
      <w:r w:rsidR="00733D67">
        <w:t xml:space="preserve">is reversed and the matter </w:t>
      </w:r>
      <w:r>
        <w:t>remanded</w:t>
      </w:r>
      <w:r w:rsidR="00A047F6">
        <w:t xml:space="preserve"> with directions to the trial court to</w:t>
      </w:r>
      <w:r w:rsidR="00B024A4">
        <w:t xml:space="preserve"> deny the Club’s motion to strike</w:t>
      </w:r>
      <w:r w:rsidR="000819A8">
        <w:t>, and to</w:t>
      </w:r>
      <w:r w:rsidR="00A047F6">
        <w:t xml:space="preserve"> overrule the </w:t>
      </w:r>
      <w:r w:rsidR="008319CB">
        <w:t xml:space="preserve">demurrers to the first cause of action and the </w:t>
      </w:r>
      <w:r w:rsidR="00A047F6">
        <w:t xml:space="preserve">County’s demurrer </w:t>
      </w:r>
      <w:r w:rsidR="001A1137">
        <w:t xml:space="preserve">to the </w:t>
      </w:r>
      <w:r w:rsidR="008319CB">
        <w:t>second</w:t>
      </w:r>
      <w:r w:rsidR="001A1137">
        <w:t xml:space="preserve"> cause of action</w:t>
      </w:r>
      <w:r w:rsidR="008319CB">
        <w:t>.</w:t>
      </w:r>
      <w:r w:rsidR="001A1137">
        <w:t xml:space="preserve"> </w:t>
      </w:r>
      <w:r w:rsidR="00B024A4">
        <w:t xml:space="preserve"> </w:t>
      </w:r>
      <w:r w:rsidR="00DF4AE5">
        <w:t>Appeal number</w:t>
      </w:r>
      <w:r w:rsidR="0064434B">
        <w:t> </w:t>
      </w:r>
      <w:r w:rsidR="00DF4AE5">
        <w:t>A167000 is dismissed.</w:t>
      </w:r>
      <w:r w:rsidRPr="009149FB" w:rsidR="009149FB">
        <w:t xml:space="preserve"> </w:t>
      </w:r>
      <w:r w:rsidR="009149FB">
        <w:t xml:space="preserve"> Vichy shall recover its costs on appeal.  </w:t>
      </w:r>
    </w:p>
    <w:p w:rsidR="00576885" w:rsidRPr="00490764" w:rsidP="00252C1A" w14:paraId="14A1DF79" w14:textId="77777777">
      <w:pPr>
        <w:spacing w:line="240" w:lineRule="auto"/>
      </w:pPr>
      <w:r w:rsidRPr="00490764">
        <w:tab/>
      </w:r>
      <w:r w:rsidRPr="00490764">
        <w:tab/>
      </w:r>
      <w:r w:rsidRPr="00490764">
        <w:tab/>
      </w:r>
      <w:r w:rsidRPr="00490764">
        <w:tab/>
      </w:r>
      <w:r w:rsidRPr="00490764">
        <w:tab/>
      </w:r>
      <w:r w:rsidRPr="00490764">
        <w:tab/>
      </w:r>
      <w:r w:rsidRPr="00490764">
        <w:tab/>
        <w:t>GOLDMAN, J.</w:t>
      </w:r>
    </w:p>
    <w:p w:rsidR="00576885" w:rsidRPr="00490764" w:rsidP="00252C1A" w14:paraId="2106D823" w14:textId="77777777">
      <w:pPr>
        <w:spacing w:line="240" w:lineRule="auto"/>
      </w:pPr>
    </w:p>
    <w:p w:rsidR="00576885" w:rsidRPr="00490764" w:rsidP="00252C1A" w14:paraId="1E9E6C84" w14:textId="77777777">
      <w:pPr>
        <w:spacing w:line="240" w:lineRule="auto"/>
      </w:pPr>
      <w:r w:rsidRPr="00490764">
        <w:t>WE CONCUR:</w:t>
      </w:r>
    </w:p>
    <w:p w:rsidR="00576885" w:rsidRPr="00490764" w:rsidP="00252C1A" w14:paraId="3EB5C777" w14:textId="77777777">
      <w:pPr>
        <w:spacing w:line="240" w:lineRule="auto"/>
      </w:pPr>
    </w:p>
    <w:p w:rsidR="00576885" w:rsidRPr="00490764" w:rsidP="00252C1A" w14:paraId="5EB1ECF5" w14:textId="776E3EB5">
      <w:pPr>
        <w:spacing w:line="240" w:lineRule="auto"/>
      </w:pPr>
      <w:r>
        <w:t>BROWN</w:t>
      </w:r>
      <w:r w:rsidRPr="00490764">
        <w:t>, P. J.</w:t>
      </w:r>
    </w:p>
    <w:p w:rsidR="00576885" w:rsidP="00CF5CB7" w14:paraId="798FB853" w14:textId="10029FA2">
      <w:pPr>
        <w:spacing w:line="240" w:lineRule="auto"/>
      </w:pPr>
      <w:r>
        <w:t>SMILEY</w:t>
      </w:r>
      <w:r w:rsidRPr="00490764">
        <w:t>, J.</w:t>
      </w:r>
      <w:r w:rsidRPr="00250C3F" w:rsidR="00250C3F">
        <w:rPr>
          <w:rFonts w:eastAsia="Calibri" w:cs="Times New Roman"/>
          <w:szCs w:val="26"/>
          <w:vertAlign w:val="superscript"/>
        </w:rPr>
        <w:t xml:space="preserve"> </w:t>
      </w:r>
      <w:r>
        <w:rPr>
          <w:rFonts w:eastAsia="Calibri" w:cs="Times New Roman"/>
          <w:szCs w:val="26"/>
          <w:vertAlign w:val="superscript"/>
        </w:rPr>
        <w:footnoteReference w:customMarkFollows="1" w:id="14"/>
        <w:t xml:space="preserve">*</w:t>
      </w:r>
    </w:p>
    <w:p w:rsidR="00CD1A7E" w14:paraId="2202F9C8" w14:textId="77777777">
      <w:pPr>
        <w:tabs>
          <w:tab w:val="clear" w:pos="720"/>
        </w:tabs>
        <w:spacing w:after="160" w:line="259" w:lineRule="auto"/>
      </w:pPr>
      <w:r>
        <w:br w:type="page"/>
      </w:r>
    </w:p>
    <w:tbl>
      <w:tblPr>
        <w:tblStyle w:val="TableGrid1"/>
        <w:tblW w:w="953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tblPr>
      <w:tblGrid>
        <w:gridCol w:w="4405"/>
        <w:gridCol w:w="5130"/>
      </w:tblGrid>
      <w:tr w14:paraId="29C3266B" w14:textId="77777777" w:rsidTr="00252C1A">
        <w:tblPrEx>
          <w:tblW w:w="953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tblPrEx>
        <w:tc>
          <w:tcPr>
            <w:tcW w:w="4405" w:type="dxa"/>
          </w:tcPr>
          <w:p w:rsidR="00CD1A7E" w:rsidRPr="00CD1A7E" w:rsidP="00CD1A7E" w14:paraId="321011F3" w14:textId="77777777">
            <w:pPr>
              <w:tabs>
                <w:tab w:val="left" w:pos="720"/>
              </w:tabs>
              <w:suppressAutoHyphens/>
              <w:spacing w:after="0" w:line="240" w:lineRule="auto"/>
              <w:rPr>
                <w:rStyle w:val="DefaultParagraphFont"/>
                <w:rFonts w:ascii="Century Schoolbook" w:eastAsia="Calibri" w:hAnsi="Century Schoolbook" w:cs="Times New Roman"/>
                <w:sz w:val="26"/>
                <w:szCs w:val="22"/>
                <w:lang w:val="en-US" w:eastAsia="en-US" w:bidi="ar-SA"/>
              </w:rPr>
            </w:pPr>
            <w:r w:rsidRPr="00CD1A7E">
              <w:rPr>
                <w:rFonts w:ascii="Century Schoolbook" w:eastAsia="Calibri" w:hAnsi="Century Schoolbook" w:cs="Times New Roman"/>
                <w:sz w:val="26"/>
                <w:szCs w:val="22"/>
                <w:lang w:val="en-US" w:eastAsia="en-US" w:bidi="ar-SA"/>
              </w:rPr>
              <w:t>Trial Court:</w:t>
            </w:r>
          </w:p>
        </w:tc>
        <w:tc>
          <w:tcPr>
            <w:tcW w:w="5130" w:type="dxa"/>
          </w:tcPr>
          <w:p w:rsidR="00CD1A7E" w:rsidRPr="00CD1A7E" w:rsidP="00CD1A7E" w14:paraId="2D8D5924" w14:textId="77777777">
            <w:pPr>
              <w:tabs>
                <w:tab w:val="left" w:pos="720"/>
              </w:tabs>
              <w:suppressAutoHyphens/>
              <w:spacing w:after="0" w:line="240" w:lineRule="auto"/>
              <w:rPr>
                <w:rStyle w:val="DefaultParagraphFont"/>
                <w:rFonts w:ascii="Century Schoolbook" w:eastAsia="Calibri" w:hAnsi="Century Schoolbook" w:cs="Times New Roman"/>
                <w:sz w:val="26"/>
                <w:szCs w:val="22"/>
                <w:lang w:val="en-US" w:eastAsia="en-US" w:bidi="ar-SA"/>
              </w:rPr>
            </w:pPr>
            <w:r w:rsidRPr="00CD1A7E">
              <w:rPr>
                <w:rFonts w:ascii="Century Schoolbook" w:eastAsia="Calibri" w:hAnsi="Century Schoolbook" w:cs="Times New Roman"/>
                <w:sz w:val="26"/>
                <w:szCs w:val="22"/>
                <w:lang w:val="en-US" w:eastAsia="en-US" w:bidi="ar-SA"/>
              </w:rPr>
              <w:t>Mendocino County Superior Court</w:t>
            </w:r>
          </w:p>
          <w:p w:rsidR="00CD1A7E" w:rsidRPr="00CD1A7E" w:rsidP="00CD1A7E" w14:paraId="22A186F5" w14:textId="77777777">
            <w:pPr>
              <w:tabs>
                <w:tab w:val="left" w:pos="720"/>
              </w:tabs>
              <w:suppressAutoHyphens/>
              <w:spacing w:after="0" w:line="240" w:lineRule="auto"/>
              <w:rPr>
                <w:rStyle w:val="DefaultParagraphFont"/>
                <w:rFonts w:ascii="Century Schoolbook" w:eastAsia="Calibri" w:hAnsi="Century Schoolbook" w:cs="Times New Roman"/>
                <w:sz w:val="26"/>
                <w:szCs w:val="22"/>
                <w:lang w:val="en-US" w:eastAsia="en-US" w:bidi="ar-SA"/>
              </w:rPr>
            </w:pPr>
          </w:p>
        </w:tc>
      </w:tr>
      <w:tr w14:paraId="5D3142E6" w14:textId="77777777" w:rsidTr="00252C1A">
        <w:tblPrEx>
          <w:tblW w:w="9535" w:type="dxa"/>
          <w:tblInd w:w="0" w:type="dxa"/>
          <w:tblCellMar>
            <w:top w:w="0" w:type="dxa"/>
            <w:left w:w="108" w:type="dxa"/>
            <w:bottom w:w="0" w:type="dxa"/>
            <w:right w:w="108" w:type="dxa"/>
          </w:tblCellMar>
          <w:tblLook w:val="04A0"/>
        </w:tblPrEx>
        <w:tc>
          <w:tcPr>
            <w:tcW w:w="4405" w:type="dxa"/>
          </w:tcPr>
          <w:p w:rsidR="00CD1A7E" w:rsidRPr="00CD1A7E" w:rsidP="00CD1A7E" w14:paraId="3EA5A04D" w14:textId="77777777">
            <w:pPr>
              <w:tabs>
                <w:tab w:val="left" w:pos="720"/>
              </w:tabs>
              <w:suppressAutoHyphens/>
              <w:spacing w:after="0" w:line="240" w:lineRule="auto"/>
              <w:rPr>
                <w:rStyle w:val="DefaultParagraphFont"/>
                <w:rFonts w:ascii="Century Schoolbook" w:eastAsia="Calibri" w:hAnsi="Century Schoolbook" w:cs="Times New Roman"/>
                <w:sz w:val="26"/>
                <w:szCs w:val="22"/>
                <w:lang w:val="en-US" w:eastAsia="en-US" w:bidi="ar-SA"/>
              </w:rPr>
            </w:pPr>
            <w:r w:rsidRPr="00CD1A7E">
              <w:rPr>
                <w:rFonts w:ascii="Century Schoolbook" w:eastAsia="Calibri" w:hAnsi="Century Schoolbook" w:cs="Times New Roman"/>
                <w:sz w:val="26"/>
                <w:szCs w:val="22"/>
                <w:lang w:val="en-US" w:eastAsia="en-US" w:bidi="ar-SA"/>
              </w:rPr>
              <w:t>Trial Judge:</w:t>
            </w:r>
          </w:p>
        </w:tc>
        <w:tc>
          <w:tcPr>
            <w:tcW w:w="5130" w:type="dxa"/>
          </w:tcPr>
          <w:p w:rsidR="00CD1A7E" w:rsidRPr="00CD1A7E" w:rsidP="00CD1A7E" w14:paraId="7303841C" w14:textId="77777777">
            <w:pPr>
              <w:tabs>
                <w:tab w:val="left" w:pos="720"/>
              </w:tabs>
              <w:suppressAutoHyphens/>
              <w:spacing w:after="0" w:line="240" w:lineRule="auto"/>
              <w:rPr>
                <w:rStyle w:val="DefaultParagraphFont"/>
                <w:rFonts w:ascii="Century Schoolbook" w:eastAsia="Calibri" w:hAnsi="Century Schoolbook" w:cs="Times New Roman"/>
                <w:sz w:val="26"/>
                <w:szCs w:val="22"/>
                <w:lang w:val="en-US" w:eastAsia="en-US" w:bidi="ar-SA"/>
              </w:rPr>
            </w:pPr>
            <w:r w:rsidRPr="00CD1A7E">
              <w:rPr>
                <w:rFonts w:ascii="Century Schoolbook" w:eastAsia="Calibri" w:hAnsi="Century Schoolbook" w:cs="Times New Roman"/>
                <w:sz w:val="26"/>
                <w:szCs w:val="22"/>
                <w:lang w:val="en-US" w:eastAsia="en-US" w:bidi="ar-SA"/>
              </w:rPr>
              <w:t>Honorable Ann C. Moorman</w:t>
            </w:r>
          </w:p>
          <w:p w:rsidR="00CD1A7E" w:rsidRPr="00CD1A7E" w:rsidP="00CD1A7E" w14:paraId="68F013B7" w14:textId="77777777">
            <w:pPr>
              <w:tabs>
                <w:tab w:val="left" w:pos="720"/>
              </w:tabs>
              <w:suppressAutoHyphens/>
              <w:spacing w:after="0" w:line="240" w:lineRule="auto"/>
              <w:rPr>
                <w:rStyle w:val="DefaultParagraphFont"/>
                <w:rFonts w:ascii="Century Schoolbook" w:eastAsia="Calibri" w:hAnsi="Century Schoolbook" w:cs="Times New Roman"/>
                <w:sz w:val="26"/>
                <w:szCs w:val="22"/>
                <w:lang w:val="en-US" w:eastAsia="en-US" w:bidi="ar-SA"/>
              </w:rPr>
            </w:pPr>
          </w:p>
        </w:tc>
      </w:tr>
      <w:tr w14:paraId="7BFB6898" w14:textId="77777777" w:rsidTr="00252C1A">
        <w:tblPrEx>
          <w:tblW w:w="9535" w:type="dxa"/>
          <w:tblInd w:w="0" w:type="dxa"/>
          <w:tblCellMar>
            <w:top w:w="0" w:type="dxa"/>
            <w:left w:w="108" w:type="dxa"/>
            <w:bottom w:w="0" w:type="dxa"/>
            <w:right w:w="108" w:type="dxa"/>
          </w:tblCellMar>
          <w:tblLook w:val="04A0"/>
        </w:tblPrEx>
        <w:tc>
          <w:tcPr>
            <w:tcW w:w="4405" w:type="dxa"/>
          </w:tcPr>
          <w:p w:rsidR="00CD1A7E" w:rsidRPr="00CD1A7E" w:rsidP="00CD1A7E" w14:paraId="45E04F37" w14:textId="3D1AAA3B">
            <w:pPr>
              <w:tabs>
                <w:tab w:val="left" w:pos="720"/>
              </w:tabs>
              <w:suppressAutoHyphens/>
              <w:spacing w:after="120" w:line="240" w:lineRule="auto"/>
              <w:rPr>
                <w:rStyle w:val="DefaultParagraphFont"/>
                <w:rFonts w:ascii="Century Schoolbook" w:eastAsia="Calibri" w:hAnsi="Century Schoolbook" w:cs="Times New Roman"/>
                <w:sz w:val="26"/>
                <w:szCs w:val="22"/>
                <w:highlight w:val="yellow"/>
                <w:lang w:val="en-US" w:eastAsia="en-US" w:bidi="ar-SA"/>
              </w:rPr>
            </w:pPr>
            <w:r w:rsidRPr="00CD1A7E">
              <w:rPr>
                <w:rFonts w:ascii="Century Schoolbook" w:eastAsia="Calibri" w:hAnsi="Century Schoolbook" w:cs="Times New Roman"/>
                <w:sz w:val="26"/>
                <w:szCs w:val="22"/>
                <w:lang w:val="en-US" w:eastAsia="en-US" w:bidi="ar-SA"/>
              </w:rPr>
              <w:t>Counsel for Plaintiff and Appellant</w:t>
            </w:r>
            <w:r>
              <w:rPr>
                <w:rFonts w:ascii="Century Schoolbook" w:eastAsia="Calibri" w:hAnsi="Century Schoolbook" w:cs="Times New Roman"/>
                <w:sz w:val="26"/>
                <w:szCs w:val="22"/>
                <w:lang w:val="en-US" w:eastAsia="en-US" w:bidi="ar-SA"/>
              </w:rPr>
              <w:t>:</w:t>
            </w:r>
          </w:p>
        </w:tc>
        <w:tc>
          <w:tcPr>
            <w:tcW w:w="5130" w:type="dxa"/>
          </w:tcPr>
          <w:p w:rsidR="00CD1A7E" w:rsidRPr="00CD1A7E" w:rsidP="00CD1A7E" w14:paraId="494BCCC4" w14:textId="7C9876B2">
            <w:pPr>
              <w:tabs>
                <w:tab w:val="clear" w:pos="720"/>
              </w:tabs>
              <w:autoSpaceDE w:val="0"/>
              <w:autoSpaceDN w:val="0"/>
              <w:adjustRightInd w:val="0"/>
              <w:spacing w:after="0" w:line="240" w:lineRule="auto"/>
              <w:rPr>
                <w:rStyle w:val="DefaultParagraphFont"/>
                <w:rFonts w:ascii="Century Schoolbook" w:eastAsia="Calibri" w:hAnsi="Century Schoolbook" w:cs="Times New Roman"/>
                <w:color w:val="000000"/>
                <w:sz w:val="24"/>
                <w:szCs w:val="24"/>
                <w:highlight w:val="yellow"/>
                <w:lang w:val="en-US" w:eastAsia="en-US" w:bidi="ar-SA"/>
              </w:rPr>
            </w:pPr>
            <w:r w:rsidRPr="00CD1A7E">
              <w:rPr>
                <w:rFonts w:ascii="Century Schoolbook" w:eastAsia="Calibri" w:hAnsi="Century Schoolbook" w:cs="Times New Roman"/>
                <w:color w:val="000000"/>
                <w:sz w:val="26"/>
                <w:szCs w:val="26"/>
                <w:lang w:val="en-US" w:eastAsia="en-US" w:bidi="ar-SA"/>
              </w:rPr>
              <w:t>BARTKIEWICZ, KRONICK &amp; SHANAHAN, Jennifer T. Buckman</w:t>
            </w:r>
            <w:r>
              <w:rPr>
                <w:rFonts w:ascii="Century Schoolbook" w:eastAsia="Calibri" w:hAnsi="Century Schoolbook" w:cs="Times New Roman"/>
                <w:color w:val="000000"/>
                <w:sz w:val="26"/>
                <w:szCs w:val="26"/>
                <w:lang w:val="en-US" w:eastAsia="en-US" w:bidi="ar-SA"/>
              </w:rPr>
              <w:t xml:space="preserve"> and </w:t>
            </w:r>
            <w:r w:rsidRPr="00CD1A7E">
              <w:rPr>
                <w:rFonts w:ascii="Century Schoolbook" w:eastAsia="Calibri" w:hAnsi="Century Schoolbook" w:cs="Times New Roman"/>
                <w:color w:val="000000"/>
                <w:sz w:val="26"/>
                <w:szCs w:val="26"/>
                <w:lang w:val="en-US" w:eastAsia="en-US" w:bidi="ar-SA"/>
              </w:rPr>
              <w:t>Kristin B. Peer</w:t>
            </w:r>
          </w:p>
        </w:tc>
      </w:tr>
      <w:tr w14:paraId="56E106BF" w14:textId="77777777" w:rsidTr="00252C1A">
        <w:tblPrEx>
          <w:tblW w:w="9535" w:type="dxa"/>
          <w:tblInd w:w="0" w:type="dxa"/>
          <w:tblCellMar>
            <w:top w:w="0" w:type="dxa"/>
            <w:left w:w="108" w:type="dxa"/>
            <w:bottom w:w="0" w:type="dxa"/>
            <w:right w:w="108" w:type="dxa"/>
          </w:tblCellMar>
          <w:tblLook w:val="04A0"/>
        </w:tblPrEx>
        <w:tc>
          <w:tcPr>
            <w:tcW w:w="4405" w:type="dxa"/>
          </w:tcPr>
          <w:p w:rsidR="00CD1A7E" w:rsidRPr="00CD1A7E" w:rsidP="00CD1A7E" w14:paraId="76E896E9" w14:textId="77777777">
            <w:pPr>
              <w:tabs>
                <w:tab w:val="left" w:pos="720"/>
              </w:tabs>
              <w:suppressAutoHyphens/>
              <w:spacing w:after="0" w:line="240" w:lineRule="auto"/>
              <w:rPr>
                <w:rStyle w:val="DefaultParagraphFont"/>
                <w:rFonts w:ascii="Century Schoolbook" w:eastAsia="Calibri" w:hAnsi="Century Schoolbook" w:cs="Times New Roman"/>
                <w:sz w:val="26"/>
                <w:szCs w:val="22"/>
                <w:highlight w:val="yellow"/>
                <w:lang w:val="en-US" w:eastAsia="en-US" w:bidi="ar-SA"/>
              </w:rPr>
            </w:pPr>
            <w:r w:rsidRPr="00CD1A7E">
              <w:rPr>
                <w:rFonts w:ascii="Century Schoolbook" w:eastAsia="Calibri" w:hAnsi="Century Schoolbook" w:cs="Times New Roman"/>
                <w:sz w:val="26"/>
                <w:szCs w:val="22"/>
                <w:lang w:val="en-US" w:eastAsia="en-US" w:bidi="ar-SA"/>
              </w:rPr>
              <w:t xml:space="preserve">Counsel for Defendant and Respondent City of Ukiah: </w:t>
            </w:r>
          </w:p>
        </w:tc>
        <w:tc>
          <w:tcPr>
            <w:tcW w:w="5130" w:type="dxa"/>
          </w:tcPr>
          <w:p w:rsidR="00CD1A7E" w:rsidRPr="00CD1A7E" w:rsidP="00CD1A7E" w14:paraId="53F2670C" w14:textId="4ACE2032">
            <w:pPr>
              <w:tabs>
                <w:tab w:val="clear" w:pos="720"/>
              </w:tabs>
              <w:suppressAutoHyphens/>
              <w:autoSpaceDE w:val="0"/>
              <w:adjustRightInd w:val="0"/>
              <w:spacing w:after="0" w:line="240" w:lineRule="auto"/>
              <w:rPr>
                <w:rStyle w:val="DefaultParagraphFont"/>
                <w:rFonts w:ascii="Century Schoolbook" w:eastAsia="Calibri" w:hAnsi="Century Schoolbook" w:cs="Times New Roman"/>
                <w:sz w:val="26"/>
                <w:szCs w:val="22"/>
                <w:lang w:val="en-US" w:eastAsia="en-US" w:bidi="ar-SA"/>
              </w:rPr>
            </w:pPr>
            <w:r w:rsidRPr="00CD1A7E">
              <w:rPr>
                <w:rFonts w:ascii="Century Schoolbook" w:eastAsia="Calibri" w:hAnsi="Century Schoolbook" w:cs="Times New Roman"/>
                <w:sz w:val="26"/>
                <w:szCs w:val="22"/>
                <w:lang w:val="en-US" w:eastAsia="en-US" w:bidi="ar-SA"/>
              </w:rPr>
              <w:t>David J. Rapport, City Attorney</w:t>
            </w:r>
          </w:p>
          <w:p w:rsidR="00CD1A7E" w:rsidRPr="00CD1A7E" w:rsidP="00CD1A7E" w14:paraId="156821AF" w14:textId="77777777">
            <w:pPr>
              <w:tabs>
                <w:tab w:val="clear" w:pos="720"/>
              </w:tabs>
              <w:suppressAutoHyphens/>
              <w:autoSpaceDE w:val="0"/>
              <w:adjustRightInd w:val="0"/>
              <w:spacing w:after="0" w:line="240" w:lineRule="auto"/>
              <w:rPr>
                <w:rStyle w:val="DefaultParagraphFont"/>
                <w:rFonts w:ascii="Century Schoolbook" w:eastAsia="Calibri" w:hAnsi="Century Schoolbook" w:cs="Times New Roman"/>
                <w:sz w:val="26"/>
                <w:szCs w:val="22"/>
                <w:highlight w:val="yellow"/>
                <w:lang w:val="en-US" w:eastAsia="en-US" w:bidi="ar-SA"/>
              </w:rPr>
            </w:pPr>
          </w:p>
        </w:tc>
      </w:tr>
      <w:tr w14:paraId="334EF384" w14:textId="77777777" w:rsidTr="00252C1A">
        <w:tblPrEx>
          <w:tblW w:w="9535" w:type="dxa"/>
          <w:tblInd w:w="0" w:type="dxa"/>
          <w:tblCellMar>
            <w:top w:w="0" w:type="dxa"/>
            <w:left w:w="108" w:type="dxa"/>
            <w:bottom w:w="0" w:type="dxa"/>
            <w:right w:w="108" w:type="dxa"/>
          </w:tblCellMar>
          <w:tblLook w:val="04A0"/>
        </w:tblPrEx>
        <w:tc>
          <w:tcPr>
            <w:tcW w:w="4405" w:type="dxa"/>
            <w:shd w:val="clear" w:color="auto" w:fill="auto"/>
          </w:tcPr>
          <w:p w:rsidR="00CD1A7E" w:rsidRPr="00CD1A7E" w:rsidP="00CD1A7E" w14:paraId="11CCB4DE" w14:textId="77777777">
            <w:pPr>
              <w:tabs>
                <w:tab w:val="left" w:pos="720"/>
              </w:tabs>
              <w:suppressAutoHyphens/>
              <w:spacing w:after="0" w:line="240" w:lineRule="auto"/>
              <w:rPr>
                <w:rStyle w:val="DefaultParagraphFont"/>
                <w:rFonts w:ascii="Century Schoolbook" w:eastAsia="Calibri" w:hAnsi="Century Schoolbook" w:cs="Times New Roman"/>
                <w:sz w:val="26"/>
                <w:szCs w:val="22"/>
                <w:highlight w:val="yellow"/>
                <w:lang w:val="en-US" w:eastAsia="en-US" w:bidi="ar-SA"/>
              </w:rPr>
            </w:pPr>
            <w:r w:rsidRPr="00CD1A7E">
              <w:rPr>
                <w:rFonts w:ascii="Century Schoolbook" w:eastAsia="Calibri" w:hAnsi="Century Schoolbook" w:cs="Times New Roman"/>
                <w:sz w:val="26"/>
                <w:szCs w:val="22"/>
                <w:lang w:val="en-US" w:eastAsia="en-US" w:bidi="ar-SA"/>
              </w:rPr>
              <w:t xml:space="preserve">Counsel for Defendant and Respondent County of Mendocino: </w:t>
            </w:r>
          </w:p>
        </w:tc>
        <w:tc>
          <w:tcPr>
            <w:tcW w:w="5130" w:type="dxa"/>
          </w:tcPr>
          <w:p w:rsidR="00CD1A7E" w:rsidRPr="00CD1A7E" w:rsidP="00CD1A7E" w14:paraId="75435634" w14:textId="5A5D2C84">
            <w:pPr>
              <w:tabs>
                <w:tab w:val="clear" w:pos="720"/>
              </w:tabs>
              <w:autoSpaceDE w:val="0"/>
              <w:autoSpaceDN w:val="0"/>
              <w:adjustRightInd w:val="0"/>
              <w:spacing w:after="0" w:line="240" w:lineRule="auto"/>
              <w:rPr>
                <w:rStyle w:val="DefaultParagraphFont"/>
                <w:rFonts w:ascii="Century Schoolbook" w:eastAsia="Calibri" w:hAnsi="Century Schoolbook" w:cs="Times New Roman"/>
                <w:color w:val="000000"/>
                <w:sz w:val="26"/>
                <w:szCs w:val="26"/>
                <w:lang w:val="en-US" w:eastAsia="en-US" w:bidi="ar-SA"/>
              </w:rPr>
            </w:pPr>
            <w:r w:rsidRPr="00CD1A7E">
              <w:rPr>
                <w:rFonts w:ascii="Century Schoolbook" w:eastAsia="Calibri" w:hAnsi="Century Schoolbook" w:cs="Times New Roman"/>
                <w:color w:val="000000"/>
                <w:sz w:val="26"/>
                <w:szCs w:val="26"/>
                <w:lang w:val="en-US" w:eastAsia="en-US" w:bidi="ar-SA"/>
              </w:rPr>
              <w:t>Christian M. Curtis, County Counsel,</w:t>
            </w:r>
            <w:r>
              <w:rPr>
                <w:rFonts w:ascii="Century Schoolbook" w:eastAsia="Calibri" w:hAnsi="Century Schoolbook" w:cs="Times New Roman"/>
                <w:color w:val="000000"/>
                <w:sz w:val="26"/>
                <w:szCs w:val="26"/>
                <w:lang w:val="en-US" w:eastAsia="en-US" w:bidi="ar-SA"/>
              </w:rPr>
              <w:t xml:space="preserve"> and</w:t>
            </w:r>
            <w:r w:rsidRPr="00CD1A7E">
              <w:rPr>
                <w:rFonts w:ascii="Century Schoolbook" w:eastAsia="Calibri" w:hAnsi="Century Schoolbook" w:cs="Times New Roman"/>
                <w:color w:val="000000"/>
                <w:sz w:val="26"/>
                <w:szCs w:val="26"/>
                <w:lang w:val="en-US" w:eastAsia="en-US" w:bidi="ar-SA"/>
              </w:rPr>
              <w:t xml:space="preserve"> Brina A. Blanton, Deputy County Counsel</w:t>
            </w:r>
          </w:p>
        </w:tc>
      </w:tr>
      <w:tr w14:paraId="6D0758B6" w14:textId="77777777" w:rsidTr="00252C1A">
        <w:tblPrEx>
          <w:tblW w:w="9535" w:type="dxa"/>
          <w:tblInd w:w="0" w:type="dxa"/>
          <w:tblCellMar>
            <w:top w:w="0" w:type="dxa"/>
            <w:left w:w="108" w:type="dxa"/>
            <w:bottom w:w="0" w:type="dxa"/>
            <w:right w:w="108" w:type="dxa"/>
          </w:tblCellMar>
          <w:tblLook w:val="04A0"/>
        </w:tblPrEx>
        <w:tc>
          <w:tcPr>
            <w:tcW w:w="4405" w:type="dxa"/>
            <w:shd w:val="clear" w:color="auto" w:fill="auto"/>
          </w:tcPr>
          <w:p w:rsidR="00CD1A7E" w:rsidRPr="00CD1A7E" w:rsidP="00CD1A7E" w14:paraId="76E0D4B5" w14:textId="5F5E3D1B">
            <w:pPr>
              <w:tabs>
                <w:tab w:val="left" w:pos="720"/>
              </w:tabs>
              <w:suppressAutoHyphens/>
              <w:spacing w:after="0" w:line="240" w:lineRule="auto"/>
              <w:rPr>
                <w:rStyle w:val="DefaultParagraphFont"/>
                <w:rFonts w:ascii="Century Schoolbook" w:eastAsia="Calibri" w:hAnsi="Century Schoolbook" w:cs="Times New Roman"/>
                <w:sz w:val="26"/>
                <w:szCs w:val="22"/>
                <w:lang w:val="en-US" w:eastAsia="en-US" w:bidi="ar-SA"/>
              </w:rPr>
            </w:pPr>
            <w:r w:rsidRPr="00CD1A7E">
              <w:rPr>
                <w:rFonts w:ascii="Century Schoolbook" w:eastAsia="Calibri" w:hAnsi="Century Schoolbook" w:cs="Times New Roman"/>
                <w:sz w:val="26"/>
                <w:szCs w:val="22"/>
                <w:lang w:val="en-US" w:eastAsia="en-US" w:bidi="ar-SA"/>
              </w:rPr>
              <w:t>Counsel for Real Party in Interest:</w:t>
            </w:r>
          </w:p>
        </w:tc>
        <w:tc>
          <w:tcPr>
            <w:tcW w:w="5130" w:type="dxa"/>
          </w:tcPr>
          <w:p w:rsidR="00CD1A7E" w:rsidRPr="00CD1A7E" w:rsidP="00CD1A7E" w14:paraId="2A4D2814" w14:textId="25359E42">
            <w:pPr>
              <w:tabs>
                <w:tab w:val="clear" w:pos="720"/>
              </w:tabs>
              <w:suppressAutoHyphens/>
              <w:autoSpaceDE w:val="0"/>
              <w:adjustRightInd w:val="0"/>
              <w:spacing w:after="0" w:line="240" w:lineRule="auto"/>
              <w:rPr>
                <w:rStyle w:val="DefaultParagraphFont"/>
                <w:rFonts w:ascii="Century Schoolbook" w:eastAsia="Calibri" w:hAnsi="Century Schoolbook" w:cs="Times New Roman"/>
                <w:sz w:val="26"/>
                <w:szCs w:val="22"/>
                <w:highlight w:val="yellow"/>
                <w:lang w:val="en-US" w:eastAsia="en-US" w:bidi="ar-SA"/>
              </w:rPr>
            </w:pPr>
            <w:r w:rsidRPr="00CD1A7E">
              <w:rPr>
                <w:rFonts w:ascii="Century Schoolbook" w:eastAsia="Calibri" w:hAnsi="Century Schoolbook" w:cs="Times New Roman"/>
                <w:sz w:val="26"/>
                <w:szCs w:val="22"/>
                <w:lang w:val="en-US" w:eastAsia="en-US" w:bidi="ar-SA"/>
              </w:rPr>
              <w:t>CANNATA, O’TOOLE &amp; OLSON, Therese Y. Cannata, Michael Ching, Vincent Lee; LAW OFFICE OF DAVID M. KINDOP</w:t>
            </w:r>
            <w:r>
              <w:rPr>
                <w:rFonts w:ascii="Century Schoolbook" w:eastAsia="Calibri" w:hAnsi="Century Schoolbook" w:cs="Times New Roman"/>
                <w:sz w:val="26"/>
                <w:szCs w:val="22"/>
                <w:lang w:val="en-US" w:eastAsia="en-US" w:bidi="ar-SA"/>
              </w:rPr>
              <w:t>P</w:t>
            </w:r>
            <w:r w:rsidRPr="00CD1A7E">
              <w:rPr>
                <w:rFonts w:ascii="Century Schoolbook" w:eastAsia="Calibri" w:hAnsi="Century Schoolbook" w:cs="Times New Roman"/>
                <w:sz w:val="26"/>
                <w:szCs w:val="22"/>
                <w:lang w:val="en-US" w:eastAsia="en-US" w:bidi="ar-SA"/>
              </w:rPr>
              <w:t xml:space="preserve"> and David M. Kindopp</w:t>
            </w:r>
          </w:p>
        </w:tc>
      </w:tr>
    </w:tbl>
    <w:p w:rsidR="00347560" w:rsidP="00F71A3C" w14:paraId="3A892A82" w14:textId="7EA3EE3B">
      <w:pPr>
        <w:spacing w:line="360" w:lineRule="auto"/>
      </w:pPr>
    </w:p>
    <w:sectPr w:rsidSect="00064AB8">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C1BB9" w:rsidP="00364D24" w14:paraId="31BD5516" w14:textId="7777777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sidR="00916BF6">
      <w:rPr>
        <w:rStyle w:val="PageNumber"/>
      </w:rPr>
      <w:fldChar w:fldCharType="separate"/>
    </w:r>
    <w:r>
      <w:rPr>
        <w:rStyle w:val="PageNumber"/>
      </w:rPr>
      <w:fldChar w:fldCharType="end"/>
    </w:r>
  </w:p>
  <w:p w:rsidR="002C1BB9" w:rsidP="00364D24" w14:paraId="459C35B4" w14:textId="7777777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sidR="00916BF6">
      <w:rPr>
        <w:rStyle w:val="PageNumber"/>
      </w:rPr>
      <w:fldChar w:fldCharType="separate"/>
    </w:r>
    <w:r>
      <w:rPr>
        <w:rStyle w:val="PageNumber"/>
      </w:rPr>
      <w:fldChar w:fldCharType="end"/>
    </w:r>
  </w:p>
  <w:p w:rsidR="002C1BB9" w14:paraId="4E679BD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C1BB9" w:rsidP="002C1BB9" w14:paraId="14C521B8" w14:textId="6D08728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2C1BB9" w14:paraId="03759919"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6BF6" w14:paraId="165A31F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64AB8" w:rsidP="002C1BB9" w14:paraId="28D84C86" w14:textId="77777777">
      <w:pPr>
        <w:spacing w:line="240" w:lineRule="auto"/>
      </w:pPr>
      <w:r>
        <w:separator/>
      </w:r>
    </w:p>
  </w:footnote>
  <w:footnote w:type="continuationSeparator" w:id="1">
    <w:p w:rsidR="00064AB8" w:rsidP="002C1BB9" w14:paraId="4F4F6281" w14:textId="77777777">
      <w:pPr>
        <w:spacing w:line="240" w:lineRule="auto"/>
      </w:pPr>
      <w:r>
        <w:continuationSeparator/>
      </w:r>
    </w:p>
  </w:footnote>
  <w:footnote w:type="continuationNotice" w:id="2">
    <w:p w:rsidR="00064AB8" w14:paraId="3DC19763" w14:textId="77777777">
      <w:pPr>
        <w:spacing w:line="240" w:lineRule="auto"/>
      </w:pPr>
    </w:p>
  </w:footnote>
  <w:footnote w:id="3">
    <w:p w:rsidR="00800E03" w14:paraId="00847340" w14:textId="59737473">
      <w:pPr>
        <w:pStyle w:val="FootnoteText"/>
      </w:pPr>
      <w:r>
        <w:rPr>
          <w:rStyle w:val="FootnoteReference"/>
        </w:rPr>
        <w:t>*</w:t>
      </w:r>
      <w:r>
        <w:t xml:space="preserve"> Pursuant to California Rules of Court, rules 8.1105(b) and 8.1110, this opinion is certified for publication with the exception of part I.</w:t>
      </w:r>
      <w:r w:rsidR="000A564F">
        <w:t>C</w:t>
      </w:r>
      <w:r w:rsidR="001B07AD">
        <w:t xml:space="preserve"> and parts II–</w:t>
      </w:r>
      <w:r w:rsidR="000A564F">
        <w:t>V.</w:t>
      </w:r>
      <w:r>
        <w:t xml:space="preserve"> </w:t>
      </w:r>
    </w:p>
  </w:footnote>
  <w:footnote w:id="4">
    <w:p w:rsidR="009F44C6" w:rsidP="00E4592C" w14:paraId="385692E9" w14:textId="4034D920">
      <w:pPr>
        <w:pStyle w:val="FootnoteText"/>
        <w:ind w:firstLine="720"/>
      </w:pPr>
      <w:r>
        <w:rPr>
          <w:rStyle w:val="FootnoteReference"/>
        </w:rPr>
        <w:footnoteRef/>
      </w:r>
      <w:r>
        <w:t xml:space="preserve"> Government Code section</w:t>
      </w:r>
      <w:r w:rsidR="0019051E">
        <w:t> </w:t>
      </w:r>
      <w:r>
        <w:t>53091, subdivision</w:t>
      </w:r>
      <w:r w:rsidR="0019051E">
        <w:t> </w:t>
      </w:r>
      <w:r>
        <w:t>(a), provides</w:t>
      </w:r>
      <w:r w:rsidR="00802819">
        <w:t>:</w:t>
      </w:r>
      <w:r>
        <w:t xml:space="preserve"> </w:t>
      </w:r>
      <w:r w:rsidR="00635354">
        <w:t xml:space="preserve"> </w:t>
      </w:r>
      <w:r>
        <w:t>“</w:t>
      </w:r>
      <w:r w:rsidR="00043627">
        <w:t>E</w:t>
      </w:r>
      <w:r w:rsidRPr="000E43B2">
        <w:t>ach local agency shall comply with all applicable building ordinances and zoning ordinances of the county or city in which the territory of the local agency is situated.</w:t>
      </w:r>
      <w:r>
        <w:t>”  However, Government Code section</w:t>
      </w:r>
      <w:r w:rsidR="0019051E">
        <w:t> </w:t>
      </w:r>
      <w:r>
        <w:t>53090, subdivision</w:t>
      </w:r>
      <w:r w:rsidR="0019051E">
        <w:t> </w:t>
      </w:r>
      <w:r>
        <w:t>(a), excludes cities, among other public entities, from the definition of “local agency.”</w:t>
      </w:r>
    </w:p>
  </w:footnote>
  <w:footnote w:id="5">
    <w:p w:rsidR="00B7426E" w:rsidP="00B7426E" w14:paraId="5FA4569F" w14:textId="51A36A90">
      <w:pPr>
        <w:pStyle w:val="FootnoteText"/>
        <w:ind w:firstLine="720"/>
      </w:pPr>
      <w:r>
        <w:rPr>
          <w:rStyle w:val="FootnoteReference"/>
        </w:rPr>
        <w:footnoteRef/>
      </w:r>
      <w:r>
        <w:t xml:space="preserve"> There is no written order sustaining the Club’s demurrer.  Both Vichy and the Club rely on the trial court’s oral ruling at the hearing, where it stated that it would “grant the demurrer to the second-amended petition filed by the pistol club as to causes of action</w:t>
      </w:r>
      <w:r w:rsidR="001D39E7">
        <w:t>s</w:t>
      </w:r>
      <w:r>
        <w:t xml:space="preserve"> 1, 2, and 3.” </w:t>
      </w:r>
    </w:p>
  </w:footnote>
  <w:footnote w:id="6">
    <w:p w:rsidR="009B3141" w:rsidP="00E4592C" w14:paraId="2653700D" w14:textId="2707A45C">
      <w:pPr>
        <w:pStyle w:val="FootnoteText"/>
        <w:ind w:firstLine="720"/>
      </w:pPr>
      <w:r>
        <w:rPr>
          <w:rStyle w:val="FootnoteReference"/>
        </w:rPr>
        <w:footnoteRef/>
      </w:r>
      <w:r>
        <w:t xml:space="preserve"> </w:t>
      </w:r>
      <w:r w:rsidR="00D10A60">
        <w:t xml:space="preserve">The County’s request for judicial notice is denied.  </w:t>
      </w:r>
      <w:r w:rsidR="00D1772A">
        <w:t>T</w:t>
      </w:r>
      <w:r w:rsidR="00D10A60">
        <w:t>he documents</w:t>
      </w:r>
      <w:r w:rsidR="00D1772A">
        <w:t xml:space="preserve"> included in the request are all already included in the record on appeal. </w:t>
      </w:r>
      <w:r w:rsidR="00D10A60">
        <w:t xml:space="preserve"> </w:t>
      </w:r>
    </w:p>
  </w:footnote>
  <w:footnote w:id="7">
    <w:p w:rsidR="00B0524F" w:rsidP="00E4592C" w14:paraId="7729A06D" w14:textId="723EB2FD">
      <w:pPr>
        <w:pStyle w:val="FootnoteText"/>
        <w:ind w:firstLine="720"/>
      </w:pPr>
      <w:r>
        <w:rPr>
          <w:rStyle w:val="FootnoteReference"/>
        </w:rPr>
        <w:footnoteRef/>
      </w:r>
      <w:r>
        <w:t xml:space="preserve"> </w:t>
      </w:r>
      <w:r w:rsidRPr="00B16A57">
        <w:t xml:space="preserve">We use the term “CEQA Guidelines” to refer to the regulations for the implementation of CEQA authorized by the Legislature </w:t>
      </w:r>
      <w:r>
        <w:t>under section</w:t>
      </w:r>
      <w:r w:rsidR="00501554">
        <w:t> </w:t>
      </w:r>
      <w:r w:rsidRPr="00B16A57">
        <w:t>21083 and codified in title</w:t>
      </w:r>
      <w:r w:rsidR="00501554">
        <w:t> </w:t>
      </w:r>
      <w:r w:rsidRPr="00B16A57">
        <w:t>14, section</w:t>
      </w:r>
      <w:r w:rsidR="00501554">
        <w:t> </w:t>
      </w:r>
      <w:r w:rsidRPr="00B16A57">
        <w:t>15000 et seq. of the California Code of Regulations.</w:t>
      </w:r>
    </w:p>
  </w:footnote>
  <w:footnote w:id="8">
    <w:p w:rsidR="00B0524F" w:rsidP="00E4592C" w14:paraId="12FC6039" w14:textId="31345817">
      <w:pPr>
        <w:pStyle w:val="FootnoteText"/>
        <w:ind w:firstLine="720"/>
      </w:pPr>
      <w:r>
        <w:rPr>
          <w:rStyle w:val="FootnoteReference"/>
        </w:rPr>
        <w:footnoteRef/>
      </w:r>
      <w:r>
        <w:t xml:space="preserve"> </w:t>
      </w:r>
      <w:r w:rsidR="00D31D61">
        <w:t>Under s</w:t>
      </w:r>
      <w:r>
        <w:t>ection</w:t>
      </w:r>
      <w:r w:rsidR="00F70CEE">
        <w:t> </w:t>
      </w:r>
      <w:r>
        <w:t>21065, subdivision</w:t>
      </w:r>
      <w:r w:rsidR="00F70CEE">
        <w:t> </w:t>
      </w:r>
      <w:r>
        <w:t>(a)</w:t>
      </w:r>
      <w:r w:rsidR="00D31D61">
        <w:t xml:space="preserve">, </w:t>
      </w:r>
      <w:r>
        <w:t xml:space="preserve">a project </w:t>
      </w:r>
      <w:r w:rsidR="00D31D61">
        <w:t>also includes</w:t>
      </w:r>
      <w:r>
        <w:t xml:space="preserve"> an activity directly undertaken by any public agency.  No party has suggested that the Project meets this definition simply because the City owns the land on which </w:t>
      </w:r>
      <w:r w:rsidR="00A638C1">
        <w:t>construction will occur</w:t>
      </w:r>
      <w:r>
        <w:t>.</w:t>
      </w:r>
    </w:p>
  </w:footnote>
  <w:footnote w:id="9">
    <w:p w:rsidR="007B0F34" w:rsidP="00283D8B" w14:paraId="23C25E03" w14:textId="14AADB62">
      <w:pPr>
        <w:pStyle w:val="FootnoteText"/>
        <w:ind w:firstLine="720"/>
      </w:pPr>
      <w:r>
        <w:rPr>
          <w:rStyle w:val="FootnoteReference"/>
        </w:rPr>
        <w:footnoteRef/>
      </w:r>
      <w:r>
        <w:t xml:space="preserve"> We </w:t>
      </w:r>
      <w:r w:rsidR="00890A18">
        <w:t>observe</w:t>
      </w:r>
      <w:r>
        <w:t>, however, that</w:t>
      </w:r>
      <w:r w:rsidR="00AE1543">
        <w:t xml:space="preserve"> despite scattered </w:t>
      </w:r>
      <w:r w:rsidR="00936B53">
        <w:t>uses of the word “justiciable,”</w:t>
      </w:r>
      <w:r>
        <w:t xml:space="preserve"> Vichy</w:t>
      </w:r>
      <w:r w:rsidR="00BF5E73">
        <w:t>’s opening brief</w:t>
      </w:r>
      <w:r>
        <w:t xml:space="preserve"> did not </w:t>
      </w:r>
      <w:r w:rsidR="00563E6F">
        <w:t>clearly</w:t>
      </w:r>
      <w:r w:rsidR="00060935">
        <w:t xml:space="preserve"> </w:t>
      </w:r>
      <w:r w:rsidR="00050C62">
        <w:t xml:space="preserve">address </w:t>
      </w:r>
      <w:r w:rsidR="00060935">
        <w:t xml:space="preserve">whether </w:t>
      </w:r>
      <w:r w:rsidR="00861BA7">
        <w:t>the first three causes of action</w:t>
      </w:r>
      <w:r w:rsidR="000C4F40">
        <w:t xml:space="preserve"> </w:t>
      </w:r>
      <w:r w:rsidR="00060935">
        <w:t xml:space="preserve">were </w:t>
      </w:r>
      <w:r w:rsidR="00B840C1">
        <w:t>mooted</w:t>
      </w:r>
      <w:r w:rsidR="00060935">
        <w:t xml:space="preserve"> by the </w:t>
      </w:r>
      <w:r w:rsidR="00FA7FDA">
        <w:t xml:space="preserve">Project’s </w:t>
      </w:r>
      <w:r w:rsidR="00060935">
        <w:t>completion</w:t>
      </w:r>
      <w:r w:rsidR="000C4F40">
        <w:t xml:space="preserve">.  </w:t>
      </w:r>
      <w:r w:rsidR="00406E03">
        <w:t>Moreover, i</w:t>
      </w:r>
      <w:r w:rsidR="001164EF">
        <w:t xml:space="preserve">n its reply brief, it </w:t>
      </w:r>
      <w:r w:rsidR="00FC4C8F">
        <w:t xml:space="preserve">wrote, “Notably, the </w:t>
      </w:r>
      <w:r w:rsidR="007159B0">
        <w:t xml:space="preserve">superior court’s Orders </w:t>
      </w:r>
      <w:r w:rsidR="00930926">
        <w:t xml:space="preserve">did not find the first three causes of action were moot,” pointing to the court’s order sustaining the </w:t>
      </w:r>
      <w:r w:rsidRPr="00F07705" w:rsidR="00930926">
        <w:rPr>
          <w:i/>
          <w:iCs/>
        </w:rPr>
        <w:t>County</w:t>
      </w:r>
      <w:r w:rsidRPr="00691E46" w:rsidR="00930926">
        <w:t>’s</w:t>
      </w:r>
      <w:r w:rsidR="00930926">
        <w:t xml:space="preserve"> demurrer, </w:t>
      </w:r>
      <w:r w:rsidR="00CE1821">
        <w:t xml:space="preserve">which </w:t>
      </w:r>
      <w:r w:rsidR="008D4782">
        <w:t>did</w:t>
      </w:r>
      <w:r w:rsidR="000B3E52">
        <w:t xml:space="preserve"> </w:t>
      </w:r>
      <w:r w:rsidR="00776AA5">
        <w:t>not raise a mootness argument</w:t>
      </w:r>
      <w:r w:rsidR="00CE1821">
        <w:t xml:space="preserve">. </w:t>
      </w:r>
      <w:r w:rsidR="00F07705">
        <w:t xml:space="preserve"> </w:t>
      </w:r>
      <w:r w:rsidR="00393356">
        <w:t xml:space="preserve">We find </w:t>
      </w:r>
      <w:r w:rsidR="00CF30B2">
        <w:t>this</w:t>
      </w:r>
      <w:r w:rsidR="00393356">
        <w:t xml:space="preserve"> statement disingenuous.  </w:t>
      </w:r>
      <w:r w:rsidR="00F07705">
        <w:t xml:space="preserve">As </w:t>
      </w:r>
      <w:r w:rsidR="00890A18">
        <w:t>note</w:t>
      </w:r>
      <w:r w:rsidR="006E2D9F">
        <w:t>d</w:t>
      </w:r>
      <w:r w:rsidR="00D91925">
        <w:t xml:space="preserve"> </w:t>
      </w:r>
      <w:r w:rsidR="004D700F">
        <w:t>earlier</w:t>
      </w:r>
      <w:r w:rsidR="00F07705">
        <w:t>,</w:t>
      </w:r>
      <w:r w:rsidR="00466979">
        <w:t xml:space="preserve"> </w:t>
      </w:r>
      <w:r w:rsidR="00F07705">
        <w:t xml:space="preserve">there was </w:t>
      </w:r>
      <w:r w:rsidR="00542AC9">
        <w:t>no written order sustaining the Club’s demurrer</w:t>
      </w:r>
      <w:r w:rsidR="003130DC">
        <w:t xml:space="preserve">, which </w:t>
      </w:r>
      <w:r w:rsidR="0017720C">
        <w:t>challenged the first three causes of action</w:t>
      </w:r>
      <w:r w:rsidR="0015727A">
        <w:t xml:space="preserve"> based on mootness</w:t>
      </w:r>
      <w:r w:rsidR="006E2D9F">
        <w:t>; t</w:t>
      </w:r>
      <w:r w:rsidR="00542AC9">
        <w:t xml:space="preserve">he parties </w:t>
      </w:r>
      <w:r w:rsidR="00837919">
        <w:t>rely instead</w:t>
      </w:r>
      <w:r w:rsidR="00542AC9">
        <w:t xml:space="preserve"> on the court’s oral ruling</w:t>
      </w:r>
      <w:r w:rsidR="006E2D9F">
        <w:t xml:space="preserve">.  </w:t>
      </w:r>
      <w:r w:rsidR="009E083E">
        <w:t>In that ruling</w:t>
      </w:r>
      <w:r w:rsidR="006E2D9F">
        <w:t xml:space="preserve">, the court </w:t>
      </w:r>
      <w:r w:rsidR="007D2911">
        <w:t>expressly found</w:t>
      </w:r>
      <w:r w:rsidR="008E7ED0">
        <w:t xml:space="preserve"> </w:t>
      </w:r>
      <w:r w:rsidR="006B0354">
        <w:t xml:space="preserve">that there is “no longer a justiciable issue” because “the event around which this lawsuit is constructed” </w:t>
      </w:r>
      <w:r w:rsidR="000F2370">
        <w:t>ha</w:t>
      </w:r>
      <w:r w:rsidR="007D2911">
        <w:t>s</w:t>
      </w:r>
      <w:r w:rsidR="000F2370">
        <w:t xml:space="preserve"> been “</w:t>
      </w:r>
      <w:r w:rsidR="00E000DA">
        <w:t>over for approximately three years.</w:t>
      </w:r>
      <w:r w:rsidR="000F2370">
        <w:t>”</w:t>
      </w:r>
      <w:r w:rsidR="00B7466C">
        <w:t xml:space="preserve"> </w:t>
      </w:r>
      <w:r w:rsidR="00FF0E06">
        <w:t xml:space="preserve"> </w:t>
      </w:r>
      <w:r w:rsidR="001A358F">
        <w:t>Because Vichy is required</w:t>
      </w:r>
      <w:r w:rsidR="0037180B">
        <w:t xml:space="preserve"> to overcome all grounds for the trial court’s </w:t>
      </w:r>
      <w:r w:rsidR="00F1149F">
        <w:t>decision</w:t>
      </w:r>
      <w:r w:rsidR="006A2FDE">
        <w:t xml:space="preserve">, its failure to address </w:t>
      </w:r>
      <w:r w:rsidR="00B703EB">
        <w:t>mootness</w:t>
      </w:r>
      <w:r w:rsidR="006A2FDE">
        <w:t xml:space="preserve"> </w:t>
      </w:r>
      <w:r w:rsidR="000B6AF3">
        <w:t xml:space="preserve">in a substantive way </w:t>
      </w:r>
      <w:r w:rsidR="006A2FDE">
        <w:t xml:space="preserve">in </w:t>
      </w:r>
      <w:r w:rsidR="00656609">
        <w:t>the</w:t>
      </w:r>
      <w:r w:rsidR="006A2FDE">
        <w:t xml:space="preserve"> opening brief </w:t>
      </w:r>
      <w:r w:rsidR="00D515E4">
        <w:t xml:space="preserve">arguably </w:t>
      </w:r>
      <w:r w:rsidR="006A2FDE">
        <w:t xml:space="preserve">forfeits </w:t>
      </w:r>
      <w:r w:rsidR="001A358F">
        <w:t>the</w:t>
      </w:r>
      <w:r w:rsidR="0040785F">
        <w:t xml:space="preserve"> claim of error. </w:t>
      </w:r>
      <w:r w:rsidR="00CE6BF7">
        <w:t xml:space="preserve"> </w:t>
      </w:r>
      <w:r w:rsidR="004A41A1">
        <w:t>(</w:t>
      </w:r>
      <w:r w:rsidR="00F92629">
        <w:t xml:space="preserve">See, e.g., </w:t>
      </w:r>
      <w:r w:rsidRPr="004A41A1" w:rsidR="004A41A1">
        <w:rPr>
          <w:i/>
          <w:iCs/>
        </w:rPr>
        <w:t>Sonoma Luxury Resort LLC v. California Regional Water Quality Control Board, North Coast Region</w:t>
      </w:r>
      <w:r w:rsidR="004A41A1">
        <w:t xml:space="preserve"> (2023) 96</w:t>
      </w:r>
      <w:r w:rsidR="00FB32B4">
        <w:t> </w:t>
      </w:r>
      <w:r w:rsidR="004A41A1">
        <w:t>Cal.App.5th 935, 941</w:t>
      </w:r>
      <w:r w:rsidR="00283D8B">
        <w:t>;</w:t>
      </w:r>
      <w:r w:rsidR="00B866F8">
        <w:t xml:space="preserve"> </w:t>
      </w:r>
      <w:r w:rsidRPr="00B866F8" w:rsidR="00B866F8">
        <w:rPr>
          <w:i/>
          <w:iCs/>
        </w:rPr>
        <w:t>LNSU #1, LLC v. Alta Del Mar Coastal Collection Community Association</w:t>
      </w:r>
      <w:r w:rsidRPr="004C1FF2" w:rsidR="00B866F8">
        <w:t xml:space="preserve"> (2023) 94 Cal.App.5th 1050, 1070–1071</w:t>
      </w:r>
      <w:r w:rsidR="00D02220">
        <w:t>;</w:t>
      </w:r>
      <w:r w:rsidR="00283D8B">
        <w:t xml:space="preserve"> </w:t>
      </w:r>
      <w:r w:rsidRPr="00A12E64" w:rsidR="00283D8B">
        <w:rPr>
          <w:i/>
          <w:iCs/>
        </w:rPr>
        <w:t>Ivanoff v. Bank of America, N.A.</w:t>
      </w:r>
      <w:r w:rsidR="00283D8B">
        <w:t xml:space="preserve"> (2017) 9</w:t>
      </w:r>
      <w:r w:rsidR="00FB32B4">
        <w:t> </w:t>
      </w:r>
      <w:r w:rsidR="00283D8B">
        <w:t>Cal.App.5th 719, 729</w:t>
      </w:r>
      <w:r w:rsidR="00A12E64">
        <w:t>, fn.</w:t>
      </w:r>
      <w:r w:rsidR="00FB32B4">
        <w:t> </w:t>
      </w:r>
      <w:r w:rsidR="00A12E64">
        <w:t>1</w:t>
      </w:r>
      <w:r w:rsidR="00F92629">
        <w:t>.</w:t>
      </w:r>
      <w:r w:rsidR="004A41A1">
        <w:t>)</w:t>
      </w:r>
      <w:r w:rsidR="00864EDE">
        <w:t xml:space="preserve">  </w:t>
      </w:r>
      <w:r w:rsidR="001F189E">
        <w:t>G</w:t>
      </w:r>
      <w:r w:rsidR="00510F51">
        <w:t>iven the fragmented state of the record and the Club’s</w:t>
      </w:r>
      <w:r w:rsidR="00864EDE">
        <w:t xml:space="preserve"> </w:t>
      </w:r>
      <w:r w:rsidR="00CF7FE0">
        <w:t>and the City’s</w:t>
      </w:r>
      <w:r w:rsidR="00864EDE">
        <w:t xml:space="preserve"> </w:t>
      </w:r>
      <w:r w:rsidR="001A5E0A">
        <w:t>failure</w:t>
      </w:r>
      <w:r w:rsidR="000328E2">
        <w:t xml:space="preserve"> to</w:t>
      </w:r>
      <w:r w:rsidR="00864EDE">
        <w:t xml:space="preserve"> argue forfeiture</w:t>
      </w:r>
      <w:r w:rsidR="0001049B">
        <w:t xml:space="preserve">, </w:t>
      </w:r>
      <w:r w:rsidR="001D0458">
        <w:t xml:space="preserve">however, </w:t>
      </w:r>
      <w:r w:rsidR="0001049B">
        <w:t>we exercise our discretion to consider the issue.</w:t>
      </w:r>
    </w:p>
  </w:footnote>
  <w:footnote w:id="10">
    <w:p w:rsidR="00074C11" w:rsidP="00074C11" w14:paraId="0BE0B3CB" w14:textId="7CF4DF5D">
      <w:pPr>
        <w:pStyle w:val="FootnoteText"/>
        <w:ind w:firstLine="720"/>
      </w:pPr>
      <w:r>
        <w:rPr>
          <w:rStyle w:val="FootnoteReference"/>
        </w:rPr>
        <w:footnoteRef/>
      </w:r>
      <w:r>
        <w:t xml:space="preserve"> </w:t>
      </w:r>
      <w:r w:rsidR="00BF478D">
        <w:t>Because</w:t>
      </w:r>
      <w:r w:rsidR="001F2F86">
        <w:t xml:space="preserve"> the County</w:t>
      </w:r>
      <w:r w:rsidR="00E45BC7">
        <w:t xml:space="preserve"> </w:t>
      </w:r>
      <w:r w:rsidR="00BF478D">
        <w:t>contends</w:t>
      </w:r>
      <w:r w:rsidR="00E45BC7">
        <w:t xml:space="preserve"> </w:t>
      </w:r>
      <w:r w:rsidR="00C95283">
        <w:t>that it was waiting for the Attorney General’s opinion</w:t>
      </w:r>
      <w:r w:rsidR="00FB15F3">
        <w:t xml:space="preserve"> before formulating a position</w:t>
      </w:r>
      <w:r w:rsidR="00595280">
        <w:t xml:space="preserve">, </w:t>
      </w:r>
      <w:r w:rsidR="008D6100">
        <w:t xml:space="preserve">it does not </w:t>
      </w:r>
      <w:r w:rsidR="00DE2B9B">
        <w:t>offer any argument</w:t>
      </w:r>
      <w:r w:rsidR="009555A6">
        <w:t xml:space="preserve"> </w:t>
      </w:r>
      <w:r w:rsidR="009E3820">
        <w:t xml:space="preserve">about </w:t>
      </w:r>
      <w:r w:rsidR="009555A6">
        <w:t xml:space="preserve">whether in fact it possessed regulatory authority </w:t>
      </w:r>
      <w:r w:rsidR="007430BF">
        <w:t xml:space="preserve">over the Project </w:t>
      </w:r>
      <w:r w:rsidR="009555A6">
        <w:t>before entering into the Joint Powers Agreement</w:t>
      </w:r>
      <w:r w:rsidR="00563C55">
        <w:t xml:space="preserve">.  </w:t>
      </w:r>
      <w:r w:rsidR="001A240E">
        <w:t xml:space="preserve">We assume for the purposes of our analysis that </w:t>
      </w:r>
      <w:r w:rsidR="0004155E">
        <w:t xml:space="preserve">it </w:t>
      </w:r>
      <w:r w:rsidR="001A6883">
        <w:t>did</w:t>
      </w:r>
      <w:r w:rsidR="00FE75E6">
        <w:t>,</w:t>
      </w:r>
      <w:r w:rsidR="00FD75BA">
        <w:t xml:space="preserve"> </w:t>
      </w:r>
      <w:r w:rsidR="00FE75E6">
        <w:t>but only because</w:t>
      </w:r>
      <w:r w:rsidR="00106D88">
        <w:t xml:space="preserve"> that is what</w:t>
      </w:r>
      <w:r w:rsidR="00E76A06">
        <w:t xml:space="preserve"> </w:t>
      </w:r>
      <w:r w:rsidR="008509BD">
        <w:t xml:space="preserve">the Petition alleges and </w:t>
      </w:r>
      <w:r w:rsidR="00E76A06">
        <w:t xml:space="preserve">no one has </w:t>
      </w:r>
      <w:r w:rsidR="00D34844">
        <w:t>argued otherwise</w:t>
      </w:r>
      <w:r w:rsidR="00E76A06">
        <w:t xml:space="preserve">.  </w:t>
      </w:r>
      <w:r w:rsidR="00A45188">
        <w:t>No</w:t>
      </w:r>
      <w:r w:rsidR="00EF73D3">
        <w:t xml:space="preserve">thing in this opinion should be construed as </w:t>
      </w:r>
      <w:r w:rsidR="00E76A06">
        <w:t>adjudicating</w:t>
      </w:r>
      <w:r w:rsidR="00EF73D3">
        <w:t xml:space="preserve"> that question</w:t>
      </w:r>
      <w:r w:rsidR="006A3B05">
        <w:t>—or whether, as alleged in the Petition, the Club’s use of the property was primarily for a private purpose</w:t>
      </w:r>
      <w:r w:rsidR="00EF73D3">
        <w:t>.</w:t>
      </w:r>
    </w:p>
  </w:footnote>
  <w:footnote w:id="11">
    <w:p w:rsidR="00FF2A58" w:rsidP="00FF2A58" w14:paraId="52373DA8" w14:textId="13ACB0C3">
      <w:pPr>
        <w:pStyle w:val="FootnoteText"/>
        <w:ind w:firstLine="720"/>
      </w:pPr>
      <w:r>
        <w:rPr>
          <w:rStyle w:val="FootnoteReference"/>
        </w:rPr>
        <w:footnoteRef/>
      </w:r>
      <w:r>
        <w:t xml:space="preserve"> To the extent the trial court relied on the same grounds in granting the Club’s motion to strike the allegations regarding the City’s authority under the lease from </w:t>
      </w:r>
      <w:r w:rsidRPr="008E526E">
        <w:t xml:space="preserve">the first amended petition, </w:t>
      </w:r>
      <w:r w:rsidR="003A4BEF">
        <w:t>it</w:t>
      </w:r>
      <w:r w:rsidRPr="008E526E">
        <w:t xml:space="preserve"> similarly abused its discretion in doing so. </w:t>
      </w:r>
      <w:r>
        <w:t xml:space="preserve"> </w:t>
      </w:r>
      <w:r w:rsidRPr="008E526E">
        <w:t>(See Code Civ. Proc., § 472c, subd. (b)</w:t>
      </w:r>
      <w:r w:rsidR="004463AC">
        <w:t xml:space="preserve"> &amp;</w:t>
      </w:r>
      <w:r w:rsidR="000A50DB">
        <w:t xml:space="preserve"> (b)</w:t>
      </w:r>
      <w:r w:rsidRPr="008E526E">
        <w:t>(3) [“An order granting a motion to strike a portion of a pleading where the order granting the motion to strike did not strike the entire pleading</w:t>
      </w:r>
      <w:r>
        <w:t>” is “</w:t>
      </w:r>
      <w:r w:rsidRPr="006F66B9">
        <w:t>open on appeal where an amended pleading is filed after the court</w:t>
      </w:r>
      <w:r>
        <w:t>’</w:t>
      </w:r>
      <w:r w:rsidRPr="006F66B9">
        <w:t>s order</w:t>
      </w:r>
      <w:r>
        <w:t>”].)</w:t>
      </w:r>
    </w:p>
  </w:footnote>
  <w:footnote w:id="12">
    <w:p w:rsidR="0010620E" w:rsidP="00370077" w14:paraId="3B896F20" w14:textId="17601388">
      <w:pPr>
        <w:pStyle w:val="FootnoteText"/>
        <w:spacing w:before="120"/>
        <w:ind w:firstLine="720"/>
      </w:pPr>
      <w:r>
        <w:rPr>
          <w:rStyle w:val="FootnoteReference"/>
        </w:rPr>
        <w:footnoteRef/>
      </w:r>
      <w:r>
        <w:t xml:space="preserve"> </w:t>
      </w:r>
      <w:r w:rsidR="001945D3">
        <w:t>Section</w:t>
      </w:r>
      <w:r w:rsidR="00BD2E6E">
        <w:t> </w:t>
      </w:r>
      <w:r w:rsidR="001945D3">
        <w:t xml:space="preserve">15301 of the CEQA Guidelines </w:t>
      </w:r>
      <w:r w:rsidR="00F61133">
        <w:t xml:space="preserve">exempts, among other things, the </w:t>
      </w:r>
      <w:r w:rsidR="00F900C3">
        <w:t>repair</w:t>
      </w:r>
      <w:r w:rsidR="005E3B26">
        <w:t>,</w:t>
      </w:r>
      <w:r w:rsidR="00F900C3">
        <w:t xml:space="preserve"> maintenance</w:t>
      </w:r>
      <w:r w:rsidR="005E3B26">
        <w:t>, or minor alteration</w:t>
      </w:r>
      <w:r w:rsidR="00F900C3">
        <w:t xml:space="preserve"> of existing structures “involving negligible or no expansion of existing or former use,” </w:t>
      </w:r>
      <w:r w:rsidR="009F55AC">
        <w:t>and</w:t>
      </w:r>
      <w:r w:rsidR="002E573A">
        <w:t xml:space="preserve"> section</w:t>
      </w:r>
      <w:r w:rsidR="00BD2E6E">
        <w:t> </w:t>
      </w:r>
      <w:r w:rsidR="002E573A">
        <w:t xml:space="preserve">15302 </w:t>
      </w:r>
      <w:r w:rsidR="00E41029">
        <w:t>exempts “replacement or reconstruction of existing structures and facilities where the new structure will be located on the same site as the structure replaced and will have substantially the same purpose and capacity as the structure replaced.”</w:t>
      </w:r>
      <w:r w:rsidR="000C1232">
        <w:t xml:space="preserve"> </w:t>
      </w:r>
    </w:p>
  </w:footnote>
  <w:footnote w:id="13">
    <w:p w:rsidR="009767A5" w:rsidP="001046C5" w14:paraId="1E92ADEB" w14:textId="4409BE3C">
      <w:pPr>
        <w:pStyle w:val="FootnoteText"/>
        <w:ind w:firstLine="720"/>
      </w:pPr>
      <w:r>
        <w:rPr>
          <w:rStyle w:val="FootnoteReference"/>
        </w:rPr>
        <w:footnoteRef/>
      </w:r>
      <w:r>
        <w:t xml:space="preserve"> Mendocino County Code section</w:t>
      </w:r>
      <w:r w:rsidR="00C71438">
        <w:t> </w:t>
      </w:r>
      <w:r>
        <w:t>20.204.015(B) provides</w:t>
      </w:r>
      <w:r w:rsidR="00BC0B69">
        <w:t xml:space="preserve"> that</w:t>
      </w:r>
      <w:r>
        <w:t xml:space="preserve"> “whenever a structure, the use of which does not conform with the regulations for the zone in which it is located, or a structure which does not comply with the standards of yard spaces, height of structures, distance between structures, parking, etc., prescribed in the regulations for the zone in which it is located shall be voluntarily razed, the structure shall not be restored except in full conformity with the regulations of the zone in which it is located, and the nonconforming use shall not be resumed.”</w:t>
      </w:r>
      <w:r w:rsidR="002F2171">
        <w:t xml:space="preserve">  </w:t>
      </w:r>
      <w:r w:rsidR="00732CA0">
        <w:t>None of the respondents</w:t>
      </w:r>
      <w:r w:rsidR="002F2171">
        <w:t xml:space="preserve"> address this ordinance in </w:t>
      </w:r>
      <w:r w:rsidR="00732CA0">
        <w:t>their</w:t>
      </w:r>
      <w:r w:rsidR="002F2171">
        <w:t xml:space="preserve"> briefing.</w:t>
      </w:r>
    </w:p>
  </w:footnote>
  <w:footnote w:id="14">
    <w:p w:rsidR="00250C3F" w:rsidRPr="00DB6DF5" w:rsidP="00250C3F" w14:paraId="047E2AE0" w14:textId="77777777">
      <w:pPr>
        <w:pStyle w:val="FootnoteText"/>
        <w:spacing w:before="2" w:after="2"/>
        <w:rPr>
          <w:szCs w:val="26"/>
        </w:rPr>
      </w:pPr>
      <w:r w:rsidRPr="00DB6DF5">
        <w:rPr>
          <w:rStyle w:val="FootnoteReference"/>
          <w:szCs w:val="26"/>
        </w:rPr>
        <w:t>*</w:t>
      </w:r>
      <w:r w:rsidRPr="00DB6DF5">
        <w:rPr>
          <w:szCs w:val="26"/>
        </w:rPr>
        <w:t xml:space="preserve"> Judge of the Superior Court of California, Alameda County, assigned by the Chief Justice pursuant to article VI, section 6 of the California Constitution.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6BF6" w14:paraId="3662776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6BF6" w14:paraId="3970CB48"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6BF6" w14:paraId="4A44187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A3D71D2"/>
    <w:multiLevelType w:val="hybridMultilevel"/>
    <w:tmpl w:val="2D069614"/>
    <w:lvl w:ilvl="0">
      <w:start w:val="1"/>
      <w:numFmt w:val="decimal"/>
      <w:lvlText w:val="%1."/>
      <w:lvlJc w:val="left"/>
      <w:pPr>
        <w:ind w:left="1530" w:hanging="360"/>
      </w:pPr>
      <w:rPr>
        <w:rFonts w:hint="default"/>
      </w:rPr>
    </w:lvl>
    <w:lvl w:ilvl="1" w:tentative="1">
      <w:start w:val="1"/>
      <w:numFmt w:val="lowerLetter"/>
      <w:lvlText w:val="%2."/>
      <w:lvlJc w:val="left"/>
      <w:pPr>
        <w:ind w:left="2250" w:hanging="360"/>
      </w:pPr>
    </w:lvl>
    <w:lvl w:ilvl="2" w:tentative="1">
      <w:start w:val="1"/>
      <w:numFmt w:val="lowerRoman"/>
      <w:lvlText w:val="%3."/>
      <w:lvlJc w:val="right"/>
      <w:pPr>
        <w:ind w:left="2970" w:hanging="180"/>
      </w:pPr>
    </w:lvl>
    <w:lvl w:ilvl="3" w:tentative="1">
      <w:start w:val="1"/>
      <w:numFmt w:val="decimal"/>
      <w:lvlText w:val="%4."/>
      <w:lvlJc w:val="left"/>
      <w:pPr>
        <w:ind w:left="3690" w:hanging="360"/>
      </w:pPr>
    </w:lvl>
    <w:lvl w:ilvl="4" w:tentative="1">
      <w:start w:val="1"/>
      <w:numFmt w:val="lowerLetter"/>
      <w:lvlText w:val="%5."/>
      <w:lvlJc w:val="left"/>
      <w:pPr>
        <w:ind w:left="4410" w:hanging="360"/>
      </w:pPr>
    </w:lvl>
    <w:lvl w:ilvl="5" w:tentative="1">
      <w:start w:val="1"/>
      <w:numFmt w:val="lowerRoman"/>
      <w:lvlText w:val="%6."/>
      <w:lvlJc w:val="right"/>
      <w:pPr>
        <w:ind w:left="5130" w:hanging="180"/>
      </w:pPr>
    </w:lvl>
    <w:lvl w:ilvl="6" w:tentative="1">
      <w:start w:val="1"/>
      <w:numFmt w:val="decimal"/>
      <w:lvlText w:val="%7."/>
      <w:lvlJc w:val="left"/>
      <w:pPr>
        <w:ind w:left="5850" w:hanging="360"/>
      </w:pPr>
    </w:lvl>
    <w:lvl w:ilvl="7" w:tentative="1">
      <w:start w:val="1"/>
      <w:numFmt w:val="lowerLetter"/>
      <w:lvlText w:val="%8."/>
      <w:lvlJc w:val="left"/>
      <w:pPr>
        <w:ind w:left="6570" w:hanging="360"/>
      </w:pPr>
    </w:lvl>
    <w:lvl w:ilvl="8" w:tentative="1">
      <w:start w:val="1"/>
      <w:numFmt w:val="lowerRoman"/>
      <w:lvlText w:val="%9."/>
      <w:lvlJc w:val="right"/>
      <w:pPr>
        <w:ind w:left="7290" w:hanging="180"/>
      </w:pPr>
    </w:lvl>
  </w:abstractNum>
  <w:abstractNum w:abstractNumId="1">
    <w:nsid w:val="0C0264CE"/>
    <w:multiLevelType w:val="hybridMultilevel"/>
    <w:tmpl w:val="FFEEFE9E"/>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0CA11F73"/>
    <w:multiLevelType w:val="hybridMultilevel"/>
    <w:tmpl w:val="07B27AE0"/>
    <w:lvl w:ilvl="0">
      <w:start w:val="0"/>
      <w:numFmt w:val="bullet"/>
      <w:lvlText w:val="-"/>
      <w:lvlJc w:val="left"/>
      <w:pPr>
        <w:ind w:left="430" w:hanging="360"/>
      </w:pPr>
      <w:rPr>
        <w:rFonts w:ascii="Century Schoolbook" w:hAnsi="Century Schoolbook" w:eastAsiaTheme="minorHAnsi" w:cstheme="minorBidi" w:hint="default"/>
      </w:rPr>
    </w:lvl>
    <w:lvl w:ilvl="1" w:tentative="1">
      <w:start w:val="1"/>
      <w:numFmt w:val="bullet"/>
      <w:lvlText w:val="o"/>
      <w:lvlJc w:val="left"/>
      <w:pPr>
        <w:ind w:left="1150" w:hanging="360"/>
      </w:pPr>
      <w:rPr>
        <w:rFonts w:ascii="Courier New" w:hAnsi="Courier New" w:cs="Courier New" w:hint="default"/>
      </w:rPr>
    </w:lvl>
    <w:lvl w:ilvl="2" w:tentative="1">
      <w:start w:val="1"/>
      <w:numFmt w:val="bullet"/>
      <w:lvlText w:val=""/>
      <w:lvlJc w:val="left"/>
      <w:pPr>
        <w:ind w:left="1870" w:hanging="360"/>
      </w:pPr>
      <w:rPr>
        <w:rFonts w:ascii="Wingdings" w:hAnsi="Wingdings" w:hint="default"/>
      </w:rPr>
    </w:lvl>
    <w:lvl w:ilvl="3" w:tentative="1">
      <w:start w:val="1"/>
      <w:numFmt w:val="bullet"/>
      <w:lvlText w:val=""/>
      <w:lvlJc w:val="left"/>
      <w:pPr>
        <w:ind w:left="2590" w:hanging="360"/>
      </w:pPr>
      <w:rPr>
        <w:rFonts w:ascii="Symbol" w:hAnsi="Symbol" w:hint="default"/>
      </w:rPr>
    </w:lvl>
    <w:lvl w:ilvl="4" w:tentative="1">
      <w:start w:val="1"/>
      <w:numFmt w:val="bullet"/>
      <w:lvlText w:val="o"/>
      <w:lvlJc w:val="left"/>
      <w:pPr>
        <w:ind w:left="3310" w:hanging="360"/>
      </w:pPr>
      <w:rPr>
        <w:rFonts w:ascii="Courier New" w:hAnsi="Courier New" w:cs="Courier New" w:hint="default"/>
      </w:rPr>
    </w:lvl>
    <w:lvl w:ilvl="5" w:tentative="1">
      <w:start w:val="1"/>
      <w:numFmt w:val="bullet"/>
      <w:lvlText w:val=""/>
      <w:lvlJc w:val="left"/>
      <w:pPr>
        <w:ind w:left="4030" w:hanging="360"/>
      </w:pPr>
      <w:rPr>
        <w:rFonts w:ascii="Wingdings" w:hAnsi="Wingdings" w:hint="default"/>
      </w:rPr>
    </w:lvl>
    <w:lvl w:ilvl="6" w:tentative="1">
      <w:start w:val="1"/>
      <w:numFmt w:val="bullet"/>
      <w:lvlText w:val=""/>
      <w:lvlJc w:val="left"/>
      <w:pPr>
        <w:ind w:left="4750" w:hanging="360"/>
      </w:pPr>
      <w:rPr>
        <w:rFonts w:ascii="Symbol" w:hAnsi="Symbol" w:hint="default"/>
      </w:rPr>
    </w:lvl>
    <w:lvl w:ilvl="7" w:tentative="1">
      <w:start w:val="1"/>
      <w:numFmt w:val="bullet"/>
      <w:lvlText w:val="o"/>
      <w:lvlJc w:val="left"/>
      <w:pPr>
        <w:ind w:left="5470" w:hanging="360"/>
      </w:pPr>
      <w:rPr>
        <w:rFonts w:ascii="Courier New" w:hAnsi="Courier New" w:cs="Courier New" w:hint="default"/>
      </w:rPr>
    </w:lvl>
    <w:lvl w:ilvl="8" w:tentative="1">
      <w:start w:val="1"/>
      <w:numFmt w:val="bullet"/>
      <w:lvlText w:val=""/>
      <w:lvlJc w:val="left"/>
      <w:pPr>
        <w:ind w:left="6190" w:hanging="360"/>
      </w:pPr>
      <w:rPr>
        <w:rFonts w:ascii="Wingdings" w:hAnsi="Wingdings" w:hint="default"/>
      </w:rPr>
    </w:lvl>
  </w:abstractNum>
  <w:abstractNum w:abstractNumId="3">
    <w:nsid w:val="10F81BE8"/>
    <w:multiLevelType w:val="hybridMultilevel"/>
    <w:tmpl w:val="27EC0FE2"/>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
    <w:nsid w:val="12B9653D"/>
    <w:multiLevelType w:val="multilevel"/>
    <w:tmpl w:val="04090027"/>
    <w:lvl w:ilvl="0">
      <w:start w:val="1"/>
      <w:numFmt w:val="upperRoman"/>
      <w:pStyle w:val="Heading1"/>
      <w:lvlText w:val="%1."/>
      <w:lvlJc w:val="left"/>
      <w:pPr>
        <w:ind w:left="0" w:firstLine="0"/>
      </w:pPr>
      <w:rPr>
        <w:rFonts w:hint="default"/>
        <w:b/>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
    <w:nsid w:val="13BA07D2"/>
    <w:multiLevelType w:val="hybridMultilevel"/>
    <w:tmpl w:val="E61C4072"/>
    <w:lvl w:ilvl="0">
      <w:start w:val="2"/>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15923898"/>
    <w:multiLevelType w:val="hybridMultilevel"/>
    <w:tmpl w:val="A9D8603E"/>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63A5742"/>
    <w:multiLevelType w:val="hybridMultilevel"/>
    <w:tmpl w:val="323C84B6"/>
    <w:lvl w:ilvl="0">
      <w:start w:val="1"/>
      <w:numFmt w:val="low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18620B02"/>
    <w:multiLevelType w:val="hybridMultilevel"/>
    <w:tmpl w:val="5F8E534A"/>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9">
    <w:nsid w:val="1A026473"/>
    <w:multiLevelType w:val="hybridMultilevel"/>
    <w:tmpl w:val="DAE41EA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0">
    <w:nsid w:val="1A4F73A0"/>
    <w:multiLevelType w:val="hybridMultilevel"/>
    <w:tmpl w:val="18B402CC"/>
    <w:lvl w:ilvl="0">
      <w:start w:val="1"/>
      <w:numFmt w:val="upperLetter"/>
      <w:lvlText w:val="%1."/>
      <w:lvlJc w:val="left"/>
      <w:pPr>
        <w:ind w:left="1080" w:hanging="360"/>
      </w:pPr>
      <w:rPr>
        <w:rFonts w:hint="default"/>
        <w:b/>
        <w:bCs/>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1B2059A8"/>
    <w:multiLevelType w:val="hybridMultilevel"/>
    <w:tmpl w:val="A91AD950"/>
    <w:lvl w:ilvl="0">
      <w:start w:val="1"/>
      <w:numFmt w:val="upperLetter"/>
      <w:lvlText w:val="%1."/>
      <w:lvlJc w:val="left"/>
      <w:pPr>
        <w:ind w:left="1080" w:hanging="360"/>
      </w:pPr>
      <w:rPr>
        <w:rFonts w:hint="default"/>
        <w:b/>
        <w:bCs/>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1D0C0650"/>
    <w:multiLevelType w:val="hybridMultilevel"/>
    <w:tmpl w:val="88C67EB6"/>
    <w:lvl w:ilvl="0">
      <w:start w:val="1"/>
      <w:numFmt w:val="upperLetter"/>
      <w:lvlText w:val="%1."/>
      <w:lvlJc w:val="left"/>
      <w:pPr>
        <w:ind w:left="1080" w:hanging="360"/>
      </w:pPr>
      <w:rPr>
        <w:rFonts w:hint="default"/>
        <w:b/>
        <w:bCs/>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2189425B"/>
    <w:multiLevelType w:val="hybridMultilevel"/>
    <w:tmpl w:val="18B402CC"/>
    <w:lvl w:ilvl="0">
      <w:start w:val="1"/>
      <w:numFmt w:val="upperLetter"/>
      <w:lvlText w:val="%1."/>
      <w:lvlJc w:val="left"/>
      <w:pPr>
        <w:ind w:left="1080" w:hanging="360"/>
      </w:pPr>
      <w:rPr>
        <w:rFonts w:hint="default"/>
        <w:b/>
        <w:bCs/>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22F71088"/>
    <w:multiLevelType w:val="hybridMultilevel"/>
    <w:tmpl w:val="DD7EA92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50D6F4F"/>
    <w:multiLevelType w:val="hybridMultilevel"/>
    <w:tmpl w:val="DEC85BB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6411809"/>
    <w:multiLevelType w:val="hybridMultilevel"/>
    <w:tmpl w:val="5E6CD78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3B195C7D"/>
    <w:multiLevelType w:val="hybridMultilevel"/>
    <w:tmpl w:val="47AE44CC"/>
    <w:lvl w:ilvl="0">
      <w:start w:val="1"/>
      <w:numFmt w:val="upperRoman"/>
      <w:lvlText w:val="%1."/>
      <w:lvlJc w:val="left"/>
      <w:pPr>
        <w:ind w:left="1440" w:hanging="720"/>
      </w:pPr>
      <w:rPr>
        <w:rFonts w:hint="default"/>
        <w:u w:val="none"/>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nsid w:val="42E467E6"/>
    <w:multiLevelType w:val="hybridMultilevel"/>
    <w:tmpl w:val="7C2E5C36"/>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nsid w:val="43D1756E"/>
    <w:multiLevelType w:val="hybridMultilevel"/>
    <w:tmpl w:val="7CA89AB8"/>
    <w:lvl w:ilvl="0">
      <w:start w:val="1"/>
      <w:numFmt w:val="decimal"/>
      <w:lvlText w:val="%1."/>
      <w:lvlJc w:val="left"/>
      <w:pPr>
        <w:ind w:left="1530" w:hanging="360"/>
      </w:pPr>
      <w:rPr>
        <w:rFonts w:hint="default"/>
      </w:rPr>
    </w:lvl>
    <w:lvl w:ilvl="1" w:tentative="1">
      <w:start w:val="1"/>
      <w:numFmt w:val="lowerLetter"/>
      <w:lvlText w:val="%2."/>
      <w:lvlJc w:val="left"/>
      <w:pPr>
        <w:ind w:left="2250" w:hanging="360"/>
      </w:pPr>
    </w:lvl>
    <w:lvl w:ilvl="2" w:tentative="1">
      <w:start w:val="1"/>
      <w:numFmt w:val="lowerRoman"/>
      <w:lvlText w:val="%3."/>
      <w:lvlJc w:val="right"/>
      <w:pPr>
        <w:ind w:left="2970" w:hanging="180"/>
      </w:pPr>
    </w:lvl>
    <w:lvl w:ilvl="3" w:tentative="1">
      <w:start w:val="1"/>
      <w:numFmt w:val="decimal"/>
      <w:lvlText w:val="%4."/>
      <w:lvlJc w:val="left"/>
      <w:pPr>
        <w:ind w:left="3690" w:hanging="360"/>
      </w:pPr>
    </w:lvl>
    <w:lvl w:ilvl="4" w:tentative="1">
      <w:start w:val="1"/>
      <w:numFmt w:val="lowerLetter"/>
      <w:lvlText w:val="%5."/>
      <w:lvlJc w:val="left"/>
      <w:pPr>
        <w:ind w:left="4410" w:hanging="360"/>
      </w:pPr>
    </w:lvl>
    <w:lvl w:ilvl="5" w:tentative="1">
      <w:start w:val="1"/>
      <w:numFmt w:val="lowerRoman"/>
      <w:lvlText w:val="%6."/>
      <w:lvlJc w:val="right"/>
      <w:pPr>
        <w:ind w:left="5130" w:hanging="180"/>
      </w:pPr>
    </w:lvl>
    <w:lvl w:ilvl="6" w:tentative="1">
      <w:start w:val="1"/>
      <w:numFmt w:val="decimal"/>
      <w:lvlText w:val="%7."/>
      <w:lvlJc w:val="left"/>
      <w:pPr>
        <w:ind w:left="5850" w:hanging="360"/>
      </w:pPr>
    </w:lvl>
    <w:lvl w:ilvl="7" w:tentative="1">
      <w:start w:val="1"/>
      <w:numFmt w:val="lowerLetter"/>
      <w:lvlText w:val="%8."/>
      <w:lvlJc w:val="left"/>
      <w:pPr>
        <w:ind w:left="6570" w:hanging="360"/>
      </w:pPr>
    </w:lvl>
    <w:lvl w:ilvl="8" w:tentative="1">
      <w:start w:val="1"/>
      <w:numFmt w:val="lowerRoman"/>
      <w:lvlText w:val="%9."/>
      <w:lvlJc w:val="right"/>
      <w:pPr>
        <w:ind w:left="7290" w:hanging="180"/>
      </w:pPr>
    </w:lvl>
  </w:abstractNum>
  <w:abstractNum w:abstractNumId="20">
    <w:nsid w:val="53DD0079"/>
    <w:multiLevelType w:val="hybridMultilevel"/>
    <w:tmpl w:val="E5884E5E"/>
    <w:lvl w:ilvl="0">
      <w:start w:val="1"/>
      <w:numFmt w:val="upperLetter"/>
      <w:lvlText w:val="%1."/>
      <w:lvlJc w:val="left"/>
      <w:pPr>
        <w:ind w:left="1080" w:hanging="360"/>
      </w:pPr>
      <w:rPr>
        <w:rFonts w:hint="default"/>
        <w:b/>
        <w:bCs/>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
    <w:nsid w:val="5D5D7618"/>
    <w:multiLevelType w:val="hybridMultilevel"/>
    <w:tmpl w:val="FC5C2140"/>
    <w:lvl w:ilvl="0">
      <w:start w:val="2"/>
      <w:numFmt w:val="bullet"/>
      <w:lvlText w:val="-"/>
      <w:lvlJc w:val="left"/>
      <w:pPr>
        <w:ind w:left="1870" w:hanging="360"/>
      </w:pPr>
      <w:rPr>
        <w:rFonts w:ascii="Century Schoolbook" w:hAnsi="Century Schoolbook" w:eastAsiaTheme="minorHAnsi" w:cstheme="minorBidi" w:hint="default"/>
      </w:rPr>
    </w:lvl>
    <w:lvl w:ilvl="1" w:tentative="1">
      <w:start w:val="1"/>
      <w:numFmt w:val="bullet"/>
      <w:lvlText w:val="o"/>
      <w:lvlJc w:val="left"/>
      <w:pPr>
        <w:ind w:left="2590" w:hanging="360"/>
      </w:pPr>
      <w:rPr>
        <w:rFonts w:ascii="Courier New" w:hAnsi="Courier New" w:cs="Courier New" w:hint="default"/>
      </w:rPr>
    </w:lvl>
    <w:lvl w:ilvl="2" w:tentative="1">
      <w:start w:val="1"/>
      <w:numFmt w:val="bullet"/>
      <w:lvlText w:val=""/>
      <w:lvlJc w:val="left"/>
      <w:pPr>
        <w:ind w:left="3310" w:hanging="360"/>
      </w:pPr>
      <w:rPr>
        <w:rFonts w:ascii="Wingdings" w:hAnsi="Wingdings" w:hint="default"/>
      </w:rPr>
    </w:lvl>
    <w:lvl w:ilvl="3" w:tentative="1">
      <w:start w:val="1"/>
      <w:numFmt w:val="bullet"/>
      <w:lvlText w:val=""/>
      <w:lvlJc w:val="left"/>
      <w:pPr>
        <w:ind w:left="4030" w:hanging="360"/>
      </w:pPr>
      <w:rPr>
        <w:rFonts w:ascii="Symbol" w:hAnsi="Symbol" w:hint="default"/>
      </w:rPr>
    </w:lvl>
    <w:lvl w:ilvl="4" w:tentative="1">
      <w:start w:val="1"/>
      <w:numFmt w:val="bullet"/>
      <w:lvlText w:val="o"/>
      <w:lvlJc w:val="left"/>
      <w:pPr>
        <w:ind w:left="4750" w:hanging="360"/>
      </w:pPr>
      <w:rPr>
        <w:rFonts w:ascii="Courier New" w:hAnsi="Courier New" w:cs="Courier New" w:hint="default"/>
      </w:rPr>
    </w:lvl>
    <w:lvl w:ilvl="5" w:tentative="1">
      <w:start w:val="1"/>
      <w:numFmt w:val="bullet"/>
      <w:lvlText w:val=""/>
      <w:lvlJc w:val="left"/>
      <w:pPr>
        <w:ind w:left="5470" w:hanging="360"/>
      </w:pPr>
      <w:rPr>
        <w:rFonts w:ascii="Wingdings" w:hAnsi="Wingdings" w:hint="default"/>
      </w:rPr>
    </w:lvl>
    <w:lvl w:ilvl="6" w:tentative="1">
      <w:start w:val="1"/>
      <w:numFmt w:val="bullet"/>
      <w:lvlText w:val=""/>
      <w:lvlJc w:val="left"/>
      <w:pPr>
        <w:ind w:left="6190" w:hanging="360"/>
      </w:pPr>
      <w:rPr>
        <w:rFonts w:ascii="Symbol" w:hAnsi="Symbol" w:hint="default"/>
      </w:rPr>
    </w:lvl>
    <w:lvl w:ilvl="7" w:tentative="1">
      <w:start w:val="1"/>
      <w:numFmt w:val="bullet"/>
      <w:lvlText w:val="o"/>
      <w:lvlJc w:val="left"/>
      <w:pPr>
        <w:ind w:left="6910" w:hanging="360"/>
      </w:pPr>
      <w:rPr>
        <w:rFonts w:ascii="Courier New" w:hAnsi="Courier New" w:cs="Courier New" w:hint="default"/>
      </w:rPr>
    </w:lvl>
    <w:lvl w:ilvl="8" w:tentative="1">
      <w:start w:val="1"/>
      <w:numFmt w:val="bullet"/>
      <w:lvlText w:val=""/>
      <w:lvlJc w:val="left"/>
      <w:pPr>
        <w:ind w:left="7630" w:hanging="360"/>
      </w:pPr>
      <w:rPr>
        <w:rFonts w:ascii="Wingdings" w:hAnsi="Wingdings" w:hint="default"/>
      </w:rPr>
    </w:lvl>
  </w:abstractNum>
  <w:abstractNum w:abstractNumId="22">
    <w:nsid w:val="657D452B"/>
    <w:multiLevelType w:val="hybridMultilevel"/>
    <w:tmpl w:val="69EC1F44"/>
    <w:lvl w:ilvl="0">
      <w:start w:val="1"/>
      <w:numFmt w:val="upperRoman"/>
      <w:lvlText w:val="%1."/>
      <w:lvlJc w:val="left"/>
      <w:pPr>
        <w:ind w:left="1080" w:hanging="720"/>
      </w:pPr>
      <w:rPr>
        <w:rFonts w:hint="default"/>
        <w:b/>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68F12552"/>
    <w:multiLevelType w:val="hybridMultilevel"/>
    <w:tmpl w:val="A87AE2F2"/>
    <w:lvl w:ilvl="0">
      <w:start w:val="1"/>
      <w:numFmt w:val="decimal"/>
      <w:lvlText w:val="%1."/>
      <w:lvlJc w:val="left"/>
      <w:pPr>
        <w:ind w:left="1710" w:hanging="360"/>
      </w:pPr>
      <w:rPr>
        <w:rFonts w:hint="default"/>
      </w:rPr>
    </w:lvl>
    <w:lvl w:ilvl="1" w:tentative="1">
      <w:start w:val="1"/>
      <w:numFmt w:val="lowerLetter"/>
      <w:lvlText w:val="%2."/>
      <w:lvlJc w:val="left"/>
      <w:pPr>
        <w:ind w:left="2430" w:hanging="360"/>
      </w:pPr>
    </w:lvl>
    <w:lvl w:ilvl="2" w:tentative="1">
      <w:start w:val="1"/>
      <w:numFmt w:val="lowerRoman"/>
      <w:lvlText w:val="%3."/>
      <w:lvlJc w:val="right"/>
      <w:pPr>
        <w:ind w:left="3150" w:hanging="180"/>
      </w:pPr>
    </w:lvl>
    <w:lvl w:ilvl="3" w:tentative="1">
      <w:start w:val="1"/>
      <w:numFmt w:val="decimal"/>
      <w:lvlText w:val="%4."/>
      <w:lvlJc w:val="left"/>
      <w:pPr>
        <w:ind w:left="3870" w:hanging="360"/>
      </w:pPr>
    </w:lvl>
    <w:lvl w:ilvl="4" w:tentative="1">
      <w:start w:val="1"/>
      <w:numFmt w:val="lowerLetter"/>
      <w:lvlText w:val="%5."/>
      <w:lvlJc w:val="left"/>
      <w:pPr>
        <w:ind w:left="4590" w:hanging="360"/>
      </w:pPr>
    </w:lvl>
    <w:lvl w:ilvl="5" w:tentative="1">
      <w:start w:val="1"/>
      <w:numFmt w:val="lowerRoman"/>
      <w:lvlText w:val="%6."/>
      <w:lvlJc w:val="right"/>
      <w:pPr>
        <w:ind w:left="5310" w:hanging="180"/>
      </w:pPr>
    </w:lvl>
    <w:lvl w:ilvl="6" w:tentative="1">
      <w:start w:val="1"/>
      <w:numFmt w:val="decimal"/>
      <w:lvlText w:val="%7."/>
      <w:lvlJc w:val="left"/>
      <w:pPr>
        <w:ind w:left="6030" w:hanging="360"/>
      </w:pPr>
    </w:lvl>
    <w:lvl w:ilvl="7" w:tentative="1">
      <w:start w:val="1"/>
      <w:numFmt w:val="lowerLetter"/>
      <w:lvlText w:val="%8."/>
      <w:lvlJc w:val="left"/>
      <w:pPr>
        <w:ind w:left="6750" w:hanging="360"/>
      </w:pPr>
    </w:lvl>
    <w:lvl w:ilvl="8" w:tentative="1">
      <w:start w:val="1"/>
      <w:numFmt w:val="lowerRoman"/>
      <w:lvlText w:val="%9."/>
      <w:lvlJc w:val="right"/>
      <w:pPr>
        <w:ind w:left="7470" w:hanging="180"/>
      </w:pPr>
    </w:lvl>
  </w:abstractNum>
  <w:abstractNum w:abstractNumId="24">
    <w:nsid w:val="6DAE7C70"/>
    <w:multiLevelType w:val="hybridMultilevel"/>
    <w:tmpl w:val="DF3A34B8"/>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73752877"/>
    <w:multiLevelType w:val="hybridMultilevel"/>
    <w:tmpl w:val="DD7EA92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76CE0745"/>
    <w:multiLevelType w:val="hybridMultilevel"/>
    <w:tmpl w:val="A9D8603E"/>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4"/>
  </w:num>
  <w:num w:numId="2">
    <w:abstractNumId w:val="11"/>
  </w:num>
  <w:num w:numId="3">
    <w:abstractNumId w:val="7"/>
  </w:num>
  <w:num w:numId="4">
    <w:abstractNumId w:val="5"/>
  </w:num>
  <w:num w:numId="5">
    <w:abstractNumId w:val="17"/>
  </w:num>
  <w:num w:numId="6">
    <w:abstractNumId w:val="16"/>
  </w:num>
  <w:num w:numId="7">
    <w:abstractNumId w:val="0"/>
  </w:num>
  <w:num w:numId="8">
    <w:abstractNumId w:val="8"/>
  </w:num>
  <w:num w:numId="9">
    <w:abstractNumId w:val="15"/>
  </w:num>
  <w:num w:numId="10">
    <w:abstractNumId w:val="26"/>
  </w:num>
  <w:num w:numId="11">
    <w:abstractNumId w:val="18"/>
  </w:num>
  <w:num w:numId="12">
    <w:abstractNumId w:val="23"/>
  </w:num>
  <w:num w:numId="13">
    <w:abstractNumId w:val="21"/>
  </w:num>
  <w:num w:numId="14">
    <w:abstractNumId w:val="25"/>
  </w:num>
  <w:num w:numId="15">
    <w:abstractNumId w:val="2"/>
  </w:num>
  <w:num w:numId="16">
    <w:abstractNumId w:val="19"/>
  </w:num>
  <w:num w:numId="17">
    <w:abstractNumId w:val="3"/>
  </w:num>
  <w:num w:numId="18">
    <w:abstractNumId w:val="6"/>
  </w:num>
  <w:num w:numId="19">
    <w:abstractNumId w:val="24"/>
  </w:num>
  <w:num w:numId="20">
    <w:abstractNumId w:val="4"/>
  </w:num>
  <w:num w:numId="21">
    <w:abstractNumId w:val="13"/>
  </w:num>
  <w:num w:numId="22">
    <w:abstractNumId w:val="9"/>
  </w:num>
  <w:num w:numId="23">
    <w:abstractNumId w:val="12"/>
  </w:num>
  <w:num w:numId="24">
    <w:abstractNumId w:val="1"/>
  </w:num>
  <w:num w:numId="25">
    <w:abstractNumId w:val="20"/>
  </w:num>
  <w:num w:numId="26">
    <w:abstractNumId w:val="10"/>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12F"/>
    <w:rsid w:val="00000049"/>
    <w:rsid w:val="00000151"/>
    <w:rsid w:val="00000831"/>
    <w:rsid w:val="000010C3"/>
    <w:rsid w:val="000010E3"/>
    <w:rsid w:val="00001903"/>
    <w:rsid w:val="000027DF"/>
    <w:rsid w:val="00003031"/>
    <w:rsid w:val="00003693"/>
    <w:rsid w:val="00003B48"/>
    <w:rsid w:val="000041F4"/>
    <w:rsid w:val="00004D12"/>
    <w:rsid w:val="000051E0"/>
    <w:rsid w:val="00006060"/>
    <w:rsid w:val="0000644E"/>
    <w:rsid w:val="00006D1E"/>
    <w:rsid w:val="00007325"/>
    <w:rsid w:val="000076E6"/>
    <w:rsid w:val="00007BC3"/>
    <w:rsid w:val="0001049B"/>
    <w:rsid w:val="00010AC3"/>
    <w:rsid w:val="00010DA5"/>
    <w:rsid w:val="000117AC"/>
    <w:rsid w:val="00013187"/>
    <w:rsid w:val="000132E5"/>
    <w:rsid w:val="00013A51"/>
    <w:rsid w:val="00013CF7"/>
    <w:rsid w:val="00014610"/>
    <w:rsid w:val="00014AF0"/>
    <w:rsid w:val="00017D53"/>
    <w:rsid w:val="00017D55"/>
    <w:rsid w:val="00020AA6"/>
    <w:rsid w:val="0002170A"/>
    <w:rsid w:val="00021CFA"/>
    <w:rsid w:val="00021E7B"/>
    <w:rsid w:val="00023738"/>
    <w:rsid w:val="00023A52"/>
    <w:rsid w:val="00023E43"/>
    <w:rsid w:val="00023E75"/>
    <w:rsid w:val="00023E7E"/>
    <w:rsid w:val="00024A74"/>
    <w:rsid w:val="000259F0"/>
    <w:rsid w:val="00025ADD"/>
    <w:rsid w:val="00026897"/>
    <w:rsid w:val="00026A20"/>
    <w:rsid w:val="000274DE"/>
    <w:rsid w:val="00027C08"/>
    <w:rsid w:val="0003001E"/>
    <w:rsid w:val="00030174"/>
    <w:rsid w:val="00030CB3"/>
    <w:rsid w:val="00030CFC"/>
    <w:rsid w:val="000317F1"/>
    <w:rsid w:val="00031831"/>
    <w:rsid w:val="000328E2"/>
    <w:rsid w:val="000338B3"/>
    <w:rsid w:val="00033C99"/>
    <w:rsid w:val="00033EF3"/>
    <w:rsid w:val="00033FE5"/>
    <w:rsid w:val="00034704"/>
    <w:rsid w:val="000348AB"/>
    <w:rsid w:val="00034966"/>
    <w:rsid w:val="00035450"/>
    <w:rsid w:val="00035513"/>
    <w:rsid w:val="00035747"/>
    <w:rsid w:val="00035F60"/>
    <w:rsid w:val="00035FF8"/>
    <w:rsid w:val="00036E92"/>
    <w:rsid w:val="0003711C"/>
    <w:rsid w:val="000376F2"/>
    <w:rsid w:val="00037D79"/>
    <w:rsid w:val="000408C0"/>
    <w:rsid w:val="0004142C"/>
    <w:rsid w:val="0004155E"/>
    <w:rsid w:val="000417AD"/>
    <w:rsid w:val="000417FF"/>
    <w:rsid w:val="0004211D"/>
    <w:rsid w:val="00043627"/>
    <w:rsid w:val="00043B77"/>
    <w:rsid w:val="0004482C"/>
    <w:rsid w:val="00045397"/>
    <w:rsid w:val="000455DB"/>
    <w:rsid w:val="00045FBE"/>
    <w:rsid w:val="0004609B"/>
    <w:rsid w:val="00046783"/>
    <w:rsid w:val="00047254"/>
    <w:rsid w:val="00047C4B"/>
    <w:rsid w:val="00047E80"/>
    <w:rsid w:val="00050C60"/>
    <w:rsid w:val="00050C62"/>
    <w:rsid w:val="00050EA7"/>
    <w:rsid w:val="0005161E"/>
    <w:rsid w:val="00051719"/>
    <w:rsid w:val="0005196B"/>
    <w:rsid w:val="00051BA0"/>
    <w:rsid w:val="00052240"/>
    <w:rsid w:val="0005285A"/>
    <w:rsid w:val="00053023"/>
    <w:rsid w:val="0005343B"/>
    <w:rsid w:val="00053649"/>
    <w:rsid w:val="00053D26"/>
    <w:rsid w:val="00053DE4"/>
    <w:rsid w:val="000542EE"/>
    <w:rsid w:val="00054500"/>
    <w:rsid w:val="00054974"/>
    <w:rsid w:val="000550C5"/>
    <w:rsid w:val="00055114"/>
    <w:rsid w:val="0005549C"/>
    <w:rsid w:val="00055681"/>
    <w:rsid w:val="00055872"/>
    <w:rsid w:val="00055EAF"/>
    <w:rsid w:val="00057158"/>
    <w:rsid w:val="00057D51"/>
    <w:rsid w:val="00060019"/>
    <w:rsid w:val="000606CC"/>
    <w:rsid w:val="00060935"/>
    <w:rsid w:val="00060C05"/>
    <w:rsid w:val="0006141A"/>
    <w:rsid w:val="000616B1"/>
    <w:rsid w:val="00061710"/>
    <w:rsid w:val="00061FED"/>
    <w:rsid w:val="000631E4"/>
    <w:rsid w:val="0006321B"/>
    <w:rsid w:val="000633CD"/>
    <w:rsid w:val="000639A7"/>
    <w:rsid w:val="00064AB8"/>
    <w:rsid w:val="00064F62"/>
    <w:rsid w:val="000660FB"/>
    <w:rsid w:val="000662A5"/>
    <w:rsid w:val="00066958"/>
    <w:rsid w:val="0006737E"/>
    <w:rsid w:val="00067477"/>
    <w:rsid w:val="0007104F"/>
    <w:rsid w:val="00071420"/>
    <w:rsid w:val="00071424"/>
    <w:rsid w:val="0007189B"/>
    <w:rsid w:val="00071EA4"/>
    <w:rsid w:val="00071F3E"/>
    <w:rsid w:val="0007218F"/>
    <w:rsid w:val="0007285D"/>
    <w:rsid w:val="00072ADB"/>
    <w:rsid w:val="000730B0"/>
    <w:rsid w:val="00073179"/>
    <w:rsid w:val="00073586"/>
    <w:rsid w:val="0007380C"/>
    <w:rsid w:val="00073D47"/>
    <w:rsid w:val="000743BC"/>
    <w:rsid w:val="00074C11"/>
    <w:rsid w:val="00075834"/>
    <w:rsid w:val="00075D9D"/>
    <w:rsid w:val="000764FA"/>
    <w:rsid w:val="00076A9A"/>
    <w:rsid w:val="0007710C"/>
    <w:rsid w:val="000771B5"/>
    <w:rsid w:val="00077613"/>
    <w:rsid w:val="00077FBA"/>
    <w:rsid w:val="0008007A"/>
    <w:rsid w:val="000812F0"/>
    <w:rsid w:val="00081337"/>
    <w:rsid w:val="000818B6"/>
    <w:rsid w:val="000819A8"/>
    <w:rsid w:val="00081DEC"/>
    <w:rsid w:val="0008250D"/>
    <w:rsid w:val="00082B7F"/>
    <w:rsid w:val="0008342E"/>
    <w:rsid w:val="0008375B"/>
    <w:rsid w:val="00083A6A"/>
    <w:rsid w:val="00085D8F"/>
    <w:rsid w:val="0008601C"/>
    <w:rsid w:val="00086111"/>
    <w:rsid w:val="000868E4"/>
    <w:rsid w:val="00086E3D"/>
    <w:rsid w:val="00086EF7"/>
    <w:rsid w:val="0008700E"/>
    <w:rsid w:val="000870F3"/>
    <w:rsid w:val="000879F8"/>
    <w:rsid w:val="0009006F"/>
    <w:rsid w:val="000901C6"/>
    <w:rsid w:val="00090569"/>
    <w:rsid w:val="00090615"/>
    <w:rsid w:val="00090C7B"/>
    <w:rsid w:val="00090E8A"/>
    <w:rsid w:val="000910FD"/>
    <w:rsid w:val="00091538"/>
    <w:rsid w:val="0009167F"/>
    <w:rsid w:val="00092084"/>
    <w:rsid w:val="00092715"/>
    <w:rsid w:val="0009329D"/>
    <w:rsid w:val="00093421"/>
    <w:rsid w:val="000939D0"/>
    <w:rsid w:val="00093B5C"/>
    <w:rsid w:val="0009493B"/>
    <w:rsid w:val="00095124"/>
    <w:rsid w:val="00095503"/>
    <w:rsid w:val="00095684"/>
    <w:rsid w:val="00095C3A"/>
    <w:rsid w:val="00095C7D"/>
    <w:rsid w:val="00096486"/>
    <w:rsid w:val="0009655D"/>
    <w:rsid w:val="00096CE8"/>
    <w:rsid w:val="00096D0C"/>
    <w:rsid w:val="00097213"/>
    <w:rsid w:val="00097B0E"/>
    <w:rsid w:val="000A0358"/>
    <w:rsid w:val="000A0CEA"/>
    <w:rsid w:val="000A1BE8"/>
    <w:rsid w:val="000A1C65"/>
    <w:rsid w:val="000A2682"/>
    <w:rsid w:val="000A2FCF"/>
    <w:rsid w:val="000A349E"/>
    <w:rsid w:val="000A4C39"/>
    <w:rsid w:val="000A4C54"/>
    <w:rsid w:val="000A4F50"/>
    <w:rsid w:val="000A50DB"/>
    <w:rsid w:val="000A5409"/>
    <w:rsid w:val="000A55E5"/>
    <w:rsid w:val="000A564F"/>
    <w:rsid w:val="000A5697"/>
    <w:rsid w:val="000A5BCB"/>
    <w:rsid w:val="000A5D67"/>
    <w:rsid w:val="000A5F91"/>
    <w:rsid w:val="000A6339"/>
    <w:rsid w:val="000A63A3"/>
    <w:rsid w:val="000A6AB3"/>
    <w:rsid w:val="000A720F"/>
    <w:rsid w:val="000A7426"/>
    <w:rsid w:val="000A7575"/>
    <w:rsid w:val="000A7AD7"/>
    <w:rsid w:val="000B0C92"/>
    <w:rsid w:val="000B1714"/>
    <w:rsid w:val="000B25C1"/>
    <w:rsid w:val="000B2704"/>
    <w:rsid w:val="000B2A7C"/>
    <w:rsid w:val="000B2D83"/>
    <w:rsid w:val="000B3E52"/>
    <w:rsid w:val="000B3F77"/>
    <w:rsid w:val="000B55B3"/>
    <w:rsid w:val="000B6278"/>
    <w:rsid w:val="000B63F0"/>
    <w:rsid w:val="000B6AF3"/>
    <w:rsid w:val="000B6AFF"/>
    <w:rsid w:val="000B6B95"/>
    <w:rsid w:val="000B6CA0"/>
    <w:rsid w:val="000B6D1C"/>
    <w:rsid w:val="000B6D7E"/>
    <w:rsid w:val="000B6F5C"/>
    <w:rsid w:val="000B74C4"/>
    <w:rsid w:val="000C1232"/>
    <w:rsid w:val="000C1248"/>
    <w:rsid w:val="000C16DE"/>
    <w:rsid w:val="000C17E7"/>
    <w:rsid w:val="000C18A6"/>
    <w:rsid w:val="000C1C22"/>
    <w:rsid w:val="000C226C"/>
    <w:rsid w:val="000C24B1"/>
    <w:rsid w:val="000C34CF"/>
    <w:rsid w:val="000C37E9"/>
    <w:rsid w:val="000C4461"/>
    <w:rsid w:val="000C450A"/>
    <w:rsid w:val="000C4F40"/>
    <w:rsid w:val="000C5003"/>
    <w:rsid w:val="000C61EE"/>
    <w:rsid w:val="000C69A3"/>
    <w:rsid w:val="000C6A81"/>
    <w:rsid w:val="000C7012"/>
    <w:rsid w:val="000C7655"/>
    <w:rsid w:val="000C789E"/>
    <w:rsid w:val="000C79FA"/>
    <w:rsid w:val="000D0018"/>
    <w:rsid w:val="000D0C6B"/>
    <w:rsid w:val="000D10DC"/>
    <w:rsid w:val="000D143B"/>
    <w:rsid w:val="000D1E80"/>
    <w:rsid w:val="000D1FEE"/>
    <w:rsid w:val="000D2642"/>
    <w:rsid w:val="000D3EA6"/>
    <w:rsid w:val="000D3FE3"/>
    <w:rsid w:val="000D414A"/>
    <w:rsid w:val="000D4A5C"/>
    <w:rsid w:val="000D4A7C"/>
    <w:rsid w:val="000D5527"/>
    <w:rsid w:val="000D5AD9"/>
    <w:rsid w:val="000D5BBB"/>
    <w:rsid w:val="000D5D88"/>
    <w:rsid w:val="000D5FB7"/>
    <w:rsid w:val="000D7759"/>
    <w:rsid w:val="000D77C2"/>
    <w:rsid w:val="000D7C62"/>
    <w:rsid w:val="000E0B35"/>
    <w:rsid w:val="000E134B"/>
    <w:rsid w:val="000E1B64"/>
    <w:rsid w:val="000E1D3C"/>
    <w:rsid w:val="000E2E3F"/>
    <w:rsid w:val="000E2EE6"/>
    <w:rsid w:val="000E317B"/>
    <w:rsid w:val="000E31E2"/>
    <w:rsid w:val="000E3BAD"/>
    <w:rsid w:val="000E40A3"/>
    <w:rsid w:val="000E435E"/>
    <w:rsid w:val="000E43B2"/>
    <w:rsid w:val="000E44F5"/>
    <w:rsid w:val="000E46D8"/>
    <w:rsid w:val="000E4F95"/>
    <w:rsid w:val="000E5805"/>
    <w:rsid w:val="000E5C3F"/>
    <w:rsid w:val="000E5E02"/>
    <w:rsid w:val="000E61BA"/>
    <w:rsid w:val="000E6C40"/>
    <w:rsid w:val="000E6FE5"/>
    <w:rsid w:val="000E70EF"/>
    <w:rsid w:val="000E7D26"/>
    <w:rsid w:val="000E7D3D"/>
    <w:rsid w:val="000F0119"/>
    <w:rsid w:val="000F01FE"/>
    <w:rsid w:val="000F087F"/>
    <w:rsid w:val="000F0DCE"/>
    <w:rsid w:val="000F0EA0"/>
    <w:rsid w:val="000F0FA5"/>
    <w:rsid w:val="000F165B"/>
    <w:rsid w:val="000F1B34"/>
    <w:rsid w:val="000F1CEF"/>
    <w:rsid w:val="000F22AA"/>
    <w:rsid w:val="000F2370"/>
    <w:rsid w:val="000F286E"/>
    <w:rsid w:val="000F2C16"/>
    <w:rsid w:val="000F37D6"/>
    <w:rsid w:val="000F3A65"/>
    <w:rsid w:val="000F4407"/>
    <w:rsid w:val="000F4911"/>
    <w:rsid w:val="000F4944"/>
    <w:rsid w:val="000F5824"/>
    <w:rsid w:val="000F6493"/>
    <w:rsid w:val="000F7147"/>
    <w:rsid w:val="000F7179"/>
    <w:rsid w:val="000F75D9"/>
    <w:rsid w:val="000F7E57"/>
    <w:rsid w:val="000F7F0F"/>
    <w:rsid w:val="0010103F"/>
    <w:rsid w:val="00101657"/>
    <w:rsid w:val="00101713"/>
    <w:rsid w:val="00101D77"/>
    <w:rsid w:val="00102E6C"/>
    <w:rsid w:val="001034C4"/>
    <w:rsid w:val="00103890"/>
    <w:rsid w:val="00104643"/>
    <w:rsid w:val="001046C5"/>
    <w:rsid w:val="00104A87"/>
    <w:rsid w:val="00104CEB"/>
    <w:rsid w:val="00105320"/>
    <w:rsid w:val="00105446"/>
    <w:rsid w:val="001054D7"/>
    <w:rsid w:val="001058A8"/>
    <w:rsid w:val="0010598D"/>
    <w:rsid w:val="0010600F"/>
    <w:rsid w:val="0010606A"/>
    <w:rsid w:val="0010620E"/>
    <w:rsid w:val="0010653F"/>
    <w:rsid w:val="00106BFD"/>
    <w:rsid w:val="00106D88"/>
    <w:rsid w:val="00107556"/>
    <w:rsid w:val="0010782A"/>
    <w:rsid w:val="0010797E"/>
    <w:rsid w:val="00107C25"/>
    <w:rsid w:val="00110986"/>
    <w:rsid w:val="00110A08"/>
    <w:rsid w:val="00110CB1"/>
    <w:rsid w:val="001113C6"/>
    <w:rsid w:val="0011229A"/>
    <w:rsid w:val="00112AC4"/>
    <w:rsid w:val="001135B8"/>
    <w:rsid w:val="00113691"/>
    <w:rsid w:val="001137A4"/>
    <w:rsid w:val="001139BC"/>
    <w:rsid w:val="00113F80"/>
    <w:rsid w:val="0011442D"/>
    <w:rsid w:val="00114BC2"/>
    <w:rsid w:val="00115155"/>
    <w:rsid w:val="001152C1"/>
    <w:rsid w:val="001155E3"/>
    <w:rsid w:val="00115CEC"/>
    <w:rsid w:val="0011628E"/>
    <w:rsid w:val="001164EF"/>
    <w:rsid w:val="00116AB0"/>
    <w:rsid w:val="00117201"/>
    <w:rsid w:val="0011785F"/>
    <w:rsid w:val="001179ED"/>
    <w:rsid w:val="00117A54"/>
    <w:rsid w:val="00117EF9"/>
    <w:rsid w:val="0012028D"/>
    <w:rsid w:val="0012210D"/>
    <w:rsid w:val="00122290"/>
    <w:rsid w:val="001227DA"/>
    <w:rsid w:val="001227F7"/>
    <w:rsid w:val="001228F6"/>
    <w:rsid w:val="00122A2B"/>
    <w:rsid w:val="001233D1"/>
    <w:rsid w:val="001239E6"/>
    <w:rsid w:val="0012493F"/>
    <w:rsid w:val="0012509A"/>
    <w:rsid w:val="0012524C"/>
    <w:rsid w:val="0012585E"/>
    <w:rsid w:val="00126112"/>
    <w:rsid w:val="0012666F"/>
    <w:rsid w:val="00127329"/>
    <w:rsid w:val="00127A82"/>
    <w:rsid w:val="00130C7B"/>
    <w:rsid w:val="00130CA4"/>
    <w:rsid w:val="00131DFF"/>
    <w:rsid w:val="00131E41"/>
    <w:rsid w:val="0013232C"/>
    <w:rsid w:val="00132B84"/>
    <w:rsid w:val="00132FBE"/>
    <w:rsid w:val="00133136"/>
    <w:rsid w:val="00133606"/>
    <w:rsid w:val="00133B69"/>
    <w:rsid w:val="001354D6"/>
    <w:rsid w:val="00136717"/>
    <w:rsid w:val="00136B9C"/>
    <w:rsid w:val="001371D9"/>
    <w:rsid w:val="00137E4A"/>
    <w:rsid w:val="00140D12"/>
    <w:rsid w:val="0014229A"/>
    <w:rsid w:val="00142D63"/>
    <w:rsid w:val="00143033"/>
    <w:rsid w:val="00143500"/>
    <w:rsid w:val="00143FBA"/>
    <w:rsid w:val="0014441A"/>
    <w:rsid w:val="001458E9"/>
    <w:rsid w:val="00146200"/>
    <w:rsid w:val="00146ABE"/>
    <w:rsid w:val="00146B79"/>
    <w:rsid w:val="00147D9A"/>
    <w:rsid w:val="001504B9"/>
    <w:rsid w:val="00150C88"/>
    <w:rsid w:val="00150E3A"/>
    <w:rsid w:val="00151628"/>
    <w:rsid w:val="00152246"/>
    <w:rsid w:val="00152667"/>
    <w:rsid w:val="00152795"/>
    <w:rsid w:val="00152F13"/>
    <w:rsid w:val="00153150"/>
    <w:rsid w:val="001532D5"/>
    <w:rsid w:val="0015356B"/>
    <w:rsid w:val="00153B2D"/>
    <w:rsid w:val="0015494F"/>
    <w:rsid w:val="00154E11"/>
    <w:rsid w:val="001554CD"/>
    <w:rsid w:val="00155A95"/>
    <w:rsid w:val="00156495"/>
    <w:rsid w:val="00156512"/>
    <w:rsid w:val="00156771"/>
    <w:rsid w:val="00156D34"/>
    <w:rsid w:val="00156F8E"/>
    <w:rsid w:val="0015727A"/>
    <w:rsid w:val="00157416"/>
    <w:rsid w:val="0015753C"/>
    <w:rsid w:val="001579A0"/>
    <w:rsid w:val="00157A0D"/>
    <w:rsid w:val="0016000F"/>
    <w:rsid w:val="00160059"/>
    <w:rsid w:val="00160593"/>
    <w:rsid w:val="00160C98"/>
    <w:rsid w:val="001614CC"/>
    <w:rsid w:val="001614D4"/>
    <w:rsid w:val="00161A92"/>
    <w:rsid w:val="001620E1"/>
    <w:rsid w:val="00162412"/>
    <w:rsid w:val="00162BAB"/>
    <w:rsid w:val="00163006"/>
    <w:rsid w:val="001633D3"/>
    <w:rsid w:val="00163ED2"/>
    <w:rsid w:val="001642B6"/>
    <w:rsid w:val="001645DE"/>
    <w:rsid w:val="00164A43"/>
    <w:rsid w:val="00164E23"/>
    <w:rsid w:val="001651F7"/>
    <w:rsid w:val="00165736"/>
    <w:rsid w:val="00165798"/>
    <w:rsid w:val="00165A6B"/>
    <w:rsid w:val="001660C5"/>
    <w:rsid w:val="00167088"/>
    <w:rsid w:val="001674FC"/>
    <w:rsid w:val="001679EA"/>
    <w:rsid w:val="00167D50"/>
    <w:rsid w:val="00167E42"/>
    <w:rsid w:val="001711BF"/>
    <w:rsid w:val="0017128C"/>
    <w:rsid w:val="00171CFC"/>
    <w:rsid w:val="00171E9F"/>
    <w:rsid w:val="00171F79"/>
    <w:rsid w:val="00172454"/>
    <w:rsid w:val="00172748"/>
    <w:rsid w:val="00174594"/>
    <w:rsid w:val="001753CA"/>
    <w:rsid w:val="0017579B"/>
    <w:rsid w:val="001757EC"/>
    <w:rsid w:val="00176A60"/>
    <w:rsid w:val="0017720C"/>
    <w:rsid w:val="00177B5F"/>
    <w:rsid w:val="00180BE8"/>
    <w:rsid w:val="001812D5"/>
    <w:rsid w:val="00181609"/>
    <w:rsid w:val="001816AC"/>
    <w:rsid w:val="00181785"/>
    <w:rsid w:val="0018227E"/>
    <w:rsid w:val="00182C08"/>
    <w:rsid w:val="001834AF"/>
    <w:rsid w:val="001839C6"/>
    <w:rsid w:val="00183C43"/>
    <w:rsid w:val="00183D25"/>
    <w:rsid w:val="001843F2"/>
    <w:rsid w:val="001845E8"/>
    <w:rsid w:val="0018487E"/>
    <w:rsid w:val="001849AF"/>
    <w:rsid w:val="00184A74"/>
    <w:rsid w:val="00185692"/>
    <w:rsid w:val="00185B62"/>
    <w:rsid w:val="00185C77"/>
    <w:rsid w:val="00185F21"/>
    <w:rsid w:val="00186018"/>
    <w:rsid w:val="0018686A"/>
    <w:rsid w:val="00186D5B"/>
    <w:rsid w:val="00187D5D"/>
    <w:rsid w:val="00190190"/>
    <w:rsid w:val="0019051E"/>
    <w:rsid w:val="00190617"/>
    <w:rsid w:val="001915FE"/>
    <w:rsid w:val="001916E0"/>
    <w:rsid w:val="0019177C"/>
    <w:rsid w:val="001918D5"/>
    <w:rsid w:val="00191FFB"/>
    <w:rsid w:val="0019235B"/>
    <w:rsid w:val="00192411"/>
    <w:rsid w:val="0019270A"/>
    <w:rsid w:val="001937EB"/>
    <w:rsid w:val="00193B8B"/>
    <w:rsid w:val="001945D3"/>
    <w:rsid w:val="001948D6"/>
    <w:rsid w:val="00194D3D"/>
    <w:rsid w:val="00196604"/>
    <w:rsid w:val="001969F2"/>
    <w:rsid w:val="0019702B"/>
    <w:rsid w:val="001971E8"/>
    <w:rsid w:val="00197287"/>
    <w:rsid w:val="0019746A"/>
    <w:rsid w:val="00197C33"/>
    <w:rsid w:val="00197CCB"/>
    <w:rsid w:val="00197EB1"/>
    <w:rsid w:val="001A071E"/>
    <w:rsid w:val="001A1137"/>
    <w:rsid w:val="001A121A"/>
    <w:rsid w:val="001A1646"/>
    <w:rsid w:val="001A17E4"/>
    <w:rsid w:val="001A240E"/>
    <w:rsid w:val="001A2464"/>
    <w:rsid w:val="001A27DD"/>
    <w:rsid w:val="001A2833"/>
    <w:rsid w:val="001A31CB"/>
    <w:rsid w:val="001A358F"/>
    <w:rsid w:val="001A4498"/>
    <w:rsid w:val="001A45AE"/>
    <w:rsid w:val="001A4BD1"/>
    <w:rsid w:val="001A5480"/>
    <w:rsid w:val="001A5BA6"/>
    <w:rsid w:val="001A5E0A"/>
    <w:rsid w:val="001A6883"/>
    <w:rsid w:val="001A7711"/>
    <w:rsid w:val="001A7D4F"/>
    <w:rsid w:val="001B07AD"/>
    <w:rsid w:val="001B09FC"/>
    <w:rsid w:val="001B0D0D"/>
    <w:rsid w:val="001B1E6B"/>
    <w:rsid w:val="001B2783"/>
    <w:rsid w:val="001B2A2D"/>
    <w:rsid w:val="001B2C84"/>
    <w:rsid w:val="001B3EA4"/>
    <w:rsid w:val="001B3FDA"/>
    <w:rsid w:val="001B4098"/>
    <w:rsid w:val="001B4961"/>
    <w:rsid w:val="001B4B3D"/>
    <w:rsid w:val="001B5745"/>
    <w:rsid w:val="001B5B31"/>
    <w:rsid w:val="001B60E0"/>
    <w:rsid w:val="001B6767"/>
    <w:rsid w:val="001B68C4"/>
    <w:rsid w:val="001B7278"/>
    <w:rsid w:val="001B7550"/>
    <w:rsid w:val="001B783B"/>
    <w:rsid w:val="001B7B5F"/>
    <w:rsid w:val="001C06E6"/>
    <w:rsid w:val="001C09D6"/>
    <w:rsid w:val="001C1062"/>
    <w:rsid w:val="001C1A47"/>
    <w:rsid w:val="001C25D6"/>
    <w:rsid w:val="001C27BE"/>
    <w:rsid w:val="001C2901"/>
    <w:rsid w:val="001C2BE4"/>
    <w:rsid w:val="001C33CC"/>
    <w:rsid w:val="001C3805"/>
    <w:rsid w:val="001C3B39"/>
    <w:rsid w:val="001C4540"/>
    <w:rsid w:val="001C4A88"/>
    <w:rsid w:val="001C4E57"/>
    <w:rsid w:val="001C5490"/>
    <w:rsid w:val="001C587C"/>
    <w:rsid w:val="001C67BB"/>
    <w:rsid w:val="001C68DE"/>
    <w:rsid w:val="001C731C"/>
    <w:rsid w:val="001C76BE"/>
    <w:rsid w:val="001C7FC8"/>
    <w:rsid w:val="001D00B6"/>
    <w:rsid w:val="001D0458"/>
    <w:rsid w:val="001D0D1E"/>
    <w:rsid w:val="001D1A52"/>
    <w:rsid w:val="001D1AE5"/>
    <w:rsid w:val="001D1C87"/>
    <w:rsid w:val="001D2C31"/>
    <w:rsid w:val="001D35B8"/>
    <w:rsid w:val="001D37D7"/>
    <w:rsid w:val="001D39E7"/>
    <w:rsid w:val="001D3FC1"/>
    <w:rsid w:val="001D48EC"/>
    <w:rsid w:val="001D4D7B"/>
    <w:rsid w:val="001D4E08"/>
    <w:rsid w:val="001D4F62"/>
    <w:rsid w:val="001D5360"/>
    <w:rsid w:val="001D5D09"/>
    <w:rsid w:val="001D6219"/>
    <w:rsid w:val="001D6A2F"/>
    <w:rsid w:val="001D6C8C"/>
    <w:rsid w:val="001D6E28"/>
    <w:rsid w:val="001D6EE4"/>
    <w:rsid w:val="001D7A7B"/>
    <w:rsid w:val="001E04B4"/>
    <w:rsid w:val="001E0780"/>
    <w:rsid w:val="001E15E6"/>
    <w:rsid w:val="001E1788"/>
    <w:rsid w:val="001E1D20"/>
    <w:rsid w:val="001E2882"/>
    <w:rsid w:val="001E2955"/>
    <w:rsid w:val="001E2AB6"/>
    <w:rsid w:val="001E2FB9"/>
    <w:rsid w:val="001E34B6"/>
    <w:rsid w:val="001E3D4D"/>
    <w:rsid w:val="001E40A2"/>
    <w:rsid w:val="001E440F"/>
    <w:rsid w:val="001E5244"/>
    <w:rsid w:val="001E572D"/>
    <w:rsid w:val="001E5F31"/>
    <w:rsid w:val="001E6785"/>
    <w:rsid w:val="001E6C44"/>
    <w:rsid w:val="001E70CF"/>
    <w:rsid w:val="001F00B1"/>
    <w:rsid w:val="001F0145"/>
    <w:rsid w:val="001F02DB"/>
    <w:rsid w:val="001F0A20"/>
    <w:rsid w:val="001F15F0"/>
    <w:rsid w:val="001F189E"/>
    <w:rsid w:val="001F18B2"/>
    <w:rsid w:val="001F1A48"/>
    <w:rsid w:val="001F1E76"/>
    <w:rsid w:val="001F2F86"/>
    <w:rsid w:val="001F30E8"/>
    <w:rsid w:val="001F3AF5"/>
    <w:rsid w:val="001F3D87"/>
    <w:rsid w:val="001F43BC"/>
    <w:rsid w:val="001F455C"/>
    <w:rsid w:val="001F4D15"/>
    <w:rsid w:val="001F4D4A"/>
    <w:rsid w:val="001F4F05"/>
    <w:rsid w:val="001F5694"/>
    <w:rsid w:val="001F59AE"/>
    <w:rsid w:val="001F61A5"/>
    <w:rsid w:val="001F6902"/>
    <w:rsid w:val="001F6BD3"/>
    <w:rsid w:val="001F71D7"/>
    <w:rsid w:val="001F7606"/>
    <w:rsid w:val="001F7E63"/>
    <w:rsid w:val="0020043C"/>
    <w:rsid w:val="002007F3"/>
    <w:rsid w:val="00200DC2"/>
    <w:rsid w:val="00200FF3"/>
    <w:rsid w:val="00201468"/>
    <w:rsid w:val="002015FB"/>
    <w:rsid w:val="00201618"/>
    <w:rsid w:val="0020203F"/>
    <w:rsid w:val="00202508"/>
    <w:rsid w:val="0020276D"/>
    <w:rsid w:val="00202B3B"/>
    <w:rsid w:val="00202E12"/>
    <w:rsid w:val="0020379C"/>
    <w:rsid w:val="00203B9D"/>
    <w:rsid w:val="00203C29"/>
    <w:rsid w:val="00203E8E"/>
    <w:rsid w:val="00204036"/>
    <w:rsid w:val="0020464E"/>
    <w:rsid w:val="002047DF"/>
    <w:rsid w:val="00204909"/>
    <w:rsid w:val="002051AC"/>
    <w:rsid w:val="00205494"/>
    <w:rsid w:val="002056A3"/>
    <w:rsid w:val="0020600A"/>
    <w:rsid w:val="00207B65"/>
    <w:rsid w:val="00207CB2"/>
    <w:rsid w:val="00210C2E"/>
    <w:rsid w:val="002110D2"/>
    <w:rsid w:val="00211558"/>
    <w:rsid w:val="002115FF"/>
    <w:rsid w:val="00211C6F"/>
    <w:rsid w:val="0021243B"/>
    <w:rsid w:val="002132F6"/>
    <w:rsid w:val="002137CC"/>
    <w:rsid w:val="00213B8D"/>
    <w:rsid w:val="00213FEA"/>
    <w:rsid w:val="002152E0"/>
    <w:rsid w:val="00216093"/>
    <w:rsid w:val="00216D68"/>
    <w:rsid w:val="00217076"/>
    <w:rsid w:val="00220019"/>
    <w:rsid w:val="002203AF"/>
    <w:rsid w:val="00220DDE"/>
    <w:rsid w:val="00221EC3"/>
    <w:rsid w:val="00222936"/>
    <w:rsid w:val="00222AB5"/>
    <w:rsid w:val="00222B1B"/>
    <w:rsid w:val="002247FD"/>
    <w:rsid w:val="00224F9A"/>
    <w:rsid w:val="0022507B"/>
    <w:rsid w:val="00225ED1"/>
    <w:rsid w:val="00226DC1"/>
    <w:rsid w:val="00226FC0"/>
    <w:rsid w:val="002273E0"/>
    <w:rsid w:val="00227525"/>
    <w:rsid w:val="00227928"/>
    <w:rsid w:val="002279E2"/>
    <w:rsid w:val="00227F11"/>
    <w:rsid w:val="00231703"/>
    <w:rsid w:val="00231822"/>
    <w:rsid w:val="00231BCD"/>
    <w:rsid w:val="002320DE"/>
    <w:rsid w:val="00232A7C"/>
    <w:rsid w:val="00232C76"/>
    <w:rsid w:val="00232F56"/>
    <w:rsid w:val="00233FE4"/>
    <w:rsid w:val="0023504D"/>
    <w:rsid w:val="002352B6"/>
    <w:rsid w:val="00235719"/>
    <w:rsid w:val="002357EF"/>
    <w:rsid w:val="00235CDA"/>
    <w:rsid w:val="002368AD"/>
    <w:rsid w:val="00236D33"/>
    <w:rsid w:val="00236F6A"/>
    <w:rsid w:val="0023765D"/>
    <w:rsid w:val="00237CEB"/>
    <w:rsid w:val="00237E92"/>
    <w:rsid w:val="0024044B"/>
    <w:rsid w:val="002404F7"/>
    <w:rsid w:val="0024083A"/>
    <w:rsid w:val="002410E6"/>
    <w:rsid w:val="00241420"/>
    <w:rsid w:val="00241508"/>
    <w:rsid w:val="00241616"/>
    <w:rsid w:val="00241665"/>
    <w:rsid w:val="002417D9"/>
    <w:rsid w:val="00242A11"/>
    <w:rsid w:val="00243EC1"/>
    <w:rsid w:val="00245219"/>
    <w:rsid w:val="0024567E"/>
    <w:rsid w:val="00246091"/>
    <w:rsid w:val="002465AF"/>
    <w:rsid w:val="00247162"/>
    <w:rsid w:val="00250C3F"/>
    <w:rsid w:val="002514EA"/>
    <w:rsid w:val="00252C1A"/>
    <w:rsid w:val="00252F6E"/>
    <w:rsid w:val="002530E7"/>
    <w:rsid w:val="002536B9"/>
    <w:rsid w:val="002536C3"/>
    <w:rsid w:val="002537D0"/>
    <w:rsid w:val="0025396A"/>
    <w:rsid w:val="00253F2A"/>
    <w:rsid w:val="0025431A"/>
    <w:rsid w:val="002546A1"/>
    <w:rsid w:val="002546DE"/>
    <w:rsid w:val="002548ED"/>
    <w:rsid w:val="00254C17"/>
    <w:rsid w:val="002553CA"/>
    <w:rsid w:val="00255667"/>
    <w:rsid w:val="002556F5"/>
    <w:rsid w:val="00256051"/>
    <w:rsid w:val="0025651A"/>
    <w:rsid w:val="00257025"/>
    <w:rsid w:val="002578C7"/>
    <w:rsid w:val="002604D9"/>
    <w:rsid w:val="002608E6"/>
    <w:rsid w:val="00261E6C"/>
    <w:rsid w:val="0026342C"/>
    <w:rsid w:val="0026390D"/>
    <w:rsid w:val="00263958"/>
    <w:rsid w:val="00264B00"/>
    <w:rsid w:val="00264D7C"/>
    <w:rsid w:val="0026501D"/>
    <w:rsid w:val="002655ED"/>
    <w:rsid w:val="00265ABB"/>
    <w:rsid w:val="002665D0"/>
    <w:rsid w:val="00266723"/>
    <w:rsid w:val="00266878"/>
    <w:rsid w:val="00266F89"/>
    <w:rsid w:val="002672BB"/>
    <w:rsid w:val="00267BAC"/>
    <w:rsid w:val="002708C5"/>
    <w:rsid w:val="00271391"/>
    <w:rsid w:val="0027223C"/>
    <w:rsid w:val="0027255A"/>
    <w:rsid w:val="0027331C"/>
    <w:rsid w:val="0027401E"/>
    <w:rsid w:val="002749B5"/>
    <w:rsid w:val="00274AA8"/>
    <w:rsid w:val="002767A3"/>
    <w:rsid w:val="0027730D"/>
    <w:rsid w:val="002779DE"/>
    <w:rsid w:val="00277A56"/>
    <w:rsid w:val="00277EB7"/>
    <w:rsid w:val="002801A0"/>
    <w:rsid w:val="002803BA"/>
    <w:rsid w:val="00281548"/>
    <w:rsid w:val="0028177B"/>
    <w:rsid w:val="00282272"/>
    <w:rsid w:val="00282360"/>
    <w:rsid w:val="002826D5"/>
    <w:rsid w:val="00282E64"/>
    <w:rsid w:val="00283351"/>
    <w:rsid w:val="00283D8B"/>
    <w:rsid w:val="002841B9"/>
    <w:rsid w:val="0028420A"/>
    <w:rsid w:val="00284E6F"/>
    <w:rsid w:val="00286FA0"/>
    <w:rsid w:val="00287D78"/>
    <w:rsid w:val="00290005"/>
    <w:rsid w:val="002900AA"/>
    <w:rsid w:val="002902C7"/>
    <w:rsid w:val="0029050E"/>
    <w:rsid w:val="00291DA0"/>
    <w:rsid w:val="00291ECB"/>
    <w:rsid w:val="00292641"/>
    <w:rsid w:val="00292773"/>
    <w:rsid w:val="002932AB"/>
    <w:rsid w:val="002939AF"/>
    <w:rsid w:val="00294393"/>
    <w:rsid w:val="00294BF3"/>
    <w:rsid w:val="00297847"/>
    <w:rsid w:val="002A031B"/>
    <w:rsid w:val="002A0602"/>
    <w:rsid w:val="002A08EC"/>
    <w:rsid w:val="002A0D55"/>
    <w:rsid w:val="002A16CB"/>
    <w:rsid w:val="002A1BCD"/>
    <w:rsid w:val="002A282C"/>
    <w:rsid w:val="002A3403"/>
    <w:rsid w:val="002A3929"/>
    <w:rsid w:val="002A3E06"/>
    <w:rsid w:val="002A43E1"/>
    <w:rsid w:val="002A4672"/>
    <w:rsid w:val="002A4CB8"/>
    <w:rsid w:val="002A63BC"/>
    <w:rsid w:val="002A669C"/>
    <w:rsid w:val="002A68D6"/>
    <w:rsid w:val="002A6C89"/>
    <w:rsid w:val="002A7A33"/>
    <w:rsid w:val="002A7E65"/>
    <w:rsid w:val="002A7E9D"/>
    <w:rsid w:val="002A7FC7"/>
    <w:rsid w:val="002B029A"/>
    <w:rsid w:val="002B0852"/>
    <w:rsid w:val="002B0D9E"/>
    <w:rsid w:val="002B18F9"/>
    <w:rsid w:val="002B1DB8"/>
    <w:rsid w:val="002B21EC"/>
    <w:rsid w:val="002B3010"/>
    <w:rsid w:val="002B3622"/>
    <w:rsid w:val="002B3713"/>
    <w:rsid w:val="002B3D34"/>
    <w:rsid w:val="002B448F"/>
    <w:rsid w:val="002B49C6"/>
    <w:rsid w:val="002B4F12"/>
    <w:rsid w:val="002B4FBF"/>
    <w:rsid w:val="002B53AE"/>
    <w:rsid w:val="002B5492"/>
    <w:rsid w:val="002B5572"/>
    <w:rsid w:val="002B561C"/>
    <w:rsid w:val="002B6197"/>
    <w:rsid w:val="002B6E12"/>
    <w:rsid w:val="002B7250"/>
    <w:rsid w:val="002B7DFE"/>
    <w:rsid w:val="002B7E09"/>
    <w:rsid w:val="002B7F60"/>
    <w:rsid w:val="002C173F"/>
    <w:rsid w:val="002C17B9"/>
    <w:rsid w:val="002C1BB9"/>
    <w:rsid w:val="002C1D56"/>
    <w:rsid w:val="002C1E37"/>
    <w:rsid w:val="002C207C"/>
    <w:rsid w:val="002C2628"/>
    <w:rsid w:val="002C2F0E"/>
    <w:rsid w:val="002C35AC"/>
    <w:rsid w:val="002C38F1"/>
    <w:rsid w:val="002C3FAC"/>
    <w:rsid w:val="002C4E1F"/>
    <w:rsid w:val="002C505D"/>
    <w:rsid w:val="002C5BAB"/>
    <w:rsid w:val="002C5EC5"/>
    <w:rsid w:val="002C718C"/>
    <w:rsid w:val="002C7A97"/>
    <w:rsid w:val="002C7B1A"/>
    <w:rsid w:val="002C7DE4"/>
    <w:rsid w:val="002D006E"/>
    <w:rsid w:val="002D108C"/>
    <w:rsid w:val="002D12BF"/>
    <w:rsid w:val="002D151E"/>
    <w:rsid w:val="002D1D55"/>
    <w:rsid w:val="002D2147"/>
    <w:rsid w:val="002D26CF"/>
    <w:rsid w:val="002D33C1"/>
    <w:rsid w:val="002D364E"/>
    <w:rsid w:val="002D3961"/>
    <w:rsid w:val="002D39F2"/>
    <w:rsid w:val="002D4D86"/>
    <w:rsid w:val="002D558D"/>
    <w:rsid w:val="002D5EBD"/>
    <w:rsid w:val="002D626F"/>
    <w:rsid w:val="002D6B89"/>
    <w:rsid w:val="002D6EB1"/>
    <w:rsid w:val="002D6FE2"/>
    <w:rsid w:val="002D70FB"/>
    <w:rsid w:val="002E01BA"/>
    <w:rsid w:val="002E0603"/>
    <w:rsid w:val="002E0B00"/>
    <w:rsid w:val="002E16F8"/>
    <w:rsid w:val="002E24CE"/>
    <w:rsid w:val="002E3141"/>
    <w:rsid w:val="002E389B"/>
    <w:rsid w:val="002E3C50"/>
    <w:rsid w:val="002E3E19"/>
    <w:rsid w:val="002E4B70"/>
    <w:rsid w:val="002E5200"/>
    <w:rsid w:val="002E573A"/>
    <w:rsid w:val="002E59D8"/>
    <w:rsid w:val="002E62FD"/>
    <w:rsid w:val="002E66D5"/>
    <w:rsid w:val="002F0031"/>
    <w:rsid w:val="002F0ABD"/>
    <w:rsid w:val="002F0E9B"/>
    <w:rsid w:val="002F0F45"/>
    <w:rsid w:val="002F1174"/>
    <w:rsid w:val="002F1D51"/>
    <w:rsid w:val="002F1FA6"/>
    <w:rsid w:val="002F20F9"/>
    <w:rsid w:val="002F2138"/>
    <w:rsid w:val="002F2171"/>
    <w:rsid w:val="002F2321"/>
    <w:rsid w:val="002F2464"/>
    <w:rsid w:val="002F2698"/>
    <w:rsid w:val="002F28B2"/>
    <w:rsid w:val="002F299D"/>
    <w:rsid w:val="002F2AD5"/>
    <w:rsid w:val="002F2FAF"/>
    <w:rsid w:val="002F325D"/>
    <w:rsid w:val="002F32B9"/>
    <w:rsid w:val="002F331F"/>
    <w:rsid w:val="002F38A5"/>
    <w:rsid w:val="002F3A3F"/>
    <w:rsid w:val="002F40FA"/>
    <w:rsid w:val="002F449D"/>
    <w:rsid w:val="002F6271"/>
    <w:rsid w:val="002F6685"/>
    <w:rsid w:val="002F66F8"/>
    <w:rsid w:val="002F6C7D"/>
    <w:rsid w:val="002F74E3"/>
    <w:rsid w:val="0030020F"/>
    <w:rsid w:val="0030073A"/>
    <w:rsid w:val="003013B2"/>
    <w:rsid w:val="00301B47"/>
    <w:rsid w:val="0030213A"/>
    <w:rsid w:val="0030218B"/>
    <w:rsid w:val="00302215"/>
    <w:rsid w:val="003027C2"/>
    <w:rsid w:val="003029BA"/>
    <w:rsid w:val="003030F6"/>
    <w:rsid w:val="00303184"/>
    <w:rsid w:val="00303685"/>
    <w:rsid w:val="003037C6"/>
    <w:rsid w:val="00304459"/>
    <w:rsid w:val="00304A50"/>
    <w:rsid w:val="00304D79"/>
    <w:rsid w:val="00305C5C"/>
    <w:rsid w:val="003068D3"/>
    <w:rsid w:val="00307272"/>
    <w:rsid w:val="00307701"/>
    <w:rsid w:val="00307936"/>
    <w:rsid w:val="00307AD9"/>
    <w:rsid w:val="0031142B"/>
    <w:rsid w:val="00311A55"/>
    <w:rsid w:val="00311EE9"/>
    <w:rsid w:val="003130DC"/>
    <w:rsid w:val="00313195"/>
    <w:rsid w:val="0031321D"/>
    <w:rsid w:val="00313A7D"/>
    <w:rsid w:val="00313C78"/>
    <w:rsid w:val="0031414A"/>
    <w:rsid w:val="003142DF"/>
    <w:rsid w:val="0031527C"/>
    <w:rsid w:val="00315696"/>
    <w:rsid w:val="003158CD"/>
    <w:rsid w:val="00315AA1"/>
    <w:rsid w:val="00315C04"/>
    <w:rsid w:val="00316023"/>
    <w:rsid w:val="00316499"/>
    <w:rsid w:val="0031668B"/>
    <w:rsid w:val="0031676E"/>
    <w:rsid w:val="0031704C"/>
    <w:rsid w:val="00317F08"/>
    <w:rsid w:val="00317FF2"/>
    <w:rsid w:val="0032047E"/>
    <w:rsid w:val="003209F0"/>
    <w:rsid w:val="0032149D"/>
    <w:rsid w:val="00321592"/>
    <w:rsid w:val="00321DD3"/>
    <w:rsid w:val="00322501"/>
    <w:rsid w:val="00322768"/>
    <w:rsid w:val="00322EF3"/>
    <w:rsid w:val="003247B0"/>
    <w:rsid w:val="00324E88"/>
    <w:rsid w:val="003266F3"/>
    <w:rsid w:val="00326B1C"/>
    <w:rsid w:val="00327066"/>
    <w:rsid w:val="003303B1"/>
    <w:rsid w:val="003306CF"/>
    <w:rsid w:val="00330B74"/>
    <w:rsid w:val="00330E73"/>
    <w:rsid w:val="0033245E"/>
    <w:rsid w:val="00332970"/>
    <w:rsid w:val="00333547"/>
    <w:rsid w:val="003335EA"/>
    <w:rsid w:val="00333715"/>
    <w:rsid w:val="00334627"/>
    <w:rsid w:val="003352C4"/>
    <w:rsid w:val="00335336"/>
    <w:rsid w:val="0033537C"/>
    <w:rsid w:val="00335807"/>
    <w:rsid w:val="00335B5C"/>
    <w:rsid w:val="00335CE7"/>
    <w:rsid w:val="00335D67"/>
    <w:rsid w:val="0033699E"/>
    <w:rsid w:val="00340BF7"/>
    <w:rsid w:val="0034120A"/>
    <w:rsid w:val="00341621"/>
    <w:rsid w:val="003433AF"/>
    <w:rsid w:val="00343459"/>
    <w:rsid w:val="00343614"/>
    <w:rsid w:val="0034361F"/>
    <w:rsid w:val="00343BBC"/>
    <w:rsid w:val="00343C53"/>
    <w:rsid w:val="00343CE5"/>
    <w:rsid w:val="003445FE"/>
    <w:rsid w:val="0034465C"/>
    <w:rsid w:val="0034514D"/>
    <w:rsid w:val="00345376"/>
    <w:rsid w:val="00346D4E"/>
    <w:rsid w:val="00347560"/>
    <w:rsid w:val="0035035E"/>
    <w:rsid w:val="003508CB"/>
    <w:rsid w:val="003508E8"/>
    <w:rsid w:val="00350D95"/>
    <w:rsid w:val="003515A5"/>
    <w:rsid w:val="003520A1"/>
    <w:rsid w:val="0035279D"/>
    <w:rsid w:val="00352DAE"/>
    <w:rsid w:val="00352E09"/>
    <w:rsid w:val="003533DF"/>
    <w:rsid w:val="00353A02"/>
    <w:rsid w:val="003541FC"/>
    <w:rsid w:val="003546AC"/>
    <w:rsid w:val="00354988"/>
    <w:rsid w:val="00354F1B"/>
    <w:rsid w:val="00355107"/>
    <w:rsid w:val="0035569F"/>
    <w:rsid w:val="00355F05"/>
    <w:rsid w:val="0035626D"/>
    <w:rsid w:val="0035693C"/>
    <w:rsid w:val="00357144"/>
    <w:rsid w:val="00357505"/>
    <w:rsid w:val="00357BE2"/>
    <w:rsid w:val="003602B9"/>
    <w:rsid w:val="00360D83"/>
    <w:rsid w:val="00361063"/>
    <w:rsid w:val="003615E5"/>
    <w:rsid w:val="00361B99"/>
    <w:rsid w:val="00362F19"/>
    <w:rsid w:val="0036318F"/>
    <w:rsid w:val="00363658"/>
    <w:rsid w:val="00363B23"/>
    <w:rsid w:val="003641E5"/>
    <w:rsid w:val="00364699"/>
    <w:rsid w:val="003647C1"/>
    <w:rsid w:val="00364D24"/>
    <w:rsid w:val="0036504A"/>
    <w:rsid w:val="00365118"/>
    <w:rsid w:val="003664E8"/>
    <w:rsid w:val="00366DE4"/>
    <w:rsid w:val="003670C8"/>
    <w:rsid w:val="00367366"/>
    <w:rsid w:val="00367F0A"/>
    <w:rsid w:val="00370077"/>
    <w:rsid w:val="00370F4A"/>
    <w:rsid w:val="0037180B"/>
    <w:rsid w:val="003725A6"/>
    <w:rsid w:val="00372B73"/>
    <w:rsid w:val="00372C15"/>
    <w:rsid w:val="003739AE"/>
    <w:rsid w:val="003740B4"/>
    <w:rsid w:val="0037424E"/>
    <w:rsid w:val="003744EC"/>
    <w:rsid w:val="00374707"/>
    <w:rsid w:val="00375116"/>
    <w:rsid w:val="003756CC"/>
    <w:rsid w:val="00375B8D"/>
    <w:rsid w:val="00375D76"/>
    <w:rsid w:val="00376089"/>
    <w:rsid w:val="00376BE6"/>
    <w:rsid w:val="00376C9F"/>
    <w:rsid w:val="00377289"/>
    <w:rsid w:val="00377DA7"/>
    <w:rsid w:val="00377DAD"/>
    <w:rsid w:val="00377E95"/>
    <w:rsid w:val="003802EB"/>
    <w:rsid w:val="00380FF0"/>
    <w:rsid w:val="003818CF"/>
    <w:rsid w:val="00381E77"/>
    <w:rsid w:val="00381F58"/>
    <w:rsid w:val="00381F99"/>
    <w:rsid w:val="00382112"/>
    <w:rsid w:val="003830DC"/>
    <w:rsid w:val="003834BC"/>
    <w:rsid w:val="00384326"/>
    <w:rsid w:val="00384366"/>
    <w:rsid w:val="0038448F"/>
    <w:rsid w:val="003848D9"/>
    <w:rsid w:val="0038671F"/>
    <w:rsid w:val="00386A2C"/>
    <w:rsid w:val="00386C11"/>
    <w:rsid w:val="00386D59"/>
    <w:rsid w:val="00387181"/>
    <w:rsid w:val="003873A4"/>
    <w:rsid w:val="00387C61"/>
    <w:rsid w:val="00387CDB"/>
    <w:rsid w:val="0039215D"/>
    <w:rsid w:val="00392250"/>
    <w:rsid w:val="00392616"/>
    <w:rsid w:val="00392FBA"/>
    <w:rsid w:val="00393356"/>
    <w:rsid w:val="00393427"/>
    <w:rsid w:val="00393E60"/>
    <w:rsid w:val="00393FE8"/>
    <w:rsid w:val="00394974"/>
    <w:rsid w:val="00395794"/>
    <w:rsid w:val="00395A70"/>
    <w:rsid w:val="00396BA4"/>
    <w:rsid w:val="00396E87"/>
    <w:rsid w:val="0039723B"/>
    <w:rsid w:val="003974B0"/>
    <w:rsid w:val="00397557"/>
    <w:rsid w:val="00397BB2"/>
    <w:rsid w:val="003A0BA6"/>
    <w:rsid w:val="003A1648"/>
    <w:rsid w:val="003A2514"/>
    <w:rsid w:val="003A26B2"/>
    <w:rsid w:val="003A30FD"/>
    <w:rsid w:val="003A3189"/>
    <w:rsid w:val="003A33FA"/>
    <w:rsid w:val="003A38CE"/>
    <w:rsid w:val="003A3ECA"/>
    <w:rsid w:val="003A4265"/>
    <w:rsid w:val="003A4729"/>
    <w:rsid w:val="003A47BD"/>
    <w:rsid w:val="003A4BEF"/>
    <w:rsid w:val="003A54AA"/>
    <w:rsid w:val="003A56EB"/>
    <w:rsid w:val="003A650E"/>
    <w:rsid w:val="003A661C"/>
    <w:rsid w:val="003A71AC"/>
    <w:rsid w:val="003A7CBD"/>
    <w:rsid w:val="003B0006"/>
    <w:rsid w:val="003B057C"/>
    <w:rsid w:val="003B19B2"/>
    <w:rsid w:val="003B22CE"/>
    <w:rsid w:val="003B2369"/>
    <w:rsid w:val="003B327A"/>
    <w:rsid w:val="003B32C1"/>
    <w:rsid w:val="003B3870"/>
    <w:rsid w:val="003B3D82"/>
    <w:rsid w:val="003B4139"/>
    <w:rsid w:val="003B468F"/>
    <w:rsid w:val="003B4976"/>
    <w:rsid w:val="003B5208"/>
    <w:rsid w:val="003B61A6"/>
    <w:rsid w:val="003B652F"/>
    <w:rsid w:val="003B7383"/>
    <w:rsid w:val="003C093A"/>
    <w:rsid w:val="003C0AAA"/>
    <w:rsid w:val="003C12CD"/>
    <w:rsid w:val="003C27F3"/>
    <w:rsid w:val="003C322F"/>
    <w:rsid w:val="003C3614"/>
    <w:rsid w:val="003C6003"/>
    <w:rsid w:val="003C6151"/>
    <w:rsid w:val="003C6348"/>
    <w:rsid w:val="003C65F2"/>
    <w:rsid w:val="003C74A8"/>
    <w:rsid w:val="003C766C"/>
    <w:rsid w:val="003C7F1F"/>
    <w:rsid w:val="003D039F"/>
    <w:rsid w:val="003D0876"/>
    <w:rsid w:val="003D0CB1"/>
    <w:rsid w:val="003D1FE4"/>
    <w:rsid w:val="003D205E"/>
    <w:rsid w:val="003D2FA0"/>
    <w:rsid w:val="003D3E88"/>
    <w:rsid w:val="003D49F0"/>
    <w:rsid w:val="003D4F24"/>
    <w:rsid w:val="003D5870"/>
    <w:rsid w:val="003D5BEB"/>
    <w:rsid w:val="003D5CF5"/>
    <w:rsid w:val="003D7616"/>
    <w:rsid w:val="003E011C"/>
    <w:rsid w:val="003E01E4"/>
    <w:rsid w:val="003E14F1"/>
    <w:rsid w:val="003E15C6"/>
    <w:rsid w:val="003E1AB0"/>
    <w:rsid w:val="003E1FAA"/>
    <w:rsid w:val="003E2A84"/>
    <w:rsid w:val="003E35B0"/>
    <w:rsid w:val="003E4571"/>
    <w:rsid w:val="003E4607"/>
    <w:rsid w:val="003E50A8"/>
    <w:rsid w:val="003E5444"/>
    <w:rsid w:val="003E5641"/>
    <w:rsid w:val="003E5882"/>
    <w:rsid w:val="003E6061"/>
    <w:rsid w:val="003E6DCA"/>
    <w:rsid w:val="003E775B"/>
    <w:rsid w:val="003E7958"/>
    <w:rsid w:val="003E79A8"/>
    <w:rsid w:val="003E7A4B"/>
    <w:rsid w:val="003E7A70"/>
    <w:rsid w:val="003E7FFC"/>
    <w:rsid w:val="003F01CC"/>
    <w:rsid w:val="003F0503"/>
    <w:rsid w:val="003F094A"/>
    <w:rsid w:val="003F1947"/>
    <w:rsid w:val="003F2296"/>
    <w:rsid w:val="003F350C"/>
    <w:rsid w:val="003F353F"/>
    <w:rsid w:val="003F39C6"/>
    <w:rsid w:val="003F3EE3"/>
    <w:rsid w:val="003F425E"/>
    <w:rsid w:val="003F4452"/>
    <w:rsid w:val="003F450C"/>
    <w:rsid w:val="003F489C"/>
    <w:rsid w:val="003F524C"/>
    <w:rsid w:val="003F5AD4"/>
    <w:rsid w:val="003F5DA5"/>
    <w:rsid w:val="003F5E06"/>
    <w:rsid w:val="003F78BE"/>
    <w:rsid w:val="003F7D49"/>
    <w:rsid w:val="004005E2"/>
    <w:rsid w:val="004006CB"/>
    <w:rsid w:val="00400C9F"/>
    <w:rsid w:val="00400D02"/>
    <w:rsid w:val="00401259"/>
    <w:rsid w:val="00401748"/>
    <w:rsid w:val="00401C30"/>
    <w:rsid w:val="00402214"/>
    <w:rsid w:val="00402364"/>
    <w:rsid w:val="00402986"/>
    <w:rsid w:val="00402D2F"/>
    <w:rsid w:val="004036C3"/>
    <w:rsid w:val="00403D8A"/>
    <w:rsid w:val="004048EA"/>
    <w:rsid w:val="00404B03"/>
    <w:rsid w:val="00404FE3"/>
    <w:rsid w:val="00405248"/>
    <w:rsid w:val="004055A9"/>
    <w:rsid w:val="0040560F"/>
    <w:rsid w:val="00405615"/>
    <w:rsid w:val="004056F1"/>
    <w:rsid w:val="00405878"/>
    <w:rsid w:val="0040592A"/>
    <w:rsid w:val="004063F2"/>
    <w:rsid w:val="00406494"/>
    <w:rsid w:val="00406AD7"/>
    <w:rsid w:val="00406BD1"/>
    <w:rsid w:val="00406E03"/>
    <w:rsid w:val="00406EF5"/>
    <w:rsid w:val="004072B2"/>
    <w:rsid w:val="004073F1"/>
    <w:rsid w:val="004076EB"/>
    <w:rsid w:val="0040785F"/>
    <w:rsid w:val="00410068"/>
    <w:rsid w:val="00410453"/>
    <w:rsid w:val="00410E7C"/>
    <w:rsid w:val="004122FF"/>
    <w:rsid w:val="00414410"/>
    <w:rsid w:val="004147A6"/>
    <w:rsid w:val="0041483C"/>
    <w:rsid w:val="00414A80"/>
    <w:rsid w:val="00415CB2"/>
    <w:rsid w:val="00415E8D"/>
    <w:rsid w:val="0041626D"/>
    <w:rsid w:val="004162E6"/>
    <w:rsid w:val="0041641D"/>
    <w:rsid w:val="00416826"/>
    <w:rsid w:val="00417AB6"/>
    <w:rsid w:val="0042090B"/>
    <w:rsid w:val="004209A2"/>
    <w:rsid w:val="004209EA"/>
    <w:rsid w:val="00420BC4"/>
    <w:rsid w:val="004211CD"/>
    <w:rsid w:val="0042122D"/>
    <w:rsid w:val="00421A93"/>
    <w:rsid w:val="00421F7E"/>
    <w:rsid w:val="00422394"/>
    <w:rsid w:val="0042257A"/>
    <w:rsid w:val="00422A73"/>
    <w:rsid w:val="00422BD0"/>
    <w:rsid w:val="00424886"/>
    <w:rsid w:val="00425DBD"/>
    <w:rsid w:val="00425F24"/>
    <w:rsid w:val="00426E1D"/>
    <w:rsid w:val="004277CC"/>
    <w:rsid w:val="00427AFE"/>
    <w:rsid w:val="00427EA2"/>
    <w:rsid w:val="00427F76"/>
    <w:rsid w:val="0043034E"/>
    <w:rsid w:val="00430732"/>
    <w:rsid w:val="004316C5"/>
    <w:rsid w:val="00431A89"/>
    <w:rsid w:val="00431F54"/>
    <w:rsid w:val="00433388"/>
    <w:rsid w:val="004333B9"/>
    <w:rsid w:val="004339F1"/>
    <w:rsid w:val="00433C1B"/>
    <w:rsid w:val="00433CD1"/>
    <w:rsid w:val="00434246"/>
    <w:rsid w:val="0043489E"/>
    <w:rsid w:val="004349B7"/>
    <w:rsid w:val="00434AA4"/>
    <w:rsid w:val="00434C59"/>
    <w:rsid w:val="00434D82"/>
    <w:rsid w:val="0043518A"/>
    <w:rsid w:val="00435308"/>
    <w:rsid w:val="004356C7"/>
    <w:rsid w:val="00435D98"/>
    <w:rsid w:val="00435DA7"/>
    <w:rsid w:val="00436208"/>
    <w:rsid w:val="00436706"/>
    <w:rsid w:val="00436BC9"/>
    <w:rsid w:val="004371F7"/>
    <w:rsid w:val="00440B89"/>
    <w:rsid w:val="00440FCC"/>
    <w:rsid w:val="00441784"/>
    <w:rsid w:val="00442942"/>
    <w:rsid w:val="0044330B"/>
    <w:rsid w:val="004435D7"/>
    <w:rsid w:val="004436C9"/>
    <w:rsid w:val="004438F3"/>
    <w:rsid w:val="00444403"/>
    <w:rsid w:val="00444774"/>
    <w:rsid w:val="004448DA"/>
    <w:rsid w:val="0044503D"/>
    <w:rsid w:val="0044544C"/>
    <w:rsid w:val="004459FE"/>
    <w:rsid w:val="00445B4C"/>
    <w:rsid w:val="00445C6C"/>
    <w:rsid w:val="00445D35"/>
    <w:rsid w:val="0044601C"/>
    <w:rsid w:val="004463AC"/>
    <w:rsid w:val="004475B2"/>
    <w:rsid w:val="004478C1"/>
    <w:rsid w:val="00450079"/>
    <w:rsid w:val="00450D1C"/>
    <w:rsid w:val="00450D97"/>
    <w:rsid w:val="00450E02"/>
    <w:rsid w:val="00451BEC"/>
    <w:rsid w:val="00451FA6"/>
    <w:rsid w:val="0045243C"/>
    <w:rsid w:val="00452790"/>
    <w:rsid w:val="004527B8"/>
    <w:rsid w:val="00452891"/>
    <w:rsid w:val="00452A5F"/>
    <w:rsid w:val="004537DC"/>
    <w:rsid w:val="0045403E"/>
    <w:rsid w:val="00454EB9"/>
    <w:rsid w:val="004551BD"/>
    <w:rsid w:val="0045546A"/>
    <w:rsid w:val="00455570"/>
    <w:rsid w:val="00455D46"/>
    <w:rsid w:val="00456FD6"/>
    <w:rsid w:val="004601C6"/>
    <w:rsid w:val="00460434"/>
    <w:rsid w:val="00460794"/>
    <w:rsid w:val="00460990"/>
    <w:rsid w:val="00460A7B"/>
    <w:rsid w:val="00460B18"/>
    <w:rsid w:val="00460CE2"/>
    <w:rsid w:val="00461799"/>
    <w:rsid w:val="004618E6"/>
    <w:rsid w:val="004620B5"/>
    <w:rsid w:val="0046217A"/>
    <w:rsid w:val="00462243"/>
    <w:rsid w:val="00462261"/>
    <w:rsid w:val="00462277"/>
    <w:rsid w:val="00462771"/>
    <w:rsid w:val="0046321D"/>
    <w:rsid w:val="00463826"/>
    <w:rsid w:val="00463837"/>
    <w:rsid w:val="00463CCD"/>
    <w:rsid w:val="0046456F"/>
    <w:rsid w:val="00464617"/>
    <w:rsid w:val="004647E9"/>
    <w:rsid w:val="00464839"/>
    <w:rsid w:val="0046498F"/>
    <w:rsid w:val="00464A51"/>
    <w:rsid w:val="00464C90"/>
    <w:rsid w:val="00465374"/>
    <w:rsid w:val="0046598E"/>
    <w:rsid w:val="00466979"/>
    <w:rsid w:val="00466F97"/>
    <w:rsid w:val="004670B0"/>
    <w:rsid w:val="00467CB5"/>
    <w:rsid w:val="00467CCD"/>
    <w:rsid w:val="0047003F"/>
    <w:rsid w:val="004704FB"/>
    <w:rsid w:val="004705EB"/>
    <w:rsid w:val="0047071D"/>
    <w:rsid w:val="00470F22"/>
    <w:rsid w:val="00471191"/>
    <w:rsid w:val="00471217"/>
    <w:rsid w:val="0047157B"/>
    <w:rsid w:val="00471980"/>
    <w:rsid w:val="00471B54"/>
    <w:rsid w:val="004721F8"/>
    <w:rsid w:val="00472418"/>
    <w:rsid w:val="00472563"/>
    <w:rsid w:val="00472664"/>
    <w:rsid w:val="00473CC5"/>
    <w:rsid w:val="00473EF3"/>
    <w:rsid w:val="004742F5"/>
    <w:rsid w:val="004743E9"/>
    <w:rsid w:val="00474431"/>
    <w:rsid w:val="00474484"/>
    <w:rsid w:val="0047462D"/>
    <w:rsid w:val="00475001"/>
    <w:rsid w:val="004750A8"/>
    <w:rsid w:val="00475443"/>
    <w:rsid w:val="0047545E"/>
    <w:rsid w:val="00475BC2"/>
    <w:rsid w:val="00475FDB"/>
    <w:rsid w:val="00476203"/>
    <w:rsid w:val="00476D0D"/>
    <w:rsid w:val="00480867"/>
    <w:rsid w:val="00480F0C"/>
    <w:rsid w:val="00481097"/>
    <w:rsid w:val="0048195E"/>
    <w:rsid w:val="00481E65"/>
    <w:rsid w:val="00482080"/>
    <w:rsid w:val="00482185"/>
    <w:rsid w:val="0048220C"/>
    <w:rsid w:val="00482D61"/>
    <w:rsid w:val="004836F2"/>
    <w:rsid w:val="00483907"/>
    <w:rsid w:val="00483AAB"/>
    <w:rsid w:val="004848BB"/>
    <w:rsid w:val="00484E8F"/>
    <w:rsid w:val="004851AF"/>
    <w:rsid w:val="004856FB"/>
    <w:rsid w:val="00485DA7"/>
    <w:rsid w:val="00485DFE"/>
    <w:rsid w:val="00486025"/>
    <w:rsid w:val="0048642B"/>
    <w:rsid w:val="00490204"/>
    <w:rsid w:val="004904E2"/>
    <w:rsid w:val="00490764"/>
    <w:rsid w:val="004908F3"/>
    <w:rsid w:val="00491FF7"/>
    <w:rsid w:val="004922E6"/>
    <w:rsid w:val="00493387"/>
    <w:rsid w:val="00493430"/>
    <w:rsid w:val="00493843"/>
    <w:rsid w:val="00494154"/>
    <w:rsid w:val="004945E3"/>
    <w:rsid w:val="00494A2C"/>
    <w:rsid w:val="00494AC7"/>
    <w:rsid w:val="00494C80"/>
    <w:rsid w:val="00494D8A"/>
    <w:rsid w:val="00494F49"/>
    <w:rsid w:val="0049522A"/>
    <w:rsid w:val="00496260"/>
    <w:rsid w:val="00496AC2"/>
    <w:rsid w:val="00496CDB"/>
    <w:rsid w:val="00496D5B"/>
    <w:rsid w:val="00496DE0"/>
    <w:rsid w:val="004972E7"/>
    <w:rsid w:val="00497309"/>
    <w:rsid w:val="004A0232"/>
    <w:rsid w:val="004A0483"/>
    <w:rsid w:val="004A0C40"/>
    <w:rsid w:val="004A11F5"/>
    <w:rsid w:val="004A1912"/>
    <w:rsid w:val="004A2186"/>
    <w:rsid w:val="004A2933"/>
    <w:rsid w:val="004A316D"/>
    <w:rsid w:val="004A363F"/>
    <w:rsid w:val="004A364D"/>
    <w:rsid w:val="004A41A1"/>
    <w:rsid w:val="004A4D7D"/>
    <w:rsid w:val="004A4E46"/>
    <w:rsid w:val="004A537C"/>
    <w:rsid w:val="004A5F7D"/>
    <w:rsid w:val="004A71E9"/>
    <w:rsid w:val="004A728A"/>
    <w:rsid w:val="004A763B"/>
    <w:rsid w:val="004A7766"/>
    <w:rsid w:val="004A7DF4"/>
    <w:rsid w:val="004B01AE"/>
    <w:rsid w:val="004B05B2"/>
    <w:rsid w:val="004B0ACD"/>
    <w:rsid w:val="004B377E"/>
    <w:rsid w:val="004B48C3"/>
    <w:rsid w:val="004B4935"/>
    <w:rsid w:val="004B55E8"/>
    <w:rsid w:val="004B697C"/>
    <w:rsid w:val="004B6B47"/>
    <w:rsid w:val="004B6BFB"/>
    <w:rsid w:val="004B6EA7"/>
    <w:rsid w:val="004B6F0F"/>
    <w:rsid w:val="004B7553"/>
    <w:rsid w:val="004B7911"/>
    <w:rsid w:val="004B79E0"/>
    <w:rsid w:val="004B7B12"/>
    <w:rsid w:val="004B7E64"/>
    <w:rsid w:val="004C0817"/>
    <w:rsid w:val="004C0F91"/>
    <w:rsid w:val="004C13EA"/>
    <w:rsid w:val="004C19CD"/>
    <w:rsid w:val="004C1FF2"/>
    <w:rsid w:val="004C229B"/>
    <w:rsid w:val="004C27ED"/>
    <w:rsid w:val="004C29BE"/>
    <w:rsid w:val="004C2AC0"/>
    <w:rsid w:val="004C2CAC"/>
    <w:rsid w:val="004C33BF"/>
    <w:rsid w:val="004C3998"/>
    <w:rsid w:val="004C3C24"/>
    <w:rsid w:val="004C4419"/>
    <w:rsid w:val="004C4C71"/>
    <w:rsid w:val="004C5240"/>
    <w:rsid w:val="004C5543"/>
    <w:rsid w:val="004C5E93"/>
    <w:rsid w:val="004C70E3"/>
    <w:rsid w:val="004C753C"/>
    <w:rsid w:val="004C7613"/>
    <w:rsid w:val="004C7711"/>
    <w:rsid w:val="004C7CEC"/>
    <w:rsid w:val="004D13FE"/>
    <w:rsid w:val="004D1593"/>
    <w:rsid w:val="004D2031"/>
    <w:rsid w:val="004D3231"/>
    <w:rsid w:val="004D32B9"/>
    <w:rsid w:val="004D439C"/>
    <w:rsid w:val="004D43FD"/>
    <w:rsid w:val="004D4EE6"/>
    <w:rsid w:val="004D5047"/>
    <w:rsid w:val="004D526F"/>
    <w:rsid w:val="004D55EE"/>
    <w:rsid w:val="004D62C1"/>
    <w:rsid w:val="004D6558"/>
    <w:rsid w:val="004D6830"/>
    <w:rsid w:val="004D6D0A"/>
    <w:rsid w:val="004D6E88"/>
    <w:rsid w:val="004D700F"/>
    <w:rsid w:val="004D71A1"/>
    <w:rsid w:val="004D7324"/>
    <w:rsid w:val="004D77BD"/>
    <w:rsid w:val="004D7AB2"/>
    <w:rsid w:val="004D7EBC"/>
    <w:rsid w:val="004E0164"/>
    <w:rsid w:val="004E0E09"/>
    <w:rsid w:val="004E0F7F"/>
    <w:rsid w:val="004E1072"/>
    <w:rsid w:val="004E17C6"/>
    <w:rsid w:val="004E18A4"/>
    <w:rsid w:val="004E3821"/>
    <w:rsid w:val="004E43E0"/>
    <w:rsid w:val="004E52FB"/>
    <w:rsid w:val="004E5F32"/>
    <w:rsid w:val="004E6A7D"/>
    <w:rsid w:val="004E714A"/>
    <w:rsid w:val="004E717F"/>
    <w:rsid w:val="004E72BC"/>
    <w:rsid w:val="004F035C"/>
    <w:rsid w:val="004F139A"/>
    <w:rsid w:val="004F1C8D"/>
    <w:rsid w:val="004F2595"/>
    <w:rsid w:val="004F2D22"/>
    <w:rsid w:val="004F38CB"/>
    <w:rsid w:val="004F4861"/>
    <w:rsid w:val="004F4881"/>
    <w:rsid w:val="004F4CD0"/>
    <w:rsid w:val="004F55D4"/>
    <w:rsid w:val="004F5C9F"/>
    <w:rsid w:val="004F614E"/>
    <w:rsid w:val="004F723F"/>
    <w:rsid w:val="004F72C5"/>
    <w:rsid w:val="004F7374"/>
    <w:rsid w:val="004F7834"/>
    <w:rsid w:val="005002C4"/>
    <w:rsid w:val="00500FD4"/>
    <w:rsid w:val="00501187"/>
    <w:rsid w:val="00501304"/>
    <w:rsid w:val="00501554"/>
    <w:rsid w:val="0050165E"/>
    <w:rsid w:val="00501D54"/>
    <w:rsid w:val="0050228B"/>
    <w:rsid w:val="0050270A"/>
    <w:rsid w:val="00502FCD"/>
    <w:rsid w:val="005043F2"/>
    <w:rsid w:val="00505139"/>
    <w:rsid w:val="005056C5"/>
    <w:rsid w:val="00505760"/>
    <w:rsid w:val="00506450"/>
    <w:rsid w:val="0050706A"/>
    <w:rsid w:val="005078DB"/>
    <w:rsid w:val="00507D6F"/>
    <w:rsid w:val="0051050A"/>
    <w:rsid w:val="00510F51"/>
    <w:rsid w:val="005115DF"/>
    <w:rsid w:val="00511CA5"/>
    <w:rsid w:val="00513092"/>
    <w:rsid w:val="005137DF"/>
    <w:rsid w:val="005142D5"/>
    <w:rsid w:val="00514BE0"/>
    <w:rsid w:val="00514F1C"/>
    <w:rsid w:val="00515089"/>
    <w:rsid w:val="0051530A"/>
    <w:rsid w:val="00515ED9"/>
    <w:rsid w:val="0051742D"/>
    <w:rsid w:val="00517BD1"/>
    <w:rsid w:val="00520E4F"/>
    <w:rsid w:val="00520E88"/>
    <w:rsid w:val="0052156F"/>
    <w:rsid w:val="005219FF"/>
    <w:rsid w:val="00522145"/>
    <w:rsid w:val="0052325C"/>
    <w:rsid w:val="0052337D"/>
    <w:rsid w:val="005234FE"/>
    <w:rsid w:val="005242F6"/>
    <w:rsid w:val="0052478C"/>
    <w:rsid w:val="0052493D"/>
    <w:rsid w:val="00524C7D"/>
    <w:rsid w:val="00524F17"/>
    <w:rsid w:val="00524FFC"/>
    <w:rsid w:val="00525368"/>
    <w:rsid w:val="00525747"/>
    <w:rsid w:val="0052629C"/>
    <w:rsid w:val="0052671E"/>
    <w:rsid w:val="00526AB7"/>
    <w:rsid w:val="00526D4F"/>
    <w:rsid w:val="00526FA2"/>
    <w:rsid w:val="00530B3A"/>
    <w:rsid w:val="00531427"/>
    <w:rsid w:val="0053142B"/>
    <w:rsid w:val="00531910"/>
    <w:rsid w:val="0053234D"/>
    <w:rsid w:val="005329E8"/>
    <w:rsid w:val="00532DA6"/>
    <w:rsid w:val="00533368"/>
    <w:rsid w:val="00533C26"/>
    <w:rsid w:val="00534846"/>
    <w:rsid w:val="00534FC4"/>
    <w:rsid w:val="00535BEC"/>
    <w:rsid w:val="005365CE"/>
    <w:rsid w:val="00536600"/>
    <w:rsid w:val="005368F1"/>
    <w:rsid w:val="00537946"/>
    <w:rsid w:val="00537F33"/>
    <w:rsid w:val="00540979"/>
    <w:rsid w:val="00540BEC"/>
    <w:rsid w:val="00540C84"/>
    <w:rsid w:val="00541036"/>
    <w:rsid w:val="005417E3"/>
    <w:rsid w:val="00541B26"/>
    <w:rsid w:val="0054228D"/>
    <w:rsid w:val="0054255B"/>
    <w:rsid w:val="0054277A"/>
    <w:rsid w:val="00542826"/>
    <w:rsid w:val="00542AC9"/>
    <w:rsid w:val="005431F0"/>
    <w:rsid w:val="00543727"/>
    <w:rsid w:val="00544F05"/>
    <w:rsid w:val="00544FC4"/>
    <w:rsid w:val="00545644"/>
    <w:rsid w:val="00545F0A"/>
    <w:rsid w:val="0054606F"/>
    <w:rsid w:val="00546535"/>
    <w:rsid w:val="00546740"/>
    <w:rsid w:val="0054718D"/>
    <w:rsid w:val="00547A9C"/>
    <w:rsid w:val="00547E5E"/>
    <w:rsid w:val="00550086"/>
    <w:rsid w:val="0055025A"/>
    <w:rsid w:val="00550C05"/>
    <w:rsid w:val="00551164"/>
    <w:rsid w:val="00551825"/>
    <w:rsid w:val="00551CC5"/>
    <w:rsid w:val="005525A1"/>
    <w:rsid w:val="00552625"/>
    <w:rsid w:val="00553234"/>
    <w:rsid w:val="00554019"/>
    <w:rsid w:val="005550D3"/>
    <w:rsid w:val="00555F2A"/>
    <w:rsid w:val="005563F0"/>
    <w:rsid w:val="0055745D"/>
    <w:rsid w:val="00560D3D"/>
    <w:rsid w:val="005623F7"/>
    <w:rsid w:val="00562FAD"/>
    <w:rsid w:val="0056391F"/>
    <w:rsid w:val="00563C55"/>
    <w:rsid w:val="00563E6F"/>
    <w:rsid w:val="005649A9"/>
    <w:rsid w:val="00564C20"/>
    <w:rsid w:val="00564D2D"/>
    <w:rsid w:val="00565533"/>
    <w:rsid w:val="00566EE8"/>
    <w:rsid w:val="00567506"/>
    <w:rsid w:val="0057033A"/>
    <w:rsid w:val="005707D7"/>
    <w:rsid w:val="00570B45"/>
    <w:rsid w:val="00570C72"/>
    <w:rsid w:val="00570DBB"/>
    <w:rsid w:val="00570FB1"/>
    <w:rsid w:val="00571A7E"/>
    <w:rsid w:val="00571E38"/>
    <w:rsid w:val="00571EDD"/>
    <w:rsid w:val="0057205A"/>
    <w:rsid w:val="005725A6"/>
    <w:rsid w:val="005731BC"/>
    <w:rsid w:val="00574416"/>
    <w:rsid w:val="005749A3"/>
    <w:rsid w:val="00574AB4"/>
    <w:rsid w:val="00575201"/>
    <w:rsid w:val="00575A14"/>
    <w:rsid w:val="00575AB2"/>
    <w:rsid w:val="00576136"/>
    <w:rsid w:val="0057629B"/>
    <w:rsid w:val="00576454"/>
    <w:rsid w:val="00576885"/>
    <w:rsid w:val="005773C1"/>
    <w:rsid w:val="00577BB8"/>
    <w:rsid w:val="00577D57"/>
    <w:rsid w:val="00577F95"/>
    <w:rsid w:val="00580003"/>
    <w:rsid w:val="0058005C"/>
    <w:rsid w:val="00581AB5"/>
    <w:rsid w:val="0058208E"/>
    <w:rsid w:val="00583681"/>
    <w:rsid w:val="00583F65"/>
    <w:rsid w:val="005841EF"/>
    <w:rsid w:val="00584A58"/>
    <w:rsid w:val="00584BDB"/>
    <w:rsid w:val="005859CC"/>
    <w:rsid w:val="00585BE4"/>
    <w:rsid w:val="00585E28"/>
    <w:rsid w:val="0059009F"/>
    <w:rsid w:val="00590438"/>
    <w:rsid w:val="005930A4"/>
    <w:rsid w:val="00593350"/>
    <w:rsid w:val="00594027"/>
    <w:rsid w:val="005948B6"/>
    <w:rsid w:val="00595280"/>
    <w:rsid w:val="00595B92"/>
    <w:rsid w:val="00595C41"/>
    <w:rsid w:val="005966AD"/>
    <w:rsid w:val="005977AE"/>
    <w:rsid w:val="005977BF"/>
    <w:rsid w:val="00597FBF"/>
    <w:rsid w:val="005A0462"/>
    <w:rsid w:val="005A0868"/>
    <w:rsid w:val="005A1374"/>
    <w:rsid w:val="005A19F2"/>
    <w:rsid w:val="005A3112"/>
    <w:rsid w:val="005A3A46"/>
    <w:rsid w:val="005A49AD"/>
    <w:rsid w:val="005A5B8E"/>
    <w:rsid w:val="005A5EDA"/>
    <w:rsid w:val="005A62BE"/>
    <w:rsid w:val="005A680E"/>
    <w:rsid w:val="005A6DEC"/>
    <w:rsid w:val="005A6F0F"/>
    <w:rsid w:val="005A7165"/>
    <w:rsid w:val="005A7CD7"/>
    <w:rsid w:val="005B006A"/>
    <w:rsid w:val="005B04AE"/>
    <w:rsid w:val="005B0588"/>
    <w:rsid w:val="005B05B8"/>
    <w:rsid w:val="005B07A8"/>
    <w:rsid w:val="005B12C7"/>
    <w:rsid w:val="005B197F"/>
    <w:rsid w:val="005B2775"/>
    <w:rsid w:val="005B2836"/>
    <w:rsid w:val="005B3B6D"/>
    <w:rsid w:val="005B46C1"/>
    <w:rsid w:val="005B4887"/>
    <w:rsid w:val="005B4A43"/>
    <w:rsid w:val="005B4D4D"/>
    <w:rsid w:val="005B4D90"/>
    <w:rsid w:val="005B5E29"/>
    <w:rsid w:val="005B664D"/>
    <w:rsid w:val="005B6944"/>
    <w:rsid w:val="005B71BD"/>
    <w:rsid w:val="005B7CB3"/>
    <w:rsid w:val="005C0075"/>
    <w:rsid w:val="005C0383"/>
    <w:rsid w:val="005C0678"/>
    <w:rsid w:val="005C092A"/>
    <w:rsid w:val="005C0CA9"/>
    <w:rsid w:val="005C14A6"/>
    <w:rsid w:val="005C1DB3"/>
    <w:rsid w:val="005C1DDC"/>
    <w:rsid w:val="005C2566"/>
    <w:rsid w:val="005C2612"/>
    <w:rsid w:val="005C2972"/>
    <w:rsid w:val="005C397E"/>
    <w:rsid w:val="005C3A46"/>
    <w:rsid w:val="005C3D50"/>
    <w:rsid w:val="005C3FA1"/>
    <w:rsid w:val="005C4176"/>
    <w:rsid w:val="005C4F32"/>
    <w:rsid w:val="005C5631"/>
    <w:rsid w:val="005C58E8"/>
    <w:rsid w:val="005C5900"/>
    <w:rsid w:val="005C5BC1"/>
    <w:rsid w:val="005C5FF9"/>
    <w:rsid w:val="005C600A"/>
    <w:rsid w:val="005C670B"/>
    <w:rsid w:val="005C6A00"/>
    <w:rsid w:val="005C723D"/>
    <w:rsid w:val="005C7501"/>
    <w:rsid w:val="005C7BE9"/>
    <w:rsid w:val="005D046B"/>
    <w:rsid w:val="005D0A9D"/>
    <w:rsid w:val="005D1827"/>
    <w:rsid w:val="005D1BCA"/>
    <w:rsid w:val="005D1E71"/>
    <w:rsid w:val="005D1EBF"/>
    <w:rsid w:val="005D2747"/>
    <w:rsid w:val="005D283B"/>
    <w:rsid w:val="005D28AF"/>
    <w:rsid w:val="005D38AF"/>
    <w:rsid w:val="005D38B2"/>
    <w:rsid w:val="005D3B8C"/>
    <w:rsid w:val="005D3C30"/>
    <w:rsid w:val="005D3CBF"/>
    <w:rsid w:val="005D4815"/>
    <w:rsid w:val="005D4F54"/>
    <w:rsid w:val="005D5246"/>
    <w:rsid w:val="005D5B71"/>
    <w:rsid w:val="005D68E2"/>
    <w:rsid w:val="005D6A1E"/>
    <w:rsid w:val="005D7225"/>
    <w:rsid w:val="005D74C9"/>
    <w:rsid w:val="005D7BF3"/>
    <w:rsid w:val="005D7C07"/>
    <w:rsid w:val="005D7D0D"/>
    <w:rsid w:val="005E0A15"/>
    <w:rsid w:val="005E2C7A"/>
    <w:rsid w:val="005E33B2"/>
    <w:rsid w:val="005E3487"/>
    <w:rsid w:val="005E3B26"/>
    <w:rsid w:val="005E43F7"/>
    <w:rsid w:val="005E4DA3"/>
    <w:rsid w:val="005E543C"/>
    <w:rsid w:val="005E5ACD"/>
    <w:rsid w:val="005E636B"/>
    <w:rsid w:val="005E6B98"/>
    <w:rsid w:val="005E6DB9"/>
    <w:rsid w:val="005E71FC"/>
    <w:rsid w:val="005E7231"/>
    <w:rsid w:val="005E734B"/>
    <w:rsid w:val="005E7463"/>
    <w:rsid w:val="005E79E3"/>
    <w:rsid w:val="005F0645"/>
    <w:rsid w:val="005F177B"/>
    <w:rsid w:val="005F3953"/>
    <w:rsid w:val="005F3B3E"/>
    <w:rsid w:val="005F4305"/>
    <w:rsid w:val="005F43AB"/>
    <w:rsid w:val="005F4BFC"/>
    <w:rsid w:val="005F5BE9"/>
    <w:rsid w:val="005F7946"/>
    <w:rsid w:val="005F7F8E"/>
    <w:rsid w:val="005F7FD5"/>
    <w:rsid w:val="006001A6"/>
    <w:rsid w:val="00600ADC"/>
    <w:rsid w:val="00600B82"/>
    <w:rsid w:val="00600BF0"/>
    <w:rsid w:val="00601270"/>
    <w:rsid w:val="006020ED"/>
    <w:rsid w:val="006021AE"/>
    <w:rsid w:val="0060266B"/>
    <w:rsid w:val="00602CEF"/>
    <w:rsid w:val="00602E6D"/>
    <w:rsid w:val="0060306D"/>
    <w:rsid w:val="006034F3"/>
    <w:rsid w:val="0060369D"/>
    <w:rsid w:val="00603B57"/>
    <w:rsid w:val="006041DF"/>
    <w:rsid w:val="00604202"/>
    <w:rsid w:val="006043F0"/>
    <w:rsid w:val="006048D6"/>
    <w:rsid w:val="00605493"/>
    <w:rsid w:val="00605AC4"/>
    <w:rsid w:val="00606E58"/>
    <w:rsid w:val="00606E8B"/>
    <w:rsid w:val="0060731F"/>
    <w:rsid w:val="00610162"/>
    <w:rsid w:val="00610237"/>
    <w:rsid w:val="00610D3B"/>
    <w:rsid w:val="006113D3"/>
    <w:rsid w:val="00611A37"/>
    <w:rsid w:val="00612A46"/>
    <w:rsid w:val="00612C13"/>
    <w:rsid w:val="00612E6B"/>
    <w:rsid w:val="00614586"/>
    <w:rsid w:val="006146D8"/>
    <w:rsid w:val="00615E5A"/>
    <w:rsid w:val="00616234"/>
    <w:rsid w:val="00616F3C"/>
    <w:rsid w:val="006173A0"/>
    <w:rsid w:val="0061765D"/>
    <w:rsid w:val="00620508"/>
    <w:rsid w:val="0062058B"/>
    <w:rsid w:val="00621A1D"/>
    <w:rsid w:val="00621EA8"/>
    <w:rsid w:val="0062226B"/>
    <w:rsid w:val="00622374"/>
    <w:rsid w:val="0062258A"/>
    <w:rsid w:val="006227C6"/>
    <w:rsid w:val="00622D25"/>
    <w:rsid w:val="00623B1E"/>
    <w:rsid w:val="0062402B"/>
    <w:rsid w:val="006248D4"/>
    <w:rsid w:val="00625D18"/>
    <w:rsid w:val="00626ED7"/>
    <w:rsid w:val="006271AC"/>
    <w:rsid w:val="00627B64"/>
    <w:rsid w:val="00627DD6"/>
    <w:rsid w:val="00631496"/>
    <w:rsid w:val="00631501"/>
    <w:rsid w:val="00631D17"/>
    <w:rsid w:val="00632511"/>
    <w:rsid w:val="00632A99"/>
    <w:rsid w:val="00632BB8"/>
    <w:rsid w:val="00632DD8"/>
    <w:rsid w:val="0063383A"/>
    <w:rsid w:val="00633A1C"/>
    <w:rsid w:val="00633FFF"/>
    <w:rsid w:val="006341DB"/>
    <w:rsid w:val="006344A3"/>
    <w:rsid w:val="006349C3"/>
    <w:rsid w:val="00634F8B"/>
    <w:rsid w:val="006350A4"/>
    <w:rsid w:val="006350F4"/>
    <w:rsid w:val="00635354"/>
    <w:rsid w:val="00635CFF"/>
    <w:rsid w:val="006369F8"/>
    <w:rsid w:val="00636D65"/>
    <w:rsid w:val="00636DEC"/>
    <w:rsid w:val="0063705B"/>
    <w:rsid w:val="00637463"/>
    <w:rsid w:val="0063794D"/>
    <w:rsid w:val="00637EBD"/>
    <w:rsid w:val="006400A1"/>
    <w:rsid w:val="00640236"/>
    <w:rsid w:val="00640DCD"/>
    <w:rsid w:val="00640FBB"/>
    <w:rsid w:val="0064123F"/>
    <w:rsid w:val="00641389"/>
    <w:rsid w:val="00641B48"/>
    <w:rsid w:val="006427EC"/>
    <w:rsid w:val="006428F5"/>
    <w:rsid w:val="00642A15"/>
    <w:rsid w:val="00642F7F"/>
    <w:rsid w:val="0064332C"/>
    <w:rsid w:val="00643AD2"/>
    <w:rsid w:val="00644195"/>
    <w:rsid w:val="0064431E"/>
    <w:rsid w:val="0064434B"/>
    <w:rsid w:val="006454DB"/>
    <w:rsid w:val="00645A9E"/>
    <w:rsid w:val="006467EF"/>
    <w:rsid w:val="006479C1"/>
    <w:rsid w:val="006501D0"/>
    <w:rsid w:val="0065114A"/>
    <w:rsid w:val="00651704"/>
    <w:rsid w:val="00652129"/>
    <w:rsid w:val="006522CA"/>
    <w:rsid w:val="006526CB"/>
    <w:rsid w:val="006528AD"/>
    <w:rsid w:val="00652F95"/>
    <w:rsid w:val="006530C7"/>
    <w:rsid w:val="00654171"/>
    <w:rsid w:val="00654490"/>
    <w:rsid w:val="00654904"/>
    <w:rsid w:val="00654916"/>
    <w:rsid w:val="00654D72"/>
    <w:rsid w:val="00654F87"/>
    <w:rsid w:val="00655A4D"/>
    <w:rsid w:val="0065613A"/>
    <w:rsid w:val="00656609"/>
    <w:rsid w:val="00657493"/>
    <w:rsid w:val="006574BC"/>
    <w:rsid w:val="00657E25"/>
    <w:rsid w:val="0066022D"/>
    <w:rsid w:val="00660321"/>
    <w:rsid w:val="0066055A"/>
    <w:rsid w:val="00660802"/>
    <w:rsid w:val="00660B18"/>
    <w:rsid w:val="006615B7"/>
    <w:rsid w:val="006629FD"/>
    <w:rsid w:val="00663204"/>
    <w:rsid w:val="00663BFF"/>
    <w:rsid w:val="006655CA"/>
    <w:rsid w:val="00665F33"/>
    <w:rsid w:val="006663DB"/>
    <w:rsid w:val="006664B8"/>
    <w:rsid w:val="006668CA"/>
    <w:rsid w:val="006668DF"/>
    <w:rsid w:val="006674F7"/>
    <w:rsid w:val="0067054B"/>
    <w:rsid w:val="00670B50"/>
    <w:rsid w:val="0067118E"/>
    <w:rsid w:val="00671F20"/>
    <w:rsid w:val="00672B3C"/>
    <w:rsid w:val="00672CFA"/>
    <w:rsid w:val="00673BD9"/>
    <w:rsid w:val="00673C91"/>
    <w:rsid w:val="00673E5E"/>
    <w:rsid w:val="00674054"/>
    <w:rsid w:val="006741B6"/>
    <w:rsid w:val="00674C6E"/>
    <w:rsid w:val="00675208"/>
    <w:rsid w:val="00675240"/>
    <w:rsid w:val="006769D7"/>
    <w:rsid w:val="00676D6E"/>
    <w:rsid w:val="00677A7A"/>
    <w:rsid w:val="00677F16"/>
    <w:rsid w:val="0068012A"/>
    <w:rsid w:val="00681CE4"/>
    <w:rsid w:val="00681E41"/>
    <w:rsid w:val="006828C9"/>
    <w:rsid w:val="006830CD"/>
    <w:rsid w:val="006830E0"/>
    <w:rsid w:val="00683865"/>
    <w:rsid w:val="00684036"/>
    <w:rsid w:val="00684DA0"/>
    <w:rsid w:val="006850D0"/>
    <w:rsid w:val="00685328"/>
    <w:rsid w:val="006858C7"/>
    <w:rsid w:val="0068629E"/>
    <w:rsid w:val="00686B1B"/>
    <w:rsid w:val="00686FD7"/>
    <w:rsid w:val="0068722F"/>
    <w:rsid w:val="0069013D"/>
    <w:rsid w:val="006904A5"/>
    <w:rsid w:val="00690A59"/>
    <w:rsid w:val="00691091"/>
    <w:rsid w:val="006914C4"/>
    <w:rsid w:val="00691A55"/>
    <w:rsid w:val="00691C88"/>
    <w:rsid w:val="00691E46"/>
    <w:rsid w:val="00692AA9"/>
    <w:rsid w:val="00692C87"/>
    <w:rsid w:val="006937E1"/>
    <w:rsid w:val="0069380A"/>
    <w:rsid w:val="006939D2"/>
    <w:rsid w:val="00693A34"/>
    <w:rsid w:val="00693D52"/>
    <w:rsid w:val="00693FF5"/>
    <w:rsid w:val="00694247"/>
    <w:rsid w:val="0069432F"/>
    <w:rsid w:val="0069529E"/>
    <w:rsid w:val="00695F67"/>
    <w:rsid w:val="00696D7E"/>
    <w:rsid w:val="00697959"/>
    <w:rsid w:val="00697B47"/>
    <w:rsid w:val="006A0355"/>
    <w:rsid w:val="006A0DCA"/>
    <w:rsid w:val="006A1626"/>
    <w:rsid w:val="006A1EAA"/>
    <w:rsid w:val="006A2517"/>
    <w:rsid w:val="006A27AE"/>
    <w:rsid w:val="006A27EC"/>
    <w:rsid w:val="006A2C90"/>
    <w:rsid w:val="006A2FDE"/>
    <w:rsid w:val="006A3288"/>
    <w:rsid w:val="006A3B05"/>
    <w:rsid w:val="006A3F95"/>
    <w:rsid w:val="006A46DA"/>
    <w:rsid w:val="006A46DD"/>
    <w:rsid w:val="006A4F89"/>
    <w:rsid w:val="006A50F0"/>
    <w:rsid w:val="006A5604"/>
    <w:rsid w:val="006A5658"/>
    <w:rsid w:val="006A58DB"/>
    <w:rsid w:val="006A5CA2"/>
    <w:rsid w:val="006A5D5E"/>
    <w:rsid w:val="006A74EA"/>
    <w:rsid w:val="006A76F3"/>
    <w:rsid w:val="006B0354"/>
    <w:rsid w:val="006B0B64"/>
    <w:rsid w:val="006B0D15"/>
    <w:rsid w:val="006B12AD"/>
    <w:rsid w:val="006B1F12"/>
    <w:rsid w:val="006B2C90"/>
    <w:rsid w:val="006B2ED3"/>
    <w:rsid w:val="006B3B87"/>
    <w:rsid w:val="006B3FF9"/>
    <w:rsid w:val="006B4B9A"/>
    <w:rsid w:val="006B5AF4"/>
    <w:rsid w:val="006B5B71"/>
    <w:rsid w:val="006B5E98"/>
    <w:rsid w:val="006B63C5"/>
    <w:rsid w:val="006B6F86"/>
    <w:rsid w:val="006B75E2"/>
    <w:rsid w:val="006B78ED"/>
    <w:rsid w:val="006B7DA5"/>
    <w:rsid w:val="006C0106"/>
    <w:rsid w:val="006C0203"/>
    <w:rsid w:val="006C1226"/>
    <w:rsid w:val="006C2564"/>
    <w:rsid w:val="006C25BB"/>
    <w:rsid w:val="006C2BDF"/>
    <w:rsid w:val="006C3450"/>
    <w:rsid w:val="006C354A"/>
    <w:rsid w:val="006C355E"/>
    <w:rsid w:val="006C566F"/>
    <w:rsid w:val="006C59BD"/>
    <w:rsid w:val="006C5DC2"/>
    <w:rsid w:val="006C5FF2"/>
    <w:rsid w:val="006C6039"/>
    <w:rsid w:val="006C6560"/>
    <w:rsid w:val="006C7046"/>
    <w:rsid w:val="006D0533"/>
    <w:rsid w:val="006D0B27"/>
    <w:rsid w:val="006D0E6A"/>
    <w:rsid w:val="006D0EEB"/>
    <w:rsid w:val="006D1704"/>
    <w:rsid w:val="006D1C7D"/>
    <w:rsid w:val="006D20BF"/>
    <w:rsid w:val="006D24D2"/>
    <w:rsid w:val="006D250C"/>
    <w:rsid w:val="006D2562"/>
    <w:rsid w:val="006D2825"/>
    <w:rsid w:val="006D2F3F"/>
    <w:rsid w:val="006D3A0F"/>
    <w:rsid w:val="006D3ECC"/>
    <w:rsid w:val="006D4E3B"/>
    <w:rsid w:val="006D4F27"/>
    <w:rsid w:val="006D53ED"/>
    <w:rsid w:val="006D555E"/>
    <w:rsid w:val="006D5807"/>
    <w:rsid w:val="006D685A"/>
    <w:rsid w:val="006D7CC2"/>
    <w:rsid w:val="006E01F7"/>
    <w:rsid w:val="006E0CAC"/>
    <w:rsid w:val="006E2288"/>
    <w:rsid w:val="006E2D9F"/>
    <w:rsid w:val="006E34B0"/>
    <w:rsid w:val="006E3794"/>
    <w:rsid w:val="006E37A5"/>
    <w:rsid w:val="006E45B0"/>
    <w:rsid w:val="006E47FC"/>
    <w:rsid w:val="006E4E95"/>
    <w:rsid w:val="006E4E9A"/>
    <w:rsid w:val="006E51EB"/>
    <w:rsid w:val="006E5726"/>
    <w:rsid w:val="006E6C97"/>
    <w:rsid w:val="006E6EF3"/>
    <w:rsid w:val="006E7433"/>
    <w:rsid w:val="006F028C"/>
    <w:rsid w:val="006F127E"/>
    <w:rsid w:val="006F1518"/>
    <w:rsid w:val="006F18D3"/>
    <w:rsid w:val="006F21D2"/>
    <w:rsid w:val="006F232E"/>
    <w:rsid w:val="006F2538"/>
    <w:rsid w:val="006F2D78"/>
    <w:rsid w:val="006F35BC"/>
    <w:rsid w:val="006F36D1"/>
    <w:rsid w:val="006F3D76"/>
    <w:rsid w:val="006F4E74"/>
    <w:rsid w:val="006F5718"/>
    <w:rsid w:val="006F5C96"/>
    <w:rsid w:val="006F6664"/>
    <w:rsid w:val="006F66B9"/>
    <w:rsid w:val="006F6A6A"/>
    <w:rsid w:val="00700758"/>
    <w:rsid w:val="007009E0"/>
    <w:rsid w:val="00701A1F"/>
    <w:rsid w:val="00701B67"/>
    <w:rsid w:val="00703018"/>
    <w:rsid w:val="007030D7"/>
    <w:rsid w:val="0070351F"/>
    <w:rsid w:val="00703624"/>
    <w:rsid w:val="007037E5"/>
    <w:rsid w:val="00703AD5"/>
    <w:rsid w:val="00703AE0"/>
    <w:rsid w:val="00703B3F"/>
    <w:rsid w:val="0070421D"/>
    <w:rsid w:val="007044E7"/>
    <w:rsid w:val="00704517"/>
    <w:rsid w:val="007057A9"/>
    <w:rsid w:val="0070598D"/>
    <w:rsid w:val="00705CD6"/>
    <w:rsid w:val="007068FF"/>
    <w:rsid w:val="00706BFE"/>
    <w:rsid w:val="00706D37"/>
    <w:rsid w:val="0070730D"/>
    <w:rsid w:val="00710A7A"/>
    <w:rsid w:val="00711198"/>
    <w:rsid w:val="007111FA"/>
    <w:rsid w:val="00711832"/>
    <w:rsid w:val="00711B3E"/>
    <w:rsid w:val="00712308"/>
    <w:rsid w:val="007125FE"/>
    <w:rsid w:val="00712B47"/>
    <w:rsid w:val="00713304"/>
    <w:rsid w:val="007135C2"/>
    <w:rsid w:val="00713B1E"/>
    <w:rsid w:val="00713B61"/>
    <w:rsid w:val="007140DB"/>
    <w:rsid w:val="00714787"/>
    <w:rsid w:val="007147E6"/>
    <w:rsid w:val="00714BE3"/>
    <w:rsid w:val="00714DD7"/>
    <w:rsid w:val="00714F68"/>
    <w:rsid w:val="007159B0"/>
    <w:rsid w:val="0071651D"/>
    <w:rsid w:val="007168F4"/>
    <w:rsid w:val="00716AEC"/>
    <w:rsid w:val="00716BBB"/>
    <w:rsid w:val="007172F2"/>
    <w:rsid w:val="0072148F"/>
    <w:rsid w:val="00721520"/>
    <w:rsid w:val="0072165D"/>
    <w:rsid w:val="00721681"/>
    <w:rsid w:val="007229DA"/>
    <w:rsid w:val="00723390"/>
    <w:rsid w:val="00723DDD"/>
    <w:rsid w:val="007249B9"/>
    <w:rsid w:val="00724CEB"/>
    <w:rsid w:val="00724E65"/>
    <w:rsid w:val="00725714"/>
    <w:rsid w:val="00726082"/>
    <w:rsid w:val="0072644E"/>
    <w:rsid w:val="007303E7"/>
    <w:rsid w:val="007309F5"/>
    <w:rsid w:val="00730F36"/>
    <w:rsid w:val="00731283"/>
    <w:rsid w:val="0073157D"/>
    <w:rsid w:val="007316D0"/>
    <w:rsid w:val="007322D5"/>
    <w:rsid w:val="00732CA0"/>
    <w:rsid w:val="00733212"/>
    <w:rsid w:val="00733490"/>
    <w:rsid w:val="00733968"/>
    <w:rsid w:val="007339C1"/>
    <w:rsid w:val="00733AAD"/>
    <w:rsid w:val="00733D67"/>
    <w:rsid w:val="00733E92"/>
    <w:rsid w:val="007344BF"/>
    <w:rsid w:val="007349F9"/>
    <w:rsid w:val="007354A3"/>
    <w:rsid w:val="00735B17"/>
    <w:rsid w:val="00736E19"/>
    <w:rsid w:val="007373C9"/>
    <w:rsid w:val="007374A3"/>
    <w:rsid w:val="00737A66"/>
    <w:rsid w:val="00740231"/>
    <w:rsid w:val="00741304"/>
    <w:rsid w:val="00742F49"/>
    <w:rsid w:val="007430BF"/>
    <w:rsid w:val="007433A3"/>
    <w:rsid w:val="00743B9B"/>
    <w:rsid w:val="0074410D"/>
    <w:rsid w:val="00745406"/>
    <w:rsid w:val="0074540C"/>
    <w:rsid w:val="00746505"/>
    <w:rsid w:val="00746649"/>
    <w:rsid w:val="007466ED"/>
    <w:rsid w:val="00746B9C"/>
    <w:rsid w:val="00746C8A"/>
    <w:rsid w:val="00747026"/>
    <w:rsid w:val="00747345"/>
    <w:rsid w:val="0074777E"/>
    <w:rsid w:val="00747E6A"/>
    <w:rsid w:val="00751D5E"/>
    <w:rsid w:val="007526B3"/>
    <w:rsid w:val="00752733"/>
    <w:rsid w:val="007527AE"/>
    <w:rsid w:val="00752D98"/>
    <w:rsid w:val="00753113"/>
    <w:rsid w:val="00753472"/>
    <w:rsid w:val="007537B1"/>
    <w:rsid w:val="00753E15"/>
    <w:rsid w:val="0075454D"/>
    <w:rsid w:val="00754FF6"/>
    <w:rsid w:val="007550D6"/>
    <w:rsid w:val="007553EA"/>
    <w:rsid w:val="00755F4C"/>
    <w:rsid w:val="00756660"/>
    <w:rsid w:val="0075667D"/>
    <w:rsid w:val="007566F5"/>
    <w:rsid w:val="00756CDE"/>
    <w:rsid w:val="00756D91"/>
    <w:rsid w:val="00757D53"/>
    <w:rsid w:val="00757FEC"/>
    <w:rsid w:val="00760B9B"/>
    <w:rsid w:val="007614DB"/>
    <w:rsid w:val="0076164E"/>
    <w:rsid w:val="0076171C"/>
    <w:rsid w:val="00762CAE"/>
    <w:rsid w:val="007633B4"/>
    <w:rsid w:val="007634E6"/>
    <w:rsid w:val="00763C73"/>
    <w:rsid w:val="0076492C"/>
    <w:rsid w:val="00764CAD"/>
    <w:rsid w:val="007661FD"/>
    <w:rsid w:val="00766281"/>
    <w:rsid w:val="00766DCF"/>
    <w:rsid w:val="00767073"/>
    <w:rsid w:val="00767C8D"/>
    <w:rsid w:val="00767EE1"/>
    <w:rsid w:val="00770968"/>
    <w:rsid w:val="00772417"/>
    <w:rsid w:val="00773506"/>
    <w:rsid w:val="00773BFF"/>
    <w:rsid w:val="00773FE1"/>
    <w:rsid w:val="007741CC"/>
    <w:rsid w:val="007742A8"/>
    <w:rsid w:val="0077475F"/>
    <w:rsid w:val="00774D73"/>
    <w:rsid w:val="00774DB6"/>
    <w:rsid w:val="00775252"/>
    <w:rsid w:val="00775F68"/>
    <w:rsid w:val="0077630B"/>
    <w:rsid w:val="00776652"/>
    <w:rsid w:val="00776AA5"/>
    <w:rsid w:val="00776FCF"/>
    <w:rsid w:val="0077744E"/>
    <w:rsid w:val="007802E2"/>
    <w:rsid w:val="00780A54"/>
    <w:rsid w:val="00781248"/>
    <w:rsid w:val="00781DFE"/>
    <w:rsid w:val="00782C72"/>
    <w:rsid w:val="007831B2"/>
    <w:rsid w:val="007838BE"/>
    <w:rsid w:val="00783BC2"/>
    <w:rsid w:val="00783FF2"/>
    <w:rsid w:val="00784740"/>
    <w:rsid w:val="007855B7"/>
    <w:rsid w:val="00785688"/>
    <w:rsid w:val="00785C8C"/>
    <w:rsid w:val="0078627F"/>
    <w:rsid w:val="0078633E"/>
    <w:rsid w:val="00787157"/>
    <w:rsid w:val="0078784B"/>
    <w:rsid w:val="00787911"/>
    <w:rsid w:val="00787FED"/>
    <w:rsid w:val="00791987"/>
    <w:rsid w:val="00791BC0"/>
    <w:rsid w:val="00791FCE"/>
    <w:rsid w:val="00792EE6"/>
    <w:rsid w:val="00793106"/>
    <w:rsid w:val="0079324C"/>
    <w:rsid w:val="00793936"/>
    <w:rsid w:val="00793AFA"/>
    <w:rsid w:val="00794A92"/>
    <w:rsid w:val="007955EB"/>
    <w:rsid w:val="00796068"/>
    <w:rsid w:val="007966D6"/>
    <w:rsid w:val="00797299"/>
    <w:rsid w:val="007A15E2"/>
    <w:rsid w:val="007A1F80"/>
    <w:rsid w:val="007A2B29"/>
    <w:rsid w:val="007A2B35"/>
    <w:rsid w:val="007A3197"/>
    <w:rsid w:val="007A4D79"/>
    <w:rsid w:val="007A542E"/>
    <w:rsid w:val="007A59EB"/>
    <w:rsid w:val="007A5A95"/>
    <w:rsid w:val="007A5EB4"/>
    <w:rsid w:val="007A66B8"/>
    <w:rsid w:val="007A7525"/>
    <w:rsid w:val="007A7E8F"/>
    <w:rsid w:val="007A7E9D"/>
    <w:rsid w:val="007B0010"/>
    <w:rsid w:val="007B04D8"/>
    <w:rsid w:val="007B0858"/>
    <w:rsid w:val="007B0F34"/>
    <w:rsid w:val="007B1402"/>
    <w:rsid w:val="007B1944"/>
    <w:rsid w:val="007B1A9C"/>
    <w:rsid w:val="007B1C46"/>
    <w:rsid w:val="007B32A5"/>
    <w:rsid w:val="007B44A0"/>
    <w:rsid w:val="007B487D"/>
    <w:rsid w:val="007B493A"/>
    <w:rsid w:val="007B52A6"/>
    <w:rsid w:val="007B55A4"/>
    <w:rsid w:val="007B570B"/>
    <w:rsid w:val="007B5AF3"/>
    <w:rsid w:val="007B5D4F"/>
    <w:rsid w:val="007B702B"/>
    <w:rsid w:val="007B708E"/>
    <w:rsid w:val="007B7272"/>
    <w:rsid w:val="007B751E"/>
    <w:rsid w:val="007B767C"/>
    <w:rsid w:val="007B77AF"/>
    <w:rsid w:val="007C1563"/>
    <w:rsid w:val="007C15D8"/>
    <w:rsid w:val="007C1F54"/>
    <w:rsid w:val="007C2303"/>
    <w:rsid w:val="007C3042"/>
    <w:rsid w:val="007C307F"/>
    <w:rsid w:val="007C46CF"/>
    <w:rsid w:val="007C4F54"/>
    <w:rsid w:val="007C53D8"/>
    <w:rsid w:val="007C721B"/>
    <w:rsid w:val="007C7E63"/>
    <w:rsid w:val="007D072B"/>
    <w:rsid w:val="007D0E3D"/>
    <w:rsid w:val="007D1C09"/>
    <w:rsid w:val="007D1DDB"/>
    <w:rsid w:val="007D22FD"/>
    <w:rsid w:val="007D2424"/>
    <w:rsid w:val="007D2911"/>
    <w:rsid w:val="007D2981"/>
    <w:rsid w:val="007D2A01"/>
    <w:rsid w:val="007D2A33"/>
    <w:rsid w:val="007D2A97"/>
    <w:rsid w:val="007D306F"/>
    <w:rsid w:val="007D30E5"/>
    <w:rsid w:val="007D3400"/>
    <w:rsid w:val="007D3A11"/>
    <w:rsid w:val="007D40DC"/>
    <w:rsid w:val="007D4647"/>
    <w:rsid w:val="007D5BB0"/>
    <w:rsid w:val="007D655C"/>
    <w:rsid w:val="007E0322"/>
    <w:rsid w:val="007E17C6"/>
    <w:rsid w:val="007E2230"/>
    <w:rsid w:val="007E2A85"/>
    <w:rsid w:val="007E2EB6"/>
    <w:rsid w:val="007E3911"/>
    <w:rsid w:val="007E400F"/>
    <w:rsid w:val="007E420D"/>
    <w:rsid w:val="007E475B"/>
    <w:rsid w:val="007E5623"/>
    <w:rsid w:val="007E575D"/>
    <w:rsid w:val="007E57AB"/>
    <w:rsid w:val="007E6313"/>
    <w:rsid w:val="007E6EF9"/>
    <w:rsid w:val="007E739B"/>
    <w:rsid w:val="007F05D2"/>
    <w:rsid w:val="007F061A"/>
    <w:rsid w:val="007F06BC"/>
    <w:rsid w:val="007F09B0"/>
    <w:rsid w:val="007F0B26"/>
    <w:rsid w:val="007F17AC"/>
    <w:rsid w:val="007F3357"/>
    <w:rsid w:val="007F3CD4"/>
    <w:rsid w:val="007F3F92"/>
    <w:rsid w:val="007F4E1C"/>
    <w:rsid w:val="007F524D"/>
    <w:rsid w:val="007F54C3"/>
    <w:rsid w:val="007F6B9E"/>
    <w:rsid w:val="007F6E0C"/>
    <w:rsid w:val="007F6F67"/>
    <w:rsid w:val="007F7492"/>
    <w:rsid w:val="007F7B3B"/>
    <w:rsid w:val="007F7B6B"/>
    <w:rsid w:val="007F7C58"/>
    <w:rsid w:val="00800BA9"/>
    <w:rsid w:val="00800E03"/>
    <w:rsid w:val="00801422"/>
    <w:rsid w:val="0080168F"/>
    <w:rsid w:val="008024E5"/>
    <w:rsid w:val="0080273E"/>
    <w:rsid w:val="00802819"/>
    <w:rsid w:val="00802879"/>
    <w:rsid w:val="00802A7D"/>
    <w:rsid w:val="008030F8"/>
    <w:rsid w:val="00803530"/>
    <w:rsid w:val="00804133"/>
    <w:rsid w:val="00804797"/>
    <w:rsid w:val="00804ABA"/>
    <w:rsid w:val="00805105"/>
    <w:rsid w:val="0080655C"/>
    <w:rsid w:val="008067AF"/>
    <w:rsid w:val="00806E94"/>
    <w:rsid w:val="00806FAA"/>
    <w:rsid w:val="00810594"/>
    <w:rsid w:val="00810E94"/>
    <w:rsid w:val="008120F9"/>
    <w:rsid w:val="0081280B"/>
    <w:rsid w:val="00812D98"/>
    <w:rsid w:val="00812FFB"/>
    <w:rsid w:val="00813343"/>
    <w:rsid w:val="0081349A"/>
    <w:rsid w:val="00813BAA"/>
    <w:rsid w:val="00813E4C"/>
    <w:rsid w:val="008144E9"/>
    <w:rsid w:val="00814959"/>
    <w:rsid w:val="008149F0"/>
    <w:rsid w:val="00814B83"/>
    <w:rsid w:val="00814F78"/>
    <w:rsid w:val="008151FF"/>
    <w:rsid w:val="00815B1C"/>
    <w:rsid w:val="008169DD"/>
    <w:rsid w:val="00816C2C"/>
    <w:rsid w:val="008200E5"/>
    <w:rsid w:val="0082072A"/>
    <w:rsid w:val="008209DB"/>
    <w:rsid w:val="008216C6"/>
    <w:rsid w:val="00821C4A"/>
    <w:rsid w:val="00821E91"/>
    <w:rsid w:val="008225B7"/>
    <w:rsid w:val="00823067"/>
    <w:rsid w:val="008232BD"/>
    <w:rsid w:val="0082375B"/>
    <w:rsid w:val="00824129"/>
    <w:rsid w:val="008246CC"/>
    <w:rsid w:val="00824825"/>
    <w:rsid w:val="00824FD1"/>
    <w:rsid w:val="008250A4"/>
    <w:rsid w:val="00825393"/>
    <w:rsid w:val="00825DEA"/>
    <w:rsid w:val="00826C8B"/>
    <w:rsid w:val="00826E5F"/>
    <w:rsid w:val="008273D2"/>
    <w:rsid w:val="0082776A"/>
    <w:rsid w:val="00827A74"/>
    <w:rsid w:val="00827B37"/>
    <w:rsid w:val="0083034C"/>
    <w:rsid w:val="00830512"/>
    <w:rsid w:val="008306C5"/>
    <w:rsid w:val="008306EF"/>
    <w:rsid w:val="00830E6F"/>
    <w:rsid w:val="008319CB"/>
    <w:rsid w:val="00831E41"/>
    <w:rsid w:val="00832049"/>
    <w:rsid w:val="0083212F"/>
    <w:rsid w:val="00832296"/>
    <w:rsid w:val="0083298B"/>
    <w:rsid w:val="00832F4D"/>
    <w:rsid w:val="008330D0"/>
    <w:rsid w:val="00834E69"/>
    <w:rsid w:val="008359E8"/>
    <w:rsid w:val="00835A52"/>
    <w:rsid w:val="00836135"/>
    <w:rsid w:val="00836D69"/>
    <w:rsid w:val="00836F8F"/>
    <w:rsid w:val="008370C4"/>
    <w:rsid w:val="00837698"/>
    <w:rsid w:val="00837919"/>
    <w:rsid w:val="00840539"/>
    <w:rsid w:val="00841C19"/>
    <w:rsid w:val="00841C1D"/>
    <w:rsid w:val="00841C97"/>
    <w:rsid w:val="00841D5B"/>
    <w:rsid w:val="008426F2"/>
    <w:rsid w:val="0084285B"/>
    <w:rsid w:val="008428EC"/>
    <w:rsid w:val="0084383F"/>
    <w:rsid w:val="008448A7"/>
    <w:rsid w:val="008449CF"/>
    <w:rsid w:val="00844BAC"/>
    <w:rsid w:val="00844DEE"/>
    <w:rsid w:val="00844FF5"/>
    <w:rsid w:val="00845088"/>
    <w:rsid w:val="0084572A"/>
    <w:rsid w:val="008471F3"/>
    <w:rsid w:val="00847339"/>
    <w:rsid w:val="008474F1"/>
    <w:rsid w:val="00847544"/>
    <w:rsid w:val="0084783F"/>
    <w:rsid w:val="00847D05"/>
    <w:rsid w:val="00850761"/>
    <w:rsid w:val="008509BD"/>
    <w:rsid w:val="008512C7"/>
    <w:rsid w:val="00851885"/>
    <w:rsid w:val="00851C4A"/>
    <w:rsid w:val="00852DB0"/>
    <w:rsid w:val="008535F9"/>
    <w:rsid w:val="008539A7"/>
    <w:rsid w:val="00853A6C"/>
    <w:rsid w:val="00853A84"/>
    <w:rsid w:val="00853F58"/>
    <w:rsid w:val="008547E4"/>
    <w:rsid w:val="00854C0D"/>
    <w:rsid w:val="0085594E"/>
    <w:rsid w:val="008567D9"/>
    <w:rsid w:val="00856A80"/>
    <w:rsid w:val="00856DA0"/>
    <w:rsid w:val="0085704A"/>
    <w:rsid w:val="008570F5"/>
    <w:rsid w:val="008571D3"/>
    <w:rsid w:val="008600D6"/>
    <w:rsid w:val="00860151"/>
    <w:rsid w:val="00860C93"/>
    <w:rsid w:val="00861BA7"/>
    <w:rsid w:val="00862101"/>
    <w:rsid w:val="008629DB"/>
    <w:rsid w:val="00862BE4"/>
    <w:rsid w:val="0086386F"/>
    <w:rsid w:val="00864EDE"/>
    <w:rsid w:val="0086531D"/>
    <w:rsid w:val="00865CFA"/>
    <w:rsid w:val="00865E6D"/>
    <w:rsid w:val="0086630E"/>
    <w:rsid w:val="008678E6"/>
    <w:rsid w:val="00867D0B"/>
    <w:rsid w:val="00867EDB"/>
    <w:rsid w:val="00870242"/>
    <w:rsid w:val="0087126B"/>
    <w:rsid w:val="00871275"/>
    <w:rsid w:val="00872167"/>
    <w:rsid w:val="00872396"/>
    <w:rsid w:val="00874101"/>
    <w:rsid w:val="008742BD"/>
    <w:rsid w:val="00875172"/>
    <w:rsid w:val="008751AC"/>
    <w:rsid w:val="0087536A"/>
    <w:rsid w:val="00875D7F"/>
    <w:rsid w:val="0087638F"/>
    <w:rsid w:val="00876570"/>
    <w:rsid w:val="0087664B"/>
    <w:rsid w:val="0087668C"/>
    <w:rsid w:val="0087693D"/>
    <w:rsid w:val="008779E8"/>
    <w:rsid w:val="00877D15"/>
    <w:rsid w:val="00877F0D"/>
    <w:rsid w:val="0088028D"/>
    <w:rsid w:val="008807A0"/>
    <w:rsid w:val="00880939"/>
    <w:rsid w:val="00880D74"/>
    <w:rsid w:val="00880D83"/>
    <w:rsid w:val="00881899"/>
    <w:rsid w:val="00882A8D"/>
    <w:rsid w:val="00883084"/>
    <w:rsid w:val="008832BD"/>
    <w:rsid w:val="00883564"/>
    <w:rsid w:val="00883A44"/>
    <w:rsid w:val="0088425C"/>
    <w:rsid w:val="00884F1D"/>
    <w:rsid w:val="00885898"/>
    <w:rsid w:val="00885DE9"/>
    <w:rsid w:val="00886743"/>
    <w:rsid w:val="00886FE1"/>
    <w:rsid w:val="008878DA"/>
    <w:rsid w:val="008901E0"/>
    <w:rsid w:val="00890A18"/>
    <w:rsid w:val="00890A5C"/>
    <w:rsid w:val="00890AC9"/>
    <w:rsid w:val="00890F21"/>
    <w:rsid w:val="008913A0"/>
    <w:rsid w:val="0089158E"/>
    <w:rsid w:val="00891D55"/>
    <w:rsid w:val="00892192"/>
    <w:rsid w:val="00892829"/>
    <w:rsid w:val="00892D4A"/>
    <w:rsid w:val="00892DFE"/>
    <w:rsid w:val="008930BE"/>
    <w:rsid w:val="00893603"/>
    <w:rsid w:val="00893BAB"/>
    <w:rsid w:val="00893DEE"/>
    <w:rsid w:val="00894581"/>
    <w:rsid w:val="00894658"/>
    <w:rsid w:val="00894869"/>
    <w:rsid w:val="00894991"/>
    <w:rsid w:val="00894A24"/>
    <w:rsid w:val="0089532A"/>
    <w:rsid w:val="0089570C"/>
    <w:rsid w:val="00895826"/>
    <w:rsid w:val="00896339"/>
    <w:rsid w:val="00896B09"/>
    <w:rsid w:val="00896BC1"/>
    <w:rsid w:val="00897076"/>
    <w:rsid w:val="00897263"/>
    <w:rsid w:val="0089746C"/>
    <w:rsid w:val="00897ABC"/>
    <w:rsid w:val="00897D18"/>
    <w:rsid w:val="008A02FB"/>
    <w:rsid w:val="008A0FCA"/>
    <w:rsid w:val="008A129B"/>
    <w:rsid w:val="008A1961"/>
    <w:rsid w:val="008A1AD4"/>
    <w:rsid w:val="008A1C7C"/>
    <w:rsid w:val="008A2CEA"/>
    <w:rsid w:val="008A2D39"/>
    <w:rsid w:val="008A348D"/>
    <w:rsid w:val="008A3CB9"/>
    <w:rsid w:val="008A475F"/>
    <w:rsid w:val="008A4ECC"/>
    <w:rsid w:val="008A5B11"/>
    <w:rsid w:val="008A6383"/>
    <w:rsid w:val="008A64F6"/>
    <w:rsid w:val="008A65F9"/>
    <w:rsid w:val="008A6950"/>
    <w:rsid w:val="008A78B7"/>
    <w:rsid w:val="008B0857"/>
    <w:rsid w:val="008B0E75"/>
    <w:rsid w:val="008B1480"/>
    <w:rsid w:val="008B1512"/>
    <w:rsid w:val="008B1BEE"/>
    <w:rsid w:val="008B1CCD"/>
    <w:rsid w:val="008B23F3"/>
    <w:rsid w:val="008B29B9"/>
    <w:rsid w:val="008B37E4"/>
    <w:rsid w:val="008B3E83"/>
    <w:rsid w:val="008B4B19"/>
    <w:rsid w:val="008B4B33"/>
    <w:rsid w:val="008B52F8"/>
    <w:rsid w:val="008B5491"/>
    <w:rsid w:val="008B5641"/>
    <w:rsid w:val="008B5A00"/>
    <w:rsid w:val="008B5EB7"/>
    <w:rsid w:val="008B70AB"/>
    <w:rsid w:val="008B76EE"/>
    <w:rsid w:val="008B78A4"/>
    <w:rsid w:val="008B78FF"/>
    <w:rsid w:val="008B7BD9"/>
    <w:rsid w:val="008B7DE0"/>
    <w:rsid w:val="008C015C"/>
    <w:rsid w:val="008C090E"/>
    <w:rsid w:val="008C1557"/>
    <w:rsid w:val="008C1984"/>
    <w:rsid w:val="008C1C64"/>
    <w:rsid w:val="008C202A"/>
    <w:rsid w:val="008C2764"/>
    <w:rsid w:val="008C2F76"/>
    <w:rsid w:val="008C3163"/>
    <w:rsid w:val="008C31D8"/>
    <w:rsid w:val="008C31DA"/>
    <w:rsid w:val="008C3A03"/>
    <w:rsid w:val="008C3BED"/>
    <w:rsid w:val="008C408D"/>
    <w:rsid w:val="008C4091"/>
    <w:rsid w:val="008C4544"/>
    <w:rsid w:val="008C45F3"/>
    <w:rsid w:val="008C4A48"/>
    <w:rsid w:val="008C4B3D"/>
    <w:rsid w:val="008C4B77"/>
    <w:rsid w:val="008C4F36"/>
    <w:rsid w:val="008C5968"/>
    <w:rsid w:val="008C5C80"/>
    <w:rsid w:val="008C6027"/>
    <w:rsid w:val="008C6D29"/>
    <w:rsid w:val="008D0339"/>
    <w:rsid w:val="008D12F8"/>
    <w:rsid w:val="008D15BA"/>
    <w:rsid w:val="008D1CE5"/>
    <w:rsid w:val="008D2998"/>
    <w:rsid w:val="008D319D"/>
    <w:rsid w:val="008D4782"/>
    <w:rsid w:val="008D5701"/>
    <w:rsid w:val="008D5AC0"/>
    <w:rsid w:val="008D5B7A"/>
    <w:rsid w:val="008D5F7F"/>
    <w:rsid w:val="008D6100"/>
    <w:rsid w:val="008D640C"/>
    <w:rsid w:val="008D6C56"/>
    <w:rsid w:val="008D704A"/>
    <w:rsid w:val="008D77B0"/>
    <w:rsid w:val="008D7D1D"/>
    <w:rsid w:val="008E0297"/>
    <w:rsid w:val="008E0B28"/>
    <w:rsid w:val="008E0D1D"/>
    <w:rsid w:val="008E0E24"/>
    <w:rsid w:val="008E1447"/>
    <w:rsid w:val="008E1532"/>
    <w:rsid w:val="008E1801"/>
    <w:rsid w:val="008E2099"/>
    <w:rsid w:val="008E22AD"/>
    <w:rsid w:val="008E263F"/>
    <w:rsid w:val="008E2B6C"/>
    <w:rsid w:val="008E2D35"/>
    <w:rsid w:val="008E3C51"/>
    <w:rsid w:val="008E44BD"/>
    <w:rsid w:val="008E525F"/>
    <w:rsid w:val="008E526E"/>
    <w:rsid w:val="008E5496"/>
    <w:rsid w:val="008E5712"/>
    <w:rsid w:val="008E598D"/>
    <w:rsid w:val="008E68C8"/>
    <w:rsid w:val="008E68F1"/>
    <w:rsid w:val="008E729B"/>
    <w:rsid w:val="008E7AE1"/>
    <w:rsid w:val="008E7DE0"/>
    <w:rsid w:val="008E7ED0"/>
    <w:rsid w:val="008F037A"/>
    <w:rsid w:val="008F1944"/>
    <w:rsid w:val="008F25C9"/>
    <w:rsid w:val="008F2915"/>
    <w:rsid w:val="008F2E69"/>
    <w:rsid w:val="008F31FE"/>
    <w:rsid w:val="008F320F"/>
    <w:rsid w:val="008F3B43"/>
    <w:rsid w:val="008F3C63"/>
    <w:rsid w:val="008F43DC"/>
    <w:rsid w:val="008F482F"/>
    <w:rsid w:val="008F4C48"/>
    <w:rsid w:val="008F526B"/>
    <w:rsid w:val="008F66D6"/>
    <w:rsid w:val="008F6ABC"/>
    <w:rsid w:val="008F6AD7"/>
    <w:rsid w:val="008F6CB9"/>
    <w:rsid w:val="009001CC"/>
    <w:rsid w:val="0090044C"/>
    <w:rsid w:val="00900959"/>
    <w:rsid w:val="00901E8E"/>
    <w:rsid w:val="00902593"/>
    <w:rsid w:val="00903971"/>
    <w:rsid w:val="00903EB0"/>
    <w:rsid w:val="00904AFC"/>
    <w:rsid w:val="00905E0B"/>
    <w:rsid w:val="0090614B"/>
    <w:rsid w:val="00906E72"/>
    <w:rsid w:val="00907A6A"/>
    <w:rsid w:val="009100CD"/>
    <w:rsid w:val="00910188"/>
    <w:rsid w:val="009104A0"/>
    <w:rsid w:val="00910909"/>
    <w:rsid w:val="009109B9"/>
    <w:rsid w:val="009120C6"/>
    <w:rsid w:val="009124D2"/>
    <w:rsid w:val="00913FDC"/>
    <w:rsid w:val="00914143"/>
    <w:rsid w:val="009148F5"/>
    <w:rsid w:val="009149FB"/>
    <w:rsid w:val="00914DC9"/>
    <w:rsid w:val="00914F4C"/>
    <w:rsid w:val="00915348"/>
    <w:rsid w:val="009158B5"/>
    <w:rsid w:val="009162DF"/>
    <w:rsid w:val="00916BF6"/>
    <w:rsid w:val="00917693"/>
    <w:rsid w:val="00917D28"/>
    <w:rsid w:val="0092007E"/>
    <w:rsid w:val="0092057E"/>
    <w:rsid w:val="0092061A"/>
    <w:rsid w:val="0092101F"/>
    <w:rsid w:val="00921946"/>
    <w:rsid w:val="00922AFD"/>
    <w:rsid w:val="00923188"/>
    <w:rsid w:val="00923833"/>
    <w:rsid w:val="00923AF8"/>
    <w:rsid w:val="00923E8C"/>
    <w:rsid w:val="009245B6"/>
    <w:rsid w:val="009253A9"/>
    <w:rsid w:val="00925A00"/>
    <w:rsid w:val="00925B37"/>
    <w:rsid w:val="00926737"/>
    <w:rsid w:val="00926C09"/>
    <w:rsid w:val="009270BD"/>
    <w:rsid w:val="00927A8D"/>
    <w:rsid w:val="00927B76"/>
    <w:rsid w:val="00927C78"/>
    <w:rsid w:val="00927D07"/>
    <w:rsid w:val="00927EA8"/>
    <w:rsid w:val="009304F7"/>
    <w:rsid w:val="0093087F"/>
    <w:rsid w:val="00930926"/>
    <w:rsid w:val="009310FC"/>
    <w:rsid w:val="00931792"/>
    <w:rsid w:val="00931DB7"/>
    <w:rsid w:val="00932CB6"/>
    <w:rsid w:val="00932D44"/>
    <w:rsid w:val="00933260"/>
    <w:rsid w:val="009333D1"/>
    <w:rsid w:val="0093365C"/>
    <w:rsid w:val="00933863"/>
    <w:rsid w:val="00933CD1"/>
    <w:rsid w:val="00933F0C"/>
    <w:rsid w:val="009340FC"/>
    <w:rsid w:val="00934A52"/>
    <w:rsid w:val="00934FD0"/>
    <w:rsid w:val="0093646B"/>
    <w:rsid w:val="00936B53"/>
    <w:rsid w:val="00936B77"/>
    <w:rsid w:val="00936D56"/>
    <w:rsid w:val="00936D83"/>
    <w:rsid w:val="00936DF3"/>
    <w:rsid w:val="00937D3F"/>
    <w:rsid w:val="00937E81"/>
    <w:rsid w:val="00940B6B"/>
    <w:rsid w:val="009411DE"/>
    <w:rsid w:val="009417FA"/>
    <w:rsid w:val="00942236"/>
    <w:rsid w:val="00942B54"/>
    <w:rsid w:val="00942FA6"/>
    <w:rsid w:val="00943251"/>
    <w:rsid w:val="00943975"/>
    <w:rsid w:val="00943E84"/>
    <w:rsid w:val="00944194"/>
    <w:rsid w:val="009446A4"/>
    <w:rsid w:val="00945470"/>
    <w:rsid w:val="00945A47"/>
    <w:rsid w:val="00945DF2"/>
    <w:rsid w:val="009462B5"/>
    <w:rsid w:val="0094679F"/>
    <w:rsid w:val="0095012A"/>
    <w:rsid w:val="00950701"/>
    <w:rsid w:val="009508A6"/>
    <w:rsid w:val="00951123"/>
    <w:rsid w:val="00951618"/>
    <w:rsid w:val="00951CB0"/>
    <w:rsid w:val="00951CE1"/>
    <w:rsid w:val="00951DDA"/>
    <w:rsid w:val="00952173"/>
    <w:rsid w:val="009527EC"/>
    <w:rsid w:val="00952D9B"/>
    <w:rsid w:val="00953A2D"/>
    <w:rsid w:val="00954067"/>
    <w:rsid w:val="009541E6"/>
    <w:rsid w:val="00954201"/>
    <w:rsid w:val="009548DD"/>
    <w:rsid w:val="00955222"/>
    <w:rsid w:val="009555A6"/>
    <w:rsid w:val="00956102"/>
    <w:rsid w:val="00957142"/>
    <w:rsid w:val="009576BC"/>
    <w:rsid w:val="00957A49"/>
    <w:rsid w:val="009602B5"/>
    <w:rsid w:val="00960A9D"/>
    <w:rsid w:val="009614CF"/>
    <w:rsid w:val="009617AA"/>
    <w:rsid w:val="00961BAE"/>
    <w:rsid w:val="00961EAE"/>
    <w:rsid w:val="009622F9"/>
    <w:rsid w:val="009644E9"/>
    <w:rsid w:val="00964D73"/>
    <w:rsid w:val="00964ECB"/>
    <w:rsid w:val="009652FE"/>
    <w:rsid w:val="0096569E"/>
    <w:rsid w:val="00965804"/>
    <w:rsid w:val="00965A57"/>
    <w:rsid w:val="00965CCC"/>
    <w:rsid w:val="00965EF4"/>
    <w:rsid w:val="00966597"/>
    <w:rsid w:val="00966A29"/>
    <w:rsid w:val="00966F4D"/>
    <w:rsid w:val="009672AC"/>
    <w:rsid w:val="00967A56"/>
    <w:rsid w:val="00967B4E"/>
    <w:rsid w:val="009707D8"/>
    <w:rsid w:val="00970D7D"/>
    <w:rsid w:val="0097165A"/>
    <w:rsid w:val="0097186C"/>
    <w:rsid w:val="00971C88"/>
    <w:rsid w:val="00972CB3"/>
    <w:rsid w:val="00972E53"/>
    <w:rsid w:val="0097303E"/>
    <w:rsid w:val="0097482E"/>
    <w:rsid w:val="0097646C"/>
    <w:rsid w:val="009767A5"/>
    <w:rsid w:val="00977207"/>
    <w:rsid w:val="00977FE8"/>
    <w:rsid w:val="0098086B"/>
    <w:rsid w:val="00981600"/>
    <w:rsid w:val="0098190B"/>
    <w:rsid w:val="00981CE6"/>
    <w:rsid w:val="00981E4B"/>
    <w:rsid w:val="00981EAA"/>
    <w:rsid w:val="00982092"/>
    <w:rsid w:val="009820E3"/>
    <w:rsid w:val="009828FB"/>
    <w:rsid w:val="009829CD"/>
    <w:rsid w:val="00982AA4"/>
    <w:rsid w:val="009837ED"/>
    <w:rsid w:val="009837F2"/>
    <w:rsid w:val="00983C17"/>
    <w:rsid w:val="00983FBC"/>
    <w:rsid w:val="009840CF"/>
    <w:rsid w:val="00984ED6"/>
    <w:rsid w:val="009851D5"/>
    <w:rsid w:val="009854BB"/>
    <w:rsid w:val="009856F4"/>
    <w:rsid w:val="009857FF"/>
    <w:rsid w:val="009858FC"/>
    <w:rsid w:val="00985997"/>
    <w:rsid w:val="00985B89"/>
    <w:rsid w:val="00986100"/>
    <w:rsid w:val="00986159"/>
    <w:rsid w:val="00986F3C"/>
    <w:rsid w:val="009876A3"/>
    <w:rsid w:val="009907C4"/>
    <w:rsid w:val="00990BAF"/>
    <w:rsid w:val="00990C8F"/>
    <w:rsid w:val="00990D44"/>
    <w:rsid w:val="0099129D"/>
    <w:rsid w:val="009922A5"/>
    <w:rsid w:val="009926FB"/>
    <w:rsid w:val="00992C39"/>
    <w:rsid w:val="00993075"/>
    <w:rsid w:val="00993293"/>
    <w:rsid w:val="009932A4"/>
    <w:rsid w:val="009934C3"/>
    <w:rsid w:val="009936A9"/>
    <w:rsid w:val="0099396D"/>
    <w:rsid w:val="00993A89"/>
    <w:rsid w:val="009944EE"/>
    <w:rsid w:val="00994962"/>
    <w:rsid w:val="00994998"/>
    <w:rsid w:val="00994AB7"/>
    <w:rsid w:val="009950BB"/>
    <w:rsid w:val="009958C0"/>
    <w:rsid w:val="0099668F"/>
    <w:rsid w:val="009978AB"/>
    <w:rsid w:val="00997F71"/>
    <w:rsid w:val="00997F9D"/>
    <w:rsid w:val="009A02F3"/>
    <w:rsid w:val="009A0573"/>
    <w:rsid w:val="009A2BBE"/>
    <w:rsid w:val="009A2C5C"/>
    <w:rsid w:val="009A2D9A"/>
    <w:rsid w:val="009A3727"/>
    <w:rsid w:val="009A3770"/>
    <w:rsid w:val="009A433C"/>
    <w:rsid w:val="009A44A0"/>
    <w:rsid w:val="009A47B8"/>
    <w:rsid w:val="009A4A80"/>
    <w:rsid w:val="009A5455"/>
    <w:rsid w:val="009A555F"/>
    <w:rsid w:val="009A5BC1"/>
    <w:rsid w:val="009A5E63"/>
    <w:rsid w:val="009A626D"/>
    <w:rsid w:val="009A6CA8"/>
    <w:rsid w:val="009A6DC6"/>
    <w:rsid w:val="009A7BD4"/>
    <w:rsid w:val="009A7FDC"/>
    <w:rsid w:val="009B0C7B"/>
    <w:rsid w:val="009B0E0A"/>
    <w:rsid w:val="009B10D6"/>
    <w:rsid w:val="009B1BD7"/>
    <w:rsid w:val="009B1CB2"/>
    <w:rsid w:val="009B2BDB"/>
    <w:rsid w:val="009B2E94"/>
    <w:rsid w:val="009B3141"/>
    <w:rsid w:val="009B331E"/>
    <w:rsid w:val="009B35F3"/>
    <w:rsid w:val="009B4244"/>
    <w:rsid w:val="009B467E"/>
    <w:rsid w:val="009B534C"/>
    <w:rsid w:val="009B535D"/>
    <w:rsid w:val="009B55EB"/>
    <w:rsid w:val="009B5743"/>
    <w:rsid w:val="009B5901"/>
    <w:rsid w:val="009B6290"/>
    <w:rsid w:val="009B685B"/>
    <w:rsid w:val="009B7604"/>
    <w:rsid w:val="009C0032"/>
    <w:rsid w:val="009C0180"/>
    <w:rsid w:val="009C02B6"/>
    <w:rsid w:val="009C0325"/>
    <w:rsid w:val="009C0E27"/>
    <w:rsid w:val="009C1159"/>
    <w:rsid w:val="009C18FD"/>
    <w:rsid w:val="009C19E2"/>
    <w:rsid w:val="009C1B6C"/>
    <w:rsid w:val="009C1C73"/>
    <w:rsid w:val="009C214E"/>
    <w:rsid w:val="009C25D1"/>
    <w:rsid w:val="009C26A0"/>
    <w:rsid w:val="009C36B3"/>
    <w:rsid w:val="009C3721"/>
    <w:rsid w:val="009C3CE4"/>
    <w:rsid w:val="009C46F5"/>
    <w:rsid w:val="009C4E00"/>
    <w:rsid w:val="009C52EA"/>
    <w:rsid w:val="009C5680"/>
    <w:rsid w:val="009C5925"/>
    <w:rsid w:val="009C5A7D"/>
    <w:rsid w:val="009C5EDE"/>
    <w:rsid w:val="009C6692"/>
    <w:rsid w:val="009C6BD9"/>
    <w:rsid w:val="009C7072"/>
    <w:rsid w:val="009C75F0"/>
    <w:rsid w:val="009C7825"/>
    <w:rsid w:val="009C7A17"/>
    <w:rsid w:val="009C7E2E"/>
    <w:rsid w:val="009D013D"/>
    <w:rsid w:val="009D0C95"/>
    <w:rsid w:val="009D1112"/>
    <w:rsid w:val="009D173E"/>
    <w:rsid w:val="009D178A"/>
    <w:rsid w:val="009D1B97"/>
    <w:rsid w:val="009D1D3F"/>
    <w:rsid w:val="009D2858"/>
    <w:rsid w:val="009D2F9D"/>
    <w:rsid w:val="009D3174"/>
    <w:rsid w:val="009D3351"/>
    <w:rsid w:val="009D4046"/>
    <w:rsid w:val="009D5A30"/>
    <w:rsid w:val="009D67BF"/>
    <w:rsid w:val="009D710C"/>
    <w:rsid w:val="009D7504"/>
    <w:rsid w:val="009D7F5D"/>
    <w:rsid w:val="009E06A6"/>
    <w:rsid w:val="009E07F5"/>
    <w:rsid w:val="009E083E"/>
    <w:rsid w:val="009E08FA"/>
    <w:rsid w:val="009E0CF3"/>
    <w:rsid w:val="009E0EA7"/>
    <w:rsid w:val="009E170F"/>
    <w:rsid w:val="009E185A"/>
    <w:rsid w:val="009E19E5"/>
    <w:rsid w:val="009E1D6D"/>
    <w:rsid w:val="009E1DC6"/>
    <w:rsid w:val="009E26C0"/>
    <w:rsid w:val="009E2B65"/>
    <w:rsid w:val="009E2E6C"/>
    <w:rsid w:val="009E3644"/>
    <w:rsid w:val="009E3820"/>
    <w:rsid w:val="009E417F"/>
    <w:rsid w:val="009E4FF0"/>
    <w:rsid w:val="009E5294"/>
    <w:rsid w:val="009E5603"/>
    <w:rsid w:val="009E6507"/>
    <w:rsid w:val="009E6B5E"/>
    <w:rsid w:val="009E6CDC"/>
    <w:rsid w:val="009E7273"/>
    <w:rsid w:val="009E7655"/>
    <w:rsid w:val="009F0A58"/>
    <w:rsid w:val="009F13B3"/>
    <w:rsid w:val="009F177B"/>
    <w:rsid w:val="009F1B92"/>
    <w:rsid w:val="009F233C"/>
    <w:rsid w:val="009F2483"/>
    <w:rsid w:val="009F3727"/>
    <w:rsid w:val="009F395E"/>
    <w:rsid w:val="009F3983"/>
    <w:rsid w:val="009F44C6"/>
    <w:rsid w:val="009F47DE"/>
    <w:rsid w:val="009F4A9D"/>
    <w:rsid w:val="009F4E5E"/>
    <w:rsid w:val="009F55AC"/>
    <w:rsid w:val="009F57E0"/>
    <w:rsid w:val="009F5A16"/>
    <w:rsid w:val="009F6792"/>
    <w:rsid w:val="009F6873"/>
    <w:rsid w:val="009F6BAB"/>
    <w:rsid w:val="009F7018"/>
    <w:rsid w:val="009F705E"/>
    <w:rsid w:val="009F70E4"/>
    <w:rsid w:val="009F7636"/>
    <w:rsid w:val="009F7E15"/>
    <w:rsid w:val="00A00244"/>
    <w:rsid w:val="00A00576"/>
    <w:rsid w:val="00A00B23"/>
    <w:rsid w:val="00A00B30"/>
    <w:rsid w:val="00A00B84"/>
    <w:rsid w:val="00A00EB6"/>
    <w:rsid w:val="00A00F9F"/>
    <w:rsid w:val="00A0184B"/>
    <w:rsid w:val="00A01FAA"/>
    <w:rsid w:val="00A01FED"/>
    <w:rsid w:val="00A024B0"/>
    <w:rsid w:val="00A02C99"/>
    <w:rsid w:val="00A03792"/>
    <w:rsid w:val="00A03F37"/>
    <w:rsid w:val="00A043FA"/>
    <w:rsid w:val="00A04591"/>
    <w:rsid w:val="00A047F6"/>
    <w:rsid w:val="00A04F44"/>
    <w:rsid w:val="00A0514C"/>
    <w:rsid w:val="00A05C22"/>
    <w:rsid w:val="00A06924"/>
    <w:rsid w:val="00A06E29"/>
    <w:rsid w:val="00A07386"/>
    <w:rsid w:val="00A07722"/>
    <w:rsid w:val="00A1082C"/>
    <w:rsid w:val="00A10E1B"/>
    <w:rsid w:val="00A10E33"/>
    <w:rsid w:val="00A11115"/>
    <w:rsid w:val="00A11EA4"/>
    <w:rsid w:val="00A121D5"/>
    <w:rsid w:val="00A12E64"/>
    <w:rsid w:val="00A1325E"/>
    <w:rsid w:val="00A134B0"/>
    <w:rsid w:val="00A136A8"/>
    <w:rsid w:val="00A13E98"/>
    <w:rsid w:val="00A14B5C"/>
    <w:rsid w:val="00A14E50"/>
    <w:rsid w:val="00A14F58"/>
    <w:rsid w:val="00A15047"/>
    <w:rsid w:val="00A1528E"/>
    <w:rsid w:val="00A15A67"/>
    <w:rsid w:val="00A16F26"/>
    <w:rsid w:val="00A1720E"/>
    <w:rsid w:val="00A17D00"/>
    <w:rsid w:val="00A2021C"/>
    <w:rsid w:val="00A2021F"/>
    <w:rsid w:val="00A20715"/>
    <w:rsid w:val="00A20B32"/>
    <w:rsid w:val="00A218B4"/>
    <w:rsid w:val="00A229FB"/>
    <w:rsid w:val="00A22F87"/>
    <w:rsid w:val="00A23214"/>
    <w:rsid w:val="00A23FD8"/>
    <w:rsid w:val="00A24C9C"/>
    <w:rsid w:val="00A251F3"/>
    <w:rsid w:val="00A25216"/>
    <w:rsid w:val="00A252C4"/>
    <w:rsid w:val="00A25751"/>
    <w:rsid w:val="00A25C18"/>
    <w:rsid w:val="00A25E7E"/>
    <w:rsid w:val="00A2685D"/>
    <w:rsid w:val="00A26D66"/>
    <w:rsid w:val="00A2723C"/>
    <w:rsid w:val="00A27A41"/>
    <w:rsid w:val="00A27EC4"/>
    <w:rsid w:val="00A301FE"/>
    <w:rsid w:val="00A31260"/>
    <w:rsid w:val="00A312C4"/>
    <w:rsid w:val="00A31874"/>
    <w:rsid w:val="00A32364"/>
    <w:rsid w:val="00A32717"/>
    <w:rsid w:val="00A32B11"/>
    <w:rsid w:val="00A32E8D"/>
    <w:rsid w:val="00A335F3"/>
    <w:rsid w:val="00A339FB"/>
    <w:rsid w:val="00A33A3E"/>
    <w:rsid w:val="00A33D4E"/>
    <w:rsid w:val="00A33FDE"/>
    <w:rsid w:val="00A3442D"/>
    <w:rsid w:val="00A34E45"/>
    <w:rsid w:val="00A3575D"/>
    <w:rsid w:val="00A35E5E"/>
    <w:rsid w:val="00A36000"/>
    <w:rsid w:val="00A36090"/>
    <w:rsid w:val="00A360C0"/>
    <w:rsid w:val="00A364E2"/>
    <w:rsid w:val="00A36615"/>
    <w:rsid w:val="00A36AA4"/>
    <w:rsid w:val="00A378D9"/>
    <w:rsid w:val="00A379E3"/>
    <w:rsid w:val="00A37E7A"/>
    <w:rsid w:val="00A37E87"/>
    <w:rsid w:val="00A40B91"/>
    <w:rsid w:val="00A40BAF"/>
    <w:rsid w:val="00A41ADF"/>
    <w:rsid w:val="00A41EAF"/>
    <w:rsid w:val="00A438D5"/>
    <w:rsid w:val="00A43AAD"/>
    <w:rsid w:val="00A4510B"/>
    <w:rsid w:val="00A45188"/>
    <w:rsid w:val="00A454BD"/>
    <w:rsid w:val="00A4591D"/>
    <w:rsid w:val="00A45925"/>
    <w:rsid w:val="00A46903"/>
    <w:rsid w:val="00A46C15"/>
    <w:rsid w:val="00A47AF1"/>
    <w:rsid w:val="00A47D01"/>
    <w:rsid w:val="00A50A21"/>
    <w:rsid w:val="00A50E30"/>
    <w:rsid w:val="00A50E5C"/>
    <w:rsid w:val="00A51428"/>
    <w:rsid w:val="00A51859"/>
    <w:rsid w:val="00A51C55"/>
    <w:rsid w:val="00A521AE"/>
    <w:rsid w:val="00A5296F"/>
    <w:rsid w:val="00A52BD6"/>
    <w:rsid w:val="00A52CC1"/>
    <w:rsid w:val="00A53904"/>
    <w:rsid w:val="00A54768"/>
    <w:rsid w:val="00A54835"/>
    <w:rsid w:val="00A5626B"/>
    <w:rsid w:val="00A565E3"/>
    <w:rsid w:val="00A56685"/>
    <w:rsid w:val="00A56FEF"/>
    <w:rsid w:val="00A57020"/>
    <w:rsid w:val="00A578D8"/>
    <w:rsid w:val="00A57B58"/>
    <w:rsid w:val="00A601EB"/>
    <w:rsid w:val="00A60400"/>
    <w:rsid w:val="00A60944"/>
    <w:rsid w:val="00A60F52"/>
    <w:rsid w:val="00A613CA"/>
    <w:rsid w:val="00A61EC4"/>
    <w:rsid w:val="00A62035"/>
    <w:rsid w:val="00A62076"/>
    <w:rsid w:val="00A638C1"/>
    <w:rsid w:val="00A63AE3"/>
    <w:rsid w:val="00A63BA2"/>
    <w:rsid w:val="00A64586"/>
    <w:rsid w:val="00A646E4"/>
    <w:rsid w:val="00A64E20"/>
    <w:rsid w:val="00A651BF"/>
    <w:rsid w:val="00A651D5"/>
    <w:rsid w:val="00A65334"/>
    <w:rsid w:val="00A667FB"/>
    <w:rsid w:val="00A6690F"/>
    <w:rsid w:val="00A67034"/>
    <w:rsid w:val="00A67D94"/>
    <w:rsid w:val="00A70432"/>
    <w:rsid w:val="00A70F2E"/>
    <w:rsid w:val="00A711D8"/>
    <w:rsid w:val="00A71E17"/>
    <w:rsid w:val="00A71E89"/>
    <w:rsid w:val="00A72ADD"/>
    <w:rsid w:val="00A7323B"/>
    <w:rsid w:val="00A733BD"/>
    <w:rsid w:val="00A737AC"/>
    <w:rsid w:val="00A73F5B"/>
    <w:rsid w:val="00A74119"/>
    <w:rsid w:val="00A742D0"/>
    <w:rsid w:val="00A7455D"/>
    <w:rsid w:val="00A759AE"/>
    <w:rsid w:val="00A75C7D"/>
    <w:rsid w:val="00A76C43"/>
    <w:rsid w:val="00A77739"/>
    <w:rsid w:val="00A800D7"/>
    <w:rsid w:val="00A8032B"/>
    <w:rsid w:val="00A80ACD"/>
    <w:rsid w:val="00A8203B"/>
    <w:rsid w:val="00A826B4"/>
    <w:rsid w:val="00A83CBB"/>
    <w:rsid w:val="00A84B7D"/>
    <w:rsid w:val="00A86ED4"/>
    <w:rsid w:val="00A86F86"/>
    <w:rsid w:val="00A8700D"/>
    <w:rsid w:val="00A87294"/>
    <w:rsid w:val="00A87711"/>
    <w:rsid w:val="00A8796C"/>
    <w:rsid w:val="00A901D5"/>
    <w:rsid w:val="00A9123A"/>
    <w:rsid w:val="00A92325"/>
    <w:rsid w:val="00A92398"/>
    <w:rsid w:val="00A92501"/>
    <w:rsid w:val="00A934CE"/>
    <w:rsid w:val="00A935D7"/>
    <w:rsid w:val="00A944F3"/>
    <w:rsid w:val="00A94D1C"/>
    <w:rsid w:val="00A9542A"/>
    <w:rsid w:val="00A95BF8"/>
    <w:rsid w:val="00A95E8A"/>
    <w:rsid w:val="00A972D1"/>
    <w:rsid w:val="00A97466"/>
    <w:rsid w:val="00A97564"/>
    <w:rsid w:val="00A97CB8"/>
    <w:rsid w:val="00AA00AF"/>
    <w:rsid w:val="00AA02CD"/>
    <w:rsid w:val="00AA0BB6"/>
    <w:rsid w:val="00AA1133"/>
    <w:rsid w:val="00AA1413"/>
    <w:rsid w:val="00AA2120"/>
    <w:rsid w:val="00AA2D9A"/>
    <w:rsid w:val="00AA2DE6"/>
    <w:rsid w:val="00AA3F6E"/>
    <w:rsid w:val="00AA4398"/>
    <w:rsid w:val="00AA4568"/>
    <w:rsid w:val="00AA4F1D"/>
    <w:rsid w:val="00AA5F15"/>
    <w:rsid w:val="00AA5F8A"/>
    <w:rsid w:val="00AA6058"/>
    <w:rsid w:val="00AA63BE"/>
    <w:rsid w:val="00AA71A4"/>
    <w:rsid w:val="00AA77C7"/>
    <w:rsid w:val="00AA795C"/>
    <w:rsid w:val="00AA7B5F"/>
    <w:rsid w:val="00AA7E7B"/>
    <w:rsid w:val="00AB0340"/>
    <w:rsid w:val="00AB0362"/>
    <w:rsid w:val="00AB083B"/>
    <w:rsid w:val="00AB0C4B"/>
    <w:rsid w:val="00AB0CD4"/>
    <w:rsid w:val="00AB1083"/>
    <w:rsid w:val="00AB1C47"/>
    <w:rsid w:val="00AB1F6C"/>
    <w:rsid w:val="00AB2567"/>
    <w:rsid w:val="00AB26A0"/>
    <w:rsid w:val="00AB404E"/>
    <w:rsid w:val="00AB4753"/>
    <w:rsid w:val="00AB47FD"/>
    <w:rsid w:val="00AB4B3A"/>
    <w:rsid w:val="00AB55E0"/>
    <w:rsid w:val="00AB6058"/>
    <w:rsid w:val="00AB6ED1"/>
    <w:rsid w:val="00AB6FD6"/>
    <w:rsid w:val="00AB76ED"/>
    <w:rsid w:val="00AB77D4"/>
    <w:rsid w:val="00AB7C75"/>
    <w:rsid w:val="00AC1506"/>
    <w:rsid w:val="00AC426D"/>
    <w:rsid w:val="00AC4D32"/>
    <w:rsid w:val="00AC5767"/>
    <w:rsid w:val="00AC5E8A"/>
    <w:rsid w:val="00AC673A"/>
    <w:rsid w:val="00AC73F4"/>
    <w:rsid w:val="00AC783A"/>
    <w:rsid w:val="00AC7B9B"/>
    <w:rsid w:val="00AC7DDC"/>
    <w:rsid w:val="00AD0E9F"/>
    <w:rsid w:val="00AD1178"/>
    <w:rsid w:val="00AD12DB"/>
    <w:rsid w:val="00AD1F2C"/>
    <w:rsid w:val="00AD230A"/>
    <w:rsid w:val="00AD28E1"/>
    <w:rsid w:val="00AD3EA4"/>
    <w:rsid w:val="00AD3EFF"/>
    <w:rsid w:val="00AD48CC"/>
    <w:rsid w:val="00AD5266"/>
    <w:rsid w:val="00AD5616"/>
    <w:rsid w:val="00AD6624"/>
    <w:rsid w:val="00AD66F3"/>
    <w:rsid w:val="00AD7A1D"/>
    <w:rsid w:val="00AE019C"/>
    <w:rsid w:val="00AE02A8"/>
    <w:rsid w:val="00AE1543"/>
    <w:rsid w:val="00AE1D4C"/>
    <w:rsid w:val="00AE36E4"/>
    <w:rsid w:val="00AE4174"/>
    <w:rsid w:val="00AE4308"/>
    <w:rsid w:val="00AE43C3"/>
    <w:rsid w:val="00AE4422"/>
    <w:rsid w:val="00AE4489"/>
    <w:rsid w:val="00AE4C21"/>
    <w:rsid w:val="00AE4FEC"/>
    <w:rsid w:val="00AE52BD"/>
    <w:rsid w:val="00AE5852"/>
    <w:rsid w:val="00AE6086"/>
    <w:rsid w:val="00AE663B"/>
    <w:rsid w:val="00AE670C"/>
    <w:rsid w:val="00AE69C4"/>
    <w:rsid w:val="00AE77B3"/>
    <w:rsid w:val="00AE7C55"/>
    <w:rsid w:val="00AF0026"/>
    <w:rsid w:val="00AF0C3B"/>
    <w:rsid w:val="00AF1439"/>
    <w:rsid w:val="00AF2347"/>
    <w:rsid w:val="00AF2489"/>
    <w:rsid w:val="00AF2719"/>
    <w:rsid w:val="00AF35F0"/>
    <w:rsid w:val="00AF374A"/>
    <w:rsid w:val="00AF4C2C"/>
    <w:rsid w:val="00AF5249"/>
    <w:rsid w:val="00AF53C9"/>
    <w:rsid w:val="00AF5487"/>
    <w:rsid w:val="00AF584C"/>
    <w:rsid w:val="00AF6736"/>
    <w:rsid w:val="00AF771C"/>
    <w:rsid w:val="00AF7DA3"/>
    <w:rsid w:val="00B01A94"/>
    <w:rsid w:val="00B024A4"/>
    <w:rsid w:val="00B03913"/>
    <w:rsid w:val="00B04849"/>
    <w:rsid w:val="00B0524F"/>
    <w:rsid w:val="00B06B0D"/>
    <w:rsid w:val="00B07317"/>
    <w:rsid w:val="00B0732B"/>
    <w:rsid w:val="00B075C4"/>
    <w:rsid w:val="00B07D67"/>
    <w:rsid w:val="00B10129"/>
    <w:rsid w:val="00B104D9"/>
    <w:rsid w:val="00B10782"/>
    <w:rsid w:val="00B10B61"/>
    <w:rsid w:val="00B10BEC"/>
    <w:rsid w:val="00B1150A"/>
    <w:rsid w:val="00B11890"/>
    <w:rsid w:val="00B11CDE"/>
    <w:rsid w:val="00B12F13"/>
    <w:rsid w:val="00B133E1"/>
    <w:rsid w:val="00B13F87"/>
    <w:rsid w:val="00B14668"/>
    <w:rsid w:val="00B14E95"/>
    <w:rsid w:val="00B169CA"/>
    <w:rsid w:val="00B169E1"/>
    <w:rsid w:val="00B16A57"/>
    <w:rsid w:val="00B16D15"/>
    <w:rsid w:val="00B1745F"/>
    <w:rsid w:val="00B1791D"/>
    <w:rsid w:val="00B201BD"/>
    <w:rsid w:val="00B2076B"/>
    <w:rsid w:val="00B20ADB"/>
    <w:rsid w:val="00B214AB"/>
    <w:rsid w:val="00B2157D"/>
    <w:rsid w:val="00B21D95"/>
    <w:rsid w:val="00B2252C"/>
    <w:rsid w:val="00B22CCE"/>
    <w:rsid w:val="00B23801"/>
    <w:rsid w:val="00B23F97"/>
    <w:rsid w:val="00B24649"/>
    <w:rsid w:val="00B24ABF"/>
    <w:rsid w:val="00B24B7B"/>
    <w:rsid w:val="00B25C83"/>
    <w:rsid w:val="00B25E1C"/>
    <w:rsid w:val="00B260EA"/>
    <w:rsid w:val="00B26858"/>
    <w:rsid w:val="00B26CC3"/>
    <w:rsid w:val="00B26D52"/>
    <w:rsid w:val="00B27874"/>
    <w:rsid w:val="00B279E7"/>
    <w:rsid w:val="00B27B32"/>
    <w:rsid w:val="00B27BA9"/>
    <w:rsid w:val="00B30384"/>
    <w:rsid w:val="00B30798"/>
    <w:rsid w:val="00B3089D"/>
    <w:rsid w:val="00B309BD"/>
    <w:rsid w:val="00B31065"/>
    <w:rsid w:val="00B31A2B"/>
    <w:rsid w:val="00B31BAD"/>
    <w:rsid w:val="00B321E6"/>
    <w:rsid w:val="00B32889"/>
    <w:rsid w:val="00B32BAF"/>
    <w:rsid w:val="00B333CA"/>
    <w:rsid w:val="00B336A8"/>
    <w:rsid w:val="00B33904"/>
    <w:rsid w:val="00B34394"/>
    <w:rsid w:val="00B34C8E"/>
    <w:rsid w:val="00B350F6"/>
    <w:rsid w:val="00B35BE4"/>
    <w:rsid w:val="00B360F3"/>
    <w:rsid w:val="00B378C9"/>
    <w:rsid w:val="00B37BB8"/>
    <w:rsid w:val="00B402F2"/>
    <w:rsid w:val="00B40446"/>
    <w:rsid w:val="00B405FA"/>
    <w:rsid w:val="00B412F0"/>
    <w:rsid w:val="00B414B3"/>
    <w:rsid w:val="00B419CD"/>
    <w:rsid w:val="00B41B23"/>
    <w:rsid w:val="00B42018"/>
    <w:rsid w:val="00B422B1"/>
    <w:rsid w:val="00B4267C"/>
    <w:rsid w:val="00B42E4A"/>
    <w:rsid w:val="00B43CB5"/>
    <w:rsid w:val="00B441CE"/>
    <w:rsid w:val="00B442FD"/>
    <w:rsid w:val="00B44A5A"/>
    <w:rsid w:val="00B45465"/>
    <w:rsid w:val="00B455E1"/>
    <w:rsid w:val="00B467A3"/>
    <w:rsid w:val="00B46C6E"/>
    <w:rsid w:val="00B47492"/>
    <w:rsid w:val="00B47E0F"/>
    <w:rsid w:val="00B505F9"/>
    <w:rsid w:val="00B5136A"/>
    <w:rsid w:val="00B514FB"/>
    <w:rsid w:val="00B51663"/>
    <w:rsid w:val="00B5256A"/>
    <w:rsid w:val="00B526A0"/>
    <w:rsid w:val="00B52C99"/>
    <w:rsid w:val="00B5358E"/>
    <w:rsid w:val="00B53A72"/>
    <w:rsid w:val="00B53B2E"/>
    <w:rsid w:val="00B53E0E"/>
    <w:rsid w:val="00B541F9"/>
    <w:rsid w:val="00B55150"/>
    <w:rsid w:val="00B551CD"/>
    <w:rsid w:val="00B56A6F"/>
    <w:rsid w:val="00B56FFF"/>
    <w:rsid w:val="00B572F4"/>
    <w:rsid w:val="00B61817"/>
    <w:rsid w:val="00B6181F"/>
    <w:rsid w:val="00B62315"/>
    <w:rsid w:val="00B628F9"/>
    <w:rsid w:val="00B62CB9"/>
    <w:rsid w:val="00B62FBB"/>
    <w:rsid w:val="00B635CB"/>
    <w:rsid w:val="00B63614"/>
    <w:rsid w:val="00B63932"/>
    <w:rsid w:val="00B63A4A"/>
    <w:rsid w:val="00B63B64"/>
    <w:rsid w:val="00B65634"/>
    <w:rsid w:val="00B6642D"/>
    <w:rsid w:val="00B66941"/>
    <w:rsid w:val="00B67468"/>
    <w:rsid w:val="00B67644"/>
    <w:rsid w:val="00B67DA1"/>
    <w:rsid w:val="00B7010A"/>
    <w:rsid w:val="00B703EB"/>
    <w:rsid w:val="00B70E7E"/>
    <w:rsid w:val="00B70F2D"/>
    <w:rsid w:val="00B7143A"/>
    <w:rsid w:val="00B7158A"/>
    <w:rsid w:val="00B71851"/>
    <w:rsid w:val="00B7197E"/>
    <w:rsid w:val="00B71B66"/>
    <w:rsid w:val="00B71D43"/>
    <w:rsid w:val="00B72510"/>
    <w:rsid w:val="00B72684"/>
    <w:rsid w:val="00B72BD3"/>
    <w:rsid w:val="00B72DE0"/>
    <w:rsid w:val="00B72E96"/>
    <w:rsid w:val="00B7426E"/>
    <w:rsid w:val="00B742FE"/>
    <w:rsid w:val="00B7466C"/>
    <w:rsid w:val="00B74B03"/>
    <w:rsid w:val="00B74D68"/>
    <w:rsid w:val="00B74E06"/>
    <w:rsid w:val="00B751D5"/>
    <w:rsid w:val="00B754ED"/>
    <w:rsid w:val="00B755D4"/>
    <w:rsid w:val="00B7594F"/>
    <w:rsid w:val="00B75E48"/>
    <w:rsid w:val="00B778C0"/>
    <w:rsid w:val="00B77FDB"/>
    <w:rsid w:val="00B80395"/>
    <w:rsid w:val="00B806DC"/>
    <w:rsid w:val="00B8094E"/>
    <w:rsid w:val="00B80BF3"/>
    <w:rsid w:val="00B81110"/>
    <w:rsid w:val="00B811F3"/>
    <w:rsid w:val="00B81B3F"/>
    <w:rsid w:val="00B81BDC"/>
    <w:rsid w:val="00B81F35"/>
    <w:rsid w:val="00B8240F"/>
    <w:rsid w:val="00B8259A"/>
    <w:rsid w:val="00B82B51"/>
    <w:rsid w:val="00B82F22"/>
    <w:rsid w:val="00B83311"/>
    <w:rsid w:val="00B84088"/>
    <w:rsid w:val="00B840C1"/>
    <w:rsid w:val="00B850AB"/>
    <w:rsid w:val="00B8511B"/>
    <w:rsid w:val="00B8592D"/>
    <w:rsid w:val="00B866F8"/>
    <w:rsid w:val="00B86AF9"/>
    <w:rsid w:val="00B86B3B"/>
    <w:rsid w:val="00B87CA5"/>
    <w:rsid w:val="00B90499"/>
    <w:rsid w:val="00B9192B"/>
    <w:rsid w:val="00B91EDB"/>
    <w:rsid w:val="00B9205F"/>
    <w:rsid w:val="00B926BA"/>
    <w:rsid w:val="00B930B6"/>
    <w:rsid w:val="00B930F8"/>
    <w:rsid w:val="00B93708"/>
    <w:rsid w:val="00B93987"/>
    <w:rsid w:val="00B93A4A"/>
    <w:rsid w:val="00B93F4C"/>
    <w:rsid w:val="00B943EB"/>
    <w:rsid w:val="00B94544"/>
    <w:rsid w:val="00B94696"/>
    <w:rsid w:val="00B9470C"/>
    <w:rsid w:val="00B9488D"/>
    <w:rsid w:val="00B94A8A"/>
    <w:rsid w:val="00B94AE1"/>
    <w:rsid w:val="00B95173"/>
    <w:rsid w:val="00B95501"/>
    <w:rsid w:val="00B961C0"/>
    <w:rsid w:val="00B97330"/>
    <w:rsid w:val="00B9752D"/>
    <w:rsid w:val="00B97566"/>
    <w:rsid w:val="00B976EE"/>
    <w:rsid w:val="00B97D2B"/>
    <w:rsid w:val="00BA0020"/>
    <w:rsid w:val="00BA0AD7"/>
    <w:rsid w:val="00BA1679"/>
    <w:rsid w:val="00BA18EA"/>
    <w:rsid w:val="00BA1A4F"/>
    <w:rsid w:val="00BA2477"/>
    <w:rsid w:val="00BA33DA"/>
    <w:rsid w:val="00BA375A"/>
    <w:rsid w:val="00BA4587"/>
    <w:rsid w:val="00BA45C5"/>
    <w:rsid w:val="00BA56F7"/>
    <w:rsid w:val="00BA636E"/>
    <w:rsid w:val="00BA642B"/>
    <w:rsid w:val="00BA6FB6"/>
    <w:rsid w:val="00BA7435"/>
    <w:rsid w:val="00BB0180"/>
    <w:rsid w:val="00BB0351"/>
    <w:rsid w:val="00BB038F"/>
    <w:rsid w:val="00BB03B7"/>
    <w:rsid w:val="00BB18AF"/>
    <w:rsid w:val="00BB2837"/>
    <w:rsid w:val="00BB2862"/>
    <w:rsid w:val="00BB297A"/>
    <w:rsid w:val="00BB2A49"/>
    <w:rsid w:val="00BB2F88"/>
    <w:rsid w:val="00BB4377"/>
    <w:rsid w:val="00BB4AAF"/>
    <w:rsid w:val="00BB4EF7"/>
    <w:rsid w:val="00BB6B0E"/>
    <w:rsid w:val="00BB6D0C"/>
    <w:rsid w:val="00BB71D3"/>
    <w:rsid w:val="00BB7849"/>
    <w:rsid w:val="00BC0834"/>
    <w:rsid w:val="00BC0B69"/>
    <w:rsid w:val="00BC0D20"/>
    <w:rsid w:val="00BC0FDD"/>
    <w:rsid w:val="00BC162B"/>
    <w:rsid w:val="00BC1CD1"/>
    <w:rsid w:val="00BC35FB"/>
    <w:rsid w:val="00BC4023"/>
    <w:rsid w:val="00BC41D4"/>
    <w:rsid w:val="00BC4AE0"/>
    <w:rsid w:val="00BC4BE3"/>
    <w:rsid w:val="00BC4FAD"/>
    <w:rsid w:val="00BC500D"/>
    <w:rsid w:val="00BC55FC"/>
    <w:rsid w:val="00BC5BF6"/>
    <w:rsid w:val="00BC5DA3"/>
    <w:rsid w:val="00BC66DB"/>
    <w:rsid w:val="00BC75C3"/>
    <w:rsid w:val="00BD007C"/>
    <w:rsid w:val="00BD0844"/>
    <w:rsid w:val="00BD1450"/>
    <w:rsid w:val="00BD18F0"/>
    <w:rsid w:val="00BD1A5C"/>
    <w:rsid w:val="00BD1BD8"/>
    <w:rsid w:val="00BD2598"/>
    <w:rsid w:val="00BD2E6E"/>
    <w:rsid w:val="00BD3136"/>
    <w:rsid w:val="00BD37A9"/>
    <w:rsid w:val="00BD3D7C"/>
    <w:rsid w:val="00BD3E10"/>
    <w:rsid w:val="00BD429B"/>
    <w:rsid w:val="00BD4BBD"/>
    <w:rsid w:val="00BD4BDB"/>
    <w:rsid w:val="00BD4D27"/>
    <w:rsid w:val="00BD5171"/>
    <w:rsid w:val="00BD5259"/>
    <w:rsid w:val="00BD5AF5"/>
    <w:rsid w:val="00BD5B6D"/>
    <w:rsid w:val="00BD75A0"/>
    <w:rsid w:val="00BD7EE5"/>
    <w:rsid w:val="00BE004B"/>
    <w:rsid w:val="00BE0AC2"/>
    <w:rsid w:val="00BE0EBC"/>
    <w:rsid w:val="00BE198E"/>
    <w:rsid w:val="00BE2847"/>
    <w:rsid w:val="00BE2E63"/>
    <w:rsid w:val="00BE3032"/>
    <w:rsid w:val="00BE3A3B"/>
    <w:rsid w:val="00BE3D75"/>
    <w:rsid w:val="00BE4170"/>
    <w:rsid w:val="00BE4232"/>
    <w:rsid w:val="00BE43E9"/>
    <w:rsid w:val="00BE5776"/>
    <w:rsid w:val="00BE6030"/>
    <w:rsid w:val="00BE618A"/>
    <w:rsid w:val="00BE6D0F"/>
    <w:rsid w:val="00BE7B2D"/>
    <w:rsid w:val="00BF0276"/>
    <w:rsid w:val="00BF0379"/>
    <w:rsid w:val="00BF0CD3"/>
    <w:rsid w:val="00BF1509"/>
    <w:rsid w:val="00BF1CC0"/>
    <w:rsid w:val="00BF2F17"/>
    <w:rsid w:val="00BF2FFD"/>
    <w:rsid w:val="00BF37BB"/>
    <w:rsid w:val="00BF4661"/>
    <w:rsid w:val="00BF4745"/>
    <w:rsid w:val="00BF478D"/>
    <w:rsid w:val="00BF4CE0"/>
    <w:rsid w:val="00BF4DA0"/>
    <w:rsid w:val="00BF4DF0"/>
    <w:rsid w:val="00BF4E00"/>
    <w:rsid w:val="00BF5DF5"/>
    <w:rsid w:val="00BF5E73"/>
    <w:rsid w:val="00BF6377"/>
    <w:rsid w:val="00BF647E"/>
    <w:rsid w:val="00BF6C41"/>
    <w:rsid w:val="00BF6E51"/>
    <w:rsid w:val="00BF741C"/>
    <w:rsid w:val="00BF7AD0"/>
    <w:rsid w:val="00C0008B"/>
    <w:rsid w:val="00C014D3"/>
    <w:rsid w:val="00C01F6F"/>
    <w:rsid w:val="00C028F7"/>
    <w:rsid w:val="00C02B2D"/>
    <w:rsid w:val="00C03480"/>
    <w:rsid w:val="00C04A3A"/>
    <w:rsid w:val="00C04DD2"/>
    <w:rsid w:val="00C04FD6"/>
    <w:rsid w:val="00C052FF"/>
    <w:rsid w:val="00C06411"/>
    <w:rsid w:val="00C06D67"/>
    <w:rsid w:val="00C0755B"/>
    <w:rsid w:val="00C07845"/>
    <w:rsid w:val="00C07B0B"/>
    <w:rsid w:val="00C10317"/>
    <w:rsid w:val="00C10A3C"/>
    <w:rsid w:val="00C10EC8"/>
    <w:rsid w:val="00C10F17"/>
    <w:rsid w:val="00C11223"/>
    <w:rsid w:val="00C11373"/>
    <w:rsid w:val="00C1157E"/>
    <w:rsid w:val="00C11E74"/>
    <w:rsid w:val="00C124C2"/>
    <w:rsid w:val="00C12794"/>
    <w:rsid w:val="00C1299F"/>
    <w:rsid w:val="00C132D5"/>
    <w:rsid w:val="00C135FB"/>
    <w:rsid w:val="00C136FD"/>
    <w:rsid w:val="00C138BA"/>
    <w:rsid w:val="00C157DD"/>
    <w:rsid w:val="00C16D86"/>
    <w:rsid w:val="00C1702A"/>
    <w:rsid w:val="00C17824"/>
    <w:rsid w:val="00C21114"/>
    <w:rsid w:val="00C21BDE"/>
    <w:rsid w:val="00C21F67"/>
    <w:rsid w:val="00C223DC"/>
    <w:rsid w:val="00C226AE"/>
    <w:rsid w:val="00C2287A"/>
    <w:rsid w:val="00C22BD0"/>
    <w:rsid w:val="00C22BE3"/>
    <w:rsid w:val="00C2336D"/>
    <w:rsid w:val="00C24123"/>
    <w:rsid w:val="00C241C2"/>
    <w:rsid w:val="00C248FD"/>
    <w:rsid w:val="00C253AB"/>
    <w:rsid w:val="00C25B8C"/>
    <w:rsid w:val="00C25DF9"/>
    <w:rsid w:val="00C27225"/>
    <w:rsid w:val="00C303D5"/>
    <w:rsid w:val="00C30602"/>
    <w:rsid w:val="00C30DC3"/>
    <w:rsid w:val="00C3148A"/>
    <w:rsid w:val="00C31B16"/>
    <w:rsid w:val="00C32923"/>
    <w:rsid w:val="00C3299E"/>
    <w:rsid w:val="00C32AEF"/>
    <w:rsid w:val="00C33981"/>
    <w:rsid w:val="00C33B35"/>
    <w:rsid w:val="00C341DB"/>
    <w:rsid w:val="00C3507F"/>
    <w:rsid w:val="00C36537"/>
    <w:rsid w:val="00C36569"/>
    <w:rsid w:val="00C36617"/>
    <w:rsid w:val="00C36F2D"/>
    <w:rsid w:val="00C40FB1"/>
    <w:rsid w:val="00C419DD"/>
    <w:rsid w:val="00C41CDE"/>
    <w:rsid w:val="00C42FCF"/>
    <w:rsid w:val="00C435F6"/>
    <w:rsid w:val="00C44704"/>
    <w:rsid w:val="00C44D2D"/>
    <w:rsid w:val="00C45054"/>
    <w:rsid w:val="00C458BC"/>
    <w:rsid w:val="00C45AA9"/>
    <w:rsid w:val="00C46854"/>
    <w:rsid w:val="00C46A99"/>
    <w:rsid w:val="00C46F71"/>
    <w:rsid w:val="00C4716A"/>
    <w:rsid w:val="00C47176"/>
    <w:rsid w:val="00C4735C"/>
    <w:rsid w:val="00C476D7"/>
    <w:rsid w:val="00C478CF"/>
    <w:rsid w:val="00C47EA6"/>
    <w:rsid w:val="00C503E1"/>
    <w:rsid w:val="00C5084D"/>
    <w:rsid w:val="00C508E6"/>
    <w:rsid w:val="00C50947"/>
    <w:rsid w:val="00C50EE2"/>
    <w:rsid w:val="00C53154"/>
    <w:rsid w:val="00C53B73"/>
    <w:rsid w:val="00C546B5"/>
    <w:rsid w:val="00C54AA6"/>
    <w:rsid w:val="00C55166"/>
    <w:rsid w:val="00C56633"/>
    <w:rsid w:val="00C56B57"/>
    <w:rsid w:val="00C56EB3"/>
    <w:rsid w:val="00C572AF"/>
    <w:rsid w:val="00C575B0"/>
    <w:rsid w:val="00C604BF"/>
    <w:rsid w:val="00C60E3E"/>
    <w:rsid w:val="00C6170D"/>
    <w:rsid w:val="00C621B5"/>
    <w:rsid w:val="00C62A83"/>
    <w:rsid w:val="00C633C5"/>
    <w:rsid w:val="00C63550"/>
    <w:rsid w:val="00C63F70"/>
    <w:rsid w:val="00C655C6"/>
    <w:rsid w:val="00C66221"/>
    <w:rsid w:val="00C666C6"/>
    <w:rsid w:val="00C669EF"/>
    <w:rsid w:val="00C67A68"/>
    <w:rsid w:val="00C67A78"/>
    <w:rsid w:val="00C70B5A"/>
    <w:rsid w:val="00C71438"/>
    <w:rsid w:val="00C71B10"/>
    <w:rsid w:val="00C72324"/>
    <w:rsid w:val="00C731B2"/>
    <w:rsid w:val="00C733B5"/>
    <w:rsid w:val="00C737FD"/>
    <w:rsid w:val="00C7387E"/>
    <w:rsid w:val="00C739FC"/>
    <w:rsid w:val="00C73CE9"/>
    <w:rsid w:val="00C75083"/>
    <w:rsid w:val="00C750B3"/>
    <w:rsid w:val="00C76B0B"/>
    <w:rsid w:val="00C811E3"/>
    <w:rsid w:val="00C811F3"/>
    <w:rsid w:val="00C816E7"/>
    <w:rsid w:val="00C817C8"/>
    <w:rsid w:val="00C828CD"/>
    <w:rsid w:val="00C82E5C"/>
    <w:rsid w:val="00C83C58"/>
    <w:rsid w:val="00C8441E"/>
    <w:rsid w:val="00C848B9"/>
    <w:rsid w:val="00C8595B"/>
    <w:rsid w:val="00C863B1"/>
    <w:rsid w:val="00C8674B"/>
    <w:rsid w:val="00C869EA"/>
    <w:rsid w:val="00C90F4E"/>
    <w:rsid w:val="00C91C46"/>
    <w:rsid w:val="00C91C6F"/>
    <w:rsid w:val="00C9236A"/>
    <w:rsid w:val="00C92B92"/>
    <w:rsid w:val="00C92F5D"/>
    <w:rsid w:val="00C92FDC"/>
    <w:rsid w:val="00C93346"/>
    <w:rsid w:val="00C93D3D"/>
    <w:rsid w:val="00C94626"/>
    <w:rsid w:val="00C95283"/>
    <w:rsid w:val="00C96F9A"/>
    <w:rsid w:val="00CA0073"/>
    <w:rsid w:val="00CA08D7"/>
    <w:rsid w:val="00CA11AE"/>
    <w:rsid w:val="00CA15B9"/>
    <w:rsid w:val="00CA1B4F"/>
    <w:rsid w:val="00CA1BE6"/>
    <w:rsid w:val="00CA26DD"/>
    <w:rsid w:val="00CA270D"/>
    <w:rsid w:val="00CA29CD"/>
    <w:rsid w:val="00CA2AFC"/>
    <w:rsid w:val="00CA2DE9"/>
    <w:rsid w:val="00CA3594"/>
    <w:rsid w:val="00CA38B6"/>
    <w:rsid w:val="00CA38FE"/>
    <w:rsid w:val="00CA39BE"/>
    <w:rsid w:val="00CA40BC"/>
    <w:rsid w:val="00CA41E8"/>
    <w:rsid w:val="00CA4928"/>
    <w:rsid w:val="00CA4AAF"/>
    <w:rsid w:val="00CA4B95"/>
    <w:rsid w:val="00CA5530"/>
    <w:rsid w:val="00CA5F62"/>
    <w:rsid w:val="00CA5FC3"/>
    <w:rsid w:val="00CA6F50"/>
    <w:rsid w:val="00CA755C"/>
    <w:rsid w:val="00CA75C8"/>
    <w:rsid w:val="00CA7F0A"/>
    <w:rsid w:val="00CB02AC"/>
    <w:rsid w:val="00CB0C3B"/>
    <w:rsid w:val="00CB0D6A"/>
    <w:rsid w:val="00CB12D5"/>
    <w:rsid w:val="00CB1343"/>
    <w:rsid w:val="00CB1A2E"/>
    <w:rsid w:val="00CB1CDE"/>
    <w:rsid w:val="00CB1E9D"/>
    <w:rsid w:val="00CB2D98"/>
    <w:rsid w:val="00CB2FF5"/>
    <w:rsid w:val="00CB3254"/>
    <w:rsid w:val="00CB3380"/>
    <w:rsid w:val="00CB354B"/>
    <w:rsid w:val="00CB49B9"/>
    <w:rsid w:val="00CB49D1"/>
    <w:rsid w:val="00CB55E9"/>
    <w:rsid w:val="00CB5D91"/>
    <w:rsid w:val="00CB658C"/>
    <w:rsid w:val="00CB66BE"/>
    <w:rsid w:val="00CB67F7"/>
    <w:rsid w:val="00CB6A5A"/>
    <w:rsid w:val="00CB6D9E"/>
    <w:rsid w:val="00CC01EE"/>
    <w:rsid w:val="00CC08DF"/>
    <w:rsid w:val="00CC0A46"/>
    <w:rsid w:val="00CC0B9F"/>
    <w:rsid w:val="00CC17EE"/>
    <w:rsid w:val="00CC26BB"/>
    <w:rsid w:val="00CC2750"/>
    <w:rsid w:val="00CC32DF"/>
    <w:rsid w:val="00CC3330"/>
    <w:rsid w:val="00CC45EC"/>
    <w:rsid w:val="00CC462F"/>
    <w:rsid w:val="00CC46BD"/>
    <w:rsid w:val="00CC4FC5"/>
    <w:rsid w:val="00CC50EF"/>
    <w:rsid w:val="00CC562B"/>
    <w:rsid w:val="00CC58E4"/>
    <w:rsid w:val="00CC59C9"/>
    <w:rsid w:val="00CC5D36"/>
    <w:rsid w:val="00CC6313"/>
    <w:rsid w:val="00CC6718"/>
    <w:rsid w:val="00CD1665"/>
    <w:rsid w:val="00CD1732"/>
    <w:rsid w:val="00CD1A7E"/>
    <w:rsid w:val="00CD1C3F"/>
    <w:rsid w:val="00CD1F21"/>
    <w:rsid w:val="00CD203A"/>
    <w:rsid w:val="00CD2162"/>
    <w:rsid w:val="00CD220A"/>
    <w:rsid w:val="00CD292B"/>
    <w:rsid w:val="00CD2B3A"/>
    <w:rsid w:val="00CD2BEB"/>
    <w:rsid w:val="00CD36E3"/>
    <w:rsid w:val="00CD374D"/>
    <w:rsid w:val="00CD382D"/>
    <w:rsid w:val="00CD3933"/>
    <w:rsid w:val="00CD3DE2"/>
    <w:rsid w:val="00CD4A10"/>
    <w:rsid w:val="00CD53FE"/>
    <w:rsid w:val="00CD56E0"/>
    <w:rsid w:val="00CD5713"/>
    <w:rsid w:val="00CD6653"/>
    <w:rsid w:val="00CD67DE"/>
    <w:rsid w:val="00CD738F"/>
    <w:rsid w:val="00CD76CE"/>
    <w:rsid w:val="00CD773E"/>
    <w:rsid w:val="00CD7E2F"/>
    <w:rsid w:val="00CE0267"/>
    <w:rsid w:val="00CE033A"/>
    <w:rsid w:val="00CE041B"/>
    <w:rsid w:val="00CE0C64"/>
    <w:rsid w:val="00CE1099"/>
    <w:rsid w:val="00CE1821"/>
    <w:rsid w:val="00CE1F8A"/>
    <w:rsid w:val="00CE5BFA"/>
    <w:rsid w:val="00CE6069"/>
    <w:rsid w:val="00CE6BF7"/>
    <w:rsid w:val="00CE7596"/>
    <w:rsid w:val="00CF0335"/>
    <w:rsid w:val="00CF13B5"/>
    <w:rsid w:val="00CF223B"/>
    <w:rsid w:val="00CF235C"/>
    <w:rsid w:val="00CF2399"/>
    <w:rsid w:val="00CF23D4"/>
    <w:rsid w:val="00CF2A95"/>
    <w:rsid w:val="00CF2ACB"/>
    <w:rsid w:val="00CF2E9A"/>
    <w:rsid w:val="00CF30B2"/>
    <w:rsid w:val="00CF3497"/>
    <w:rsid w:val="00CF3689"/>
    <w:rsid w:val="00CF4F31"/>
    <w:rsid w:val="00CF525C"/>
    <w:rsid w:val="00CF58CF"/>
    <w:rsid w:val="00CF5CB7"/>
    <w:rsid w:val="00CF6561"/>
    <w:rsid w:val="00CF66A0"/>
    <w:rsid w:val="00CF6935"/>
    <w:rsid w:val="00CF694E"/>
    <w:rsid w:val="00CF6A44"/>
    <w:rsid w:val="00CF6B87"/>
    <w:rsid w:val="00CF7FE0"/>
    <w:rsid w:val="00D00796"/>
    <w:rsid w:val="00D02005"/>
    <w:rsid w:val="00D0215E"/>
    <w:rsid w:val="00D02220"/>
    <w:rsid w:val="00D02A7C"/>
    <w:rsid w:val="00D02A7E"/>
    <w:rsid w:val="00D02EED"/>
    <w:rsid w:val="00D03679"/>
    <w:rsid w:val="00D037F8"/>
    <w:rsid w:val="00D04959"/>
    <w:rsid w:val="00D062B1"/>
    <w:rsid w:val="00D067C0"/>
    <w:rsid w:val="00D079D7"/>
    <w:rsid w:val="00D10295"/>
    <w:rsid w:val="00D10A60"/>
    <w:rsid w:val="00D10D5E"/>
    <w:rsid w:val="00D12E92"/>
    <w:rsid w:val="00D12EAF"/>
    <w:rsid w:val="00D13048"/>
    <w:rsid w:val="00D1324C"/>
    <w:rsid w:val="00D134B3"/>
    <w:rsid w:val="00D13A89"/>
    <w:rsid w:val="00D143DC"/>
    <w:rsid w:val="00D146BD"/>
    <w:rsid w:val="00D149FD"/>
    <w:rsid w:val="00D160C3"/>
    <w:rsid w:val="00D162E9"/>
    <w:rsid w:val="00D16498"/>
    <w:rsid w:val="00D1694F"/>
    <w:rsid w:val="00D1734F"/>
    <w:rsid w:val="00D1736F"/>
    <w:rsid w:val="00D17370"/>
    <w:rsid w:val="00D176CB"/>
    <w:rsid w:val="00D1772A"/>
    <w:rsid w:val="00D17C8D"/>
    <w:rsid w:val="00D2071F"/>
    <w:rsid w:val="00D20976"/>
    <w:rsid w:val="00D20CA0"/>
    <w:rsid w:val="00D20FE6"/>
    <w:rsid w:val="00D21012"/>
    <w:rsid w:val="00D2124A"/>
    <w:rsid w:val="00D2142C"/>
    <w:rsid w:val="00D2168A"/>
    <w:rsid w:val="00D21804"/>
    <w:rsid w:val="00D21844"/>
    <w:rsid w:val="00D219E6"/>
    <w:rsid w:val="00D23121"/>
    <w:rsid w:val="00D235F5"/>
    <w:rsid w:val="00D23777"/>
    <w:rsid w:val="00D239B5"/>
    <w:rsid w:val="00D23A7B"/>
    <w:rsid w:val="00D241DC"/>
    <w:rsid w:val="00D24FAD"/>
    <w:rsid w:val="00D25360"/>
    <w:rsid w:val="00D254B9"/>
    <w:rsid w:val="00D25542"/>
    <w:rsid w:val="00D256BF"/>
    <w:rsid w:val="00D25CA7"/>
    <w:rsid w:val="00D25F02"/>
    <w:rsid w:val="00D260CE"/>
    <w:rsid w:val="00D26B87"/>
    <w:rsid w:val="00D26C95"/>
    <w:rsid w:val="00D279DD"/>
    <w:rsid w:val="00D27E1E"/>
    <w:rsid w:val="00D27FFB"/>
    <w:rsid w:val="00D30103"/>
    <w:rsid w:val="00D303CC"/>
    <w:rsid w:val="00D3062A"/>
    <w:rsid w:val="00D309CA"/>
    <w:rsid w:val="00D30CDC"/>
    <w:rsid w:val="00D31D61"/>
    <w:rsid w:val="00D323FD"/>
    <w:rsid w:val="00D326C1"/>
    <w:rsid w:val="00D32E54"/>
    <w:rsid w:val="00D33057"/>
    <w:rsid w:val="00D33778"/>
    <w:rsid w:val="00D3389C"/>
    <w:rsid w:val="00D33D02"/>
    <w:rsid w:val="00D33D07"/>
    <w:rsid w:val="00D3433F"/>
    <w:rsid w:val="00D347C8"/>
    <w:rsid w:val="00D34844"/>
    <w:rsid w:val="00D34B55"/>
    <w:rsid w:val="00D35057"/>
    <w:rsid w:val="00D354A4"/>
    <w:rsid w:val="00D3560B"/>
    <w:rsid w:val="00D36F5C"/>
    <w:rsid w:val="00D41DB8"/>
    <w:rsid w:val="00D42C0F"/>
    <w:rsid w:val="00D44878"/>
    <w:rsid w:val="00D45429"/>
    <w:rsid w:val="00D47803"/>
    <w:rsid w:val="00D47DE8"/>
    <w:rsid w:val="00D47FAF"/>
    <w:rsid w:val="00D50690"/>
    <w:rsid w:val="00D5084C"/>
    <w:rsid w:val="00D509E5"/>
    <w:rsid w:val="00D51410"/>
    <w:rsid w:val="00D515E4"/>
    <w:rsid w:val="00D52808"/>
    <w:rsid w:val="00D52C33"/>
    <w:rsid w:val="00D52FCC"/>
    <w:rsid w:val="00D530E9"/>
    <w:rsid w:val="00D5338A"/>
    <w:rsid w:val="00D53DDD"/>
    <w:rsid w:val="00D544BB"/>
    <w:rsid w:val="00D54D20"/>
    <w:rsid w:val="00D54DEB"/>
    <w:rsid w:val="00D5530A"/>
    <w:rsid w:val="00D55A82"/>
    <w:rsid w:val="00D55BFD"/>
    <w:rsid w:val="00D55D5B"/>
    <w:rsid w:val="00D56185"/>
    <w:rsid w:val="00D5644C"/>
    <w:rsid w:val="00D5657D"/>
    <w:rsid w:val="00D571D7"/>
    <w:rsid w:val="00D578CA"/>
    <w:rsid w:val="00D57982"/>
    <w:rsid w:val="00D57A93"/>
    <w:rsid w:val="00D57F54"/>
    <w:rsid w:val="00D60840"/>
    <w:rsid w:val="00D6173A"/>
    <w:rsid w:val="00D6190D"/>
    <w:rsid w:val="00D61BF6"/>
    <w:rsid w:val="00D61F3E"/>
    <w:rsid w:val="00D6250B"/>
    <w:rsid w:val="00D62C6E"/>
    <w:rsid w:val="00D62EB6"/>
    <w:rsid w:val="00D63A7F"/>
    <w:rsid w:val="00D63BBB"/>
    <w:rsid w:val="00D64290"/>
    <w:rsid w:val="00D64551"/>
    <w:rsid w:val="00D650C2"/>
    <w:rsid w:val="00D65294"/>
    <w:rsid w:val="00D6566D"/>
    <w:rsid w:val="00D65779"/>
    <w:rsid w:val="00D66DE2"/>
    <w:rsid w:val="00D67552"/>
    <w:rsid w:val="00D70A50"/>
    <w:rsid w:val="00D70F78"/>
    <w:rsid w:val="00D72F94"/>
    <w:rsid w:val="00D744A8"/>
    <w:rsid w:val="00D749B3"/>
    <w:rsid w:val="00D74A98"/>
    <w:rsid w:val="00D763E0"/>
    <w:rsid w:val="00D7691A"/>
    <w:rsid w:val="00D76DE8"/>
    <w:rsid w:val="00D771B5"/>
    <w:rsid w:val="00D779FA"/>
    <w:rsid w:val="00D81FCF"/>
    <w:rsid w:val="00D8257C"/>
    <w:rsid w:val="00D825B6"/>
    <w:rsid w:val="00D830D9"/>
    <w:rsid w:val="00D83468"/>
    <w:rsid w:val="00D844C5"/>
    <w:rsid w:val="00D849A6"/>
    <w:rsid w:val="00D849AC"/>
    <w:rsid w:val="00D8534F"/>
    <w:rsid w:val="00D85903"/>
    <w:rsid w:val="00D85ED8"/>
    <w:rsid w:val="00D86594"/>
    <w:rsid w:val="00D86661"/>
    <w:rsid w:val="00D866C9"/>
    <w:rsid w:val="00D86BC5"/>
    <w:rsid w:val="00D86C50"/>
    <w:rsid w:val="00D87E78"/>
    <w:rsid w:val="00D914EA"/>
    <w:rsid w:val="00D9172E"/>
    <w:rsid w:val="00D9177A"/>
    <w:rsid w:val="00D91925"/>
    <w:rsid w:val="00D91BC9"/>
    <w:rsid w:val="00D91EF5"/>
    <w:rsid w:val="00D92701"/>
    <w:rsid w:val="00D930A9"/>
    <w:rsid w:val="00D933D7"/>
    <w:rsid w:val="00D93BB8"/>
    <w:rsid w:val="00D943B3"/>
    <w:rsid w:val="00D94431"/>
    <w:rsid w:val="00D94996"/>
    <w:rsid w:val="00D94B59"/>
    <w:rsid w:val="00D950B5"/>
    <w:rsid w:val="00D951A3"/>
    <w:rsid w:val="00D95513"/>
    <w:rsid w:val="00D95A6C"/>
    <w:rsid w:val="00D962AD"/>
    <w:rsid w:val="00D9697E"/>
    <w:rsid w:val="00D97269"/>
    <w:rsid w:val="00D9774C"/>
    <w:rsid w:val="00D979BC"/>
    <w:rsid w:val="00DA0EAD"/>
    <w:rsid w:val="00DA13EB"/>
    <w:rsid w:val="00DA184C"/>
    <w:rsid w:val="00DA186B"/>
    <w:rsid w:val="00DA2C95"/>
    <w:rsid w:val="00DA333F"/>
    <w:rsid w:val="00DA360D"/>
    <w:rsid w:val="00DA3A13"/>
    <w:rsid w:val="00DA4DD1"/>
    <w:rsid w:val="00DA5C9E"/>
    <w:rsid w:val="00DA648C"/>
    <w:rsid w:val="00DA6672"/>
    <w:rsid w:val="00DA6783"/>
    <w:rsid w:val="00DA6BBA"/>
    <w:rsid w:val="00DA7091"/>
    <w:rsid w:val="00DA7CEF"/>
    <w:rsid w:val="00DB02A5"/>
    <w:rsid w:val="00DB07E1"/>
    <w:rsid w:val="00DB114C"/>
    <w:rsid w:val="00DB16CE"/>
    <w:rsid w:val="00DB201A"/>
    <w:rsid w:val="00DB204E"/>
    <w:rsid w:val="00DB2483"/>
    <w:rsid w:val="00DB2CF4"/>
    <w:rsid w:val="00DB2D76"/>
    <w:rsid w:val="00DB2DB6"/>
    <w:rsid w:val="00DB3A78"/>
    <w:rsid w:val="00DB3FCD"/>
    <w:rsid w:val="00DB4F0D"/>
    <w:rsid w:val="00DB51DC"/>
    <w:rsid w:val="00DB51EB"/>
    <w:rsid w:val="00DB5D73"/>
    <w:rsid w:val="00DB603C"/>
    <w:rsid w:val="00DB62A0"/>
    <w:rsid w:val="00DB69A2"/>
    <w:rsid w:val="00DB6DF5"/>
    <w:rsid w:val="00DB6FA1"/>
    <w:rsid w:val="00DB715A"/>
    <w:rsid w:val="00DB7D25"/>
    <w:rsid w:val="00DB7DEA"/>
    <w:rsid w:val="00DB7E9F"/>
    <w:rsid w:val="00DC0318"/>
    <w:rsid w:val="00DC040F"/>
    <w:rsid w:val="00DC0D10"/>
    <w:rsid w:val="00DC12EF"/>
    <w:rsid w:val="00DC1312"/>
    <w:rsid w:val="00DC13F0"/>
    <w:rsid w:val="00DC1A7F"/>
    <w:rsid w:val="00DC36D5"/>
    <w:rsid w:val="00DC3B7F"/>
    <w:rsid w:val="00DC3CB8"/>
    <w:rsid w:val="00DC4C72"/>
    <w:rsid w:val="00DC58F7"/>
    <w:rsid w:val="00DC6156"/>
    <w:rsid w:val="00DC666E"/>
    <w:rsid w:val="00DC6AC2"/>
    <w:rsid w:val="00DC6EA4"/>
    <w:rsid w:val="00DC72E4"/>
    <w:rsid w:val="00DC77D2"/>
    <w:rsid w:val="00DC7C5C"/>
    <w:rsid w:val="00DC7CCC"/>
    <w:rsid w:val="00DD160A"/>
    <w:rsid w:val="00DD1AD1"/>
    <w:rsid w:val="00DD1DF0"/>
    <w:rsid w:val="00DD23A6"/>
    <w:rsid w:val="00DD462E"/>
    <w:rsid w:val="00DD59BB"/>
    <w:rsid w:val="00DD5D84"/>
    <w:rsid w:val="00DD61A9"/>
    <w:rsid w:val="00DD6B9D"/>
    <w:rsid w:val="00DD711A"/>
    <w:rsid w:val="00DD7171"/>
    <w:rsid w:val="00DD75DE"/>
    <w:rsid w:val="00DD785B"/>
    <w:rsid w:val="00DD7BA8"/>
    <w:rsid w:val="00DD7C4C"/>
    <w:rsid w:val="00DD7E47"/>
    <w:rsid w:val="00DE0417"/>
    <w:rsid w:val="00DE067C"/>
    <w:rsid w:val="00DE10DC"/>
    <w:rsid w:val="00DE13E2"/>
    <w:rsid w:val="00DE150B"/>
    <w:rsid w:val="00DE1D08"/>
    <w:rsid w:val="00DE23C5"/>
    <w:rsid w:val="00DE2B9B"/>
    <w:rsid w:val="00DE3E62"/>
    <w:rsid w:val="00DE3F02"/>
    <w:rsid w:val="00DE40C5"/>
    <w:rsid w:val="00DE4428"/>
    <w:rsid w:val="00DE51AA"/>
    <w:rsid w:val="00DE5B26"/>
    <w:rsid w:val="00DE5C3A"/>
    <w:rsid w:val="00DE6052"/>
    <w:rsid w:val="00DE6683"/>
    <w:rsid w:val="00DE724D"/>
    <w:rsid w:val="00DE78D8"/>
    <w:rsid w:val="00DE790C"/>
    <w:rsid w:val="00DE7F1F"/>
    <w:rsid w:val="00DF0A65"/>
    <w:rsid w:val="00DF0B5B"/>
    <w:rsid w:val="00DF0E68"/>
    <w:rsid w:val="00DF17D0"/>
    <w:rsid w:val="00DF1CDE"/>
    <w:rsid w:val="00DF20FA"/>
    <w:rsid w:val="00DF21D3"/>
    <w:rsid w:val="00DF22D9"/>
    <w:rsid w:val="00DF25C9"/>
    <w:rsid w:val="00DF3FB6"/>
    <w:rsid w:val="00DF496C"/>
    <w:rsid w:val="00DF4AE5"/>
    <w:rsid w:val="00DF4EB0"/>
    <w:rsid w:val="00DF5778"/>
    <w:rsid w:val="00DF58EF"/>
    <w:rsid w:val="00DF671A"/>
    <w:rsid w:val="00DF6BB3"/>
    <w:rsid w:val="00DF6C86"/>
    <w:rsid w:val="00DF709D"/>
    <w:rsid w:val="00DF739C"/>
    <w:rsid w:val="00DF7542"/>
    <w:rsid w:val="00DF7E2D"/>
    <w:rsid w:val="00DF7E31"/>
    <w:rsid w:val="00E000DA"/>
    <w:rsid w:val="00E00114"/>
    <w:rsid w:val="00E003C9"/>
    <w:rsid w:val="00E007EC"/>
    <w:rsid w:val="00E0116B"/>
    <w:rsid w:val="00E0150D"/>
    <w:rsid w:val="00E015F2"/>
    <w:rsid w:val="00E01AB9"/>
    <w:rsid w:val="00E0288C"/>
    <w:rsid w:val="00E02BFE"/>
    <w:rsid w:val="00E03011"/>
    <w:rsid w:val="00E03150"/>
    <w:rsid w:val="00E03688"/>
    <w:rsid w:val="00E042FF"/>
    <w:rsid w:val="00E04894"/>
    <w:rsid w:val="00E04B8E"/>
    <w:rsid w:val="00E04E1C"/>
    <w:rsid w:val="00E05C0F"/>
    <w:rsid w:val="00E0600D"/>
    <w:rsid w:val="00E063FE"/>
    <w:rsid w:val="00E068F7"/>
    <w:rsid w:val="00E072D1"/>
    <w:rsid w:val="00E07847"/>
    <w:rsid w:val="00E079AD"/>
    <w:rsid w:val="00E07C30"/>
    <w:rsid w:val="00E07F61"/>
    <w:rsid w:val="00E107F0"/>
    <w:rsid w:val="00E10C9C"/>
    <w:rsid w:val="00E10D67"/>
    <w:rsid w:val="00E119BF"/>
    <w:rsid w:val="00E11A7E"/>
    <w:rsid w:val="00E11C4B"/>
    <w:rsid w:val="00E11E3D"/>
    <w:rsid w:val="00E11E83"/>
    <w:rsid w:val="00E11F92"/>
    <w:rsid w:val="00E120BE"/>
    <w:rsid w:val="00E125ED"/>
    <w:rsid w:val="00E1380D"/>
    <w:rsid w:val="00E1511D"/>
    <w:rsid w:val="00E162CB"/>
    <w:rsid w:val="00E16C21"/>
    <w:rsid w:val="00E170C8"/>
    <w:rsid w:val="00E17122"/>
    <w:rsid w:val="00E17133"/>
    <w:rsid w:val="00E17E4B"/>
    <w:rsid w:val="00E201F0"/>
    <w:rsid w:val="00E20211"/>
    <w:rsid w:val="00E20710"/>
    <w:rsid w:val="00E20CCD"/>
    <w:rsid w:val="00E20D83"/>
    <w:rsid w:val="00E21C21"/>
    <w:rsid w:val="00E21C88"/>
    <w:rsid w:val="00E2266B"/>
    <w:rsid w:val="00E22B95"/>
    <w:rsid w:val="00E24895"/>
    <w:rsid w:val="00E24B36"/>
    <w:rsid w:val="00E24C42"/>
    <w:rsid w:val="00E2593F"/>
    <w:rsid w:val="00E25DD4"/>
    <w:rsid w:val="00E25E25"/>
    <w:rsid w:val="00E25EE2"/>
    <w:rsid w:val="00E27E24"/>
    <w:rsid w:val="00E308FE"/>
    <w:rsid w:val="00E30CAF"/>
    <w:rsid w:val="00E30F9C"/>
    <w:rsid w:val="00E3146A"/>
    <w:rsid w:val="00E3156D"/>
    <w:rsid w:val="00E31E64"/>
    <w:rsid w:val="00E320A8"/>
    <w:rsid w:val="00E332E5"/>
    <w:rsid w:val="00E33523"/>
    <w:rsid w:val="00E34E39"/>
    <w:rsid w:val="00E34EFF"/>
    <w:rsid w:val="00E356CC"/>
    <w:rsid w:val="00E366F4"/>
    <w:rsid w:val="00E36CD1"/>
    <w:rsid w:val="00E3724A"/>
    <w:rsid w:val="00E40346"/>
    <w:rsid w:val="00E4040D"/>
    <w:rsid w:val="00E41029"/>
    <w:rsid w:val="00E416AF"/>
    <w:rsid w:val="00E41D65"/>
    <w:rsid w:val="00E42550"/>
    <w:rsid w:val="00E42BC8"/>
    <w:rsid w:val="00E4399F"/>
    <w:rsid w:val="00E43B8E"/>
    <w:rsid w:val="00E44AD8"/>
    <w:rsid w:val="00E44AEF"/>
    <w:rsid w:val="00E452CF"/>
    <w:rsid w:val="00E4592C"/>
    <w:rsid w:val="00E45BC7"/>
    <w:rsid w:val="00E50442"/>
    <w:rsid w:val="00E509E6"/>
    <w:rsid w:val="00E50FBD"/>
    <w:rsid w:val="00E512D8"/>
    <w:rsid w:val="00E519AE"/>
    <w:rsid w:val="00E5212E"/>
    <w:rsid w:val="00E523B8"/>
    <w:rsid w:val="00E52483"/>
    <w:rsid w:val="00E52556"/>
    <w:rsid w:val="00E53E29"/>
    <w:rsid w:val="00E54785"/>
    <w:rsid w:val="00E54DAA"/>
    <w:rsid w:val="00E5529B"/>
    <w:rsid w:val="00E55A75"/>
    <w:rsid w:val="00E55E15"/>
    <w:rsid w:val="00E563CF"/>
    <w:rsid w:val="00E57F31"/>
    <w:rsid w:val="00E57F39"/>
    <w:rsid w:val="00E60B18"/>
    <w:rsid w:val="00E60FA3"/>
    <w:rsid w:val="00E6154A"/>
    <w:rsid w:val="00E61D3E"/>
    <w:rsid w:val="00E61FEF"/>
    <w:rsid w:val="00E6222F"/>
    <w:rsid w:val="00E63AC5"/>
    <w:rsid w:val="00E640A9"/>
    <w:rsid w:val="00E64C26"/>
    <w:rsid w:val="00E64DC6"/>
    <w:rsid w:val="00E6515E"/>
    <w:rsid w:val="00E65BDB"/>
    <w:rsid w:val="00E6698C"/>
    <w:rsid w:val="00E6715E"/>
    <w:rsid w:val="00E675A4"/>
    <w:rsid w:val="00E67AF3"/>
    <w:rsid w:val="00E702F5"/>
    <w:rsid w:val="00E70FC9"/>
    <w:rsid w:val="00E715BF"/>
    <w:rsid w:val="00E716DA"/>
    <w:rsid w:val="00E71D63"/>
    <w:rsid w:val="00E7276F"/>
    <w:rsid w:val="00E7284F"/>
    <w:rsid w:val="00E72855"/>
    <w:rsid w:val="00E72D19"/>
    <w:rsid w:val="00E7371F"/>
    <w:rsid w:val="00E73CF7"/>
    <w:rsid w:val="00E73F54"/>
    <w:rsid w:val="00E75A82"/>
    <w:rsid w:val="00E75EFD"/>
    <w:rsid w:val="00E767C5"/>
    <w:rsid w:val="00E76A06"/>
    <w:rsid w:val="00E76B1C"/>
    <w:rsid w:val="00E770E1"/>
    <w:rsid w:val="00E8025E"/>
    <w:rsid w:val="00E806A2"/>
    <w:rsid w:val="00E807B6"/>
    <w:rsid w:val="00E809DD"/>
    <w:rsid w:val="00E80A9E"/>
    <w:rsid w:val="00E80B7E"/>
    <w:rsid w:val="00E80FCF"/>
    <w:rsid w:val="00E8251B"/>
    <w:rsid w:val="00E839B0"/>
    <w:rsid w:val="00E83D40"/>
    <w:rsid w:val="00E843E9"/>
    <w:rsid w:val="00E853C7"/>
    <w:rsid w:val="00E85602"/>
    <w:rsid w:val="00E85C0D"/>
    <w:rsid w:val="00E86561"/>
    <w:rsid w:val="00E86CA5"/>
    <w:rsid w:val="00E86E8B"/>
    <w:rsid w:val="00E8783E"/>
    <w:rsid w:val="00E902E1"/>
    <w:rsid w:val="00E905CD"/>
    <w:rsid w:val="00E9076C"/>
    <w:rsid w:val="00E90A33"/>
    <w:rsid w:val="00E91199"/>
    <w:rsid w:val="00E91A9D"/>
    <w:rsid w:val="00E91F67"/>
    <w:rsid w:val="00E91F79"/>
    <w:rsid w:val="00E92E0E"/>
    <w:rsid w:val="00E93023"/>
    <w:rsid w:val="00E93093"/>
    <w:rsid w:val="00E93ACC"/>
    <w:rsid w:val="00E93BE5"/>
    <w:rsid w:val="00E95980"/>
    <w:rsid w:val="00E95B6C"/>
    <w:rsid w:val="00E95E46"/>
    <w:rsid w:val="00E95F30"/>
    <w:rsid w:val="00E96113"/>
    <w:rsid w:val="00E96361"/>
    <w:rsid w:val="00E967E7"/>
    <w:rsid w:val="00E9712E"/>
    <w:rsid w:val="00E97343"/>
    <w:rsid w:val="00E9782E"/>
    <w:rsid w:val="00E97D08"/>
    <w:rsid w:val="00E97E68"/>
    <w:rsid w:val="00EA1661"/>
    <w:rsid w:val="00EA1E78"/>
    <w:rsid w:val="00EA1F07"/>
    <w:rsid w:val="00EA2B0B"/>
    <w:rsid w:val="00EA2C9D"/>
    <w:rsid w:val="00EA2CD4"/>
    <w:rsid w:val="00EA3076"/>
    <w:rsid w:val="00EA4201"/>
    <w:rsid w:val="00EA483B"/>
    <w:rsid w:val="00EA4937"/>
    <w:rsid w:val="00EA4B9A"/>
    <w:rsid w:val="00EA516F"/>
    <w:rsid w:val="00EA5DCE"/>
    <w:rsid w:val="00EA5F2F"/>
    <w:rsid w:val="00EA68CB"/>
    <w:rsid w:val="00EA7831"/>
    <w:rsid w:val="00EA7EEC"/>
    <w:rsid w:val="00EA7F72"/>
    <w:rsid w:val="00EB06D9"/>
    <w:rsid w:val="00EB0EF2"/>
    <w:rsid w:val="00EB2047"/>
    <w:rsid w:val="00EB253E"/>
    <w:rsid w:val="00EB2925"/>
    <w:rsid w:val="00EB3A47"/>
    <w:rsid w:val="00EB4533"/>
    <w:rsid w:val="00EB4B4A"/>
    <w:rsid w:val="00EB5682"/>
    <w:rsid w:val="00EB5E66"/>
    <w:rsid w:val="00EB6D39"/>
    <w:rsid w:val="00EB71FF"/>
    <w:rsid w:val="00EB7490"/>
    <w:rsid w:val="00EB781C"/>
    <w:rsid w:val="00EB7A00"/>
    <w:rsid w:val="00EB7A1E"/>
    <w:rsid w:val="00EC033E"/>
    <w:rsid w:val="00EC0D7E"/>
    <w:rsid w:val="00EC1089"/>
    <w:rsid w:val="00EC19CE"/>
    <w:rsid w:val="00EC1C3E"/>
    <w:rsid w:val="00EC2166"/>
    <w:rsid w:val="00EC24B4"/>
    <w:rsid w:val="00EC357B"/>
    <w:rsid w:val="00EC45A2"/>
    <w:rsid w:val="00EC5292"/>
    <w:rsid w:val="00EC5F74"/>
    <w:rsid w:val="00EC670B"/>
    <w:rsid w:val="00EC693C"/>
    <w:rsid w:val="00EC6F95"/>
    <w:rsid w:val="00EC71EF"/>
    <w:rsid w:val="00EC73BB"/>
    <w:rsid w:val="00EC76B9"/>
    <w:rsid w:val="00EC76D6"/>
    <w:rsid w:val="00EC7E21"/>
    <w:rsid w:val="00ED0493"/>
    <w:rsid w:val="00ED0564"/>
    <w:rsid w:val="00ED07B8"/>
    <w:rsid w:val="00ED18D6"/>
    <w:rsid w:val="00ED1E80"/>
    <w:rsid w:val="00ED28E9"/>
    <w:rsid w:val="00ED2BD0"/>
    <w:rsid w:val="00ED2C8C"/>
    <w:rsid w:val="00ED4097"/>
    <w:rsid w:val="00ED4D02"/>
    <w:rsid w:val="00ED57E9"/>
    <w:rsid w:val="00ED6441"/>
    <w:rsid w:val="00ED658B"/>
    <w:rsid w:val="00ED66A1"/>
    <w:rsid w:val="00ED6F80"/>
    <w:rsid w:val="00ED724D"/>
    <w:rsid w:val="00ED7674"/>
    <w:rsid w:val="00ED790B"/>
    <w:rsid w:val="00ED7B34"/>
    <w:rsid w:val="00ED7ED2"/>
    <w:rsid w:val="00ED7FA7"/>
    <w:rsid w:val="00EE0050"/>
    <w:rsid w:val="00EE016F"/>
    <w:rsid w:val="00EE14EC"/>
    <w:rsid w:val="00EE1DC0"/>
    <w:rsid w:val="00EE1F45"/>
    <w:rsid w:val="00EE2038"/>
    <w:rsid w:val="00EE2CE3"/>
    <w:rsid w:val="00EE327C"/>
    <w:rsid w:val="00EE364C"/>
    <w:rsid w:val="00EE36FB"/>
    <w:rsid w:val="00EE3F8F"/>
    <w:rsid w:val="00EE483A"/>
    <w:rsid w:val="00EE5002"/>
    <w:rsid w:val="00EE5B3B"/>
    <w:rsid w:val="00EE5CA0"/>
    <w:rsid w:val="00EF0251"/>
    <w:rsid w:val="00EF06B2"/>
    <w:rsid w:val="00EF0B2C"/>
    <w:rsid w:val="00EF10B9"/>
    <w:rsid w:val="00EF15FF"/>
    <w:rsid w:val="00EF18F8"/>
    <w:rsid w:val="00EF2697"/>
    <w:rsid w:val="00EF2F2F"/>
    <w:rsid w:val="00EF388C"/>
    <w:rsid w:val="00EF3D0E"/>
    <w:rsid w:val="00EF45CD"/>
    <w:rsid w:val="00EF4858"/>
    <w:rsid w:val="00EF497D"/>
    <w:rsid w:val="00EF4BAB"/>
    <w:rsid w:val="00EF51EF"/>
    <w:rsid w:val="00EF523B"/>
    <w:rsid w:val="00EF57E6"/>
    <w:rsid w:val="00EF5C48"/>
    <w:rsid w:val="00EF5EA1"/>
    <w:rsid w:val="00EF64C6"/>
    <w:rsid w:val="00EF6922"/>
    <w:rsid w:val="00EF6DDC"/>
    <w:rsid w:val="00EF6DEE"/>
    <w:rsid w:val="00EF73D3"/>
    <w:rsid w:val="00EF7EB5"/>
    <w:rsid w:val="00F00564"/>
    <w:rsid w:val="00F005C4"/>
    <w:rsid w:val="00F00623"/>
    <w:rsid w:val="00F00BFE"/>
    <w:rsid w:val="00F00D2C"/>
    <w:rsid w:val="00F01767"/>
    <w:rsid w:val="00F01AE8"/>
    <w:rsid w:val="00F01AEA"/>
    <w:rsid w:val="00F01BC0"/>
    <w:rsid w:val="00F0237D"/>
    <w:rsid w:val="00F02541"/>
    <w:rsid w:val="00F02589"/>
    <w:rsid w:val="00F02CF4"/>
    <w:rsid w:val="00F0320E"/>
    <w:rsid w:val="00F04188"/>
    <w:rsid w:val="00F046A7"/>
    <w:rsid w:val="00F0475A"/>
    <w:rsid w:val="00F04A84"/>
    <w:rsid w:val="00F050B4"/>
    <w:rsid w:val="00F05410"/>
    <w:rsid w:val="00F05444"/>
    <w:rsid w:val="00F05987"/>
    <w:rsid w:val="00F06367"/>
    <w:rsid w:val="00F0658F"/>
    <w:rsid w:val="00F06DBC"/>
    <w:rsid w:val="00F076A9"/>
    <w:rsid w:val="00F07705"/>
    <w:rsid w:val="00F07963"/>
    <w:rsid w:val="00F07B20"/>
    <w:rsid w:val="00F07BF5"/>
    <w:rsid w:val="00F07CD7"/>
    <w:rsid w:val="00F07DD2"/>
    <w:rsid w:val="00F10C5A"/>
    <w:rsid w:val="00F10E21"/>
    <w:rsid w:val="00F1149F"/>
    <w:rsid w:val="00F12028"/>
    <w:rsid w:val="00F12041"/>
    <w:rsid w:val="00F121EC"/>
    <w:rsid w:val="00F1231E"/>
    <w:rsid w:val="00F12794"/>
    <w:rsid w:val="00F127F1"/>
    <w:rsid w:val="00F12A27"/>
    <w:rsid w:val="00F12B25"/>
    <w:rsid w:val="00F12E32"/>
    <w:rsid w:val="00F134F1"/>
    <w:rsid w:val="00F138A1"/>
    <w:rsid w:val="00F139E6"/>
    <w:rsid w:val="00F14DD2"/>
    <w:rsid w:val="00F14FEE"/>
    <w:rsid w:val="00F151C7"/>
    <w:rsid w:val="00F1578B"/>
    <w:rsid w:val="00F167C6"/>
    <w:rsid w:val="00F16BFD"/>
    <w:rsid w:val="00F17518"/>
    <w:rsid w:val="00F1780F"/>
    <w:rsid w:val="00F17EB6"/>
    <w:rsid w:val="00F20A9D"/>
    <w:rsid w:val="00F20E7E"/>
    <w:rsid w:val="00F21A73"/>
    <w:rsid w:val="00F222E8"/>
    <w:rsid w:val="00F228FB"/>
    <w:rsid w:val="00F22A6C"/>
    <w:rsid w:val="00F22DFC"/>
    <w:rsid w:val="00F23B7F"/>
    <w:rsid w:val="00F24216"/>
    <w:rsid w:val="00F24503"/>
    <w:rsid w:val="00F255B3"/>
    <w:rsid w:val="00F2651E"/>
    <w:rsid w:val="00F26FCC"/>
    <w:rsid w:val="00F271C5"/>
    <w:rsid w:val="00F27B76"/>
    <w:rsid w:val="00F305FC"/>
    <w:rsid w:val="00F313E2"/>
    <w:rsid w:val="00F31A9B"/>
    <w:rsid w:val="00F32376"/>
    <w:rsid w:val="00F32850"/>
    <w:rsid w:val="00F33558"/>
    <w:rsid w:val="00F336F4"/>
    <w:rsid w:val="00F34903"/>
    <w:rsid w:val="00F358C5"/>
    <w:rsid w:val="00F36676"/>
    <w:rsid w:val="00F366D8"/>
    <w:rsid w:val="00F36EA7"/>
    <w:rsid w:val="00F36EAD"/>
    <w:rsid w:val="00F36EE0"/>
    <w:rsid w:val="00F40339"/>
    <w:rsid w:val="00F409DC"/>
    <w:rsid w:val="00F40BFC"/>
    <w:rsid w:val="00F41292"/>
    <w:rsid w:val="00F42CE7"/>
    <w:rsid w:val="00F43945"/>
    <w:rsid w:val="00F43E70"/>
    <w:rsid w:val="00F44712"/>
    <w:rsid w:val="00F44832"/>
    <w:rsid w:val="00F44DAE"/>
    <w:rsid w:val="00F45922"/>
    <w:rsid w:val="00F45A31"/>
    <w:rsid w:val="00F45B96"/>
    <w:rsid w:val="00F45DA2"/>
    <w:rsid w:val="00F46147"/>
    <w:rsid w:val="00F4623A"/>
    <w:rsid w:val="00F46B05"/>
    <w:rsid w:val="00F46BCA"/>
    <w:rsid w:val="00F46F02"/>
    <w:rsid w:val="00F47ECB"/>
    <w:rsid w:val="00F513F7"/>
    <w:rsid w:val="00F5143B"/>
    <w:rsid w:val="00F51C98"/>
    <w:rsid w:val="00F51DA1"/>
    <w:rsid w:val="00F52261"/>
    <w:rsid w:val="00F52D18"/>
    <w:rsid w:val="00F541B0"/>
    <w:rsid w:val="00F54F01"/>
    <w:rsid w:val="00F54F95"/>
    <w:rsid w:val="00F55006"/>
    <w:rsid w:val="00F5533A"/>
    <w:rsid w:val="00F554F6"/>
    <w:rsid w:val="00F5570A"/>
    <w:rsid w:val="00F55755"/>
    <w:rsid w:val="00F57087"/>
    <w:rsid w:val="00F57391"/>
    <w:rsid w:val="00F5759C"/>
    <w:rsid w:val="00F576B0"/>
    <w:rsid w:val="00F5792B"/>
    <w:rsid w:val="00F60421"/>
    <w:rsid w:val="00F608D0"/>
    <w:rsid w:val="00F60909"/>
    <w:rsid w:val="00F60BC3"/>
    <w:rsid w:val="00F61133"/>
    <w:rsid w:val="00F61949"/>
    <w:rsid w:val="00F625DC"/>
    <w:rsid w:val="00F62875"/>
    <w:rsid w:val="00F628A3"/>
    <w:rsid w:val="00F62FA7"/>
    <w:rsid w:val="00F638BD"/>
    <w:rsid w:val="00F63E0A"/>
    <w:rsid w:val="00F63E4A"/>
    <w:rsid w:val="00F65201"/>
    <w:rsid w:val="00F658DF"/>
    <w:rsid w:val="00F65921"/>
    <w:rsid w:val="00F66329"/>
    <w:rsid w:val="00F66FBB"/>
    <w:rsid w:val="00F672B8"/>
    <w:rsid w:val="00F676E9"/>
    <w:rsid w:val="00F679EE"/>
    <w:rsid w:val="00F67D1F"/>
    <w:rsid w:val="00F67E25"/>
    <w:rsid w:val="00F702D4"/>
    <w:rsid w:val="00F70CEE"/>
    <w:rsid w:val="00F71264"/>
    <w:rsid w:val="00F71A0F"/>
    <w:rsid w:val="00F71A3C"/>
    <w:rsid w:val="00F72DE5"/>
    <w:rsid w:val="00F72FC1"/>
    <w:rsid w:val="00F73DB2"/>
    <w:rsid w:val="00F741F7"/>
    <w:rsid w:val="00F74A29"/>
    <w:rsid w:val="00F75CA6"/>
    <w:rsid w:val="00F76D4F"/>
    <w:rsid w:val="00F77BF4"/>
    <w:rsid w:val="00F77C36"/>
    <w:rsid w:val="00F80011"/>
    <w:rsid w:val="00F80483"/>
    <w:rsid w:val="00F8079A"/>
    <w:rsid w:val="00F80CA1"/>
    <w:rsid w:val="00F827F3"/>
    <w:rsid w:val="00F82829"/>
    <w:rsid w:val="00F82AAD"/>
    <w:rsid w:val="00F82F3E"/>
    <w:rsid w:val="00F82FE1"/>
    <w:rsid w:val="00F83B4C"/>
    <w:rsid w:val="00F83B4E"/>
    <w:rsid w:val="00F84054"/>
    <w:rsid w:val="00F84599"/>
    <w:rsid w:val="00F848C6"/>
    <w:rsid w:val="00F849EC"/>
    <w:rsid w:val="00F84B3A"/>
    <w:rsid w:val="00F84CC9"/>
    <w:rsid w:val="00F85058"/>
    <w:rsid w:val="00F85834"/>
    <w:rsid w:val="00F8635D"/>
    <w:rsid w:val="00F86409"/>
    <w:rsid w:val="00F86475"/>
    <w:rsid w:val="00F86D79"/>
    <w:rsid w:val="00F86DD7"/>
    <w:rsid w:val="00F87081"/>
    <w:rsid w:val="00F900C3"/>
    <w:rsid w:val="00F901D7"/>
    <w:rsid w:val="00F902E2"/>
    <w:rsid w:val="00F903DD"/>
    <w:rsid w:val="00F908F3"/>
    <w:rsid w:val="00F90AF2"/>
    <w:rsid w:val="00F91B70"/>
    <w:rsid w:val="00F91BAA"/>
    <w:rsid w:val="00F921BC"/>
    <w:rsid w:val="00F9237A"/>
    <w:rsid w:val="00F92629"/>
    <w:rsid w:val="00F92F11"/>
    <w:rsid w:val="00F93555"/>
    <w:rsid w:val="00F94014"/>
    <w:rsid w:val="00F9442E"/>
    <w:rsid w:val="00F94BC9"/>
    <w:rsid w:val="00F95396"/>
    <w:rsid w:val="00F956E7"/>
    <w:rsid w:val="00F962A8"/>
    <w:rsid w:val="00F96A17"/>
    <w:rsid w:val="00F96B1C"/>
    <w:rsid w:val="00F96EA1"/>
    <w:rsid w:val="00F96F25"/>
    <w:rsid w:val="00F97554"/>
    <w:rsid w:val="00F9772F"/>
    <w:rsid w:val="00F977FF"/>
    <w:rsid w:val="00FA0A2A"/>
    <w:rsid w:val="00FA0ED6"/>
    <w:rsid w:val="00FA1320"/>
    <w:rsid w:val="00FA1408"/>
    <w:rsid w:val="00FA1CC0"/>
    <w:rsid w:val="00FA2071"/>
    <w:rsid w:val="00FA2BD8"/>
    <w:rsid w:val="00FA4642"/>
    <w:rsid w:val="00FA4688"/>
    <w:rsid w:val="00FA4A4F"/>
    <w:rsid w:val="00FA531F"/>
    <w:rsid w:val="00FA6054"/>
    <w:rsid w:val="00FA6311"/>
    <w:rsid w:val="00FA75EA"/>
    <w:rsid w:val="00FA7FDA"/>
    <w:rsid w:val="00FA7FFE"/>
    <w:rsid w:val="00FB112F"/>
    <w:rsid w:val="00FB15F3"/>
    <w:rsid w:val="00FB195E"/>
    <w:rsid w:val="00FB22CC"/>
    <w:rsid w:val="00FB23F8"/>
    <w:rsid w:val="00FB2867"/>
    <w:rsid w:val="00FB31A6"/>
    <w:rsid w:val="00FB32B4"/>
    <w:rsid w:val="00FB3500"/>
    <w:rsid w:val="00FB3715"/>
    <w:rsid w:val="00FB50B8"/>
    <w:rsid w:val="00FB53B7"/>
    <w:rsid w:val="00FB56FB"/>
    <w:rsid w:val="00FB5EA2"/>
    <w:rsid w:val="00FB6E07"/>
    <w:rsid w:val="00FB6FC5"/>
    <w:rsid w:val="00FB710F"/>
    <w:rsid w:val="00FB7E45"/>
    <w:rsid w:val="00FC04E8"/>
    <w:rsid w:val="00FC05B0"/>
    <w:rsid w:val="00FC08B0"/>
    <w:rsid w:val="00FC0AE3"/>
    <w:rsid w:val="00FC0BA5"/>
    <w:rsid w:val="00FC165D"/>
    <w:rsid w:val="00FC1745"/>
    <w:rsid w:val="00FC1A5C"/>
    <w:rsid w:val="00FC200D"/>
    <w:rsid w:val="00FC28B8"/>
    <w:rsid w:val="00FC40E4"/>
    <w:rsid w:val="00FC45F6"/>
    <w:rsid w:val="00FC467B"/>
    <w:rsid w:val="00FC47D7"/>
    <w:rsid w:val="00FC4B95"/>
    <w:rsid w:val="00FC4C8E"/>
    <w:rsid w:val="00FC4C8F"/>
    <w:rsid w:val="00FC61CF"/>
    <w:rsid w:val="00FC708E"/>
    <w:rsid w:val="00FC7E1D"/>
    <w:rsid w:val="00FD030E"/>
    <w:rsid w:val="00FD05D6"/>
    <w:rsid w:val="00FD0B13"/>
    <w:rsid w:val="00FD0D86"/>
    <w:rsid w:val="00FD1501"/>
    <w:rsid w:val="00FD181D"/>
    <w:rsid w:val="00FD2294"/>
    <w:rsid w:val="00FD2413"/>
    <w:rsid w:val="00FD3BC0"/>
    <w:rsid w:val="00FD3BC6"/>
    <w:rsid w:val="00FD3D51"/>
    <w:rsid w:val="00FD482A"/>
    <w:rsid w:val="00FD504B"/>
    <w:rsid w:val="00FD5438"/>
    <w:rsid w:val="00FD5DF0"/>
    <w:rsid w:val="00FD64B4"/>
    <w:rsid w:val="00FD66A7"/>
    <w:rsid w:val="00FD6991"/>
    <w:rsid w:val="00FD6AB4"/>
    <w:rsid w:val="00FD75BA"/>
    <w:rsid w:val="00FD7628"/>
    <w:rsid w:val="00FE035D"/>
    <w:rsid w:val="00FE0C3D"/>
    <w:rsid w:val="00FE0DAD"/>
    <w:rsid w:val="00FE1BAE"/>
    <w:rsid w:val="00FE1E0E"/>
    <w:rsid w:val="00FE3BC0"/>
    <w:rsid w:val="00FE48AB"/>
    <w:rsid w:val="00FE4C0C"/>
    <w:rsid w:val="00FE507C"/>
    <w:rsid w:val="00FE514F"/>
    <w:rsid w:val="00FE5487"/>
    <w:rsid w:val="00FE55C7"/>
    <w:rsid w:val="00FE5678"/>
    <w:rsid w:val="00FE5A29"/>
    <w:rsid w:val="00FE5B02"/>
    <w:rsid w:val="00FE5CC4"/>
    <w:rsid w:val="00FE5EA1"/>
    <w:rsid w:val="00FE67EF"/>
    <w:rsid w:val="00FE68A8"/>
    <w:rsid w:val="00FE7563"/>
    <w:rsid w:val="00FE75E6"/>
    <w:rsid w:val="00FE77E9"/>
    <w:rsid w:val="00FE7ADF"/>
    <w:rsid w:val="00FE7EC1"/>
    <w:rsid w:val="00FF01FC"/>
    <w:rsid w:val="00FF05B9"/>
    <w:rsid w:val="00FF0C44"/>
    <w:rsid w:val="00FF0C58"/>
    <w:rsid w:val="00FF0C96"/>
    <w:rsid w:val="00FF0E06"/>
    <w:rsid w:val="00FF1C1D"/>
    <w:rsid w:val="00FF2845"/>
    <w:rsid w:val="00FF2A58"/>
    <w:rsid w:val="00FF30A3"/>
    <w:rsid w:val="00FF39F3"/>
    <w:rsid w:val="00FF3CA4"/>
    <w:rsid w:val="00FF464B"/>
    <w:rsid w:val="00FF49D7"/>
    <w:rsid w:val="00FF522A"/>
    <w:rsid w:val="00FF5C94"/>
    <w:rsid w:val="00FF7018"/>
    <w:rsid w:val="00FF7EF3"/>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20"/>
      </w:tabs>
      <w:spacing w:after="0" w:line="480" w:lineRule="atLeast"/>
    </w:pPr>
    <w:rPr>
      <w:rFonts w:ascii="Century Schoolbook" w:hAnsi="Century Schoolbook"/>
      <w:sz w:val="26"/>
    </w:rPr>
  </w:style>
  <w:style w:type="paragraph" w:styleId="Heading1">
    <w:name w:val="heading 1"/>
    <w:basedOn w:val="Normal"/>
    <w:next w:val="Normal"/>
    <w:link w:val="Heading1Char"/>
    <w:uiPriority w:val="9"/>
    <w:qFormat/>
    <w:rsid w:val="00B07D67"/>
    <w:pPr>
      <w:keepNext/>
      <w:keepLines/>
      <w:numPr>
        <w:numId w:val="20"/>
      </w:numPr>
      <w:spacing w:before="120" w:after="120" w:line="240" w:lineRule="auto"/>
      <w:outlineLvl w:val="0"/>
    </w:pPr>
    <w:rPr>
      <w:rFonts w:eastAsiaTheme="majorEastAsia" w:cstheme="majorBidi"/>
      <w:b/>
      <w:szCs w:val="32"/>
    </w:rPr>
  </w:style>
  <w:style w:type="paragraph" w:styleId="Heading2">
    <w:name w:val="heading 2"/>
    <w:basedOn w:val="Normal"/>
    <w:next w:val="Normal"/>
    <w:link w:val="Heading2Char"/>
    <w:uiPriority w:val="9"/>
    <w:semiHidden/>
    <w:unhideWhenUsed/>
    <w:qFormat/>
    <w:rsid w:val="00B07D67"/>
    <w:pPr>
      <w:keepNext/>
      <w:keepLines/>
      <w:numPr>
        <w:ilvl w:val="1"/>
        <w:numId w:val="20"/>
      </w:numPr>
      <w:spacing w:before="40"/>
      <w:outlineLvl w:val="1"/>
    </w:pPr>
    <w:rPr>
      <w:rFonts w:asciiTheme="majorHAnsi" w:eastAsiaTheme="majorEastAsia" w:hAnsiTheme="majorHAnsi" w:cstheme="majorBidi"/>
      <w:color w:val="2E74B5" w:themeColor="accent1" w:themeShade="BF"/>
      <w:szCs w:val="26"/>
    </w:rPr>
  </w:style>
  <w:style w:type="paragraph" w:styleId="Heading3">
    <w:name w:val="heading 3"/>
    <w:basedOn w:val="Normal"/>
    <w:next w:val="Normal"/>
    <w:link w:val="Heading3Char"/>
    <w:uiPriority w:val="9"/>
    <w:semiHidden/>
    <w:unhideWhenUsed/>
    <w:qFormat/>
    <w:rsid w:val="00B07D67"/>
    <w:pPr>
      <w:keepNext/>
      <w:keepLines/>
      <w:numPr>
        <w:ilvl w:val="2"/>
        <w:numId w:val="20"/>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07D67"/>
    <w:pPr>
      <w:keepNext/>
      <w:keepLines/>
      <w:numPr>
        <w:ilvl w:val="3"/>
        <w:numId w:val="20"/>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B07D67"/>
    <w:pPr>
      <w:keepNext/>
      <w:keepLines/>
      <w:numPr>
        <w:ilvl w:val="4"/>
        <w:numId w:val="20"/>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B07D67"/>
    <w:pPr>
      <w:keepNext/>
      <w:keepLines/>
      <w:numPr>
        <w:ilvl w:val="5"/>
        <w:numId w:val="20"/>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B07D67"/>
    <w:pPr>
      <w:keepNext/>
      <w:keepLines/>
      <w:numPr>
        <w:ilvl w:val="6"/>
        <w:numId w:val="20"/>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B07D67"/>
    <w:pPr>
      <w:keepNext/>
      <w:keepLines/>
      <w:numPr>
        <w:ilvl w:val="7"/>
        <w:numId w:val="2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07D67"/>
    <w:pPr>
      <w:keepNext/>
      <w:keepLines/>
      <w:numPr>
        <w:ilvl w:val="8"/>
        <w:numId w:val="2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1BB9"/>
    <w:pPr>
      <w:tabs>
        <w:tab w:val="center" w:pos="4680"/>
        <w:tab w:val="right" w:pos="9360"/>
      </w:tabs>
      <w:spacing w:line="240" w:lineRule="auto"/>
    </w:pPr>
  </w:style>
  <w:style w:type="character" w:customStyle="1" w:styleId="HeaderChar">
    <w:name w:val="Header Char"/>
    <w:basedOn w:val="DefaultParagraphFont"/>
    <w:link w:val="Header"/>
    <w:uiPriority w:val="99"/>
    <w:rsid w:val="002C1BB9"/>
  </w:style>
  <w:style w:type="paragraph" w:styleId="Footer">
    <w:name w:val="footer"/>
    <w:basedOn w:val="Normal"/>
    <w:link w:val="FooterChar"/>
    <w:uiPriority w:val="99"/>
    <w:unhideWhenUsed/>
    <w:rsid w:val="002C1BB9"/>
    <w:pPr>
      <w:tabs>
        <w:tab w:val="center" w:pos="4680"/>
        <w:tab w:val="right" w:pos="9360"/>
      </w:tabs>
      <w:spacing w:line="240" w:lineRule="auto"/>
    </w:pPr>
  </w:style>
  <w:style w:type="character" w:customStyle="1" w:styleId="FooterChar">
    <w:name w:val="Footer Char"/>
    <w:basedOn w:val="DefaultParagraphFont"/>
    <w:link w:val="Footer"/>
    <w:uiPriority w:val="99"/>
    <w:rsid w:val="002C1BB9"/>
  </w:style>
  <w:style w:type="character" w:styleId="PageNumber">
    <w:name w:val="page number"/>
    <w:basedOn w:val="DefaultParagraphFont"/>
    <w:uiPriority w:val="99"/>
    <w:semiHidden/>
    <w:unhideWhenUsed/>
    <w:rsid w:val="002C1BB9"/>
  </w:style>
  <w:style w:type="paragraph" w:styleId="FootnoteText">
    <w:name w:val="footnote text"/>
    <w:link w:val="FootnoteTextChar"/>
    <w:uiPriority w:val="99"/>
    <w:unhideWhenUsed/>
    <w:rsid w:val="002C1BB9"/>
    <w:pPr>
      <w:spacing w:after="0" w:line="240" w:lineRule="auto"/>
    </w:pPr>
    <w:rPr>
      <w:rFonts w:ascii="Century Schoolbook" w:hAnsi="Century Schoolbook"/>
      <w:sz w:val="26"/>
      <w:szCs w:val="20"/>
    </w:rPr>
  </w:style>
  <w:style w:type="character" w:customStyle="1" w:styleId="FootnoteTextChar">
    <w:name w:val="Footnote Text Char"/>
    <w:basedOn w:val="DefaultParagraphFont"/>
    <w:link w:val="FootnoteText"/>
    <w:uiPriority w:val="99"/>
    <w:rsid w:val="002C1BB9"/>
    <w:rPr>
      <w:rFonts w:ascii="Century Schoolbook" w:hAnsi="Century Schoolbook"/>
      <w:sz w:val="26"/>
      <w:szCs w:val="20"/>
    </w:rPr>
  </w:style>
  <w:style w:type="paragraph" w:styleId="ListParagraph">
    <w:name w:val="List Paragraph"/>
    <w:basedOn w:val="Normal"/>
    <w:uiPriority w:val="34"/>
    <w:qFormat/>
    <w:rsid w:val="00923E8C"/>
    <w:pPr>
      <w:ind w:left="720"/>
      <w:contextualSpacing/>
    </w:pPr>
  </w:style>
  <w:style w:type="character" w:styleId="FootnoteReference">
    <w:name w:val="footnote reference"/>
    <w:basedOn w:val="DefaultParagraphFont"/>
    <w:uiPriority w:val="99"/>
    <w:semiHidden/>
    <w:unhideWhenUsed/>
    <w:rsid w:val="00E806A2"/>
    <w:rPr>
      <w:vertAlign w:val="superscript"/>
    </w:rPr>
  </w:style>
  <w:style w:type="character" w:styleId="CommentReference">
    <w:name w:val="annotation reference"/>
    <w:basedOn w:val="DefaultParagraphFont"/>
    <w:uiPriority w:val="99"/>
    <w:semiHidden/>
    <w:unhideWhenUsed/>
    <w:rsid w:val="000F75D9"/>
    <w:rPr>
      <w:sz w:val="16"/>
      <w:szCs w:val="16"/>
    </w:rPr>
  </w:style>
  <w:style w:type="paragraph" w:styleId="CommentText">
    <w:name w:val="annotation text"/>
    <w:basedOn w:val="Normal"/>
    <w:link w:val="CommentTextChar"/>
    <w:uiPriority w:val="99"/>
    <w:unhideWhenUsed/>
    <w:rsid w:val="000F75D9"/>
    <w:pPr>
      <w:spacing w:line="240" w:lineRule="auto"/>
    </w:pPr>
    <w:rPr>
      <w:sz w:val="20"/>
      <w:szCs w:val="20"/>
    </w:rPr>
  </w:style>
  <w:style w:type="character" w:customStyle="1" w:styleId="CommentTextChar">
    <w:name w:val="Comment Text Char"/>
    <w:basedOn w:val="DefaultParagraphFont"/>
    <w:link w:val="CommentText"/>
    <w:uiPriority w:val="99"/>
    <w:rsid w:val="000F75D9"/>
    <w:rPr>
      <w:rFonts w:ascii="Century Schoolbook" w:hAnsi="Century Schoolbook"/>
      <w:sz w:val="20"/>
      <w:szCs w:val="20"/>
    </w:rPr>
  </w:style>
  <w:style w:type="paragraph" w:styleId="CommentSubject">
    <w:name w:val="annotation subject"/>
    <w:basedOn w:val="CommentText"/>
    <w:next w:val="CommentText"/>
    <w:link w:val="CommentSubjectChar"/>
    <w:uiPriority w:val="99"/>
    <w:semiHidden/>
    <w:unhideWhenUsed/>
    <w:rsid w:val="000F75D9"/>
    <w:rPr>
      <w:b/>
      <w:bCs/>
    </w:rPr>
  </w:style>
  <w:style w:type="character" w:customStyle="1" w:styleId="CommentSubjectChar">
    <w:name w:val="Comment Subject Char"/>
    <w:basedOn w:val="CommentTextChar"/>
    <w:link w:val="CommentSubject"/>
    <w:uiPriority w:val="99"/>
    <w:semiHidden/>
    <w:rsid w:val="000F75D9"/>
    <w:rPr>
      <w:rFonts w:ascii="Century Schoolbook" w:hAnsi="Century Schoolbook"/>
      <w:b/>
      <w:bCs/>
      <w:sz w:val="20"/>
      <w:szCs w:val="20"/>
    </w:rPr>
  </w:style>
  <w:style w:type="paragraph" w:styleId="Revision">
    <w:name w:val="Revision"/>
    <w:hidden/>
    <w:uiPriority w:val="99"/>
    <w:semiHidden/>
    <w:rsid w:val="008E7DE0"/>
    <w:pPr>
      <w:spacing w:after="0" w:line="240" w:lineRule="auto"/>
    </w:pPr>
    <w:rPr>
      <w:rFonts w:ascii="Century Schoolbook" w:hAnsi="Century Schoolbook"/>
      <w:sz w:val="26"/>
    </w:rPr>
  </w:style>
  <w:style w:type="paragraph" w:styleId="NormalWeb">
    <w:name w:val="Normal (Web)"/>
    <w:basedOn w:val="Normal"/>
    <w:uiPriority w:val="99"/>
    <w:semiHidden/>
    <w:unhideWhenUsed/>
    <w:rsid w:val="00D825B6"/>
    <w:rPr>
      <w:rFonts w:ascii="Times New Roman" w:hAnsi="Times New Roman" w:cs="Times New Roman"/>
      <w:sz w:val="24"/>
      <w:szCs w:val="24"/>
    </w:rPr>
  </w:style>
  <w:style w:type="character" w:customStyle="1" w:styleId="Heading1Char">
    <w:name w:val="Heading 1 Char"/>
    <w:basedOn w:val="DefaultParagraphFont"/>
    <w:link w:val="Heading1"/>
    <w:uiPriority w:val="9"/>
    <w:rsid w:val="00B07D67"/>
    <w:rPr>
      <w:rFonts w:ascii="Century Schoolbook" w:hAnsi="Century Schoolbook" w:eastAsiaTheme="majorEastAsia" w:cstheme="majorBidi"/>
      <w:b/>
      <w:sz w:val="26"/>
      <w:szCs w:val="32"/>
    </w:rPr>
  </w:style>
  <w:style w:type="character" w:customStyle="1" w:styleId="Heading2Char">
    <w:name w:val="Heading 2 Char"/>
    <w:basedOn w:val="DefaultParagraphFont"/>
    <w:link w:val="Heading2"/>
    <w:uiPriority w:val="9"/>
    <w:semiHidden/>
    <w:rsid w:val="00B07D6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B07D6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B07D67"/>
    <w:rPr>
      <w:rFonts w:asciiTheme="majorHAnsi" w:eastAsiaTheme="majorEastAsia" w:hAnsiTheme="majorHAnsi" w:cstheme="majorBidi"/>
      <w:i/>
      <w:iCs/>
      <w:color w:val="2E74B5" w:themeColor="accent1" w:themeShade="BF"/>
      <w:sz w:val="26"/>
    </w:rPr>
  </w:style>
  <w:style w:type="character" w:customStyle="1" w:styleId="Heading5Char">
    <w:name w:val="Heading 5 Char"/>
    <w:basedOn w:val="DefaultParagraphFont"/>
    <w:link w:val="Heading5"/>
    <w:uiPriority w:val="9"/>
    <w:semiHidden/>
    <w:rsid w:val="00B07D67"/>
    <w:rPr>
      <w:rFonts w:asciiTheme="majorHAnsi" w:eastAsiaTheme="majorEastAsia" w:hAnsiTheme="majorHAnsi" w:cstheme="majorBidi"/>
      <w:color w:val="2E74B5" w:themeColor="accent1" w:themeShade="BF"/>
      <w:sz w:val="26"/>
    </w:rPr>
  </w:style>
  <w:style w:type="character" w:customStyle="1" w:styleId="Heading6Char">
    <w:name w:val="Heading 6 Char"/>
    <w:basedOn w:val="DefaultParagraphFont"/>
    <w:link w:val="Heading6"/>
    <w:uiPriority w:val="9"/>
    <w:semiHidden/>
    <w:rsid w:val="00B07D67"/>
    <w:rPr>
      <w:rFonts w:asciiTheme="majorHAnsi" w:eastAsiaTheme="majorEastAsia" w:hAnsiTheme="majorHAnsi" w:cstheme="majorBidi"/>
      <w:color w:val="1F4D78" w:themeColor="accent1" w:themeShade="7F"/>
      <w:sz w:val="26"/>
    </w:rPr>
  </w:style>
  <w:style w:type="character" w:customStyle="1" w:styleId="Heading7Char">
    <w:name w:val="Heading 7 Char"/>
    <w:basedOn w:val="DefaultParagraphFont"/>
    <w:link w:val="Heading7"/>
    <w:uiPriority w:val="9"/>
    <w:semiHidden/>
    <w:rsid w:val="00B07D67"/>
    <w:rPr>
      <w:rFonts w:asciiTheme="majorHAnsi" w:eastAsiaTheme="majorEastAsia" w:hAnsiTheme="majorHAnsi" w:cstheme="majorBidi"/>
      <w:i/>
      <w:iCs/>
      <w:color w:val="1F4D78" w:themeColor="accent1" w:themeShade="7F"/>
      <w:sz w:val="26"/>
    </w:rPr>
  </w:style>
  <w:style w:type="character" w:customStyle="1" w:styleId="Heading8Char">
    <w:name w:val="Heading 8 Char"/>
    <w:basedOn w:val="DefaultParagraphFont"/>
    <w:link w:val="Heading8"/>
    <w:uiPriority w:val="9"/>
    <w:semiHidden/>
    <w:rsid w:val="00B07D6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07D67"/>
    <w:rPr>
      <w:rFonts w:asciiTheme="majorHAnsi" w:eastAsiaTheme="majorEastAsia" w:hAnsiTheme="majorHAnsi" w:cstheme="majorBidi"/>
      <w:i/>
      <w:iCs/>
      <w:color w:val="272727" w:themeColor="text1" w:themeTint="D8"/>
      <w:sz w:val="21"/>
      <w:szCs w:val="21"/>
    </w:rPr>
  </w:style>
  <w:style w:type="table" w:customStyle="1" w:styleId="TableGrid1">
    <w:name w:val="Table Grid1"/>
    <w:basedOn w:val="TableNormal"/>
    <w:next w:val="TableGrid"/>
    <w:uiPriority w:val="39"/>
    <w:rsid w:val="00CD1A7E"/>
    <w:pPr>
      <w:spacing w:after="0" w:line="240" w:lineRule="auto"/>
    </w:pPr>
    <w:rPr>
      <w:rFonts w:ascii="Times New Roman" w:hAnsi="Times New Roman"/>
      <w:sz w:val="26"/>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CD1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8454</Words>
  <Characters>48188</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2024-03-29T21:30:12Z</dcterms:created>
  <dcterms:modified xsi:type="dcterms:W3CDTF">2024-03-29T21:30:12Z</dcterms:modified>
</cp:coreProperties>
</file>