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3CBF7D" w14:textId="77777777" w:rsidR="004E1499" w:rsidRPr="003C3108" w:rsidRDefault="004E1499" w:rsidP="000B4AD4">
      <w:pPr>
        <w:spacing w:line="240" w:lineRule="auto"/>
        <w:rPr>
          <w:sz w:val="20"/>
        </w:rPr>
      </w:pPr>
      <w:r w:rsidRPr="003C3108">
        <w:rPr>
          <w:sz w:val="20"/>
        </w:rPr>
        <w:t xml:space="preserve">Filed </w:t>
      </w:r>
      <w:r w:rsidRPr="003C3108">
        <w:rPr>
          <w:sz w:val="20"/>
        </w:rPr>
        <w:t>3/1/24</w:t>
      </w:r>
    </w:p>
    <w:p w14:paraId="2E8B0942" w14:textId="77777777" w:rsidR="004E1499" w:rsidRPr="000B4AD4" w:rsidRDefault="004E1499" w:rsidP="000B4AD4">
      <w:pPr>
        <w:spacing w:line="240" w:lineRule="auto"/>
        <w:jc w:val="center"/>
      </w:pPr>
      <w:r>
        <w:rPr>
          <w:b/>
        </w:rPr>
        <w:t>CERTIFIED FOR PARTIAL PUBLICATION</w:t>
      </w:r>
      <w:r>
        <w:rPr>
          <w:rStyle w:val="FootnoteReference"/>
          <w:b/>
        </w:rPr>
        <w:footnoteReference w:customMarkFollows="1" w:id="2"/>
        <w:t>*</w:t>
      </w:r>
    </w:p>
    <w:p w14:paraId="26EF0391" w14:textId="77777777" w:rsidR="004E1499" w:rsidRPr="000B4AD4" w:rsidRDefault="004E1499" w:rsidP="000B4AD4">
      <w:pPr>
        <w:spacing w:line="240" w:lineRule="auto"/>
        <w:rPr>
          <w:sz w:val="20"/>
        </w:rPr>
      </w:pPr>
    </w:p>
    <w:p w14:paraId="3A689C4E" w14:textId="77777777" w:rsidR="004E1499" w:rsidRPr="007C3925" w:rsidRDefault="004E1499" w:rsidP="000B4AD4">
      <w:pPr>
        <w:spacing w:line="240" w:lineRule="auto"/>
        <w:jc w:val="center"/>
      </w:pPr>
      <w:r>
        <w:t>IN THE COURT OF APPEAL OF THE STATE OF CALIFORNIA</w:t>
      </w:r>
    </w:p>
    <w:p w14:paraId="5A4132E0" w14:textId="77777777" w:rsidR="004E1499" w:rsidRDefault="004E1499" w:rsidP="00855F25">
      <w:pPr>
        <w:spacing w:line="240" w:lineRule="auto"/>
        <w:jc w:val="center"/>
      </w:pPr>
    </w:p>
    <w:p w14:paraId="1249B3B7" w14:textId="77777777" w:rsidR="004E1499" w:rsidRDefault="004E1499" w:rsidP="00855F25">
      <w:pPr>
        <w:spacing w:line="240" w:lineRule="auto"/>
        <w:jc w:val="center"/>
      </w:pPr>
      <w:r>
        <w:t>FIRST APPELLATE DISTRICT</w:t>
      </w:r>
    </w:p>
    <w:p w14:paraId="30801C05" w14:textId="77777777" w:rsidR="004E1499" w:rsidRDefault="004E1499" w:rsidP="00855F25">
      <w:pPr>
        <w:spacing w:line="240" w:lineRule="auto"/>
        <w:jc w:val="center"/>
      </w:pPr>
    </w:p>
    <w:p w14:paraId="3DBFA98F" w14:textId="77777777" w:rsidR="004E1499" w:rsidRDefault="004E1499" w:rsidP="00855F25">
      <w:pPr>
        <w:spacing w:line="240" w:lineRule="auto"/>
        <w:jc w:val="center"/>
      </w:pPr>
      <w:r>
        <w:t xml:space="preserve">DIVISION </w:t>
      </w:r>
      <w:r>
        <w:t>FOUR</w:t>
      </w:r>
    </w:p>
    <w:p w14:paraId="7CD8A032" w14:textId="77777777" w:rsidR="004E1499" w:rsidRDefault="004E1499" w:rsidP="00855F25">
      <w:pPr>
        <w:spacing w:line="240" w:lineRule="auto"/>
        <w:jc w:val="center"/>
      </w:pPr>
    </w:p>
    <w:p w14:paraId="1D86A8C9" w14:textId="77777777" w:rsidR="004E1499" w:rsidRDefault="004E1499" w:rsidP="00855F25">
      <w:pPr>
        <w:spacing w:line="240" w:lineRule="auto"/>
        <w:jc w:val="center"/>
      </w:pPr>
    </w:p>
    <w:tbl>
      <w:tblPr>
        <w:tblW w:w="0" w:type="auto"/>
        <w:tblLayout w:type="fixed"/>
        <w:tblLook w:val="0000" w:firstRow="0" w:lastRow="0" w:firstColumn="0" w:lastColumn="0" w:noHBand="0" w:noVBand="0"/>
      </w:tblPr>
      <w:tblGrid>
        <w:gridCol w:w="4770"/>
        <w:gridCol w:w="4500"/>
      </w:tblGrid>
      <w:tr w:rsidR="00762379" w14:paraId="6F8E1538" w14:textId="77777777" w:rsidTr="00376C41">
        <w:tc>
          <w:tcPr>
            <w:tcW w:w="4770" w:type="dxa"/>
            <w:tcBorders>
              <w:bottom w:val="single" w:sz="4" w:space="0" w:color="auto"/>
              <w:right w:val="single" w:sz="4" w:space="0" w:color="auto"/>
            </w:tcBorders>
            <w:shd w:val="clear" w:color="auto" w:fill="auto"/>
          </w:tcPr>
          <w:p w14:paraId="5205DBFE" w14:textId="77777777" w:rsidR="004E1499" w:rsidRDefault="004E1499" w:rsidP="00855F25">
            <w:pPr>
              <w:spacing w:after="120" w:line="240" w:lineRule="auto"/>
            </w:pPr>
            <w:r>
              <w:t>THE PEOPLE,</w:t>
            </w:r>
          </w:p>
          <w:p w14:paraId="45D58939" w14:textId="77777777" w:rsidR="004E1499" w:rsidRDefault="004E1499" w:rsidP="00855F25">
            <w:pPr>
              <w:spacing w:after="120" w:line="240" w:lineRule="auto"/>
            </w:pPr>
            <w:r>
              <w:tab/>
              <w:t>Plaintiff and Respondent,</w:t>
            </w:r>
          </w:p>
          <w:p w14:paraId="2BFE2367" w14:textId="77777777" w:rsidR="004E1499" w:rsidRDefault="004E1499" w:rsidP="00855F25">
            <w:pPr>
              <w:spacing w:after="120" w:line="240" w:lineRule="auto"/>
            </w:pPr>
            <w:r>
              <w:t>v.</w:t>
            </w:r>
          </w:p>
          <w:p w14:paraId="4FA0FC23" w14:textId="77777777" w:rsidR="004E1499" w:rsidRDefault="004E1499" w:rsidP="00855F25">
            <w:pPr>
              <w:spacing w:after="120" w:line="240" w:lineRule="auto"/>
            </w:pPr>
            <w:r>
              <w:t>LAMAR DUANE ROBINSON,</w:t>
            </w:r>
          </w:p>
          <w:p w14:paraId="6DF59CC2" w14:textId="77777777" w:rsidR="004E1499" w:rsidRDefault="004E1499" w:rsidP="00855F25">
            <w:pPr>
              <w:spacing w:after="120" w:line="240" w:lineRule="auto"/>
            </w:pPr>
            <w:r>
              <w:tab/>
              <w:t>Defendant and Appellant.</w:t>
            </w:r>
          </w:p>
        </w:tc>
        <w:tc>
          <w:tcPr>
            <w:tcW w:w="4500" w:type="dxa"/>
            <w:tcBorders>
              <w:left w:val="single" w:sz="4" w:space="0" w:color="auto"/>
            </w:tcBorders>
            <w:shd w:val="clear" w:color="auto" w:fill="auto"/>
          </w:tcPr>
          <w:p w14:paraId="028BBAB6" w14:textId="77777777" w:rsidR="004E1499" w:rsidRDefault="004E1499" w:rsidP="00855F25">
            <w:pPr>
              <w:spacing w:line="240" w:lineRule="auto"/>
            </w:pPr>
          </w:p>
          <w:p w14:paraId="458691E3" w14:textId="77777777" w:rsidR="004E1499" w:rsidRDefault="004E1499" w:rsidP="00376C41">
            <w:pPr>
              <w:tabs>
                <w:tab w:val="clear" w:pos="720"/>
                <w:tab w:val="left" w:pos="430"/>
              </w:tabs>
              <w:spacing w:line="240" w:lineRule="auto"/>
            </w:pPr>
          </w:p>
          <w:p w14:paraId="56978D07" w14:textId="77777777" w:rsidR="004E1499" w:rsidRDefault="004E1499" w:rsidP="00376C41">
            <w:pPr>
              <w:tabs>
                <w:tab w:val="clear" w:pos="720"/>
                <w:tab w:val="left" w:pos="430"/>
              </w:tabs>
              <w:spacing w:line="240" w:lineRule="auto"/>
            </w:pPr>
            <w:r>
              <w:tab/>
              <w:t>A</w:t>
            </w:r>
            <w:r>
              <w:t>1</w:t>
            </w:r>
            <w:r>
              <w:t>6</w:t>
            </w:r>
            <w:r>
              <w:t>5379</w:t>
            </w:r>
          </w:p>
          <w:p w14:paraId="0F0A350A" w14:textId="77777777" w:rsidR="004E1499" w:rsidRDefault="004E1499" w:rsidP="00376C41">
            <w:pPr>
              <w:tabs>
                <w:tab w:val="clear" w:pos="720"/>
                <w:tab w:val="left" w:pos="430"/>
              </w:tabs>
              <w:spacing w:line="240" w:lineRule="auto"/>
            </w:pPr>
          </w:p>
          <w:p w14:paraId="15A17EE7" w14:textId="77777777" w:rsidR="004E1499" w:rsidRDefault="004E1499" w:rsidP="003D2A9F">
            <w:pPr>
              <w:tabs>
                <w:tab w:val="clear" w:pos="720"/>
                <w:tab w:val="left" w:pos="430"/>
              </w:tabs>
              <w:spacing w:line="240" w:lineRule="auto"/>
              <w:ind w:left="432" w:hanging="432"/>
            </w:pPr>
            <w:r>
              <w:tab/>
              <w:t>(</w:t>
            </w:r>
            <w:r>
              <w:t>Sonom</w:t>
            </w:r>
            <w:r>
              <w:t xml:space="preserve">a County </w:t>
            </w:r>
            <w:r>
              <w:t>Super. Ct. No.</w:t>
            </w:r>
            <w:r>
              <w:t> </w:t>
            </w:r>
            <w:r>
              <w:t>S</w:t>
            </w:r>
            <w:r w:rsidRPr="00A5619F">
              <w:rPr>
                <w:rFonts w:cs="Century Schoolbook"/>
                <w:color w:val="000000"/>
              </w:rPr>
              <w:t>CR</w:t>
            </w:r>
            <w:r>
              <w:rPr>
                <w:rFonts w:cs="Century Schoolbook"/>
                <w:color w:val="000000"/>
              </w:rPr>
              <w:t>7490361</w:t>
            </w:r>
            <w:r>
              <w:t>)</w:t>
            </w:r>
          </w:p>
        </w:tc>
      </w:tr>
    </w:tbl>
    <w:p w14:paraId="38D0F31D" w14:textId="77777777" w:rsidR="004E1499" w:rsidRDefault="004E1499" w:rsidP="00604FA6">
      <w:pPr>
        <w:spacing w:line="240" w:lineRule="auto"/>
      </w:pPr>
    </w:p>
    <w:p w14:paraId="430B7D6C" w14:textId="77777777" w:rsidR="004E1499" w:rsidRDefault="004E1499" w:rsidP="004017F3">
      <w:pPr>
        <w:spacing w:line="360" w:lineRule="auto"/>
        <w:ind w:firstLine="720"/>
      </w:pPr>
      <w:r>
        <w:t xml:space="preserve">Lamar Duane Robinson </w:t>
      </w:r>
      <w:r>
        <w:t>pleaded nolo contendere to</w:t>
      </w:r>
      <w:r>
        <w:t xml:space="preserve"> two felonies pursuant to a negotiated plea agreement. In this appeal, he challenges th</w:t>
      </w:r>
      <w:r>
        <w:t>e</w:t>
      </w:r>
      <w:r>
        <w:t xml:space="preserve"> </w:t>
      </w:r>
      <w:r>
        <w:t xml:space="preserve">resulting judgment of </w:t>
      </w:r>
      <w:r>
        <w:t>conviction on three closely related grounds: (1) ineffective assistance of counsel (IAC)</w:t>
      </w:r>
      <w:r>
        <w:t>,</w:t>
      </w:r>
      <w:r>
        <w:t xml:space="preserve"> based on his attorney’s failure to request pretrial mental health diversion (</w:t>
      </w:r>
      <w:r>
        <w:rPr>
          <w:spacing w:val="-2"/>
        </w:rPr>
        <w:t xml:space="preserve">Pen. Code, </w:t>
      </w:r>
      <w:r>
        <w:t>§ 1001.36);</w:t>
      </w:r>
      <w:r>
        <w:rPr>
          <w:rStyle w:val="FootnoteReference"/>
          <w:spacing w:val="-2"/>
        </w:rPr>
        <w:footnoteReference w:id="3"/>
      </w:r>
      <w:r>
        <w:t xml:space="preserve"> (2) the trial court’s alleged violation of its purported </w:t>
      </w:r>
      <w:proofErr w:type="spellStart"/>
      <w:r>
        <w:t>sua</w:t>
      </w:r>
      <w:proofErr w:type="spellEnd"/>
      <w:r>
        <w:t xml:space="preserve"> sponte duty to consider Robinson’s eligibility for such diversion; and (3) the retroactive effect of recent amendments to the mental health diversion statute</w:t>
      </w:r>
      <w:r>
        <w:t xml:space="preserve">. </w:t>
      </w:r>
      <w:r>
        <w:t xml:space="preserve">In the </w:t>
      </w:r>
      <w:r>
        <w:t>published</w:t>
      </w:r>
      <w:r>
        <w:t xml:space="preserve"> part of this </w:t>
      </w:r>
      <w:proofErr w:type="gramStart"/>
      <w:r>
        <w:t>opinion</w:t>
      </w:r>
      <w:proofErr w:type="gramEnd"/>
      <w:r>
        <w:t xml:space="preserve"> </w:t>
      </w:r>
      <w:r>
        <w:t>w</w:t>
      </w:r>
      <w:r>
        <w:t xml:space="preserve">e </w:t>
      </w:r>
      <w:r>
        <w:t xml:space="preserve">reject Robinson’s claims </w:t>
      </w:r>
      <w:r>
        <w:t xml:space="preserve">for failure to procure a </w:t>
      </w:r>
      <w:r>
        <w:t xml:space="preserve">certificate </w:t>
      </w:r>
      <w:r>
        <w:t>of probable</w:t>
      </w:r>
      <w:r>
        <w:t xml:space="preserve"> cause. </w:t>
      </w:r>
      <w:r>
        <w:t>The</w:t>
      </w:r>
      <w:r>
        <w:t xml:space="preserve"> judgment</w:t>
      </w:r>
      <w:r>
        <w:t xml:space="preserve"> is affirmed</w:t>
      </w:r>
      <w:r>
        <w:t>.</w:t>
      </w:r>
    </w:p>
    <w:p w14:paraId="2AD76291" w14:textId="77777777" w:rsidR="004E1499" w:rsidRDefault="004E1499" w:rsidP="004017F3">
      <w:pPr>
        <w:spacing w:line="360" w:lineRule="auto"/>
        <w:ind w:firstLine="720"/>
      </w:pPr>
    </w:p>
    <w:p w14:paraId="23ED0F59" w14:textId="77777777" w:rsidR="004E1499" w:rsidRPr="00E430A9" w:rsidRDefault="004E1499" w:rsidP="004017F3">
      <w:pPr>
        <w:spacing w:line="360" w:lineRule="auto"/>
        <w:jc w:val="center"/>
        <w:rPr>
          <w:b/>
          <w:bCs/>
        </w:rPr>
      </w:pPr>
      <w:r>
        <w:rPr>
          <w:b/>
          <w:bCs/>
        </w:rPr>
        <w:lastRenderedPageBreak/>
        <w:t>BACKGROUND</w:t>
      </w:r>
    </w:p>
    <w:p w14:paraId="5872856C" w14:textId="77777777" w:rsidR="004E1499" w:rsidRDefault="004E1499" w:rsidP="008501BC">
      <w:pPr>
        <w:spacing w:line="360" w:lineRule="auto"/>
      </w:pPr>
      <w:r>
        <w:tab/>
      </w:r>
      <w:r>
        <w:t>On</w:t>
      </w:r>
      <w:r>
        <w:t xml:space="preserve"> March 2</w:t>
      </w:r>
      <w:r>
        <w:t xml:space="preserve">, 2022, </w:t>
      </w:r>
      <w:r>
        <w:t xml:space="preserve">Robinson pleaded no contest to </w:t>
      </w:r>
      <w:r w:rsidRPr="00F42A44">
        <w:t xml:space="preserve">carrying a concealed dirk or </w:t>
      </w:r>
      <w:r w:rsidRPr="00F42A44">
        <w:t>dagger (§ 21310) and grand theft from person (§</w:t>
      </w:r>
      <w:r>
        <w:t> </w:t>
      </w:r>
      <w:r w:rsidRPr="00F42A44">
        <w:t>487, subd.</w:t>
      </w:r>
      <w:r>
        <w:t> </w:t>
      </w:r>
      <w:r w:rsidRPr="00F42A44">
        <w:t>(</w:t>
      </w:r>
      <w:proofErr w:type="gramStart"/>
      <w:r w:rsidRPr="00F42A44">
        <w:t>c)</w:t>
      </w:r>
      <w:r>
        <w:t>)</w:t>
      </w:r>
      <w:proofErr w:type="gramEnd"/>
      <w:r>
        <w:t>.</w:t>
      </w:r>
      <w:r>
        <w:t xml:space="preserve"> </w:t>
      </w:r>
      <w:r>
        <w:t xml:space="preserve">He also admitted a </w:t>
      </w:r>
      <w:r>
        <w:t xml:space="preserve">prior serious or violent felony </w:t>
      </w:r>
      <w:r>
        <w:t xml:space="preserve">conviction </w:t>
      </w:r>
      <w:r>
        <w:t xml:space="preserve">under section 1170.12. </w:t>
      </w:r>
      <w:r>
        <w:t>After</w:t>
      </w:r>
      <w:r>
        <w:t xml:space="preserve"> den</w:t>
      </w:r>
      <w:r>
        <w:t>ying</w:t>
      </w:r>
      <w:r>
        <w:t xml:space="preserve"> Robinson</w:t>
      </w:r>
      <w:r>
        <w:t xml:space="preserve">’s </w:t>
      </w:r>
      <w:r>
        <w:t xml:space="preserve">motion to </w:t>
      </w:r>
      <w:r>
        <w:t>strike the prior conviction</w:t>
      </w:r>
      <w:r>
        <w:t xml:space="preserve">, the trial court sentenced him to an aggregate term of </w:t>
      </w:r>
      <w:r>
        <w:t>five years and four months</w:t>
      </w:r>
      <w:r>
        <w:t xml:space="preserve"> in state prison.</w:t>
      </w:r>
      <w:r>
        <w:t xml:space="preserve"> </w:t>
      </w:r>
      <w:r>
        <w:t>R</w:t>
      </w:r>
      <w:r>
        <w:t xml:space="preserve">obinson filed </w:t>
      </w:r>
      <w:r>
        <w:t>his</w:t>
      </w:r>
      <w:r>
        <w:t xml:space="preserve"> notice of appeal on May 26</w:t>
      </w:r>
      <w:r>
        <w:t xml:space="preserve">, </w:t>
      </w:r>
      <w:r>
        <w:t xml:space="preserve">indicating </w:t>
      </w:r>
      <w:r>
        <w:t xml:space="preserve">that the appeal was “based on the sentence </w:t>
      </w:r>
      <w:r>
        <w:t>or other matters occurring after the plea that do not affect the validity of the plea.</w:t>
      </w:r>
      <w:r>
        <w:t xml:space="preserve"> (</w:t>
      </w:r>
      <w:r>
        <w:t>[R]</w:t>
      </w:r>
      <w:r>
        <w:t>ule</w:t>
      </w:r>
      <w:r>
        <w:t> </w:t>
      </w:r>
      <w:r>
        <w:t>8.30</w:t>
      </w:r>
      <w:r>
        <w:t>4(b).)”</w:t>
      </w:r>
      <w:r>
        <w:t xml:space="preserve"> </w:t>
      </w:r>
      <w:r>
        <w:t>There was no certificate of probable cause.</w:t>
      </w:r>
    </w:p>
    <w:p w14:paraId="3C757400" w14:textId="77777777" w:rsidR="004E1499" w:rsidRDefault="004E1499" w:rsidP="00842D85">
      <w:pPr>
        <w:spacing w:line="360" w:lineRule="auto"/>
        <w:jc w:val="center"/>
      </w:pPr>
      <w:r w:rsidRPr="00C07F9D">
        <w:rPr>
          <w:b/>
          <w:bCs/>
        </w:rPr>
        <w:t>DISCUSSI</w:t>
      </w:r>
      <w:r>
        <w:rPr>
          <w:b/>
          <w:bCs/>
        </w:rPr>
        <w:t>ON</w:t>
      </w:r>
    </w:p>
    <w:p w14:paraId="00EFEFD5" w14:textId="77777777" w:rsidR="004E1499" w:rsidRPr="007065C2" w:rsidRDefault="004E1499" w:rsidP="00E1330B">
      <w:pPr>
        <w:pStyle w:val="ListParagraph"/>
        <w:numPr>
          <w:ilvl w:val="0"/>
          <w:numId w:val="3"/>
        </w:numPr>
        <w:spacing w:line="360" w:lineRule="auto"/>
        <w:rPr>
          <w:b/>
          <w:i/>
          <w:iCs/>
        </w:rPr>
      </w:pPr>
      <w:r w:rsidRPr="007065C2">
        <w:rPr>
          <w:b/>
          <w:i/>
          <w:iCs/>
        </w:rPr>
        <w:t>A Certificate of Probable Cause Is Required for Claim</w:t>
      </w:r>
      <w:r>
        <w:rPr>
          <w:b/>
          <w:i/>
          <w:iCs/>
        </w:rPr>
        <w:t>s</w:t>
      </w:r>
      <w:r w:rsidRPr="007065C2">
        <w:rPr>
          <w:b/>
          <w:i/>
          <w:iCs/>
        </w:rPr>
        <w:t xml:space="preserve"> of Error Concerning Pretrial Mental Health Diversion</w:t>
      </w:r>
      <w:r>
        <w:rPr>
          <w:b/>
          <w:i/>
          <w:iCs/>
        </w:rPr>
        <w:t xml:space="preserve"> Under Section 1001.36</w:t>
      </w:r>
    </w:p>
    <w:p w14:paraId="0FD06AF7" w14:textId="77777777" w:rsidR="004E1499" w:rsidRPr="00C07F9D" w:rsidRDefault="004E1499" w:rsidP="009D0F5F">
      <w:pPr>
        <w:spacing w:line="360" w:lineRule="auto"/>
      </w:pPr>
      <w:r w:rsidRPr="00C07F9D">
        <w:rPr>
          <w:b/>
          <w:bCs/>
        </w:rPr>
        <w:tab/>
      </w:r>
      <w:r w:rsidRPr="00C07F9D">
        <w:t xml:space="preserve">Robinson </w:t>
      </w:r>
      <w:r w:rsidRPr="00C07F9D">
        <w:t>contend</w:t>
      </w:r>
      <w:r w:rsidRPr="00C07F9D">
        <w:t xml:space="preserve">s that no certificate of probable cause is required to raise </w:t>
      </w:r>
      <w:r w:rsidRPr="00C07F9D">
        <w:t>his IAC</w:t>
      </w:r>
      <w:r w:rsidRPr="00C07F9D">
        <w:t xml:space="preserve"> </w:t>
      </w:r>
      <w:r w:rsidRPr="00C07F9D">
        <w:t>claim</w:t>
      </w:r>
      <w:r>
        <w:t>. According to him</w:t>
      </w:r>
      <w:r>
        <w:t>, his counsel committed IAC by failing</w:t>
      </w:r>
      <w:r w:rsidRPr="00C07F9D">
        <w:t xml:space="preserve"> to request pretrial mental health diversion</w:t>
      </w:r>
      <w:r w:rsidRPr="00C07F9D">
        <w:t xml:space="preserve">. </w:t>
      </w:r>
      <w:r w:rsidRPr="00C07F9D">
        <w:t>We disagree.</w:t>
      </w:r>
    </w:p>
    <w:p w14:paraId="49A43C21" w14:textId="77777777" w:rsidR="004E1499" w:rsidRDefault="004E1499" w:rsidP="00B5135A">
      <w:pPr>
        <w:spacing w:line="360" w:lineRule="auto"/>
      </w:pPr>
      <w:r w:rsidRPr="00C07F9D">
        <w:tab/>
      </w:r>
      <w:r w:rsidRPr="00C07F9D">
        <w:t xml:space="preserve">“No appeal shall </w:t>
      </w:r>
      <w:r w:rsidRPr="00C07F9D">
        <w:t>be taken by the defendant from a judgment of conviction upon a plea of</w:t>
      </w:r>
      <w:r>
        <w:t> </w:t>
      </w:r>
      <w:r w:rsidRPr="00C07F9D">
        <w:t>.</w:t>
      </w:r>
      <w:r>
        <w:t> </w:t>
      </w:r>
      <w:r w:rsidRPr="00C07F9D">
        <w:t>.</w:t>
      </w:r>
      <w:r>
        <w:t> </w:t>
      </w:r>
      <w:r w:rsidRPr="00C07F9D">
        <w:t>.</w:t>
      </w:r>
      <w:r>
        <w:t> </w:t>
      </w:r>
      <w:r w:rsidRPr="00C07F9D">
        <w:t>nolo contendere,</w:t>
      </w:r>
      <w:r>
        <w:t> </w:t>
      </w:r>
      <w:r w:rsidRPr="00C07F9D">
        <w:t>.</w:t>
      </w:r>
      <w:r>
        <w:t> </w:t>
      </w:r>
      <w:r w:rsidRPr="00C07F9D">
        <w:t>.</w:t>
      </w:r>
      <w:r>
        <w:t> </w:t>
      </w:r>
      <w:r w:rsidRPr="00C07F9D">
        <w:t>.</w:t>
      </w:r>
      <w:r>
        <w:t> </w:t>
      </w:r>
      <w:r w:rsidRPr="00C07F9D">
        <w:t>except where both of the following are met: [</w:t>
      </w:r>
      <w:r w:rsidRPr="00C07F9D">
        <w:t>¶</w:t>
      </w:r>
      <w:r w:rsidRPr="00C07F9D">
        <w:t>] (a) The defendant has filed with the trial court a written statement, executed under oath or penalty of perjury showing reasonable constitutional, jurisdictional, or other grounds going to the legality of the proceedings.</w:t>
      </w:r>
      <w:r w:rsidRPr="00C07F9D">
        <w:t xml:space="preserve"> [¶] </w:t>
      </w:r>
      <w:r w:rsidRPr="00C07F9D">
        <w:t>(b) The trial court has executed and filed a certificate of probable cause for such appeal with the clerk of the court.</w:t>
      </w:r>
      <w:r w:rsidRPr="00C07F9D">
        <w:t xml:space="preserve">” </w:t>
      </w:r>
      <w:r w:rsidRPr="00C07F9D">
        <w:t xml:space="preserve"> (§</w:t>
      </w:r>
      <w:r>
        <w:t> </w:t>
      </w:r>
      <w:r w:rsidRPr="00C07F9D">
        <w:t xml:space="preserve">1237.5.) </w:t>
      </w:r>
      <w:r>
        <w:t>A</w:t>
      </w:r>
      <w:r w:rsidRPr="00C07F9D">
        <w:t xml:space="preserve"> </w:t>
      </w:r>
      <w:r w:rsidRPr="00C07F9D">
        <w:t xml:space="preserve">certificate of probable cause is </w:t>
      </w:r>
      <w:r w:rsidRPr="00103467">
        <w:t>not</w:t>
      </w:r>
      <w:r w:rsidRPr="00C07F9D">
        <w:t xml:space="preserve"> “required for an appeal based on</w:t>
      </w:r>
      <w:r>
        <w:t> </w:t>
      </w:r>
      <w:r w:rsidRPr="00C07F9D">
        <w:t>.</w:t>
      </w:r>
      <w:r>
        <w:t> </w:t>
      </w:r>
      <w:r w:rsidRPr="00C07F9D">
        <w:t>.</w:t>
      </w:r>
      <w:r>
        <w:t> </w:t>
      </w:r>
      <w:r w:rsidRPr="00C07F9D">
        <w:t>.</w:t>
      </w:r>
      <w:r>
        <w:t> </w:t>
      </w:r>
      <w:r w:rsidRPr="00C07F9D">
        <w:t xml:space="preserve">[¶] </w:t>
      </w:r>
      <w:r>
        <w:t xml:space="preserve">. . . </w:t>
      </w:r>
      <w:r w:rsidRPr="00C07F9D">
        <w:t xml:space="preserve">[¶] </w:t>
      </w:r>
      <w:r w:rsidRPr="00C07F9D">
        <w:t xml:space="preserve">[t]he </w:t>
      </w:r>
      <w:proofErr w:type="gramStart"/>
      <w:r w:rsidRPr="00C07F9D">
        <w:t>sentence</w:t>
      </w:r>
      <w:proofErr w:type="gramEnd"/>
      <w:r w:rsidRPr="00C07F9D">
        <w:t xml:space="preserve"> or other matters occurring after the plea or </w:t>
      </w:r>
      <w:r w:rsidRPr="00C07F9D">
        <w:lastRenderedPageBreak/>
        <w:t>admission that do not affect the validity of the plea or admission.” (Rule 8.304(b).)</w:t>
      </w:r>
    </w:p>
    <w:p w14:paraId="3CA39E62" w14:textId="77777777" w:rsidR="004E1499" w:rsidRDefault="004E1499" w:rsidP="00C506E8">
      <w:pPr>
        <w:spacing w:line="360" w:lineRule="auto"/>
      </w:pPr>
      <w:r>
        <w:tab/>
      </w:r>
      <w:r w:rsidRPr="00C07F9D">
        <w:t xml:space="preserve">Here, the appeal is from a judgment of conviction based on </w:t>
      </w:r>
      <w:r w:rsidRPr="00C07F9D">
        <w:t>Robinson’s no-contest plea, but he lacks a certificate of probable cause</w:t>
      </w:r>
      <w:r>
        <w:t xml:space="preserve">. </w:t>
      </w:r>
      <w:r w:rsidRPr="00C07F9D">
        <w:t>Consequently, Robinson argues that the appeal is based on the “sentence or other matters occurring after the plea</w:t>
      </w:r>
      <w:r>
        <w:t> </w:t>
      </w:r>
      <w:proofErr w:type="gramStart"/>
      <w:r w:rsidRPr="00C07F9D">
        <w:t>.</w:t>
      </w:r>
      <w:r>
        <w:t> </w:t>
      </w:r>
      <w:r w:rsidRPr="00C07F9D">
        <w:t>.</w:t>
      </w:r>
      <w:r>
        <w:t> </w:t>
      </w:r>
      <w:r w:rsidRPr="00C07F9D">
        <w:t>.</w:t>
      </w:r>
      <w:r>
        <w:t> </w:t>
      </w:r>
      <w:r w:rsidRPr="00C07F9D">
        <w:t>.</w:t>
      </w:r>
      <w:proofErr w:type="gramEnd"/>
      <w:r w:rsidRPr="00C07F9D">
        <w:t xml:space="preserve">” </w:t>
      </w:r>
      <w:r>
        <w:t>(</w:t>
      </w:r>
      <w:r>
        <w:rPr>
          <w:i/>
          <w:iCs/>
        </w:rPr>
        <w:t>Ibid</w:t>
      </w:r>
      <w:r>
        <w:t>.) However,</w:t>
      </w:r>
      <w:r>
        <w:t xml:space="preserve"> </w:t>
      </w:r>
      <w:r>
        <w:t xml:space="preserve">our high court has recently clarified that </w:t>
      </w:r>
      <w:r>
        <w:t>a</w:t>
      </w:r>
      <w:r w:rsidRPr="00C07F9D">
        <w:t xml:space="preserve"> defendant is only eligible for pretrial mental health diversion </w:t>
      </w:r>
      <w:proofErr w:type="gramStart"/>
      <w:r w:rsidRPr="00C07F9D">
        <w:t>“ ‘</w:t>
      </w:r>
      <w:proofErr w:type="gramEnd"/>
      <w:r w:rsidRPr="00C07F9D">
        <w:t>until adjudication’ ” (§</w:t>
      </w:r>
      <w:r>
        <w:t> </w:t>
      </w:r>
      <w:r w:rsidRPr="00C07F9D">
        <w:t>1001.36, subd.</w:t>
      </w:r>
      <w:r>
        <w:t> </w:t>
      </w:r>
      <w:r w:rsidRPr="00C07F9D">
        <w:t>(f)(1))</w:t>
      </w:r>
      <w:r>
        <w:t> — </w:t>
      </w:r>
      <w:r w:rsidRPr="00C07F9D">
        <w:t>a</w:t>
      </w:r>
      <w:r>
        <w:t xml:space="preserve"> </w:t>
      </w:r>
      <w:r w:rsidRPr="00C07F9D">
        <w:t xml:space="preserve">phrase that </w:t>
      </w:r>
      <w:proofErr w:type="gramStart"/>
      <w:r w:rsidRPr="00C07F9D">
        <w:t>“</w:t>
      </w:r>
      <w:r>
        <w:t xml:space="preserve"> ‘</w:t>
      </w:r>
      <w:proofErr w:type="gramEnd"/>
      <w:r w:rsidRPr="00C07F9D">
        <w:t xml:space="preserve">encompasses both a </w:t>
      </w:r>
      <w:r w:rsidRPr="00C07F9D">
        <w:rPr>
          <w:i/>
          <w:iCs/>
        </w:rPr>
        <w:t>plea hearing</w:t>
      </w:r>
      <w:r w:rsidRPr="00C07F9D">
        <w:t xml:space="preserve"> and an adjudication by trial.</w:t>
      </w:r>
      <w:r>
        <w:t xml:space="preserve">’ </w:t>
      </w:r>
      <w:r w:rsidRPr="00C07F9D">
        <w:t>”</w:t>
      </w:r>
      <w:r>
        <w:t xml:space="preserve"> (</w:t>
      </w:r>
      <w:r>
        <w:rPr>
          <w:i/>
          <w:iCs/>
        </w:rPr>
        <w:t>People v. Braden</w:t>
      </w:r>
      <w:r>
        <w:t xml:space="preserve"> (2023) 14 Cal.5th 791, 810</w:t>
      </w:r>
      <w:r>
        <w:t xml:space="preserve"> (</w:t>
      </w:r>
      <w:r>
        <w:rPr>
          <w:i/>
          <w:iCs/>
        </w:rPr>
        <w:t>Braden</w:t>
      </w:r>
      <w:r>
        <w:t>)</w:t>
      </w:r>
      <w:r>
        <w:t xml:space="preserve"> </w:t>
      </w:r>
      <w:r>
        <w:t>italics added.)</w:t>
      </w:r>
      <w:r>
        <w:t xml:space="preserve"> </w:t>
      </w:r>
      <w:r w:rsidRPr="00C07F9D">
        <w:t xml:space="preserve">Thus, given the rule set forth in </w:t>
      </w:r>
      <w:r w:rsidRPr="00C07F9D">
        <w:rPr>
          <w:i/>
          <w:iCs/>
        </w:rPr>
        <w:t>Braden</w:t>
      </w:r>
      <w:r w:rsidRPr="00C07F9D">
        <w:t>, an attorney’s failure to request pretrial mental health diversion cannot</w:t>
      </w:r>
      <w:r>
        <w:t>, by definition,</w:t>
      </w:r>
      <w:r w:rsidRPr="00C07F9D">
        <w:t xml:space="preserve"> be a “matter occurring after the plea</w:t>
      </w:r>
      <w:r>
        <w:t>.</w:t>
      </w:r>
      <w:r w:rsidRPr="00C07F9D">
        <w:t xml:space="preserve">” </w:t>
      </w:r>
      <w:r w:rsidRPr="00C5020B">
        <w:t>(Rule 8.</w:t>
      </w:r>
      <w:r w:rsidRPr="00C07F9D">
        <w:t>304(b).)</w:t>
      </w:r>
      <w:r>
        <w:t xml:space="preserve"> R</w:t>
      </w:r>
      <w:r w:rsidRPr="00C07F9D">
        <w:t>ais</w:t>
      </w:r>
      <w:r>
        <w:t>ing</w:t>
      </w:r>
      <w:r w:rsidRPr="00C07F9D">
        <w:t xml:space="preserve"> </w:t>
      </w:r>
      <w:r>
        <w:t xml:space="preserve">that issue </w:t>
      </w:r>
      <w:r>
        <w:t xml:space="preserve">therefore </w:t>
      </w:r>
      <w:r w:rsidRPr="00C07F9D">
        <w:t xml:space="preserve">requires a </w:t>
      </w:r>
      <w:r w:rsidRPr="00C07F9D">
        <w:t>certificate of probable cause.</w:t>
      </w:r>
      <w:r>
        <w:t xml:space="preserve"> </w:t>
      </w:r>
      <w:r>
        <w:t>F</w:t>
      </w:r>
      <w:r>
        <w:t xml:space="preserve">or the same reason, </w:t>
      </w:r>
      <w:r>
        <w:t xml:space="preserve">a certificate of probable cause is also required for </w:t>
      </w:r>
      <w:r>
        <w:t>Robinson’s</w:t>
      </w:r>
      <w:r>
        <w:t xml:space="preserve"> claim concerning the trial court’s purported </w:t>
      </w:r>
      <w:proofErr w:type="spellStart"/>
      <w:r>
        <w:rPr>
          <w:i/>
          <w:iCs/>
        </w:rPr>
        <w:t>sua</w:t>
      </w:r>
      <w:proofErr w:type="spellEnd"/>
      <w:r>
        <w:rPr>
          <w:i/>
          <w:iCs/>
        </w:rPr>
        <w:t xml:space="preserve"> sponte </w:t>
      </w:r>
      <w:r>
        <w:t>duty to consider mental health diversion</w:t>
      </w:r>
      <w:r>
        <w:t>.</w:t>
      </w:r>
    </w:p>
    <w:p w14:paraId="6BFFF668" w14:textId="77777777" w:rsidR="004E1499" w:rsidRDefault="004E1499" w:rsidP="00FD26EC">
      <w:pPr>
        <w:spacing w:line="360" w:lineRule="auto"/>
      </w:pPr>
      <w:r>
        <w:tab/>
        <w:t xml:space="preserve">Seeking to escape the conclusion that his claims are barred for lacking a probable cause certificate, Robinson relies on </w:t>
      </w:r>
      <w:r>
        <w:rPr>
          <w:i/>
          <w:iCs/>
        </w:rPr>
        <w:t>People v. Hill</w:t>
      </w:r>
      <w:r>
        <w:t xml:space="preserve"> (2021) 59 Cal.App.5th 1190. </w:t>
      </w:r>
      <w:r>
        <w:t xml:space="preserve">There, our colleagues in Division </w:t>
      </w:r>
      <w:r>
        <w:t>Three</w:t>
      </w:r>
      <w:r>
        <w:t xml:space="preserve"> of this court</w:t>
      </w:r>
      <w:r>
        <w:t xml:space="preserve"> </w:t>
      </w:r>
      <w:r>
        <w:t xml:space="preserve">held that </w:t>
      </w:r>
      <w:r w:rsidRPr="00C07F9D">
        <w:t>“no certificate of probable cause was required” for a similar</w:t>
      </w:r>
      <w:r>
        <w:t xml:space="preserve"> </w:t>
      </w:r>
      <w:r>
        <w:t xml:space="preserve">IAC </w:t>
      </w:r>
      <w:r w:rsidRPr="00C07F9D">
        <w:t>claim because it did “not attack the validity of [the] plea and instead challenge[d] the trial court’s sentencing discretion relating to the application of section 1001.36</w:t>
      </w:r>
      <w:r>
        <w:t> </w:t>
      </w:r>
      <w:proofErr w:type="gramStart"/>
      <w:r w:rsidRPr="00C07F9D">
        <w:t>.</w:t>
      </w:r>
      <w:r>
        <w:t> </w:t>
      </w:r>
      <w:r w:rsidRPr="00C07F9D">
        <w:t>.</w:t>
      </w:r>
      <w:r>
        <w:t> </w:t>
      </w:r>
      <w:r w:rsidRPr="00C07F9D">
        <w:t>.</w:t>
      </w:r>
      <w:r>
        <w:t> </w:t>
      </w:r>
      <w:r w:rsidRPr="00C07F9D">
        <w:t>.</w:t>
      </w:r>
      <w:proofErr w:type="gramEnd"/>
      <w:r w:rsidRPr="00C07F9D">
        <w:t>”</w:t>
      </w:r>
      <w:r>
        <w:t xml:space="preserve"> (</w:t>
      </w:r>
      <w:r w:rsidRPr="00B93EA7">
        <w:rPr>
          <w:i/>
          <w:iCs/>
        </w:rPr>
        <w:t>Id</w:t>
      </w:r>
      <w:r>
        <w:t>. at p. 1195.)</w:t>
      </w:r>
      <w:r>
        <w:t xml:space="preserve"> But </w:t>
      </w:r>
      <w:r>
        <w:t xml:space="preserve">after </w:t>
      </w:r>
      <w:r>
        <w:t xml:space="preserve">our Supreme Court decided </w:t>
      </w:r>
      <w:r>
        <w:rPr>
          <w:i/>
          <w:iCs/>
        </w:rPr>
        <w:t>Braden</w:t>
      </w:r>
      <w:r>
        <w:t xml:space="preserve"> </w:t>
      </w:r>
      <w:r>
        <w:t>in the wake</w:t>
      </w:r>
      <w:r>
        <w:t xml:space="preserve"> of </w:t>
      </w:r>
      <w:r>
        <w:rPr>
          <w:i/>
          <w:iCs/>
        </w:rPr>
        <w:t>Hill</w:t>
      </w:r>
      <w:r>
        <w:rPr>
          <w:i/>
          <w:iCs/>
        </w:rPr>
        <w:t>,</w:t>
      </w:r>
      <w:r>
        <w:rPr>
          <w:i/>
          <w:iCs/>
        </w:rPr>
        <w:t xml:space="preserve"> </w:t>
      </w:r>
      <w:r>
        <w:t>such claims do not fall within any exception to the requirement for a certif</w:t>
      </w:r>
      <w:r>
        <w:t>icate of probable cause</w:t>
      </w:r>
      <w:r>
        <w:rPr>
          <w:i/>
          <w:iCs/>
        </w:rPr>
        <w:t>.</w:t>
      </w:r>
      <w:r>
        <w:t xml:space="preserve"> </w:t>
      </w:r>
      <w:r>
        <w:t xml:space="preserve">However much </w:t>
      </w:r>
      <w:r>
        <w:t xml:space="preserve">a </w:t>
      </w:r>
      <w:r>
        <w:t xml:space="preserve">more expansive reading </w:t>
      </w:r>
      <w:r>
        <w:t xml:space="preserve">of the phrase “until adjudication” </w:t>
      </w:r>
      <w:r>
        <w:t>might have</w:t>
      </w:r>
      <w:r>
        <w:t xml:space="preserve"> to recommend it</w:t>
      </w:r>
      <w:r>
        <w:t xml:space="preserve"> (</w:t>
      </w:r>
      <w:r w:rsidRPr="00FD26EC">
        <w:rPr>
          <w:i/>
          <w:iCs/>
        </w:rPr>
        <w:t>Braden</w:t>
      </w:r>
      <w:r>
        <w:t>, supra, 14 Cal.5th at pp. 825</w:t>
      </w:r>
      <w:r w:rsidRPr="00FD26EC">
        <w:t>–</w:t>
      </w:r>
      <w:r>
        <w:t xml:space="preserve">838 (dis. </w:t>
      </w:r>
      <w:proofErr w:type="spellStart"/>
      <w:r>
        <w:t>opn</w:t>
      </w:r>
      <w:proofErr w:type="spellEnd"/>
      <w:r>
        <w:t xml:space="preserve">. of Evans, </w:t>
      </w:r>
      <w:proofErr w:type="gramStart"/>
      <w:r>
        <w:lastRenderedPageBreak/>
        <w:t>J.)</w:t>
      </w:r>
      <w:proofErr w:type="gramEnd"/>
      <w:r>
        <w:t>),</w:t>
      </w:r>
      <w:r>
        <w:t xml:space="preserve"> that ship has passed</w:t>
      </w:r>
      <w:r>
        <w:t>.</w:t>
      </w:r>
      <w:r>
        <w:t xml:space="preserve"> </w:t>
      </w:r>
      <w:r>
        <w:t>As we read the law today</w:t>
      </w:r>
      <w:r>
        <w:t xml:space="preserve">, </w:t>
      </w:r>
      <w:r>
        <w:rPr>
          <w:i/>
          <w:iCs/>
        </w:rPr>
        <w:t>Braden</w:t>
      </w:r>
      <w:r>
        <w:t xml:space="preserve"> implicitly abrogated </w:t>
      </w:r>
      <w:r>
        <w:rPr>
          <w:i/>
          <w:iCs/>
        </w:rPr>
        <w:t>Hill</w:t>
      </w:r>
      <w:r>
        <w:t>.</w:t>
      </w:r>
      <w:r>
        <w:rPr>
          <w:rStyle w:val="FootnoteReference"/>
        </w:rPr>
        <w:footnoteReference w:id="4"/>
      </w:r>
      <w:r>
        <w:t xml:space="preserve"> </w:t>
      </w:r>
      <w:r>
        <w:t xml:space="preserve">Robinson’s </w:t>
      </w:r>
      <w:r>
        <w:t xml:space="preserve">appeal </w:t>
      </w:r>
      <w:r>
        <w:t>of</w:t>
      </w:r>
      <w:r>
        <w:t xml:space="preserve"> his</w:t>
      </w:r>
      <w:r>
        <w:t xml:space="preserve"> failure to </w:t>
      </w:r>
      <w:r>
        <w:t xml:space="preserve">receive </w:t>
      </w:r>
      <w:r>
        <w:t>mental health diversion</w:t>
      </w:r>
      <w:r>
        <w:t xml:space="preserve"> under section 1001.36 </w:t>
      </w:r>
      <w:r>
        <w:t xml:space="preserve">thus </w:t>
      </w:r>
      <w:r>
        <w:t>fails</w:t>
      </w:r>
      <w:r>
        <w:t xml:space="preserve"> for </w:t>
      </w:r>
      <w:r>
        <w:t xml:space="preserve">lack of </w:t>
      </w:r>
      <w:r>
        <w:t>a certificate of probable cause.</w:t>
      </w:r>
    </w:p>
    <w:p w14:paraId="559CE7B2" w14:textId="77777777" w:rsidR="004E1499" w:rsidRPr="009D65DB" w:rsidRDefault="004E1499" w:rsidP="007D3D88">
      <w:pPr>
        <w:spacing w:line="360" w:lineRule="auto"/>
        <w:rPr>
          <w:b/>
          <w:bCs/>
        </w:rPr>
      </w:pPr>
      <w:r>
        <w:tab/>
      </w:r>
      <w:r w:rsidRPr="009D65DB">
        <w:rPr>
          <w:b/>
          <w:bCs/>
        </w:rPr>
        <w:t>2.</w:t>
      </w:r>
      <w:r>
        <w:rPr>
          <w:b/>
          <w:bCs/>
        </w:rPr>
        <w:t xml:space="preserve">  </w:t>
      </w:r>
      <w:r w:rsidRPr="009D65DB">
        <w:rPr>
          <w:b/>
          <w:bCs/>
          <w:i/>
          <w:iCs/>
        </w:rPr>
        <w:t xml:space="preserve">Robinson’s </w:t>
      </w:r>
      <w:r>
        <w:rPr>
          <w:b/>
          <w:bCs/>
          <w:i/>
          <w:iCs/>
        </w:rPr>
        <w:t xml:space="preserve">First Two </w:t>
      </w:r>
      <w:r w:rsidRPr="009D65DB">
        <w:rPr>
          <w:b/>
          <w:bCs/>
          <w:i/>
          <w:iCs/>
        </w:rPr>
        <w:t>Claims Fail on Their Merits</w:t>
      </w:r>
    </w:p>
    <w:p w14:paraId="7F717180" w14:textId="77777777" w:rsidR="004E1499" w:rsidRDefault="004E1499" w:rsidP="00DC0507">
      <w:pPr>
        <w:spacing w:line="360" w:lineRule="auto"/>
      </w:pPr>
      <w:r>
        <w:tab/>
      </w:r>
      <w:r>
        <w:t>W</w:t>
      </w:r>
      <w:r>
        <w:t xml:space="preserve">e </w:t>
      </w:r>
      <w:proofErr w:type="gramStart"/>
      <w:r>
        <w:t>do not decide</w:t>
      </w:r>
      <w:proofErr w:type="gramEnd"/>
      <w:r>
        <w:t xml:space="preserve"> whether we could or should excuse Robinson’s failure </w:t>
      </w:r>
      <w:r>
        <w:t>to obtain a probable cause certificate</w:t>
      </w:r>
      <w:r>
        <w:t xml:space="preserve"> because his claims fail on their merits anyway. Ineffective assistance of counsel has occurred only where the appellant can show “a reasonable probability that</w:t>
      </w:r>
      <w:r>
        <w:t>,</w:t>
      </w:r>
      <w:r>
        <w:t xml:space="preserve"> but for counsel’s unprofessional errors, the result of the proceeding would have been different.” (</w:t>
      </w:r>
      <w:r w:rsidRPr="00721B49">
        <w:rPr>
          <w:i/>
          <w:iCs/>
        </w:rPr>
        <w:t>Strickland v. Washington</w:t>
      </w:r>
      <w:r>
        <w:t xml:space="preserve"> (1984) 466 U.S. 668, 6</w:t>
      </w:r>
      <w:r>
        <w:t>94</w:t>
      </w:r>
      <w:r>
        <w:t xml:space="preserve">.) Here, as we observe below in our treatment of Robinson’s third claim, </w:t>
      </w:r>
      <w:r>
        <w:t xml:space="preserve">there is no evidence in </w:t>
      </w:r>
      <w:r>
        <w:t xml:space="preserve">the record that Robinson was ever diagnosed with a mental health disorder, </w:t>
      </w:r>
      <w:r>
        <w:t xml:space="preserve">even though </w:t>
      </w:r>
      <w:r>
        <w:t xml:space="preserve">such a diagnosis </w:t>
      </w:r>
      <w:r>
        <w:t>w</w:t>
      </w:r>
      <w:r>
        <w:t xml:space="preserve">as </w:t>
      </w:r>
      <w:r>
        <w:t xml:space="preserve">a prerequisite to mental health diversion under </w:t>
      </w:r>
      <w:r>
        <w:t>former section 1001.36, subdivision (b)(1)(A). Thus, because Robinson cannot show a reasonable probability that he would have been granted mental health diversion if his counsel had requested it, he cannot satisfy the prejudice requirement of an IAC claim.</w:t>
      </w:r>
    </w:p>
    <w:p w14:paraId="3E1C3389" w14:textId="77777777" w:rsidR="004E1499" w:rsidRDefault="004E1499" w:rsidP="00402BC2">
      <w:pPr>
        <w:spacing w:line="360" w:lineRule="auto"/>
      </w:pPr>
      <w:r>
        <w:lastRenderedPageBreak/>
        <w:tab/>
        <w:t xml:space="preserve">As for the claim concerning the trial court’s purported </w:t>
      </w:r>
      <w:proofErr w:type="spellStart"/>
      <w:r w:rsidRPr="00721B49">
        <w:rPr>
          <w:i/>
          <w:iCs/>
        </w:rPr>
        <w:t>sua</w:t>
      </w:r>
      <w:proofErr w:type="spellEnd"/>
      <w:r w:rsidRPr="00721B49">
        <w:rPr>
          <w:i/>
          <w:iCs/>
        </w:rPr>
        <w:t xml:space="preserve"> sponte</w:t>
      </w:r>
      <w:r>
        <w:t xml:space="preserve"> duty to consider mental health diversion, Robinson concedes in his reply that it “is largely untenable</w:t>
      </w:r>
      <w:r>
        <w:t>”</w:t>
      </w:r>
      <w:r>
        <w:t xml:space="preserve"> following </w:t>
      </w:r>
      <w:r w:rsidRPr="000B0059">
        <w:rPr>
          <w:i/>
          <w:iCs/>
        </w:rPr>
        <w:t>Braden</w:t>
      </w:r>
      <w:r>
        <w:t xml:space="preserve">, </w:t>
      </w:r>
      <w:r w:rsidRPr="000B0059">
        <w:rPr>
          <w:i/>
          <w:iCs/>
        </w:rPr>
        <w:t>supra</w:t>
      </w:r>
      <w:r>
        <w:t>, 14 Cal.5th at p</w:t>
      </w:r>
      <w:r>
        <w:t>age</w:t>
      </w:r>
      <w:r>
        <w:t xml:space="preserve"> 814: </w:t>
      </w:r>
      <w:r>
        <w:t>“ </w:t>
      </w:r>
      <w:r>
        <w:t>‘Nowhere .</w:t>
      </w:r>
      <w:r>
        <w:t xml:space="preserve"> </w:t>
      </w:r>
      <w:r>
        <w:t>.</w:t>
      </w:r>
      <w:r>
        <w:t xml:space="preserve"> </w:t>
      </w:r>
      <w:r>
        <w:t xml:space="preserve">. does the scheme mandate a </w:t>
      </w:r>
      <w:proofErr w:type="spellStart"/>
      <w:r>
        <w:t>sua</w:t>
      </w:r>
      <w:proofErr w:type="spellEnd"/>
      <w:r>
        <w:t xml:space="preserve"> sponte duty for trial courts to consider mental health diversion’ (</w:t>
      </w:r>
      <w:r w:rsidRPr="000B0059">
        <w:rPr>
          <w:i/>
          <w:iCs/>
        </w:rPr>
        <w:t>People v. Banner</w:t>
      </w:r>
      <w:r>
        <w:t xml:space="preserve"> (2022) 77 Cal.App.5th 226, 235), and the court’s decision to refer the defendant to mental health diversion is discretionary (§ 1001.36, subd. (a)).” </w:t>
      </w:r>
      <w:r>
        <w:t>(</w:t>
      </w:r>
      <w:r w:rsidRPr="000B0059">
        <w:rPr>
          <w:i/>
          <w:iCs/>
        </w:rPr>
        <w:t>Braden</w:t>
      </w:r>
      <w:r>
        <w:t>, at p. 814.)</w:t>
      </w:r>
      <w:r>
        <w:t xml:space="preserve"> For those reasons, we reject Robinson’s first </w:t>
      </w:r>
      <w:r>
        <w:t>two claims.</w:t>
      </w:r>
    </w:p>
    <w:p w14:paraId="5AF1E84F" w14:textId="77777777" w:rsidR="004E1499" w:rsidRDefault="004E1499" w:rsidP="006B525A">
      <w:pPr>
        <w:spacing w:line="360" w:lineRule="auto"/>
        <w:ind w:left="720"/>
        <w:rPr>
          <w:b/>
          <w:bCs/>
        </w:rPr>
      </w:pPr>
      <w:r>
        <w:rPr>
          <w:b/>
          <w:bCs/>
        </w:rPr>
        <w:t>3</w:t>
      </w:r>
      <w:r w:rsidRPr="00B048CD">
        <w:rPr>
          <w:b/>
          <w:bCs/>
        </w:rPr>
        <w:t xml:space="preserve">. </w:t>
      </w:r>
      <w:r w:rsidRPr="00B048CD">
        <w:rPr>
          <w:b/>
          <w:bCs/>
          <w:i/>
          <w:iCs/>
        </w:rPr>
        <w:t xml:space="preserve">Robinson Is Not Entitled to Remand Based on Recent </w:t>
      </w:r>
      <w:r>
        <w:rPr>
          <w:b/>
          <w:bCs/>
          <w:i/>
          <w:iCs/>
        </w:rPr>
        <w:t>Amendments</w:t>
      </w:r>
      <w:r w:rsidRPr="00B048CD">
        <w:rPr>
          <w:b/>
          <w:bCs/>
          <w:i/>
          <w:iCs/>
        </w:rPr>
        <w:t xml:space="preserve"> to Section 1001.36</w:t>
      </w:r>
    </w:p>
    <w:p w14:paraId="0D69FADD" w14:textId="77777777" w:rsidR="004E1499" w:rsidRDefault="004E1499" w:rsidP="00080DAE">
      <w:pPr>
        <w:spacing w:line="360" w:lineRule="auto"/>
      </w:pPr>
      <w:r>
        <w:rPr>
          <w:b/>
          <w:bCs/>
        </w:rPr>
        <w:tab/>
      </w:r>
      <w:r>
        <w:t xml:space="preserve">Robinson argues that recent amendments to section 1001.36 apply retroactively and entitle him to </w:t>
      </w:r>
      <w:r>
        <w:t>a hearing on his eligibility for mental health diversion</w:t>
      </w:r>
      <w:r>
        <w:t xml:space="preserve">. The People concede that the amendments apply </w:t>
      </w:r>
      <w:proofErr w:type="gramStart"/>
      <w:r>
        <w:t>retroactively</w:t>
      </w:r>
      <w:proofErr w:type="gramEnd"/>
      <w:r>
        <w:t xml:space="preserve"> and we accept the concession. But because</w:t>
      </w:r>
      <w:r>
        <w:t xml:space="preserve"> Robinson has not shown that</w:t>
      </w:r>
      <w:r>
        <w:t xml:space="preserve"> the amendments </w:t>
      </w:r>
      <w:r>
        <w:t>would alter the result in his</w:t>
      </w:r>
      <w:r>
        <w:t xml:space="preserve"> </w:t>
      </w:r>
      <w:r>
        <w:t xml:space="preserve">case, we </w:t>
      </w:r>
      <w:proofErr w:type="gramStart"/>
      <w:r>
        <w:t>deny</w:t>
      </w:r>
      <w:proofErr w:type="gramEnd"/>
      <w:r>
        <w:t xml:space="preserve"> his request </w:t>
      </w:r>
      <w:r>
        <w:t xml:space="preserve">for </w:t>
      </w:r>
      <w:r>
        <w:t>remand.</w:t>
      </w:r>
    </w:p>
    <w:p w14:paraId="35C9B3CC" w14:textId="77777777" w:rsidR="004E1499" w:rsidRDefault="004E1499" w:rsidP="00080DAE">
      <w:pPr>
        <w:spacing w:line="360" w:lineRule="auto"/>
      </w:pPr>
      <w:r>
        <w:tab/>
        <w:t>At the time of Robinson</w:t>
      </w:r>
      <w:r>
        <w:t>’</w:t>
      </w:r>
      <w:r>
        <w:t xml:space="preserve">s plea, section 1001.36, subdivision (b)(1)(B), provided that a defendant could be eligible for mental health diversion if </w:t>
      </w:r>
      <w:r>
        <w:t>“</w:t>
      </w:r>
      <w:r>
        <w:t>the court [was] satisfied that the defendant</w:t>
      </w:r>
      <w:r>
        <w:t>’</w:t>
      </w:r>
      <w:r>
        <w:t>s mental health disorder was a significant factor in the commission of the charged offense.</w:t>
      </w:r>
      <w:r>
        <w:t>”</w:t>
      </w:r>
      <w:r>
        <w:t xml:space="preserve"> Today, after the changes wrought by Senate Bill No. 1223 (SB 1223), a defendant is eligible for mental health diversion </w:t>
      </w:r>
      <w:r>
        <w:t>“</w:t>
      </w:r>
      <w:r>
        <w:t>if [their] mental disorder was a significant factor in the commission of the charged offense</w:t>
      </w:r>
      <w:r>
        <w:t>”</w:t>
      </w:r>
      <w:r>
        <w:t xml:space="preserve">—and </w:t>
      </w:r>
      <w:r>
        <w:t xml:space="preserve">there is a rebuttable </w:t>
      </w:r>
      <w:r>
        <w:t>presumpt</w:t>
      </w:r>
      <w:r>
        <w:t xml:space="preserve">ion </w:t>
      </w:r>
      <w:r>
        <w:t xml:space="preserve">that it </w:t>
      </w:r>
      <w:r w:rsidRPr="00E377D8">
        <w:rPr>
          <w:i/>
          <w:iCs/>
        </w:rPr>
        <w:t>was</w:t>
      </w:r>
      <w:r>
        <w:t xml:space="preserve"> such a factor </w:t>
      </w:r>
      <w:r>
        <w:t>“</w:t>
      </w:r>
      <w:r>
        <w:t>[</w:t>
      </w:r>
      <w:proofErr w:type="spellStart"/>
      <w:r>
        <w:t>i</w:t>
      </w:r>
      <w:proofErr w:type="spellEnd"/>
      <w:r>
        <w:t>]f the defendant has been diagnosed with a mental disorder.</w:t>
      </w:r>
      <w:r>
        <w:t>”</w:t>
      </w:r>
      <w:r>
        <w:t xml:space="preserve"> (§ 1001.36, subd. (b)(2), italics added.)</w:t>
      </w:r>
    </w:p>
    <w:p w14:paraId="160365D7" w14:textId="77777777" w:rsidR="004E1499" w:rsidRDefault="004E1499" w:rsidP="00080DAE">
      <w:pPr>
        <w:spacing w:line="360" w:lineRule="auto"/>
      </w:pPr>
      <w:r>
        <w:tab/>
        <w:t xml:space="preserve">But here, nothing in the record suggests that Robinson was diagnosed with any mental health disorder, including the substance use disorder he now </w:t>
      </w:r>
      <w:r>
        <w:lastRenderedPageBreak/>
        <w:t>claims on appeal. Moreover, Robinson had every incentive to furnish such a diagnosis below because the version of section 1001.36 that was current at the time of his plea required it: “Evidence of the defendant’s mental disorder shall be provided by the defense and shall include a recent diagnosis by a qualified mental health expert.” (Former §</w:t>
      </w:r>
      <w:r>
        <w:t> </w:t>
      </w:r>
      <w:r>
        <w:t>1001.36, subd.</w:t>
      </w:r>
      <w:r>
        <w:t> </w:t>
      </w:r>
      <w:r>
        <w:t>(b)(1)(A).) For that reason, we conclude that the recent amendments to section</w:t>
      </w:r>
      <w:r>
        <w:t> </w:t>
      </w:r>
      <w:r>
        <w:t xml:space="preserve">1001.36 do not </w:t>
      </w:r>
      <w:r>
        <w:t>affect</w:t>
      </w:r>
      <w:r>
        <w:t xml:space="preserve"> Robinson</w:t>
      </w:r>
      <w:r>
        <w:t>’</w:t>
      </w:r>
      <w:r>
        <w:t>s case.</w:t>
      </w:r>
    </w:p>
    <w:p w14:paraId="1B669C95" w14:textId="77777777" w:rsidR="004E1499" w:rsidRPr="004072D7" w:rsidRDefault="004E1499" w:rsidP="0071080C">
      <w:pPr>
        <w:spacing w:line="360" w:lineRule="auto"/>
      </w:pPr>
      <w:r>
        <w:tab/>
      </w:r>
      <w:r>
        <w:t>Finally, to the extent Robinson argues that his counsel was ineffective for failing to seek a diagnosis</w:t>
      </w:r>
      <w:r>
        <w:t xml:space="preserve"> that would qualify him for diversion, </w:t>
      </w:r>
      <w:r>
        <w:t xml:space="preserve">we reject the claim. </w:t>
      </w:r>
      <w:proofErr w:type="gramStart"/>
      <w:r>
        <w:t>In order to</w:t>
      </w:r>
      <w:proofErr w:type="gramEnd"/>
      <w:r>
        <w:t xml:space="preserve"> prevail on an IAC claim, “the defendant must” first “show that counsel</w:t>
      </w:r>
      <w:r>
        <w:t>’</w:t>
      </w:r>
      <w:r>
        <w:t>s performance was deficient.” (</w:t>
      </w:r>
      <w:r w:rsidRPr="0071080C">
        <w:rPr>
          <w:i/>
          <w:iCs/>
        </w:rPr>
        <w:t>Strickland v. Washington</w:t>
      </w:r>
      <w:r>
        <w:t xml:space="preserve">, </w:t>
      </w:r>
      <w:r w:rsidRPr="0071080C">
        <w:rPr>
          <w:i/>
          <w:iCs/>
        </w:rPr>
        <w:t>supra</w:t>
      </w:r>
      <w:r>
        <w:t>, 466 U.S. 668 at p. 687.)</w:t>
      </w:r>
      <w:r>
        <w:t xml:space="preserve"> On appeal, </w:t>
      </w:r>
      <w:r>
        <w:t xml:space="preserve">this showing must be “based </w:t>
      </w:r>
      <w:r>
        <w:t>upon the four corners of the record.” (</w:t>
      </w:r>
      <w:r>
        <w:rPr>
          <w:i/>
          <w:iCs/>
        </w:rPr>
        <w:t>People v. Cunningham</w:t>
      </w:r>
      <w:r>
        <w:t xml:space="preserve"> (</w:t>
      </w:r>
      <w:r>
        <w:t xml:space="preserve">2001) </w:t>
      </w:r>
      <w:r>
        <w:t xml:space="preserve">25 Cal.4th 926, 1003.) </w:t>
      </w:r>
      <w:r>
        <w:t xml:space="preserve">Here, the record does not affirmatively </w:t>
      </w:r>
      <w:r>
        <w:t xml:space="preserve">disclose the fact </w:t>
      </w:r>
      <w:r>
        <w:t xml:space="preserve">of </w:t>
      </w:r>
      <w:r>
        <w:t xml:space="preserve">counsel’s alleged failure to seek a diagnosis or, for that matter, </w:t>
      </w:r>
      <w:r>
        <w:t xml:space="preserve">the reasons why </w:t>
      </w:r>
      <w:r>
        <w:t>counsel</w:t>
      </w:r>
      <w:r>
        <w:t xml:space="preserve"> might not have done so.</w:t>
      </w:r>
      <w:r>
        <w:t xml:space="preserve"> </w:t>
      </w:r>
      <w:r>
        <w:t xml:space="preserve">Any expansion of the </w:t>
      </w:r>
      <w:proofErr w:type="gramStart"/>
      <w:r>
        <w:t>record</w:t>
      </w:r>
      <w:proofErr w:type="gramEnd"/>
      <w:r>
        <w:t xml:space="preserve"> </w:t>
      </w:r>
      <w:r>
        <w:t xml:space="preserve">in this regard </w:t>
      </w:r>
      <w:r>
        <w:t>would require the filing of a</w:t>
      </w:r>
      <w:r>
        <w:t xml:space="preserve"> petition for writ of habeas corpus.</w:t>
      </w:r>
      <w:r>
        <w:t xml:space="preserve"> </w:t>
      </w:r>
      <w:r w:rsidRPr="002A04A0">
        <w:t>(</w:t>
      </w:r>
      <w:r w:rsidRPr="002A04A0">
        <w:rPr>
          <w:i/>
          <w:iCs/>
        </w:rPr>
        <w:t>People v. Snow</w:t>
      </w:r>
      <w:r w:rsidRPr="002A04A0">
        <w:t xml:space="preserve"> (2003) 30 Cal.4th 43, 122.)</w:t>
      </w:r>
    </w:p>
    <w:p w14:paraId="4A91D1CD" w14:textId="77777777" w:rsidR="004E1499" w:rsidRDefault="004E1499" w:rsidP="00BA5337">
      <w:pPr>
        <w:spacing w:line="360" w:lineRule="auto"/>
        <w:jc w:val="center"/>
      </w:pPr>
      <w:r>
        <w:rPr>
          <w:b/>
          <w:bCs/>
        </w:rPr>
        <w:t>DISPOSITION</w:t>
      </w:r>
    </w:p>
    <w:p w14:paraId="572A7EDC" w14:textId="77777777" w:rsidR="004E1499" w:rsidRPr="00166845" w:rsidRDefault="004E1499" w:rsidP="00166845">
      <w:pPr>
        <w:spacing w:line="360" w:lineRule="auto"/>
      </w:pPr>
      <w:r>
        <w:tab/>
      </w:r>
      <w:r>
        <w:t>The judgment is affirmed.</w:t>
      </w:r>
      <w:r w:rsidRPr="004737A5">
        <w:t xml:space="preserve"> </w:t>
      </w:r>
    </w:p>
    <w:p w14:paraId="1451B283" w14:textId="77777777" w:rsidR="004E1499" w:rsidRPr="005E58CA" w:rsidRDefault="004E1499" w:rsidP="00166845">
      <w:pPr>
        <w:spacing w:line="320" w:lineRule="exact"/>
      </w:pPr>
      <w:r w:rsidRPr="005E58CA">
        <w:tab/>
      </w:r>
      <w:r w:rsidRPr="005E58CA">
        <w:tab/>
      </w:r>
      <w:r w:rsidRPr="005E58CA">
        <w:tab/>
      </w:r>
      <w:r w:rsidRPr="005E58CA">
        <w:tab/>
      </w:r>
      <w:r w:rsidRPr="005E58CA">
        <w:tab/>
      </w:r>
      <w:r w:rsidRPr="005E58CA">
        <w:tab/>
      </w:r>
      <w:r w:rsidRPr="005E58CA">
        <w:tab/>
        <w:t>HIRAMOTO, J</w:t>
      </w:r>
      <w:r>
        <w:rPr>
          <w:rStyle w:val="FootnoteReference"/>
          <w:rFonts w:ascii="Symbol" w:hAnsi="Symbol"/>
        </w:rPr>
        <w:footnoteReference w:customMarkFollows="1" w:id="5"/>
        <w:sym w:font="Symbol" w:char="F02A"/>
      </w:r>
    </w:p>
    <w:p w14:paraId="1D3A1758" w14:textId="77777777" w:rsidR="004E1499" w:rsidRPr="005E58CA" w:rsidRDefault="004E1499" w:rsidP="00166845"/>
    <w:p w14:paraId="589E56F2" w14:textId="77777777" w:rsidR="004E1499" w:rsidRPr="005E58CA" w:rsidRDefault="004E1499" w:rsidP="00166845"/>
    <w:p w14:paraId="4D7A62CC" w14:textId="77777777" w:rsidR="004E1499" w:rsidRPr="005E58CA" w:rsidRDefault="004E1499" w:rsidP="00166845">
      <w:r w:rsidRPr="005E58CA">
        <w:t>WE CONCUR:</w:t>
      </w:r>
    </w:p>
    <w:p w14:paraId="6B2D00A0" w14:textId="77777777" w:rsidR="004E1499" w:rsidRPr="005E58CA" w:rsidRDefault="004E1499" w:rsidP="00166845">
      <w:pPr>
        <w:spacing w:line="320" w:lineRule="exact"/>
      </w:pPr>
    </w:p>
    <w:p w14:paraId="387DF622" w14:textId="77777777" w:rsidR="004E1499" w:rsidRDefault="004E1499" w:rsidP="00166845">
      <w:pPr>
        <w:spacing w:line="320" w:lineRule="exact"/>
      </w:pPr>
      <w:r>
        <w:lastRenderedPageBreak/>
        <w:t>STREETER</w:t>
      </w:r>
      <w:r w:rsidRPr="005E58CA">
        <w:t xml:space="preserve">, </w:t>
      </w:r>
      <w:r>
        <w:t xml:space="preserve">ACTING </w:t>
      </w:r>
      <w:r w:rsidRPr="005E58CA">
        <w:t>P. J.</w:t>
      </w:r>
    </w:p>
    <w:p w14:paraId="53584181" w14:textId="77777777" w:rsidR="004E1499" w:rsidRDefault="004E1499" w:rsidP="00166845">
      <w:pPr>
        <w:spacing w:line="320" w:lineRule="exact"/>
      </w:pPr>
    </w:p>
    <w:p w14:paraId="7BD5D2D1" w14:textId="77777777" w:rsidR="004E1499" w:rsidRDefault="004E1499" w:rsidP="00166845">
      <w:pPr>
        <w:spacing w:line="320" w:lineRule="exact"/>
      </w:pPr>
    </w:p>
    <w:p w14:paraId="55059DC7" w14:textId="77777777" w:rsidR="004E1499" w:rsidRPr="005E58CA" w:rsidRDefault="004E1499" w:rsidP="00166845">
      <w:pPr>
        <w:spacing w:line="320" w:lineRule="exact"/>
      </w:pPr>
    </w:p>
    <w:p w14:paraId="5382ACE4" w14:textId="77777777" w:rsidR="004E1499" w:rsidRDefault="004E1499" w:rsidP="00166845">
      <w:pPr>
        <w:spacing w:line="320" w:lineRule="exact"/>
      </w:pPr>
      <w:r w:rsidRPr="005E58CA">
        <w:t>GOLDMAN, J.</w:t>
      </w:r>
    </w:p>
    <w:p w14:paraId="572F7940" w14:textId="77777777" w:rsidR="004E1499" w:rsidRDefault="004E1499" w:rsidP="00166845">
      <w:pPr>
        <w:spacing w:line="320" w:lineRule="exact"/>
      </w:pPr>
    </w:p>
    <w:p w14:paraId="534B5E98" w14:textId="77777777" w:rsidR="004E1499" w:rsidRPr="005E58CA" w:rsidRDefault="004E1499" w:rsidP="00166845">
      <w:pPr>
        <w:spacing w:line="320" w:lineRule="exact"/>
      </w:pPr>
    </w:p>
    <w:p w14:paraId="0D78DEF7" w14:textId="77777777" w:rsidR="004E1499" w:rsidRDefault="004E1499" w:rsidP="00166845">
      <w:pPr>
        <w:spacing w:line="360" w:lineRule="auto"/>
        <w:rPr>
          <w:strike/>
        </w:rPr>
      </w:pPr>
    </w:p>
    <w:p w14:paraId="710E52DD" w14:textId="77777777" w:rsidR="004E1499" w:rsidRDefault="004E1499" w:rsidP="00166845">
      <w:pPr>
        <w:spacing w:line="360" w:lineRule="auto"/>
        <w:rPr>
          <w:sz w:val="20"/>
          <w:szCs w:val="20"/>
        </w:rPr>
      </w:pPr>
      <w:r w:rsidRPr="00A22D2C">
        <w:rPr>
          <w:i/>
          <w:iCs/>
          <w:sz w:val="20"/>
          <w:szCs w:val="20"/>
        </w:rPr>
        <w:t>People v. Robinson</w:t>
      </w:r>
      <w:r w:rsidRPr="00A22D2C">
        <w:rPr>
          <w:sz w:val="20"/>
          <w:szCs w:val="20"/>
        </w:rPr>
        <w:t xml:space="preserve"> (A165379)</w:t>
      </w:r>
    </w:p>
    <w:p w14:paraId="4D8DDDC6" w14:textId="77777777" w:rsidR="004E1499" w:rsidRDefault="004E1499" w:rsidP="00166845">
      <w:pPr>
        <w:spacing w:line="360" w:lineRule="auto"/>
        <w:rPr>
          <w:sz w:val="20"/>
          <w:szCs w:val="20"/>
        </w:rPr>
      </w:pPr>
    </w:p>
    <w:p w14:paraId="5681C793" w14:textId="77777777" w:rsidR="004E1499" w:rsidRDefault="004E1499" w:rsidP="00166845">
      <w:pPr>
        <w:spacing w:line="360" w:lineRule="auto"/>
        <w:rPr>
          <w:sz w:val="20"/>
          <w:szCs w:val="20"/>
        </w:rPr>
      </w:pPr>
    </w:p>
    <w:p w14:paraId="4BD239A7" w14:textId="77777777" w:rsidR="004E1499" w:rsidRDefault="004E1499" w:rsidP="00166845">
      <w:pPr>
        <w:spacing w:line="360" w:lineRule="auto"/>
        <w:rPr>
          <w:sz w:val="20"/>
          <w:szCs w:val="20"/>
        </w:rPr>
      </w:pPr>
    </w:p>
    <w:p w14:paraId="5AFAA10B" w14:textId="77777777" w:rsidR="004E1499" w:rsidRDefault="004E1499" w:rsidP="00166845">
      <w:pPr>
        <w:spacing w:line="360" w:lineRule="auto"/>
        <w:rPr>
          <w:sz w:val="20"/>
          <w:szCs w:val="20"/>
        </w:rPr>
      </w:pPr>
    </w:p>
    <w:p w14:paraId="5C0119FB" w14:textId="77777777" w:rsidR="004E1499" w:rsidRDefault="004E1499" w:rsidP="00166845">
      <w:pPr>
        <w:spacing w:line="360" w:lineRule="auto"/>
      </w:pPr>
    </w:p>
    <w:p w14:paraId="314E9D1C" w14:textId="77777777" w:rsidR="004E1499" w:rsidRDefault="004E1499" w:rsidP="00166845">
      <w:pPr>
        <w:spacing w:line="360" w:lineRule="auto"/>
      </w:pPr>
    </w:p>
    <w:p w14:paraId="2FEDF65E" w14:textId="77777777" w:rsidR="004E1499" w:rsidRDefault="004E1499" w:rsidP="00166845">
      <w:pPr>
        <w:spacing w:line="360" w:lineRule="auto"/>
      </w:pPr>
    </w:p>
    <w:p w14:paraId="57113AA8" w14:textId="77777777" w:rsidR="004E1499" w:rsidRDefault="004E1499" w:rsidP="00166845">
      <w:pPr>
        <w:spacing w:line="360" w:lineRule="auto"/>
      </w:pPr>
    </w:p>
    <w:p w14:paraId="4B0415F3" w14:textId="77777777" w:rsidR="004E1499" w:rsidRDefault="004E1499" w:rsidP="00166845">
      <w:pPr>
        <w:spacing w:line="360" w:lineRule="auto"/>
      </w:pPr>
    </w:p>
    <w:p w14:paraId="76CAD9B9" w14:textId="77777777" w:rsidR="004E1499" w:rsidRDefault="004E1499" w:rsidP="00166845">
      <w:pPr>
        <w:spacing w:line="360" w:lineRule="auto"/>
      </w:pPr>
    </w:p>
    <w:p w14:paraId="5F0F953A" w14:textId="77777777" w:rsidR="004E1499" w:rsidRDefault="004E1499" w:rsidP="00166845">
      <w:pPr>
        <w:spacing w:line="360" w:lineRule="auto"/>
      </w:pPr>
    </w:p>
    <w:p w14:paraId="73DCB832" w14:textId="77777777" w:rsidR="004E1499" w:rsidRDefault="004E1499" w:rsidP="00166845">
      <w:pPr>
        <w:spacing w:line="360" w:lineRule="auto"/>
      </w:pPr>
    </w:p>
    <w:p w14:paraId="7593461B" w14:textId="77777777" w:rsidR="004E1499" w:rsidRDefault="004E1499" w:rsidP="00166845">
      <w:pPr>
        <w:spacing w:line="360" w:lineRule="auto"/>
      </w:pPr>
    </w:p>
    <w:p w14:paraId="2DF56209" w14:textId="77777777" w:rsidR="004E1499" w:rsidRDefault="004E1499" w:rsidP="00166845">
      <w:pPr>
        <w:spacing w:line="360" w:lineRule="auto"/>
      </w:pPr>
    </w:p>
    <w:p w14:paraId="39BEC039" w14:textId="77777777" w:rsidR="004E1499" w:rsidRDefault="004E1499" w:rsidP="00166845">
      <w:pPr>
        <w:spacing w:line="360" w:lineRule="auto"/>
      </w:pPr>
    </w:p>
    <w:p w14:paraId="65E11316" w14:textId="77777777" w:rsidR="004E1499" w:rsidRDefault="004E1499" w:rsidP="00166845">
      <w:pPr>
        <w:spacing w:line="360" w:lineRule="auto"/>
      </w:pPr>
    </w:p>
    <w:p w14:paraId="06A61EAB" w14:textId="77777777" w:rsidR="004E1499" w:rsidRDefault="004E1499" w:rsidP="00166845">
      <w:pPr>
        <w:spacing w:line="360" w:lineRule="auto"/>
      </w:pPr>
    </w:p>
    <w:p w14:paraId="2DF33A46" w14:textId="77777777" w:rsidR="004E1499" w:rsidRDefault="004E1499" w:rsidP="00166845">
      <w:pPr>
        <w:spacing w:line="360" w:lineRule="auto"/>
      </w:pPr>
    </w:p>
    <w:p w14:paraId="670F5316" w14:textId="77777777" w:rsidR="004E1499" w:rsidRDefault="004E1499" w:rsidP="00166845">
      <w:pPr>
        <w:rPr>
          <w:b/>
          <w:bCs/>
          <w:i/>
          <w:iCs/>
          <w:u w:val="single"/>
        </w:rPr>
      </w:pPr>
    </w:p>
    <w:p w14:paraId="51F37405" w14:textId="77777777" w:rsidR="004E1499" w:rsidRDefault="004E1499" w:rsidP="00166845">
      <w:pPr>
        <w:rPr>
          <w:b/>
          <w:bCs/>
          <w:i/>
          <w:iCs/>
          <w:u w:val="single"/>
        </w:rPr>
      </w:pPr>
    </w:p>
    <w:p w14:paraId="03B6B56B" w14:textId="77777777" w:rsidR="004E1499" w:rsidRDefault="004E1499" w:rsidP="00166845">
      <w:pPr>
        <w:rPr>
          <w:b/>
          <w:bCs/>
          <w:i/>
          <w:iCs/>
          <w:u w:val="single"/>
        </w:rPr>
      </w:pPr>
    </w:p>
    <w:p w14:paraId="135A75EF" w14:textId="77777777" w:rsidR="004E1499" w:rsidRPr="00D922B3" w:rsidRDefault="004E1499" w:rsidP="00166845">
      <w:r w:rsidRPr="00D922B3">
        <w:rPr>
          <w:b/>
          <w:bCs/>
          <w:i/>
          <w:iCs/>
          <w:u w:val="single"/>
        </w:rPr>
        <w:lastRenderedPageBreak/>
        <w:t xml:space="preserve">People v. </w:t>
      </w:r>
      <w:r>
        <w:rPr>
          <w:b/>
          <w:bCs/>
          <w:i/>
          <w:iCs/>
          <w:u w:val="single"/>
        </w:rPr>
        <w:t>Robinson</w:t>
      </w:r>
      <w:r w:rsidRPr="00D922B3">
        <w:rPr>
          <w:b/>
          <w:bCs/>
          <w:i/>
          <w:iCs/>
          <w:u w:val="single"/>
        </w:rPr>
        <w:t xml:space="preserve"> </w:t>
      </w:r>
      <w:r w:rsidRPr="00D922B3">
        <w:rPr>
          <w:b/>
          <w:bCs/>
          <w:u w:val="single"/>
        </w:rPr>
        <w:t>(A16</w:t>
      </w:r>
      <w:r>
        <w:rPr>
          <w:b/>
          <w:bCs/>
          <w:u w:val="single"/>
        </w:rPr>
        <w:t>5</w:t>
      </w:r>
      <w:r w:rsidRPr="00D922B3">
        <w:rPr>
          <w:b/>
          <w:bCs/>
          <w:u w:val="single"/>
        </w:rPr>
        <w:t>37</w:t>
      </w:r>
      <w:r>
        <w:rPr>
          <w:b/>
          <w:bCs/>
          <w:u w:val="single"/>
        </w:rPr>
        <w:t>9</w:t>
      </w:r>
      <w:r w:rsidRPr="00D922B3">
        <w:rPr>
          <w:b/>
          <w:bCs/>
          <w:u w:val="single"/>
        </w:rPr>
        <w:t>)</w:t>
      </w:r>
    </w:p>
    <w:p w14:paraId="106AFDCF" w14:textId="77777777" w:rsidR="004E1499" w:rsidRPr="00D922B3" w:rsidRDefault="004E1499" w:rsidP="00166845"/>
    <w:p w14:paraId="7397B993" w14:textId="77777777" w:rsidR="004E1499" w:rsidRPr="00D922B3" w:rsidRDefault="004E1499" w:rsidP="00166845">
      <w:r w:rsidRPr="00D922B3">
        <w:t xml:space="preserve">Trial Court: </w:t>
      </w:r>
      <w:r>
        <w:tab/>
        <w:t>Sonoma</w:t>
      </w:r>
      <w:r w:rsidRPr="00D922B3">
        <w:t xml:space="preserve"> County</w:t>
      </w:r>
    </w:p>
    <w:p w14:paraId="1EB73244" w14:textId="77777777" w:rsidR="004E1499" w:rsidRPr="00D922B3" w:rsidRDefault="004E1499" w:rsidP="00166845"/>
    <w:p w14:paraId="751029E6" w14:textId="77777777" w:rsidR="004E1499" w:rsidRPr="00D922B3" w:rsidRDefault="004E1499" w:rsidP="00166845">
      <w:r w:rsidRPr="00D922B3">
        <w:t xml:space="preserve">Trial Judge: </w:t>
      </w:r>
      <w:r>
        <w:tab/>
      </w:r>
      <w:r w:rsidRPr="00D922B3">
        <w:t xml:space="preserve">Hon. </w:t>
      </w:r>
      <w:r>
        <w:t>Troye</w:t>
      </w:r>
      <w:r w:rsidRPr="00D922B3">
        <w:t xml:space="preserve"> </w:t>
      </w:r>
      <w:r>
        <w:t>Shaffer</w:t>
      </w:r>
    </w:p>
    <w:p w14:paraId="08245C89" w14:textId="77777777" w:rsidR="004E1499" w:rsidRPr="00D922B3" w:rsidRDefault="004E1499" w:rsidP="00166845"/>
    <w:p w14:paraId="75FEB089" w14:textId="77777777" w:rsidR="004E1499" w:rsidRPr="00D922B3" w:rsidRDefault="004E1499" w:rsidP="00166845">
      <w:r w:rsidRPr="00D922B3">
        <w:t xml:space="preserve">Attorneys: </w:t>
      </w:r>
    </w:p>
    <w:p w14:paraId="46C75D86" w14:textId="77777777" w:rsidR="004E1499" w:rsidRPr="00D922B3" w:rsidRDefault="004E1499" w:rsidP="00166845"/>
    <w:p w14:paraId="695BAAEE" w14:textId="77777777" w:rsidR="004E1499" w:rsidRPr="00D922B3" w:rsidRDefault="004E1499" w:rsidP="00166845">
      <w:r w:rsidRPr="00D922B3">
        <w:tab/>
      </w:r>
      <w:r w:rsidRPr="00D922B3">
        <w:tab/>
      </w:r>
      <w:r>
        <w:t>Matthew J. Watts</w:t>
      </w:r>
      <w:r w:rsidRPr="00D922B3">
        <w:t xml:space="preserve"> for Defendant and Appellant. </w:t>
      </w:r>
    </w:p>
    <w:p w14:paraId="7CB950B6" w14:textId="77777777" w:rsidR="004E1499" w:rsidRPr="00D922B3" w:rsidRDefault="004E1499" w:rsidP="00166845"/>
    <w:p w14:paraId="6C5A57AA" w14:textId="77777777" w:rsidR="004E1499" w:rsidRPr="00D922B3" w:rsidRDefault="004E1499" w:rsidP="00166845">
      <w:pPr>
        <w:ind w:left="720" w:firstLine="720"/>
      </w:pPr>
      <w:r w:rsidRPr="00D922B3">
        <w:t xml:space="preserve">Rob Bonta, Attorney General of California, Lance E. Winters, </w:t>
      </w:r>
    </w:p>
    <w:p w14:paraId="60E21735" w14:textId="77777777" w:rsidR="004E1499" w:rsidRPr="00D922B3" w:rsidRDefault="004E1499" w:rsidP="00166845">
      <w:r w:rsidRPr="00D922B3">
        <w:t xml:space="preserve">Chief Assistant Attorney General, Jeffrey M. Laurence, Senior Assistant Attorney General, </w:t>
      </w:r>
      <w:r>
        <w:t>Arthur P. Beever</w:t>
      </w:r>
      <w:r w:rsidRPr="00D922B3">
        <w:t xml:space="preserve">, Deputy Attorney General, </w:t>
      </w:r>
      <w:r>
        <w:t>Linda M. Murphy</w:t>
      </w:r>
      <w:r w:rsidRPr="00D922B3">
        <w:t>, Deputy Attorney General for Plaintiff and Respondent.</w:t>
      </w:r>
    </w:p>
    <w:p w14:paraId="5CA12F3C" w14:textId="77777777" w:rsidR="004E1499" w:rsidRDefault="004E1499" w:rsidP="00683B93">
      <w:pPr>
        <w:spacing w:line="360" w:lineRule="auto"/>
      </w:pPr>
    </w:p>
    <w:p w14:paraId="2E9DE89D" w14:textId="77777777" w:rsidR="004E1499" w:rsidRPr="00A22D2C" w:rsidRDefault="004E1499" w:rsidP="00683B93">
      <w:pPr>
        <w:spacing w:line="360" w:lineRule="auto"/>
        <w:rPr>
          <w:sz w:val="20"/>
          <w:szCs w:val="20"/>
        </w:rPr>
      </w:pPr>
    </w:p>
    <w:sectPr w:rsidR="000361B7" w:rsidRPr="00A22D2C" w:rsidSect="005B59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1EE9D" w14:textId="77777777" w:rsidR="004E1499" w:rsidRDefault="004E1499">
      <w:pPr>
        <w:spacing w:line="240" w:lineRule="auto"/>
      </w:pPr>
      <w:r>
        <w:separator/>
      </w:r>
    </w:p>
  </w:endnote>
  <w:endnote w:type="continuationSeparator" w:id="0">
    <w:p w14:paraId="474D75FF" w14:textId="77777777" w:rsidR="004E1499" w:rsidRDefault="004E1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8958573"/>
      <w:docPartObj>
        <w:docPartGallery w:val="Page Numbers (Bottom of Page)"/>
        <w:docPartUnique/>
      </w:docPartObj>
    </w:sdtPr>
    <w:sdtEndPr>
      <w:rPr>
        <w:noProof/>
      </w:rPr>
    </w:sdtEndPr>
    <w:sdtContent>
      <w:p w14:paraId="097CAD21" w14:textId="77777777" w:rsidR="004E1499" w:rsidRDefault="004E1499" w:rsidP="00CD20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77B8C" w14:textId="77777777" w:rsidR="004E1499" w:rsidRDefault="004E1499" w:rsidP="00855F25">
      <w:pPr>
        <w:spacing w:line="240" w:lineRule="auto"/>
      </w:pPr>
      <w:r>
        <w:separator/>
      </w:r>
    </w:p>
  </w:footnote>
  <w:footnote w:type="continuationSeparator" w:id="0">
    <w:p w14:paraId="5DFABE79" w14:textId="77777777" w:rsidR="004E1499" w:rsidRDefault="004E1499" w:rsidP="00855F25">
      <w:pPr>
        <w:spacing w:line="240" w:lineRule="auto"/>
      </w:pPr>
      <w:r>
        <w:continuationSeparator/>
      </w:r>
    </w:p>
  </w:footnote>
  <w:footnote w:type="continuationNotice" w:id="1">
    <w:p w14:paraId="3A469019" w14:textId="77777777" w:rsidR="004E1499" w:rsidRDefault="004E1499">
      <w:pPr>
        <w:spacing w:line="240" w:lineRule="auto"/>
      </w:pPr>
    </w:p>
  </w:footnote>
  <w:footnote w:id="2">
    <w:p w14:paraId="38A1876C" w14:textId="77777777" w:rsidR="004E1499" w:rsidRDefault="004E1499" w:rsidP="000B4AD4">
      <w:pPr>
        <w:pStyle w:val="FootnoteText"/>
        <w:spacing w:before="120"/>
        <w:ind w:firstLine="720"/>
      </w:pPr>
      <w:r>
        <w:rPr>
          <w:rStyle w:val="FootnoteReference"/>
        </w:rPr>
        <w:t>*</w:t>
      </w:r>
      <w:r>
        <w:t xml:space="preserve"> Pursuant to California Rules of Court, rules 8.1105(b) and 8.1110, this opinion is certified for publication </w:t>
      </w:r>
      <w:proofErr w:type="gramStart"/>
      <w:r>
        <w:t>with the exception of</w:t>
      </w:r>
      <w:proofErr w:type="gramEnd"/>
      <w:r>
        <w:t xml:space="preserve"> part</w:t>
      </w:r>
      <w:r>
        <w:t>s 2 and 3</w:t>
      </w:r>
      <w:r>
        <w:t xml:space="preserve">. </w:t>
      </w:r>
    </w:p>
  </w:footnote>
  <w:footnote w:id="3">
    <w:p w14:paraId="27D50B6C" w14:textId="77777777" w:rsidR="004E1499" w:rsidRDefault="004E1499" w:rsidP="000B4AD4">
      <w:pPr>
        <w:pStyle w:val="FootnoteText"/>
        <w:spacing w:before="120" w:after="120"/>
        <w:ind w:firstLine="720"/>
      </w:pPr>
      <w:r>
        <w:rPr>
          <w:rStyle w:val="FootnoteReference"/>
        </w:rPr>
        <w:footnoteRef/>
      </w:r>
      <w:r>
        <w:t xml:space="preserve"> All undesignated statutory references are to the Penal Code. All “rule” references are to the California Rules of Court.</w:t>
      </w:r>
    </w:p>
  </w:footnote>
  <w:footnote w:id="4">
    <w:p w14:paraId="3323ED7A" w14:textId="77777777" w:rsidR="004E1499" w:rsidRDefault="004E1499" w:rsidP="004D0125">
      <w:pPr>
        <w:pStyle w:val="FootnoteText"/>
        <w:ind w:firstLine="720"/>
      </w:pPr>
      <w:r>
        <w:rPr>
          <w:rStyle w:val="FootnoteReference"/>
        </w:rPr>
        <w:footnoteRef/>
      </w:r>
      <w:r>
        <w:t xml:space="preserve"> </w:t>
      </w:r>
      <w:r>
        <w:t xml:space="preserve">In light of </w:t>
      </w:r>
      <w:r>
        <w:rPr>
          <w:i/>
          <w:iCs/>
        </w:rPr>
        <w:t>Braden</w:t>
      </w:r>
      <w:r w:rsidRPr="004D0125">
        <w:t xml:space="preserve">, there is </w:t>
      </w:r>
      <w:r>
        <w:t xml:space="preserve">also </w:t>
      </w:r>
      <w:r w:rsidRPr="004D0125">
        <w:t xml:space="preserve">reason to doubt </w:t>
      </w:r>
      <w:r w:rsidRPr="004D0125">
        <w:rPr>
          <w:i/>
          <w:iCs/>
        </w:rPr>
        <w:t>Hill</w:t>
      </w:r>
      <w:r w:rsidRPr="004D0125">
        <w:t xml:space="preserve">’s conclusion that a claim of error concerning mental health diversion does not </w:t>
      </w:r>
      <w:proofErr w:type="gramStart"/>
      <w:r w:rsidRPr="004D0125">
        <w:t>“ ‘</w:t>
      </w:r>
      <w:proofErr w:type="gramEnd"/>
      <w:r w:rsidRPr="004D0125">
        <w:t>constitute an attack on the validity of the plea . . . .’ ” (</w:t>
      </w:r>
      <w:r w:rsidRPr="004D0125">
        <w:rPr>
          <w:i/>
          <w:iCs/>
        </w:rPr>
        <w:t>Hill</w:t>
      </w:r>
      <w:r w:rsidRPr="004D0125">
        <w:t xml:space="preserve">, </w:t>
      </w:r>
      <w:r w:rsidRPr="004D0125">
        <w:rPr>
          <w:i/>
          <w:iCs/>
        </w:rPr>
        <w:t>supra</w:t>
      </w:r>
      <w:r w:rsidRPr="004D0125">
        <w:t>, 59 Cal.App.5th at</w:t>
      </w:r>
      <w:r>
        <w:t xml:space="preserve"> p.</w:t>
      </w:r>
      <w:r w:rsidRPr="004D0125">
        <w:t xml:space="preserve"> 1195, quoting </w:t>
      </w:r>
      <w:r w:rsidRPr="004D0125">
        <w:rPr>
          <w:i/>
          <w:iCs/>
        </w:rPr>
        <w:t>People v. Buttram</w:t>
      </w:r>
      <w:r w:rsidRPr="004D0125">
        <w:t xml:space="preserve"> (2003) 30 Cal.4th 773, 791 (</w:t>
      </w:r>
      <w:r w:rsidRPr="004D0125">
        <w:rPr>
          <w:i/>
          <w:iCs/>
        </w:rPr>
        <w:t>Buttram</w:t>
      </w:r>
      <w:r w:rsidRPr="004D0125">
        <w:t xml:space="preserve">).) </w:t>
      </w:r>
      <w:r>
        <w:t>The</w:t>
      </w:r>
      <w:r w:rsidRPr="004D0125">
        <w:t xml:space="preserve"> IAC claim </w:t>
      </w:r>
      <w:r>
        <w:t xml:space="preserve">raised in this appeal </w:t>
      </w:r>
      <w:r w:rsidRPr="004D0125">
        <w:t xml:space="preserve">illustrates why. </w:t>
      </w:r>
      <w:r>
        <w:t>Robinson</w:t>
      </w:r>
      <w:r w:rsidRPr="004D0125">
        <w:t xml:space="preserve"> argues that his counsel should have requested mental health diversion. Aided by </w:t>
      </w:r>
      <w:r w:rsidRPr="004D0125">
        <w:rPr>
          <w:i/>
          <w:iCs/>
        </w:rPr>
        <w:t>Braden</w:t>
      </w:r>
      <w:r w:rsidRPr="004D0125">
        <w:t xml:space="preserve">, </w:t>
      </w:r>
      <w:r>
        <w:t>it follows</w:t>
      </w:r>
      <w:r w:rsidRPr="004D0125">
        <w:t xml:space="preserve"> that such a request could </w:t>
      </w:r>
      <w:r>
        <w:t xml:space="preserve">only </w:t>
      </w:r>
      <w:r w:rsidRPr="004D0125">
        <w:t xml:space="preserve">have been made before Robinson pleaded no contest. Therefore, if Robinson’s counsel had successfully made the request contemplated by Robinson’s IAC claim, Robinson never would have entered that plea. Arguably, then, an IAC claim like Robinson’s “is </w:t>
      </w:r>
      <w:r w:rsidRPr="004D0125">
        <w:rPr>
          <w:i/>
          <w:iCs/>
        </w:rPr>
        <w:t>in substance</w:t>
      </w:r>
      <w:r w:rsidRPr="004D0125">
        <w:t xml:space="preserve"> a challenge to the validity of the plea, thus rendering the appeal subject to the requirements of section 1237.5.” (</w:t>
      </w:r>
      <w:r w:rsidRPr="004D0125">
        <w:rPr>
          <w:i/>
          <w:iCs/>
        </w:rPr>
        <w:t>Bu</w:t>
      </w:r>
      <w:r w:rsidRPr="004D0125">
        <w:rPr>
          <w:i/>
          <w:iCs/>
        </w:rPr>
        <w:t>ttram</w:t>
      </w:r>
      <w:r>
        <w:rPr>
          <w:i/>
          <w:iCs/>
        </w:rPr>
        <w:t>,</w:t>
      </w:r>
      <w:r w:rsidRPr="004D0125">
        <w:t xml:space="preserve"> at p. </w:t>
      </w:r>
      <w:r>
        <w:t>782</w:t>
      </w:r>
      <w:r w:rsidRPr="004D0125">
        <w:t>.)</w:t>
      </w:r>
    </w:p>
  </w:footnote>
  <w:footnote w:id="5">
    <w:p w14:paraId="045A207D" w14:textId="77777777" w:rsidR="004E1499" w:rsidRDefault="004E1499" w:rsidP="00166845">
      <w:pPr>
        <w:pStyle w:val="FootnoteText"/>
        <w:ind w:firstLine="720"/>
      </w:pPr>
      <w:r w:rsidRPr="00C47A00">
        <w:rPr>
          <w:rStyle w:val="FootnoteReference"/>
          <w:rFonts w:ascii="Symbol" w:hAnsi="Symbol"/>
        </w:rPr>
        <w:sym w:font="Symbol" w:char="F02A"/>
      </w:r>
      <w:r>
        <w:t xml:space="preserve"> </w:t>
      </w:r>
      <w:r w:rsidRPr="00F872EB">
        <w:t xml:space="preserve">Judge of the Superior Court of California, County of </w:t>
      </w:r>
      <w:r>
        <w:t>Contra Costa</w:t>
      </w:r>
      <w:r w:rsidRPr="00F872EB">
        <w: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223286"/>
    <w:multiLevelType w:val="hybridMultilevel"/>
    <w:tmpl w:val="0E646A4E"/>
    <w:lvl w:ilvl="0" w:tplc="36B653F4">
      <w:start w:val="1"/>
      <w:numFmt w:val="upperLetter"/>
      <w:lvlText w:val="%1."/>
      <w:lvlJc w:val="left"/>
      <w:pPr>
        <w:ind w:left="1080" w:hanging="360"/>
      </w:pPr>
      <w:rPr>
        <w:rFonts w:hint="default"/>
      </w:rPr>
    </w:lvl>
    <w:lvl w:ilvl="1" w:tplc="2E028A46" w:tentative="1">
      <w:start w:val="1"/>
      <w:numFmt w:val="lowerLetter"/>
      <w:lvlText w:val="%2."/>
      <w:lvlJc w:val="left"/>
      <w:pPr>
        <w:ind w:left="1800" w:hanging="360"/>
      </w:pPr>
    </w:lvl>
    <w:lvl w:ilvl="2" w:tplc="3E7EC444" w:tentative="1">
      <w:start w:val="1"/>
      <w:numFmt w:val="lowerRoman"/>
      <w:lvlText w:val="%3."/>
      <w:lvlJc w:val="right"/>
      <w:pPr>
        <w:ind w:left="2520" w:hanging="180"/>
      </w:pPr>
    </w:lvl>
    <w:lvl w:ilvl="3" w:tplc="04741B38" w:tentative="1">
      <w:start w:val="1"/>
      <w:numFmt w:val="decimal"/>
      <w:lvlText w:val="%4."/>
      <w:lvlJc w:val="left"/>
      <w:pPr>
        <w:ind w:left="3240" w:hanging="360"/>
      </w:pPr>
    </w:lvl>
    <w:lvl w:ilvl="4" w:tplc="A43AB91E" w:tentative="1">
      <w:start w:val="1"/>
      <w:numFmt w:val="lowerLetter"/>
      <w:lvlText w:val="%5."/>
      <w:lvlJc w:val="left"/>
      <w:pPr>
        <w:ind w:left="3960" w:hanging="360"/>
      </w:pPr>
    </w:lvl>
    <w:lvl w:ilvl="5" w:tplc="270669AA" w:tentative="1">
      <w:start w:val="1"/>
      <w:numFmt w:val="lowerRoman"/>
      <w:lvlText w:val="%6."/>
      <w:lvlJc w:val="right"/>
      <w:pPr>
        <w:ind w:left="4680" w:hanging="180"/>
      </w:pPr>
    </w:lvl>
    <w:lvl w:ilvl="6" w:tplc="154C5BEA" w:tentative="1">
      <w:start w:val="1"/>
      <w:numFmt w:val="decimal"/>
      <w:lvlText w:val="%7."/>
      <w:lvlJc w:val="left"/>
      <w:pPr>
        <w:ind w:left="5400" w:hanging="360"/>
      </w:pPr>
    </w:lvl>
    <w:lvl w:ilvl="7" w:tplc="BE2C1A6A" w:tentative="1">
      <w:start w:val="1"/>
      <w:numFmt w:val="lowerLetter"/>
      <w:lvlText w:val="%8."/>
      <w:lvlJc w:val="left"/>
      <w:pPr>
        <w:ind w:left="6120" w:hanging="360"/>
      </w:pPr>
    </w:lvl>
    <w:lvl w:ilvl="8" w:tplc="D9180880" w:tentative="1">
      <w:start w:val="1"/>
      <w:numFmt w:val="lowerRoman"/>
      <w:lvlText w:val="%9."/>
      <w:lvlJc w:val="right"/>
      <w:pPr>
        <w:ind w:left="6840" w:hanging="180"/>
      </w:pPr>
    </w:lvl>
  </w:abstractNum>
  <w:abstractNum w:abstractNumId="1" w15:restartNumberingAfterBreak="0">
    <w:nsid w:val="36BC1478"/>
    <w:multiLevelType w:val="hybridMultilevel"/>
    <w:tmpl w:val="3120FCA6"/>
    <w:lvl w:ilvl="0" w:tplc="55200950">
      <w:start w:val="1"/>
      <w:numFmt w:val="decimal"/>
      <w:lvlText w:val="%1."/>
      <w:lvlJc w:val="left"/>
      <w:pPr>
        <w:ind w:left="1080" w:hanging="360"/>
      </w:pPr>
      <w:rPr>
        <w:rFonts w:hint="default"/>
      </w:rPr>
    </w:lvl>
    <w:lvl w:ilvl="1" w:tplc="957401AE" w:tentative="1">
      <w:start w:val="1"/>
      <w:numFmt w:val="lowerLetter"/>
      <w:lvlText w:val="%2."/>
      <w:lvlJc w:val="left"/>
      <w:pPr>
        <w:ind w:left="1800" w:hanging="360"/>
      </w:pPr>
    </w:lvl>
    <w:lvl w:ilvl="2" w:tplc="F13E9D5C" w:tentative="1">
      <w:start w:val="1"/>
      <w:numFmt w:val="lowerRoman"/>
      <w:lvlText w:val="%3."/>
      <w:lvlJc w:val="right"/>
      <w:pPr>
        <w:ind w:left="2520" w:hanging="180"/>
      </w:pPr>
    </w:lvl>
    <w:lvl w:ilvl="3" w:tplc="4A609CB4" w:tentative="1">
      <w:start w:val="1"/>
      <w:numFmt w:val="decimal"/>
      <w:lvlText w:val="%4."/>
      <w:lvlJc w:val="left"/>
      <w:pPr>
        <w:ind w:left="3240" w:hanging="360"/>
      </w:pPr>
    </w:lvl>
    <w:lvl w:ilvl="4" w:tplc="49EE9606" w:tentative="1">
      <w:start w:val="1"/>
      <w:numFmt w:val="lowerLetter"/>
      <w:lvlText w:val="%5."/>
      <w:lvlJc w:val="left"/>
      <w:pPr>
        <w:ind w:left="3960" w:hanging="360"/>
      </w:pPr>
    </w:lvl>
    <w:lvl w:ilvl="5" w:tplc="C8866D6A" w:tentative="1">
      <w:start w:val="1"/>
      <w:numFmt w:val="lowerRoman"/>
      <w:lvlText w:val="%6."/>
      <w:lvlJc w:val="right"/>
      <w:pPr>
        <w:ind w:left="4680" w:hanging="180"/>
      </w:pPr>
    </w:lvl>
    <w:lvl w:ilvl="6" w:tplc="0CBCF71E" w:tentative="1">
      <w:start w:val="1"/>
      <w:numFmt w:val="decimal"/>
      <w:lvlText w:val="%7."/>
      <w:lvlJc w:val="left"/>
      <w:pPr>
        <w:ind w:left="5400" w:hanging="360"/>
      </w:pPr>
    </w:lvl>
    <w:lvl w:ilvl="7" w:tplc="E904C44C" w:tentative="1">
      <w:start w:val="1"/>
      <w:numFmt w:val="lowerLetter"/>
      <w:lvlText w:val="%8."/>
      <w:lvlJc w:val="left"/>
      <w:pPr>
        <w:ind w:left="6120" w:hanging="360"/>
      </w:pPr>
    </w:lvl>
    <w:lvl w:ilvl="8" w:tplc="2612FB02" w:tentative="1">
      <w:start w:val="1"/>
      <w:numFmt w:val="lowerRoman"/>
      <w:lvlText w:val="%9."/>
      <w:lvlJc w:val="right"/>
      <w:pPr>
        <w:ind w:left="6840" w:hanging="180"/>
      </w:pPr>
    </w:lvl>
  </w:abstractNum>
  <w:abstractNum w:abstractNumId="2" w15:restartNumberingAfterBreak="0">
    <w:nsid w:val="56BB0271"/>
    <w:multiLevelType w:val="hybridMultilevel"/>
    <w:tmpl w:val="25708F72"/>
    <w:lvl w:ilvl="0" w:tplc="6380C2B4">
      <w:start w:val="1"/>
      <w:numFmt w:val="decimal"/>
      <w:lvlText w:val="%1."/>
      <w:lvlJc w:val="left"/>
      <w:pPr>
        <w:ind w:left="1092" w:hanging="372"/>
      </w:pPr>
      <w:rPr>
        <w:rFonts w:hint="default"/>
        <w:i w:val="0"/>
      </w:rPr>
    </w:lvl>
    <w:lvl w:ilvl="1" w:tplc="ED2427B2" w:tentative="1">
      <w:start w:val="1"/>
      <w:numFmt w:val="lowerLetter"/>
      <w:lvlText w:val="%2."/>
      <w:lvlJc w:val="left"/>
      <w:pPr>
        <w:ind w:left="1800" w:hanging="360"/>
      </w:pPr>
    </w:lvl>
    <w:lvl w:ilvl="2" w:tplc="63BE0510" w:tentative="1">
      <w:start w:val="1"/>
      <w:numFmt w:val="lowerRoman"/>
      <w:lvlText w:val="%3."/>
      <w:lvlJc w:val="right"/>
      <w:pPr>
        <w:ind w:left="2520" w:hanging="180"/>
      </w:pPr>
    </w:lvl>
    <w:lvl w:ilvl="3" w:tplc="B1DA9914" w:tentative="1">
      <w:start w:val="1"/>
      <w:numFmt w:val="decimal"/>
      <w:lvlText w:val="%4."/>
      <w:lvlJc w:val="left"/>
      <w:pPr>
        <w:ind w:left="3240" w:hanging="360"/>
      </w:pPr>
    </w:lvl>
    <w:lvl w:ilvl="4" w:tplc="060EBCEE" w:tentative="1">
      <w:start w:val="1"/>
      <w:numFmt w:val="lowerLetter"/>
      <w:lvlText w:val="%5."/>
      <w:lvlJc w:val="left"/>
      <w:pPr>
        <w:ind w:left="3960" w:hanging="360"/>
      </w:pPr>
    </w:lvl>
    <w:lvl w:ilvl="5" w:tplc="AEF225B2" w:tentative="1">
      <w:start w:val="1"/>
      <w:numFmt w:val="lowerRoman"/>
      <w:lvlText w:val="%6."/>
      <w:lvlJc w:val="right"/>
      <w:pPr>
        <w:ind w:left="4680" w:hanging="180"/>
      </w:pPr>
    </w:lvl>
    <w:lvl w:ilvl="6" w:tplc="90B874F0" w:tentative="1">
      <w:start w:val="1"/>
      <w:numFmt w:val="decimal"/>
      <w:lvlText w:val="%7."/>
      <w:lvlJc w:val="left"/>
      <w:pPr>
        <w:ind w:left="5400" w:hanging="360"/>
      </w:pPr>
    </w:lvl>
    <w:lvl w:ilvl="7" w:tplc="A3FA5984" w:tentative="1">
      <w:start w:val="1"/>
      <w:numFmt w:val="lowerLetter"/>
      <w:lvlText w:val="%8."/>
      <w:lvlJc w:val="left"/>
      <w:pPr>
        <w:ind w:left="6120" w:hanging="360"/>
      </w:pPr>
    </w:lvl>
    <w:lvl w:ilvl="8" w:tplc="7BF28032" w:tentative="1">
      <w:start w:val="1"/>
      <w:numFmt w:val="lowerRoman"/>
      <w:lvlText w:val="%9."/>
      <w:lvlJc w:val="right"/>
      <w:pPr>
        <w:ind w:left="6840" w:hanging="180"/>
      </w:pPr>
    </w:lvl>
  </w:abstractNum>
  <w:num w:numId="1" w16cid:durableId="189683245">
    <w:abstractNumId w:val="0"/>
  </w:num>
  <w:num w:numId="2" w16cid:durableId="677469659">
    <w:abstractNumId w:val="1"/>
  </w:num>
  <w:num w:numId="3" w16cid:durableId="1144203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proofState w:spelling="clean" w:grammar="clean"/>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79"/>
    <w:rsid w:val="003C3108"/>
    <w:rsid w:val="00480D54"/>
    <w:rsid w:val="004E1499"/>
    <w:rsid w:val="00762379"/>
    <w:rsid w:val="00DB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43D"/>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F25"/>
    <w:pPr>
      <w:tabs>
        <w:tab w:val="center" w:pos="4680"/>
        <w:tab w:val="right" w:pos="9360"/>
      </w:tabs>
      <w:spacing w:line="240" w:lineRule="auto"/>
    </w:pPr>
  </w:style>
  <w:style w:type="character" w:customStyle="1" w:styleId="HeaderChar">
    <w:name w:val="Header Char"/>
    <w:basedOn w:val="DefaultParagraphFont"/>
    <w:link w:val="Header"/>
    <w:uiPriority w:val="99"/>
    <w:rsid w:val="00855F25"/>
    <w:rPr>
      <w:rFonts w:ascii="Times New Roman" w:hAnsi="Times New Roman"/>
      <w:sz w:val="24"/>
    </w:rPr>
  </w:style>
  <w:style w:type="paragraph" w:styleId="Footer">
    <w:name w:val="footer"/>
    <w:basedOn w:val="Normal"/>
    <w:link w:val="FooterChar"/>
    <w:uiPriority w:val="99"/>
    <w:unhideWhenUsed/>
    <w:rsid w:val="00855F25"/>
    <w:pPr>
      <w:tabs>
        <w:tab w:val="center" w:pos="4680"/>
        <w:tab w:val="right" w:pos="9360"/>
      </w:tabs>
      <w:spacing w:line="240" w:lineRule="auto"/>
    </w:pPr>
  </w:style>
  <w:style w:type="character" w:customStyle="1" w:styleId="FooterChar">
    <w:name w:val="Footer Char"/>
    <w:basedOn w:val="DefaultParagraphFont"/>
    <w:link w:val="Footer"/>
    <w:uiPriority w:val="99"/>
    <w:rsid w:val="00855F25"/>
    <w:rPr>
      <w:rFonts w:ascii="Times New Roman" w:hAnsi="Times New Roman"/>
      <w:sz w:val="24"/>
    </w:rPr>
  </w:style>
  <w:style w:type="character" w:styleId="PageNumber">
    <w:name w:val="page number"/>
    <w:basedOn w:val="DefaultParagraphFont"/>
    <w:uiPriority w:val="99"/>
    <w:semiHidden/>
    <w:unhideWhenUsed/>
    <w:rsid w:val="00855F25"/>
  </w:style>
  <w:style w:type="paragraph" w:styleId="FootnoteText">
    <w:name w:val="footnote text"/>
    <w:link w:val="FootnoteTextChar"/>
    <w:uiPriority w:val="99"/>
    <w:unhideWhenUsed/>
    <w:rsid w:val="00855F25"/>
    <w:pPr>
      <w:spacing w:line="240" w:lineRule="auto"/>
    </w:pPr>
    <w:rPr>
      <w:szCs w:val="20"/>
    </w:rPr>
  </w:style>
  <w:style w:type="character" w:customStyle="1" w:styleId="FootnoteTextChar">
    <w:name w:val="Footnote Text Char"/>
    <w:basedOn w:val="DefaultParagraphFont"/>
    <w:link w:val="FootnoteText"/>
    <w:uiPriority w:val="99"/>
    <w:rsid w:val="00855F25"/>
    <w:rPr>
      <w:szCs w:val="20"/>
    </w:rPr>
  </w:style>
  <w:style w:type="character" w:styleId="FootnoteReference">
    <w:name w:val="footnote reference"/>
    <w:basedOn w:val="DefaultParagraphFont"/>
    <w:uiPriority w:val="99"/>
    <w:semiHidden/>
    <w:unhideWhenUsed/>
    <w:rsid w:val="00195351"/>
    <w:rPr>
      <w:vertAlign w:val="superscript"/>
    </w:rPr>
  </w:style>
  <w:style w:type="paragraph" w:styleId="Revision">
    <w:name w:val="Revision"/>
    <w:hidden/>
    <w:uiPriority w:val="99"/>
    <w:semiHidden/>
    <w:rsid w:val="00C859F7"/>
    <w:pPr>
      <w:spacing w:line="240" w:lineRule="auto"/>
    </w:pPr>
  </w:style>
  <w:style w:type="character" w:styleId="CommentReference">
    <w:name w:val="annotation reference"/>
    <w:basedOn w:val="DefaultParagraphFont"/>
    <w:uiPriority w:val="99"/>
    <w:semiHidden/>
    <w:unhideWhenUsed/>
    <w:rsid w:val="00C859F7"/>
    <w:rPr>
      <w:sz w:val="16"/>
      <w:szCs w:val="16"/>
    </w:rPr>
  </w:style>
  <w:style w:type="paragraph" w:styleId="CommentText">
    <w:name w:val="annotation text"/>
    <w:basedOn w:val="Normal"/>
    <w:link w:val="CommentTextChar"/>
    <w:uiPriority w:val="99"/>
    <w:unhideWhenUsed/>
    <w:rsid w:val="00C859F7"/>
    <w:pPr>
      <w:spacing w:line="240" w:lineRule="auto"/>
    </w:pPr>
    <w:rPr>
      <w:sz w:val="20"/>
      <w:szCs w:val="20"/>
    </w:rPr>
  </w:style>
  <w:style w:type="character" w:customStyle="1" w:styleId="CommentTextChar">
    <w:name w:val="Comment Text Char"/>
    <w:basedOn w:val="DefaultParagraphFont"/>
    <w:link w:val="CommentText"/>
    <w:uiPriority w:val="99"/>
    <w:rsid w:val="00C859F7"/>
    <w:rPr>
      <w:sz w:val="20"/>
      <w:szCs w:val="20"/>
    </w:rPr>
  </w:style>
  <w:style w:type="paragraph" w:styleId="CommentSubject">
    <w:name w:val="annotation subject"/>
    <w:basedOn w:val="CommentText"/>
    <w:next w:val="CommentText"/>
    <w:link w:val="CommentSubjectChar"/>
    <w:uiPriority w:val="99"/>
    <w:semiHidden/>
    <w:unhideWhenUsed/>
    <w:rsid w:val="00C859F7"/>
    <w:rPr>
      <w:b/>
      <w:bCs/>
    </w:rPr>
  </w:style>
  <w:style w:type="character" w:customStyle="1" w:styleId="CommentSubjectChar">
    <w:name w:val="Comment Subject Char"/>
    <w:basedOn w:val="CommentTextChar"/>
    <w:link w:val="CommentSubject"/>
    <w:uiPriority w:val="99"/>
    <w:semiHidden/>
    <w:rsid w:val="00C859F7"/>
    <w:rPr>
      <w:b/>
      <w:bCs/>
      <w:sz w:val="20"/>
      <w:szCs w:val="20"/>
    </w:rPr>
  </w:style>
  <w:style w:type="character" w:customStyle="1" w:styleId="costarpage">
    <w:name w:val="co_starpage"/>
    <w:basedOn w:val="DefaultParagraphFont"/>
    <w:rsid w:val="00674CF1"/>
  </w:style>
  <w:style w:type="character" w:styleId="Emphasis">
    <w:name w:val="Emphasis"/>
    <w:basedOn w:val="DefaultParagraphFont"/>
    <w:uiPriority w:val="20"/>
    <w:qFormat/>
    <w:rsid w:val="00674CF1"/>
    <w:rPr>
      <w:i/>
      <w:iCs/>
    </w:rPr>
  </w:style>
  <w:style w:type="paragraph" w:customStyle="1" w:styleId="Default">
    <w:name w:val="Default"/>
    <w:rsid w:val="00674CF1"/>
    <w:pPr>
      <w:autoSpaceDE w:val="0"/>
      <w:autoSpaceDN w:val="0"/>
      <w:adjustRightInd w:val="0"/>
      <w:spacing w:line="240" w:lineRule="auto"/>
    </w:pPr>
    <w:rPr>
      <w:rFonts w:cs="Century Schoolbook"/>
      <w:color w:val="000000"/>
      <w:sz w:val="24"/>
      <w:szCs w:val="24"/>
    </w:rPr>
  </w:style>
  <w:style w:type="paragraph" w:styleId="NormalWeb">
    <w:name w:val="Normal (Web)"/>
    <w:basedOn w:val="Normal"/>
    <w:uiPriority w:val="99"/>
    <w:semiHidden/>
    <w:unhideWhenUsed/>
    <w:rsid w:val="003558F1"/>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searchterm">
    <w:name w:val="co_searchterm"/>
    <w:basedOn w:val="DefaultParagraphFont"/>
    <w:rsid w:val="0097465C"/>
  </w:style>
  <w:style w:type="character" w:styleId="Strong">
    <w:name w:val="Strong"/>
    <w:basedOn w:val="DefaultParagraphFont"/>
    <w:uiPriority w:val="22"/>
    <w:qFormat/>
    <w:rsid w:val="0097465C"/>
    <w:rPr>
      <w:b/>
      <w:bCs/>
    </w:rPr>
  </w:style>
  <w:style w:type="character" w:customStyle="1" w:styleId="coconcept111">
    <w:name w:val="co_concept_1_11"/>
    <w:basedOn w:val="DefaultParagraphFont"/>
    <w:rsid w:val="00856FED"/>
  </w:style>
  <w:style w:type="character" w:customStyle="1" w:styleId="coconcept1629">
    <w:name w:val="co_concept_16_29"/>
    <w:basedOn w:val="DefaultParagraphFont"/>
    <w:rsid w:val="00856FED"/>
  </w:style>
  <w:style w:type="character" w:styleId="Hyperlink">
    <w:name w:val="Hyperlink"/>
    <w:basedOn w:val="DefaultParagraphFont"/>
    <w:uiPriority w:val="99"/>
    <w:unhideWhenUsed/>
    <w:rsid w:val="006E079E"/>
    <w:rPr>
      <w:color w:val="0000FF"/>
      <w:u w:val="single"/>
    </w:rPr>
  </w:style>
  <w:style w:type="character" w:customStyle="1" w:styleId="coconcept124">
    <w:name w:val="co_concept_1_24"/>
    <w:basedOn w:val="DefaultParagraphFont"/>
    <w:rsid w:val="00FE3081"/>
  </w:style>
  <w:style w:type="character" w:customStyle="1" w:styleId="coconcept16">
    <w:name w:val="co_concept_1_6"/>
    <w:basedOn w:val="DefaultParagraphFont"/>
    <w:rsid w:val="005958BB"/>
  </w:style>
  <w:style w:type="character" w:customStyle="1" w:styleId="coconcept1117">
    <w:name w:val="co_concept_11_17"/>
    <w:basedOn w:val="DefaultParagraphFont"/>
    <w:rsid w:val="005958BB"/>
  </w:style>
  <w:style w:type="character" w:customStyle="1" w:styleId="cf01">
    <w:name w:val="cf01"/>
    <w:basedOn w:val="DefaultParagraphFont"/>
    <w:rsid w:val="008F5874"/>
    <w:rPr>
      <w:rFonts w:ascii="Segoe UI" w:hAnsi="Segoe UI" w:cs="Segoe UI" w:hint="default"/>
      <w:sz w:val="18"/>
      <w:szCs w:val="18"/>
    </w:rPr>
  </w:style>
  <w:style w:type="character" w:customStyle="1" w:styleId="cf11">
    <w:name w:val="cf11"/>
    <w:basedOn w:val="DefaultParagraphFont"/>
    <w:rsid w:val="008F5874"/>
    <w:rPr>
      <w:rFonts w:ascii="Segoe UI" w:hAnsi="Segoe UI" w:cs="Segoe UI" w:hint="default"/>
      <w:b/>
      <w:bCs/>
      <w:sz w:val="18"/>
      <w:szCs w:val="18"/>
    </w:rPr>
  </w:style>
  <w:style w:type="character" w:customStyle="1" w:styleId="cf21">
    <w:name w:val="cf21"/>
    <w:basedOn w:val="DefaultParagraphFont"/>
    <w:rsid w:val="008F5874"/>
    <w:rPr>
      <w:rFonts w:ascii="Segoe UI" w:hAnsi="Segoe UI" w:cs="Segoe UI" w:hint="default"/>
      <w:color w:val="3D3D3D"/>
      <w:sz w:val="18"/>
      <w:szCs w:val="18"/>
      <w:shd w:val="clear" w:color="auto" w:fill="FFFFFF"/>
    </w:rPr>
  </w:style>
  <w:style w:type="character" w:customStyle="1" w:styleId="cf31">
    <w:name w:val="cf31"/>
    <w:basedOn w:val="DefaultParagraphFont"/>
    <w:rsid w:val="008F5874"/>
    <w:rPr>
      <w:rFonts w:ascii="Segoe UI" w:hAnsi="Segoe UI" w:cs="Segoe UI" w:hint="default"/>
      <w:sz w:val="18"/>
      <w:szCs w:val="18"/>
    </w:rPr>
  </w:style>
  <w:style w:type="character" w:customStyle="1" w:styleId="cf41">
    <w:name w:val="cf41"/>
    <w:basedOn w:val="DefaultParagraphFont"/>
    <w:rsid w:val="008F5874"/>
    <w:rPr>
      <w:rFonts w:ascii="Century Schoolbook" w:hAnsi="Century Schoolbook" w:hint="default"/>
      <w:sz w:val="26"/>
      <w:szCs w:val="26"/>
    </w:rPr>
  </w:style>
  <w:style w:type="paragraph" w:styleId="ListParagraph">
    <w:name w:val="List Paragraph"/>
    <w:basedOn w:val="Normal"/>
    <w:uiPriority w:val="34"/>
    <w:qFormat/>
    <w:rsid w:val="00896614"/>
    <w:pPr>
      <w:ind w:left="720"/>
      <w:contextualSpacing/>
    </w:pPr>
  </w:style>
  <w:style w:type="character" w:customStyle="1" w:styleId="UnresolvedMention1">
    <w:name w:val="Unresolved Mention1"/>
    <w:basedOn w:val="DefaultParagraphFont"/>
    <w:uiPriority w:val="99"/>
    <w:semiHidden/>
    <w:unhideWhenUsed/>
    <w:rsid w:val="00F74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1526</Words>
  <Characters>7953</Characters>
  <Application>Microsoft Office Word</Application>
  <DocSecurity>0</DocSecurity>
  <Lines>201</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2024-03-01T19:23:00Z</dcterms:created>
  <dcterms:modified xsi:type="dcterms:W3CDTF">2024-03-01T19:23:00Z</dcterms:modified>
  <cp:category/>
</cp:coreProperties>
</file>