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D3977" w:rsidRPr="00FD3977" w:rsidP="00FD3977" w14:paraId="4E7570C8" w14:textId="77777777">
      <w:pPr>
        <w:spacing w:line="240" w:lineRule="auto"/>
        <w:rPr>
          <w:kern w:val="0"/>
          <w:sz w:val="20"/>
          <w14:ligatures w14:val="none"/>
        </w:rPr>
      </w:pPr>
      <w:r w:rsidRPr="00FD3977">
        <w:rPr>
          <w:kern w:val="0"/>
          <w:sz w:val="20"/>
          <w14:ligatures w14:val="none"/>
        </w:rPr>
        <w:t>Filed 1/8/24</w:t>
      </w:r>
    </w:p>
    <w:p w:rsidR="00FD3977" w:rsidRPr="00FD3977" w:rsidP="00FD3977" w14:paraId="0A747550" w14:textId="77777777">
      <w:pPr>
        <w:spacing w:line="240" w:lineRule="auto"/>
        <w:rPr>
          <w:kern w:val="0"/>
          <w:sz w:val="20"/>
          <w14:ligatures w14:val="none"/>
        </w:rPr>
      </w:pPr>
    </w:p>
    <w:p w:rsidR="00FD3977" w:rsidRPr="00FD3977" w:rsidP="00FD3977" w14:paraId="30C52A92" w14:textId="77777777">
      <w:pPr>
        <w:spacing w:line="240" w:lineRule="auto"/>
        <w:jc w:val="center"/>
        <w:rPr>
          <w:b/>
          <w:kern w:val="0"/>
          <w14:ligatures w14:val="none"/>
        </w:rPr>
      </w:pPr>
      <w:r w:rsidRPr="00FD3977">
        <w:rPr>
          <w:b/>
          <w:kern w:val="0"/>
          <w14:ligatures w14:val="none"/>
        </w:rPr>
        <w:t>CERTIFIED FOR PUBLICATION</w:t>
      </w:r>
    </w:p>
    <w:p w:rsidR="00FD3977" w:rsidRPr="00FD3977" w:rsidP="00FD3977" w14:paraId="16FEF8D6" w14:textId="77777777">
      <w:pPr>
        <w:spacing w:line="240" w:lineRule="auto"/>
        <w:jc w:val="center"/>
        <w:rPr>
          <w:kern w:val="0"/>
          <w14:ligatures w14:val="none"/>
        </w:rPr>
      </w:pPr>
    </w:p>
    <w:p w:rsidR="00FD3977" w:rsidRPr="00FD3977" w:rsidP="00FD3977" w14:paraId="4E9CDC65" w14:textId="77777777">
      <w:pPr>
        <w:spacing w:line="240" w:lineRule="auto"/>
        <w:jc w:val="center"/>
        <w:rPr>
          <w:kern w:val="0"/>
          <w14:ligatures w14:val="none"/>
        </w:rPr>
      </w:pPr>
      <w:r w:rsidRPr="00FD3977">
        <w:rPr>
          <w:kern w:val="0"/>
          <w14:ligatures w14:val="none"/>
        </w:rPr>
        <w:t>IN THE COURT OF APPEAL OF THE STATE OF CALIFORNIA</w:t>
      </w:r>
    </w:p>
    <w:p w:rsidR="00FD3977" w:rsidRPr="00FD3977" w:rsidP="00FD3977" w14:paraId="72BFE06F" w14:textId="77777777">
      <w:pPr>
        <w:spacing w:line="240" w:lineRule="auto"/>
        <w:jc w:val="center"/>
        <w:rPr>
          <w:kern w:val="0"/>
          <w14:ligatures w14:val="none"/>
        </w:rPr>
      </w:pPr>
    </w:p>
    <w:p w:rsidR="00FD3977" w:rsidRPr="00FD3977" w:rsidP="00FD3977" w14:paraId="4612090C" w14:textId="77777777">
      <w:pPr>
        <w:spacing w:line="240" w:lineRule="auto"/>
        <w:jc w:val="center"/>
        <w:rPr>
          <w:kern w:val="0"/>
          <w14:ligatures w14:val="none"/>
        </w:rPr>
      </w:pPr>
      <w:r w:rsidRPr="00FD3977">
        <w:rPr>
          <w:kern w:val="0"/>
          <w14:ligatures w14:val="none"/>
        </w:rPr>
        <w:t>FIRST APPELLATE DISTRICT</w:t>
      </w:r>
    </w:p>
    <w:p w:rsidR="00FD3977" w:rsidRPr="00FD3977" w:rsidP="00FD3977" w14:paraId="3CF1DB9D" w14:textId="77777777">
      <w:pPr>
        <w:spacing w:line="240" w:lineRule="auto"/>
        <w:jc w:val="center"/>
        <w:rPr>
          <w:kern w:val="0"/>
          <w14:ligatures w14:val="none"/>
        </w:rPr>
      </w:pPr>
    </w:p>
    <w:p w:rsidR="00FD3977" w:rsidRPr="00FD3977" w:rsidP="00FD3977" w14:paraId="2582F01A" w14:textId="77777777">
      <w:pPr>
        <w:spacing w:line="240" w:lineRule="auto"/>
        <w:jc w:val="center"/>
        <w:rPr>
          <w:kern w:val="0"/>
          <w14:ligatures w14:val="none"/>
        </w:rPr>
      </w:pPr>
      <w:r w:rsidRPr="00FD3977">
        <w:rPr>
          <w:kern w:val="0"/>
          <w14:ligatures w14:val="none"/>
        </w:rPr>
        <w:t>DIVISION ONE</w:t>
      </w:r>
    </w:p>
    <w:p w:rsidR="00FD3977" w:rsidRPr="00FD3977" w:rsidP="00FD3977" w14:paraId="2B41D5A9" w14:textId="77777777">
      <w:pPr>
        <w:spacing w:line="240" w:lineRule="auto"/>
        <w:jc w:val="center"/>
        <w:rPr>
          <w:kern w:val="0"/>
          <w14:ligatures w14:val="none"/>
        </w:rPr>
      </w:pPr>
    </w:p>
    <w:p w:rsidR="00FD3977" w:rsidRPr="00FD3977" w:rsidP="00FD3977" w14:paraId="17AE816C" w14:textId="77777777">
      <w:pPr>
        <w:spacing w:line="240" w:lineRule="auto"/>
        <w:jc w:val="center"/>
        <w:rPr>
          <w:kern w:val="0"/>
          <w14:ligatures w14:val="none"/>
        </w:rPr>
      </w:pPr>
    </w:p>
    <w:tbl>
      <w:tblPr>
        <w:tblW w:w="0" w:type="auto"/>
        <w:tblLayout w:type="fixed"/>
        <w:tblLook w:val="0000"/>
      </w:tblPr>
      <w:tblGrid>
        <w:gridCol w:w="4680"/>
        <w:gridCol w:w="4680"/>
      </w:tblGrid>
      <w:tr w14:paraId="38CCA1A8" w14:textId="77777777" w:rsidTr="00052CAE">
        <w:tblPrEx>
          <w:tblW w:w="0" w:type="auto"/>
          <w:tblLayout w:type="fixed"/>
          <w:tblLook w:val="0000"/>
        </w:tblPrEx>
        <w:tc>
          <w:tcPr>
            <w:tcW w:w="4680" w:type="dxa"/>
            <w:tcBorders>
              <w:bottom w:val="single" w:sz="4" w:space="0" w:color="auto"/>
              <w:right w:val="single" w:sz="4" w:space="0" w:color="auto"/>
            </w:tcBorders>
            <w:shd w:val="clear" w:color="auto" w:fill="auto"/>
          </w:tcPr>
          <w:p w:rsidR="00FD3977" w:rsidRPr="00FD3977" w:rsidP="00FD3977" w14:paraId="1CA7DB96" w14:textId="77777777">
            <w:pPr>
              <w:spacing w:after="120" w:line="240" w:lineRule="auto"/>
              <w:rPr>
                <w:kern w:val="0"/>
                <w14:ligatures w14:val="none"/>
              </w:rPr>
            </w:pPr>
            <w:r w:rsidRPr="00FD3977">
              <w:rPr>
                <w:kern w:val="0"/>
                <w14:ligatures w14:val="none"/>
              </w:rPr>
              <w:t>THE PEOPLE,</w:t>
            </w:r>
          </w:p>
          <w:p w:rsidR="00FD3977" w:rsidRPr="00FD3977" w:rsidP="00FD3977" w14:paraId="6E9FCAAD" w14:textId="77777777">
            <w:pPr>
              <w:spacing w:after="120" w:line="240" w:lineRule="auto"/>
              <w:rPr>
                <w:kern w:val="0"/>
                <w14:ligatures w14:val="none"/>
              </w:rPr>
            </w:pPr>
            <w:r w:rsidRPr="00FD3977">
              <w:rPr>
                <w:kern w:val="0"/>
                <w14:ligatures w14:val="none"/>
              </w:rPr>
              <w:tab/>
              <w:t>Plaintiff and Respondent,</w:t>
            </w:r>
          </w:p>
          <w:p w:rsidR="00FD3977" w:rsidRPr="00FD3977" w:rsidP="00FD3977" w14:paraId="032F501A" w14:textId="77777777">
            <w:pPr>
              <w:spacing w:after="120" w:line="240" w:lineRule="auto"/>
              <w:rPr>
                <w:kern w:val="0"/>
                <w14:ligatures w14:val="none"/>
              </w:rPr>
            </w:pPr>
            <w:r w:rsidRPr="00FD3977">
              <w:rPr>
                <w:kern w:val="0"/>
                <w14:ligatures w14:val="none"/>
              </w:rPr>
              <w:t>v.</w:t>
            </w:r>
          </w:p>
          <w:p w:rsidR="00FD3977" w:rsidRPr="00FD3977" w:rsidP="00FD3977" w14:paraId="4920B5A9" w14:textId="77777777">
            <w:pPr>
              <w:spacing w:after="120" w:line="240" w:lineRule="auto"/>
              <w:rPr>
                <w:kern w:val="0"/>
                <w14:ligatures w14:val="none"/>
              </w:rPr>
            </w:pPr>
            <w:r w:rsidRPr="00FD3977">
              <w:rPr>
                <w:kern w:val="0"/>
                <w14:ligatures w14:val="none"/>
              </w:rPr>
              <w:t>GARY MARCUS HALL,</w:t>
            </w:r>
          </w:p>
          <w:p w:rsidR="00FD3977" w:rsidRPr="00FD3977" w:rsidP="00FD3977" w14:paraId="06E5E16D" w14:textId="77777777">
            <w:pPr>
              <w:spacing w:after="120" w:line="240" w:lineRule="auto"/>
              <w:rPr>
                <w:kern w:val="0"/>
                <w14:ligatures w14:val="none"/>
              </w:rPr>
            </w:pPr>
            <w:r w:rsidRPr="00FD3977">
              <w:rPr>
                <w:kern w:val="0"/>
                <w14:ligatures w14:val="none"/>
              </w:rPr>
              <w:tab/>
              <w:t>Defendant and Appellant.</w:t>
            </w:r>
          </w:p>
        </w:tc>
        <w:tc>
          <w:tcPr>
            <w:tcW w:w="4680" w:type="dxa"/>
            <w:tcBorders>
              <w:left w:val="single" w:sz="4" w:space="0" w:color="auto"/>
            </w:tcBorders>
            <w:shd w:val="clear" w:color="auto" w:fill="auto"/>
          </w:tcPr>
          <w:p w:rsidR="00FD3977" w:rsidRPr="00FD3977" w:rsidP="00FD3977" w14:paraId="3C05D296" w14:textId="77777777">
            <w:pPr>
              <w:spacing w:line="240" w:lineRule="auto"/>
              <w:rPr>
                <w:kern w:val="0"/>
                <w14:ligatures w14:val="none"/>
              </w:rPr>
            </w:pPr>
          </w:p>
          <w:p w:rsidR="00FD3977" w:rsidRPr="00FD3977" w:rsidP="00FD3977" w14:paraId="466CA2FA" w14:textId="77777777">
            <w:pPr>
              <w:spacing w:line="240" w:lineRule="auto"/>
              <w:rPr>
                <w:kern w:val="0"/>
                <w14:ligatures w14:val="none"/>
              </w:rPr>
            </w:pPr>
            <w:r w:rsidRPr="00FD3977">
              <w:rPr>
                <w:kern w:val="0"/>
                <w14:ligatures w14:val="none"/>
              </w:rPr>
              <w:t xml:space="preserve">      A165406</w:t>
            </w:r>
          </w:p>
          <w:p w:rsidR="00FD3977" w:rsidRPr="00FD3977" w:rsidP="00FD3977" w14:paraId="50B52C88" w14:textId="77777777">
            <w:pPr>
              <w:spacing w:line="240" w:lineRule="auto"/>
              <w:rPr>
                <w:kern w:val="0"/>
                <w14:ligatures w14:val="none"/>
              </w:rPr>
            </w:pPr>
          </w:p>
          <w:p w:rsidR="00FD3977" w:rsidRPr="00FD3977" w:rsidP="00FD3977" w14:paraId="517A43D5" w14:textId="77777777">
            <w:pPr>
              <w:spacing w:line="240" w:lineRule="auto"/>
              <w:rPr>
                <w:kern w:val="0"/>
                <w14:ligatures w14:val="none"/>
              </w:rPr>
            </w:pPr>
            <w:r w:rsidRPr="00FD3977">
              <w:rPr>
                <w:kern w:val="0"/>
                <w14:ligatures w14:val="none"/>
              </w:rPr>
              <w:t xml:space="preserve">      (Del Norte County</w:t>
            </w:r>
          </w:p>
          <w:p w:rsidR="00FD3977" w:rsidRPr="00FD3977" w:rsidP="00FD3977" w14:paraId="5A8927D5" w14:textId="77777777">
            <w:pPr>
              <w:spacing w:line="240" w:lineRule="auto"/>
              <w:rPr>
                <w:kern w:val="0"/>
                <w14:ligatures w14:val="none"/>
              </w:rPr>
            </w:pPr>
            <w:r w:rsidRPr="00FD3977">
              <w:rPr>
                <w:kern w:val="0"/>
                <w14:ligatures w14:val="none"/>
              </w:rPr>
              <w:t xml:space="preserve">      Super. Ct. No. CRF219022)</w:t>
            </w:r>
          </w:p>
          <w:p w:rsidR="00FD3977" w:rsidRPr="00FD3977" w:rsidP="00FD3977" w14:paraId="5AC9EDF8" w14:textId="77777777">
            <w:pPr>
              <w:spacing w:line="240" w:lineRule="auto"/>
              <w:rPr>
                <w:kern w:val="0"/>
                <w14:ligatures w14:val="none"/>
              </w:rPr>
            </w:pPr>
          </w:p>
          <w:p w:rsidR="00FD3977" w:rsidRPr="00FD3977" w:rsidP="00FD3977" w14:paraId="0FBB29E6" w14:textId="77777777">
            <w:pPr>
              <w:spacing w:line="240" w:lineRule="auto"/>
              <w:rPr>
                <w:kern w:val="0"/>
                <w14:ligatures w14:val="none"/>
              </w:rPr>
            </w:pPr>
            <w:r w:rsidRPr="00FD3977">
              <w:rPr>
                <w:kern w:val="0"/>
                <w14:ligatures w14:val="none"/>
              </w:rPr>
              <w:t xml:space="preserve">ORDER MODIFYING OPINION AND DENYING REHEARING </w:t>
            </w:r>
          </w:p>
          <w:p w:rsidR="00FD3977" w:rsidRPr="00FD3977" w:rsidP="00FD3977" w14:paraId="1A431820" w14:textId="77777777">
            <w:pPr>
              <w:spacing w:line="240" w:lineRule="auto"/>
              <w:rPr>
                <w:kern w:val="0"/>
                <w14:ligatures w14:val="none"/>
              </w:rPr>
            </w:pPr>
          </w:p>
          <w:p w:rsidR="00FD3977" w:rsidRPr="00FD3977" w:rsidP="00FD3977" w14:paraId="1B01469D" w14:textId="77777777">
            <w:pPr>
              <w:spacing w:line="240" w:lineRule="auto"/>
              <w:rPr>
                <w:kern w:val="0"/>
                <w14:ligatures w14:val="none"/>
              </w:rPr>
            </w:pPr>
            <w:r w:rsidRPr="00FD3977">
              <w:rPr>
                <w:kern w:val="0"/>
                <w14:ligatures w14:val="none"/>
              </w:rPr>
              <w:t>[NO CHANGE IN JUDGMENT]</w:t>
            </w:r>
          </w:p>
          <w:p w:rsidR="00FD3977" w:rsidRPr="00FD3977" w:rsidP="00FD3977" w14:paraId="1AFEB759" w14:textId="77777777">
            <w:pPr>
              <w:spacing w:line="240" w:lineRule="auto"/>
              <w:rPr>
                <w:kern w:val="0"/>
                <w14:ligatures w14:val="none"/>
              </w:rPr>
            </w:pPr>
          </w:p>
        </w:tc>
      </w:tr>
    </w:tbl>
    <w:p w:rsidR="00FD3977" w:rsidRPr="00FD3977" w:rsidP="00FD3977" w14:paraId="1D627915" w14:textId="77777777">
      <w:pPr>
        <w:spacing w:line="360" w:lineRule="auto"/>
        <w:rPr>
          <w:kern w:val="0"/>
          <w14:ligatures w14:val="none"/>
        </w:rPr>
      </w:pPr>
      <w:r w:rsidRPr="00FD3977">
        <w:rPr>
          <w:b/>
          <w:bCs/>
          <w:kern w:val="0"/>
          <w14:ligatures w14:val="none"/>
        </w:rPr>
        <w:t>BY THE COURT</w:t>
      </w:r>
      <w:r w:rsidRPr="00FD3977">
        <w:rPr>
          <w:kern w:val="0"/>
          <w14:ligatures w14:val="none"/>
        </w:rPr>
        <w:t>:</w:t>
      </w:r>
      <w:r>
        <w:rPr>
          <w:kern w:val="0"/>
          <w:vertAlign w:val="superscript"/>
          <w14:ligatures w14:val="none"/>
        </w:rPr>
        <w:footnoteReference w:customMarkFollows="1" w:id="2"/>
        <w:t xml:space="preserve">*</w:t>
      </w:r>
      <w:r w:rsidRPr="00FD3977">
        <w:rPr>
          <w:b/>
          <w:bCs/>
          <w:kern w:val="0"/>
          <w:vertAlign w:val="superscript"/>
          <w14:ligatures w14:val="none"/>
        </w:rPr>
        <w:t xml:space="preserve"> </w:t>
      </w:r>
    </w:p>
    <w:p w:rsidR="00FD3977" w:rsidRPr="00FD3977" w:rsidP="00FD3977" w14:paraId="65CBE64E" w14:textId="77777777">
      <w:pPr>
        <w:spacing w:line="360" w:lineRule="auto"/>
        <w:rPr>
          <w:kern w:val="0"/>
          <w14:ligatures w14:val="none"/>
        </w:rPr>
      </w:pPr>
      <w:r w:rsidRPr="00FD3977">
        <w:rPr>
          <w:kern w:val="0"/>
          <w14:ligatures w14:val="none"/>
        </w:rPr>
        <w:tab/>
        <w:t xml:space="preserve">It is ordered that the opinion filed herein on December 13, 2023, be modified as follows: </w:t>
      </w:r>
    </w:p>
    <w:p w:rsidR="00FD3977" w:rsidRPr="00FD3977" w:rsidP="00FD3977" w14:paraId="5A4F29B5" w14:textId="77777777">
      <w:pPr>
        <w:numPr>
          <w:ilvl w:val="0"/>
          <w:numId w:val="5"/>
        </w:numPr>
        <w:tabs>
          <w:tab w:val="clear" w:pos="720"/>
        </w:tabs>
        <w:spacing w:line="360" w:lineRule="auto"/>
        <w:contextualSpacing/>
        <w:rPr>
          <w:kern w:val="0"/>
          <w14:ligatures w14:val="none"/>
        </w:rPr>
      </w:pPr>
      <w:r w:rsidRPr="00FD3977">
        <w:rPr>
          <w:kern w:val="0"/>
          <w14:ligatures w14:val="none"/>
        </w:rPr>
        <w:t xml:space="preserve"> On page 9, after the last full paragraph ending “</w:t>
      </w:r>
      <w:r w:rsidRPr="00FD3977">
        <w:rPr>
          <w:rFonts w:eastAsia="Times New Roman" w:cs="Times New Roman"/>
          <w:kern w:val="0"/>
          <w14:ligatures w14:val="none"/>
        </w:rPr>
        <w:t>sentencing factors in aggravation,” add as</w:t>
      </w:r>
      <w:r w:rsidRPr="00FD3977">
        <w:rPr>
          <w:kern w:val="0"/>
          <w14:ligatures w14:val="none"/>
        </w:rPr>
        <w:t xml:space="preserve"> footnote 4 the following footnote, which will require the renumbering of all subsequent footnotes:</w:t>
      </w:r>
    </w:p>
    <w:p w:rsidR="00FD3977" w:rsidRPr="00FD3977" w:rsidP="00FD3977" w14:paraId="29FFE9C2" w14:textId="77777777">
      <w:pPr>
        <w:tabs>
          <w:tab w:val="clear" w:pos="720"/>
        </w:tabs>
        <w:spacing w:line="240" w:lineRule="auto"/>
        <w:ind w:left="720"/>
        <w:rPr>
          <w:rFonts w:eastAsia="Times New Roman" w:cs="Times New Roman"/>
          <w:kern w:val="0"/>
          <w:szCs w:val="20"/>
          <w14:ligatures w14:val="none"/>
        </w:rPr>
      </w:pPr>
      <w:r w:rsidRPr="00FD3977">
        <w:rPr>
          <w:kern w:val="0"/>
          <w:szCs w:val="20"/>
          <w:vertAlign w:val="superscript"/>
          <w14:ligatures w14:val="none"/>
        </w:rPr>
        <w:t xml:space="preserve">4  </w:t>
      </w:r>
      <w:r w:rsidRPr="00FD3977">
        <w:rPr>
          <w:kern w:val="0"/>
          <w:szCs w:val="20"/>
          <w14:ligatures w14:val="none"/>
        </w:rPr>
        <w:t xml:space="preserve">In his petition for rehearing, defendant urges that we misperceived his argument as one based solely on </w:t>
      </w:r>
      <w:r w:rsidRPr="00FD3977">
        <w:rPr>
          <w:rFonts w:eastAsia="Times New Roman" w:cs="Times New Roman"/>
          <w:kern w:val="0"/>
          <w:szCs w:val="20"/>
          <w14:ligatures w14:val="none"/>
        </w:rPr>
        <w:t xml:space="preserve">the recent amendments to section 1170, subdivision (b)(1) and his argument was, in fact, based on a “line of California cases” like </w:t>
      </w:r>
      <w:r w:rsidRPr="00FD3977">
        <w:rPr>
          <w:rFonts w:eastAsia="Times New Roman" w:cs="Times New Roman"/>
          <w:i/>
          <w:iCs/>
          <w:kern w:val="0"/>
          <w:szCs w:val="20"/>
          <w14:ligatures w14:val="none"/>
        </w:rPr>
        <w:t xml:space="preserve">People v. Mancebo </w:t>
      </w:r>
      <w:r w:rsidRPr="00FD3977">
        <w:rPr>
          <w:rFonts w:eastAsia="Times New Roman" w:cs="Times New Roman"/>
          <w:kern w:val="0"/>
          <w:szCs w:val="20"/>
          <w14:ligatures w14:val="none"/>
        </w:rPr>
        <w:t xml:space="preserve">(2002) 27 Cal.4th 735 and therefore </w:t>
      </w:r>
      <w:r w:rsidRPr="00FD3977">
        <w:rPr>
          <w:rFonts w:eastAsia="Times New Roman" w:cs="Times New Roman"/>
          <w:i/>
          <w:iCs/>
          <w:kern w:val="0"/>
          <w:szCs w:val="20"/>
          <w14:ligatures w14:val="none"/>
        </w:rPr>
        <w:t xml:space="preserve">Pantaleon </w:t>
      </w:r>
      <w:r w:rsidRPr="00FD3977">
        <w:rPr>
          <w:rFonts w:eastAsia="Times New Roman" w:cs="Times New Roman"/>
          <w:kern w:val="0"/>
          <w:szCs w:val="20"/>
          <w14:ligatures w14:val="none"/>
        </w:rPr>
        <w:t xml:space="preserve">is inapposite.  In </w:t>
      </w:r>
      <w:r w:rsidRPr="00FD3977">
        <w:rPr>
          <w:rFonts w:eastAsia="Times New Roman" w:cs="Times New Roman"/>
          <w:i/>
          <w:iCs/>
          <w:kern w:val="0"/>
          <w:szCs w:val="20"/>
          <w14:ligatures w14:val="none"/>
        </w:rPr>
        <w:t xml:space="preserve">Mancebo, </w:t>
      </w:r>
      <w:r w:rsidRPr="00FD3977">
        <w:rPr>
          <w:rFonts w:eastAsia="Times New Roman" w:cs="Times New Roman"/>
          <w:kern w:val="0"/>
          <w:szCs w:val="20"/>
          <w14:ligatures w14:val="none"/>
        </w:rPr>
        <w:t xml:space="preserve">our high court reiterated that “a defendant has a cognizable due process right to fair notice of the specific </w:t>
      </w:r>
      <w:r w:rsidRPr="00FD3977">
        <w:rPr>
          <w:rFonts w:eastAsia="Times New Roman" w:cs="Times New Roman"/>
          <w:i/>
          <w:iCs/>
          <w:kern w:val="0"/>
          <w:szCs w:val="20"/>
          <w14:ligatures w14:val="none"/>
        </w:rPr>
        <w:t>sentence enhancement</w:t>
      </w:r>
      <w:r w:rsidRPr="00FD3977">
        <w:rPr>
          <w:rFonts w:eastAsia="Times New Roman" w:cs="Times New Roman"/>
          <w:kern w:val="0"/>
          <w:szCs w:val="20"/>
          <w14:ligatures w14:val="none"/>
        </w:rPr>
        <w:t xml:space="preserve"> allegations that will be </w:t>
      </w:r>
      <w:r w:rsidRPr="00FD3977">
        <w:rPr>
          <w:rFonts w:eastAsia="Times New Roman" w:cs="Times New Roman"/>
          <w:kern w:val="0"/>
          <w:szCs w:val="20"/>
          <w14:ligatures w14:val="none"/>
        </w:rPr>
        <w:t>invoked to increase punishment for his crimes.”  (</w:t>
      </w:r>
      <w:r w:rsidRPr="00FD3977">
        <w:rPr>
          <w:rFonts w:eastAsia="Times New Roman" w:cs="Times New Roman"/>
          <w:i/>
          <w:iCs/>
          <w:kern w:val="0"/>
          <w:szCs w:val="20"/>
          <w14:ligatures w14:val="none"/>
        </w:rPr>
        <w:t>Id.</w:t>
      </w:r>
      <w:r w:rsidRPr="00FD3977">
        <w:rPr>
          <w:rFonts w:eastAsia="Times New Roman" w:cs="Times New Roman"/>
          <w:kern w:val="0"/>
          <w:szCs w:val="20"/>
          <w14:ligatures w14:val="none"/>
        </w:rPr>
        <w:t xml:space="preserve"> at p. 747, italics added.)  As the court in </w:t>
      </w:r>
      <w:r w:rsidRPr="00FD3977">
        <w:rPr>
          <w:rFonts w:eastAsia="Times New Roman" w:cs="Times New Roman"/>
          <w:i/>
          <w:iCs/>
          <w:kern w:val="0"/>
          <w:szCs w:val="20"/>
          <w14:ligatures w14:val="none"/>
        </w:rPr>
        <w:t xml:space="preserve">Pantaleon </w:t>
      </w:r>
      <w:r w:rsidRPr="00FD3977">
        <w:rPr>
          <w:rFonts w:eastAsia="Times New Roman" w:cs="Times New Roman"/>
          <w:kern w:val="0"/>
          <w:szCs w:val="20"/>
          <w14:ligatures w14:val="none"/>
        </w:rPr>
        <w:t>explained, there is a long-recognized distinction between sentencing enhancements and aggravating factors.  (</w:t>
      </w:r>
      <w:r w:rsidRPr="00FD3977">
        <w:rPr>
          <w:rFonts w:eastAsia="Times New Roman" w:cs="Times New Roman"/>
          <w:i/>
          <w:iCs/>
          <w:kern w:val="0"/>
          <w:szCs w:val="20"/>
          <w14:ligatures w14:val="none"/>
        </w:rPr>
        <w:t xml:space="preserve">Pantaleon, supra, </w:t>
      </w:r>
      <w:r w:rsidRPr="00FD3977">
        <w:rPr>
          <w:rFonts w:eastAsia="Times New Roman" w:cs="Times New Roman"/>
          <w:kern w:val="0"/>
          <w:szCs w:val="20"/>
          <w14:ligatures w14:val="none"/>
        </w:rPr>
        <w:t>89 Cal.App.5th at pp. 939, 941.)  The Court of Appeal therefore rejected the defendant’s “constitutional theory of error” that he had not only a statutory right to pleading notice of aggravating factors, but also a “fair notice” due process right to pleading notice of factors in aggravation.  (</w:t>
      </w:r>
      <w:r w:rsidRPr="00FD3977">
        <w:rPr>
          <w:rFonts w:eastAsia="Times New Roman" w:cs="Times New Roman"/>
          <w:i/>
          <w:iCs/>
          <w:kern w:val="0"/>
          <w:szCs w:val="20"/>
          <w14:ligatures w14:val="none"/>
        </w:rPr>
        <w:t>Id.</w:t>
      </w:r>
      <w:r w:rsidRPr="00FD3977">
        <w:rPr>
          <w:rFonts w:eastAsia="Times New Roman" w:cs="Times New Roman"/>
          <w:kern w:val="0"/>
          <w:szCs w:val="20"/>
          <w14:ligatures w14:val="none"/>
        </w:rPr>
        <w:t xml:space="preserve"> at p. 941.)  Indeed, the court observed the “defendant’s constitutional theory of error [was] foreclosed by binding authority.”  (</w:t>
      </w:r>
      <w:r w:rsidRPr="00FD3977">
        <w:rPr>
          <w:rFonts w:eastAsia="Times New Roman" w:cs="Times New Roman"/>
          <w:i/>
          <w:iCs/>
          <w:kern w:val="0"/>
          <w:szCs w:val="20"/>
          <w14:ligatures w14:val="none"/>
        </w:rPr>
        <w:t>Ibid.</w:t>
      </w:r>
      <w:r w:rsidRPr="00FD3977">
        <w:rPr>
          <w:rFonts w:eastAsia="Times New Roman" w:cs="Times New Roman"/>
          <w:kern w:val="0"/>
          <w:szCs w:val="20"/>
          <w14:ligatures w14:val="none"/>
        </w:rPr>
        <w:t xml:space="preserve">, citing </w:t>
      </w:r>
      <w:r w:rsidRPr="00FD3977">
        <w:rPr>
          <w:rFonts w:eastAsia="Times New Roman" w:cs="Times New Roman"/>
          <w:i/>
          <w:iCs/>
          <w:kern w:val="0"/>
          <w:szCs w:val="20"/>
          <w14:ligatures w14:val="none"/>
        </w:rPr>
        <w:t>In re Varnell</w:t>
      </w:r>
      <w:r w:rsidRPr="00FD3977">
        <w:rPr>
          <w:rFonts w:eastAsia="Times New Roman" w:cs="Times New Roman"/>
          <w:kern w:val="0"/>
          <w:szCs w:val="20"/>
          <w14:ligatures w14:val="none"/>
        </w:rPr>
        <w:t xml:space="preserve"> (2003) 30 Cal.4th 1132, 1135, 1141–1142.)  Defendant asserts </w:t>
      </w:r>
      <w:r w:rsidRPr="00FD3977">
        <w:rPr>
          <w:rFonts w:eastAsia="Times New Roman" w:cs="Times New Roman"/>
          <w:i/>
          <w:iCs/>
          <w:kern w:val="0"/>
          <w:szCs w:val="20"/>
          <w14:ligatures w14:val="none"/>
        </w:rPr>
        <w:t xml:space="preserve">Pantaleon </w:t>
      </w:r>
      <w:r w:rsidRPr="00FD3977">
        <w:rPr>
          <w:rFonts w:eastAsia="Times New Roman" w:cs="Times New Roman"/>
          <w:kern w:val="0"/>
          <w:szCs w:val="20"/>
          <w14:ligatures w14:val="none"/>
        </w:rPr>
        <w:t>confined its analysis to aggravating factors not required to be tried by a jury, namely prior convictions of increasing seriousness and crimes committed while the defendant was on probation.  (</w:t>
      </w:r>
      <w:r w:rsidRPr="00FD3977">
        <w:rPr>
          <w:rFonts w:eastAsia="Times New Roman" w:cs="Times New Roman"/>
          <w:i/>
          <w:iCs/>
          <w:kern w:val="0"/>
          <w:szCs w:val="20"/>
          <w14:ligatures w14:val="none"/>
        </w:rPr>
        <w:t xml:space="preserve">Pantaleon, </w:t>
      </w:r>
      <w:r w:rsidRPr="00FD3977">
        <w:rPr>
          <w:rFonts w:eastAsia="Times New Roman" w:cs="Times New Roman"/>
          <w:kern w:val="0"/>
          <w:szCs w:val="20"/>
          <w14:ligatures w14:val="none"/>
        </w:rPr>
        <w:t xml:space="preserve">at p. 938.)  We fail to see how this is relevant to an argument that due process requires the </w:t>
      </w:r>
      <w:r w:rsidRPr="00FD3977">
        <w:rPr>
          <w:rFonts w:eastAsia="Times New Roman" w:cs="Times New Roman"/>
          <w:i/>
          <w:iCs/>
          <w:kern w:val="0"/>
          <w:szCs w:val="20"/>
          <w14:ligatures w14:val="none"/>
        </w:rPr>
        <w:t xml:space="preserve">pleading </w:t>
      </w:r>
      <w:r w:rsidRPr="00FD3977">
        <w:rPr>
          <w:rFonts w:eastAsia="Times New Roman" w:cs="Times New Roman"/>
          <w:kern w:val="0"/>
          <w:szCs w:val="20"/>
          <w14:ligatures w14:val="none"/>
        </w:rPr>
        <w:t xml:space="preserve">of factors in aggravation, and as we shall discuss, here, too, one of the factors in aggravation was defendant’s prior criminal history.  In sum, in the absence of </w:t>
      </w:r>
      <w:r w:rsidRPr="00FD3977">
        <w:rPr>
          <w:rFonts w:eastAsia="Times New Roman" w:cs="Times New Roman"/>
          <w:i/>
          <w:iCs/>
          <w:kern w:val="0"/>
          <w:szCs w:val="20"/>
          <w14:ligatures w14:val="none"/>
        </w:rPr>
        <w:t xml:space="preserve">any </w:t>
      </w:r>
      <w:r w:rsidRPr="00FD3977">
        <w:rPr>
          <w:rFonts w:eastAsia="Times New Roman" w:cs="Times New Roman"/>
          <w:kern w:val="0"/>
          <w:szCs w:val="20"/>
          <w14:ligatures w14:val="none"/>
        </w:rPr>
        <w:t xml:space="preserve">case holding that constitutional due process requires that factors in aggravation be pled, we shall follow established precedent to the contrary.  </w:t>
      </w:r>
    </w:p>
    <w:p w:rsidR="00FD3977" w:rsidRPr="00FD3977" w:rsidP="00FD3977" w14:paraId="59B78B9F" w14:textId="77777777">
      <w:pPr>
        <w:tabs>
          <w:tab w:val="clear" w:pos="720"/>
        </w:tabs>
        <w:spacing w:after="120" w:line="240" w:lineRule="auto"/>
        <w:rPr>
          <w:kern w:val="0"/>
          <w:szCs w:val="20"/>
          <w14:ligatures w14:val="none"/>
        </w:rPr>
      </w:pPr>
    </w:p>
    <w:p w:rsidR="00FD3977" w:rsidRPr="00FD3977" w:rsidP="00FD3977" w14:paraId="71742BEC" w14:textId="77777777">
      <w:pPr>
        <w:numPr>
          <w:ilvl w:val="0"/>
          <w:numId w:val="5"/>
        </w:numPr>
        <w:tabs>
          <w:tab w:val="clear" w:pos="720"/>
        </w:tabs>
        <w:spacing w:after="120" w:line="360" w:lineRule="auto"/>
        <w:rPr>
          <w:kern w:val="0"/>
          <w:szCs w:val="20"/>
          <w14:ligatures w14:val="none"/>
        </w:rPr>
      </w:pPr>
      <w:r w:rsidRPr="00FD3977">
        <w:rPr>
          <w:kern w:val="0"/>
          <w:szCs w:val="20"/>
          <w14:ligatures w14:val="none"/>
        </w:rPr>
        <w:t>On page 24, delete the second full paragraph beginning “</w:t>
      </w:r>
      <w:r w:rsidRPr="00FD3977">
        <w:rPr>
          <w:rFonts w:eastAsia="Times New Roman" w:cs="Times New Roman"/>
          <w:kern w:val="0"/>
          <w:szCs w:val="20"/>
          <w14:ligatures w14:val="none"/>
        </w:rPr>
        <w:t>In his closing brief, defendant argues,” and replace it with the following paragraph and new footnote 12, which will require the renumbering of all subsequent footnotes:</w:t>
      </w:r>
    </w:p>
    <w:p w:rsidR="00FD3977" w:rsidRPr="00FD3977" w:rsidP="00FD3977" w14:paraId="10C602C9" w14:textId="77777777">
      <w:pPr>
        <w:tabs>
          <w:tab w:val="clear" w:pos="720"/>
        </w:tabs>
        <w:spacing w:after="120" w:line="240" w:lineRule="auto"/>
        <w:ind w:left="1080" w:firstLine="360"/>
        <w:rPr>
          <w:kern w:val="0"/>
          <w:szCs w:val="20"/>
          <w14:ligatures w14:val="none"/>
        </w:rPr>
      </w:pPr>
      <w:bookmarkStart w:id="0" w:name="_Hlk155338458"/>
      <w:r w:rsidRPr="00FD3977">
        <w:rPr>
          <w:rFonts w:eastAsia="Times New Roman" w:cs="Times New Roman"/>
          <w:kern w:val="0"/>
          <w:szCs w:val="20"/>
          <w14:ligatures w14:val="none"/>
        </w:rPr>
        <w:t xml:space="preserve">In his closing brief, defendant argues for the first time that </w:t>
      </w:r>
      <w:r w:rsidRPr="00FD3977">
        <w:rPr>
          <w:rFonts w:eastAsia="Times New Roman" w:cs="Times New Roman"/>
          <w:i/>
          <w:iCs/>
          <w:kern w:val="0"/>
          <w:szCs w:val="20"/>
          <w14:ligatures w14:val="none"/>
        </w:rPr>
        <w:t xml:space="preserve">Black II </w:t>
      </w:r>
      <w:r w:rsidRPr="00FD3977">
        <w:rPr>
          <w:rFonts w:eastAsia="Times New Roman" w:cs="Times New Roman"/>
          <w:kern w:val="0"/>
          <w:szCs w:val="20"/>
          <w14:ligatures w14:val="none"/>
        </w:rPr>
        <w:t>“is not good law as applied to amended section 1170.”</w:t>
      </w:r>
      <w:r w:rsidRPr="00FD3977">
        <w:rPr>
          <w:rFonts w:eastAsia="Times New Roman" w:cs="Times New Roman"/>
          <w:kern w:val="0"/>
          <w:szCs w:val="20"/>
          <w:vertAlign w:val="superscript"/>
          <w14:ligatures w14:val="none"/>
        </w:rPr>
        <w:t>12</w:t>
      </w:r>
      <w:r w:rsidRPr="00FD3977">
        <w:rPr>
          <w:rFonts w:eastAsia="Times New Roman" w:cs="Times New Roman"/>
          <w:kern w:val="0"/>
          <w:szCs w:val="20"/>
          <w14:ligatures w14:val="none"/>
        </w:rPr>
        <w:t xml:space="preserve">  </w:t>
      </w:r>
      <w:bookmarkEnd w:id="0"/>
      <w:r w:rsidRPr="00FD3977">
        <w:rPr>
          <w:rFonts w:eastAsia="Times New Roman" w:cs="Times New Roman"/>
          <w:kern w:val="0"/>
          <w:szCs w:val="20"/>
          <w14:ligatures w14:val="none"/>
        </w:rPr>
        <w:t xml:space="preserve">He claims that under the amended law, a single aggravating factor is “no longer legally sufficient to make a defendant eligible for the upper term,” (some capitalization &amp; boldface omitted) as was the law when </w:t>
      </w:r>
      <w:r w:rsidRPr="00FD3977">
        <w:rPr>
          <w:rFonts w:eastAsia="Times New Roman" w:cs="Times New Roman"/>
          <w:i/>
          <w:iCs/>
          <w:kern w:val="0"/>
          <w:szCs w:val="20"/>
          <w14:ligatures w14:val="none"/>
        </w:rPr>
        <w:t xml:space="preserve">Apprendi </w:t>
      </w:r>
      <w:r w:rsidRPr="00FD3977">
        <w:rPr>
          <w:rFonts w:eastAsia="Times New Roman" w:cs="Times New Roman"/>
          <w:kern w:val="0"/>
          <w:szCs w:val="20"/>
          <w14:ligatures w14:val="none"/>
        </w:rPr>
        <w:t xml:space="preserve">and </w:t>
      </w:r>
      <w:r w:rsidRPr="00FD3977">
        <w:rPr>
          <w:rFonts w:eastAsia="Times New Roman" w:cs="Times New Roman"/>
          <w:i/>
          <w:iCs/>
          <w:kern w:val="0"/>
          <w:szCs w:val="20"/>
          <w14:ligatures w14:val="none"/>
        </w:rPr>
        <w:t xml:space="preserve">Black II </w:t>
      </w:r>
      <w:r w:rsidRPr="00FD3977">
        <w:rPr>
          <w:rFonts w:eastAsia="Times New Roman" w:cs="Times New Roman"/>
          <w:kern w:val="0"/>
          <w:szCs w:val="20"/>
          <w14:ligatures w14:val="none"/>
        </w:rPr>
        <w:t xml:space="preserve">were decided, and he points to the split in the Courts of Appeal as to the applicable standard for determining “harmlessness with regard to SB 567 error.”   </w:t>
      </w:r>
      <w:r w:rsidRPr="00FD3977">
        <w:rPr>
          <w:kern w:val="0"/>
          <w:szCs w:val="20"/>
          <w14:ligatures w14:val="none"/>
        </w:rPr>
        <w:t xml:space="preserve"> </w:t>
      </w:r>
    </w:p>
    <w:p w:rsidR="00FD3977" w:rsidRPr="00FD3977" w:rsidP="00FD3977" w14:paraId="17658ADA" w14:textId="77777777">
      <w:pPr>
        <w:tabs>
          <w:tab w:val="clear" w:pos="720"/>
        </w:tabs>
        <w:spacing w:after="120" w:line="240" w:lineRule="auto"/>
        <w:ind w:left="1080" w:firstLine="360"/>
        <w:rPr>
          <w:kern w:val="0"/>
          <w:szCs w:val="20"/>
          <w14:ligatures w14:val="none"/>
        </w:rPr>
      </w:pPr>
      <w:r w:rsidRPr="00FD3977">
        <w:rPr>
          <w:kern w:val="0"/>
          <w:szCs w:val="20"/>
          <w:vertAlign w:val="superscript"/>
          <w14:ligatures w14:val="none"/>
        </w:rPr>
        <w:t>12</w:t>
      </w:r>
      <w:r w:rsidRPr="00FD3977">
        <w:rPr>
          <w:kern w:val="0"/>
          <w:szCs w:val="20"/>
          <w14:ligatures w14:val="none"/>
        </w:rPr>
        <w:t xml:space="preserve">  We note that in his opening brief, defendant twice cited affirmatively to </w:t>
      </w:r>
      <w:r w:rsidRPr="00FD3977">
        <w:rPr>
          <w:i/>
          <w:iCs/>
          <w:kern w:val="0"/>
          <w:szCs w:val="20"/>
          <w14:ligatures w14:val="none"/>
        </w:rPr>
        <w:t xml:space="preserve">Black II </w:t>
      </w:r>
      <w:r w:rsidRPr="00FD3977">
        <w:rPr>
          <w:kern w:val="0"/>
          <w:szCs w:val="20"/>
          <w14:ligatures w14:val="none"/>
        </w:rPr>
        <w:t xml:space="preserve">in discussing the history and import of </w:t>
      </w:r>
      <w:r w:rsidRPr="00FD3977">
        <w:rPr>
          <w:i/>
          <w:iCs/>
          <w:kern w:val="0"/>
          <w:szCs w:val="20"/>
          <w14:ligatures w14:val="none"/>
        </w:rPr>
        <w:t xml:space="preserve">Cunningham, supra, </w:t>
      </w:r>
      <w:r w:rsidRPr="00FD3977">
        <w:rPr>
          <w:kern w:val="0"/>
          <w:szCs w:val="20"/>
          <w14:ligatures w14:val="none"/>
        </w:rPr>
        <w:t xml:space="preserve">549 U.S. 270, with no hint </w:t>
      </w:r>
      <w:r w:rsidRPr="00FD3977">
        <w:rPr>
          <w:i/>
          <w:iCs/>
          <w:kern w:val="0"/>
          <w:szCs w:val="20"/>
          <w14:ligatures w14:val="none"/>
        </w:rPr>
        <w:t xml:space="preserve">Black II’s </w:t>
      </w:r>
      <w:r w:rsidRPr="00FD3977">
        <w:rPr>
          <w:kern w:val="0"/>
          <w:szCs w:val="20"/>
          <w14:ligatures w14:val="none"/>
        </w:rPr>
        <w:t>holding is no longer good law.</w:t>
      </w:r>
    </w:p>
    <w:p w:rsidR="00FD3977" w:rsidRPr="00FD3977" w:rsidP="00FD3977" w14:paraId="2D8C78A8" w14:textId="77777777">
      <w:pPr>
        <w:tabs>
          <w:tab w:val="clear" w:pos="720"/>
        </w:tabs>
        <w:spacing w:after="120" w:line="240" w:lineRule="auto"/>
        <w:ind w:left="1080" w:firstLine="360"/>
        <w:rPr>
          <w:kern w:val="0"/>
          <w:szCs w:val="20"/>
          <w14:ligatures w14:val="none"/>
        </w:rPr>
      </w:pPr>
    </w:p>
    <w:p w:rsidR="00FD3977" w:rsidRPr="00FD3977" w:rsidP="00FD3977" w14:paraId="00FD8600" w14:textId="77777777">
      <w:pPr>
        <w:numPr>
          <w:ilvl w:val="0"/>
          <w:numId w:val="5"/>
        </w:numPr>
        <w:tabs>
          <w:tab w:val="clear" w:pos="720"/>
        </w:tabs>
        <w:spacing w:after="120" w:line="360" w:lineRule="auto"/>
        <w:rPr>
          <w:kern w:val="0"/>
          <w:szCs w:val="20"/>
          <w14:ligatures w14:val="none"/>
        </w:rPr>
      </w:pPr>
      <w:r w:rsidRPr="00FD3977">
        <w:rPr>
          <w:kern w:val="0"/>
          <w:szCs w:val="20"/>
          <w14:ligatures w14:val="none"/>
        </w:rPr>
        <w:t xml:space="preserve"> On page 25, the first sentence of the first full paragraph is modified to read:</w:t>
      </w:r>
    </w:p>
    <w:p w:rsidR="00FD3977" w:rsidRPr="00FD3977" w:rsidP="00FD3977" w14:paraId="190A4D9F" w14:textId="77777777">
      <w:pPr>
        <w:tabs>
          <w:tab w:val="clear" w:pos="720"/>
        </w:tabs>
        <w:spacing w:after="120" w:line="240" w:lineRule="auto"/>
        <w:ind w:left="1800"/>
        <w:rPr>
          <w:kern w:val="0"/>
          <w:szCs w:val="20"/>
          <w14:ligatures w14:val="none"/>
        </w:rPr>
      </w:pPr>
      <w:r w:rsidRPr="00FD3977">
        <w:rPr>
          <w:rFonts w:eastAsia="Times New Roman" w:cs="Times New Roman"/>
          <w:kern w:val="0"/>
          <w:szCs w:val="20"/>
          <w14:ligatures w14:val="none"/>
        </w:rPr>
        <w:t xml:space="preserve">Defendant cites no case holding that one factor in aggravation is </w:t>
      </w:r>
      <w:r w:rsidRPr="00FD3977">
        <w:rPr>
          <w:rFonts w:eastAsia="Times New Roman" w:cs="Times New Roman"/>
          <w:i/>
          <w:iCs/>
          <w:kern w:val="0"/>
          <w:szCs w:val="20"/>
          <w14:ligatures w14:val="none"/>
        </w:rPr>
        <w:t xml:space="preserve">never </w:t>
      </w:r>
      <w:r w:rsidRPr="00FD3977">
        <w:rPr>
          <w:rFonts w:eastAsia="Times New Roman" w:cs="Times New Roman"/>
          <w:kern w:val="0"/>
          <w:szCs w:val="20"/>
          <w14:ligatures w14:val="none"/>
        </w:rPr>
        <w:t xml:space="preserve">sufficient to impose an upper term, even in a case like this one where the court found </w:t>
      </w:r>
      <w:r w:rsidRPr="00FD3977">
        <w:rPr>
          <w:rFonts w:eastAsia="Times New Roman" w:cs="Times New Roman"/>
          <w:i/>
          <w:iCs/>
          <w:kern w:val="0"/>
          <w:szCs w:val="20"/>
          <w14:ligatures w14:val="none"/>
        </w:rPr>
        <w:t xml:space="preserve">no </w:t>
      </w:r>
      <w:r w:rsidRPr="00FD3977">
        <w:rPr>
          <w:rFonts w:eastAsia="Times New Roman" w:cs="Times New Roman"/>
          <w:kern w:val="0"/>
          <w:szCs w:val="20"/>
          <w14:ligatures w14:val="none"/>
        </w:rPr>
        <w:t xml:space="preserve">factors in mitigation.  </w:t>
      </w:r>
    </w:p>
    <w:p w:rsidR="00FD3977" w:rsidRPr="00FD3977" w:rsidP="00FD3977" w14:paraId="3B509944" w14:textId="77777777">
      <w:pPr>
        <w:spacing w:line="360" w:lineRule="auto"/>
        <w:rPr>
          <w:kern w:val="0"/>
          <w14:ligatures w14:val="none"/>
        </w:rPr>
      </w:pPr>
    </w:p>
    <w:p w:rsidR="00FD3977" w:rsidRPr="00FD3977" w:rsidP="00FD3977" w14:paraId="1E149624" w14:textId="77777777">
      <w:pPr>
        <w:spacing w:line="360" w:lineRule="auto"/>
        <w:rPr>
          <w:kern w:val="0"/>
          <w14:ligatures w14:val="none"/>
        </w:rPr>
      </w:pPr>
      <w:r w:rsidRPr="00FD3977">
        <w:rPr>
          <w:kern w:val="0"/>
          <w14:ligatures w14:val="none"/>
        </w:rPr>
        <w:t>There is no change in the judgment.</w:t>
      </w:r>
    </w:p>
    <w:p w:rsidR="00FD3977" w:rsidRPr="00FD3977" w:rsidP="00FD3977" w14:paraId="16D0A95D" w14:textId="77777777">
      <w:pPr>
        <w:spacing w:line="360" w:lineRule="auto"/>
        <w:rPr>
          <w:kern w:val="0"/>
          <w14:ligatures w14:val="none"/>
        </w:rPr>
      </w:pPr>
    </w:p>
    <w:p w:rsidR="00FD3977" w:rsidRPr="00FD3977" w:rsidP="00FD3977" w14:paraId="5DFE16CC" w14:textId="77777777">
      <w:pPr>
        <w:spacing w:line="360" w:lineRule="auto"/>
        <w:rPr>
          <w:kern w:val="0"/>
          <w14:ligatures w14:val="none"/>
        </w:rPr>
      </w:pPr>
      <w:r w:rsidRPr="00FD3977">
        <w:rPr>
          <w:kern w:val="0"/>
          <w14:ligatures w14:val="none"/>
        </w:rPr>
        <w:t>The petition for rehearing is denied.</w:t>
      </w:r>
    </w:p>
    <w:p w:rsidR="00FD3977" w:rsidRPr="00FD3977" w:rsidP="00FD3977" w14:paraId="77BD6AEB" w14:textId="77777777">
      <w:pPr>
        <w:rPr>
          <w:kern w:val="0"/>
          <w14:ligatures w14:val="none"/>
        </w:rPr>
      </w:pPr>
      <w:r w:rsidRPr="00FD3977">
        <w:rPr>
          <w:kern w:val="0"/>
          <w14:ligatures w14:val="none"/>
        </w:rPr>
        <w:t xml:space="preserve">Dated:                  </w:t>
      </w:r>
      <w:r w:rsidRPr="00FD3977">
        <w:rPr>
          <w:kern w:val="0"/>
          <w14:ligatures w14:val="none"/>
        </w:rPr>
        <w:tab/>
      </w:r>
      <w:r w:rsidRPr="00FD3977">
        <w:rPr>
          <w:kern w:val="0"/>
          <w14:ligatures w14:val="none"/>
        </w:rPr>
        <w:tab/>
      </w:r>
      <w:r w:rsidRPr="00FD3977">
        <w:rPr>
          <w:kern w:val="0"/>
          <w14:ligatures w14:val="none"/>
        </w:rPr>
        <w:tab/>
        <w:t>________________________________</w:t>
      </w:r>
    </w:p>
    <w:p w:rsidR="00FD3977" w:rsidRPr="00FD3977" w:rsidP="00FD3977" w14:paraId="38BBBF45" w14:textId="77777777">
      <w:pPr>
        <w:spacing w:line="240" w:lineRule="auto"/>
        <w:rPr>
          <w:kern w:val="0"/>
          <w14:ligatures w14:val="none"/>
        </w:rPr>
      </w:pPr>
      <w:r w:rsidRPr="00FD3977">
        <w:rPr>
          <w:kern w:val="0"/>
          <w14:ligatures w14:val="none"/>
        </w:rPr>
        <w:tab/>
      </w:r>
      <w:r w:rsidRPr="00FD3977">
        <w:rPr>
          <w:kern w:val="0"/>
          <w14:ligatures w14:val="none"/>
        </w:rPr>
        <w:tab/>
      </w:r>
      <w:r w:rsidRPr="00FD3977">
        <w:rPr>
          <w:kern w:val="0"/>
          <w14:ligatures w14:val="none"/>
        </w:rPr>
        <w:tab/>
      </w:r>
      <w:r w:rsidRPr="00FD3977">
        <w:rPr>
          <w:kern w:val="0"/>
          <w14:ligatures w14:val="none"/>
        </w:rPr>
        <w:tab/>
      </w:r>
      <w:r w:rsidRPr="00FD3977">
        <w:rPr>
          <w:kern w:val="0"/>
          <w14:ligatures w14:val="none"/>
        </w:rPr>
        <w:tab/>
      </w:r>
      <w:r w:rsidRPr="00FD3977">
        <w:rPr>
          <w:kern w:val="0"/>
          <w14:ligatures w14:val="none"/>
        </w:rPr>
        <w:tab/>
        <w:t>Banke, Acting P. J.*</w:t>
      </w:r>
    </w:p>
    <w:p w:rsidR="00FD3977" w:rsidRPr="00FD3977" w:rsidP="00FD3977" w14:paraId="15A58453" w14:textId="77777777">
      <w:pPr>
        <w:spacing w:line="240" w:lineRule="auto"/>
        <w:rPr>
          <w:kern w:val="0"/>
          <w14:ligatures w14:val="none"/>
        </w:rPr>
      </w:pPr>
    </w:p>
    <w:p w:rsidR="00FD3977" w:rsidRPr="00FD3977" w:rsidP="00FD3977" w14:paraId="09D217DB" w14:textId="77777777">
      <w:pPr>
        <w:spacing w:line="240" w:lineRule="auto"/>
        <w:rPr>
          <w:kern w:val="0"/>
          <w14:ligatures w14:val="none"/>
        </w:rPr>
      </w:pPr>
    </w:p>
    <w:p w:rsidR="00FD3977" w:rsidRPr="00FD3977" w:rsidP="00FD3977" w14:paraId="5BE9ECC5" w14:textId="77777777">
      <w:pPr>
        <w:spacing w:line="240" w:lineRule="auto"/>
        <w:rPr>
          <w:kern w:val="0"/>
          <w14:ligatures w14:val="none"/>
        </w:rPr>
      </w:pPr>
    </w:p>
    <w:p w:rsidR="00FD3977" w:rsidRPr="00FD3977" w:rsidP="00FD3977" w14:paraId="382D34F5" w14:textId="77777777">
      <w:pPr>
        <w:spacing w:line="240" w:lineRule="auto"/>
        <w:rPr>
          <w:kern w:val="0"/>
          <w14:ligatures w14:val="none"/>
        </w:rPr>
      </w:pPr>
    </w:p>
    <w:p w:rsidR="00FD3977" w:rsidRPr="00FD3977" w:rsidP="00FD3977" w14:paraId="39556A5B" w14:textId="77777777">
      <w:pPr>
        <w:spacing w:line="240" w:lineRule="auto"/>
        <w:rPr>
          <w:kern w:val="0"/>
          <w14:ligatures w14:val="none"/>
        </w:rPr>
      </w:pPr>
    </w:p>
    <w:p w:rsidR="00FD3977" w:rsidRPr="00FD3977" w:rsidP="00FD3977" w14:paraId="1CDDE640" w14:textId="77777777">
      <w:pPr>
        <w:spacing w:line="240" w:lineRule="auto"/>
        <w:rPr>
          <w:kern w:val="0"/>
          <w14:ligatures w14:val="none"/>
        </w:rPr>
      </w:pPr>
    </w:p>
    <w:p w:rsidR="00FD3977" w:rsidRPr="00FD3977" w:rsidP="00FD3977" w14:paraId="07D6D9C7" w14:textId="77777777">
      <w:pPr>
        <w:spacing w:line="240" w:lineRule="auto"/>
        <w:rPr>
          <w:kern w:val="0"/>
          <w14:ligatures w14:val="none"/>
        </w:rPr>
      </w:pPr>
    </w:p>
    <w:p w:rsidR="00FD3977" w:rsidRPr="00FD3977" w:rsidP="00FD3977" w14:paraId="586D676E" w14:textId="77777777">
      <w:pPr>
        <w:spacing w:line="240" w:lineRule="auto"/>
        <w:rPr>
          <w:kern w:val="0"/>
          <w14:ligatures w14:val="none"/>
        </w:rPr>
      </w:pPr>
    </w:p>
    <w:p w:rsidR="00FD3977" w:rsidRPr="00FD3977" w:rsidP="00FD3977" w14:paraId="7825D361" w14:textId="77777777">
      <w:pPr>
        <w:spacing w:line="240" w:lineRule="auto"/>
        <w:rPr>
          <w:kern w:val="0"/>
          <w14:ligatures w14:val="none"/>
        </w:rPr>
      </w:pPr>
    </w:p>
    <w:p w:rsidR="00FD3977" w:rsidRPr="00FD3977" w:rsidP="00FD3977" w14:paraId="5E2B2A12" w14:textId="77777777">
      <w:pPr>
        <w:spacing w:line="240" w:lineRule="auto"/>
        <w:rPr>
          <w:kern w:val="0"/>
          <w14:ligatures w14:val="none"/>
        </w:rPr>
      </w:pPr>
    </w:p>
    <w:p w:rsidR="00FD3977" w:rsidRPr="00FD3977" w:rsidP="00FD3977" w14:paraId="38F9DBDE" w14:textId="77777777">
      <w:pPr>
        <w:spacing w:line="240" w:lineRule="auto"/>
        <w:rPr>
          <w:kern w:val="0"/>
          <w14:ligatures w14:val="none"/>
        </w:rPr>
      </w:pPr>
    </w:p>
    <w:p w:rsidR="00FD3977" w:rsidRPr="00FD3977" w:rsidP="00FD3977" w14:paraId="647499A1" w14:textId="77777777">
      <w:pPr>
        <w:spacing w:line="240" w:lineRule="auto"/>
        <w:rPr>
          <w:kern w:val="0"/>
          <w14:ligatures w14:val="none"/>
        </w:rPr>
      </w:pPr>
    </w:p>
    <w:p w:rsidR="00FD3977" w:rsidRPr="00FD3977" w:rsidP="00FD3977" w14:paraId="6836A85A" w14:textId="77777777">
      <w:pPr>
        <w:spacing w:line="240" w:lineRule="auto"/>
        <w:rPr>
          <w:kern w:val="0"/>
          <w14:ligatures w14:val="none"/>
        </w:rPr>
      </w:pPr>
    </w:p>
    <w:p w:rsidR="00FD3977" w:rsidRPr="00FD3977" w:rsidP="00FD3977" w14:paraId="13E56FFF" w14:textId="77777777">
      <w:pPr>
        <w:spacing w:line="240" w:lineRule="auto"/>
        <w:rPr>
          <w:kern w:val="0"/>
          <w14:ligatures w14:val="none"/>
        </w:rPr>
      </w:pPr>
    </w:p>
    <w:p w:rsidR="00FD3977" w:rsidRPr="00FD3977" w:rsidP="00FD3977" w14:paraId="6406414E" w14:textId="77777777">
      <w:pPr>
        <w:spacing w:line="240" w:lineRule="auto"/>
        <w:rPr>
          <w:kern w:val="0"/>
          <w14:ligatures w14:val="none"/>
        </w:rPr>
      </w:pPr>
    </w:p>
    <w:p w:rsidR="00FD3977" w:rsidRPr="00FD3977" w:rsidP="00FD3977" w14:paraId="5F044BF7" w14:textId="77777777">
      <w:pPr>
        <w:spacing w:line="240" w:lineRule="auto"/>
        <w:rPr>
          <w:kern w:val="0"/>
          <w14:ligatures w14:val="none"/>
        </w:rPr>
      </w:pPr>
    </w:p>
    <w:p w:rsidR="00FD3977" w:rsidRPr="00FD3977" w:rsidP="00FD3977" w14:paraId="42E31B85" w14:textId="77777777">
      <w:pPr>
        <w:spacing w:line="240" w:lineRule="auto"/>
        <w:rPr>
          <w:kern w:val="0"/>
          <w14:ligatures w14:val="none"/>
        </w:rPr>
      </w:pPr>
    </w:p>
    <w:p w:rsidR="00FD3977" w:rsidRPr="00FD3977" w:rsidP="00FD3977" w14:paraId="1DA3A086" w14:textId="77777777">
      <w:pPr>
        <w:spacing w:line="240" w:lineRule="auto"/>
        <w:rPr>
          <w:kern w:val="0"/>
          <w14:ligatures w14:val="none"/>
        </w:rPr>
      </w:pPr>
    </w:p>
    <w:p w:rsidR="00FD3977" w:rsidRPr="00FD3977" w:rsidP="00FD3977" w14:paraId="2951FB0A" w14:textId="77777777">
      <w:pPr>
        <w:spacing w:line="240" w:lineRule="auto"/>
        <w:rPr>
          <w:kern w:val="0"/>
          <w14:ligatures w14:val="none"/>
        </w:rPr>
      </w:pPr>
    </w:p>
    <w:p w:rsidR="00FD3977" w:rsidRPr="00FD3977" w:rsidP="00FD3977" w14:paraId="4918779D" w14:textId="77777777">
      <w:pPr>
        <w:spacing w:line="240" w:lineRule="auto"/>
        <w:rPr>
          <w:kern w:val="0"/>
          <w14:ligatures w14:val="none"/>
        </w:rPr>
      </w:pPr>
    </w:p>
    <w:p w:rsidR="00FD3977" w:rsidRPr="00FD3977" w:rsidP="00FD3977" w14:paraId="4AB198BA" w14:textId="77777777">
      <w:pPr>
        <w:spacing w:line="240" w:lineRule="auto"/>
        <w:rPr>
          <w:kern w:val="0"/>
          <w14:ligatures w14:val="none"/>
        </w:rPr>
      </w:pPr>
      <w:r w:rsidRPr="00FD3977">
        <w:rPr>
          <w:kern w:val="0"/>
          <w14:ligatures w14:val="none"/>
        </w:rPr>
        <w:t>*</w:t>
      </w:r>
      <w:r w:rsidRPr="00FD3977">
        <w:rPr>
          <w:kern w:val="0"/>
          <w:sz w:val="24"/>
          <w:szCs w:val="24"/>
          <w14:ligatures w14:val="none"/>
        </w:rPr>
        <w:t xml:space="preserve"> Justice Margulies did not participate in the consideration of the rehearing petition.</w:t>
      </w:r>
    </w:p>
    <w:p w:rsidR="00FD3977" w:rsidP="005144EC" w14:paraId="49781523" w14:textId="77777777">
      <w:pPr>
        <w:spacing w:line="240" w:lineRule="auto"/>
        <w:rPr>
          <w:sz w:val="20"/>
        </w:rPr>
        <w:sectPr w:rsidSect="00FD56DB">
          <w:footerReference w:type="even" r:id="rId5"/>
          <w:footerReference w:type="default" r:id="rId6"/>
          <w:pgSz w:w="12240" w:h="15840"/>
          <w:pgMar w:top="1440" w:right="1440" w:bottom="1440" w:left="1440" w:header="720" w:footer="720" w:gutter="0"/>
          <w:cols w:space="720"/>
          <w:docGrid w:linePitch="360"/>
        </w:sectPr>
      </w:pPr>
    </w:p>
    <w:p w:rsidR="005144EC" w:rsidP="005144EC" w14:paraId="2037A56C" w14:textId="56E092EF">
      <w:pPr>
        <w:spacing w:line="240" w:lineRule="auto"/>
        <w:rPr>
          <w:sz w:val="20"/>
        </w:rPr>
      </w:pPr>
      <w:r>
        <w:rPr>
          <w:sz w:val="20"/>
        </w:rPr>
        <w:t xml:space="preserve">Filed </w:t>
      </w:r>
      <w:r w:rsidR="00422384">
        <w:rPr>
          <w:sz w:val="20"/>
        </w:rPr>
        <w:t>12/1</w:t>
      </w:r>
      <w:r w:rsidR="00D11DF8">
        <w:rPr>
          <w:sz w:val="20"/>
        </w:rPr>
        <w:t>3</w:t>
      </w:r>
      <w:r w:rsidR="00422384">
        <w:rPr>
          <w:sz w:val="20"/>
        </w:rPr>
        <w:t>/23</w:t>
      </w:r>
    </w:p>
    <w:p w:rsidR="005144EC" w:rsidP="005144EC" w14:paraId="37932017" w14:textId="77777777">
      <w:pPr>
        <w:spacing w:line="240" w:lineRule="auto"/>
        <w:jc w:val="center"/>
        <w:rPr>
          <w:b/>
        </w:rPr>
      </w:pPr>
      <w:r>
        <w:rPr>
          <w:b/>
        </w:rPr>
        <w:t>CERTIFIED FOR PUBLICATION</w:t>
      </w:r>
    </w:p>
    <w:p w:rsidR="005144EC" w:rsidP="005144EC" w14:paraId="7B71F715" w14:textId="77777777">
      <w:pPr>
        <w:spacing w:line="240" w:lineRule="auto"/>
        <w:jc w:val="center"/>
      </w:pPr>
    </w:p>
    <w:p w:rsidR="008C69C3" w:rsidRPr="005144EC" w:rsidP="005144EC" w14:paraId="0826670A" w14:textId="2242E5AE">
      <w:pPr>
        <w:spacing w:line="240" w:lineRule="auto"/>
        <w:jc w:val="center"/>
      </w:pPr>
      <w:r w:rsidRPr="005144EC">
        <w:t>IN THE COURT OF APPEAL OF THE STATE OF CALIFORNIA</w:t>
      </w:r>
    </w:p>
    <w:p w:rsidR="00FD56DB" w:rsidRPr="005144EC" w:rsidP="00FD56DB" w14:paraId="6799EE09" w14:textId="77777777">
      <w:pPr>
        <w:spacing w:line="240" w:lineRule="auto"/>
        <w:jc w:val="center"/>
      </w:pPr>
    </w:p>
    <w:p w:rsidR="00FD56DB" w:rsidRPr="005144EC" w:rsidP="00FD56DB" w14:paraId="1A09E116" w14:textId="080CD14D">
      <w:pPr>
        <w:spacing w:line="240" w:lineRule="auto"/>
        <w:jc w:val="center"/>
      </w:pPr>
      <w:r w:rsidRPr="005144EC">
        <w:t>FIRST APPELLATE DISTRICT</w:t>
      </w:r>
    </w:p>
    <w:p w:rsidR="00FD56DB" w:rsidRPr="005144EC" w:rsidP="00FD56DB" w14:paraId="44F81CB2" w14:textId="77777777">
      <w:pPr>
        <w:spacing w:line="240" w:lineRule="auto"/>
        <w:jc w:val="center"/>
      </w:pPr>
    </w:p>
    <w:p w:rsidR="00FD56DB" w:rsidRPr="005144EC" w:rsidP="00FD56DB" w14:paraId="103B351F" w14:textId="4A71A221">
      <w:pPr>
        <w:spacing w:line="240" w:lineRule="auto"/>
        <w:jc w:val="center"/>
      </w:pPr>
      <w:r w:rsidRPr="005144EC">
        <w:t>DIVISION ONE</w:t>
      </w:r>
    </w:p>
    <w:p w:rsidR="00FD56DB" w:rsidRPr="005144EC" w:rsidP="00FD56DB" w14:paraId="4B581F06" w14:textId="77777777">
      <w:pPr>
        <w:spacing w:line="240" w:lineRule="auto"/>
        <w:jc w:val="center"/>
      </w:pPr>
    </w:p>
    <w:p w:rsidR="00FD56DB" w:rsidRPr="005144EC" w:rsidP="00FD56DB" w14:paraId="506C1653" w14:textId="77777777">
      <w:pPr>
        <w:spacing w:line="240" w:lineRule="auto"/>
        <w:jc w:val="center"/>
      </w:pPr>
    </w:p>
    <w:tbl>
      <w:tblPr>
        <w:tblW w:w="0" w:type="auto"/>
        <w:tblLayout w:type="fixed"/>
        <w:tblLook w:val="0000"/>
      </w:tblPr>
      <w:tblGrid>
        <w:gridCol w:w="4680"/>
        <w:gridCol w:w="4680"/>
      </w:tblGrid>
      <w:tr w14:paraId="59534017" w14:textId="77777777" w:rsidTr="00FD56DB">
        <w:tblPrEx>
          <w:tblW w:w="0" w:type="auto"/>
          <w:tblLayout w:type="fixed"/>
          <w:tblLook w:val="0000"/>
        </w:tblPrEx>
        <w:tc>
          <w:tcPr>
            <w:tcW w:w="4680" w:type="dxa"/>
            <w:tcBorders>
              <w:bottom w:val="single" w:sz="4" w:space="0" w:color="auto"/>
              <w:right w:val="single" w:sz="4" w:space="0" w:color="auto"/>
            </w:tcBorders>
            <w:shd w:val="clear" w:color="auto" w:fill="auto"/>
          </w:tcPr>
          <w:p w:rsidR="00FD56DB" w:rsidRPr="005144EC" w:rsidP="00FD56DB" w14:paraId="2E7FD809" w14:textId="77777777">
            <w:pPr>
              <w:spacing w:after="120" w:line="240" w:lineRule="auto"/>
            </w:pPr>
            <w:r w:rsidRPr="005144EC">
              <w:t>THE PEOPLE,</w:t>
            </w:r>
          </w:p>
          <w:p w:rsidR="00FD56DB" w:rsidRPr="005144EC" w:rsidP="00FD56DB" w14:paraId="2B2DA240" w14:textId="77777777">
            <w:pPr>
              <w:spacing w:after="120" w:line="240" w:lineRule="auto"/>
            </w:pPr>
            <w:r w:rsidRPr="005144EC">
              <w:tab/>
              <w:t>Plaintiff and Respondent,</w:t>
            </w:r>
          </w:p>
          <w:p w:rsidR="00FD56DB" w:rsidRPr="005144EC" w:rsidP="00FD56DB" w14:paraId="7FDFD1E8" w14:textId="77777777">
            <w:pPr>
              <w:spacing w:after="120" w:line="240" w:lineRule="auto"/>
            </w:pPr>
            <w:r w:rsidRPr="005144EC">
              <w:t>v.</w:t>
            </w:r>
          </w:p>
          <w:p w:rsidR="00FD56DB" w:rsidRPr="005144EC" w:rsidP="00FD56DB" w14:paraId="572F6EFC" w14:textId="51CEE20D">
            <w:pPr>
              <w:spacing w:after="120" w:line="240" w:lineRule="auto"/>
            </w:pPr>
            <w:r w:rsidRPr="005144EC">
              <w:t xml:space="preserve">GARY </w:t>
            </w:r>
            <w:r w:rsidRPr="005144EC" w:rsidR="001E5330">
              <w:t xml:space="preserve">MARCUS </w:t>
            </w:r>
            <w:r w:rsidRPr="005144EC">
              <w:t>HALL,</w:t>
            </w:r>
          </w:p>
          <w:p w:rsidR="00FD56DB" w:rsidRPr="005144EC" w:rsidP="00FD56DB" w14:paraId="28E71349" w14:textId="51C1A239">
            <w:pPr>
              <w:spacing w:after="120" w:line="240" w:lineRule="auto"/>
            </w:pPr>
            <w:r w:rsidRPr="005144EC">
              <w:tab/>
              <w:t>Defendant and Appellant.</w:t>
            </w:r>
          </w:p>
        </w:tc>
        <w:tc>
          <w:tcPr>
            <w:tcW w:w="4680" w:type="dxa"/>
            <w:tcBorders>
              <w:left w:val="single" w:sz="4" w:space="0" w:color="auto"/>
            </w:tcBorders>
            <w:shd w:val="clear" w:color="auto" w:fill="auto"/>
          </w:tcPr>
          <w:p w:rsidR="00FD56DB" w:rsidRPr="005144EC" w:rsidP="00FD56DB" w14:paraId="20F442F5" w14:textId="77777777">
            <w:pPr>
              <w:spacing w:line="240" w:lineRule="auto"/>
            </w:pPr>
          </w:p>
          <w:p w:rsidR="00FD56DB" w:rsidRPr="005144EC" w:rsidP="00FD56DB" w14:paraId="47F10A95" w14:textId="77777777">
            <w:pPr>
              <w:spacing w:line="240" w:lineRule="auto"/>
            </w:pPr>
          </w:p>
          <w:p w:rsidR="00FD56DB" w:rsidRPr="005144EC" w:rsidP="00FD56DB" w14:paraId="65EC904D" w14:textId="77777777">
            <w:pPr>
              <w:spacing w:line="240" w:lineRule="auto"/>
            </w:pPr>
            <w:r w:rsidRPr="005144EC">
              <w:t xml:space="preserve">      A165406</w:t>
            </w:r>
          </w:p>
          <w:p w:rsidR="00FD56DB" w:rsidRPr="005144EC" w:rsidP="00FD56DB" w14:paraId="2FA73A26" w14:textId="77777777">
            <w:pPr>
              <w:spacing w:line="240" w:lineRule="auto"/>
            </w:pPr>
          </w:p>
          <w:p w:rsidR="00FD56DB" w:rsidRPr="005144EC" w:rsidP="00FD56DB" w14:paraId="6C296A4A" w14:textId="77777777">
            <w:pPr>
              <w:spacing w:line="240" w:lineRule="auto"/>
            </w:pPr>
            <w:r w:rsidRPr="005144EC">
              <w:t xml:space="preserve">      (Del Norte County</w:t>
            </w:r>
          </w:p>
          <w:p w:rsidR="00FD56DB" w:rsidRPr="005144EC" w:rsidP="00FD56DB" w14:paraId="73CACD78" w14:textId="77777777">
            <w:pPr>
              <w:spacing w:line="240" w:lineRule="auto"/>
            </w:pPr>
            <w:r w:rsidRPr="005144EC">
              <w:t xml:space="preserve">      Super. Ct. No. CRF219022)</w:t>
            </w:r>
          </w:p>
          <w:p w:rsidR="00FD56DB" w:rsidRPr="005144EC" w:rsidP="00FD56DB" w14:paraId="43DB90EA" w14:textId="0BDF8F46">
            <w:pPr>
              <w:spacing w:line="240" w:lineRule="auto"/>
            </w:pPr>
          </w:p>
        </w:tc>
      </w:tr>
    </w:tbl>
    <w:p w:rsidR="005A5CED" w:rsidP="00BE0CAC" w14:paraId="6DB3DD6E" w14:textId="41ACD08D">
      <w:pPr>
        <w:shd w:val="clear" w:color="auto" w:fill="FFFFFF"/>
        <w:tabs>
          <w:tab w:val="clear" w:pos="720"/>
        </w:tabs>
        <w:spacing w:line="320" w:lineRule="atLeast"/>
        <w:jc w:val="center"/>
      </w:pPr>
    </w:p>
    <w:p w:rsidR="00BE0CAC" w:rsidRPr="00DB24FA" w:rsidP="0056325B" w14:paraId="33044E6E" w14:textId="11E0E1B5">
      <w:pPr>
        <w:pStyle w:val="ListParagraph"/>
        <w:shd w:val="clear" w:color="auto" w:fill="FFFFFF"/>
        <w:tabs>
          <w:tab w:val="clear" w:pos="720"/>
        </w:tabs>
        <w:spacing w:line="320" w:lineRule="atLeast"/>
        <w:ind w:left="1080"/>
        <w:jc w:val="center"/>
        <w:rPr>
          <w:b/>
          <w:bCs/>
          <w:smallCaps/>
        </w:rPr>
      </w:pPr>
      <w:r>
        <w:rPr>
          <w:b/>
          <w:bCs/>
          <w:smallCaps/>
        </w:rPr>
        <w:t>I.</w:t>
      </w:r>
      <w:r w:rsidRPr="00DB24FA">
        <w:rPr>
          <w:b/>
          <w:bCs/>
          <w:smallCaps/>
        </w:rPr>
        <w:t xml:space="preserve"> Introduction</w:t>
      </w:r>
    </w:p>
    <w:p w:rsidR="00BE0CAC" w:rsidRPr="005144EC" w:rsidP="00BE0CAC" w14:paraId="34AC8941" w14:textId="7ED10045">
      <w:pPr>
        <w:shd w:val="clear" w:color="auto" w:fill="FFFFFF"/>
        <w:tabs>
          <w:tab w:val="clear" w:pos="720"/>
        </w:tabs>
        <w:spacing w:line="320" w:lineRule="atLeast"/>
        <w:jc w:val="center"/>
      </w:pPr>
      <w:r>
        <w:t xml:space="preserve"> </w:t>
      </w:r>
    </w:p>
    <w:p w:rsidR="00FB0F92" w:rsidRPr="005144EC" w:rsidP="005A5CED" w14:paraId="505217DF" w14:textId="38089B6A">
      <w:pPr>
        <w:shd w:val="clear" w:color="auto" w:fill="FFFFFF"/>
        <w:tabs>
          <w:tab w:val="clear" w:pos="720"/>
        </w:tabs>
        <w:spacing w:line="360" w:lineRule="auto"/>
        <w:ind w:firstLine="720"/>
      </w:pPr>
      <w:r w:rsidRPr="005144EC">
        <w:t>In this case we consider a negotiated disposition entered into</w:t>
      </w:r>
      <w:r w:rsidRPr="005144EC" w:rsidR="005A5CED">
        <w:t xml:space="preserve"> after the effective date of </w:t>
      </w:r>
      <w:r w:rsidRPr="005144EC" w:rsidR="00B27CE3">
        <w:t xml:space="preserve">the </w:t>
      </w:r>
      <w:r w:rsidRPr="005144EC" w:rsidR="005A5CED">
        <w:t xml:space="preserve">recent </w:t>
      </w:r>
      <w:r w:rsidRPr="005144EC" w:rsidR="005A5CED">
        <w:rPr>
          <w:rFonts w:eastAsia="Times New Roman" w:cs="Times New Roman"/>
          <w:color w:val="000000"/>
          <w:kern w:val="0"/>
          <w14:ligatures w14:val="none"/>
        </w:rPr>
        <w:t xml:space="preserve">amendments to </w:t>
      </w:r>
      <w:r w:rsidRPr="005144EC" w:rsidR="002D6708">
        <w:rPr>
          <w:rFonts w:eastAsia="Times New Roman" w:cs="Times New Roman"/>
          <w:color w:val="000000"/>
          <w:kern w:val="0"/>
          <w14:ligatures w14:val="none"/>
        </w:rPr>
        <w:t xml:space="preserve">Penal Code </w:t>
      </w:r>
      <w:r w:rsidRPr="005144EC" w:rsidR="005A5CED">
        <w:rPr>
          <w:rFonts w:eastAsia="Times New Roman" w:cs="Times New Roman"/>
          <w:color w:val="000000"/>
          <w:kern w:val="0"/>
          <w14:ligatures w14:val="none"/>
        </w:rPr>
        <w:t>section 1170,</w:t>
      </w:r>
      <w:r w:rsidRPr="005144EC" w:rsidR="002D6708">
        <w:rPr>
          <w:rStyle w:val="FootnoteReference"/>
        </w:rPr>
        <w:t xml:space="preserve"> </w:t>
      </w:r>
      <w:r>
        <w:rPr>
          <w:rStyle w:val="FootnoteReference"/>
        </w:rPr>
        <w:footnoteReference w:id="3"/>
      </w:r>
      <w:r w:rsidRPr="005144EC" w:rsidR="002D6708">
        <w:t xml:space="preserve"> </w:t>
      </w:r>
      <w:r w:rsidRPr="005144EC" w:rsidR="005A5CED">
        <w:rPr>
          <w:rFonts w:eastAsia="Times New Roman" w:cs="Times New Roman"/>
          <w:color w:val="000000"/>
          <w:kern w:val="0"/>
          <w14:ligatures w14:val="none"/>
        </w:rPr>
        <w:t>subdivision (b) made by Senate Bill No. 567 (2021–2022 Reg. Sess.) (Senate Bill 567)</w:t>
      </w:r>
      <w:r w:rsidRPr="005144EC" w:rsidR="00B27CE3">
        <w:rPr>
          <w:rFonts w:eastAsia="Times New Roman" w:cs="Times New Roman"/>
          <w:color w:val="000000"/>
          <w:kern w:val="0"/>
          <w14:ligatures w14:val="none"/>
        </w:rPr>
        <w:t>,</w:t>
      </w:r>
      <w:r w:rsidRPr="005144EC">
        <w:t xml:space="preserve"> and </w:t>
      </w:r>
      <w:r w:rsidRPr="005144EC">
        <w:t>the</w:t>
      </w:r>
      <w:r w:rsidRPr="005144EC">
        <w:t xml:space="preserve"> sentence passed in accordance therewith</w:t>
      </w:r>
      <w:r w:rsidRPr="005144EC" w:rsidR="005A5CED">
        <w:rPr>
          <w:rFonts w:eastAsia="Times New Roman" w:cs="Times New Roman"/>
          <w:color w:val="000000"/>
          <w:kern w:val="0"/>
          <w14:ligatures w14:val="none"/>
        </w:rPr>
        <w:t xml:space="preserve">.  </w:t>
      </w:r>
      <w:r w:rsidRPr="005144EC" w:rsidR="007B12F9">
        <w:t>D</w:t>
      </w:r>
      <w:r w:rsidRPr="005144EC" w:rsidR="00CE72BA">
        <w:t>efendant</w:t>
      </w:r>
      <w:r w:rsidRPr="005144EC" w:rsidR="00FD56DB">
        <w:t xml:space="preserve"> Gary</w:t>
      </w:r>
      <w:r w:rsidRPr="005144EC" w:rsidR="00076DE4">
        <w:t xml:space="preserve"> Marcus</w:t>
      </w:r>
      <w:r w:rsidRPr="005144EC" w:rsidR="00FD56DB">
        <w:t xml:space="preserve"> Hall </w:t>
      </w:r>
      <w:r w:rsidRPr="005144EC" w:rsidR="00CE72BA">
        <w:t>pleaded no contest</w:t>
      </w:r>
      <w:r w:rsidRPr="005144EC">
        <w:t xml:space="preserve"> </w:t>
      </w:r>
      <w:r w:rsidRPr="005144EC" w:rsidR="00CE72BA">
        <w:t xml:space="preserve">to two counts of </w:t>
      </w:r>
      <w:r w:rsidRPr="005144EC" w:rsidR="007B12F9">
        <w:t xml:space="preserve">committing </w:t>
      </w:r>
      <w:r w:rsidRPr="005144EC" w:rsidR="00076DE4">
        <w:t>lewd or lascivious acts on a child under the age of 14 years</w:t>
      </w:r>
      <w:r w:rsidRPr="005144EC" w:rsidR="00CE72BA">
        <w:t xml:space="preserve"> (§ 288, subd. (a))</w:t>
      </w:r>
      <w:r w:rsidRPr="005144EC" w:rsidR="00602E0F">
        <w:t>.</w:t>
      </w:r>
      <w:r w:rsidRPr="005144EC" w:rsidR="00CE72BA">
        <w:t xml:space="preserve"> </w:t>
      </w:r>
      <w:r w:rsidRPr="005144EC" w:rsidR="00602E0F">
        <w:t xml:space="preserve"> </w:t>
      </w:r>
      <w:r w:rsidRPr="005144EC" w:rsidR="00EA2448">
        <w:t>Consistent with the negotiated disposition, t</w:t>
      </w:r>
      <w:r w:rsidRPr="005144EC" w:rsidR="00CE72BA">
        <w:t xml:space="preserve">he trial court sentenced him to </w:t>
      </w:r>
      <w:r w:rsidRPr="005144EC" w:rsidR="001E5330">
        <w:t>10</w:t>
      </w:r>
      <w:r w:rsidRPr="005144EC" w:rsidR="00CE72BA">
        <w:t xml:space="preserve"> years in prison</w:t>
      </w:r>
      <w:r w:rsidRPr="005144EC" w:rsidR="00602E0F">
        <w:t>,</w:t>
      </w:r>
      <w:r w:rsidRPr="005144EC" w:rsidR="00EA2448">
        <w:t xml:space="preserve"> which included the </w:t>
      </w:r>
      <w:r w:rsidRPr="005144EC" w:rsidR="00602E0F">
        <w:t>upper term on one of the two counts</w:t>
      </w:r>
      <w:r w:rsidRPr="005144EC" w:rsidR="00EA2448">
        <w:t>.</w:t>
      </w:r>
      <w:r w:rsidRPr="005144EC" w:rsidR="00CE72BA">
        <w:t xml:space="preserve"> </w:t>
      </w:r>
    </w:p>
    <w:p w:rsidR="00757B47" w:rsidRPr="005144EC" w:rsidP="005A5CED" w14:paraId="4CDFCE22" w14:textId="77777777">
      <w:pPr>
        <w:shd w:val="clear" w:color="auto" w:fill="FFFFFF"/>
        <w:tabs>
          <w:tab w:val="clear" w:pos="720"/>
        </w:tabs>
        <w:spacing w:line="360" w:lineRule="auto"/>
        <w:ind w:firstLine="720"/>
        <w:rPr>
          <w:rFonts w:eastAsia="Times New Roman" w:cs="Times New Roman"/>
          <w:color w:val="000000"/>
          <w:kern w:val="0"/>
          <w14:ligatures w14:val="none"/>
        </w:rPr>
      </w:pPr>
      <w:r w:rsidRPr="005144EC">
        <w:t>D</w:t>
      </w:r>
      <w:r w:rsidRPr="005144EC" w:rsidR="00CE72BA">
        <w:t>efendant</w:t>
      </w:r>
      <w:r w:rsidRPr="005144EC" w:rsidR="002332DE">
        <w:t xml:space="preserve"> </w:t>
      </w:r>
      <w:r w:rsidRPr="005144EC">
        <w:t>challenges his sentence on three grounds—(1) the court (and the parties) mistaken</w:t>
      </w:r>
      <w:r w:rsidRPr="005144EC" w:rsidR="004B7CDB">
        <w:t>ly</w:t>
      </w:r>
      <w:r w:rsidRPr="005144EC">
        <w:t xml:space="preserve"> assum</w:t>
      </w:r>
      <w:r w:rsidRPr="005144EC" w:rsidR="004B7CDB">
        <w:t>ed</w:t>
      </w:r>
      <w:r w:rsidRPr="005144EC">
        <w:t xml:space="preserve"> he was presumptively ineligible for probation; (2) the aggravating factors found by the court were not pleaded; and (3) the court erred in finding </w:t>
      </w:r>
      <w:r w:rsidRPr="005144EC" w:rsidR="00810141">
        <w:t xml:space="preserve">aggravating </w:t>
      </w:r>
      <w:r w:rsidRPr="005144EC">
        <w:t xml:space="preserve">factors in the absence of </w:t>
      </w:r>
      <w:r w:rsidRPr="005144EC" w:rsidR="00810141">
        <w:t xml:space="preserve">his </w:t>
      </w:r>
      <w:r w:rsidRPr="005144EC">
        <w:t xml:space="preserve">personal waiver </w:t>
      </w:r>
      <w:r w:rsidRPr="005144EC" w:rsidR="00FB0F92">
        <w:t xml:space="preserve">in open court </w:t>
      </w:r>
      <w:r w:rsidRPr="005144EC">
        <w:t xml:space="preserve">of </w:t>
      </w:r>
      <w:r w:rsidRPr="005144EC" w:rsidR="00810141">
        <w:t>his</w:t>
      </w:r>
      <w:r w:rsidRPr="005144EC">
        <w:t xml:space="preserve"> right to jury trial on the facts supporting such factors.</w:t>
      </w:r>
      <w:r w:rsidRPr="005144EC" w:rsidR="009D61A6">
        <w:t xml:space="preserve">  As to the latter </w:t>
      </w:r>
      <w:r w:rsidRPr="005144EC">
        <w:t>ground</w:t>
      </w:r>
      <w:r w:rsidRPr="005144EC" w:rsidR="009D61A6">
        <w:t xml:space="preserve">, defendant advances </w:t>
      </w:r>
      <w:r w:rsidRPr="005144EC" w:rsidR="00AC4C0E">
        <w:t xml:space="preserve">only </w:t>
      </w:r>
      <w:r w:rsidRPr="005144EC" w:rsidR="009D61A6">
        <w:t xml:space="preserve">a </w:t>
      </w:r>
      <w:r w:rsidRPr="005144EC" w:rsidR="00AC4C0E">
        <w:t xml:space="preserve">Sixth Amendment </w:t>
      </w:r>
      <w:r w:rsidRPr="005144EC" w:rsidR="009D61A6">
        <w:t xml:space="preserve">challenge and has expressly disavowed any challenge on the basis of the recent amendments to section </w:t>
      </w:r>
      <w:r w:rsidRPr="005144EC" w:rsidR="009D61A6">
        <w:rPr>
          <w:rFonts w:eastAsia="Times New Roman" w:cs="Times New Roman"/>
          <w:color w:val="000000"/>
          <w:kern w:val="0"/>
          <w14:ligatures w14:val="none"/>
        </w:rPr>
        <w:t>1170, subdivision (b).</w:t>
      </w:r>
    </w:p>
    <w:p w:rsidR="003C2034" w:rsidRPr="005144EC" w:rsidP="005A5CED" w14:paraId="7C115598" w14:textId="0E8CD5C9">
      <w:pPr>
        <w:shd w:val="clear" w:color="auto" w:fill="FFFFFF"/>
        <w:tabs>
          <w:tab w:val="clear" w:pos="720"/>
        </w:tabs>
        <w:spacing w:line="360" w:lineRule="auto"/>
        <w:ind w:firstLine="720"/>
      </w:pPr>
      <w:r w:rsidRPr="005144EC">
        <w:rPr>
          <w:rFonts w:eastAsia="Times New Roman" w:cs="Times New Roman"/>
          <w:color w:val="000000"/>
          <w:kern w:val="0"/>
          <w14:ligatures w14:val="none"/>
        </w:rPr>
        <w:t xml:space="preserve">In addressing </w:t>
      </w:r>
      <w:r w:rsidRPr="005144EC" w:rsidR="00436FB0">
        <w:rPr>
          <w:rFonts w:eastAsia="Times New Roman" w:cs="Times New Roman"/>
          <w:color w:val="000000"/>
          <w:kern w:val="0"/>
          <w14:ligatures w14:val="none"/>
        </w:rPr>
        <w:t>his</w:t>
      </w:r>
      <w:r w:rsidRPr="005144EC">
        <w:rPr>
          <w:rFonts w:eastAsia="Times New Roman" w:cs="Times New Roman"/>
          <w:color w:val="000000"/>
          <w:kern w:val="0"/>
          <w14:ligatures w14:val="none"/>
        </w:rPr>
        <w:t xml:space="preserve"> arguments we consider, among other issues, the following: the distinction drawn by our Supreme Court between a constitutionally sufficient general jury trial waiver and the sufficiency of a waiver of statutory jury trial rights; forfeiture of the </w:t>
      </w:r>
      <w:r w:rsidRPr="005144EC" w:rsidR="00476248">
        <w:rPr>
          <w:rFonts w:eastAsia="Times New Roman" w:cs="Times New Roman"/>
          <w:color w:val="000000"/>
          <w:kern w:val="0"/>
          <w14:ligatures w14:val="none"/>
        </w:rPr>
        <w:t xml:space="preserve">“certified record” </w:t>
      </w:r>
      <w:r w:rsidRPr="005144EC" w:rsidR="00436FB0">
        <w:rPr>
          <w:rFonts w:eastAsia="Times New Roman" w:cs="Times New Roman"/>
          <w:color w:val="000000"/>
          <w:kern w:val="0"/>
          <w14:ligatures w14:val="none"/>
        </w:rPr>
        <w:t xml:space="preserve">evidentiary </w:t>
      </w:r>
      <w:r w:rsidRPr="005144EC">
        <w:rPr>
          <w:rFonts w:eastAsia="Times New Roman" w:cs="Times New Roman"/>
          <w:color w:val="000000"/>
          <w:kern w:val="0"/>
          <w14:ligatures w14:val="none"/>
        </w:rPr>
        <w:t xml:space="preserve">requirement </w:t>
      </w:r>
      <w:r w:rsidRPr="005144EC" w:rsidR="00436FB0">
        <w:rPr>
          <w:rFonts w:eastAsia="Times New Roman" w:cs="Times New Roman"/>
          <w:color w:val="000000"/>
          <w:kern w:val="0"/>
          <w14:ligatures w14:val="none"/>
        </w:rPr>
        <w:t xml:space="preserve">imposed by </w:t>
      </w:r>
      <w:r w:rsidRPr="005144EC">
        <w:rPr>
          <w:rFonts w:eastAsia="Times New Roman" w:cs="Times New Roman"/>
          <w:color w:val="000000"/>
          <w:kern w:val="0"/>
          <w14:ligatures w14:val="none"/>
        </w:rPr>
        <w:t>the recent amendments to section 1170, subdivision (b) by failing to object</w:t>
      </w:r>
      <w:r w:rsidRPr="005144EC" w:rsidR="00476248">
        <w:rPr>
          <w:rFonts w:eastAsia="Times New Roman" w:cs="Times New Roman"/>
          <w:color w:val="000000"/>
          <w:kern w:val="0"/>
          <w14:ligatures w14:val="none"/>
        </w:rPr>
        <w:t xml:space="preserve"> to use of the probation report to establish defendant’s prior convictions; whether one prior conviction can, in this particular case</w:t>
      </w:r>
      <w:r w:rsidRPr="005144EC" w:rsidR="007D6F85">
        <w:rPr>
          <w:rFonts w:eastAsia="Times New Roman" w:cs="Times New Roman"/>
          <w:color w:val="000000"/>
          <w:kern w:val="0"/>
          <w14:ligatures w14:val="none"/>
        </w:rPr>
        <w:t>,</w:t>
      </w:r>
      <w:r w:rsidRPr="005144EC" w:rsidR="00476248">
        <w:rPr>
          <w:rFonts w:eastAsia="Times New Roman" w:cs="Times New Roman"/>
          <w:color w:val="000000"/>
          <w:kern w:val="0"/>
          <w14:ligatures w14:val="none"/>
        </w:rPr>
        <w:t xml:space="preserve"> constitute a factor in aggravation </w:t>
      </w:r>
      <w:r w:rsidRPr="005144EC" w:rsidR="007D6F85">
        <w:rPr>
          <w:rFonts w:eastAsia="Times New Roman" w:cs="Times New Roman"/>
          <w:color w:val="000000"/>
          <w:kern w:val="0"/>
          <w14:ligatures w14:val="none"/>
        </w:rPr>
        <w:t>under</w:t>
      </w:r>
      <w:r w:rsidRPr="005144EC" w:rsidR="002D6708">
        <w:rPr>
          <w:rFonts w:eastAsia="Times New Roman" w:cs="Times New Roman"/>
          <w:color w:val="000000"/>
          <w:kern w:val="0"/>
          <w14:ligatures w14:val="none"/>
        </w:rPr>
        <w:t xml:space="preserve"> California</w:t>
      </w:r>
      <w:r w:rsidRPr="005144EC" w:rsidR="007D6F85">
        <w:rPr>
          <w:rFonts w:eastAsia="Times New Roman" w:cs="Times New Roman"/>
          <w:color w:val="000000"/>
          <w:kern w:val="0"/>
          <w14:ligatures w14:val="none"/>
        </w:rPr>
        <w:t xml:space="preserve"> Rule</w:t>
      </w:r>
      <w:r w:rsidRPr="005144EC" w:rsidR="002D6708">
        <w:rPr>
          <w:rFonts w:eastAsia="Times New Roman" w:cs="Times New Roman"/>
          <w:color w:val="000000"/>
          <w:kern w:val="0"/>
          <w14:ligatures w14:val="none"/>
        </w:rPr>
        <w:t>s</w:t>
      </w:r>
      <w:r w:rsidRPr="005144EC" w:rsidR="007D6F85">
        <w:rPr>
          <w:rFonts w:eastAsia="Times New Roman" w:cs="Times New Roman"/>
          <w:color w:val="000000"/>
          <w:kern w:val="0"/>
          <w14:ligatures w14:val="none"/>
        </w:rPr>
        <w:t xml:space="preserve"> of Court rule 4.421(b)(2); </w:t>
      </w:r>
      <w:r w:rsidRPr="005144EC">
        <w:rPr>
          <w:rFonts w:eastAsia="Times New Roman" w:cs="Times New Roman"/>
          <w:color w:val="000000"/>
          <w:kern w:val="0"/>
          <w14:ligatures w14:val="none"/>
        </w:rPr>
        <w:t xml:space="preserve">and </w:t>
      </w:r>
      <w:r w:rsidRPr="005144EC" w:rsidR="007D6F85">
        <w:rPr>
          <w:rFonts w:eastAsia="Times New Roman" w:cs="Times New Roman"/>
          <w:color w:val="000000"/>
          <w:kern w:val="0"/>
          <w14:ligatures w14:val="none"/>
        </w:rPr>
        <w:t xml:space="preserve">whether </w:t>
      </w:r>
      <w:r w:rsidRPr="005144EC" w:rsidR="007D6F85">
        <w:rPr>
          <w:i/>
          <w:iCs/>
        </w:rPr>
        <w:t xml:space="preserve">People v. Black </w:t>
      </w:r>
      <w:r w:rsidRPr="005144EC" w:rsidR="007D6F85">
        <w:t>(2007) 41 Cal.4th 799 (</w:t>
      </w:r>
      <w:r w:rsidRPr="005144EC" w:rsidR="007D6F85">
        <w:rPr>
          <w:i/>
          <w:iCs/>
        </w:rPr>
        <w:t>Black II</w:t>
      </w:r>
      <w:r w:rsidRPr="005144EC" w:rsidR="007D6F85">
        <w:t>) remains controlling as to whether an aggravated sentence comports with the Sixth Amendment whe</w:t>
      </w:r>
      <w:r w:rsidR="00BE0CAC">
        <w:t>n</w:t>
      </w:r>
      <w:r w:rsidRPr="005144EC" w:rsidR="007D6F85">
        <w:t xml:space="preserve"> one aggravating factor has been found in a constitutionally </w:t>
      </w:r>
      <w:r w:rsidRPr="005144EC" w:rsidR="00675F5E">
        <w:t>permissible</w:t>
      </w:r>
      <w:r w:rsidRPr="005144EC" w:rsidR="007D6F85">
        <w:t xml:space="preserve"> manner and the trial </w:t>
      </w:r>
      <w:r w:rsidRPr="005144EC" w:rsidR="00675F5E">
        <w:t xml:space="preserve">court </w:t>
      </w:r>
      <w:r w:rsidRPr="005144EC" w:rsidR="007D6F85">
        <w:t>has found no factors in mitigation.</w:t>
      </w:r>
      <w:r w:rsidRPr="005144EC" w:rsidR="00EA2448">
        <w:t xml:space="preserve"> </w:t>
      </w:r>
    </w:p>
    <w:p w:rsidR="00FD56DB" w:rsidRPr="005144EC" w:rsidP="005A5CED" w14:paraId="34504EEA" w14:textId="4530E17C">
      <w:pPr>
        <w:shd w:val="clear" w:color="auto" w:fill="FFFFFF"/>
        <w:tabs>
          <w:tab w:val="clear" w:pos="720"/>
        </w:tabs>
        <w:spacing w:line="360" w:lineRule="auto"/>
        <w:ind w:firstLine="720"/>
      </w:pPr>
      <w:r w:rsidRPr="005144EC">
        <w:t xml:space="preserve">We </w:t>
      </w:r>
      <w:r w:rsidRPr="005144EC" w:rsidR="003C2034">
        <w:t>conclude the judgment should be affirmed.</w:t>
      </w:r>
      <w:r w:rsidRPr="005144EC" w:rsidR="00CE72BA">
        <w:t xml:space="preserve"> </w:t>
      </w:r>
    </w:p>
    <w:p w:rsidR="0020736B" w:rsidRPr="00522962" w:rsidP="00522962" w14:paraId="2284B78A" w14:textId="6591458C">
      <w:pPr>
        <w:pStyle w:val="ListParagraph"/>
        <w:keepNext/>
        <w:numPr>
          <w:ilvl w:val="0"/>
          <w:numId w:val="4"/>
        </w:numPr>
        <w:jc w:val="center"/>
        <w:rPr>
          <w:b/>
          <w:bCs/>
        </w:rPr>
      </w:pPr>
      <w:r w:rsidRPr="00522962">
        <w:rPr>
          <w:b/>
          <w:bCs/>
          <w:smallCaps/>
        </w:rPr>
        <w:t>Background</w:t>
      </w:r>
      <w:r>
        <w:rPr>
          <w:rStyle w:val="FootnoteReference"/>
        </w:rPr>
        <w:footnoteReference w:id="4"/>
      </w:r>
    </w:p>
    <w:p w:rsidR="008B12D8" w:rsidRPr="005144EC" w14:paraId="7105D4CA" w14:textId="1E71208F">
      <w:r w:rsidRPr="005144EC">
        <w:tab/>
      </w:r>
      <w:r w:rsidRPr="005144EC" w:rsidR="005A403A">
        <w:t>Defendant</w:t>
      </w:r>
      <w:r w:rsidRPr="005144EC" w:rsidR="001436F8">
        <w:t>, a registered sex offender,</w:t>
      </w:r>
      <w:r w:rsidRPr="005144EC" w:rsidR="00206A4B">
        <w:t xml:space="preserve"> </w:t>
      </w:r>
      <w:r w:rsidRPr="005144EC" w:rsidR="00DC296D">
        <w:t>was friends</w:t>
      </w:r>
      <w:r w:rsidRPr="005144EC" w:rsidR="00810141">
        <w:t>,</w:t>
      </w:r>
      <w:r w:rsidRPr="005144EC" w:rsidR="00DC296D">
        <w:t xml:space="preserve"> </w:t>
      </w:r>
      <w:r w:rsidRPr="005144EC" w:rsidR="005231C0">
        <w:t xml:space="preserve">and </w:t>
      </w:r>
      <w:r w:rsidRPr="005144EC" w:rsidR="00810141">
        <w:t>resided,</w:t>
      </w:r>
      <w:r w:rsidRPr="005144EC" w:rsidR="005231C0">
        <w:t xml:space="preserve"> with </w:t>
      </w:r>
      <w:r w:rsidRPr="005144EC" w:rsidR="00206A4B">
        <w:t xml:space="preserve">the </w:t>
      </w:r>
      <w:r w:rsidRPr="005144EC" w:rsidR="00810141">
        <w:t xml:space="preserve">two victims’ </w:t>
      </w:r>
      <w:r w:rsidRPr="005144EC" w:rsidR="00DC296D">
        <w:t>grandfather</w:t>
      </w:r>
      <w:r w:rsidRPr="005144EC" w:rsidR="005231C0">
        <w:t xml:space="preserve">.  The </w:t>
      </w:r>
      <w:r w:rsidRPr="005144EC" w:rsidR="004B7CDB">
        <w:t>victims</w:t>
      </w:r>
      <w:r w:rsidRPr="005144EC" w:rsidR="005231C0">
        <w:t xml:space="preserve"> were</w:t>
      </w:r>
      <w:r w:rsidRPr="005144EC" w:rsidR="00301A41">
        <w:t xml:space="preserve"> under </w:t>
      </w:r>
      <w:r w:rsidRPr="005144EC" w:rsidR="00A30C70">
        <w:t xml:space="preserve">the age of </w:t>
      </w:r>
      <w:r w:rsidRPr="005144EC" w:rsidR="00301A41">
        <w:t>14</w:t>
      </w:r>
      <w:r w:rsidRPr="005144EC" w:rsidR="00030661">
        <w:t xml:space="preserve"> </w:t>
      </w:r>
      <w:r w:rsidRPr="005144EC" w:rsidR="005231C0">
        <w:t>at the time of the molestations</w:t>
      </w:r>
      <w:r w:rsidRPr="005144EC" w:rsidR="00301A41">
        <w:t>.</w:t>
      </w:r>
      <w:r w:rsidRPr="005144EC" w:rsidR="003556D1">
        <w:t xml:space="preserve">  </w:t>
      </w:r>
      <w:r w:rsidRPr="005144EC" w:rsidR="00951769">
        <w:t xml:space="preserve">One </w:t>
      </w:r>
      <w:r w:rsidRPr="005144EC" w:rsidR="00A142EC">
        <w:t>r</w:t>
      </w:r>
      <w:r w:rsidRPr="005144EC" w:rsidR="00E370F4">
        <w:t xml:space="preserve">ecalled approximately </w:t>
      </w:r>
      <w:r w:rsidRPr="005144EC" w:rsidR="00540E20">
        <w:t>20</w:t>
      </w:r>
      <w:r w:rsidRPr="005144EC" w:rsidR="00E370F4">
        <w:t xml:space="preserve"> incidents </w:t>
      </w:r>
      <w:r w:rsidRPr="005144EC" w:rsidR="00810F37">
        <w:t>of abuse,</w:t>
      </w:r>
      <w:r w:rsidRPr="005144EC" w:rsidR="00E370F4">
        <w:t xml:space="preserve"> including</w:t>
      </w:r>
      <w:r w:rsidRPr="005144EC" w:rsidR="0049478D">
        <w:t xml:space="preserve"> instances </w:t>
      </w:r>
      <w:r w:rsidRPr="005144EC" w:rsidR="00A30C70">
        <w:t xml:space="preserve">of </w:t>
      </w:r>
      <w:r w:rsidRPr="005144EC" w:rsidR="00E370F4">
        <w:t>defendant fondl</w:t>
      </w:r>
      <w:r w:rsidRPr="005144EC" w:rsidR="00A30C70">
        <w:t>ing</w:t>
      </w:r>
      <w:r w:rsidRPr="005144EC" w:rsidR="00E370F4">
        <w:t xml:space="preserve"> his penis, masturbat</w:t>
      </w:r>
      <w:r w:rsidRPr="005144EC" w:rsidR="00A30C70">
        <w:t>ing</w:t>
      </w:r>
      <w:r w:rsidRPr="005144EC" w:rsidR="00E370F4">
        <w:t xml:space="preserve"> him</w:t>
      </w:r>
      <w:r w:rsidRPr="005144EC" w:rsidR="00810141">
        <w:t>,</w:t>
      </w:r>
      <w:r w:rsidRPr="005144EC" w:rsidR="00E370F4">
        <w:t xml:space="preserve"> and orally copulat</w:t>
      </w:r>
      <w:r w:rsidRPr="005144EC" w:rsidR="00A30C70">
        <w:t>ing</w:t>
      </w:r>
      <w:r w:rsidRPr="005144EC" w:rsidR="00E370F4">
        <w:t xml:space="preserve"> him.</w:t>
      </w:r>
      <w:r w:rsidRPr="005144EC" w:rsidR="009A1E7B">
        <w:t xml:space="preserve">  </w:t>
      </w:r>
      <w:r w:rsidRPr="005144EC" w:rsidR="00E370F4">
        <w:t xml:space="preserve">The last incident </w:t>
      </w:r>
      <w:r w:rsidRPr="005144EC" w:rsidR="009A1E7B">
        <w:t xml:space="preserve">occurred when </w:t>
      </w:r>
      <w:r w:rsidRPr="005144EC" w:rsidR="00AE0D0A">
        <w:t>he</w:t>
      </w:r>
      <w:r w:rsidRPr="005144EC" w:rsidR="00E370F4">
        <w:t xml:space="preserve"> was 12 or 13 years old.</w:t>
      </w:r>
      <w:r w:rsidRPr="005144EC" w:rsidR="00F70448">
        <w:t xml:space="preserve">  </w:t>
      </w:r>
      <w:r w:rsidRPr="005144EC" w:rsidR="00AE0D0A">
        <w:t>The other victim</w:t>
      </w:r>
      <w:r w:rsidRPr="005144EC" w:rsidR="002A60F9">
        <w:t xml:space="preserve"> </w:t>
      </w:r>
      <w:r w:rsidRPr="005144EC" w:rsidR="005231C0">
        <w:t xml:space="preserve">recalled </w:t>
      </w:r>
      <w:r w:rsidRPr="005144EC" w:rsidR="002A60F9">
        <w:t xml:space="preserve">four instances where defendant molested him when he was under </w:t>
      </w:r>
      <w:r w:rsidRPr="005144EC" w:rsidR="000A5E93">
        <w:t xml:space="preserve">or around </w:t>
      </w:r>
      <w:r w:rsidRPr="005144EC" w:rsidR="00A30C70">
        <w:t>1</w:t>
      </w:r>
      <w:r w:rsidRPr="005144EC" w:rsidR="000A5E93">
        <w:t>0 years old</w:t>
      </w:r>
      <w:r w:rsidRPr="005144EC" w:rsidR="002A60F9">
        <w:t>.</w:t>
      </w:r>
      <w:r w:rsidRPr="005144EC" w:rsidR="00EB0FCE">
        <w:t xml:space="preserve">  </w:t>
      </w:r>
      <w:r w:rsidRPr="005144EC" w:rsidR="00A30C70">
        <w:t>D</w:t>
      </w:r>
      <w:r w:rsidRPr="005144EC" w:rsidR="00EB0FCE">
        <w:t xml:space="preserve">efendant </w:t>
      </w:r>
      <w:r w:rsidRPr="005144EC" w:rsidR="00A30C70">
        <w:t xml:space="preserve">variously </w:t>
      </w:r>
      <w:r w:rsidRPr="005144EC" w:rsidR="00EB0FCE">
        <w:t>sodomiz</w:t>
      </w:r>
      <w:r w:rsidRPr="005144EC" w:rsidR="00A75283">
        <w:t xml:space="preserve">ed </w:t>
      </w:r>
      <w:r w:rsidRPr="005144EC" w:rsidR="004B7CDB">
        <w:t>him</w:t>
      </w:r>
      <w:r w:rsidRPr="005144EC" w:rsidR="00892DF9">
        <w:t>, la</w:t>
      </w:r>
      <w:r w:rsidRPr="005144EC" w:rsidR="00A75283">
        <w:t>id</w:t>
      </w:r>
      <w:r w:rsidRPr="005144EC" w:rsidR="00892DF9">
        <w:t xml:space="preserve"> in bed with </w:t>
      </w:r>
      <w:r w:rsidRPr="005144EC" w:rsidR="00FE30BF">
        <w:t>him</w:t>
      </w:r>
      <w:r w:rsidRPr="005144EC" w:rsidR="00892DF9">
        <w:t xml:space="preserve"> and </w:t>
      </w:r>
      <w:r w:rsidRPr="005144EC" w:rsidR="00A75283">
        <w:t>pulled</w:t>
      </w:r>
      <w:r w:rsidRPr="005144EC" w:rsidR="00892DF9">
        <w:t xml:space="preserve"> down </w:t>
      </w:r>
      <w:r w:rsidRPr="005144EC" w:rsidR="004B7CDB">
        <w:t>his</w:t>
      </w:r>
      <w:r w:rsidRPr="005144EC" w:rsidR="00892DF9">
        <w:t xml:space="preserve"> underwear, </w:t>
      </w:r>
      <w:r w:rsidRPr="005144EC" w:rsidR="00A75283">
        <w:t xml:space="preserve">and </w:t>
      </w:r>
      <w:r w:rsidRPr="005144EC" w:rsidR="00892DF9">
        <w:t>grabb</w:t>
      </w:r>
      <w:r w:rsidRPr="005144EC" w:rsidR="00A75283">
        <w:t>ed</w:t>
      </w:r>
      <w:r w:rsidRPr="005144EC" w:rsidR="00892DF9">
        <w:t xml:space="preserve"> </w:t>
      </w:r>
      <w:r w:rsidRPr="005144EC" w:rsidR="004B7CDB">
        <w:t>his</w:t>
      </w:r>
      <w:r w:rsidRPr="005144EC" w:rsidR="00892DF9">
        <w:t xml:space="preserve"> penis over his clothes</w:t>
      </w:r>
      <w:r w:rsidRPr="005144EC" w:rsidR="00A75283">
        <w:t>.</w:t>
      </w:r>
    </w:p>
    <w:p w:rsidR="00294325" w:rsidRPr="005144EC" w14:paraId="6955C8F1" w14:textId="612D2D51">
      <w:r w:rsidRPr="005144EC">
        <w:tab/>
      </w:r>
      <w:r w:rsidRPr="005144EC" w:rsidR="000E189D">
        <w:t xml:space="preserve">In 2021, the People </w:t>
      </w:r>
      <w:r w:rsidRPr="005144EC" w:rsidR="00966F92">
        <w:t>charged</w:t>
      </w:r>
      <w:r w:rsidRPr="005144EC" w:rsidR="00665F63">
        <w:t xml:space="preserve"> </w:t>
      </w:r>
      <w:r w:rsidRPr="005144EC" w:rsidR="0013360C">
        <w:t>defendant</w:t>
      </w:r>
      <w:r w:rsidRPr="005144EC" w:rsidR="00665F63">
        <w:t xml:space="preserve"> </w:t>
      </w:r>
      <w:r w:rsidRPr="005144EC" w:rsidR="00540E20">
        <w:t>with</w:t>
      </w:r>
      <w:r w:rsidRPr="005144EC" w:rsidR="00665F63">
        <w:t xml:space="preserve"> sodomy </w:t>
      </w:r>
      <w:r w:rsidRPr="005144EC" w:rsidR="00540E20">
        <w:t>of</w:t>
      </w:r>
      <w:r w:rsidRPr="005144EC" w:rsidR="00665F63">
        <w:t xml:space="preserve"> a child 10 years old or younger</w:t>
      </w:r>
      <w:r w:rsidRPr="005144EC" w:rsidR="0013360C">
        <w:t xml:space="preserve"> (§ 288.7</w:t>
      </w:r>
      <w:r w:rsidRPr="005144EC" w:rsidR="004B381A">
        <w:t>, subd. (a))</w:t>
      </w:r>
      <w:r w:rsidRPr="005144EC" w:rsidR="00055CAE">
        <w:t>; two counts of continuous sexual abuse</w:t>
      </w:r>
      <w:r w:rsidRPr="005144EC" w:rsidR="00787319">
        <w:t xml:space="preserve"> of a child</w:t>
      </w:r>
      <w:r w:rsidRPr="005144EC" w:rsidR="00055CAE">
        <w:t xml:space="preserve"> </w:t>
      </w:r>
      <w:r w:rsidRPr="005144EC" w:rsidR="004B381A">
        <w:t>(§ 288.</w:t>
      </w:r>
      <w:r w:rsidRPr="005144EC" w:rsidR="00762CB1">
        <w:t>5</w:t>
      </w:r>
      <w:r w:rsidRPr="005144EC" w:rsidR="004B381A">
        <w:t>, subd. (a))</w:t>
      </w:r>
      <w:r w:rsidRPr="005144EC" w:rsidR="00055CAE">
        <w:t>;</w:t>
      </w:r>
      <w:r w:rsidRPr="005144EC" w:rsidR="00A57B52">
        <w:t xml:space="preserve"> and failure to register</w:t>
      </w:r>
      <w:r w:rsidRPr="005144EC" w:rsidR="004B381A">
        <w:t xml:space="preserve"> </w:t>
      </w:r>
      <w:r w:rsidRPr="005144EC" w:rsidR="00266B53">
        <w:t xml:space="preserve">as a sex offender </w:t>
      </w:r>
      <w:r w:rsidRPr="005144EC" w:rsidR="004B381A">
        <w:t>(§ </w:t>
      </w:r>
      <w:r w:rsidRPr="005144EC" w:rsidR="005F228B">
        <w:t>290.018</w:t>
      </w:r>
      <w:r w:rsidRPr="005144EC" w:rsidR="004B381A">
        <w:t>)</w:t>
      </w:r>
      <w:r w:rsidRPr="005144EC" w:rsidR="00A57B52">
        <w:t>.</w:t>
      </w:r>
      <w:r w:rsidRPr="005144EC" w:rsidR="00004F45">
        <w:t xml:space="preserve">  The continuous sexual abuse counts </w:t>
      </w:r>
      <w:r w:rsidRPr="005144EC" w:rsidR="00832F53">
        <w:t>included</w:t>
      </w:r>
      <w:r w:rsidRPr="005144EC" w:rsidR="00842728">
        <w:t xml:space="preserve"> </w:t>
      </w:r>
      <w:r w:rsidRPr="005144EC" w:rsidR="00786069">
        <w:t xml:space="preserve">an enhancement allegation </w:t>
      </w:r>
      <w:r w:rsidRPr="005144EC" w:rsidR="00810141">
        <w:t>of</w:t>
      </w:r>
      <w:r w:rsidRPr="005144EC" w:rsidR="00786069">
        <w:t xml:space="preserve"> a prior conviction</w:t>
      </w:r>
      <w:r w:rsidRPr="005144EC" w:rsidR="0096394D">
        <w:t xml:space="preserve"> of section 288</w:t>
      </w:r>
      <w:r w:rsidRPr="005144EC" w:rsidR="00810141">
        <w:t xml:space="preserve"> (§ 667.51, subd. (a))</w:t>
      </w:r>
      <w:r w:rsidRPr="005144EC" w:rsidR="00A142EC">
        <w:t>.</w:t>
      </w:r>
      <w:r w:rsidRPr="005144EC" w:rsidR="006D5A98">
        <w:t xml:space="preserve">  </w:t>
      </w:r>
      <w:r w:rsidRPr="005144EC">
        <w:t>Defendant faced a potential sentence of 25 years to life on the sodomy count, 16 years each on the continuous abuse counts</w:t>
      </w:r>
      <w:r w:rsidRPr="005144EC" w:rsidR="00540E20">
        <w:t xml:space="preserve"> plus five years each for the related enhancements</w:t>
      </w:r>
      <w:r w:rsidRPr="005144EC">
        <w:t>, and one year on the failure to register count</w:t>
      </w:r>
      <w:r w:rsidRPr="005144EC" w:rsidR="007B6C62">
        <w:t xml:space="preserve">—in </w:t>
      </w:r>
      <w:r w:rsidRPr="005144EC" w:rsidR="00852B91">
        <w:t>s</w:t>
      </w:r>
      <w:r w:rsidR="00BE0CAC">
        <w:t>um,</w:t>
      </w:r>
      <w:r w:rsidRPr="005144EC" w:rsidR="00852B91">
        <w:t xml:space="preserve"> </w:t>
      </w:r>
      <w:r w:rsidRPr="005144EC" w:rsidR="005B2148">
        <w:t>6</w:t>
      </w:r>
      <w:r w:rsidRPr="005144EC" w:rsidR="00540E20">
        <w:t>8</w:t>
      </w:r>
      <w:r w:rsidRPr="005144EC" w:rsidR="005B2148">
        <w:t xml:space="preserve"> years to life.  </w:t>
      </w:r>
    </w:p>
    <w:p w:rsidR="006D5A98" w:rsidRPr="005144EC" w14:paraId="6C30CF86" w14:textId="44D4A1AE">
      <w:r w:rsidRPr="005144EC">
        <w:tab/>
      </w:r>
      <w:r w:rsidRPr="005144EC" w:rsidR="00266B53">
        <w:t xml:space="preserve">At </w:t>
      </w:r>
      <w:r w:rsidRPr="005144EC">
        <w:t xml:space="preserve">the preliminary hearing, the trial court admitted </w:t>
      </w:r>
      <w:r w:rsidRPr="005144EC" w:rsidR="005231C0">
        <w:t xml:space="preserve">evidence of a </w:t>
      </w:r>
      <w:r w:rsidRPr="005144EC" w:rsidR="00C31D0D">
        <w:t xml:space="preserve">1995 </w:t>
      </w:r>
      <w:r w:rsidRPr="005144EC" w:rsidR="005231C0">
        <w:t xml:space="preserve">misdemeanor </w:t>
      </w:r>
      <w:r w:rsidRPr="005144EC">
        <w:t>conviction for violation of section 288, subdivision (c)—lewd or lascivious acts on a child 14 or 15 years old</w:t>
      </w:r>
      <w:r w:rsidRPr="005144EC" w:rsidR="005004FA">
        <w:t>—which</w:t>
      </w:r>
      <w:r w:rsidRPr="005144EC">
        <w:t xml:space="preserve"> required defendant to register as a sex offender.</w:t>
      </w:r>
      <w:r w:rsidRPr="005144EC" w:rsidR="00182A9E">
        <w:t xml:space="preserve"> </w:t>
      </w:r>
      <w:r w:rsidRPr="005144EC" w:rsidR="000A67DF">
        <w:t xml:space="preserve">   </w:t>
      </w:r>
      <w:r w:rsidRPr="005144EC" w:rsidR="009C6E2A">
        <w:t xml:space="preserve">  </w:t>
      </w:r>
    </w:p>
    <w:p w:rsidR="00086CAC" w:rsidRPr="005144EC" w14:paraId="0E559AAD" w14:textId="640EB5EA">
      <w:r w:rsidRPr="005144EC">
        <w:tab/>
      </w:r>
      <w:r w:rsidRPr="005144EC" w:rsidR="00A30C70">
        <w:t>I</w:t>
      </w:r>
      <w:r w:rsidRPr="005144EC" w:rsidR="00613046">
        <w:t>n February 2022,</w:t>
      </w:r>
      <w:r w:rsidRPr="005144EC" w:rsidR="00A30C70">
        <w:t xml:space="preserve"> pursuant to a negotiated disposition, </w:t>
      </w:r>
      <w:r w:rsidRPr="005144EC" w:rsidR="00613046">
        <w:t>the</w:t>
      </w:r>
      <w:r w:rsidRPr="005144EC" w:rsidR="009C6E2A">
        <w:t xml:space="preserve"> People filed an amended information, </w:t>
      </w:r>
      <w:r w:rsidRPr="005144EC" w:rsidR="00582820">
        <w:t xml:space="preserve">adding </w:t>
      </w:r>
      <w:r w:rsidRPr="005144EC" w:rsidR="00A30C70">
        <w:t>t</w:t>
      </w:r>
      <w:r w:rsidRPr="005144EC" w:rsidR="005231C0">
        <w:t xml:space="preserve">wo felony </w:t>
      </w:r>
      <w:r w:rsidRPr="005144EC" w:rsidR="00EE2921">
        <w:t>counts</w:t>
      </w:r>
      <w:r w:rsidRPr="005144EC" w:rsidR="006A04BE">
        <w:t xml:space="preserve"> of</w:t>
      </w:r>
      <w:r w:rsidRPr="005144EC" w:rsidR="00E31087">
        <w:t xml:space="preserve"> committing</w:t>
      </w:r>
      <w:r w:rsidRPr="005144EC" w:rsidR="006A04BE">
        <w:t xml:space="preserve"> lewd acts upon a child under </w:t>
      </w:r>
      <w:r w:rsidR="00BE0CAC">
        <w:t xml:space="preserve">the </w:t>
      </w:r>
      <w:r w:rsidRPr="005144EC" w:rsidR="006A04BE">
        <w:t xml:space="preserve">age </w:t>
      </w:r>
      <w:r w:rsidR="00BE0CAC">
        <w:t xml:space="preserve">of </w:t>
      </w:r>
      <w:r w:rsidRPr="005144EC" w:rsidR="006A04BE">
        <w:t>14</w:t>
      </w:r>
      <w:r w:rsidRPr="005144EC" w:rsidR="006548F5">
        <w:t xml:space="preserve"> (§ 288, subd. (a))</w:t>
      </w:r>
      <w:r w:rsidRPr="005144EC" w:rsidR="005231C0">
        <w:t>—</w:t>
      </w:r>
      <w:r w:rsidRPr="005144EC" w:rsidR="006A04BE">
        <w:t xml:space="preserve">one count for each </w:t>
      </w:r>
      <w:r w:rsidRPr="005144EC" w:rsidR="00010546">
        <w:t>victim</w:t>
      </w:r>
      <w:r w:rsidRPr="005144EC" w:rsidR="005231C0">
        <w:t>—</w:t>
      </w:r>
      <w:r w:rsidRPr="005144EC" w:rsidR="00072C86">
        <w:t xml:space="preserve"> </w:t>
      </w:r>
      <w:r w:rsidRPr="005144EC" w:rsidR="005231C0">
        <w:t xml:space="preserve">to which defendant pleaded </w:t>
      </w:r>
      <w:r w:rsidRPr="005144EC" w:rsidR="009F2EBE">
        <w:t>no contest</w:t>
      </w:r>
      <w:r w:rsidRPr="005144EC" w:rsidR="005231C0">
        <w:t xml:space="preserve">. </w:t>
      </w:r>
      <w:r w:rsidRPr="005144EC" w:rsidR="00EC304D">
        <w:t xml:space="preserve"> </w:t>
      </w:r>
      <w:r w:rsidRPr="005144EC" w:rsidR="00A30C70">
        <w:t>As summarized on the change of plea form, t</w:t>
      </w:r>
      <w:r w:rsidRPr="005144EC" w:rsidR="00804E4A">
        <w:t xml:space="preserve">he </w:t>
      </w:r>
      <w:r w:rsidRPr="005144EC" w:rsidR="00740D7A">
        <w:t xml:space="preserve">disposition </w:t>
      </w:r>
      <w:r w:rsidRPr="005144EC" w:rsidR="00804E4A">
        <w:t>provided th</w:t>
      </w:r>
      <w:r w:rsidRPr="005144EC" w:rsidR="00A30C70">
        <w:t xml:space="preserve">at the </w:t>
      </w:r>
      <w:r w:rsidRPr="005144EC" w:rsidR="00804E4A">
        <w:t xml:space="preserve">trial court “could grant probation with time in jail all the way up to 10 </w:t>
      </w:r>
      <w:r w:rsidRPr="005144EC" w:rsidR="00630350">
        <w:t>years in prison (base term plus 1/3 the middle term for the 2</w:t>
      </w:r>
      <w:r w:rsidRPr="005144EC" w:rsidR="00FA6C41">
        <w:t>n</w:t>
      </w:r>
      <w:r w:rsidRPr="005144EC" w:rsidR="00630350">
        <w:t xml:space="preserve">d count if ran </w:t>
      </w:r>
      <w:r w:rsidR="00BE0CAC">
        <w:t xml:space="preserve">[sic] </w:t>
      </w:r>
      <w:r w:rsidRPr="005144EC" w:rsidR="00630350">
        <w:t>consecutive).”</w:t>
      </w:r>
      <w:r w:rsidRPr="005144EC" w:rsidR="00F63205">
        <w:t xml:space="preserve"> </w:t>
      </w:r>
      <w:r w:rsidRPr="005144EC" w:rsidR="002E0886">
        <w:t xml:space="preserve"> </w:t>
      </w:r>
      <w:r w:rsidRPr="005144EC" w:rsidR="00740D7A">
        <w:t>D</w:t>
      </w:r>
      <w:r w:rsidRPr="005144EC" w:rsidR="00A30C70">
        <w:t xml:space="preserve">efendant initialed the </w:t>
      </w:r>
      <w:r w:rsidRPr="005144EC" w:rsidR="00740D7A">
        <w:t>provision o</w:t>
      </w:r>
      <w:r w:rsidRPr="005144EC" w:rsidR="00A142EC">
        <w:t>f</w:t>
      </w:r>
      <w:r w:rsidRPr="005144EC" w:rsidR="00740D7A">
        <w:t xml:space="preserve"> the </w:t>
      </w:r>
      <w:r w:rsidRPr="005144EC" w:rsidR="00A30C70">
        <w:t>form that stated, “I understand that I am not eligible for probation in this case.</w:t>
      </w:r>
      <w:r w:rsidRPr="005144EC">
        <w:t xml:space="preserve">  Presumptively ineligible.</w:t>
      </w:r>
      <w:r w:rsidRPr="005144EC" w:rsidR="00A30C70">
        <w:t xml:space="preserve">”  </w:t>
      </w:r>
      <w:r w:rsidRPr="005144EC">
        <w:t xml:space="preserve">  </w:t>
      </w:r>
    </w:p>
    <w:p w:rsidR="00F63205" w:rsidRPr="005144EC" w14:paraId="09566CE3" w14:textId="41361AB8">
      <w:r w:rsidRPr="005144EC">
        <w:tab/>
        <w:t>Defendant also initialed</w:t>
      </w:r>
      <w:r w:rsidRPr="005144EC">
        <w:t xml:space="preserve"> the provision of the change of plea form stating, “I understand the Court will not decide whether to accept a plea or sentence bargain or to impose sentence or extend probation: until a Probation Officer makes an investigation and reports on my background, prior record (if any) and the circumstances of the case.</w:t>
      </w:r>
      <w:r w:rsidRPr="005144EC" w:rsidR="00182A9E">
        <w:t>”</w:t>
      </w:r>
      <w:r w:rsidRPr="005144EC">
        <w:t xml:space="preserve">  </w:t>
      </w:r>
    </w:p>
    <w:p w:rsidR="00F63205" w:rsidRPr="005144EC" w14:paraId="1724DF0D" w14:textId="53ABDD1C">
      <w:r w:rsidRPr="005144EC">
        <w:tab/>
        <w:t xml:space="preserve">He additionally initialed </w:t>
      </w:r>
      <w:r w:rsidRPr="005144EC" w:rsidR="00086CAC">
        <w:t xml:space="preserve">the provisions of the form waiving his rights, to among other things, </w:t>
      </w:r>
      <w:r w:rsidRPr="005144EC" w:rsidR="001E5330">
        <w:t xml:space="preserve">a </w:t>
      </w:r>
      <w:r w:rsidRPr="005144EC" w:rsidR="00086CAC">
        <w:t>jury trial.  These provisions stated, in pertinent part, “</w:t>
      </w:r>
      <w:r w:rsidRPr="005144EC">
        <w:t xml:space="preserve">10.  </w:t>
      </w:r>
      <w:r w:rsidRPr="005144EC" w:rsidR="00086CAC">
        <w:t xml:space="preserve">I understand that, as to each charge I plead to and </w:t>
      </w:r>
      <w:r w:rsidRPr="005144EC" w:rsidR="00182A9E">
        <w:t xml:space="preserve">each </w:t>
      </w:r>
      <w:r w:rsidRPr="005144EC" w:rsidR="00086CAC">
        <w:t xml:space="preserve">special allegation and/or sentence enhancement I admit to be true, I have the following rights: </w:t>
      </w:r>
      <w:r w:rsidRPr="005144EC" w:rsidR="00182A9E">
        <w:t>[¶] . . . [¶] </w:t>
      </w:r>
      <w:r w:rsidRPr="005144EC" w:rsidR="00086CAC">
        <w:t xml:space="preserve"> b. A speedy and public trial by jury.</w:t>
      </w:r>
      <w:r w:rsidRPr="005144EC">
        <w:t xml:space="preserve"> c. Representation by an attorney at all times. d.  See, hear, and question all witnesses who testify against me.</w:t>
      </w:r>
      <w:r w:rsidRPr="005144EC" w:rsidR="00182A9E">
        <w:t xml:space="preserve"> [¶] . . . [¶] </w:t>
      </w:r>
      <w:r w:rsidRPr="005144EC">
        <w:t>11.  I understand that by this plea and any adm</w:t>
      </w:r>
      <w:r w:rsidRPr="005144EC" w:rsidR="00740D7A">
        <w:t>i</w:t>
      </w:r>
      <w:r w:rsidRPr="005144EC">
        <w:t xml:space="preserve">ssions I am making, I give up all the rights which are listed above except the continuing right to be represented by an attorney.”  </w:t>
      </w:r>
    </w:p>
    <w:p w:rsidR="00A142EC" w:rsidRPr="005144EC" w:rsidP="003861FA" w14:paraId="70040D87" w14:textId="3E91F032">
      <w:r w:rsidRPr="005144EC">
        <w:tab/>
      </w:r>
      <w:r w:rsidRPr="005144EC" w:rsidR="00F63205">
        <w:t xml:space="preserve">At the </w:t>
      </w:r>
      <w:r w:rsidRPr="005144EC">
        <w:t xml:space="preserve">change of plea </w:t>
      </w:r>
      <w:r w:rsidRPr="005144EC" w:rsidR="00F63205">
        <w:t xml:space="preserve">hearing, </w:t>
      </w:r>
      <w:r w:rsidRPr="005144EC" w:rsidR="00740D7A">
        <w:t>the prosecutor</w:t>
      </w:r>
      <w:r w:rsidRPr="005144EC" w:rsidR="007B6C62">
        <w:t xml:space="preserve"> summarized the plea </w:t>
      </w:r>
      <w:r w:rsidRPr="005144EC" w:rsidR="00740D7A">
        <w:t>agreement</w:t>
      </w:r>
      <w:r w:rsidRPr="005144EC" w:rsidR="007B6C62">
        <w:t xml:space="preserve"> as follows: “A plea of no contest to Count 5 and a plea of no contest to Count 6.  All sentencing options would be open to the </w:t>
      </w:r>
      <w:r w:rsidRPr="005144EC" w:rsidR="00182A9E">
        <w:t>C</w:t>
      </w:r>
      <w:r w:rsidRPr="005144EC" w:rsidR="007B6C62">
        <w:t xml:space="preserve">ourt.  The Court </w:t>
      </w:r>
      <w:r w:rsidRPr="005144EC" w:rsidR="00182A9E">
        <w:t>c</w:t>
      </w:r>
      <w:r w:rsidRPr="005144EC" w:rsidR="007B6C62">
        <w:t xml:space="preserve">ould consider all aggravating factors.  That’s the stipulation under 1170(b)”—a maximum potential exposure of </w:t>
      </w:r>
      <w:r w:rsidRPr="005144EC" w:rsidR="00182A9E">
        <w:t>10</w:t>
      </w:r>
      <w:r w:rsidRPr="005144EC" w:rsidR="007B6C62">
        <w:t xml:space="preserve"> years.  </w:t>
      </w:r>
      <w:r w:rsidRPr="005144EC" w:rsidR="00740D7A">
        <w:t>Defense counsel</w:t>
      </w:r>
      <w:r w:rsidRPr="005144EC" w:rsidR="007B6C62">
        <w:t xml:space="preserve"> agreed.  Defendant, himself, also stated that was his understanding of the negotiated disposition.  </w:t>
      </w:r>
    </w:p>
    <w:p w:rsidR="002865EE" w:rsidRPr="005144EC" w:rsidP="003861FA" w14:paraId="285FD793" w14:textId="3D9B0573">
      <w:r w:rsidRPr="005144EC">
        <w:tab/>
      </w:r>
      <w:r w:rsidRPr="005144EC" w:rsidR="008534EE">
        <w:t xml:space="preserve">Prior to accepting defendant’s no contest pleas, the court reviewed the plea form with </w:t>
      </w:r>
      <w:r w:rsidRPr="005144EC" w:rsidR="00740D7A">
        <w:t>him</w:t>
      </w:r>
      <w:r w:rsidRPr="005144EC" w:rsidR="00540E20">
        <w:t>,</w:t>
      </w:r>
      <w:r w:rsidRPr="005144EC" w:rsidR="008534EE">
        <w:t xml:space="preserve"> and defendant personally confirmed that he read and understood it and had given up all the rights as stated therein, including his “right to have a jury trial.”  Counsel then stipulated that the preliminary hearing transcript could be used as </w:t>
      </w:r>
      <w:r w:rsidRPr="005144EC" w:rsidR="003861FA">
        <w:t xml:space="preserve">a factual basis for the plea, with defense counsel stating defendant was “not admitting guilt in any way.”  The prosecutor </w:t>
      </w:r>
      <w:r w:rsidRPr="005144EC" w:rsidR="004B7CDB">
        <w:t>also</w:t>
      </w:r>
      <w:r w:rsidRPr="005144EC" w:rsidR="003861FA">
        <w:t xml:space="preserve"> asked that the record </w:t>
      </w:r>
      <w:r w:rsidRPr="005144EC" w:rsidR="00740D7A">
        <w:t xml:space="preserve">specifically </w:t>
      </w:r>
      <w:r w:rsidRPr="005144EC" w:rsidR="003861FA">
        <w:t xml:space="preserve">reflect “the parties’ stipulation under </w:t>
      </w:r>
      <w:r w:rsidRPr="005144EC" w:rsidR="00182A9E">
        <w:t xml:space="preserve">Penal Code </w:t>
      </w:r>
      <w:r w:rsidRPr="005144EC" w:rsidR="003861FA">
        <w:t xml:space="preserve">section 1170(b)(2) as to what the Court can consider at sentencing,” </w:t>
      </w:r>
      <w:r w:rsidRPr="005144EC" w:rsidR="00740D7A">
        <w:t xml:space="preserve">and </w:t>
      </w:r>
      <w:r w:rsidRPr="005144EC" w:rsidR="003861FA">
        <w:t xml:space="preserve">specifically “all aggravating factors” “in </w:t>
      </w:r>
      <w:r w:rsidRPr="005144EC" w:rsidR="001E5330">
        <w:t>[California Rules of Court] [r]</w:t>
      </w:r>
      <w:r w:rsidRPr="005144EC" w:rsidR="003861FA">
        <w:t>ule 4.421</w:t>
      </w:r>
      <w:r w:rsidRPr="005144EC" w:rsidR="00740D7A">
        <w:t>.</w:t>
      </w:r>
      <w:r w:rsidRPr="005144EC" w:rsidR="003861FA">
        <w:t>”</w:t>
      </w:r>
      <w:r>
        <w:rPr>
          <w:rStyle w:val="FootnoteReference"/>
        </w:rPr>
        <w:footnoteReference w:id="5"/>
      </w:r>
      <w:r w:rsidRPr="005144EC" w:rsidR="00740D7A">
        <w:t xml:space="preserve">  D</w:t>
      </w:r>
      <w:r w:rsidRPr="005144EC" w:rsidR="003861FA">
        <w:t>efense counsel concurred.</w:t>
      </w:r>
      <w:r w:rsidRPr="005144EC" w:rsidR="00EB2535">
        <w:t xml:space="preserve">  The trial court then specifically asked defendant whether he had heard the recited terms of the disposition, including that the “</w:t>
      </w:r>
      <w:r w:rsidRPr="005144EC" w:rsidR="002D6708">
        <w:t>C</w:t>
      </w:r>
      <w:r w:rsidRPr="005144EC" w:rsidR="00EB2535">
        <w:t xml:space="preserve">ourt </w:t>
      </w:r>
      <w:r w:rsidRPr="005144EC" w:rsidR="002D6708">
        <w:t>c</w:t>
      </w:r>
      <w:r w:rsidRPr="005144EC" w:rsidR="00EB2535">
        <w:t>ould consider all aggravat</w:t>
      </w:r>
      <w:r w:rsidRPr="005144EC" w:rsidR="002D6708">
        <w:t>ing</w:t>
      </w:r>
      <w:r w:rsidRPr="005144EC" w:rsidR="00EB2535">
        <w:t xml:space="preserve"> factors,” and defendant confirmed that he had and these were, indeed, the terms of the proposed disposition. </w:t>
      </w:r>
      <w:r w:rsidRPr="005144EC" w:rsidR="003861FA">
        <w:t xml:space="preserve"> </w:t>
      </w:r>
      <w:r w:rsidRPr="005144EC" w:rsidR="00EB2535">
        <w:t xml:space="preserve">The trial court then proceeded to admonish defendant that the disposition included his giving up rights, including the right to jury trial, and defendant expressly stated, “Yes,” he was giving up that right.  </w:t>
      </w:r>
    </w:p>
    <w:p w:rsidR="002030C7" w:rsidRPr="005144EC" w14:paraId="1F43349F" w14:textId="309B2ABC">
      <w:r w:rsidRPr="005144EC">
        <w:tab/>
        <w:t>At the</w:t>
      </w:r>
      <w:r w:rsidRPr="005144EC" w:rsidR="00E912F7">
        <w:t xml:space="preserve"> </w:t>
      </w:r>
      <w:r w:rsidRPr="005144EC">
        <w:t>sentencing hearing,</w:t>
      </w:r>
      <w:r w:rsidRPr="005144EC" w:rsidR="00C87F80">
        <w:t xml:space="preserve"> </w:t>
      </w:r>
      <w:r w:rsidRPr="005144EC" w:rsidR="00741218">
        <w:t xml:space="preserve">counsel </w:t>
      </w:r>
      <w:r w:rsidRPr="005144EC" w:rsidR="000D3371">
        <w:t xml:space="preserve">confirmed the stipulation that the </w:t>
      </w:r>
      <w:r w:rsidRPr="005144EC" w:rsidR="00827E3C">
        <w:t xml:space="preserve">trial </w:t>
      </w:r>
      <w:r w:rsidRPr="005144EC" w:rsidR="000D3371">
        <w:t xml:space="preserve">court </w:t>
      </w:r>
      <w:r w:rsidRPr="005144EC" w:rsidR="00740D7A">
        <w:t>w</w:t>
      </w:r>
      <w:r w:rsidRPr="005144EC" w:rsidR="000D3371">
        <w:t xml:space="preserve">ould consider all </w:t>
      </w:r>
      <w:r w:rsidRPr="005144EC">
        <w:t xml:space="preserve">sentencing factors, both mitigating and </w:t>
      </w:r>
      <w:r w:rsidRPr="005144EC" w:rsidR="000D3371">
        <w:t>aggravating.</w:t>
      </w:r>
      <w:r w:rsidRPr="005144EC" w:rsidR="00182A9E">
        <w:t xml:space="preserve"> </w:t>
      </w:r>
      <w:r w:rsidRPr="005144EC" w:rsidR="00827E3C">
        <w:t xml:space="preserve"> </w:t>
      </w:r>
      <w:r w:rsidRPr="005144EC">
        <w:t xml:space="preserve">Defense counsel agreed there was a “[s]tip to all aggravating factors for the Court to be considered,” so “[t]he options open to the Court are probation with jail time all the way up to the ten years. </w:t>
      </w:r>
      <w:r w:rsidRPr="005144EC" w:rsidR="00182A9E">
        <w:t xml:space="preserve"> </w:t>
      </w:r>
      <w:r w:rsidRPr="005144EC">
        <w:t xml:space="preserve">And that would be the eight years with one-third the middle term of two if the Court decided to run it consecutive.” </w:t>
      </w:r>
    </w:p>
    <w:p w:rsidR="009077D4" w:rsidRPr="005144EC" w14:paraId="43F4C002" w14:textId="4BC33CAC">
      <w:r w:rsidRPr="005144EC">
        <w:tab/>
        <w:t xml:space="preserve">Victim statements were given by a close friend of the victims’ grandmother, who had known the </w:t>
      </w:r>
      <w:r w:rsidRPr="005144EC" w:rsidR="004B7CDB">
        <w:t>victims</w:t>
      </w:r>
      <w:r w:rsidRPr="005144EC">
        <w:t xml:space="preserve"> all their lives</w:t>
      </w:r>
      <w:r w:rsidRPr="005144EC">
        <w:t>,</w:t>
      </w:r>
      <w:r w:rsidRPr="005144EC">
        <w:t xml:space="preserve"> and </w:t>
      </w:r>
      <w:r w:rsidRPr="005144EC" w:rsidR="00857902">
        <w:t xml:space="preserve">one of the victims appeared.    </w:t>
      </w:r>
    </w:p>
    <w:p w:rsidR="009077D4" w:rsidRPr="005144EC" w:rsidP="009077D4" w14:paraId="14D9B095" w14:textId="1771BE16">
      <w:r w:rsidRPr="005144EC">
        <w:tab/>
      </w:r>
      <w:r w:rsidRPr="005144EC" w:rsidR="00857902">
        <w:t xml:space="preserve">The prosecution </w:t>
      </w:r>
      <w:r w:rsidRPr="005144EC" w:rsidR="00740D7A">
        <w:t xml:space="preserve">urged the court to impose the upper term, </w:t>
      </w:r>
      <w:r w:rsidRPr="005144EC" w:rsidR="00857902">
        <w:t>point</w:t>
      </w:r>
      <w:r w:rsidRPr="005144EC" w:rsidR="00740D7A">
        <w:t>ing</w:t>
      </w:r>
      <w:r w:rsidRPr="005144EC" w:rsidR="00857902">
        <w:t xml:space="preserve"> out “[i]t only takes one factor [in aggravation] under the case law to—for the Court to do an aggravated sentence</w:t>
      </w:r>
      <w:r w:rsidRPr="005144EC" w:rsidR="00740D7A">
        <w:t>.</w:t>
      </w:r>
      <w:r w:rsidRPr="005144EC" w:rsidR="00857902">
        <w:t>”</w:t>
      </w:r>
      <w:r w:rsidRPr="005144EC" w:rsidR="00740D7A">
        <w:t xml:space="preserve">  He then </w:t>
      </w:r>
      <w:r w:rsidRPr="005144EC" w:rsidR="00857902">
        <w:t>urged the court to find</w:t>
      </w:r>
      <w:r w:rsidRPr="005144EC" w:rsidR="00740D7A">
        <w:t xml:space="preserve"> applicable</w:t>
      </w:r>
      <w:r w:rsidRPr="005144EC" w:rsidR="00857902">
        <w:t xml:space="preserve"> </w:t>
      </w:r>
      <w:r w:rsidRPr="005144EC" w:rsidR="00740D7A">
        <w:t xml:space="preserve">all the </w:t>
      </w:r>
      <w:r w:rsidRPr="005144EC" w:rsidR="00857902">
        <w:t xml:space="preserve">factors in aggravation recommended </w:t>
      </w:r>
      <w:r w:rsidRPr="005144EC" w:rsidR="00A142EC">
        <w:t>in</w:t>
      </w:r>
      <w:r w:rsidRPr="005144EC" w:rsidR="00857902">
        <w:t xml:space="preserve"> the probation report</w:t>
      </w:r>
      <w:r w:rsidRPr="005144EC" w:rsidR="00A27EA6">
        <w:t>, a</w:t>
      </w:r>
      <w:r w:rsidRPr="005144EC" w:rsidR="00740D7A">
        <w:t xml:space="preserve">s well as </w:t>
      </w:r>
      <w:r w:rsidRPr="005144EC" w:rsidR="00A27EA6">
        <w:t xml:space="preserve">several additional </w:t>
      </w:r>
      <w:r w:rsidRPr="005144EC" w:rsidR="00740D7A">
        <w:t xml:space="preserve">aggravating </w:t>
      </w:r>
      <w:r w:rsidRPr="005144EC" w:rsidR="00A27EA6">
        <w:t>factors</w:t>
      </w:r>
      <w:r w:rsidRPr="005144EC" w:rsidR="00857902">
        <w:t xml:space="preserve">.  The </w:t>
      </w:r>
      <w:r w:rsidRPr="005144EC" w:rsidR="001E5330">
        <w:t>p</w:t>
      </w:r>
      <w:r w:rsidRPr="005144EC" w:rsidR="00857902">
        <w:t xml:space="preserve">robation </w:t>
      </w:r>
      <w:r w:rsidRPr="005144EC" w:rsidR="001E5330">
        <w:t>o</w:t>
      </w:r>
      <w:r w:rsidRPr="005144EC" w:rsidR="00857902">
        <w:t xml:space="preserve">fficer emphasized the “long-term emotional, mental, and psychological ramifications” for the victims.    </w:t>
      </w:r>
    </w:p>
    <w:p w:rsidR="00A27EA6" w:rsidRPr="005144EC" w:rsidP="001E5330" w14:paraId="1B7100A6" w14:textId="3CAF4E72">
      <w:r w:rsidRPr="005144EC">
        <w:tab/>
      </w:r>
      <w:r w:rsidRPr="005144EC" w:rsidR="00857902">
        <w:t xml:space="preserve">At the conclusion of the </w:t>
      </w:r>
      <w:r w:rsidRPr="005144EC" w:rsidR="00740D7A">
        <w:t xml:space="preserve">prosecution’s presentation, </w:t>
      </w:r>
      <w:r w:rsidRPr="005144EC" w:rsidR="00857902">
        <w:t>defendant spoke</w:t>
      </w:r>
      <w:r w:rsidRPr="005144EC">
        <w:t xml:space="preserve">, stating </w:t>
      </w:r>
      <w:r w:rsidRPr="005144EC" w:rsidR="00857902">
        <w:t xml:space="preserve">“The kids are lying.  I have said that from the beginning, and I still say it. . . </w:t>
      </w:r>
      <w:r w:rsidRPr="005144EC" w:rsidR="001E5330">
        <w:t xml:space="preserve">.  </w:t>
      </w:r>
      <w:r w:rsidRPr="005144EC" w:rsidR="00857902">
        <w:t xml:space="preserve">[T]heir behavior isn’t from anything I have done. </w:t>
      </w:r>
      <w:r w:rsidRPr="005144EC" w:rsidR="001E5330">
        <w:t xml:space="preserve"> </w:t>
      </w:r>
      <w:r w:rsidRPr="005144EC" w:rsidR="00857902">
        <w:t>They have been rotten behavior from the get-go. . . .</w:t>
      </w:r>
      <w:r w:rsidRPr="005144EC" w:rsidR="00182A9E">
        <w:t xml:space="preserve"> [¶] . . .</w:t>
      </w:r>
      <w:r w:rsidRPr="005144EC" w:rsidR="001E5330">
        <w:t xml:space="preserve"> </w:t>
      </w:r>
      <w:r w:rsidRPr="005144EC" w:rsidR="00857902">
        <w:t>They didn’t like the way I disciplined</w:t>
      </w:r>
      <w:r w:rsidRPr="005144EC">
        <w:t>.</w:t>
      </w:r>
      <w:r w:rsidRPr="005144EC" w:rsidR="001E5330">
        <w:t> </w:t>
      </w:r>
      <w:r w:rsidRPr="005144EC">
        <w:t>.</w:t>
      </w:r>
      <w:r w:rsidRPr="005144EC" w:rsidR="001E5330">
        <w:t> </w:t>
      </w:r>
      <w:r w:rsidRPr="005144EC">
        <w:t>.</w:t>
      </w:r>
      <w:r w:rsidRPr="005144EC" w:rsidR="001E5330">
        <w:t> </w:t>
      </w:r>
      <w:r w:rsidRPr="005144EC">
        <w:t>.</w:t>
      </w:r>
      <w:r w:rsidRPr="005144EC" w:rsidR="004B7CDB">
        <w:t xml:space="preserve"> </w:t>
      </w:r>
      <w:r w:rsidRPr="005144EC" w:rsidR="00182A9E">
        <w:t>[¶] </w:t>
      </w:r>
      <w:r w:rsidRPr="005144EC" w:rsidR="001E5330">
        <w:t xml:space="preserve"> </w:t>
      </w:r>
      <w:r w:rsidRPr="005144EC">
        <w:t xml:space="preserve">It’s not me that didn’t show remorse. </w:t>
      </w:r>
      <w:r w:rsidRPr="005144EC" w:rsidR="001E5330">
        <w:t xml:space="preserve"> </w:t>
      </w:r>
      <w:r w:rsidRPr="005144EC">
        <w:t>I didn’t do it. . . .</w:t>
      </w:r>
      <w:r w:rsidRPr="005144EC" w:rsidR="00857902">
        <w:t xml:space="preserve">”  </w:t>
      </w:r>
      <w:r w:rsidRPr="005144EC">
        <w:t xml:space="preserve">Defense counsel agreed </w:t>
      </w:r>
      <w:r w:rsidRPr="005144EC" w:rsidR="009E580E">
        <w:t xml:space="preserve">her client </w:t>
      </w:r>
      <w:r w:rsidRPr="005144EC">
        <w:t>had maintained he was innocent from “day one</w:t>
      </w:r>
      <w:r w:rsidRPr="005144EC">
        <w:t>,</w:t>
      </w:r>
      <w:r w:rsidRPr="005144EC">
        <w:t>”</w:t>
      </w:r>
      <w:r w:rsidRPr="005144EC">
        <w:t xml:space="preserve"> and acknowledged “he is angry; he is upset.”</w:t>
      </w:r>
      <w:r w:rsidRPr="005144EC">
        <w:t xml:space="preserve">  She also acknowledged </w:t>
      </w:r>
      <w:r w:rsidRPr="005144EC" w:rsidR="00F90095">
        <w:t xml:space="preserve">that </w:t>
      </w:r>
      <w:r w:rsidRPr="005144EC">
        <w:t xml:space="preserve">his prior section 288 conviction “made this a very difficult case,” and </w:t>
      </w:r>
      <w:r w:rsidRPr="005144EC">
        <w:t xml:space="preserve">stated </w:t>
      </w:r>
      <w:r w:rsidRPr="005144EC">
        <w:t>the only reason he agreed to a negotiated disposition was to avoid the risk of a potential life sentence.  Counsel asked the court to consider a midter</w:t>
      </w:r>
      <w:r w:rsidRPr="005144EC">
        <w:t>m</w:t>
      </w:r>
      <w:r w:rsidRPr="005144EC">
        <w:t xml:space="preserve"> and not impose consecutive sentence</w:t>
      </w:r>
      <w:r w:rsidRPr="005144EC">
        <w:t>s; “</w:t>
      </w:r>
      <w:r w:rsidRPr="005144EC" w:rsidR="00182A9E">
        <w:t>[</w:t>
      </w:r>
      <w:r w:rsidRPr="005144EC">
        <w:t>a</w:t>
      </w:r>
      <w:r w:rsidRPr="005144EC" w:rsidR="00182A9E">
        <w:t>]</w:t>
      </w:r>
      <w:r w:rsidRPr="005144EC">
        <w:t>gain</w:t>
      </w:r>
      <w:r w:rsidRPr="005144EC" w:rsidR="00182A9E">
        <w:t>,</w:t>
      </w:r>
      <w:r w:rsidRPr="005144EC">
        <w:t xml:space="preserve"> my client is adamant that he’s been falsely accused.”  </w:t>
      </w:r>
      <w:r w:rsidRPr="005144EC">
        <w:t xml:space="preserve"> </w:t>
      </w:r>
    </w:p>
    <w:p w:rsidR="002030C7" w:rsidRPr="005144EC" w14:paraId="41CF2235" w14:textId="2CA1A9A8">
      <w:r w:rsidRPr="005144EC">
        <w:tab/>
        <w:t xml:space="preserve">The probation </w:t>
      </w:r>
      <w:r w:rsidRPr="005144EC" w:rsidR="000778E7">
        <w:t xml:space="preserve">officer </w:t>
      </w:r>
      <w:r w:rsidRPr="005144EC">
        <w:t xml:space="preserve">then provided further testimony, stating when he asked defendant about his prior section 288 conviction, he said that case “was all lies, and he was railroaded in that case.”  “[F]or some reason the young men in this case as well as the counselors in that [prior case] were out to get him for some reason.”  </w:t>
      </w:r>
      <w:r w:rsidRPr="005144EC">
        <w:t xml:space="preserve"> </w:t>
      </w:r>
    </w:p>
    <w:p w:rsidR="00901BBA" w:rsidRPr="005144EC" w14:paraId="0F28CFFA" w14:textId="35B093C5">
      <w:r w:rsidRPr="005144EC">
        <w:tab/>
      </w:r>
      <w:r w:rsidRPr="005144EC" w:rsidR="00827E3C">
        <w:t xml:space="preserve">The court </w:t>
      </w:r>
      <w:r w:rsidRPr="005144EC" w:rsidR="009F7542">
        <w:t>found defendant ineligible for probation</w:t>
      </w:r>
      <w:r w:rsidRPr="005144EC" w:rsidR="000A67DF">
        <w:t xml:space="preserve"> </w:t>
      </w:r>
      <w:r w:rsidRPr="005144EC" w:rsidR="009F7542">
        <w:t xml:space="preserve">and </w:t>
      </w:r>
      <w:r w:rsidRPr="005144EC" w:rsidR="009467E3">
        <w:t xml:space="preserve">further found no mitigating factors and </w:t>
      </w:r>
      <w:r w:rsidRPr="005144EC" w:rsidR="00AC5FE6">
        <w:t>seven</w:t>
      </w:r>
      <w:r w:rsidRPr="005144EC" w:rsidR="00CE0421">
        <w:t xml:space="preserve"> aggravating </w:t>
      </w:r>
      <w:r w:rsidRPr="005144EC" w:rsidR="00747308">
        <w:t>factors</w:t>
      </w:r>
      <w:r w:rsidRPr="005144EC" w:rsidR="00CE0421">
        <w:t xml:space="preserve"> </w:t>
      </w:r>
      <w:r w:rsidRPr="005144EC" w:rsidR="009E580E">
        <w:t xml:space="preserve">set forth </w:t>
      </w:r>
      <w:r w:rsidRPr="005144EC" w:rsidR="00CE0421">
        <w:t>in rule 4.421</w:t>
      </w:r>
      <w:r w:rsidRPr="005144EC" w:rsidR="009467E3">
        <w:t xml:space="preserve">. </w:t>
      </w:r>
      <w:r w:rsidRPr="005144EC" w:rsidR="00AC5FE6">
        <w:t xml:space="preserve"> </w:t>
      </w:r>
      <w:r w:rsidRPr="005144EC" w:rsidR="009467E3">
        <w:t>Commenting that the aggravating circumstances “far, far outweigh” the circumstances in mitigation, th</w:t>
      </w:r>
      <w:r w:rsidRPr="005144EC" w:rsidR="00C447F1">
        <w:t>e</w:t>
      </w:r>
      <w:r w:rsidRPr="005144EC" w:rsidR="000C5C0D">
        <w:t xml:space="preserve"> court</w:t>
      </w:r>
      <w:r w:rsidRPr="005144EC" w:rsidR="005C75BA">
        <w:t xml:space="preserve"> sentenced defendant to </w:t>
      </w:r>
      <w:r w:rsidRPr="005144EC" w:rsidR="003E6AAD">
        <w:t xml:space="preserve">a </w:t>
      </w:r>
      <w:r w:rsidRPr="005144EC" w:rsidR="0060259C">
        <w:t>10</w:t>
      </w:r>
      <w:r w:rsidRPr="005144EC" w:rsidR="003E6AAD">
        <w:t>-</w:t>
      </w:r>
      <w:r w:rsidRPr="005144EC" w:rsidR="0060259C">
        <w:t>year</w:t>
      </w:r>
      <w:r w:rsidRPr="005144EC" w:rsidR="003E6AAD">
        <w:t xml:space="preserve"> prison term</w:t>
      </w:r>
      <w:r w:rsidRPr="005144EC" w:rsidR="0060259C">
        <w:t>, comprised of</w:t>
      </w:r>
      <w:r w:rsidRPr="005144EC" w:rsidR="000C5C0D">
        <w:t xml:space="preserve"> the </w:t>
      </w:r>
      <w:r w:rsidRPr="005144EC" w:rsidR="0075545A">
        <w:t>upper</w:t>
      </w:r>
      <w:r w:rsidRPr="005144EC" w:rsidR="0044263F">
        <w:t xml:space="preserve"> term of eight years for </w:t>
      </w:r>
      <w:r w:rsidRPr="005144EC" w:rsidR="00C676D2">
        <w:t>count 5</w:t>
      </w:r>
      <w:r w:rsidRPr="005144EC" w:rsidR="0044263F">
        <w:t xml:space="preserve"> and </w:t>
      </w:r>
      <w:r w:rsidRPr="005144EC" w:rsidR="00CD0B40">
        <w:t>two years</w:t>
      </w:r>
      <w:r w:rsidRPr="005144EC" w:rsidR="0044263F">
        <w:t xml:space="preserve"> </w:t>
      </w:r>
      <w:r w:rsidRPr="005144EC" w:rsidR="00CD0B40">
        <w:t>(</w:t>
      </w:r>
      <w:r w:rsidRPr="005144EC" w:rsidR="0044263F">
        <w:t>one-third</w:t>
      </w:r>
      <w:r w:rsidRPr="005144EC" w:rsidR="00CD0B40">
        <w:t xml:space="preserve"> of the </w:t>
      </w:r>
      <w:r w:rsidRPr="005144EC" w:rsidR="00C676D2">
        <w:t>six-year</w:t>
      </w:r>
      <w:r w:rsidRPr="005144EC" w:rsidR="0044263F">
        <w:t xml:space="preserve"> middle term</w:t>
      </w:r>
      <w:r w:rsidRPr="005144EC" w:rsidR="00CD0B40">
        <w:t>)</w:t>
      </w:r>
      <w:r w:rsidRPr="005144EC" w:rsidR="0075545A">
        <w:t xml:space="preserve"> for </w:t>
      </w:r>
      <w:r w:rsidRPr="005144EC" w:rsidR="00C676D2">
        <w:t>count 6</w:t>
      </w:r>
      <w:r w:rsidRPr="005144EC" w:rsidR="0075545A">
        <w:t>.</w:t>
      </w:r>
      <w:r w:rsidRPr="005144EC" w:rsidR="00613BD6">
        <w:t xml:space="preserve">  </w:t>
      </w:r>
      <w:r w:rsidRPr="005144EC">
        <w:t xml:space="preserve">The remaining counts were </w:t>
      </w:r>
      <w:r w:rsidRPr="005144EC" w:rsidR="0012027A">
        <w:t>dismissed</w:t>
      </w:r>
      <w:r w:rsidRPr="005144EC">
        <w:t>.</w:t>
      </w:r>
    </w:p>
    <w:p w:rsidR="00A477DC" w:rsidRPr="005144EC" w:rsidP="00B54961" w14:paraId="1ACB1096" w14:textId="60D41C3E">
      <w:pPr>
        <w:keepNext/>
        <w:jc w:val="center"/>
        <w:rPr>
          <w:b/>
          <w:bCs/>
        </w:rPr>
      </w:pPr>
      <w:r>
        <w:rPr>
          <w:b/>
          <w:bCs/>
        </w:rPr>
        <w:t xml:space="preserve">III. </w:t>
      </w:r>
      <w:r>
        <w:rPr>
          <w:b/>
          <w:bCs/>
          <w:smallCaps/>
        </w:rPr>
        <w:t>Discussion</w:t>
      </w:r>
    </w:p>
    <w:p w:rsidR="000A67DF" w:rsidRPr="005144EC" w:rsidP="002C4FBF" w14:paraId="58B596D1" w14:textId="444C5109">
      <w:pPr>
        <w:keepNext/>
      </w:pPr>
      <w:r>
        <w:rPr>
          <w:b/>
          <w:bCs/>
          <w:i/>
          <w:iCs/>
        </w:rPr>
        <w:t xml:space="preserve">A. </w:t>
      </w:r>
      <w:r w:rsidRPr="005144EC" w:rsidR="00C03798">
        <w:rPr>
          <w:b/>
          <w:bCs/>
          <w:i/>
          <w:iCs/>
        </w:rPr>
        <w:t>I</w:t>
      </w:r>
      <w:r w:rsidRPr="005144EC">
        <w:rPr>
          <w:b/>
          <w:bCs/>
          <w:i/>
          <w:iCs/>
        </w:rPr>
        <w:t>neligib</w:t>
      </w:r>
      <w:r w:rsidRPr="005144EC" w:rsidR="00C03798">
        <w:rPr>
          <w:b/>
          <w:bCs/>
          <w:i/>
          <w:iCs/>
        </w:rPr>
        <w:t>ility</w:t>
      </w:r>
      <w:r w:rsidRPr="005144EC">
        <w:rPr>
          <w:b/>
          <w:bCs/>
          <w:i/>
          <w:iCs/>
        </w:rPr>
        <w:t xml:space="preserve"> for Probation</w:t>
      </w:r>
    </w:p>
    <w:p w:rsidR="000A67DF" w:rsidRPr="005144EC" w:rsidP="002C4FBF" w14:paraId="284D5CDC" w14:textId="0D7FDB10">
      <w:pPr>
        <w:keepNext/>
      </w:pPr>
      <w:r w:rsidRPr="005144EC">
        <w:tab/>
        <w:t xml:space="preserve">Defendant first contends the trial court (and </w:t>
      </w:r>
      <w:r w:rsidRPr="005144EC" w:rsidR="009467E3">
        <w:t>counsel</w:t>
      </w:r>
      <w:r w:rsidRPr="005144EC">
        <w:t xml:space="preserve">) erred in assuming he was presumptively ineligible for </w:t>
      </w:r>
      <w:r w:rsidRPr="005144EC" w:rsidR="005E27D9">
        <w:t>probation</w:t>
      </w:r>
      <w:r w:rsidRPr="005144EC">
        <w:t xml:space="preserve"> under section 1203, subdivision (e)(5), as stated in the sentencing report.  </w:t>
      </w:r>
      <w:r w:rsidRPr="005144EC" w:rsidR="00A36957">
        <w:t xml:space="preserve">Defendant points out section 1203, subdivision (e)(5) provides such a presumption only where there has been a prior conviction of section 288 as a felony, and he was convicted of violating section 288 as a misdemeanor.    </w:t>
      </w:r>
    </w:p>
    <w:p w:rsidR="00652F31" w:rsidRPr="005144EC" w:rsidP="00652F31" w14:paraId="0C82CDB3" w14:textId="3909FAA7">
      <w:pPr>
        <w:keepNext/>
      </w:pPr>
      <w:r w:rsidRPr="005144EC">
        <w:tab/>
        <w:t xml:space="preserve">While defendant is correct that his misdemeanor conviction did not give rise to a presumption of ineligibility for probation, he made no objection at the time of sentencing to the court’s invocation of such presumption and has therefore waived the issue on appeal.  (See </w:t>
      </w:r>
      <w:r w:rsidRPr="005144EC" w:rsidR="00D6022E">
        <w:rPr>
          <w:rStyle w:val="Emphasis"/>
          <w:bdr w:val="none" w:sz="0" w:space="0" w:color="auto" w:frame="1"/>
          <w:shd w:val="clear" w:color="auto" w:fill="FFFFFF"/>
        </w:rPr>
        <w:t>People v. Scott</w:t>
      </w:r>
      <w:r w:rsidRPr="0013014D" w:rsidR="00182A9E">
        <w:rPr>
          <w:bdr w:val="none" w:sz="0" w:space="0" w:color="auto" w:frame="1"/>
          <w:shd w:val="clear" w:color="auto" w:fill="FFFFFF"/>
        </w:rPr>
        <w:t xml:space="preserve"> </w:t>
      </w:r>
      <w:r w:rsidRPr="0013014D" w:rsidR="00D6022E">
        <w:rPr>
          <w:bdr w:val="none" w:sz="0" w:space="0" w:color="auto" w:frame="1"/>
          <w:shd w:val="clear" w:color="auto" w:fill="FFFFFF"/>
        </w:rPr>
        <w:t>(1994) 9 Cal.4th 331, 353</w:t>
      </w:r>
      <w:r w:rsidRPr="005144EC" w:rsidR="00D6022E">
        <w:rPr>
          <w:shd w:val="clear" w:color="auto" w:fill="FFFFFF"/>
        </w:rPr>
        <w:t>.)</w:t>
      </w:r>
      <w:r w:rsidRPr="005144EC" w:rsidR="009467E3">
        <w:t xml:space="preserve">  </w:t>
      </w:r>
      <w:r w:rsidRPr="005144EC">
        <w:t>Recognizing th</w:t>
      </w:r>
      <w:r w:rsidRPr="005144EC" w:rsidR="00F90095">
        <w:t>is</w:t>
      </w:r>
      <w:r w:rsidRPr="005144EC">
        <w:t xml:space="preserve"> was likely the case, defendant alternatively advances a claim of ineffective assistance of counsel.</w:t>
      </w:r>
    </w:p>
    <w:p w:rsidR="00C03798" w:rsidRPr="005144EC" w:rsidP="00C03798" w14:paraId="2D603C1F" w14:textId="3FA443EB">
      <w:pPr>
        <w:keepNext/>
        <w:rPr>
          <w:rFonts w:eastAsia="Times New Roman" w:cs="Times New Roman"/>
          <w:color w:val="000000"/>
          <w:kern w:val="0"/>
          <w14:ligatures w14:val="none"/>
        </w:rPr>
      </w:pPr>
      <w:r w:rsidRPr="005144EC">
        <w:tab/>
      </w:r>
      <w:r w:rsidRPr="005144EC">
        <w:rPr>
          <w:rFonts w:eastAsia="Times New Roman" w:cs="Times New Roman"/>
          <w:color w:val="000000"/>
          <w:kern w:val="0"/>
          <w14:ligatures w14:val="none"/>
        </w:rPr>
        <w:t xml:space="preserve">The standard of review for an </w:t>
      </w:r>
      <w:r w:rsidRPr="005144EC">
        <w:rPr>
          <w:rFonts w:eastAsia="Times New Roman" w:cs="Times New Roman"/>
          <w:color w:val="000000"/>
          <w:kern w:val="0"/>
          <w:bdr w:val="none" w:sz="0" w:space="0" w:color="auto" w:frame="1"/>
          <w:shd w:val="clear" w:color="auto" w:fill="FFFFFF"/>
          <w14:ligatures w14:val="none"/>
        </w:rPr>
        <w:t>ineffective</w:t>
      </w:r>
      <w:r w:rsidRPr="005144EC">
        <w:rPr>
          <w:rFonts w:eastAsia="Times New Roman" w:cs="Times New Roman"/>
          <w:color w:val="000000"/>
          <w:kern w:val="0"/>
          <w14:ligatures w14:val="none"/>
        </w:rPr>
        <w:t xml:space="preserve"> </w:t>
      </w:r>
      <w:r w:rsidRPr="005144EC">
        <w:rPr>
          <w:rFonts w:eastAsia="Times New Roman" w:cs="Times New Roman"/>
          <w:color w:val="000000"/>
          <w:kern w:val="0"/>
          <w:bdr w:val="none" w:sz="0" w:space="0" w:color="auto" w:frame="1"/>
          <w:shd w:val="clear" w:color="auto" w:fill="FFFFFF"/>
          <w14:ligatures w14:val="none"/>
        </w:rPr>
        <w:t>assistance</w:t>
      </w:r>
      <w:r w:rsidRPr="005144EC">
        <w:rPr>
          <w:rFonts w:eastAsia="Times New Roman" w:cs="Times New Roman"/>
          <w:color w:val="000000"/>
          <w:kern w:val="0"/>
          <w14:ligatures w14:val="none"/>
        </w:rPr>
        <w:t xml:space="preserve"> of </w:t>
      </w:r>
      <w:r w:rsidRPr="005144EC">
        <w:rPr>
          <w:rFonts w:eastAsia="Times New Roman" w:cs="Times New Roman"/>
          <w:color w:val="000000"/>
          <w:kern w:val="0"/>
          <w:bdr w:val="none" w:sz="0" w:space="0" w:color="auto" w:frame="1"/>
          <w:shd w:val="clear" w:color="auto" w:fill="FFFFFF"/>
          <w14:ligatures w14:val="none"/>
        </w:rPr>
        <w:t>counsel</w:t>
      </w:r>
      <w:r w:rsidRPr="005144EC">
        <w:rPr>
          <w:rFonts w:eastAsia="Times New Roman" w:cs="Times New Roman"/>
          <w:color w:val="000000"/>
          <w:kern w:val="0"/>
          <w14:ligatures w14:val="none"/>
        </w:rPr>
        <w:t xml:space="preserve"> claim is well established.</w:t>
      </w:r>
      <w:r w:rsidRPr="005144EC" w:rsidR="001E5330">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First, the defendant must show that counsel</w:t>
      </w:r>
      <w:r w:rsidRPr="005144EC" w:rsidR="00182A9E">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performance was deficient. </w:t>
      </w:r>
      <w:r w:rsidRPr="005144EC" w:rsidR="001E5330">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This </w:t>
      </w:r>
      <w:r w:rsidRPr="005144EC">
        <w:rPr>
          <w:rFonts w:eastAsia="Times New Roman" w:cs="Times New Roman"/>
          <w:color w:val="000000"/>
          <w:kern w:val="0"/>
          <w:bdr w:val="none" w:sz="0" w:space="0" w:color="auto" w:frame="1"/>
          <w:shd w:val="clear" w:color="auto" w:fill="FFFFFF"/>
          <w14:ligatures w14:val="none"/>
        </w:rPr>
        <w:t>requires</w:t>
      </w:r>
      <w:r w:rsidRPr="005144EC">
        <w:rPr>
          <w:rFonts w:eastAsia="Times New Roman" w:cs="Times New Roman"/>
          <w:color w:val="000000"/>
          <w:kern w:val="0"/>
          <w14:ligatures w14:val="none"/>
        </w:rPr>
        <w:t xml:space="preserve"> showing that counsel made errors so serious that counsel was not functioning as the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counsel</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guaranteed the defendant by the Sixth Amendment. </w:t>
      </w:r>
      <w:r w:rsidRPr="005144EC" w:rsidR="001E5330">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Second, the defendant must show that the deficient performance </w:t>
      </w:r>
      <w:r w:rsidRPr="005144EC">
        <w:rPr>
          <w:rFonts w:eastAsia="Times New Roman" w:cs="Times New Roman"/>
          <w:color w:val="000000"/>
          <w:kern w:val="0"/>
          <w:bdr w:val="none" w:sz="0" w:space="0" w:color="auto" w:frame="1"/>
          <w:shd w:val="clear" w:color="auto" w:fill="FFFFFF"/>
          <w14:ligatures w14:val="none"/>
        </w:rPr>
        <w:t>prejudiced</w:t>
      </w:r>
      <w:r w:rsidRPr="005144EC">
        <w:rPr>
          <w:rFonts w:eastAsia="Times New Roman" w:cs="Times New Roman"/>
          <w:color w:val="000000"/>
          <w:kern w:val="0"/>
          <w14:ligatures w14:val="none"/>
        </w:rPr>
        <w:t xml:space="preserve"> the defense.</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sidR="00E10C19">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Strickland v. Washington</w:t>
      </w:r>
      <w:r w:rsidRPr="005144EC">
        <w:rPr>
          <w:rFonts w:eastAsia="Times New Roman" w:cs="Times New Roman"/>
          <w:color w:val="000000"/>
          <w:kern w:val="0"/>
          <w14:ligatures w14:val="none"/>
        </w:rPr>
        <w:t xml:space="preserve"> (1984) 466</w:t>
      </w:r>
      <w:r w:rsidRPr="005144EC" w:rsidR="00E10C19">
        <w:rPr>
          <w:rFonts w:eastAsia="Times New Roman" w:cs="Times New Roman"/>
          <w:color w:val="000000"/>
          <w:kern w:val="0"/>
          <w14:ligatures w14:val="none"/>
        </w:rPr>
        <w:t> </w:t>
      </w:r>
      <w:r w:rsidRPr="005144EC">
        <w:rPr>
          <w:rFonts w:eastAsia="Times New Roman" w:cs="Times New Roman"/>
          <w:color w:val="000000"/>
          <w:kern w:val="0"/>
          <w14:ligatures w14:val="none"/>
        </w:rPr>
        <w:t>U.S. 668, 687.)</w:t>
      </w:r>
      <w:r w:rsidRPr="005144EC" w:rsidR="00E10C19">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However,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a court need not determine whether counsel</w:t>
      </w:r>
      <w:r w:rsidRPr="005144EC" w:rsidR="00182A9E">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performance was deficient before examining the </w:t>
      </w:r>
      <w:r w:rsidRPr="005144EC">
        <w:rPr>
          <w:rFonts w:eastAsia="Times New Roman" w:cs="Times New Roman"/>
          <w:color w:val="000000"/>
          <w:kern w:val="0"/>
          <w:bdr w:val="none" w:sz="0" w:space="0" w:color="auto" w:frame="1"/>
          <w:shd w:val="clear" w:color="auto" w:fill="FFFFFF"/>
          <w14:ligatures w14:val="none"/>
        </w:rPr>
        <w:t>prejudice</w:t>
      </w:r>
      <w:r w:rsidRPr="005144EC">
        <w:rPr>
          <w:rFonts w:eastAsia="Times New Roman" w:cs="Times New Roman"/>
          <w:color w:val="000000"/>
          <w:kern w:val="0"/>
          <w14:ligatures w14:val="none"/>
        </w:rPr>
        <w:t xml:space="preserve"> suffered by the defendant as a result of the alleged deficiencies.</w:t>
      </w:r>
      <w:r w:rsidR="00BE0CAC">
        <w:rPr>
          <w:rFonts w:eastAsia="Times New Roman" w:cs="Times New Roman"/>
          <w:color w:val="000000"/>
          <w:kern w:val="0"/>
          <w14:ligatures w14:val="none"/>
        </w:rPr>
        <w:t>”</w:t>
      </w:r>
      <w:r w:rsidRPr="005144EC" w:rsidR="00E10C19">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Id.</w:t>
      </w:r>
      <w:r w:rsidRPr="005144EC">
        <w:rPr>
          <w:rFonts w:eastAsia="Times New Roman" w:cs="Times New Roman"/>
          <w:color w:val="000000"/>
          <w:kern w:val="0"/>
          <w14:ligatures w14:val="none"/>
        </w:rPr>
        <w:t xml:space="preserve"> at p. 697</w:t>
      </w:r>
      <w:r w:rsidRPr="005144EC" w:rsidR="00BB2971">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sidR="00E10C19">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Indeed, it is often easier to dispose of such a claim based on lack of sufficient </w:t>
      </w:r>
      <w:r w:rsidRPr="005144EC">
        <w:rPr>
          <w:rFonts w:eastAsia="Times New Roman" w:cs="Times New Roman"/>
          <w:color w:val="000000"/>
          <w:kern w:val="0"/>
          <w:bdr w:val="none" w:sz="0" w:space="0" w:color="auto" w:frame="1"/>
          <w:shd w:val="clear" w:color="auto" w:fill="FFFFFF"/>
          <w14:ligatures w14:val="none"/>
        </w:rPr>
        <w:t>prejudice</w:t>
      </w:r>
      <w:r w:rsidRPr="005144EC">
        <w:rPr>
          <w:rFonts w:eastAsia="Times New Roman" w:cs="Times New Roman"/>
          <w:color w:val="000000"/>
          <w:kern w:val="0"/>
          <w14:ligatures w14:val="none"/>
        </w:rPr>
        <w:t xml:space="preserve"> alone. </w:t>
      </w:r>
      <w:r w:rsidRPr="005144EC" w:rsidR="00E10C19">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Ibid</w:t>
      </w:r>
      <w:r w:rsidRPr="005144EC">
        <w:rPr>
          <w:rFonts w:eastAsia="Times New Roman" w:cs="Times New Roman"/>
          <w:color w:val="000000"/>
          <w:kern w:val="0"/>
          <w14:ligatures w14:val="none"/>
        </w:rPr>
        <w:t>.)</w:t>
      </w:r>
      <w:r w:rsidR="00BE0CA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To prevail on an </w:t>
      </w:r>
      <w:r w:rsidRPr="005144EC">
        <w:rPr>
          <w:rFonts w:eastAsia="Times New Roman" w:cs="Times New Roman"/>
          <w:color w:val="000000"/>
          <w:kern w:val="0"/>
          <w:bdr w:val="none" w:sz="0" w:space="0" w:color="auto" w:frame="1"/>
          <w:shd w:val="clear" w:color="auto" w:fill="FFFFFF"/>
          <w14:ligatures w14:val="none"/>
        </w:rPr>
        <w:t>ineffective</w:t>
      </w:r>
      <w:r w:rsidRPr="005144EC">
        <w:rPr>
          <w:rFonts w:eastAsia="Times New Roman" w:cs="Times New Roman"/>
          <w:color w:val="000000"/>
          <w:kern w:val="0"/>
          <w14:ligatures w14:val="none"/>
        </w:rPr>
        <w:t xml:space="preserve"> </w:t>
      </w:r>
      <w:r w:rsidRPr="005144EC">
        <w:rPr>
          <w:rFonts w:eastAsia="Times New Roman" w:cs="Times New Roman"/>
          <w:color w:val="000000"/>
          <w:kern w:val="0"/>
          <w:bdr w:val="none" w:sz="0" w:space="0" w:color="auto" w:frame="1"/>
          <w:shd w:val="clear" w:color="auto" w:fill="FFFFFF"/>
          <w14:ligatures w14:val="none"/>
        </w:rPr>
        <w:t>assistance</w:t>
      </w:r>
      <w:r w:rsidRPr="005144EC">
        <w:rPr>
          <w:rFonts w:eastAsia="Times New Roman" w:cs="Times New Roman"/>
          <w:color w:val="000000"/>
          <w:kern w:val="0"/>
          <w14:ligatures w14:val="none"/>
        </w:rPr>
        <w:t xml:space="preserve"> of </w:t>
      </w:r>
      <w:r w:rsidRPr="005144EC">
        <w:rPr>
          <w:rFonts w:eastAsia="Times New Roman" w:cs="Times New Roman"/>
          <w:color w:val="000000"/>
          <w:kern w:val="0"/>
          <w:bdr w:val="none" w:sz="0" w:space="0" w:color="auto" w:frame="1"/>
          <w:shd w:val="clear" w:color="auto" w:fill="FFFFFF"/>
          <w14:ligatures w14:val="none"/>
        </w:rPr>
        <w:t>counsel</w:t>
      </w:r>
      <w:r w:rsidRPr="005144EC">
        <w:rPr>
          <w:rFonts w:eastAsia="Times New Roman" w:cs="Times New Roman"/>
          <w:color w:val="000000"/>
          <w:kern w:val="0"/>
          <w14:ligatures w14:val="none"/>
        </w:rPr>
        <w:t xml:space="preserve"> claim,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the petitioner must carry his burden of proving </w:t>
      </w:r>
      <w:r w:rsidRPr="005144EC">
        <w:rPr>
          <w:rFonts w:eastAsia="Times New Roman" w:cs="Times New Roman"/>
          <w:color w:val="000000"/>
          <w:kern w:val="0"/>
          <w:bdr w:val="none" w:sz="0" w:space="0" w:color="auto" w:frame="1"/>
          <w:shd w:val="clear" w:color="auto" w:fill="FFFFFF"/>
          <w14:ligatures w14:val="none"/>
        </w:rPr>
        <w:t>prejudice</w:t>
      </w:r>
      <w:r w:rsidRPr="005144EC">
        <w:rPr>
          <w:rFonts w:eastAsia="Times New Roman" w:cs="Times New Roman"/>
          <w:color w:val="000000"/>
          <w:kern w:val="0"/>
          <w14:ligatures w14:val="none"/>
        </w:rPr>
        <w:t xml:space="preserve"> as a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demonstrable reality,</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not simply speculation as to the effect of the errors or omissions of counsel.</w:t>
      </w:r>
      <w:r w:rsidR="00BE0CAC">
        <w:rPr>
          <w:rFonts w:eastAsia="Times New Roman" w:cs="Times New Roman"/>
          <w:color w:val="000000"/>
          <w:kern w:val="0"/>
          <w14:ligatures w14:val="none"/>
        </w:rPr>
        <w:t>”</w:t>
      </w:r>
      <w:r w:rsidRPr="005144EC" w:rsidR="00E10C19">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People v. Williams</w:t>
      </w:r>
      <w:r w:rsidRPr="005144EC">
        <w:rPr>
          <w:rFonts w:eastAsia="Times New Roman" w:cs="Times New Roman"/>
          <w:color w:val="000000"/>
          <w:kern w:val="0"/>
          <w14:ligatures w14:val="none"/>
        </w:rPr>
        <w:t xml:space="preserve"> (1988) 44 Cal.3d 883, 937</w:t>
      </w:r>
      <w:r w:rsidR="00227AA1">
        <w:rPr>
          <w:rFonts w:eastAsia="Times New Roman" w:cs="Times New Roman"/>
          <w:color w:val="000000"/>
          <w:kern w:val="0"/>
          <w14:ligatures w14:val="none"/>
        </w:rPr>
        <w:t xml:space="preserve">, quoting </w:t>
      </w:r>
      <w:r w:rsidRPr="00227AA1" w:rsidR="00227AA1">
        <w:rPr>
          <w:rFonts w:eastAsia="Times New Roman" w:cs="Times New Roman"/>
          <w:i/>
          <w:iCs/>
          <w:color w:val="000000"/>
          <w:kern w:val="0"/>
          <w14:ligatures w14:val="none"/>
        </w:rPr>
        <w:t>People v. Stephenson</w:t>
      </w:r>
      <w:r w:rsidR="00227AA1">
        <w:rPr>
          <w:rFonts w:eastAsia="Times New Roman" w:cs="Times New Roman"/>
          <w:color w:val="000000"/>
          <w:kern w:val="0"/>
          <w14:ligatures w14:val="none"/>
        </w:rPr>
        <w:t xml:space="preserve"> (1974) 10 Cal.3d 652, 661</w:t>
      </w:r>
      <w:r w:rsidRPr="005144EC" w:rsidR="00BB2971">
        <w:rPr>
          <w:rFonts w:eastAsia="Times New Roman" w:cs="Times New Roman"/>
          <w:color w:val="000000"/>
          <w:kern w:val="0"/>
          <w14:ligatures w14:val="none"/>
        </w:rPr>
        <w:t>.</w:t>
      </w:r>
      <w:r w:rsidRPr="005144EC">
        <w:rPr>
          <w:rFonts w:eastAsia="Times New Roman" w:cs="Times New Roman"/>
          <w:color w:val="000000"/>
          <w:kern w:val="0"/>
          <w14:ligatures w14:val="none"/>
        </w:rPr>
        <w:t>)</w:t>
      </w:r>
    </w:p>
    <w:p w:rsidR="00C03798" w:rsidRPr="005144EC" w:rsidP="00C03798" w14:paraId="4A4B936F" w14:textId="4BC37524">
      <w:pPr>
        <w:keepNext/>
        <w:rPr>
          <w:rFonts w:eastAsia="Times New Roman" w:cs="Times New Roman"/>
          <w:color w:val="000000"/>
          <w:kern w:val="0"/>
          <w14:ligatures w14:val="none"/>
        </w:rPr>
      </w:pPr>
      <w:r w:rsidRPr="005144EC">
        <w:rPr>
          <w:rFonts w:eastAsia="Times New Roman" w:cs="Times New Roman"/>
          <w:color w:val="000000"/>
          <w:kern w:val="0"/>
          <w14:ligatures w14:val="none"/>
        </w:rPr>
        <w:tab/>
        <w:t>We agree with the Attorney General that defendant cannot show prejudice attributable to the asserted ineffectiveness of counsel.</w:t>
      </w:r>
      <w:r w:rsidRPr="005144EC" w:rsidR="00A35273">
        <w:rPr>
          <w:rFonts w:eastAsia="Times New Roman" w:cs="Times New Roman"/>
          <w:color w:val="000000"/>
          <w:kern w:val="0"/>
          <w14:ligatures w14:val="none"/>
        </w:rPr>
        <w:t xml:space="preserve">  “The </w:t>
      </w:r>
      <w:r w:rsidRPr="005144EC" w:rsidR="00A35273">
        <w:rPr>
          <w:rFonts w:eastAsia="Times New Roman" w:cs="Times New Roman"/>
          <w:color w:val="000000"/>
          <w:kern w:val="0"/>
          <w:bdr w:val="none" w:sz="0" w:space="0" w:color="auto" w:frame="1"/>
          <w:shd w:val="clear" w:color="auto" w:fill="FFFFFF"/>
          <w14:ligatures w14:val="none"/>
        </w:rPr>
        <w:t>standard</w:t>
      </w:r>
      <w:r w:rsidRPr="005144EC" w:rsidR="00A35273">
        <w:rPr>
          <w:rFonts w:eastAsia="Times New Roman" w:cs="Times New Roman"/>
          <w:color w:val="000000"/>
          <w:kern w:val="0"/>
          <w14:ligatures w14:val="none"/>
        </w:rPr>
        <w:t xml:space="preserve"> for analyzing </w:t>
      </w:r>
      <w:r w:rsidRPr="005144EC" w:rsidR="00A35273">
        <w:rPr>
          <w:rFonts w:eastAsia="Times New Roman" w:cs="Times New Roman"/>
          <w:color w:val="000000"/>
          <w:kern w:val="0"/>
          <w:bdr w:val="none" w:sz="0" w:space="0" w:color="auto" w:frame="1"/>
          <w:shd w:val="clear" w:color="auto" w:fill="FFFFFF"/>
          <w14:ligatures w14:val="none"/>
        </w:rPr>
        <w:t>prejudice</w:t>
      </w:r>
      <w:r w:rsidRPr="005144EC" w:rsidR="00A35273">
        <w:rPr>
          <w:rFonts w:eastAsia="Times New Roman" w:cs="Times New Roman"/>
          <w:color w:val="000000"/>
          <w:kern w:val="0"/>
          <w14:ligatures w14:val="none"/>
        </w:rPr>
        <w:t xml:space="preserve"> in an </w:t>
      </w:r>
      <w:r w:rsidRPr="005144EC" w:rsidR="00A35273">
        <w:rPr>
          <w:rFonts w:eastAsia="Times New Roman" w:cs="Times New Roman"/>
          <w:color w:val="000000"/>
          <w:kern w:val="0"/>
          <w:bdr w:val="none" w:sz="0" w:space="0" w:color="auto" w:frame="1"/>
          <w:shd w:val="clear" w:color="auto" w:fill="FFFFFF"/>
          <w14:ligatures w14:val="none"/>
        </w:rPr>
        <w:t>ineffective</w:t>
      </w:r>
      <w:r w:rsidRPr="005144EC" w:rsidR="00A35273">
        <w:rPr>
          <w:rFonts w:eastAsia="Times New Roman" w:cs="Times New Roman"/>
          <w:color w:val="000000"/>
          <w:kern w:val="0"/>
          <w14:ligatures w14:val="none"/>
        </w:rPr>
        <w:t xml:space="preserve"> </w:t>
      </w:r>
      <w:r w:rsidRPr="005144EC" w:rsidR="00A35273">
        <w:rPr>
          <w:rFonts w:eastAsia="Times New Roman" w:cs="Times New Roman"/>
          <w:color w:val="000000"/>
          <w:kern w:val="0"/>
          <w:bdr w:val="none" w:sz="0" w:space="0" w:color="auto" w:frame="1"/>
          <w:shd w:val="clear" w:color="auto" w:fill="FFFFFF"/>
          <w14:ligatures w14:val="none"/>
        </w:rPr>
        <w:t>assistance</w:t>
      </w:r>
      <w:r w:rsidRPr="005144EC" w:rsidR="00A35273">
        <w:rPr>
          <w:rFonts w:eastAsia="Times New Roman" w:cs="Times New Roman"/>
          <w:color w:val="000000"/>
          <w:kern w:val="0"/>
          <w14:ligatures w14:val="none"/>
        </w:rPr>
        <w:t xml:space="preserve"> of </w:t>
      </w:r>
      <w:r w:rsidRPr="005144EC" w:rsidR="00A35273">
        <w:rPr>
          <w:rFonts w:eastAsia="Times New Roman" w:cs="Times New Roman"/>
          <w:color w:val="000000"/>
          <w:kern w:val="0"/>
          <w:bdr w:val="none" w:sz="0" w:space="0" w:color="auto" w:frame="1"/>
          <w:shd w:val="clear" w:color="auto" w:fill="FFFFFF"/>
          <w14:ligatures w14:val="none"/>
        </w:rPr>
        <w:t>counsel</w:t>
      </w:r>
      <w:r w:rsidRPr="005144EC" w:rsidR="00A35273">
        <w:rPr>
          <w:rFonts w:eastAsia="Times New Roman" w:cs="Times New Roman"/>
          <w:color w:val="000000"/>
          <w:kern w:val="0"/>
          <w14:ligatures w14:val="none"/>
        </w:rPr>
        <w:t xml:space="preserve"> claim mirrors the state </w:t>
      </w:r>
      <w:r w:rsidRPr="005144EC" w:rsidR="00A35273">
        <w:rPr>
          <w:rFonts w:eastAsia="Times New Roman" w:cs="Times New Roman"/>
          <w:color w:val="000000"/>
          <w:kern w:val="0"/>
          <w:bdr w:val="none" w:sz="0" w:space="0" w:color="auto" w:frame="1"/>
          <w:shd w:val="clear" w:color="auto" w:fill="FFFFFF"/>
          <w14:ligatures w14:val="none"/>
        </w:rPr>
        <w:t>standard</w:t>
      </w:r>
      <w:r w:rsidRPr="005144EC" w:rsidR="00A35273">
        <w:rPr>
          <w:rFonts w:eastAsia="Times New Roman" w:cs="Times New Roman"/>
          <w:color w:val="000000"/>
          <w:kern w:val="0"/>
          <w14:ligatures w14:val="none"/>
        </w:rPr>
        <w:t xml:space="preserve"> for </w:t>
      </w:r>
      <w:r w:rsidRPr="005144EC" w:rsidR="00A35273">
        <w:rPr>
          <w:rFonts w:eastAsia="Times New Roman" w:cs="Times New Roman"/>
          <w:color w:val="000000"/>
          <w:kern w:val="0"/>
          <w:bdr w:val="none" w:sz="0" w:space="0" w:color="auto" w:frame="1"/>
          <w:shd w:val="clear" w:color="auto" w:fill="FFFFFF"/>
          <w14:ligatures w14:val="none"/>
        </w:rPr>
        <w:t>prejudicial</w:t>
      </w:r>
      <w:r w:rsidRPr="005144EC" w:rsidR="00A35273">
        <w:rPr>
          <w:rFonts w:eastAsia="Times New Roman" w:cs="Times New Roman"/>
          <w:color w:val="000000"/>
          <w:kern w:val="0"/>
          <w14:ligatures w14:val="none"/>
        </w:rPr>
        <w:t xml:space="preserve"> error. </w:t>
      </w:r>
      <w:r w:rsidRPr="005144EC" w:rsidR="00182A9E">
        <w:rPr>
          <w:rFonts w:eastAsia="Times New Roman" w:cs="Times New Roman"/>
          <w:color w:val="000000"/>
          <w:kern w:val="0"/>
          <w14:ligatures w14:val="none"/>
        </w:rPr>
        <w:t xml:space="preserve"> </w:t>
      </w:r>
      <w:r w:rsidRPr="005144EC" w:rsidR="00A35273">
        <w:rPr>
          <w:rFonts w:eastAsia="Times New Roman" w:cs="Times New Roman"/>
          <w:color w:val="000000"/>
          <w:kern w:val="0"/>
          <w14:ligatures w14:val="none"/>
        </w:rPr>
        <w:t>(</w:t>
      </w:r>
      <w:r w:rsidRPr="005144EC" w:rsidR="00A35273">
        <w:rPr>
          <w:rFonts w:eastAsia="Times New Roman" w:cs="Times New Roman"/>
          <w:i/>
          <w:iCs/>
          <w:color w:val="3D3D3D"/>
          <w:kern w:val="0"/>
          <w:bdr w:val="none" w:sz="0" w:space="0" w:color="auto" w:frame="1"/>
          <w14:ligatures w14:val="none"/>
        </w:rPr>
        <w:t>Richardson v. Superior Court</w:t>
      </w:r>
      <w:r w:rsidRPr="005144EC" w:rsidR="00A35273">
        <w:rPr>
          <w:rFonts w:eastAsia="Times New Roman" w:cs="Times New Roman"/>
          <w:color w:val="000000"/>
          <w:kern w:val="0"/>
          <w14:ligatures w14:val="none"/>
        </w:rPr>
        <w:t xml:space="preserve"> (2008) 43 Cal.4th 1040, 1050</w:t>
      </w:r>
      <w:r w:rsidRPr="005144EC" w:rsidR="00182A9E">
        <w:rPr>
          <w:rFonts w:eastAsia="Times New Roman" w:cs="Times New Roman"/>
          <w:color w:val="000000"/>
          <w:kern w:val="0"/>
          <w14:ligatures w14:val="none"/>
        </w:rPr>
        <w:t>–</w:t>
      </w:r>
      <w:r w:rsidRPr="005144EC" w:rsidR="00A35273">
        <w:rPr>
          <w:rFonts w:eastAsia="Times New Roman" w:cs="Times New Roman"/>
          <w:color w:val="000000"/>
          <w:kern w:val="0"/>
          <w14:ligatures w14:val="none"/>
        </w:rPr>
        <w:t xml:space="preserve">1051. . . .) </w:t>
      </w:r>
      <w:r w:rsidRPr="005144EC" w:rsidR="009467E3">
        <w:rPr>
          <w:rFonts w:eastAsia="Times New Roman" w:cs="Times New Roman"/>
          <w:color w:val="000000"/>
          <w:kern w:val="0"/>
          <w14:ligatures w14:val="none"/>
        </w:rPr>
        <w:t xml:space="preserve"> </w:t>
      </w:r>
      <w:r w:rsidRPr="005144EC" w:rsidR="00A35273">
        <w:rPr>
          <w:rFonts w:eastAsia="Times New Roman" w:cs="Times New Roman"/>
          <w:color w:val="000000"/>
          <w:kern w:val="0"/>
          <w14:ligatures w14:val="none"/>
        </w:rPr>
        <w:t xml:space="preserve">That is, </w:t>
      </w:r>
      <w:r w:rsidRPr="005144EC" w:rsidR="00182A9E">
        <w:rPr>
          <w:rFonts w:eastAsia="Times New Roman" w:cs="Times New Roman"/>
          <w:color w:val="000000"/>
          <w:kern w:val="0"/>
          <w14:ligatures w14:val="none"/>
        </w:rPr>
        <w:t>‘</w:t>
      </w:r>
      <w:r w:rsidRPr="005144EC" w:rsidR="00A35273">
        <w:rPr>
          <w:rFonts w:eastAsia="Times New Roman" w:cs="Times New Roman"/>
          <w:color w:val="000000"/>
          <w:kern w:val="0"/>
          <w14:ligatures w14:val="none"/>
        </w:rPr>
        <w:t xml:space="preserve">a </w:t>
      </w:r>
      <w:r w:rsidRPr="005144EC" w:rsidR="00182A9E">
        <w:rPr>
          <w:rFonts w:eastAsia="Times New Roman" w:cs="Times New Roman"/>
          <w:color w:val="000000"/>
          <w:kern w:val="0"/>
          <w14:ligatures w14:val="none"/>
        </w:rPr>
        <w:t>“</w:t>
      </w:r>
      <w:r w:rsidRPr="005144EC" w:rsidR="00A35273">
        <w:rPr>
          <w:rFonts w:eastAsia="Times New Roman" w:cs="Times New Roman"/>
          <w:color w:val="000000"/>
          <w:kern w:val="0"/>
          <w14:ligatures w14:val="none"/>
        </w:rPr>
        <w:t>miscarriage of justice</w:t>
      </w:r>
      <w:r w:rsidRPr="005144EC" w:rsidR="00182A9E">
        <w:rPr>
          <w:rFonts w:eastAsia="Times New Roman" w:cs="Times New Roman"/>
          <w:color w:val="000000"/>
          <w:kern w:val="0"/>
          <w14:ligatures w14:val="none"/>
        </w:rPr>
        <w:t>”</w:t>
      </w:r>
      <w:r w:rsidRPr="005144EC" w:rsidR="00A35273">
        <w:rPr>
          <w:rFonts w:eastAsia="Times New Roman" w:cs="Times New Roman"/>
          <w:color w:val="000000"/>
          <w:kern w:val="0"/>
          <w14:ligatures w14:val="none"/>
        </w:rPr>
        <w:t xml:space="preserve"> should be declared only when the court, </w:t>
      </w:r>
      <w:r w:rsidRPr="005144EC" w:rsidR="00182A9E">
        <w:rPr>
          <w:rFonts w:eastAsia="Times New Roman" w:cs="Times New Roman"/>
          <w:color w:val="000000"/>
          <w:kern w:val="0"/>
          <w14:ligatures w14:val="none"/>
        </w:rPr>
        <w:t>“</w:t>
      </w:r>
      <w:r w:rsidRPr="005144EC" w:rsidR="00A35273">
        <w:rPr>
          <w:rFonts w:eastAsia="Times New Roman" w:cs="Times New Roman"/>
          <w:color w:val="000000"/>
          <w:kern w:val="0"/>
          <w14:ligatures w14:val="none"/>
        </w:rPr>
        <w:t>after an examination of the entire cause, including the evidence,</w:t>
      </w:r>
      <w:r w:rsidRPr="005144EC" w:rsidR="00182A9E">
        <w:rPr>
          <w:rFonts w:eastAsia="Times New Roman" w:cs="Times New Roman"/>
          <w:color w:val="000000"/>
          <w:kern w:val="0"/>
          <w14:ligatures w14:val="none"/>
        </w:rPr>
        <w:t>”</w:t>
      </w:r>
      <w:r w:rsidRPr="005144EC" w:rsidR="00A35273">
        <w:rPr>
          <w:rFonts w:eastAsia="Times New Roman" w:cs="Times New Roman"/>
          <w:color w:val="000000"/>
          <w:kern w:val="0"/>
          <w14:ligatures w14:val="none"/>
        </w:rPr>
        <w:t xml:space="preserve"> is of the </w:t>
      </w:r>
      <w:r w:rsidRPr="005144EC" w:rsidR="00182A9E">
        <w:rPr>
          <w:rFonts w:eastAsia="Times New Roman" w:cs="Times New Roman"/>
          <w:color w:val="000000"/>
          <w:kern w:val="0"/>
          <w14:ligatures w14:val="none"/>
        </w:rPr>
        <w:t>“</w:t>
      </w:r>
      <w:r w:rsidRPr="005144EC" w:rsidR="00A35273">
        <w:rPr>
          <w:rFonts w:eastAsia="Times New Roman" w:cs="Times New Roman"/>
          <w:color w:val="000000"/>
          <w:kern w:val="0"/>
          <w14:ligatures w14:val="none"/>
        </w:rPr>
        <w:t>opinion</w:t>
      </w:r>
      <w:r w:rsidRPr="005144EC" w:rsidR="00182A9E">
        <w:rPr>
          <w:rFonts w:eastAsia="Times New Roman" w:cs="Times New Roman"/>
          <w:color w:val="000000"/>
          <w:kern w:val="0"/>
          <w14:ligatures w14:val="none"/>
        </w:rPr>
        <w:t>”</w:t>
      </w:r>
      <w:r w:rsidRPr="005144EC" w:rsidR="00A35273">
        <w:rPr>
          <w:rFonts w:eastAsia="Times New Roman" w:cs="Times New Roman"/>
          <w:color w:val="000000"/>
          <w:kern w:val="0"/>
          <w14:ligatures w14:val="none"/>
        </w:rPr>
        <w:t xml:space="preserve"> that it is reasonably probable that a result more favorable to the appealing party would have been reached in the absence of the error.</w:t>
      </w:r>
      <w:r w:rsidRPr="005144EC" w:rsidR="00182A9E">
        <w:rPr>
          <w:rFonts w:eastAsia="Times New Roman" w:cs="Times New Roman"/>
          <w:color w:val="000000"/>
          <w:kern w:val="0"/>
          <w14:ligatures w14:val="none"/>
        </w:rPr>
        <w:t xml:space="preserve">’ </w:t>
      </w:r>
      <w:r w:rsidRPr="005144EC" w:rsidR="00A35273">
        <w:rPr>
          <w:rFonts w:eastAsia="Times New Roman" w:cs="Times New Roman"/>
          <w:color w:val="000000"/>
          <w:kern w:val="0"/>
          <w14:ligatures w14:val="none"/>
        </w:rPr>
        <w:t xml:space="preserve"> (</w:t>
      </w:r>
      <w:r w:rsidRPr="005144EC" w:rsidR="00A35273">
        <w:rPr>
          <w:rFonts w:eastAsia="Times New Roman" w:cs="Times New Roman"/>
          <w:i/>
          <w:iCs/>
          <w:color w:val="3D3D3D"/>
          <w:kern w:val="0"/>
          <w:bdr w:val="none" w:sz="0" w:space="0" w:color="auto" w:frame="1"/>
          <w14:ligatures w14:val="none"/>
        </w:rPr>
        <w:t>People v. Watson</w:t>
      </w:r>
      <w:r w:rsidRPr="005144EC" w:rsidR="00A35273">
        <w:rPr>
          <w:rFonts w:eastAsia="Times New Roman" w:cs="Times New Roman"/>
          <w:color w:val="000000"/>
          <w:kern w:val="0"/>
          <w14:ligatures w14:val="none"/>
        </w:rPr>
        <w:t xml:space="preserve"> (1956) 46 Cal.2d 818, 836. . . .)”  (</w:t>
      </w:r>
      <w:r w:rsidRPr="005144EC" w:rsidR="00A35273">
        <w:rPr>
          <w:rFonts w:eastAsia="Times New Roman" w:cs="Times New Roman"/>
          <w:i/>
          <w:iCs/>
          <w:color w:val="3D3D3D"/>
          <w:kern w:val="0"/>
          <w:bdr w:val="none" w:sz="0" w:space="0" w:color="auto" w:frame="1"/>
          <w14:ligatures w14:val="none"/>
        </w:rPr>
        <w:t>People v. Lepere</w:t>
      </w:r>
      <w:r w:rsidRPr="005144EC" w:rsidR="00A35273">
        <w:rPr>
          <w:rFonts w:eastAsia="Times New Roman" w:cs="Times New Roman"/>
          <w:color w:val="000000"/>
          <w:kern w:val="0"/>
          <w14:ligatures w14:val="none"/>
        </w:rPr>
        <w:t xml:space="preserve"> (2023) 91 Cal.App.5th 727, 738.)</w:t>
      </w:r>
    </w:p>
    <w:p w:rsidR="001D43A4" w:rsidRPr="005144EC" w:rsidP="00C03798" w14:paraId="0D1533B2" w14:textId="37C972E9">
      <w:pPr>
        <w:keepNext/>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There is no reasonable probability </w:t>
      </w:r>
      <w:r w:rsidRPr="005144EC" w:rsidR="006744B1">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 result more favorable to defendant would have ensued had counsel urged that defendant was </w:t>
      </w:r>
      <w:r w:rsidRPr="005144EC" w:rsidR="00316F8D">
        <w:rPr>
          <w:rFonts w:eastAsia="Times New Roman" w:cs="Times New Roman"/>
          <w:color w:val="000000"/>
          <w:kern w:val="0"/>
          <w14:ligatures w14:val="none"/>
        </w:rPr>
        <w:t xml:space="preserve">fully </w:t>
      </w:r>
      <w:r w:rsidRPr="005144EC">
        <w:rPr>
          <w:rFonts w:eastAsia="Times New Roman" w:cs="Times New Roman"/>
          <w:color w:val="000000"/>
          <w:kern w:val="0"/>
          <w14:ligatures w14:val="none"/>
        </w:rPr>
        <w:t>eligible</w:t>
      </w:r>
      <w:r w:rsidRPr="005144EC" w:rsidR="00A142EC">
        <w:rPr>
          <w:rFonts w:eastAsia="Times New Roman" w:cs="Times New Roman"/>
          <w:color w:val="000000"/>
          <w:kern w:val="0"/>
          <w14:ligatures w14:val="none"/>
        </w:rPr>
        <w:t xml:space="preserve">, </w:t>
      </w:r>
      <w:r w:rsidRPr="005144EC" w:rsidR="00316F8D">
        <w:rPr>
          <w:rFonts w:eastAsia="Times New Roman" w:cs="Times New Roman"/>
          <w:color w:val="000000"/>
          <w:kern w:val="0"/>
          <w14:ligatures w14:val="none"/>
        </w:rPr>
        <w:t xml:space="preserve">rather than </w:t>
      </w:r>
      <w:r w:rsidRPr="005144EC" w:rsidR="00A142EC">
        <w:rPr>
          <w:rFonts w:eastAsia="Times New Roman" w:cs="Times New Roman"/>
          <w:color w:val="000000"/>
          <w:kern w:val="0"/>
          <w14:ligatures w14:val="none"/>
        </w:rPr>
        <w:t>presumptively ineligible,</w:t>
      </w:r>
      <w:r w:rsidRPr="005144EC">
        <w:rPr>
          <w:rFonts w:eastAsia="Times New Roman" w:cs="Times New Roman"/>
          <w:color w:val="000000"/>
          <w:kern w:val="0"/>
          <w14:ligatures w14:val="none"/>
        </w:rPr>
        <w:t xml:space="preserve"> for probation.  </w:t>
      </w:r>
      <w:r w:rsidRPr="005144EC" w:rsidR="00BB2971">
        <w:rPr>
          <w:rFonts w:eastAsia="Times New Roman" w:cs="Times New Roman"/>
          <w:color w:val="000000"/>
          <w:kern w:val="0"/>
          <w14:ligatures w14:val="none"/>
        </w:rPr>
        <w:t>First, defendant was</w:t>
      </w:r>
      <w:r w:rsidRPr="005144EC">
        <w:rPr>
          <w:rFonts w:eastAsia="Times New Roman" w:cs="Times New Roman"/>
          <w:color w:val="000000"/>
          <w:kern w:val="0"/>
          <w14:ligatures w14:val="none"/>
        </w:rPr>
        <w:t>, in fact,</w:t>
      </w:r>
      <w:r w:rsidRPr="005144EC" w:rsidR="00BB2971">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wholly </w:t>
      </w:r>
      <w:r w:rsidRPr="005144EC" w:rsidR="00BB2971">
        <w:rPr>
          <w:rFonts w:eastAsia="Times New Roman" w:cs="Times New Roman"/>
          <w:color w:val="000000"/>
          <w:kern w:val="0"/>
          <w14:ligatures w14:val="none"/>
        </w:rPr>
        <w:t>ineligible</w:t>
      </w:r>
      <w:r w:rsidRPr="005144EC">
        <w:rPr>
          <w:rFonts w:eastAsia="Times New Roman" w:cs="Times New Roman"/>
          <w:color w:val="000000"/>
          <w:kern w:val="0"/>
          <w14:ligatures w14:val="none"/>
        </w:rPr>
        <w:t>, not merely presumptively ineligible,</w:t>
      </w:r>
      <w:r w:rsidRPr="005144EC" w:rsidR="00BB2971">
        <w:rPr>
          <w:rFonts w:eastAsia="Times New Roman" w:cs="Times New Roman"/>
          <w:color w:val="000000"/>
          <w:kern w:val="0"/>
          <w14:ligatures w14:val="none"/>
        </w:rPr>
        <w:t xml:space="preserve"> for probation pursuant to section 1203.66, subdivision (a)(5) and (7)</w:t>
      </w:r>
      <w:r w:rsidRPr="005144EC" w:rsidR="00D70506">
        <w:rPr>
          <w:rFonts w:eastAsia="Times New Roman" w:cs="Times New Roman"/>
          <w:color w:val="000000"/>
          <w:kern w:val="0"/>
          <w14:ligatures w14:val="none"/>
        </w:rPr>
        <w:t xml:space="preserve">.  These provisions state, </w:t>
      </w:r>
      <w:r w:rsidRPr="005144EC">
        <w:rPr>
          <w:rFonts w:eastAsia="Times New Roman" w:cs="Times New Roman"/>
          <w:color w:val="000000"/>
          <w:kern w:val="0"/>
          <w14:ligatures w14:val="none"/>
        </w:rPr>
        <w:t xml:space="preserve">“Notwithstanding </w:t>
      </w:r>
      <w:r w:rsidRPr="005144EC">
        <w:rPr>
          <w:rFonts w:eastAsia="Times New Roman" w:cs="Times New Roman"/>
          <w:color w:val="000000"/>
          <w:kern w:val="0"/>
          <w:bdr w:val="none" w:sz="0" w:space="0" w:color="auto" w:frame="1"/>
          <w:shd w:val="clear" w:color="auto" w:fill="FFFFFF"/>
          <w14:ligatures w14:val="none"/>
        </w:rPr>
        <w:t>Section</w:t>
      </w:r>
      <w:r w:rsidRPr="005144EC">
        <w:rPr>
          <w:rFonts w:eastAsia="Times New Roman" w:cs="Times New Roman"/>
          <w:color w:val="000000"/>
          <w:kern w:val="0"/>
          <w14:ligatures w14:val="none"/>
        </w:rPr>
        <w:t xml:space="preserve"> 1203 or any other law, </w:t>
      </w:r>
      <w:r w:rsidRPr="005144EC">
        <w:rPr>
          <w:rFonts w:eastAsia="Times New Roman" w:cs="Times New Roman"/>
          <w:color w:val="000000"/>
          <w:kern w:val="0"/>
          <w:bdr w:val="none" w:sz="0" w:space="0" w:color="auto" w:frame="1"/>
          <w:shd w:val="clear" w:color="auto" w:fill="FFFFFF"/>
          <w14:ligatures w14:val="none"/>
        </w:rPr>
        <w:t>probation</w:t>
      </w:r>
      <w:r w:rsidRPr="005144EC">
        <w:rPr>
          <w:rFonts w:eastAsia="Times New Roman" w:cs="Times New Roman"/>
          <w:color w:val="000000"/>
          <w:kern w:val="0"/>
          <w14:ligatures w14:val="none"/>
        </w:rPr>
        <w:t xml:space="preserve"> shall not be granted to . . .</w:t>
      </w:r>
      <w:r w:rsidRPr="005144EC" w:rsidR="00182A9E">
        <w:rPr>
          <w:rFonts w:eastAsia="Times New Roman" w:cs="Times New Roman"/>
          <w:color w:val="000000"/>
          <w:kern w:val="0"/>
          <w14:ligatures w14:val="none"/>
        </w:rPr>
        <w:t xml:space="preserve"> [¶]  . . . [¶] </w:t>
      </w:r>
      <w:r w:rsidRPr="005144EC">
        <w:rPr>
          <w:color w:val="3D3D3D"/>
          <w:shd w:val="clear" w:color="auto" w:fill="FFFFFF"/>
        </w:rPr>
        <w:t xml:space="preserve">(5) A </w:t>
      </w:r>
      <w:r w:rsidRPr="005144EC">
        <w:rPr>
          <w:color w:val="000000" w:themeColor="text1"/>
          <w:shd w:val="clear" w:color="auto" w:fill="FFFFFF"/>
        </w:rPr>
        <w:t>person who is</w:t>
      </w:r>
      <w:r w:rsidRPr="005144EC" w:rsidR="00E10C19">
        <w:rPr>
          <w:color w:val="000000" w:themeColor="text1"/>
          <w:shd w:val="clear" w:color="auto" w:fill="FFFFFF"/>
        </w:rPr>
        <w:t xml:space="preserve"> convicted </w:t>
      </w:r>
      <w:r w:rsidRPr="005144EC">
        <w:rPr>
          <w:color w:val="000000" w:themeColor="text1"/>
          <w:shd w:val="clear" w:color="auto" w:fill="FFFFFF"/>
        </w:rPr>
        <w:t>of committing a violation</w:t>
      </w:r>
      <w:r w:rsidRPr="005144EC" w:rsidR="00D70506">
        <w:rPr>
          <w:color w:val="000000" w:themeColor="text1"/>
          <w:shd w:val="clear" w:color="auto" w:fill="FFFFFF"/>
        </w:rPr>
        <w:t xml:space="preserve"> of Section 288 or 288.5 and </w:t>
      </w:r>
      <w:r w:rsidRPr="005144EC">
        <w:rPr>
          <w:color w:val="000000" w:themeColor="text1"/>
          <w:shd w:val="clear" w:color="auto" w:fill="FFFFFF"/>
        </w:rPr>
        <w:t>who has been previously</w:t>
      </w:r>
      <w:r w:rsidRPr="005144EC" w:rsidR="00E10C19">
        <w:rPr>
          <w:color w:val="000000" w:themeColor="text1"/>
          <w:shd w:val="clear" w:color="auto" w:fill="FFFFFF"/>
        </w:rPr>
        <w:t xml:space="preserve"> convicted </w:t>
      </w:r>
      <w:r w:rsidRPr="005144EC">
        <w:rPr>
          <w:color w:val="000000" w:themeColor="text1"/>
          <w:shd w:val="clear" w:color="auto" w:fill="FFFFFF"/>
        </w:rPr>
        <w:t>of a violation of</w:t>
      </w:r>
      <w:r w:rsidRPr="005144EC" w:rsidR="00E10C19">
        <w:rPr>
          <w:color w:val="000000" w:themeColor="text1"/>
          <w:shd w:val="clear" w:color="auto" w:fill="FFFFFF"/>
        </w:rPr>
        <w:t xml:space="preserve"> Section 261, </w:t>
      </w:r>
      <w:r w:rsidRPr="005144EC">
        <w:rPr>
          <w:color w:val="000000" w:themeColor="text1"/>
          <w:shd w:val="clear" w:color="auto" w:fill="FFFFFF"/>
        </w:rPr>
        <w:t>264.1, 266, 266c, 267, 285, 286, 287,</w:t>
      </w:r>
      <w:r w:rsidRPr="005144EC" w:rsidR="00E10C19">
        <w:rPr>
          <w:color w:val="000000" w:themeColor="text1"/>
          <w:shd w:val="clear" w:color="auto" w:fill="FFFFFF"/>
        </w:rPr>
        <w:t xml:space="preserve"> 288, 288</w:t>
      </w:r>
      <w:r w:rsidRPr="005144EC">
        <w:rPr>
          <w:color w:val="000000" w:themeColor="text1"/>
          <w:shd w:val="clear" w:color="auto" w:fill="FFFFFF"/>
        </w:rPr>
        <w:t>.5, or 289, or former</w:t>
      </w:r>
      <w:r w:rsidRPr="005144EC" w:rsidR="00E10C19">
        <w:rPr>
          <w:color w:val="000000" w:themeColor="text1"/>
          <w:shd w:val="clear" w:color="auto" w:fill="FFFFFF"/>
        </w:rPr>
        <w:t xml:space="preserve"> Section</w:t>
      </w:r>
      <w:r w:rsidRPr="005144EC" w:rsidR="00182A9E">
        <w:rPr>
          <w:color w:val="000000" w:themeColor="text1"/>
          <w:shd w:val="clear" w:color="auto" w:fill="FFFFFF"/>
        </w:rPr>
        <w:t xml:space="preserve"> 262 or </w:t>
      </w:r>
      <w:r w:rsidRPr="005144EC">
        <w:rPr>
          <w:color w:val="000000" w:themeColor="text1"/>
          <w:shd w:val="clear" w:color="auto" w:fill="FFFFFF"/>
        </w:rPr>
        <w:t xml:space="preserve">288a . . . </w:t>
      </w:r>
      <w:r w:rsidRPr="005144EC" w:rsidR="00182A9E">
        <w:rPr>
          <w:color w:val="000000" w:themeColor="text1"/>
          <w:shd w:val="clear" w:color="auto" w:fill="FFFFFF"/>
        </w:rPr>
        <w:t>[¶]  . . . [¶] </w:t>
      </w:r>
      <w:r w:rsidRPr="005144EC">
        <w:rPr>
          <w:color w:val="000000" w:themeColor="text1"/>
          <w:shd w:val="clear" w:color="auto" w:fill="FFFFFF"/>
        </w:rPr>
        <w:t xml:space="preserve"> [or] </w:t>
      </w:r>
      <w:r w:rsidRPr="005144EC">
        <w:rPr>
          <w:rFonts w:eastAsia="Times New Roman" w:cs="Times New Roman"/>
          <w:color w:val="000000" w:themeColor="text1"/>
          <w:kern w:val="0"/>
          <w14:ligatures w14:val="none"/>
        </w:rPr>
        <w:t xml:space="preserve">(7) A person who is </w:t>
      </w:r>
      <w:r w:rsidRPr="005144EC">
        <w:rPr>
          <w:rFonts w:eastAsia="Times New Roman" w:cs="Times New Roman"/>
          <w:color w:val="000000" w:themeColor="text1"/>
          <w:kern w:val="0"/>
          <w:bdr w:val="none" w:sz="0" w:space="0" w:color="auto" w:frame="1"/>
          <w:shd w:val="clear" w:color="auto" w:fill="FFFFFF"/>
          <w14:ligatures w14:val="none"/>
        </w:rPr>
        <w:t>convicted</w:t>
      </w:r>
      <w:r w:rsidRPr="005144EC">
        <w:rPr>
          <w:rFonts w:eastAsia="Times New Roman" w:cs="Times New Roman"/>
          <w:color w:val="000000" w:themeColor="text1"/>
          <w:kern w:val="0"/>
          <w14:ligatures w14:val="none"/>
        </w:rPr>
        <w:t xml:space="preserve"> of committing a violation of </w:t>
      </w:r>
      <w:r w:rsidRPr="005144EC">
        <w:rPr>
          <w:rFonts w:eastAsia="Times New Roman" w:cs="Times New Roman"/>
          <w:color w:val="000000"/>
          <w:kern w:val="0"/>
          <w:bdr w:val="none" w:sz="0" w:space="0" w:color="auto" w:frame="1"/>
          <w:shd w:val="clear" w:color="auto" w:fill="FFFFFF"/>
          <w14:ligatures w14:val="none"/>
        </w:rPr>
        <w:t>Section</w:t>
      </w:r>
      <w:r w:rsidRPr="005144EC">
        <w:rPr>
          <w:rFonts w:eastAsia="Times New Roman" w:cs="Times New Roman"/>
          <w:color w:val="000000"/>
          <w:kern w:val="0"/>
          <w14:ligatures w14:val="none"/>
        </w:rPr>
        <w:t xml:space="preserve"> </w:t>
      </w:r>
      <w:r w:rsidRPr="005144EC">
        <w:rPr>
          <w:rFonts w:eastAsia="Times New Roman" w:cs="Times New Roman"/>
          <w:color w:val="000000"/>
          <w:kern w:val="0"/>
          <w:bdr w:val="none" w:sz="0" w:space="0" w:color="auto" w:frame="1"/>
          <w:shd w:val="clear" w:color="auto" w:fill="FFFFFF"/>
          <w14:ligatures w14:val="none"/>
        </w:rPr>
        <w:t>288</w:t>
      </w:r>
      <w:r w:rsidRPr="005144EC">
        <w:rPr>
          <w:rFonts w:eastAsia="Times New Roman" w:cs="Times New Roman"/>
          <w:color w:val="000000"/>
          <w:kern w:val="0"/>
          <w14:ligatures w14:val="none"/>
        </w:rPr>
        <w:t xml:space="preserve"> or </w:t>
      </w:r>
      <w:r w:rsidRPr="005144EC">
        <w:rPr>
          <w:rFonts w:eastAsia="Times New Roman" w:cs="Times New Roman"/>
          <w:color w:val="000000"/>
          <w:kern w:val="0"/>
          <w:bdr w:val="none" w:sz="0" w:space="0" w:color="auto" w:frame="1"/>
          <w:shd w:val="clear" w:color="auto" w:fill="FFFFFF"/>
          <w14:ligatures w14:val="none"/>
        </w:rPr>
        <w:t>288</w:t>
      </w:r>
      <w:r w:rsidRPr="005144EC">
        <w:rPr>
          <w:rFonts w:eastAsia="Times New Roman" w:cs="Times New Roman"/>
          <w:color w:val="000000"/>
          <w:kern w:val="0"/>
          <w14:ligatures w14:val="none"/>
        </w:rPr>
        <w:t>.5 against more than one victim.”</w:t>
      </w:r>
      <w:r w:rsidRPr="005144EC" w:rsidR="00182A9E">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sidR="00182A9E">
        <w:rPr>
          <w:rFonts w:eastAsia="Times New Roman" w:cs="Times New Roman"/>
          <w:color w:val="000000"/>
          <w:kern w:val="0"/>
          <w14:ligatures w14:val="none"/>
        </w:rPr>
        <w:t xml:space="preserve">(§ 1203.066, subd. (a)(5), (7).) </w:t>
      </w:r>
      <w:r w:rsidRPr="005144EC" w:rsidR="00AD1462">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Second, even if defendant </w:t>
      </w:r>
      <w:r w:rsidRPr="005144EC" w:rsidR="002F46E6">
        <w:rPr>
          <w:rFonts w:eastAsia="Times New Roman" w:cs="Times New Roman"/>
          <w:color w:val="000000"/>
          <w:kern w:val="0"/>
          <w14:ligatures w14:val="none"/>
        </w:rPr>
        <w:t>was</w:t>
      </w:r>
      <w:r w:rsidRPr="005144EC">
        <w:rPr>
          <w:rFonts w:eastAsia="Times New Roman" w:cs="Times New Roman"/>
          <w:color w:val="000000"/>
          <w:kern w:val="0"/>
          <w14:ligatures w14:val="none"/>
        </w:rPr>
        <w:t xml:space="preserve"> </w:t>
      </w:r>
      <w:r w:rsidRPr="005144EC" w:rsidR="00316F8D">
        <w:rPr>
          <w:rFonts w:eastAsia="Times New Roman" w:cs="Times New Roman"/>
          <w:color w:val="000000"/>
          <w:kern w:val="0"/>
          <w14:ligatures w14:val="none"/>
        </w:rPr>
        <w:t>fully eligible</w:t>
      </w:r>
      <w:r w:rsidRPr="005144EC" w:rsidR="00757B47">
        <w:rPr>
          <w:rFonts w:eastAsia="Times New Roman" w:cs="Times New Roman"/>
          <w:color w:val="000000"/>
          <w:kern w:val="0"/>
          <w14:ligatures w14:val="none"/>
        </w:rPr>
        <w:t xml:space="preserve"> </w:t>
      </w:r>
      <w:r w:rsidRPr="005144EC" w:rsidR="00316F8D">
        <w:rPr>
          <w:rFonts w:eastAsia="Times New Roman" w:cs="Times New Roman"/>
          <w:color w:val="000000"/>
          <w:kern w:val="0"/>
          <w14:ligatures w14:val="none"/>
        </w:rPr>
        <w:t xml:space="preserve">for probation, </w:t>
      </w:r>
      <w:r w:rsidRPr="005144EC">
        <w:rPr>
          <w:rFonts w:eastAsia="Times New Roman" w:cs="Times New Roman"/>
          <w:color w:val="000000"/>
          <w:kern w:val="0"/>
          <w14:ligatures w14:val="none"/>
        </w:rPr>
        <w:t xml:space="preserve">there is no </w:t>
      </w:r>
      <w:r w:rsidRPr="005144EC">
        <w:rPr>
          <w:rFonts w:eastAsia="Times New Roman" w:cs="Times New Roman"/>
          <w:color w:val="000000"/>
          <w:kern w:val="0"/>
          <w14:ligatures w14:val="none"/>
        </w:rPr>
        <w:t xml:space="preserve">reasonable </w:t>
      </w:r>
      <w:r w:rsidRPr="005144EC">
        <w:rPr>
          <w:rFonts w:eastAsia="Times New Roman" w:cs="Times New Roman"/>
          <w:color w:val="000000"/>
          <w:kern w:val="0"/>
          <w14:ligatures w14:val="none"/>
        </w:rPr>
        <w:t>probability</w:t>
      </w:r>
      <w:r w:rsidRPr="005144EC">
        <w:rPr>
          <w:rFonts w:eastAsia="Times New Roman" w:cs="Times New Roman"/>
          <w:color w:val="000000"/>
          <w:kern w:val="0"/>
          <w14:ligatures w14:val="none"/>
        </w:rPr>
        <w:t xml:space="preserve"> the court would have granted probation, </w:t>
      </w:r>
      <w:r w:rsidRPr="005144EC">
        <w:rPr>
          <w:rFonts w:eastAsia="Times New Roman" w:cs="Times New Roman"/>
          <w:color w:val="000000"/>
          <w:kern w:val="0"/>
          <w14:ligatures w14:val="none"/>
        </w:rPr>
        <w:t>given the court</w:t>
      </w:r>
      <w:r w:rsidRPr="005144EC">
        <w:rPr>
          <w:rFonts w:eastAsia="Times New Roman" w:cs="Times New Roman"/>
          <w:color w:val="000000"/>
          <w:kern w:val="0"/>
          <w14:ligatures w14:val="none"/>
        </w:rPr>
        <w:t xml:space="preserve">’s </w:t>
      </w:r>
      <w:r w:rsidRPr="005144EC" w:rsidR="00C03798">
        <w:rPr>
          <w:rFonts w:eastAsia="Times New Roman" w:cs="Times New Roman"/>
          <w:color w:val="000000"/>
          <w:kern w:val="0"/>
          <w14:ligatures w14:val="none"/>
        </w:rPr>
        <w:t>statement</w:t>
      </w:r>
      <w:r w:rsidRPr="005144EC" w:rsidR="006744B1">
        <w:rPr>
          <w:rFonts w:eastAsia="Times New Roman" w:cs="Times New Roman"/>
          <w:color w:val="000000"/>
          <w:kern w:val="0"/>
          <w14:ligatures w14:val="none"/>
        </w:rPr>
        <w:t>s</w:t>
      </w:r>
      <w:r w:rsidRPr="005144EC" w:rsidR="00C03798">
        <w:rPr>
          <w:rFonts w:eastAsia="Times New Roman" w:cs="Times New Roman"/>
          <w:color w:val="000000"/>
          <w:kern w:val="0"/>
          <w14:ligatures w14:val="none"/>
        </w:rPr>
        <w:t xml:space="preserve"> at </w:t>
      </w:r>
      <w:r w:rsidRPr="005144EC" w:rsidR="006744B1">
        <w:rPr>
          <w:rFonts w:eastAsia="Times New Roman" w:cs="Times New Roman"/>
          <w:color w:val="000000"/>
          <w:kern w:val="0"/>
          <w14:ligatures w14:val="none"/>
        </w:rPr>
        <w:t xml:space="preserve">the </w:t>
      </w:r>
      <w:r w:rsidRPr="005144EC" w:rsidR="00C03798">
        <w:rPr>
          <w:rFonts w:eastAsia="Times New Roman" w:cs="Times New Roman"/>
          <w:color w:val="000000"/>
          <w:kern w:val="0"/>
          <w14:ligatures w14:val="none"/>
        </w:rPr>
        <w:t>sentencing</w:t>
      </w:r>
      <w:r w:rsidRPr="005144EC" w:rsidR="006744B1">
        <w:rPr>
          <w:rFonts w:eastAsia="Times New Roman" w:cs="Times New Roman"/>
          <w:color w:val="000000"/>
          <w:kern w:val="0"/>
          <w14:ligatures w14:val="none"/>
        </w:rPr>
        <w:t xml:space="preserve"> hearing</w:t>
      </w:r>
      <w:r w:rsidRPr="005144EC" w:rsidR="00C03798">
        <w:rPr>
          <w:rFonts w:eastAsia="Times New Roman" w:cs="Times New Roman"/>
          <w:color w:val="000000"/>
          <w:kern w:val="0"/>
          <w14:ligatures w14:val="none"/>
        </w:rPr>
        <w:t xml:space="preserve"> and </w:t>
      </w:r>
      <w:r w:rsidRPr="005144EC" w:rsidR="006744B1">
        <w:rPr>
          <w:rFonts w:eastAsia="Times New Roman" w:cs="Times New Roman"/>
          <w:color w:val="000000"/>
          <w:kern w:val="0"/>
          <w14:ligatures w14:val="none"/>
        </w:rPr>
        <w:t xml:space="preserve">its </w:t>
      </w:r>
      <w:r w:rsidRPr="005144EC">
        <w:rPr>
          <w:rFonts w:eastAsia="Times New Roman" w:cs="Times New Roman"/>
          <w:color w:val="000000"/>
          <w:kern w:val="0"/>
          <w14:ligatures w14:val="none"/>
        </w:rPr>
        <w:t xml:space="preserve">imposition of the </w:t>
      </w:r>
      <w:r w:rsidRPr="005144EC" w:rsidR="00AD1462">
        <w:rPr>
          <w:rFonts w:eastAsia="Times New Roman" w:cs="Times New Roman"/>
          <w:color w:val="000000"/>
          <w:kern w:val="0"/>
          <w14:ligatures w14:val="none"/>
        </w:rPr>
        <w:t>maximum allowable sentence under the terms of the plea agreement.</w:t>
      </w:r>
    </w:p>
    <w:p w:rsidR="00C7361D" w:rsidRPr="005144EC" w:rsidP="00BB2971" w14:paraId="4B11AF90" w14:textId="3ECDB04B">
      <w:pPr>
        <w:keepNext/>
        <w:rPr>
          <w:rFonts w:eastAsia="Times New Roman" w:cs="Times New Roman"/>
          <w:b/>
          <w:bCs/>
          <w:i/>
          <w:iCs/>
          <w:color w:val="000000"/>
          <w:kern w:val="0"/>
          <w14:ligatures w14:val="none"/>
        </w:rPr>
      </w:pPr>
      <w:r>
        <w:rPr>
          <w:rFonts w:eastAsia="Times New Roman" w:cs="Times New Roman"/>
          <w:b/>
          <w:bCs/>
          <w:i/>
          <w:iCs/>
          <w:color w:val="000000"/>
          <w:kern w:val="0"/>
          <w14:ligatures w14:val="none"/>
        </w:rPr>
        <w:t xml:space="preserve">B. </w:t>
      </w:r>
      <w:r w:rsidRPr="005144EC">
        <w:rPr>
          <w:rFonts w:eastAsia="Times New Roman" w:cs="Times New Roman"/>
          <w:b/>
          <w:bCs/>
          <w:i/>
          <w:iCs/>
          <w:color w:val="000000"/>
          <w:kern w:val="0"/>
          <w14:ligatures w14:val="none"/>
        </w:rPr>
        <w:t>“Pleading” Aggravati</w:t>
      </w:r>
      <w:r w:rsidR="00635D19">
        <w:rPr>
          <w:rFonts w:eastAsia="Times New Roman" w:cs="Times New Roman"/>
          <w:b/>
          <w:bCs/>
          <w:i/>
          <w:iCs/>
          <w:color w:val="000000"/>
          <w:kern w:val="0"/>
          <w14:ligatures w14:val="none"/>
        </w:rPr>
        <w:t>ng</w:t>
      </w:r>
      <w:r w:rsidRPr="005144EC">
        <w:rPr>
          <w:rFonts w:eastAsia="Times New Roman" w:cs="Times New Roman"/>
          <w:b/>
          <w:bCs/>
          <w:i/>
          <w:iCs/>
          <w:color w:val="000000"/>
          <w:kern w:val="0"/>
          <w14:ligatures w14:val="none"/>
        </w:rPr>
        <w:t xml:space="preserve"> Factors</w:t>
      </w:r>
    </w:p>
    <w:p w:rsidR="00540E20" w:rsidRPr="005144EC" w:rsidP="00540E20" w14:paraId="432112D5" w14:textId="23F7ADB4">
      <w:r w:rsidRPr="005144EC">
        <w:rPr>
          <w:rFonts w:eastAsia="Times New Roman" w:cs="Times New Roman"/>
          <w:b/>
          <w:bCs/>
          <w:color w:val="000000"/>
          <w:kern w:val="0"/>
          <w14:ligatures w14:val="none"/>
        </w:rPr>
        <w:tab/>
      </w:r>
      <w:r w:rsidRPr="005144EC">
        <w:rPr>
          <w:rFonts w:eastAsia="Times New Roman" w:cs="Times New Roman"/>
          <w:color w:val="000000"/>
          <w:kern w:val="0"/>
          <w14:ligatures w14:val="none"/>
        </w:rPr>
        <w:t xml:space="preserve">Defendant contends </w:t>
      </w:r>
      <w:r w:rsidRPr="005144EC" w:rsidR="00757B47">
        <w:rPr>
          <w:rFonts w:eastAsia="Times New Roman" w:cs="Times New Roman"/>
          <w:color w:val="000000"/>
          <w:kern w:val="0"/>
          <w14:ligatures w14:val="none"/>
        </w:rPr>
        <w:t xml:space="preserve">the </w:t>
      </w:r>
      <w:r w:rsidRPr="005144EC">
        <w:rPr>
          <w:rFonts w:eastAsia="Times New Roman" w:cs="Times New Roman"/>
          <w:color w:val="000000"/>
          <w:kern w:val="0"/>
          <w14:ligatures w14:val="none"/>
        </w:rPr>
        <w:t>recent amendments to section 1170, subdivision (b)(1) made by Senate Bill 567</w:t>
      </w:r>
      <w:r w:rsidRPr="005144EC" w:rsidR="00757B47">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require the prosecution to “plead” any aggravating factors it intends to urge at sentencing.  After defendant filed his opening brief, the Court of Appeal in </w:t>
      </w:r>
      <w:r w:rsidRPr="005144EC">
        <w:rPr>
          <w:rFonts w:eastAsia="Times New Roman" w:cs="Times New Roman"/>
          <w:i/>
          <w:iCs/>
          <w:color w:val="000000"/>
          <w:kern w:val="0"/>
          <w14:ligatures w14:val="none"/>
        </w:rPr>
        <w:t xml:space="preserve">People v. Pantaleon </w:t>
      </w:r>
      <w:r w:rsidRPr="005144EC">
        <w:rPr>
          <w:rFonts w:eastAsia="Times New Roman" w:cs="Times New Roman"/>
          <w:color w:val="000000"/>
          <w:kern w:val="0"/>
          <w14:ligatures w14:val="none"/>
        </w:rPr>
        <w:t>(2023) 89</w:t>
      </w:r>
      <w:r w:rsidRPr="005144EC" w:rsidR="00E10C19">
        <w:rPr>
          <w:rFonts w:eastAsia="Times New Roman" w:cs="Times New Roman"/>
          <w:color w:val="000000"/>
          <w:kern w:val="0"/>
          <w14:ligatures w14:val="none"/>
        </w:rPr>
        <w:t> </w:t>
      </w:r>
      <w:r w:rsidRPr="005144EC">
        <w:rPr>
          <w:rFonts w:eastAsia="Times New Roman" w:cs="Times New Roman"/>
          <w:color w:val="000000"/>
          <w:kern w:val="0"/>
          <w14:ligatures w14:val="none"/>
        </w:rPr>
        <w:t>Cal.App.5</w:t>
      </w:r>
      <w:r w:rsidRPr="005144EC" w:rsidR="009511D1">
        <w:rPr>
          <w:rFonts w:eastAsia="Times New Roman" w:cs="Times New Roman"/>
          <w:color w:val="000000"/>
          <w:kern w:val="0"/>
          <w14:ligatures w14:val="none"/>
        </w:rPr>
        <w:t>th</w:t>
      </w:r>
      <w:r w:rsidRPr="005144EC">
        <w:rPr>
          <w:rFonts w:eastAsia="Times New Roman" w:cs="Times New Roman"/>
          <w:color w:val="000000"/>
          <w:kern w:val="0"/>
          <w14:ligatures w14:val="none"/>
        </w:rPr>
        <w:t xml:space="preserve"> </w:t>
      </w:r>
      <w:r w:rsidRPr="005144EC" w:rsidR="009511D1">
        <w:rPr>
          <w:rFonts w:eastAsia="Times New Roman" w:cs="Times New Roman"/>
          <w:color w:val="000000"/>
          <w:kern w:val="0"/>
          <w14:ligatures w14:val="none"/>
        </w:rPr>
        <w:t>932, 939</w:t>
      </w:r>
      <w:r w:rsidRPr="005144EC" w:rsidR="00E10C19">
        <w:rPr>
          <w:rFonts w:eastAsia="Times New Roman" w:cs="Times New Roman"/>
          <w:color w:val="000000"/>
          <w:kern w:val="0"/>
          <w14:ligatures w14:val="none"/>
        </w:rPr>
        <w:t>–</w:t>
      </w:r>
      <w:r w:rsidRPr="005144EC" w:rsidR="009511D1">
        <w:rPr>
          <w:rFonts w:eastAsia="Times New Roman" w:cs="Times New Roman"/>
          <w:color w:val="000000"/>
          <w:kern w:val="0"/>
          <w14:ligatures w14:val="none"/>
        </w:rPr>
        <w:t>941 (</w:t>
      </w:r>
      <w:r w:rsidRPr="005144EC" w:rsidR="009511D1">
        <w:rPr>
          <w:rFonts w:eastAsia="Times New Roman" w:cs="Times New Roman"/>
          <w:i/>
          <w:iCs/>
          <w:color w:val="000000"/>
          <w:kern w:val="0"/>
          <w14:ligatures w14:val="none"/>
        </w:rPr>
        <w:t>Pantaleon</w:t>
      </w:r>
      <w:r w:rsidRPr="005144EC" w:rsidR="009511D1">
        <w:rPr>
          <w:rFonts w:eastAsia="Times New Roman" w:cs="Times New Roman"/>
          <w:color w:val="000000"/>
          <w:kern w:val="0"/>
          <w14:ligatures w14:val="none"/>
        </w:rPr>
        <w:t>)</w:t>
      </w:r>
      <w:r w:rsidRPr="005144EC" w:rsidR="006744B1">
        <w:rPr>
          <w:rFonts w:eastAsia="Times New Roman" w:cs="Times New Roman"/>
          <w:color w:val="000000"/>
          <w:kern w:val="0"/>
          <w14:ligatures w14:val="none"/>
        </w:rPr>
        <w:t xml:space="preserve"> addressed and rejected this </w:t>
      </w:r>
      <w:r w:rsidRPr="005144EC" w:rsidR="009E580E">
        <w:rPr>
          <w:rFonts w:eastAsia="Times New Roman" w:cs="Times New Roman"/>
          <w:color w:val="000000"/>
          <w:kern w:val="0"/>
          <w14:ligatures w14:val="none"/>
        </w:rPr>
        <w:t xml:space="preserve">same </w:t>
      </w:r>
      <w:r w:rsidRPr="005144EC" w:rsidR="006744B1">
        <w:rPr>
          <w:rFonts w:eastAsia="Times New Roman" w:cs="Times New Roman"/>
          <w:color w:val="000000"/>
          <w:kern w:val="0"/>
          <w14:ligatures w14:val="none"/>
        </w:rPr>
        <w:t>contention</w:t>
      </w:r>
      <w:r w:rsidRPr="005144EC" w:rsidR="009511D1">
        <w:rPr>
          <w:rFonts w:eastAsia="Times New Roman" w:cs="Times New Roman"/>
          <w:color w:val="000000"/>
          <w:kern w:val="0"/>
          <w14:ligatures w14:val="none"/>
        </w:rPr>
        <w:t xml:space="preserve">.  </w:t>
      </w:r>
      <w:r w:rsidRPr="005144EC">
        <w:rPr>
          <w:color w:val="000000"/>
        </w:rPr>
        <w:t xml:space="preserve">We agree with the analysis in </w:t>
      </w:r>
      <w:r w:rsidRPr="005144EC">
        <w:rPr>
          <w:i/>
          <w:iCs/>
          <w:color w:val="000000"/>
        </w:rPr>
        <w:t>Pantaleon</w:t>
      </w:r>
      <w:r w:rsidRPr="005144EC">
        <w:rPr>
          <w:color w:val="000000"/>
        </w:rPr>
        <w:t>, which points out there is a significant distinction between “enhancements,” which section 1170.1, subdivision (e) requires “shall be alleged in the accusatory pleading” and “ ‘circumstances in aggravation’ ” addressed by section 1170, subdivision (b), which does not contain a like mandate.  (</w:t>
      </w:r>
      <w:r w:rsidRPr="005144EC">
        <w:rPr>
          <w:i/>
          <w:iCs/>
          <w:color w:val="000000"/>
        </w:rPr>
        <w:t xml:space="preserve">Pantaleon, </w:t>
      </w:r>
      <w:r w:rsidRPr="005144EC">
        <w:rPr>
          <w:color w:val="000000"/>
        </w:rPr>
        <w:t>at pp. 939–940</w:t>
      </w:r>
      <w:r w:rsidRPr="005144EC" w:rsidR="001B0EC8">
        <w:rPr>
          <w:color w:val="000000"/>
        </w:rPr>
        <w:t xml:space="preserve">; </w:t>
      </w:r>
      <w:r w:rsidRPr="005144EC" w:rsidR="00757B47">
        <w:rPr>
          <w:color w:val="000000"/>
        </w:rPr>
        <w:t xml:space="preserve">see </w:t>
      </w:r>
      <w:r w:rsidRPr="005144EC" w:rsidR="001B0EC8">
        <w:rPr>
          <w:i/>
          <w:iCs/>
          <w:color w:val="000000"/>
        </w:rPr>
        <w:t xml:space="preserve">Zepeda v. Superior Court </w:t>
      </w:r>
      <w:r w:rsidRPr="005144EC" w:rsidR="001B0EC8">
        <w:rPr>
          <w:color w:val="000000"/>
        </w:rPr>
        <w:t xml:space="preserve">(2023) </w:t>
      </w:r>
      <w:r w:rsidRPr="005144EC" w:rsidR="007D126E">
        <w:rPr>
          <w:color w:val="000000"/>
        </w:rPr>
        <w:t xml:space="preserve">97 </w:t>
      </w:r>
      <w:r w:rsidRPr="005144EC" w:rsidR="001B0EC8">
        <w:rPr>
          <w:color w:val="000000"/>
        </w:rPr>
        <w:t xml:space="preserve">Cal.App.5th </w:t>
      </w:r>
      <w:r w:rsidRPr="005144EC" w:rsidR="007D126E">
        <w:rPr>
          <w:color w:val="000000"/>
        </w:rPr>
        <w:t>65</w:t>
      </w:r>
      <w:r w:rsidRPr="005144EC" w:rsidR="00C102D4">
        <w:rPr>
          <w:color w:val="000000"/>
        </w:rPr>
        <w:t>, 96–97</w:t>
      </w:r>
      <w:r w:rsidRPr="005144EC" w:rsidR="001B0EC8">
        <w:rPr>
          <w:color w:val="000000"/>
        </w:rPr>
        <w:t xml:space="preserve"> </w:t>
      </w:r>
      <w:r w:rsidRPr="005144EC" w:rsidR="00017F61">
        <w:rPr>
          <w:color w:val="000000"/>
        </w:rPr>
        <w:t>(</w:t>
      </w:r>
      <w:r w:rsidRPr="005144EC" w:rsidR="00017F61">
        <w:rPr>
          <w:i/>
          <w:iCs/>
          <w:color w:val="000000"/>
        </w:rPr>
        <w:t>Zepeda</w:t>
      </w:r>
      <w:r w:rsidRPr="005144EC" w:rsidR="00017F61">
        <w:rPr>
          <w:color w:val="000000"/>
        </w:rPr>
        <w:t xml:space="preserve">) </w:t>
      </w:r>
      <w:r w:rsidRPr="005144EC" w:rsidR="001B0EC8">
        <w:rPr>
          <w:color w:val="000000"/>
        </w:rPr>
        <w:t>[amended statute does not require prosecutor to present evidence supporting aggravating factors at preliminary hearing]</w:t>
      </w:r>
      <w:r w:rsidRPr="005144EC">
        <w:rPr>
          <w:i/>
          <w:iCs/>
          <w:color w:val="000000"/>
        </w:rPr>
        <w:t>.</w:t>
      </w:r>
      <w:r w:rsidRPr="005144EC">
        <w:rPr>
          <w:color w:val="000000"/>
        </w:rPr>
        <w:t xml:space="preserve">)  </w:t>
      </w:r>
    </w:p>
    <w:p w:rsidR="009511D1" w:rsidRPr="005144EC" w:rsidP="00540E20" w14:paraId="743AB17A" w14:textId="6BBDDA54">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Pr>
          <w:rFonts w:eastAsia="Times New Roman" w:cs="Times New Roman"/>
          <w:color w:val="000000"/>
          <w:kern w:val="0"/>
          <w14:ligatures w14:val="none"/>
        </w:rPr>
        <w:t xml:space="preserve">In short, as </w:t>
      </w:r>
      <w:r w:rsidRPr="005144EC">
        <w:rPr>
          <w:rFonts w:eastAsia="Times New Roman" w:cs="Times New Roman"/>
          <w:i/>
          <w:iCs/>
          <w:color w:val="000000"/>
          <w:kern w:val="0"/>
          <w14:ligatures w14:val="none"/>
        </w:rPr>
        <w:t>Pantaleon</w:t>
      </w:r>
      <w:r w:rsidRPr="005144EC">
        <w:rPr>
          <w:rFonts w:eastAsia="Times New Roman" w:cs="Times New Roman"/>
          <w:color w:val="000000"/>
          <w:kern w:val="0"/>
          <w14:ligatures w14:val="none"/>
        </w:rPr>
        <w:t xml:space="preserve"> holds,</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defendant’s sentence was not </w:t>
      </w:r>
      <w:r w:rsidRPr="005144EC" w:rsidR="00316F8D">
        <w:rPr>
          <w:rFonts w:eastAsia="Times New Roman" w:cs="Times New Roman"/>
          <w:color w:val="000000"/>
          <w:kern w:val="0"/>
          <w14:ligatures w14:val="none"/>
        </w:rPr>
        <w:t xml:space="preserve">constitutionally or </w:t>
      </w:r>
      <w:r w:rsidRPr="005144EC">
        <w:rPr>
          <w:rFonts w:eastAsia="Times New Roman" w:cs="Times New Roman"/>
          <w:color w:val="000000"/>
          <w:kern w:val="0"/>
          <w14:ligatures w14:val="none"/>
        </w:rPr>
        <w:t xml:space="preserve">statutorily infirm due to failure to </w:t>
      </w:r>
      <w:r w:rsidRPr="005144EC" w:rsidR="006744B1">
        <w:rPr>
          <w:rFonts w:eastAsia="Times New Roman" w:cs="Times New Roman"/>
          <w:color w:val="000000"/>
          <w:kern w:val="0"/>
          <w14:ligatures w14:val="none"/>
        </w:rPr>
        <w:t xml:space="preserve">allege </w:t>
      </w:r>
      <w:r w:rsidRPr="005144EC">
        <w:rPr>
          <w:rFonts w:eastAsia="Times New Roman" w:cs="Times New Roman"/>
          <w:color w:val="000000"/>
          <w:kern w:val="0"/>
          <w14:ligatures w14:val="none"/>
        </w:rPr>
        <w:t>sentencing factors in aggravation</w:t>
      </w:r>
      <w:r w:rsidRPr="005144EC" w:rsidR="001E7FE7">
        <w:rPr>
          <w:rFonts w:eastAsia="Times New Roman" w:cs="Times New Roman"/>
          <w:color w:val="000000"/>
          <w:kern w:val="0"/>
          <w14:ligatures w14:val="none"/>
        </w:rPr>
        <w:t>.</w:t>
      </w:r>
    </w:p>
    <w:p w:rsidR="004B338A" w:rsidRPr="005144EC" w:rsidP="002C4FBF" w14:paraId="23B9E49F" w14:textId="73F107E8">
      <w:pPr>
        <w:keepNext/>
      </w:pPr>
      <w:r>
        <w:rPr>
          <w:b/>
          <w:bCs/>
          <w:i/>
          <w:iCs/>
        </w:rPr>
        <w:t xml:space="preserve">C. </w:t>
      </w:r>
      <w:r w:rsidRPr="005144EC" w:rsidR="00500624">
        <w:rPr>
          <w:b/>
          <w:bCs/>
          <w:i/>
          <w:iCs/>
        </w:rPr>
        <w:t>Right to Jury Trial</w:t>
      </w:r>
      <w:r w:rsidRPr="005144EC" w:rsidR="00D76283">
        <w:rPr>
          <w:b/>
          <w:bCs/>
          <w:i/>
          <w:iCs/>
        </w:rPr>
        <w:t xml:space="preserve"> on Aggravating Factors</w:t>
      </w:r>
    </w:p>
    <w:p w:rsidR="00F441C3" w:rsidRPr="005144EC" w:rsidP="00B54961" w14:paraId="678D39F3" w14:textId="1A49BE85">
      <w:pPr>
        <w:keepNext/>
        <w:rPr>
          <w:i/>
          <w:iCs/>
        </w:rPr>
      </w:pPr>
      <w:r w:rsidRPr="005144EC">
        <w:tab/>
        <w:t xml:space="preserve">In sentencing defendant to the upper term of eight years on </w:t>
      </w:r>
      <w:r w:rsidRPr="005144EC" w:rsidR="000778E7">
        <w:t xml:space="preserve">one of the section 288, subdivision (a) convictions, </w:t>
      </w:r>
      <w:r w:rsidRPr="005144EC">
        <w:t>the trial court identified seven of the aggravating factors enumerated in rule 4.421.</w:t>
      </w:r>
      <w:r>
        <w:rPr>
          <w:rStyle w:val="FootnoteReference"/>
        </w:rPr>
        <w:footnoteReference w:id="6"/>
      </w:r>
      <w:r w:rsidRPr="005144EC">
        <w:t xml:space="preserve">  Five of these were crime-based: the crime involved acts disclosing a high degree of cruelty, viciousness, or callousness (rule 4.421(a)(1)); the victims were particularly vulnerable (</w:t>
      </w:r>
      <w:r w:rsidRPr="005144EC" w:rsidR="00540E20">
        <w:rPr>
          <w:i/>
          <w:iCs/>
        </w:rPr>
        <w:t>id</w:t>
      </w:r>
      <w:r w:rsidRPr="005144EC" w:rsidR="00540E20">
        <w:t xml:space="preserve">., </w:t>
      </w:r>
      <w:r w:rsidRPr="005144EC">
        <w:t>(a)(3)); defendant threatened one of the witnesses (</w:t>
      </w:r>
      <w:r w:rsidRPr="005144EC" w:rsidR="00540E20">
        <w:rPr>
          <w:i/>
          <w:iCs/>
        </w:rPr>
        <w:t>id</w:t>
      </w:r>
      <w:r w:rsidRPr="005144EC" w:rsidR="00540E20">
        <w:t xml:space="preserve">., </w:t>
      </w:r>
      <w:r w:rsidRPr="005144EC">
        <w:t>(a)(6)); the manner in which the crime was carried out indicated planning, sophistication or professionalism (</w:t>
      </w:r>
      <w:r w:rsidRPr="005144EC" w:rsidR="00540E20">
        <w:rPr>
          <w:i/>
          <w:iCs/>
        </w:rPr>
        <w:t>id</w:t>
      </w:r>
      <w:r w:rsidRPr="005144EC" w:rsidR="00540E20">
        <w:t xml:space="preserve">., </w:t>
      </w:r>
      <w:r w:rsidRPr="005144EC">
        <w:t>(a)(8)); and defendant took advantage of a position or trust or confidence (</w:t>
      </w:r>
      <w:r w:rsidRPr="005144EC" w:rsidR="00540E20">
        <w:rPr>
          <w:i/>
          <w:iCs/>
        </w:rPr>
        <w:t>id</w:t>
      </w:r>
      <w:r w:rsidRPr="005144EC" w:rsidR="00540E20">
        <w:t xml:space="preserve">., </w:t>
      </w:r>
      <w:r w:rsidRPr="005144EC">
        <w:t xml:space="preserve">(a)(11)).  Two </w:t>
      </w:r>
      <w:r w:rsidRPr="005144EC" w:rsidR="004E5BD5">
        <w:t xml:space="preserve">of the </w:t>
      </w:r>
      <w:r w:rsidRPr="005144EC">
        <w:t>aggravating factors related to defendant personally: he engaged in violent conduct that indicated a serious danger to society (</w:t>
      </w:r>
      <w:r w:rsidRPr="005144EC" w:rsidR="00540E20">
        <w:rPr>
          <w:i/>
          <w:iCs/>
        </w:rPr>
        <w:t>id</w:t>
      </w:r>
      <w:r w:rsidRPr="005144EC" w:rsidR="00540E20">
        <w:t xml:space="preserve">., </w:t>
      </w:r>
      <w:r w:rsidRPr="005144EC">
        <w:t>(b)(1)); and his prior convictions were numerous or of increasing seriousness (</w:t>
      </w:r>
      <w:r w:rsidRPr="005144EC" w:rsidR="00540E20">
        <w:rPr>
          <w:i/>
          <w:iCs/>
        </w:rPr>
        <w:t>id</w:t>
      </w:r>
      <w:r w:rsidRPr="005144EC" w:rsidR="00540E20">
        <w:t xml:space="preserve">., </w:t>
      </w:r>
      <w:r w:rsidRPr="005144EC">
        <w:t xml:space="preserve">(b)(2)). </w:t>
      </w:r>
    </w:p>
    <w:p w:rsidR="0032163C" w:rsidRPr="005144EC" w:rsidP="00B54961" w14:paraId="6E4E9B0A" w14:textId="282998F3">
      <w:pPr>
        <w:keepNext/>
        <w:rPr>
          <w:i/>
          <w:iCs/>
        </w:rPr>
      </w:pPr>
      <w:r w:rsidRPr="005144EC">
        <w:tab/>
      </w:r>
      <w:r w:rsidRPr="005144EC" w:rsidR="00EA672A">
        <w:t>Defendant</w:t>
      </w:r>
      <w:r w:rsidRPr="005144EC" w:rsidR="00D61B05">
        <w:t xml:space="preserve">’s principal </w:t>
      </w:r>
      <w:r w:rsidRPr="005144EC">
        <w:t xml:space="preserve">claim on appeal </w:t>
      </w:r>
      <w:r w:rsidRPr="005144EC" w:rsidR="00D61B05">
        <w:t xml:space="preserve">is that </w:t>
      </w:r>
      <w:r w:rsidRPr="005144EC" w:rsidR="00EA672A">
        <w:t xml:space="preserve">the aggravated term imposed </w:t>
      </w:r>
      <w:r w:rsidRPr="005144EC">
        <w:t xml:space="preserve">by the court </w:t>
      </w:r>
      <w:r w:rsidRPr="005144EC" w:rsidR="00EA672A">
        <w:t>is unlawful because he did not, himself</w:t>
      </w:r>
      <w:r w:rsidRPr="005144EC" w:rsidR="004E5BD5">
        <w:t xml:space="preserve"> and in open court</w:t>
      </w:r>
      <w:r w:rsidRPr="005144EC" w:rsidR="00EA672A">
        <w:t xml:space="preserve">, waive his </w:t>
      </w:r>
      <w:r w:rsidRPr="005144EC" w:rsidR="009E580E">
        <w:t xml:space="preserve">constitutional </w:t>
      </w:r>
      <w:r w:rsidRPr="005144EC" w:rsidR="00EA672A">
        <w:t xml:space="preserve">right to jury trial on the facts </w:t>
      </w:r>
      <w:r w:rsidRPr="005144EC">
        <w:t xml:space="preserve">underlying </w:t>
      </w:r>
      <w:r w:rsidRPr="005144EC" w:rsidR="00EA672A">
        <w:t>the aggravated factors</w:t>
      </w:r>
      <w:r w:rsidRPr="005144EC" w:rsidR="004E5BD5">
        <w:t xml:space="preserve">, </w:t>
      </w:r>
      <w:r w:rsidRPr="005144EC" w:rsidR="00EA672A">
        <w:t xml:space="preserve">as required by </w:t>
      </w:r>
      <w:r w:rsidRPr="005144EC" w:rsidR="006744B1">
        <w:rPr>
          <w:i/>
          <w:iCs/>
        </w:rPr>
        <w:t xml:space="preserve">Cunningham v. California </w:t>
      </w:r>
      <w:r w:rsidRPr="005144EC" w:rsidR="006744B1">
        <w:t xml:space="preserve">(2007) 549 U.S. 270 </w:t>
      </w:r>
      <w:r w:rsidRPr="005144EC" w:rsidR="004E5BD5">
        <w:t>(</w:t>
      </w:r>
      <w:r w:rsidRPr="005144EC" w:rsidR="004E5BD5">
        <w:rPr>
          <w:i/>
          <w:iCs/>
        </w:rPr>
        <w:t>Cunningham</w:t>
      </w:r>
      <w:r w:rsidRPr="005144EC" w:rsidR="004E5BD5">
        <w:t xml:space="preserve">) </w:t>
      </w:r>
      <w:r w:rsidRPr="005144EC" w:rsidR="006744B1">
        <w:t xml:space="preserve">and </w:t>
      </w:r>
      <w:r w:rsidRPr="005144EC" w:rsidR="006744B1">
        <w:rPr>
          <w:i/>
          <w:iCs/>
        </w:rPr>
        <w:t xml:space="preserve">Blakely v. Washington </w:t>
      </w:r>
      <w:r w:rsidRPr="005144EC" w:rsidR="006744B1">
        <w:t>(2004) 542 U.S. 296</w:t>
      </w:r>
      <w:r w:rsidRPr="005144EC" w:rsidR="004E5BD5">
        <w:t xml:space="preserve"> (</w:t>
      </w:r>
      <w:r w:rsidRPr="005144EC" w:rsidR="004E5BD5">
        <w:rPr>
          <w:i/>
          <w:iCs/>
        </w:rPr>
        <w:t>Blakely</w:t>
      </w:r>
      <w:r w:rsidRPr="005144EC" w:rsidR="004E5BD5">
        <w:t>)</w:t>
      </w:r>
      <w:r w:rsidRPr="005144EC" w:rsidR="006744B1">
        <w:t>.</w:t>
      </w:r>
      <w:r>
        <w:rPr>
          <w:rStyle w:val="FootnoteReference"/>
        </w:rPr>
        <w:footnoteReference w:id="7"/>
      </w:r>
      <w:r w:rsidRPr="005144EC" w:rsidR="006744B1">
        <w:t xml:space="preserve">  (See generally </w:t>
      </w:r>
      <w:r w:rsidRPr="005144EC" w:rsidR="006744B1">
        <w:rPr>
          <w:i/>
          <w:iCs/>
        </w:rPr>
        <w:t>Black</w:t>
      </w:r>
      <w:r w:rsidRPr="005144EC" w:rsidR="00757B47">
        <w:rPr>
          <w:i/>
          <w:iCs/>
        </w:rPr>
        <w:t xml:space="preserve"> II, supra,</w:t>
      </w:r>
      <w:r w:rsidRPr="005144EC" w:rsidR="001A5AFD">
        <w:t xml:space="preserve"> 41 Cal.4th </w:t>
      </w:r>
      <w:r w:rsidRPr="005144EC" w:rsidR="00757B47">
        <w:t xml:space="preserve">at p. </w:t>
      </w:r>
      <w:r w:rsidRPr="005144EC" w:rsidR="006D4A88">
        <w:t>816</w:t>
      </w:r>
      <w:r w:rsidRPr="005144EC" w:rsidR="001A5AFD">
        <w:t>; Couzens</w:t>
      </w:r>
      <w:r w:rsidRPr="005144EC" w:rsidR="00E10C19">
        <w:t xml:space="preserve"> et al.,</w:t>
      </w:r>
      <w:r w:rsidRPr="005144EC" w:rsidR="00FD4A4B">
        <w:t xml:space="preserve"> </w:t>
      </w:r>
      <w:r w:rsidRPr="005144EC" w:rsidR="001A5AFD">
        <w:t>Sentencing Cal</w:t>
      </w:r>
      <w:r w:rsidRPr="005144EC" w:rsidR="00E10C19">
        <w:t>ifornia</w:t>
      </w:r>
      <w:r w:rsidRPr="005144EC" w:rsidR="001A5AFD">
        <w:t xml:space="preserve"> Crimes</w:t>
      </w:r>
      <w:r w:rsidRPr="005144EC" w:rsidR="001A5AFD">
        <w:rPr>
          <w:i/>
          <w:iCs/>
        </w:rPr>
        <w:t xml:space="preserve"> </w:t>
      </w:r>
      <w:r w:rsidRPr="005144EC">
        <w:t>(</w:t>
      </w:r>
      <w:r w:rsidRPr="005144EC" w:rsidR="00E10C19">
        <w:t xml:space="preserve">The Rutter Group </w:t>
      </w:r>
      <w:r w:rsidRPr="005144EC">
        <w:t xml:space="preserve">2023) </w:t>
      </w:r>
      <w:r w:rsidRPr="005144EC" w:rsidR="006364B4">
        <w:t>¶</w:t>
      </w:r>
      <w:r w:rsidRPr="005144EC" w:rsidR="009E580E">
        <w:t> </w:t>
      </w:r>
      <w:r w:rsidRPr="005144EC">
        <w:t>10:</w:t>
      </w:r>
      <w:r w:rsidRPr="005144EC" w:rsidR="00760874">
        <w:t>1</w:t>
      </w:r>
      <w:r w:rsidRPr="005144EC" w:rsidR="0062013A">
        <w:t xml:space="preserve"> </w:t>
      </w:r>
      <w:r w:rsidRPr="005144EC" w:rsidR="0053763E">
        <w:t>et seq</w:t>
      </w:r>
      <w:r w:rsidRPr="005144EC">
        <w:t>.)</w:t>
      </w:r>
      <w:r w:rsidRPr="005144EC" w:rsidR="0095486C">
        <w:t xml:space="preserve"> </w:t>
      </w:r>
      <w:r w:rsidRPr="005144EC" w:rsidR="006D4A88">
        <w:t xml:space="preserve">  </w:t>
      </w:r>
    </w:p>
    <w:p w:rsidR="00540E20" w:rsidRPr="005144EC" w:rsidP="00540E20" w14:paraId="7D46186A" w14:textId="1C823F91">
      <w:r w:rsidRPr="005144EC">
        <w:tab/>
      </w:r>
      <w:r w:rsidRPr="005144EC">
        <w:t xml:space="preserve">Federal constitutional precedent establishes that “ ‘[o]ther than the fact of a prior conviction, </w:t>
      </w:r>
      <w:r w:rsidRPr="005144EC">
        <w:rPr>
          <w:i/>
          <w:iCs/>
        </w:rPr>
        <w:t>any</w:t>
      </w:r>
      <w:r w:rsidRPr="005144EC">
        <w:t xml:space="preserve"> fact that increases the penalty for a crime beyond the prescribed statutory maximum must be submitted to a jury, and proved beyond a reasonable doubt.’  (</w:t>
      </w:r>
      <w:r w:rsidRPr="005144EC">
        <w:rPr>
          <w:i/>
          <w:iCs/>
        </w:rPr>
        <w:t>Apprendi</w:t>
      </w:r>
      <w:r w:rsidRPr="005144EC">
        <w:t xml:space="preserve"> [</w:t>
      </w:r>
      <w:r w:rsidRPr="005144EC">
        <w:rPr>
          <w:i/>
          <w:iCs/>
        </w:rPr>
        <w:t>v. New Jersey</w:t>
      </w:r>
      <w:r w:rsidRPr="005144EC">
        <w:t xml:space="preserve"> (2000)] 530 U.S. [466,] 490 . . . [(</w:t>
      </w:r>
      <w:r w:rsidRPr="005144EC">
        <w:rPr>
          <w:i/>
          <w:iCs/>
        </w:rPr>
        <w:t>Apprendi</w:t>
      </w:r>
      <w:r w:rsidRPr="005144EC">
        <w:t>)].)”  (</w:t>
      </w:r>
      <w:r w:rsidRPr="005144EC">
        <w:rPr>
          <w:i/>
          <w:iCs/>
        </w:rPr>
        <w:t xml:space="preserve">Black II, supra, </w:t>
      </w:r>
      <w:r w:rsidRPr="005144EC">
        <w:t xml:space="preserve">41 Cal.4th at p. 814.)  The “relevant ‘statutory maximum’ is not the maximum sentence a judge may impose after finding additional facts, but the maximum [the judge] may impose </w:t>
      </w:r>
      <w:r w:rsidRPr="005144EC">
        <w:rPr>
          <w:i/>
          <w:iCs/>
        </w:rPr>
        <w:t xml:space="preserve">without </w:t>
      </w:r>
      <w:r w:rsidRPr="005144EC">
        <w:t>any additional findings.”  (</w:t>
      </w:r>
      <w:r w:rsidRPr="005144EC">
        <w:rPr>
          <w:i/>
          <w:iCs/>
        </w:rPr>
        <w:t>Blakely, supra,</w:t>
      </w:r>
      <w:r w:rsidRPr="005144EC">
        <w:t xml:space="preserve"> 542 U.S. at pp. 303–304.)</w:t>
      </w:r>
    </w:p>
    <w:p w:rsidR="00540E20" w:rsidRPr="005144EC" w:rsidP="00540E20" w14:paraId="052388F5" w14:textId="209D5824">
      <w:r w:rsidRPr="005144EC">
        <w:tab/>
        <w:t>There are two exceptions to a defendant’s Sixth Amendment right to a jury trial on aggravating facts—facts admitted by the defendant and the fact of a prior conviction.  (</w:t>
      </w:r>
      <w:r w:rsidRPr="005144EC">
        <w:rPr>
          <w:i/>
          <w:iCs/>
        </w:rPr>
        <w:t>People v. Sandoval</w:t>
      </w:r>
      <w:r w:rsidRPr="005144EC">
        <w:t xml:space="preserve"> (2007) 41 Cal.4th 825, 836–837 (</w:t>
      </w:r>
      <w:r w:rsidRPr="005144EC">
        <w:rPr>
          <w:i/>
          <w:iCs/>
        </w:rPr>
        <w:t>Sandoval</w:t>
      </w:r>
      <w:r w:rsidRPr="005144EC">
        <w:t xml:space="preserve">), citing </w:t>
      </w:r>
      <w:r w:rsidRPr="005144EC">
        <w:rPr>
          <w:i/>
          <w:iCs/>
        </w:rPr>
        <w:t xml:space="preserve">Blakely, supra, </w:t>
      </w:r>
      <w:r w:rsidRPr="005144EC">
        <w:t xml:space="preserve">542 U.S. at pp. 301, 303; </w:t>
      </w:r>
      <w:r w:rsidRPr="005144EC">
        <w:rPr>
          <w:i/>
          <w:iCs/>
        </w:rPr>
        <w:t>Apprendi</w:t>
      </w:r>
      <w:r w:rsidRPr="005144EC">
        <w:t xml:space="preserve">, </w:t>
      </w:r>
      <w:r w:rsidRPr="005144EC">
        <w:rPr>
          <w:i/>
          <w:iCs/>
        </w:rPr>
        <w:t>supra</w:t>
      </w:r>
      <w:r w:rsidRPr="005144EC">
        <w:t>, 530 U.S. at p. 490</w:t>
      </w:r>
      <w:r w:rsidRPr="005144EC" w:rsidR="0029567E">
        <w:t xml:space="preserve">; see </w:t>
      </w:r>
      <w:r w:rsidRPr="005144EC" w:rsidR="0029567E">
        <w:rPr>
          <w:i/>
          <w:iCs/>
        </w:rPr>
        <w:t xml:space="preserve">People v. Wiley </w:t>
      </w:r>
      <w:r w:rsidRPr="005144EC" w:rsidR="0029567E">
        <w:t xml:space="preserve">(2023) __ Cal.App.5th __, 2023 WL 8252049, </w:t>
      </w:r>
      <w:r w:rsidR="00DC2B2E">
        <w:t xml:space="preserve">at p. </w:t>
      </w:r>
      <w:r w:rsidRPr="005144EC" w:rsidR="0029567E">
        <w:t>*3 (</w:t>
      </w:r>
      <w:r w:rsidRPr="005144EC" w:rsidR="0029567E">
        <w:rPr>
          <w:i/>
          <w:iCs/>
        </w:rPr>
        <w:t>Wiley</w:t>
      </w:r>
      <w:r w:rsidRPr="005144EC" w:rsidR="0029567E">
        <w:t>) [“</w:t>
      </w:r>
      <w:r w:rsidRPr="005144EC" w:rsidR="00C102D4">
        <w:t xml:space="preserve"> ‘</w:t>
      </w:r>
      <w:r w:rsidRPr="005144EC" w:rsidR="0029567E">
        <w:t xml:space="preserve">aggravating circumstances based on a defendant’s criminal history that render the defendant eligible for the upper term include a trial court’s finding that the defendant suffered a prior conviction,” citing </w:t>
      </w:r>
      <w:r w:rsidRPr="005144EC" w:rsidR="0029567E">
        <w:rPr>
          <w:i/>
          <w:iCs/>
        </w:rPr>
        <w:t>Black II</w:t>
      </w:r>
      <w:r w:rsidRPr="005144EC" w:rsidR="00884E47">
        <w:t>].)</w:t>
      </w:r>
      <w:r w:rsidRPr="005144EC">
        <w:t xml:space="preserve">  Otherwise, the defendant must waive his Sixth Amendment right to jury trial in order for the trial court to find aggravating circumstances that increase the defendant’s sentence beyond the statutory maximum.  (See </w:t>
      </w:r>
      <w:r w:rsidRPr="005144EC">
        <w:rPr>
          <w:i/>
          <w:iCs/>
        </w:rPr>
        <w:t xml:space="preserve">Black II, supra, </w:t>
      </w:r>
      <w:r w:rsidRPr="005144EC">
        <w:t>41 Cal.4th</w:t>
      </w:r>
      <w:r w:rsidRPr="005144EC">
        <w:rPr>
          <w:i/>
          <w:iCs/>
        </w:rPr>
        <w:t xml:space="preserve"> </w:t>
      </w:r>
      <w:r w:rsidRPr="005144EC">
        <w:t xml:space="preserve">at p. 816; </w:t>
      </w:r>
      <w:r w:rsidRPr="005144EC">
        <w:rPr>
          <w:i/>
          <w:iCs/>
        </w:rPr>
        <w:t>People v. French</w:t>
      </w:r>
      <w:r w:rsidRPr="005144EC">
        <w:t xml:space="preserve"> (2008) 43 Cal.4th 36, 47–48 (</w:t>
      </w:r>
      <w:r w:rsidRPr="005144EC">
        <w:rPr>
          <w:i/>
          <w:iCs/>
        </w:rPr>
        <w:t>French</w:t>
      </w:r>
      <w:r w:rsidRPr="005144EC">
        <w:t>)</w:t>
      </w:r>
      <w:r w:rsidRPr="005144EC">
        <w:rPr>
          <w:i/>
          <w:iCs/>
        </w:rPr>
        <w:t>.</w:t>
      </w:r>
      <w:r w:rsidRPr="005144EC">
        <w:t xml:space="preserve">) </w:t>
      </w:r>
    </w:p>
    <w:p w:rsidR="00130052" w:rsidRPr="005144EC" w:rsidP="00540E20" w14:paraId="42EF30B0" w14:textId="3F49C897">
      <w:pPr>
        <w:rPr>
          <w:rFonts w:eastAsia="Times New Roman" w:cs="Times New Roman"/>
          <w:color w:val="000000"/>
          <w:kern w:val="0"/>
          <w14:ligatures w14:val="none"/>
        </w:rPr>
      </w:pPr>
      <w:r w:rsidRPr="005144EC">
        <w:tab/>
        <w:t xml:space="preserve">Applying the principles established in </w:t>
      </w:r>
      <w:r w:rsidRPr="005144EC">
        <w:rPr>
          <w:i/>
          <w:iCs/>
        </w:rPr>
        <w:t>Apprendi</w:t>
      </w:r>
      <w:r w:rsidRPr="005144EC">
        <w:t xml:space="preserve"> and its progeny, our Supreme Court ruled in </w:t>
      </w:r>
      <w:r w:rsidRPr="005144EC">
        <w:rPr>
          <w:i/>
          <w:iCs/>
        </w:rPr>
        <w:t>Black</w:t>
      </w:r>
      <w:r w:rsidRPr="005144EC" w:rsidR="004E5BD5">
        <w:rPr>
          <w:i/>
          <w:iCs/>
        </w:rPr>
        <w:t xml:space="preserve"> II</w:t>
      </w:r>
      <w:r w:rsidRPr="005144EC">
        <w:rPr>
          <w:i/>
          <w:iCs/>
        </w:rPr>
        <w:t xml:space="preserve"> </w:t>
      </w:r>
      <w:r w:rsidRPr="005144EC">
        <w:t>that “imposition of the upper term does not infringe upon the defendant’s constitutional right to jury trial so long as one legally sufficient aggravating circumstance has been found to exist by the jury, has been admitted by the defendant, or is justified based upon the defendant’s record of prior convictions.”  (</w:t>
      </w:r>
      <w:r w:rsidRPr="005144EC">
        <w:rPr>
          <w:i/>
          <w:iCs/>
        </w:rPr>
        <w:t>Black</w:t>
      </w:r>
      <w:r w:rsidRPr="005144EC" w:rsidR="004E5BD5">
        <w:rPr>
          <w:i/>
          <w:iCs/>
        </w:rPr>
        <w:t xml:space="preserve"> II</w:t>
      </w:r>
      <w:r w:rsidRPr="005144EC">
        <w:rPr>
          <w:i/>
          <w:iCs/>
        </w:rPr>
        <w:t xml:space="preserve">, supra, </w:t>
      </w:r>
      <w:r w:rsidRPr="005144EC">
        <w:t>41 Cal.4th at p.</w:t>
      </w:r>
      <w:r w:rsidRPr="005144EC" w:rsidR="00BE2A35">
        <w:t> </w:t>
      </w:r>
      <w:r w:rsidRPr="005144EC" w:rsidR="00947087">
        <w:t>816</w:t>
      </w:r>
      <w:r w:rsidRPr="005144EC">
        <w:t>.)  The court explained that “s</w:t>
      </w:r>
      <w:r w:rsidRPr="005144EC">
        <w:rPr>
          <w:rFonts w:eastAsia="Times New Roman" w:cs="Times New Roman"/>
          <w:color w:val="000000"/>
          <w:kern w:val="0"/>
          <w14:ligatures w14:val="none"/>
        </w:rPr>
        <w:t xml:space="preserve">o long as a defendant is </w:t>
      </w:r>
      <w:r w:rsidRPr="005144EC">
        <w:rPr>
          <w:rFonts w:eastAsia="Times New Roman" w:cs="Times New Roman"/>
          <w:i/>
          <w:iCs/>
          <w:color w:val="3D3D3D"/>
          <w:kern w:val="0"/>
          <w:bdr w:val="none" w:sz="0" w:space="0" w:color="auto" w:frame="1"/>
          <w14:ligatures w14:val="none"/>
        </w:rPr>
        <w:t>eligible</w:t>
      </w:r>
      <w:r w:rsidRPr="005144EC">
        <w:rPr>
          <w:rFonts w:eastAsia="Times New Roman" w:cs="Times New Roman"/>
          <w:color w:val="000000"/>
          <w:kern w:val="0"/>
          <w14:ligatures w14:val="none"/>
        </w:rPr>
        <w:t xml:space="preserve"> for the upper term by virtue of facts that have been established consistently with Sixth Amendment principles, the federal Constitution permits the trial court to rely upon any number of aggravating circumstances in exercising its discretion to select the appropriate term by balancing aggravating and mitigating circumstances, regardless of whether the facts underlying those circumstances have been found to be true by a jury.</w:t>
      </w:r>
      <w:r w:rsidRPr="005144EC" w:rsidR="00182A9E">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sidR="00182A9E">
        <w:rPr>
          <w:rFonts w:eastAsia="Times New Roman" w:cs="Times New Roman"/>
          <w:i/>
          <w:iCs/>
          <w:color w:val="000000"/>
          <w:kern w:val="0"/>
          <w14:ligatures w14:val="none"/>
        </w:rPr>
        <w:t>Black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at p. 81</w:t>
      </w:r>
      <w:r w:rsidRPr="005144EC" w:rsidR="00182A9E">
        <w:rPr>
          <w:rFonts w:eastAsia="Times New Roman" w:cs="Times New Roman"/>
          <w:color w:val="000000"/>
          <w:kern w:val="0"/>
          <w14:ligatures w14:val="none"/>
        </w:rPr>
        <w:t>3</w:t>
      </w:r>
      <w:r w:rsidRPr="005144EC">
        <w:rPr>
          <w:rFonts w:eastAsia="Times New Roman" w:cs="Times New Roman"/>
          <w:color w:val="000000"/>
          <w:kern w:val="0"/>
          <w14:ligatures w14:val="none"/>
        </w:rPr>
        <w:t>.)  “</w:t>
      </w:r>
      <w:r w:rsidRPr="005144EC" w:rsidR="00182A9E">
        <w:rPr>
          <w:rFonts w:eastAsia="Times New Roman" w:cs="Times New Roman"/>
          <w:color w:val="000000"/>
          <w:kern w:val="0"/>
          <w14:ligatures w14:val="none"/>
        </w:rPr>
        <w:t> </w:t>
      </w:r>
      <w:r w:rsidRPr="005144EC">
        <w:rPr>
          <w:rFonts w:eastAsia="Times New Roman" w:cs="Times New Roman"/>
          <w:color w:val="000000"/>
          <w:kern w:val="0"/>
          <w14:ligatures w14:val="none"/>
        </w:rPr>
        <w:t>‘Judicial factfinding in the course of selecting a sentence within the authorized range does not implicate the indictment, jury-trial, and reasonable-doubt components of the Fifth and Sixth Amendments.’</w:t>
      </w:r>
      <w:r w:rsidRPr="005144EC" w:rsidR="00BE2A35">
        <w:rPr>
          <w:rFonts w:eastAsia="Times New Roman" w:cs="Times New Roman"/>
          <w:color w:val="000000"/>
          <w:kern w:val="0"/>
          <w14:ligatures w14:val="none"/>
        </w:rPr>
        <w:t xml:space="preserve"> </w:t>
      </w:r>
      <w:r w:rsidRPr="005144EC">
        <w:rPr>
          <w:rFonts w:eastAsia="Times New Roman" w:cs="Times New Roman"/>
          <w:noProof/>
          <w:color w:val="000000"/>
          <w:kern w:val="0"/>
          <w:bdr w:val="none" w:sz="0" w:space="0" w:color="auto" w:frame="1"/>
          <w:shd w:val="clear" w:color="auto" w:fill="FFFFFF"/>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Harris v. United States</w:t>
      </w:r>
      <w:r w:rsidRPr="005144EC">
        <w:rPr>
          <w:rFonts w:eastAsia="Times New Roman" w:cs="Times New Roman"/>
          <w:color w:val="000000"/>
          <w:kern w:val="0"/>
          <w14:ligatures w14:val="none"/>
        </w:rPr>
        <w:t xml:space="preserve"> (2002) 536 U.S. 545, 558. . . .)</w:t>
      </w:r>
      <w:r w:rsidRPr="005144EC" w:rsidR="00BE2A35">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Facts considered by trial courts in exercising their discretion within the statutory range of punishment authorized for a crime ‘have been the traditional domain of judges; they have not been alleged in the indictment or proved beyond a reasonable doubt. </w:t>
      </w:r>
      <w:r w:rsidRPr="005144EC" w:rsidR="00182A9E">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There is no reason to believe that those who framed the Fifth and Sixth Amendments would have thought of them as the elements of the crime.’</w:t>
      </w:r>
      <w:r w:rsidRPr="005144EC" w:rsidR="00BE2A35">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Id.</w:t>
      </w:r>
      <w:r w:rsidRPr="005144EC">
        <w:rPr>
          <w:rFonts w:eastAsia="Times New Roman" w:cs="Times New Roman"/>
          <w:color w:val="000000"/>
          <w:kern w:val="0"/>
          <w14:ligatures w14:val="none"/>
        </w:rPr>
        <w:t xml:space="preserve"> at p. 560; see </w:t>
      </w:r>
      <w:r w:rsidRPr="005144EC">
        <w:rPr>
          <w:rFonts w:eastAsia="Times New Roman" w:cs="Times New Roman"/>
          <w:i/>
          <w:iCs/>
          <w:color w:val="3D3D3D"/>
          <w:kern w:val="0"/>
          <w:bdr w:val="none" w:sz="0" w:space="0" w:color="auto" w:frame="1"/>
          <w14:ligatures w14:val="none"/>
        </w:rPr>
        <w:t>Rita v. United States, supra,</w:t>
      </w:r>
      <w:r w:rsidRPr="005144EC">
        <w:rPr>
          <w:rFonts w:eastAsia="Times New Roman" w:cs="Times New Roman"/>
          <w:color w:val="000000"/>
          <w:kern w:val="0"/>
          <w14:ligatures w14:val="none"/>
        </w:rPr>
        <w:t xml:space="preserve"> 551 U.S. at p. –––– . . . [the </w:t>
      </w:r>
      <w:r w:rsidRPr="005144EC" w:rsidR="00182A9E">
        <w:rPr>
          <w:rFonts w:eastAsia="Times New Roman" w:cs="Times New Roman"/>
          <w:color w:val="000000"/>
          <w:kern w:val="0"/>
          <w14:ligatures w14:val="none"/>
        </w:rPr>
        <w:t>‘</w:t>
      </w:r>
      <w:r w:rsidRPr="005144EC">
        <w:rPr>
          <w:rFonts w:eastAsia="Times New Roman" w:cs="Times New Roman"/>
          <w:color w:val="000000"/>
          <w:kern w:val="0"/>
          <w14:ligatures w14:val="none"/>
        </w:rPr>
        <w:t>Sixth Amendment cases do not automatically forbid a sentencing court to take account of factual matters not determined by a jury and to increase the sentence in consequence</w:t>
      </w:r>
      <w:r w:rsidRPr="005144EC" w:rsidR="00182A9E">
        <w:rPr>
          <w:rFonts w:eastAsia="Times New Roman" w:cs="Times New Roman"/>
          <w:color w:val="000000"/>
          <w:kern w:val="0"/>
          <w14:ligatures w14:val="none"/>
        </w:rPr>
        <w:t>’</w:t>
      </w:r>
      <w:r w:rsidRPr="005144EC">
        <w:rPr>
          <w:rFonts w:eastAsia="Times New Roman" w:cs="Times New Roman"/>
          <w:color w:val="000000"/>
          <w:kern w:val="0"/>
          <w14:ligatures w14:val="none"/>
        </w:rPr>
        <w:t>].)</w:t>
      </w:r>
      <w:r w:rsidRPr="005144EC" w:rsidR="00182A9E">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Black</w:t>
      </w:r>
      <w:r w:rsidRPr="005144EC" w:rsidR="00DC642C">
        <w:rPr>
          <w:rFonts w:eastAsia="Times New Roman" w:cs="Times New Roman"/>
          <w:i/>
          <w:iCs/>
          <w:color w:val="3D3D3D"/>
          <w:kern w:val="0"/>
          <w:bdr w:val="none" w:sz="0" w:space="0" w:color="auto" w:frame="1"/>
          <w14:ligatures w14:val="none"/>
        </w:rPr>
        <w:t xml:space="preserve"> II</w:t>
      </w:r>
      <w:r w:rsidRPr="005144EC">
        <w:rPr>
          <w:rFonts w:eastAsia="Times New Roman" w:cs="Times New Roman"/>
          <w:i/>
          <w:iCs/>
          <w:color w:val="3D3D3D"/>
          <w:kern w:val="0"/>
          <w:bdr w:val="none" w:sz="0" w:space="0" w:color="auto" w:frame="1"/>
          <w14:ligatures w14:val="none"/>
        </w:rPr>
        <w:t xml:space="preserve">, </w:t>
      </w:r>
      <w:r w:rsidRPr="005144EC">
        <w:rPr>
          <w:rFonts w:eastAsia="Times New Roman" w:cs="Times New Roman"/>
          <w:color w:val="000000"/>
          <w:kern w:val="0"/>
          <w14:ligatures w14:val="none"/>
        </w:rPr>
        <w:t>at p. 813</w:t>
      </w:r>
      <w:r w:rsidRPr="005144EC" w:rsidR="00BE2A35">
        <w:rPr>
          <w:rFonts w:eastAsia="Times New Roman" w:cs="Times New Roman"/>
          <w:color w:val="000000"/>
          <w:kern w:val="0"/>
          <w14:ligatures w14:val="none"/>
        </w:rPr>
        <w:t>.)</w:t>
      </w:r>
      <w:r w:rsidRPr="005144EC" w:rsidR="005E7D5B">
        <w:rPr>
          <w:rFonts w:eastAsia="Times New Roman" w:cs="Times New Roman"/>
          <w:color w:val="000000"/>
          <w:kern w:val="0"/>
          <w14:ligatures w14:val="none"/>
        </w:rPr>
        <w:t xml:space="preserve">  </w:t>
      </w:r>
    </w:p>
    <w:p w:rsidR="006D4A88" w:rsidRPr="005144EC" w:rsidP="005E7D5B" w14:paraId="14B3151A" w14:textId="1ACACC22">
      <w:r w:rsidRPr="005144EC">
        <w:rPr>
          <w:rFonts w:eastAsia="Times New Roman" w:cs="Times New Roman"/>
          <w:color w:val="000000"/>
          <w:kern w:val="0"/>
          <w14:ligatures w14:val="none"/>
        </w:rPr>
        <w:tab/>
      </w:r>
      <w:r w:rsidRPr="005144EC">
        <w:rPr>
          <w:rFonts w:eastAsia="Times New Roman" w:cs="Times New Roman"/>
          <w:i/>
          <w:iCs/>
          <w:color w:val="000000"/>
          <w:kern w:val="0"/>
          <w14:ligatures w14:val="none"/>
        </w:rPr>
        <w:t>Black</w:t>
      </w:r>
      <w:r w:rsidRPr="005144EC" w:rsidR="00DC642C">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remains our high court’s most recent pronouncement on </w:t>
      </w:r>
      <w:r w:rsidRPr="005144EC" w:rsidR="00CC48BE">
        <w:rPr>
          <w:rFonts w:eastAsia="Times New Roman" w:cs="Times New Roman"/>
          <w:color w:val="000000"/>
          <w:kern w:val="0"/>
          <w14:ligatures w14:val="none"/>
        </w:rPr>
        <w:t>whether a</w:t>
      </w:r>
      <w:r w:rsidRPr="005144EC" w:rsidR="005E7D5B">
        <w:rPr>
          <w:rFonts w:eastAsia="Times New Roman" w:cs="Times New Roman"/>
          <w:color w:val="000000"/>
          <w:kern w:val="0"/>
          <w14:ligatures w14:val="none"/>
        </w:rPr>
        <w:t xml:space="preserve">n upper term </w:t>
      </w:r>
      <w:r w:rsidRPr="005144EC">
        <w:rPr>
          <w:rFonts w:eastAsia="Times New Roman" w:cs="Times New Roman"/>
          <w:color w:val="000000"/>
          <w:kern w:val="0"/>
          <w14:ligatures w14:val="none"/>
        </w:rPr>
        <w:t xml:space="preserve">sentence imposed on the basis of </w:t>
      </w:r>
      <w:r w:rsidRPr="005144EC" w:rsidR="00527C93">
        <w:rPr>
          <w:rFonts w:eastAsia="Times New Roman" w:cs="Times New Roman"/>
          <w:color w:val="000000"/>
          <w:kern w:val="0"/>
          <w14:ligatures w14:val="none"/>
        </w:rPr>
        <w:t xml:space="preserve">at least one permissibly established </w:t>
      </w:r>
      <w:r w:rsidRPr="005144EC">
        <w:rPr>
          <w:rFonts w:eastAsia="Times New Roman" w:cs="Times New Roman"/>
          <w:color w:val="000000"/>
          <w:kern w:val="0"/>
          <w14:ligatures w14:val="none"/>
        </w:rPr>
        <w:t xml:space="preserve">aggravating factor </w:t>
      </w:r>
      <w:r w:rsidRPr="005144EC" w:rsidR="005E7D5B">
        <w:rPr>
          <w:rFonts w:eastAsia="Times New Roman" w:cs="Times New Roman"/>
          <w:color w:val="000000"/>
          <w:kern w:val="0"/>
          <w14:ligatures w14:val="none"/>
        </w:rPr>
        <w:t xml:space="preserve">passes muster under the </w:t>
      </w:r>
      <w:r w:rsidRPr="005144EC" w:rsidR="00CC48BE">
        <w:rPr>
          <w:rFonts w:eastAsia="Times New Roman" w:cs="Times New Roman"/>
          <w:color w:val="000000"/>
          <w:kern w:val="0"/>
          <w14:ligatures w14:val="none"/>
        </w:rPr>
        <w:t>Sixth Amendment right</w:t>
      </w:r>
      <w:r w:rsidRPr="005144EC" w:rsidR="005E7D5B">
        <w:rPr>
          <w:rFonts w:eastAsia="Times New Roman" w:cs="Times New Roman"/>
          <w:color w:val="000000"/>
          <w:kern w:val="0"/>
          <w14:ligatures w14:val="none"/>
        </w:rPr>
        <w:t xml:space="preserve"> to jury trial.</w:t>
      </w:r>
      <w:r w:rsidRPr="005144EC" w:rsidR="00103D0F">
        <w:rPr>
          <w:rFonts w:eastAsia="Times New Roman" w:cs="Times New Roman"/>
          <w:color w:val="000000"/>
          <w:kern w:val="0"/>
          <w14:ligatures w14:val="none"/>
        </w:rPr>
        <w:t xml:space="preserve">  (See </w:t>
      </w:r>
      <w:r w:rsidRPr="005144EC" w:rsidR="00103D0F">
        <w:rPr>
          <w:rFonts w:eastAsia="Times New Roman" w:cs="Times New Roman"/>
          <w:i/>
          <w:iCs/>
          <w:color w:val="000000"/>
          <w:kern w:val="0"/>
          <w14:ligatures w14:val="none"/>
        </w:rPr>
        <w:t xml:space="preserve">Sandoval, supra, </w:t>
      </w:r>
      <w:r w:rsidRPr="005144EC" w:rsidR="00103D0F">
        <w:rPr>
          <w:rFonts w:eastAsia="Times New Roman" w:cs="Times New Roman"/>
          <w:color w:val="000000"/>
          <w:kern w:val="0"/>
          <w14:ligatures w14:val="none"/>
        </w:rPr>
        <w:t xml:space="preserve">42 Cal.4th at p. 839 [holding, where </w:t>
      </w:r>
      <w:r w:rsidRPr="005144EC" w:rsidR="00103D0F">
        <w:rPr>
          <w:rFonts w:eastAsia="Times New Roman" w:cs="Times New Roman"/>
          <w:i/>
          <w:iCs/>
          <w:color w:val="000000"/>
          <w:kern w:val="0"/>
          <w14:ligatures w14:val="none"/>
        </w:rPr>
        <w:t xml:space="preserve">no </w:t>
      </w:r>
      <w:r w:rsidRPr="005144EC" w:rsidR="00103D0F">
        <w:rPr>
          <w:rFonts w:eastAsia="Times New Roman" w:cs="Times New Roman"/>
          <w:color w:val="000000"/>
          <w:kern w:val="0"/>
          <w14:ligatures w14:val="none"/>
        </w:rPr>
        <w:t xml:space="preserve">aggravating factors were found on a basis permissible under </w:t>
      </w:r>
      <w:r w:rsidRPr="005144EC" w:rsidR="00103D0F">
        <w:rPr>
          <w:rFonts w:eastAsia="Times New Roman" w:cs="Times New Roman"/>
          <w:i/>
          <w:iCs/>
          <w:color w:val="000000"/>
          <w:kern w:val="0"/>
          <w14:ligatures w14:val="none"/>
        </w:rPr>
        <w:t>Blakely</w:t>
      </w:r>
      <w:r w:rsidRPr="005144EC" w:rsidR="00103D0F">
        <w:rPr>
          <w:rFonts w:eastAsia="Times New Roman" w:cs="Times New Roman"/>
          <w:color w:val="000000"/>
          <w:kern w:val="0"/>
          <w14:ligatures w14:val="none"/>
        </w:rPr>
        <w:t xml:space="preserve"> and thus there </w:t>
      </w:r>
      <w:r w:rsidRPr="005144EC" w:rsidR="00103D0F">
        <w:rPr>
          <w:rFonts w:eastAsia="Times New Roman" w:cs="Times New Roman"/>
          <w:i/>
          <w:iCs/>
          <w:color w:val="000000"/>
          <w:kern w:val="0"/>
          <w14:ligatures w14:val="none"/>
        </w:rPr>
        <w:t>was</w:t>
      </w:r>
      <w:r w:rsidRPr="005144EC" w:rsidR="00103D0F">
        <w:rPr>
          <w:rFonts w:eastAsia="Times New Roman" w:cs="Times New Roman"/>
          <w:color w:val="000000"/>
          <w:kern w:val="0"/>
          <w14:ligatures w14:val="none"/>
        </w:rPr>
        <w:t xml:space="preserve"> a Sixth </w:t>
      </w:r>
      <w:r w:rsidRPr="005144EC" w:rsidR="00316F8D">
        <w:rPr>
          <w:rFonts w:eastAsia="Times New Roman" w:cs="Times New Roman"/>
          <w:color w:val="000000"/>
          <w:kern w:val="0"/>
          <w14:ligatures w14:val="none"/>
        </w:rPr>
        <w:t>A</w:t>
      </w:r>
      <w:r w:rsidRPr="005144EC" w:rsidR="00103D0F">
        <w:rPr>
          <w:rFonts w:eastAsia="Times New Roman" w:cs="Times New Roman"/>
          <w:color w:val="000000"/>
          <w:kern w:val="0"/>
          <w14:ligatures w14:val="none"/>
        </w:rPr>
        <w:t>mendment violation, that “if a reviewing court concludes, beyond a reasonable doubt, that the jury, applying the beyond-a-reasonable-doubt standard, unquestionably would have found true at least a single aggravating circumstance had it been submitted to the jury, the Sixth Amendment error properly may be found harmless”]</w:t>
      </w:r>
      <w:r w:rsidRPr="005144EC" w:rsidR="00884E47">
        <w:rPr>
          <w:rFonts w:eastAsia="Times New Roman" w:cs="Times New Roman"/>
          <w:color w:val="000000"/>
          <w:kern w:val="0"/>
          <w14:ligatures w14:val="none"/>
        </w:rPr>
        <w:t xml:space="preserve">; </w:t>
      </w:r>
      <w:r w:rsidRPr="005144EC" w:rsidR="00873F40">
        <w:rPr>
          <w:rFonts w:eastAsia="Times New Roman" w:cs="Times New Roman"/>
          <w:color w:val="000000"/>
          <w:kern w:val="0"/>
          <w14:ligatures w14:val="none"/>
        </w:rPr>
        <w:t>cf.</w:t>
      </w:r>
      <w:r w:rsidRPr="005144EC" w:rsidR="00884E47">
        <w:rPr>
          <w:rFonts w:eastAsia="Times New Roman" w:cs="Times New Roman"/>
          <w:color w:val="000000"/>
          <w:kern w:val="0"/>
          <w14:ligatures w14:val="none"/>
        </w:rPr>
        <w:t xml:space="preserve"> </w:t>
      </w:r>
      <w:r w:rsidRPr="005144EC" w:rsidR="00884E47">
        <w:rPr>
          <w:i/>
          <w:iCs/>
        </w:rPr>
        <w:t>Wile</w:t>
      </w:r>
      <w:r w:rsidRPr="005144EC" w:rsidR="00C102D4">
        <w:rPr>
          <w:i/>
          <w:iCs/>
        </w:rPr>
        <w:t>y</w:t>
      </w:r>
      <w:r w:rsidRPr="005144EC" w:rsidR="00873F40">
        <w:rPr>
          <w:i/>
          <w:iCs/>
        </w:rPr>
        <w:t xml:space="preserve">, supra, </w:t>
      </w:r>
      <w:r w:rsidRPr="005144EC" w:rsidR="00884E47">
        <w:t xml:space="preserve">__ Cal.App.5th </w:t>
      </w:r>
      <w:r w:rsidRPr="005144EC" w:rsidR="00873F40">
        <w:t>at p. ___</w:t>
      </w:r>
      <w:r w:rsidRPr="005144EC" w:rsidR="00884E47">
        <w:t>, 2023 WL 8252049</w:t>
      </w:r>
      <w:r w:rsidRPr="005144EC" w:rsidR="00873F40">
        <w:t xml:space="preserve"> at p.</w:t>
      </w:r>
      <w:r w:rsidRPr="005144EC" w:rsidR="00884E47">
        <w:t xml:space="preserve">*3 [rejecting defendant’s suggestion that </w:t>
      </w:r>
      <w:r w:rsidRPr="005144EC" w:rsidR="00884E47">
        <w:rPr>
          <w:i/>
          <w:iCs/>
        </w:rPr>
        <w:t xml:space="preserve">Black II </w:t>
      </w:r>
      <w:r w:rsidRPr="005144EC" w:rsidR="00884E47">
        <w:t xml:space="preserve">has been undercut by subsequent decisions; “we find no basis to ignore </w:t>
      </w:r>
      <w:r w:rsidRPr="005144EC" w:rsidR="00884E47">
        <w:rPr>
          <w:i/>
          <w:iCs/>
        </w:rPr>
        <w:t xml:space="preserve">Black </w:t>
      </w:r>
      <w:r w:rsidRPr="005144EC" w:rsidR="00884E47">
        <w:t xml:space="preserve">or </w:t>
      </w:r>
      <w:r w:rsidRPr="005144EC" w:rsidR="00884E47">
        <w:rPr>
          <w:i/>
          <w:iCs/>
        </w:rPr>
        <w:t xml:space="preserve">Towne </w:t>
      </w:r>
      <w:r w:rsidRPr="005144EC" w:rsidR="00884E47">
        <w:t>. . .</w:t>
      </w:r>
      <w:r w:rsidRPr="005144EC" w:rsidR="00873F40">
        <w:t>[,]</w:t>
      </w:r>
      <w:r w:rsidRPr="005144EC" w:rsidR="00884E47">
        <w:t xml:space="preserve"> decision</w:t>
      </w:r>
      <w:r w:rsidRPr="005144EC" w:rsidR="00C102D4">
        <w:t>s</w:t>
      </w:r>
      <w:r w:rsidRPr="005144EC" w:rsidR="00884E47">
        <w:t xml:space="preserve"> from our state’s high court that address the precise [recidivist] issue</w:t>
      </w:r>
      <w:r w:rsidRPr="005144EC" w:rsidR="00C102D4">
        <w:t xml:space="preserve"> presented</w:t>
      </w:r>
      <w:r w:rsidRPr="005144EC" w:rsidR="00884E47">
        <w:t xml:space="preserve"> here”].)</w:t>
      </w:r>
    </w:p>
    <w:p w:rsidR="006D4A88" w:rsidRPr="005144EC" w:rsidP="003E08EE" w14:paraId="0B7EC668" w14:textId="3714135A">
      <w:pPr>
        <w:keepNext/>
        <w:ind w:left="720"/>
        <w:rPr>
          <w:b/>
          <w:bCs/>
        </w:rPr>
      </w:pPr>
      <w:r>
        <w:rPr>
          <w:b/>
          <w:bCs/>
          <w:i/>
          <w:iCs/>
        </w:rPr>
        <w:t>1.  General Jury Trial Waiver</w:t>
      </w:r>
    </w:p>
    <w:p w:rsidR="006D4A88" w:rsidRPr="005144EC" w:rsidP="006D4A88" w14:paraId="198E39CF" w14:textId="32994250">
      <w:r w:rsidRPr="005144EC">
        <w:tab/>
      </w:r>
      <w:r w:rsidRPr="005144EC" w:rsidR="003E08EE">
        <w:t xml:space="preserve">The Attorney General </w:t>
      </w:r>
      <w:r w:rsidRPr="005144EC">
        <w:t xml:space="preserve">points out defendant stipulated </w:t>
      </w:r>
      <w:r w:rsidRPr="005144EC" w:rsidR="00D163E1">
        <w:t xml:space="preserve">that </w:t>
      </w:r>
      <w:r w:rsidRPr="005144EC">
        <w:t xml:space="preserve">the preliminary hearing transcript </w:t>
      </w:r>
      <w:r w:rsidRPr="005144EC" w:rsidR="003E08EE">
        <w:t xml:space="preserve">provided </w:t>
      </w:r>
      <w:r w:rsidRPr="005144EC">
        <w:t xml:space="preserve">a factual basis for </w:t>
      </w:r>
      <w:r w:rsidRPr="005144EC" w:rsidR="00D163E1">
        <w:t>his</w:t>
      </w:r>
      <w:r w:rsidRPr="005144EC">
        <w:t xml:space="preserve"> plea and </w:t>
      </w:r>
      <w:r w:rsidRPr="005144EC" w:rsidR="00D163E1">
        <w:t xml:space="preserve">further </w:t>
      </w:r>
      <w:r w:rsidRPr="005144EC">
        <w:t xml:space="preserve">stipulated </w:t>
      </w:r>
      <w:r w:rsidRPr="005144EC" w:rsidR="00D163E1">
        <w:t xml:space="preserve">that </w:t>
      </w:r>
      <w:r w:rsidRPr="005144EC">
        <w:t xml:space="preserve">the court </w:t>
      </w:r>
      <w:r w:rsidRPr="005144EC" w:rsidR="003E08EE">
        <w:t>w</w:t>
      </w:r>
      <w:r w:rsidRPr="005144EC">
        <w:t>ould consider fact</w:t>
      </w:r>
      <w:r w:rsidRPr="005144EC" w:rsidR="00316F8D">
        <w:t>or</w:t>
      </w:r>
      <w:r w:rsidRPr="005144EC">
        <w:t>s in aggravation in accordance with rule 4.421</w:t>
      </w:r>
      <w:r w:rsidR="00496C91">
        <w:t xml:space="preserve"> and urges that these stipulations sufficed to waive defendant’s constitutional right to jury trial on facts in aggravation</w:t>
      </w:r>
      <w:r w:rsidRPr="005144EC">
        <w:t xml:space="preserve">. </w:t>
      </w:r>
    </w:p>
    <w:p w:rsidR="00F20FA5" w:rsidRPr="005144EC" w:rsidP="00BD69EC" w14:paraId="74F35381" w14:textId="2FE4919F">
      <w:pPr>
        <w:rPr>
          <w:rFonts w:eastAsia="Times New Roman" w:cs="Times New Roman"/>
          <w:color w:val="000000"/>
          <w:kern w:val="0"/>
          <w14:ligatures w14:val="none"/>
        </w:rPr>
      </w:pPr>
      <w:r w:rsidRPr="005144EC">
        <w:tab/>
      </w:r>
      <w:r w:rsidRPr="005144EC" w:rsidR="00BB5ED2">
        <w:t xml:space="preserve">As to the </w:t>
      </w:r>
      <w:r w:rsidRPr="005144EC">
        <w:t>Attorney General</w:t>
      </w:r>
      <w:r w:rsidR="00DC2B2E">
        <w:t>’s</w:t>
      </w:r>
      <w:r w:rsidRPr="005144EC">
        <w:t xml:space="preserve"> </w:t>
      </w:r>
      <w:r w:rsidRPr="005144EC" w:rsidR="00BB5ED2">
        <w:t>first point</w:t>
      </w:r>
      <w:r w:rsidRPr="005144EC">
        <w:t>—</w:t>
      </w:r>
      <w:r w:rsidRPr="005144EC" w:rsidR="00BB5ED2">
        <w:t xml:space="preserve">that counsel’s </w:t>
      </w:r>
      <w:r w:rsidRPr="005144EC" w:rsidR="003F5212">
        <w:t xml:space="preserve">stipulation </w:t>
      </w:r>
      <w:r w:rsidRPr="005144EC" w:rsidR="00BB5ED2">
        <w:t xml:space="preserve">to the preliminary hearing transcript as a factual basis for the plea </w:t>
      </w:r>
      <w:r w:rsidRPr="005144EC" w:rsidR="003F5212">
        <w:t>constitute</w:t>
      </w:r>
      <w:r w:rsidRPr="005144EC" w:rsidR="00BB5ED2">
        <w:t>d</w:t>
      </w:r>
      <w:r w:rsidRPr="005144EC" w:rsidR="003F5212">
        <w:t xml:space="preserve"> a sufficient waiver of defendant’s constitutional right to jury trial</w:t>
      </w:r>
      <w:r w:rsidRPr="005144EC">
        <w:t xml:space="preserve">—the </w:t>
      </w:r>
      <w:r w:rsidRPr="005144EC" w:rsidR="00BB5ED2">
        <w:t xml:space="preserve">analysis is straightforward.  Case authority squarely holds it does not.  </w:t>
      </w:r>
      <w:r w:rsidRPr="005144EC" w:rsidR="003F5212">
        <w:t xml:space="preserve">(See </w:t>
      </w:r>
      <w:r w:rsidRPr="005144EC">
        <w:rPr>
          <w:i/>
          <w:iCs/>
        </w:rPr>
        <w:t>French</w:t>
      </w:r>
      <w:r w:rsidRPr="005144EC" w:rsidR="00540E20">
        <w:rPr>
          <w:i/>
          <w:iCs/>
        </w:rPr>
        <w:t xml:space="preserve">, supra, </w:t>
      </w:r>
      <w:r w:rsidRPr="005144EC">
        <w:t xml:space="preserve">43 Cal.4th </w:t>
      </w:r>
      <w:r w:rsidRPr="005144EC" w:rsidR="00540E20">
        <w:t>at pp.</w:t>
      </w:r>
      <w:r w:rsidR="00DC2B2E">
        <w:t> </w:t>
      </w:r>
      <w:r w:rsidRPr="005144EC" w:rsidR="003F5212">
        <w:t>46</w:t>
      </w:r>
      <w:r w:rsidRPr="005144EC" w:rsidR="00BE2A35">
        <w:t>–</w:t>
      </w:r>
      <w:r w:rsidRPr="005144EC" w:rsidR="003F5212">
        <w:t xml:space="preserve">47, </w:t>
      </w:r>
      <w:r w:rsidRPr="005144EC">
        <w:t>51</w:t>
      </w:r>
      <w:r w:rsidRPr="005144EC" w:rsidR="00246706">
        <w:t xml:space="preserve"> </w:t>
      </w:r>
      <w:r w:rsidRPr="005144EC">
        <w:t>[“</w:t>
      </w:r>
      <w:r w:rsidRPr="005144EC">
        <w:rPr>
          <w:rFonts w:eastAsia="Times New Roman" w:cs="Times New Roman"/>
          <w:color w:val="000000"/>
          <w:kern w:val="0"/>
          <w14:ligatures w14:val="none"/>
        </w:rPr>
        <w:t>defense counsel</w:t>
      </w:r>
      <w:r w:rsidRPr="005144EC" w:rsidR="00B7200A">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stipulation to the factual basis cannot reasonably be construed as an admission by the defendant sufficient to satisfy the Sixth Amendment requirements established in </w:t>
      </w:r>
      <w:r w:rsidRPr="005144EC">
        <w:rPr>
          <w:rFonts w:eastAsia="Times New Roman" w:cs="Times New Roman"/>
          <w:i/>
          <w:iCs/>
          <w:color w:val="3D3D3D"/>
          <w:kern w:val="0"/>
          <w:bdr w:val="none" w:sz="0" w:space="0" w:color="auto" w:frame="1"/>
          <w14:ligatures w14:val="none"/>
        </w:rPr>
        <w:t>Cunningham, supra,</w:t>
      </w:r>
      <w:r w:rsidRPr="005144EC">
        <w:rPr>
          <w:rFonts w:eastAsia="Times New Roman" w:cs="Times New Roman"/>
          <w:color w:val="000000"/>
          <w:kern w:val="0"/>
          <w14:ligatures w14:val="none"/>
        </w:rPr>
        <w:t xml:space="preserve"> 549 U.S. 270</w:t>
      </w:r>
      <w:r w:rsidRPr="005144EC" w:rsidR="00965AD6">
        <w:rPr>
          <w:rFonts w:eastAsia="Times New Roman" w:cs="Times New Roman"/>
          <w:color w:val="000000"/>
          <w:kern w:val="0"/>
          <w14:ligatures w14:val="none"/>
        </w:rPr>
        <w:t>,</w:t>
      </w:r>
      <w:r w:rsidRPr="005144EC">
        <w:rPr>
          <w:rFonts w:eastAsia="Times New Roman" w:cs="Times New Roman"/>
          <w:color w:val="000000"/>
          <w:kern w:val="0"/>
          <w14:ligatures w14:val="none"/>
        </w:rPr>
        <w:t>”</w:t>
      </w:r>
      <w:r w:rsidRPr="005144EC" w:rsidR="00965AD6">
        <w:rPr>
          <w:rFonts w:eastAsia="Times New Roman" w:cs="Times New Roman"/>
          <w:color w:val="000000"/>
          <w:kern w:val="0"/>
          <w14:ligatures w14:val="none"/>
        </w:rPr>
        <w:t xml:space="preserve"> </w:t>
      </w:r>
      <w:r w:rsidR="00DC2B2E">
        <w:rPr>
          <w:rFonts w:eastAsia="Times New Roman" w:cs="Times New Roman"/>
          <w:color w:val="000000"/>
          <w:kern w:val="0"/>
          <w14:ligatures w14:val="none"/>
        </w:rPr>
        <w:t>(</w:t>
      </w:r>
      <w:r w:rsidRPr="005144EC" w:rsidR="00965AD6">
        <w:rPr>
          <w:rFonts w:eastAsia="Times New Roman" w:cs="Times New Roman"/>
          <w:color w:val="000000"/>
          <w:kern w:val="0"/>
          <w14:ligatures w14:val="none"/>
        </w:rPr>
        <w:t>fn. omitted</w:t>
      </w:r>
      <w:r w:rsidR="00DC2B2E">
        <w:rPr>
          <w:rFonts w:eastAsia="Times New Roman" w:cs="Times New Roman"/>
          <w:color w:val="000000"/>
          <w:kern w:val="0"/>
          <w14:ligatures w14:val="none"/>
        </w:rPr>
        <w:t>)</w:t>
      </w:r>
      <w:r w:rsidRPr="005144EC">
        <w:rPr>
          <w:rFonts w:eastAsia="Times New Roman" w:cs="Times New Roman"/>
          <w:color w:val="000000"/>
          <w:kern w:val="0"/>
          <w14:ligatures w14:val="none"/>
        </w:rPr>
        <w:t>].)</w:t>
      </w:r>
      <w:r w:rsidRPr="005144EC" w:rsidR="00BB5ED2">
        <w:rPr>
          <w:rFonts w:eastAsia="Times New Roman" w:cs="Times New Roman"/>
          <w:color w:val="000000"/>
          <w:kern w:val="0"/>
          <w14:ligatures w14:val="none"/>
        </w:rPr>
        <w:t xml:space="preserve">  </w:t>
      </w:r>
    </w:p>
    <w:p w:rsidR="00316F8D" w:rsidRPr="005144EC" w:rsidP="00BD69EC" w14:paraId="7CEF728D" w14:textId="14509B9E">
      <w:r w:rsidRPr="005144EC">
        <w:rPr>
          <w:rFonts w:eastAsia="Times New Roman" w:cs="Times New Roman"/>
          <w:color w:val="000000"/>
          <w:kern w:val="0"/>
          <w14:ligatures w14:val="none"/>
        </w:rPr>
        <w:tab/>
      </w:r>
      <w:r w:rsidRPr="005144EC" w:rsidR="00BB5ED2">
        <w:rPr>
          <w:rFonts w:eastAsia="Times New Roman" w:cs="Times New Roman"/>
          <w:color w:val="000000"/>
          <w:kern w:val="0"/>
          <w14:ligatures w14:val="none"/>
        </w:rPr>
        <w:t xml:space="preserve">However, as to the </w:t>
      </w:r>
      <w:r w:rsidRPr="005144EC">
        <w:rPr>
          <w:rFonts w:eastAsia="Times New Roman" w:cs="Times New Roman"/>
          <w:color w:val="000000"/>
          <w:kern w:val="0"/>
          <w14:ligatures w14:val="none"/>
        </w:rPr>
        <w:t xml:space="preserve">Attorney General’s </w:t>
      </w:r>
      <w:r w:rsidRPr="005144EC" w:rsidR="00BB5ED2">
        <w:rPr>
          <w:rFonts w:eastAsia="Times New Roman" w:cs="Times New Roman"/>
          <w:color w:val="000000"/>
          <w:kern w:val="0"/>
          <w14:ligatures w14:val="none"/>
        </w:rPr>
        <w:t>second point</w:t>
      </w:r>
      <w:r w:rsidRPr="005144EC">
        <w:rPr>
          <w:rFonts w:eastAsia="Times New Roman" w:cs="Times New Roman"/>
          <w:color w:val="000000"/>
          <w:kern w:val="0"/>
          <w14:ligatures w14:val="none"/>
        </w:rPr>
        <w:t xml:space="preserve">—that </w:t>
      </w:r>
      <w:r w:rsidRPr="005144EC" w:rsidR="00B7200A">
        <w:rPr>
          <w:rFonts w:eastAsia="Times New Roman" w:cs="Times New Roman"/>
          <w:color w:val="000000"/>
          <w:kern w:val="0"/>
          <w14:ligatures w14:val="none"/>
        </w:rPr>
        <w:t>counsel’s stipulation</w:t>
      </w:r>
      <w:r w:rsidRPr="005144EC">
        <w:rPr>
          <w:rFonts w:eastAsia="Times New Roman" w:cs="Times New Roman"/>
          <w:color w:val="000000"/>
          <w:kern w:val="0"/>
          <w14:ligatures w14:val="none"/>
        </w:rPr>
        <w:t xml:space="preserve"> </w:t>
      </w:r>
      <w:r w:rsidRPr="005144EC" w:rsidR="00B7200A">
        <w:rPr>
          <w:rFonts w:eastAsia="Times New Roman" w:cs="Times New Roman"/>
          <w:color w:val="000000"/>
          <w:kern w:val="0"/>
          <w14:ligatures w14:val="none"/>
        </w:rPr>
        <w:t>that “</w:t>
      </w:r>
      <w:r w:rsidRPr="005144EC" w:rsidR="00B7200A">
        <w:t xml:space="preserve">under </w:t>
      </w:r>
      <w:r w:rsidRPr="005144EC" w:rsidR="00EF2FED">
        <w:t xml:space="preserve">Penal Code </w:t>
      </w:r>
      <w:r w:rsidRPr="005144EC" w:rsidR="00B7200A">
        <w:t xml:space="preserve">section 1170(b)(2)” the </w:t>
      </w:r>
      <w:r w:rsidRPr="005144EC" w:rsidR="00BB5ED2">
        <w:t>c</w:t>
      </w:r>
      <w:r w:rsidRPr="005144EC" w:rsidR="00B7200A">
        <w:t>ourt would “consider at sentencing” “all aggravating factors” “in Rule 4.421”</w:t>
      </w:r>
      <w:r w:rsidRPr="005144EC">
        <w:t xml:space="preserve"> </w:t>
      </w:r>
      <w:r w:rsidRPr="005144EC" w:rsidR="00B7200A">
        <w:t>constituted a sufficient waiver of defendant’s right to jury trial</w:t>
      </w:r>
      <w:r w:rsidRPr="005144EC">
        <w:t>—</w:t>
      </w:r>
      <w:r w:rsidRPr="005144EC" w:rsidR="00BB5ED2">
        <w:t>the analysis is more complex.</w:t>
      </w:r>
      <w:r w:rsidRPr="005144EC" w:rsidR="00BD69EC">
        <w:t xml:space="preserve"> </w:t>
      </w:r>
    </w:p>
    <w:p w:rsidR="00130871" w:rsidRPr="005144EC" w:rsidP="00BD69EC" w14:paraId="76BC828D" w14:textId="31DEFEAF">
      <w:r w:rsidRPr="005144EC">
        <w:tab/>
      </w:r>
      <w:r w:rsidRPr="005144EC" w:rsidR="00BD69EC">
        <w:t xml:space="preserve">As we have recited, in his change of plea </w:t>
      </w:r>
      <w:r w:rsidRPr="005144EC" w:rsidR="00B7200A">
        <w:t xml:space="preserve">form defendant expressly waived his right to jury trial not only as to each charge but </w:t>
      </w:r>
      <w:r w:rsidRPr="005144EC" w:rsidR="004D59DE">
        <w:t xml:space="preserve">also </w:t>
      </w:r>
      <w:r w:rsidRPr="005144EC" w:rsidR="00B7200A">
        <w:t>to any “special allegation and/or sentence enhancement I admit to be true</w:t>
      </w:r>
      <w:r w:rsidRPr="005144EC" w:rsidR="00BD69EC">
        <w:t>.</w:t>
      </w:r>
      <w:r w:rsidRPr="005144EC" w:rsidR="00B7200A">
        <w:t xml:space="preserve">” </w:t>
      </w:r>
      <w:r w:rsidRPr="005144EC" w:rsidR="00DC642C">
        <w:t xml:space="preserve"> </w:t>
      </w:r>
      <w:r w:rsidRPr="005144EC" w:rsidR="00BD69EC">
        <w:t>And</w:t>
      </w:r>
      <w:r w:rsidRPr="005144EC" w:rsidR="004D59DE">
        <w:t xml:space="preserve"> in </w:t>
      </w:r>
      <w:r w:rsidRPr="005144EC" w:rsidR="00D51788">
        <w:t xml:space="preserve">open court he expressly confirmed that the terms of the disposition included that the </w:t>
      </w:r>
      <w:r w:rsidRPr="005144EC" w:rsidR="004D59DE">
        <w:t xml:space="preserve">court would consider all aggravating factors set forth in </w:t>
      </w:r>
      <w:r w:rsidRPr="005144EC" w:rsidR="00EF2FED">
        <w:t>r</w:t>
      </w:r>
      <w:r w:rsidRPr="005144EC" w:rsidR="004D59DE">
        <w:t>ule 4.421</w:t>
      </w:r>
      <w:r w:rsidRPr="005144EC" w:rsidR="00D51788">
        <w:t>, and after that confirmation, he went on to expressly confirm he was giving up various rights, including, specifically, his right to jury trial</w:t>
      </w:r>
      <w:r w:rsidRPr="005144EC" w:rsidR="004D59DE">
        <w:t xml:space="preserve">.  </w:t>
      </w:r>
      <w:r w:rsidRPr="005144EC" w:rsidR="00BD69EC">
        <w:t xml:space="preserve">  </w:t>
      </w:r>
    </w:p>
    <w:p w:rsidR="00286661" w:rsidRPr="005144EC" w:rsidP="00BD69EC" w14:paraId="0E58064E" w14:textId="4E1A9711">
      <w:r w:rsidRPr="005144EC">
        <w:tab/>
      </w:r>
      <w:r w:rsidRPr="005144EC" w:rsidR="00BD69EC">
        <w:t xml:space="preserve">As our Supreme Court has explained, there is a distinction between what is </w:t>
      </w:r>
      <w:r w:rsidRPr="005144EC" w:rsidR="00BD69EC">
        <w:rPr>
          <w:i/>
          <w:iCs/>
        </w:rPr>
        <w:t xml:space="preserve">constitutionally </w:t>
      </w:r>
      <w:r w:rsidRPr="005144EC" w:rsidR="00BD69EC">
        <w:t xml:space="preserve">required for a valid jury waiver and what may be </w:t>
      </w:r>
      <w:r w:rsidRPr="005144EC" w:rsidR="00BD69EC">
        <w:rPr>
          <w:i/>
          <w:iCs/>
        </w:rPr>
        <w:t>statutorily</w:t>
      </w:r>
      <w:r w:rsidRPr="005144EC" w:rsidR="00BD69EC">
        <w:t xml:space="preserve"> required under state law.  (</w:t>
      </w:r>
      <w:r w:rsidRPr="005144EC" w:rsidR="00BD69EC">
        <w:rPr>
          <w:i/>
          <w:iCs/>
        </w:rPr>
        <w:t>People v. Sivongxxay</w:t>
      </w:r>
      <w:r w:rsidRPr="005144EC" w:rsidR="00BD69EC">
        <w:t xml:space="preserve"> (2017) 3 Cal.5th 151, 171 (</w:t>
      </w:r>
      <w:r w:rsidRPr="005144EC" w:rsidR="00BD69EC">
        <w:rPr>
          <w:i/>
          <w:iCs/>
        </w:rPr>
        <w:t>Sivongxxay</w:t>
      </w:r>
      <w:r w:rsidRPr="005144EC" w:rsidR="00BD69EC">
        <w:t xml:space="preserve">).  In </w:t>
      </w:r>
      <w:r w:rsidRPr="005144EC" w:rsidR="00BD69EC">
        <w:rPr>
          <w:i/>
          <w:iCs/>
        </w:rPr>
        <w:t>Sivongxxay</w:t>
      </w:r>
      <w:r w:rsidRPr="005144EC" w:rsidR="00BD69EC">
        <w:t>, the defendant claimed his jury trial waiver did not encompass a waiver of his right to jury trial on a special circumstance allegation</w:t>
      </w:r>
      <w:r w:rsidRPr="005144EC">
        <w:t>.  (</w:t>
      </w:r>
      <w:r w:rsidRPr="005144EC">
        <w:rPr>
          <w:i/>
          <w:iCs/>
        </w:rPr>
        <w:t>Ibid.</w:t>
      </w:r>
      <w:r w:rsidRPr="005144EC">
        <w:t xml:space="preserve">)  The court rejected his claim, stating “[d]efendant demands more than the federal and state Constitutions require for a valid waiver of the jury trial right.  As discussed, a knowing and intelligent jury waiver requires an appreciation of the nature of the jury trial right and the consequences of forgoing this right. </w:t>
      </w:r>
      <w:r w:rsidRPr="005144EC" w:rsidR="00EF2FED">
        <w:t xml:space="preserve"> [</w:t>
      </w:r>
      <w:r w:rsidRPr="005144EC">
        <w:t>Citation.</w:t>
      </w:r>
      <w:r w:rsidRPr="005144EC" w:rsidR="00EF2FED">
        <w:t xml:space="preserve">] </w:t>
      </w:r>
      <w:r w:rsidRPr="005144EC">
        <w:t xml:space="preserve"> There is no additional constitutional requirement that a defendant be specifically advised of the specific charges, enhancements, allegations, or other issues to which a general jury waiver will apply.</w:t>
      </w:r>
      <w:r w:rsidRPr="005144EC" w:rsidR="00EF2FED">
        <w:t xml:space="preserve"> </w:t>
      </w:r>
      <w:r w:rsidRPr="005144EC">
        <w:t xml:space="preserve"> On the contrary, with a comprehensive jury waiver such as the one entered below, absent unusual circumstances not present here ‘</w:t>
      </w:r>
      <w:r w:rsidRPr="005144EC" w:rsidR="00EF2FED">
        <w:t xml:space="preserve"> “</w:t>
      </w:r>
      <w:r w:rsidRPr="005144EC">
        <w:t>[i]t is settled that where a defendant waives a jury trial he is deemed to have consented to a trial of all of the issues in the case before the court sitting without a jury.”</w:t>
      </w:r>
      <w:r w:rsidRPr="005144EC" w:rsidR="00EF2FED">
        <w:t xml:space="preserve"> ’ </w:t>
      </w:r>
      <w:r w:rsidRPr="005144EC">
        <w:t xml:space="preserve"> (</w:t>
      </w:r>
      <w:r w:rsidRPr="005144EC">
        <w:rPr>
          <w:i/>
          <w:iCs/>
        </w:rPr>
        <w:t>People v. Berutko</w:t>
      </w:r>
      <w:r w:rsidRPr="005144EC">
        <w:t xml:space="preserve"> (1969) 71</w:t>
      </w:r>
      <w:r w:rsidRPr="005144EC" w:rsidR="00EF2FED">
        <w:t> </w:t>
      </w:r>
      <w:r w:rsidRPr="005144EC">
        <w:t xml:space="preserve">Cal.2d 84, 94 . . . , quoting </w:t>
      </w:r>
      <w:r w:rsidRPr="005144EC">
        <w:rPr>
          <w:i/>
          <w:iCs/>
        </w:rPr>
        <w:t>People v. Russell</w:t>
      </w:r>
      <w:r w:rsidRPr="005144EC">
        <w:t xml:space="preserve"> (1961) 195 Cal.App.2d 529, 532</w:t>
      </w:r>
      <w:r w:rsidRPr="005144EC" w:rsidR="00EF2FED">
        <w:t>.</w:t>
      </w:r>
      <w:r w:rsidRPr="005144EC">
        <w:t xml:space="preserve"> . . .)”  (</w:t>
      </w:r>
      <w:r w:rsidR="00DC2B2E">
        <w:rPr>
          <w:i/>
          <w:iCs/>
        </w:rPr>
        <w:t>Id.</w:t>
      </w:r>
      <w:r w:rsidRPr="005144EC">
        <w:rPr>
          <w:i/>
          <w:iCs/>
        </w:rPr>
        <w:t xml:space="preserve">, </w:t>
      </w:r>
      <w:r w:rsidRPr="005144EC">
        <w:t>at p</w:t>
      </w:r>
      <w:r w:rsidRPr="005144EC" w:rsidR="00EF2FED">
        <w:t>p</w:t>
      </w:r>
      <w:r w:rsidRPr="005144EC">
        <w:t>.</w:t>
      </w:r>
      <w:r w:rsidR="00DC2B2E">
        <w:t> </w:t>
      </w:r>
      <w:r w:rsidRPr="005144EC">
        <w:t>171</w:t>
      </w:r>
      <w:r w:rsidRPr="005144EC" w:rsidR="00EF2FED">
        <w:t>, 173, italics omitted.)</w:t>
      </w:r>
    </w:p>
    <w:p w:rsidR="00105B6F" w:rsidRPr="005144EC" w:rsidP="00BD69EC" w14:paraId="07617E57" w14:textId="7A265685">
      <w:r w:rsidRPr="005144EC">
        <w:tab/>
        <w:t xml:space="preserve">The majority reiterated the point in responding to the dissent’s conclusion to the contrary, stating “The dissenting justices apparently read the trial judge’s advisements differently, perceiving the failure to expressly refer to the special circumstance allegation as somehow implicitly excluding that allegation from a counseled and otherwise comprehensive jury waiver. (See conc. &amp; dis. opn. of Liu, J., </w:t>
      </w:r>
      <w:r w:rsidRPr="005144EC">
        <w:rPr>
          <w:i/>
          <w:iCs/>
        </w:rPr>
        <w:t>post</w:t>
      </w:r>
      <w:r w:rsidRPr="005144EC">
        <w:t xml:space="preserve">, at pp. 203–206; conc. &amp; dis. opn. of Cuéllar, J., </w:t>
      </w:r>
      <w:r w:rsidRPr="005144EC">
        <w:rPr>
          <w:i/>
          <w:iCs/>
        </w:rPr>
        <w:t>post</w:t>
      </w:r>
      <w:r w:rsidRPr="005144EC">
        <w:t>, at pp. 218–219.)  We respectfully disagree with this interpretation of the colloquy, for the reasons we have previously given.  The dissenting justices’ position boils down to the proposition that the judge was constitutionally bound to utter the phrase ‘special circumstance’ at some point in the waiver colloquy with defendant, even if the judge never went on to explain what this phrase meant.  But our waiver jurisprudence rejects the notion that a knowing and intelligent waiver hinges on the recitation of a ‘ “talismanic phrase.” ’  [Citations.]  The fact of the matter is that the dissenting justices, like defendant, would require a degree of elaboration and specificity in a jury waiver colloquy that has never been demanded for a jury waiver to be considered knowing and intelligent under constitutional standards.”</w:t>
      </w:r>
      <w:r>
        <w:rPr>
          <w:rStyle w:val="FootnoteReference"/>
        </w:rPr>
        <w:footnoteReference w:id="8"/>
      </w:r>
      <w:r w:rsidRPr="005144EC">
        <w:t xml:space="preserve">  (</w:t>
      </w:r>
      <w:r w:rsidRPr="005144EC">
        <w:rPr>
          <w:i/>
          <w:iCs/>
        </w:rPr>
        <w:t>Sivongxxay</w:t>
      </w:r>
      <w:r w:rsidRPr="005144EC">
        <w:t xml:space="preserve">, </w:t>
      </w:r>
      <w:r w:rsidRPr="005144EC">
        <w:rPr>
          <w:i/>
          <w:iCs/>
        </w:rPr>
        <w:t>supra</w:t>
      </w:r>
      <w:r w:rsidRPr="005144EC">
        <w:t>, 3 Cal.5th at pp. 175–176, fn. &amp; italics omitted.)</w:t>
      </w:r>
    </w:p>
    <w:p w:rsidR="00EB6578" w:rsidRPr="005144EC" w:rsidP="00EB6578" w14:paraId="6E3834F7" w14:textId="0216DA65">
      <w:r w:rsidRPr="005144EC">
        <w:tab/>
        <w:t xml:space="preserve">The court reached a different conclusion with respect to the defendant’s </w:t>
      </w:r>
      <w:r w:rsidRPr="005144EC">
        <w:rPr>
          <w:i/>
          <w:iCs/>
        </w:rPr>
        <w:t xml:space="preserve">statutory </w:t>
      </w:r>
      <w:r w:rsidRPr="005144EC">
        <w:t xml:space="preserve">right to jury trial on a special circumstance allegation as </w:t>
      </w:r>
      <w:r w:rsidRPr="005144EC">
        <w:t xml:space="preserve">elucidated by </w:t>
      </w:r>
      <w:r w:rsidRPr="005144EC">
        <w:t xml:space="preserve">the court in its prior decision in </w:t>
      </w:r>
      <w:r w:rsidRPr="005144EC">
        <w:rPr>
          <w:i/>
          <w:iCs/>
        </w:rPr>
        <w:t>People v. Memro</w:t>
      </w:r>
      <w:r w:rsidRPr="005144EC">
        <w:t xml:space="preserve"> (</w:t>
      </w:r>
      <w:r w:rsidRPr="005144EC" w:rsidR="0056680E">
        <w:t>1985</w:t>
      </w:r>
      <w:r w:rsidRPr="005144EC">
        <w:t>) 38 Cal.3d 658</w:t>
      </w:r>
      <w:r w:rsidRPr="005144EC">
        <w:t xml:space="preserve"> (</w:t>
      </w:r>
      <w:r w:rsidRPr="005144EC">
        <w:rPr>
          <w:i/>
          <w:iCs/>
        </w:rPr>
        <w:t>Memro</w:t>
      </w:r>
      <w:r w:rsidRPr="005144EC">
        <w:t>)</w:t>
      </w:r>
      <w:r w:rsidRPr="005144EC">
        <w:t>.</w:t>
      </w:r>
      <w:r>
        <w:rPr>
          <w:rStyle w:val="FootnoteReference"/>
        </w:rPr>
        <w:footnoteReference w:id="9"/>
      </w:r>
      <w:r w:rsidRPr="005144EC">
        <w:t xml:space="preserve">  (</w:t>
      </w:r>
      <w:r w:rsidRPr="005144EC">
        <w:rPr>
          <w:i/>
          <w:iCs/>
        </w:rPr>
        <w:t xml:space="preserve">Sivongxxay, supra, </w:t>
      </w:r>
      <w:r w:rsidRPr="005144EC">
        <w:t>3 Cal.5th at pp. 176</w:t>
      </w:r>
      <w:r w:rsidRPr="005144EC" w:rsidR="00EF2FED">
        <w:t>–</w:t>
      </w:r>
      <w:r w:rsidRPr="005144EC">
        <w:t xml:space="preserve">178.) </w:t>
      </w:r>
      <w:r w:rsidRPr="005144EC" w:rsidR="003462D0">
        <w:t xml:space="preserve"> </w:t>
      </w:r>
      <w:r w:rsidRPr="005144EC" w:rsidR="0056680E">
        <w:t xml:space="preserve">In </w:t>
      </w:r>
      <w:r w:rsidRPr="005144EC" w:rsidR="0056680E">
        <w:rPr>
          <w:i/>
          <w:iCs/>
        </w:rPr>
        <w:t>Sivongxxay</w:t>
      </w:r>
      <w:r w:rsidRPr="005144EC" w:rsidR="0056680E">
        <w:t xml:space="preserve">, </w:t>
      </w:r>
      <w:r w:rsidRPr="005144EC">
        <w:t>“</w:t>
      </w:r>
      <w:r w:rsidRPr="005144EC" w:rsidR="0056680E">
        <w:t>[t]</w:t>
      </w:r>
      <w:r w:rsidRPr="005144EC">
        <w:t xml:space="preserve">here was no specific reference in the waiver colloquy to the need to adjudicate the special circumstance allegation; the term </w:t>
      </w:r>
      <w:r w:rsidRPr="005144EC" w:rsidR="00EF2FED">
        <w:t>‘</w:t>
      </w:r>
      <w:r w:rsidRPr="005144EC">
        <w:t>special circumstance</w:t>
      </w:r>
      <w:r w:rsidRPr="005144EC" w:rsidR="00EF2FED">
        <w:t>’</w:t>
      </w:r>
      <w:r w:rsidRPr="005144EC">
        <w:t xml:space="preserve"> was never mentioned at all.</w:t>
      </w:r>
      <w:r w:rsidRPr="005144EC" w:rsidR="00EF2FED">
        <w:t xml:space="preserve"> </w:t>
      </w:r>
      <w:r w:rsidRPr="005144EC">
        <w:t xml:space="preserve"> Although such precision [was] not required for a knowing, voluntary, and intelligent waiver, [the </w:t>
      </w:r>
      <w:r w:rsidRPr="005144EC" w:rsidR="0056680E">
        <w:t xml:space="preserve">high </w:t>
      </w:r>
      <w:r w:rsidRPr="005144EC">
        <w:t xml:space="preserve">court believed] that </w:t>
      </w:r>
      <w:r w:rsidRPr="005144EC">
        <w:rPr>
          <w:i/>
          <w:iCs/>
        </w:rPr>
        <w:t>Memro’s</w:t>
      </w:r>
      <w:r w:rsidRPr="005144EC">
        <w:t xml:space="preserve"> requirement of a ‘separate waiver,’ ” even as that rule was clarified in subsequent cases, “demand[ed] at least that much specificity.”</w:t>
      </w:r>
      <w:r w:rsidRPr="005144EC" w:rsidR="0056680E">
        <w:t xml:space="preserve">  (</w:t>
      </w:r>
      <w:r w:rsidRPr="005144EC" w:rsidR="00EF2FED">
        <w:rPr>
          <w:i/>
          <w:iCs/>
        </w:rPr>
        <w:t>Id.</w:t>
      </w:r>
      <w:r w:rsidRPr="005144EC" w:rsidR="0056680E">
        <w:rPr>
          <w:i/>
          <w:iCs/>
        </w:rPr>
        <w:t xml:space="preserve"> </w:t>
      </w:r>
      <w:r w:rsidRPr="005144EC" w:rsidR="0056680E">
        <w:t>at pp. 177–178.)</w:t>
      </w:r>
      <w:r w:rsidRPr="005144EC">
        <w:t xml:space="preserve">  Thus, although the court recognize</w:t>
      </w:r>
      <w:r w:rsidRPr="005144EC">
        <w:t>d</w:t>
      </w:r>
      <w:r w:rsidRPr="005144EC">
        <w:t xml:space="preserve"> the line </w:t>
      </w:r>
      <w:r w:rsidRPr="005144EC">
        <w:t>it was drawing was “</w:t>
      </w:r>
      <w:r w:rsidRPr="005144EC">
        <w:t>a narrow one,</w:t>
      </w:r>
      <w:r w:rsidRPr="005144EC">
        <w:t xml:space="preserve">” it held the </w:t>
      </w:r>
      <w:r w:rsidRPr="005144EC">
        <w:t>defendant</w:t>
      </w:r>
      <w:r w:rsidRPr="005144EC">
        <w:t>’</w:t>
      </w:r>
      <w:r w:rsidRPr="005144EC">
        <w:t xml:space="preserve">s </w:t>
      </w:r>
      <w:r w:rsidRPr="005144EC">
        <w:t>“</w:t>
      </w:r>
      <w:r w:rsidRPr="005144EC">
        <w:t>purported waiver as to the special circumstance determination was deficient, as a matter of state law</w:t>
      </w:r>
      <w:r w:rsidRPr="005144EC">
        <w:t>.”</w:t>
      </w:r>
      <w:r w:rsidRPr="005144EC" w:rsidR="0056680E">
        <w:t xml:space="preserve">  (</w:t>
      </w:r>
      <w:r w:rsidRPr="005144EC" w:rsidR="0056680E">
        <w:rPr>
          <w:i/>
          <w:iCs/>
        </w:rPr>
        <w:t>Id.</w:t>
      </w:r>
      <w:r w:rsidRPr="005144EC" w:rsidR="007226FC">
        <w:rPr>
          <w:i/>
          <w:iCs/>
        </w:rPr>
        <w:t xml:space="preserve"> </w:t>
      </w:r>
      <w:r w:rsidRPr="005144EC" w:rsidR="007226FC">
        <w:t>at p. 178.)</w:t>
      </w:r>
      <w:r w:rsidRPr="005144EC">
        <w:t xml:space="preserve">  </w:t>
      </w:r>
    </w:p>
    <w:p w:rsidR="007F08B3" w:rsidRPr="005144EC" w:rsidP="00A62040" w14:paraId="08C28553" w14:textId="6AB60502">
      <w:pPr>
        <w:rPr>
          <w:rFonts w:eastAsia="Times New Roman" w:cs="Times New Roman"/>
          <w:color w:val="000000"/>
          <w:kern w:val="0"/>
          <w14:ligatures w14:val="none"/>
        </w:rPr>
      </w:pPr>
      <w:r w:rsidRPr="005144EC">
        <w:tab/>
        <w:t xml:space="preserve">Given the clarity of the record </w:t>
      </w:r>
      <w:r w:rsidRPr="005144EC" w:rsidR="007226FC">
        <w:t xml:space="preserve">here </w:t>
      </w:r>
      <w:r w:rsidRPr="005144EC">
        <w:t>that defendant knowingly and voluntarily waived his right</w:t>
      </w:r>
      <w:r w:rsidRPr="005144EC" w:rsidR="007226FC">
        <w:t xml:space="preserve"> to jury trial </w:t>
      </w:r>
      <w:r w:rsidRPr="005144EC" w:rsidR="00F71269">
        <w:t xml:space="preserve">generally </w:t>
      </w:r>
      <w:r w:rsidRPr="005144EC" w:rsidR="007226FC">
        <w:t>and did so fully advised and personally agreeing in open court</w:t>
      </w:r>
      <w:r w:rsidRPr="005144EC" w:rsidR="00F71269">
        <w:t xml:space="preserve"> that the negotiated disposition included that the court would consider all aggravating circumstances, we conclude defendant’s jury waiver was </w:t>
      </w:r>
      <w:r w:rsidRPr="005144EC" w:rsidR="00F71269">
        <w:rPr>
          <w:i/>
          <w:iCs/>
        </w:rPr>
        <w:t>constitutionally</w:t>
      </w:r>
      <w:r w:rsidRPr="005144EC" w:rsidR="00F71269">
        <w:t xml:space="preserve"> sufficient</w:t>
      </w:r>
      <w:r w:rsidRPr="005144EC" w:rsidR="002F64AF">
        <w:t>.</w:t>
      </w:r>
    </w:p>
    <w:p w:rsidR="006D4A88" w:rsidRPr="005144EC" w:rsidP="00A62040" w14:paraId="0EE1B9FB" w14:textId="61114BB3">
      <w:pPr>
        <w:rPr>
          <w:b/>
          <w:bCs/>
          <w:i/>
          <w:iCs/>
        </w:rPr>
      </w:pPr>
      <w:r w:rsidRPr="005144EC">
        <w:rPr>
          <w:i/>
          <w:iCs/>
        </w:rPr>
        <w:tab/>
      </w:r>
      <w:r w:rsidRPr="00D33463" w:rsidR="00D33463">
        <w:rPr>
          <w:b/>
          <w:bCs/>
          <w:i/>
          <w:iCs/>
        </w:rPr>
        <w:t>2.</w:t>
      </w:r>
      <w:r w:rsidR="00D33463">
        <w:rPr>
          <w:i/>
          <w:iCs/>
        </w:rPr>
        <w:t xml:space="preserve">  </w:t>
      </w:r>
      <w:r w:rsidRPr="005144EC">
        <w:rPr>
          <w:b/>
          <w:bCs/>
          <w:i/>
          <w:iCs/>
        </w:rPr>
        <w:t>Prior Conviction</w:t>
      </w:r>
      <w:r w:rsidRPr="005144EC" w:rsidR="006F7F1D">
        <w:rPr>
          <w:b/>
          <w:bCs/>
          <w:i/>
          <w:iCs/>
        </w:rPr>
        <w:t>s</w:t>
      </w:r>
    </w:p>
    <w:p w:rsidR="006D4A88" w:rsidRPr="005144EC" w:rsidP="006D4A88" w14:paraId="04A886CA" w14:textId="1BC8DF8D">
      <w:r w:rsidRPr="005144EC">
        <w:tab/>
      </w:r>
      <w:r w:rsidRPr="005144EC" w:rsidR="00A552B2">
        <w:t>Even if we were to conclude defendant’s jury trial waiver was not constitutionally sufficient, we agree with t</w:t>
      </w:r>
      <w:r w:rsidRPr="005144EC">
        <w:t xml:space="preserve">he Attorney General </w:t>
      </w:r>
      <w:r w:rsidRPr="005144EC" w:rsidR="00A552B2">
        <w:t xml:space="preserve">that </w:t>
      </w:r>
      <w:r w:rsidRPr="005144EC">
        <w:t>the trial court relied on at least one p</w:t>
      </w:r>
      <w:r w:rsidR="00D33463">
        <w:t>ermissibly established</w:t>
      </w:r>
      <w:r w:rsidRPr="005144EC">
        <w:t xml:space="preserve"> aggravating circumstance</w:t>
      </w:r>
      <w:r w:rsidRPr="005144EC" w:rsidR="00A552B2">
        <w:t xml:space="preserve">—defendant’s prior convictions—and </w:t>
      </w:r>
      <w:r w:rsidRPr="005144EC" w:rsidR="00CF718F">
        <w:t xml:space="preserve">therefore, under </w:t>
      </w:r>
      <w:r w:rsidRPr="005144EC" w:rsidR="00CF718F">
        <w:rPr>
          <w:i/>
          <w:iCs/>
        </w:rPr>
        <w:t>Black II</w:t>
      </w:r>
      <w:r w:rsidRPr="005144EC" w:rsidR="00CF718F">
        <w:t>,</w:t>
      </w:r>
      <w:r w:rsidRPr="005144EC" w:rsidR="00CF718F">
        <w:rPr>
          <w:i/>
          <w:iCs/>
        </w:rPr>
        <w:t xml:space="preserve"> </w:t>
      </w:r>
      <w:r w:rsidRPr="005144EC" w:rsidR="00CF718F">
        <w:t xml:space="preserve">the </w:t>
      </w:r>
      <w:r w:rsidRPr="005144EC" w:rsidR="006F7F1D">
        <w:t xml:space="preserve">aggravated sentence </w:t>
      </w:r>
      <w:r w:rsidRPr="005144EC" w:rsidR="00CF718F">
        <w:t xml:space="preserve">is </w:t>
      </w:r>
      <w:r w:rsidR="00D33463">
        <w:t xml:space="preserve">not </w:t>
      </w:r>
      <w:r w:rsidRPr="005144EC" w:rsidR="006F7F1D">
        <w:t xml:space="preserve">constitutionally </w:t>
      </w:r>
      <w:r w:rsidR="00D33463">
        <w:t>infirm</w:t>
      </w:r>
      <w:r w:rsidRPr="005144EC" w:rsidR="00CF718F">
        <w:t xml:space="preserve">. </w:t>
      </w:r>
      <w:r w:rsidRPr="005144EC">
        <w:t xml:space="preserve"> </w:t>
      </w:r>
    </w:p>
    <w:p w:rsidR="00D163E1" w:rsidRPr="005144EC" w:rsidP="00762A27" w14:paraId="46F8738E" w14:textId="459DA9CC">
      <w:r w:rsidRPr="005144EC">
        <w:tab/>
      </w:r>
      <w:r w:rsidRPr="005144EC" w:rsidR="006F7F1D">
        <w:t xml:space="preserve">At the sentencing hearing, the trial </w:t>
      </w:r>
      <w:r w:rsidRPr="005144EC">
        <w:t xml:space="preserve">court </w:t>
      </w:r>
      <w:r w:rsidRPr="005144EC" w:rsidR="006F7F1D">
        <w:t xml:space="preserve">stated </w:t>
      </w:r>
      <w:r w:rsidRPr="005144EC">
        <w:t xml:space="preserve">defendant “had </w:t>
      </w:r>
      <w:bookmarkStart w:id="1" w:name="_Hlk147154733"/>
      <w:r w:rsidRPr="005144EC">
        <w:t>four prior DUIs at the time of this conviction, including a prior 288 as a misdemeanor.  Now they have elevated to felony conduct.”</w:t>
      </w:r>
      <w:bookmarkEnd w:id="1"/>
      <w:r w:rsidRPr="005144EC">
        <w:t xml:space="preserve">  While the record of defendant’s section 288, subdivision (c) conviction was admitted into evidence at the preliminary hearing, the four DUIs were identified in the probation </w:t>
      </w:r>
      <w:r w:rsidRPr="005144EC" w:rsidR="00527C93">
        <w:t xml:space="preserve">department </w:t>
      </w:r>
      <w:r w:rsidRPr="005144EC">
        <w:t xml:space="preserve">presentencing report.  </w:t>
      </w:r>
    </w:p>
    <w:p w:rsidR="00312748" w:rsidRPr="005144EC" w:rsidP="00762A27" w14:paraId="4E2C85B8" w14:textId="455B4B06">
      <w:pPr>
        <w:rPr>
          <w:rFonts w:eastAsia="Times New Roman" w:cs="Times New Roman"/>
          <w:color w:val="000000"/>
          <w:kern w:val="0"/>
          <w14:ligatures w14:val="none"/>
        </w:rPr>
      </w:pPr>
      <w:r w:rsidRPr="005144EC">
        <w:tab/>
      </w:r>
      <w:r w:rsidR="00D33463">
        <w:t>Despite advancing only a constitutional challenge to his aggravated sentence, d</w:t>
      </w:r>
      <w:r w:rsidRPr="005144EC" w:rsidR="006F7F1D">
        <w:t xml:space="preserve">efendant </w:t>
      </w:r>
      <w:r w:rsidR="00D33463">
        <w:t xml:space="preserve">complains </w:t>
      </w:r>
      <w:r w:rsidRPr="005144EC" w:rsidR="006F7F1D">
        <w:t xml:space="preserve">none of these convictions were, as </w:t>
      </w:r>
      <w:r w:rsidR="00D33463">
        <w:t xml:space="preserve">now </w:t>
      </w:r>
      <w:r w:rsidRPr="005144EC" w:rsidR="006F7F1D">
        <w:t>required by amended section 1170, subdivision (b)</w:t>
      </w:r>
      <w:r w:rsidRPr="005144EC">
        <w:t>(3)</w:t>
      </w:r>
      <w:r w:rsidRPr="005144EC" w:rsidR="006F7F1D">
        <w:t>,</w:t>
      </w:r>
      <w:r w:rsidRPr="005144EC">
        <w:t xml:space="preserve"> </w:t>
      </w:r>
      <w:r w:rsidRPr="005144EC">
        <w:rPr>
          <w:rFonts w:eastAsia="Times New Roman" w:cs="Times New Roman"/>
          <w:color w:val="000000"/>
          <w:kern w:val="0"/>
          <w14:ligatures w14:val="none"/>
        </w:rPr>
        <w:t>based on a certified record of conviction presented to the trial court at the sentencing hearing.</w:t>
      </w:r>
      <w:r>
        <w:rPr>
          <w:rStyle w:val="FootnoteReference"/>
          <w:rFonts w:eastAsia="Times New Roman" w:cs="Times New Roman"/>
          <w:color w:val="000000"/>
          <w:kern w:val="0"/>
          <w14:ligatures w14:val="none"/>
        </w:rPr>
        <w:footnoteReference w:id="10"/>
      </w:r>
      <w:r w:rsidRPr="005144EC" w:rsidR="00BE2A35">
        <w:rPr>
          <w:rFonts w:eastAsia="Times New Roman" w:cs="Times New Roman"/>
          <w:color w:val="000000"/>
          <w:kern w:val="0"/>
          <w14:ligatures w14:val="none"/>
        </w:rPr>
        <w:t xml:space="preserve"> </w:t>
      </w:r>
      <w:r w:rsidRPr="005144EC" w:rsidR="00542FE2">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The Attorney General essentially ignores the DUI convictions and focuses on the section 288, subdivision (c) conviction.</w:t>
      </w:r>
      <w:r w:rsidRPr="005144EC" w:rsidR="00542FE2">
        <w:rPr>
          <w:rFonts w:eastAsia="Times New Roman" w:cs="Times New Roman"/>
          <w:color w:val="000000"/>
          <w:kern w:val="0"/>
          <w14:ligatures w14:val="none"/>
        </w:rPr>
        <w:t xml:space="preserve"> </w:t>
      </w:r>
    </w:p>
    <w:p w:rsidR="0003495C" w:rsidRPr="005144EC" w:rsidP="00762A27" w14:paraId="041DD478" w14:textId="7E6B3C2C">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sidR="00542FE2">
        <w:rPr>
          <w:rFonts w:eastAsia="Times New Roman" w:cs="Times New Roman"/>
          <w:color w:val="000000"/>
          <w:kern w:val="0"/>
          <w14:ligatures w14:val="none"/>
        </w:rPr>
        <w:t>Regardless of the state of the briefing, we conclude t</w:t>
      </w:r>
      <w:r w:rsidRPr="005144EC" w:rsidR="00AF1EC6">
        <w:rPr>
          <w:rFonts w:eastAsia="Times New Roman" w:cs="Times New Roman"/>
          <w:color w:val="000000"/>
          <w:kern w:val="0"/>
          <w14:ligatures w14:val="none"/>
        </w:rPr>
        <w:t xml:space="preserve">he </w:t>
      </w:r>
      <w:r w:rsidRPr="005144EC" w:rsidR="0011316E">
        <w:rPr>
          <w:rFonts w:eastAsia="Times New Roman" w:cs="Times New Roman"/>
          <w:color w:val="000000"/>
          <w:kern w:val="0"/>
          <w14:ligatures w14:val="none"/>
        </w:rPr>
        <w:t xml:space="preserve">prior section 288, subdivision (c) conviction and the DUI convictions support the trial court’s </w:t>
      </w:r>
      <w:r w:rsidRPr="005144EC" w:rsidR="00641418">
        <w:rPr>
          <w:rFonts w:eastAsia="Times New Roman" w:cs="Times New Roman"/>
          <w:color w:val="000000"/>
          <w:kern w:val="0"/>
          <w14:ligatures w14:val="none"/>
        </w:rPr>
        <w:t xml:space="preserve">reliance on the </w:t>
      </w:r>
      <w:r w:rsidRPr="005144EC" w:rsidR="0011316E">
        <w:rPr>
          <w:rFonts w:eastAsia="Times New Roman" w:cs="Times New Roman"/>
          <w:color w:val="000000"/>
          <w:kern w:val="0"/>
          <w14:ligatures w14:val="none"/>
        </w:rPr>
        <w:t>recidivis</w:t>
      </w:r>
      <w:r w:rsidRPr="005144EC" w:rsidR="003762AF">
        <w:rPr>
          <w:rFonts w:eastAsia="Times New Roman" w:cs="Times New Roman"/>
          <w:color w:val="000000"/>
          <w:kern w:val="0"/>
          <w14:ligatures w14:val="none"/>
        </w:rPr>
        <w:t>t</w:t>
      </w:r>
      <w:r w:rsidRPr="005144EC" w:rsidR="0011316E">
        <w:rPr>
          <w:rFonts w:eastAsia="Times New Roman" w:cs="Times New Roman"/>
          <w:color w:val="000000"/>
          <w:kern w:val="0"/>
          <w14:ligatures w14:val="none"/>
        </w:rPr>
        <w:t xml:space="preserve"> factor set forth in rule 4.421(b)(2).  The amended version </w:t>
      </w:r>
      <w:r w:rsidRPr="005144EC" w:rsidR="00AF1EC6">
        <w:rPr>
          <w:rFonts w:eastAsia="Times New Roman" w:cs="Times New Roman"/>
          <w:color w:val="000000"/>
          <w:kern w:val="0"/>
          <w14:ligatures w14:val="none"/>
        </w:rPr>
        <w:t xml:space="preserve">of section 1170 </w:t>
      </w:r>
      <w:r w:rsidRPr="005144EC" w:rsidR="003762AF">
        <w:rPr>
          <w:rFonts w:eastAsia="Times New Roman" w:cs="Times New Roman"/>
          <w:color w:val="000000"/>
          <w:kern w:val="0"/>
          <w14:ligatures w14:val="none"/>
        </w:rPr>
        <w:t xml:space="preserve">went into </w:t>
      </w:r>
      <w:r w:rsidRPr="005144EC" w:rsidR="00AF1EC6">
        <w:rPr>
          <w:rFonts w:eastAsia="Times New Roman" w:cs="Times New Roman"/>
          <w:color w:val="000000"/>
          <w:kern w:val="0"/>
          <w14:ligatures w14:val="none"/>
        </w:rPr>
        <w:t>effect fo</w:t>
      </w:r>
      <w:r w:rsidRPr="005144EC" w:rsidR="0011316E">
        <w:rPr>
          <w:rFonts w:eastAsia="Times New Roman" w:cs="Times New Roman"/>
          <w:color w:val="000000"/>
          <w:kern w:val="0"/>
          <w14:ligatures w14:val="none"/>
        </w:rPr>
        <w:t>ur</w:t>
      </w:r>
      <w:r w:rsidRPr="005144EC" w:rsidR="00AF1EC6">
        <w:rPr>
          <w:rFonts w:eastAsia="Times New Roman" w:cs="Times New Roman"/>
          <w:color w:val="000000"/>
          <w:kern w:val="0"/>
          <w14:ligatures w14:val="none"/>
        </w:rPr>
        <w:t xml:space="preserve"> months </w:t>
      </w:r>
      <w:r w:rsidRPr="005144EC" w:rsidR="003762AF">
        <w:rPr>
          <w:rFonts w:eastAsia="Times New Roman" w:cs="Times New Roman"/>
          <w:i/>
          <w:iCs/>
          <w:color w:val="000000"/>
          <w:kern w:val="0"/>
          <w14:ligatures w14:val="none"/>
        </w:rPr>
        <w:t>prior</w:t>
      </w:r>
      <w:r w:rsidRPr="005144EC" w:rsidR="003762AF">
        <w:rPr>
          <w:rFonts w:eastAsia="Times New Roman" w:cs="Times New Roman"/>
          <w:color w:val="000000"/>
          <w:kern w:val="0"/>
          <w14:ligatures w14:val="none"/>
        </w:rPr>
        <w:t xml:space="preserve"> to</w:t>
      </w:r>
      <w:r w:rsidRPr="005144EC" w:rsidR="0011316E">
        <w:rPr>
          <w:rFonts w:eastAsia="Times New Roman" w:cs="Times New Roman"/>
          <w:color w:val="000000"/>
          <w:kern w:val="0"/>
          <w14:ligatures w14:val="none"/>
        </w:rPr>
        <w:t xml:space="preserve"> </w:t>
      </w:r>
      <w:r w:rsidRPr="005144EC" w:rsidR="00AF1EC6">
        <w:rPr>
          <w:rFonts w:eastAsia="Times New Roman" w:cs="Times New Roman"/>
          <w:color w:val="000000"/>
          <w:kern w:val="0"/>
          <w14:ligatures w14:val="none"/>
        </w:rPr>
        <w:t xml:space="preserve">the sentencing hearing. </w:t>
      </w:r>
      <w:r w:rsidRPr="005144EC" w:rsidR="0011316E">
        <w:rPr>
          <w:rFonts w:eastAsia="Times New Roman" w:cs="Times New Roman"/>
          <w:color w:val="000000"/>
          <w:kern w:val="0"/>
          <w14:ligatures w14:val="none"/>
        </w:rPr>
        <w:t xml:space="preserve"> </w:t>
      </w:r>
      <w:r w:rsidRPr="005144EC" w:rsidR="00AF1EC6">
        <w:rPr>
          <w:rFonts w:eastAsia="Times New Roman" w:cs="Times New Roman"/>
          <w:color w:val="000000"/>
          <w:kern w:val="0"/>
          <w14:ligatures w14:val="none"/>
        </w:rPr>
        <w:t>However, defendant made no objection to the trial court’s consideration of either the section 288</w:t>
      </w:r>
      <w:r w:rsidRPr="005144EC" w:rsidR="0011316E">
        <w:rPr>
          <w:rFonts w:eastAsia="Times New Roman" w:cs="Times New Roman"/>
          <w:color w:val="000000"/>
          <w:kern w:val="0"/>
          <w14:ligatures w14:val="none"/>
        </w:rPr>
        <w:t>, subdivision (</w:t>
      </w:r>
      <w:r w:rsidRPr="005144EC" w:rsidR="000640F8">
        <w:rPr>
          <w:rFonts w:eastAsia="Times New Roman" w:cs="Times New Roman"/>
          <w:color w:val="000000"/>
          <w:kern w:val="0"/>
          <w14:ligatures w14:val="none"/>
        </w:rPr>
        <w:t>c</w:t>
      </w:r>
      <w:r w:rsidRPr="005144EC" w:rsidR="0011316E">
        <w:rPr>
          <w:rFonts w:eastAsia="Times New Roman" w:cs="Times New Roman"/>
          <w:color w:val="000000"/>
          <w:kern w:val="0"/>
          <w14:ligatures w14:val="none"/>
        </w:rPr>
        <w:t>)</w:t>
      </w:r>
      <w:r w:rsidRPr="005144EC" w:rsidR="00AF1EC6">
        <w:rPr>
          <w:rFonts w:eastAsia="Times New Roman" w:cs="Times New Roman"/>
          <w:color w:val="000000"/>
          <w:kern w:val="0"/>
          <w14:ligatures w14:val="none"/>
        </w:rPr>
        <w:t xml:space="preserve"> </w:t>
      </w:r>
      <w:r w:rsidRPr="005144EC" w:rsidR="00593AF9">
        <w:rPr>
          <w:rFonts w:eastAsia="Times New Roman" w:cs="Times New Roman"/>
          <w:color w:val="000000"/>
          <w:kern w:val="0"/>
          <w14:ligatures w14:val="none"/>
        </w:rPr>
        <w:t xml:space="preserve">conviction </w:t>
      </w:r>
      <w:r w:rsidRPr="005144EC" w:rsidR="00AF1EC6">
        <w:rPr>
          <w:rFonts w:eastAsia="Times New Roman" w:cs="Times New Roman"/>
          <w:color w:val="000000"/>
          <w:kern w:val="0"/>
          <w14:ligatures w14:val="none"/>
        </w:rPr>
        <w:t>or the DUI convictions.  Th</w:t>
      </w:r>
      <w:r w:rsidRPr="005144EC">
        <w:rPr>
          <w:rFonts w:eastAsia="Times New Roman" w:cs="Times New Roman"/>
          <w:color w:val="000000"/>
          <w:kern w:val="0"/>
          <w14:ligatures w14:val="none"/>
        </w:rPr>
        <w:t>e lack of certified cop</w:t>
      </w:r>
      <w:r w:rsidRPr="005144EC" w:rsidR="0011316E">
        <w:rPr>
          <w:rFonts w:eastAsia="Times New Roman" w:cs="Times New Roman"/>
          <w:color w:val="000000"/>
          <w:kern w:val="0"/>
          <w14:ligatures w14:val="none"/>
        </w:rPr>
        <w:t>ies</w:t>
      </w:r>
      <w:r w:rsidRPr="005144EC">
        <w:rPr>
          <w:rFonts w:eastAsia="Times New Roman" w:cs="Times New Roman"/>
          <w:color w:val="000000"/>
          <w:kern w:val="0"/>
          <w14:ligatures w14:val="none"/>
        </w:rPr>
        <w:t xml:space="preserve"> of these convictions </w:t>
      </w:r>
      <w:r w:rsidRPr="005144EC" w:rsidR="0011316E">
        <w:rPr>
          <w:rFonts w:eastAsia="Times New Roman" w:cs="Times New Roman"/>
          <w:color w:val="000000"/>
          <w:kern w:val="0"/>
          <w14:ligatures w14:val="none"/>
        </w:rPr>
        <w:t xml:space="preserve">presented </w:t>
      </w:r>
      <w:r w:rsidRPr="005144EC">
        <w:rPr>
          <w:rFonts w:eastAsia="Times New Roman" w:cs="Times New Roman"/>
          <w:color w:val="000000"/>
          <w:kern w:val="0"/>
          <w14:ligatures w14:val="none"/>
        </w:rPr>
        <w:t xml:space="preserve">at the sentencing hearing </w:t>
      </w:r>
      <w:r w:rsidRPr="005144EC" w:rsidR="00AF1EC6">
        <w:rPr>
          <w:rFonts w:eastAsia="Times New Roman" w:cs="Times New Roman"/>
          <w:color w:val="000000"/>
          <w:kern w:val="0"/>
          <w14:ligatures w14:val="none"/>
        </w:rPr>
        <w:t>was a</w:t>
      </w:r>
      <w:r w:rsidRPr="005144EC" w:rsidR="0011316E">
        <w:rPr>
          <w:rFonts w:eastAsia="Times New Roman" w:cs="Times New Roman"/>
          <w:color w:val="000000"/>
          <w:kern w:val="0"/>
          <w14:ligatures w14:val="none"/>
        </w:rPr>
        <w:t xml:space="preserve"> foundational, </w:t>
      </w:r>
      <w:r w:rsidRPr="005144EC" w:rsidR="00AF1EC6">
        <w:rPr>
          <w:rFonts w:eastAsia="Times New Roman" w:cs="Times New Roman"/>
          <w:i/>
          <w:iCs/>
          <w:color w:val="000000"/>
          <w:kern w:val="0"/>
          <w14:ligatures w14:val="none"/>
        </w:rPr>
        <w:t xml:space="preserve">evidentiary </w:t>
      </w:r>
      <w:r w:rsidRPr="005144EC" w:rsidR="00AF1EC6">
        <w:rPr>
          <w:rFonts w:eastAsia="Times New Roman" w:cs="Times New Roman"/>
          <w:color w:val="000000"/>
          <w:kern w:val="0"/>
          <w14:ligatures w14:val="none"/>
        </w:rPr>
        <w:t>issue defendant could have, and should have</w:t>
      </w:r>
      <w:r w:rsidRPr="005144EC" w:rsidR="00593AF9">
        <w:rPr>
          <w:rFonts w:eastAsia="Times New Roman" w:cs="Times New Roman"/>
          <w:color w:val="000000"/>
          <w:kern w:val="0"/>
          <w14:ligatures w14:val="none"/>
        </w:rPr>
        <w:t>,</w:t>
      </w:r>
      <w:r w:rsidRPr="005144EC" w:rsidR="00AF1EC6">
        <w:rPr>
          <w:rFonts w:eastAsia="Times New Roman" w:cs="Times New Roman"/>
          <w:color w:val="000000"/>
          <w:kern w:val="0"/>
          <w14:ligatures w14:val="none"/>
        </w:rPr>
        <w:t xml:space="preserve"> raised in the trial court</w:t>
      </w:r>
      <w:r w:rsidRPr="005144EC" w:rsidR="0011316E">
        <w:rPr>
          <w:rFonts w:eastAsia="Times New Roman" w:cs="Times New Roman"/>
          <w:color w:val="000000"/>
          <w:kern w:val="0"/>
          <w14:ligatures w14:val="none"/>
        </w:rPr>
        <w:t>.</w:t>
      </w:r>
      <w:r w:rsidRPr="005144EC" w:rsidR="00A9333D">
        <w:rPr>
          <w:rFonts w:eastAsia="Times New Roman" w:cs="Times New Roman"/>
          <w:color w:val="000000"/>
          <w:kern w:val="0"/>
          <w14:ligatures w14:val="none"/>
        </w:rPr>
        <w:t xml:space="preserve">  Indeed, had defendant made such an objection, the foundational issue could have been readily resolved.</w:t>
      </w:r>
      <w:r w:rsidRPr="005144EC" w:rsidR="00C93417">
        <w:rPr>
          <w:rFonts w:eastAsia="Times New Roman" w:cs="Times New Roman"/>
          <w:color w:val="000000"/>
          <w:kern w:val="0"/>
          <w14:ligatures w14:val="none"/>
        </w:rPr>
        <w:t xml:space="preserve">  (Cf. </w:t>
      </w:r>
      <w:r w:rsidRPr="005144EC" w:rsidR="00C93417">
        <w:rPr>
          <w:rFonts w:eastAsia="Times New Roman" w:cs="Times New Roman"/>
          <w:i/>
          <w:iCs/>
          <w:color w:val="000000"/>
          <w:kern w:val="0"/>
          <w14:ligatures w14:val="none"/>
        </w:rPr>
        <w:t xml:space="preserve">Wiley, supra, </w:t>
      </w:r>
      <w:r w:rsidRPr="005144EC" w:rsidR="00C93417">
        <w:rPr>
          <w:rFonts w:eastAsia="Times New Roman" w:cs="Times New Roman"/>
          <w:color w:val="000000"/>
          <w:kern w:val="0"/>
          <w14:ligatures w14:val="none"/>
        </w:rPr>
        <w:t xml:space="preserve">__ Cal.App.5th at p. __, 2023 WL 8252049, </w:t>
      </w:r>
      <w:r w:rsidR="008820CB">
        <w:rPr>
          <w:rFonts w:eastAsia="Times New Roman" w:cs="Times New Roman"/>
          <w:color w:val="000000"/>
          <w:kern w:val="0"/>
          <w14:ligatures w14:val="none"/>
        </w:rPr>
        <w:t xml:space="preserve">at p. </w:t>
      </w:r>
      <w:r w:rsidRPr="005144EC" w:rsidR="00C93417">
        <w:rPr>
          <w:rFonts w:eastAsia="Times New Roman" w:cs="Times New Roman"/>
          <w:color w:val="000000"/>
          <w:kern w:val="0"/>
          <w14:ligatures w14:val="none"/>
        </w:rPr>
        <w:t xml:space="preserve">*2 [trial court continued sentencing hearing to enable prosecutor to obtain certified record of convictions].) </w:t>
      </w:r>
      <w:r w:rsidRPr="005144EC" w:rsidR="0011316E">
        <w:rPr>
          <w:rFonts w:eastAsia="Times New Roman" w:cs="Times New Roman"/>
          <w:color w:val="000000"/>
          <w:kern w:val="0"/>
          <w14:ligatures w14:val="none"/>
        </w:rPr>
        <w:t xml:space="preserve"> </w:t>
      </w:r>
      <w:r w:rsidRPr="005144EC" w:rsidR="003762AF">
        <w:rPr>
          <w:rFonts w:eastAsia="Times New Roman" w:cs="Times New Roman"/>
          <w:color w:val="000000"/>
          <w:kern w:val="0"/>
          <w14:ligatures w14:val="none"/>
        </w:rPr>
        <w:t>H</w:t>
      </w:r>
      <w:r w:rsidRPr="005144EC" w:rsidR="00AF1EC6">
        <w:rPr>
          <w:rFonts w:eastAsia="Times New Roman" w:cs="Times New Roman"/>
          <w:color w:val="000000"/>
          <w:kern w:val="0"/>
          <w14:ligatures w14:val="none"/>
        </w:rPr>
        <w:t>aving made no objection to th</w:t>
      </w:r>
      <w:r w:rsidRPr="005144EC" w:rsidR="00593AF9">
        <w:rPr>
          <w:rFonts w:eastAsia="Times New Roman" w:cs="Times New Roman"/>
          <w:color w:val="000000"/>
          <w:kern w:val="0"/>
          <w14:ligatures w14:val="none"/>
        </w:rPr>
        <w:t>is</w:t>
      </w:r>
      <w:r w:rsidRPr="005144EC" w:rsidR="00AF1EC6">
        <w:rPr>
          <w:rFonts w:eastAsia="Times New Roman" w:cs="Times New Roman"/>
          <w:color w:val="000000"/>
          <w:kern w:val="0"/>
          <w14:ligatures w14:val="none"/>
        </w:rPr>
        <w:t xml:space="preserve"> evidence</w:t>
      </w:r>
      <w:r w:rsidRPr="005144EC" w:rsidR="0011316E">
        <w:rPr>
          <w:rFonts w:eastAsia="Times New Roman" w:cs="Times New Roman"/>
          <w:color w:val="000000"/>
          <w:kern w:val="0"/>
          <w14:ligatures w14:val="none"/>
        </w:rPr>
        <w:t xml:space="preserve"> on any ground, let alone the specific ground of insufficient foundation</w:t>
      </w:r>
      <w:r w:rsidRPr="005144EC" w:rsidR="00AF1EC6">
        <w:rPr>
          <w:rFonts w:eastAsia="Times New Roman" w:cs="Times New Roman"/>
          <w:color w:val="000000"/>
          <w:kern w:val="0"/>
          <w14:ligatures w14:val="none"/>
        </w:rPr>
        <w:t xml:space="preserve">, </w:t>
      </w:r>
      <w:r w:rsidRPr="005144EC" w:rsidR="00A9333D">
        <w:rPr>
          <w:rFonts w:eastAsia="Times New Roman" w:cs="Times New Roman"/>
          <w:color w:val="000000"/>
          <w:kern w:val="0"/>
          <w14:ligatures w14:val="none"/>
        </w:rPr>
        <w:t xml:space="preserve">defendant </w:t>
      </w:r>
      <w:r w:rsidRPr="005144EC" w:rsidR="00AF1EC6">
        <w:rPr>
          <w:rFonts w:eastAsia="Times New Roman" w:cs="Times New Roman"/>
          <w:color w:val="000000"/>
          <w:kern w:val="0"/>
          <w14:ligatures w14:val="none"/>
        </w:rPr>
        <w:t>has forfeited the issue on appeal.  (</w:t>
      </w:r>
      <w:r w:rsidRPr="005144EC" w:rsidR="002B38E8">
        <w:rPr>
          <w:rFonts w:eastAsia="Times New Roman" w:cs="Times New Roman"/>
          <w:color w:val="000000"/>
          <w:kern w:val="0"/>
          <w14:ligatures w14:val="none"/>
        </w:rPr>
        <w:t xml:space="preserve">See </w:t>
      </w:r>
      <w:r w:rsidRPr="005144EC" w:rsidR="002B38E8">
        <w:rPr>
          <w:rFonts w:eastAsia="Times New Roman" w:cs="Times New Roman"/>
          <w:i/>
          <w:iCs/>
          <w:color w:val="3D3D3D"/>
          <w:kern w:val="0"/>
          <w:bdr w:val="none" w:sz="0" w:space="0" w:color="auto" w:frame="1"/>
          <w14:ligatures w14:val="none"/>
        </w:rPr>
        <w:t>People v. Jackson</w:t>
      </w:r>
      <w:r w:rsidRPr="005144EC" w:rsidR="002B38E8">
        <w:rPr>
          <w:rFonts w:eastAsia="Times New Roman" w:cs="Times New Roman"/>
          <w:color w:val="000000"/>
          <w:kern w:val="0"/>
          <w14:ligatures w14:val="none"/>
        </w:rPr>
        <w:t xml:space="preserve"> (2016) 1 Cal.5th 269, 366 [defendant </w:t>
      </w:r>
      <w:r w:rsidRPr="005144EC" w:rsidR="002B38E8">
        <w:rPr>
          <w:rFonts w:eastAsia="Times New Roman" w:cs="Times New Roman"/>
          <w:color w:val="000000"/>
          <w:kern w:val="0"/>
          <w:bdr w:val="none" w:sz="0" w:space="0" w:color="auto" w:frame="1"/>
          <w:shd w:val="clear" w:color="auto" w:fill="FFFFFF"/>
          <w14:ligatures w14:val="none"/>
        </w:rPr>
        <w:t>forfeited</w:t>
      </w:r>
      <w:r w:rsidRPr="005144EC" w:rsidR="002B38E8">
        <w:rPr>
          <w:rFonts w:eastAsia="Times New Roman" w:cs="Times New Roman"/>
          <w:color w:val="000000"/>
          <w:kern w:val="0"/>
          <w14:ligatures w14:val="none"/>
        </w:rPr>
        <w:t xml:space="preserve"> claim that testimony </w:t>
      </w:r>
      <w:r w:rsidRPr="005144EC" w:rsidR="002B38E8">
        <w:rPr>
          <w:rFonts w:eastAsia="Times New Roman" w:cs="Times New Roman"/>
          <w:color w:val="000000"/>
          <w:kern w:val="0"/>
          <w:bdr w:val="none" w:sz="0" w:space="0" w:color="auto" w:frame="1"/>
          <w:shd w:val="clear" w:color="auto" w:fill="FFFFFF"/>
          <w14:ligatures w14:val="none"/>
        </w:rPr>
        <w:t>lacked</w:t>
      </w:r>
      <w:r w:rsidRPr="005144EC" w:rsidR="002B38E8">
        <w:rPr>
          <w:rFonts w:eastAsia="Times New Roman" w:cs="Times New Roman"/>
          <w:color w:val="000000"/>
          <w:kern w:val="0"/>
          <w14:ligatures w14:val="none"/>
        </w:rPr>
        <w:t xml:space="preserve"> </w:t>
      </w:r>
      <w:r w:rsidRPr="005144EC" w:rsidR="002B38E8">
        <w:rPr>
          <w:rFonts w:eastAsia="Times New Roman" w:cs="Times New Roman"/>
          <w:color w:val="000000"/>
          <w:kern w:val="0"/>
          <w:bdr w:val="none" w:sz="0" w:space="0" w:color="auto" w:frame="1"/>
          <w:shd w:val="clear" w:color="auto" w:fill="FFFFFF"/>
          <w14:ligatures w14:val="none"/>
        </w:rPr>
        <w:t>foundation</w:t>
      </w:r>
      <w:r w:rsidRPr="005144EC" w:rsidR="002B38E8">
        <w:rPr>
          <w:rFonts w:eastAsia="Times New Roman" w:cs="Times New Roman"/>
          <w:color w:val="000000"/>
          <w:kern w:val="0"/>
          <w14:ligatures w14:val="none"/>
        </w:rPr>
        <w:t xml:space="preserve"> by </w:t>
      </w:r>
      <w:r w:rsidRPr="005144EC" w:rsidR="002B38E8">
        <w:rPr>
          <w:rFonts w:eastAsia="Times New Roman" w:cs="Times New Roman"/>
          <w:color w:val="000000"/>
          <w:kern w:val="0"/>
          <w:bdr w:val="none" w:sz="0" w:space="0" w:color="auto" w:frame="1"/>
          <w:shd w:val="clear" w:color="auto" w:fill="FFFFFF"/>
          <w14:ligatures w14:val="none"/>
        </w:rPr>
        <w:t>failing</w:t>
      </w:r>
      <w:r w:rsidRPr="005144EC" w:rsidR="002B38E8">
        <w:rPr>
          <w:rFonts w:eastAsia="Times New Roman" w:cs="Times New Roman"/>
          <w:color w:val="000000"/>
          <w:kern w:val="0"/>
          <w14:ligatures w14:val="none"/>
        </w:rPr>
        <w:t xml:space="preserve"> to </w:t>
      </w:r>
      <w:r w:rsidRPr="005144EC" w:rsidR="002B38E8">
        <w:rPr>
          <w:rFonts w:eastAsia="Times New Roman" w:cs="Times New Roman"/>
          <w:color w:val="000000"/>
          <w:kern w:val="0"/>
          <w:bdr w:val="none" w:sz="0" w:space="0" w:color="auto" w:frame="1"/>
          <w:shd w:val="clear" w:color="auto" w:fill="FFFFFF"/>
          <w14:ligatures w14:val="none"/>
        </w:rPr>
        <w:t>object</w:t>
      </w:r>
      <w:r w:rsidRPr="005144EC" w:rsidR="002B38E8">
        <w:rPr>
          <w:rFonts w:eastAsia="Times New Roman" w:cs="Times New Roman"/>
          <w:color w:val="000000"/>
          <w:kern w:val="0"/>
          <w14:ligatures w14:val="none"/>
        </w:rPr>
        <w:t xml:space="preserve"> on this ground at trial]</w:t>
      </w:r>
      <w:r w:rsidRPr="005144EC" w:rsidR="00593AF9">
        <w:rPr>
          <w:rFonts w:eastAsia="Times New Roman" w:cs="Times New Roman"/>
          <w:color w:val="000000"/>
          <w:kern w:val="0"/>
          <w14:ligatures w14:val="none"/>
        </w:rPr>
        <w:t>; see Evid.</w:t>
      </w:r>
      <w:r w:rsidRPr="005144EC" w:rsidR="00BE2A35">
        <w:rPr>
          <w:rFonts w:eastAsia="Times New Roman" w:cs="Times New Roman"/>
          <w:color w:val="000000"/>
          <w:kern w:val="0"/>
          <w14:ligatures w14:val="none"/>
        </w:rPr>
        <w:t xml:space="preserve"> </w:t>
      </w:r>
      <w:r w:rsidRPr="005144EC" w:rsidR="00593AF9">
        <w:rPr>
          <w:rFonts w:eastAsia="Times New Roman" w:cs="Times New Roman"/>
          <w:color w:val="000000"/>
          <w:kern w:val="0"/>
          <w14:ligatures w14:val="none"/>
        </w:rPr>
        <w:t>Code, § 353</w:t>
      </w:r>
      <w:r w:rsidRPr="005144EC" w:rsidR="00EF2FED">
        <w:rPr>
          <w:rFonts w:eastAsia="Times New Roman" w:cs="Times New Roman"/>
          <w:color w:val="000000"/>
          <w:kern w:val="0"/>
          <w14:ligatures w14:val="none"/>
        </w:rPr>
        <w:t>, subd (a)</w:t>
      </w:r>
      <w:r w:rsidRPr="005144EC" w:rsidR="00593AF9">
        <w:rPr>
          <w:rFonts w:eastAsia="Times New Roman" w:cs="Times New Roman"/>
          <w:color w:val="000000"/>
          <w:kern w:val="0"/>
          <w14:ligatures w14:val="none"/>
        </w:rPr>
        <w:t xml:space="preserve"> [no reversal due to erroneous admission of </w:t>
      </w:r>
      <w:r w:rsidRPr="005144EC" w:rsidR="00593AF9">
        <w:rPr>
          <w:rFonts w:eastAsia="Times New Roman" w:cs="Times New Roman"/>
          <w:color w:val="000000"/>
          <w:kern w:val="0"/>
          <w:bdr w:val="none" w:sz="0" w:space="0" w:color="auto" w:frame="1"/>
          <w:shd w:val="clear" w:color="auto" w:fill="FFFFFF"/>
          <w14:ligatures w14:val="none"/>
        </w:rPr>
        <w:t>evidence</w:t>
      </w:r>
      <w:r w:rsidRPr="005144EC" w:rsidR="00593AF9">
        <w:rPr>
          <w:rFonts w:eastAsia="Times New Roman" w:cs="Times New Roman"/>
          <w:color w:val="000000"/>
          <w:kern w:val="0"/>
          <w14:ligatures w14:val="none"/>
        </w:rPr>
        <w:t xml:space="preserve"> unless “[t]here appears of record an </w:t>
      </w:r>
      <w:r w:rsidRPr="005144EC" w:rsidR="00593AF9">
        <w:rPr>
          <w:rFonts w:eastAsia="Times New Roman" w:cs="Times New Roman"/>
          <w:color w:val="000000"/>
          <w:kern w:val="0"/>
          <w:bdr w:val="none" w:sz="0" w:space="0" w:color="auto" w:frame="1"/>
          <w:shd w:val="clear" w:color="auto" w:fill="FFFFFF"/>
          <w14:ligatures w14:val="none"/>
        </w:rPr>
        <w:t>objection</w:t>
      </w:r>
      <w:r w:rsidRPr="005144EC" w:rsidR="00593AF9">
        <w:rPr>
          <w:rFonts w:eastAsia="Times New Roman" w:cs="Times New Roman"/>
          <w:color w:val="000000"/>
          <w:kern w:val="0"/>
          <w14:ligatures w14:val="none"/>
        </w:rPr>
        <w:t xml:space="preserve"> to or a motion to exclude or to strike the </w:t>
      </w:r>
      <w:r w:rsidRPr="005144EC" w:rsidR="00593AF9">
        <w:rPr>
          <w:rFonts w:eastAsia="Times New Roman" w:cs="Times New Roman"/>
          <w:color w:val="000000"/>
          <w:kern w:val="0"/>
          <w:bdr w:val="none" w:sz="0" w:space="0" w:color="auto" w:frame="1"/>
          <w:shd w:val="clear" w:color="auto" w:fill="FFFFFF"/>
          <w14:ligatures w14:val="none"/>
        </w:rPr>
        <w:t>evidence</w:t>
      </w:r>
      <w:r w:rsidRPr="005144EC" w:rsidR="00593AF9">
        <w:rPr>
          <w:rFonts w:eastAsia="Times New Roman" w:cs="Times New Roman"/>
          <w:color w:val="000000"/>
          <w:kern w:val="0"/>
          <w14:ligatures w14:val="none"/>
        </w:rPr>
        <w:t xml:space="preserve"> that was timely made and so stated as to make clear the specific ground of the </w:t>
      </w:r>
      <w:r w:rsidRPr="005144EC" w:rsidR="00593AF9">
        <w:rPr>
          <w:rFonts w:eastAsia="Times New Roman" w:cs="Times New Roman"/>
          <w:color w:val="000000"/>
          <w:kern w:val="0"/>
          <w:bdr w:val="none" w:sz="0" w:space="0" w:color="auto" w:frame="1"/>
          <w:shd w:val="clear" w:color="auto" w:fill="FFFFFF"/>
          <w14:ligatures w14:val="none"/>
        </w:rPr>
        <w:t>objection</w:t>
      </w:r>
      <w:r w:rsidRPr="005144EC" w:rsidR="00593AF9">
        <w:rPr>
          <w:rFonts w:eastAsia="Times New Roman" w:cs="Times New Roman"/>
          <w:color w:val="000000"/>
          <w:kern w:val="0"/>
          <w14:ligatures w14:val="none"/>
        </w:rPr>
        <w:t xml:space="preserve"> or motion”]</w:t>
      </w:r>
      <w:r w:rsidRPr="005144EC" w:rsidR="00F80502">
        <w:rPr>
          <w:rFonts w:eastAsia="Times New Roman" w:cs="Times New Roman"/>
          <w:color w:val="000000"/>
          <w:kern w:val="0"/>
          <w14:ligatures w14:val="none"/>
        </w:rPr>
        <w:t xml:space="preserve">; see also </w:t>
      </w:r>
      <w:r w:rsidRPr="005144EC" w:rsidR="00F80502">
        <w:rPr>
          <w:rFonts w:eastAsia="Times New Roman" w:cs="Times New Roman"/>
          <w:i/>
          <w:iCs/>
          <w:color w:val="000000"/>
          <w:kern w:val="0"/>
          <w14:ligatures w14:val="none"/>
        </w:rPr>
        <w:t xml:space="preserve">People v. Achane </w:t>
      </w:r>
      <w:r w:rsidRPr="005144EC" w:rsidR="00F80502">
        <w:rPr>
          <w:rFonts w:eastAsia="Times New Roman" w:cs="Times New Roman"/>
          <w:color w:val="000000"/>
          <w:kern w:val="0"/>
          <w14:ligatures w14:val="none"/>
        </w:rPr>
        <w:t>(2023) 92</w:t>
      </w:r>
      <w:r w:rsidRPr="005144EC" w:rsidR="00430213">
        <w:rPr>
          <w:rFonts w:eastAsia="Times New Roman" w:cs="Times New Roman"/>
          <w:color w:val="000000"/>
          <w:kern w:val="0"/>
          <w14:ligatures w14:val="none"/>
        </w:rPr>
        <w:t> </w:t>
      </w:r>
      <w:r w:rsidRPr="005144EC" w:rsidR="00F80502">
        <w:rPr>
          <w:rFonts w:eastAsia="Times New Roman" w:cs="Times New Roman"/>
          <w:color w:val="000000"/>
          <w:kern w:val="0"/>
          <w14:ligatures w14:val="none"/>
        </w:rPr>
        <w:t>Cal.App.5th 1037, 104</w:t>
      </w:r>
      <w:r w:rsidRPr="005144EC" w:rsidR="00430213">
        <w:rPr>
          <w:rFonts w:eastAsia="Times New Roman" w:cs="Times New Roman"/>
          <w:color w:val="000000"/>
          <w:kern w:val="0"/>
          <w14:ligatures w14:val="none"/>
        </w:rPr>
        <w:t>7</w:t>
      </w:r>
      <w:r w:rsidRPr="005144EC" w:rsidR="00F80502">
        <w:rPr>
          <w:rFonts w:eastAsia="Times New Roman" w:cs="Times New Roman"/>
          <w:color w:val="000000"/>
          <w:kern w:val="0"/>
          <w14:ligatures w14:val="none"/>
        </w:rPr>
        <w:t xml:space="preserve"> </w:t>
      </w:r>
      <w:r w:rsidRPr="005144EC" w:rsidR="000A1576">
        <w:rPr>
          <w:rFonts w:eastAsia="Times New Roman" w:cs="Times New Roman"/>
          <w:color w:val="000000"/>
          <w:kern w:val="0"/>
          <w14:ligatures w14:val="none"/>
        </w:rPr>
        <w:t>(</w:t>
      </w:r>
      <w:r w:rsidRPr="005144EC" w:rsidR="000A1576">
        <w:rPr>
          <w:rFonts w:eastAsia="Times New Roman" w:cs="Times New Roman"/>
          <w:i/>
          <w:iCs/>
          <w:color w:val="000000"/>
          <w:kern w:val="0"/>
          <w14:ligatures w14:val="none"/>
        </w:rPr>
        <w:t>Achane</w:t>
      </w:r>
      <w:r w:rsidRPr="005144EC" w:rsidR="000A1576">
        <w:rPr>
          <w:rFonts w:eastAsia="Times New Roman" w:cs="Times New Roman"/>
          <w:color w:val="000000"/>
          <w:kern w:val="0"/>
          <w14:ligatures w14:val="none"/>
        </w:rPr>
        <w:t xml:space="preserve">) </w:t>
      </w:r>
      <w:r w:rsidRPr="005144EC" w:rsidR="00F80502">
        <w:rPr>
          <w:rFonts w:eastAsia="Times New Roman" w:cs="Times New Roman"/>
          <w:color w:val="000000"/>
          <w:kern w:val="0"/>
          <w14:ligatures w14:val="none"/>
        </w:rPr>
        <w:t>[where amended statute had been in effect for almost seven months, defendant</w:t>
      </w:r>
      <w:r w:rsidRPr="005144EC" w:rsidR="00D404F3">
        <w:rPr>
          <w:rFonts w:eastAsia="Times New Roman" w:cs="Times New Roman"/>
          <w:color w:val="000000"/>
          <w:kern w:val="0"/>
          <w14:ligatures w14:val="none"/>
        </w:rPr>
        <w:t>’s failure to request</w:t>
      </w:r>
      <w:r w:rsidR="00D33463">
        <w:rPr>
          <w:rFonts w:eastAsia="Times New Roman" w:cs="Times New Roman"/>
          <w:color w:val="000000"/>
          <w:kern w:val="0"/>
          <w14:ligatures w14:val="none"/>
        </w:rPr>
        <w:t xml:space="preserve"> that</w:t>
      </w:r>
      <w:r w:rsidRPr="005144EC" w:rsidR="00D404F3">
        <w:rPr>
          <w:rFonts w:eastAsia="Times New Roman" w:cs="Times New Roman"/>
          <w:color w:val="000000"/>
          <w:kern w:val="0"/>
          <w14:ligatures w14:val="none"/>
        </w:rPr>
        <w:t xml:space="preserve"> </w:t>
      </w:r>
      <w:r w:rsidRPr="005144EC" w:rsidR="00F308B2">
        <w:rPr>
          <w:rFonts w:eastAsia="Times New Roman" w:cs="Times New Roman"/>
          <w:color w:val="000000"/>
          <w:kern w:val="0"/>
          <w14:ligatures w14:val="none"/>
        </w:rPr>
        <w:t xml:space="preserve">sentencing </w:t>
      </w:r>
      <w:r w:rsidRPr="005144EC" w:rsidR="00D404F3">
        <w:rPr>
          <w:rFonts w:eastAsia="Times New Roman" w:cs="Times New Roman"/>
          <w:color w:val="000000"/>
          <w:kern w:val="0"/>
          <w14:ligatures w14:val="none"/>
        </w:rPr>
        <w:t>court apply new provisions of the statute when it imposed suspended sentence</w:t>
      </w:r>
      <w:r w:rsidRPr="005144EC" w:rsidR="00F80502">
        <w:rPr>
          <w:rFonts w:eastAsia="Times New Roman" w:cs="Times New Roman"/>
          <w:color w:val="000000"/>
          <w:kern w:val="0"/>
          <w14:ligatures w14:val="none"/>
        </w:rPr>
        <w:t xml:space="preserve"> forfeited</w:t>
      </w:r>
      <w:r w:rsidRPr="005144EC" w:rsidR="00D404F3">
        <w:rPr>
          <w:rFonts w:eastAsia="Times New Roman" w:cs="Times New Roman"/>
          <w:color w:val="000000"/>
          <w:kern w:val="0"/>
          <w14:ligatures w14:val="none"/>
        </w:rPr>
        <w:t xml:space="preserve"> any</w:t>
      </w:r>
      <w:r w:rsidRPr="005144EC" w:rsidR="00F80502">
        <w:rPr>
          <w:rFonts w:eastAsia="Times New Roman" w:cs="Times New Roman"/>
          <w:color w:val="000000"/>
          <w:kern w:val="0"/>
          <w14:ligatures w14:val="none"/>
        </w:rPr>
        <w:t xml:space="preserve"> statutory challenge to </w:t>
      </w:r>
      <w:r w:rsidRPr="005144EC" w:rsidR="00D404F3">
        <w:rPr>
          <w:rFonts w:eastAsia="Times New Roman" w:cs="Times New Roman"/>
          <w:color w:val="000000"/>
          <w:kern w:val="0"/>
          <w14:ligatures w14:val="none"/>
        </w:rPr>
        <w:t xml:space="preserve">the </w:t>
      </w:r>
      <w:r w:rsidRPr="005144EC" w:rsidR="00F80502">
        <w:rPr>
          <w:rFonts w:eastAsia="Times New Roman" w:cs="Times New Roman"/>
          <w:color w:val="000000"/>
          <w:kern w:val="0"/>
          <w14:ligatures w14:val="none"/>
        </w:rPr>
        <w:t>sentence</w:t>
      </w:r>
      <w:r w:rsidRPr="005144EC" w:rsidR="00D404F3">
        <w:rPr>
          <w:rFonts w:eastAsia="Times New Roman" w:cs="Times New Roman"/>
          <w:color w:val="000000"/>
          <w:kern w:val="0"/>
          <w14:ligatures w14:val="none"/>
        </w:rPr>
        <w:t>; defendant “offers no persuasive reason why the usual forfeiture rules should not apply to his failure to raise his [amended section 1170, subdivision (b)(2)] retroactivity argument</w:t>
      </w:r>
      <w:r w:rsidRPr="005144EC" w:rsidR="00F80502">
        <w:rPr>
          <w:rFonts w:eastAsia="Times New Roman" w:cs="Times New Roman"/>
          <w:color w:val="000000"/>
          <w:kern w:val="0"/>
          <w14:ligatures w14:val="none"/>
        </w:rPr>
        <w:t>]</w:t>
      </w:r>
      <w:r w:rsidR="008820CB">
        <w:rPr>
          <w:rFonts w:eastAsia="Times New Roman" w:cs="Times New Roman"/>
          <w:color w:val="000000"/>
          <w:kern w:val="0"/>
          <w14:ligatures w14:val="none"/>
        </w:rPr>
        <w:t>.)</w:t>
      </w:r>
      <w:r>
        <w:rPr>
          <w:rStyle w:val="FootnoteReference"/>
          <w:rFonts w:eastAsia="Times New Roman" w:cs="Times New Roman"/>
          <w:color w:val="000000"/>
          <w:kern w:val="0"/>
          <w14:ligatures w14:val="none"/>
        </w:rPr>
        <w:footnoteReference w:id="11"/>
      </w:r>
    </w:p>
    <w:p w:rsidR="00360F18" w:rsidRPr="005144EC" w:rsidP="00762A27" w14:paraId="08D1EBFF" w14:textId="4D50747C">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sidR="007D6013">
        <w:rPr>
          <w:rFonts w:eastAsia="Times New Roman" w:cs="Times New Roman"/>
          <w:color w:val="000000"/>
          <w:kern w:val="0"/>
          <w14:ligatures w14:val="none"/>
        </w:rPr>
        <w:t>Furthermore, we agree with the Attorney General that</w:t>
      </w:r>
      <w:r w:rsidRPr="005144EC" w:rsidR="00F40A46">
        <w:rPr>
          <w:rFonts w:eastAsia="Times New Roman" w:cs="Times New Roman"/>
          <w:color w:val="000000"/>
          <w:kern w:val="0"/>
          <w14:ligatures w14:val="none"/>
        </w:rPr>
        <w:t xml:space="preserve"> in this case</w:t>
      </w:r>
      <w:r w:rsidRPr="005144EC" w:rsidR="007D6013">
        <w:rPr>
          <w:rFonts w:eastAsia="Times New Roman" w:cs="Times New Roman"/>
          <w:color w:val="000000"/>
          <w:kern w:val="0"/>
          <w14:ligatures w14:val="none"/>
        </w:rPr>
        <w:t xml:space="preserve"> the section 288, subdivision (c) conviction, alone, was </w:t>
      </w:r>
      <w:r w:rsidRPr="005144EC">
        <w:rPr>
          <w:rFonts w:eastAsia="Times New Roman" w:cs="Times New Roman"/>
          <w:color w:val="000000"/>
          <w:kern w:val="0"/>
          <w14:ligatures w14:val="none"/>
        </w:rPr>
        <w:t xml:space="preserve">sufficient to support the court’s invocation of the recidivist factor.  </w:t>
      </w:r>
    </w:p>
    <w:p w:rsidR="004E2221" w:rsidRPr="005144EC" w:rsidP="00762A27" w14:paraId="7B84D541" w14:textId="29257EAE">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sidR="007D6013">
        <w:rPr>
          <w:rFonts w:eastAsia="Times New Roman" w:cs="Times New Roman"/>
          <w:color w:val="000000"/>
          <w:kern w:val="0"/>
          <w14:ligatures w14:val="none"/>
        </w:rPr>
        <w:t>As we have recited, the recidivis</w:t>
      </w:r>
      <w:r w:rsidRPr="005144EC" w:rsidR="00190F5D">
        <w:rPr>
          <w:rFonts w:eastAsia="Times New Roman" w:cs="Times New Roman"/>
          <w:color w:val="000000"/>
          <w:kern w:val="0"/>
          <w14:ligatures w14:val="none"/>
        </w:rPr>
        <w:t>t</w:t>
      </w:r>
      <w:r w:rsidRPr="005144EC" w:rsidR="007D6013">
        <w:rPr>
          <w:rFonts w:eastAsia="Times New Roman" w:cs="Times New Roman"/>
          <w:color w:val="000000"/>
          <w:kern w:val="0"/>
          <w14:ligatures w14:val="none"/>
        </w:rPr>
        <w:t xml:space="preserve"> factor set forth in rule 4.421(b)(2), states: “</w:t>
      </w:r>
      <w:r w:rsidRPr="005144EC" w:rsidR="00396F2F">
        <w:rPr>
          <w:rFonts w:eastAsia="Times New Roman" w:cs="Times New Roman"/>
          <w:color w:val="000000"/>
          <w:kern w:val="0"/>
          <w14:ligatures w14:val="none"/>
        </w:rPr>
        <w:t xml:space="preserve">The defendant’s prior convictions as an adult or sustained petitions in juvenile delinquency proceedings are numerous or of increasing seriousness.”  As defendant points out, this language refers to </w:t>
      </w:r>
      <w:r w:rsidRPr="005144EC" w:rsidR="00F20FA5">
        <w:rPr>
          <w:rFonts w:eastAsia="Times New Roman" w:cs="Times New Roman"/>
          <w:color w:val="000000"/>
          <w:kern w:val="0"/>
          <w14:ligatures w14:val="none"/>
        </w:rPr>
        <w:t>“</w:t>
      </w:r>
      <w:r w:rsidRPr="005144EC" w:rsidR="00396F2F">
        <w:rPr>
          <w:rFonts w:eastAsia="Times New Roman" w:cs="Times New Roman"/>
          <w:color w:val="000000"/>
          <w:kern w:val="0"/>
          <w14:ligatures w14:val="none"/>
        </w:rPr>
        <w:t>conviction</w:t>
      </w:r>
      <w:r w:rsidRPr="005144EC" w:rsidR="00F20FA5">
        <w:rPr>
          <w:rFonts w:eastAsia="Times New Roman" w:cs="Times New Roman"/>
          <w:color w:val="000000"/>
          <w:kern w:val="0"/>
          <w14:ligatures w14:val="none"/>
        </w:rPr>
        <w:t>s</w:t>
      </w:r>
      <w:r w:rsidRPr="005144EC" w:rsidR="00396F2F">
        <w:rPr>
          <w:rFonts w:eastAsia="Times New Roman" w:cs="Times New Roman"/>
          <w:color w:val="000000"/>
          <w:kern w:val="0"/>
          <w14:ligatures w14:val="none"/>
        </w:rPr>
        <w:t>,</w:t>
      </w:r>
      <w:r w:rsidRPr="005144EC" w:rsidR="00F20FA5">
        <w:rPr>
          <w:rFonts w:eastAsia="Times New Roman" w:cs="Times New Roman"/>
          <w:color w:val="000000"/>
          <w:kern w:val="0"/>
          <w14:ligatures w14:val="none"/>
        </w:rPr>
        <w:t>”</w:t>
      </w:r>
      <w:r w:rsidRPr="005144EC" w:rsidR="00396F2F">
        <w:rPr>
          <w:rFonts w:eastAsia="Times New Roman" w:cs="Times New Roman"/>
          <w:color w:val="000000"/>
          <w:kern w:val="0"/>
          <w14:ligatures w14:val="none"/>
        </w:rPr>
        <w:t xml:space="preserve"> plural</w:t>
      </w:r>
      <w:r w:rsidRPr="005144EC">
        <w:rPr>
          <w:rFonts w:eastAsia="Times New Roman" w:cs="Times New Roman"/>
          <w:color w:val="000000"/>
          <w:kern w:val="0"/>
          <w14:ligatures w14:val="none"/>
        </w:rPr>
        <w:t xml:space="preserve">.   </w:t>
      </w:r>
      <w:r w:rsidRPr="005144EC" w:rsidR="00396F2F">
        <w:rPr>
          <w:rFonts w:eastAsia="Times New Roman" w:cs="Times New Roman"/>
          <w:color w:val="000000"/>
          <w:kern w:val="0"/>
          <w14:ligatures w14:val="none"/>
        </w:rPr>
        <w:t xml:space="preserve">  </w:t>
      </w:r>
    </w:p>
    <w:p w:rsidR="004E2221" w:rsidRPr="005144EC" w:rsidP="00762A27" w14:paraId="16B53C94" w14:textId="30E0895D">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sidR="00396F2F">
        <w:rPr>
          <w:rFonts w:eastAsia="Times New Roman" w:cs="Times New Roman"/>
          <w:color w:val="000000"/>
          <w:kern w:val="0"/>
          <w14:ligatures w14:val="none"/>
        </w:rPr>
        <w:t xml:space="preserve">The </w:t>
      </w:r>
      <w:r w:rsidRPr="005144EC" w:rsidR="00BE2A35">
        <w:rPr>
          <w:rFonts w:eastAsia="Times New Roman" w:cs="Times New Roman"/>
          <w:color w:val="000000"/>
          <w:kern w:val="0"/>
          <w14:ligatures w14:val="none"/>
        </w:rPr>
        <w:t>a</w:t>
      </w:r>
      <w:r w:rsidRPr="005144EC" w:rsidR="00396F2F">
        <w:rPr>
          <w:rFonts w:eastAsia="Times New Roman" w:cs="Times New Roman"/>
          <w:color w:val="000000"/>
          <w:kern w:val="0"/>
          <w14:ligatures w14:val="none"/>
        </w:rPr>
        <w:t xml:space="preserve">dvisory </w:t>
      </w:r>
      <w:r w:rsidRPr="005144EC" w:rsidR="00BE2A35">
        <w:rPr>
          <w:rFonts w:eastAsia="Times New Roman" w:cs="Times New Roman"/>
          <w:color w:val="000000"/>
          <w:kern w:val="0"/>
          <w14:ligatures w14:val="none"/>
        </w:rPr>
        <w:t>c</w:t>
      </w:r>
      <w:r w:rsidRPr="005144EC" w:rsidR="00396F2F">
        <w:rPr>
          <w:rFonts w:eastAsia="Times New Roman" w:cs="Times New Roman"/>
          <w:color w:val="000000"/>
          <w:kern w:val="0"/>
          <w14:ligatures w14:val="none"/>
        </w:rPr>
        <w:t xml:space="preserve">ommittee </w:t>
      </w:r>
      <w:r w:rsidRPr="005144EC" w:rsidR="00BE2A35">
        <w:rPr>
          <w:rFonts w:eastAsia="Times New Roman" w:cs="Times New Roman"/>
          <w:color w:val="000000"/>
          <w:kern w:val="0"/>
          <w14:ligatures w14:val="none"/>
        </w:rPr>
        <w:t>c</w:t>
      </w:r>
      <w:r w:rsidRPr="005144EC" w:rsidR="00396F2F">
        <w:rPr>
          <w:rFonts w:eastAsia="Times New Roman" w:cs="Times New Roman"/>
          <w:color w:val="000000"/>
          <w:kern w:val="0"/>
          <w14:ligatures w14:val="none"/>
        </w:rPr>
        <w:t>omment</w:t>
      </w:r>
      <w:r w:rsidRPr="005144EC" w:rsidR="00F40A46">
        <w:rPr>
          <w:rFonts w:eastAsia="Times New Roman" w:cs="Times New Roman"/>
          <w:color w:val="000000"/>
          <w:kern w:val="0"/>
          <w14:ligatures w14:val="none"/>
        </w:rPr>
        <w:t xml:space="preserve"> states</w:t>
      </w:r>
      <w:r w:rsidRPr="005144EC" w:rsidR="00396F2F">
        <w:rPr>
          <w:rFonts w:eastAsia="Times New Roman" w:cs="Times New Roman"/>
          <w:color w:val="000000"/>
          <w:kern w:val="0"/>
          <w14:ligatures w14:val="none"/>
        </w:rPr>
        <w:t xml:space="preserve">, however, </w:t>
      </w:r>
      <w:r w:rsidRPr="005144EC" w:rsidR="00F40A46">
        <w:rPr>
          <w:rFonts w:eastAsia="Times New Roman" w:cs="Times New Roman"/>
          <w:color w:val="000000"/>
          <w:kern w:val="0"/>
          <w14:ligatures w14:val="none"/>
        </w:rPr>
        <w:t>that</w:t>
      </w:r>
      <w:r w:rsidRPr="005144EC" w:rsidR="00360F18">
        <w:rPr>
          <w:rFonts w:eastAsia="Times New Roman" w:cs="Times New Roman"/>
          <w:color w:val="000000"/>
          <w:kern w:val="0"/>
          <w14:ligatures w14:val="none"/>
        </w:rPr>
        <w:t>,</w:t>
      </w:r>
      <w:r w:rsidRPr="005144EC" w:rsidR="00396F2F">
        <w:rPr>
          <w:rFonts w:eastAsia="Times New Roman" w:cs="Times New Roman"/>
          <w:color w:val="000000"/>
          <w:kern w:val="0"/>
          <w14:ligatures w14:val="none"/>
        </w:rPr>
        <w:t xml:space="preserve"> “</w:t>
      </w:r>
      <w:r w:rsidRPr="005144EC" w:rsidR="00A9333D">
        <w:rPr>
          <w:rFonts w:eastAsia="Times New Roman" w:cs="Times New Roman"/>
          <w:color w:val="000000"/>
          <w:kern w:val="0"/>
          <w14:ligatures w14:val="none"/>
        </w:rPr>
        <w:t>I</w:t>
      </w:r>
      <w:r w:rsidRPr="005144EC" w:rsidR="00396F2F">
        <w:rPr>
          <w:rFonts w:eastAsia="Times New Roman" w:cs="Times New Roman"/>
          <w:color w:val="000000"/>
          <w:kern w:val="0"/>
          <w14:ligatures w14:val="none"/>
        </w:rPr>
        <w:t xml:space="preserve">n determining whether to impose the upper term for a criminal offense, the court may consider as an aggravating factor that a defendant has suffered </w:t>
      </w:r>
      <w:r w:rsidRPr="005144EC" w:rsidR="00396F2F">
        <w:rPr>
          <w:rFonts w:eastAsia="Times New Roman" w:cs="Times New Roman"/>
          <w:i/>
          <w:iCs/>
          <w:color w:val="000000"/>
          <w:kern w:val="0"/>
          <w14:ligatures w14:val="none"/>
        </w:rPr>
        <w:t>one</w:t>
      </w:r>
      <w:r w:rsidRPr="005144EC" w:rsidR="00396F2F">
        <w:rPr>
          <w:rFonts w:eastAsia="Times New Roman" w:cs="Times New Roman"/>
          <w:color w:val="000000"/>
          <w:kern w:val="0"/>
          <w14:ligatures w14:val="none"/>
        </w:rPr>
        <w:t xml:space="preserve"> or more prior convictions, based on a certified record of conviction.”  (Rule 4.421, Adv. Com. </w:t>
      </w:r>
      <w:r w:rsidRPr="005144EC" w:rsidR="00540E20">
        <w:rPr>
          <w:rFonts w:eastAsia="Times New Roman" w:cs="Times New Roman"/>
          <w:color w:val="000000"/>
          <w:kern w:val="0"/>
          <w14:ligatures w14:val="none"/>
        </w:rPr>
        <w:t>c</w:t>
      </w:r>
      <w:r w:rsidRPr="005144EC" w:rsidR="00396F2F">
        <w:rPr>
          <w:rFonts w:eastAsia="Times New Roman" w:cs="Times New Roman"/>
          <w:color w:val="000000"/>
          <w:kern w:val="0"/>
          <w14:ligatures w14:val="none"/>
        </w:rPr>
        <w:t>omm</w:t>
      </w:r>
      <w:r w:rsidRPr="005144EC" w:rsidR="00540E20">
        <w:rPr>
          <w:rFonts w:eastAsia="Times New Roman" w:cs="Times New Roman"/>
          <w:color w:val="000000"/>
          <w:kern w:val="0"/>
          <w14:ligatures w14:val="none"/>
        </w:rPr>
        <w:t>.</w:t>
      </w:r>
      <w:r w:rsidRPr="005144EC" w:rsidR="00F40A46">
        <w:rPr>
          <w:rFonts w:eastAsia="Times New Roman" w:cs="Times New Roman"/>
          <w:color w:val="000000"/>
          <w:kern w:val="0"/>
          <w14:ligatures w14:val="none"/>
        </w:rPr>
        <w:t>, italics added</w:t>
      </w:r>
      <w:r w:rsidRPr="005144EC" w:rsidR="00396F2F">
        <w:rPr>
          <w:rFonts w:eastAsia="Times New Roman" w:cs="Times New Roman"/>
          <w:color w:val="000000"/>
          <w:kern w:val="0"/>
          <w14:ligatures w14:val="none"/>
        </w:rPr>
        <w:t>.)  As we have noted</w:t>
      </w:r>
      <w:r w:rsidRPr="005144EC" w:rsidR="00190F5D">
        <w:rPr>
          <w:rFonts w:eastAsia="Times New Roman" w:cs="Times New Roman"/>
          <w:color w:val="000000"/>
          <w:kern w:val="0"/>
          <w14:ligatures w14:val="none"/>
        </w:rPr>
        <w:t>,</w:t>
      </w:r>
      <w:r w:rsidRPr="005144EC" w:rsidR="00396F2F">
        <w:rPr>
          <w:rFonts w:eastAsia="Times New Roman" w:cs="Times New Roman"/>
          <w:color w:val="000000"/>
          <w:kern w:val="0"/>
          <w14:ligatures w14:val="none"/>
        </w:rPr>
        <w:t xml:space="preserve"> section 1170, subdivision (a)(3) directs that </w:t>
      </w:r>
      <w:r w:rsidRPr="005144EC" w:rsidR="00396F2F">
        <w:t>“[i]</w:t>
      </w:r>
      <w:r w:rsidRPr="005144EC" w:rsidR="00396F2F">
        <w:rPr>
          <w:rFonts w:eastAsia="Times New Roman" w:cs="Times New Roman"/>
          <w:color w:val="000000"/>
          <w:kern w:val="0"/>
          <w14:ligatures w14:val="none"/>
        </w:rPr>
        <w:t xml:space="preserve">n sentencing the convicted person, the court shall apply the sentencing rules of the Judicial Council.”  </w:t>
      </w:r>
      <w:r w:rsidRPr="005144EC" w:rsidR="00360F18">
        <w:rPr>
          <w:rFonts w:eastAsia="Times New Roman" w:cs="Times New Roman"/>
          <w:color w:val="000000"/>
          <w:kern w:val="0"/>
          <w14:ligatures w14:val="none"/>
        </w:rPr>
        <w:t xml:space="preserve">An </w:t>
      </w:r>
      <w:r w:rsidRPr="005144EC" w:rsidR="00BE2A35">
        <w:rPr>
          <w:rFonts w:eastAsia="Times New Roman" w:cs="Times New Roman"/>
          <w:color w:val="000000"/>
          <w:kern w:val="0"/>
          <w14:ligatures w14:val="none"/>
        </w:rPr>
        <w:t>a</w:t>
      </w:r>
      <w:r w:rsidRPr="005144EC" w:rsidR="00396F2F">
        <w:rPr>
          <w:rFonts w:eastAsia="Times New Roman" w:cs="Times New Roman"/>
          <w:color w:val="000000"/>
          <w:kern w:val="0"/>
          <w14:ligatures w14:val="none"/>
        </w:rPr>
        <w:t>dvisory</w:t>
      </w:r>
      <w:r w:rsidRPr="005144EC" w:rsidR="00F40A46">
        <w:rPr>
          <w:rFonts w:eastAsia="Times New Roman" w:cs="Times New Roman"/>
          <w:color w:val="000000"/>
          <w:kern w:val="0"/>
          <w14:ligatures w14:val="none"/>
        </w:rPr>
        <w:t xml:space="preserve"> </w:t>
      </w:r>
      <w:r w:rsidRPr="005144EC" w:rsidR="00BE2A35">
        <w:rPr>
          <w:rFonts w:eastAsia="Times New Roman" w:cs="Times New Roman"/>
          <w:color w:val="000000"/>
          <w:kern w:val="0"/>
          <w14:ligatures w14:val="none"/>
        </w:rPr>
        <w:t>c</w:t>
      </w:r>
      <w:r w:rsidRPr="005144EC" w:rsidR="00A9333D">
        <w:rPr>
          <w:rFonts w:eastAsia="Times New Roman" w:cs="Times New Roman"/>
          <w:color w:val="000000"/>
          <w:kern w:val="0"/>
          <w14:ligatures w14:val="none"/>
        </w:rPr>
        <w:t xml:space="preserve">ommittee </w:t>
      </w:r>
      <w:r w:rsidRPr="005144EC" w:rsidR="00BE2A35">
        <w:rPr>
          <w:rFonts w:eastAsia="Times New Roman" w:cs="Times New Roman"/>
          <w:color w:val="000000"/>
          <w:kern w:val="0"/>
          <w14:ligatures w14:val="none"/>
        </w:rPr>
        <w:t>c</w:t>
      </w:r>
      <w:r w:rsidRPr="005144EC" w:rsidR="00F40A46">
        <w:rPr>
          <w:rFonts w:eastAsia="Times New Roman" w:cs="Times New Roman"/>
          <w:color w:val="000000"/>
          <w:kern w:val="0"/>
          <w14:ligatures w14:val="none"/>
        </w:rPr>
        <w:t>omment</w:t>
      </w:r>
      <w:r w:rsidRPr="005144EC" w:rsidR="00396F2F">
        <w:rPr>
          <w:rFonts w:eastAsia="Times New Roman" w:cs="Times New Roman"/>
          <w:color w:val="000000"/>
          <w:kern w:val="0"/>
          <w14:ligatures w14:val="none"/>
        </w:rPr>
        <w:t xml:space="preserve"> </w:t>
      </w:r>
      <w:r w:rsidRPr="005144EC" w:rsidR="00F40A46">
        <w:rPr>
          <w:rFonts w:eastAsia="Times New Roman" w:cs="Times New Roman"/>
          <w:color w:val="000000"/>
          <w:kern w:val="0"/>
          <w14:ligatures w14:val="none"/>
        </w:rPr>
        <w:t xml:space="preserve">is </w:t>
      </w:r>
      <w:r w:rsidRPr="005144EC" w:rsidR="00360F18">
        <w:rPr>
          <w:rFonts w:eastAsia="Times New Roman" w:cs="Times New Roman"/>
          <w:color w:val="000000"/>
          <w:kern w:val="0"/>
          <w14:ligatures w14:val="none"/>
        </w:rPr>
        <w:t>effectively the voice of the Judicial Council, provid</w:t>
      </w:r>
      <w:r w:rsidRPr="005144EC" w:rsidR="00F40A46">
        <w:rPr>
          <w:rFonts w:eastAsia="Times New Roman" w:cs="Times New Roman"/>
          <w:color w:val="000000"/>
          <w:kern w:val="0"/>
          <w14:ligatures w14:val="none"/>
        </w:rPr>
        <w:t>ing</w:t>
      </w:r>
      <w:r w:rsidRPr="005144EC" w:rsidR="00360F18">
        <w:rPr>
          <w:rFonts w:eastAsia="Times New Roman" w:cs="Times New Roman"/>
          <w:color w:val="000000"/>
          <w:kern w:val="0"/>
          <w14:ligatures w14:val="none"/>
        </w:rPr>
        <w:t xml:space="preserve"> further explanation </w:t>
      </w:r>
      <w:r w:rsidRPr="005144EC" w:rsidR="00F40A46">
        <w:rPr>
          <w:rFonts w:eastAsia="Times New Roman" w:cs="Times New Roman"/>
          <w:color w:val="000000"/>
          <w:kern w:val="0"/>
          <w14:ligatures w14:val="none"/>
        </w:rPr>
        <w:t xml:space="preserve">as to the meaning </w:t>
      </w:r>
      <w:r w:rsidRPr="005144EC" w:rsidR="00360F18">
        <w:rPr>
          <w:rFonts w:eastAsia="Times New Roman" w:cs="Times New Roman"/>
          <w:color w:val="000000"/>
          <w:kern w:val="0"/>
          <w14:ligatures w14:val="none"/>
        </w:rPr>
        <w:t xml:space="preserve">of the language of a rule and guidance in its application.  Thus, it is apparent that the Judicial Council’s intent is that </w:t>
      </w:r>
      <w:r w:rsidRPr="005144EC" w:rsidR="00B9638E">
        <w:rPr>
          <w:rFonts w:eastAsia="Times New Roman" w:cs="Times New Roman"/>
          <w:color w:val="000000"/>
          <w:kern w:val="0"/>
          <w14:ligatures w14:val="none"/>
        </w:rPr>
        <w:t xml:space="preserve">a court may consider one conviction as an aggravating factor.  </w:t>
      </w:r>
    </w:p>
    <w:p w:rsidR="00D71192" w:rsidRPr="005144EC" w:rsidP="002B5F03" w14:paraId="209776DC" w14:textId="166A4170">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sidR="00360F18">
        <w:rPr>
          <w:rFonts w:eastAsia="Times New Roman" w:cs="Times New Roman"/>
          <w:color w:val="000000"/>
          <w:kern w:val="0"/>
          <w14:ligatures w14:val="none"/>
        </w:rPr>
        <w:t>T</w:t>
      </w:r>
      <w:r w:rsidRPr="005144EC" w:rsidR="00B9638E">
        <w:rPr>
          <w:rFonts w:eastAsia="Times New Roman" w:cs="Times New Roman"/>
          <w:color w:val="000000"/>
          <w:kern w:val="0"/>
          <w14:ligatures w14:val="none"/>
        </w:rPr>
        <w:t>h</w:t>
      </w:r>
      <w:r w:rsidRPr="005144EC">
        <w:rPr>
          <w:rFonts w:eastAsia="Times New Roman" w:cs="Times New Roman"/>
          <w:color w:val="000000"/>
          <w:kern w:val="0"/>
          <w14:ligatures w14:val="none"/>
        </w:rPr>
        <w:t xml:space="preserve">e </w:t>
      </w:r>
      <w:r w:rsidRPr="005144EC" w:rsidR="00540E20">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dvisory </w:t>
      </w:r>
      <w:r w:rsidRPr="005144EC" w:rsidR="00540E20">
        <w:rPr>
          <w:rFonts w:eastAsia="Times New Roman" w:cs="Times New Roman"/>
          <w:color w:val="000000"/>
          <w:kern w:val="0"/>
          <w14:ligatures w14:val="none"/>
        </w:rPr>
        <w:t>c</w:t>
      </w:r>
      <w:r w:rsidRPr="005144EC">
        <w:rPr>
          <w:rFonts w:eastAsia="Times New Roman" w:cs="Times New Roman"/>
          <w:color w:val="000000"/>
          <w:kern w:val="0"/>
          <w14:ligatures w14:val="none"/>
        </w:rPr>
        <w:t>ommittee’s note</w:t>
      </w:r>
      <w:r w:rsidRPr="005144EC" w:rsidR="00360F18">
        <w:rPr>
          <w:rFonts w:eastAsia="Times New Roman" w:cs="Times New Roman"/>
          <w:color w:val="000000"/>
          <w:kern w:val="0"/>
          <w14:ligatures w14:val="none"/>
        </w:rPr>
        <w:t xml:space="preserve">, moreover, </w:t>
      </w:r>
      <w:r w:rsidRPr="005144EC" w:rsidR="00F40A46">
        <w:rPr>
          <w:rFonts w:eastAsia="Times New Roman" w:cs="Times New Roman"/>
          <w:color w:val="000000"/>
          <w:kern w:val="0"/>
          <w14:ligatures w14:val="none"/>
        </w:rPr>
        <w:t xml:space="preserve">is </w:t>
      </w:r>
      <w:r w:rsidRPr="005144EC" w:rsidR="00360F18">
        <w:rPr>
          <w:rFonts w:eastAsia="Times New Roman" w:cs="Times New Roman"/>
          <w:color w:val="000000"/>
          <w:kern w:val="0"/>
          <w14:ligatures w14:val="none"/>
        </w:rPr>
        <w:t xml:space="preserve">not </w:t>
      </w:r>
      <w:r w:rsidRPr="005144EC" w:rsidR="000A1576">
        <w:rPr>
          <w:rFonts w:eastAsia="Times New Roman" w:cs="Times New Roman"/>
          <w:color w:val="000000"/>
          <w:kern w:val="0"/>
          <w14:ligatures w14:val="none"/>
        </w:rPr>
        <w:t xml:space="preserve">inherently </w:t>
      </w:r>
      <w:r w:rsidRPr="005144EC" w:rsidR="00B9638E">
        <w:rPr>
          <w:rFonts w:eastAsia="Times New Roman" w:cs="Times New Roman"/>
          <w:color w:val="000000"/>
          <w:kern w:val="0"/>
          <w14:ligatures w14:val="none"/>
        </w:rPr>
        <w:t xml:space="preserve">inconsistent with the language </w:t>
      </w:r>
      <w:r w:rsidRPr="005144EC" w:rsidR="00A9333D">
        <w:rPr>
          <w:rFonts w:eastAsia="Times New Roman" w:cs="Times New Roman"/>
          <w:color w:val="000000"/>
          <w:kern w:val="0"/>
          <w14:ligatures w14:val="none"/>
        </w:rPr>
        <w:t xml:space="preserve">of </w:t>
      </w:r>
      <w:r w:rsidRPr="005144EC" w:rsidR="00360F18">
        <w:rPr>
          <w:rFonts w:eastAsia="Times New Roman" w:cs="Times New Roman"/>
          <w:color w:val="000000"/>
          <w:kern w:val="0"/>
          <w14:ligatures w14:val="none"/>
        </w:rPr>
        <w:t>the rule</w:t>
      </w:r>
      <w:r w:rsidRPr="005144EC" w:rsidR="00D85AF5">
        <w:rPr>
          <w:rFonts w:eastAsia="Times New Roman" w:cs="Times New Roman"/>
          <w:color w:val="000000"/>
          <w:kern w:val="0"/>
          <w14:ligatures w14:val="none"/>
        </w:rPr>
        <w:t xml:space="preserve">. </w:t>
      </w:r>
      <w:r w:rsidRPr="005144EC" w:rsidR="00F20FA5">
        <w:rPr>
          <w:rFonts w:eastAsia="Times New Roman" w:cs="Times New Roman"/>
          <w:color w:val="000000"/>
          <w:kern w:val="0"/>
          <w14:ligatures w14:val="none"/>
        </w:rPr>
        <w:t xml:space="preserve"> </w:t>
      </w:r>
      <w:r w:rsidRPr="005144EC" w:rsidR="00D85AF5">
        <w:rPr>
          <w:rFonts w:eastAsia="Times New Roman" w:cs="Times New Roman"/>
          <w:color w:val="000000"/>
          <w:kern w:val="0"/>
          <w14:ligatures w14:val="none"/>
        </w:rPr>
        <w:t xml:space="preserve">To begin with, </w:t>
      </w:r>
      <w:r w:rsidRPr="005144EC" w:rsidR="00B9638E">
        <w:rPr>
          <w:rFonts w:eastAsia="Times New Roman" w:cs="Times New Roman"/>
          <w:color w:val="000000"/>
          <w:kern w:val="0"/>
          <w14:ligatures w14:val="none"/>
        </w:rPr>
        <w:t>the term “convictions</w:t>
      </w:r>
      <w:r w:rsidRPr="005144EC" w:rsidR="0024033D">
        <w:rPr>
          <w:rFonts w:eastAsia="Times New Roman" w:cs="Times New Roman"/>
          <w:color w:val="000000"/>
          <w:kern w:val="0"/>
          <w14:ligatures w14:val="none"/>
        </w:rPr>
        <w:t>,</w:t>
      </w:r>
      <w:r w:rsidRPr="005144EC" w:rsidR="00B9638E">
        <w:rPr>
          <w:rFonts w:eastAsia="Times New Roman" w:cs="Times New Roman"/>
          <w:color w:val="000000"/>
          <w:kern w:val="0"/>
          <w14:ligatures w14:val="none"/>
        </w:rPr>
        <w:t xml:space="preserve">” </w:t>
      </w:r>
      <w:r w:rsidRPr="005144EC" w:rsidR="0024033D">
        <w:rPr>
          <w:rFonts w:eastAsia="Times New Roman" w:cs="Times New Roman"/>
          <w:color w:val="000000"/>
          <w:kern w:val="0"/>
          <w14:ligatures w14:val="none"/>
        </w:rPr>
        <w:t xml:space="preserve">plural, </w:t>
      </w:r>
      <w:r w:rsidRPr="005144EC" w:rsidR="00B9638E">
        <w:rPr>
          <w:rFonts w:eastAsia="Times New Roman" w:cs="Times New Roman"/>
          <w:color w:val="000000"/>
          <w:kern w:val="0"/>
          <w14:ligatures w14:val="none"/>
        </w:rPr>
        <w:t xml:space="preserve">can be </w:t>
      </w:r>
      <w:r w:rsidRPr="005144EC" w:rsidR="00F40A46">
        <w:rPr>
          <w:rFonts w:eastAsia="Times New Roman" w:cs="Times New Roman"/>
          <w:color w:val="000000"/>
          <w:kern w:val="0"/>
          <w14:ligatures w14:val="none"/>
        </w:rPr>
        <w:t xml:space="preserve">used </w:t>
      </w:r>
      <w:r w:rsidRPr="005144EC" w:rsidR="00B9638E">
        <w:rPr>
          <w:rFonts w:eastAsia="Times New Roman" w:cs="Times New Roman"/>
          <w:color w:val="000000"/>
          <w:kern w:val="0"/>
          <w14:ligatures w14:val="none"/>
        </w:rPr>
        <w:t xml:space="preserve">as an inclusive term, </w:t>
      </w:r>
      <w:r w:rsidRPr="005144EC">
        <w:rPr>
          <w:rFonts w:eastAsia="Times New Roman" w:cs="Times New Roman"/>
          <w:color w:val="000000"/>
          <w:kern w:val="0"/>
          <w14:ligatures w14:val="none"/>
        </w:rPr>
        <w:t xml:space="preserve">i.e., </w:t>
      </w:r>
      <w:r w:rsidRPr="005144EC" w:rsidR="00B9638E">
        <w:rPr>
          <w:rFonts w:eastAsia="Times New Roman" w:cs="Times New Roman"/>
          <w:color w:val="000000"/>
          <w:kern w:val="0"/>
          <w14:ligatures w14:val="none"/>
        </w:rPr>
        <w:t>embracing one or more convictions.</w:t>
      </w:r>
      <w:r w:rsidRPr="005144EC" w:rsidR="00360F18">
        <w:rPr>
          <w:rFonts w:eastAsia="Times New Roman" w:cs="Times New Roman"/>
          <w:color w:val="000000"/>
          <w:kern w:val="0"/>
          <w14:ligatures w14:val="none"/>
        </w:rPr>
        <w:t xml:space="preserve">  For example, if a person </w:t>
      </w:r>
      <w:r w:rsidRPr="005144EC" w:rsidR="00F20FA5">
        <w:rPr>
          <w:rFonts w:eastAsia="Times New Roman" w:cs="Times New Roman"/>
          <w:color w:val="000000"/>
          <w:kern w:val="0"/>
          <w14:ligatures w14:val="none"/>
        </w:rPr>
        <w:t xml:space="preserve">having </w:t>
      </w:r>
      <w:r w:rsidRPr="005144EC" w:rsidR="00360F18">
        <w:rPr>
          <w:rFonts w:eastAsia="Times New Roman" w:cs="Times New Roman"/>
          <w:color w:val="000000"/>
          <w:kern w:val="0"/>
          <w14:ligatures w14:val="none"/>
        </w:rPr>
        <w:t>only one prior conviction were asked whether he had prior conviction</w:t>
      </w:r>
      <w:r w:rsidRPr="005144EC" w:rsidR="00360F18">
        <w:rPr>
          <w:rFonts w:eastAsia="Times New Roman" w:cs="Times New Roman"/>
          <w:i/>
          <w:iCs/>
          <w:color w:val="000000"/>
          <w:kern w:val="0"/>
          <w14:ligatures w14:val="none"/>
        </w:rPr>
        <w:t>s</w:t>
      </w:r>
      <w:r w:rsidRPr="005144EC" w:rsidR="00360F18">
        <w:rPr>
          <w:rFonts w:eastAsia="Times New Roman" w:cs="Times New Roman"/>
          <w:color w:val="000000"/>
          <w:kern w:val="0"/>
          <w14:ligatures w14:val="none"/>
        </w:rPr>
        <w:t xml:space="preserve">, </w:t>
      </w:r>
      <w:r w:rsidRPr="005144EC" w:rsidR="00742B33">
        <w:rPr>
          <w:rFonts w:eastAsia="Times New Roman" w:cs="Times New Roman"/>
          <w:color w:val="000000"/>
          <w:kern w:val="0"/>
          <w14:ligatures w14:val="none"/>
        </w:rPr>
        <w:t xml:space="preserve">plural, </w:t>
      </w:r>
      <w:r w:rsidRPr="005144EC" w:rsidR="00360F18">
        <w:rPr>
          <w:rFonts w:eastAsia="Times New Roman" w:cs="Times New Roman"/>
          <w:color w:val="000000"/>
          <w:kern w:val="0"/>
          <w14:ligatures w14:val="none"/>
        </w:rPr>
        <w:t>he</w:t>
      </w:r>
      <w:r w:rsidRPr="005144EC" w:rsidR="003A4F49">
        <w:rPr>
          <w:rFonts w:eastAsia="Times New Roman" w:cs="Times New Roman"/>
          <w:color w:val="000000"/>
          <w:kern w:val="0"/>
          <w14:ligatures w14:val="none"/>
        </w:rPr>
        <w:t xml:space="preserve"> would in all </w:t>
      </w:r>
      <w:r w:rsidRPr="005144EC" w:rsidR="0024033D">
        <w:rPr>
          <w:rFonts w:eastAsia="Times New Roman" w:cs="Times New Roman"/>
          <w:color w:val="000000"/>
          <w:kern w:val="0"/>
          <w14:ligatures w14:val="none"/>
        </w:rPr>
        <w:t xml:space="preserve">likelihood </w:t>
      </w:r>
      <w:r w:rsidRPr="005144EC" w:rsidR="003A4F49">
        <w:rPr>
          <w:rFonts w:eastAsia="Times New Roman" w:cs="Times New Roman"/>
          <w:color w:val="000000"/>
          <w:kern w:val="0"/>
          <w14:ligatures w14:val="none"/>
        </w:rPr>
        <w:t xml:space="preserve">answer, “yes, I have a conviction.”  </w:t>
      </w:r>
      <w:r w:rsidRPr="005144EC" w:rsidR="0024033D">
        <w:rPr>
          <w:rFonts w:eastAsia="Times New Roman" w:cs="Times New Roman"/>
          <w:color w:val="000000"/>
          <w:kern w:val="0"/>
          <w14:ligatures w14:val="none"/>
        </w:rPr>
        <w:t>It strains credibility to suppose h</w:t>
      </w:r>
      <w:r w:rsidRPr="005144EC" w:rsidR="003A4F49">
        <w:rPr>
          <w:rFonts w:eastAsia="Times New Roman" w:cs="Times New Roman"/>
          <w:color w:val="000000"/>
          <w:kern w:val="0"/>
          <w14:ligatures w14:val="none"/>
        </w:rPr>
        <w:t>e would answer “no”</w:t>
      </w:r>
      <w:r w:rsidRPr="005144EC" w:rsidR="0024033D">
        <w:rPr>
          <w:rFonts w:eastAsia="Times New Roman" w:cs="Times New Roman"/>
          <w:color w:val="000000"/>
          <w:kern w:val="0"/>
          <w14:ligatures w14:val="none"/>
        </w:rPr>
        <w:t xml:space="preserve"> </w:t>
      </w:r>
      <w:r w:rsidRPr="005144EC" w:rsidR="00F40A46">
        <w:rPr>
          <w:rFonts w:eastAsia="Times New Roman" w:cs="Times New Roman"/>
          <w:color w:val="000000"/>
          <w:kern w:val="0"/>
          <w14:ligatures w14:val="none"/>
        </w:rPr>
        <w:t xml:space="preserve">reasoning </w:t>
      </w:r>
      <w:r w:rsidRPr="005144EC" w:rsidR="0024033D">
        <w:rPr>
          <w:rFonts w:eastAsia="Times New Roman" w:cs="Times New Roman"/>
          <w:color w:val="000000"/>
          <w:kern w:val="0"/>
          <w14:ligatures w14:val="none"/>
        </w:rPr>
        <w:t xml:space="preserve">he was asked about convictions, plural, </w:t>
      </w:r>
      <w:r w:rsidRPr="005144EC" w:rsidR="00FC0791">
        <w:rPr>
          <w:rFonts w:eastAsia="Times New Roman" w:cs="Times New Roman"/>
          <w:color w:val="000000"/>
          <w:kern w:val="0"/>
          <w14:ligatures w14:val="none"/>
        </w:rPr>
        <w:t xml:space="preserve">and </w:t>
      </w:r>
      <w:r w:rsidRPr="005144EC" w:rsidR="00F40A46">
        <w:rPr>
          <w:rFonts w:eastAsia="Times New Roman" w:cs="Times New Roman"/>
          <w:color w:val="000000"/>
          <w:kern w:val="0"/>
          <w14:ligatures w14:val="none"/>
        </w:rPr>
        <w:t>leav</w:t>
      </w:r>
      <w:r w:rsidRPr="005144EC" w:rsidR="00D85AF5">
        <w:rPr>
          <w:rFonts w:eastAsia="Times New Roman" w:cs="Times New Roman"/>
          <w:color w:val="000000"/>
          <w:kern w:val="0"/>
          <w14:ligatures w14:val="none"/>
        </w:rPr>
        <w:t>ing</w:t>
      </w:r>
      <w:r w:rsidRPr="005144EC" w:rsidR="00F40A46">
        <w:rPr>
          <w:rFonts w:eastAsia="Times New Roman" w:cs="Times New Roman"/>
          <w:color w:val="000000"/>
          <w:kern w:val="0"/>
          <w14:ligatures w14:val="none"/>
        </w:rPr>
        <w:t xml:space="preserve"> the </w:t>
      </w:r>
      <w:r w:rsidRPr="005144EC" w:rsidR="00D85AF5">
        <w:rPr>
          <w:rFonts w:eastAsia="Times New Roman" w:cs="Times New Roman"/>
          <w:color w:val="000000"/>
          <w:kern w:val="0"/>
          <w14:ligatures w14:val="none"/>
        </w:rPr>
        <w:t xml:space="preserve">person who asked the question with the </w:t>
      </w:r>
      <w:r w:rsidRPr="005144EC" w:rsidR="00F40A46">
        <w:rPr>
          <w:rFonts w:eastAsia="Times New Roman" w:cs="Times New Roman"/>
          <w:color w:val="000000"/>
          <w:kern w:val="0"/>
          <w14:ligatures w14:val="none"/>
        </w:rPr>
        <w:t>impression he</w:t>
      </w:r>
      <w:r w:rsidRPr="005144EC" w:rsidR="00D85AF5">
        <w:rPr>
          <w:rFonts w:eastAsia="Times New Roman" w:cs="Times New Roman"/>
          <w:color w:val="000000"/>
          <w:kern w:val="0"/>
          <w14:ligatures w14:val="none"/>
        </w:rPr>
        <w:t>, in fact,</w:t>
      </w:r>
      <w:r w:rsidRPr="005144EC" w:rsidR="00F40A46">
        <w:rPr>
          <w:rFonts w:eastAsia="Times New Roman" w:cs="Times New Roman"/>
          <w:color w:val="000000"/>
          <w:kern w:val="0"/>
          <w14:ligatures w14:val="none"/>
        </w:rPr>
        <w:t xml:space="preserve"> had </w:t>
      </w:r>
      <w:r w:rsidRPr="005144EC" w:rsidR="00F40A46">
        <w:rPr>
          <w:rFonts w:eastAsia="Times New Roman" w:cs="Times New Roman"/>
          <w:i/>
          <w:iCs/>
          <w:color w:val="000000"/>
          <w:kern w:val="0"/>
          <w14:ligatures w14:val="none"/>
        </w:rPr>
        <w:t>no</w:t>
      </w:r>
      <w:r w:rsidRPr="005144EC" w:rsidR="00F40A46">
        <w:rPr>
          <w:rFonts w:eastAsia="Times New Roman" w:cs="Times New Roman"/>
          <w:color w:val="000000"/>
          <w:kern w:val="0"/>
          <w14:ligatures w14:val="none"/>
        </w:rPr>
        <w:t xml:space="preserve"> prior</w:t>
      </w:r>
      <w:r w:rsidRPr="005144EC" w:rsidR="00A9333D">
        <w:rPr>
          <w:rFonts w:eastAsia="Times New Roman" w:cs="Times New Roman"/>
          <w:color w:val="000000"/>
          <w:kern w:val="0"/>
          <w14:ligatures w14:val="none"/>
        </w:rPr>
        <w:t xml:space="preserve"> </w:t>
      </w:r>
      <w:r w:rsidRPr="005144EC" w:rsidR="00F40A46">
        <w:rPr>
          <w:rFonts w:eastAsia="Times New Roman" w:cs="Times New Roman"/>
          <w:color w:val="000000"/>
          <w:kern w:val="0"/>
          <w14:ligatures w14:val="none"/>
        </w:rPr>
        <w:t>convictions</w:t>
      </w:r>
      <w:r w:rsidRPr="005144EC" w:rsidR="0024033D">
        <w:rPr>
          <w:rFonts w:eastAsia="Times New Roman" w:cs="Times New Roman"/>
          <w:color w:val="000000"/>
          <w:kern w:val="0"/>
          <w14:ligatures w14:val="none"/>
        </w:rPr>
        <w:t>.</w:t>
      </w:r>
      <w:r w:rsidRPr="005144EC" w:rsidR="00D85AF5">
        <w:rPr>
          <w:rFonts w:eastAsia="Times New Roman" w:cs="Times New Roman"/>
          <w:color w:val="000000"/>
          <w:kern w:val="0"/>
          <w14:ligatures w14:val="none"/>
        </w:rPr>
        <w:t xml:space="preserve">  The rule also speaks in terms of prior convictions that are “numerous </w:t>
      </w:r>
      <w:r w:rsidRPr="005144EC" w:rsidR="00D85AF5">
        <w:rPr>
          <w:rFonts w:eastAsia="Times New Roman" w:cs="Times New Roman"/>
          <w:i/>
          <w:iCs/>
          <w:color w:val="000000"/>
          <w:kern w:val="0"/>
          <w14:ligatures w14:val="none"/>
        </w:rPr>
        <w:t>or</w:t>
      </w:r>
      <w:r w:rsidRPr="005144EC" w:rsidR="00D85AF5">
        <w:rPr>
          <w:rFonts w:eastAsia="Times New Roman" w:cs="Times New Roman"/>
          <w:color w:val="000000"/>
          <w:kern w:val="0"/>
          <w14:ligatures w14:val="none"/>
        </w:rPr>
        <w:t xml:space="preserve"> of increasing seriousness</w:t>
      </w:r>
      <w:r w:rsidRPr="005144EC" w:rsidR="00A31B2A">
        <w:rPr>
          <w:rFonts w:eastAsia="Times New Roman" w:cs="Times New Roman"/>
          <w:color w:val="000000"/>
          <w:kern w:val="0"/>
          <w14:ligatures w14:val="none"/>
        </w:rPr>
        <w:t>.</w:t>
      </w:r>
      <w:r w:rsidRPr="005144EC" w:rsidR="00D85AF5">
        <w:rPr>
          <w:rFonts w:eastAsia="Times New Roman" w:cs="Times New Roman"/>
          <w:color w:val="000000"/>
          <w:kern w:val="0"/>
          <w14:ligatures w14:val="none"/>
        </w:rPr>
        <w:t>”</w:t>
      </w:r>
      <w:r w:rsidRPr="005144EC" w:rsidR="00A31B2A">
        <w:rPr>
          <w:rFonts w:eastAsia="Times New Roman" w:cs="Times New Roman"/>
          <w:color w:val="000000"/>
          <w:kern w:val="0"/>
          <w14:ligatures w14:val="none"/>
        </w:rPr>
        <w:t xml:space="preserve">  </w:t>
      </w:r>
      <w:r w:rsidRPr="005144EC" w:rsidR="00D85AF5">
        <w:rPr>
          <w:rFonts w:eastAsia="Times New Roman" w:cs="Times New Roman"/>
          <w:color w:val="000000"/>
          <w:kern w:val="0"/>
          <w14:ligatures w14:val="none"/>
        </w:rPr>
        <w:t>(</w:t>
      </w:r>
      <w:r w:rsidRPr="005144EC" w:rsidR="00A31B2A">
        <w:rPr>
          <w:rFonts w:eastAsia="Times New Roman" w:cs="Times New Roman"/>
          <w:color w:val="000000"/>
          <w:kern w:val="0"/>
          <w14:ligatures w14:val="none"/>
        </w:rPr>
        <w:t>Rule 4.421(b)(2)</w:t>
      </w:r>
      <w:r w:rsidRPr="005144EC" w:rsidR="00430213">
        <w:rPr>
          <w:rFonts w:eastAsia="Times New Roman" w:cs="Times New Roman"/>
          <w:color w:val="000000"/>
          <w:kern w:val="0"/>
          <w14:ligatures w14:val="none"/>
        </w:rPr>
        <w:t>, italics added</w:t>
      </w:r>
      <w:r w:rsidRPr="005144EC" w:rsidR="00A31B2A">
        <w:rPr>
          <w:rFonts w:eastAsia="Times New Roman" w:cs="Times New Roman"/>
          <w:color w:val="000000"/>
          <w:kern w:val="0"/>
          <w14:ligatures w14:val="none"/>
        </w:rPr>
        <w:t>.)  The numerosity option clearly covers convictions, plural, while</w:t>
      </w:r>
      <w:r w:rsidRPr="005144EC">
        <w:rPr>
          <w:rFonts w:eastAsia="Times New Roman" w:cs="Times New Roman"/>
          <w:color w:val="000000"/>
          <w:kern w:val="0"/>
          <w14:ligatures w14:val="none"/>
        </w:rPr>
        <w:t xml:space="preserve"> one prior conviction </w:t>
      </w:r>
      <w:r w:rsidRPr="005144EC" w:rsidR="00BE2550">
        <w:rPr>
          <w:rFonts w:eastAsia="Times New Roman" w:cs="Times New Roman"/>
          <w:color w:val="000000"/>
          <w:kern w:val="0"/>
          <w14:ligatures w14:val="none"/>
        </w:rPr>
        <w:t xml:space="preserve">can </w:t>
      </w:r>
      <w:r w:rsidRPr="005144EC">
        <w:rPr>
          <w:rFonts w:eastAsia="Times New Roman" w:cs="Times New Roman"/>
          <w:color w:val="000000"/>
          <w:kern w:val="0"/>
          <w14:ligatures w14:val="none"/>
        </w:rPr>
        <w:t xml:space="preserve">permit an assessment of </w:t>
      </w:r>
      <w:r w:rsidRPr="005144EC" w:rsidR="00A31B2A">
        <w:rPr>
          <w:rFonts w:eastAsia="Times New Roman" w:cs="Times New Roman"/>
          <w:color w:val="000000"/>
          <w:kern w:val="0"/>
          <w14:ligatures w14:val="none"/>
        </w:rPr>
        <w:t>comparative seriousness</w:t>
      </w:r>
      <w:r w:rsidRPr="005144EC">
        <w:rPr>
          <w:rFonts w:eastAsia="Times New Roman" w:cs="Times New Roman"/>
          <w:color w:val="000000"/>
          <w:kern w:val="0"/>
          <w14:ligatures w14:val="none"/>
        </w:rPr>
        <w:t>.</w:t>
      </w:r>
    </w:p>
    <w:p w:rsidR="002B5F03" w:rsidRPr="005144EC" w:rsidP="002B5F03" w14:paraId="41D98840" w14:textId="20EF12D1">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sidR="00B9638E">
        <w:rPr>
          <w:rFonts w:eastAsia="Times New Roman" w:cs="Times New Roman"/>
          <w:color w:val="000000"/>
          <w:kern w:val="0"/>
          <w14:ligatures w14:val="none"/>
        </w:rPr>
        <w:t xml:space="preserve">Furthermore, we cannot conceive the Legislature or the Judicial Council would not consider defendant’s 1995 section 288, subdivision (c) conviction—for </w:t>
      </w:r>
      <w:r w:rsidRPr="005144EC" w:rsidR="00B9638E">
        <w:t>lewd or lascivious acts on a child 14 or 15 years old</w:t>
      </w:r>
      <w:r w:rsidRPr="005144EC" w:rsidR="0024033D">
        <w:t xml:space="preserve"> and </w:t>
      </w:r>
      <w:r w:rsidRPr="005144EC" w:rsidR="00B9638E">
        <w:t>which required him to register as a sex offender</w:t>
      </w:r>
      <w:r w:rsidRPr="005144EC" w:rsidR="0024033D">
        <w:t>—</w:t>
      </w:r>
      <w:r w:rsidRPr="005144EC" w:rsidR="00B9638E">
        <w:t>a</w:t>
      </w:r>
      <w:r w:rsidRPr="005144EC" w:rsidR="005346D1">
        <w:t xml:space="preserve">n </w:t>
      </w:r>
      <w:r w:rsidRPr="005144EC" w:rsidR="004E2221">
        <w:t xml:space="preserve">aggravating sentencing factor in </w:t>
      </w:r>
      <w:r w:rsidRPr="005144EC" w:rsidR="004E2221">
        <w:rPr>
          <w:i/>
          <w:iCs/>
        </w:rPr>
        <w:t>this</w:t>
      </w:r>
      <w:r w:rsidRPr="005144EC" w:rsidR="004E2221">
        <w:t xml:space="preserve"> case wherein defendant </w:t>
      </w:r>
      <w:r w:rsidRPr="005144EC" w:rsidR="00A9333D">
        <w:t>was</w:t>
      </w:r>
      <w:r w:rsidRPr="005144EC" w:rsidR="004E2221">
        <w:t xml:space="preserve"> convicted of </w:t>
      </w:r>
      <w:r w:rsidRPr="005144EC" w:rsidR="004E2221">
        <w:rPr>
          <w:i/>
          <w:iCs/>
        </w:rPr>
        <w:t>two</w:t>
      </w:r>
      <w:r w:rsidRPr="005144EC" w:rsidR="004E2221">
        <w:t xml:space="preserve"> counts of section 288, subdivision (a)—committing lewd or lascivious acts on a child </w:t>
      </w:r>
      <w:r w:rsidRPr="005144EC" w:rsidR="004E2221">
        <w:rPr>
          <w:i/>
          <w:iCs/>
        </w:rPr>
        <w:t>under the age of 14 years</w:t>
      </w:r>
      <w:r w:rsidRPr="005144EC" w:rsidR="004E2221">
        <w:t xml:space="preserve">.  </w:t>
      </w:r>
      <w:r w:rsidRPr="005144EC" w:rsidR="00C95E5B">
        <w:t>Indeed, it would seem an absurd result that the recidivism factor would not apply to defendant because he had only “once” been convicted of molesting a child 14 or 15 years old</w:t>
      </w:r>
      <w:r w:rsidRPr="005144EC" w:rsidR="005346D1">
        <w:t>,</w:t>
      </w:r>
      <w:r w:rsidRPr="005144EC" w:rsidR="00C95E5B">
        <w:t xml:space="preserve"> </w:t>
      </w:r>
      <w:r w:rsidRPr="005144EC" w:rsidR="0024033D">
        <w:t xml:space="preserve">before sustaining </w:t>
      </w:r>
      <w:r w:rsidRPr="005144EC" w:rsidR="00C95E5B">
        <w:rPr>
          <w:i/>
          <w:iCs/>
        </w:rPr>
        <w:t>multiple</w:t>
      </w:r>
      <w:r w:rsidRPr="005144EC" w:rsidR="00C95E5B">
        <w:t xml:space="preserve"> convictions of molesting children </w:t>
      </w:r>
      <w:r w:rsidRPr="005144EC" w:rsidR="00C95E5B">
        <w:rPr>
          <w:i/>
          <w:iCs/>
        </w:rPr>
        <w:t>even younger</w:t>
      </w:r>
      <w:r w:rsidRPr="005144EC" w:rsidR="00C95E5B">
        <w:t xml:space="preserve"> than that.</w:t>
      </w:r>
      <w:r w:rsidRPr="005144EC" w:rsidR="005346D1">
        <w:t xml:space="preserve"> </w:t>
      </w:r>
      <w:r w:rsidRPr="005144EC" w:rsidR="00C95E5B">
        <w:t xml:space="preserve"> </w:t>
      </w:r>
      <w:r w:rsidRPr="005144EC" w:rsidR="0014539C">
        <w:t>W</w:t>
      </w:r>
      <w:r w:rsidRPr="005144EC" w:rsidR="00C95E5B">
        <w:t>e are</w:t>
      </w:r>
      <w:r w:rsidRPr="005144EC" w:rsidR="0014539C">
        <w:t>, of course,</w:t>
      </w:r>
      <w:r w:rsidRPr="005144EC" w:rsidR="00C95E5B">
        <w:t xml:space="preserve"> counseled by the rules of construction not to interpret the language of statutes, regulations, or rules, </w:t>
      </w:r>
      <w:r w:rsidRPr="005144EC" w:rsidR="0014539C">
        <w:t xml:space="preserve">to lead </w:t>
      </w:r>
      <w:r w:rsidRPr="005144EC" w:rsidR="00AD1693">
        <w:t xml:space="preserve">to </w:t>
      </w:r>
      <w:r w:rsidRPr="005144EC" w:rsidR="00C95E5B">
        <w:t>such end.  (See</w:t>
      </w:r>
      <w:r w:rsidRPr="005144EC" w:rsidR="00A9333D">
        <w:t xml:space="preserve"> </w:t>
      </w:r>
      <w:r w:rsidRPr="005144EC" w:rsidR="00A9333D">
        <w:rPr>
          <w:rFonts w:eastAsia="Times New Roman" w:cs="Times New Roman"/>
          <w:i/>
          <w:iCs/>
          <w:color w:val="3D3D3D"/>
          <w:kern w:val="0"/>
          <w:bdr w:val="none" w:sz="0" w:space="0" w:color="auto" w:frame="1"/>
          <w14:ligatures w14:val="none"/>
        </w:rPr>
        <w:t>Starbucks Corp. v. Superior Court</w:t>
      </w:r>
      <w:r w:rsidRPr="005144EC" w:rsidR="00A9333D">
        <w:rPr>
          <w:rFonts w:eastAsia="Times New Roman" w:cs="Times New Roman"/>
          <w:color w:val="000000"/>
          <w:kern w:val="0"/>
          <w14:ligatures w14:val="none"/>
        </w:rPr>
        <w:t xml:space="preserve"> (2008) 168</w:t>
      </w:r>
      <w:r w:rsidRPr="005144EC" w:rsidR="00540E20">
        <w:rPr>
          <w:rFonts w:eastAsia="Times New Roman" w:cs="Times New Roman"/>
          <w:color w:val="000000"/>
          <w:kern w:val="0"/>
          <w14:ligatures w14:val="none"/>
        </w:rPr>
        <w:t> </w:t>
      </w:r>
      <w:r w:rsidRPr="005144EC" w:rsidR="00A9333D">
        <w:rPr>
          <w:rFonts w:eastAsia="Times New Roman" w:cs="Times New Roman"/>
          <w:color w:val="000000"/>
          <w:kern w:val="0"/>
          <w14:ligatures w14:val="none"/>
        </w:rPr>
        <w:t>Cal.App.4th 1436, 1449 [“ ‘</w:t>
      </w:r>
      <w:r w:rsidRPr="005144EC" w:rsidR="00EF2FED">
        <w:rPr>
          <w:rFonts w:eastAsia="Times New Roman" w:cs="Times New Roman"/>
          <w:color w:val="000000"/>
          <w:kern w:val="0"/>
          <w14:ligatures w14:val="none"/>
        </w:rPr>
        <w:t xml:space="preserve"> “</w:t>
      </w:r>
      <w:r w:rsidRPr="005144EC" w:rsidR="00A9333D">
        <w:rPr>
          <w:rFonts w:eastAsia="Times New Roman" w:cs="Times New Roman"/>
          <w:color w:val="000000"/>
          <w:kern w:val="0"/>
          <w14:ligatures w14:val="none"/>
        </w:rPr>
        <w:t xml:space="preserve">the literal meaning of its words must give way to </w:t>
      </w:r>
      <w:r w:rsidRPr="005144EC" w:rsidR="00A9333D">
        <w:rPr>
          <w:rFonts w:eastAsia="Times New Roman" w:cs="Times New Roman"/>
          <w:color w:val="000000"/>
          <w:kern w:val="0"/>
          <w:bdr w:val="none" w:sz="0" w:space="0" w:color="auto" w:frame="1"/>
          <w:shd w:val="clear" w:color="auto" w:fill="FFFFFF"/>
          <w14:ligatures w14:val="none"/>
        </w:rPr>
        <w:t>avoid</w:t>
      </w:r>
      <w:r w:rsidRPr="005144EC" w:rsidR="00A9333D">
        <w:rPr>
          <w:rFonts w:eastAsia="Times New Roman" w:cs="Times New Roman"/>
          <w:color w:val="000000"/>
          <w:kern w:val="0"/>
          <w14:ligatures w14:val="none"/>
        </w:rPr>
        <w:t xml:space="preserve"> harsh </w:t>
      </w:r>
      <w:r w:rsidRPr="005144EC" w:rsidR="00A9333D">
        <w:rPr>
          <w:rFonts w:eastAsia="Times New Roman" w:cs="Times New Roman"/>
          <w:color w:val="000000"/>
          <w:kern w:val="0"/>
          <w:bdr w:val="none" w:sz="0" w:space="0" w:color="auto" w:frame="1"/>
          <w:shd w:val="clear" w:color="auto" w:fill="FFFFFF"/>
          <w14:ligatures w14:val="none"/>
        </w:rPr>
        <w:t>results</w:t>
      </w:r>
      <w:r w:rsidRPr="005144EC" w:rsidR="00A9333D">
        <w:rPr>
          <w:rFonts w:eastAsia="Times New Roman" w:cs="Times New Roman"/>
          <w:color w:val="000000"/>
          <w:kern w:val="0"/>
          <w14:ligatures w14:val="none"/>
        </w:rPr>
        <w:t xml:space="preserve"> and mischievous or </w:t>
      </w:r>
      <w:r w:rsidRPr="005144EC" w:rsidR="00A9333D">
        <w:rPr>
          <w:rFonts w:eastAsia="Times New Roman" w:cs="Times New Roman"/>
          <w:color w:val="000000"/>
          <w:kern w:val="0"/>
          <w:bdr w:val="none" w:sz="0" w:space="0" w:color="auto" w:frame="1"/>
          <w:shd w:val="clear" w:color="auto" w:fill="FFFFFF"/>
          <w14:ligatures w14:val="none"/>
        </w:rPr>
        <w:t>absurd</w:t>
      </w:r>
      <w:r w:rsidRPr="005144EC" w:rsidR="00A9333D">
        <w:rPr>
          <w:rFonts w:eastAsia="Times New Roman" w:cs="Times New Roman"/>
          <w:color w:val="000000"/>
          <w:kern w:val="0"/>
          <w14:ligatures w14:val="none"/>
        </w:rPr>
        <w:t xml:space="preserve"> consequences</w:t>
      </w:r>
      <w:r w:rsidRPr="005144EC" w:rsidR="00EF2FED">
        <w:rPr>
          <w:rFonts w:eastAsia="Times New Roman" w:cs="Times New Roman"/>
          <w:color w:val="000000"/>
          <w:kern w:val="0"/>
          <w14:ligatures w14:val="none"/>
        </w:rPr>
        <w:t xml:space="preserve">” </w:t>
      </w:r>
      <w:r w:rsidRPr="005144EC" w:rsidR="00A9333D">
        <w:rPr>
          <w:rFonts w:eastAsia="Times New Roman" w:cs="Times New Roman"/>
          <w:color w:val="000000"/>
          <w:kern w:val="0"/>
          <w14:ligatures w14:val="none"/>
        </w:rPr>
        <w:t>’ ”</w:t>
      </w:r>
      <w:r w:rsidRPr="005144EC" w:rsidR="00AE612D">
        <w:rPr>
          <w:rFonts w:eastAsia="Times New Roman" w:cs="Times New Roman"/>
          <w:color w:val="000000"/>
          <w:kern w:val="0"/>
          <w14:ligatures w14:val="none"/>
        </w:rPr>
        <w:t>],</w:t>
      </w:r>
      <w:r w:rsidRPr="005144EC" w:rsidR="00A9333D">
        <w:rPr>
          <w:rFonts w:eastAsia="Times New Roman" w:cs="Times New Roman"/>
          <w:color w:val="000000"/>
          <w:kern w:val="0"/>
          <w14:ligatures w14:val="none"/>
        </w:rPr>
        <w:t xml:space="preserve"> quoting </w:t>
      </w:r>
      <w:r w:rsidRPr="005144EC" w:rsidR="00A9333D">
        <w:rPr>
          <w:rFonts w:eastAsia="Times New Roman" w:cs="Times New Roman"/>
          <w:i/>
          <w:iCs/>
          <w:color w:val="3D3D3D"/>
          <w:kern w:val="0"/>
          <w:bdr w:val="none" w:sz="0" w:space="0" w:color="auto" w:frame="1"/>
          <w14:ligatures w14:val="none"/>
        </w:rPr>
        <w:t>Kinney v. Vaccari</w:t>
      </w:r>
      <w:r w:rsidRPr="005144EC" w:rsidR="00A9333D">
        <w:rPr>
          <w:rFonts w:eastAsia="Times New Roman" w:cs="Times New Roman"/>
          <w:color w:val="000000"/>
          <w:kern w:val="0"/>
          <w14:ligatures w14:val="none"/>
        </w:rPr>
        <w:t xml:space="preserve"> (1980) 27 Cal.3d 348, 357.)</w:t>
      </w:r>
    </w:p>
    <w:p w:rsidR="0014539C" w:rsidRPr="005144EC" w:rsidP="002B5F03" w14:paraId="7C80E524" w14:textId="299BF8CD">
      <w:pPr>
        <w:rPr>
          <w:rFonts w:ascii="Source Sans Pro" w:eastAsia="Times New Roman" w:hAnsi="Source Sans Pro" w:cs="Times New Roman"/>
          <w:color w:val="000000"/>
          <w:kern w:val="0"/>
          <w:sz w:val="24"/>
          <w:szCs w:val="24"/>
          <w14:ligatures w14:val="none"/>
        </w:rPr>
      </w:pPr>
      <w:r w:rsidRPr="005144EC">
        <w:rPr>
          <w:rFonts w:eastAsia="Times New Roman" w:cs="Times New Roman"/>
          <w:color w:val="000000"/>
          <w:kern w:val="0"/>
          <w14:ligatures w14:val="none"/>
        </w:rPr>
        <w:tab/>
        <w:t>In addition, there is no</w:t>
      </w:r>
      <w:r w:rsidRPr="005144EC" w:rsidR="003A4F49">
        <w:t xml:space="preserve"> practical distinction between a defendant who sustain</w:t>
      </w:r>
      <w:r w:rsidRPr="005144EC">
        <w:t>s</w:t>
      </w:r>
      <w:r w:rsidRPr="005144EC" w:rsidR="003A4F49">
        <w:t xml:space="preserve"> two </w:t>
      </w:r>
      <w:r w:rsidRPr="005144EC" w:rsidR="00742B33">
        <w:t xml:space="preserve">prior </w:t>
      </w:r>
      <w:r w:rsidRPr="005144EC" w:rsidR="003A4F49">
        <w:t xml:space="preserve">section 288 convictions before sustaining a third </w:t>
      </w:r>
      <w:r w:rsidRPr="005144EC" w:rsidR="00742B33">
        <w:t xml:space="preserve">such </w:t>
      </w:r>
      <w:r w:rsidRPr="005144EC" w:rsidR="003A4F49">
        <w:t xml:space="preserve">conviction </w:t>
      </w:r>
      <w:r w:rsidRPr="005144EC" w:rsidR="00742B33">
        <w:t>for which he receives a recidivist’s aggravated sentence, and defendant’s situation</w:t>
      </w:r>
      <w:r w:rsidRPr="005144EC" w:rsidR="00FC0791">
        <w:t>,</w:t>
      </w:r>
      <w:r w:rsidRPr="005144EC">
        <w:t xml:space="preserve"> since</w:t>
      </w:r>
      <w:r w:rsidRPr="005144EC" w:rsidR="005346D1">
        <w:t xml:space="preserve"> </w:t>
      </w:r>
      <w:r w:rsidRPr="005144EC" w:rsidR="00742B33">
        <w:t xml:space="preserve">he also now has three section 288 convictions.  </w:t>
      </w:r>
      <w:r w:rsidRPr="005144EC" w:rsidR="0024033D">
        <w:t>In other words, w</w:t>
      </w:r>
      <w:r w:rsidRPr="005144EC" w:rsidR="006015B5">
        <w:t xml:space="preserve">e see no reasoned basis why the fact defendant’s third section 288 conviction occurred in a case involving two victims should shield him from an aggravated recidivist sentence.  </w:t>
      </w:r>
      <w:r w:rsidRPr="005144EC" w:rsidR="0024033D">
        <w:t xml:space="preserve">Had </w:t>
      </w:r>
      <w:r w:rsidRPr="005144EC" w:rsidR="006015B5">
        <w:t>d</w:t>
      </w:r>
      <w:r w:rsidRPr="005144EC" w:rsidR="00742B33">
        <w:t xml:space="preserve">efendant been separately charged </w:t>
      </w:r>
      <w:r w:rsidRPr="005144EC" w:rsidR="005346D1">
        <w:t>with</w:t>
      </w:r>
      <w:r w:rsidRPr="005144EC" w:rsidR="0024033D">
        <w:t xml:space="preserve"> molesting the two victims</w:t>
      </w:r>
      <w:r w:rsidRPr="005144EC" w:rsidR="001E68CC">
        <w:t xml:space="preserve">, </w:t>
      </w:r>
      <w:r w:rsidRPr="005144EC" w:rsidR="00742B33">
        <w:t xml:space="preserve">one </w:t>
      </w:r>
      <w:r w:rsidRPr="005144EC" w:rsidR="001E68CC">
        <w:t xml:space="preserve">of the cases </w:t>
      </w:r>
      <w:r w:rsidRPr="005144EC" w:rsidR="00742B33">
        <w:t xml:space="preserve">would </w:t>
      </w:r>
      <w:r w:rsidRPr="005144EC" w:rsidR="0024033D">
        <w:t xml:space="preserve">necessarily </w:t>
      </w:r>
      <w:r w:rsidRPr="005144EC" w:rsidR="00742B33">
        <w:t xml:space="preserve">have been resolved </w:t>
      </w:r>
      <w:r w:rsidRPr="005144EC">
        <w:t xml:space="preserve">before </w:t>
      </w:r>
      <w:r w:rsidRPr="005144EC" w:rsidR="00742B33">
        <w:t xml:space="preserve">the other, resulting in </w:t>
      </w:r>
      <w:r w:rsidRPr="005144EC" w:rsidR="0024033D">
        <w:t xml:space="preserve">defendant having </w:t>
      </w:r>
      <w:r w:rsidRPr="005144EC" w:rsidR="00742B33">
        <w:t>two prior section 288 convictions.</w:t>
      </w:r>
      <w:r w:rsidRPr="005144EC" w:rsidR="006015B5">
        <w:t xml:space="preserve">  In fact, one could say that</w:t>
      </w:r>
      <w:r w:rsidRPr="005144EC" w:rsidR="005346D1">
        <w:t xml:space="preserve"> effectively</w:t>
      </w:r>
      <w:r w:rsidRPr="005144EC" w:rsidR="006015B5">
        <w:t xml:space="preserve"> happened in</w:t>
      </w:r>
      <w:r w:rsidRPr="005144EC" w:rsidR="003610A4">
        <w:t xml:space="preserve"> </w:t>
      </w:r>
      <w:r w:rsidRPr="005144EC" w:rsidR="006015B5">
        <w:t>this case when defendant ple</w:t>
      </w:r>
      <w:r w:rsidRPr="005144EC" w:rsidR="00FC0791">
        <w:t>a</w:t>
      </w:r>
      <w:r w:rsidRPr="005144EC" w:rsidR="006015B5">
        <w:t>d</w:t>
      </w:r>
      <w:r w:rsidRPr="005144EC" w:rsidR="00FC0791">
        <w:t>ed</w:t>
      </w:r>
      <w:r w:rsidRPr="005144EC" w:rsidR="006015B5">
        <w:t xml:space="preserve"> guilty to the first of the two section 288, subdivision (a) charges.</w:t>
      </w:r>
      <w:r>
        <w:rPr>
          <w:rStyle w:val="FootnoteReference"/>
        </w:rPr>
        <w:footnoteReference w:id="12"/>
      </w:r>
      <w:r w:rsidRPr="005144EC" w:rsidR="00993B19">
        <w:t xml:space="preserve"> </w:t>
      </w:r>
    </w:p>
    <w:p w:rsidR="00A15C77" w:rsidRPr="005144EC" w:rsidP="00762A27" w14:paraId="6135F467" w14:textId="744B1BC2">
      <w:pPr>
        <w:rPr>
          <w:rFonts w:eastAsia="Times New Roman" w:cs="Times New Roman"/>
          <w:color w:val="000000"/>
          <w:kern w:val="0"/>
          <w14:ligatures w14:val="none"/>
        </w:rPr>
      </w:pPr>
      <w:r w:rsidRPr="005144EC">
        <w:tab/>
      </w:r>
      <w:r w:rsidRPr="005144EC" w:rsidR="0074714F">
        <w:t>Since we have concluded that at least one of the factors in aggravation—</w:t>
      </w:r>
      <w:r w:rsidRPr="005144EC">
        <w:t>recidivism under rule 4.421(b)(2</w:t>
      </w:r>
      <w:r w:rsidRPr="005144EC" w:rsidR="00762A27">
        <w:t>)</w:t>
      </w:r>
      <w:r w:rsidRPr="005144EC" w:rsidR="0074714F">
        <w:t>—was established in a permissible manner</w:t>
      </w:r>
      <w:r w:rsidRPr="005144EC" w:rsidR="00040121">
        <w:t xml:space="preserve"> (i.e., the fact of prior convictions of increasing seriousness)</w:t>
      </w:r>
      <w:r w:rsidRPr="005144EC" w:rsidR="0074714F">
        <w:t xml:space="preserve">, the trial court’s finding of additional factors in aggravation did not, under </w:t>
      </w:r>
      <w:r w:rsidRPr="005144EC" w:rsidR="0074714F">
        <w:rPr>
          <w:i/>
          <w:iCs/>
        </w:rPr>
        <w:t>Black</w:t>
      </w:r>
      <w:r w:rsidRPr="005144EC" w:rsidR="00040121">
        <w:rPr>
          <w:i/>
          <w:iCs/>
        </w:rPr>
        <w:t xml:space="preserve"> II</w:t>
      </w:r>
      <w:r w:rsidRPr="005144EC" w:rsidR="0074714F">
        <w:t>, violate defendant’s Sixth Amendment right.  (</w:t>
      </w:r>
      <w:r w:rsidRPr="005144EC" w:rsidR="0074714F">
        <w:rPr>
          <w:i/>
          <w:iCs/>
        </w:rPr>
        <w:t>Black</w:t>
      </w:r>
      <w:r w:rsidRPr="005144EC" w:rsidR="00040121">
        <w:rPr>
          <w:i/>
          <w:iCs/>
        </w:rPr>
        <w:t xml:space="preserve"> II</w:t>
      </w:r>
      <w:r w:rsidRPr="005144EC" w:rsidR="0074714F">
        <w:rPr>
          <w:i/>
          <w:iCs/>
        </w:rPr>
        <w:t xml:space="preserve">, supra, </w:t>
      </w:r>
      <w:r w:rsidRPr="005144EC" w:rsidR="0074714F">
        <w:t>41 Cal.4th at p. 81</w:t>
      </w:r>
      <w:r w:rsidRPr="005144EC" w:rsidR="005B2148">
        <w:t>3</w:t>
      </w:r>
      <w:r w:rsidRPr="005144EC" w:rsidR="0074714F">
        <w:rPr>
          <w:i/>
          <w:iCs/>
        </w:rPr>
        <w:t xml:space="preserve"> </w:t>
      </w:r>
      <w:r w:rsidRPr="005144EC" w:rsidR="0074714F">
        <w:t>[“s</w:t>
      </w:r>
      <w:r w:rsidRPr="005144EC" w:rsidR="0074714F">
        <w:rPr>
          <w:rFonts w:eastAsia="Times New Roman" w:cs="Times New Roman"/>
          <w:color w:val="000000"/>
          <w:kern w:val="0"/>
          <w14:ligatures w14:val="none"/>
        </w:rPr>
        <w:t xml:space="preserve">o long as a defendant is </w:t>
      </w:r>
      <w:r w:rsidRPr="005144EC" w:rsidR="0074714F">
        <w:rPr>
          <w:rFonts w:eastAsia="Times New Roman" w:cs="Times New Roman"/>
          <w:i/>
          <w:iCs/>
          <w:color w:val="3D3D3D"/>
          <w:kern w:val="0"/>
          <w:bdr w:val="none" w:sz="0" w:space="0" w:color="auto" w:frame="1"/>
          <w14:ligatures w14:val="none"/>
        </w:rPr>
        <w:t>eligible</w:t>
      </w:r>
      <w:r w:rsidRPr="005144EC" w:rsidR="0074714F">
        <w:rPr>
          <w:rFonts w:eastAsia="Times New Roman" w:cs="Times New Roman"/>
          <w:color w:val="000000"/>
          <w:kern w:val="0"/>
          <w14:ligatures w14:val="none"/>
        </w:rPr>
        <w:t xml:space="preserve"> for the upper term by virtue of facts that have been established consistently with Sixth Amendment principles, the federal Constitution permits the trial court to rely upon any number of aggravating circumstances in exercising its discretion to select the appropriate term by balancing aggravating and mitigating circumstances, regardless of whether the facts underlying those circumstances have been found to be true by a jury”]</w:t>
      </w:r>
      <w:r w:rsidRPr="005144EC" w:rsidR="006B3415">
        <w:rPr>
          <w:rFonts w:eastAsia="Times New Roman" w:cs="Times New Roman"/>
          <w:color w:val="000000"/>
          <w:kern w:val="0"/>
          <w14:ligatures w14:val="none"/>
        </w:rPr>
        <w:t>; see</w:t>
      </w:r>
      <w:r w:rsidRPr="005144EC" w:rsidR="006B3415">
        <w:rPr>
          <w:i/>
          <w:iCs/>
        </w:rPr>
        <w:t xml:space="preserve"> Wiley, supra, </w:t>
      </w:r>
      <w:r w:rsidRPr="005144EC" w:rsidR="006B3415">
        <w:t xml:space="preserve">__ Cal.App.5th at p. __, 2023 WL 8252049, </w:t>
      </w:r>
      <w:r w:rsidRPr="005144EC" w:rsidR="00430213">
        <w:t xml:space="preserve">at pp. </w:t>
      </w:r>
      <w:r w:rsidRPr="005144EC" w:rsidR="006B3415">
        <w:t>*3</w:t>
      </w:r>
      <w:r w:rsidRPr="005144EC" w:rsidR="00430213">
        <w:t>–</w:t>
      </w:r>
      <w:r w:rsidRPr="005144EC" w:rsidR="00131E8C">
        <w:t>5</w:t>
      </w:r>
      <w:r w:rsidRPr="005144EC" w:rsidR="006B3415">
        <w:t xml:space="preserve"> [separately discussing constitutional</w:t>
      </w:r>
      <w:r w:rsidRPr="005144EC" w:rsidR="00D6158B">
        <w:t xml:space="preserve"> jurisprudence </w:t>
      </w:r>
      <w:r w:rsidRPr="005144EC" w:rsidR="006B3415">
        <w:t>and amended section 1170, subdivision (b)</w:t>
      </w:r>
      <w:r w:rsidRPr="005144EC" w:rsidR="00131E8C">
        <w:t xml:space="preserve">, and </w:t>
      </w:r>
      <w:r w:rsidRPr="005144EC" w:rsidR="006B3415">
        <w:t>concluding the amended statute “</w:t>
      </w:r>
      <w:r w:rsidRPr="005144EC" w:rsidR="00430213">
        <w:t xml:space="preserve"> ‘</w:t>
      </w:r>
      <w:r w:rsidRPr="005144EC" w:rsidR="006B3415">
        <w:t>preserves [the] distinction</w:t>
      </w:r>
      <w:r w:rsidRPr="005144EC" w:rsidR="00430213">
        <w:t>’</w:t>
      </w:r>
      <w:r w:rsidRPr="005144EC" w:rsidR="006B3415">
        <w:t xml:space="preserve"> in Sixth Amendment jurisprudence” </w:t>
      </w:r>
      <w:r w:rsidRPr="005144EC" w:rsidR="00F308B2">
        <w:t xml:space="preserve">as to </w:t>
      </w:r>
      <w:r w:rsidRPr="005144EC" w:rsidR="00131E8C">
        <w:t>the permissible use of prior convictions</w:t>
      </w:r>
      <w:r w:rsidRPr="005144EC" w:rsidR="00F308B2">
        <w:t xml:space="preserve"> and </w:t>
      </w:r>
      <w:r w:rsidRPr="005144EC" w:rsidR="00131E8C">
        <w:t>should not be construed “more narrowly” than is allowed under Sixth Amendment jurisprudence].)</w:t>
      </w:r>
    </w:p>
    <w:p w:rsidR="00993B19" w:rsidRPr="005144EC" w:rsidP="00762A27" w14:paraId="65267800" w14:textId="1DF4E078">
      <w:pPr>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We emphasize </w:t>
      </w:r>
      <w:r w:rsidRPr="005144EC">
        <w:rPr>
          <w:rFonts w:eastAsia="Times New Roman" w:cs="Times New Roman"/>
          <w:i/>
          <w:iCs/>
          <w:color w:val="000000"/>
          <w:kern w:val="0"/>
          <w14:ligatures w14:val="none"/>
        </w:rPr>
        <w:t>Black</w:t>
      </w:r>
      <w:r w:rsidRPr="005144EC" w:rsidR="00040121">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did not hold </w:t>
      </w:r>
      <w:r w:rsidRPr="005144EC" w:rsidR="00B50DBA">
        <w:rPr>
          <w:rFonts w:eastAsia="Times New Roman" w:cs="Times New Roman"/>
          <w:color w:val="000000"/>
          <w:kern w:val="0"/>
          <w14:ligatures w14:val="none"/>
        </w:rPr>
        <w:t xml:space="preserve">that </w:t>
      </w:r>
      <w:r w:rsidRPr="005144EC">
        <w:rPr>
          <w:rFonts w:eastAsia="Times New Roman" w:cs="Times New Roman"/>
          <w:color w:val="000000"/>
          <w:kern w:val="0"/>
          <w14:ligatures w14:val="none"/>
        </w:rPr>
        <w:t xml:space="preserve">the defendant’s constitutional right to jury trial had been violated but the violation was not prejudicial.  Rather, </w:t>
      </w:r>
      <w:r w:rsidRPr="005144EC">
        <w:rPr>
          <w:rFonts w:eastAsia="Times New Roman" w:cs="Times New Roman"/>
          <w:i/>
          <w:iCs/>
          <w:color w:val="000000"/>
          <w:kern w:val="0"/>
          <w14:ligatures w14:val="none"/>
        </w:rPr>
        <w:t>Black</w:t>
      </w:r>
      <w:r w:rsidRPr="005144EC" w:rsidR="00040121">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held the</w:t>
      </w:r>
      <w:r w:rsidRPr="005144EC" w:rsidR="00720DDB">
        <w:rPr>
          <w:rFonts w:eastAsia="Times New Roman" w:cs="Times New Roman"/>
          <w:color w:val="000000"/>
          <w:kern w:val="0"/>
          <w14:ligatures w14:val="none"/>
        </w:rPr>
        <w:t xml:space="preserve"> aggravated sentence passed muster under the </w:t>
      </w:r>
      <w:r w:rsidRPr="005144EC">
        <w:rPr>
          <w:rFonts w:eastAsia="Times New Roman" w:cs="Times New Roman"/>
          <w:color w:val="000000"/>
          <w:kern w:val="0"/>
          <w14:ligatures w14:val="none"/>
        </w:rPr>
        <w:t>Sixth Amendment</w:t>
      </w:r>
      <w:r w:rsidRPr="005144EC" w:rsidR="00E649EF">
        <w:rPr>
          <w:rFonts w:eastAsia="Times New Roman" w:cs="Times New Roman"/>
          <w:color w:val="000000"/>
          <w:kern w:val="0"/>
          <w14:ligatures w14:val="none"/>
        </w:rPr>
        <w:t xml:space="preserve"> </w:t>
      </w:r>
      <w:r w:rsidRPr="005144EC" w:rsidR="00667EC2">
        <w:rPr>
          <w:rFonts w:eastAsia="Times New Roman" w:cs="Times New Roman"/>
          <w:color w:val="000000"/>
          <w:kern w:val="0"/>
          <w14:ligatures w14:val="none"/>
        </w:rPr>
        <w:t>because</w:t>
      </w:r>
      <w:r w:rsidRPr="005144EC" w:rsidR="00E649EF">
        <w:rPr>
          <w:rFonts w:eastAsia="Times New Roman" w:cs="Times New Roman"/>
          <w:color w:val="000000"/>
          <w:kern w:val="0"/>
          <w14:ligatures w14:val="none"/>
        </w:rPr>
        <w:t xml:space="preserve"> </w:t>
      </w:r>
      <w:r w:rsidRPr="005144EC" w:rsidR="00E649EF">
        <w:rPr>
          <w:rFonts w:eastAsia="Times New Roman" w:cs="Times New Roman"/>
          <w:i/>
          <w:iCs/>
          <w:color w:val="000000"/>
          <w:kern w:val="0"/>
          <w14:ligatures w14:val="none"/>
        </w:rPr>
        <w:t>no</w:t>
      </w:r>
      <w:r w:rsidRPr="005144EC" w:rsidR="00E649EF">
        <w:rPr>
          <w:rFonts w:eastAsia="Times New Roman" w:cs="Times New Roman"/>
          <w:color w:val="000000"/>
          <w:kern w:val="0"/>
          <w14:ligatures w14:val="none"/>
        </w:rPr>
        <w:t xml:space="preserve"> Sixth Amendment violation occurred</w:t>
      </w:r>
      <w:r w:rsidRPr="005144EC" w:rsidR="00720DDB">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000000"/>
          <w:kern w:val="0"/>
          <w14:ligatures w14:val="none"/>
        </w:rPr>
        <w:t>Black</w:t>
      </w:r>
      <w:r w:rsidRPr="005144EC" w:rsidR="00040121">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supra, </w:t>
      </w:r>
      <w:r w:rsidRPr="005144EC" w:rsidR="00762A27">
        <w:t xml:space="preserve">41 Cal.4th </w:t>
      </w:r>
      <w:r w:rsidRPr="005144EC">
        <w:rPr>
          <w:rFonts w:eastAsia="Times New Roman" w:cs="Times New Roman"/>
          <w:color w:val="000000"/>
          <w:kern w:val="0"/>
          <w14:ligatures w14:val="none"/>
        </w:rPr>
        <w:t xml:space="preserve">at pp. </w:t>
      </w:r>
      <w:r w:rsidRPr="005144EC" w:rsidR="00AE1EE5">
        <w:rPr>
          <w:rFonts w:eastAsia="Times New Roman" w:cs="Times New Roman"/>
          <w:color w:val="000000"/>
          <w:kern w:val="0"/>
          <w14:ligatures w14:val="none"/>
        </w:rPr>
        <w:t>813</w:t>
      </w:r>
      <w:r w:rsidRPr="005144EC" w:rsidR="00762A27">
        <w:rPr>
          <w:rFonts w:eastAsia="Times New Roman" w:cs="Times New Roman"/>
          <w:color w:val="000000"/>
          <w:kern w:val="0"/>
          <w14:ligatures w14:val="none"/>
        </w:rPr>
        <w:t>–</w:t>
      </w:r>
      <w:r w:rsidRPr="005144EC" w:rsidR="00AE1EE5">
        <w:rPr>
          <w:rFonts w:eastAsia="Times New Roman" w:cs="Times New Roman"/>
          <w:color w:val="000000"/>
          <w:kern w:val="0"/>
          <w14:ligatures w14:val="none"/>
        </w:rPr>
        <w:t>816.</w:t>
      </w:r>
      <w:r w:rsidRPr="005144EC">
        <w:rPr>
          <w:rFonts w:eastAsia="Times New Roman" w:cs="Times New Roman"/>
          <w:color w:val="000000"/>
          <w:kern w:val="0"/>
          <w14:ligatures w14:val="none"/>
        </w:rPr>
        <w:t>)</w:t>
      </w:r>
      <w:r w:rsidRPr="005144EC" w:rsidR="000640F8">
        <w:rPr>
          <w:rFonts w:eastAsia="Times New Roman" w:cs="Times New Roman"/>
          <w:color w:val="000000"/>
          <w:kern w:val="0"/>
          <w14:ligatures w14:val="none"/>
        </w:rPr>
        <w:t xml:space="preserve">  A</w:t>
      </w:r>
      <w:r w:rsidRPr="005144EC" w:rsidR="007221AB">
        <w:rPr>
          <w:rFonts w:eastAsia="Times New Roman" w:cs="Times New Roman"/>
          <w:color w:val="000000"/>
          <w:kern w:val="0"/>
          <w14:ligatures w14:val="none"/>
        </w:rPr>
        <w:t xml:space="preserve">ccordingly, there was no constitutional error in </w:t>
      </w:r>
      <w:r w:rsidRPr="005144EC" w:rsidR="007221AB">
        <w:rPr>
          <w:rFonts w:eastAsia="Times New Roman" w:cs="Times New Roman"/>
          <w:i/>
          <w:iCs/>
          <w:color w:val="000000"/>
          <w:kern w:val="0"/>
          <w14:ligatures w14:val="none"/>
        </w:rPr>
        <w:t>Black</w:t>
      </w:r>
      <w:r w:rsidRPr="005144EC" w:rsidR="000A1576">
        <w:rPr>
          <w:rFonts w:eastAsia="Times New Roman" w:cs="Times New Roman"/>
          <w:i/>
          <w:iCs/>
          <w:color w:val="000000"/>
          <w:kern w:val="0"/>
          <w14:ligatures w14:val="none"/>
        </w:rPr>
        <w:t xml:space="preserve"> II</w:t>
      </w:r>
      <w:r w:rsidRPr="005144EC" w:rsidR="007221AB">
        <w:rPr>
          <w:rFonts w:eastAsia="Times New Roman" w:cs="Times New Roman"/>
          <w:i/>
          <w:iCs/>
          <w:color w:val="000000"/>
          <w:kern w:val="0"/>
          <w14:ligatures w14:val="none"/>
        </w:rPr>
        <w:t xml:space="preserve"> </w:t>
      </w:r>
      <w:r w:rsidRPr="005144EC" w:rsidR="007221AB">
        <w:rPr>
          <w:rFonts w:eastAsia="Times New Roman" w:cs="Times New Roman"/>
          <w:color w:val="000000"/>
          <w:kern w:val="0"/>
          <w14:ligatures w14:val="none"/>
        </w:rPr>
        <w:t xml:space="preserve">that required an assessment of </w:t>
      </w:r>
      <w:r w:rsidRPr="005144EC" w:rsidR="000640F8">
        <w:rPr>
          <w:rFonts w:eastAsia="Times New Roman" w:cs="Times New Roman"/>
          <w:color w:val="000000"/>
          <w:kern w:val="0"/>
          <w14:ligatures w14:val="none"/>
        </w:rPr>
        <w:t xml:space="preserve">harmlessness.  </w:t>
      </w:r>
      <w:r w:rsidRPr="005144EC" w:rsidR="007221AB">
        <w:rPr>
          <w:rFonts w:eastAsia="Times New Roman" w:cs="Times New Roman"/>
          <w:color w:val="000000"/>
          <w:kern w:val="0"/>
          <w14:ligatures w14:val="none"/>
        </w:rPr>
        <w:t>I</w:t>
      </w:r>
      <w:r w:rsidRPr="005144EC" w:rsidR="000640F8">
        <w:rPr>
          <w:rFonts w:eastAsia="Times New Roman" w:cs="Times New Roman"/>
          <w:color w:val="000000"/>
          <w:kern w:val="0"/>
          <w14:ligatures w14:val="none"/>
        </w:rPr>
        <w:t xml:space="preserve">n </w:t>
      </w:r>
      <w:r w:rsidRPr="005144EC" w:rsidR="000640F8">
        <w:rPr>
          <w:rFonts w:eastAsia="Times New Roman" w:cs="Times New Roman"/>
          <w:i/>
          <w:iCs/>
          <w:color w:val="000000"/>
          <w:kern w:val="0"/>
          <w14:ligatures w14:val="none"/>
        </w:rPr>
        <w:t xml:space="preserve">French, </w:t>
      </w:r>
      <w:r w:rsidRPr="005144EC" w:rsidR="007221AB">
        <w:rPr>
          <w:rFonts w:eastAsia="Times New Roman" w:cs="Times New Roman"/>
          <w:color w:val="000000"/>
          <w:kern w:val="0"/>
          <w14:ligatures w14:val="none"/>
        </w:rPr>
        <w:t xml:space="preserve">in contrast, </w:t>
      </w:r>
      <w:r w:rsidRPr="005144EC" w:rsidR="000640F8">
        <w:rPr>
          <w:rFonts w:eastAsia="Times New Roman" w:cs="Times New Roman"/>
          <w:color w:val="000000"/>
          <w:kern w:val="0"/>
          <w14:ligatures w14:val="none"/>
        </w:rPr>
        <w:t xml:space="preserve">no aggravating factor was established by means permissible under the Sixth Amendment.  The same was true in </w:t>
      </w:r>
      <w:r w:rsidRPr="005144EC" w:rsidR="000640F8">
        <w:rPr>
          <w:rFonts w:eastAsia="Times New Roman" w:cs="Times New Roman"/>
          <w:i/>
          <w:iCs/>
          <w:color w:val="3D3D3D"/>
          <w:kern w:val="0"/>
          <w:bdr w:val="none" w:sz="0" w:space="0" w:color="auto" w:frame="1"/>
          <w14:ligatures w14:val="none"/>
        </w:rPr>
        <w:t xml:space="preserve">Sandoval, supra, </w:t>
      </w:r>
      <w:r w:rsidRPr="005144EC" w:rsidR="000640F8">
        <w:rPr>
          <w:rFonts w:eastAsia="Times New Roman" w:cs="Times New Roman"/>
          <w:color w:val="000000"/>
          <w:kern w:val="0"/>
          <w14:ligatures w14:val="none"/>
        </w:rPr>
        <w:t>41 Cal.4th at page 837––“</w:t>
      </w:r>
      <w:r w:rsidRPr="005144EC" w:rsidR="005B2148">
        <w:rPr>
          <w:rFonts w:eastAsia="Times New Roman" w:cs="Times New Roman"/>
          <w:color w:val="000000"/>
          <w:kern w:val="0"/>
          <w14:ligatures w14:val="none"/>
        </w:rPr>
        <w:t>[</w:t>
      </w:r>
      <w:r w:rsidRPr="005144EC" w:rsidR="000640F8">
        <w:rPr>
          <w:rFonts w:eastAsia="Times New Roman" w:cs="Times New Roman"/>
          <w:color w:val="000000"/>
          <w:kern w:val="0"/>
          <w14:ligatures w14:val="none"/>
        </w:rPr>
        <w:t>n</w:t>
      </w:r>
      <w:r w:rsidRPr="005144EC" w:rsidR="005B2148">
        <w:rPr>
          <w:rFonts w:eastAsia="Times New Roman" w:cs="Times New Roman"/>
          <w:color w:val="000000"/>
          <w:kern w:val="0"/>
          <w14:ligatures w14:val="none"/>
        </w:rPr>
        <w:t>]</w:t>
      </w:r>
      <w:r w:rsidRPr="005144EC" w:rsidR="000640F8">
        <w:rPr>
          <w:rFonts w:eastAsia="Times New Roman" w:cs="Times New Roman"/>
          <w:color w:val="000000"/>
          <w:kern w:val="0"/>
          <w14:ligatures w14:val="none"/>
        </w:rPr>
        <w:t xml:space="preserve">one of the aggravating circumstances cited by the trial court [came] within the exceptions set forth in </w:t>
      </w:r>
      <w:r w:rsidRPr="005144EC" w:rsidR="000640F8">
        <w:rPr>
          <w:rFonts w:eastAsia="Times New Roman" w:cs="Times New Roman"/>
          <w:i/>
          <w:iCs/>
          <w:color w:val="3D3D3D"/>
          <w:kern w:val="0"/>
          <w:bdr w:val="none" w:sz="0" w:space="0" w:color="auto" w:frame="1"/>
          <w14:ligatures w14:val="none"/>
        </w:rPr>
        <w:t>Blakely.</w:t>
      </w:r>
      <w:r w:rsidRPr="005144EC" w:rsidR="000640F8">
        <w:rPr>
          <w:rFonts w:eastAsia="Times New Roman" w:cs="Times New Roman"/>
          <w:color w:val="3D3D3D"/>
          <w:kern w:val="0"/>
          <w:bdr w:val="none" w:sz="0" w:space="0" w:color="auto" w:frame="1"/>
          <w14:ligatures w14:val="none"/>
        </w:rPr>
        <w:t xml:space="preserve">”  Thus, in both </w:t>
      </w:r>
      <w:r w:rsidRPr="005144EC" w:rsidR="000640F8">
        <w:rPr>
          <w:rFonts w:eastAsia="Times New Roman" w:cs="Times New Roman"/>
          <w:i/>
          <w:iCs/>
          <w:color w:val="3D3D3D"/>
          <w:kern w:val="0"/>
          <w:bdr w:val="none" w:sz="0" w:space="0" w:color="auto" w:frame="1"/>
          <w14:ligatures w14:val="none"/>
        </w:rPr>
        <w:t xml:space="preserve">French </w:t>
      </w:r>
      <w:r w:rsidRPr="005144EC" w:rsidR="000640F8">
        <w:rPr>
          <w:rFonts w:eastAsia="Times New Roman" w:cs="Times New Roman"/>
          <w:color w:val="3D3D3D"/>
          <w:kern w:val="0"/>
          <w:bdr w:val="none" w:sz="0" w:space="0" w:color="auto" w:frame="1"/>
          <w14:ligatures w14:val="none"/>
        </w:rPr>
        <w:t xml:space="preserve">and </w:t>
      </w:r>
      <w:r w:rsidRPr="005144EC" w:rsidR="000640F8">
        <w:rPr>
          <w:rFonts w:eastAsia="Times New Roman" w:cs="Times New Roman"/>
          <w:i/>
          <w:iCs/>
          <w:color w:val="3D3D3D"/>
          <w:kern w:val="0"/>
          <w:bdr w:val="none" w:sz="0" w:space="0" w:color="auto" w:frame="1"/>
          <w14:ligatures w14:val="none"/>
        </w:rPr>
        <w:t xml:space="preserve">Sandoval </w:t>
      </w:r>
      <w:r w:rsidRPr="005144EC" w:rsidR="000640F8">
        <w:rPr>
          <w:rFonts w:eastAsia="Times New Roman" w:cs="Times New Roman"/>
          <w:color w:val="3D3D3D"/>
          <w:kern w:val="0"/>
          <w:bdr w:val="none" w:sz="0" w:space="0" w:color="auto" w:frame="1"/>
          <w14:ligatures w14:val="none"/>
        </w:rPr>
        <w:t>the high court was required to consider whether the violation of the defendants’ Sixth Amendment right was harmless.  (</w:t>
      </w:r>
      <w:r w:rsidRPr="005144EC" w:rsidR="000640F8">
        <w:rPr>
          <w:rFonts w:eastAsia="Times New Roman" w:cs="Times New Roman"/>
          <w:i/>
          <w:iCs/>
          <w:color w:val="3D3D3D"/>
          <w:kern w:val="0"/>
          <w:bdr w:val="none" w:sz="0" w:space="0" w:color="auto" w:frame="1"/>
          <w14:ligatures w14:val="none"/>
        </w:rPr>
        <w:t xml:space="preserve">French, supra, </w:t>
      </w:r>
      <w:r w:rsidRPr="005144EC" w:rsidR="000640F8">
        <w:rPr>
          <w:rFonts w:eastAsia="Times New Roman" w:cs="Times New Roman"/>
          <w:color w:val="3D3D3D"/>
          <w:kern w:val="0"/>
          <w:bdr w:val="none" w:sz="0" w:space="0" w:color="auto" w:frame="1"/>
          <w14:ligatures w14:val="none"/>
        </w:rPr>
        <w:t>43</w:t>
      </w:r>
      <w:r w:rsidRPr="005144EC" w:rsidR="00540E20">
        <w:rPr>
          <w:rFonts w:eastAsia="Times New Roman" w:cs="Times New Roman"/>
          <w:color w:val="3D3D3D"/>
          <w:kern w:val="0"/>
          <w:bdr w:val="none" w:sz="0" w:space="0" w:color="auto" w:frame="1"/>
          <w14:ligatures w14:val="none"/>
        </w:rPr>
        <w:t> </w:t>
      </w:r>
      <w:r w:rsidRPr="005144EC" w:rsidR="000640F8">
        <w:rPr>
          <w:rFonts w:eastAsia="Times New Roman" w:cs="Times New Roman"/>
          <w:color w:val="3D3D3D"/>
          <w:kern w:val="0"/>
          <w:bdr w:val="none" w:sz="0" w:space="0" w:color="auto" w:frame="1"/>
          <w14:ligatures w14:val="none"/>
        </w:rPr>
        <w:t xml:space="preserve">Cal.4th at pp. 52–54; </w:t>
      </w:r>
      <w:r w:rsidRPr="005144EC" w:rsidR="000640F8">
        <w:rPr>
          <w:rFonts w:eastAsia="Times New Roman" w:cs="Times New Roman"/>
          <w:i/>
          <w:iCs/>
          <w:color w:val="3D3D3D"/>
          <w:kern w:val="0"/>
          <w:bdr w:val="none" w:sz="0" w:space="0" w:color="auto" w:frame="1"/>
          <w14:ligatures w14:val="none"/>
        </w:rPr>
        <w:t xml:space="preserve">Sandoval, </w:t>
      </w:r>
      <w:r w:rsidRPr="005144EC" w:rsidR="000640F8">
        <w:rPr>
          <w:rFonts w:eastAsia="Times New Roman" w:cs="Times New Roman"/>
          <w:color w:val="3D3D3D"/>
          <w:kern w:val="0"/>
          <w:bdr w:val="none" w:sz="0" w:space="0" w:color="auto" w:frame="1"/>
          <w14:ligatures w14:val="none"/>
        </w:rPr>
        <w:t>at pp. 838–843.)</w:t>
      </w:r>
    </w:p>
    <w:p w:rsidR="002F64AF" w:rsidRPr="005144EC" w:rsidP="002F64AF" w14:paraId="74E73194" w14:textId="7777777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sidR="005E7D5B">
        <w:rPr>
          <w:rFonts w:eastAsia="Times New Roman" w:cs="Times New Roman"/>
          <w:color w:val="000000"/>
          <w:kern w:val="0"/>
          <w14:ligatures w14:val="none"/>
        </w:rPr>
        <w:t>Defendant</w:t>
      </w:r>
      <w:r w:rsidRPr="005144EC" w:rsidR="00E649EF">
        <w:rPr>
          <w:rFonts w:eastAsia="Times New Roman" w:cs="Times New Roman"/>
          <w:color w:val="000000"/>
          <w:kern w:val="0"/>
          <w14:ligatures w14:val="none"/>
        </w:rPr>
        <w:t xml:space="preserve"> d</w:t>
      </w:r>
      <w:r w:rsidRPr="005144EC" w:rsidR="00FC0791">
        <w:rPr>
          <w:rFonts w:eastAsia="Times New Roman" w:cs="Times New Roman"/>
          <w:color w:val="000000"/>
          <w:kern w:val="0"/>
          <w14:ligatures w14:val="none"/>
        </w:rPr>
        <w:t>id</w:t>
      </w:r>
      <w:r w:rsidRPr="005144EC" w:rsidR="00E649EF">
        <w:rPr>
          <w:rFonts w:eastAsia="Times New Roman" w:cs="Times New Roman"/>
          <w:color w:val="000000"/>
          <w:kern w:val="0"/>
          <w14:ligatures w14:val="none"/>
        </w:rPr>
        <w:t xml:space="preserve"> not address </w:t>
      </w:r>
      <w:r w:rsidRPr="005144EC" w:rsidR="00E649EF">
        <w:rPr>
          <w:rFonts w:eastAsia="Times New Roman" w:cs="Times New Roman"/>
          <w:i/>
          <w:iCs/>
          <w:color w:val="000000"/>
          <w:kern w:val="0"/>
          <w14:ligatures w14:val="none"/>
        </w:rPr>
        <w:t>Black</w:t>
      </w:r>
      <w:r w:rsidRPr="005144EC" w:rsidR="00AE1EE5">
        <w:rPr>
          <w:rFonts w:eastAsia="Times New Roman" w:cs="Times New Roman"/>
          <w:i/>
          <w:iCs/>
          <w:color w:val="000000"/>
          <w:kern w:val="0"/>
          <w14:ligatures w14:val="none"/>
        </w:rPr>
        <w:t xml:space="preserve"> II</w:t>
      </w:r>
      <w:r w:rsidRPr="005144EC" w:rsidR="00E649EF">
        <w:rPr>
          <w:rFonts w:eastAsia="Times New Roman" w:cs="Times New Roman"/>
          <w:i/>
          <w:iCs/>
          <w:color w:val="000000"/>
          <w:kern w:val="0"/>
          <w14:ligatures w14:val="none"/>
        </w:rPr>
        <w:t>’s</w:t>
      </w:r>
      <w:r w:rsidRPr="005144EC" w:rsidR="00E649EF">
        <w:rPr>
          <w:rFonts w:eastAsia="Times New Roman" w:cs="Times New Roman"/>
          <w:color w:val="000000"/>
          <w:kern w:val="0"/>
          <w14:ligatures w14:val="none"/>
        </w:rPr>
        <w:t xml:space="preserve"> analysis in his opening brief</w:t>
      </w:r>
      <w:r w:rsidRPr="005144EC">
        <w:rPr>
          <w:rFonts w:eastAsia="Times New Roman" w:cs="Times New Roman"/>
          <w:color w:val="000000"/>
          <w:kern w:val="0"/>
          <w14:ligatures w14:val="none"/>
        </w:rPr>
        <w:t>.</w:t>
      </w:r>
      <w:r w:rsidRPr="005144EC" w:rsidR="00E649EF">
        <w:rPr>
          <w:rFonts w:eastAsia="Times New Roman" w:cs="Times New Roman"/>
          <w:color w:val="000000"/>
          <w:kern w:val="0"/>
          <w14:ligatures w14:val="none"/>
        </w:rPr>
        <w:t xml:space="preserve">  Rather, he relie</w:t>
      </w:r>
      <w:r w:rsidRPr="005144EC" w:rsidR="00FC0791">
        <w:rPr>
          <w:rFonts w:eastAsia="Times New Roman" w:cs="Times New Roman"/>
          <w:color w:val="000000"/>
          <w:kern w:val="0"/>
          <w14:ligatures w14:val="none"/>
        </w:rPr>
        <w:t>d</w:t>
      </w:r>
      <w:r w:rsidRPr="005144EC" w:rsidR="00E649EF">
        <w:rPr>
          <w:rFonts w:eastAsia="Times New Roman" w:cs="Times New Roman"/>
          <w:color w:val="000000"/>
          <w:kern w:val="0"/>
          <w14:ligatures w14:val="none"/>
        </w:rPr>
        <w:t xml:space="preserve"> on </w:t>
      </w:r>
      <w:r w:rsidRPr="005144EC" w:rsidR="00E649EF">
        <w:rPr>
          <w:rFonts w:eastAsia="Times New Roman" w:cs="Times New Roman"/>
          <w:i/>
          <w:iCs/>
          <w:color w:val="000000"/>
          <w:kern w:val="0"/>
          <w14:ligatures w14:val="none"/>
        </w:rPr>
        <w:t>French</w:t>
      </w:r>
      <w:r w:rsidRPr="005144EC" w:rsidR="00E649EF">
        <w:rPr>
          <w:rFonts w:eastAsia="Times New Roman" w:cs="Times New Roman"/>
          <w:color w:val="000000"/>
          <w:kern w:val="0"/>
          <w14:ligatures w14:val="none"/>
        </w:rPr>
        <w:t xml:space="preserve">. </w:t>
      </w:r>
      <w:r w:rsidRPr="005144EC" w:rsidR="0038499B">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However, e</w:t>
      </w:r>
      <w:r w:rsidRPr="005144EC" w:rsidR="00AC6397">
        <w:rPr>
          <w:rFonts w:eastAsia="Times New Roman" w:cs="Times New Roman"/>
          <w:color w:val="000000"/>
          <w:kern w:val="0"/>
          <w14:ligatures w14:val="none"/>
        </w:rPr>
        <w:t xml:space="preserve">ven in </w:t>
      </w:r>
      <w:r w:rsidRPr="005144EC" w:rsidR="00AC6397">
        <w:rPr>
          <w:rFonts w:eastAsia="Times New Roman" w:cs="Times New Roman"/>
          <w:i/>
          <w:iCs/>
          <w:color w:val="000000"/>
          <w:kern w:val="0"/>
          <w14:ligatures w14:val="none"/>
        </w:rPr>
        <w:t>French,</w:t>
      </w:r>
      <w:r w:rsidRPr="005144EC" w:rsidR="00AC6397">
        <w:rPr>
          <w:rFonts w:eastAsia="Times New Roman" w:cs="Times New Roman"/>
          <w:color w:val="000000"/>
          <w:kern w:val="0"/>
          <w14:ligatures w14:val="none"/>
        </w:rPr>
        <w:t xml:space="preserve"> the</w:t>
      </w:r>
      <w:r w:rsidRPr="005144EC" w:rsidR="00AC6397">
        <w:rPr>
          <w:rFonts w:eastAsia="Times New Roman" w:cs="Times New Roman"/>
          <w:i/>
          <w:iCs/>
          <w:color w:val="000000"/>
          <w:kern w:val="0"/>
          <w14:ligatures w14:val="none"/>
        </w:rPr>
        <w:t xml:space="preserve"> </w:t>
      </w:r>
      <w:r w:rsidRPr="005144EC" w:rsidR="00AC6397">
        <w:rPr>
          <w:rFonts w:eastAsia="Times New Roman" w:cs="Times New Roman"/>
          <w:color w:val="000000"/>
          <w:kern w:val="0"/>
          <w14:ligatures w14:val="none"/>
        </w:rPr>
        <w:t>high court reiterated that an upper term would have been constitutionally permissible “if the prosecution had established an aggravating factor at the sentencing hearing based upon defendant</w:t>
      </w:r>
      <w:r w:rsidRPr="005144EC" w:rsidR="00B50DBA">
        <w:rPr>
          <w:rFonts w:eastAsia="Times New Roman" w:cs="Times New Roman"/>
          <w:color w:val="000000"/>
          <w:kern w:val="0"/>
          <w14:ligatures w14:val="none"/>
        </w:rPr>
        <w:t>’</w:t>
      </w:r>
      <w:r w:rsidRPr="005144EC" w:rsidR="00AC6397">
        <w:rPr>
          <w:rFonts w:eastAsia="Times New Roman" w:cs="Times New Roman"/>
          <w:color w:val="000000"/>
          <w:kern w:val="0"/>
          <w14:ligatures w14:val="none"/>
        </w:rPr>
        <w:t>s prior convictions or upon his admissions.”  (</w:t>
      </w:r>
      <w:r w:rsidRPr="005144EC" w:rsidR="00AC6397">
        <w:rPr>
          <w:rFonts w:eastAsia="Times New Roman" w:cs="Times New Roman"/>
          <w:i/>
          <w:iCs/>
          <w:color w:val="3D3D3D"/>
          <w:kern w:val="0"/>
          <w:bdr w:val="none" w:sz="0" w:space="0" w:color="auto" w:frame="1"/>
          <w14:ligatures w14:val="none"/>
        </w:rPr>
        <w:t xml:space="preserve">French, supra, </w:t>
      </w:r>
      <w:r w:rsidRPr="005144EC" w:rsidR="00AC6397">
        <w:rPr>
          <w:rFonts w:eastAsia="Times New Roman" w:cs="Times New Roman"/>
          <w:color w:val="000000"/>
          <w:kern w:val="0"/>
          <w14:ligatures w14:val="none"/>
        </w:rPr>
        <w:t xml:space="preserve">43 Cal.4th at p. 45.)  The </w:t>
      </w:r>
      <w:r w:rsidRPr="005144EC">
        <w:rPr>
          <w:rFonts w:eastAsia="Times New Roman" w:cs="Times New Roman"/>
          <w:color w:val="000000"/>
          <w:kern w:val="0"/>
          <w14:ligatures w14:val="none"/>
        </w:rPr>
        <w:t xml:space="preserve">difficulty in </w:t>
      </w:r>
      <w:r w:rsidRPr="005144EC" w:rsidR="00B14232">
        <w:rPr>
          <w:rFonts w:eastAsia="Times New Roman" w:cs="Times New Roman"/>
          <w:i/>
          <w:iCs/>
          <w:color w:val="000000"/>
          <w:kern w:val="0"/>
          <w14:ligatures w14:val="none"/>
        </w:rPr>
        <w:t>French</w:t>
      </w:r>
      <w:r w:rsidRPr="005144EC" w:rsidR="007221AB">
        <w:rPr>
          <w:rFonts w:eastAsia="Times New Roman" w:cs="Times New Roman"/>
          <w:color w:val="000000"/>
          <w:kern w:val="0"/>
          <w14:ligatures w14:val="none"/>
        </w:rPr>
        <w:t>, as we have observed,</w:t>
      </w:r>
      <w:r w:rsidRPr="005144EC" w:rsidR="00A654BF">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was that the trial court </w:t>
      </w:r>
      <w:r w:rsidRPr="005144EC" w:rsidR="00B14232">
        <w:rPr>
          <w:rFonts w:eastAsia="Times New Roman" w:cs="Times New Roman"/>
          <w:color w:val="000000"/>
          <w:kern w:val="0"/>
          <w14:ligatures w14:val="none"/>
        </w:rPr>
        <w:t xml:space="preserve">had not found </w:t>
      </w:r>
      <w:r w:rsidRPr="005144EC" w:rsidR="00B14232">
        <w:rPr>
          <w:rFonts w:eastAsia="Times New Roman" w:cs="Times New Roman"/>
          <w:i/>
          <w:iCs/>
          <w:color w:val="000000"/>
          <w:kern w:val="0"/>
          <w14:ligatures w14:val="none"/>
        </w:rPr>
        <w:t>any</w:t>
      </w:r>
      <w:r w:rsidRPr="005144EC" w:rsidR="00B14232">
        <w:rPr>
          <w:rFonts w:eastAsia="Times New Roman" w:cs="Times New Roman"/>
          <w:color w:val="000000"/>
          <w:kern w:val="0"/>
          <w14:ligatures w14:val="none"/>
        </w:rPr>
        <w:t xml:space="preserve"> aggravating factor on such basis.</w:t>
      </w:r>
      <w:r w:rsidRPr="005144EC" w:rsidR="00A654BF">
        <w:rPr>
          <w:rFonts w:eastAsia="Times New Roman" w:cs="Times New Roman"/>
          <w:color w:val="000000"/>
          <w:kern w:val="0"/>
          <w14:ligatures w14:val="none"/>
        </w:rPr>
        <w:t xml:space="preserve"> </w:t>
      </w:r>
      <w:r w:rsidRPr="005144EC" w:rsidR="00762A27">
        <w:rPr>
          <w:rFonts w:eastAsia="Times New Roman" w:cs="Times New Roman"/>
          <w:color w:val="000000"/>
          <w:kern w:val="0"/>
          <w14:ligatures w14:val="none"/>
        </w:rPr>
        <w:t xml:space="preserve"> (</w:t>
      </w:r>
      <w:r w:rsidRPr="005144EC" w:rsidR="00A654BF">
        <w:rPr>
          <w:rFonts w:eastAsia="Times New Roman" w:cs="Times New Roman"/>
          <w:i/>
          <w:iCs/>
          <w:color w:val="000000"/>
          <w:kern w:val="0"/>
          <w14:ligatures w14:val="none"/>
        </w:rPr>
        <w:t xml:space="preserve">Id. </w:t>
      </w:r>
      <w:r w:rsidRPr="005144EC" w:rsidR="00414C9D">
        <w:rPr>
          <w:rFonts w:eastAsia="Times New Roman" w:cs="Times New Roman"/>
          <w:color w:val="000000"/>
          <w:kern w:val="0"/>
          <w14:ligatures w14:val="none"/>
        </w:rPr>
        <w:t>at p. 43</w:t>
      </w:r>
      <w:r w:rsidRPr="005144EC" w:rsidR="005B2148">
        <w:rPr>
          <w:rFonts w:eastAsia="Times New Roman" w:cs="Times New Roman"/>
          <w:color w:val="000000"/>
          <w:kern w:val="0"/>
          <w14:ligatures w14:val="none"/>
        </w:rPr>
        <w:t xml:space="preserve">.)  </w:t>
      </w:r>
      <w:r w:rsidRPr="005144EC" w:rsidR="00414C9D">
        <w:rPr>
          <w:rFonts w:eastAsia="Times New Roman" w:cs="Times New Roman"/>
          <w:color w:val="000000"/>
          <w:kern w:val="0"/>
          <w14:ligatures w14:val="none"/>
        </w:rPr>
        <w:t>Accordingly,</w:t>
      </w:r>
      <w:r w:rsidRPr="005144EC" w:rsidR="00B14232">
        <w:rPr>
          <w:rFonts w:eastAsia="Times New Roman" w:cs="Times New Roman"/>
          <w:color w:val="000000"/>
          <w:kern w:val="0"/>
          <w14:ligatures w14:val="none"/>
        </w:rPr>
        <w:t xml:space="preserve"> </w:t>
      </w:r>
      <w:r w:rsidRPr="005144EC" w:rsidR="00414C9D">
        <w:rPr>
          <w:rFonts w:eastAsia="Times New Roman" w:cs="Times New Roman"/>
          <w:i/>
          <w:iCs/>
          <w:color w:val="000000"/>
          <w:kern w:val="0"/>
          <w14:ligatures w14:val="none"/>
        </w:rPr>
        <w:t>Black</w:t>
      </w:r>
      <w:r w:rsidRPr="005144EC" w:rsidR="00AE1EE5">
        <w:rPr>
          <w:rFonts w:eastAsia="Times New Roman" w:cs="Times New Roman"/>
          <w:i/>
          <w:iCs/>
          <w:color w:val="000000"/>
          <w:kern w:val="0"/>
          <w14:ligatures w14:val="none"/>
        </w:rPr>
        <w:t xml:space="preserve"> II</w:t>
      </w:r>
      <w:r w:rsidRPr="005144EC" w:rsidR="00B14232">
        <w:rPr>
          <w:rFonts w:eastAsia="Times New Roman" w:cs="Times New Roman"/>
          <w:i/>
          <w:iCs/>
          <w:color w:val="000000"/>
          <w:kern w:val="0"/>
          <w14:ligatures w14:val="none"/>
        </w:rPr>
        <w:t xml:space="preserve">’s </w:t>
      </w:r>
      <w:r w:rsidRPr="005144EC" w:rsidR="00B14232">
        <w:rPr>
          <w:rFonts w:eastAsia="Times New Roman" w:cs="Times New Roman"/>
          <w:color w:val="000000"/>
          <w:kern w:val="0"/>
          <w14:ligatures w14:val="none"/>
        </w:rPr>
        <w:t>analysis</w:t>
      </w:r>
      <w:r w:rsidRPr="005144EC" w:rsidR="00414C9D">
        <w:rPr>
          <w:rFonts w:eastAsia="Times New Roman" w:cs="Times New Roman"/>
          <w:color w:val="000000"/>
          <w:kern w:val="0"/>
          <w14:ligatures w14:val="none"/>
        </w:rPr>
        <w:t xml:space="preserve"> simply </w:t>
      </w:r>
      <w:r w:rsidRPr="005144EC" w:rsidR="0038499B">
        <w:rPr>
          <w:rFonts w:eastAsia="Times New Roman" w:cs="Times New Roman"/>
          <w:color w:val="000000"/>
          <w:kern w:val="0"/>
          <w14:ligatures w14:val="none"/>
        </w:rPr>
        <w:t>did not</w:t>
      </w:r>
      <w:r w:rsidRPr="005144EC" w:rsidR="00414C9D">
        <w:rPr>
          <w:rFonts w:eastAsia="Times New Roman" w:cs="Times New Roman"/>
          <w:color w:val="000000"/>
          <w:kern w:val="0"/>
          <w14:ligatures w14:val="none"/>
        </w:rPr>
        <w:t xml:space="preserve"> apply</w:t>
      </w:r>
      <w:r w:rsidRPr="005144EC" w:rsidR="00875EC9">
        <w:rPr>
          <w:rFonts w:eastAsia="Times New Roman" w:cs="Times New Roman"/>
          <w:color w:val="000000"/>
          <w:kern w:val="0"/>
          <w14:ligatures w14:val="none"/>
        </w:rPr>
        <w:t>.</w:t>
      </w:r>
    </w:p>
    <w:p w:rsidR="002F64AF" w:rsidRPr="005144EC" w:rsidP="002F64AF" w14:paraId="056B6045" w14:textId="69363EF3">
      <w:pPr>
        <w:rPr>
          <w:rFonts w:eastAsia="Times New Roman" w:cs="Times New Roman"/>
          <w:color w:val="000000"/>
          <w:kern w:val="0"/>
          <w14:ligatures w14:val="none"/>
        </w:rPr>
      </w:pPr>
      <w:r w:rsidRPr="005144EC">
        <w:rPr>
          <w:rFonts w:eastAsia="Times New Roman" w:cs="Times New Roman"/>
          <w:color w:val="000000"/>
          <w:kern w:val="0"/>
          <w14:ligatures w14:val="none"/>
        </w:rPr>
        <w:tab/>
        <w:t>In his closing brief, defendant argue</w:t>
      </w:r>
      <w:r w:rsidR="00D33463">
        <w:rPr>
          <w:rFonts w:eastAsia="Times New Roman" w:cs="Times New Roman"/>
          <w:color w:val="000000"/>
          <w:kern w:val="0"/>
          <w14:ligatures w14:val="none"/>
        </w:rPr>
        <w:t>s</w:t>
      </w:r>
      <w:r w:rsidRPr="005144EC" w:rsidR="00CD6117">
        <w:rPr>
          <w:rFonts w:eastAsia="Times New Roman" w:cs="Times New Roman"/>
          <w:color w:val="000000"/>
          <w:kern w:val="0"/>
          <w14:ligatures w14:val="none"/>
        </w:rPr>
        <w:t xml:space="preserve"> for the first time that</w:t>
      </w:r>
      <w:r w:rsidRPr="005144EC" w:rsidR="00675D08">
        <w:rPr>
          <w:rFonts w:eastAsia="Times New Roman" w:cs="Times New Roman"/>
          <w:color w:val="000000"/>
          <w:kern w:val="0"/>
          <w14:ligatures w14:val="none"/>
        </w:rPr>
        <w:t xml:space="preserve"> </w:t>
      </w:r>
      <w:r w:rsidRPr="005144EC" w:rsidR="00675D08">
        <w:rPr>
          <w:rFonts w:eastAsia="Times New Roman" w:cs="Times New Roman"/>
          <w:i/>
          <w:iCs/>
          <w:color w:val="000000"/>
          <w:kern w:val="0"/>
          <w14:ligatures w14:val="none"/>
        </w:rPr>
        <w:t>Black</w:t>
      </w:r>
      <w:r w:rsidRPr="005144EC" w:rsidR="00AE1EE5">
        <w:rPr>
          <w:rFonts w:eastAsia="Times New Roman" w:cs="Times New Roman"/>
          <w:i/>
          <w:iCs/>
          <w:color w:val="000000"/>
          <w:kern w:val="0"/>
          <w14:ligatures w14:val="none"/>
        </w:rPr>
        <w:t xml:space="preserve"> II</w:t>
      </w:r>
      <w:r w:rsidRPr="005144EC" w:rsidR="00675D08">
        <w:rPr>
          <w:rFonts w:eastAsia="Times New Roman" w:cs="Times New Roman"/>
          <w:i/>
          <w:iCs/>
          <w:color w:val="000000"/>
          <w:kern w:val="0"/>
          <w14:ligatures w14:val="none"/>
        </w:rPr>
        <w:t xml:space="preserve"> </w:t>
      </w:r>
      <w:r w:rsidRPr="005144EC" w:rsidR="00BE666B">
        <w:rPr>
          <w:rFonts w:eastAsia="Times New Roman" w:cs="Times New Roman"/>
          <w:color w:val="000000"/>
          <w:kern w:val="0"/>
          <w14:ligatures w14:val="none"/>
        </w:rPr>
        <w:t xml:space="preserve">“is not good law as applied to amended section 1170.”  He claims that under the amended law, a single aggravating factor is “no longer </w:t>
      </w:r>
      <w:r w:rsidRPr="005144EC" w:rsidR="005B2148">
        <w:rPr>
          <w:rFonts w:eastAsia="Times New Roman" w:cs="Times New Roman"/>
          <w:color w:val="000000"/>
          <w:kern w:val="0"/>
          <w14:ligatures w14:val="none"/>
        </w:rPr>
        <w:t xml:space="preserve">legally </w:t>
      </w:r>
      <w:r w:rsidRPr="005144EC" w:rsidR="00BE666B">
        <w:rPr>
          <w:rFonts w:eastAsia="Times New Roman" w:cs="Times New Roman"/>
          <w:color w:val="000000"/>
          <w:kern w:val="0"/>
          <w14:ligatures w14:val="none"/>
        </w:rPr>
        <w:t xml:space="preserve">sufficient to make a defendant eligible for the upper term,” </w:t>
      </w:r>
      <w:r w:rsidRPr="005144EC" w:rsidR="005B2148">
        <w:rPr>
          <w:rFonts w:eastAsia="Times New Roman" w:cs="Times New Roman"/>
          <w:color w:val="000000"/>
          <w:kern w:val="0"/>
          <w14:ligatures w14:val="none"/>
        </w:rPr>
        <w:t xml:space="preserve">(some capitalization &amp; boldface omitted) </w:t>
      </w:r>
      <w:r w:rsidRPr="005144EC" w:rsidR="00BE666B">
        <w:rPr>
          <w:rFonts w:eastAsia="Times New Roman" w:cs="Times New Roman"/>
          <w:color w:val="000000"/>
          <w:kern w:val="0"/>
          <w14:ligatures w14:val="none"/>
        </w:rPr>
        <w:t xml:space="preserve">as was the law when </w:t>
      </w:r>
      <w:r w:rsidRPr="005144EC" w:rsidR="00BE666B">
        <w:rPr>
          <w:rFonts w:eastAsia="Times New Roman" w:cs="Times New Roman"/>
          <w:i/>
          <w:iCs/>
          <w:color w:val="000000"/>
          <w:kern w:val="0"/>
          <w14:ligatures w14:val="none"/>
        </w:rPr>
        <w:t xml:space="preserve">Apprendi </w:t>
      </w:r>
      <w:r w:rsidRPr="005144EC" w:rsidR="00BE666B">
        <w:rPr>
          <w:rFonts w:eastAsia="Times New Roman" w:cs="Times New Roman"/>
          <w:color w:val="000000"/>
          <w:kern w:val="0"/>
          <w14:ligatures w14:val="none"/>
        </w:rPr>
        <w:t xml:space="preserve">and </w:t>
      </w:r>
      <w:r w:rsidRPr="005144EC" w:rsidR="000E1451">
        <w:rPr>
          <w:rFonts w:eastAsia="Times New Roman" w:cs="Times New Roman"/>
          <w:i/>
          <w:iCs/>
          <w:color w:val="000000"/>
          <w:kern w:val="0"/>
          <w14:ligatures w14:val="none"/>
        </w:rPr>
        <w:t>B</w:t>
      </w:r>
      <w:r w:rsidRPr="005144EC" w:rsidR="00BE666B">
        <w:rPr>
          <w:rFonts w:eastAsia="Times New Roman" w:cs="Times New Roman"/>
          <w:i/>
          <w:iCs/>
          <w:color w:val="000000"/>
          <w:kern w:val="0"/>
          <w14:ligatures w14:val="none"/>
        </w:rPr>
        <w:t>lack</w:t>
      </w:r>
      <w:r w:rsidRPr="005144EC" w:rsidR="00AE1EE5">
        <w:rPr>
          <w:rFonts w:eastAsia="Times New Roman" w:cs="Times New Roman"/>
          <w:i/>
          <w:iCs/>
          <w:color w:val="000000"/>
          <w:kern w:val="0"/>
          <w14:ligatures w14:val="none"/>
        </w:rPr>
        <w:t xml:space="preserve"> II</w:t>
      </w:r>
      <w:r w:rsidRPr="005144EC" w:rsidR="00BE666B">
        <w:rPr>
          <w:rFonts w:eastAsia="Times New Roman" w:cs="Times New Roman"/>
          <w:i/>
          <w:iCs/>
          <w:color w:val="000000"/>
          <w:kern w:val="0"/>
          <w14:ligatures w14:val="none"/>
        </w:rPr>
        <w:t xml:space="preserve"> </w:t>
      </w:r>
      <w:r w:rsidRPr="005144EC" w:rsidR="00BE666B">
        <w:rPr>
          <w:rFonts w:eastAsia="Times New Roman" w:cs="Times New Roman"/>
          <w:color w:val="000000"/>
          <w:kern w:val="0"/>
          <w14:ligatures w14:val="none"/>
        </w:rPr>
        <w:t xml:space="preserve">were decided, and he points to the split in the </w:t>
      </w:r>
      <w:r w:rsidRPr="005144EC" w:rsidR="005B2148">
        <w:rPr>
          <w:rFonts w:eastAsia="Times New Roman" w:cs="Times New Roman"/>
          <w:color w:val="000000"/>
          <w:kern w:val="0"/>
          <w14:ligatures w14:val="none"/>
        </w:rPr>
        <w:t>C</w:t>
      </w:r>
      <w:r w:rsidRPr="005144EC" w:rsidR="00BE666B">
        <w:rPr>
          <w:rFonts w:eastAsia="Times New Roman" w:cs="Times New Roman"/>
          <w:color w:val="000000"/>
          <w:kern w:val="0"/>
          <w14:ligatures w14:val="none"/>
        </w:rPr>
        <w:t xml:space="preserve">ourts of </w:t>
      </w:r>
      <w:r w:rsidRPr="005144EC" w:rsidR="005B2148">
        <w:rPr>
          <w:rFonts w:eastAsia="Times New Roman" w:cs="Times New Roman"/>
          <w:color w:val="000000"/>
          <w:kern w:val="0"/>
          <w14:ligatures w14:val="none"/>
        </w:rPr>
        <w:t>A</w:t>
      </w:r>
      <w:r w:rsidRPr="005144EC" w:rsidR="00BE666B">
        <w:rPr>
          <w:rFonts w:eastAsia="Times New Roman" w:cs="Times New Roman"/>
          <w:color w:val="000000"/>
          <w:kern w:val="0"/>
          <w14:ligatures w14:val="none"/>
        </w:rPr>
        <w:t xml:space="preserve">ppeal as to the applicable standard for determining “harmlessness with regard to SB 567 error.”  </w:t>
      </w:r>
      <w:r w:rsidR="00D33463">
        <w:rPr>
          <w:rFonts w:eastAsia="Times New Roman" w:cs="Times New Roman"/>
          <w:color w:val="000000"/>
          <w:kern w:val="0"/>
          <w14:ligatures w14:val="none"/>
        </w:rPr>
        <w:t>I</w:t>
      </w:r>
      <w:r w:rsidRPr="005144EC" w:rsidR="00496C91">
        <w:rPr>
          <w:rFonts w:eastAsia="Times New Roman" w:cs="Times New Roman"/>
          <w:color w:val="000000"/>
          <w:kern w:val="0"/>
          <w14:ligatures w14:val="none"/>
        </w:rPr>
        <w:t xml:space="preserve">t is well established that the Courts of Appeal generally will not consider new </w:t>
      </w:r>
      <w:r w:rsidR="00D33463">
        <w:rPr>
          <w:rFonts w:eastAsia="Times New Roman" w:cs="Times New Roman"/>
          <w:color w:val="000000"/>
          <w:kern w:val="0"/>
          <w14:ligatures w14:val="none"/>
        </w:rPr>
        <w:t>arguments advanced f</w:t>
      </w:r>
      <w:r w:rsidRPr="005144EC" w:rsidR="00496C91">
        <w:rPr>
          <w:rFonts w:eastAsia="Times New Roman" w:cs="Times New Roman"/>
          <w:color w:val="000000"/>
          <w:kern w:val="0"/>
          <w14:ligatures w14:val="none"/>
        </w:rPr>
        <w:t>or the first time in a closing brief</w:t>
      </w:r>
      <w:r w:rsidR="00D33463">
        <w:rPr>
          <w:rFonts w:eastAsia="Times New Roman" w:cs="Times New Roman"/>
          <w:color w:val="000000"/>
          <w:kern w:val="0"/>
          <w14:ligatures w14:val="none"/>
        </w:rPr>
        <w:t>.</w:t>
      </w:r>
      <w:r w:rsidRPr="005144EC" w:rsidR="00496C91">
        <w:rPr>
          <w:rFonts w:eastAsia="Times New Roman" w:cs="Times New Roman"/>
          <w:color w:val="000000"/>
          <w:kern w:val="0"/>
          <w14:ligatures w14:val="none"/>
        </w:rPr>
        <w:t xml:space="preserve">  (See </w:t>
      </w:r>
      <w:r w:rsidRPr="005144EC" w:rsidR="00496C91">
        <w:rPr>
          <w:rFonts w:eastAsia="Times New Roman" w:cs="Times New Roman"/>
          <w:i/>
          <w:iCs/>
          <w:color w:val="3D3D3D"/>
          <w:kern w:val="0"/>
          <w:bdr w:val="none" w:sz="0" w:space="0" w:color="auto" w:frame="1"/>
          <w14:ligatures w14:val="none"/>
        </w:rPr>
        <w:t>People v. Rangel</w:t>
      </w:r>
      <w:r w:rsidRPr="005144EC" w:rsidR="00496C91">
        <w:rPr>
          <w:rFonts w:eastAsia="Times New Roman" w:cs="Times New Roman"/>
          <w:color w:val="000000"/>
          <w:kern w:val="0"/>
          <w14:ligatures w14:val="none"/>
        </w:rPr>
        <w:t xml:space="preserve"> (2016) 62 Cal.4th 1192, 1218–1219 (</w:t>
      </w:r>
      <w:r w:rsidRPr="005144EC" w:rsidR="00496C91">
        <w:rPr>
          <w:rFonts w:eastAsia="Times New Roman" w:cs="Times New Roman"/>
          <w:i/>
          <w:iCs/>
          <w:color w:val="000000"/>
          <w:kern w:val="0"/>
          <w14:ligatures w14:val="none"/>
        </w:rPr>
        <w:t>Rangel</w:t>
      </w:r>
      <w:r w:rsidRPr="005144EC" w:rsidR="00496C91">
        <w:rPr>
          <w:rFonts w:eastAsia="Times New Roman" w:cs="Times New Roman"/>
          <w:color w:val="000000"/>
          <w:kern w:val="0"/>
          <w14:ligatures w14:val="none"/>
        </w:rPr>
        <w:t xml:space="preserve">) [“ ‘[i]t is axiomatic that </w:t>
      </w:r>
      <w:r w:rsidRPr="005144EC" w:rsidR="00496C91">
        <w:rPr>
          <w:rFonts w:eastAsia="Times New Roman" w:cs="Times New Roman"/>
          <w:color w:val="000000"/>
          <w:kern w:val="0"/>
          <w:bdr w:val="none" w:sz="0" w:space="0" w:color="auto" w:frame="1"/>
          <w:shd w:val="clear" w:color="auto" w:fill="FFFFFF"/>
          <w14:ligatures w14:val="none"/>
        </w:rPr>
        <w:t>arguments</w:t>
      </w:r>
      <w:r w:rsidRPr="005144EC" w:rsidR="00496C91">
        <w:rPr>
          <w:rFonts w:eastAsia="Times New Roman" w:cs="Times New Roman"/>
          <w:color w:val="000000"/>
          <w:kern w:val="0"/>
          <w14:ligatures w14:val="none"/>
        </w:rPr>
        <w:t xml:space="preserve"> </w:t>
      </w:r>
      <w:r w:rsidRPr="005144EC" w:rsidR="00496C91">
        <w:rPr>
          <w:rFonts w:eastAsia="Times New Roman" w:cs="Times New Roman"/>
          <w:color w:val="000000"/>
          <w:kern w:val="0"/>
          <w:bdr w:val="none" w:sz="0" w:space="0" w:color="auto" w:frame="1"/>
          <w:shd w:val="clear" w:color="auto" w:fill="FFFFFF"/>
          <w14:ligatures w14:val="none"/>
        </w:rPr>
        <w:t>made</w:t>
      </w:r>
      <w:r w:rsidRPr="005144EC" w:rsidR="00496C91">
        <w:rPr>
          <w:rFonts w:eastAsia="Times New Roman" w:cs="Times New Roman"/>
          <w:color w:val="000000"/>
          <w:kern w:val="0"/>
          <w14:ligatures w14:val="none"/>
        </w:rPr>
        <w:t xml:space="preserve"> for the </w:t>
      </w:r>
      <w:r w:rsidRPr="005144EC" w:rsidR="00496C91">
        <w:rPr>
          <w:rFonts w:eastAsia="Times New Roman" w:cs="Times New Roman"/>
          <w:color w:val="000000"/>
          <w:kern w:val="0"/>
          <w:bdr w:val="none" w:sz="0" w:space="0" w:color="auto" w:frame="1"/>
          <w:shd w:val="clear" w:color="auto" w:fill="FFFFFF"/>
          <w14:ligatures w14:val="none"/>
        </w:rPr>
        <w:t>first</w:t>
      </w:r>
      <w:r w:rsidRPr="005144EC" w:rsidR="00496C91">
        <w:rPr>
          <w:rFonts w:eastAsia="Times New Roman" w:cs="Times New Roman"/>
          <w:color w:val="000000"/>
          <w:kern w:val="0"/>
          <w14:ligatures w14:val="none"/>
        </w:rPr>
        <w:t xml:space="preserve"> </w:t>
      </w:r>
      <w:r w:rsidRPr="005144EC" w:rsidR="00496C91">
        <w:rPr>
          <w:rFonts w:eastAsia="Times New Roman" w:cs="Times New Roman"/>
          <w:color w:val="000000"/>
          <w:kern w:val="0"/>
          <w:bdr w:val="none" w:sz="0" w:space="0" w:color="auto" w:frame="1"/>
          <w:shd w:val="clear" w:color="auto" w:fill="FFFFFF"/>
          <w14:ligatures w14:val="none"/>
        </w:rPr>
        <w:t>time</w:t>
      </w:r>
      <w:r w:rsidRPr="005144EC" w:rsidR="00496C91">
        <w:rPr>
          <w:rFonts w:eastAsia="Times New Roman" w:cs="Times New Roman"/>
          <w:color w:val="000000"/>
          <w:kern w:val="0"/>
          <w14:ligatures w14:val="none"/>
        </w:rPr>
        <w:t xml:space="preserve"> in a </w:t>
      </w:r>
      <w:r w:rsidRPr="005144EC" w:rsidR="00496C91">
        <w:rPr>
          <w:rFonts w:eastAsia="Times New Roman" w:cs="Times New Roman"/>
          <w:color w:val="000000"/>
          <w:kern w:val="0"/>
          <w:bdr w:val="none" w:sz="0" w:space="0" w:color="auto" w:frame="1"/>
          <w:shd w:val="clear" w:color="auto" w:fill="FFFFFF"/>
          <w14:ligatures w14:val="none"/>
        </w:rPr>
        <w:t>reply</w:t>
      </w:r>
      <w:r w:rsidRPr="005144EC" w:rsidR="00496C91">
        <w:rPr>
          <w:rFonts w:eastAsia="Times New Roman" w:cs="Times New Roman"/>
          <w:color w:val="000000"/>
          <w:kern w:val="0"/>
          <w14:ligatures w14:val="none"/>
        </w:rPr>
        <w:t xml:space="preserve"> </w:t>
      </w:r>
      <w:r w:rsidRPr="005144EC" w:rsidR="00496C91">
        <w:rPr>
          <w:rFonts w:eastAsia="Times New Roman" w:cs="Times New Roman"/>
          <w:color w:val="000000"/>
          <w:kern w:val="0"/>
          <w:bdr w:val="none" w:sz="0" w:space="0" w:color="auto" w:frame="1"/>
          <w:shd w:val="clear" w:color="auto" w:fill="FFFFFF"/>
          <w14:ligatures w14:val="none"/>
        </w:rPr>
        <w:t>brief</w:t>
      </w:r>
      <w:r w:rsidRPr="005144EC" w:rsidR="00496C91">
        <w:rPr>
          <w:rFonts w:eastAsia="Times New Roman" w:cs="Times New Roman"/>
          <w:color w:val="000000"/>
          <w:kern w:val="0"/>
          <w14:ligatures w14:val="none"/>
        </w:rPr>
        <w:t xml:space="preserve"> </w:t>
      </w:r>
      <w:r w:rsidRPr="005144EC" w:rsidR="00496C91">
        <w:rPr>
          <w:rFonts w:eastAsia="Times New Roman" w:cs="Times New Roman"/>
          <w:color w:val="000000"/>
          <w:kern w:val="0"/>
          <w:bdr w:val="none" w:sz="0" w:space="0" w:color="auto" w:frame="1"/>
          <w:shd w:val="clear" w:color="auto" w:fill="FFFFFF"/>
          <w14:ligatures w14:val="none"/>
        </w:rPr>
        <w:t>will</w:t>
      </w:r>
      <w:r w:rsidRPr="005144EC" w:rsidR="00496C91">
        <w:rPr>
          <w:rFonts w:eastAsia="Times New Roman" w:cs="Times New Roman"/>
          <w:color w:val="000000"/>
          <w:kern w:val="0"/>
          <w14:ligatures w14:val="none"/>
        </w:rPr>
        <w:t xml:space="preserve"> </w:t>
      </w:r>
      <w:r w:rsidRPr="005144EC" w:rsidR="00496C91">
        <w:rPr>
          <w:rFonts w:eastAsia="Times New Roman" w:cs="Times New Roman"/>
          <w:color w:val="000000"/>
          <w:kern w:val="0"/>
          <w:bdr w:val="none" w:sz="0" w:space="0" w:color="auto" w:frame="1"/>
          <w:shd w:val="clear" w:color="auto" w:fill="FFFFFF"/>
          <w14:ligatures w14:val="none"/>
        </w:rPr>
        <w:t>not</w:t>
      </w:r>
      <w:r w:rsidRPr="005144EC" w:rsidR="00496C91">
        <w:rPr>
          <w:rFonts w:eastAsia="Times New Roman" w:cs="Times New Roman"/>
          <w:color w:val="000000"/>
          <w:kern w:val="0"/>
          <w14:ligatures w14:val="none"/>
        </w:rPr>
        <w:t xml:space="preserve"> be entertained because of the unfairness to the other party’ ”]; </w:t>
      </w:r>
      <w:r w:rsidRPr="005144EC" w:rsidR="00496C91">
        <w:rPr>
          <w:rFonts w:eastAsia="Times New Roman" w:cs="Times New Roman"/>
          <w:i/>
          <w:iCs/>
          <w:color w:val="3D3D3D"/>
          <w:kern w:val="0"/>
          <w:bdr w:val="none" w:sz="0" w:space="0" w:color="auto" w:frame="1"/>
          <w14:ligatures w14:val="none"/>
        </w:rPr>
        <w:t>People v. Taylor</w:t>
      </w:r>
      <w:r w:rsidRPr="005144EC" w:rsidR="00496C91">
        <w:rPr>
          <w:rFonts w:eastAsia="Times New Roman" w:cs="Times New Roman"/>
          <w:color w:val="000000"/>
          <w:kern w:val="0"/>
          <w14:ligatures w14:val="none"/>
        </w:rPr>
        <w:t xml:space="preserve"> (2020) 43 Cal.App.5th 1102, 1114 [defendant forfeited arguments made for first time in reply brief].)</w:t>
      </w:r>
      <w:r>
        <w:rPr>
          <w:rStyle w:val="FootnoteReference"/>
          <w:rFonts w:eastAsia="Times New Roman" w:cs="Times New Roman"/>
          <w:color w:val="000000"/>
          <w:kern w:val="0"/>
          <w14:ligatures w14:val="none"/>
        </w:rPr>
        <w:footnoteReference w:id="13"/>
      </w:r>
    </w:p>
    <w:p w:rsidR="00F80502" w:rsidRPr="005144EC" w:rsidP="002F64AF" w14:paraId="58BFFC41" w14:textId="21A0EB10">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D33463">
        <w:rPr>
          <w:rFonts w:eastAsia="Times New Roman" w:cs="Times New Roman"/>
          <w:color w:val="000000"/>
          <w:kern w:val="0"/>
          <w14:ligatures w14:val="none"/>
        </w:rPr>
        <w:t xml:space="preserve">In any </w:t>
      </w:r>
      <w:r w:rsidR="00AA58C2">
        <w:rPr>
          <w:rFonts w:eastAsia="Times New Roman" w:cs="Times New Roman"/>
          <w:color w:val="000000"/>
          <w:kern w:val="0"/>
          <w14:ligatures w14:val="none"/>
        </w:rPr>
        <w:t>event</w:t>
      </w:r>
      <w:r w:rsidR="00D33463">
        <w:rPr>
          <w:rFonts w:eastAsia="Times New Roman" w:cs="Times New Roman"/>
          <w:color w:val="000000"/>
          <w:kern w:val="0"/>
          <w14:ligatures w14:val="none"/>
        </w:rPr>
        <w:t xml:space="preserve">, </w:t>
      </w:r>
      <w:r w:rsidR="00AA58C2">
        <w:rPr>
          <w:rFonts w:eastAsia="Times New Roman" w:cs="Times New Roman"/>
          <w:color w:val="000000"/>
          <w:kern w:val="0"/>
          <w14:ligatures w14:val="none"/>
        </w:rPr>
        <w:t>d</w:t>
      </w:r>
      <w:r w:rsidRPr="005144EC">
        <w:rPr>
          <w:rFonts w:eastAsia="Times New Roman" w:cs="Times New Roman"/>
          <w:color w:val="000000"/>
          <w:kern w:val="0"/>
          <w14:ligatures w14:val="none"/>
        </w:rPr>
        <w:t xml:space="preserve">efendant </w:t>
      </w:r>
      <w:r w:rsidRPr="005144EC" w:rsidR="007E35B9">
        <w:rPr>
          <w:rFonts w:eastAsia="Times New Roman" w:cs="Times New Roman"/>
          <w:color w:val="000000"/>
          <w:kern w:val="0"/>
          <w14:ligatures w14:val="none"/>
        </w:rPr>
        <w:t xml:space="preserve">cites no case holding that one factor in aggravation is </w:t>
      </w:r>
      <w:r w:rsidRPr="005144EC" w:rsidR="00FA35FB">
        <w:rPr>
          <w:rFonts w:eastAsia="Times New Roman" w:cs="Times New Roman"/>
          <w:i/>
          <w:iCs/>
          <w:color w:val="000000"/>
          <w:kern w:val="0"/>
          <w14:ligatures w14:val="none"/>
        </w:rPr>
        <w:t xml:space="preserve">never </w:t>
      </w:r>
      <w:r w:rsidRPr="005144EC" w:rsidR="007E35B9">
        <w:rPr>
          <w:rFonts w:eastAsia="Times New Roman" w:cs="Times New Roman"/>
          <w:color w:val="000000"/>
          <w:kern w:val="0"/>
          <w14:ligatures w14:val="none"/>
        </w:rPr>
        <w:t>sufficient to impose an upper term</w:t>
      </w:r>
      <w:r w:rsidRPr="005144EC" w:rsidR="00FA35FB">
        <w:rPr>
          <w:rFonts w:eastAsia="Times New Roman" w:cs="Times New Roman"/>
          <w:color w:val="000000"/>
          <w:kern w:val="0"/>
          <w14:ligatures w14:val="none"/>
        </w:rPr>
        <w:t xml:space="preserve">, even in a case like this one where the court found </w:t>
      </w:r>
      <w:r w:rsidRPr="005144EC" w:rsidR="00FA35FB">
        <w:rPr>
          <w:rFonts w:eastAsia="Times New Roman" w:cs="Times New Roman"/>
          <w:i/>
          <w:iCs/>
          <w:color w:val="000000"/>
          <w:kern w:val="0"/>
          <w14:ligatures w14:val="none"/>
        </w:rPr>
        <w:t xml:space="preserve">no </w:t>
      </w:r>
      <w:r w:rsidRPr="005144EC" w:rsidR="00FA35FB">
        <w:rPr>
          <w:rFonts w:eastAsia="Times New Roman" w:cs="Times New Roman"/>
          <w:color w:val="000000"/>
          <w:kern w:val="0"/>
          <w14:ligatures w14:val="none"/>
        </w:rPr>
        <w:t>factors in mitigation</w:t>
      </w:r>
      <w:r w:rsidRPr="005144EC" w:rsidR="007E35B9">
        <w:rPr>
          <w:rFonts w:eastAsia="Times New Roman" w:cs="Times New Roman"/>
          <w:color w:val="000000"/>
          <w:kern w:val="0"/>
          <w14:ligatures w14:val="none"/>
        </w:rPr>
        <w:t>.</w:t>
      </w:r>
      <w:r w:rsidRPr="005144EC" w:rsidR="00D6158B">
        <w:rPr>
          <w:rFonts w:eastAsia="Times New Roman" w:cs="Times New Roman"/>
          <w:color w:val="000000"/>
          <w:kern w:val="0"/>
          <w14:ligatures w14:val="none"/>
        </w:rPr>
        <w:t xml:space="preserve">  In fact, recent cases suggest the</w:t>
      </w:r>
      <w:r w:rsidR="00AA58C2">
        <w:rPr>
          <w:rFonts w:eastAsia="Times New Roman" w:cs="Times New Roman"/>
          <w:color w:val="000000"/>
          <w:kern w:val="0"/>
          <w14:ligatures w14:val="none"/>
        </w:rPr>
        <w:t xml:space="preserve"> law in this regard remains unchanged.  </w:t>
      </w:r>
      <w:r w:rsidRPr="005144EC" w:rsidR="00455F0A">
        <w:rPr>
          <w:rFonts w:eastAsia="Times New Roman" w:cs="Times New Roman"/>
          <w:color w:val="000000"/>
          <w:kern w:val="0"/>
          <w14:ligatures w14:val="none"/>
        </w:rPr>
        <w:t>(</w:t>
      </w:r>
      <w:r w:rsidRPr="005144EC" w:rsidR="00D6158B">
        <w:rPr>
          <w:rFonts w:eastAsia="Times New Roman" w:cs="Times New Roman"/>
          <w:color w:val="000000"/>
          <w:kern w:val="0"/>
          <w14:ligatures w14:val="none"/>
        </w:rPr>
        <w:t>See</w:t>
      </w:r>
      <w:r w:rsidRPr="005144EC" w:rsidR="00455F0A">
        <w:rPr>
          <w:rFonts w:eastAsia="Times New Roman" w:cs="Times New Roman"/>
          <w:color w:val="000000"/>
          <w:kern w:val="0"/>
          <w14:ligatures w14:val="none"/>
        </w:rPr>
        <w:t xml:space="preserve"> </w:t>
      </w:r>
      <w:r w:rsidRPr="005144EC" w:rsidR="00455F0A">
        <w:rPr>
          <w:rFonts w:eastAsia="Times New Roman" w:cs="Times New Roman"/>
          <w:i/>
          <w:iCs/>
          <w:color w:val="000000"/>
          <w:kern w:val="0"/>
          <w14:ligatures w14:val="none"/>
        </w:rPr>
        <w:t>Zepeda</w:t>
      </w:r>
      <w:r w:rsidRPr="005144EC" w:rsidR="00D6158B">
        <w:rPr>
          <w:rFonts w:eastAsia="Times New Roman" w:cs="Times New Roman"/>
          <w:i/>
          <w:iCs/>
          <w:color w:val="000000"/>
          <w:kern w:val="0"/>
          <w14:ligatures w14:val="none"/>
        </w:rPr>
        <w:t>, supra,</w:t>
      </w:r>
      <w:r w:rsidRPr="005144EC" w:rsidR="00455F0A">
        <w:rPr>
          <w:rFonts w:eastAsia="Times New Roman" w:cs="Times New Roman"/>
          <w:color w:val="000000"/>
          <w:kern w:val="0"/>
          <w14:ligatures w14:val="none"/>
        </w:rPr>
        <w:t xml:space="preserve"> </w:t>
      </w:r>
      <w:r w:rsidRPr="005144EC" w:rsidR="009C6DFF">
        <w:rPr>
          <w:rFonts w:eastAsia="Times New Roman" w:cs="Times New Roman"/>
          <w:color w:val="000000"/>
          <w:kern w:val="0"/>
          <w14:ligatures w14:val="none"/>
        </w:rPr>
        <w:t xml:space="preserve">97 </w:t>
      </w:r>
      <w:r w:rsidRPr="005144EC" w:rsidR="00455F0A">
        <w:rPr>
          <w:rFonts w:eastAsia="Times New Roman" w:cs="Times New Roman"/>
          <w:color w:val="000000"/>
          <w:kern w:val="0"/>
          <w14:ligatures w14:val="none"/>
        </w:rPr>
        <w:t>Cal.App.5th</w:t>
      </w:r>
      <w:r w:rsidRPr="005144EC" w:rsidR="00D6158B">
        <w:rPr>
          <w:rFonts w:eastAsia="Times New Roman" w:cs="Times New Roman"/>
          <w:color w:val="000000"/>
          <w:kern w:val="0"/>
          <w14:ligatures w14:val="none"/>
        </w:rPr>
        <w:t xml:space="preserve"> at p.</w:t>
      </w:r>
      <w:r w:rsidRPr="005144EC" w:rsidR="00455F0A">
        <w:rPr>
          <w:rFonts w:eastAsia="Times New Roman" w:cs="Times New Roman"/>
          <w:color w:val="000000"/>
          <w:kern w:val="0"/>
          <w14:ligatures w14:val="none"/>
        </w:rPr>
        <w:t xml:space="preserve"> </w:t>
      </w:r>
      <w:r w:rsidRPr="005144EC" w:rsidR="00945CD2">
        <w:rPr>
          <w:rFonts w:eastAsia="Times New Roman" w:cs="Times New Roman"/>
          <w:color w:val="000000"/>
          <w:kern w:val="0"/>
          <w14:ligatures w14:val="none"/>
        </w:rPr>
        <w:t xml:space="preserve">83 </w:t>
      </w:r>
      <w:r w:rsidRPr="005144EC" w:rsidR="00455F0A">
        <w:rPr>
          <w:rFonts w:eastAsia="Times New Roman" w:cs="Times New Roman"/>
          <w:color w:val="000000"/>
          <w:kern w:val="0"/>
          <w14:ligatures w14:val="none"/>
        </w:rPr>
        <w:t xml:space="preserve">[under amended statute, court “has no authority to impose an upper term sentence unless a jury has found </w:t>
      </w:r>
      <w:r w:rsidRPr="005144EC" w:rsidR="00455F0A">
        <w:rPr>
          <w:rFonts w:eastAsia="Times New Roman" w:cs="Times New Roman"/>
          <w:i/>
          <w:iCs/>
          <w:color w:val="000000"/>
          <w:kern w:val="0"/>
          <w14:ligatures w14:val="none"/>
        </w:rPr>
        <w:t xml:space="preserve">one </w:t>
      </w:r>
      <w:r w:rsidRPr="005144EC" w:rsidR="00455F0A">
        <w:rPr>
          <w:rFonts w:eastAsia="Times New Roman" w:cs="Times New Roman"/>
          <w:color w:val="000000"/>
          <w:kern w:val="0"/>
          <w14:ligatures w14:val="none"/>
        </w:rPr>
        <w:t>or more aggravating factors true beyond a reasonable doubt</w:t>
      </w:r>
      <w:r w:rsidRPr="005144EC" w:rsidR="00F308B2">
        <w:rPr>
          <w:rFonts w:eastAsia="Times New Roman" w:cs="Times New Roman"/>
          <w:color w:val="000000"/>
          <w:kern w:val="0"/>
          <w14:ligatures w14:val="none"/>
        </w:rPr>
        <w:t>,</w:t>
      </w:r>
      <w:r w:rsidRPr="005144EC" w:rsidR="00455F0A">
        <w:rPr>
          <w:rFonts w:eastAsia="Times New Roman" w:cs="Times New Roman"/>
          <w:color w:val="000000"/>
          <w:kern w:val="0"/>
          <w14:ligatures w14:val="none"/>
        </w:rPr>
        <w:t>”</w:t>
      </w:r>
      <w:r w:rsidRPr="005144EC" w:rsidR="00F308B2">
        <w:rPr>
          <w:rFonts w:eastAsia="Times New Roman" w:cs="Times New Roman"/>
          <w:color w:val="000000"/>
          <w:kern w:val="0"/>
          <w14:ligatures w14:val="none"/>
        </w:rPr>
        <w:t xml:space="preserve"> </w:t>
      </w:r>
      <w:r w:rsidRPr="005144EC" w:rsidR="00945CD2">
        <w:rPr>
          <w:rFonts w:eastAsia="Times New Roman" w:cs="Times New Roman"/>
          <w:color w:val="000000"/>
          <w:kern w:val="0"/>
          <w14:ligatures w14:val="none"/>
        </w:rPr>
        <w:t>(</w:t>
      </w:r>
      <w:r w:rsidRPr="005144EC" w:rsidR="00F308B2">
        <w:rPr>
          <w:rFonts w:eastAsia="Times New Roman" w:cs="Times New Roman"/>
          <w:color w:val="000000"/>
          <w:kern w:val="0"/>
          <w14:ligatures w14:val="none"/>
        </w:rPr>
        <w:t>italics added</w:t>
      </w:r>
      <w:r w:rsidRPr="005144EC" w:rsidR="00945CD2">
        <w:rPr>
          <w:rFonts w:eastAsia="Times New Roman" w:cs="Times New Roman"/>
          <w:color w:val="000000"/>
          <w:kern w:val="0"/>
          <w14:ligatures w14:val="none"/>
        </w:rPr>
        <w:t>)</w:t>
      </w:r>
      <w:r w:rsidRPr="005144EC" w:rsidR="00455F0A">
        <w:rPr>
          <w:rFonts w:eastAsia="Times New Roman" w:cs="Times New Roman"/>
          <w:color w:val="000000"/>
          <w:kern w:val="0"/>
          <w14:ligatures w14:val="none"/>
        </w:rPr>
        <w:t>]</w:t>
      </w:r>
      <w:r w:rsidRPr="005144EC" w:rsidR="00945CD2">
        <w:rPr>
          <w:rFonts w:eastAsia="Times New Roman" w:cs="Times New Roman"/>
          <w:color w:val="000000"/>
          <w:kern w:val="0"/>
          <w14:ligatures w14:val="none"/>
        </w:rPr>
        <w:t xml:space="preserve">; </w:t>
      </w:r>
      <w:r w:rsidRPr="005144EC" w:rsidR="00945CD2">
        <w:rPr>
          <w:rFonts w:eastAsia="Times New Roman" w:cs="Times New Roman"/>
          <w:i/>
          <w:iCs/>
          <w:color w:val="000000"/>
          <w:kern w:val="0"/>
          <w14:ligatures w14:val="none"/>
        </w:rPr>
        <w:t>id</w:t>
      </w:r>
      <w:r w:rsidRPr="005144EC" w:rsidR="00945CD2">
        <w:rPr>
          <w:rFonts w:eastAsia="Times New Roman" w:cs="Times New Roman"/>
          <w:color w:val="000000"/>
          <w:kern w:val="0"/>
          <w14:ligatures w14:val="none"/>
        </w:rPr>
        <w:t>., at p. 86</w:t>
      </w:r>
      <w:r w:rsidRPr="005144EC" w:rsidR="00455F0A">
        <w:rPr>
          <w:rFonts w:eastAsia="Times New Roman" w:cs="Times New Roman"/>
          <w:color w:val="000000"/>
          <w:kern w:val="0"/>
          <w14:ligatures w14:val="none"/>
        </w:rPr>
        <w:t xml:space="preserve"> [“a judge lacks</w:t>
      </w:r>
      <w:r w:rsidRPr="005144EC" w:rsidR="00945CD2">
        <w:rPr>
          <w:rFonts w:eastAsia="Times New Roman" w:cs="Times New Roman"/>
          <w:color w:val="000000"/>
          <w:kern w:val="0"/>
          <w14:ligatures w14:val="none"/>
        </w:rPr>
        <w:t xml:space="preserve"> the</w:t>
      </w:r>
      <w:r w:rsidRPr="005144EC" w:rsidR="00455F0A">
        <w:rPr>
          <w:rFonts w:eastAsia="Times New Roman" w:cs="Times New Roman"/>
          <w:color w:val="000000"/>
          <w:kern w:val="0"/>
          <w14:ligatures w14:val="none"/>
        </w:rPr>
        <w:t xml:space="preserve"> authority to impose an upper-term sentence in the absence of a jury finding of </w:t>
      </w:r>
      <w:r w:rsidRPr="005144EC" w:rsidR="00455F0A">
        <w:rPr>
          <w:rFonts w:eastAsia="Times New Roman" w:cs="Times New Roman"/>
          <w:i/>
          <w:iCs/>
          <w:color w:val="000000"/>
          <w:kern w:val="0"/>
          <w14:ligatures w14:val="none"/>
        </w:rPr>
        <w:t xml:space="preserve">one </w:t>
      </w:r>
      <w:r w:rsidRPr="005144EC" w:rsidR="00455F0A">
        <w:rPr>
          <w:rFonts w:eastAsia="Times New Roman" w:cs="Times New Roman"/>
          <w:color w:val="000000"/>
          <w:kern w:val="0"/>
          <w14:ligatures w14:val="none"/>
        </w:rPr>
        <w:t>or more aggravating factors</w:t>
      </w:r>
      <w:r w:rsidRPr="005144EC">
        <w:rPr>
          <w:rFonts w:eastAsia="Times New Roman" w:cs="Times New Roman"/>
          <w:color w:val="000000"/>
          <w:kern w:val="0"/>
          <w14:ligatures w14:val="none"/>
        </w:rPr>
        <w:t>,</w:t>
      </w:r>
      <w:r w:rsidRPr="005144EC" w:rsidR="00455F0A">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sidR="00945CD2">
        <w:rPr>
          <w:rFonts w:eastAsia="Times New Roman" w:cs="Times New Roman"/>
          <w:color w:val="000000"/>
          <w:kern w:val="0"/>
          <w14:ligatures w14:val="none"/>
        </w:rPr>
        <w:t>(</w:t>
      </w:r>
      <w:r w:rsidRPr="005144EC">
        <w:rPr>
          <w:rFonts w:eastAsia="Times New Roman" w:cs="Times New Roman"/>
          <w:color w:val="000000"/>
          <w:kern w:val="0"/>
          <w14:ligatures w14:val="none"/>
        </w:rPr>
        <w:t>italics added</w:t>
      </w:r>
      <w:r w:rsidRPr="005144EC" w:rsidR="00945CD2">
        <w:rPr>
          <w:rFonts w:eastAsia="Times New Roman" w:cs="Times New Roman"/>
          <w:color w:val="000000"/>
          <w:kern w:val="0"/>
          <w14:ligatures w14:val="none"/>
        </w:rPr>
        <w:t>)</w:t>
      </w:r>
      <w:r w:rsidRPr="005144EC" w:rsidR="00455F0A">
        <w:rPr>
          <w:rFonts w:eastAsia="Times New Roman" w:cs="Times New Roman"/>
          <w:color w:val="000000"/>
          <w:kern w:val="0"/>
          <w14:ligatures w14:val="none"/>
        </w:rPr>
        <w:t>]</w:t>
      </w:r>
      <w:r w:rsidRPr="005144EC" w:rsidR="00D6158B">
        <w:rPr>
          <w:rFonts w:eastAsia="Times New Roman" w:cs="Times New Roman"/>
          <w:color w:val="000000"/>
          <w:kern w:val="0"/>
          <w14:ligatures w14:val="none"/>
        </w:rPr>
        <w:t xml:space="preserve">; </w:t>
      </w:r>
      <w:r w:rsidRPr="005144EC" w:rsidR="00D6158B">
        <w:rPr>
          <w:rFonts w:eastAsia="Times New Roman" w:cs="Times New Roman"/>
          <w:i/>
          <w:iCs/>
          <w:color w:val="000000"/>
          <w:kern w:val="0"/>
          <w14:ligatures w14:val="none"/>
        </w:rPr>
        <w:t>Achane</w:t>
      </w:r>
      <w:r w:rsidRPr="005144EC" w:rsidR="000A1576">
        <w:rPr>
          <w:rFonts w:eastAsia="Times New Roman" w:cs="Times New Roman"/>
          <w:i/>
          <w:iCs/>
          <w:color w:val="000000"/>
          <w:kern w:val="0"/>
          <w14:ligatures w14:val="none"/>
        </w:rPr>
        <w:t xml:space="preserve">, supra, </w:t>
      </w:r>
      <w:r w:rsidRPr="005144EC" w:rsidR="00D6158B">
        <w:rPr>
          <w:rFonts w:eastAsia="Times New Roman" w:cs="Times New Roman"/>
          <w:color w:val="000000"/>
          <w:kern w:val="0"/>
          <w14:ligatures w14:val="none"/>
        </w:rPr>
        <w:t xml:space="preserve">92 Cal.App.5th </w:t>
      </w:r>
      <w:r w:rsidRPr="005144EC" w:rsidR="000A1576">
        <w:rPr>
          <w:rFonts w:eastAsia="Times New Roman" w:cs="Times New Roman"/>
          <w:color w:val="000000"/>
          <w:kern w:val="0"/>
          <w14:ligatures w14:val="none"/>
        </w:rPr>
        <w:t>at p.</w:t>
      </w:r>
      <w:r w:rsidRPr="005144EC" w:rsidR="00945CD2">
        <w:rPr>
          <w:rFonts w:eastAsia="Times New Roman" w:cs="Times New Roman"/>
          <w:color w:val="000000"/>
          <w:kern w:val="0"/>
          <w14:ligatures w14:val="none"/>
        </w:rPr>
        <w:t> </w:t>
      </w:r>
      <w:r w:rsidRPr="005144EC" w:rsidR="00D6158B">
        <w:rPr>
          <w:rFonts w:eastAsia="Times New Roman" w:cs="Times New Roman"/>
          <w:color w:val="000000"/>
          <w:kern w:val="0"/>
          <w14:ligatures w14:val="none"/>
        </w:rPr>
        <w:t>1044</w:t>
      </w:r>
      <w:r w:rsidRPr="005144EC" w:rsidR="00F308B2">
        <w:rPr>
          <w:rFonts w:eastAsia="Times New Roman" w:cs="Times New Roman"/>
          <w:color w:val="000000"/>
          <w:kern w:val="0"/>
          <w14:ligatures w14:val="none"/>
        </w:rPr>
        <w:t xml:space="preserve"> </w:t>
      </w:r>
      <w:r w:rsidRPr="005144EC" w:rsidR="00D6158B">
        <w:rPr>
          <w:rFonts w:eastAsia="Times New Roman" w:cs="Times New Roman"/>
          <w:color w:val="000000"/>
          <w:kern w:val="0"/>
          <w14:ligatures w14:val="none"/>
        </w:rPr>
        <w:t xml:space="preserve">[“trial court on remand can again impose the upper term if at least </w:t>
      </w:r>
      <w:r w:rsidRPr="005144EC" w:rsidR="00D6158B">
        <w:rPr>
          <w:rFonts w:eastAsia="Times New Roman" w:cs="Times New Roman"/>
          <w:i/>
          <w:iCs/>
          <w:color w:val="000000"/>
          <w:kern w:val="0"/>
          <w14:ligatures w14:val="none"/>
        </w:rPr>
        <w:t xml:space="preserve">one </w:t>
      </w:r>
      <w:r w:rsidRPr="005144EC" w:rsidR="00D6158B">
        <w:rPr>
          <w:rFonts w:eastAsia="Times New Roman" w:cs="Times New Roman"/>
          <w:color w:val="000000"/>
          <w:kern w:val="0"/>
          <w14:ligatures w14:val="none"/>
        </w:rPr>
        <w:t xml:space="preserve">aggravating </w:t>
      </w:r>
      <w:r w:rsidRPr="005144EC" w:rsidR="00945CD2">
        <w:rPr>
          <w:rFonts w:eastAsia="Times New Roman" w:cs="Times New Roman"/>
          <w:color w:val="000000"/>
          <w:kern w:val="0"/>
          <w14:ligatures w14:val="none"/>
        </w:rPr>
        <w:t>factor</w:t>
      </w:r>
      <w:r w:rsidRPr="005144EC" w:rsidR="00D6158B">
        <w:rPr>
          <w:rFonts w:eastAsia="Times New Roman" w:cs="Times New Roman"/>
          <w:color w:val="000000"/>
          <w:kern w:val="0"/>
          <w14:ligatures w14:val="none"/>
        </w:rPr>
        <w:t xml:space="preserve"> is properly established by admission, finding beyond a reasonable doubt or certified record of conviction</w:t>
      </w:r>
      <w:r w:rsidRPr="005144EC">
        <w:rPr>
          <w:rFonts w:eastAsia="Times New Roman" w:cs="Times New Roman"/>
          <w:color w:val="000000"/>
          <w:kern w:val="0"/>
          <w14:ligatures w14:val="none"/>
        </w:rPr>
        <w:t>,</w:t>
      </w:r>
      <w:r w:rsidRPr="005144EC" w:rsidR="00D6158B">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sidR="00945CD2">
        <w:rPr>
          <w:rFonts w:eastAsia="Times New Roman" w:cs="Times New Roman"/>
          <w:color w:val="000000"/>
          <w:kern w:val="0"/>
          <w14:ligatures w14:val="none"/>
        </w:rPr>
        <w:t>(</w:t>
      </w:r>
      <w:r w:rsidRPr="005144EC">
        <w:rPr>
          <w:rFonts w:eastAsia="Times New Roman" w:cs="Times New Roman"/>
          <w:color w:val="000000"/>
          <w:kern w:val="0"/>
          <w14:ligatures w14:val="none"/>
        </w:rPr>
        <w:t>italics added</w:t>
      </w:r>
      <w:r w:rsidRPr="005144EC" w:rsidR="00945CD2">
        <w:rPr>
          <w:rFonts w:eastAsia="Times New Roman" w:cs="Times New Roman"/>
          <w:color w:val="000000"/>
          <w:kern w:val="0"/>
          <w14:ligatures w14:val="none"/>
        </w:rPr>
        <w:t>)</w:t>
      </w:r>
      <w:r w:rsidRPr="005144EC" w:rsidR="00D6158B">
        <w:rPr>
          <w:rFonts w:eastAsia="Times New Roman" w:cs="Times New Roman"/>
          <w:color w:val="000000"/>
          <w:kern w:val="0"/>
          <w14:ligatures w14:val="none"/>
        </w:rPr>
        <w:t>].)</w:t>
      </w:r>
    </w:p>
    <w:p w:rsidR="00F308B2" w:rsidRPr="005144EC" w:rsidP="00F308B2" w14:paraId="2068C00B" w14:textId="0B0C32AE">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sidR="007E35B9">
        <w:rPr>
          <w:rFonts w:eastAsia="Times New Roman" w:cs="Times New Roman"/>
          <w:color w:val="000000"/>
          <w:kern w:val="0"/>
          <w14:ligatures w14:val="none"/>
        </w:rPr>
        <w:t xml:space="preserve">Nor does the </w:t>
      </w:r>
      <w:r w:rsidR="00AA58C2">
        <w:rPr>
          <w:rFonts w:eastAsia="Times New Roman" w:cs="Times New Roman"/>
          <w:color w:val="000000"/>
          <w:kern w:val="0"/>
          <w14:ligatures w14:val="none"/>
        </w:rPr>
        <w:t xml:space="preserve">language of the </w:t>
      </w:r>
      <w:r w:rsidRPr="005144EC" w:rsidR="007E35B9">
        <w:rPr>
          <w:rFonts w:eastAsia="Times New Roman" w:cs="Times New Roman"/>
          <w:color w:val="000000"/>
          <w:kern w:val="0"/>
          <w14:ligatures w14:val="none"/>
        </w:rPr>
        <w:t xml:space="preserve">amended statute </w:t>
      </w:r>
      <w:r w:rsidR="00AA58C2">
        <w:rPr>
          <w:rFonts w:eastAsia="Times New Roman" w:cs="Times New Roman"/>
          <w:color w:val="000000"/>
          <w:kern w:val="0"/>
          <w14:ligatures w14:val="none"/>
        </w:rPr>
        <w:t>foreclose reliance on a single aggravating factor in an appropriate case.</w:t>
      </w:r>
      <w:r>
        <w:rPr>
          <w:rStyle w:val="FootnoteReference"/>
          <w:rFonts w:eastAsia="Times New Roman" w:cs="Times New Roman"/>
          <w:color w:val="000000"/>
          <w:kern w:val="0"/>
          <w14:ligatures w14:val="none"/>
        </w:rPr>
        <w:footnoteReference w:id="14"/>
      </w:r>
      <w:r w:rsidRPr="005144EC">
        <w:rPr>
          <w:rFonts w:eastAsia="Times New Roman" w:cs="Times New Roman"/>
          <w:color w:val="000000"/>
          <w:kern w:val="0"/>
          <w14:ligatures w14:val="none"/>
        </w:rPr>
        <w:t xml:space="preserve">  </w:t>
      </w:r>
      <w:r w:rsidRPr="005144EC" w:rsidR="00667EC2">
        <w:rPr>
          <w:rFonts w:eastAsia="Times New Roman" w:cs="Times New Roman"/>
          <w:color w:val="000000"/>
          <w:kern w:val="0"/>
          <w14:ligatures w14:val="none"/>
        </w:rPr>
        <w:t xml:space="preserve">When speaking of </w:t>
      </w:r>
      <w:r w:rsidR="00AA58C2">
        <w:rPr>
          <w:rFonts w:eastAsia="Times New Roman" w:cs="Times New Roman"/>
          <w:color w:val="000000"/>
          <w:kern w:val="0"/>
          <w14:ligatures w14:val="none"/>
        </w:rPr>
        <w:t xml:space="preserve">a sentencing </w:t>
      </w:r>
      <w:r w:rsidRPr="005144EC" w:rsidR="00667EC2">
        <w:rPr>
          <w:rFonts w:eastAsia="Times New Roman" w:cs="Times New Roman"/>
          <w:color w:val="000000"/>
          <w:kern w:val="0"/>
          <w14:ligatures w14:val="none"/>
        </w:rPr>
        <w:t>court’s discretion to impose the upper term, section 1170</w:t>
      </w:r>
      <w:r w:rsidR="00276849">
        <w:rPr>
          <w:rFonts w:eastAsia="Times New Roman" w:cs="Times New Roman"/>
          <w:color w:val="000000"/>
          <w:kern w:val="0"/>
          <w14:ligatures w14:val="none"/>
        </w:rPr>
        <w:t>, subdivisions (b)(1) through (3) require that aggravating facts either be admitted, found by the trier of fact beyond a reasonable doubt, or established by certified cop</w:t>
      </w:r>
      <w:r w:rsidR="00FE2410">
        <w:rPr>
          <w:rFonts w:eastAsia="Times New Roman" w:cs="Times New Roman"/>
          <w:color w:val="000000"/>
          <w:kern w:val="0"/>
          <w14:ligatures w14:val="none"/>
        </w:rPr>
        <w:t xml:space="preserve">y and </w:t>
      </w:r>
      <w:r w:rsidR="00276849">
        <w:rPr>
          <w:rFonts w:eastAsia="Times New Roman" w:cs="Times New Roman"/>
          <w:color w:val="000000"/>
          <w:kern w:val="0"/>
          <w14:ligatures w14:val="none"/>
        </w:rPr>
        <w:t>provide that a</w:t>
      </w:r>
      <w:r w:rsidRPr="005144EC" w:rsidR="00667EC2">
        <w:rPr>
          <w:rFonts w:eastAsia="Times New Roman" w:cs="Times New Roman"/>
          <w:color w:val="000000"/>
          <w:kern w:val="0"/>
          <w14:ligatures w14:val="none"/>
        </w:rPr>
        <w:t xml:space="preserve"> </w:t>
      </w:r>
      <w:r w:rsidR="00276849">
        <w:rPr>
          <w:rFonts w:eastAsia="Times New Roman" w:cs="Times New Roman"/>
          <w:color w:val="000000"/>
          <w:kern w:val="0"/>
          <w14:ligatures w14:val="none"/>
        </w:rPr>
        <w:t xml:space="preserve">sentencing </w:t>
      </w:r>
      <w:r w:rsidRPr="005144EC" w:rsidR="00667EC2">
        <w:rPr>
          <w:rFonts w:eastAsia="Times New Roman" w:cs="Times New Roman"/>
          <w:color w:val="000000"/>
          <w:kern w:val="0"/>
          <w14:ligatures w14:val="none"/>
        </w:rPr>
        <w:t xml:space="preserve">court may impose the upper term “only when there are circumstances in aggravation of the crime that justify the imposition of a term of imprisonment exceeding the middle term . . . .”  </w:t>
      </w:r>
      <w:r w:rsidRPr="005144EC" w:rsidR="00945CD2">
        <w:rPr>
          <w:rFonts w:eastAsia="Times New Roman" w:cs="Times New Roman"/>
          <w:color w:val="000000"/>
          <w:kern w:val="0"/>
          <w14:ligatures w14:val="none"/>
        </w:rPr>
        <w:t>(</w:t>
      </w:r>
      <w:r w:rsidRPr="005144EC" w:rsidR="002E114F">
        <w:t>§ 1170, subd. (b)</w:t>
      </w:r>
      <w:r w:rsidRPr="005144EC" w:rsidR="00945CD2">
        <w:rPr>
          <w:rFonts w:eastAsia="Times New Roman" w:cs="Times New Roman"/>
          <w:color w:val="000000"/>
          <w:kern w:val="0"/>
          <w14:ligatures w14:val="none"/>
        </w:rPr>
        <w:t xml:space="preserve">.)  </w:t>
      </w:r>
      <w:r w:rsidRPr="005144EC" w:rsidR="009F17FD">
        <w:rPr>
          <w:rFonts w:eastAsia="Times New Roman" w:cs="Times New Roman"/>
          <w:color w:val="000000"/>
          <w:kern w:val="0"/>
          <w14:ligatures w14:val="none"/>
        </w:rPr>
        <w:t xml:space="preserve">Thus, by its plain terms, </w:t>
      </w:r>
      <w:r w:rsidR="00276849">
        <w:rPr>
          <w:rFonts w:eastAsia="Times New Roman" w:cs="Times New Roman"/>
          <w:color w:val="000000"/>
          <w:kern w:val="0"/>
          <w14:ligatures w14:val="none"/>
        </w:rPr>
        <w:t xml:space="preserve">the amended language </w:t>
      </w:r>
      <w:r w:rsidRPr="005144EC" w:rsidR="00276849">
        <w:rPr>
          <w:rFonts w:eastAsia="Times New Roman" w:cs="Times New Roman"/>
          <w:color w:val="000000"/>
          <w:kern w:val="0"/>
          <w14:ligatures w14:val="none"/>
        </w:rPr>
        <w:t>create</w:t>
      </w:r>
      <w:r w:rsidR="00276849">
        <w:rPr>
          <w:rFonts w:eastAsia="Times New Roman" w:cs="Times New Roman"/>
          <w:color w:val="000000"/>
          <w:kern w:val="0"/>
          <w14:ligatures w14:val="none"/>
        </w:rPr>
        <w:t>s</w:t>
      </w:r>
      <w:r w:rsidRPr="005144EC" w:rsidR="00276849">
        <w:rPr>
          <w:rFonts w:eastAsia="Times New Roman" w:cs="Times New Roman"/>
          <w:color w:val="000000"/>
          <w:kern w:val="0"/>
          <w14:ligatures w14:val="none"/>
        </w:rPr>
        <w:t xml:space="preserve"> a rule limiting a trial court’s discretion to impose the upper term in cases where no aggravating factor has been proven beyond a reasonable doubt</w:t>
      </w:r>
      <w:r w:rsidR="002E114F">
        <w:rPr>
          <w:rFonts w:eastAsia="Times New Roman" w:cs="Times New Roman"/>
          <w:color w:val="000000"/>
          <w:kern w:val="0"/>
          <w14:ligatures w14:val="none"/>
        </w:rPr>
        <w:t xml:space="preserve">, </w:t>
      </w:r>
      <w:r w:rsidRPr="005144EC" w:rsidR="00276849">
        <w:rPr>
          <w:rFonts w:eastAsia="Times New Roman" w:cs="Times New Roman"/>
          <w:color w:val="000000"/>
          <w:kern w:val="0"/>
          <w14:ligatures w14:val="none"/>
        </w:rPr>
        <w:t>stipulated to by the defendant</w:t>
      </w:r>
      <w:r w:rsidR="002E114F">
        <w:rPr>
          <w:rFonts w:eastAsia="Times New Roman" w:cs="Times New Roman"/>
          <w:color w:val="000000"/>
          <w:kern w:val="0"/>
          <w14:ligatures w14:val="none"/>
        </w:rPr>
        <w:t>, or established by certified record</w:t>
      </w:r>
      <w:r w:rsidRPr="005144EC" w:rsidR="00276849">
        <w:rPr>
          <w:rFonts w:eastAsia="Times New Roman" w:cs="Times New Roman"/>
          <w:color w:val="000000"/>
          <w:kern w:val="0"/>
          <w14:ligatures w14:val="none"/>
        </w:rPr>
        <w:t xml:space="preserve">. </w:t>
      </w:r>
      <w:r w:rsidR="002E114F">
        <w:rPr>
          <w:rFonts w:eastAsia="Times New Roman" w:cs="Times New Roman"/>
          <w:color w:val="000000"/>
          <w:kern w:val="0"/>
          <w14:ligatures w14:val="none"/>
        </w:rPr>
        <w:t xml:space="preserve"> It does not </w:t>
      </w:r>
      <w:r w:rsidRPr="005144EC" w:rsidR="009F17FD">
        <w:rPr>
          <w:rFonts w:eastAsia="Times New Roman" w:cs="Times New Roman"/>
          <w:color w:val="000000"/>
          <w:kern w:val="0"/>
          <w14:ligatures w14:val="none"/>
        </w:rPr>
        <w:t xml:space="preserve">establish </w:t>
      </w:r>
      <w:r w:rsidRPr="005144EC" w:rsidR="00667EC2">
        <w:rPr>
          <w:rFonts w:eastAsia="Times New Roman" w:cs="Times New Roman"/>
          <w:color w:val="000000"/>
          <w:kern w:val="0"/>
          <w14:ligatures w14:val="none"/>
        </w:rPr>
        <w:t>a</w:t>
      </w:r>
      <w:r w:rsidRPr="005144EC" w:rsidR="009F17FD">
        <w:rPr>
          <w:rFonts w:eastAsia="Times New Roman" w:cs="Times New Roman"/>
          <w:color w:val="000000"/>
          <w:kern w:val="0"/>
          <w14:ligatures w14:val="none"/>
        </w:rPr>
        <w:t>ny</w:t>
      </w:r>
      <w:r w:rsidRPr="005144EC" w:rsidR="00667EC2">
        <w:rPr>
          <w:rFonts w:eastAsia="Times New Roman" w:cs="Times New Roman"/>
          <w:color w:val="000000"/>
          <w:kern w:val="0"/>
          <w14:ligatures w14:val="none"/>
        </w:rPr>
        <w:t xml:space="preserve"> presumption </w:t>
      </w:r>
      <w:r w:rsidR="002E114F">
        <w:rPr>
          <w:rFonts w:eastAsia="Times New Roman" w:cs="Times New Roman"/>
          <w:color w:val="000000"/>
          <w:kern w:val="0"/>
          <w14:ligatures w14:val="none"/>
        </w:rPr>
        <w:t xml:space="preserve">as to how </w:t>
      </w:r>
      <w:r w:rsidRPr="005144EC" w:rsidR="00667EC2">
        <w:rPr>
          <w:rFonts w:eastAsia="Times New Roman" w:cs="Times New Roman"/>
          <w:color w:val="000000"/>
          <w:kern w:val="0"/>
          <w14:ligatures w14:val="none"/>
        </w:rPr>
        <w:t xml:space="preserve">a </w:t>
      </w:r>
      <w:r w:rsidR="00FE2410">
        <w:rPr>
          <w:rFonts w:eastAsia="Times New Roman" w:cs="Times New Roman"/>
          <w:color w:val="000000"/>
          <w:kern w:val="0"/>
          <w14:ligatures w14:val="none"/>
        </w:rPr>
        <w:t xml:space="preserve">sentencing </w:t>
      </w:r>
      <w:r w:rsidRPr="005144EC" w:rsidR="00667EC2">
        <w:rPr>
          <w:rFonts w:eastAsia="Times New Roman" w:cs="Times New Roman"/>
          <w:color w:val="000000"/>
          <w:kern w:val="0"/>
          <w14:ligatures w14:val="none"/>
        </w:rPr>
        <w:t xml:space="preserve">court must exercise its discretion </w:t>
      </w:r>
      <w:r w:rsidR="002E114F">
        <w:rPr>
          <w:rFonts w:eastAsia="Times New Roman" w:cs="Times New Roman"/>
          <w:color w:val="000000"/>
          <w:kern w:val="0"/>
          <w14:ligatures w14:val="none"/>
        </w:rPr>
        <w:t xml:space="preserve">within these bounds.  Moreover, given the silence of the statute in this regard, we must presume the Legislature left </w:t>
      </w:r>
      <w:r w:rsidRPr="005144EC" w:rsidR="00667EC2">
        <w:rPr>
          <w:rFonts w:eastAsia="Times New Roman" w:cs="Times New Roman"/>
          <w:color w:val="000000"/>
          <w:kern w:val="0"/>
          <w14:ligatures w14:val="none"/>
        </w:rPr>
        <w:t xml:space="preserve">unchanged a </w:t>
      </w:r>
      <w:r w:rsidR="002E114F">
        <w:rPr>
          <w:rFonts w:eastAsia="Times New Roman" w:cs="Times New Roman"/>
          <w:color w:val="000000"/>
          <w:kern w:val="0"/>
          <w14:ligatures w14:val="none"/>
        </w:rPr>
        <w:t xml:space="preserve">sentencing </w:t>
      </w:r>
      <w:r w:rsidRPr="005144EC" w:rsidR="00667EC2">
        <w:rPr>
          <w:rFonts w:eastAsia="Times New Roman" w:cs="Times New Roman"/>
          <w:color w:val="000000"/>
          <w:kern w:val="0"/>
          <w14:ligatures w14:val="none"/>
        </w:rPr>
        <w:t xml:space="preserve">court’s </w:t>
      </w:r>
      <w:r w:rsidR="00FE2410">
        <w:rPr>
          <w:rFonts w:eastAsia="Times New Roman" w:cs="Times New Roman"/>
          <w:color w:val="000000"/>
          <w:kern w:val="0"/>
          <w14:ligatures w14:val="none"/>
        </w:rPr>
        <w:t xml:space="preserve">well </w:t>
      </w:r>
      <w:r w:rsidRPr="005144EC" w:rsidR="00C841AE">
        <w:rPr>
          <w:rFonts w:eastAsia="Times New Roman" w:cs="Times New Roman"/>
          <w:color w:val="000000"/>
          <w:kern w:val="0"/>
          <w14:ligatures w14:val="none"/>
        </w:rPr>
        <w:t xml:space="preserve">established </w:t>
      </w:r>
      <w:r w:rsidRPr="005144EC" w:rsidR="00667EC2">
        <w:rPr>
          <w:rFonts w:eastAsia="Times New Roman" w:cs="Times New Roman"/>
          <w:color w:val="000000"/>
          <w:kern w:val="0"/>
          <w14:ligatures w14:val="none"/>
        </w:rPr>
        <w:t>discretion to impose</w:t>
      </w:r>
      <w:r w:rsidR="00FE2410">
        <w:rPr>
          <w:rFonts w:eastAsia="Times New Roman" w:cs="Times New Roman"/>
          <w:color w:val="000000"/>
          <w:kern w:val="0"/>
          <w14:ligatures w14:val="none"/>
        </w:rPr>
        <w:t>, in an appropriate case,</w:t>
      </w:r>
      <w:r w:rsidRPr="005144EC" w:rsidR="00667EC2">
        <w:rPr>
          <w:rFonts w:eastAsia="Times New Roman" w:cs="Times New Roman"/>
          <w:color w:val="000000"/>
          <w:kern w:val="0"/>
          <w14:ligatures w14:val="none"/>
        </w:rPr>
        <w:t xml:space="preserve"> </w:t>
      </w:r>
      <w:r w:rsidR="00FE2410">
        <w:rPr>
          <w:rFonts w:eastAsia="Times New Roman" w:cs="Times New Roman"/>
          <w:color w:val="000000"/>
          <w:kern w:val="0"/>
          <w14:ligatures w14:val="none"/>
        </w:rPr>
        <w:t>the</w:t>
      </w:r>
      <w:r w:rsidRPr="005144EC" w:rsidR="00667EC2">
        <w:rPr>
          <w:rFonts w:eastAsia="Times New Roman" w:cs="Times New Roman"/>
          <w:color w:val="000000"/>
          <w:kern w:val="0"/>
          <w14:ligatures w14:val="none"/>
        </w:rPr>
        <w:t xml:space="preserve"> upper term of imprisonment </w:t>
      </w:r>
      <w:r w:rsidR="00FE2410">
        <w:rPr>
          <w:rFonts w:eastAsia="Times New Roman" w:cs="Times New Roman"/>
          <w:color w:val="000000"/>
          <w:kern w:val="0"/>
          <w14:ligatures w14:val="none"/>
        </w:rPr>
        <w:t>on the basis of a s</w:t>
      </w:r>
      <w:r w:rsidRPr="005144EC" w:rsidR="00667EC2">
        <w:rPr>
          <w:rFonts w:eastAsia="Times New Roman" w:cs="Times New Roman"/>
          <w:color w:val="000000"/>
          <w:kern w:val="0"/>
          <w14:ligatures w14:val="none"/>
        </w:rPr>
        <w:t>ingle aggravating factor</w:t>
      </w:r>
      <w:r w:rsidR="00FE2410">
        <w:rPr>
          <w:rFonts w:eastAsia="Times New Roman" w:cs="Times New Roman"/>
          <w:color w:val="000000"/>
          <w:kern w:val="0"/>
          <w14:ligatures w14:val="none"/>
        </w:rPr>
        <w:t xml:space="preserve">. </w:t>
      </w:r>
      <w:r w:rsidRPr="005144EC" w:rsidR="00667EC2">
        <w:rPr>
          <w:rFonts w:eastAsia="Times New Roman" w:cs="Times New Roman"/>
          <w:color w:val="000000"/>
          <w:kern w:val="0"/>
          <w14:ligatures w14:val="none"/>
        </w:rPr>
        <w:t xml:space="preserve"> (</w:t>
      </w:r>
      <w:r w:rsidR="00FE2410">
        <w:rPr>
          <w:rFonts w:eastAsia="Times New Roman" w:cs="Times New Roman"/>
          <w:color w:val="000000"/>
          <w:kern w:val="0"/>
          <w14:ligatures w14:val="none"/>
        </w:rPr>
        <w:t>S</w:t>
      </w:r>
      <w:r w:rsidRPr="005144EC" w:rsidR="00667EC2">
        <w:rPr>
          <w:rFonts w:eastAsia="Times New Roman" w:cs="Times New Roman"/>
          <w:color w:val="000000"/>
          <w:kern w:val="0"/>
          <w14:ligatures w14:val="none"/>
        </w:rPr>
        <w:t>ee</w:t>
      </w:r>
      <w:r w:rsidR="00FE2410">
        <w:rPr>
          <w:rFonts w:eastAsia="Times New Roman" w:cs="Times New Roman"/>
          <w:color w:val="000000"/>
          <w:kern w:val="0"/>
          <w14:ligatures w14:val="none"/>
        </w:rPr>
        <w:t xml:space="preserve"> </w:t>
      </w:r>
      <w:r w:rsidRPr="005144EC" w:rsidR="00FE2410">
        <w:rPr>
          <w:rFonts w:eastAsia="Times New Roman" w:cs="Times New Roman"/>
          <w:i/>
          <w:iCs/>
          <w:color w:val="000000"/>
          <w:kern w:val="0"/>
          <w14:ligatures w14:val="none"/>
        </w:rPr>
        <w:t>People v. Osband</w:t>
      </w:r>
      <w:r w:rsidRPr="005144EC" w:rsidR="00FE2410">
        <w:rPr>
          <w:rFonts w:eastAsia="Times New Roman" w:cs="Times New Roman"/>
          <w:color w:val="000000"/>
          <w:kern w:val="0"/>
          <w14:ligatures w14:val="none"/>
        </w:rPr>
        <w:t xml:space="preserve"> (1996) 13 Cal.4th 622, 728 [“[o]nly a single aggravating factor is required to impose the upper term”]</w:t>
      </w:r>
      <w:r w:rsidR="00FE2410">
        <w:rPr>
          <w:rFonts w:eastAsia="Times New Roman" w:cs="Times New Roman"/>
          <w:color w:val="000000"/>
          <w:kern w:val="0"/>
          <w14:ligatures w14:val="none"/>
        </w:rPr>
        <w:t>;</w:t>
      </w:r>
      <w:r w:rsidRPr="005144EC" w:rsidR="00667EC2">
        <w:rPr>
          <w:rFonts w:eastAsia="Times New Roman" w:cs="Times New Roman"/>
          <w:color w:val="000000"/>
          <w:kern w:val="0"/>
          <w14:ligatures w14:val="none"/>
        </w:rPr>
        <w:t xml:space="preserve"> </w:t>
      </w:r>
      <w:r w:rsidRPr="005144EC" w:rsidR="00667EC2">
        <w:rPr>
          <w:rFonts w:eastAsia="Times New Roman" w:cs="Times New Roman"/>
          <w:i/>
          <w:iCs/>
          <w:color w:val="000000"/>
          <w:kern w:val="0"/>
          <w14:ligatures w14:val="none"/>
        </w:rPr>
        <w:t>People v. Nicolas</w:t>
      </w:r>
      <w:r w:rsidRPr="005144EC" w:rsidR="00667EC2">
        <w:rPr>
          <w:rFonts w:eastAsia="Times New Roman" w:cs="Times New Roman"/>
          <w:color w:val="000000"/>
          <w:kern w:val="0"/>
          <w14:ligatures w14:val="none"/>
        </w:rPr>
        <w:t xml:space="preserve"> (2017) 8 Cal.App.5th 1165, 1182;</w:t>
      </w:r>
      <w:r w:rsidR="00FE2410">
        <w:rPr>
          <w:rFonts w:eastAsia="Times New Roman" w:cs="Times New Roman"/>
          <w:color w:val="000000"/>
          <w:kern w:val="0"/>
          <w14:ligatures w14:val="none"/>
        </w:rPr>
        <w:t xml:space="preserve"> see generally </w:t>
      </w:r>
      <w:r w:rsidRPr="005144EC" w:rsidR="00667EC2">
        <w:rPr>
          <w:rFonts w:eastAsia="Times New Roman" w:cs="Times New Roman"/>
          <w:i/>
          <w:iCs/>
          <w:color w:val="000000"/>
          <w:kern w:val="0"/>
          <w14:ligatures w14:val="none"/>
        </w:rPr>
        <w:t>People v. Castaneda</w:t>
      </w:r>
      <w:r w:rsidRPr="005144EC" w:rsidR="00667EC2">
        <w:rPr>
          <w:rFonts w:eastAsia="Times New Roman" w:cs="Times New Roman"/>
          <w:color w:val="000000"/>
          <w:kern w:val="0"/>
          <w14:ligatures w14:val="none"/>
        </w:rPr>
        <w:t xml:space="preserve"> (1999) 75</w:t>
      </w:r>
      <w:r w:rsidRPr="005144EC" w:rsidR="00873D9C">
        <w:rPr>
          <w:rFonts w:eastAsia="Times New Roman" w:cs="Times New Roman"/>
          <w:color w:val="000000"/>
          <w:kern w:val="0"/>
          <w14:ligatures w14:val="none"/>
        </w:rPr>
        <w:t> </w:t>
      </w:r>
      <w:r w:rsidRPr="005144EC" w:rsidR="00667EC2">
        <w:rPr>
          <w:rFonts w:eastAsia="Times New Roman" w:cs="Times New Roman"/>
          <w:color w:val="000000"/>
          <w:kern w:val="0"/>
          <w14:ligatures w14:val="none"/>
        </w:rPr>
        <w:t>Cal.App.4th 611, 614 [“A judge’s subjective determination of the value of a case and the appropriate aggregate sentence, based on the judge</w:t>
      </w:r>
      <w:r w:rsidRPr="005144EC" w:rsidR="00873D9C">
        <w:rPr>
          <w:rFonts w:eastAsia="Times New Roman" w:cs="Times New Roman"/>
          <w:color w:val="000000"/>
          <w:kern w:val="0"/>
          <w14:ligatures w14:val="none"/>
        </w:rPr>
        <w:t>’</w:t>
      </w:r>
      <w:r w:rsidRPr="005144EC" w:rsidR="00667EC2">
        <w:rPr>
          <w:rFonts w:eastAsia="Times New Roman" w:cs="Times New Roman"/>
          <w:color w:val="000000"/>
          <w:kern w:val="0"/>
          <w14:ligatures w14:val="none"/>
        </w:rPr>
        <w:t>s experiences with prior cases and the record in the defendant</w:t>
      </w:r>
      <w:r w:rsidRPr="005144EC" w:rsidR="00873D9C">
        <w:rPr>
          <w:rFonts w:eastAsia="Times New Roman" w:cs="Times New Roman"/>
          <w:color w:val="000000"/>
          <w:kern w:val="0"/>
          <w14:ligatures w14:val="none"/>
        </w:rPr>
        <w:t>’</w:t>
      </w:r>
      <w:r w:rsidRPr="005144EC" w:rsidR="00667EC2">
        <w:rPr>
          <w:rFonts w:eastAsia="Times New Roman" w:cs="Times New Roman"/>
          <w:color w:val="000000"/>
          <w:kern w:val="0"/>
          <w14:ligatures w14:val="none"/>
        </w:rPr>
        <w:t xml:space="preserve">s case, cannot be ignored. </w:t>
      </w:r>
      <w:r w:rsidRPr="005144EC" w:rsidR="00873D9C">
        <w:rPr>
          <w:rFonts w:eastAsia="Times New Roman" w:cs="Times New Roman"/>
          <w:color w:val="000000"/>
          <w:kern w:val="0"/>
          <w14:ligatures w14:val="none"/>
        </w:rPr>
        <w:t xml:space="preserve"> </w:t>
      </w:r>
      <w:r w:rsidRPr="005144EC" w:rsidR="00667EC2">
        <w:rPr>
          <w:rFonts w:eastAsia="Times New Roman" w:cs="Times New Roman"/>
          <w:color w:val="000000"/>
          <w:kern w:val="0"/>
          <w14:ligatures w14:val="none"/>
        </w:rPr>
        <w:t xml:space="preserve">A judge’s subjective belief regarding the length of the sentence to be imposed is not improper as long as it is channeled by the guided discretion outlined in the myriad of statutory sentencing criteria”]).  Thus, reading section 1170, subdivision (b)(1) through (3) in the context of the law existing at the time of its enactment, as we are required to do, </w:t>
      </w:r>
      <w:r w:rsidRPr="005144EC" w:rsidR="00C841AE">
        <w:rPr>
          <w:rFonts w:eastAsia="Times New Roman" w:cs="Times New Roman"/>
          <w:color w:val="000000"/>
          <w:kern w:val="0"/>
          <w14:ligatures w14:val="none"/>
        </w:rPr>
        <w:t xml:space="preserve">we discern no change in the law that </w:t>
      </w:r>
      <w:r w:rsidRPr="005144EC" w:rsidR="00667EC2">
        <w:rPr>
          <w:rFonts w:eastAsia="Times New Roman" w:cs="Times New Roman"/>
          <w:color w:val="000000"/>
          <w:kern w:val="0"/>
          <w14:ligatures w14:val="none"/>
        </w:rPr>
        <w:t xml:space="preserve">one aggravating circumstance </w:t>
      </w:r>
      <w:r w:rsidR="00FE2410">
        <w:rPr>
          <w:rFonts w:eastAsia="Times New Roman" w:cs="Times New Roman"/>
          <w:color w:val="000000"/>
          <w:kern w:val="0"/>
          <w14:ligatures w14:val="none"/>
        </w:rPr>
        <w:t xml:space="preserve">can </w:t>
      </w:r>
      <w:r w:rsidRPr="005144EC" w:rsidR="00667EC2">
        <w:rPr>
          <w:rFonts w:eastAsia="Times New Roman" w:cs="Times New Roman"/>
          <w:color w:val="000000"/>
          <w:kern w:val="0"/>
          <w14:ligatures w14:val="none"/>
        </w:rPr>
        <w:t>justify imposition of the upper term</w:t>
      </w:r>
      <w:r w:rsidRPr="005144EC" w:rsidR="00C841AE">
        <w:rPr>
          <w:rFonts w:eastAsia="Times New Roman" w:cs="Times New Roman"/>
          <w:color w:val="000000"/>
          <w:kern w:val="0"/>
          <w14:ligatures w14:val="none"/>
        </w:rPr>
        <w:t xml:space="preserve">, </w:t>
      </w:r>
      <w:r w:rsidRPr="005144EC" w:rsidR="00C841AE">
        <w:rPr>
          <w:rFonts w:eastAsia="Times New Roman" w:cs="Times New Roman"/>
          <w:i/>
          <w:iCs/>
          <w:color w:val="000000"/>
          <w:kern w:val="0"/>
          <w14:ligatures w14:val="none"/>
        </w:rPr>
        <w:t xml:space="preserve">particularly </w:t>
      </w:r>
      <w:r w:rsidRPr="005144EC" w:rsidR="00C841AE">
        <w:rPr>
          <w:rFonts w:eastAsia="Times New Roman" w:cs="Times New Roman"/>
          <w:color w:val="000000"/>
          <w:kern w:val="0"/>
          <w14:ligatures w14:val="none"/>
        </w:rPr>
        <w:t xml:space="preserve">in a case, like this one, where the trial court finds </w:t>
      </w:r>
      <w:r w:rsidRPr="005144EC" w:rsidR="00C841AE">
        <w:rPr>
          <w:rFonts w:eastAsia="Times New Roman" w:cs="Times New Roman"/>
          <w:i/>
          <w:iCs/>
          <w:color w:val="000000"/>
          <w:kern w:val="0"/>
          <w14:ligatures w14:val="none"/>
        </w:rPr>
        <w:t xml:space="preserve">no </w:t>
      </w:r>
      <w:r w:rsidRPr="005144EC" w:rsidR="00C841AE">
        <w:rPr>
          <w:rFonts w:eastAsia="Times New Roman" w:cs="Times New Roman"/>
          <w:color w:val="000000"/>
          <w:kern w:val="0"/>
          <w14:ligatures w14:val="none"/>
        </w:rPr>
        <w:t>mitigating factors</w:t>
      </w:r>
      <w:r w:rsidRPr="005144EC" w:rsidR="00400AD5">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p>
    <w:p w:rsidR="00FE2410" w:rsidP="00330EA7" w14:paraId="129ACE0E" w14:textId="77777777">
      <w:r w:rsidRPr="005144EC">
        <w:tab/>
      </w:r>
      <w:r w:rsidRPr="005144EC" w:rsidR="002B5F03">
        <w:t xml:space="preserve">In his closing brief, defendant </w:t>
      </w:r>
      <w:r w:rsidRPr="005144EC" w:rsidR="000640F8">
        <w:t xml:space="preserve">also </w:t>
      </w:r>
      <w:r w:rsidRPr="005144EC" w:rsidR="002B5F03">
        <w:t>points to comments by Justice Li</w:t>
      </w:r>
      <w:r w:rsidRPr="005144EC" w:rsidR="005E27D9">
        <w:t>u</w:t>
      </w:r>
      <w:r w:rsidRPr="005144EC" w:rsidR="002B5F03">
        <w:t xml:space="preserve"> in concurring in the denial of review in </w:t>
      </w:r>
      <w:r w:rsidRPr="005144EC" w:rsidR="002B5F03">
        <w:rPr>
          <w:i/>
          <w:iCs/>
        </w:rPr>
        <w:t>People v. Flores</w:t>
      </w:r>
      <w:r w:rsidRPr="005144EC" w:rsidR="00AE4DF8">
        <w:rPr>
          <w:i/>
          <w:iCs/>
        </w:rPr>
        <w:t xml:space="preserve"> </w:t>
      </w:r>
      <w:r w:rsidRPr="005144EC" w:rsidR="002B5F03">
        <w:t xml:space="preserve">(S274232, </w:t>
      </w:r>
      <w:r w:rsidRPr="005144EC" w:rsidR="005B2148">
        <w:t>June 15, 20</w:t>
      </w:r>
      <w:r w:rsidRPr="005144EC" w:rsidR="002B5F03">
        <w:t>22) in which Justice Li</w:t>
      </w:r>
      <w:r w:rsidRPr="005144EC" w:rsidR="005E27D9">
        <w:t>u</w:t>
      </w:r>
      <w:r w:rsidRPr="005144EC" w:rsidR="002B5F03">
        <w:t xml:space="preserve"> observed “it may no longer be true” that an upper term can be imposed on the basis of a single aggravating factor.</w:t>
      </w:r>
      <w:r>
        <w:rPr>
          <w:rStyle w:val="FootnoteReference"/>
        </w:rPr>
        <w:footnoteReference w:id="15"/>
      </w:r>
      <w:r w:rsidRPr="005144EC" w:rsidR="002B5F03">
        <w:t xml:space="preserve">  Again, we generally will not consider an </w:t>
      </w:r>
      <w:r>
        <w:t xml:space="preserve">argument made </w:t>
      </w:r>
      <w:r w:rsidRPr="005144EC" w:rsidR="002B5F03">
        <w:t>for the first time in a reply brief</w:t>
      </w:r>
      <w:r>
        <w:t xml:space="preserve">.  Moreover, </w:t>
      </w:r>
      <w:r w:rsidRPr="005144EC" w:rsidR="002B5F03">
        <w:t>until the high court so holds, we will follow existing precedent.</w:t>
      </w:r>
      <w:r w:rsidRPr="005144EC" w:rsidR="000A589C">
        <w:t xml:space="preserve">  </w:t>
      </w:r>
      <w:r w:rsidRPr="005144EC" w:rsidR="00C841AE">
        <w:t xml:space="preserve">We </w:t>
      </w:r>
      <w:r>
        <w:t xml:space="preserve">also </w:t>
      </w:r>
      <w:r w:rsidRPr="005144EC" w:rsidR="00C841AE">
        <w:t>point out</w:t>
      </w:r>
      <w:r>
        <w:t xml:space="preserve"> </w:t>
      </w:r>
      <w:r w:rsidRPr="005144EC" w:rsidR="00C841AE">
        <w:t xml:space="preserve">that </w:t>
      </w:r>
      <w:r w:rsidRPr="005144EC" w:rsidR="000A589C">
        <w:t>Justice Liu</w:t>
      </w:r>
      <w:r w:rsidRPr="005144EC" w:rsidR="00BE2550">
        <w:t xml:space="preserve">’s comment included the </w:t>
      </w:r>
      <w:r w:rsidRPr="005144EC" w:rsidR="00C841AE">
        <w:t xml:space="preserve">additional </w:t>
      </w:r>
      <w:r w:rsidRPr="005144EC" w:rsidR="00BE2550">
        <w:t xml:space="preserve">observation that </w:t>
      </w:r>
      <w:r w:rsidRPr="005144EC" w:rsidR="000A589C">
        <w:t>“it appears a defendant is subject to an upper term sentence only if the aggravating circumstances are sufficient to ‘justify the imposition’ of that term under all of the circumstances, which may include evidence both in aggravation and in mitigation.”  (</w:t>
      </w:r>
      <w:r w:rsidRPr="005144EC" w:rsidR="000A589C">
        <w:rPr>
          <w:i/>
          <w:iCs/>
        </w:rPr>
        <w:t>Ibid</w:t>
      </w:r>
      <w:r w:rsidRPr="005144EC" w:rsidR="000A589C">
        <w:t>.</w:t>
      </w:r>
      <w:r w:rsidRPr="005144EC" w:rsidR="00873D9C">
        <w:t>, (conc. opn. of Liu, J.)</w:t>
      </w:r>
      <w:r w:rsidRPr="005144EC" w:rsidR="000A589C">
        <w:t xml:space="preserve">)  </w:t>
      </w:r>
      <w:r w:rsidRPr="005144EC" w:rsidR="00C841AE">
        <w:t>The instant case presents a different scenario</w:t>
      </w:r>
      <w:r w:rsidRPr="005144EC" w:rsidR="00F308B2">
        <w:t>,</w:t>
      </w:r>
      <w:r w:rsidRPr="005144EC" w:rsidR="00C841AE">
        <w:t xml:space="preserve"> as here </w:t>
      </w:r>
      <w:r w:rsidRPr="005144EC">
        <w:t>the trial court found no</w:t>
      </w:r>
      <w:r w:rsidRPr="005144EC">
        <w:rPr>
          <w:i/>
          <w:iCs/>
        </w:rPr>
        <w:t xml:space="preserve"> </w:t>
      </w:r>
      <w:r w:rsidRPr="005144EC" w:rsidR="00C841AE">
        <w:t xml:space="preserve">factors in </w:t>
      </w:r>
      <w:r w:rsidRPr="005144EC">
        <w:t>mitigati</w:t>
      </w:r>
      <w:r w:rsidRPr="005144EC" w:rsidR="00C841AE">
        <w:t>on.</w:t>
      </w:r>
      <w:r w:rsidRPr="005144EC" w:rsidR="00873D9C">
        <w:t xml:space="preserve">  </w:t>
      </w:r>
    </w:p>
    <w:p w:rsidR="00330EA7" w:rsidRPr="005144EC" w:rsidP="00330EA7" w14:paraId="200B132D" w14:textId="6B75FD29">
      <w:pPr>
        <w:rPr>
          <w:rFonts w:eastAsia="Times New Roman" w:cs="Times New Roman"/>
          <w:color w:val="000000"/>
          <w:kern w:val="0"/>
          <w14:ligatures w14:val="none"/>
        </w:rPr>
      </w:pPr>
      <w:r>
        <w:tab/>
      </w:r>
      <w:r w:rsidRPr="005144EC" w:rsidR="00FA35FB">
        <w:rPr>
          <w:rFonts w:eastAsia="Times New Roman" w:cs="Times New Roman"/>
          <w:color w:val="000000"/>
          <w:kern w:val="0"/>
          <w14:ligatures w14:val="none"/>
        </w:rPr>
        <w:t>Furthermore</w:t>
      </w:r>
      <w:r w:rsidRPr="005144EC" w:rsidR="00CD6117">
        <w:rPr>
          <w:rFonts w:eastAsia="Times New Roman" w:cs="Times New Roman"/>
          <w:color w:val="000000"/>
          <w:kern w:val="0"/>
          <w14:ligatures w14:val="none"/>
        </w:rPr>
        <w:t xml:space="preserve">, </w:t>
      </w:r>
      <w:r w:rsidRPr="005144EC" w:rsidR="002B03BF">
        <w:rPr>
          <w:rFonts w:eastAsia="Times New Roman" w:cs="Times New Roman"/>
          <w:color w:val="000000"/>
          <w:kern w:val="0"/>
          <w14:ligatures w14:val="none"/>
        </w:rPr>
        <w:t xml:space="preserve">as we have discussed, </w:t>
      </w:r>
      <w:r w:rsidRPr="005144EC" w:rsidR="00BE666B">
        <w:rPr>
          <w:rFonts w:eastAsia="Times New Roman" w:cs="Times New Roman"/>
          <w:color w:val="000000"/>
          <w:kern w:val="0"/>
          <w14:ligatures w14:val="none"/>
        </w:rPr>
        <w:t xml:space="preserve">defendant confined his opening brief to a claim of </w:t>
      </w:r>
      <w:r w:rsidRPr="005144EC" w:rsidR="00BE666B">
        <w:rPr>
          <w:rFonts w:eastAsia="Times New Roman" w:cs="Times New Roman"/>
          <w:i/>
          <w:iCs/>
          <w:color w:val="000000"/>
          <w:kern w:val="0"/>
          <w14:ligatures w14:val="none"/>
        </w:rPr>
        <w:t xml:space="preserve">constitutional </w:t>
      </w:r>
      <w:r w:rsidRPr="005144EC" w:rsidR="00BE666B">
        <w:rPr>
          <w:rFonts w:eastAsia="Times New Roman" w:cs="Times New Roman"/>
          <w:color w:val="000000"/>
          <w:kern w:val="0"/>
          <w14:ligatures w14:val="none"/>
        </w:rPr>
        <w:t xml:space="preserve">error, i.e., that his Sixth Amendment right to jury trial </w:t>
      </w:r>
      <w:r w:rsidRPr="005144EC" w:rsidR="00B50DBA">
        <w:rPr>
          <w:rFonts w:eastAsia="Times New Roman" w:cs="Times New Roman"/>
          <w:color w:val="000000"/>
          <w:kern w:val="0"/>
          <w14:ligatures w14:val="none"/>
        </w:rPr>
        <w:t xml:space="preserve">had been violated by </w:t>
      </w:r>
      <w:r w:rsidRPr="005144EC" w:rsidR="00BE666B">
        <w:rPr>
          <w:rFonts w:eastAsia="Times New Roman" w:cs="Times New Roman"/>
          <w:color w:val="000000"/>
          <w:kern w:val="0"/>
          <w14:ligatures w14:val="none"/>
        </w:rPr>
        <w:t xml:space="preserve">imposition of the upper term.  He </w:t>
      </w:r>
      <w:r w:rsidRPr="005144EC" w:rsidR="00B50DBA">
        <w:rPr>
          <w:rFonts w:eastAsia="Times New Roman" w:cs="Times New Roman"/>
          <w:color w:val="000000"/>
          <w:kern w:val="0"/>
          <w14:ligatures w14:val="none"/>
        </w:rPr>
        <w:t xml:space="preserve">made no claim </w:t>
      </w:r>
      <w:r w:rsidRPr="005144EC" w:rsidR="00B14232">
        <w:rPr>
          <w:rFonts w:eastAsia="Times New Roman" w:cs="Times New Roman"/>
          <w:color w:val="000000"/>
          <w:kern w:val="0"/>
          <w14:ligatures w14:val="none"/>
        </w:rPr>
        <w:t xml:space="preserve">that </w:t>
      </w:r>
      <w:r w:rsidRPr="005144EC" w:rsidR="00BE666B">
        <w:rPr>
          <w:rFonts w:eastAsia="Times New Roman" w:cs="Times New Roman"/>
          <w:color w:val="000000"/>
          <w:kern w:val="0"/>
          <w14:ligatures w14:val="none"/>
        </w:rPr>
        <w:t xml:space="preserve">any additional </w:t>
      </w:r>
      <w:r w:rsidRPr="005144EC" w:rsidR="00BE666B">
        <w:rPr>
          <w:rFonts w:eastAsia="Times New Roman" w:cs="Times New Roman"/>
          <w:i/>
          <w:iCs/>
          <w:color w:val="000000"/>
          <w:kern w:val="0"/>
          <w14:ligatures w14:val="none"/>
        </w:rPr>
        <w:t xml:space="preserve">statutory </w:t>
      </w:r>
      <w:r w:rsidRPr="005144EC" w:rsidR="00BE666B">
        <w:rPr>
          <w:rFonts w:eastAsia="Times New Roman" w:cs="Times New Roman"/>
          <w:color w:val="000000"/>
          <w:kern w:val="0"/>
          <w14:ligatures w14:val="none"/>
        </w:rPr>
        <w:t>right</w:t>
      </w:r>
      <w:r w:rsidRPr="005144EC" w:rsidR="00CD6117">
        <w:rPr>
          <w:rFonts w:eastAsia="Times New Roman" w:cs="Times New Roman"/>
          <w:color w:val="000000"/>
          <w:kern w:val="0"/>
          <w14:ligatures w14:val="none"/>
        </w:rPr>
        <w:t>s</w:t>
      </w:r>
      <w:r w:rsidRPr="005144EC" w:rsidR="00BE666B">
        <w:rPr>
          <w:rFonts w:eastAsia="Times New Roman" w:cs="Times New Roman"/>
          <w:color w:val="000000"/>
          <w:kern w:val="0"/>
          <w14:ligatures w14:val="none"/>
        </w:rPr>
        <w:t xml:space="preserve"> set forth in amended section 1170 w</w:t>
      </w:r>
      <w:r w:rsidRPr="005144EC" w:rsidR="00B14232">
        <w:rPr>
          <w:rFonts w:eastAsia="Times New Roman" w:cs="Times New Roman"/>
          <w:color w:val="000000"/>
          <w:kern w:val="0"/>
          <w14:ligatures w14:val="none"/>
        </w:rPr>
        <w:t>ere</w:t>
      </w:r>
      <w:r w:rsidRPr="005144EC" w:rsidR="00BE666B">
        <w:rPr>
          <w:rFonts w:eastAsia="Times New Roman" w:cs="Times New Roman"/>
          <w:color w:val="000000"/>
          <w:kern w:val="0"/>
          <w14:ligatures w14:val="none"/>
        </w:rPr>
        <w:t xml:space="preserve"> violated</w:t>
      </w:r>
      <w:r w:rsidRPr="005144EC" w:rsidR="00AC6397">
        <w:rPr>
          <w:rFonts w:eastAsia="Times New Roman" w:cs="Times New Roman"/>
          <w:color w:val="000000"/>
          <w:kern w:val="0"/>
          <w14:ligatures w14:val="none"/>
        </w:rPr>
        <w:t>.  (</w:t>
      </w:r>
      <w:r w:rsidRPr="005144EC" w:rsidR="00AC6397">
        <w:t xml:space="preserve">See generally </w:t>
      </w:r>
      <w:r w:rsidRPr="005144EC" w:rsidR="00AC6397">
        <w:rPr>
          <w:rFonts w:eastAsia="Times New Roman" w:cs="Times New Roman"/>
          <w:i/>
          <w:iCs/>
          <w:color w:val="3D3D3D"/>
          <w:kern w:val="0"/>
          <w:bdr w:val="none" w:sz="0" w:space="0" w:color="auto" w:frame="1"/>
          <w14:ligatures w14:val="none"/>
        </w:rPr>
        <w:t xml:space="preserve">French, supra, </w:t>
      </w:r>
      <w:r w:rsidRPr="005144EC" w:rsidR="00AC6397">
        <w:rPr>
          <w:rFonts w:eastAsia="Times New Roman" w:cs="Times New Roman"/>
          <w:color w:val="000000"/>
          <w:kern w:val="0"/>
          <w14:ligatures w14:val="none"/>
        </w:rPr>
        <w:t>43</w:t>
      </w:r>
      <w:r w:rsidR="00911EE5">
        <w:rPr>
          <w:rFonts w:eastAsia="Times New Roman" w:cs="Times New Roman"/>
          <w:color w:val="000000"/>
          <w:kern w:val="0"/>
          <w14:ligatures w14:val="none"/>
        </w:rPr>
        <w:t> </w:t>
      </w:r>
      <w:r w:rsidRPr="005144EC" w:rsidR="00AC6397">
        <w:rPr>
          <w:rFonts w:eastAsia="Times New Roman" w:cs="Times New Roman"/>
          <w:color w:val="000000"/>
          <w:kern w:val="0"/>
          <w14:ligatures w14:val="none"/>
        </w:rPr>
        <w:t xml:space="preserve">Cal.4th at pp. </w:t>
      </w:r>
      <w:r w:rsidRPr="005144EC" w:rsidR="00B14232">
        <w:rPr>
          <w:rFonts w:eastAsia="Times New Roman" w:cs="Times New Roman"/>
          <w:color w:val="000000"/>
          <w:kern w:val="0"/>
          <w14:ligatures w14:val="none"/>
        </w:rPr>
        <w:t>46</w:t>
      </w:r>
      <w:r w:rsidRPr="005144EC" w:rsidR="00762A27">
        <w:rPr>
          <w:rFonts w:eastAsia="Times New Roman" w:cs="Times New Roman"/>
          <w:color w:val="000000"/>
          <w:kern w:val="0"/>
          <w14:ligatures w14:val="none"/>
        </w:rPr>
        <w:t>–</w:t>
      </w:r>
      <w:r w:rsidRPr="005144EC" w:rsidR="00B14232">
        <w:rPr>
          <w:rFonts w:eastAsia="Times New Roman" w:cs="Times New Roman"/>
          <w:color w:val="000000"/>
          <w:kern w:val="0"/>
          <w14:ligatures w14:val="none"/>
        </w:rPr>
        <w:t>48 [discussing distinction between constitutional and statutory right</w:t>
      </w:r>
      <w:r w:rsidRPr="005144EC" w:rsidR="00E57B4D">
        <w:rPr>
          <w:rFonts w:eastAsia="Times New Roman" w:cs="Times New Roman"/>
          <w:color w:val="000000"/>
          <w:kern w:val="0"/>
          <w14:ligatures w14:val="none"/>
        </w:rPr>
        <w:t>s</w:t>
      </w:r>
      <w:r w:rsidRPr="005144EC" w:rsidR="00B14232">
        <w:rPr>
          <w:rFonts w:eastAsia="Times New Roman" w:cs="Times New Roman"/>
          <w:color w:val="000000"/>
          <w:kern w:val="0"/>
          <w14:ligatures w14:val="none"/>
        </w:rPr>
        <w:t xml:space="preserve"> to jury trial</w:t>
      </w:r>
      <w:r w:rsidRPr="005144EC" w:rsidR="00762A27">
        <w:rPr>
          <w:rFonts w:eastAsia="Times New Roman" w:cs="Times New Roman"/>
          <w:color w:val="000000"/>
          <w:kern w:val="0"/>
          <w14:ligatures w14:val="none"/>
        </w:rPr>
        <w:t>]</w:t>
      </w:r>
      <w:r w:rsidRPr="005144EC" w:rsidR="00B14232">
        <w:rPr>
          <w:rFonts w:eastAsia="Times New Roman" w:cs="Times New Roman"/>
          <w:color w:val="000000"/>
          <w:kern w:val="0"/>
          <w14:ligatures w14:val="none"/>
        </w:rPr>
        <w:t xml:space="preserve">; </w:t>
      </w:r>
      <w:r w:rsidRPr="005144EC" w:rsidR="00AC6397">
        <w:rPr>
          <w:rFonts w:eastAsia="Times New Roman" w:cs="Times New Roman"/>
          <w:i/>
          <w:iCs/>
          <w:color w:val="3D3D3D"/>
          <w:kern w:val="0"/>
          <w:bdr w:val="none" w:sz="0" w:space="0" w:color="auto" w:frame="1"/>
          <w14:ligatures w14:val="none"/>
        </w:rPr>
        <w:t>People v. Mosby</w:t>
      </w:r>
      <w:r w:rsidRPr="005144EC" w:rsidR="00AC6397">
        <w:rPr>
          <w:rFonts w:eastAsia="Times New Roman" w:cs="Times New Roman"/>
          <w:color w:val="000000"/>
          <w:kern w:val="0"/>
          <w14:ligatures w14:val="none"/>
        </w:rPr>
        <w:t xml:space="preserve"> (2004) 33 Cal.4th 353, 359</w:t>
      </w:r>
      <w:r w:rsidRPr="005144EC" w:rsidR="00762A27">
        <w:rPr>
          <w:rFonts w:eastAsia="Times New Roman" w:cs="Times New Roman"/>
          <w:color w:val="000000"/>
          <w:kern w:val="0"/>
          <w14:ligatures w14:val="none"/>
        </w:rPr>
        <w:t>–</w:t>
      </w:r>
      <w:r w:rsidRPr="005144EC" w:rsidR="00AC6397">
        <w:rPr>
          <w:rFonts w:eastAsia="Times New Roman" w:cs="Times New Roman"/>
          <w:color w:val="000000"/>
          <w:kern w:val="0"/>
          <w14:ligatures w14:val="none"/>
        </w:rPr>
        <w:t>360 [</w:t>
      </w:r>
      <w:r w:rsidRPr="005144EC" w:rsidR="002B03BF">
        <w:rPr>
          <w:rFonts w:eastAsia="Times New Roman" w:cs="Times New Roman"/>
          <w:color w:val="000000"/>
          <w:kern w:val="0"/>
          <w14:ligatures w14:val="none"/>
        </w:rPr>
        <w:t xml:space="preserve">also </w:t>
      </w:r>
      <w:r w:rsidRPr="005144EC" w:rsidR="00AC6397">
        <w:rPr>
          <w:rFonts w:eastAsia="Times New Roman" w:cs="Times New Roman"/>
          <w:color w:val="000000"/>
          <w:kern w:val="0"/>
          <w14:ligatures w14:val="none"/>
        </w:rPr>
        <w:t>distinguishing between constitutional and statutory right</w:t>
      </w:r>
      <w:r w:rsidRPr="005144EC" w:rsidR="00E57B4D">
        <w:rPr>
          <w:rFonts w:eastAsia="Times New Roman" w:cs="Times New Roman"/>
          <w:color w:val="000000"/>
          <w:kern w:val="0"/>
          <w14:ligatures w14:val="none"/>
        </w:rPr>
        <w:t>s</w:t>
      </w:r>
      <w:r w:rsidRPr="005144EC" w:rsidR="00AC6397">
        <w:rPr>
          <w:rFonts w:eastAsia="Times New Roman" w:cs="Times New Roman"/>
          <w:color w:val="000000"/>
          <w:kern w:val="0"/>
          <w14:ligatures w14:val="none"/>
        </w:rPr>
        <w:t xml:space="preserve"> to jury trial].)</w:t>
      </w:r>
      <w:r w:rsidRPr="005144EC" w:rsidR="00B14232">
        <w:rPr>
          <w:rFonts w:eastAsia="Times New Roman" w:cs="Times New Roman"/>
          <w:color w:val="000000"/>
          <w:kern w:val="0"/>
          <w14:ligatures w14:val="none"/>
        </w:rPr>
        <w:t xml:space="preserve">  </w:t>
      </w:r>
      <w:r w:rsidRPr="005144EC" w:rsidR="00AC6397">
        <w:rPr>
          <w:rFonts w:eastAsia="Times New Roman" w:cs="Times New Roman"/>
          <w:color w:val="000000"/>
          <w:kern w:val="0"/>
          <w14:ligatures w14:val="none"/>
        </w:rPr>
        <w:t xml:space="preserve">Nor, as we have observed, did defendant make any </w:t>
      </w:r>
      <w:r w:rsidRPr="005144EC" w:rsidR="00B14232">
        <w:rPr>
          <w:rFonts w:eastAsia="Times New Roman" w:cs="Times New Roman"/>
          <w:color w:val="000000"/>
          <w:kern w:val="0"/>
          <w14:ligatures w14:val="none"/>
        </w:rPr>
        <w:t xml:space="preserve">such </w:t>
      </w:r>
      <w:r w:rsidRPr="005144EC" w:rsidR="00AC6397">
        <w:rPr>
          <w:rFonts w:eastAsia="Times New Roman" w:cs="Times New Roman"/>
          <w:color w:val="000000"/>
          <w:kern w:val="0"/>
          <w14:ligatures w14:val="none"/>
        </w:rPr>
        <w:t>claim</w:t>
      </w:r>
      <w:r w:rsidRPr="005144EC" w:rsidR="00B14232">
        <w:rPr>
          <w:rFonts w:eastAsia="Times New Roman" w:cs="Times New Roman"/>
          <w:color w:val="000000"/>
          <w:kern w:val="0"/>
          <w14:ligatures w14:val="none"/>
        </w:rPr>
        <w:t>s</w:t>
      </w:r>
      <w:r w:rsidRPr="005144EC" w:rsidR="00AC6397">
        <w:rPr>
          <w:rFonts w:eastAsia="Times New Roman" w:cs="Times New Roman"/>
          <w:color w:val="000000"/>
          <w:kern w:val="0"/>
          <w14:ligatures w14:val="none"/>
        </w:rPr>
        <w:t xml:space="preserve"> in the trial court.  He has therefore forfeited any claim</w:t>
      </w:r>
      <w:r>
        <w:rPr>
          <w:rFonts w:eastAsia="Times New Roman" w:cs="Times New Roman"/>
          <w:color w:val="000000"/>
          <w:kern w:val="0"/>
          <w14:ligatures w14:val="none"/>
        </w:rPr>
        <w:t>s</w:t>
      </w:r>
      <w:r w:rsidRPr="005144EC" w:rsidR="00AC6397">
        <w:rPr>
          <w:rFonts w:eastAsia="Times New Roman" w:cs="Times New Roman"/>
          <w:color w:val="000000"/>
          <w:kern w:val="0"/>
          <w14:ligatures w14:val="none"/>
        </w:rPr>
        <w:t xml:space="preserve"> of error under the amended provisions of section 1170</w:t>
      </w:r>
      <w:r w:rsidRPr="005144EC" w:rsidR="00CD6117">
        <w:rPr>
          <w:rFonts w:eastAsia="Times New Roman" w:cs="Times New Roman"/>
          <w:color w:val="000000"/>
          <w:kern w:val="0"/>
          <w14:ligatures w14:val="none"/>
        </w:rPr>
        <w:t xml:space="preserve"> by failing to raise them in the trial court, as well as waived any such claim</w:t>
      </w:r>
      <w:r w:rsidR="00635D19">
        <w:rPr>
          <w:rFonts w:eastAsia="Times New Roman" w:cs="Times New Roman"/>
          <w:color w:val="000000"/>
          <w:kern w:val="0"/>
          <w14:ligatures w14:val="none"/>
        </w:rPr>
        <w:t>s</w:t>
      </w:r>
      <w:r w:rsidRPr="005144EC" w:rsidR="00CD6117">
        <w:rPr>
          <w:rFonts w:eastAsia="Times New Roman" w:cs="Times New Roman"/>
          <w:color w:val="000000"/>
          <w:kern w:val="0"/>
          <w14:ligatures w14:val="none"/>
        </w:rPr>
        <w:t xml:space="preserve"> by failing to raise </w:t>
      </w:r>
      <w:r w:rsidR="00635D19">
        <w:rPr>
          <w:rFonts w:eastAsia="Times New Roman" w:cs="Times New Roman"/>
          <w:color w:val="000000"/>
          <w:kern w:val="0"/>
          <w14:ligatures w14:val="none"/>
        </w:rPr>
        <w:t>them</w:t>
      </w:r>
      <w:r w:rsidRPr="005144EC" w:rsidR="00CD6117">
        <w:rPr>
          <w:rFonts w:eastAsia="Times New Roman" w:cs="Times New Roman"/>
          <w:color w:val="000000"/>
          <w:kern w:val="0"/>
          <w14:ligatures w14:val="none"/>
        </w:rPr>
        <w:t xml:space="preserve"> in his opening brief</w:t>
      </w:r>
      <w:r w:rsidRPr="005144EC" w:rsidR="00AC6397">
        <w:rPr>
          <w:rFonts w:eastAsia="Times New Roman" w:cs="Times New Roman"/>
          <w:color w:val="000000"/>
          <w:kern w:val="0"/>
          <w14:ligatures w14:val="none"/>
        </w:rPr>
        <w:t>.</w:t>
      </w:r>
      <w:r>
        <w:rPr>
          <w:rStyle w:val="FootnoteReference"/>
          <w:rFonts w:eastAsia="Times New Roman" w:cs="Times New Roman"/>
          <w:color w:val="000000"/>
          <w:kern w:val="0"/>
          <w14:ligatures w14:val="none"/>
        </w:rPr>
        <w:footnoteReference w:id="16"/>
      </w:r>
      <w:r w:rsidRPr="005144EC" w:rsidR="00AC6397">
        <w:rPr>
          <w:rFonts w:eastAsia="Times New Roman" w:cs="Times New Roman"/>
          <w:color w:val="000000"/>
          <w:kern w:val="0"/>
          <w14:ligatures w14:val="none"/>
        </w:rPr>
        <w:t xml:space="preserve">  (See</w:t>
      </w:r>
      <w:r w:rsidRPr="005144EC">
        <w:rPr>
          <w:rFonts w:eastAsia="Times New Roman" w:cs="Times New Roman"/>
          <w:color w:val="000000"/>
          <w:kern w:val="0"/>
          <w14:ligatures w14:val="none"/>
        </w:rPr>
        <w:t xml:space="preserve"> </w:t>
      </w:r>
      <w:r w:rsidRPr="005144EC">
        <w:rPr>
          <w:rFonts w:eastAsia="Times New Roman" w:cs="Times New Roman"/>
          <w:i/>
          <w:iCs/>
          <w:color w:val="000000"/>
          <w:kern w:val="0"/>
          <w14:ligatures w14:val="none"/>
        </w:rPr>
        <w:t xml:space="preserve">Achane, supra, </w:t>
      </w:r>
      <w:r w:rsidRPr="005144EC">
        <w:rPr>
          <w:rFonts w:eastAsia="Times New Roman" w:cs="Times New Roman"/>
          <w:color w:val="000000"/>
          <w:kern w:val="0"/>
          <w14:ligatures w14:val="none"/>
        </w:rPr>
        <w:t xml:space="preserve">92 Cal.App.5th at p. 1044 [defendant’s failure to request </w:t>
      </w:r>
      <w:r w:rsidR="00811DE3">
        <w:rPr>
          <w:rFonts w:eastAsia="Times New Roman" w:cs="Times New Roman"/>
          <w:color w:val="000000"/>
          <w:kern w:val="0"/>
          <w14:ligatures w14:val="none"/>
        </w:rPr>
        <w:t xml:space="preserve">that </w:t>
      </w:r>
      <w:r w:rsidRPr="005144EC">
        <w:rPr>
          <w:rFonts w:eastAsia="Times New Roman" w:cs="Times New Roman"/>
          <w:color w:val="000000"/>
          <w:kern w:val="0"/>
          <w14:ligatures w14:val="none"/>
        </w:rPr>
        <w:t>sentencing court apply new provisions of the statute when it imposed suspended sentence forfeited any statutory challenge to the sentence];  see also</w:t>
      </w:r>
      <w:r w:rsidRPr="005144EC" w:rsidR="00B14232">
        <w:rPr>
          <w:rFonts w:eastAsia="Times New Roman" w:cs="Times New Roman"/>
          <w:color w:val="000000"/>
          <w:kern w:val="0"/>
          <w14:ligatures w14:val="none"/>
        </w:rPr>
        <w:t xml:space="preserve"> </w:t>
      </w:r>
      <w:r w:rsidRPr="005144EC" w:rsidR="00B14232">
        <w:rPr>
          <w:rFonts w:eastAsia="Times New Roman" w:cs="Times New Roman"/>
          <w:i/>
          <w:iCs/>
          <w:color w:val="3D3D3D"/>
          <w:kern w:val="0"/>
          <w:bdr w:val="none" w:sz="0" w:space="0" w:color="auto" w:frame="1"/>
          <w14:ligatures w14:val="none"/>
        </w:rPr>
        <w:t>People v. Vera</w:t>
      </w:r>
      <w:r w:rsidRPr="005144EC" w:rsidR="00B14232">
        <w:rPr>
          <w:rFonts w:eastAsia="Times New Roman" w:cs="Times New Roman"/>
          <w:color w:val="000000"/>
          <w:kern w:val="0"/>
          <w14:ligatures w14:val="none"/>
        </w:rPr>
        <w:t xml:space="preserve"> (1997) 15</w:t>
      </w:r>
      <w:r w:rsidRPr="005144EC" w:rsidR="00762A27">
        <w:rPr>
          <w:rFonts w:eastAsia="Times New Roman" w:cs="Times New Roman"/>
          <w:color w:val="000000"/>
          <w:kern w:val="0"/>
          <w14:ligatures w14:val="none"/>
        </w:rPr>
        <w:t> </w:t>
      </w:r>
      <w:r w:rsidRPr="005144EC" w:rsidR="00B14232">
        <w:rPr>
          <w:rFonts w:eastAsia="Times New Roman" w:cs="Times New Roman"/>
          <w:color w:val="000000"/>
          <w:kern w:val="0"/>
          <w14:ligatures w14:val="none"/>
        </w:rPr>
        <w:t>Cal.4th 269, 274</w:t>
      </w:r>
      <w:r w:rsidRPr="005144EC" w:rsidR="00762A27">
        <w:rPr>
          <w:rFonts w:eastAsia="Times New Roman" w:cs="Times New Roman"/>
          <w:color w:val="000000"/>
          <w:kern w:val="0"/>
          <w14:ligatures w14:val="none"/>
        </w:rPr>
        <w:t>–</w:t>
      </w:r>
      <w:r w:rsidRPr="005144EC" w:rsidR="00421ABA">
        <w:rPr>
          <w:rFonts w:eastAsia="Times New Roman" w:cs="Times New Roman"/>
          <w:color w:val="000000"/>
          <w:kern w:val="0"/>
          <w14:ligatures w14:val="none"/>
        </w:rPr>
        <w:t>276</w:t>
      </w:r>
      <w:r w:rsidRPr="005144EC" w:rsidR="00B14232">
        <w:rPr>
          <w:rFonts w:eastAsia="Times New Roman" w:cs="Times New Roman"/>
          <w:color w:val="000000"/>
          <w:kern w:val="0"/>
          <w14:ligatures w14:val="none"/>
        </w:rPr>
        <w:t xml:space="preserve"> [</w:t>
      </w:r>
      <w:r w:rsidRPr="005144EC" w:rsidR="00421ABA">
        <w:rPr>
          <w:rFonts w:eastAsia="Times New Roman" w:cs="Times New Roman"/>
          <w:color w:val="000000"/>
          <w:kern w:val="0"/>
          <w14:ligatures w14:val="none"/>
        </w:rPr>
        <w:t xml:space="preserve">by allowing jury to be discharged without objection, defendant forfeited </w:t>
      </w:r>
      <w:r w:rsidRPr="005144EC" w:rsidR="00421ABA">
        <w:rPr>
          <w:rFonts w:eastAsia="Times New Roman" w:cs="Times New Roman"/>
          <w:i/>
          <w:iCs/>
          <w:color w:val="000000"/>
          <w:kern w:val="0"/>
          <w14:ligatures w14:val="none"/>
        </w:rPr>
        <w:t>statutory</w:t>
      </w:r>
      <w:r w:rsidRPr="005144EC" w:rsidR="00421ABA">
        <w:rPr>
          <w:rFonts w:eastAsia="Times New Roman" w:cs="Times New Roman"/>
          <w:color w:val="000000"/>
          <w:kern w:val="0"/>
          <w14:ligatures w14:val="none"/>
        </w:rPr>
        <w:t xml:space="preserve"> right to jury trial on sentencing allegations]; </w:t>
      </w:r>
      <w:r w:rsidRPr="005144EC" w:rsidR="00A16B68">
        <w:rPr>
          <w:i/>
          <w:iCs/>
        </w:rPr>
        <w:t>People v. Sperling</w:t>
      </w:r>
      <w:r w:rsidRPr="005144EC" w:rsidR="00A16B68">
        <w:t xml:space="preserve"> (2017) 12</w:t>
      </w:r>
      <w:r w:rsidRPr="005144EC" w:rsidR="00762A27">
        <w:t> </w:t>
      </w:r>
      <w:r w:rsidRPr="005144EC" w:rsidR="00A16B68">
        <w:t>Cal.App.5th 1094, 1100 [by failing to object at the time of sentencing, defendant forfeited “claims that the trial court abused its discretion in sentencing him to the six-year middle term . . . because it failed to consider several mitigating factors and ‘erroneously considered as aggravating factors facts that were elements of the offense itself’ ”].)</w:t>
      </w:r>
      <w:r w:rsidRPr="005144EC" w:rsidR="007221AB">
        <w:t xml:space="preserve">  W</w:t>
      </w:r>
      <w:r w:rsidRPr="005144EC" w:rsidR="00E57B4D">
        <w:rPr>
          <w:rFonts w:eastAsia="Times New Roman" w:cs="Times New Roman"/>
          <w:color w:val="000000"/>
          <w:kern w:val="0"/>
          <w14:ligatures w14:val="none"/>
        </w:rPr>
        <w:t xml:space="preserve">e </w:t>
      </w:r>
      <w:r w:rsidRPr="005144EC" w:rsidR="007221AB">
        <w:rPr>
          <w:rFonts w:eastAsia="Times New Roman" w:cs="Times New Roman"/>
          <w:color w:val="000000"/>
          <w:kern w:val="0"/>
          <w14:ligatures w14:val="none"/>
        </w:rPr>
        <w:t xml:space="preserve">therefore </w:t>
      </w:r>
      <w:r w:rsidRPr="005144EC" w:rsidR="000E1451">
        <w:rPr>
          <w:rFonts w:eastAsia="Times New Roman" w:cs="Times New Roman"/>
          <w:color w:val="000000"/>
          <w:kern w:val="0"/>
          <w14:ligatures w14:val="none"/>
        </w:rPr>
        <w:t>need not, and do not, w</w:t>
      </w:r>
      <w:r w:rsidRPr="005144EC" w:rsidR="004461DC">
        <w:rPr>
          <w:rFonts w:eastAsia="Times New Roman" w:cs="Times New Roman"/>
          <w:color w:val="000000"/>
          <w:kern w:val="0"/>
          <w14:ligatures w14:val="none"/>
        </w:rPr>
        <w:t xml:space="preserve">eigh </w:t>
      </w:r>
      <w:r w:rsidRPr="005144EC" w:rsidR="00CD6117">
        <w:rPr>
          <w:rFonts w:eastAsia="Times New Roman" w:cs="Times New Roman"/>
          <w:color w:val="000000"/>
          <w:kern w:val="0"/>
          <w14:ligatures w14:val="none"/>
        </w:rPr>
        <w:t xml:space="preserve">in </w:t>
      </w:r>
      <w:r w:rsidRPr="005144EC" w:rsidR="004461DC">
        <w:rPr>
          <w:rFonts w:eastAsia="Times New Roman" w:cs="Times New Roman"/>
          <w:color w:val="000000"/>
          <w:kern w:val="0"/>
          <w14:ligatures w14:val="none"/>
        </w:rPr>
        <w:t xml:space="preserve">on </w:t>
      </w:r>
      <w:r w:rsidRPr="005144EC" w:rsidR="000E1451">
        <w:rPr>
          <w:rFonts w:eastAsia="Times New Roman" w:cs="Times New Roman"/>
          <w:color w:val="000000"/>
          <w:kern w:val="0"/>
          <w14:ligatures w14:val="none"/>
        </w:rPr>
        <w:t>what standard of harmlessness should apply whe</w:t>
      </w:r>
      <w:r w:rsidRPr="005144EC" w:rsidR="00B50DBA">
        <w:rPr>
          <w:rFonts w:eastAsia="Times New Roman" w:cs="Times New Roman"/>
          <w:color w:val="000000"/>
          <w:kern w:val="0"/>
          <w14:ligatures w14:val="none"/>
        </w:rPr>
        <w:t>n</w:t>
      </w:r>
      <w:r w:rsidRPr="005144EC" w:rsidR="000E1451">
        <w:rPr>
          <w:rFonts w:eastAsia="Times New Roman" w:cs="Times New Roman"/>
          <w:color w:val="000000"/>
          <w:kern w:val="0"/>
          <w14:ligatures w14:val="none"/>
        </w:rPr>
        <w:t xml:space="preserve"> </w:t>
      </w:r>
      <w:r w:rsidRPr="005144EC" w:rsidR="00CD6117">
        <w:rPr>
          <w:rFonts w:eastAsia="Times New Roman" w:cs="Times New Roman"/>
          <w:color w:val="000000"/>
          <w:kern w:val="0"/>
          <w14:ligatures w14:val="none"/>
        </w:rPr>
        <w:t xml:space="preserve">a </w:t>
      </w:r>
      <w:r w:rsidRPr="005144EC" w:rsidR="000E1451">
        <w:rPr>
          <w:rFonts w:eastAsia="Times New Roman" w:cs="Times New Roman"/>
          <w:color w:val="000000"/>
          <w:kern w:val="0"/>
          <w14:ligatures w14:val="none"/>
        </w:rPr>
        <w:t xml:space="preserve">defendant’s </w:t>
      </w:r>
      <w:r w:rsidRPr="005144EC" w:rsidR="004461DC">
        <w:rPr>
          <w:rFonts w:eastAsia="Times New Roman" w:cs="Times New Roman"/>
          <w:color w:val="000000"/>
          <w:kern w:val="0"/>
          <w14:ligatures w14:val="none"/>
        </w:rPr>
        <w:t>new statutory j</w:t>
      </w:r>
      <w:r w:rsidRPr="005144EC" w:rsidR="00993B19">
        <w:rPr>
          <w:rFonts w:eastAsia="Times New Roman" w:cs="Times New Roman"/>
          <w:color w:val="000000"/>
          <w:kern w:val="0"/>
          <w14:ligatures w14:val="none"/>
        </w:rPr>
        <w:t xml:space="preserve">ury trial right </w:t>
      </w:r>
      <w:r w:rsidRPr="005144EC" w:rsidR="007221AB">
        <w:rPr>
          <w:rFonts w:eastAsia="Times New Roman" w:cs="Times New Roman"/>
          <w:color w:val="000000"/>
          <w:kern w:val="0"/>
          <w14:ligatures w14:val="none"/>
        </w:rPr>
        <w:t xml:space="preserve">under amended section 1170 </w:t>
      </w:r>
      <w:r w:rsidRPr="005144EC" w:rsidR="00993B19">
        <w:rPr>
          <w:rFonts w:eastAsia="Times New Roman" w:cs="Times New Roman"/>
          <w:color w:val="000000"/>
          <w:kern w:val="0"/>
          <w14:ligatures w14:val="none"/>
        </w:rPr>
        <w:t>has</w:t>
      </w:r>
      <w:r w:rsidRPr="005144EC" w:rsidR="00993B19">
        <w:rPr>
          <w:rFonts w:eastAsia="Times New Roman" w:cs="Times New Roman"/>
          <w:i/>
          <w:iCs/>
          <w:color w:val="000000"/>
          <w:kern w:val="0"/>
          <w14:ligatures w14:val="none"/>
        </w:rPr>
        <w:t xml:space="preserve"> </w:t>
      </w:r>
      <w:r w:rsidRPr="005144EC" w:rsidR="00993B19">
        <w:rPr>
          <w:rFonts w:eastAsia="Times New Roman" w:cs="Times New Roman"/>
          <w:color w:val="000000"/>
          <w:kern w:val="0"/>
          <w14:ligatures w14:val="none"/>
        </w:rPr>
        <w:t>been violated.</w:t>
      </w:r>
    </w:p>
    <w:p w:rsidR="00330EA7" w:rsidRPr="005144EC" w:rsidP="00330EA7" w14:paraId="4151088D" w14:textId="6FEF57BB">
      <w:pPr>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In sum, we conclude defendant knowingly and intelligently waived his </w:t>
      </w:r>
      <w:r w:rsidRPr="005144EC">
        <w:rPr>
          <w:rFonts w:eastAsia="Times New Roman" w:cs="Times New Roman"/>
          <w:i/>
          <w:iCs/>
          <w:color w:val="000000"/>
          <w:kern w:val="0"/>
          <w14:ligatures w14:val="none"/>
        </w:rPr>
        <w:t>constitutional</w:t>
      </w:r>
      <w:r w:rsidRPr="005144EC">
        <w:rPr>
          <w:rFonts w:eastAsia="Times New Roman" w:cs="Times New Roman"/>
          <w:color w:val="000000"/>
          <w:kern w:val="0"/>
          <w14:ligatures w14:val="none"/>
        </w:rPr>
        <w:t xml:space="preserve"> right to jury trial</w:t>
      </w:r>
      <w:r w:rsidRPr="005144EC">
        <w:rPr>
          <w:rFonts w:eastAsia="Times New Roman" w:cs="Times New Roman"/>
          <w:color w:val="000000"/>
          <w:kern w:val="0"/>
          <w14:ligatures w14:val="none"/>
        </w:rPr>
        <w:t>, including as to</w:t>
      </w:r>
      <w:r w:rsidRPr="005144EC">
        <w:rPr>
          <w:rFonts w:eastAsia="Times New Roman" w:cs="Times New Roman"/>
          <w:color w:val="000000"/>
          <w:kern w:val="0"/>
          <w14:ligatures w14:val="none"/>
        </w:rPr>
        <w:t xml:space="preserve"> aggravating facts</w:t>
      </w:r>
      <w:r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and his aggravated sentence is constitutionally permissible for that reason, alone.  </w:t>
      </w:r>
      <w:r w:rsidRPr="005144EC" w:rsidR="00F678A2">
        <w:rPr>
          <w:rFonts w:eastAsia="Times New Roman" w:cs="Times New Roman"/>
          <w:color w:val="000000"/>
          <w:kern w:val="0"/>
          <w14:ligatures w14:val="none"/>
        </w:rPr>
        <w:t xml:space="preserve">We further conclude that, </w:t>
      </w:r>
      <w:r w:rsidRPr="005144EC">
        <w:rPr>
          <w:rFonts w:eastAsia="Times New Roman" w:cs="Times New Roman"/>
          <w:color w:val="000000"/>
          <w:kern w:val="0"/>
          <w14:ligatures w14:val="none"/>
        </w:rPr>
        <w:t>even if defendant</w:t>
      </w:r>
      <w:r w:rsidRPr="005144EC" w:rsidR="00F678A2">
        <w:rPr>
          <w:rFonts w:eastAsia="Times New Roman" w:cs="Times New Roman"/>
          <w:color w:val="000000"/>
          <w:kern w:val="0"/>
          <w14:ligatures w14:val="none"/>
        </w:rPr>
        <w:t xml:space="preserve"> did not sufficiently waive his constitutional jury trial right, the trial court found at least one aggravating factor—recidivism pursuant to rule 4.421(b)(2)—on a basis consistent with the Sixth Amendment and therefore, under </w:t>
      </w:r>
      <w:r w:rsidRPr="005144EC" w:rsidR="00F678A2">
        <w:rPr>
          <w:rFonts w:eastAsia="Times New Roman" w:cs="Times New Roman"/>
          <w:i/>
          <w:iCs/>
          <w:color w:val="000000"/>
          <w:kern w:val="0"/>
          <w14:ligatures w14:val="none"/>
        </w:rPr>
        <w:t>Black II,</w:t>
      </w:r>
      <w:r w:rsidRPr="005144EC" w:rsidR="00F678A2">
        <w:rPr>
          <w:rFonts w:eastAsia="Times New Roman" w:cs="Times New Roman"/>
          <w:color w:val="000000"/>
          <w:kern w:val="0"/>
          <w14:ligatures w14:val="none"/>
        </w:rPr>
        <w:t xml:space="preserve"> his aggravated sentence is not </w:t>
      </w:r>
      <w:r w:rsidRPr="005144EC" w:rsidR="00F678A2">
        <w:rPr>
          <w:rFonts w:eastAsia="Times New Roman" w:cs="Times New Roman"/>
          <w:i/>
          <w:iCs/>
          <w:color w:val="000000"/>
          <w:kern w:val="0"/>
          <w14:ligatures w14:val="none"/>
        </w:rPr>
        <w:t>constitutionally</w:t>
      </w:r>
      <w:r w:rsidRPr="005144EC" w:rsidR="00F678A2">
        <w:rPr>
          <w:rFonts w:eastAsia="Times New Roman" w:cs="Times New Roman"/>
          <w:color w:val="000000"/>
          <w:kern w:val="0"/>
          <w14:ligatures w14:val="none"/>
        </w:rPr>
        <w:t xml:space="preserve"> infirm.</w:t>
      </w:r>
    </w:p>
    <w:p w:rsidR="00330EA7" w:rsidRPr="005144EC" w:rsidP="00330EA7" w14:paraId="00454E66" w14:textId="2C8583D9">
      <w:pPr>
        <w:jc w:val="center"/>
        <w:rPr>
          <w:b/>
          <w:bCs/>
        </w:rPr>
      </w:pPr>
      <w:r>
        <w:rPr>
          <w:b/>
          <w:bCs/>
        </w:rPr>
        <w:t xml:space="preserve">IV.  </w:t>
      </w:r>
      <w:r w:rsidR="00DB24FA">
        <w:rPr>
          <w:b/>
          <w:bCs/>
          <w:smallCaps/>
        </w:rPr>
        <w:t>Disposition</w:t>
      </w:r>
    </w:p>
    <w:p w:rsidR="00235549" w:rsidP="00330EA7" w14:paraId="3774FB22" w14:textId="310912F3">
      <w:r w:rsidRPr="005144EC">
        <w:tab/>
      </w:r>
      <w:r w:rsidRPr="005144EC" w:rsidR="00A16B68">
        <w:t>The judgment is AFFIRMED.</w:t>
      </w:r>
      <w:r w:rsidR="004B2ECE">
        <w:t xml:space="preserve"> </w:t>
      </w:r>
    </w:p>
    <w:p w:rsidR="00235549" w14:paraId="4428C460" w14:textId="77777777">
      <w:pPr>
        <w:tabs>
          <w:tab w:val="clear" w:pos="720"/>
        </w:tabs>
        <w:spacing w:line="360" w:lineRule="auto"/>
      </w:pPr>
      <w:r>
        <w:br w:type="page"/>
      </w:r>
    </w:p>
    <w:p w:rsidR="00235549" w:rsidP="00235549" w14:paraId="54CBD146" w14:textId="77777777">
      <w:pPr>
        <w:pStyle w:val="Normal2"/>
        <w:rPr>
          <w:rFonts w:ascii="Century Schoolbook" w:hAnsi="Century Schoolbook"/>
        </w:rPr>
      </w:pPr>
    </w:p>
    <w:p w:rsidR="00235549" w:rsidP="00235549" w14:paraId="2A285115" w14:textId="77777777">
      <w:pPr>
        <w:pStyle w:val="Normal2"/>
        <w:rPr>
          <w:rFonts w:ascii="Century Schoolbook" w:hAnsi="Century Schoolbook"/>
        </w:rPr>
      </w:pPr>
    </w:p>
    <w:p w:rsidR="00235549" w:rsidP="00235549" w14:paraId="67BB669F" w14:textId="77777777">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w:t>
      </w:r>
    </w:p>
    <w:p w:rsidR="00235549" w:rsidP="00235549" w14:paraId="1B5CD35B" w14:textId="0DE3E4E7">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Banke,</w:t>
      </w:r>
      <w:r w:rsidR="00422384">
        <w:rPr>
          <w:rFonts w:ascii="Century Schoolbook" w:hAnsi="Century Schoolbook"/>
        </w:rPr>
        <w:t xml:space="preserve"> Acting P</w:t>
      </w:r>
      <w:r>
        <w:rPr>
          <w:rFonts w:ascii="Century Schoolbook" w:hAnsi="Century Schoolbook"/>
        </w:rPr>
        <w:t>J.</w:t>
      </w:r>
    </w:p>
    <w:p w:rsidR="00235549" w:rsidP="00235549" w14:paraId="53250B9F" w14:textId="77777777">
      <w:pPr>
        <w:pStyle w:val="Normal2"/>
        <w:rPr>
          <w:rFonts w:ascii="Century Schoolbook" w:hAnsi="Century Schoolbook"/>
        </w:rPr>
      </w:pPr>
    </w:p>
    <w:p w:rsidR="00235549" w:rsidP="00235549" w14:paraId="4F3BAA21" w14:textId="77777777">
      <w:pPr>
        <w:pStyle w:val="Normal2"/>
        <w:rPr>
          <w:rFonts w:ascii="Century Schoolbook" w:hAnsi="Century Schoolbook"/>
        </w:rPr>
      </w:pPr>
    </w:p>
    <w:p w:rsidR="00235549" w:rsidP="00235549" w14:paraId="3EFA85E3" w14:textId="77777777">
      <w:pPr>
        <w:pStyle w:val="Normal2"/>
        <w:rPr>
          <w:rFonts w:ascii="Century Schoolbook" w:hAnsi="Century Schoolbook"/>
        </w:rPr>
      </w:pPr>
      <w:r>
        <w:rPr>
          <w:rFonts w:ascii="Century Schoolbook" w:hAnsi="Century Schoolbook"/>
        </w:rPr>
        <w:t>We concur:</w:t>
      </w:r>
    </w:p>
    <w:p w:rsidR="00235549" w:rsidP="00235549" w14:paraId="2BEF1D66" w14:textId="77777777">
      <w:pPr>
        <w:pStyle w:val="Normal2"/>
        <w:rPr>
          <w:rFonts w:ascii="Century Schoolbook" w:hAnsi="Century Schoolbook"/>
        </w:rPr>
      </w:pPr>
    </w:p>
    <w:p w:rsidR="00235549" w:rsidP="00235549" w14:paraId="0F4793EC" w14:textId="77777777">
      <w:pPr>
        <w:pStyle w:val="Normal2"/>
        <w:rPr>
          <w:rFonts w:ascii="Century Schoolbook" w:hAnsi="Century Schoolbook"/>
        </w:rPr>
      </w:pPr>
    </w:p>
    <w:p w:rsidR="00235549" w:rsidP="00235549" w14:paraId="48026B3F" w14:textId="77777777">
      <w:pPr>
        <w:pStyle w:val="Normal2"/>
        <w:rPr>
          <w:rFonts w:ascii="Century Schoolbook" w:hAnsi="Century Schoolbook"/>
        </w:rPr>
      </w:pPr>
      <w:r>
        <w:rPr>
          <w:rFonts w:ascii="Century Schoolbook" w:hAnsi="Century Schoolbook"/>
        </w:rPr>
        <w:t>_________________________</w:t>
      </w:r>
    </w:p>
    <w:p w:rsidR="00235549" w:rsidP="00235549" w14:paraId="1FD937AA" w14:textId="0C6D5736">
      <w:pPr>
        <w:pStyle w:val="Normal2"/>
        <w:rPr>
          <w:rFonts w:ascii="Century Schoolbook" w:hAnsi="Century Schoolbook"/>
        </w:rPr>
      </w:pPr>
      <w:r>
        <w:rPr>
          <w:rFonts w:ascii="Century Schoolbook" w:hAnsi="Century Schoolbook"/>
        </w:rPr>
        <w:t xml:space="preserve">Margulies, </w:t>
      </w:r>
      <w:r w:rsidR="00422384">
        <w:rPr>
          <w:rFonts w:ascii="Century Schoolbook" w:hAnsi="Century Schoolbook"/>
        </w:rPr>
        <w:t>J.*</w:t>
      </w:r>
    </w:p>
    <w:p w:rsidR="00235549" w:rsidP="00235549" w14:paraId="6B393E2F" w14:textId="77777777">
      <w:pPr>
        <w:pStyle w:val="Normal2"/>
        <w:rPr>
          <w:rFonts w:ascii="Century Schoolbook" w:hAnsi="Century Schoolbook"/>
        </w:rPr>
      </w:pPr>
    </w:p>
    <w:p w:rsidR="00235549" w:rsidP="00235549" w14:paraId="0E139194" w14:textId="77777777">
      <w:pPr>
        <w:pStyle w:val="Normal2"/>
        <w:rPr>
          <w:rFonts w:ascii="Century Schoolbook" w:hAnsi="Century Schoolbook"/>
        </w:rPr>
      </w:pPr>
    </w:p>
    <w:p w:rsidR="00235549" w:rsidP="00235549" w14:paraId="1FC4A206" w14:textId="77777777">
      <w:pPr>
        <w:pStyle w:val="Normal2"/>
        <w:rPr>
          <w:rFonts w:ascii="Century Schoolbook" w:hAnsi="Century Schoolbook"/>
        </w:rPr>
      </w:pPr>
      <w:r>
        <w:rPr>
          <w:rFonts w:ascii="Century Schoolbook" w:hAnsi="Century Schoolbook"/>
        </w:rPr>
        <w:t>_________________________</w:t>
      </w:r>
    </w:p>
    <w:p w:rsidR="00235549" w:rsidP="00235549" w14:paraId="5588900D" w14:textId="59B7772D">
      <w:pPr>
        <w:pStyle w:val="Normal2"/>
      </w:pPr>
      <w:r>
        <w:rPr>
          <w:rFonts w:ascii="Century Schoolbook" w:hAnsi="Century Schoolbook"/>
          <w:sz w:val="28"/>
          <w:szCs w:val="28"/>
        </w:rPr>
        <w:t>Getty, J.</w:t>
      </w:r>
      <w:r>
        <w:rPr>
          <w:rFonts w:ascii="Century Schoolbook" w:hAnsi="Century Schoolbook"/>
        </w:rPr>
        <w:t>*</w:t>
      </w:r>
      <w:r w:rsidR="00422384">
        <w:rPr>
          <w:rFonts w:ascii="Century Schoolbook" w:hAnsi="Century Schoolbook"/>
        </w:rPr>
        <w:t>*</w:t>
      </w:r>
    </w:p>
    <w:p w:rsidR="00235549" w:rsidP="00235549" w14:paraId="730B34B0" w14:textId="77777777">
      <w:pPr>
        <w:pStyle w:val="Normal2"/>
        <w:rPr>
          <w:rFonts w:ascii="Century Schoolbook" w:hAnsi="Century Schoolbook"/>
        </w:rPr>
      </w:pPr>
    </w:p>
    <w:p w:rsidR="00235549" w:rsidP="00235549" w14:paraId="0FF12858" w14:textId="77777777">
      <w:pPr>
        <w:pStyle w:val="Normal2"/>
        <w:rPr>
          <w:rFonts w:ascii="Century Schoolbook" w:hAnsi="Century Schoolbook"/>
        </w:rPr>
      </w:pPr>
    </w:p>
    <w:p w:rsidR="00235549" w:rsidP="00235549" w14:paraId="31A57ABB" w14:textId="77777777">
      <w:pPr>
        <w:pStyle w:val="Normal2"/>
        <w:rPr>
          <w:rFonts w:ascii="Century Schoolbook" w:hAnsi="Century Schoolbook"/>
        </w:rPr>
      </w:pPr>
    </w:p>
    <w:p w:rsidR="00235549" w:rsidP="00235549" w14:paraId="34622BB4" w14:textId="77777777">
      <w:pPr>
        <w:pStyle w:val="Normal2"/>
        <w:rPr>
          <w:rFonts w:ascii="Century Schoolbook" w:hAnsi="Century Schoolbook"/>
        </w:rPr>
      </w:pPr>
    </w:p>
    <w:p w:rsidR="00235549" w:rsidP="00235549" w14:paraId="35337514" w14:textId="77777777">
      <w:pPr>
        <w:pStyle w:val="Normal2"/>
        <w:rPr>
          <w:rFonts w:ascii="Century Schoolbook" w:hAnsi="Century Schoolbook"/>
        </w:rPr>
      </w:pPr>
    </w:p>
    <w:p w:rsidR="00235549" w:rsidP="00235549" w14:paraId="121F4E32" w14:textId="77777777">
      <w:pPr>
        <w:pStyle w:val="Normal2"/>
        <w:rPr>
          <w:rFonts w:ascii="Century Schoolbook" w:hAnsi="Century Schoolbook"/>
        </w:rPr>
      </w:pPr>
    </w:p>
    <w:p w:rsidR="00235549" w:rsidP="00235549" w14:paraId="5607840B" w14:textId="77777777">
      <w:pPr>
        <w:pStyle w:val="Normal2"/>
        <w:rPr>
          <w:rFonts w:ascii="Century Schoolbook" w:hAnsi="Century Schoolbook"/>
        </w:rPr>
      </w:pPr>
    </w:p>
    <w:p w:rsidR="00235549" w:rsidP="00235549" w14:paraId="79617674" w14:textId="77777777">
      <w:pPr>
        <w:pStyle w:val="Normal2"/>
        <w:rPr>
          <w:rFonts w:ascii="Century Schoolbook" w:hAnsi="Century Schoolbook"/>
        </w:rPr>
      </w:pPr>
    </w:p>
    <w:p w:rsidR="00235549" w:rsidP="00235549" w14:paraId="2B0A45E4" w14:textId="77777777">
      <w:pPr>
        <w:pStyle w:val="Normal2"/>
        <w:rPr>
          <w:rFonts w:ascii="Century Schoolbook" w:hAnsi="Century Schoolbook"/>
        </w:rPr>
      </w:pPr>
    </w:p>
    <w:p w:rsidR="00235549" w:rsidP="00235549" w14:paraId="4427F825" w14:textId="77777777">
      <w:pPr>
        <w:pStyle w:val="Normal2"/>
        <w:rPr>
          <w:rFonts w:ascii="Century Schoolbook" w:hAnsi="Century Schoolbook"/>
        </w:rPr>
      </w:pPr>
    </w:p>
    <w:p w:rsidR="00235549" w:rsidP="00235549" w14:paraId="3A82D637" w14:textId="77777777">
      <w:pPr>
        <w:pStyle w:val="Normal2"/>
        <w:rPr>
          <w:rFonts w:ascii="Century Schoolbook" w:hAnsi="Century Schoolbook"/>
        </w:rPr>
      </w:pPr>
    </w:p>
    <w:p w:rsidR="00235549" w:rsidP="00235549" w14:paraId="4860D00D" w14:textId="77777777">
      <w:pPr>
        <w:pStyle w:val="Normal2"/>
        <w:rPr>
          <w:rFonts w:ascii="Century Schoolbook" w:hAnsi="Century Schoolbook"/>
        </w:rPr>
      </w:pPr>
    </w:p>
    <w:p w:rsidR="00235549" w:rsidP="00235549" w14:paraId="451A54EB" w14:textId="77777777">
      <w:pPr>
        <w:pStyle w:val="Normal2"/>
        <w:rPr>
          <w:rFonts w:ascii="Century Schoolbook" w:hAnsi="Century Schoolbook"/>
        </w:rPr>
      </w:pPr>
    </w:p>
    <w:p w:rsidR="00422384" w:rsidRPr="00422384" w:rsidP="00422384" w14:paraId="299321C3" w14:textId="120459AC">
      <w:pPr>
        <w:spacing w:line="240" w:lineRule="auto"/>
        <w:rPr>
          <w:rFonts w:ascii="Aptos" w:hAnsi="Aptos"/>
        </w:rPr>
      </w:pPr>
      <w:r w:rsidRPr="00422384">
        <w:t>*Retired Justice of the Court of Appeal, First Appellate District assigned by the Chief Justice pursuant to article VI, section 6 of the California Constitution.</w:t>
      </w:r>
    </w:p>
    <w:p w:rsidR="00235549" w:rsidP="00235549" w14:paraId="1E389F2E" w14:textId="0C82FC33">
      <w:pPr>
        <w:pStyle w:val="Normal2"/>
        <w:rPr>
          <w:rFonts w:ascii="Century Schoolbook" w:hAnsi="Century Schoolbook"/>
        </w:rPr>
      </w:pPr>
    </w:p>
    <w:p w:rsidR="00235549" w:rsidP="00235549" w14:paraId="7D3F5916" w14:textId="77777777">
      <w:pPr>
        <w:pStyle w:val="Normal2"/>
        <w:rPr>
          <w:rFonts w:ascii="Century Schoolbook" w:hAnsi="Century Schoolbook"/>
        </w:rPr>
      </w:pPr>
    </w:p>
    <w:p w:rsidR="00235549" w:rsidP="00235549" w14:paraId="024995BC" w14:textId="77777777">
      <w:pPr>
        <w:spacing w:line="240" w:lineRule="auto"/>
      </w:pPr>
      <w:r>
        <w:t xml:space="preserve">**Judge of the Solano County Superior Court, assigned by the Chief Justice pursuant to article VI, section 6 of the California Constitution.  </w:t>
      </w:r>
    </w:p>
    <w:p w:rsidR="00235549" w:rsidP="00235549" w14:paraId="5C0200C5" w14:textId="77777777">
      <w:pPr>
        <w:spacing w:line="240" w:lineRule="auto"/>
      </w:pPr>
    </w:p>
    <w:p w:rsidR="00235549" w:rsidP="00235549" w14:paraId="217667C4" w14:textId="77777777">
      <w:pPr>
        <w:pStyle w:val="Normal2"/>
        <w:rPr>
          <w:rFonts w:ascii="Century Schoolbook" w:hAnsi="Century Schoolbook"/>
        </w:rPr>
      </w:pPr>
    </w:p>
    <w:p w:rsidR="00235549" w:rsidP="00235549" w14:paraId="567796DB" w14:textId="411A6957">
      <w:r>
        <w:t>A165406, People v. Hall</w:t>
      </w:r>
    </w:p>
    <w:p w:rsidR="00235549" w14:paraId="2D4806B9" w14:textId="77777777">
      <w:pPr>
        <w:tabs>
          <w:tab w:val="clear" w:pos="720"/>
        </w:tabs>
        <w:spacing w:line="360" w:lineRule="auto"/>
      </w:pPr>
      <w:r>
        <w:br w:type="page"/>
      </w:r>
    </w:p>
    <w:p w:rsidR="00235549" w:rsidP="00235549" w14:paraId="4EA85EA6" w14:textId="77777777">
      <w:pPr>
        <w:spacing w:line="240" w:lineRule="auto"/>
      </w:pPr>
      <w:r>
        <w:t>Trial Court:</w:t>
      </w:r>
      <w:r>
        <w:tab/>
        <w:t xml:space="preserve"> Del Norte County Superior Court</w:t>
      </w:r>
    </w:p>
    <w:p w:rsidR="00235549" w:rsidP="00235549" w14:paraId="2C43E17E" w14:textId="77777777">
      <w:pPr>
        <w:spacing w:line="240" w:lineRule="auto"/>
      </w:pPr>
    </w:p>
    <w:p w:rsidR="00235549" w:rsidP="00235549" w14:paraId="432E7AC9" w14:textId="77777777">
      <w:pPr>
        <w:spacing w:line="240" w:lineRule="auto"/>
      </w:pPr>
      <w:r>
        <w:t>Trial Judge:</w:t>
      </w:r>
      <w:r>
        <w:tab/>
        <w:t>Hon. Darren McElfresh</w:t>
      </w:r>
    </w:p>
    <w:p w:rsidR="00235549" w:rsidP="00235549" w14:paraId="69294CF4" w14:textId="77777777">
      <w:pPr>
        <w:spacing w:line="240" w:lineRule="auto"/>
      </w:pPr>
    </w:p>
    <w:p w:rsidR="00235549" w:rsidP="00235549" w14:paraId="707A27F8" w14:textId="77777777">
      <w:pPr>
        <w:spacing w:line="240" w:lineRule="auto"/>
      </w:pPr>
      <w:r>
        <w:t xml:space="preserve">Counsel:  </w:t>
      </w:r>
    </w:p>
    <w:p w:rsidR="00235549" w:rsidP="00235549" w14:paraId="195C548D" w14:textId="77777777">
      <w:pPr>
        <w:spacing w:line="240" w:lineRule="auto"/>
      </w:pPr>
    </w:p>
    <w:p w:rsidR="00235549" w:rsidP="00235549" w14:paraId="062457A7" w14:textId="77777777">
      <w:pPr>
        <w:spacing w:line="240" w:lineRule="auto"/>
      </w:pPr>
      <w:r>
        <w:t>Christopher Stansell under appointment by the Court of Appeal for Defendant and Appellant.</w:t>
      </w:r>
    </w:p>
    <w:p w:rsidR="00235549" w:rsidP="00235549" w14:paraId="3B435E83" w14:textId="77777777">
      <w:pPr>
        <w:spacing w:line="240" w:lineRule="auto"/>
      </w:pPr>
    </w:p>
    <w:p w:rsidR="00235549" w:rsidP="00235549" w14:paraId="228D8DF3" w14:textId="77777777">
      <w:pPr>
        <w:spacing w:line="240" w:lineRule="auto"/>
      </w:pPr>
      <w:r>
        <w:t>Rob Bonta, Attorney General, Lance E. Winters, Chief Assistant Attorney General, Jefferey M. Laurence, Senior Assistant Attorney General, Masha A. Dabiza and Arthur P. Beever, Deputy Attorneys General for Plaintiff and Respondent.</w:t>
      </w:r>
    </w:p>
    <w:p w:rsidR="00235549" w:rsidP="00235549" w14:paraId="0F72C5C9" w14:textId="77777777"/>
    <w:p w:rsidR="00EB7473" w:rsidP="00330EA7" w14:paraId="2ADB1032" w14:textId="77777777"/>
    <w:sectPr w:rsidSect="00FD397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6DB" w:rsidP="00214ED8" w14:paraId="7ED158B2" w14:textId="6B994B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44EC">
      <w:rPr>
        <w:rStyle w:val="PageNumber"/>
        <w:noProof/>
      </w:rPr>
      <w:t>2</w:t>
    </w:r>
    <w:r>
      <w:rPr>
        <w:rStyle w:val="PageNumber"/>
      </w:rPr>
      <w:fldChar w:fldCharType="end"/>
    </w:r>
  </w:p>
  <w:p w:rsidR="00FD56DB" w:rsidP="00214ED8" w14:paraId="3F157F36" w14:textId="010295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44EC">
      <w:rPr>
        <w:rStyle w:val="PageNumber"/>
        <w:noProof/>
      </w:rPr>
      <w:t>2</w:t>
    </w:r>
    <w:r>
      <w:rPr>
        <w:rStyle w:val="PageNumber"/>
      </w:rPr>
      <w:fldChar w:fldCharType="end"/>
    </w:r>
  </w:p>
  <w:p w:rsidR="00FD56DB" w14:paraId="56B1AD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6DB" w:rsidP="00FD56DB" w14:paraId="36BE1F19" w14:textId="5D86BA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D56DB" w14:paraId="61402A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43B6" w:rsidP="00FD56DB" w14:paraId="5BEF1DF7" w14:textId="77777777">
      <w:pPr>
        <w:spacing w:line="240" w:lineRule="auto"/>
      </w:pPr>
      <w:r>
        <w:separator/>
      </w:r>
    </w:p>
  </w:footnote>
  <w:footnote w:type="continuationSeparator" w:id="1">
    <w:p w:rsidR="008843B6" w:rsidP="00FD56DB" w14:paraId="3F038BE4" w14:textId="77777777">
      <w:pPr>
        <w:spacing w:line="240" w:lineRule="auto"/>
      </w:pPr>
      <w:r>
        <w:continuationSeparator/>
      </w:r>
    </w:p>
  </w:footnote>
  <w:footnote w:id="2">
    <w:p w:rsidR="00FD3977" w:rsidP="00FD3977" w14:paraId="1A3CF77B" w14:textId="77777777">
      <w:pPr>
        <w:pStyle w:val="FootnoteText"/>
        <w:ind w:firstLine="720"/>
      </w:pPr>
      <w:r>
        <w:rPr>
          <w:rStyle w:val="FootnoteReference"/>
        </w:rPr>
        <w:t>*</w:t>
      </w:r>
      <w:r>
        <w:t xml:space="preserve"> Margulies, J. (retired) did not participate in the consideration of the rehearing petition.</w:t>
      </w:r>
    </w:p>
  </w:footnote>
  <w:footnote w:id="3">
    <w:p w:rsidR="002D6708" w:rsidRPr="005144EC" w:rsidP="00DB24FA" w14:paraId="191146D0" w14:textId="77777777">
      <w:pPr>
        <w:pStyle w:val="FootnoteText"/>
        <w:spacing w:after="120"/>
        <w:ind w:firstLine="720"/>
      </w:pPr>
      <w:r w:rsidRPr="005144EC">
        <w:rPr>
          <w:rStyle w:val="FootnoteReference"/>
        </w:rPr>
        <w:footnoteRef/>
      </w:r>
      <w:r w:rsidRPr="005144EC">
        <w:t xml:space="preserve">  All further statutory citations are to the Penal Code unless otherwise indicated.</w:t>
      </w:r>
    </w:p>
  </w:footnote>
  <w:footnote w:id="4">
    <w:p w:rsidR="00A1338A" w:rsidRPr="005144EC" w:rsidP="00DB24FA" w14:paraId="1F83667C" w14:textId="1739552B">
      <w:pPr>
        <w:pStyle w:val="FootnoteText"/>
        <w:spacing w:after="120"/>
        <w:ind w:firstLine="720"/>
      </w:pPr>
      <w:r w:rsidRPr="005144EC">
        <w:rPr>
          <w:rStyle w:val="FootnoteReference"/>
        </w:rPr>
        <w:footnoteRef/>
      </w:r>
      <w:r w:rsidRPr="005144EC">
        <w:t xml:space="preserve"> </w:t>
      </w:r>
      <w:r w:rsidRPr="005144EC" w:rsidR="001E5330">
        <w:t xml:space="preserve"> </w:t>
      </w:r>
      <w:r w:rsidRPr="005144EC" w:rsidR="009F45DC">
        <w:t xml:space="preserve">Our brief factual summary is </w:t>
      </w:r>
      <w:r w:rsidRPr="005144EC" w:rsidR="00810141">
        <w:t xml:space="preserve">based </w:t>
      </w:r>
      <w:r w:rsidRPr="005144EC" w:rsidR="000778E7">
        <w:t xml:space="preserve">in part </w:t>
      </w:r>
      <w:r w:rsidRPr="005144EC" w:rsidR="00810141">
        <w:t xml:space="preserve">on the transcript of the </w:t>
      </w:r>
      <w:r w:rsidRPr="005144EC" w:rsidR="009F45DC">
        <w:t>preliminary hearing</w:t>
      </w:r>
      <w:r w:rsidRPr="005144EC" w:rsidR="00A30C70">
        <w:t>,</w:t>
      </w:r>
      <w:r w:rsidRPr="005144EC" w:rsidR="00EA2448">
        <w:t xml:space="preserve"> which the parties stipulated provided a factual basis for defendant’s plea.</w:t>
      </w:r>
      <w:r w:rsidRPr="005144EC">
        <w:t xml:space="preserve">  </w:t>
      </w:r>
    </w:p>
  </w:footnote>
  <w:footnote w:id="5">
    <w:p w:rsidR="00A142EC" w:rsidRPr="005144EC" w:rsidP="00DB24FA" w14:paraId="0E0994B4" w14:textId="28107D79">
      <w:pPr>
        <w:pStyle w:val="FootnoteText"/>
        <w:spacing w:after="120"/>
        <w:ind w:firstLine="720"/>
      </w:pPr>
      <w:r w:rsidRPr="005144EC">
        <w:rPr>
          <w:rStyle w:val="FootnoteReference"/>
        </w:rPr>
        <w:footnoteRef/>
      </w:r>
      <w:r w:rsidRPr="005144EC">
        <w:t xml:space="preserve"> </w:t>
      </w:r>
      <w:r w:rsidRPr="005144EC" w:rsidR="001E5330">
        <w:t xml:space="preserve"> </w:t>
      </w:r>
      <w:r w:rsidRPr="005144EC">
        <w:t>All further references to the “rules” are to the California Rules of Court.</w:t>
      </w:r>
    </w:p>
  </w:footnote>
  <w:footnote w:id="6">
    <w:p w:rsidR="00F441C3" w:rsidRPr="005144EC" w:rsidP="00DB24FA" w14:paraId="70F01728" w14:textId="1B1C8CAB">
      <w:pPr>
        <w:shd w:val="clear" w:color="auto" w:fill="FFFFFF"/>
        <w:tabs>
          <w:tab w:val="clear" w:pos="720"/>
        </w:tabs>
        <w:spacing w:after="120" w:line="320" w:lineRule="atLeast"/>
        <w:ind w:firstLine="720"/>
      </w:pPr>
      <w:r w:rsidRPr="005144EC">
        <w:rPr>
          <w:rStyle w:val="FootnoteReference"/>
        </w:rPr>
        <w:footnoteRef/>
      </w:r>
      <w:r w:rsidRPr="005144EC">
        <w:t xml:space="preserve">  Section 1170, subdivision (a)(3) specifies that “[i]</w:t>
      </w:r>
      <w:r w:rsidRPr="005144EC">
        <w:rPr>
          <w:rFonts w:eastAsia="Times New Roman" w:cs="Times New Roman"/>
          <w:color w:val="000000"/>
          <w:kern w:val="0"/>
          <w14:ligatures w14:val="none"/>
        </w:rPr>
        <w:t xml:space="preserve">n sentencing the convicted person, the court shall apply the sentencing rules of the </w:t>
      </w:r>
      <w:r w:rsidRPr="005144EC" w:rsidR="00E10C19">
        <w:rPr>
          <w:rFonts w:eastAsia="Times New Roman" w:cs="Times New Roman"/>
          <w:color w:val="000000"/>
          <w:kern w:val="0"/>
          <w14:ligatures w14:val="none"/>
        </w:rPr>
        <w:t>J</w:t>
      </w:r>
      <w:r w:rsidRPr="005144EC">
        <w:rPr>
          <w:rFonts w:eastAsia="Times New Roman" w:cs="Times New Roman"/>
          <w:color w:val="000000"/>
          <w:kern w:val="0"/>
          <w14:ligatures w14:val="none"/>
        </w:rPr>
        <w:t>udicial Council.”</w:t>
      </w:r>
      <w:r w:rsidRPr="005144EC">
        <w:t xml:space="preserve"> </w:t>
      </w:r>
    </w:p>
  </w:footnote>
  <w:footnote w:id="7">
    <w:p w:rsidR="00BE0CAC" w:rsidP="00DB24FA" w14:paraId="45D2D345" w14:textId="7DA602B6">
      <w:pPr>
        <w:pStyle w:val="FootnoteText"/>
        <w:spacing w:after="120"/>
        <w:ind w:firstLine="720"/>
      </w:pPr>
      <w:r>
        <w:rPr>
          <w:rStyle w:val="FootnoteReference"/>
        </w:rPr>
        <w:footnoteRef/>
      </w:r>
      <w:r>
        <w:t xml:space="preserve">  At oral argument, counsel reiterated that defendant is advancing only a constitutional claim under the Sixth Amendment and is not challenging his aggravated sentence under section 1170, as amended by Senate Bill </w:t>
      </w:r>
      <w:r w:rsidR="00496C91">
        <w:t>567.</w:t>
      </w:r>
      <w:r>
        <w:t xml:space="preserve"> </w:t>
      </w:r>
    </w:p>
  </w:footnote>
  <w:footnote w:id="8">
    <w:p w:rsidR="001F4A83" w:rsidRPr="005144EC" w:rsidP="00DB24FA" w14:paraId="2F69C047" w14:textId="39F7B377">
      <w:pPr>
        <w:shd w:val="clear" w:color="auto" w:fill="FFFFFF"/>
        <w:tabs>
          <w:tab w:val="clear" w:pos="720"/>
        </w:tabs>
        <w:spacing w:after="120" w:line="320" w:lineRule="atLeast"/>
        <w:ind w:firstLine="720"/>
        <w:rPr>
          <w:rFonts w:eastAsia="Times New Roman" w:cs="Times New Roman"/>
          <w:color w:val="000000"/>
          <w:kern w:val="0"/>
          <w14:ligatures w14:val="none"/>
        </w:rPr>
      </w:pPr>
      <w:r w:rsidRPr="005144EC">
        <w:rPr>
          <w:rStyle w:val="FootnoteReference"/>
        </w:rPr>
        <w:footnoteRef/>
      </w:r>
      <w:r w:rsidRPr="005144EC">
        <w:t xml:space="preserve">  We note that in </w:t>
      </w:r>
      <w:r w:rsidRPr="005144EC">
        <w:rPr>
          <w:i/>
          <w:iCs/>
        </w:rPr>
        <w:t xml:space="preserve">French, </w:t>
      </w:r>
      <w:r w:rsidRPr="005144EC">
        <w:t xml:space="preserve">the </w:t>
      </w:r>
      <w:r w:rsidRPr="005144EC" w:rsidR="00436FB0">
        <w:t xml:space="preserve">high </w:t>
      </w:r>
      <w:r w:rsidRPr="005144EC">
        <w:t>court concluded the defendant had not forfeited his constitutional c</w:t>
      </w:r>
      <w:r w:rsidRPr="005144EC" w:rsidR="00FA25E9">
        <w:t xml:space="preserve">laim that he was entitled to a jury trial of aggravating facts, </w:t>
      </w:r>
      <w:r w:rsidRPr="005144EC">
        <w:t>stating</w:t>
      </w:r>
      <w:r w:rsidRPr="005144EC">
        <w:t xml:space="preserve"> “</w:t>
      </w:r>
      <w:r w:rsidRPr="005144EC">
        <w:rPr>
          <w:rFonts w:eastAsia="Times New Roman" w:cs="Times New Roman"/>
          <w:color w:val="000000"/>
          <w:kern w:val="0"/>
          <w14:ligatures w14:val="none"/>
        </w:rPr>
        <w:t xml:space="preserve">At the time that defendant entered his plea of no contest, he expressly waived his right to a jury trial on the substantive offenses, but this waiver did not encompass his right to a jury trial on any aggravating circumstances. </w:t>
      </w:r>
      <w:r w:rsidRPr="005144EC" w:rsidR="00C102D4">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The absence of such an explicit waiver is not surprising. </w:t>
      </w:r>
      <w:r w:rsidRPr="005144EC" w:rsidR="00C102D4">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When defendant entered his plea, </w:t>
      </w:r>
      <w:r w:rsidRPr="005144EC">
        <w:rPr>
          <w:rFonts w:eastAsia="Times New Roman" w:cs="Times New Roman"/>
          <w:i/>
          <w:iCs/>
          <w:color w:val="3D3D3D"/>
          <w:kern w:val="0"/>
          <w:bdr w:val="none" w:sz="0" w:space="0" w:color="auto" w:frame="1"/>
          <w14:ligatures w14:val="none"/>
        </w:rPr>
        <w:t>Blakely</w:t>
      </w:r>
      <w:r w:rsidRPr="005144EC">
        <w:rPr>
          <w:rFonts w:eastAsia="Times New Roman" w:cs="Times New Roman"/>
          <w:color w:val="000000"/>
          <w:kern w:val="0"/>
          <w14:ligatures w14:val="none"/>
        </w:rPr>
        <w:t xml:space="preserve"> had not yet been decided, and prior to that decision </w:t>
      </w:r>
      <w:r w:rsidRPr="005144EC" w:rsidR="00C102D4">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it was widely assumed that for the purposes of the rule established in </w:t>
      </w:r>
      <w:r w:rsidRPr="005144EC">
        <w:rPr>
          <w:rFonts w:eastAsia="Times New Roman" w:cs="Times New Roman"/>
          <w:i/>
          <w:iCs/>
          <w:color w:val="3D3D3D"/>
          <w:kern w:val="0"/>
          <w:bdr w:val="none" w:sz="0" w:space="0" w:color="auto" w:frame="1"/>
          <w14:ligatures w14:val="none"/>
        </w:rPr>
        <w:t>Apprendi,</w:t>
      </w:r>
      <w:r w:rsidRPr="005144EC">
        <w:rPr>
          <w:rFonts w:eastAsia="Times New Roman" w:cs="Times New Roman"/>
          <w:color w:val="000000"/>
          <w:kern w:val="0"/>
          <w14:ligatures w14:val="none"/>
        </w:rPr>
        <w:t xml:space="preserve"> the maximum term authorized by the jury</w:t>
      </w:r>
      <w:r w:rsidRPr="005144EC" w:rsidR="00FA25E9">
        <w:rPr>
          <w:rFonts w:eastAsia="Times New Roman" w:cs="Times New Roman"/>
          <w:color w:val="000000"/>
          <w:kern w:val="0"/>
          <w14:ligatures w14:val="none"/>
        </w:rPr>
        <w:t>’</w:t>
      </w:r>
      <w:r w:rsidRPr="005144EC">
        <w:rPr>
          <w:rFonts w:eastAsia="Times New Roman" w:cs="Times New Roman"/>
          <w:color w:val="000000"/>
          <w:kern w:val="0"/>
          <w14:ligatures w14:val="none"/>
        </w:rPr>
        <w:t>s verdict was the upper term.</w:t>
      </w:r>
      <w:r w:rsidRPr="005144EC" w:rsidR="00C102D4">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Pr>
          <w:rFonts w:eastAsia="Times New Roman" w:cs="Times New Roman"/>
          <w:noProof/>
          <w:color w:val="000000"/>
          <w:kern w:val="0"/>
          <w:bdr w:val="none" w:sz="0" w:space="0" w:color="auto" w:frame="1"/>
          <w:shd w:val="clear" w:color="auto" w:fill="FFFFFF"/>
          <w14:ligatures w14:val="none"/>
        </w:rPr>
        <w:t xml:space="preserve"> </w:t>
      </w:r>
      <w:r w:rsidRPr="005144EC" w:rsidR="00C102D4">
        <w:rPr>
          <w:rFonts w:eastAsia="Times New Roman" w:cs="Times New Roman"/>
          <w:color w:val="000000"/>
          <w:kern w:val="0"/>
          <w14:ligatures w14:val="none"/>
        </w:rPr>
        <w:t>[</w:t>
      </w:r>
      <w:r w:rsidRPr="005144EC">
        <w:rPr>
          <w:rFonts w:eastAsia="Times New Roman" w:cs="Times New Roman"/>
          <w:color w:val="000000"/>
          <w:kern w:val="0"/>
          <w14:ligatures w14:val="none"/>
        </w:rPr>
        <w:t>Citation</w:t>
      </w:r>
      <w:r w:rsidRPr="005144EC" w:rsidR="00C102D4">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 . . Defendant</w:t>
      </w:r>
      <w:r w:rsidRPr="005144EC" w:rsidR="00C102D4">
        <w:rPr>
          <w:rFonts w:eastAsia="Times New Roman" w:cs="Times New Roman"/>
          <w:color w:val="000000"/>
          <w:kern w:val="0"/>
          <w14:ligatures w14:val="none"/>
        </w:rPr>
        <w:t>’</w:t>
      </w:r>
      <w:r w:rsidRPr="005144EC">
        <w:rPr>
          <w:rFonts w:eastAsia="Times New Roman" w:cs="Times New Roman"/>
          <w:color w:val="000000"/>
          <w:kern w:val="0"/>
          <w14:ligatures w14:val="none"/>
        </w:rPr>
        <w:t>s waiver of jury trial on the offenses in connection with his no contest plea cannot reasonably be interpreted to extend to proof of aggravating circumstances when, at the time of the plea, no right to a jury trial on such circumstances had been recognized.</w:t>
      </w:r>
      <w:r w:rsidRPr="005144EC" w:rsidR="00C102D4">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Defendant did not forfeit his Sixth Amendment right by failing to request a jury trial on the aggravating circumstances, and his claim must be addressed on the merits.”  (</w:t>
      </w:r>
      <w:r w:rsidRPr="005144EC">
        <w:rPr>
          <w:rFonts w:eastAsia="Times New Roman" w:cs="Times New Roman"/>
          <w:i/>
          <w:iCs/>
          <w:color w:val="3D3D3D"/>
          <w:kern w:val="0"/>
          <w:bdr w:val="none" w:sz="0" w:space="0" w:color="auto" w:frame="1"/>
          <w14:ligatures w14:val="none"/>
        </w:rPr>
        <w:t xml:space="preserve">French, supra, </w:t>
      </w:r>
      <w:r w:rsidRPr="005144EC">
        <w:rPr>
          <w:rFonts w:eastAsia="Times New Roman" w:cs="Times New Roman"/>
          <w:color w:val="000000"/>
          <w:kern w:val="0"/>
          <w14:ligatures w14:val="none"/>
        </w:rPr>
        <w:t>43 Cal.4th at p. 48</w:t>
      </w:r>
      <w:r w:rsidRPr="005144EC" w:rsidR="00C102D4">
        <w:rPr>
          <w:rFonts w:eastAsia="Times New Roman" w:cs="Times New Roman"/>
          <w:color w:val="000000"/>
          <w:kern w:val="0"/>
          <w14:ligatures w14:val="none"/>
        </w:rPr>
        <w:t>, fn. omitted</w:t>
      </w:r>
      <w:r w:rsidRPr="005144EC">
        <w:rPr>
          <w:rFonts w:eastAsia="Times New Roman" w:cs="Times New Roman"/>
          <w:color w:val="000000"/>
          <w:kern w:val="0"/>
          <w14:ligatures w14:val="none"/>
        </w:rPr>
        <w:t>.)</w:t>
      </w:r>
    </w:p>
    <w:p w:rsidR="00496C91" w:rsidP="00DB24FA" w14:paraId="44E7C149" w14:textId="77777777">
      <w:pPr>
        <w:shd w:val="clear" w:color="auto" w:fill="FFFFFF"/>
        <w:tabs>
          <w:tab w:val="clear" w:pos="720"/>
        </w:tabs>
        <w:spacing w:after="120" w:line="320" w:lineRule="atLeast"/>
        <w:ind w:firstLine="720"/>
      </w:pPr>
      <w:r w:rsidRPr="005144EC">
        <w:t xml:space="preserve">Both the majority and dissenting opinions in </w:t>
      </w:r>
      <w:r w:rsidRPr="005144EC">
        <w:rPr>
          <w:i/>
          <w:iCs/>
        </w:rPr>
        <w:t xml:space="preserve">Sivongxxay </w:t>
      </w:r>
      <w:r>
        <w:t xml:space="preserve">make clear </w:t>
      </w:r>
      <w:r w:rsidRPr="005144EC">
        <w:t>th</w:t>
      </w:r>
      <w:r w:rsidRPr="005144EC" w:rsidR="00FA25E9">
        <w:t>is</w:t>
      </w:r>
      <w:r w:rsidRPr="005144EC">
        <w:t xml:space="preserve"> statement in </w:t>
      </w:r>
      <w:r w:rsidRPr="005144EC">
        <w:rPr>
          <w:i/>
          <w:iCs/>
        </w:rPr>
        <w:t xml:space="preserve">French </w:t>
      </w:r>
      <w:r>
        <w:t xml:space="preserve">applies where no jury trial right has yet been recognized.  </w:t>
      </w:r>
      <w:r w:rsidRPr="005144EC">
        <w:t>The majority’s discussion is set forth above.  In his dissent, Justice Cu</w:t>
      </w:r>
      <w:r w:rsidRPr="005144EC" w:rsidR="003D0022">
        <w:t>é</w:t>
      </w:r>
      <w:r w:rsidRPr="005144EC">
        <w:t xml:space="preserve">llar </w:t>
      </w:r>
      <w:r w:rsidRPr="005144EC" w:rsidR="001F4A83">
        <w:t>stated, “</w:t>
      </w:r>
      <w:r w:rsidRPr="005144EC">
        <w:rPr>
          <w:rFonts w:eastAsia="Times New Roman" w:cs="Times New Roman"/>
          <w:color w:val="000000"/>
          <w:kern w:val="0"/>
          <w14:ligatures w14:val="none"/>
        </w:rPr>
        <w:t>The gist of defendant</w:t>
      </w:r>
      <w:r w:rsidRPr="005144EC" w:rsidR="00873F40">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claim is that the record fails to show he was aware of his right to a jury trial on this phase of the trial or that he waived it. </w:t>
      </w:r>
      <w:r w:rsidRPr="005144EC" w:rsidR="003D0022">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State v. Williams</w:t>
      </w:r>
      <w:r w:rsidRPr="005144EC">
        <w:rPr>
          <w:rFonts w:eastAsia="Times New Roman" w:cs="Times New Roman"/>
          <w:color w:val="000000"/>
          <w:kern w:val="0"/>
          <w14:ligatures w14:val="none"/>
        </w:rPr>
        <w:t xml:space="preserve"> (2005) 197 Or</w:t>
      </w:r>
      <w:r w:rsidRPr="005144EC" w:rsidR="003D0022">
        <w:rPr>
          <w:rFonts w:eastAsia="Times New Roman" w:cs="Times New Roman"/>
          <w:color w:val="000000"/>
          <w:kern w:val="0"/>
          <w14:ligatures w14:val="none"/>
        </w:rPr>
        <w:t>e</w:t>
      </w:r>
      <w:r w:rsidRPr="005144EC">
        <w:rPr>
          <w:rFonts w:eastAsia="Times New Roman" w:cs="Times New Roman"/>
          <w:color w:val="000000"/>
          <w:kern w:val="0"/>
          <w14:ligatures w14:val="none"/>
        </w:rPr>
        <w:t>.App. 21</w:t>
      </w:r>
      <w:r w:rsidRPr="005144EC" w:rsidR="003D0022">
        <w:rPr>
          <w:rFonts w:eastAsia="Times New Roman" w:cs="Times New Roman"/>
          <w:color w:val="000000"/>
          <w:kern w:val="0"/>
          <w14:ligatures w14:val="none"/>
        </w:rPr>
        <w:t xml:space="preserve"> . . .</w:t>
      </w:r>
      <w:r w:rsidRPr="005144EC">
        <w:rPr>
          <w:rFonts w:eastAsia="Times New Roman" w:cs="Times New Roman"/>
          <w:color w:val="000000"/>
          <w:kern w:val="0"/>
          <w14:ligatures w14:val="none"/>
        </w:rPr>
        <w:t xml:space="preserve"> presents an analogous situation. </w:t>
      </w:r>
      <w:r w:rsidRPr="005144EC" w:rsidR="003D0022">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Williams similarly was unaware that he had the right to a jury finding of the facts that could trigger an enhanced sentence; his trial had predated </w:t>
      </w:r>
      <w:r w:rsidRPr="005144EC">
        <w:rPr>
          <w:rFonts w:eastAsia="Times New Roman" w:cs="Times New Roman"/>
          <w:i/>
          <w:iCs/>
          <w:color w:val="3D3D3D"/>
          <w:kern w:val="0"/>
          <w:bdr w:val="none" w:sz="0" w:space="0" w:color="auto" w:frame="1"/>
          <w14:ligatures w14:val="none"/>
        </w:rPr>
        <w:t>Blakely v. Washington</w:t>
      </w:r>
      <w:r w:rsidRPr="005144EC">
        <w:rPr>
          <w:rFonts w:eastAsia="Times New Roman" w:cs="Times New Roman"/>
          <w:color w:val="000000"/>
          <w:kern w:val="0"/>
          <w14:ligatures w14:val="none"/>
        </w:rPr>
        <w:t xml:space="preserve"> (2004) 542 U.S. 296</w:t>
      </w:r>
      <w:r w:rsidRPr="005144EC" w:rsidR="003D0022">
        <w:rPr>
          <w:rFonts w:eastAsia="Times New Roman" w:cs="Times New Roman"/>
          <w:color w:val="000000"/>
          <w:kern w:val="0"/>
          <w14:ligatures w14:val="none"/>
        </w:rPr>
        <w:t xml:space="preserve"> . . . </w:t>
      </w:r>
      <w:r w:rsidRPr="005144EC">
        <w:rPr>
          <w:rFonts w:eastAsia="Times New Roman" w:cs="Times New Roman"/>
          <w:color w:val="000000"/>
          <w:kern w:val="0"/>
          <w14:ligatures w14:val="none"/>
        </w:rPr>
        <w:t xml:space="preserve">, which held that a criminal defendant has a federal constitutional right to have a jury find the facts that could subject him to a sentence greater than the statutory maximum. </w:t>
      </w:r>
      <w:r w:rsidRPr="005144EC" w:rsidR="003D0022">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The </w:t>
      </w:r>
      <w:r w:rsidRPr="005144EC">
        <w:rPr>
          <w:rFonts w:eastAsia="Times New Roman" w:cs="Times New Roman"/>
          <w:i/>
          <w:iCs/>
          <w:color w:val="3D3D3D"/>
          <w:kern w:val="0"/>
          <w:bdr w:val="none" w:sz="0" w:space="0" w:color="auto" w:frame="1"/>
          <w14:ligatures w14:val="none"/>
        </w:rPr>
        <w:t>Williams</w:t>
      </w:r>
      <w:r w:rsidRPr="005144EC">
        <w:rPr>
          <w:rFonts w:eastAsia="Times New Roman" w:cs="Times New Roman"/>
          <w:color w:val="000000"/>
          <w:kern w:val="0"/>
          <w14:ligatures w14:val="none"/>
        </w:rPr>
        <w:t xml:space="preserve"> court reasoned that no waiver could be implied in those circumstances unless the record showed that the defendant was aware both of ‘</w:t>
      </w:r>
      <w:r w:rsidRPr="005144EC" w:rsidR="003D0022">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the right to have a jury determine the aggravating factors”</w:t>
      </w:r>
      <w:r w:rsidRPr="005144EC" w:rsidR="003D0022">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and that ‘</w:t>
      </w:r>
      <w:r w:rsidRPr="005144EC" w:rsidR="003D0022">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he was waiving that right.”</w:t>
      </w:r>
      <w:r w:rsidRPr="005144EC" w:rsidR="003D0022">
        <w:rPr>
          <w:rFonts w:eastAsia="Times New Roman" w:cs="Times New Roman"/>
          <w:color w:val="000000"/>
          <w:kern w:val="0"/>
          <w14:ligatures w14:val="none"/>
        </w:rPr>
        <w:t xml:space="preserve"> ’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Williams</w:t>
      </w:r>
      <w:r w:rsidRPr="005144EC">
        <w:rPr>
          <w:rFonts w:eastAsia="Times New Roman" w:cs="Times New Roman"/>
          <w:color w:val="000000"/>
          <w:kern w:val="0"/>
          <w14:ligatures w14:val="none"/>
        </w:rPr>
        <w:t xml:space="preserve">, at p. 1152; accord, </w:t>
      </w:r>
      <w:r w:rsidRPr="005144EC">
        <w:rPr>
          <w:rFonts w:eastAsia="Times New Roman" w:cs="Times New Roman"/>
          <w:i/>
          <w:iCs/>
          <w:color w:val="000000"/>
          <w:kern w:val="0"/>
          <w:bdr w:val="none" w:sz="0" w:space="0" w:color="auto" w:frame="1"/>
          <w:shd w:val="clear" w:color="auto" w:fill="FFFFFF"/>
          <w14:ligatures w14:val="none"/>
        </w:rPr>
        <w:t>People</w:t>
      </w:r>
      <w:r w:rsidRPr="005144EC">
        <w:rPr>
          <w:rFonts w:eastAsia="Times New Roman" w:cs="Times New Roman"/>
          <w:i/>
          <w:iCs/>
          <w:color w:val="3D3D3D"/>
          <w:kern w:val="0"/>
          <w:bdr w:val="none" w:sz="0" w:space="0" w:color="auto" w:frame="1"/>
          <w:shd w:val="clear" w:color="auto" w:fill="FFFFFF"/>
          <w14:ligatures w14:val="none"/>
        </w:rPr>
        <w:t xml:space="preserve"> </w:t>
      </w:r>
      <w:r w:rsidRPr="005144EC">
        <w:rPr>
          <w:rFonts w:eastAsia="Times New Roman" w:cs="Times New Roman"/>
          <w:i/>
          <w:iCs/>
          <w:color w:val="000000"/>
          <w:kern w:val="0"/>
          <w:bdr w:val="none" w:sz="0" w:space="0" w:color="auto" w:frame="1"/>
          <w:shd w:val="clear" w:color="auto" w:fill="FFFFFF"/>
          <w14:ligatures w14:val="none"/>
        </w:rPr>
        <w:t>v</w:t>
      </w:r>
      <w:r w:rsidRPr="005144EC">
        <w:rPr>
          <w:rFonts w:eastAsia="Times New Roman" w:cs="Times New Roman"/>
          <w:i/>
          <w:iCs/>
          <w:color w:val="3D3D3D"/>
          <w:kern w:val="0"/>
          <w:bdr w:val="none" w:sz="0" w:space="0" w:color="auto" w:frame="1"/>
          <w:shd w:val="clear" w:color="auto" w:fill="FFFFFF"/>
          <w14:ligatures w14:val="none"/>
        </w:rPr>
        <w:t xml:space="preserve">. </w:t>
      </w:r>
      <w:r w:rsidRPr="005144EC">
        <w:rPr>
          <w:rFonts w:eastAsia="Times New Roman" w:cs="Times New Roman"/>
          <w:i/>
          <w:iCs/>
          <w:color w:val="000000"/>
          <w:kern w:val="0"/>
          <w:bdr w:val="none" w:sz="0" w:space="0" w:color="auto" w:frame="1"/>
          <w:shd w:val="clear" w:color="auto" w:fill="FFFFFF"/>
          <w14:ligatures w14:val="none"/>
        </w:rPr>
        <w:t>French</w:t>
      </w:r>
      <w:r w:rsidRPr="005144EC">
        <w:rPr>
          <w:rFonts w:eastAsia="Times New Roman" w:cs="Times New Roman"/>
          <w:color w:val="000000"/>
          <w:kern w:val="0"/>
          <w:bdr w:val="none" w:sz="0" w:space="0" w:color="auto" w:frame="1"/>
          <w:shd w:val="clear" w:color="auto" w:fill="FFFFFF"/>
          <w14:ligatures w14:val="none"/>
        </w:rPr>
        <w:t xml:space="preserve"> (2008) 43 Cal.4th 36, 48</w:t>
      </w:r>
      <w:r w:rsidRPr="005144EC" w:rsidR="003D0022">
        <w:rPr>
          <w:rFonts w:eastAsia="Times New Roman" w:cs="Times New Roman"/>
          <w:color w:val="000000"/>
          <w:kern w:val="0"/>
          <w:bdr w:val="none" w:sz="0" w:space="0" w:color="auto" w:frame="1"/>
          <w:shd w:val="clear" w:color="auto" w:fill="FFFFFF"/>
          <w14:ligatures w14:val="none"/>
        </w:rPr>
        <w:t xml:space="preserve"> . . . </w:t>
      </w:r>
      <w:r w:rsidRPr="005144EC">
        <w:rPr>
          <w:rFonts w:eastAsia="Times New Roman" w:cs="Times New Roman"/>
          <w:color w:val="000000"/>
          <w:kern w:val="0"/>
          <w14:ligatures w14:val="none"/>
        </w:rPr>
        <w:t>[because the defendant entered his plea pre-</w:t>
      </w:r>
      <w:r w:rsidRPr="005144EC">
        <w:rPr>
          <w:rFonts w:eastAsia="Times New Roman" w:cs="Times New Roman"/>
          <w:i/>
          <w:iCs/>
          <w:color w:val="3D3D3D"/>
          <w:kern w:val="0"/>
          <w:bdr w:val="none" w:sz="0" w:space="0" w:color="auto" w:frame="1"/>
          <w14:ligatures w14:val="none"/>
        </w:rPr>
        <w:t>Blakely</w:t>
      </w:r>
      <w:r w:rsidRPr="005144EC">
        <w:rPr>
          <w:rFonts w:eastAsia="Times New Roman" w:cs="Times New Roman"/>
          <w:color w:val="000000"/>
          <w:kern w:val="0"/>
          <w14:ligatures w14:val="none"/>
        </w:rPr>
        <w:t xml:space="preserve">, his jury waiver on the substantive offense </w:t>
      </w:r>
      <w:r w:rsidRPr="005144EC" w:rsidR="003D0022">
        <w:rPr>
          <w:rFonts w:eastAsia="Times New Roman" w:cs="Times New Roman"/>
          <w:color w:val="000000"/>
          <w:kern w:val="0"/>
          <w14:ligatures w14:val="none"/>
        </w:rPr>
        <w:t>‘</w:t>
      </w:r>
      <w:r w:rsidRPr="005144EC">
        <w:rPr>
          <w:rFonts w:eastAsia="Times New Roman" w:cs="Times New Roman"/>
          <w:color w:val="000000"/>
          <w:kern w:val="0"/>
          <w:bdr w:val="none" w:sz="0" w:space="0" w:color="auto" w:frame="1"/>
          <w:shd w:val="clear" w:color="auto" w:fill="FFFFFF"/>
          <w14:ligatures w14:val="none"/>
        </w:rPr>
        <w:t>did not encompass his right to a jury trial on any aggravating circumstances</w:t>
      </w:r>
      <w:r w:rsidRPr="005144EC" w:rsidR="003D0022">
        <w:rPr>
          <w:rFonts w:eastAsia="Times New Roman" w:cs="Times New Roman"/>
          <w:color w:val="000000"/>
          <w:kern w:val="0"/>
          <w:bdr w:val="none" w:sz="0" w:space="0" w:color="auto" w:frame="1"/>
          <w:shd w:val="clear" w:color="auto" w:fill="FFFFFF"/>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State v. Schofield</w:t>
      </w:r>
      <w:r w:rsidRPr="005144EC">
        <w:rPr>
          <w:rFonts w:eastAsia="Times New Roman" w:cs="Times New Roman"/>
          <w:color w:val="000000"/>
          <w:kern w:val="0"/>
          <w14:ligatures w14:val="none"/>
        </w:rPr>
        <w:t xml:space="preserve"> (2005) </w:t>
      </w:r>
      <w:r w:rsidRPr="005144EC" w:rsidR="003D0022">
        <w:rPr>
          <w:rFonts w:eastAsia="Times New Roman" w:cs="Times New Roman"/>
          <w:color w:val="000000"/>
          <w:kern w:val="0"/>
          <w14:ligatures w14:val="none"/>
        </w:rPr>
        <w:t>2005 ME 82</w:t>
      </w:r>
      <w:r w:rsidRPr="005144EC">
        <w:rPr>
          <w:rFonts w:eastAsia="Times New Roman" w:cs="Times New Roman"/>
          <w:color w:val="000000"/>
          <w:kern w:val="0"/>
          <w14:ligatures w14:val="none"/>
        </w:rPr>
        <w:t>.</w:t>
      </w:r>
      <w:r w:rsidRPr="005144EC" w:rsidR="003D0022">
        <w:rPr>
          <w:rFonts w:eastAsia="Times New Roman" w:cs="Times New Roman"/>
          <w:color w:val="000000"/>
          <w:kern w:val="0"/>
          <w14:ligatures w14:val="none"/>
        </w:rPr>
        <w:t xml:space="preserve"> . . .</w:t>
      </w:r>
      <w:r w:rsidRPr="005144EC">
        <w:rPr>
          <w:rFonts w:eastAsia="Times New Roman" w:cs="Times New Roman"/>
          <w:color w:val="000000"/>
          <w:kern w:val="0"/>
          <w14:ligatures w14:val="none"/>
        </w:rPr>
        <w:t xml:space="preserve">) </w:t>
      </w:r>
      <w:r w:rsidRPr="005144EC" w:rsidR="003D0022">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Unlike the majority, I see no meaningful distinction in the fact that Williams was unaware of his jury trial right because of an intervening change in the law, while defendant was unaware of his jury trial right because it was never mentioned anywhere in the colloquy. (Cf. maj. opn., </w:t>
      </w:r>
      <w:r w:rsidRPr="005144EC">
        <w:rPr>
          <w:rFonts w:eastAsia="Times New Roman" w:cs="Times New Roman"/>
          <w:i/>
          <w:iCs/>
          <w:color w:val="3D3D3D"/>
          <w:kern w:val="0"/>
          <w:bdr w:val="none" w:sz="0" w:space="0" w:color="auto" w:frame="1"/>
          <w14:ligatures w14:val="none"/>
        </w:rPr>
        <w:t>ante</w:t>
      </w:r>
      <w:r w:rsidRPr="005144EC">
        <w:rPr>
          <w:rFonts w:eastAsia="Times New Roman" w:cs="Times New Roman"/>
          <w:color w:val="000000"/>
          <w:kern w:val="0"/>
          <w14:ligatures w14:val="none"/>
        </w:rPr>
        <w:t>,</w:t>
      </w:r>
      <w:r w:rsidRPr="005144EC" w:rsidR="003D0022">
        <w:rPr>
          <w:rFonts w:eastAsia="Times New Roman" w:cs="Times New Roman"/>
          <w:color w:val="000000"/>
          <w:kern w:val="0"/>
          <w14:ligatures w14:val="none"/>
        </w:rPr>
        <w:t xml:space="preserve"> at pp. 172–173, fn. 7</w:t>
      </w:r>
      <w:r w:rsidRPr="005144EC">
        <w:rPr>
          <w:rFonts w:eastAsia="Times New Roman" w:cs="Times New Roman"/>
          <w:color w:val="000000"/>
          <w:kern w:val="0"/>
          <w14:ligatures w14:val="none"/>
        </w:rPr>
        <w:t>.)</w:t>
      </w:r>
      <w:r w:rsidRPr="005144EC" w:rsidR="001F4A83">
        <w:rPr>
          <w:rFonts w:eastAsia="Times New Roman" w:cs="Times New Roman"/>
          <w:color w:val="000000"/>
          <w:kern w:val="0"/>
          <w14:ligatures w14:val="none"/>
        </w:rPr>
        <w:t>”</w:t>
      </w:r>
      <w:r w:rsidRPr="005144EC" w:rsidR="00436FB0">
        <w:rPr>
          <w:rFonts w:eastAsia="Times New Roman" w:cs="Times New Roman"/>
          <w:color w:val="000000"/>
          <w:kern w:val="0"/>
          <w14:ligatures w14:val="none"/>
        </w:rPr>
        <w:t xml:space="preserve">  (</w:t>
      </w:r>
      <w:r w:rsidRPr="005144EC" w:rsidR="00436FB0">
        <w:rPr>
          <w:i/>
          <w:iCs/>
        </w:rPr>
        <w:t xml:space="preserve">Sivongxxay, supra, </w:t>
      </w:r>
      <w:r w:rsidRPr="005144EC" w:rsidR="00436FB0">
        <w:t>3 Cal.5th at pp. 222</w:t>
      </w:r>
      <w:r w:rsidRPr="005144EC" w:rsidR="003D0022">
        <w:t>–</w:t>
      </w:r>
      <w:r w:rsidRPr="005144EC" w:rsidR="00436FB0">
        <w:t>223 (dis</w:t>
      </w:r>
      <w:r w:rsidRPr="005144EC" w:rsidR="003D0022">
        <w:t>. opn. of Cuéllar, J.)</w:t>
      </w:r>
      <w:r w:rsidRPr="005144EC" w:rsidR="00436FB0">
        <w:t>.)</w:t>
      </w:r>
    </w:p>
    <w:p w:rsidR="00105B6F" w:rsidRPr="005144EC" w:rsidP="00DB24FA" w14:paraId="390E3075" w14:textId="6AD7E121">
      <w:pPr>
        <w:shd w:val="clear" w:color="auto" w:fill="FFFFFF"/>
        <w:tabs>
          <w:tab w:val="clear" w:pos="720"/>
        </w:tabs>
        <w:spacing w:after="120" w:line="320" w:lineRule="atLeast"/>
        <w:ind w:firstLine="720"/>
      </w:pPr>
      <w:r>
        <w:rPr>
          <w:rFonts w:eastAsia="Times New Roman" w:cs="Times New Roman"/>
          <w:color w:val="000000"/>
          <w:kern w:val="0"/>
          <w14:ligatures w14:val="none"/>
        </w:rPr>
        <w:t>Here, i</w:t>
      </w:r>
      <w:r w:rsidRPr="005144EC" w:rsidR="001F4A83">
        <w:rPr>
          <w:rFonts w:eastAsia="Times New Roman" w:cs="Times New Roman"/>
          <w:color w:val="000000"/>
          <w:kern w:val="0"/>
          <w14:ligatures w14:val="none"/>
        </w:rPr>
        <w:t xml:space="preserve">n </w:t>
      </w:r>
      <w:r>
        <w:rPr>
          <w:rFonts w:eastAsia="Times New Roman" w:cs="Times New Roman"/>
          <w:color w:val="000000"/>
          <w:kern w:val="0"/>
          <w14:ligatures w14:val="none"/>
        </w:rPr>
        <w:t>contrast, at the time defendant pleaded no contest, the constitutional right to jury trial on facts in aggravation was well established.</w:t>
      </w:r>
      <w:r w:rsidRPr="005144EC" w:rsidR="001F4A83">
        <w:rPr>
          <w:rFonts w:eastAsia="Times New Roman" w:cs="Times New Roman"/>
          <w:color w:val="000000"/>
          <w:kern w:val="0"/>
          <w14:ligatures w14:val="none"/>
        </w:rPr>
        <w:t xml:space="preserve"> </w:t>
      </w:r>
    </w:p>
  </w:footnote>
  <w:footnote w:id="9">
    <w:p w:rsidR="0056680E" w:rsidRPr="005144EC" w:rsidP="00DB24FA" w14:paraId="4D8BC211" w14:textId="5C2473D2">
      <w:pPr>
        <w:pStyle w:val="FootnoteText"/>
        <w:spacing w:after="120"/>
        <w:ind w:firstLine="720"/>
      </w:pPr>
      <w:r w:rsidRPr="005144EC">
        <w:rPr>
          <w:rStyle w:val="FootnoteReference"/>
        </w:rPr>
        <w:footnoteRef/>
      </w:r>
      <w:r w:rsidRPr="005144EC">
        <w:t xml:space="preserve">  “</w:t>
      </w:r>
      <w:r w:rsidRPr="005144EC">
        <w:rPr>
          <w:i/>
          <w:iCs/>
        </w:rPr>
        <w:t>Memro</w:t>
      </w:r>
      <w:r w:rsidRPr="005144EC">
        <w:t xml:space="preserve"> construed the [then applicable] statutes (as enacted by the Legislature in 1977, see Stats. 1977, ch. 316, §§ 7, 12, pp. 1257, 1260), read together, as requiring a </w:t>
      </w:r>
      <w:r w:rsidRPr="005144EC" w:rsidR="00EF2FED">
        <w:t>‘</w:t>
      </w:r>
      <w:r w:rsidRPr="005144EC">
        <w:t>separate, personal waiver</w:t>
      </w:r>
      <w:r w:rsidRPr="005144EC" w:rsidR="00EF2FED">
        <w:t>’</w:t>
      </w:r>
      <w:r w:rsidRPr="005144EC">
        <w:t xml:space="preserve"> of the right to a jury for a special circumstance allegation, above and beyond the standard guilt phase and penalty phase waiver.”  (</w:t>
      </w:r>
      <w:r w:rsidRPr="005144EC">
        <w:rPr>
          <w:i/>
          <w:iCs/>
        </w:rPr>
        <w:t>Sivongxxay</w:t>
      </w:r>
      <w:r w:rsidRPr="005144EC">
        <w:t xml:space="preserve">, </w:t>
      </w:r>
      <w:r w:rsidRPr="005144EC">
        <w:rPr>
          <w:i/>
          <w:iCs/>
        </w:rPr>
        <w:t xml:space="preserve">supra, </w:t>
      </w:r>
      <w:r w:rsidRPr="005144EC">
        <w:t xml:space="preserve">3 Cal.5th at p. 176.) </w:t>
      </w:r>
    </w:p>
  </w:footnote>
  <w:footnote w:id="10">
    <w:p w:rsidR="00B7000A" w:rsidRPr="005144EC" w:rsidP="00DB24FA" w14:paraId="6AFB5443" w14:textId="6EB9F8DD">
      <w:pPr>
        <w:pStyle w:val="FootnoteText"/>
        <w:spacing w:after="120"/>
        <w:ind w:firstLine="720"/>
      </w:pPr>
      <w:r w:rsidRPr="005144EC">
        <w:rPr>
          <w:rStyle w:val="FootnoteReference"/>
        </w:rPr>
        <w:footnoteRef/>
      </w:r>
      <w:r w:rsidRPr="005144EC">
        <w:t xml:space="preserve">  Historically, prior conviction findings based on the information in probation reports have not been criticized in cases considering whether a defendant’s constitutional right to a jury trial was violated.  (See, e.g., </w:t>
      </w:r>
      <w:r w:rsidRPr="005144EC">
        <w:rPr>
          <w:i/>
          <w:iCs/>
        </w:rPr>
        <w:t>People v. Towne</w:t>
      </w:r>
      <w:r w:rsidRPr="005144EC">
        <w:t xml:space="preserve"> (2008) 44 Cal.4th 63, 76 [10 prior convictions listed in probation report supported aggravating circumstance that prior convictions were numerous]</w:t>
      </w:r>
      <w:r w:rsidRPr="005144EC" w:rsidR="002B5F03">
        <w:t>;</w:t>
      </w:r>
      <w:r w:rsidRPr="005144EC">
        <w:t xml:space="preserve"> </w:t>
      </w:r>
      <w:r w:rsidRPr="005144EC">
        <w:rPr>
          <w:i/>
          <w:iCs/>
        </w:rPr>
        <w:t>Black II, supra</w:t>
      </w:r>
      <w:r w:rsidRPr="005144EC">
        <w:t xml:space="preserve">, 41 Cal.4th at p. 818 [probation report’s list of defendant’s prior convictions demonstrated convictions were both numerous and of increasing seriousness]; see also </w:t>
      </w:r>
      <w:r w:rsidRPr="005144EC">
        <w:rPr>
          <w:i/>
          <w:iCs/>
        </w:rPr>
        <w:t>People v. Falcon</w:t>
      </w:r>
      <w:r w:rsidRPr="005144EC">
        <w:t xml:space="preserve"> (2023) 92</w:t>
      </w:r>
      <w:r w:rsidRPr="005144EC" w:rsidR="00EF2FED">
        <w:t> </w:t>
      </w:r>
      <w:r w:rsidRPr="005144EC">
        <w:t>Cal.App.5th 911, 942, fn. 10</w:t>
      </w:r>
      <w:r w:rsidRPr="005144EC" w:rsidR="0092026C">
        <w:t xml:space="preserve"> </w:t>
      </w:r>
      <w:r w:rsidRPr="005144EC" w:rsidR="00DC2B2E">
        <w:t>(</w:t>
      </w:r>
      <w:r w:rsidRPr="005144EC" w:rsidR="00DC2B2E">
        <w:rPr>
          <w:i/>
          <w:iCs/>
        </w:rPr>
        <w:t>Falcon)</w:t>
      </w:r>
      <w:r w:rsidRPr="005144EC" w:rsidR="00DC2B2E">
        <w:t xml:space="preserve"> </w:t>
      </w:r>
      <w:r w:rsidRPr="005144EC">
        <w:t>[“we presume prior conviction findings made from a probation report would remain constitutionally sound</w:t>
      </w:r>
      <w:r w:rsidRPr="005144EC" w:rsidR="00EF2FED">
        <w:t>,</w:t>
      </w:r>
      <w:r w:rsidRPr="005144EC">
        <w:t>”</w:t>
      </w:r>
      <w:r w:rsidRPr="005144EC" w:rsidR="00EF2FED">
        <w:t xml:space="preserve"> </w:t>
      </w:r>
      <w:r w:rsidR="00DC2B2E">
        <w:t>(</w:t>
      </w:r>
      <w:r w:rsidRPr="005144EC" w:rsidR="00EF2FED">
        <w:t>italics omitted</w:t>
      </w:r>
      <w:r w:rsidR="00DC2B2E">
        <w:t>)</w:t>
      </w:r>
      <w:r w:rsidRPr="005144EC">
        <w:t>]</w:t>
      </w:r>
      <w:r w:rsidRPr="005144EC" w:rsidR="0092026C">
        <w:t>, review granted Sept. 13, 2023, S281242</w:t>
      </w:r>
      <w:r w:rsidR="00DC2B2E">
        <w:t>.)</w:t>
      </w:r>
    </w:p>
  </w:footnote>
  <w:footnote w:id="11">
    <w:p w:rsidR="0003495C" w:rsidRPr="005144EC" w:rsidP="00DB24FA" w14:paraId="0F43ECAC" w14:textId="38E18930">
      <w:pPr>
        <w:shd w:val="clear" w:color="auto" w:fill="FFFFFF"/>
        <w:tabs>
          <w:tab w:val="clear" w:pos="720"/>
        </w:tabs>
        <w:spacing w:after="120" w:line="320" w:lineRule="atLeast"/>
        <w:ind w:firstLine="720"/>
      </w:pPr>
      <w:r w:rsidRPr="005144EC">
        <w:rPr>
          <w:rStyle w:val="FootnoteReference"/>
        </w:rPr>
        <w:footnoteRef/>
      </w:r>
      <w:r w:rsidRPr="005144EC">
        <w:t xml:space="preserve">  Nor could defendant base an ineffective assistance of counsel claim on appeal on </w:t>
      </w:r>
      <w:r w:rsidRPr="005144EC" w:rsidR="0011316E">
        <w:t xml:space="preserve">his </w:t>
      </w:r>
      <w:r w:rsidRPr="005144EC">
        <w:t>counsel’s failure to object.</w:t>
      </w:r>
      <w:r w:rsidRPr="005144EC" w:rsidR="007D6013">
        <w:t xml:space="preserve">  “[W]</w:t>
      </w:r>
      <w:r w:rsidRPr="005144EC" w:rsidR="007D6013">
        <w:rPr>
          <w:rFonts w:eastAsia="Times New Roman" w:cs="Times New Roman"/>
          <w:color w:val="000000"/>
          <w:kern w:val="0"/>
          <w14:ligatures w14:val="none"/>
        </w:rPr>
        <w:t>hen the reasons for counsel</w:t>
      </w:r>
      <w:r w:rsidRPr="005144EC" w:rsidR="00BE2A35">
        <w:rPr>
          <w:rFonts w:eastAsia="Times New Roman" w:cs="Times New Roman"/>
          <w:color w:val="000000"/>
          <w:kern w:val="0"/>
          <w14:ligatures w14:val="none"/>
        </w:rPr>
        <w:t>’</w:t>
      </w:r>
      <w:r w:rsidRPr="005144EC" w:rsidR="007D6013">
        <w:rPr>
          <w:rFonts w:eastAsia="Times New Roman" w:cs="Times New Roman"/>
          <w:color w:val="000000"/>
          <w:kern w:val="0"/>
          <w14:ligatures w14:val="none"/>
        </w:rPr>
        <w:t>s actions are not readily apparent in the record, we will not assume constitutionally inadequate representation and reverse .</w:t>
      </w:r>
      <w:r w:rsidRPr="005144EC" w:rsidR="00BE2A35">
        <w:rPr>
          <w:rFonts w:eastAsia="Times New Roman" w:cs="Times New Roman"/>
          <w:color w:val="000000"/>
          <w:kern w:val="0"/>
          <w14:ligatures w14:val="none"/>
        </w:rPr>
        <w:t xml:space="preserve"> </w:t>
      </w:r>
      <w:r w:rsidRPr="005144EC" w:rsidR="007D6013">
        <w:rPr>
          <w:rFonts w:eastAsia="Times New Roman" w:cs="Times New Roman"/>
          <w:color w:val="000000"/>
          <w:kern w:val="0"/>
          <w14:ligatures w14:val="none"/>
        </w:rPr>
        <w:t>.</w:t>
      </w:r>
      <w:r w:rsidRPr="005144EC" w:rsidR="00BE2A35">
        <w:rPr>
          <w:rFonts w:eastAsia="Times New Roman" w:cs="Times New Roman"/>
          <w:color w:val="000000"/>
          <w:kern w:val="0"/>
          <w14:ligatures w14:val="none"/>
        </w:rPr>
        <w:t xml:space="preserve"> </w:t>
      </w:r>
      <w:r w:rsidRPr="005144EC" w:rsidR="007D6013">
        <w:rPr>
          <w:rFonts w:eastAsia="Times New Roman" w:cs="Times New Roman"/>
          <w:color w:val="000000"/>
          <w:kern w:val="0"/>
          <w14:ligatures w14:val="none"/>
        </w:rPr>
        <w:t>. unless the appellate record discloses ‘ “no conceivable tactical purpose” ’ for counsel</w:t>
      </w:r>
      <w:r w:rsidRPr="005144EC" w:rsidR="00BE2A35">
        <w:rPr>
          <w:rFonts w:eastAsia="Times New Roman" w:cs="Times New Roman"/>
          <w:color w:val="000000"/>
          <w:kern w:val="0"/>
          <w14:ligatures w14:val="none"/>
        </w:rPr>
        <w:t>’</w:t>
      </w:r>
      <w:r w:rsidRPr="005144EC" w:rsidR="007D6013">
        <w:rPr>
          <w:rFonts w:eastAsia="Times New Roman" w:cs="Times New Roman"/>
          <w:color w:val="000000"/>
          <w:kern w:val="0"/>
          <w14:ligatures w14:val="none"/>
        </w:rPr>
        <w:t>s act or omission.</w:t>
      </w:r>
      <w:r w:rsidRPr="005144EC" w:rsidR="00BE2A35">
        <w:rPr>
          <w:rFonts w:eastAsia="Times New Roman" w:cs="Times New Roman"/>
          <w:color w:val="000000"/>
          <w:kern w:val="0"/>
          <w14:ligatures w14:val="none"/>
        </w:rPr>
        <w:t xml:space="preserve"> </w:t>
      </w:r>
      <w:r w:rsidRPr="005144EC" w:rsidR="007D6013">
        <w:rPr>
          <w:rFonts w:eastAsia="Times New Roman" w:cs="Times New Roman"/>
          <w:color w:val="000000"/>
          <w:kern w:val="0"/>
          <w14:ligatures w14:val="none"/>
        </w:rPr>
        <w:t xml:space="preserve"> (</w:t>
      </w:r>
      <w:r w:rsidRPr="005144EC" w:rsidR="007D6013">
        <w:rPr>
          <w:rFonts w:eastAsia="Times New Roman" w:cs="Times New Roman"/>
          <w:i/>
          <w:iCs/>
          <w:color w:val="3D3D3D"/>
          <w:kern w:val="0"/>
          <w:bdr w:val="none" w:sz="0" w:space="0" w:color="auto" w:frame="1"/>
          <w14:ligatures w14:val="none"/>
        </w:rPr>
        <w:t>People v. Hines</w:t>
      </w:r>
      <w:r w:rsidRPr="005144EC" w:rsidR="007D6013">
        <w:rPr>
          <w:rFonts w:eastAsia="Times New Roman" w:cs="Times New Roman"/>
          <w:color w:val="000000"/>
          <w:kern w:val="0"/>
          <w14:ligatures w14:val="none"/>
        </w:rPr>
        <w:t xml:space="preserve"> [(1997)] 15 Cal.4th [997,] 1065, quoting </w:t>
      </w:r>
      <w:r w:rsidRPr="005144EC" w:rsidR="007D6013">
        <w:rPr>
          <w:rFonts w:eastAsia="Times New Roman" w:cs="Times New Roman"/>
          <w:i/>
          <w:iCs/>
          <w:color w:val="3D3D3D"/>
          <w:kern w:val="0"/>
          <w:bdr w:val="none" w:sz="0" w:space="0" w:color="auto" w:frame="1"/>
          <w14:ligatures w14:val="none"/>
        </w:rPr>
        <w:t>People v. Diaz</w:t>
      </w:r>
      <w:r w:rsidRPr="005144EC" w:rsidR="007D6013">
        <w:rPr>
          <w:rFonts w:eastAsia="Times New Roman" w:cs="Times New Roman"/>
          <w:color w:val="000000"/>
          <w:kern w:val="0"/>
          <w14:ligatures w14:val="none"/>
        </w:rPr>
        <w:t xml:space="preserve"> (1992) 3 Cal.4th 495, 558.</w:t>
      </w:r>
      <w:r w:rsidRPr="005144EC" w:rsidR="00BE2A35">
        <w:rPr>
          <w:rFonts w:eastAsia="Times New Roman" w:cs="Times New Roman"/>
          <w:color w:val="000000"/>
          <w:kern w:val="0"/>
          <w14:ligatures w14:val="none"/>
        </w:rPr>
        <w:t xml:space="preserve"> </w:t>
      </w:r>
      <w:r w:rsidRPr="005144EC" w:rsidR="007D6013">
        <w:rPr>
          <w:rFonts w:eastAsia="Times New Roman" w:cs="Times New Roman"/>
          <w:color w:val="000000"/>
          <w:kern w:val="0"/>
          <w14:ligatures w14:val="none"/>
        </w:rPr>
        <w:t>.</w:t>
      </w:r>
      <w:r w:rsidRPr="005144EC" w:rsidR="00BE2A35">
        <w:rPr>
          <w:rFonts w:eastAsia="Times New Roman" w:cs="Times New Roman"/>
          <w:color w:val="000000"/>
          <w:kern w:val="0"/>
          <w14:ligatures w14:val="none"/>
        </w:rPr>
        <w:t xml:space="preserve"> </w:t>
      </w:r>
      <w:r w:rsidRPr="005144EC" w:rsidR="007D6013">
        <w:rPr>
          <w:rFonts w:eastAsia="Times New Roman" w:cs="Times New Roman"/>
          <w:color w:val="000000"/>
          <w:kern w:val="0"/>
          <w14:ligatures w14:val="none"/>
        </w:rPr>
        <w:t>.</w:t>
      </w:r>
      <w:r w:rsidRPr="005144EC" w:rsidR="00BE2A35">
        <w:rPr>
          <w:rFonts w:eastAsia="Times New Roman" w:cs="Times New Roman"/>
          <w:color w:val="000000"/>
          <w:kern w:val="0"/>
          <w14:ligatures w14:val="none"/>
        </w:rPr>
        <w:t xml:space="preserve"> </w:t>
      </w:r>
      <w:r w:rsidRPr="005144EC" w:rsidR="007D6013">
        <w:rPr>
          <w:rFonts w:eastAsia="Times New Roman" w:cs="Times New Roman"/>
          <w:color w:val="000000"/>
          <w:kern w:val="0"/>
          <w14:ligatures w14:val="none"/>
        </w:rPr>
        <w:t>.)”</w:t>
      </w:r>
      <w:r w:rsidRPr="005144EC" w:rsidR="00BE2A35">
        <w:rPr>
          <w:rFonts w:eastAsia="Times New Roman" w:cs="Times New Roman"/>
          <w:color w:val="000000"/>
          <w:kern w:val="0"/>
          <w14:ligatures w14:val="none"/>
        </w:rPr>
        <w:t xml:space="preserve"> </w:t>
      </w:r>
      <w:r w:rsidRPr="005144EC" w:rsidR="007D6013">
        <w:rPr>
          <w:rFonts w:eastAsia="Times New Roman" w:cs="Times New Roman"/>
          <w:color w:val="000000"/>
          <w:kern w:val="0"/>
          <w14:ligatures w14:val="none"/>
        </w:rPr>
        <w:t xml:space="preserve"> (</w:t>
      </w:r>
      <w:r w:rsidRPr="005144EC" w:rsidR="007D6013">
        <w:rPr>
          <w:rFonts w:eastAsia="Times New Roman" w:cs="Times New Roman"/>
          <w:i/>
          <w:iCs/>
          <w:color w:val="3D3D3D"/>
          <w:kern w:val="0"/>
          <w:bdr w:val="none" w:sz="0" w:space="0" w:color="auto" w:frame="1"/>
          <w14:ligatures w14:val="none"/>
        </w:rPr>
        <w:t>People v. Lewis</w:t>
      </w:r>
      <w:r w:rsidRPr="005144EC" w:rsidR="007D6013">
        <w:rPr>
          <w:rFonts w:eastAsia="Times New Roman" w:cs="Times New Roman"/>
          <w:color w:val="000000"/>
          <w:kern w:val="0"/>
          <w14:ligatures w14:val="none"/>
        </w:rPr>
        <w:t xml:space="preserve"> (2001) 25 Cal.4th 610, 674–675.)  We can certainly conceive of a reasonable tactical reason defense counsel did not object given the benefit to defendant of the negotiated disposition.</w:t>
      </w:r>
      <w:r w:rsidRPr="005144EC">
        <w:t xml:space="preserve">  </w:t>
      </w:r>
    </w:p>
  </w:footnote>
  <w:footnote w:id="12">
    <w:p w:rsidR="00D52551" w:rsidRPr="005144EC" w:rsidP="00DB24FA" w14:paraId="0630A430" w14:textId="28DCB7DF">
      <w:pPr>
        <w:shd w:val="clear" w:color="auto" w:fill="FFFFFF"/>
        <w:tabs>
          <w:tab w:val="clear" w:pos="720"/>
        </w:tabs>
        <w:spacing w:after="120" w:line="320" w:lineRule="atLeast"/>
        <w:ind w:firstLine="720"/>
        <w:rPr>
          <w:rFonts w:eastAsia="Times New Roman" w:cs="Times New Roman"/>
          <w:color w:val="000000"/>
          <w:kern w:val="0"/>
          <w14:ligatures w14:val="none"/>
        </w:rPr>
      </w:pPr>
      <w:r w:rsidRPr="005144EC">
        <w:rPr>
          <w:rStyle w:val="FootnoteReference"/>
        </w:rPr>
        <w:footnoteRef/>
      </w:r>
      <w:r w:rsidRPr="005144EC">
        <w:t xml:space="preserve">  We realize our conclusion in this regard differs from statements in </w:t>
      </w:r>
      <w:r w:rsidRPr="005144EC">
        <w:rPr>
          <w:i/>
          <w:iCs/>
        </w:rPr>
        <w:t>Falcon</w:t>
      </w:r>
      <w:r w:rsidRPr="005144EC" w:rsidR="005B2148">
        <w:t xml:space="preserve">, </w:t>
      </w:r>
      <w:r w:rsidRPr="005144EC" w:rsidR="005B2148">
        <w:rPr>
          <w:i/>
          <w:iCs/>
        </w:rPr>
        <w:t>supra</w:t>
      </w:r>
      <w:r w:rsidRPr="005144EC" w:rsidR="005B2148">
        <w:t xml:space="preserve">, </w:t>
      </w:r>
      <w:r w:rsidRPr="005144EC">
        <w:t xml:space="preserve">92 Cal.App.5th </w:t>
      </w:r>
      <w:r w:rsidRPr="005144EC" w:rsidR="005B2148">
        <w:t>at p</w:t>
      </w:r>
      <w:r w:rsidRPr="005144EC" w:rsidR="00540E20">
        <w:t>age</w:t>
      </w:r>
      <w:r w:rsidRPr="005144EC">
        <w:t xml:space="preserve"> 953, review granted Sept</w:t>
      </w:r>
      <w:r w:rsidRPr="005144EC" w:rsidR="00540E20">
        <w:t>ember</w:t>
      </w:r>
      <w:r w:rsidRPr="005144EC">
        <w:t xml:space="preserve"> 13, 2023, S281242 and </w:t>
      </w:r>
      <w:r w:rsidRPr="005144EC">
        <w:rPr>
          <w:i/>
          <w:iCs/>
        </w:rPr>
        <w:t>People v. Fernandez</w:t>
      </w:r>
      <w:r w:rsidRPr="005144EC">
        <w:t xml:space="preserve"> (1990) 226 Cal.App.3d 669, 681 (</w:t>
      </w:r>
      <w:r w:rsidRPr="005144EC">
        <w:rPr>
          <w:i/>
          <w:iCs/>
        </w:rPr>
        <w:t>Fernandez</w:t>
      </w:r>
      <w:r w:rsidRPr="005144EC">
        <w:t>)</w:t>
      </w:r>
      <w:r w:rsidRPr="005144EC" w:rsidR="0038499B">
        <w:t xml:space="preserve">.  </w:t>
      </w:r>
      <w:r w:rsidRPr="005144EC">
        <w:t xml:space="preserve">In </w:t>
      </w:r>
      <w:r w:rsidRPr="005144EC">
        <w:rPr>
          <w:i/>
          <w:iCs/>
        </w:rPr>
        <w:t>Falcon</w:t>
      </w:r>
      <w:r w:rsidRPr="005144EC">
        <w:t>, evidence of two felony convictions was admitted at trial.  The jury was required to find true one of the convictions to convict the defendant of being a felon in possession of a firearm.  That left only one felony conviction for consideration under rule 4.421(b)(2).  The appellate court stated</w:t>
      </w:r>
      <w:r w:rsidRPr="005144EC" w:rsidR="00040121">
        <w:t>, without further analysis,</w:t>
      </w:r>
      <w:r w:rsidRPr="005144EC">
        <w:t xml:space="preserve"> it was “</w:t>
      </w:r>
      <w:r w:rsidRPr="005144EC">
        <w:rPr>
          <w:rFonts w:eastAsia="Times New Roman" w:cs="Times New Roman"/>
          <w:color w:val="000000"/>
          <w:kern w:val="0"/>
          <w14:ligatures w14:val="none"/>
        </w:rPr>
        <w:t xml:space="preserve">unaware of any published authority holding one or two prior convictions qualify as </w:t>
      </w:r>
      <w:r w:rsidRPr="005144EC" w:rsidR="005B2148">
        <w:rPr>
          <w:rFonts w:eastAsia="Times New Roman" w:cs="Times New Roman"/>
          <w:color w:val="000000"/>
          <w:kern w:val="0"/>
          <w14:ligatures w14:val="none"/>
        </w:rPr>
        <w:t>‘</w:t>
      </w:r>
      <w:r w:rsidRPr="005144EC">
        <w:rPr>
          <w:rFonts w:eastAsia="Times New Roman" w:cs="Times New Roman"/>
          <w:color w:val="000000"/>
          <w:kern w:val="0"/>
          <w14:ligatures w14:val="none"/>
        </w:rPr>
        <w:t>numerous</w:t>
      </w:r>
      <w:r w:rsidRPr="005144EC" w:rsidR="005B2148">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for purposes of California Rules of Court, rule 4.421(b)</w:t>
      </w:r>
      <w:r w:rsidRPr="005144EC" w:rsidR="005B2148">
        <w:rPr>
          <w:rFonts w:eastAsia="Times New Roman" w:cs="Times New Roman"/>
          <w:color w:val="000000"/>
          <w:kern w:val="0"/>
          <w14:ligatures w14:val="none"/>
        </w:rPr>
        <w:t>(2)</w:t>
      </w:r>
      <w:r w:rsidRPr="005144EC" w:rsidR="00040121">
        <w:rPr>
          <w:rFonts w:eastAsia="Times New Roman" w:cs="Times New Roman"/>
          <w:color w:val="000000"/>
          <w:kern w:val="0"/>
          <w14:ligatures w14:val="none"/>
        </w:rPr>
        <w:t>.</w:t>
      </w:r>
      <w:r w:rsidRPr="005144EC">
        <w:rPr>
          <w:rFonts w:eastAsia="Times New Roman" w:cs="Times New Roman"/>
          <w:color w:val="000000"/>
          <w:kern w:val="0"/>
          <w14:ligatures w14:val="none"/>
        </w:rPr>
        <w:t>”</w:t>
      </w:r>
      <w:r w:rsidRPr="005144EC" w:rsidR="00762A27">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000000"/>
          <w:kern w:val="0"/>
          <w14:ligatures w14:val="none"/>
        </w:rPr>
        <w:t xml:space="preserve">Falcon, </w:t>
      </w:r>
      <w:r w:rsidRPr="005144EC">
        <w:rPr>
          <w:rFonts w:eastAsia="Times New Roman" w:cs="Times New Roman"/>
          <w:color w:val="000000"/>
          <w:kern w:val="0"/>
          <w14:ligatures w14:val="none"/>
        </w:rPr>
        <w:t xml:space="preserve">at p. 953.)  In </w:t>
      </w:r>
      <w:r w:rsidRPr="005144EC">
        <w:rPr>
          <w:rFonts w:eastAsia="Times New Roman" w:cs="Times New Roman"/>
          <w:i/>
          <w:iCs/>
          <w:color w:val="000000"/>
          <w:kern w:val="0"/>
          <w14:ligatures w14:val="none"/>
        </w:rPr>
        <w:t xml:space="preserve">Fernandez, </w:t>
      </w:r>
      <w:r w:rsidRPr="005144EC">
        <w:rPr>
          <w:rFonts w:eastAsia="Times New Roman" w:cs="Times New Roman"/>
          <w:color w:val="000000"/>
          <w:kern w:val="0"/>
          <w14:ligatures w14:val="none"/>
        </w:rPr>
        <w:t>the defendant was convicted of 155 counts of lewd and lascivious conduct upon a child and one count of lewd conduct by force.  He admitted having one prior “</w:t>
      </w:r>
      <w:r w:rsidRPr="005144EC" w:rsidR="005B2148">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serious felony</w:t>
      </w:r>
      <w:r w:rsidRPr="005144EC" w:rsidR="005B2148">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conviction for rape and having served a prior prison term for various felonies. </w:t>
      </w:r>
      <w:r w:rsidRPr="005144EC" w:rsidR="005B2148">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He was sentenced to 330 years in prison.  (</w:t>
      </w:r>
      <w:r w:rsidRPr="005144EC">
        <w:rPr>
          <w:rFonts w:eastAsia="Times New Roman" w:cs="Times New Roman"/>
          <w:i/>
          <w:iCs/>
          <w:color w:val="000000"/>
          <w:kern w:val="0"/>
          <w14:ligatures w14:val="none"/>
        </w:rPr>
        <w:t xml:space="preserve">Fernandez, </w:t>
      </w:r>
      <w:r w:rsidRPr="005144EC">
        <w:rPr>
          <w:rFonts w:eastAsia="Times New Roman" w:cs="Times New Roman"/>
          <w:color w:val="000000"/>
          <w:kern w:val="0"/>
          <w14:ligatures w14:val="none"/>
        </w:rPr>
        <w:t xml:space="preserve">at p. 674.)  The </w:t>
      </w:r>
      <w:r w:rsidRPr="005144EC" w:rsidR="00762A27">
        <w:rPr>
          <w:rFonts w:eastAsia="Times New Roman" w:cs="Times New Roman"/>
          <w:color w:val="000000"/>
          <w:kern w:val="0"/>
          <w14:ligatures w14:val="none"/>
        </w:rPr>
        <w:t>C</w:t>
      </w:r>
      <w:r w:rsidRPr="005144EC">
        <w:rPr>
          <w:rFonts w:eastAsia="Times New Roman" w:cs="Times New Roman"/>
          <w:color w:val="000000"/>
          <w:kern w:val="0"/>
          <w14:ligatures w14:val="none"/>
        </w:rPr>
        <w:t xml:space="preserve">ourt of </w:t>
      </w:r>
      <w:r w:rsidRPr="005144EC" w:rsidR="00762A27">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ppeal concluded the trial had erred in numerous respects, including referring </w:t>
      </w:r>
      <w:r w:rsidRPr="005144EC" w:rsidR="005346D1">
        <w:rPr>
          <w:rFonts w:eastAsia="Times New Roman" w:cs="Times New Roman"/>
          <w:color w:val="000000"/>
          <w:kern w:val="0"/>
          <w14:ligatures w14:val="none"/>
        </w:rPr>
        <w:t xml:space="preserve">generically </w:t>
      </w:r>
      <w:r w:rsidRPr="005144EC">
        <w:rPr>
          <w:rFonts w:eastAsia="Times New Roman" w:cs="Times New Roman"/>
          <w:color w:val="000000"/>
          <w:kern w:val="0"/>
          <w14:ligatures w14:val="none"/>
        </w:rPr>
        <w:t>to the probation report as support for a host of aggravating factors</w:t>
      </w:r>
      <w:r w:rsidRPr="005144EC" w:rsidR="005346D1">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a patently </w:t>
      </w:r>
      <w:r w:rsidRPr="005144EC" w:rsidR="005346D1">
        <w:rPr>
          <w:rFonts w:eastAsia="Times New Roman" w:cs="Times New Roman"/>
          <w:color w:val="000000"/>
          <w:kern w:val="0"/>
          <w14:ligatures w14:val="none"/>
        </w:rPr>
        <w:t>in</w:t>
      </w:r>
      <w:r w:rsidRPr="005144EC">
        <w:rPr>
          <w:rFonts w:eastAsia="Times New Roman" w:cs="Times New Roman"/>
          <w:color w:val="000000"/>
          <w:kern w:val="0"/>
          <w14:ligatures w14:val="none"/>
        </w:rPr>
        <w:t>sufficient explanation) and impermissible “dual use” of the rape conviction as a sentencing enhancement and a factor in aggravation.  (</w:t>
      </w:r>
      <w:r w:rsidRPr="005144EC">
        <w:rPr>
          <w:rFonts w:eastAsia="Times New Roman" w:cs="Times New Roman"/>
          <w:i/>
          <w:iCs/>
          <w:color w:val="000000"/>
          <w:kern w:val="0"/>
          <w14:ligatures w14:val="none"/>
        </w:rPr>
        <w:t xml:space="preserve">Id. </w:t>
      </w:r>
      <w:r w:rsidRPr="005144EC">
        <w:rPr>
          <w:rFonts w:eastAsia="Times New Roman" w:cs="Times New Roman"/>
          <w:color w:val="000000"/>
          <w:kern w:val="0"/>
          <w14:ligatures w14:val="none"/>
        </w:rPr>
        <w:t>at pp. 678</w:t>
      </w:r>
      <w:r w:rsidRPr="005144EC" w:rsidR="00762A27">
        <w:rPr>
          <w:rFonts w:eastAsia="Times New Roman" w:cs="Times New Roman"/>
          <w:color w:val="000000"/>
          <w:kern w:val="0"/>
          <w14:ligatures w14:val="none"/>
        </w:rPr>
        <w:t>–</w:t>
      </w:r>
      <w:r w:rsidRPr="005144EC">
        <w:rPr>
          <w:rFonts w:eastAsia="Times New Roman" w:cs="Times New Roman"/>
          <w:color w:val="000000"/>
          <w:kern w:val="0"/>
          <w14:ligatures w14:val="none"/>
        </w:rPr>
        <w:t>6</w:t>
      </w:r>
      <w:r w:rsidRPr="005144EC" w:rsidR="005B2148">
        <w:rPr>
          <w:rFonts w:eastAsia="Times New Roman" w:cs="Times New Roman"/>
          <w:color w:val="000000"/>
          <w:kern w:val="0"/>
          <w14:ligatures w14:val="none"/>
        </w:rPr>
        <w:t>81</w:t>
      </w:r>
      <w:r w:rsidRPr="005144EC">
        <w:rPr>
          <w:rFonts w:eastAsia="Times New Roman" w:cs="Times New Roman"/>
          <w:color w:val="000000"/>
          <w:kern w:val="0"/>
          <w14:ligatures w14:val="none"/>
        </w:rPr>
        <w:t xml:space="preserve">.)  </w:t>
      </w:r>
      <w:r w:rsidRPr="005144EC" w:rsidR="005346D1">
        <w:rPr>
          <w:rFonts w:eastAsia="Times New Roman" w:cs="Times New Roman"/>
          <w:color w:val="000000"/>
          <w:kern w:val="0"/>
          <w14:ligatures w14:val="none"/>
        </w:rPr>
        <w:t>The court</w:t>
      </w:r>
      <w:r w:rsidRPr="005144EC">
        <w:rPr>
          <w:rFonts w:eastAsia="Times New Roman" w:cs="Times New Roman"/>
          <w:color w:val="000000"/>
          <w:kern w:val="0"/>
          <w14:ligatures w14:val="none"/>
        </w:rPr>
        <w:t xml:space="preserve"> later commented, for purposes of remand, that taking the rape conviction out of the equation left two convictions (one for false imprisonment and one for possession of stolen property) and observed “[t]wo </w:t>
      </w:r>
      <w:r w:rsidRPr="005144EC" w:rsidR="005B2148">
        <w:rPr>
          <w:rFonts w:eastAsia="Times New Roman" w:cs="Times New Roman"/>
          <w:color w:val="000000"/>
          <w:kern w:val="0"/>
          <w14:ligatures w14:val="none"/>
        </w:rPr>
        <w:t xml:space="preserve">prior </w:t>
      </w:r>
      <w:r w:rsidRPr="005144EC">
        <w:rPr>
          <w:rFonts w:eastAsia="Times New Roman" w:cs="Times New Roman"/>
          <w:color w:val="000000"/>
          <w:kern w:val="0"/>
          <w14:ligatures w14:val="none"/>
        </w:rPr>
        <w:t>convictions” are “not ‘numerous.’ ”</w:t>
      </w:r>
      <w:r w:rsidRPr="005144EC" w:rsidR="005346D1">
        <w:rPr>
          <w:rFonts w:eastAsia="Times New Roman" w:cs="Times New Roman"/>
          <w:color w:val="000000"/>
          <w:kern w:val="0"/>
          <w14:ligatures w14:val="none"/>
        </w:rPr>
        <w:t xml:space="preserve">  </w:t>
      </w:r>
      <w:r w:rsidRPr="005144EC" w:rsidR="00040121">
        <w:rPr>
          <w:rFonts w:eastAsia="Times New Roman" w:cs="Times New Roman"/>
          <w:color w:val="000000"/>
          <w:kern w:val="0"/>
          <w14:ligatures w14:val="none"/>
        </w:rPr>
        <w:t>It commented, without</w:t>
      </w:r>
      <w:r w:rsidRPr="005144EC">
        <w:rPr>
          <w:rFonts w:eastAsia="Times New Roman" w:cs="Times New Roman"/>
          <w:color w:val="000000"/>
          <w:kern w:val="0"/>
          <w14:ligatures w14:val="none"/>
        </w:rPr>
        <w:t xml:space="preserve"> further analysis, the “applicability of” the recidivism factor was “questionable.”  (</w:t>
      </w:r>
      <w:r w:rsidRPr="005144EC">
        <w:rPr>
          <w:rFonts w:eastAsia="Times New Roman" w:cs="Times New Roman"/>
          <w:i/>
          <w:iCs/>
          <w:color w:val="000000"/>
          <w:kern w:val="0"/>
          <w14:ligatures w14:val="none"/>
        </w:rPr>
        <w:t xml:space="preserve">Id. </w:t>
      </w:r>
      <w:r w:rsidRPr="005144EC">
        <w:rPr>
          <w:rFonts w:eastAsia="Times New Roman" w:cs="Times New Roman"/>
          <w:color w:val="000000"/>
          <w:kern w:val="0"/>
          <w14:ligatures w14:val="none"/>
        </w:rPr>
        <w:t>at p. 681.)</w:t>
      </w:r>
      <w:r w:rsidRPr="005144EC" w:rsidR="0038499B">
        <w:rPr>
          <w:rFonts w:eastAsia="Times New Roman" w:cs="Times New Roman"/>
          <w:color w:val="000000"/>
          <w:kern w:val="0"/>
          <w14:ligatures w14:val="none"/>
        </w:rPr>
        <w:t xml:space="preserve">  We also </w:t>
      </w:r>
      <w:r w:rsidRPr="005144EC" w:rsidR="0038499B">
        <w:t xml:space="preserve">note in </w:t>
      </w:r>
      <w:r w:rsidRPr="005144EC" w:rsidR="0038499B">
        <w:rPr>
          <w:i/>
          <w:iCs/>
        </w:rPr>
        <w:t>French</w:t>
      </w:r>
      <w:r w:rsidRPr="005144EC" w:rsidR="00540E20">
        <w:rPr>
          <w:i/>
          <w:iCs/>
        </w:rPr>
        <w:t>,</w:t>
      </w:r>
      <w:r w:rsidRPr="005144EC" w:rsidR="0038499B">
        <w:rPr>
          <w:i/>
          <w:iCs/>
        </w:rPr>
        <w:t xml:space="preserve"> </w:t>
      </w:r>
      <w:r w:rsidRPr="005144EC" w:rsidR="0038499B">
        <w:t>the Supreme Court commented the defendant’</w:t>
      </w:r>
      <w:r w:rsidRPr="005144EC" w:rsidR="005346D1">
        <w:t>s</w:t>
      </w:r>
      <w:r w:rsidRPr="005144EC" w:rsidR="0038499B">
        <w:t xml:space="preserve"> </w:t>
      </w:r>
      <w:r w:rsidRPr="005144EC" w:rsidR="0038499B">
        <w:rPr>
          <w:rFonts w:eastAsia="Times New Roman" w:cs="Times New Roman"/>
          <w:color w:val="000000"/>
          <w:kern w:val="0"/>
          <w14:ligatures w14:val="none"/>
        </w:rPr>
        <w:t>only prior criminal convictions were two misdemeanor offenses for which he had been placed on probation.  (</w:t>
      </w:r>
      <w:r w:rsidRPr="005144EC" w:rsidR="0038499B">
        <w:rPr>
          <w:rFonts w:eastAsia="Times New Roman" w:cs="Times New Roman"/>
          <w:i/>
          <w:iCs/>
          <w:color w:val="3D3D3D"/>
          <w:kern w:val="0"/>
          <w:bdr w:val="none" w:sz="0" w:space="0" w:color="auto" w:frame="1"/>
          <w14:ligatures w14:val="none"/>
        </w:rPr>
        <w:t>French, supra,</w:t>
      </w:r>
      <w:r w:rsidRPr="005144EC" w:rsidR="0038499B">
        <w:rPr>
          <w:rFonts w:eastAsia="Times New Roman" w:cs="Times New Roman"/>
          <w:color w:val="000000"/>
          <w:kern w:val="0"/>
          <w14:ligatures w14:val="none"/>
        </w:rPr>
        <w:t xml:space="preserve"> 43 Cal.4th at p.</w:t>
      </w:r>
      <w:r w:rsidRPr="005144EC" w:rsidR="00540E20">
        <w:rPr>
          <w:rFonts w:eastAsia="Times New Roman" w:cs="Times New Roman"/>
          <w:color w:val="000000"/>
          <w:kern w:val="0"/>
          <w14:ligatures w14:val="none"/>
        </w:rPr>
        <w:t> </w:t>
      </w:r>
      <w:r w:rsidRPr="005144EC" w:rsidR="0038499B">
        <w:rPr>
          <w:rFonts w:eastAsia="Times New Roman" w:cs="Times New Roman"/>
          <w:color w:val="000000"/>
          <w:kern w:val="0"/>
          <w14:ligatures w14:val="none"/>
        </w:rPr>
        <w:t xml:space="preserve">42.)  However, the trial court </w:t>
      </w:r>
      <w:r w:rsidRPr="005144EC" w:rsidR="005346D1">
        <w:rPr>
          <w:rFonts w:eastAsia="Times New Roman" w:cs="Times New Roman"/>
          <w:color w:val="000000"/>
          <w:kern w:val="0"/>
          <w14:ligatures w14:val="none"/>
        </w:rPr>
        <w:t xml:space="preserve">in </w:t>
      </w:r>
      <w:r w:rsidRPr="005144EC" w:rsidR="005346D1">
        <w:rPr>
          <w:rFonts w:eastAsia="Times New Roman" w:cs="Times New Roman"/>
          <w:i/>
          <w:iCs/>
          <w:color w:val="000000"/>
          <w:kern w:val="0"/>
          <w14:ligatures w14:val="none"/>
        </w:rPr>
        <w:t xml:space="preserve">French </w:t>
      </w:r>
      <w:r w:rsidRPr="005144EC" w:rsidR="0038499B">
        <w:rPr>
          <w:rFonts w:eastAsia="Times New Roman" w:cs="Times New Roman"/>
          <w:color w:val="000000"/>
          <w:kern w:val="0"/>
          <w14:ligatures w14:val="none"/>
        </w:rPr>
        <w:t xml:space="preserve">did not rely on the recidivist factor, nor was any issue as to that factor raised or addressed by the </w:t>
      </w:r>
      <w:r w:rsidRPr="005144EC" w:rsidR="005346D1">
        <w:rPr>
          <w:rFonts w:eastAsia="Times New Roman" w:cs="Times New Roman"/>
          <w:color w:val="000000"/>
          <w:kern w:val="0"/>
          <w14:ligatures w14:val="none"/>
        </w:rPr>
        <w:t xml:space="preserve">high </w:t>
      </w:r>
      <w:r w:rsidRPr="005144EC" w:rsidR="0038499B">
        <w:rPr>
          <w:rFonts w:eastAsia="Times New Roman" w:cs="Times New Roman"/>
          <w:color w:val="000000"/>
          <w:kern w:val="0"/>
          <w14:ligatures w14:val="none"/>
        </w:rPr>
        <w:t xml:space="preserve">court.  </w:t>
      </w:r>
    </w:p>
    <w:p w:rsidR="00D52551" w:rsidRPr="005144EC" w:rsidP="00DB24FA" w14:paraId="69DA7CF0" w14:textId="76611704">
      <w:pPr>
        <w:pStyle w:val="FootnoteText"/>
        <w:spacing w:after="120"/>
      </w:pPr>
      <w:r w:rsidRPr="005144EC">
        <w:rPr>
          <w:rFonts w:eastAsia="Times New Roman" w:cs="Times New Roman"/>
          <w:color w:val="000000"/>
          <w:kern w:val="0"/>
          <w:szCs w:val="26"/>
          <w14:ligatures w14:val="none"/>
        </w:rPr>
        <w:tab/>
      </w:r>
      <w:r w:rsidRPr="005144EC" w:rsidR="005346D1">
        <w:rPr>
          <w:rFonts w:eastAsia="Times New Roman" w:cs="Times New Roman"/>
          <w:color w:val="000000"/>
          <w:kern w:val="0"/>
          <w:szCs w:val="26"/>
          <w14:ligatures w14:val="none"/>
        </w:rPr>
        <w:t>For the reasons we have discussed, i</w:t>
      </w:r>
      <w:r w:rsidRPr="005144EC">
        <w:rPr>
          <w:rFonts w:eastAsia="Times New Roman" w:cs="Times New Roman"/>
          <w:color w:val="000000"/>
          <w:kern w:val="0"/>
          <w:szCs w:val="26"/>
          <w14:ligatures w14:val="none"/>
        </w:rPr>
        <w:t xml:space="preserve">n our view, use of the plural term “convictions” is not dispositive and there is more to the analysis </w:t>
      </w:r>
      <w:r w:rsidRPr="005144EC" w:rsidR="005346D1">
        <w:rPr>
          <w:rFonts w:eastAsia="Times New Roman" w:cs="Times New Roman"/>
          <w:color w:val="000000"/>
          <w:kern w:val="0"/>
          <w:szCs w:val="26"/>
          <w14:ligatures w14:val="none"/>
        </w:rPr>
        <w:t xml:space="preserve">as to </w:t>
      </w:r>
      <w:r w:rsidRPr="005144EC">
        <w:rPr>
          <w:rFonts w:eastAsia="Times New Roman" w:cs="Times New Roman"/>
          <w:color w:val="000000"/>
          <w:kern w:val="0"/>
          <w:szCs w:val="26"/>
          <w14:ligatures w14:val="none"/>
        </w:rPr>
        <w:t xml:space="preserve">when the recidivist factor </w:t>
      </w:r>
      <w:r w:rsidRPr="005144EC" w:rsidR="005346D1">
        <w:rPr>
          <w:rFonts w:eastAsia="Times New Roman" w:cs="Times New Roman"/>
          <w:color w:val="000000"/>
          <w:kern w:val="0"/>
          <w:szCs w:val="26"/>
          <w14:ligatures w14:val="none"/>
        </w:rPr>
        <w:t xml:space="preserve">may </w:t>
      </w:r>
      <w:r w:rsidRPr="005144EC">
        <w:rPr>
          <w:rFonts w:eastAsia="Times New Roman" w:cs="Times New Roman"/>
          <w:color w:val="000000"/>
          <w:kern w:val="0"/>
          <w:szCs w:val="26"/>
          <w14:ligatures w14:val="none"/>
        </w:rPr>
        <w:t>appl</w:t>
      </w:r>
      <w:r w:rsidRPr="005144EC" w:rsidR="005346D1">
        <w:rPr>
          <w:rFonts w:eastAsia="Times New Roman" w:cs="Times New Roman"/>
          <w:color w:val="000000"/>
          <w:kern w:val="0"/>
          <w:szCs w:val="26"/>
          <w14:ligatures w14:val="none"/>
        </w:rPr>
        <w:t>y</w:t>
      </w:r>
      <w:r w:rsidRPr="005144EC">
        <w:rPr>
          <w:rFonts w:eastAsia="Times New Roman" w:cs="Times New Roman"/>
          <w:color w:val="000000"/>
          <w:kern w:val="0"/>
          <w:szCs w:val="26"/>
          <w14:ligatures w14:val="none"/>
        </w:rPr>
        <w:t xml:space="preserve"> than is reflected by these cases.</w:t>
      </w:r>
    </w:p>
  </w:footnote>
  <w:footnote w:id="13">
    <w:p w:rsidR="00276849" w:rsidRPr="005144EC" w:rsidP="00DB24FA" w14:paraId="6E69DC4C" w14:textId="35C037F4">
      <w:pPr>
        <w:pStyle w:val="FootnoteText"/>
        <w:spacing w:after="120"/>
        <w:ind w:firstLine="720"/>
      </w:pPr>
      <w:r w:rsidRPr="005144EC">
        <w:rPr>
          <w:rStyle w:val="FootnoteReference"/>
        </w:rPr>
        <w:footnoteRef/>
      </w:r>
      <w:r w:rsidRPr="005144EC">
        <w:t xml:space="preserve">  At oral argument</w:t>
      </w:r>
      <w:r w:rsidR="00D33463">
        <w:t xml:space="preserve">, </w:t>
      </w:r>
      <w:r w:rsidRPr="005144EC">
        <w:t xml:space="preserve">counsel maintained the discussion of </w:t>
      </w:r>
      <w:r w:rsidRPr="005144EC">
        <w:rPr>
          <w:i/>
          <w:iCs/>
        </w:rPr>
        <w:t xml:space="preserve">Black II </w:t>
      </w:r>
      <w:r w:rsidRPr="005144EC">
        <w:t xml:space="preserve">in defendant’s closing brief was not belated and was a response to the Attorney General’s reliance on the case.  However, given that defendant’s </w:t>
      </w:r>
      <w:r w:rsidRPr="005144EC" w:rsidR="00522962">
        <w:t>principal</w:t>
      </w:r>
      <w:r w:rsidRPr="005144EC">
        <w:t xml:space="preserve"> argument on appeal </w:t>
      </w:r>
      <w:r w:rsidRPr="005144EC" w:rsidR="009F17FD">
        <w:t>is</w:t>
      </w:r>
      <w:r w:rsidRPr="005144EC">
        <w:t xml:space="preserve"> that his</w:t>
      </w:r>
      <w:r w:rsidRPr="005144EC" w:rsidR="009F17FD">
        <w:t xml:space="preserve"> </w:t>
      </w:r>
      <w:r w:rsidRPr="005144EC">
        <w:rPr>
          <w:i/>
          <w:iCs/>
        </w:rPr>
        <w:t xml:space="preserve">constitutional </w:t>
      </w:r>
      <w:r w:rsidRPr="005144EC">
        <w:t xml:space="preserve">right to jury trial </w:t>
      </w:r>
      <w:r w:rsidRPr="005144EC" w:rsidR="009F17FD">
        <w:t xml:space="preserve">was infringed and that </w:t>
      </w:r>
      <w:r w:rsidRPr="005144EC" w:rsidR="009F17FD">
        <w:rPr>
          <w:i/>
          <w:iCs/>
        </w:rPr>
        <w:t xml:space="preserve">Black II </w:t>
      </w:r>
      <w:r w:rsidRPr="005144EC" w:rsidR="009F17FD">
        <w:t xml:space="preserve">is one of our high court’s leading decisions on this issue, one would reasonably expect a discussion of the case in defendant’s opening brief, including a discussion of why, as defendant now maintains, the case is “no longer good law.”  </w:t>
      </w:r>
    </w:p>
  </w:footnote>
  <w:footnote w:id="14">
    <w:p w:rsidR="00E3506E" w:rsidRPr="005144EC" w:rsidP="00DB24FA" w14:paraId="735A50EA" w14:textId="588735C9">
      <w:pPr>
        <w:pStyle w:val="FootnoteText"/>
        <w:spacing w:after="120"/>
        <w:ind w:firstLine="720"/>
      </w:pPr>
      <w:r w:rsidRPr="005144EC">
        <w:rPr>
          <w:rStyle w:val="FootnoteReference"/>
        </w:rPr>
        <w:footnoteRef/>
      </w:r>
      <w:r w:rsidRPr="005144EC">
        <w:t xml:space="preserve">  </w:t>
      </w:r>
      <w:r w:rsidRPr="005144EC" w:rsidR="000640F8">
        <w:t xml:space="preserve">Until January 22, 2023, </w:t>
      </w:r>
      <w:r w:rsidRPr="005144EC">
        <w:t>section 1170 gave the trial court broad authority to select the term (lower, middle, or upper) that “in the court</w:t>
      </w:r>
      <w:r w:rsidRPr="005144EC" w:rsidR="005B2148">
        <w:t>’</w:t>
      </w:r>
      <w:r w:rsidRPr="005144EC">
        <w:t xml:space="preserve">s discretion, best serve[d] the interests of justice.”  (Former § 1170, subd. (b), as amended by Stats. 2020, ch. 29, § 15.)  As amended by SB 567, section 1170, subdivision (b)(2), now provides, “The court may impose a sentence exceeding the middle term only when there are circumstances in aggravation of the crime that justify the imposition of a term of imprisonment exceeding the middle term, and the facts underlying those circumstances have been stipulated to by the defendant, or have been found true beyond a reasonable doubt at trial by the jury or by the judge in a court trial.”  (§ 1170, subd. (b)(2).)   </w:t>
      </w:r>
    </w:p>
  </w:footnote>
  <w:footnote w:id="15">
    <w:p w:rsidR="00AE4DF8" w:rsidRPr="005144EC" w:rsidP="00DB24FA" w14:paraId="55805FC4" w14:textId="4E5C2FDA">
      <w:pPr>
        <w:pStyle w:val="FootnoteText"/>
        <w:spacing w:after="120"/>
        <w:ind w:firstLine="720"/>
      </w:pPr>
      <w:r w:rsidRPr="005144EC">
        <w:rPr>
          <w:rStyle w:val="FootnoteReference"/>
        </w:rPr>
        <w:footnoteRef/>
      </w:r>
      <w:r w:rsidRPr="005144EC">
        <w:t xml:space="preserve">  </w:t>
      </w:r>
      <w:r w:rsidRPr="005144EC" w:rsidR="0019391F">
        <w:t>I</w:t>
      </w:r>
      <w:r w:rsidRPr="005144EC">
        <w:t xml:space="preserve">n </w:t>
      </w:r>
      <w:r w:rsidRPr="005144EC">
        <w:rPr>
          <w:i/>
          <w:iCs/>
        </w:rPr>
        <w:t>Flores</w:t>
      </w:r>
      <w:r w:rsidRPr="005144EC" w:rsidR="0019391F">
        <w:t xml:space="preserve">, </w:t>
      </w:r>
      <w:r w:rsidRPr="005144EC" w:rsidR="00701669">
        <w:t xml:space="preserve">unlike in the instant case, </w:t>
      </w:r>
      <w:r w:rsidRPr="005144EC" w:rsidR="0019391F">
        <w:t xml:space="preserve">the defendant was sentenced </w:t>
      </w:r>
      <w:r w:rsidRPr="005144EC" w:rsidR="007E63C0">
        <w:t xml:space="preserve">prior to the enactment of the section </w:t>
      </w:r>
      <w:r w:rsidRPr="005144EC" w:rsidR="00701669">
        <w:t>1170 amend</w:t>
      </w:r>
      <w:r w:rsidRPr="005144EC" w:rsidR="007E63C0">
        <w:t>ments,</w:t>
      </w:r>
      <w:r w:rsidRPr="005144EC" w:rsidR="00701669">
        <w:t xml:space="preserve"> </w:t>
      </w:r>
      <w:r w:rsidRPr="005144EC" w:rsidR="0019391F">
        <w:t>and on appeal</w:t>
      </w:r>
      <w:r w:rsidRPr="005144EC" w:rsidR="007E63C0">
        <w:t xml:space="preserve"> he</w:t>
      </w:r>
      <w:r w:rsidRPr="005144EC" w:rsidR="0019391F">
        <w:t xml:space="preserve"> claimed he was entitled to resentencing under the new </w:t>
      </w:r>
      <w:r w:rsidRPr="005144EC" w:rsidR="00701669">
        <w:rPr>
          <w:i/>
          <w:iCs/>
        </w:rPr>
        <w:t>statutory</w:t>
      </w:r>
      <w:r w:rsidRPr="005144EC" w:rsidR="00701669">
        <w:t xml:space="preserve"> </w:t>
      </w:r>
      <w:r w:rsidRPr="005144EC" w:rsidR="0019391F">
        <w:t>provisions.</w:t>
      </w:r>
      <w:r w:rsidRPr="005144EC" w:rsidR="00701669">
        <w:t xml:space="preserve">  In </w:t>
      </w:r>
      <w:r w:rsidRPr="005144EC" w:rsidR="007E63C0">
        <w:t>finding error under the new statutory provisions</w:t>
      </w:r>
      <w:r w:rsidRPr="005144EC" w:rsidR="00C841AE">
        <w:t>,</w:t>
      </w:r>
      <w:r w:rsidRPr="005144EC" w:rsidR="007E63C0">
        <w:t xml:space="preserve"> and </w:t>
      </w:r>
      <w:r w:rsidRPr="005144EC" w:rsidR="00C841AE">
        <w:t xml:space="preserve">in </w:t>
      </w:r>
      <w:r w:rsidRPr="005144EC" w:rsidR="007E63C0">
        <w:t xml:space="preserve">concluding it </w:t>
      </w:r>
      <w:r w:rsidRPr="005144EC" w:rsidR="00701669">
        <w:t xml:space="preserve">was harmless, the </w:t>
      </w:r>
      <w:r w:rsidRPr="005144EC" w:rsidR="00873D9C">
        <w:t>C</w:t>
      </w:r>
      <w:r w:rsidRPr="005144EC" w:rsidR="00701669">
        <w:t xml:space="preserve">ourt of </w:t>
      </w:r>
      <w:r w:rsidRPr="005144EC" w:rsidR="00873D9C">
        <w:t>A</w:t>
      </w:r>
      <w:r w:rsidRPr="005144EC" w:rsidR="00701669">
        <w:t xml:space="preserve">ppeal </w:t>
      </w:r>
      <w:r w:rsidRPr="005144EC">
        <w:t xml:space="preserve">quoted </w:t>
      </w:r>
      <w:r w:rsidRPr="005144EC">
        <w:rPr>
          <w:i/>
          <w:iCs/>
        </w:rPr>
        <w:t xml:space="preserve">Osband </w:t>
      </w:r>
      <w:r w:rsidRPr="005144EC">
        <w:t>for the proposition a single aggravating factor is sufficient to support an upper term</w:t>
      </w:r>
      <w:r w:rsidRPr="005144EC" w:rsidR="00701669">
        <w:t xml:space="preserve"> and applied </w:t>
      </w:r>
      <w:r w:rsidRPr="005144EC" w:rsidR="007E63C0">
        <w:rPr>
          <w:i/>
          <w:iCs/>
        </w:rPr>
        <w:t>Sand</w:t>
      </w:r>
      <w:r w:rsidRPr="005144EC" w:rsidR="007A6C93">
        <w:rPr>
          <w:i/>
          <w:iCs/>
        </w:rPr>
        <w:t>oval</w:t>
      </w:r>
      <w:r w:rsidRPr="005144EC" w:rsidR="00C841AE">
        <w:rPr>
          <w:i/>
          <w:iCs/>
        </w:rPr>
        <w:t>’s</w:t>
      </w:r>
      <w:r w:rsidRPr="005144EC" w:rsidR="007A6C93">
        <w:rPr>
          <w:i/>
          <w:iCs/>
        </w:rPr>
        <w:t xml:space="preserve"> </w:t>
      </w:r>
      <w:r w:rsidRPr="005144EC" w:rsidR="00701669">
        <w:t>harmless error standard</w:t>
      </w:r>
      <w:r w:rsidRPr="005144EC">
        <w:t>.</w:t>
      </w:r>
      <w:r w:rsidRPr="005144EC" w:rsidR="00701669">
        <w:t xml:space="preserve">  </w:t>
      </w:r>
      <w:r w:rsidRPr="005144EC" w:rsidR="0019391F">
        <w:t>(</w:t>
      </w:r>
      <w:r w:rsidRPr="005144EC">
        <w:rPr>
          <w:i/>
          <w:iCs/>
        </w:rPr>
        <w:t>Flores</w:t>
      </w:r>
      <w:r w:rsidRPr="005144EC" w:rsidR="00701669">
        <w:rPr>
          <w:i/>
          <w:iCs/>
        </w:rPr>
        <w:t xml:space="preserve">, supra, </w:t>
      </w:r>
      <w:r w:rsidRPr="005144EC">
        <w:t xml:space="preserve">75 Cal.App.5th </w:t>
      </w:r>
      <w:r w:rsidRPr="005144EC" w:rsidR="00701669">
        <w:t xml:space="preserve">at pp. </w:t>
      </w:r>
      <w:r w:rsidRPr="005144EC">
        <w:t>500</w:t>
      </w:r>
      <w:r w:rsidRPr="005144EC" w:rsidR="00873D9C">
        <w:t>–</w:t>
      </w:r>
      <w:r w:rsidRPr="005144EC">
        <w:t>501</w:t>
      </w:r>
      <w:r w:rsidRPr="005144EC" w:rsidR="00701669">
        <w:t xml:space="preserve">.)  As we have pointed out, in </w:t>
      </w:r>
      <w:r w:rsidRPr="005144EC" w:rsidR="00701669">
        <w:rPr>
          <w:i/>
          <w:iCs/>
        </w:rPr>
        <w:t>Sandoval</w:t>
      </w:r>
      <w:r w:rsidRPr="005144EC" w:rsidR="00701669">
        <w:t xml:space="preserve">, none of the aggravating factors </w:t>
      </w:r>
      <w:r w:rsidRPr="005144EC" w:rsidR="007E63C0">
        <w:t xml:space="preserve">found </w:t>
      </w:r>
      <w:r w:rsidRPr="005144EC" w:rsidR="00701669">
        <w:t xml:space="preserve">by the trial court </w:t>
      </w:r>
      <w:r w:rsidRPr="005144EC" w:rsidR="007E63C0">
        <w:t>satisfied the Sixth Amendment</w:t>
      </w:r>
      <w:r w:rsidRPr="005144EC" w:rsidR="00C841AE">
        <w:t xml:space="preserve">.  Thus, </w:t>
      </w:r>
      <w:r w:rsidRPr="005144EC" w:rsidR="007E63C0">
        <w:t>in</w:t>
      </w:r>
      <w:r w:rsidRPr="005144EC" w:rsidR="00C841AE">
        <w:t xml:space="preserve"> </w:t>
      </w:r>
      <w:r w:rsidRPr="005144EC" w:rsidR="00C841AE">
        <w:rPr>
          <w:i/>
          <w:iCs/>
        </w:rPr>
        <w:t>Sandoval</w:t>
      </w:r>
      <w:r w:rsidRPr="005144EC" w:rsidR="00C841AE">
        <w:t>, in</w:t>
      </w:r>
      <w:r w:rsidRPr="005144EC" w:rsidR="007E63C0">
        <w:t xml:space="preserve"> contrast to </w:t>
      </w:r>
      <w:r w:rsidRPr="005144EC" w:rsidR="007E63C0">
        <w:rPr>
          <w:i/>
          <w:iCs/>
        </w:rPr>
        <w:t xml:space="preserve">Black II, </w:t>
      </w:r>
      <w:r w:rsidRPr="005144EC" w:rsidR="007E63C0">
        <w:t xml:space="preserve">there was a </w:t>
      </w:r>
      <w:r w:rsidRPr="005144EC" w:rsidR="00C841AE">
        <w:t xml:space="preserve">constitutional </w:t>
      </w:r>
      <w:r w:rsidRPr="005144EC" w:rsidR="007E63C0">
        <w:t xml:space="preserve">violation, requiring a harmless error analysis. </w:t>
      </w:r>
      <w:r w:rsidRPr="005144EC" w:rsidR="0019391F">
        <w:t xml:space="preserve"> </w:t>
      </w:r>
      <w:r w:rsidRPr="005144EC">
        <w:t xml:space="preserve">  </w:t>
      </w:r>
    </w:p>
  </w:footnote>
  <w:footnote w:id="16">
    <w:p w:rsidR="004461DC" w:rsidP="00DB24FA" w14:paraId="2C3514CA" w14:textId="7CBB39D4">
      <w:pPr>
        <w:pStyle w:val="FootnoteText"/>
        <w:spacing w:after="120"/>
        <w:ind w:firstLine="720"/>
      </w:pPr>
      <w:r w:rsidRPr="005144EC">
        <w:rPr>
          <w:rStyle w:val="FootnoteReference"/>
        </w:rPr>
        <w:footnoteRef/>
      </w:r>
      <w:r w:rsidRPr="005144EC">
        <w:t xml:space="preserve"> </w:t>
      </w:r>
      <w:r w:rsidRPr="005144EC" w:rsidR="00762A27">
        <w:t xml:space="preserve"> </w:t>
      </w:r>
      <w:r w:rsidRPr="005144EC" w:rsidR="00CD6117">
        <w:t xml:space="preserve">As the court stated in </w:t>
      </w:r>
      <w:r w:rsidRPr="005144EC" w:rsidR="00CD6117">
        <w:rPr>
          <w:i/>
          <w:iCs/>
        </w:rPr>
        <w:t xml:space="preserve">People v. Ross </w:t>
      </w:r>
      <w:r w:rsidRPr="005144EC" w:rsidR="00CD6117">
        <w:t xml:space="preserve">(2022) 86 Cal.App.5th 1346, </w:t>
      </w:r>
      <w:r w:rsidRPr="005144EC" w:rsidR="005B2148">
        <w:t>1353–</w:t>
      </w:r>
      <w:r w:rsidRPr="005144EC" w:rsidR="00CD6117">
        <w:t>1354</w:t>
      </w:r>
      <w:r w:rsidRPr="005144EC" w:rsidR="005E27D9">
        <w:t>, review granted March 15, 2023, S278266</w:t>
      </w:r>
      <w:r w:rsidRPr="005144EC" w:rsidR="00CD6117">
        <w:t>, t</w:t>
      </w:r>
      <w:r w:rsidRPr="005144EC">
        <w:t xml:space="preserve">he harmless error standard being debated in the </w:t>
      </w:r>
      <w:r w:rsidRPr="005144EC" w:rsidR="005B2148">
        <w:t>C</w:t>
      </w:r>
      <w:r w:rsidRPr="005144EC">
        <w:t xml:space="preserve">ourts of </w:t>
      </w:r>
      <w:r w:rsidRPr="005144EC" w:rsidR="005B2148">
        <w:t>A</w:t>
      </w:r>
      <w:r w:rsidRPr="005144EC">
        <w:t xml:space="preserve">ppeal is the standard to assess “error </w:t>
      </w:r>
      <w:r w:rsidRPr="005144EC">
        <w:rPr>
          <w:i/>
          <w:iCs/>
        </w:rPr>
        <w:t>under Senate Bill 567</w:t>
      </w:r>
      <w:r w:rsidRPr="005144EC">
        <w:t>” and is a “</w:t>
      </w:r>
      <w:r w:rsidRPr="005144EC">
        <w:rPr>
          <w:i/>
          <w:iCs/>
        </w:rPr>
        <w:t>state law</w:t>
      </w:r>
      <w:r w:rsidRPr="005144EC">
        <w:t xml:space="preserve"> harmless error component” of the harmless error analysis.</w:t>
      </w:r>
      <w:r w:rsidRPr="005144EC" w:rsidR="005B2148">
        <w:t xml:space="preserve">  (Italics </w:t>
      </w:r>
      <w:r w:rsidRPr="005144EC" w:rsidR="00540E20">
        <w:t>added</w:t>
      </w:r>
      <w:r w:rsidRPr="005144EC" w:rsidR="005B2148">
        <w:t xml:space="preserve">.) </w:t>
      </w:r>
      <w:r w:rsidRPr="005144EC">
        <w:t xml:space="preserve"> (See</w:t>
      </w:r>
      <w:r w:rsidRPr="005144EC" w:rsidR="005E27D9">
        <w:t xml:space="preserve"> </w:t>
      </w:r>
      <w:r w:rsidRPr="005144EC">
        <w:rPr>
          <w:i/>
          <w:iCs/>
        </w:rPr>
        <w:t>Falcon</w:t>
      </w:r>
      <w:r w:rsidRPr="005144EC" w:rsidR="005E27D9">
        <w:rPr>
          <w:i/>
          <w:iCs/>
        </w:rPr>
        <w:t>, supra,</w:t>
      </w:r>
      <w:r w:rsidRPr="005144EC">
        <w:t xml:space="preserve"> 92</w:t>
      </w:r>
      <w:r w:rsidRPr="005144EC" w:rsidR="0092026C">
        <w:t> </w:t>
      </w:r>
      <w:r w:rsidRPr="005144EC">
        <w:t xml:space="preserve">Cal.App.5th </w:t>
      </w:r>
      <w:r w:rsidRPr="005144EC" w:rsidR="005E27D9">
        <w:t xml:space="preserve">at p. </w:t>
      </w:r>
      <w:r w:rsidRPr="005144EC">
        <w:t xml:space="preserve">920 [By focusing on the minimum requirements of the Sixth Amendment, i.e., the prior conviction exception to the </w:t>
      </w:r>
      <w:r w:rsidRPr="005144EC">
        <w:rPr>
          <w:i/>
          <w:iCs/>
        </w:rPr>
        <w:t>Apprendi</w:t>
      </w:r>
      <w:r w:rsidRPr="005144EC">
        <w:t xml:space="preserve"> rule, the </w:t>
      </w:r>
      <w:r w:rsidRPr="005144EC">
        <w:rPr>
          <w:i/>
          <w:iCs/>
        </w:rPr>
        <w:t>Flores</w:t>
      </w:r>
      <w:r w:rsidRPr="005144EC">
        <w:t xml:space="preserve"> approach generally “fails to recognize </w:t>
      </w:r>
      <w:r w:rsidRPr="005144EC">
        <w:rPr>
          <w:i/>
          <w:iCs/>
        </w:rPr>
        <w:t>statutory</w:t>
      </w:r>
      <w:r w:rsidRPr="005144EC">
        <w:t xml:space="preserve"> noncompliance as error and measure the effect of </w:t>
      </w:r>
      <w:r w:rsidRPr="005144EC">
        <w:rPr>
          <w:i/>
          <w:iCs/>
        </w:rPr>
        <w:t>statutory</w:t>
      </w:r>
      <w:r w:rsidRPr="005144EC">
        <w:t xml:space="preserve"> noncompliance.”].)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937678"/>
    <w:multiLevelType w:val="hybridMultilevel"/>
    <w:tmpl w:val="CF685F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60A3786"/>
    <w:multiLevelType w:val="hybridMultilevel"/>
    <w:tmpl w:val="D062C7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0E790E"/>
    <w:multiLevelType w:val="hybridMultilevel"/>
    <w:tmpl w:val="DC7E74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9F3629E"/>
    <w:multiLevelType w:val="hybridMultilevel"/>
    <w:tmpl w:val="99D02AE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B542053"/>
    <w:multiLevelType w:val="hybridMultilevel"/>
    <w:tmpl w:val="6DF4C23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DB"/>
    <w:rsid w:val="0000194A"/>
    <w:rsid w:val="00002C69"/>
    <w:rsid w:val="000039A4"/>
    <w:rsid w:val="00004F45"/>
    <w:rsid w:val="000051C3"/>
    <w:rsid w:val="00005293"/>
    <w:rsid w:val="00005AD3"/>
    <w:rsid w:val="00006092"/>
    <w:rsid w:val="000067EB"/>
    <w:rsid w:val="00007016"/>
    <w:rsid w:val="0000748C"/>
    <w:rsid w:val="00007904"/>
    <w:rsid w:val="00010546"/>
    <w:rsid w:val="00011559"/>
    <w:rsid w:val="000118D0"/>
    <w:rsid w:val="00013983"/>
    <w:rsid w:val="00013998"/>
    <w:rsid w:val="00017B08"/>
    <w:rsid w:val="00017F61"/>
    <w:rsid w:val="000204C7"/>
    <w:rsid w:val="00020DB3"/>
    <w:rsid w:val="000213AD"/>
    <w:rsid w:val="00022405"/>
    <w:rsid w:val="000229CA"/>
    <w:rsid w:val="00024C9D"/>
    <w:rsid w:val="00027A98"/>
    <w:rsid w:val="000304FA"/>
    <w:rsid w:val="00030661"/>
    <w:rsid w:val="0003203C"/>
    <w:rsid w:val="00032A91"/>
    <w:rsid w:val="000335D9"/>
    <w:rsid w:val="000339E0"/>
    <w:rsid w:val="00034202"/>
    <w:rsid w:val="0003495C"/>
    <w:rsid w:val="0003655E"/>
    <w:rsid w:val="000365D2"/>
    <w:rsid w:val="00040121"/>
    <w:rsid w:val="000418EE"/>
    <w:rsid w:val="00041E69"/>
    <w:rsid w:val="000420BB"/>
    <w:rsid w:val="00042558"/>
    <w:rsid w:val="0004436D"/>
    <w:rsid w:val="00045B14"/>
    <w:rsid w:val="00046844"/>
    <w:rsid w:val="00046BEB"/>
    <w:rsid w:val="00050156"/>
    <w:rsid w:val="00050D11"/>
    <w:rsid w:val="0005196A"/>
    <w:rsid w:val="00054A41"/>
    <w:rsid w:val="00055727"/>
    <w:rsid w:val="00055CAE"/>
    <w:rsid w:val="0005610E"/>
    <w:rsid w:val="0005636C"/>
    <w:rsid w:val="0005671D"/>
    <w:rsid w:val="00057301"/>
    <w:rsid w:val="000600B8"/>
    <w:rsid w:val="0006046F"/>
    <w:rsid w:val="000621A6"/>
    <w:rsid w:val="00062AA8"/>
    <w:rsid w:val="00062EBA"/>
    <w:rsid w:val="00062F3C"/>
    <w:rsid w:val="000639D2"/>
    <w:rsid w:val="000640F8"/>
    <w:rsid w:val="00064ACE"/>
    <w:rsid w:val="000650DC"/>
    <w:rsid w:val="0006799E"/>
    <w:rsid w:val="00072C86"/>
    <w:rsid w:val="00073948"/>
    <w:rsid w:val="00073C1E"/>
    <w:rsid w:val="00076134"/>
    <w:rsid w:val="0007671D"/>
    <w:rsid w:val="00076DE4"/>
    <w:rsid w:val="000778E7"/>
    <w:rsid w:val="00077C96"/>
    <w:rsid w:val="00080465"/>
    <w:rsid w:val="000845FF"/>
    <w:rsid w:val="00085560"/>
    <w:rsid w:val="00086A02"/>
    <w:rsid w:val="00086CAC"/>
    <w:rsid w:val="0009059D"/>
    <w:rsid w:val="00090DF6"/>
    <w:rsid w:val="0009152B"/>
    <w:rsid w:val="00092631"/>
    <w:rsid w:val="000928E0"/>
    <w:rsid w:val="0009374E"/>
    <w:rsid w:val="00094A43"/>
    <w:rsid w:val="000979BB"/>
    <w:rsid w:val="000A1408"/>
    <w:rsid w:val="000A1576"/>
    <w:rsid w:val="000A1F03"/>
    <w:rsid w:val="000A27AA"/>
    <w:rsid w:val="000A3C2F"/>
    <w:rsid w:val="000A589C"/>
    <w:rsid w:val="000A5E93"/>
    <w:rsid w:val="000A5FB9"/>
    <w:rsid w:val="000A66CE"/>
    <w:rsid w:val="000A67DF"/>
    <w:rsid w:val="000B0F63"/>
    <w:rsid w:val="000B4DA2"/>
    <w:rsid w:val="000B5D06"/>
    <w:rsid w:val="000B7083"/>
    <w:rsid w:val="000C186D"/>
    <w:rsid w:val="000C4538"/>
    <w:rsid w:val="000C48E2"/>
    <w:rsid w:val="000C5C0D"/>
    <w:rsid w:val="000C63A8"/>
    <w:rsid w:val="000D048B"/>
    <w:rsid w:val="000D3371"/>
    <w:rsid w:val="000D374A"/>
    <w:rsid w:val="000D406D"/>
    <w:rsid w:val="000D4784"/>
    <w:rsid w:val="000D536F"/>
    <w:rsid w:val="000D53F1"/>
    <w:rsid w:val="000D5BBD"/>
    <w:rsid w:val="000D76CC"/>
    <w:rsid w:val="000E0363"/>
    <w:rsid w:val="000E08A2"/>
    <w:rsid w:val="000E1451"/>
    <w:rsid w:val="000E189D"/>
    <w:rsid w:val="000E3C5B"/>
    <w:rsid w:val="000E3D23"/>
    <w:rsid w:val="000E3D5A"/>
    <w:rsid w:val="000E4D25"/>
    <w:rsid w:val="000E7537"/>
    <w:rsid w:val="000F0FEA"/>
    <w:rsid w:val="000F242E"/>
    <w:rsid w:val="000F2B7E"/>
    <w:rsid w:val="000F67F3"/>
    <w:rsid w:val="001005AC"/>
    <w:rsid w:val="00100BCF"/>
    <w:rsid w:val="0010187F"/>
    <w:rsid w:val="00103D0F"/>
    <w:rsid w:val="00104719"/>
    <w:rsid w:val="00105B6F"/>
    <w:rsid w:val="00105ED1"/>
    <w:rsid w:val="00106D6B"/>
    <w:rsid w:val="00107D34"/>
    <w:rsid w:val="001111EE"/>
    <w:rsid w:val="0011316E"/>
    <w:rsid w:val="001137B0"/>
    <w:rsid w:val="001138D1"/>
    <w:rsid w:val="00113FA3"/>
    <w:rsid w:val="00114203"/>
    <w:rsid w:val="001167A6"/>
    <w:rsid w:val="00116A2C"/>
    <w:rsid w:val="00117ABE"/>
    <w:rsid w:val="0012027A"/>
    <w:rsid w:val="001208B4"/>
    <w:rsid w:val="0012155F"/>
    <w:rsid w:val="00124296"/>
    <w:rsid w:val="00125A7F"/>
    <w:rsid w:val="00126ED5"/>
    <w:rsid w:val="0012705A"/>
    <w:rsid w:val="001273B4"/>
    <w:rsid w:val="00130052"/>
    <w:rsid w:val="0013014D"/>
    <w:rsid w:val="00130194"/>
    <w:rsid w:val="00130871"/>
    <w:rsid w:val="00131E8C"/>
    <w:rsid w:val="0013360C"/>
    <w:rsid w:val="00133740"/>
    <w:rsid w:val="0013399F"/>
    <w:rsid w:val="00133F68"/>
    <w:rsid w:val="00137365"/>
    <w:rsid w:val="00137EC4"/>
    <w:rsid w:val="0014003B"/>
    <w:rsid w:val="001422EE"/>
    <w:rsid w:val="00142F53"/>
    <w:rsid w:val="001430C2"/>
    <w:rsid w:val="001432C3"/>
    <w:rsid w:val="001436F8"/>
    <w:rsid w:val="00143E89"/>
    <w:rsid w:val="0014539C"/>
    <w:rsid w:val="00145A26"/>
    <w:rsid w:val="00147071"/>
    <w:rsid w:val="001510BB"/>
    <w:rsid w:val="001511A6"/>
    <w:rsid w:val="00152654"/>
    <w:rsid w:val="00153BEB"/>
    <w:rsid w:val="00155007"/>
    <w:rsid w:val="00155E24"/>
    <w:rsid w:val="0015687E"/>
    <w:rsid w:val="00156F18"/>
    <w:rsid w:val="00157C6B"/>
    <w:rsid w:val="00160B9C"/>
    <w:rsid w:val="00161895"/>
    <w:rsid w:val="00162211"/>
    <w:rsid w:val="00164609"/>
    <w:rsid w:val="001677E5"/>
    <w:rsid w:val="00171649"/>
    <w:rsid w:val="00172C30"/>
    <w:rsid w:val="00173384"/>
    <w:rsid w:val="001750BD"/>
    <w:rsid w:val="00175818"/>
    <w:rsid w:val="0017789E"/>
    <w:rsid w:val="00180672"/>
    <w:rsid w:val="00180AB3"/>
    <w:rsid w:val="00180FF2"/>
    <w:rsid w:val="001810C1"/>
    <w:rsid w:val="00181C9C"/>
    <w:rsid w:val="00182A16"/>
    <w:rsid w:val="00182A9E"/>
    <w:rsid w:val="001832BA"/>
    <w:rsid w:val="00184A99"/>
    <w:rsid w:val="00185125"/>
    <w:rsid w:val="00186293"/>
    <w:rsid w:val="00190F5D"/>
    <w:rsid w:val="0019391F"/>
    <w:rsid w:val="00193B75"/>
    <w:rsid w:val="0019491E"/>
    <w:rsid w:val="00195D7F"/>
    <w:rsid w:val="00196001"/>
    <w:rsid w:val="00197573"/>
    <w:rsid w:val="001A1852"/>
    <w:rsid w:val="001A2A65"/>
    <w:rsid w:val="001A3156"/>
    <w:rsid w:val="001A3F85"/>
    <w:rsid w:val="001A4C2E"/>
    <w:rsid w:val="001A5AFD"/>
    <w:rsid w:val="001A6C90"/>
    <w:rsid w:val="001A7133"/>
    <w:rsid w:val="001A7B29"/>
    <w:rsid w:val="001B0B44"/>
    <w:rsid w:val="001B0EC8"/>
    <w:rsid w:val="001B2DCD"/>
    <w:rsid w:val="001B4010"/>
    <w:rsid w:val="001B4176"/>
    <w:rsid w:val="001B5E1C"/>
    <w:rsid w:val="001B77CE"/>
    <w:rsid w:val="001B7E35"/>
    <w:rsid w:val="001C19F5"/>
    <w:rsid w:val="001C282C"/>
    <w:rsid w:val="001C448F"/>
    <w:rsid w:val="001C4867"/>
    <w:rsid w:val="001C55FF"/>
    <w:rsid w:val="001C6305"/>
    <w:rsid w:val="001C6355"/>
    <w:rsid w:val="001C64B6"/>
    <w:rsid w:val="001C723D"/>
    <w:rsid w:val="001C7BD4"/>
    <w:rsid w:val="001D33EC"/>
    <w:rsid w:val="001D37E0"/>
    <w:rsid w:val="001D43A4"/>
    <w:rsid w:val="001D51E6"/>
    <w:rsid w:val="001D5364"/>
    <w:rsid w:val="001D54D2"/>
    <w:rsid w:val="001D6D36"/>
    <w:rsid w:val="001D6F76"/>
    <w:rsid w:val="001D7E00"/>
    <w:rsid w:val="001E095B"/>
    <w:rsid w:val="001E125C"/>
    <w:rsid w:val="001E2208"/>
    <w:rsid w:val="001E340B"/>
    <w:rsid w:val="001E4A48"/>
    <w:rsid w:val="001E5180"/>
    <w:rsid w:val="001E5330"/>
    <w:rsid w:val="001E56E4"/>
    <w:rsid w:val="001E5C15"/>
    <w:rsid w:val="001E68CC"/>
    <w:rsid w:val="001E6F2F"/>
    <w:rsid w:val="001E70F1"/>
    <w:rsid w:val="001E71E0"/>
    <w:rsid w:val="001E7C0C"/>
    <w:rsid w:val="001E7FE7"/>
    <w:rsid w:val="001F0C25"/>
    <w:rsid w:val="001F0C90"/>
    <w:rsid w:val="001F0E7B"/>
    <w:rsid w:val="001F2146"/>
    <w:rsid w:val="001F2282"/>
    <w:rsid w:val="001F4200"/>
    <w:rsid w:val="001F4A83"/>
    <w:rsid w:val="001F5712"/>
    <w:rsid w:val="001F6835"/>
    <w:rsid w:val="00200088"/>
    <w:rsid w:val="00200204"/>
    <w:rsid w:val="00202F9E"/>
    <w:rsid w:val="002030C7"/>
    <w:rsid w:val="0020380E"/>
    <w:rsid w:val="00203F83"/>
    <w:rsid w:val="0020562A"/>
    <w:rsid w:val="00205ED2"/>
    <w:rsid w:val="00206576"/>
    <w:rsid w:val="00206A4B"/>
    <w:rsid w:val="00206B5E"/>
    <w:rsid w:val="0020736B"/>
    <w:rsid w:val="00207840"/>
    <w:rsid w:val="002113F4"/>
    <w:rsid w:val="00212103"/>
    <w:rsid w:val="00212F05"/>
    <w:rsid w:val="002139EE"/>
    <w:rsid w:val="00214D88"/>
    <w:rsid w:val="00214DD0"/>
    <w:rsid w:val="00214ED8"/>
    <w:rsid w:val="0021567F"/>
    <w:rsid w:val="002160A6"/>
    <w:rsid w:val="00216970"/>
    <w:rsid w:val="0022028F"/>
    <w:rsid w:val="0022130B"/>
    <w:rsid w:val="00221BE5"/>
    <w:rsid w:val="00221FF3"/>
    <w:rsid w:val="0022405E"/>
    <w:rsid w:val="00224EA4"/>
    <w:rsid w:val="002252AA"/>
    <w:rsid w:val="00226544"/>
    <w:rsid w:val="002268B1"/>
    <w:rsid w:val="00226B53"/>
    <w:rsid w:val="00227909"/>
    <w:rsid w:val="00227AA1"/>
    <w:rsid w:val="00227AF5"/>
    <w:rsid w:val="00227F2C"/>
    <w:rsid w:val="00230F71"/>
    <w:rsid w:val="0023113C"/>
    <w:rsid w:val="00232277"/>
    <w:rsid w:val="00232FE1"/>
    <w:rsid w:val="002332D5"/>
    <w:rsid w:val="002332DE"/>
    <w:rsid w:val="00233879"/>
    <w:rsid w:val="00233DB3"/>
    <w:rsid w:val="002347F4"/>
    <w:rsid w:val="00234F2D"/>
    <w:rsid w:val="00235549"/>
    <w:rsid w:val="00236E51"/>
    <w:rsid w:val="002371AD"/>
    <w:rsid w:val="002401F3"/>
    <w:rsid w:val="0024033D"/>
    <w:rsid w:val="00240BD0"/>
    <w:rsid w:val="002427B4"/>
    <w:rsid w:val="00244479"/>
    <w:rsid w:val="00245CE7"/>
    <w:rsid w:val="00246706"/>
    <w:rsid w:val="0024680D"/>
    <w:rsid w:val="002476A5"/>
    <w:rsid w:val="00247B4C"/>
    <w:rsid w:val="00250325"/>
    <w:rsid w:val="00251082"/>
    <w:rsid w:val="00251E5C"/>
    <w:rsid w:val="00252325"/>
    <w:rsid w:val="0025542D"/>
    <w:rsid w:val="00255C91"/>
    <w:rsid w:val="00256EC5"/>
    <w:rsid w:val="00262489"/>
    <w:rsid w:val="0026260C"/>
    <w:rsid w:val="00263378"/>
    <w:rsid w:val="00263EC7"/>
    <w:rsid w:val="00265C87"/>
    <w:rsid w:val="00265F74"/>
    <w:rsid w:val="00266B53"/>
    <w:rsid w:val="00270874"/>
    <w:rsid w:val="00270E61"/>
    <w:rsid w:val="002723DE"/>
    <w:rsid w:val="002724F9"/>
    <w:rsid w:val="0027274D"/>
    <w:rsid w:val="00273380"/>
    <w:rsid w:val="00274C34"/>
    <w:rsid w:val="0027616C"/>
    <w:rsid w:val="00276849"/>
    <w:rsid w:val="00277F98"/>
    <w:rsid w:val="0028021B"/>
    <w:rsid w:val="0028227D"/>
    <w:rsid w:val="00282487"/>
    <w:rsid w:val="00282772"/>
    <w:rsid w:val="00282FDC"/>
    <w:rsid w:val="0028339E"/>
    <w:rsid w:val="00283862"/>
    <w:rsid w:val="002865EE"/>
    <w:rsid w:val="00286661"/>
    <w:rsid w:val="00287E7C"/>
    <w:rsid w:val="00290AE9"/>
    <w:rsid w:val="002918E1"/>
    <w:rsid w:val="00294325"/>
    <w:rsid w:val="00294B47"/>
    <w:rsid w:val="00294D90"/>
    <w:rsid w:val="00295480"/>
    <w:rsid w:val="002954AC"/>
    <w:rsid w:val="0029567E"/>
    <w:rsid w:val="00295E1A"/>
    <w:rsid w:val="002A05F6"/>
    <w:rsid w:val="002A0CF8"/>
    <w:rsid w:val="002A0DAB"/>
    <w:rsid w:val="002A38E8"/>
    <w:rsid w:val="002A3ACA"/>
    <w:rsid w:val="002A4596"/>
    <w:rsid w:val="002A4AFF"/>
    <w:rsid w:val="002A4F04"/>
    <w:rsid w:val="002A60F9"/>
    <w:rsid w:val="002B03BF"/>
    <w:rsid w:val="002B0BFC"/>
    <w:rsid w:val="002B1BAF"/>
    <w:rsid w:val="002B34E9"/>
    <w:rsid w:val="002B38E8"/>
    <w:rsid w:val="002B5F03"/>
    <w:rsid w:val="002B66FB"/>
    <w:rsid w:val="002B68A4"/>
    <w:rsid w:val="002B7B1C"/>
    <w:rsid w:val="002C005A"/>
    <w:rsid w:val="002C3C8F"/>
    <w:rsid w:val="002C4FBF"/>
    <w:rsid w:val="002C7931"/>
    <w:rsid w:val="002D0D1D"/>
    <w:rsid w:val="002D0D62"/>
    <w:rsid w:val="002D0E17"/>
    <w:rsid w:val="002D1F63"/>
    <w:rsid w:val="002D26CC"/>
    <w:rsid w:val="002D32F4"/>
    <w:rsid w:val="002D440B"/>
    <w:rsid w:val="002D5B51"/>
    <w:rsid w:val="002D640F"/>
    <w:rsid w:val="002D6708"/>
    <w:rsid w:val="002D67B6"/>
    <w:rsid w:val="002E0502"/>
    <w:rsid w:val="002E0886"/>
    <w:rsid w:val="002E114F"/>
    <w:rsid w:val="002E18A7"/>
    <w:rsid w:val="002E307C"/>
    <w:rsid w:val="002E365A"/>
    <w:rsid w:val="002E39C9"/>
    <w:rsid w:val="002E718C"/>
    <w:rsid w:val="002E777E"/>
    <w:rsid w:val="002F051E"/>
    <w:rsid w:val="002F0B6D"/>
    <w:rsid w:val="002F10FF"/>
    <w:rsid w:val="002F1A37"/>
    <w:rsid w:val="002F33CD"/>
    <w:rsid w:val="002F46E6"/>
    <w:rsid w:val="002F5838"/>
    <w:rsid w:val="002F5A46"/>
    <w:rsid w:val="002F64AF"/>
    <w:rsid w:val="002F7CDB"/>
    <w:rsid w:val="00300C62"/>
    <w:rsid w:val="0030167A"/>
    <w:rsid w:val="00301A41"/>
    <w:rsid w:val="00302EE2"/>
    <w:rsid w:val="00303D0C"/>
    <w:rsid w:val="00304989"/>
    <w:rsid w:val="00305234"/>
    <w:rsid w:val="00306405"/>
    <w:rsid w:val="00306715"/>
    <w:rsid w:val="00307D61"/>
    <w:rsid w:val="003108F7"/>
    <w:rsid w:val="00310DCA"/>
    <w:rsid w:val="00311002"/>
    <w:rsid w:val="003115B1"/>
    <w:rsid w:val="00311B13"/>
    <w:rsid w:val="0031264A"/>
    <w:rsid w:val="00312748"/>
    <w:rsid w:val="003130F9"/>
    <w:rsid w:val="00316710"/>
    <w:rsid w:val="00316F8D"/>
    <w:rsid w:val="00317059"/>
    <w:rsid w:val="0031754D"/>
    <w:rsid w:val="003215C3"/>
    <w:rsid w:val="0032163C"/>
    <w:rsid w:val="00322F09"/>
    <w:rsid w:val="00323E20"/>
    <w:rsid w:val="003256D0"/>
    <w:rsid w:val="003257EA"/>
    <w:rsid w:val="003258FB"/>
    <w:rsid w:val="00326113"/>
    <w:rsid w:val="00326F7B"/>
    <w:rsid w:val="0033016C"/>
    <w:rsid w:val="00330EA7"/>
    <w:rsid w:val="00330EC2"/>
    <w:rsid w:val="003310DD"/>
    <w:rsid w:val="0033184F"/>
    <w:rsid w:val="00333682"/>
    <w:rsid w:val="003347C3"/>
    <w:rsid w:val="003347D6"/>
    <w:rsid w:val="00334AAC"/>
    <w:rsid w:val="003361CC"/>
    <w:rsid w:val="00337450"/>
    <w:rsid w:val="0034114B"/>
    <w:rsid w:val="00342550"/>
    <w:rsid w:val="0034352F"/>
    <w:rsid w:val="0034479D"/>
    <w:rsid w:val="00344D3D"/>
    <w:rsid w:val="003462D0"/>
    <w:rsid w:val="00346B60"/>
    <w:rsid w:val="00346D0D"/>
    <w:rsid w:val="00347757"/>
    <w:rsid w:val="00347B40"/>
    <w:rsid w:val="00351825"/>
    <w:rsid w:val="003526BC"/>
    <w:rsid w:val="00352CE0"/>
    <w:rsid w:val="003553C7"/>
    <w:rsid w:val="003556D1"/>
    <w:rsid w:val="00356B1D"/>
    <w:rsid w:val="00356D03"/>
    <w:rsid w:val="003576E4"/>
    <w:rsid w:val="00360F18"/>
    <w:rsid w:val="003610A4"/>
    <w:rsid w:val="003613DF"/>
    <w:rsid w:val="00361EFA"/>
    <w:rsid w:val="0036202B"/>
    <w:rsid w:val="00363623"/>
    <w:rsid w:val="003644B4"/>
    <w:rsid w:val="003647C1"/>
    <w:rsid w:val="0036483B"/>
    <w:rsid w:val="00367C9C"/>
    <w:rsid w:val="0037012F"/>
    <w:rsid w:val="00371CCD"/>
    <w:rsid w:val="00371ED5"/>
    <w:rsid w:val="00372E36"/>
    <w:rsid w:val="003738FE"/>
    <w:rsid w:val="0037466B"/>
    <w:rsid w:val="003754E3"/>
    <w:rsid w:val="0037596F"/>
    <w:rsid w:val="003762AF"/>
    <w:rsid w:val="00376445"/>
    <w:rsid w:val="00380E73"/>
    <w:rsid w:val="0038253A"/>
    <w:rsid w:val="0038499B"/>
    <w:rsid w:val="003856A4"/>
    <w:rsid w:val="003861FA"/>
    <w:rsid w:val="00386A04"/>
    <w:rsid w:val="00386E88"/>
    <w:rsid w:val="00390DA0"/>
    <w:rsid w:val="003925BD"/>
    <w:rsid w:val="00394B83"/>
    <w:rsid w:val="0039593B"/>
    <w:rsid w:val="003963A0"/>
    <w:rsid w:val="00396F2F"/>
    <w:rsid w:val="00397BB1"/>
    <w:rsid w:val="003A1ADC"/>
    <w:rsid w:val="003A2DB0"/>
    <w:rsid w:val="003A4B82"/>
    <w:rsid w:val="003A4F49"/>
    <w:rsid w:val="003B1D78"/>
    <w:rsid w:val="003B4226"/>
    <w:rsid w:val="003B46AC"/>
    <w:rsid w:val="003B4D3D"/>
    <w:rsid w:val="003B52AB"/>
    <w:rsid w:val="003B5FF4"/>
    <w:rsid w:val="003B6650"/>
    <w:rsid w:val="003B7B2F"/>
    <w:rsid w:val="003C0676"/>
    <w:rsid w:val="003C0FCD"/>
    <w:rsid w:val="003C143B"/>
    <w:rsid w:val="003C2034"/>
    <w:rsid w:val="003C258A"/>
    <w:rsid w:val="003C2C71"/>
    <w:rsid w:val="003C4D99"/>
    <w:rsid w:val="003C5B70"/>
    <w:rsid w:val="003C6518"/>
    <w:rsid w:val="003C685F"/>
    <w:rsid w:val="003D0022"/>
    <w:rsid w:val="003D0634"/>
    <w:rsid w:val="003D085A"/>
    <w:rsid w:val="003D08F3"/>
    <w:rsid w:val="003D1386"/>
    <w:rsid w:val="003D1489"/>
    <w:rsid w:val="003D3060"/>
    <w:rsid w:val="003D3CA8"/>
    <w:rsid w:val="003D413E"/>
    <w:rsid w:val="003D44D4"/>
    <w:rsid w:val="003D5DF9"/>
    <w:rsid w:val="003D615A"/>
    <w:rsid w:val="003D68F2"/>
    <w:rsid w:val="003D6D2D"/>
    <w:rsid w:val="003E08EE"/>
    <w:rsid w:val="003E3887"/>
    <w:rsid w:val="003E3FF7"/>
    <w:rsid w:val="003E42AC"/>
    <w:rsid w:val="003E6AAD"/>
    <w:rsid w:val="003E6ACE"/>
    <w:rsid w:val="003F25E8"/>
    <w:rsid w:val="003F268E"/>
    <w:rsid w:val="003F3B40"/>
    <w:rsid w:val="003F4114"/>
    <w:rsid w:val="003F5212"/>
    <w:rsid w:val="003F57A0"/>
    <w:rsid w:val="003F59BA"/>
    <w:rsid w:val="003F7416"/>
    <w:rsid w:val="00400AD5"/>
    <w:rsid w:val="004062F8"/>
    <w:rsid w:val="004065C8"/>
    <w:rsid w:val="00407290"/>
    <w:rsid w:val="00410809"/>
    <w:rsid w:val="00411132"/>
    <w:rsid w:val="0041176F"/>
    <w:rsid w:val="004125B3"/>
    <w:rsid w:val="0041333F"/>
    <w:rsid w:val="00414095"/>
    <w:rsid w:val="0041425F"/>
    <w:rsid w:val="00414C9D"/>
    <w:rsid w:val="00414D4E"/>
    <w:rsid w:val="0041610D"/>
    <w:rsid w:val="004163AA"/>
    <w:rsid w:val="00417A94"/>
    <w:rsid w:val="004204AA"/>
    <w:rsid w:val="00420534"/>
    <w:rsid w:val="00421ABA"/>
    <w:rsid w:val="00422384"/>
    <w:rsid w:val="00422796"/>
    <w:rsid w:val="00423550"/>
    <w:rsid w:val="00424F32"/>
    <w:rsid w:val="004253BE"/>
    <w:rsid w:val="00425C84"/>
    <w:rsid w:val="004260ED"/>
    <w:rsid w:val="004274DC"/>
    <w:rsid w:val="00427D1F"/>
    <w:rsid w:val="00430213"/>
    <w:rsid w:val="004317D0"/>
    <w:rsid w:val="00431CA5"/>
    <w:rsid w:val="00431DBD"/>
    <w:rsid w:val="0043208B"/>
    <w:rsid w:val="0043348E"/>
    <w:rsid w:val="00435021"/>
    <w:rsid w:val="00435F0D"/>
    <w:rsid w:val="004361D7"/>
    <w:rsid w:val="00436D68"/>
    <w:rsid w:val="00436E4E"/>
    <w:rsid w:val="00436FB0"/>
    <w:rsid w:val="0044144B"/>
    <w:rsid w:val="004418E5"/>
    <w:rsid w:val="0044263F"/>
    <w:rsid w:val="004432E2"/>
    <w:rsid w:val="00443657"/>
    <w:rsid w:val="004441FB"/>
    <w:rsid w:val="004461DC"/>
    <w:rsid w:val="00446369"/>
    <w:rsid w:val="00446418"/>
    <w:rsid w:val="00450201"/>
    <w:rsid w:val="004506F5"/>
    <w:rsid w:val="00453E72"/>
    <w:rsid w:val="00455F0A"/>
    <w:rsid w:val="00456CCE"/>
    <w:rsid w:val="004576AD"/>
    <w:rsid w:val="00461ABC"/>
    <w:rsid w:val="00462DA2"/>
    <w:rsid w:val="0046452F"/>
    <w:rsid w:val="00466F68"/>
    <w:rsid w:val="004700F5"/>
    <w:rsid w:val="00470251"/>
    <w:rsid w:val="0047062D"/>
    <w:rsid w:val="004717D2"/>
    <w:rsid w:val="0047225C"/>
    <w:rsid w:val="00474784"/>
    <w:rsid w:val="00474A15"/>
    <w:rsid w:val="00475ADA"/>
    <w:rsid w:val="00476248"/>
    <w:rsid w:val="0047660E"/>
    <w:rsid w:val="0047752C"/>
    <w:rsid w:val="00481821"/>
    <w:rsid w:val="00482276"/>
    <w:rsid w:val="0048354B"/>
    <w:rsid w:val="0048457C"/>
    <w:rsid w:val="00484C0B"/>
    <w:rsid w:val="004850AE"/>
    <w:rsid w:val="00485262"/>
    <w:rsid w:val="00485535"/>
    <w:rsid w:val="00487042"/>
    <w:rsid w:val="00487BE0"/>
    <w:rsid w:val="004901C0"/>
    <w:rsid w:val="004912E9"/>
    <w:rsid w:val="00493065"/>
    <w:rsid w:val="0049478D"/>
    <w:rsid w:val="004947E6"/>
    <w:rsid w:val="004953AE"/>
    <w:rsid w:val="00495AD6"/>
    <w:rsid w:val="00496C91"/>
    <w:rsid w:val="00497E90"/>
    <w:rsid w:val="004A07B1"/>
    <w:rsid w:val="004A07B4"/>
    <w:rsid w:val="004A0A27"/>
    <w:rsid w:val="004A1C92"/>
    <w:rsid w:val="004A38E8"/>
    <w:rsid w:val="004A407E"/>
    <w:rsid w:val="004A41B9"/>
    <w:rsid w:val="004A4E00"/>
    <w:rsid w:val="004A50CD"/>
    <w:rsid w:val="004A6C8C"/>
    <w:rsid w:val="004A7199"/>
    <w:rsid w:val="004B018C"/>
    <w:rsid w:val="004B0BBB"/>
    <w:rsid w:val="004B15CD"/>
    <w:rsid w:val="004B2ECE"/>
    <w:rsid w:val="004B338A"/>
    <w:rsid w:val="004B381A"/>
    <w:rsid w:val="004B503D"/>
    <w:rsid w:val="004B541C"/>
    <w:rsid w:val="004B5825"/>
    <w:rsid w:val="004B6DA3"/>
    <w:rsid w:val="004B7CDB"/>
    <w:rsid w:val="004B7D0C"/>
    <w:rsid w:val="004C02FB"/>
    <w:rsid w:val="004C07D7"/>
    <w:rsid w:val="004C2DE9"/>
    <w:rsid w:val="004C31F9"/>
    <w:rsid w:val="004C40B6"/>
    <w:rsid w:val="004D0626"/>
    <w:rsid w:val="004D0643"/>
    <w:rsid w:val="004D192F"/>
    <w:rsid w:val="004D1EDF"/>
    <w:rsid w:val="004D5585"/>
    <w:rsid w:val="004D59DE"/>
    <w:rsid w:val="004D5AD1"/>
    <w:rsid w:val="004D6A9D"/>
    <w:rsid w:val="004D6DC3"/>
    <w:rsid w:val="004D6F92"/>
    <w:rsid w:val="004D7296"/>
    <w:rsid w:val="004D7793"/>
    <w:rsid w:val="004D7942"/>
    <w:rsid w:val="004D7ADA"/>
    <w:rsid w:val="004E02FF"/>
    <w:rsid w:val="004E0916"/>
    <w:rsid w:val="004E2221"/>
    <w:rsid w:val="004E3871"/>
    <w:rsid w:val="004E4B46"/>
    <w:rsid w:val="004E5BD5"/>
    <w:rsid w:val="004E6481"/>
    <w:rsid w:val="004E75F8"/>
    <w:rsid w:val="004F0017"/>
    <w:rsid w:val="004F0319"/>
    <w:rsid w:val="004F052C"/>
    <w:rsid w:val="004F1AAE"/>
    <w:rsid w:val="004F1ABF"/>
    <w:rsid w:val="004F2E0B"/>
    <w:rsid w:val="004F2EC6"/>
    <w:rsid w:val="004F4D96"/>
    <w:rsid w:val="005004FA"/>
    <w:rsid w:val="00500624"/>
    <w:rsid w:val="00502383"/>
    <w:rsid w:val="00503227"/>
    <w:rsid w:val="0050443E"/>
    <w:rsid w:val="0050546B"/>
    <w:rsid w:val="005059DB"/>
    <w:rsid w:val="00506721"/>
    <w:rsid w:val="00507404"/>
    <w:rsid w:val="00510DB4"/>
    <w:rsid w:val="00512C87"/>
    <w:rsid w:val="005144EC"/>
    <w:rsid w:val="005153BE"/>
    <w:rsid w:val="0051724E"/>
    <w:rsid w:val="005173C3"/>
    <w:rsid w:val="00522917"/>
    <w:rsid w:val="00522962"/>
    <w:rsid w:val="005231C0"/>
    <w:rsid w:val="00524020"/>
    <w:rsid w:val="005243FD"/>
    <w:rsid w:val="00524A7F"/>
    <w:rsid w:val="005261B8"/>
    <w:rsid w:val="00526D0C"/>
    <w:rsid w:val="00527935"/>
    <w:rsid w:val="00527C93"/>
    <w:rsid w:val="00527E79"/>
    <w:rsid w:val="00530251"/>
    <w:rsid w:val="00532B36"/>
    <w:rsid w:val="005337BD"/>
    <w:rsid w:val="00534101"/>
    <w:rsid w:val="0053425F"/>
    <w:rsid w:val="005346D1"/>
    <w:rsid w:val="0053547A"/>
    <w:rsid w:val="0053763E"/>
    <w:rsid w:val="0053786F"/>
    <w:rsid w:val="00540E20"/>
    <w:rsid w:val="00542FE2"/>
    <w:rsid w:val="00543736"/>
    <w:rsid w:val="00543FC7"/>
    <w:rsid w:val="00544CFC"/>
    <w:rsid w:val="005467D7"/>
    <w:rsid w:val="00546AA7"/>
    <w:rsid w:val="00547BF7"/>
    <w:rsid w:val="00547DA7"/>
    <w:rsid w:val="005511F8"/>
    <w:rsid w:val="005534C4"/>
    <w:rsid w:val="0055396A"/>
    <w:rsid w:val="0055409F"/>
    <w:rsid w:val="005557C8"/>
    <w:rsid w:val="0056325B"/>
    <w:rsid w:val="005659C8"/>
    <w:rsid w:val="00565B18"/>
    <w:rsid w:val="0056680E"/>
    <w:rsid w:val="0056716F"/>
    <w:rsid w:val="00571AB2"/>
    <w:rsid w:val="005722A5"/>
    <w:rsid w:val="00572B1C"/>
    <w:rsid w:val="00572B9A"/>
    <w:rsid w:val="00573975"/>
    <w:rsid w:val="00574956"/>
    <w:rsid w:val="005758CF"/>
    <w:rsid w:val="00576FB4"/>
    <w:rsid w:val="005805FE"/>
    <w:rsid w:val="00581AD7"/>
    <w:rsid w:val="00582170"/>
    <w:rsid w:val="00582820"/>
    <w:rsid w:val="005839E5"/>
    <w:rsid w:val="005844DD"/>
    <w:rsid w:val="00584A8E"/>
    <w:rsid w:val="00592562"/>
    <w:rsid w:val="00593175"/>
    <w:rsid w:val="00593AB6"/>
    <w:rsid w:val="00593AF9"/>
    <w:rsid w:val="0059688F"/>
    <w:rsid w:val="00597A19"/>
    <w:rsid w:val="005A053A"/>
    <w:rsid w:val="005A1683"/>
    <w:rsid w:val="005A16F3"/>
    <w:rsid w:val="005A1AA4"/>
    <w:rsid w:val="005A3A89"/>
    <w:rsid w:val="005A403A"/>
    <w:rsid w:val="005A49D8"/>
    <w:rsid w:val="005A4BD0"/>
    <w:rsid w:val="005A5CED"/>
    <w:rsid w:val="005B1264"/>
    <w:rsid w:val="005B1AAF"/>
    <w:rsid w:val="005B20F4"/>
    <w:rsid w:val="005B2148"/>
    <w:rsid w:val="005B264A"/>
    <w:rsid w:val="005B28DB"/>
    <w:rsid w:val="005B298D"/>
    <w:rsid w:val="005B3068"/>
    <w:rsid w:val="005B516A"/>
    <w:rsid w:val="005B5E55"/>
    <w:rsid w:val="005B5F07"/>
    <w:rsid w:val="005B7617"/>
    <w:rsid w:val="005B7A52"/>
    <w:rsid w:val="005C00BB"/>
    <w:rsid w:val="005C0CCA"/>
    <w:rsid w:val="005C1CA5"/>
    <w:rsid w:val="005C1CD6"/>
    <w:rsid w:val="005C7039"/>
    <w:rsid w:val="005C75BA"/>
    <w:rsid w:val="005D0DFB"/>
    <w:rsid w:val="005D2476"/>
    <w:rsid w:val="005D43FB"/>
    <w:rsid w:val="005D4D76"/>
    <w:rsid w:val="005D649B"/>
    <w:rsid w:val="005D6BB7"/>
    <w:rsid w:val="005D71C2"/>
    <w:rsid w:val="005D7B97"/>
    <w:rsid w:val="005E044A"/>
    <w:rsid w:val="005E27D9"/>
    <w:rsid w:val="005E33B2"/>
    <w:rsid w:val="005E50FE"/>
    <w:rsid w:val="005E5548"/>
    <w:rsid w:val="005E5DAA"/>
    <w:rsid w:val="005E7273"/>
    <w:rsid w:val="005E78D9"/>
    <w:rsid w:val="005E7D5B"/>
    <w:rsid w:val="005E7EE3"/>
    <w:rsid w:val="005F228B"/>
    <w:rsid w:val="005F27C9"/>
    <w:rsid w:val="005F7EB8"/>
    <w:rsid w:val="00600F17"/>
    <w:rsid w:val="006014DB"/>
    <w:rsid w:val="006015B5"/>
    <w:rsid w:val="0060213C"/>
    <w:rsid w:val="0060259C"/>
    <w:rsid w:val="00602D19"/>
    <w:rsid w:val="00602E0F"/>
    <w:rsid w:val="00605EDE"/>
    <w:rsid w:val="0060616E"/>
    <w:rsid w:val="00606E63"/>
    <w:rsid w:val="00611A37"/>
    <w:rsid w:val="00611C66"/>
    <w:rsid w:val="00611FAD"/>
    <w:rsid w:val="00613046"/>
    <w:rsid w:val="00613199"/>
    <w:rsid w:val="00613BD6"/>
    <w:rsid w:val="00614866"/>
    <w:rsid w:val="006156A2"/>
    <w:rsid w:val="00615CDA"/>
    <w:rsid w:val="0062013A"/>
    <w:rsid w:val="006210E6"/>
    <w:rsid w:val="0062238F"/>
    <w:rsid w:val="00623B85"/>
    <w:rsid w:val="006243A3"/>
    <w:rsid w:val="0062473A"/>
    <w:rsid w:val="0062546F"/>
    <w:rsid w:val="00627288"/>
    <w:rsid w:val="00627ABA"/>
    <w:rsid w:val="00630350"/>
    <w:rsid w:val="0063277B"/>
    <w:rsid w:val="00633CCD"/>
    <w:rsid w:val="006353E8"/>
    <w:rsid w:val="006354F4"/>
    <w:rsid w:val="00635D19"/>
    <w:rsid w:val="00636417"/>
    <w:rsid w:val="0063649C"/>
    <w:rsid w:val="006364B4"/>
    <w:rsid w:val="006371EF"/>
    <w:rsid w:val="00637510"/>
    <w:rsid w:val="00640A41"/>
    <w:rsid w:val="00641418"/>
    <w:rsid w:val="0064175A"/>
    <w:rsid w:val="00644C34"/>
    <w:rsid w:val="00645665"/>
    <w:rsid w:val="006462CD"/>
    <w:rsid w:val="00646834"/>
    <w:rsid w:val="00647072"/>
    <w:rsid w:val="006506A8"/>
    <w:rsid w:val="0065085B"/>
    <w:rsid w:val="00651092"/>
    <w:rsid w:val="006515EE"/>
    <w:rsid w:val="00651F19"/>
    <w:rsid w:val="00652F31"/>
    <w:rsid w:val="006548F5"/>
    <w:rsid w:val="00654AD9"/>
    <w:rsid w:val="00655A5B"/>
    <w:rsid w:val="006562EA"/>
    <w:rsid w:val="00657412"/>
    <w:rsid w:val="0066013C"/>
    <w:rsid w:val="0066077A"/>
    <w:rsid w:val="00660AAB"/>
    <w:rsid w:val="006627D1"/>
    <w:rsid w:val="006628CB"/>
    <w:rsid w:val="006638A6"/>
    <w:rsid w:val="00664B26"/>
    <w:rsid w:val="00665129"/>
    <w:rsid w:val="00665F63"/>
    <w:rsid w:val="006669EE"/>
    <w:rsid w:val="00667EC2"/>
    <w:rsid w:val="006713B1"/>
    <w:rsid w:val="00674045"/>
    <w:rsid w:val="00674363"/>
    <w:rsid w:val="00674379"/>
    <w:rsid w:val="006744B1"/>
    <w:rsid w:val="00675D08"/>
    <w:rsid w:val="00675F5E"/>
    <w:rsid w:val="00676A4D"/>
    <w:rsid w:val="0068054D"/>
    <w:rsid w:val="00684F82"/>
    <w:rsid w:val="00685BE4"/>
    <w:rsid w:val="00691209"/>
    <w:rsid w:val="00693531"/>
    <w:rsid w:val="00693B54"/>
    <w:rsid w:val="0069515D"/>
    <w:rsid w:val="00696E69"/>
    <w:rsid w:val="006A04BE"/>
    <w:rsid w:val="006A4A3F"/>
    <w:rsid w:val="006A6226"/>
    <w:rsid w:val="006B1816"/>
    <w:rsid w:val="006B1EE3"/>
    <w:rsid w:val="006B3130"/>
    <w:rsid w:val="006B3415"/>
    <w:rsid w:val="006B4075"/>
    <w:rsid w:val="006B45EF"/>
    <w:rsid w:val="006B4E55"/>
    <w:rsid w:val="006B6510"/>
    <w:rsid w:val="006B7187"/>
    <w:rsid w:val="006B7294"/>
    <w:rsid w:val="006C313D"/>
    <w:rsid w:val="006C3952"/>
    <w:rsid w:val="006C4C52"/>
    <w:rsid w:val="006D36C0"/>
    <w:rsid w:val="006D482E"/>
    <w:rsid w:val="006D4A88"/>
    <w:rsid w:val="006D535B"/>
    <w:rsid w:val="006D5A05"/>
    <w:rsid w:val="006D5A98"/>
    <w:rsid w:val="006D69B7"/>
    <w:rsid w:val="006D751A"/>
    <w:rsid w:val="006E196C"/>
    <w:rsid w:val="006E41AC"/>
    <w:rsid w:val="006E41D6"/>
    <w:rsid w:val="006E5D07"/>
    <w:rsid w:val="006E653E"/>
    <w:rsid w:val="006E74B6"/>
    <w:rsid w:val="006F0023"/>
    <w:rsid w:val="006F11E5"/>
    <w:rsid w:val="006F31A5"/>
    <w:rsid w:val="006F406C"/>
    <w:rsid w:val="006F4A62"/>
    <w:rsid w:val="006F4EE6"/>
    <w:rsid w:val="006F7F1D"/>
    <w:rsid w:val="0070035C"/>
    <w:rsid w:val="00700C51"/>
    <w:rsid w:val="00701669"/>
    <w:rsid w:val="00701A6A"/>
    <w:rsid w:val="00701BF3"/>
    <w:rsid w:val="007025D2"/>
    <w:rsid w:val="00703812"/>
    <w:rsid w:val="007074D5"/>
    <w:rsid w:val="00707781"/>
    <w:rsid w:val="00707D26"/>
    <w:rsid w:val="00711771"/>
    <w:rsid w:val="007119E2"/>
    <w:rsid w:val="00712602"/>
    <w:rsid w:val="0071267C"/>
    <w:rsid w:val="00713F79"/>
    <w:rsid w:val="00713F88"/>
    <w:rsid w:val="007141AA"/>
    <w:rsid w:val="007163B7"/>
    <w:rsid w:val="00720DDB"/>
    <w:rsid w:val="007221AB"/>
    <w:rsid w:val="007226FC"/>
    <w:rsid w:val="0072291C"/>
    <w:rsid w:val="00722F6F"/>
    <w:rsid w:val="0072322D"/>
    <w:rsid w:val="00723625"/>
    <w:rsid w:val="00723B4F"/>
    <w:rsid w:val="00726491"/>
    <w:rsid w:val="007274F0"/>
    <w:rsid w:val="007279A4"/>
    <w:rsid w:val="00730A06"/>
    <w:rsid w:val="00730EEB"/>
    <w:rsid w:val="00734010"/>
    <w:rsid w:val="00734DE7"/>
    <w:rsid w:val="00735DB4"/>
    <w:rsid w:val="00737184"/>
    <w:rsid w:val="007406FF"/>
    <w:rsid w:val="00740D7A"/>
    <w:rsid w:val="00741218"/>
    <w:rsid w:val="00742B33"/>
    <w:rsid w:val="00743637"/>
    <w:rsid w:val="00743AC4"/>
    <w:rsid w:val="00743EE6"/>
    <w:rsid w:val="00744491"/>
    <w:rsid w:val="00745D72"/>
    <w:rsid w:val="00746838"/>
    <w:rsid w:val="0074714F"/>
    <w:rsid w:val="00747308"/>
    <w:rsid w:val="007509E2"/>
    <w:rsid w:val="00753167"/>
    <w:rsid w:val="0075522B"/>
    <w:rsid w:val="0075545A"/>
    <w:rsid w:val="0075659A"/>
    <w:rsid w:val="007570DF"/>
    <w:rsid w:val="0075738B"/>
    <w:rsid w:val="00757B47"/>
    <w:rsid w:val="0076031B"/>
    <w:rsid w:val="00760874"/>
    <w:rsid w:val="00761946"/>
    <w:rsid w:val="00762A27"/>
    <w:rsid w:val="00762CB1"/>
    <w:rsid w:val="00763BFF"/>
    <w:rsid w:val="00763D85"/>
    <w:rsid w:val="00765D3E"/>
    <w:rsid w:val="00770672"/>
    <w:rsid w:val="00770D9B"/>
    <w:rsid w:val="00771255"/>
    <w:rsid w:val="0077159A"/>
    <w:rsid w:val="00771CE5"/>
    <w:rsid w:val="00771D4C"/>
    <w:rsid w:val="007739E1"/>
    <w:rsid w:val="007741F3"/>
    <w:rsid w:val="00775538"/>
    <w:rsid w:val="00776F5B"/>
    <w:rsid w:val="0078061D"/>
    <w:rsid w:val="00780B41"/>
    <w:rsid w:val="00781486"/>
    <w:rsid w:val="007819E5"/>
    <w:rsid w:val="00781A0E"/>
    <w:rsid w:val="00781C4F"/>
    <w:rsid w:val="007826DE"/>
    <w:rsid w:val="00786069"/>
    <w:rsid w:val="00786844"/>
    <w:rsid w:val="007869DD"/>
    <w:rsid w:val="00787319"/>
    <w:rsid w:val="007920A9"/>
    <w:rsid w:val="00794E82"/>
    <w:rsid w:val="007A1C21"/>
    <w:rsid w:val="007A1D66"/>
    <w:rsid w:val="007A31D8"/>
    <w:rsid w:val="007A3A39"/>
    <w:rsid w:val="007A52FC"/>
    <w:rsid w:val="007A538E"/>
    <w:rsid w:val="007A6C93"/>
    <w:rsid w:val="007A7D56"/>
    <w:rsid w:val="007B12F9"/>
    <w:rsid w:val="007B1673"/>
    <w:rsid w:val="007B2000"/>
    <w:rsid w:val="007B2A26"/>
    <w:rsid w:val="007B4527"/>
    <w:rsid w:val="007B4A73"/>
    <w:rsid w:val="007B4CDB"/>
    <w:rsid w:val="007B5FE1"/>
    <w:rsid w:val="007B677D"/>
    <w:rsid w:val="007B691E"/>
    <w:rsid w:val="007B6AA3"/>
    <w:rsid w:val="007B6C62"/>
    <w:rsid w:val="007B7C93"/>
    <w:rsid w:val="007B7E80"/>
    <w:rsid w:val="007C0EF4"/>
    <w:rsid w:val="007C4BAF"/>
    <w:rsid w:val="007C613D"/>
    <w:rsid w:val="007C7DD6"/>
    <w:rsid w:val="007D126E"/>
    <w:rsid w:val="007D1FE8"/>
    <w:rsid w:val="007D43A2"/>
    <w:rsid w:val="007D54B6"/>
    <w:rsid w:val="007D6013"/>
    <w:rsid w:val="007D6F85"/>
    <w:rsid w:val="007D7113"/>
    <w:rsid w:val="007D7525"/>
    <w:rsid w:val="007E067B"/>
    <w:rsid w:val="007E19BE"/>
    <w:rsid w:val="007E2A6F"/>
    <w:rsid w:val="007E35B9"/>
    <w:rsid w:val="007E3810"/>
    <w:rsid w:val="007E38F7"/>
    <w:rsid w:val="007E3A30"/>
    <w:rsid w:val="007E5A59"/>
    <w:rsid w:val="007E604D"/>
    <w:rsid w:val="007E63C0"/>
    <w:rsid w:val="007E66EE"/>
    <w:rsid w:val="007E74A2"/>
    <w:rsid w:val="007F029B"/>
    <w:rsid w:val="007F08B3"/>
    <w:rsid w:val="007F3CE5"/>
    <w:rsid w:val="007F4801"/>
    <w:rsid w:val="007F55E6"/>
    <w:rsid w:val="007F73D2"/>
    <w:rsid w:val="007F7FF9"/>
    <w:rsid w:val="008025E0"/>
    <w:rsid w:val="00803C3D"/>
    <w:rsid w:val="008040C1"/>
    <w:rsid w:val="00804E4A"/>
    <w:rsid w:val="00804FD1"/>
    <w:rsid w:val="0080713B"/>
    <w:rsid w:val="00810141"/>
    <w:rsid w:val="00810EA6"/>
    <w:rsid w:val="00810F37"/>
    <w:rsid w:val="008117FB"/>
    <w:rsid w:val="00811D05"/>
    <w:rsid w:val="00811DE3"/>
    <w:rsid w:val="008123F6"/>
    <w:rsid w:val="008142B7"/>
    <w:rsid w:val="0081633A"/>
    <w:rsid w:val="00816D87"/>
    <w:rsid w:val="008179D9"/>
    <w:rsid w:val="00820062"/>
    <w:rsid w:val="00820EF4"/>
    <w:rsid w:val="008233F5"/>
    <w:rsid w:val="00824811"/>
    <w:rsid w:val="008248A4"/>
    <w:rsid w:val="00827E3C"/>
    <w:rsid w:val="0083011D"/>
    <w:rsid w:val="008309A2"/>
    <w:rsid w:val="008318B1"/>
    <w:rsid w:val="0083286E"/>
    <w:rsid w:val="00832F15"/>
    <w:rsid w:val="00832F53"/>
    <w:rsid w:val="0083537E"/>
    <w:rsid w:val="008356A2"/>
    <w:rsid w:val="00841078"/>
    <w:rsid w:val="00841C95"/>
    <w:rsid w:val="00842728"/>
    <w:rsid w:val="008435B0"/>
    <w:rsid w:val="00846D21"/>
    <w:rsid w:val="00846FE7"/>
    <w:rsid w:val="008502BD"/>
    <w:rsid w:val="00850F08"/>
    <w:rsid w:val="008521EF"/>
    <w:rsid w:val="00852872"/>
    <w:rsid w:val="00852B91"/>
    <w:rsid w:val="008534EE"/>
    <w:rsid w:val="008544F4"/>
    <w:rsid w:val="00855A73"/>
    <w:rsid w:val="00857902"/>
    <w:rsid w:val="008615B6"/>
    <w:rsid w:val="00861CB0"/>
    <w:rsid w:val="00862119"/>
    <w:rsid w:val="00862F3C"/>
    <w:rsid w:val="00864ED1"/>
    <w:rsid w:val="00865CB3"/>
    <w:rsid w:val="00867917"/>
    <w:rsid w:val="008711B3"/>
    <w:rsid w:val="008711D8"/>
    <w:rsid w:val="00872F37"/>
    <w:rsid w:val="00873722"/>
    <w:rsid w:val="00873D9C"/>
    <w:rsid w:val="00873F40"/>
    <w:rsid w:val="00874108"/>
    <w:rsid w:val="00874585"/>
    <w:rsid w:val="0087569D"/>
    <w:rsid w:val="008756A0"/>
    <w:rsid w:val="00875EC9"/>
    <w:rsid w:val="00877265"/>
    <w:rsid w:val="00877428"/>
    <w:rsid w:val="00880B5B"/>
    <w:rsid w:val="0088100E"/>
    <w:rsid w:val="00882075"/>
    <w:rsid w:val="008820CB"/>
    <w:rsid w:val="008843B6"/>
    <w:rsid w:val="00884E47"/>
    <w:rsid w:val="00885335"/>
    <w:rsid w:val="00891BA5"/>
    <w:rsid w:val="00892DF9"/>
    <w:rsid w:val="00893533"/>
    <w:rsid w:val="0089406C"/>
    <w:rsid w:val="00895FA9"/>
    <w:rsid w:val="008A0402"/>
    <w:rsid w:val="008A1F16"/>
    <w:rsid w:val="008A2051"/>
    <w:rsid w:val="008A2D8E"/>
    <w:rsid w:val="008A3220"/>
    <w:rsid w:val="008A5333"/>
    <w:rsid w:val="008A5FDC"/>
    <w:rsid w:val="008A731C"/>
    <w:rsid w:val="008A74AF"/>
    <w:rsid w:val="008B009B"/>
    <w:rsid w:val="008B0302"/>
    <w:rsid w:val="008B0A68"/>
    <w:rsid w:val="008B12D8"/>
    <w:rsid w:val="008B160D"/>
    <w:rsid w:val="008B26B6"/>
    <w:rsid w:val="008B2812"/>
    <w:rsid w:val="008B2E98"/>
    <w:rsid w:val="008B3546"/>
    <w:rsid w:val="008B3722"/>
    <w:rsid w:val="008B4980"/>
    <w:rsid w:val="008C0D03"/>
    <w:rsid w:val="008C2184"/>
    <w:rsid w:val="008C2B99"/>
    <w:rsid w:val="008C69C3"/>
    <w:rsid w:val="008D25A0"/>
    <w:rsid w:val="008D46A0"/>
    <w:rsid w:val="008D5540"/>
    <w:rsid w:val="008D6281"/>
    <w:rsid w:val="008D6630"/>
    <w:rsid w:val="008D753E"/>
    <w:rsid w:val="008E19DD"/>
    <w:rsid w:val="008E433A"/>
    <w:rsid w:val="008E523B"/>
    <w:rsid w:val="008E55C5"/>
    <w:rsid w:val="008E569A"/>
    <w:rsid w:val="008E5852"/>
    <w:rsid w:val="008E643F"/>
    <w:rsid w:val="008F0585"/>
    <w:rsid w:val="008F21D1"/>
    <w:rsid w:val="008F228C"/>
    <w:rsid w:val="008F4486"/>
    <w:rsid w:val="008F4F03"/>
    <w:rsid w:val="008F51EA"/>
    <w:rsid w:val="008F5235"/>
    <w:rsid w:val="008F661B"/>
    <w:rsid w:val="00901BBA"/>
    <w:rsid w:val="009027FE"/>
    <w:rsid w:val="00903366"/>
    <w:rsid w:val="00904050"/>
    <w:rsid w:val="0090439A"/>
    <w:rsid w:val="00906406"/>
    <w:rsid w:val="00906F7B"/>
    <w:rsid w:val="009077D4"/>
    <w:rsid w:val="00911EE5"/>
    <w:rsid w:val="00912358"/>
    <w:rsid w:val="00912D92"/>
    <w:rsid w:val="0091312D"/>
    <w:rsid w:val="009137A6"/>
    <w:rsid w:val="00914475"/>
    <w:rsid w:val="00916216"/>
    <w:rsid w:val="00917E18"/>
    <w:rsid w:val="0092026C"/>
    <w:rsid w:val="0092075A"/>
    <w:rsid w:val="0092115B"/>
    <w:rsid w:val="009220FE"/>
    <w:rsid w:val="00922D8A"/>
    <w:rsid w:val="00922EED"/>
    <w:rsid w:val="009230E7"/>
    <w:rsid w:val="009249AB"/>
    <w:rsid w:val="00924B8E"/>
    <w:rsid w:val="00925900"/>
    <w:rsid w:val="00925CD8"/>
    <w:rsid w:val="00930371"/>
    <w:rsid w:val="009309E9"/>
    <w:rsid w:val="00930D60"/>
    <w:rsid w:val="009310F4"/>
    <w:rsid w:val="0093145D"/>
    <w:rsid w:val="009344AE"/>
    <w:rsid w:val="0093488D"/>
    <w:rsid w:val="00937239"/>
    <w:rsid w:val="00937363"/>
    <w:rsid w:val="0094087D"/>
    <w:rsid w:val="009419D2"/>
    <w:rsid w:val="00942436"/>
    <w:rsid w:val="00943258"/>
    <w:rsid w:val="009434C4"/>
    <w:rsid w:val="00945CD2"/>
    <w:rsid w:val="00945F62"/>
    <w:rsid w:val="00946063"/>
    <w:rsid w:val="009467E3"/>
    <w:rsid w:val="00947087"/>
    <w:rsid w:val="00947329"/>
    <w:rsid w:val="009511D1"/>
    <w:rsid w:val="00951769"/>
    <w:rsid w:val="00951950"/>
    <w:rsid w:val="009522E3"/>
    <w:rsid w:val="00952336"/>
    <w:rsid w:val="0095409F"/>
    <w:rsid w:val="0095486C"/>
    <w:rsid w:val="00954BB3"/>
    <w:rsid w:val="0096394D"/>
    <w:rsid w:val="00963A58"/>
    <w:rsid w:val="0096484B"/>
    <w:rsid w:val="00965926"/>
    <w:rsid w:val="00965AD6"/>
    <w:rsid w:val="00966F83"/>
    <w:rsid w:val="00966F92"/>
    <w:rsid w:val="00967F18"/>
    <w:rsid w:val="00970459"/>
    <w:rsid w:val="00971993"/>
    <w:rsid w:val="009735EB"/>
    <w:rsid w:val="00976D48"/>
    <w:rsid w:val="00980B29"/>
    <w:rsid w:val="0098146D"/>
    <w:rsid w:val="00981CEC"/>
    <w:rsid w:val="00982F1D"/>
    <w:rsid w:val="00984E4F"/>
    <w:rsid w:val="00986ED5"/>
    <w:rsid w:val="009875DD"/>
    <w:rsid w:val="00987C29"/>
    <w:rsid w:val="0099127D"/>
    <w:rsid w:val="00991BDA"/>
    <w:rsid w:val="00992A55"/>
    <w:rsid w:val="00993766"/>
    <w:rsid w:val="009937D1"/>
    <w:rsid w:val="00993B19"/>
    <w:rsid w:val="0099433D"/>
    <w:rsid w:val="009943EC"/>
    <w:rsid w:val="00994E12"/>
    <w:rsid w:val="00996EB5"/>
    <w:rsid w:val="00997BBF"/>
    <w:rsid w:val="00997C4D"/>
    <w:rsid w:val="009A0E82"/>
    <w:rsid w:val="009A1E7B"/>
    <w:rsid w:val="009A471C"/>
    <w:rsid w:val="009A7C69"/>
    <w:rsid w:val="009B0021"/>
    <w:rsid w:val="009B12B6"/>
    <w:rsid w:val="009B2A23"/>
    <w:rsid w:val="009C088F"/>
    <w:rsid w:val="009C0DF0"/>
    <w:rsid w:val="009C32F4"/>
    <w:rsid w:val="009C4171"/>
    <w:rsid w:val="009C6D2D"/>
    <w:rsid w:val="009C6DFF"/>
    <w:rsid w:val="009C6E2A"/>
    <w:rsid w:val="009C6E96"/>
    <w:rsid w:val="009C7C39"/>
    <w:rsid w:val="009D1D96"/>
    <w:rsid w:val="009D1FF0"/>
    <w:rsid w:val="009D277B"/>
    <w:rsid w:val="009D36AA"/>
    <w:rsid w:val="009D5F88"/>
    <w:rsid w:val="009D61A6"/>
    <w:rsid w:val="009E34DE"/>
    <w:rsid w:val="009E3975"/>
    <w:rsid w:val="009E580E"/>
    <w:rsid w:val="009E66F4"/>
    <w:rsid w:val="009E6737"/>
    <w:rsid w:val="009F17FD"/>
    <w:rsid w:val="009F1A6E"/>
    <w:rsid w:val="009F257B"/>
    <w:rsid w:val="009F2EBE"/>
    <w:rsid w:val="009F41DF"/>
    <w:rsid w:val="009F420B"/>
    <w:rsid w:val="009F45DC"/>
    <w:rsid w:val="009F4632"/>
    <w:rsid w:val="009F5E5A"/>
    <w:rsid w:val="009F7542"/>
    <w:rsid w:val="00A004A4"/>
    <w:rsid w:val="00A01780"/>
    <w:rsid w:val="00A0242A"/>
    <w:rsid w:val="00A02C31"/>
    <w:rsid w:val="00A03903"/>
    <w:rsid w:val="00A056E1"/>
    <w:rsid w:val="00A05E76"/>
    <w:rsid w:val="00A1128A"/>
    <w:rsid w:val="00A12F54"/>
    <w:rsid w:val="00A1338A"/>
    <w:rsid w:val="00A137BF"/>
    <w:rsid w:val="00A142EC"/>
    <w:rsid w:val="00A15471"/>
    <w:rsid w:val="00A15C77"/>
    <w:rsid w:val="00A16B68"/>
    <w:rsid w:val="00A2093B"/>
    <w:rsid w:val="00A20DB6"/>
    <w:rsid w:val="00A22095"/>
    <w:rsid w:val="00A23491"/>
    <w:rsid w:val="00A26CF4"/>
    <w:rsid w:val="00A27EA6"/>
    <w:rsid w:val="00A307D3"/>
    <w:rsid w:val="00A30C70"/>
    <w:rsid w:val="00A31B2A"/>
    <w:rsid w:val="00A31D30"/>
    <w:rsid w:val="00A3285C"/>
    <w:rsid w:val="00A3313B"/>
    <w:rsid w:val="00A333B3"/>
    <w:rsid w:val="00A3393B"/>
    <w:rsid w:val="00A35273"/>
    <w:rsid w:val="00A36763"/>
    <w:rsid w:val="00A36957"/>
    <w:rsid w:val="00A36C61"/>
    <w:rsid w:val="00A37004"/>
    <w:rsid w:val="00A373F4"/>
    <w:rsid w:val="00A3771C"/>
    <w:rsid w:val="00A379CC"/>
    <w:rsid w:val="00A40C8E"/>
    <w:rsid w:val="00A41CBD"/>
    <w:rsid w:val="00A453E1"/>
    <w:rsid w:val="00A453EB"/>
    <w:rsid w:val="00A46724"/>
    <w:rsid w:val="00A47121"/>
    <w:rsid w:val="00A477DC"/>
    <w:rsid w:val="00A501FA"/>
    <w:rsid w:val="00A50B1C"/>
    <w:rsid w:val="00A52834"/>
    <w:rsid w:val="00A529E6"/>
    <w:rsid w:val="00A54A0C"/>
    <w:rsid w:val="00A552B2"/>
    <w:rsid w:val="00A5658E"/>
    <w:rsid w:val="00A57B52"/>
    <w:rsid w:val="00A60BFD"/>
    <w:rsid w:val="00A61769"/>
    <w:rsid w:val="00A62040"/>
    <w:rsid w:val="00A623C2"/>
    <w:rsid w:val="00A6278E"/>
    <w:rsid w:val="00A63ED9"/>
    <w:rsid w:val="00A654BF"/>
    <w:rsid w:val="00A65CAC"/>
    <w:rsid w:val="00A66D02"/>
    <w:rsid w:val="00A670DC"/>
    <w:rsid w:val="00A67F3E"/>
    <w:rsid w:val="00A72507"/>
    <w:rsid w:val="00A73DDE"/>
    <w:rsid w:val="00A75283"/>
    <w:rsid w:val="00A753A5"/>
    <w:rsid w:val="00A76A76"/>
    <w:rsid w:val="00A773E9"/>
    <w:rsid w:val="00A8183D"/>
    <w:rsid w:val="00A83350"/>
    <w:rsid w:val="00A8340E"/>
    <w:rsid w:val="00A84594"/>
    <w:rsid w:val="00A878E7"/>
    <w:rsid w:val="00A900A6"/>
    <w:rsid w:val="00A90D8A"/>
    <w:rsid w:val="00A90EE1"/>
    <w:rsid w:val="00A9333D"/>
    <w:rsid w:val="00A9483D"/>
    <w:rsid w:val="00A94A3A"/>
    <w:rsid w:val="00A958C5"/>
    <w:rsid w:val="00A9705B"/>
    <w:rsid w:val="00A97E6A"/>
    <w:rsid w:val="00AA14E5"/>
    <w:rsid w:val="00AA204A"/>
    <w:rsid w:val="00AA30EB"/>
    <w:rsid w:val="00AA372C"/>
    <w:rsid w:val="00AA4760"/>
    <w:rsid w:val="00AA58C2"/>
    <w:rsid w:val="00AA6429"/>
    <w:rsid w:val="00AA691A"/>
    <w:rsid w:val="00AA7A2A"/>
    <w:rsid w:val="00AB0D7B"/>
    <w:rsid w:val="00AB1115"/>
    <w:rsid w:val="00AB140C"/>
    <w:rsid w:val="00AB1E81"/>
    <w:rsid w:val="00AB3671"/>
    <w:rsid w:val="00AB4666"/>
    <w:rsid w:val="00AB5611"/>
    <w:rsid w:val="00AB6593"/>
    <w:rsid w:val="00AB680E"/>
    <w:rsid w:val="00AC02DE"/>
    <w:rsid w:val="00AC1F05"/>
    <w:rsid w:val="00AC3128"/>
    <w:rsid w:val="00AC3A76"/>
    <w:rsid w:val="00AC3D06"/>
    <w:rsid w:val="00AC4374"/>
    <w:rsid w:val="00AC4C0E"/>
    <w:rsid w:val="00AC5FE6"/>
    <w:rsid w:val="00AC6218"/>
    <w:rsid w:val="00AC6397"/>
    <w:rsid w:val="00AC6E19"/>
    <w:rsid w:val="00AD08CF"/>
    <w:rsid w:val="00AD1462"/>
    <w:rsid w:val="00AD1693"/>
    <w:rsid w:val="00AD5DCA"/>
    <w:rsid w:val="00AD630E"/>
    <w:rsid w:val="00AD69B9"/>
    <w:rsid w:val="00AE05A9"/>
    <w:rsid w:val="00AE06D3"/>
    <w:rsid w:val="00AE09A0"/>
    <w:rsid w:val="00AE0D0A"/>
    <w:rsid w:val="00AE15B1"/>
    <w:rsid w:val="00AE18D9"/>
    <w:rsid w:val="00AE1A44"/>
    <w:rsid w:val="00AE1EE5"/>
    <w:rsid w:val="00AE26F3"/>
    <w:rsid w:val="00AE4DF8"/>
    <w:rsid w:val="00AE5055"/>
    <w:rsid w:val="00AE50BD"/>
    <w:rsid w:val="00AE612D"/>
    <w:rsid w:val="00AE6936"/>
    <w:rsid w:val="00AE7352"/>
    <w:rsid w:val="00AE78A1"/>
    <w:rsid w:val="00AE7B31"/>
    <w:rsid w:val="00AE7F75"/>
    <w:rsid w:val="00AF0F92"/>
    <w:rsid w:val="00AF0FC3"/>
    <w:rsid w:val="00AF1AAF"/>
    <w:rsid w:val="00AF1EC6"/>
    <w:rsid w:val="00AF2B01"/>
    <w:rsid w:val="00AF3062"/>
    <w:rsid w:val="00AF3155"/>
    <w:rsid w:val="00AF5B10"/>
    <w:rsid w:val="00AF6A5B"/>
    <w:rsid w:val="00AF794E"/>
    <w:rsid w:val="00B005CE"/>
    <w:rsid w:val="00B03BE5"/>
    <w:rsid w:val="00B05627"/>
    <w:rsid w:val="00B0697F"/>
    <w:rsid w:val="00B06B07"/>
    <w:rsid w:val="00B07F32"/>
    <w:rsid w:val="00B10743"/>
    <w:rsid w:val="00B11005"/>
    <w:rsid w:val="00B112C2"/>
    <w:rsid w:val="00B14232"/>
    <w:rsid w:val="00B15DE4"/>
    <w:rsid w:val="00B22DC1"/>
    <w:rsid w:val="00B23672"/>
    <w:rsid w:val="00B2480B"/>
    <w:rsid w:val="00B27CE3"/>
    <w:rsid w:val="00B27EEC"/>
    <w:rsid w:val="00B309CC"/>
    <w:rsid w:val="00B3206C"/>
    <w:rsid w:val="00B34500"/>
    <w:rsid w:val="00B34C0C"/>
    <w:rsid w:val="00B36E2B"/>
    <w:rsid w:val="00B42E18"/>
    <w:rsid w:val="00B43824"/>
    <w:rsid w:val="00B45F6B"/>
    <w:rsid w:val="00B46555"/>
    <w:rsid w:val="00B46904"/>
    <w:rsid w:val="00B50DBA"/>
    <w:rsid w:val="00B51855"/>
    <w:rsid w:val="00B521A8"/>
    <w:rsid w:val="00B53692"/>
    <w:rsid w:val="00B54961"/>
    <w:rsid w:val="00B54AA0"/>
    <w:rsid w:val="00B55095"/>
    <w:rsid w:val="00B56C56"/>
    <w:rsid w:val="00B6148B"/>
    <w:rsid w:val="00B61503"/>
    <w:rsid w:val="00B62A28"/>
    <w:rsid w:val="00B636CF"/>
    <w:rsid w:val="00B7000A"/>
    <w:rsid w:val="00B7200A"/>
    <w:rsid w:val="00B721A9"/>
    <w:rsid w:val="00B721D6"/>
    <w:rsid w:val="00B726B9"/>
    <w:rsid w:val="00B72F9A"/>
    <w:rsid w:val="00B733F7"/>
    <w:rsid w:val="00B73651"/>
    <w:rsid w:val="00B74BF1"/>
    <w:rsid w:val="00B74F5E"/>
    <w:rsid w:val="00B75EAF"/>
    <w:rsid w:val="00B75F41"/>
    <w:rsid w:val="00B8047B"/>
    <w:rsid w:val="00B80C15"/>
    <w:rsid w:val="00B810D9"/>
    <w:rsid w:val="00B84268"/>
    <w:rsid w:val="00B84723"/>
    <w:rsid w:val="00B87155"/>
    <w:rsid w:val="00B9069C"/>
    <w:rsid w:val="00B90B05"/>
    <w:rsid w:val="00B92BD3"/>
    <w:rsid w:val="00B940F1"/>
    <w:rsid w:val="00B94135"/>
    <w:rsid w:val="00B95958"/>
    <w:rsid w:val="00B9638E"/>
    <w:rsid w:val="00BA0058"/>
    <w:rsid w:val="00BA1615"/>
    <w:rsid w:val="00BA181A"/>
    <w:rsid w:val="00BA2344"/>
    <w:rsid w:val="00BA46E3"/>
    <w:rsid w:val="00BA4992"/>
    <w:rsid w:val="00BA53CC"/>
    <w:rsid w:val="00BA5905"/>
    <w:rsid w:val="00BA7087"/>
    <w:rsid w:val="00BA7825"/>
    <w:rsid w:val="00BB00C0"/>
    <w:rsid w:val="00BB0D43"/>
    <w:rsid w:val="00BB11CB"/>
    <w:rsid w:val="00BB1930"/>
    <w:rsid w:val="00BB1BC8"/>
    <w:rsid w:val="00BB1E63"/>
    <w:rsid w:val="00BB2407"/>
    <w:rsid w:val="00BB293B"/>
    <w:rsid w:val="00BB2971"/>
    <w:rsid w:val="00BB3667"/>
    <w:rsid w:val="00BB5CF2"/>
    <w:rsid w:val="00BB5ED2"/>
    <w:rsid w:val="00BB6C85"/>
    <w:rsid w:val="00BB720E"/>
    <w:rsid w:val="00BB7944"/>
    <w:rsid w:val="00BC27FB"/>
    <w:rsid w:val="00BC2CA3"/>
    <w:rsid w:val="00BC2E18"/>
    <w:rsid w:val="00BC5AF0"/>
    <w:rsid w:val="00BC6280"/>
    <w:rsid w:val="00BD05EF"/>
    <w:rsid w:val="00BD1C51"/>
    <w:rsid w:val="00BD26F9"/>
    <w:rsid w:val="00BD2C7E"/>
    <w:rsid w:val="00BD396A"/>
    <w:rsid w:val="00BD4237"/>
    <w:rsid w:val="00BD4447"/>
    <w:rsid w:val="00BD496D"/>
    <w:rsid w:val="00BD570B"/>
    <w:rsid w:val="00BD5C56"/>
    <w:rsid w:val="00BD69EC"/>
    <w:rsid w:val="00BD720B"/>
    <w:rsid w:val="00BD7792"/>
    <w:rsid w:val="00BE060A"/>
    <w:rsid w:val="00BE0CAC"/>
    <w:rsid w:val="00BE0EA2"/>
    <w:rsid w:val="00BE2550"/>
    <w:rsid w:val="00BE2A35"/>
    <w:rsid w:val="00BE3204"/>
    <w:rsid w:val="00BE4707"/>
    <w:rsid w:val="00BE5FA2"/>
    <w:rsid w:val="00BE666B"/>
    <w:rsid w:val="00BE7140"/>
    <w:rsid w:val="00BF0914"/>
    <w:rsid w:val="00BF2080"/>
    <w:rsid w:val="00BF361E"/>
    <w:rsid w:val="00BF58E1"/>
    <w:rsid w:val="00C014CF"/>
    <w:rsid w:val="00C025FB"/>
    <w:rsid w:val="00C02D49"/>
    <w:rsid w:val="00C03324"/>
    <w:rsid w:val="00C03798"/>
    <w:rsid w:val="00C0502A"/>
    <w:rsid w:val="00C057D7"/>
    <w:rsid w:val="00C07BDE"/>
    <w:rsid w:val="00C102D4"/>
    <w:rsid w:val="00C119AE"/>
    <w:rsid w:val="00C123CF"/>
    <w:rsid w:val="00C12BC3"/>
    <w:rsid w:val="00C13323"/>
    <w:rsid w:val="00C14207"/>
    <w:rsid w:val="00C14613"/>
    <w:rsid w:val="00C14F03"/>
    <w:rsid w:val="00C15595"/>
    <w:rsid w:val="00C17796"/>
    <w:rsid w:val="00C203E1"/>
    <w:rsid w:val="00C20EF4"/>
    <w:rsid w:val="00C21F47"/>
    <w:rsid w:val="00C23F6B"/>
    <w:rsid w:val="00C25EAA"/>
    <w:rsid w:val="00C27672"/>
    <w:rsid w:val="00C27E6A"/>
    <w:rsid w:val="00C27FF6"/>
    <w:rsid w:val="00C30423"/>
    <w:rsid w:val="00C304B9"/>
    <w:rsid w:val="00C3101E"/>
    <w:rsid w:val="00C31D0D"/>
    <w:rsid w:val="00C32EA8"/>
    <w:rsid w:val="00C35F16"/>
    <w:rsid w:val="00C40AE2"/>
    <w:rsid w:val="00C4102C"/>
    <w:rsid w:val="00C42475"/>
    <w:rsid w:val="00C424C4"/>
    <w:rsid w:val="00C447F1"/>
    <w:rsid w:val="00C44EF6"/>
    <w:rsid w:val="00C45736"/>
    <w:rsid w:val="00C46C04"/>
    <w:rsid w:val="00C50175"/>
    <w:rsid w:val="00C50AC3"/>
    <w:rsid w:val="00C52038"/>
    <w:rsid w:val="00C529A7"/>
    <w:rsid w:val="00C56334"/>
    <w:rsid w:val="00C56423"/>
    <w:rsid w:val="00C56FF1"/>
    <w:rsid w:val="00C57873"/>
    <w:rsid w:val="00C600A7"/>
    <w:rsid w:val="00C613FA"/>
    <w:rsid w:val="00C61B9D"/>
    <w:rsid w:val="00C6251D"/>
    <w:rsid w:val="00C63265"/>
    <w:rsid w:val="00C6366C"/>
    <w:rsid w:val="00C650A5"/>
    <w:rsid w:val="00C66A21"/>
    <w:rsid w:val="00C676D2"/>
    <w:rsid w:val="00C67825"/>
    <w:rsid w:val="00C729C6"/>
    <w:rsid w:val="00C7361D"/>
    <w:rsid w:val="00C73800"/>
    <w:rsid w:val="00C73FF0"/>
    <w:rsid w:val="00C76B50"/>
    <w:rsid w:val="00C77D9E"/>
    <w:rsid w:val="00C80D7B"/>
    <w:rsid w:val="00C82B90"/>
    <w:rsid w:val="00C841AE"/>
    <w:rsid w:val="00C845D7"/>
    <w:rsid w:val="00C84A3C"/>
    <w:rsid w:val="00C84E16"/>
    <w:rsid w:val="00C85141"/>
    <w:rsid w:val="00C8672A"/>
    <w:rsid w:val="00C87F80"/>
    <w:rsid w:val="00C9047B"/>
    <w:rsid w:val="00C909A3"/>
    <w:rsid w:val="00C915DA"/>
    <w:rsid w:val="00C92A8A"/>
    <w:rsid w:val="00C92AF0"/>
    <w:rsid w:val="00C93417"/>
    <w:rsid w:val="00C950FE"/>
    <w:rsid w:val="00C95E5B"/>
    <w:rsid w:val="00C97239"/>
    <w:rsid w:val="00C97685"/>
    <w:rsid w:val="00C978B7"/>
    <w:rsid w:val="00CA06AA"/>
    <w:rsid w:val="00CA38F9"/>
    <w:rsid w:val="00CA3A3C"/>
    <w:rsid w:val="00CA3E85"/>
    <w:rsid w:val="00CA4588"/>
    <w:rsid w:val="00CA596D"/>
    <w:rsid w:val="00CA788F"/>
    <w:rsid w:val="00CB0A86"/>
    <w:rsid w:val="00CB13E9"/>
    <w:rsid w:val="00CB18B4"/>
    <w:rsid w:val="00CB2F87"/>
    <w:rsid w:val="00CB352A"/>
    <w:rsid w:val="00CB3C5E"/>
    <w:rsid w:val="00CB46D4"/>
    <w:rsid w:val="00CB7EF0"/>
    <w:rsid w:val="00CC1167"/>
    <w:rsid w:val="00CC4114"/>
    <w:rsid w:val="00CC422B"/>
    <w:rsid w:val="00CC48BE"/>
    <w:rsid w:val="00CC54EE"/>
    <w:rsid w:val="00CC6217"/>
    <w:rsid w:val="00CC76D9"/>
    <w:rsid w:val="00CD0B40"/>
    <w:rsid w:val="00CD0C16"/>
    <w:rsid w:val="00CD3133"/>
    <w:rsid w:val="00CD503C"/>
    <w:rsid w:val="00CD5E67"/>
    <w:rsid w:val="00CD6117"/>
    <w:rsid w:val="00CD6589"/>
    <w:rsid w:val="00CE0421"/>
    <w:rsid w:val="00CE1733"/>
    <w:rsid w:val="00CE2FCA"/>
    <w:rsid w:val="00CE30AA"/>
    <w:rsid w:val="00CE4FD9"/>
    <w:rsid w:val="00CE6E07"/>
    <w:rsid w:val="00CE72BA"/>
    <w:rsid w:val="00CE7456"/>
    <w:rsid w:val="00CF0286"/>
    <w:rsid w:val="00CF083C"/>
    <w:rsid w:val="00CF1DC1"/>
    <w:rsid w:val="00CF2038"/>
    <w:rsid w:val="00CF23F4"/>
    <w:rsid w:val="00CF718F"/>
    <w:rsid w:val="00CF7E31"/>
    <w:rsid w:val="00D02951"/>
    <w:rsid w:val="00D02D60"/>
    <w:rsid w:val="00D05F2E"/>
    <w:rsid w:val="00D105CE"/>
    <w:rsid w:val="00D11DF8"/>
    <w:rsid w:val="00D13B3F"/>
    <w:rsid w:val="00D146AF"/>
    <w:rsid w:val="00D15793"/>
    <w:rsid w:val="00D160CE"/>
    <w:rsid w:val="00D163E1"/>
    <w:rsid w:val="00D167D5"/>
    <w:rsid w:val="00D17865"/>
    <w:rsid w:val="00D17ED7"/>
    <w:rsid w:val="00D215C4"/>
    <w:rsid w:val="00D221C8"/>
    <w:rsid w:val="00D22E2D"/>
    <w:rsid w:val="00D235F4"/>
    <w:rsid w:val="00D23D50"/>
    <w:rsid w:val="00D24B8C"/>
    <w:rsid w:val="00D25825"/>
    <w:rsid w:val="00D270DD"/>
    <w:rsid w:val="00D304B4"/>
    <w:rsid w:val="00D30801"/>
    <w:rsid w:val="00D31750"/>
    <w:rsid w:val="00D3213F"/>
    <w:rsid w:val="00D33463"/>
    <w:rsid w:val="00D37F52"/>
    <w:rsid w:val="00D40299"/>
    <w:rsid w:val="00D404F3"/>
    <w:rsid w:val="00D41C09"/>
    <w:rsid w:val="00D42572"/>
    <w:rsid w:val="00D42882"/>
    <w:rsid w:val="00D435F4"/>
    <w:rsid w:val="00D43D33"/>
    <w:rsid w:val="00D44669"/>
    <w:rsid w:val="00D44825"/>
    <w:rsid w:val="00D45012"/>
    <w:rsid w:val="00D456EB"/>
    <w:rsid w:val="00D4674B"/>
    <w:rsid w:val="00D46862"/>
    <w:rsid w:val="00D5019A"/>
    <w:rsid w:val="00D50A58"/>
    <w:rsid w:val="00D5111B"/>
    <w:rsid w:val="00D51788"/>
    <w:rsid w:val="00D5224B"/>
    <w:rsid w:val="00D52551"/>
    <w:rsid w:val="00D56A49"/>
    <w:rsid w:val="00D575D4"/>
    <w:rsid w:val="00D6022E"/>
    <w:rsid w:val="00D6051A"/>
    <w:rsid w:val="00D6158B"/>
    <w:rsid w:val="00D61B05"/>
    <w:rsid w:val="00D620CA"/>
    <w:rsid w:val="00D624D1"/>
    <w:rsid w:val="00D6326D"/>
    <w:rsid w:val="00D67C51"/>
    <w:rsid w:val="00D67F5C"/>
    <w:rsid w:val="00D70506"/>
    <w:rsid w:val="00D71192"/>
    <w:rsid w:val="00D71FA1"/>
    <w:rsid w:val="00D73B57"/>
    <w:rsid w:val="00D74BAB"/>
    <w:rsid w:val="00D75A68"/>
    <w:rsid w:val="00D761B9"/>
    <w:rsid w:val="00D76283"/>
    <w:rsid w:val="00D800C1"/>
    <w:rsid w:val="00D80C32"/>
    <w:rsid w:val="00D82F99"/>
    <w:rsid w:val="00D83751"/>
    <w:rsid w:val="00D84B30"/>
    <w:rsid w:val="00D85AF5"/>
    <w:rsid w:val="00D86084"/>
    <w:rsid w:val="00D86C8C"/>
    <w:rsid w:val="00D91D93"/>
    <w:rsid w:val="00D9265C"/>
    <w:rsid w:val="00D95C52"/>
    <w:rsid w:val="00D95D2F"/>
    <w:rsid w:val="00D96144"/>
    <w:rsid w:val="00D961D4"/>
    <w:rsid w:val="00D9660A"/>
    <w:rsid w:val="00D9746A"/>
    <w:rsid w:val="00D97BE5"/>
    <w:rsid w:val="00DA0047"/>
    <w:rsid w:val="00DA05E8"/>
    <w:rsid w:val="00DA25CC"/>
    <w:rsid w:val="00DA36BE"/>
    <w:rsid w:val="00DA4FD2"/>
    <w:rsid w:val="00DA677C"/>
    <w:rsid w:val="00DB0EBE"/>
    <w:rsid w:val="00DB109D"/>
    <w:rsid w:val="00DB1F30"/>
    <w:rsid w:val="00DB24FA"/>
    <w:rsid w:val="00DB2FA6"/>
    <w:rsid w:val="00DB2FF9"/>
    <w:rsid w:val="00DB3F5F"/>
    <w:rsid w:val="00DB5C50"/>
    <w:rsid w:val="00DB7780"/>
    <w:rsid w:val="00DC0332"/>
    <w:rsid w:val="00DC18F1"/>
    <w:rsid w:val="00DC28A0"/>
    <w:rsid w:val="00DC296D"/>
    <w:rsid w:val="00DC2B2E"/>
    <w:rsid w:val="00DC2D2F"/>
    <w:rsid w:val="00DC37E5"/>
    <w:rsid w:val="00DC642C"/>
    <w:rsid w:val="00DC723F"/>
    <w:rsid w:val="00DD238D"/>
    <w:rsid w:val="00DD27CC"/>
    <w:rsid w:val="00DD35BA"/>
    <w:rsid w:val="00DD3E88"/>
    <w:rsid w:val="00DD5C18"/>
    <w:rsid w:val="00DE28AB"/>
    <w:rsid w:val="00DE4CC6"/>
    <w:rsid w:val="00DE4FE6"/>
    <w:rsid w:val="00DE606B"/>
    <w:rsid w:val="00DE67AD"/>
    <w:rsid w:val="00DE6C6E"/>
    <w:rsid w:val="00DE7927"/>
    <w:rsid w:val="00DF0140"/>
    <w:rsid w:val="00DF0E48"/>
    <w:rsid w:val="00DF1FB1"/>
    <w:rsid w:val="00DF227A"/>
    <w:rsid w:val="00DF26FC"/>
    <w:rsid w:val="00DF4BAA"/>
    <w:rsid w:val="00DF6AB2"/>
    <w:rsid w:val="00E06278"/>
    <w:rsid w:val="00E1016D"/>
    <w:rsid w:val="00E10BD3"/>
    <w:rsid w:val="00E10C19"/>
    <w:rsid w:val="00E120FA"/>
    <w:rsid w:val="00E13510"/>
    <w:rsid w:val="00E13A38"/>
    <w:rsid w:val="00E14B8A"/>
    <w:rsid w:val="00E167FF"/>
    <w:rsid w:val="00E16FE9"/>
    <w:rsid w:val="00E1727E"/>
    <w:rsid w:val="00E17394"/>
    <w:rsid w:val="00E17A28"/>
    <w:rsid w:val="00E222AC"/>
    <w:rsid w:val="00E242FD"/>
    <w:rsid w:val="00E270DB"/>
    <w:rsid w:val="00E2722E"/>
    <w:rsid w:val="00E272FA"/>
    <w:rsid w:val="00E2796B"/>
    <w:rsid w:val="00E302C3"/>
    <w:rsid w:val="00E31087"/>
    <w:rsid w:val="00E316F8"/>
    <w:rsid w:val="00E32786"/>
    <w:rsid w:val="00E331E6"/>
    <w:rsid w:val="00E348DA"/>
    <w:rsid w:val="00E34D43"/>
    <w:rsid w:val="00E3506E"/>
    <w:rsid w:val="00E36CDF"/>
    <w:rsid w:val="00E370F4"/>
    <w:rsid w:val="00E372EA"/>
    <w:rsid w:val="00E4067D"/>
    <w:rsid w:val="00E41DF6"/>
    <w:rsid w:val="00E43500"/>
    <w:rsid w:val="00E4466D"/>
    <w:rsid w:val="00E45AF5"/>
    <w:rsid w:val="00E45F15"/>
    <w:rsid w:val="00E4615E"/>
    <w:rsid w:val="00E500F2"/>
    <w:rsid w:val="00E508FA"/>
    <w:rsid w:val="00E50B51"/>
    <w:rsid w:val="00E50D84"/>
    <w:rsid w:val="00E5130E"/>
    <w:rsid w:val="00E53AA7"/>
    <w:rsid w:val="00E54E3F"/>
    <w:rsid w:val="00E54F4C"/>
    <w:rsid w:val="00E55D07"/>
    <w:rsid w:val="00E567F7"/>
    <w:rsid w:val="00E57B4D"/>
    <w:rsid w:val="00E57FDE"/>
    <w:rsid w:val="00E61118"/>
    <w:rsid w:val="00E61BA9"/>
    <w:rsid w:val="00E61F68"/>
    <w:rsid w:val="00E623D1"/>
    <w:rsid w:val="00E62504"/>
    <w:rsid w:val="00E649EF"/>
    <w:rsid w:val="00E64D54"/>
    <w:rsid w:val="00E653C9"/>
    <w:rsid w:val="00E67C21"/>
    <w:rsid w:val="00E7116A"/>
    <w:rsid w:val="00E7224F"/>
    <w:rsid w:val="00E725A8"/>
    <w:rsid w:val="00E72738"/>
    <w:rsid w:val="00E72D69"/>
    <w:rsid w:val="00E72DC1"/>
    <w:rsid w:val="00E73EDF"/>
    <w:rsid w:val="00E75BDB"/>
    <w:rsid w:val="00E75CAC"/>
    <w:rsid w:val="00E82215"/>
    <w:rsid w:val="00E8250B"/>
    <w:rsid w:val="00E82E6C"/>
    <w:rsid w:val="00E83359"/>
    <w:rsid w:val="00E83AD7"/>
    <w:rsid w:val="00E877F5"/>
    <w:rsid w:val="00E87C53"/>
    <w:rsid w:val="00E90D25"/>
    <w:rsid w:val="00E912F7"/>
    <w:rsid w:val="00E91631"/>
    <w:rsid w:val="00E91827"/>
    <w:rsid w:val="00E92511"/>
    <w:rsid w:val="00E9334C"/>
    <w:rsid w:val="00E933D4"/>
    <w:rsid w:val="00E94158"/>
    <w:rsid w:val="00E94F6B"/>
    <w:rsid w:val="00E95EBF"/>
    <w:rsid w:val="00E97E5F"/>
    <w:rsid w:val="00EA164D"/>
    <w:rsid w:val="00EA2448"/>
    <w:rsid w:val="00EA2CE6"/>
    <w:rsid w:val="00EA2FDE"/>
    <w:rsid w:val="00EA39EC"/>
    <w:rsid w:val="00EA47B5"/>
    <w:rsid w:val="00EA672A"/>
    <w:rsid w:val="00EA6775"/>
    <w:rsid w:val="00EB0FCE"/>
    <w:rsid w:val="00EB14DD"/>
    <w:rsid w:val="00EB1840"/>
    <w:rsid w:val="00EB2535"/>
    <w:rsid w:val="00EB2786"/>
    <w:rsid w:val="00EB35A9"/>
    <w:rsid w:val="00EB40ED"/>
    <w:rsid w:val="00EB4DF9"/>
    <w:rsid w:val="00EB544B"/>
    <w:rsid w:val="00EB6578"/>
    <w:rsid w:val="00EB66F7"/>
    <w:rsid w:val="00EB7473"/>
    <w:rsid w:val="00EC0592"/>
    <w:rsid w:val="00EC202F"/>
    <w:rsid w:val="00EC2B28"/>
    <w:rsid w:val="00EC304D"/>
    <w:rsid w:val="00EC3337"/>
    <w:rsid w:val="00EC4175"/>
    <w:rsid w:val="00EC66EE"/>
    <w:rsid w:val="00EC6D2D"/>
    <w:rsid w:val="00ED1D33"/>
    <w:rsid w:val="00ED3111"/>
    <w:rsid w:val="00ED346B"/>
    <w:rsid w:val="00ED4AB7"/>
    <w:rsid w:val="00ED59B4"/>
    <w:rsid w:val="00ED685E"/>
    <w:rsid w:val="00ED757C"/>
    <w:rsid w:val="00EE06E0"/>
    <w:rsid w:val="00EE0EDD"/>
    <w:rsid w:val="00EE1311"/>
    <w:rsid w:val="00EE1A0C"/>
    <w:rsid w:val="00EE1AF1"/>
    <w:rsid w:val="00EE1D7F"/>
    <w:rsid w:val="00EE2921"/>
    <w:rsid w:val="00EE31D8"/>
    <w:rsid w:val="00EE48CB"/>
    <w:rsid w:val="00EE6308"/>
    <w:rsid w:val="00EE6F8E"/>
    <w:rsid w:val="00EE7230"/>
    <w:rsid w:val="00EF09D8"/>
    <w:rsid w:val="00EF1459"/>
    <w:rsid w:val="00EF1F5B"/>
    <w:rsid w:val="00EF26E4"/>
    <w:rsid w:val="00EF2FED"/>
    <w:rsid w:val="00EF32F0"/>
    <w:rsid w:val="00EF3696"/>
    <w:rsid w:val="00EF525B"/>
    <w:rsid w:val="00EF592E"/>
    <w:rsid w:val="00EF6534"/>
    <w:rsid w:val="00EF6999"/>
    <w:rsid w:val="00EF6F90"/>
    <w:rsid w:val="00EF7996"/>
    <w:rsid w:val="00F012CF"/>
    <w:rsid w:val="00F01E58"/>
    <w:rsid w:val="00F02894"/>
    <w:rsid w:val="00F028AC"/>
    <w:rsid w:val="00F03FA8"/>
    <w:rsid w:val="00F04402"/>
    <w:rsid w:val="00F06069"/>
    <w:rsid w:val="00F07169"/>
    <w:rsid w:val="00F0755D"/>
    <w:rsid w:val="00F10022"/>
    <w:rsid w:val="00F12411"/>
    <w:rsid w:val="00F12EC6"/>
    <w:rsid w:val="00F143C1"/>
    <w:rsid w:val="00F15AC2"/>
    <w:rsid w:val="00F20FA5"/>
    <w:rsid w:val="00F226B8"/>
    <w:rsid w:val="00F24C40"/>
    <w:rsid w:val="00F2783F"/>
    <w:rsid w:val="00F308B2"/>
    <w:rsid w:val="00F3103A"/>
    <w:rsid w:val="00F3147E"/>
    <w:rsid w:val="00F31FB6"/>
    <w:rsid w:val="00F33682"/>
    <w:rsid w:val="00F33B54"/>
    <w:rsid w:val="00F343E4"/>
    <w:rsid w:val="00F34BAC"/>
    <w:rsid w:val="00F3543B"/>
    <w:rsid w:val="00F37BC7"/>
    <w:rsid w:val="00F40A46"/>
    <w:rsid w:val="00F41E63"/>
    <w:rsid w:val="00F42266"/>
    <w:rsid w:val="00F423D3"/>
    <w:rsid w:val="00F42ED3"/>
    <w:rsid w:val="00F441C3"/>
    <w:rsid w:val="00F47D3E"/>
    <w:rsid w:val="00F501F9"/>
    <w:rsid w:val="00F5220D"/>
    <w:rsid w:val="00F53A85"/>
    <w:rsid w:val="00F54A6E"/>
    <w:rsid w:val="00F5645F"/>
    <w:rsid w:val="00F565AA"/>
    <w:rsid w:val="00F56AF9"/>
    <w:rsid w:val="00F57A83"/>
    <w:rsid w:val="00F60F74"/>
    <w:rsid w:val="00F62624"/>
    <w:rsid w:val="00F62A48"/>
    <w:rsid w:val="00F63205"/>
    <w:rsid w:val="00F63755"/>
    <w:rsid w:val="00F64AD6"/>
    <w:rsid w:val="00F64B59"/>
    <w:rsid w:val="00F64E0E"/>
    <w:rsid w:val="00F652C4"/>
    <w:rsid w:val="00F66434"/>
    <w:rsid w:val="00F67012"/>
    <w:rsid w:val="00F672A9"/>
    <w:rsid w:val="00F678A2"/>
    <w:rsid w:val="00F70448"/>
    <w:rsid w:val="00F709E1"/>
    <w:rsid w:val="00F70BE7"/>
    <w:rsid w:val="00F71269"/>
    <w:rsid w:val="00F712C0"/>
    <w:rsid w:val="00F71A5C"/>
    <w:rsid w:val="00F72890"/>
    <w:rsid w:val="00F73582"/>
    <w:rsid w:val="00F7408C"/>
    <w:rsid w:val="00F74E8F"/>
    <w:rsid w:val="00F74FDB"/>
    <w:rsid w:val="00F76A3C"/>
    <w:rsid w:val="00F80502"/>
    <w:rsid w:val="00F81843"/>
    <w:rsid w:val="00F81D9B"/>
    <w:rsid w:val="00F82FD3"/>
    <w:rsid w:val="00F835B1"/>
    <w:rsid w:val="00F8393F"/>
    <w:rsid w:val="00F846A7"/>
    <w:rsid w:val="00F84839"/>
    <w:rsid w:val="00F8567A"/>
    <w:rsid w:val="00F90095"/>
    <w:rsid w:val="00F90FAE"/>
    <w:rsid w:val="00F91B94"/>
    <w:rsid w:val="00F91C6A"/>
    <w:rsid w:val="00F92F99"/>
    <w:rsid w:val="00F92FF3"/>
    <w:rsid w:val="00F96F1C"/>
    <w:rsid w:val="00F97141"/>
    <w:rsid w:val="00FA0314"/>
    <w:rsid w:val="00FA16AA"/>
    <w:rsid w:val="00FA25E9"/>
    <w:rsid w:val="00FA2957"/>
    <w:rsid w:val="00FA35FB"/>
    <w:rsid w:val="00FA46CE"/>
    <w:rsid w:val="00FA485C"/>
    <w:rsid w:val="00FA4DDD"/>
    <w:rsid w:val="00FA5C0C"/>
    <w:rsid w:val="00FA5E3E"/>
    <w:rsid w:val="00FA6C41"/>
    <w:rsid w:val="00FA7559"/>
    <w:rsid w:val="00FA7AE9"/>
    <w:rsid w:val="00FB0F92"/>
    <w:rsid w:val="00FB145F"/>
    <w:rsid w:val="00FB3146"/>
    <w:rsid w:val="00FB3F81"/>
    <w:rsid w:val="00FB480E"/>
    <w:rsid w:val="00FB5309"/>
    <w:rsid w:val="00FB57DE"/>
    <w:rsid w:val="00FB5C37"/>
    <w:rsid w:val="00FB5CA0"/>
    <w:rsid w:val="00FB6CE9"/>
    <w:rsid w:val="00FB7F82"/>
    <w:rsid w:val="00FC0791"/>
    <w:rsid w:val="00FC12D3"/>
    <w:rsid w:val="00FC13B9"/>
    <w:rsid w:val="00FC145A"/>
    <w:rsid w:val="00FC1963"/>
    <w:rsid w:val="00FC598A"/>
    <w:rsid w:val="00FC5DEC"/>
    <w:rsid w:val="00FC6075"/>
    <w:rsid w:val="00FC63F0"/>
    <w:rsid w:val="00FC7816"/>
    <w:rsid w:val="00FC7F5E"/>
    <w:rsid w:val="00FD3975"/>
    <w:rsid w:val="00FD3977"/>
    <w:rsid w:val="00FD3A6D"/>
    <w:rsid w:val="00FD4A4B"/>
    <w:rsid w:val="00FD51A4"/>
    <w:rsid w:val="00FD54F2"/>
    <w:rsid w:val="00FD56DB"/>
    <w:rsid w:val="00FD5A89"/>
    <w:rsid w:val="00FD5DE5"/>
    <w:rsid w:val="00FD5EBC"/>
    <w:rsid w:val="00FE2410"/>
    <w:rsid w:val="00FE30BF"/>
    <w:rsid w:val="00FE4EE3"/>
    <w:rsid w:val="00FF03C5"/>
    <w:rsid w:val="00FF0465"/>
    <w:rsid w:val="00FF05CD"/>
    <w:rsid w:val="00FF1F4C"/>
    <w:rsid w:val="00FF576C"/>
    <w:rsid w:val="00FF6577"/>
    <w:rsid w:val="00FF70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paragraph" w:styleId="Heading3">
    <w:name w:val="heading 3"/>
    <w:basedOn w:val="Normal"/>
    <w:next w:val="Normal"/>
    <w:link w:val="Heading3Char"/>
    <w:uiPriority w:val="9"/>
    <w:semiHidden/>
    <w:unhideWhenUsed/>
    <w:qFormat/>
    <w:rsid w:val="00C0502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6DB"/>
    <w:pPr>
      <w:tabs>
        <w:tab w:val="center" w:pos="4680"/>
        <w:tab w:val="right" w:pos="9360"/>
      </w:tabs>
      <w:spacing w:line="240" w:lineRule="auto"/>
    </w:pPr>
  </w:style>
  <w:style w:type="character" w:customStyle="1" w:styleId="HeaderChar">
    <w:name w:val="Header Char"/>
    <w:basedOn w:val="DefaultParagraphFont"/>
    <w:link w:val="Header"/>
    <w:uiPriority w:val="99"/>
    <w:rsid w:val="00FD56DB"/>
  </w:style>
  <w:style w:type="paragraph" w:styleId="Footer">
    <w:name w:val="footer"/>
    <w:basedOn w:val="Normal"/>
    <w:link w:val="FooterChar"/>
    <w:uiPriority w:val="99"/>
    <w:unhideWhenUsed/>
    <w:rsid w:val="00FD56DB"/>
    <w:pPr>
      <w:tabs>
        <w:tab w:val="center" w:pos="4680"/>
        <w:tab w:val="right" w:pos="9360"/>
      </w:tabs>
      <w:spacing w:line="240" w:lineRule="auto"/>
    </w:pPr>
  </w:style>
  <w:style w:type="character" w:customStyle="1" w:styleId="FooterChar">
    <w:name w:val="Footer Char"/>
    <w:basedOn w:val="DefaultParagraphFont"/>
    <w:link w:val="Footer"/>
    <w:uiPriority w:val="99"/>
    <w:rsid w:val="00FD56DB"/>
  </w:style>
  <w:style w:type="character" w:styleId="PageNumber">
    <w:name w:val="page number"/>
    <w:basedOn w:val="DefaultParagraphFont"/>
    <w:uiPriority w:val="99"/>
    <w:semiHidden/>
    <w:unhideWhenUsed/>
    <w:rsid w:val="00FD56DB"/>
  </w:style>
  <w:style w:type="paragraph" w:styleId="FootnoteText">
    <w:name w:val="footnote text"/>
    <w:link w:val="FootnoteTextChar"/>
    <w:uiPriority w:val="99"/>
    <w:unhideWhenUsed/>
    <w:rsid w:val="00FD56DB"/>
    <w:pPr>
      <w:spacing w:line="240" w:lineRule="auto"/>
    </w:pPr>
    <w:rPr>
      <w:szCs w:val="20"/>
    </w:rPr>
  </w:style>
  <w:style w:type="character" w:customStyle="1" w:styleId="FootnoteTextChar">
    <w:name w:val="Footnote Text Char"/>
    <w:basedOn w:val="DefaultParagraphFont"/>
    <w:link w:val="FootnoteText"/>
    <w:uiPriority w:val="99"/>
    <w:rsid w:val="00FD56DB"/>
    <w:rPr>
      <w:szCs w:val="20"/>
    </w:rPr>
  </w:style>
  <w:style w:type="character" w:styleId="Hyperlink">
    <w:name w:val="Hyperlink"/>
    <w:basedOn w:val="DefaultParagraphFont"/>
    <w:uiPriority w:val="99"/>
    <w:unhideWhenUsed/>
    <w:rsid w:val="0050546B"/>
    <w:rPr>
      <w:color w:val="0563C1" w:themeColor="hyperlink"/>
      <w:u w:val="single"/>
    </w:rPr>
  </w:style>
  <w:style w:type="character" w:customStyle="1" w:styleId="UnresolvedMention">
    <w:name w:val="Unresolved Mention"/>
    <w:basedOn w:val="DefaultParagraphFont"/>
    <w:uiPriority w:val="99"/>
    <w:semiHidden/>
    <w:unhideWhenUsed/>
    <w:rsid w:val="0050546B"/>
    <w:rPr>
      <w:color w:val="605E5C"/>
      <w:shd w:val="clear" w:color="auto" w:fill="E1DFDD"/>
    </w:rPr>
  </w:style>
  <w:style w:type="character" w:customStyle="1" w:styleId="Heading3Char">
    <w:name w:val="Heading 3 Char"/>
    <w:basedOn w:val="DefaultParagraphFont"/>
    <w:link w:val="Heading3"/>
    <w:uiPriority w:val="9"/>
    <w:semiHidden/>
    <w:rsid w:val="00C0502A"/>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sid w:val="00076134"/>
    <w:rPr>
      <w:vertAlign w:val="superscript"/>
    </w:rPr>
  </w:style>
  <w:style w:type="character" w:styleId="CommentReference">
    <w:name w:val="annotation reference"/>
    <w:basedOn w:val="DefaultParagraphFont"/>
    <w:uiPriority w:val="99"/>
    <w:semiHidden/>
    <w:unhideWhenUsed/>
    <w:rsid w:val="00BA1615"/>
    <w:rPr>
      <w:sz w:val="16"/>
      <w:szCs w:val="16"/>
    </w:rPr>
  </w:style>
  <w:style w:type="paragraph" w:styleId="CommentText">
    <w:name w:val="annotation text"/>
    <w:basedOn w:val="Normal"/>
    <w:link w:val="CommentTextChar"/>
    <w:uiPriority w:val="99"/>
    <w:unhideWhenUsed/>
    <w:rsid w:val="00BA1615"/>
    <w:pPr>
      <w:spacing w:line="240" w:lineRule="auto"/>
    </w:pPr>
    <w:rPr>
      <w:sz w:val="20"/>
      <w:szCs w:val="20"/>
    </w:rPr>
  </w:style>
  <w:style w:type="character" w:customStyle="1" w:styleId="CommentTextChar">
    <w:name w:val="Comment Text Char"/>
    <w:basedOn w:val="DefaultParagraphFont"/>
    <w:link w:val="CommentText"/>
    <w:uiPriority w:val="99"/>
    <w:rsid w:val="00BA1615"/>
    <w:rPr>
      <w:sz w:val="20"/>
      <w:szCs w:val="20"/>
    </w:rPr>
  </w:style>
  <w:style w:type="paragraph" w:styleId="CommentSubject">
    <w:name w:val="annotation subject"/>
    <w:basedOn w:val="CommentText"/>
    <w:next w:val="CommentText"/>
    <w:link w:val="CommentSubjectChar"/>
    <w:uiPriority w:val="99"/>
    <w:semiHidden/>
    <w:unhideWhenUsed/>
    <w:rsid w:val="00BA1615"/>
    <w:rPr>
      <w:b/>
      <w:bCs/>
    </w:rPr>
  </w:style>
  <w:style w:type="character" w:customStyle="1" w:styleId="CommentSubjectChar">
    <w:name w:val="Comment Subject Char"/>
    <w:basedOn w:val="CommentTextChar"/>
    <w:link w:val="CommentSubject"/>
    <w:uiPriority w:val="99"/>
    <w:semiHidden/>
    <w:rsid w:val="00BA1615"/>
    <w:rPr>
      <w:b/>
      <w:bCs/>
      <w:sz w:val="20"/>
      <w:szCs w:val="20"/>
    </w:rPr>
  </w:style>
  <w:style w:type="paragraph" w:styleId="Revision">
    <w:name w:val="Revision"/>
    <w:hidden/>
    <w:uiPriority w:val="99"/>
    <w:semiHidden/>
    <w:rsid w:val="00B22DC1"/>
    <w:pPr>
      <w:spacing w:line="240" w:lineRule="auto"/>
    </w:pPr>
  </w:style>
  <w:style w:type="character" w:customStyle="1" w:styleId="costarpage">
    <w:name w:val="co_starpage"/>
    <w:basedOn w:val="DefaultParagraphFont"/>
    <w:rsid w:val="00D42882"/>
  </w:style>
  <w:style w:type="character" w:styleId="Emphasis">
    <w:name w:val="Emphasis"/>
    <w:basedOn w:val="DefaultParagraphFont"/>
    <w:uiPriority w:val="20"/>
    <w:qFormat/>
    <w:rsid w:val="00D42882"/>
    <w:rPr>
      <w:i/>
      <w:iCs/>
    </w:rPr>
  </w:style>
  <w:style w:type="character" w:customStyle="1" w:styleId="coconcept111">
    <w:name w:val="co_concept_1_11"/>
    <w:basedOn w:val="DefaultParagraphFont"/>
    <w:rsid w:val="00652F31"/>
  </w:style>
  <w:style w:type="character" w:customStyle="1" w:styleId="coconcept1322">
    <w:name w:val="co_concept_13_22"/>
    <w:basedOn w:val="DefaultParagraphFont"/>
    <w:rsid w:val="00652F31"/>
  </w:style>
  <w:style w:type="character" w:customStyle="1" w:styleId="coconcept2733">
    <w:name w:val="co_concept_27_33"/>
    <w:basedOn w:val="DefaultParagraphFont"/>
    <w:rsid w:val="00652F31"/>
  </w:style>
  <w:style w:type="character" w:customStyle="1" w:styleId="coconcept3542">
    <w:name w:val="co_concept_35_42"/>
    <w:basedOn w:val="DefaultParagraphFont"/>
    <w:rsid w:val="00652F31"/>
  </w:style>
  <w:style w:type="character" w:customStyle="1" w:styleId="coconcept4452">
    <w:name w:val="co_concept_44_52"/>
    <w:basedOn w:val="DefaultParagraphFont"/>
    <w:rsid w:val="00652F31"/>
  </w:style>
  <w:style w:type="character" w:customStyle="1" w:styleId="coconcept17">
    <w:name w:val="co_concept_1_7"/>
    <w:basedOn w:val="DefaultParagraphFont"/>
    <w:rsid w:val="001D43A4"/>
  </w:style>
  <w:style w:type="character" w:customStyle="1" w:styleId="coconcept5361">
    <w:name w:val="co_concept_53_61"/>
    <w:basedOn w:val="DefaultParagraphFont"/>
    <w:rsid w:val="001D43A4"/>
  </w:style>
  <w:style w:type="character" w:customStyle="1" w:styleId="cosearchterm">
    <w:name w:val="co_searchterm"/>
    <w:basedOn w:val="DefaultParagraphFont"/>
    <w:rsid w:val="001D43A4"/>
  </w:style>
  <w:style w:type="character" w:customStyle="1" w:styleId="coconcept911">
    <w:name w:val="co_concept_9_11"/>
    <w:basedOn w:val="DefaultParagraphFont"/>
    <w:rsid w:val="001D43A4"/>
  </w:style>
  <w:style w:type="character" w:customStyle="1" w:styleId="coconcept1118">
    <w:name w:val="co_concept_11_18"/>
    <w:basedOn w:val="DefaultParagraphFont"/>
    <w:rsid w:val="00A35273"/>
  </w:style>
  <w:style w:type="character" w:customStyle="1" w:styleId="coconcept19">
    <w:name w:val="co_concept_1_9"/>
    <w:basedOn w:val="DefaultParagraphFont"/>
    <w:rsid w:val="00A35273"/>
  </w:style>
  <w:style w:type="character" w:customStyle="1" w:styleId="coconcept2434">
    <w:name w:val="co_concept_24_34"/>
    <w:basedOn w:val="DefaultParagraphFont"/>
    <w:rsid w:val="00A35273"/>
  </w:style>
  <w:style w:type="character" w:customStyle="1" w:styleId="coconcept3645">
    <w:name w:val="co_concept_36_45"/>
    <w:basedOn w:val="DefaultParagraphFont"/>
    <w:rsid w:val="00A35273"/>
  </w:style>
  <w:style w:type="character" w:customStyle="1" w:styleId="coconcept5056">
    <w:name w:val="co_concept_50_56"/>
    <w:basedOn w:val="DefaultParagraphFont"/>
    <w:rsid w:val="00A35273"/>
  </w:style>
  <w:style w:type="character" w:customStyle="1" w:styleId="coconcept1319">
    <w:name w:val="co_concept_13_19"/>
    <w:basedOn w:val="DefaultParagraphFont"/>
    <w:rsid w:val="00EA672A"/>
  </w:style>
  <w:style w:type="character" w:customStyle="1" w:styleId="coconcept1721">
    <w:name w:val="co_concept_17_21"/>
    <w:basedOn w:val="DefaultParagraphFont"/>
    <w:rsid w:val="006F0023"/>
  </w:style>
  <w:style w:type="character" w:customStyle="1" w:styleId="coconcept2028">
    <w:name w:val="co_concept_20_28"/>
    <w:basedOn w:val="DefaultParagraphFont"/>
    <w:rsid w:val="002B38E8"/>
  </w:style>
  <w:style w:type="character" w:customStyle="1" w:styleId="coconcept14">
    <w:name w:val="co_concept_1_4"/>
    <w:basedOn w:val="DefaultParagraphFont"/>
    <w:rsid w:val="002B38E8"/>
  </w:style>
  <w:style w:type="character" w:customStyle="1" w:styleId="coconcept918">
    <w:name w:val="co_concept_9_18"/>
    <w:basedOn w:val="DefaultParagraphFont"/>
    <w:rsid w:val="002B38E8"/>
  </w:style>
  <w:style w:type="character" w:customStyle="1" w:styleId="coconcept3339">
    <w:name w:val="co_concept_33_39"/>
    <w:basedOn w:val="DefaultParagraphFont"/>
    <w:rsid w:val="002B38E8"/>
  </w:style>
  <w:style w:type="character" w:customStyle="1" w:styleId="coconcept4449">
    <w:name w:val="co_concept_44_49"/>
    <w:basedOn w:val="DefaultParagraphFont"/>
    <w:rsid w:val="002B38E8"/>
  </w:style>
  <w:style w:type="character" w:customStyle="1" w:styleId="coconcept2229">
    <w:name w:val="co_concept_22_29"/>
    <w:basedOn w:val="DefaultParagraphFont"/>
    <w:rsid w:val="00593AF9"/>
  </w:style>
  <w:style w:type="character" w:customStyle="1" w:styleId="coconcept917">
    <w:name w:val="co_concept_9_17"/>
    <w:basedOn w:val="DefaultParagraphFont"/>
    <w:rsid w:val="00593AF9"/>
  </w:style>
  <w:style w:type="character" w:customStyle="1" w:styleId="coconcept5258">
    <w:name w:val="co_concept_52_58"/>
    <w:basedOn w:val="DefaultParagraphFont"/>
    <w:rsid w:val="007A538E"/>
  </w:style>
  <w:style w:type="character" w:customStyle="1" w:styleId="coconcept1120">
    <w:name w:val="co_concept_11_20"/>
    <w:basedOn w:val="DefaultParagraphFont"/>
    <w:rsid w:val="007A538E"/>
  </w:style>
  <w:style w:type="character" w:customStyle="1" w:styleId="coconcept16">
    <w:name w:val="co_concept_1_6"/>
    <w:basedOn w:val="DefaultParagraphFont"/>
    <w:rsid w:val="00CC48BE"/>
  </w:style>
  <w:style w:type="character" w:customStyle="1" w:styleId="coconcept1115">
    <w:name w:val="co_concept_11_15"/>
    <w:basedOn w:val="DefaultParagraphFont"/>
    <w:rsid w:val="00CC48BE"/>
  </w:style>
  <w:style w:type="character" w:customStyle="1" w:styleId="coconcept2023">
    <w:name w:val="co_concept_20_23"/>
    <w:basedOn w:val="DefaultParagraphFont"/>
    <w:rsid w:val="00CC48BE"/>
  </w:style>
  <w:style w:type="character" w:customStyle="1" w:styleId="coconcept2529">
    <w:name w:val="co_concept_25_29"/>
    <w:basedOn w:val="DefaultParagraphFont"/>
    <w:rsid w:val="00CC48BE"/>
  </w:style>
  <w:style w:type="character" w:customStyle="1" w:styleId="coconcept513">
    <w:name w:val="co_concept_5_13"/>
    <w:basedOn w:val="DefaultParagraphFont"/>
    <w:rsid w:val="00190F5D"/>
  </w:style>
  <w:style w:type="character" w:customStyle="1" w:styleId="coconcept2631">
    <w:name w:val="co_concept_26_31"/>
    <w:basedOn w:val="DefaultParagraphFont"/>
    <w:rsid w:val="00190F5D"/>
  </w:style>
  <w:style w:type="character" w:customStyle="1" w:styleId="coconcept2731">
    <w:name w:val="co_concept_27_31"/>
    <w:basedOn w:val="DefaultParagraphFont"/>
    <w:rsid w:val="00A9333D"/>
  </w:style>
  <w:style w:type="character" w:customStyle="1" w:styleId="coconcept4348">
    <w:name w:val="co_concept_43_48"/>
    <w:basedOn w:val="DefaultParagraphFont"/>
    <w:rsid w:val="00A9333D"/>
  </w:style>
  <w:style w:type="character" w:customStyle="1" w:styleId="coconcept3641">
    <w:name w:val="co_concept_36_41"/>
    <w:basedOn w:val="DefaultParagraphFont"/>
    <w:rsid w:val="00A9333D"/>
  </w:style>
  <w:style w:type="character" w:customStyle="1" w:styleId="coconcept3945">
    <w:name w:val="co_concept_39_45"/>
    <w:basedOn w:val="DefaultParagraphFont"/>
    <w:rsid w:val="005A5CED"/>
  </w:style>
  <w:style w:type="character" w:customStyle="1" w:styleId="coconcept4751">
    <w:name w:val="co_concept_47_51"/>
    <w:basedOn w:val="DefaultParagraphFont"/>
    <w:rsid w:val="005A5CED"/>
  </w:style>
  <w:style w:type="character" w:customStyle="1" w:styleId="coconcept5363">
    <w:name w:val="co_concept_53_63"/>
    <w:basedOn w:val="DefaultParagraphFont"/>
    <w:rsid w:val="005A5CED"/>
  </w:style>
  <w:style w:type="character" w:customStyle="1" w:styleId="coconcept2534">
    <w:name w:val="co_concept_25_34"/>
    <w:basedOn w:val="DefaultParagraphFont"/>
    <w:rsid w:val="005A5CED"/>
  </w:style>
  <w:style w:type="character" w:customStyle="1" w:styleId="coconcept2532">
    <w:name w:val="co_concept_25_32"/>
    <w:basedOn w:val="DefaultParagraphFont"/>
    <w:rsid w:val="0060616E"/>
  </w:style>
  <w:style w:type="character" w:customStyle="1" w:styleId="coconcept3437">
    <w:name w:val="co_concept_34_37"/>
    <w:basedOn w:val="DefaultParagraphFont"/>
    <w:rsid w:val="0060616E"/>
  </w:style>
  <w:style w:type="character" w:customStyle="1" w:styleId="coconcept4347">
    <w:name w:val="co_concept_43_47"/>
    <w:basedOn w:val="DefaultParagraphFont"/>
    <w:rsid w:val="0060616E"/>
  </w:style>
  <w:style w:type="character" w:customStyle="1" w:styleId="coconcept4952">
    <w:name w:val="co_concept_49_52"/>
    <w:basedOn w:val="DefaultParagraphFont"/>
    <w:rsid w:val="0060616E"/>
  </w:style>
  <w:style w:type="character" w:customStyle="1" w:styleId="coconcept5761">
    <w:name w:val="co_concept_57_61"/>
    <w:basedOn w:val="DefaultParagraphFont"/>
    <w:rsid w:val="0060616E"/>
  </w:style>
  <w:style w:type="character" w:customStyle="1" w:styleId="coconcept6367">
    <w:name w:val="co_concept_63_67"/>
    <w:basedOn w:val="DefaultParagraphFont"/>
    <w:rsid w:val="0060616E"/>
  </w:style>
  <w:style w:type="character" w:customStyle="1" w:styleId="coconcept710">
    <w:name w:val="co_concept_7_10"/>
    <w:basedOn w:val="DefaultParagraphFont"/>
    <w:rsid w:val="0060616E"/>
  </w:style>
  <w:style w:type="character" w:customStyle="1" w:styleId="coconcept1214">
    <w:name w:val="co_concept_12_14"/>
    <w:basedOn w:val="DefaultParagraphFont"/>
    <w:rsid w:val="0060616E"/>
  </w:style>
  <w:style w:type="character" w:customStyle="1" w:styleId="opinioncipdip">
    <w:name w:val="opinioncipdip"/>
    <w:basedOn w:val="DefaultParagraphFont"/>
    <w:rsid w:val="00105B6F"/>
  </w:style>
  <w:style w:type="character" w:customStyle="1" w:styleId="cohighlightpoints">
    <w:name w:val="co_highlightpoints"/>
    <w:basedOn w:val="DefaultParagraphFont"/>
    <w:rsid w:val="00105B6F"/>
  </w:style>
  <w:style w:type="paragraph" w:customStyle="1" w:styleId="Normal2">
    <w:name w:val="Normal2"/>
    <w:basedOn w:val="Normal"/>
    <w:rsid w:val="00235549"/>
    <w:pPr>
      <w:tabs>
        <w:tab w:val="clear" w:pos="720"/>
      </w:tabs>
      <w:suppressAutoHyphens/>
      <w:autoSpaceDN w:val="0"/>
      <w:spacing w:line="240" w:lineRule="auto"/>
    </w:pPr>
    <w:rPr>
      <w:rFonts w:ascii="Times New Roman" w:eastAsia="Times New Roman" w:hAnsi="Times New Roman" w:cs="Times New Roman"/>
      <w:kern w:val="0"/>
      <w:szCs w:val="20"/>
      <w14:ligatures w14:val="none"/>
    </w:rPr>
  </w:style>
  <w:style w:type="paragraph" w:styleId="ListParagraph">
    <w:name w:val="List Paragraph"/>
    <w:basedOn w:val="Normal"/>
    <w:uiPriority w:val="34"/>
    <w:qFormat/>
    <w:rsid w:val="00BE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7442</Words>
  <Characters>42424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2024-01-08T22:21:42Z</dcterms:created>
  <dcterms:modified xsi:type="dcterms:W3CDTF">2024-01-08T22:21:42Z</dcterms:modified>
</cp:coreProperties>
</file>