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75014" w:rsidP="00F75014" w14:paraId="5D3500A5" w14:textId="3F577E87">
      <w:pPr>
        <w:rPr>
          <w:rFonts w:ascii="Century Schoolbook" w:hAnsi="Century Schoolbook"/>
          <w:sz w:val="20"/>
          <w:szCs w:val="26"/>
        </w:rPr>
      </w:pPr>
      <w:r>
        <w:rPr>
          <w:rFonts w:ascii="Century Schoolbook" w:hAnsi="Century Schoolbook"/>
          <w:sz w:val="20"/>
          <w:szCs w:val="26"/>
        </w:rPr>
        <w:t xml:space="preserve">Filed </w:t>
      </w:r>
      <w:r w:rsidR="00C77EAF">
        <w:rPr>
          <w:rFonts w:ascii="Century Schoolbook" w:hAnsi="Century Schoolbook"/>
          <w:sz w:val="20"/>
          <w:szCs w:val="26"/>
        </w:rPr>
        <w:t>11/27/23</w:t>
      </w:r>
      <w:r w:rsidR="00A93A57">
        <w:rPr>
          <w:rFonts w:ascii="Century Schoolbook" w:hAnsi="Century Schoolbook"/>
          <w:sz w:val="20"/>
          <w:szCs w:val="26"/>
        </w:rPr>
        <w:t>; Certified for Publication 12/18/23 (order attached)</w:t>
      </w:r>
      <w:r w:rsidR="00DD7D75">
        <w:rPr>
          <w:rFonts w:ascii="Century Schoolbook" w:hAnsi="Century Schoolbook"/>
          <w:sz w:val="20"/>
          <w:szCs w:val="26"/>
        </w:rPr>
        <w:t xml:space="preserve"> </w:t>
      </w:r>
    </w:p>
    <w:p w:rsidR="00217BE2" w:rsidP="00F75014" w14:paraId="1D1FEDFA" w14:textId="77777777">
      <w:pPr>
        <w:jc w:val="center"/>
        <w:rPr>
          <w:rFonts w:ascii="Century Schoolbook" w:hAnsi="Century Schoolbook"/>
          <w:sz w:val="26"/>
          <w:szCs w:val="26"/>
        </w:rPr>
      </w:pPr>
    </w:p>
    <w:p w:rsidR="00217BE2" w:rsidP="00F75014" w14:paraId="350164F8" w14:textId="77777777">
      <w:pPr>
        <w:jc w:val="center"/>
        <w:rPr>
          <w:rFonts w:ascii="Century Schoolbook" w:hAnsi="Century Schoolbook"/>
          <w:sz w:val="26"/>
          <w:szCs w:val="26"/>
        </w:rPr>
      </w:pPr>
    </w:p>
    <w:p w:rsidR="00217BE2" w:rsidP="00F75014" w14:paraId="25E7E978" w14:textId="77777777">
      <w:pPr>
        <w:jc w:val="center"/>
        <w:rPr>
          <w:rFonts w:ascii="Century Schoolbook" w:hAnsi="Century Schoolbook"/>
          <w:sz w:val="26"/>
          <w:szCs w:val="26"/>
        </w:rPr>
      </w:pPr>
    </w:p>
    <w:p w:rsidR="00217BE2" w:rsidP="00F75014" w14:paraId="573B2654" w14:textId="77777777">
      <w:pPr>
        <w:jc w:val="center"/>
        <w:rPr>
          <w:rFonts w:ascii="Century Schoolbook" w:hAnsi="Century Schoolbook"/>
          <w:sz w:val="26"/>
          <w:szCs w:val="26"/>
        </w:rPr>
      </w:pPr>
    </w:p>
    <w:p w:rsidR="00217BE2" w:rsidP="00F75014" w14:paraId="3B910514" w14:textId="77777777">
      <w:pPr>
        <w:jc w:val="center"/>
        <w:rPr>
          <w:rFonts w:ascii="Century Schoolbook" w:hAnsi="Century Schoolbook"/>
          <w:sz w:val="26"/>
          <w:szCs w:val="26"/>
        </w:rPr>
      </w:pPr>
    </w:p>
    <w:p w:rsidR="00217BE2" w:rsidP="00F75014" w14:paraId="582F7B28" w14:textId="77777777">
      <w:pPr>
        <w:jc w:val="center"/>
        <w:rPr>
          <w:rFonts w:ascii="Century Schoolbook" w:hAnsi="Century Schoolbook"/>
          <w:sz w:val="26"/>
          <w:szCs w:val="26"/>
        </w:rPr>
      </w:pPr>
    </w:p>
    <w:p w:rsidR="00781863" w:rsidRPr="004966E2" w:rsidP="00F75014" w14:paraId="57F4E531" w14:textId="457C9A12">
      <w:pPr>
        <w:jc w:val="center"/>
        <w:rPr>
          <w:rFonts w:ascii="Century Schoolbook" w:hAnsi="Century Schoolbook"/>
          <w:sz w:val="26"/>
          <w:szCs w:val="26"/>
        </w:rPr>
      </w:pPr>
      <w:r w:rsidRPr="004966E2">
        <w:rPr>
          <w:rFonts w:ascii="Century Schoolbook" w:hAnsi="Century Schoolbook"/>
          <w:sz w:val="26"/>
          <w:szCs w:val="26"/>
        </w:rPr>
        <w:t>IN THE COURT OF APPEAL OF THE STATE OF CALIFORNIA</w:t>
      </w:r>
    </w:p>
    <w:p w:rsidR="008042A4" w:rsidRPr="004966E2" w:rsidP="008042A4" w14:paraId="193C8004" w14:textId="4107D519">
      <w:pPr>
        <w:jc w:val="center"/>
        <w:rPr>
          <w:rFonts w:ascii="Century Schoolbook" w:hAnsi="Century Schoolbook"/>
          <w:sz w:val="26"/>
          <w:szCs w:val="26"/>
        </w:rPr>
      </w:pPr>
    </w:p>
    <w:p w:rsidR="008042A4" w:rsidRPr="004966E2" w:rsidP="008042A4" w14:paraId="6486EA09" w14:textId="2B16525A">
      <w:pPr>
        <w:jc w:val="center"/>
        <w:rPr>
          <w:rFonts w:ascii="Century Schoolbook" w:hAnsi="Century Schoolbook"/>
          <w:sz w:val="26"/>
          <w:szCs w:val="26"/>
        </w:rPr>
      </w:pPr>
      <w:r w:rsidRPr="004966E2">
        <w:rPr>
          <w:rFonts w:ascii="Century Schoolbook" w:hAnsi="Century Schoolbook"/>
          <w:sz w:val="26"/>
          <w:szCs w:val="26"/>
        </w:rPr>
        <w:t>FIRST APPELLATE DISTRICT</w:t>
      </w:r>
    </w:p>
    <w:p w:rsidR="008042A4" w:rsidRPr="004966E2" w:rsidP="008042A4" w14:paraId="1262123A" w14:textId="5761F224">
      <w:pPr>
        <w:jc w:val="center"/>
        <w:rPr>
          <w:rFonts w:ascii="Century Schoolbook" w:hAnsi="Century Schoolbook"/>
          <w:sz w:val="26"/>
          <w:szCs w:val="26"/>
        </w:rPr>
      </w:pPr>
    </w:p>
    <w:p w:rsidR="008042A4" w:rsidRPr="004966E2" w:rsidP="008042A4" w14:paraId="63933C52" w14:textId="59274E11">
      <w:pPr>
        <w:jc w:val="center"/>
        <w:rPr>
          <w:rFonts w:ascii="Century Schoolbook" w:hAnsi="Century Schoolbook"/>
          <w:sz w:val="26"/>
          <w:szCs w:val="26"/>
        </w:rPr>
      </w:pPr>
      <w:r w:rsidRPr="004966E2">
        <w:rPr>
          <w:rFonts w:ascii="Century Schoolbook" w:hAnsi="Century Schoolbook"/>
          <w:sz w:val="26"/>
          <w:szCs w:val="26"/>
        </w:rPr>
        <w:t>DIVISION THREE</w:t>
      </w:r>
    </w:p>
    <w:p w:rsidR="008042A4" w:rsidRPr="004966E2" w:rsidP="008042A4" w14:paraId="53EAC4B5" w14:textId="7089281F">
      <w:pPr>
        <w:jc w:val="center"/>
        <w:rPr>
          <w:rFonts w:ascii="Century Schoolbook" w:hAnsi="Century Schoolbook"/>
          <w:sz w:val="26"/>
          <w:szCs w:val="26"/>
        </w:rPr>
      </w:pPr>
    </w:p>
    <w:p w:rsidR="008042A4" w:rsidRPr="004966E2" w:rsidP="008042A4" w14:paraId="58D51B55" w14:textId="02865F47">
      <w:pPr>
        <w:jc w:val="center"/>
        <w:rPr>
          <w:rFonts w:ascii="Century Schoolbook" w:hAnsi="Century Schoolbook"/>
          <w:sz w:val="26"/>
          <w:szCs w:val="26"/>
        </w:rPr>
      </w:pPr>
    </w:p>
    <w:tbl>
      <w:tblPr>
        <w:tblW w:w="0" w:type="auto"/>
        <w:tblLayout w:type="fixed"/>
        <w:tblLook w:val="0000"/>
      </w:tblPr>
      <w:tblGrid>
        <w:gridCol w:w="4770"/>
        <w:gridCol w:w="4590"/>
      </w:tblGrid>
      <w:tr w14:paraId="20028213" w14:textId="77777777" w:rsidTr="00441132">
        <w:tblPrEx>
          <w:tblW w:w="0" w:type="auto"/>
          <w:tblLayout w:type="fixed"/>
          <w:tblLook w:val="0000"/>
        </w:tblPrEx>
        <w:tc>
          <w:tcPr>
            <w:tcW w:w="4770" w:type="dxa"/>
            <w:tcBorders>
              <w:bottom w:val="single" w:sz="4" w:space="0" w:color="auto"/>
              <w:right w:val="single" w:sz="4" w:space="0" w:color="auto"/>
            </w:tcBorders>
            <w:shd w:val="clear" w:color="auto" w:fill="auto"/>
          </w:tcPr>
          <w:p w:rsidR="008042A4" w:rsidRPr="004966E2" w:rsidP="008042A4" w14:paraId="2D7D40F6" w14:textId="4A1F39AE">
            <w:pPr>
              <w:spacing w:after="120"/>
              <w:rPr>
                <w:rFonts w:ascii="Century Schoolbook" w:hAnsi="Century Schoolbook"/>
                <w:sz w:val="26"/>
                <w:szCs w:val="26"/>
              </w:rPr>
            </w:pPr>
            <w:r w:rsidRPr="004966E2">
              <w:rPr>
                <w:rFonts w:ascii="Century Schoolbook" w:hAnsi="Century Schoolbook"/>
                <w:sz w:val="26"/>
                <w:szCs w:val="26"/>
              </w:rPr>
              <w:t xml:space="preserve"> </w:t>
            </w:r>
            <w:r w:rsidRPr="004966E2" w:rsidR="008D6406">
              <w:rPr>
                <w:rFonts w:ascii="Century Schoolbook" w:hAnsi="Century Schoolbook"/>
                <w:sz w:val="26"/>
                <w:szCs w:val="26"/>
              </w:rPr>
              <w:t>CRISTA MILLER</w:t>
            </w:r>
            <w:r w:rsidRPr="004966E2">
              <w:rPr>
                <w:rFonts w:ascii="Century Schoolbook" w:hAnsi="Century Schoolbook"/>
                <w:sz w:val="26"/>
                <w:szCs w:val="26"/>
              </w:rPr>
              <w:t>,</w:t>
            </w:r>
          </w:p>
          <w:p w:rsidR="008042A4" w:rsidRPr="004966E2" w:rsidP="008042A4" w14:paraId="0DCC8A0B" w14:textId="2E785152">
            <w:pPr>
              <w:spacing w:after="120"/>
              <w:rPr>
                <w:rFonts w:ascii="Century Schoolbook" w:hAnsi="Century Schoolbook"/>
                <w:sz w:val="26"/>
                <w:szCs w:val="26"/>
              </w:rPr>
            </w:pPr>
            <w:r w:rsidRPr="004966E2">
              <w:rPr>
                <w:rFonts w:ascii="Century Schoolbook" w:hAnsi="Century Schoolbook"/>
                <w:sz w:val="26"/>
                <w:szCs w:val="26"/>
              </w:rPr>
              <w:tab/>
              <w:t>Plaintiff and Appellant,</w:t>
            </w:r>
          </w:p>
          <w:p w:rsidR="008042A4" w:rsidRPr="004966E2" w:rsidP="008042A4" w14:paraId="3884E0B9" w14:textId="77777777">
            <w:pPr>
              <w:spacing w:after="120"/>
              <w:rPr>
                <w:rFonts w:ascii="Century Schoolbook" w:hAnsi="Century Schoolbook"/>
                <w:sz w:val="26"/>
                <w:szCs w:val="26"/>
              </w:rPr>
            </w:pPr>
            <w:r w:rsidRPr="004966E2">
              <w:rPr>
                <w:rFonts w:ascii="Century Schoolbook" w:hAnsi="Century Schoolbook"/>
                <w:sz w:val="26"/>
                <w:szCs w:val="26"/>
              </w:rPr>
              <w:t>v.</w:t>
            </w:r>
          </w:p>
          <w:p w:rsidR="008042A4" w:rsidRPr="004966E2" w:rsidP="008042A4" w14:paraId="73530FE7" w14:textId="53AD382C">
            <w:pPr>
              <w:spacing w:after="120"/>
              <w:rPr>
                <w:rFonts w:ascii="Century Schoolbook" w:hAnsi="Century Schoolbook"/>
                <w:sz w:val="26"/>
                <w:szCs w:val="26"/>
              </w:rPr>
            </w:pPr>
            <w:r w:rsidRPr="004966E2">
              <w:rPr>
                <w:rFonts w:ascii="Century Schoolbook" w:hAnsi="Century Schoolbook"/>
                <w:sz w:val="26"/>
                <w:szCs w:val="26"/>
              </w:rPr>
              <w:t xml:space="preserve">PACIFIC GAS AND ELECTRIC COMPANY, et al., </w:t>
            </w:r>
          </w:p>
          <w:p w:rsidR="008042A4" w:rsidRPr="004966E2" w:rsidP="008042A4" w14:paraId="5F64808E" w14:textId="15865C98">
            <w:pPr>
              <w:spacing w:after="120"/>
              <w:rPr>
                <w:rFonts w:ascii="Century Schoolbook" w:hAnsi="Century Schoolbook"/>
                <w:sz w:val="26"/>
                <w:szCs w:val="26"/>
              </w:rPr>
            </w:pPr>
            <w:r w:rsidRPr="004966E2">
              <w:rPr>
                <w:rFonts w:ascii="Century Schoolbook" w:hAnsi="Century Schoolbook"/>
                <w:sz w:val="26"/>
                <w:szCs w:val="26"/>
              </w:rPr>
              <w:tab/>
              <w:t>Defendant</w:t>
            </w:r>
            <w:r w:rsidRPr="004966E2" w:rsidR="00441132">
              <w:rPr>
                <w:rFonts w:ascii="Century Schoolbook" w:hAnsi="Century Schoolbook"/>
                <w:sz w:val="26"/>
                <w:szCs w:val="26"/>
              </w:rPr>
              <w:t>s</w:t>
            </w:r>
            <w:r w:rsidRPr="004966E2">
              <w:rPr>
                <w:rFonts w:ascii="Century Schoolbook" w:hAnsi="Century Schoolbook"/>
                <w:sz w:val="26"/>
                <w:szCs w:val="26"/>
              </w:rPr>
              <w:t xml:space="preserve"> and Respondent</w:t>
            </w:r>
            <w:r w:rsidRPr="004966E2" w:rsidR="00441132">
              <w:rPr>
                <w:rFonts w:ascii="Century Schoolbook" w:hAnsi="Century Schoolbook"/>
                <w:sz w:val="26"/>
                <w:szCs w:val="26"/>
              </w:rPr>
              <w:t>s</w:t>
            </w:r>
            <w:r w:rsidRPr="004966E2">
              <w:rPr>
                <w:rFonts w:ascii="Century Schoolbook" w:hAnsi="Century Schoolbook"/>
                <w:sz w:val="26"/>
                <w:szCs w:val="26"/>
              </w:rPr>
              <w:t>.</w:t>
            </w:r>
          </w:p>
        </w:tc>
        <w:tc>
          <w:tcPr>
            <w:tcW w:w="4590" w:type="dxa"/>
            <w:tcBorders>
              <w:left w:val="single" w:sz="4" w:space="0" w:color="auto"/>
            </w:tcBorders>
            <w:shd w:val="clear" w:color="auto" w:fill="auto"/>
          </w:tcPr>
          <w:p w:rsidR="008042A4" w:rsidRPr="004966E2" w:rsidP="008042A4" w14:paraId="6B6FC115" w14:textId="77777777">
            <w:pPr>
              <w:rPr>
                <w:rFonts w:ascii="Century Schoolbook" w:hAnsi="Century Schoolbook"/>
                <w:sz w:val="26"/>
                <w:szCs w:val="26"/>
              </w:rPr>
            </w:pPr>
          </w:p>
          <w:p w:rsidR="008042A4" w:rsidRPr="004966E2" w:rsidP="008042A4" w14:paraId="2E681249" w14:textId="77777777">
            <w:pPr>
              <w:rPr>
                <w:rFonts w:ascii="Century Schoolbook" w:hAnsi="Century Schoolbook"/>
                <w:sz w:val="26"/>
                <w:szCs w:val="26"/>
              </w:rPr>
            </w:pPr>
          </w:p>
          <w:p w:rsidR="008042A4" w:rsidRPr="004966E2" w:rsidP="008042A4" w14:paraId="1E69364F" w14:textId="1604EDD1">
            <w:pPr>
              <w:rPr>
                <w:rFonts w:ascii="Century Schoolbook" w:hAnsi="Century Schoolbook"/>
                <w:sz w:val="26"/>
                <w:szCs w:val="26"/>
              </w:rPr>
            </w:pPr>
            <w:r w:rsidRPr="004966E2">
              <w:rPr>
                <w:rFonts w:ascii="Century Schoolbook" w:hAnsi="Century Schoolbook"/>
                <w:sz w:val="26"/>
                <w:szCs w:val="26"/>
              </w:rPr>
              <w:t xml:space="preserve">   A</w:t>
            </w:r>
            <w:r w:rsidRPr="004966E2" w:rsidR="008D6406">
              <w:rPr>
                <w:rFonts w:ascii="Century Schoolbook" w:hAnsi="Century Schoolbook"/>
                <w:sz w:val="26"/>
                <w:szCs w:val="26"/>
              </w:rPr>
              <w:t>165638</w:t>
            </w:r>
          </w:p>
          <w:p w:rsidR="008042A4" w:rsidRPr="004966E2" w:rsidP="008042A4" w14:paraId="70E74184" w14:textId="77777777">
            <w:pPr>
              <w:rPr>
                <w:rFonts w:ascii="Century Schoolbook" w:hAnsi="Century Schoolbook"/>
                <w:sz w:val="26"/>
                <w:szCs w:val="26"/>
              </w:rPr>
            </w:pPr>
          </w:p>
          <w:p w:rsidR="008042A4" w:rsidRPr="004966E2" w:rsidP="008042A4" w14:paraId="53797896" w14:textId="447272C9">
            <w:pPr>
              <w:rPr>
                <w:rFonts w:ascii="Century Schoolbook" w:hAnsi="Century Schoolbook"/>
                <w:sz w:val="26"/>
                <w:szCs w:val="26"/>
              </w:rPr>
            </w:pPr>
            <w:r w:rsidRPr="004966E2">
              <w:rPr>
                <w:rFonts w:ascii="Century Schoolbook" w:hAnsi="Century Schoolbook"/>
                <w:sz w:val="26"/>
                <w:szCs w:val="26"/>
              </w:rPr>
              <w:t xml:space="preserve">   </w:t>
            </w:r>
            <w:r w:rsidRPr="004966E2" w:rsidR="00441132">
              <w:rPr>
                <w:rFonts w:ascii="Century Schoolbook" w:hAnsi="Century Schoolbook"/>
                <w:sz w:val="26"/>
                <w:szCs w:val="26"/>
              </w:rPr>
              <w:t>(</w:t>
            </w:r>
            <w:r w:rsidRPr="004966E2" w:rsidR="008D6406">
              <w:rPr>
                <w:rFonts w:ascii="Century Schoolbook" w:hAnsi="Century Schoolbook"/>
                <w:sz w:val="26"/>
                <w:szCs w:val="26"/>
              </w:rPr>
              <w:t xml:space="preserve">San Francisco City &amp; County </w:t>
            </w:r>
          </w:p>
          <w:p w:rsidR="008042A4" w:rsidRPr="004966E2" w:rsidP="008042A4" w14:paraId="2B670C5E" w14:textId="5ADBA68A">
            <w:pPr>
              <w:rPr>
                <w:rFonts w:ascii="Century Schoolbook" w:hAnsi="Century Schoolbook"/>
                <w:sz w:val="26"/>
                <w:szCs w:val="26"/>
              </w:rPr>
            </w:pPr>
            <w:r w:rsidRPr="004966E2">
              <w:rPr>
                <w:rFonts w:ascii="Century Schoolbook" w:hAnsi="Century Schoolbook"/>
                <w:sz w:val="26"/>
                <w:szCs w:val="26"/>
              </w:rPr>
              <w:t xml:space="preserve">   </w:t>
            </w:r>
            <w:r w:rsidRPr="004966E2" w:rsidR="00441132">
              <w:rPr>
                <w:rFonts w:ascii="Century Schoolbook" w:hAnsi="Century Schoolbook"/>
                <w:sz w:val="26"/>
                <w:szCs w:val="26"/>
              </w:rPr>
              <w:t xml:space="preserve"> </w:t>
            </w:r>
            <w:r w:rsidRPr="004966E2">
              <w:rPr>
                <w:rFonts w:ascii="Century Schoolbook" w:hAnsi="Century Schoolbook"/>
                <w:sz w:val="26"/>
                <w:szCs w:val="26"/>
              </w:rPr>
              <w:t xml:space="preserve">Super. Ct. No. </w:t>
            </w:r>
            <w:r w:rsidRPr="004966E2" w:rsidR="008D6406">
              <w:rPr>
                <w:rFonts w:ascii="Century Schoolbook" w:hAnsi="Century Schoolbook"/>
                <w:sz w:val="26"/>
                <w:szCs w:val="26"/>
              </w:rPr>
              <w:t>CGC20582606</w:t>
            </w:r>
            <w:r w:rsidRPr="004966E2">
              <w:rPr>
                <w:rFonts w:ascii="Century Schoolbook" w:hAnsi="Century Schoolbook"/>
                <w:sz w:val="26"/>
                <w:szCs w:val="26"/>
              </w:rPr>
              <w:t>)</w:t>
            </w:r>
          </w:p>
          <w:p w:rsidR="008042A4" w:rsidRPr="004966E2" w:rsidP="008042A4" w14:paraId="2DA4A2B3" w14:textId="76D6D99B">
            <w:pPr>
              <w:rPr>
                <w:rFonts w:ascii="Century Schoolbook" w:hAnsi="Century Schoolbook"/>
                <w:sz w:val="26"/>
                <w:szCs w:val="26"/>
              </w:rPr>
            </w:pPr>
          </w:p>
        </w:tc>
      </w:tr>
    </w:tbl>
    <w:p w:rsidR="008042A4" w:rsidRPr="004966E2" w:rsidP="008042A4" w14:paraId="7801E0A2" w14:textId="77777777">
      <w:pPr>
        <w:rPr>
          <w:rFonts w:ascii="Century Schoolbook" w:hAnsi="Century Schoolbook"/>
          <w:sz w:val="26"/>
          <w:szCs w:val="26"/>
        </w:rPr>
      </w:pPr>
    </w:p>
    <w:p w:rsidR="006872CF" w:rsidRPr="00F52189" w:rsidP="007A2BB7" w14:paraId="5AA7CCC2" w14:textId="02A922A2">
      <w:pPr>
        <w:spacing w:line="360" w:lineRule="auto"/>
        <w:rPr>
          <w:rFonts w:ascii="Century Schoolbook" w:hAnsi="Century Schoolbook"/>
          <w:i/>
          <w:iCs/>
          <w:sz w:val="26"/>
          <w:szCs w:val="26"/>
        </w:rPr>
      </w:pPr>
      <w:r w:rsidRPr="004966E2">
        <w:rPr>
          <w:rFonts w:ascii="Century Schoolbook" w:hAnsi="Century Schoolbook"/>
          <w:sz w:val="26"/>
          <w:szCs w:val="26"/>
        </w:rPr>
        <w:tab/>
      </w:r>
      <w:r w:rsidRPr="00F52189" w:rsidR="00441132">
        <w:rPr>
          <w:rFonts w:ascii="Century Schoolbook" w:hAnsi="Century Schoolbook"/>
          <w:sz w:val="26"/>
          <w:szCs w:val="26"/>
        </w:rPr>
        <w:t>Crista Miller</w:t>
      </w:r>
      <w:r w:rsidRPr="00F52189" w:rsidR="003D56EE">
        <w:rPr>
          <w:rFonts w:ascii="Century Schoolbook" w:hAnsi="Century Schoolbook"/>
          <w:sz w:val="26"/>
          <w:szCs w:val="26"/>
        </w:rPr>
        <w:t xml:space="preserve"> tripped </w:t>
      </w:r>
      <w:r w:rsidRPr="00F52189" w:rsidR="005B21E9">
        <w:rPr>
          <w:rFonts w:ascii="Century Schoolbook" w:hAnsi="Century Schoolbook"/>
          <w:sz w:val="26"/>
          <w:szCs w:val="26"/>
        </w:rPr>
        <w:t xml:space="preserve">on a </w:t>
      </w:r>
      <w:r w:rsidRPr="00F52189" w:rsidR="003D56EE">
        <w:rPr>
          <w:rFonts w:ascii="Century Schoolbook" w:hAnsi="Century Schoolbook"/>
          <w:sz w:val="26"/>
          <w:szCs w:val="26"/>
        </w:rPr>
        <w:t xml:space="preserve">vertical misalignment </w:t>
      </w:r>
      <w:r w:rsidRPr="00F52189" w:rsidR="00643885">
        <w:rPr>
          <w:rFonts w:ascii="Century Schoolbook" w:hAnsi="Century Schoolbook"/>
          <w:sz w:val="26"/>
          <w:szCs w:val="26"/>
        </w:rPr>
        <w:t xml:space="preserve">of less than one inch </w:t>
      </w:r>
      <w:r w:rsidRPr="00F52189" w:rsidR="00FE3067">
        <w:rPr>
          <w:rFonts w:ascii="Century Schoolbook" w:hAnsi="Century Schoolbook"/>
          <w:sz w:val="26"/>
          <w:szCs w:val="26"/>
        </w:rPr>
        <w:t xml:space="preserve">between the </w:t>
      </w:r>
      <w:r w:rsidRPr="00F52189" w:rsidR="003D56EE">
        <w:rPr>
          <w:rFonts w:ascii="Century Schoolbook" w:hAnsi="Century Schoolbook"/>
          <w:sz w:val="26"/>
          <w:szCs w:val="26"/>
        </w:rPr>
        <w:t xml:space="preserve">metal plate covering an underground utility vault owned by Pacific Gas and Electric Company </w:t>
      </w:r>
      <w:r w:rsidRPr="00F52189" w:rsidR="0041362C">
        <w:rPr>
          <w:rFonts w:ascii="Century Schoolbook" w:hAnsi="Century Schoolbook"/>
          <w:sz w:val="26"/>
          <w:szCs w:val="26"/>
        </w:rPr>
        <w:t xml:space="preserve">(PG&amp;E) </w:t>
      </w:r>
      <w:r w:rsidRPr="00F52189" w:rsidR="003D56EE">
        <w:rPr>
          <w:rFonts w:ascii="Century Schoolbook" w:hAnsi="Century Schoolbook"/>
          <w:sz w:val="26"/>
          <w:szCs w:val="26"/>
        </w:rPr>
        <w:t xml:space="preserve">and the surrounding sidewalk adjacent to property owned by </w:t>
      </w:r>
      <w:r w:rsidRPr="00F52189" w:rsidR="00F90FB9">
        <w:rPr>
          <w:rFonts w:ascii="Century Schoolbook" w:hAnsi="Century Schoolbook"/>
          <w:sz w:val="26"/>
          <w:szCs w:val="26"/>
        </w:rPr>
        <w:t>Hip Sen Benevolent Association</w:t>
      </w:r>
      <w:r w:rsidRPr="00F52189" w:rsidR="0041362C">
        <w:rPr>
          <w:rFonts w:ascii="Century Schoolbook" w:hAnsi="Century Schoolbook"/>
          <w:sz w:val="26"/>
          <w:szCs w:val="26"/>
        </w:rPr>
        <w:t xml:space="preserve"> (Hip Sen)</w:t>
      </w:r>
      <w:r w:rsidRPr="00F52189" w:rsidR="003D56EE">
        <w:rPr>
          <w:rFonts w:ascii="Century Schoolbook" w:hAnsi="Century Schoolbook"/>
          <w:sz w:val="26"/>
          <w:szCs w:val="26"/>
        </w:rPr>
        <w:t xml:space="preserve">, causing her to fall </w:t>
      </w:r>
      <w:r w:rsidRPr="00F52189" w:rsidR="004252EF">
        <w:rPr>
          <w:rFonts w:ascii="Century Schoolbook" w:hAnsi="Century Schoolbook"/>
          <w:sz w:val="26"/>
          <w:szCs w:val="26"/>
        </w:rPr>
        <w:t>and hurt her ankle</w:t>
      </w:r>
      <w:r w:rsidRPr="00F52189" w:rsidR="003D56EE">
        <w:rPr>
          <w:rFonts w:ascii="Century Schoolbook" w:hAnsi="Century Schoolbook"/>
          <w:sz w:val="26"/>
          <w:szCs w:val="26"/>
        </w:rPr>
        <w:t xml:space="preserve">. </w:t>
      </w:r>
      <w:r w:rsidRPr="00F52189" w:rsidR="009206BD">
        <w:rPr>
          <w:rFonts w:ascii="Century Schoolbook" w:hAnsi="Century Schoolbook"/>
          <w:sz w:val="26"/>
          <w:szCs w:val="26"/>
        </w:rPr>
        <w:t xml:space="preserve"> </w:t>
      </w:r>
      <w:r w:rsidRPr="00F52189" w:rsidR="00632080">
        <w:rPr>
          <w:rFonts w:ascii="Century Schoolbook" w:hAnsi="Century Schoolbook"/>
          <w:sz w:val="26"/>
          <w:szCs w:val="26"/>
        </w:rPr>
        <w:t>T</w:t>
      </w:r>
      <w:r w:rsidRPr="00F52189" w:rsidR="000A1F41">
        <w:rPr>
          <w:rFonts w:ascii="Century Schoolbook" w:hAnsi="Century Schoolbook"/>
          <w:sz w:val="26"/>
          <w:szCs w:val="26"/>
        </w:rPr>
        <w:t xml:space="preserve">he </w:t>
      </w:r>
      <w:r w:rsidRPr="00F52189" w:rsidR="008042A4">
        <w:rPr>
          <w:rFonts w:ascii="Century Schoolbook" w:hAnsi="Century Schoolbook"/>
          <w:sz w:val="26"/>
          <w:szCs w:val="26"/>
        </w:rPr>
        <w:t xml:space="preserve">trial court </w:t>
      </w:r>
      <w:r w:rsidRPr="00F52189" w:rsidR="00632080">
        <w:rPr>
          <w:rFonts w:ascii="Century Schoolbook" w:hAnsi="Century Schoolbook"/>
          <w:sz w:val="26"/>
          <w:szCs w:val="26"/>
        </w:rPr>
        <w:t>g</w:t>
      </w:r>
      <w:r w:rsidRPr="00F52189" w:rsidR="007B38DE">
        <w:rPr>
          <w:rFonts w:ascii="Century Schoolbook" w:hAnsi="Century Schoolbook"/>
          <w:sz w:val="26"/>
          <w:szCs w:val="26"/>
        </w:rPr>
        <w:t>ranted summary judgmen</w:t>
      </w:r>
      <w:r w:rsidRPr="00F52189" w:rsidR="0021079A">
        <w:rPr>
          <w:rFonts w:ascii="Century Schoolbook" w:hAnsi="Century Schoolbook"/>
          <w:sz w:val="26"/>
          <w:szCs w:val="26"/>
        </w:rPr>
        <w:t>t</w:t>
      </w:r>
      <w:r w:rsidRPr="00F52189" w:rsidR="007B7497">
        <w:rPr>
          <w:rFonts w:ascii="Century Schoolbook" w:hAnsi="Century Schoolbook"/>
          <w:sz w:val="26"/>
          <w:szCs w:val="26"/>
        </w:rPr>
        <w:t xml:space="preserve">, ruling that </w:t>
      </w:r>
      <w:r w:rsidRPr="00F52189" w:rsidR="00CD05D2">
        <w:rPr>
          <w:rFonts w:ascii="Century Schoolbook" w:hAnsi="Century Schoolbook"/>
          <w:sz w:val="26"/>
          <w:szCs w:val="26"/>
        </w:rPr>
        <w:t xml:space="preserve">the </w:t>
      </w:r>
      <w:r w:rsidRPr="00F52189" w:rsidR="007B7497">
        <w:rPr>
          <w:rFonts w:ascii="Century Schoolbook" w:hAnsi="Century Schoolbook"/>
          <w:sz w:val="26"/>
          <w:szCs w:val="26"/>
        </w:rPr>
        <w:t xml:space="preserve">lawsuit </w:t>
      </w:r>
      <w:r w:rsidRPr="00F52189" w:rsidR="0021079A">
        <w:rPr>
          <w:rFonts w:ascii="Century Schoolbook" w:hAnsi="Century Schoolbook"/>
          <w:sz w:val="26"/>
          <w:szCs w:val="26"/>
        </w:rPr>
        <w:t xml:space="preserve">was barred </w:t>
      </w:r>
      <w:r w:rsidRPr="00F52189" w:rsidR="00A27634">
        <w:rPr>
          <w:rFonts w:ascii="Century Schoolbook" w:hAnsi="Century Schoolbook"/>
          <w:sz w:val="26"/>
          <w:szCs w:val="26"/>
        </w:rPr>
        <w:t xml:space="preserve">by </w:t>
      </w:r>
      <w:r w:rsidRPr="00F52189" w:rsidR="0021079A">
        <w:rPr>
          <w:rFonts w:ascii="Century Schoolbook" w:hAnsi="Century Schoolbook"/>
          <w:sz w:val="26"/>
          <w:szCs w:val="26"/>
        </w:rPr>
        <w:t>the trivial defect doctrine</w:t>
      </w:r>
      <w:r w:rsidRPr="00F52189" w:rsidR="00F40E62">
        <w:rPr>
          <w:rFonts w:ascii="Century Schoolbook" w:hAnsi="Century Schoolbook"/>
          <w:sz w:val="26"/>
          <w:szCs w:val="26"/>
        </w:rPr>
        <w:t>.  W</w:t>
      </w:r>
      <w:r w:rsidRPr="00F52189" w:rsidR="00FE3067">
        <w:rPr>
          <w:rFonts w:ascii="Century Schoolbook" w:hAnsi="Century Schoolbook"/>
          <w:sz w:val="26"/>
          <w:szCs w:val="26"/>
        </w:rPr>
        <w:t>e</w:t>
      </w:r>
      <w:r w:rsidRPr="00F52189" w:rsidR="00CD3E2C">
        <w:rPr>
          <w:rFonts w:ascii="Century Schoolbook" w:hAnsi="Century Schoolbook"/>
          <w:sz w:val="26"/>
          <w:szCs w:val="26"/>
        </w:rPr>
        <w:t xml:space="preserve"> a</w:t>
      </w:r>
      <w:r w:rsidRPr="00F52189" w:rsidR="00B41615">
        <w:rPr>
          <w:rFonts w:ascii="Century Schoolbook" w:hAnsi="Century Schoolbook"/>
          <w:sz w:val="26"/>
          <w:szCs w:val="26"/>
        </w:rPr>
        <w:t>ffirm</w:t>
      </w:r>
      <w:r w:rsidRPr="00F52189" w:rsidR="00CD3E2C">
        <w:rPr>
          <w:rFonts w:ascii="Century Schoolbook" w:hAnsi="Century Schoolbook"/>
          <w:sz w:val="26"/>
          <w:szCs w:val="26"/>
        </w:rPr>
        <w:t>.</w:t>
      </w:r>
      <w:r w:rsidRPr="00F52189" w:rsidR="00BA33E9">
        <w:rPr>
          <w:rFonts w:ascii="Century Schoolbook" w:hAnsi="Century Schoolbook"/>
          <w:sz w:val="26"/>
          <w:szCs w:val="26"/>
        </w:rPr>
        <w:t xml:space="preserve"> </w:t>
      </w:r>
    </w:p>
    <w:p w:rsidR="00485FE0" w:rsidRPr="00F52189" w:rsidP="006872CF" w14:paraId="2BF9B2A2" w14:textId="1123F60C">
      <w:pPr>
        <w:spacing w:line="360" w:lineRule="auto"/>
        <w:jc w:val="center"/>
        <w:rPr>
          <w:rFonts w:ascii="Century Schoolbook" w:hAnsi="Century Schoolbook"/>
          <w:b/>
          <w:smallCaps/>
          <w:sz w:val="26"/>
          <w:szCs w:val="26"/>
        </w:rPr>
      </w:pPr>
      <w:r w:rsidRPr="00F52189">
        <w:rPr>
          <w:rFonts w:ascii="Century Schoolbook" w:hAnsi="Century Schoolbook"/>
          <w:b/>
          <w:smallCaps/>
          <w:sz w:val="26"/>
          <w:szCs w:val="26"/>
        </w:rPr>
        <w:t>Background</w:t>
      </w:r>
    </w:p>
    <w:p w:rsidR="00356F14" w:rsidRPr="00F52189" w:rsidP="00640326" w14:paraId="532A9B63" w14:textId="77777777">
      <w:pPr>
        <w:spacing w:line="360" w:lineRule="auto"/>
        <w:rPr>
          <w:rFonts w:ascii="Century Schoolbook" w:hAnsi="Century Schoolbook"/>
          <w:b/>
          <w:i/>
          <w:iCs/>
          <w:sz w:val="26"/>
          <w:szCs w:val="26"/>
        </w:rPr>
      </w:pPr>
      <w:r w:rsidRPr="00F52189">
        <w:rPr>
          <w:rFonts w:ascii="Century Schoolbook" w:hAnsi="Century Schoolbook"/>
          <w:b/>
          <w:i/>
          <w:iCs/>
          <w:sz w:val="26"/>
          <w:szCs w:val="26"/>
        </w:rPr>
        <w:t>The Incident</w:t>
      </w:r>
    </w:p>
    <w:p w:rsidR="009C18F1" w:rsidRPr="00F52189" w:rsidP="00640326" w14:paraId="61388DC5" w14:textId="4F9B5D6F">
      <w:pPr>
        <w:spacing w:line="360" w:lineRule="auto"/>
        <w:rPr>
          <w:rFonts w:ascii="Century Schoolbook" w:hAnsi="Century Schoolbook"/>
          <w:bCs/>
          <w:sz w:val="26"/>
          <w:szCs w:val="26"/>
        </w:rPr>
      </w:pPr>
      <w:r w:rsidRPr="00F52189">
        <w:rPr>
          <w:rFonts w:ascii="Century Schoolbook" w:hAnsi="Century Schoolbook"/>
          <w:b/>
          <w:i/>
          <w:iCs/>
          <w:sz w:val="26"/>
          <w:szCs w:val="26"/>
        </w:rPr>
        <w:tab/>
      </w:r>
      <w:r w:rsidRPr="00F52189" w:rsidR="00791A19">
        <w:rPr>
          <w:rFonts w:ascii="Century Schoolbook" w:hAnsi="Century Schoolbook"/>
          <w:bCs/>
          <w:sz w:val="26"/>
          <w:szCs w:val="26"/>
        </w:rPr>
        <w:t>At 11:30 p.m. o</w:t>
      </w:r>
      <w:r w:rsidRPr="00F52189" w:rsidR="00E66F12">
        <w:rPr>
          <w:rFonts w:ascii="Century Schoolbook" w:hAnsi="Century Schoolbook"/>
          <w:bCs/>
          <w:sz w:val="26"/>
          <w:szCs w:val="26"/>
        </w:rPr>
        <w:t xml:space="preserve">n </w:t>
      </w:r>
      <w:r w:rsidRPr="00F52189" w:rsidR="009307A4">
        <w:rPr>
          <w:rFonts w:ascii="Century Schoolbook" w:hAnsi="Century Schoolbook"/>
          <w:bCs/>
          <w:sz w:val="26"/>
          <w:szCs w:val="26"/>
        </w:rPr>
        <w:t xml:space="preserve">Saturday, </w:t>
      </w:r>
      <w:r w:rsidRPr="00F52189" w:rsidR="00E66F12">
        <w:rPr>
          <w:rFonts w:ascii="Century Schoolbook" w:hAnsi="Century Schoolbook"/>
          <w:bCs/>
          <w:sz w:val="26"/>
          <w:szCs w:val="26"/>
        </w:rPr>
        <w:t xml:space="preserve">February 16, 2019, Miller and her husband were walking </w:t>
      </w:r>
      <w:r w:rsidRPr="00F52189" w:rsidR="00E5741A">
        <w:rPr>
          <w:rFonts w:ascii="Century Schoolbook" w:hAnsi="Century Schoolbook"/>
          <w:bCs/>
          <w:sz w:val="26"/>
          <w:szCs w:val="26"/>
        </w:rPr>
        <w:t xml:space="preserve">on </w:t>
      </w:r>
      <w:r w:rsidRPr="00F52189" w:rsidR="00E66F12">
        <w:rPr>
          <w:rFonts w:ascii="Century Schoolbook" w:hAnsi="Century Schoolbook"/>
          <w:bCs/>
          <w:sz w:val="26"/>
          <w:szCs w:val="26"/>
        </w:rPr>
        <w:t>Washington Stree</w:t>
      </w:r>
      <w:r w:rsidRPr="00F52189" w:rsidR="00E11A6D">
        <w:rPr>
          <w:rFonts w:ascii="Century Schoolbook" w:hAnsi="Century Schoolbook"/>
          <w:bCs/>
          <w:sz w:val="26"/>
          <w:szCs w:val="26"/>
        </w:rPr>
        <w:t>t toward Grant Street in San Francisco’s Chinatown</w:t>
      </w:r>
      <w:r w:rsidRPr="00F52189" w:rsidR="00C11CEE">
        <w:rPr>
          <w:rFonts w:ascii="Century Schoolbook" w:hAnsi="Century Schoolbook"/>
          <w:bCs/>
          <w:sz w:val="26"/>
          <w:szCs w:val="26"/>
        </w:rPr>
        <w:t xml:space="preserve"> on what they described as</w:t>
      </w:r>
      <w:r w:rsidRPr="00F52189" w:rsidR="00E11A6D">
        <w:rPr>
          <w:rFonts w:ascii="Century Schoolbook" w:hAnsi="Century Schoolbook"/>
          <w:bCs/>
          <w:sz w:val="26"/>
          <w:szCs w:val="26"/>
        </w:rPr>
        <w:t xml:space="preserve"> </w:t>
      </w:r>
      <w:r w:rsidRPr="00F52189" w:rsidR="00E5741A">
        <w:rPr>
          <w:rFonts w:ascii="Century Schoolbook" w:hAnsi="Century Schoolbook"/>
          <w:bCs/>
          <w:sz w:val="26"/>
          <w:szCs w:val="26"/>
        </w:rPr>
        <w:t>a “steep down</w:t>
      </w:r>
      <w:r w:rsidRPr="00F52189" w:rsidR="00792C8F">
        <w:rPr>
          <w:rFonts w:ascii="Century Schoolbook" w:hAnsi="Century Schoolbook"/>
          <w:bCs/>
          <w:sz w:val="26"/>
          <w:szCs w:val="26"/>
        </w:rPr>
        <w:t>hill</w:t>
      </w:r>
      <w:r w:rsidRPr="00F52189" w:rsidR="00E5741A">
        <w:rPr>
          <w:rFonts w:ascii="Century Schoolbook" w:hAnsi="Century Schoolbook"/>
          <w:bCs/>
          <w:sz w:val="26"/>
          <w:szCs w:val="26"/>
        </w:rPr>
        <w:t xml:space="preserve"> slope</w:t>
      </w:r>
      <w:r w:rsidRPr="00F52189" w:rsidR="00C11CEE">
        <w:rPr>
          <w:rFonts w:ascii="Century Schoolbook" w:hAnsi="Century Schoolbook"/>
          <w:bCs/>
          <w:sz w:val="26"/>
          <w:szCs w:val="26"/>
        </w:rPr>
        <w:t>.</w:t>
      </w:r>
      <w:r w:rsidRPr="00F52189" w:rsidR="00E5741A">
        <w:rPr>
          <w:rFonts w:ascii="Century Schoolbook" w:hAnsi="Century Schoolbook"/>
          <w:bCs/>
          <w:sz w:val="26"/>
          <w:szCs w:val="26"/>
        </w:rPr>
        <w:t>”</w:t>
      </w:r>
      <w:r w:rsidRPr="00F52189" w:rsidR="0029033F">
        <w:rPr>
          <w:rFonts w:ascii="Century Schoolbook" w:hAnsi="Century Schoolbook"/>
          <w:bCs/>
          <w:sz w:val="26"/>
          <w:szCs w:val="26"/>
        </w:rPr>
        <w:t xml:space="preserve"> </w:t>
      </w:r>
    </w:p>
    <w:p w:rsidR="007E20E6" w:rsidRPr="00F52189" w:rsidP="00640326" w14:paraId="0A501EDB" w14:textId="1342A800">
      <w:pPr>
        <w:spacing w:line="360" w:lineRule="auto"/>
        <w:rPr>
          <w:rFonts w:ascii="Century Schoolbook" w:hAnsi="Century Schoolbook"/>
          <w:bCs/>
          <w:sz w:val="26"/>
          <w:szCs w:val="26"/>
        </w:rPr>
      </w:pPr>
      <w:r w:rsidRPr="00F52189">
        <w:rPr>
          <w:rFonts w:ascii="Century Schoolbook" w:hAnsi="Century Schoolbook"/>
          <w:bCs/>
          <w:sz w:val="26"/>
          <w:szCs w:val="26"/>
        </w:rPr>
        <w:tab/>
      </w:r>
      <w:r w:rsidRPr="00F52189" w:rsidR="00F40E62">
        <w:rPr>
          <w:rFonts w:ascii="Century Schoolbook" w:hAnsi="Century Schoolbook"/>
          <w:bCs/>
          <w:sz w:val="26"/>
          <w:szCs w:val="26"/>
        </w:rPr>
        <w:t>It was a typical Saturday evening in th</w:t>
      </w:r>
      <w:r w:rsidRPr="00F52189" w:rsidR="006C78B8">
        <w:rPr>
          <w:rFonts w:ascii="Century Schoolbook" w:hAnsi="Century Schoolbook"/>
          <w:bCs/>
          <w:sz w:val="26"/>
          <w:szCs w:val="26"/>
        </w:rPr>
        <w:t>e</w:t>
      </w:r>
      <w:r w:rsidRPr="00F52189" w:rsidR="00F40E62">
        <w:rPr>
          <w:rFonts w:ascii="Century Schoolbook" w:hAnsi="Century Schoolbook"/>
          <w:bCs/>
          <w:sz w:val="26"/>
          <w:szCs w:val="26"/>
        </w:rPr>
        <w:t xml:space="preserve"> neighborhood</w:t>
      </w:r>
      <w:r w:rsidRPr="00F52189" w:rsidR="00DA0D68">
        <w:rPr>
          <w:rFonts w:ascii="Century Schoolbook" w:hAnsi="Century Schoolbook"/>
          <w:bCs/>
          <w:sz w:val="26"/>
          <w:szCs w:val="26"/>
        </w:rPr>
        <w:t>.</w:t>
      </w:r>
      <w:r w:rsidRPr="00F52189" w:rsidR="00CF0D49">
        <w:rPr>
          <w:rFonts w:ascii="Century Schoolbook" w:hAnsi="Century Schoolbook"/>
          <w:bCs/>
          <w:sz w:val="26"/>
          <w:szCs w:val="26"/>
        </w:rPr>
        <w:t xml:space="preserve"> </w:t>
      </w:r>
      <w:r w:rsidRPr="00F52189" w:rsidR="009206BD">
        <w:rPr>
          <w:rFonts w:ascii="Century Schoolbook" w:hAnsi="Century Schoolbook"/>
          <w:bCs/>
          <w:sz w:val="26"/>
          <w:szCs w:val="26"/>
        </w:rPr>
        <w:t xml:space="preserve"> </w:t>
      </w:r>
      <w:r w:rsidRPr="00F52189" w:rsidR="006300E3">
        <w:rPr>
          <w:rFonts w:ascii="Century Schoolbook" w:hAnsi="Century Schoolbook"/>
          <w:bCs/>
          <w:sz w:val="26"/>
          <w:szCs w:val="26"/>
        </w:rPr>
        <w:t>I</w:t>
      </w:r>
      <w:r w:rsidRPr="00F52189">
        <w:rPr>
          <w:rFonts w:ascii="Century Schoolbook" w:hAnsi="Century Schoolbook"/>
          <w:bCs/>
          <w:sz w:val="26"/>
          <w:szCs w:val="26"/>
        </w:rPr>
        <w:t xml:space="preserve">t had drizzled earlier </w:t>
      </w:r>
      <w:r w:rsidRPr="00F52189" w:rsidR="00CF0D49">
        <w:rPr>
          <w:rFonts w:ascii="Century Schoolbook" w:hAnsi="Century Schoolbook"/>
          <w:bCs/>
          <w:sz w:val="26"/>
          <w:szCs w:val="26"/>
        </w:rPr>
        <w:t xml:space="preserve">in the evening </w:t>
      </w:r>
      <w:r w:rsidRPr="00F52189">
        <w:rPr>
          <w:rFonts w:ascii="Century Schoolbook" w:hAnsi="Century Schoolbook"/>
          <w:bCs/>
          <w:sz w:val="26"/>
          <w:szCs w:val="26"/>
        </w:rPr>
        <w:t xml:space="preserve">and </w:t>
      </w:r>
      <w:r w:rsidRPr="00F52189" w:rsidR="00AD222A">
        <w:rPr>
          <w:rFonts w:ascii="Century Schoolbook" w:hAnsi="Century Schoolbook"/>
          <w:bCs/>
          <w:sz w:val="26"/>
          <w:szCs w:val="26"/>
        </w:rPr>
        <w:t xml:space="preserve">the night sky was dark, foggy, and misty. </w:t>
      </w:r>
      <w:r w:rsidRPr="00F52189" w:rsidR="009206BD">
        <w:rPr>
          <w:rFonts w:ascii="Century Schoolbook" w:hAnsi="Century Schoolbook"/>
          <w:bCs/>
          <w:sz w:val="26"/>
          <w:szCs w:val="26"/>
        </w:rPr>
        <w:t xml:space="preserve"> </w:t>
      </w:r>
      <w:r w:rsidRPr="00F52189" w:rsidR="009F0B40">
        <w:rPr>
          <w:rFonts w:ascii="Century Schoolbook" w:hAnsi="Century Schoolbook"/>
          <w:bCs/>
          <w:sz w:val="26"/>
          <w:szCs w:val="26"/>
        </w:rPr>
        <w:t xml:space="preserve">The </w:t>
      </w:r>
      <w:r w:rsidRPr="00F52189" w:rsidR="00DA0D68">
        <w:rPr>
          <w:rFonts w:ascii="Century Schoolbook" w:hAnsi="Century Schoolbook"/>
          <w:bCs/>
          <w:sz w:val="26"/>
          <w:szCs w:val="26"/>
        </w:rPr>
        <w:t xml:space="preserve">sidewalk was wet and </w:t>
      </w:r>
      <w:r w:rsidRPr="00F52189" w:rsidR="00963E44">
        <w:rPr>
          <w:rFonts w:ascii="Century Schoolbook" w:hAnsi="Century Schoolbook"/>
          <w:bCs/>
          <w:sz w:val="26"/>
          <w:szCs w:val="26"/>
        </w:rPr>
        <w:t>crowded with people</w:t>
      </w:r>
      <w:r w:rsidRPr="00F52189" w:rsidR="00DA0D68">
        <w:rPr>
          <w:rFonts w:ascii="Century Schoolbook" w:hAnsi="Century Schoolbook"/>
          <w:bCs/>
          <w:sz w:val="26"/>
          <w:szCs w:val="26"/>
        </w:rPr>
        <w:t xml:space="preserve">. </w:t>
      </w:r>
      <w:r w:rsidRPr="00F52189" w:rsidR="009206BD">
        <w:rPr>
          <w:rFonts w:ascii="Century Schoolbook" w:hAnsi="Century Schoolbook"/>
          <w:bCs/>
          <w:sz w:val="26"/>
          <w:szCs w:val="26"/>
        </w:rPr>
        <w:t xml:space="preserve"> </w:t>
      </w:r>
      <w:r w:rsidRPr="00F52189" w:rsidR="00A211E8">
        <w:rPr>
          <w:rFonts w:ascii="Century Schoolbook" w:hAnsi="Century Schoolbook"/>
          <w:bCs/>
          <w:sz w:val="26"/>
          <w:szCs w:val="26"/>
        </w:rPr>
        <w:t>Miller did not recall it “</w:t>
      </w:r>
      <w:r w:rsidRPr="00F52189" w:rsidR="00792C8F">
        <w:rPr>
          <w:rFonts w:ascii="Century Schoolbook" w:hAnsi="Century Schoolbook"/>
          <w:bCs/>
          <w:sz w:val="26"/>
          <w:szCs w:val="26"/>
        </w:rPr>
        <w:t> ‘</w:t>
      </w:r>
      <w:r w:rsidRPr="00F52189" w:rsidR="00A211E8">
        <w:rPr>
          <w:rFonts w:ascii="Century Schoolbook" w:hAnsi="Century Schoolbook"/>
          <w:bCs/>
          <w:sz w:val="26"/>
          <w:szCs w:val="26"/>
        </w:rPr>
        <w:t>feel</w:t>
      </w:r>
      <w:r w:rsidRPr="00F52189" w:rsidR="00792C8F">
        <w:rPr>
          <w:rFonts w:ascii="Century Schoolbook" w:hAnsi="Century Schoolbook"/>
          <w:bCs/>
          <w:sz w:val="26"/>
          <w:szCs w:val="26"/>
        </w:rPr>
        <w:t>[</w:t>
      </w:r>
      <w:r w:rsidRPr="00F52189" w:rsidR="00A211E8">
        <w:rPr>
          <w:rFonts w:ascii="Century Schoolbook" w:hAnsi="Century Schoolbook"/>
          <w:bCs/>
          <w:sz w:val="26"/>
          <w:szCs w:val="26"/>
        </w:rPr>
        <w:t>ing</w:t>
      </w:r>
      <w:r w:rsidRPr="00F52189" w:rsidR="00792C8F">
        <w:rPr>
          <w:rFonts w:ascii="Century Schoolbook" w:hAnsi="Century Schoolbook"/>
          <w:bCs/>
          <w:sz w:val="26"/>
          <w:szCs w:val="26"/>
        </w:rPr>
        <w:t>]</w:t>
      </w:r>
      <w:r w:rsidRPr="00F52189" w:rsidR="00A211E8">
        <w:rPr>
          <w:rFonts w:ascii="Century Schoolbook" w:hAnsi="Century Schoolbook"/>
          <w:bCs/>
          <w:sz w:val="26"/>
          <w:szCs w:val="26"/>
        </w:rPr>
        <w:t xml:space="preserve"> dark</w:t>
      </w:r>
      <w:r w:rsidRPr="00F52189" w:rsidR="00792C8F">
        <w:rPr>
          <w:rFonts w:ascii="Century Schoolbook" w:hAnsi="Century Schoolbook"/>
          <w:bCs/>
          <w:sz w:val="26"/>
          <w:szCs w:val="26"/>
        </w:rPr>
        <w:t>’ </w:t>
      </w:r>
      <w:r w:rsidRPr="00F52189" w:rsidR="00A211E8">
        <w:rPr>
          <w:rFonts w:ascii="Century Schoolbook" w:hAnsi="Century Schoolbook"/>
          <w:bCs/>
          <w:sz w:val="26"/>
          <w:szCs w:val="26"/>
        </w:rPr>
        <w:t xml:space="preserve">” as </w:t>
      </w:r>
      <w:r w:rsidRPr="00F52189" w:rsidR="00010EEA">
        <w:rPr>
          <w:rFonts w:ascii="Century Schoolbook" w:hAnsi="Century Schoolbook"/>
          <w:bCs/>
          <w:sz w:val="26"/>
          <w:szCs w:val="26"/>
        </w:rPr>
        <w:t>the</w:t>
      </w:r>
      <w:r w:rsidRPr="00F52189" w:rsidR="00DA0D68">
        <w:rPr>
          <w:rFonts w:ascii="Century Schoolbook" w:hAnsi="Century Schoolbook"/>
          <w:bCs/>
          <w:sz w:val="26"/>
          <w:szCs w:val="26"/>
        </w:rPr>
        <w:t xml:space="preserve"> </w:t>
      </w:r>
      <w:r w:rsidRPr="00F52189" w:rsidR="00010EEA">
        <w:rPr>
          <w:rFonts w:ascii="Century Schoolbook" w:hAnsi="Century Schoolbook"/>
          <w:bCs/>
          <w:sz w:val="26"/>
          <w:szCs w:val="26"/>
        </w:rPr>
        <w:t xml:space="preserve">sidewalk was in </w:t>
      </w:r>
      <w:r w:rsidRPr="00F52189" w:rsidR="00F40E62">
        <w:rPr>
          <w:rFonts w:ascii="Century Schoolbook" w:hAnsi="Century Schoolbook"/>
          <w:bCs/>
          <w:sz w:val="26"/>
          <w:szCs w:val="26"/>
        </w:rPr>
        <w:t xml:space="preserve">an urban setting with </w:t>
      </w:r>
      <w:r w:rsidRPr="00F52189" w:rsidR="00010EEA">
        <w:rPr>
          <w:rFonts w:ascii="Century Schoolbook" w:hAnsi="Century Schoolbook"/>
          <w:bCs/>
          <w:sz w:val="26"/>
          <w:szCs w:val="26"/>
        </w:rPr>
        <w:t xml:space="preserve">lights </w:t>
      </w:r>
      <w:r w:rsidRPr="00F52189" w:rsidR="006300E3">
        <w:rPr>
          <w:rFonts w:ascii="Century Schoolbook" w:hAnsi="Century Schoolbook"/>
          <w:bCs/>
          <w:sz w:val="26"/>
          <w:szCs w:val="26"/>
        </w:rPr>
        <w:t>from multiple sources</w:t>
      </w:r>
      <w:r w:rsidRPr="00F52189" w:rsidR="00CF0D49">
        <w:rPr>
          <w:rFonts w:ascii="Century Schoolbook" w:hAnsi="Century Schoolbook"/>
          <w:bCs/>
          <w:sz w:val="26"/>
          <w:szCs w:val="26"/>
        </w:rPr>
        <w:t>,</w:t>
      </w:r>
      <w:r w:rsidRPr="00F52189" w:rsidR="006300E3">
        <w:rPr>
          <w:rFonts w:ascii="Century Schoolbook" w:hAnsi="Century Schoolbook"/>
          <w:bCs/>
          <w:sz w:val="26"/>
          <w:szCs w:val="26"/>
        </w:rPr>
        <w:t xml:space="preserve"> </w:t>
      </w:r>
      <w:r w:rsidRPr="00F52189" w:rsidR="00CF0D49">
        <w:rPr>
          <w:rFonts w:ascii="Century Schoolbook" w:hAnsi="Century Schoolbook"/>
          <w:bCs/>
          <w:sz w:val="26"/>
          <w:szCs w:val="26"/>
        </w:rPr>
        <w:t xml:space="preserve">including </w:t>
      </w:r>
      <w:r w:rsidRPr="00F52189" w:rsidR="006300E3">
        <w:rPr>
          <w:rFonts w:ascii="Century Schoolbook" w:hAnsi="Century Schoolbook"/>
          <w:bCs/>
          <w:sz w:val="26"/>
          <w:szCs w:val="26"/>
        </w:rPr>
        <w:t>streetlights and</w:t>
      </w:r>
      <w:r w:rsidRPr="00F52189" w:rsidR="00DA0D68">
        <w:rPr>
          <w:rFonts w:ascii="Century Schoolbook" w:hAnsi="Century Schoolbook"/>
          <w:bCs/>
          <w:sz w:val="26"/>
          <w:szCs w:val="26"/>
        </w:rPr>
        <w:t xml:space="preserve"> store lights. </w:t>
      </w:r>
    </w:p>
    <w:p w:rsidR="00757AC9" w:rsidRPr="00F52189" w:rsidP="00640326" w14:paraId="3001EA05" w14:textId="368A3211">
      <w:pPr>
        <w:spacing w:line="360" w:lineRule="auto"/>
        <w:rPr>
          <w:rFonts w:ascii="Century Schoolbook" w:hAnsi="Century Schoolbook"/>
          <w:bCs/>
          <w:sz w:val="26"/>
          <w:szCs w:val="26"/>
        </w:rPr>
      </w:pPr>
      <w:r w:rsidRPr="00F52189">
        <w:rPr>
          <w:rFonts w:ascii="Century Schoolbook" w:hAnsi="Century Schoolbook"/>
          <w:bCs/>
          <w:sz w:val="26"/>
          <w:szCs w:val="26"/>
        </w:rPr>
        <w:tab/>
      </w:r>
      <w:r w:rsidRPr="00F52189" w:rsidR="00AD222A">
        <w:rPr>
          <w:rFonts w:ascii="Century Schoolbook" w:hAnsi="Century Schoolbook"/>
          <w:bCs/>
          <w:sz w:val="26"/>
          <w:szCs w:val="26"/>
        </w:rPr>
        <w:t>Miller</w:t>
      </w:r>
      <w:r w:rsidRPr="00F52189" w:rsidR="005B21E9">
        <w:rPr>
          <w:rFonts w:ascii="Century Schoolbook" w:hAnsi="Century Schoolbook"/>
          <w:bCs/>
          <w:sz w:val="26"/>
          <w:szCs w:val="26"/>
        </w:rPr>
        <w:t xml:space="preserve"> tripped on </w:t>
      </w:r>
      <w:r w:rsidRPr="00F52189" w:rsidR="00857D4B">
        <w:rPr>
          <w:rFonts w:ascii="Century Schoolbook" w:hAnsi="Century Schoolbook"/>
          <w:sz w:val="26"/>
          <w:szCs w:val="26"/>
        </w:rPr>
        <w:t>the</w:t>
      </w:r>
      <w:r w:rsidRPr="00F52189" w:rsidR="005B21E9">
        <w:rPr>
          <w:rFonts w:ascii="Century Schoolbook" w:hAnsi="Century Schoolbook"/>
          <w:sz w:val="26"/>
          <w:szCs w:val="26"/>
        </w:rPr>
        <w:t xml:space="preserve"> vertical misalignment </w:t>
      </w:r>
      <w:r w:rsidRPr="00F52189" w:rsidR="00857D4B">
        <w:rPr>
          <w:rFonts w:ascii="Century Schoolbook" w:hAnsi="Century Schoolbook"/>
          <w:sz w:val="26"/>
          <w:szCs w:val="26"/>
        </w:rPr>
        <w:t>between</w:t>
      </w:r>
      <w:r w:rsidRPr="00F52189" w:rsidR="005B21E9">
        <w:rPr>
          <w:rFonts w:ascii="Century Schoolbook" w:hAnsi="Century Schoolbook"/>
          <w:sz w:val="26"/>
          <w:szCs w:val="26"/>
        </w:rPr>
        <w:t xml:space="preserve"> a metal plate covering an underground utility vault owned by PG&amp;E and the surrounding sidewalk adjacent to property owned by Hip S</w:t>
      </w:r>
      <w:r w:rsidRPr="00F52189" w:rsidR="0041362C">
        <w:rPr>
          <w:rFonts w:ascii="Century Schoolbook" w:hAnsi="Century Schoolbook"/>
          <w:sz w:val="26"/>
          <w:szCs w:val="26"/>
        </w:rPr>
        <w:t>en</w:t>
      </w:r>
      <w:r w:rsidRPr="00F52189" w:rsidR="005B21E9">
        <w:rPr>
          <w:rFonts w:ascii="Century Schoolbook" w:hAnsi="Century Schoolbook"/>
          <w:sz w:val="26"/>
          <w:szCs w:val="26"/>
        </w:rPr>
        <w:t xml:space="preserve">. </w:t>
      </w:r>
      <w:bookmarkStart w:id="0" w:name="_Hlk149558290"/>
      <w:r w:rsidRPr="00F52189" w:rsidR="009206BD">
        <w:rPr>
          <w:rFonts w:ascii="Century Schoolbook" w:hAnsi="Century Schoolbook"/>
          <w:bCs/>
          <w:sz w:val="26"/>
          <w:szCs w:val="26"/>
        </w:rPr>
        <w:t xml:space="preserve"> </w:t>
      </w:r>
      <w:r w:rsidRPr="00F52189" w:rsidR="006C78B8">
        <w:rPr>
          <w:rFonts w:ascii="Century Schoolbook" w:hAnsi="Century Schoolbook"/>
          <w:bCs/>
          <w:sz w:val="26"/>
          <w:szCs w:val="26"/>
        </w:rPr>
        <w:t xml:space="preserve">While walking downhill, she </w:t>
      </w:r>
      <w:r w:rsidRPr="00F52189" w:rsidR="00640326">
        <w:rPr>
          <w:rFonts w:ascii="Century Schoolbook" w:hAnsi="Century Schoolbook"/>
          <w:bCs/>
          <w:sz w:val="26"/>
          <w:szCs w:val="26"/>
        </w:rPr>
        <w:t xml:space="preserve">stepped with her left foot on </w:t>
      </w:r>
      <w:r w:rsidRPr="00F52189" w:rsidR="005B21E9">
        <w:rPr>
          <w:rFonts w:ascii="Century Schoolbook" w:hAnsi="Century Schoolbook"/>
          <w:bCs/>
          <w:sz w:val="26"/>
          <w:szCs w:val="26"/>
        </w:rPr>
        <w:t xml:space="preserve">the </w:t>
      </w:r>
      <w:r w:rsidRPr="00F52189" w:rsidR="00640326">
        <w:rPr>
          <w:rFonts w:ascii="Century Schoolbook" w:hAnsi="Century Schoolbook"/>
          <w:bCs/>
          <w:sz w:val="26"/>
          <w:szCs w:val="26"/>
        </w:rPr>
        <w:t>rectangular, metal plate</w:t>
      </w:r>
      <w:r w:rsidRPr="00F52189" w:rsidR="0072711A">
        <w:rPr>
          <w:rFonts w:ascii="Century Schoolbook" w:hAnsi="Century Schoolbook"/>
          <w:bCs/>
          <w:sz w:val="26"/>
          <w:szCs w:val="26"/>
        </w:rPr>
        <w:t xml:space="preserve"> cover</w:t>
      </w:r>
      <w:r w:rsidRPr="00F52189" w:rsidR="00640326">
        <w:rPr>
          <w:rFonts w:ascii="Century Schoolbook" w:hAnsi="Century Schoolbook"/>
          <w:bCs/>
          <w:sz w:val="26"/>
          <w:szCs w:val="26"/>
        </w:rPr>
        <w:t xml:space="preserve"> near the center of the sidewalk</w:t>
      </w:r>
      <w:r w:rsidRPr="00F52189" w:rsidR="006C78B8">
        <w:rPr>
          <w:rFonts w:ascii="Century Schoolbook" w:hAnsi="Century Schoolbook"/>
          <w:bCs/>
          <w:sz w:val="26"/>
          <w:szCs w:val="26"/>
        </w:rPr>
        <w:t>.</w:t>
      </w:r>
      <w:r w:rsidRPr="00F52189" w:rsidR="00640326">
        <w:rPr>
          <w:rFonts w:ascii="Century Schoolbook" w:hAnsi="Century Schoolbook"/>
          <w:bCs/>
          <w:sz w:val="26"/>
          <w:szCs w:val="26"/>
        </w:rPr>
        <w:t xml:space="preserve"> </w:t>
      </w:r>
      <w:r w:rsidRPr="00F52189" w:rsidR="006C78B8">
        <w:rPr>
          <w:rFonts w:ascii="Century Schoolbook" w:hAnsi="Century Schoolbook"/>
          <w:bCs/>
          <w:sz w:val="26"/>
          <w:szCs w:val="26"/>
        </w:rPr>
        <w:t xml:space="preserve"> A</w:t>
      </w:r>
      <w:r w:rsidRPr="00F52189" w:rsidR="00640326">
        <w:rPr>
          <w:rFonts w:ascii="Century Schoolbook" w:hAnsi="Century Schoolbook"/>
          <w:bCs/>
          <w:sz w:val="26"/>
          <w:szCs w:val="26"/>
        </w:rPr>
        <w:t xml:space="preserve"> toe on her left foot contacted </w:t>
      </w:r>
      <w:r w:rsidRPr="00F52189" w:rsidR="00896B8E">
        <w:rPr>
          <w:rFonts w:ascii="Century Schoolbook" w:hAnsi="Century Schoolbook"/>
          <w:bCs/>
          <w:sz w:val="26"/>
          <w:szCs w:val="26"/>
        </w:rPr>
        <w:t xml:space="preserve">the </w:t>
      </w:r>
      <w:r w:rsidRPr="00F52189" w:rsidR="00640326">
        <w:rPr>
          <w:rFonts w:ascii="Century Schoolbook" w:hAnsi="Century Schoolbook"/>
          <w:bCs/>
          <w:sz w:val="26"/>
          <w:szCs w:val="26"/>
        </w:rPr>
        <w:t>differential at the left, downhill side of the</w:t>
      </w:r>
      <w:r w:rsidRPr="00F52189" w:rsidR="009F0B40">
        <w:rPr>
          <w:rFonts w:ascii="Century Schoolbook" w:hAnsi="Century Schoolbook"/>
          <w:bCs/>
          <w:sz w:val="26"/>
          <w:szCs w:val="26"/>
        </w:rPr>
        <w:t xml:space="preserve"> metal plate</w:t>
      </w:r>
      <w:r w:rsidRPr="00F52189" w:rsidR="00640326">
        <w:rPr>
          <w:rFonts w:ascii="Century Schoolbook" w:hAnsi="Century Schoolbook"/>
          <w:bCs/>
          <w:sz w:val="26"/>
          <w:szCs w:val="26"/>
        </w:rPr>
        <w:t>, and she fell forward</w:t>
      </w:r>
      <w:r w:rsidRPr="00F52189" w:rsidR="005B21E9">
        <w:rPr>
          <w:rFonts w:ascii="Century Schoolbook" w:hAnsi="Century Schoolbook"/>
          <w:bCs/>
          <w:sz w:val="26"/>
          <w:szCs w:val="26"/>
        </w:rPr>
        <w:t xml:space="preserve"> and landed </w:t>
      </w:r>
      <w:r w:rsidRPr="00F52189" w:rsidR="00640326">
        <w:rPr>
          <w:rFonts w:ascii="Century Schoolbook" w:hAnsi="Century Schoolbook"/>
          <w:bCs/>
          <w:sz w:val="26"/>
          <w:szCs w:val="26"/>
        </w:rPr>
        <w:t xml:space="preserve">on the sidewalk. </w:t>
      </w:r>
      <w:bookmarkEnd w:id="0"/>
    </w:p>
    <w:p w:rsidR="00640326" w:rsidRPr="00F52189" w:rsidP="00757AC9" w14:paraId="34B68C95" w14:textId="716227AE">
      <w:pPr>
        <w:spacing w:line="360" w:lineRule="auto"/>
        <w:ind w:firstLine="720"/>
        <w:rPr>
          <w:rFonts w:ascii="Century Schoolbook" w:hAnsi="Century Schoolbook"/>
          <w:bCs/>
          <w:sz w:val="26"/>
          <w:szCs w:val="26"/>
        </w:rPr>
      </w:pPr>
      <w:r w:rsidRPr="00F52189">
        <w:rPr>
          <w:rFonts w:ascii="Century Schoolbook" w:hAnsi="Century Schoolbook"/>
          <w:bCs/>
          <w:sz w:val="26"/>
          <w:szCs w:val="26"/>
        </w:rPr>
        <w:t>The parties agree</w:t>
      </w:r>
      <w:r w:rsidRPr="00F52189" w:rsidR="009C18F1">
        <w:rPr>
          <w:rFonts w:ascii="Century Schoolbook" w:hAnsi="Century Schoolbook"/>
          <w:bCs/>
          <w:sz w:val="26"/>
          <w:szCs w:val="26"/>
        </w:rPr>
        <w:t xml:space="preserve"> </w:t>
      </w:r>
      <w:r w:rsidRPr="00F52189">
        <w:rPr>
          <w:rFonts w:ascii="Century Schoolbook" w:hAnsi="Century Schoolbook"/>
          <w:bCs/>
          <w:sz w:val="26"/>
          <w:szCs w:val="26"/>
        </w:rPr>
        <w:t xml:space="preserve">the </w:t>
      </w:r>
      <w:r w:rsidRPr="00F52189" w:rsidR="00AE74F6">
        <w:rPr>
          <w:rFonts w:ascii="Century Schoolbook" w:hAnsi="Century Schoolbook"/>
          <w:bCs/>
          <w:sz w:val="26"/>
          <w:szCs w:val="26"/>
        </w:rPr>
        <w:t xml:space="preserve">height differential between the </w:t>
      </w:r>
      <w:r w:rsidRPr="00F52189">
        <w:rPr>
          <w:rFonts w:ascii="Century Schoolbook" w:hAnsi="Century Schoolbook"/>
          <w:bCs/>
          <w:sz w:val="26"/>
          <w:szCs w:val="26"/>
        </w:rPr>
        <w:t xml:space="preserve">sidewalk edge </w:t>
      </w:r>
      <w:r w:rsidRPr="00F52189" w:rsidR="00AE74F6">
        <w:rPr>
          <w:rFonts w:ascii="Century Schoolbook" w:hAnsi="Century Schoolbook"/>
          <w:bCs/>
          <w:sz w:val="26"/>
          <w:szCs w:val="26"/>
        </w:rPr>
        <w:t>and</w:t>
      </w:r>
      <w:r w:rsidRPr="00F52189" w:rsidR="007B7497">
        <w:rPr>
          <w:rFonts w:ascii="Century Schoolbook" w:hAnsi="Century Schoolbook"/>
          <w:bCs/>
          <w:sz w:val="26"/>
          <w:szCs w:val="26"/>
        </w:rPr>
        <w:t xml:space="preserve"> </w:t>
      </w:r>
      <w:r w:rsidRPr="00F52189" w:rsidR="005E02C6">
        <w:rPr>
          <w:rFonts w:ascii="Century Schoolbook" w:hAnsi="Century Schoolbook"/>
          <w:sz w:val="26"/>
          <w:szCs w:val="26"/>
        </w:rPr>
        <w:t xml:space="preserve">metal plate </w:t>
      </w:r>
      <w:r w:rsidRPr="00F52189">
        <w:rPr>
          <w:rFonts w:ascii="Century Schoolbook" w:hAnsi="Century Schoolbook"/>
          <w:bCs/>
          <w:sz w:val="26"/>
          <w:szCs w:val="26"/>
        </w:rPr>
        <w:t>was</w:t>
      </w:r>
      <w:r w:rsidRPr="00F52189" w:rsidR="009F0B40">
        <w:rPr>
          <w:rFonts w:ascii="Century Schoolbook" w:hAnsi="Century Schoolbook"/>
          <w:bCs/>
          <w:sz w:val="26"/>
          <w:szCs w:val="26"/>
        </w:rPr>
        <w:t xml:space="preserve"> less than one inch</w:t>
      </w:r>
      <w:r w:rsidRPr="00F52189" w:rsidR="00CF4F0C">
        <w:rPr>
          <w:rFonts w:ascii="Century Schoolbook" w:hAnsi="Century Schoolbook"/>
          <w:bCs/>
          <w:sz w:val="26"/>
          <w:szCs w:val="26"/>
        </w:rPr>
        <w:t>.</w:t>
      </w:r>
      <w:r w:rsidRPr="00F52189">
        <w:rPr>
          <w:rFonts w:ascii="Century Schoolbook" w:hAnsi="Century Schoolbook"/>
          <w:bCs/>
          <w:sz w:val="26"/>
          <w:szCs w:val="26"/>
        </w:rPr>
        <w:t xml:space="preserve"> </w:t>
      </w:r>
      <w:r w:rsidRPr="00F52189" w:rsidR="009206BD">
        <w:rPr>
          <w:rFonts w:ascii="Century Schoolbook" w:hAnsi="Century Schoolbook"/>
          <w:bCs/>
          <w:sz w:val="26"/>
          <w:szCs w:val="26"/>
        </w:rPr>
        <w:t xml:space="preserve"> </w:t>
      </w:r>
      <w:r w:rsidRPr="00F52189" w:rsidR="009C18F1">
        <w:rPr>
          <w:rFonts w:ascii="Century Schoolbook" w:hAnsi="Century Schoolbook"/>
          <w:bCs/>
          <w:sz w:val="26"/>
          <w:szCs w:val="26"/>
        </w:rPr>
        <w:t xml:space="preserve">The </w:t>
      </w:r>
      <w:r w:rsidRPr="00F52189" w:rsidR="005E02C6">
        <w:rPr>
          <w:rFonts w:ascii="Century Schoolbook" w:hAnsi="Century Schoolbook"/>
          <w:sz w:val="26"/>
          <w:szCs w:val="26"/>
        </w:rPr>
        <w:t xml:space="preserve">metal plate covering the </w:t>
      </w:r>
      <w:r w:rsidRPr="00F52189" w:rsidR="002466F1">
        <w:rPr>
          <w:rFonts w:ascii="Century Schoolbook" w:hAnsi="Century Schoolbook"/>
          <w:bCs/>
          <w:sz w:val="26"/>
          <w:szCs w:val="26"/>
        </w:rPr>
        <w:t xml:space="preserve">utility vault </w:t>
      </w:r>
      <w:r w:rsidRPr="00F52189" w:rsidR="005E02C6">
        <w:rPr>
          <w:rFonts w:ascii="Century Schoolbook" w:hAnsi="Century Schoolbook"/>
          <w:bCs/>
          <w:sz w:val="26"/>
          <w:szCs w:val="26"/>
        </w:rPr>
        <w:t>was</w:t>
      </w:r>
      <w:r w:rsidRPr="00F52189" w:rsidR="002466F1">
        <w:rPr>
          <w:rFonts w:ascii="Century Schoolbook" w:hAnsi="Century Schoolbook"/>
          <w:bCs/>
          <w:sz w:val="26"/>
          <w:szCs w:val="26"/>
        </w:rPr>
        <w:t xml:space="preserve"> made of ordinary, diamond-plated metal</w:t>
      </w:r>
      <w:r w:rsidRPr="00F52189" w:rsidR="005E02C6">
        <w:rPr>
          <w:rFonts w:ascii="Century Schoolbook" w:hAnsi="Century Schoolbook"/>
          <w:bCs/>
          <w:sz w:val="26"/>
          <w:szCs w:val="26"/>
        </w:rPr>
        <w:t xml:space="preserve">.  It </w:t>
      </w:r>
      <w:r w:rsidRPr="00F52189" w:rsidR="009C18F1">
        <w:rPr>
          <w:rFonts w:ascii="Century Schoolbook" w:hAnsi="Century Schoolbook"/>
          <w:bCs/>
          <w:sz w:val="26"/>
          <w:szCs w:val="26"/>
        </w:rPr>
        <w:t>was “neither ‘super smooth’ nor ‘strange</w:t>
      </w:r>
      <w:r w:rsidRPr="00F52189" w:rsidR="00792C8F">
        <w:rPr>
          <w:rFonts w:ascii="Century Schoolbook" w:hAnsi="Century Schoolbook"/>
          <w:bCs/>
          <w:sz w:val="26"/>
          <w:szCs w:val="26"/>
        </w:rPr>
        <w:t>’</w:t>
      </w:r>
      <w:r w:rsidRPr="00F52189" w:rsidR="009C18F1">
        <w:rPr>
          <w:rFonts w:ascii="Century Schoolbook" w:hAnsi="Century Schoolbook"/>
          <w:bCs/>
          <w:sz w:val="26"/>
          <w:szCs w:val="26"/>
        </w:rPr>
        <w:t xml:space="preserve"> in any way,” but it was wet</w:t>
      </w:r>
      <w:r w:rsidRPr="00F52189" w:rsidR="005B21E9">
        <w:rPr>
          <w:rFonts w:ascii="Century Schoolbook" w:hAnsi="Century Schoolbook"/>
          <w:bCs/>
          <w:sz w:val="26"/>
          <w:szCs w:val="26"/>
        </w:rPr>
        <w:t xml:space="preserve"> from the earlier rainfall</w:t>
      </w:r>
      <w:r w:rsidRPr="00F52189" w:rsidR="009C18F1">
        <w:rPr>
          <w:rFonts w:ascii="Century Schoolbook" w:hAnsi="Century Schoolbook"/>
          <w:bCs/>
          <w:sz w:val="26"/>
          <w:szCs w:val="26"/>
        </w:rPr>
        <w:t xml:space="preserve">. </w:t>
      </w:r>
      <w:r w:rsidRPr="00F52189" w:rsidR="009206BD">
        <w:rPr>
          <w:rFonts w:ascii="Century Schoolbook" w:hAnsi="Century Schoolbook"/>
          <w:bCs/>
          <w:sz w:val="26"/>
          <w:szCs w:val="26"/>
        </w:rPr>
        <w:t xml:space="preserve"> </w:t>
      </w:r>
      <w:r w:rsidRPr="00F52189" w:rsidR="006A60BC">
        <w:rPr>
          <w:rFonts w:ascii="Century Schoolbook" w:hAnsi="Century Schoolbook"/>
          <w:bCs/>
          <w:sz w:val="26"/>
          <w:szCs w:val="26"/>
        </w:rPr>
        <w:t>Miller</w:t>
      </w:r>
      <w:r w:rsidRPr="00F52189" w:rsidR="009C18F1">
        <w:rPr>
          <w:rFonts w:ascii="Century Schoolbook" w:hAnsi="Century Schoolbook"/>
          <w:bCs/>
          <w:sz w:val="26"/>
          <w:szCs w:val="26"/>
        </w:rPr>
        <w:t xml:space="preserve"> </w:t>
      </w:r>
      <w:r w:rsidRPr="00F52189" w:rsidR="009F0B40">
        <w:rPr>
          <w:rFonts w:ascii="Century Schoolbook" w:hAnsi="Century Schoolbook"/>
          <w:bCs/>
          <w:sz w:val="26"/>
          <w:szCs w:val="26"/>
        </w:rPr>
        <w:t xml:space="preserve">asserted she </w:t>
      </w:r>
      <w:r w:rsidRPr="00F52189" w:rsidR="00923A83">
        <w:rPr>
          <w:rFonts w:ascii="Century Schoolbook" w:hAnsi="Century Schoolbook"/>
          <w:bCs/>
          <w:sz w:val="26"/>
          <w:szCs w:val="26"/>
        </w:rPr>
        <w:t>did not see the height differential before she tripped</w:t>
      </w:r>
      <w:r w:rsidRPr="00F52189" w:rsidR="009F0B40">
        <w:rPr>
          <w:rFonts w:ascii="Century Schoolbook" w:hAnsi="Century Schoolbook"/>
          <w:bCs/>
          <w:sz w:val="26"/>
          <w:szCs w:val="26"/>
        </w:rPr>
        <w:t xml:space="preserve"> because</w:t>
      </w:r>
      <w:r w:rsidRPr="00F52189" w:rsidR="00757AC9">
        <w:rPr>
          <w:rFonts w:ascii="Century Schoolbook" w:hAnsi="Century Schoolbook"/>
          <w:bCs/>
          <w:sz w:val="26"/>
          <w:szCs w:val="26"/>
        </w:rPr>
        <w:t xml:space="preserve"> she was going downhill and therefore looking </w:t>
      </w:r>
      <w:r w:rsidRPr="00F52189" w:rsidR="00EF5091">
        <w:rPr>
          <w:rFonts w:ascii="Century Schoolbook" w:hAnsi="Century Schoolbook"/>
          <w:bCs/>
          <w:sz w:val="26"/>
          <w:szCs w:val="26"/>
        </w:rPr>
        <w:t xml:space="preserve">some eight to ten feet </w:t>
      </w:r>
      <w:r w:rsidRPr="00F52189" w:rsidR="00757AC9">
        <w:rPr>
          <w:rFonts w:ascii="Century Schoolbook" w:hAnsi="Century Schoolbook"/>
          <w:bCs/>
          <w:sz w:val="26"/>
          <w:szCs w:val="26"/>
        </w:rPr>
        <w:t>ahead</w:t>
      </w:r>
      <w:r w:rsidRPr="00F52189" w:rsidR="005164F2">
        <w:rPr>
          <w:rFonts w:ascii="Century Schoolbook" w:hAnsi="Century Schoolbook"/>
          <w:bCs/>
          <w:sz w:val="26"/>
          <w:szCs w:val="26"/>
        </w:rPr>
        <w:t>.</w:t>
      </w:r>
      <w:r w:rsidRPr="00F52189">
        <w:rPr>
          <w:rFonts w:ascii="Century Schoolbook" w:hAnsi="Century Schoolbook"/>
          <w:bCs/>
          <w:sz w:val="26"/>
          <w:szCs w:val="26"/>
        </w:rPr>
        <w:t xml:space="preserve"> </w:t>
      </w:r>
    </w:p>
    <w:p w:rsidR="00113C56" w:rsidRPr="00F52189" w:rsidP="00D12247" w14:paraId="1FCB92DA" w14:textId="6C98344D">
      <w:pPr>
        <w:spacing w:line="360" w:lineRule="auto"/>
        <w:rPr>
          <w:rFonts w:ascii="Century Schoolbook" w:hAnsi="Century Schoolbook"/>
          <w:b/>
          <w:i/>
          <w:iCs/>
          <w:sz w:val="26"/>
          <w:szCs w:val="26"/>
        </w:rPr>
      </w:pPr>
      <w:r w:rsidRPr="00F52189">
        <w:rPr>
          <w:rFonts w:ascii="Century Schoolbook" w:hAnsi="Century Schoolbook"/>
          <w:b/>
          <w:i/>
          <w:iCs/>
          <w:sz w:val="26"/>
          <w:szCs w:val="26"/>
        </w:rPr>
        <w:t>No History of Tripping Accidents at the Location</w:t>
      </w:r>
    </w:p>
    <w:p w:rsidR="004E4126" w:rsidRPr="00F52189" w:rsidP="00D12247" w14:paraId="4A613E23" w14:textId="4C3C4FE9">
      <w:pPr>
        <w:spacing w:line="360" w:lineRule="auto"/>
        <w:rPr>
          <w:rFonts w:ascii="Century Schoolbook" w:hAnsi="Century Schoolbook"/>
          <w:bCs/>
          <w:sz w:val="26"/>
          <w:szCs w:val="26"/>
        </w:rPr>
      </w:pPr>
      <w:r w:rsidRPr="00F52189">
        <w:rPr>
          <w:rFonts w:ascii="Century Schoolbook" w:hAnsi="Century Schoolbook"/>
          <w:bCs/>
          <w:sz w:val="26"/>
          <w:szCs w:val="26"/>
        </w:rPr>
        <w:tab/>
      </w:r>
      <w:r w:rsidRPr="00F52189" w:rsidR="009F0B40">
        <w:rPr>
          <w:rFonts w:ascii="Century Schoolbook" w:hAnsi="Century Schoolbook"/>
          <w:bCs/>
          <w:sz w:val="26"/>
          <w:szCs w:val="26"/>
        </w:rPr>
        <w:t xml:space="preserve">The City and County of </w:t>
      </w:r>
      <w:r w:rsidRPr="00F52189">
        <w:rPr>
          <w:rFonts w:ascii="Century Schoolbook" w:hAnsi="Century Schoolbook"/>
          <w:bCs/>
          <w:sz w:val="26"/>
          <w:szCs w:val="26"/>
        </w:rPr>
        <w:t>San Francisco</w:t>
      </w:r>
      <w:r w:rsidRPr="00F52189" w:rsidR="004E0D5A">
        <w:rPr>
          <w:rFonts w:ascii="Century Schoolbook" w:hAnsi="Century Schoolbook"/>
          <w:bCs/>
          <w:sz w:val="26"/>
          <w:szCs w:val="26"/>
        </w:rPr>
        <w:t xml:space="preserve"> (the City)</w:t>
      </w:r>
      <w:r w:rsidRPr="00F52189" w:rsidR="00625642">
        <w:rPr>
          <w:rFonts w:ascii="Century Schoolbook" w:hAnsi="Century Schoolbook"/>
          <w:bCs/>
          <w:sz w:val="26"/>
          <w:szCs w:val="26"/>
        </w:rPr>
        <w:t>’s</w:t>
      </w:r>
      <w:r w:rsidRPr="00F52189">
        <w:rPr>
          <w:rFonts w:ascii="Century Schoolbook" w:hAnsi="Century Schoolbook"/>
          <w:bCs/>
          <w:sz w:val="26"/>
          <w:szCs w:val="26"/>
        </w:rPr>
        <w:t xml:space="preserve"> </w:t>
      </w:r>
      <w:r w:rsidRPr="00F52189" w:rsidR="00640326">
        <w:rPr>
          <w:rFonts w:ascii="Century Schoolbook" w:hAnsi="Century Schoolbook"/>
          <w:bCs/>
          <w:sz w:val="26"/>
          <w:szCs w:val="26"/>
        </w:rPr>
        <w:t>311 call system</w:t>
      </w:r>
      <w:r w:rsidRPr="00F52189" w:rsidR="00757A10">
        <w:rPr>
          <w:rFonts w:ascii="Century Schoolbook" w:hAnsi="Century Schoolbook"/>
          <w:bCs/>
          <w:sz w:val="26"/>
          <w:szCs w:val="26"/>
        </w:rPr>
        <w:t xml:space="preserve"> is the central repository for complaints and service requests concerning sidewalks. </w:t>
      </w:r>
      <w:r w:rsidRPr="00F52189" w:rsidR="009206BD">
        <w:rPr>
          <w:rFonts w:ascii="Century Schoolbook" w:hAnsi="Century Schoolbook"/>
          <w:bCs/>
          <w:sz w:val="26"/>
          <w:szCs w:val="26"/>
        </w:rPr>
        <w:t xml:space="preserve"> </w:t>
      </w:r>
      <w:r w:rsidRPr="00F52189" w:rsidR="00757A10">
        <w:rPr>
          <w:rFonts w:ascii="Century Schoolbook" w:hAnsi="Century Schoolbook"/>
          <w:bCs/>
          <w:sz w:val="26"/>
          <w:szCs w:val="26"/>
        </w:rPr>
        <w:t xml:space="preserve">A </w:t>
      </w:r>
      <w:r w:rsidRPr="00F52189" w:rsidR="00625642">
        <w:rPr>
          <w:rFonts w:ascii="Century Schoolbook" w:hAnsi="Century Schoolbook"/>
          <w:bCs/>
          <w:sz w:val="26"/>
          <w:szCs w:val="26"/>
        </w:rPr>
        <w:t>C</w:t>
      </w:r>
      <w:r w:rsidRPr="00F52189" w:rsidR="005B21E9">
        <w:rPr>
          <w:rFonts w:ascii="Century Schoolbook" w:hAnsi="Century Schoolbook"/>
          <w:bCs/>
          <w:sz w:val="26"/>
          <w:szCs w:val="26"/>
        </w:rPr>
        <w:t xml:space="preserve">ity employee </w:t>
      </w:r>
      <w:r w:rsidRPr="00F52189" w:rsidR="0039288A">
        <w:rPr>
          <w:rFonts w:ascii="Century Schoolbook" w:hAnsi="Century Schoolbook"/>
          <w:bCs/>
          <w:sz w:val="26"/>
          <w:szCs w:val="26"/>
        </w:rPr>
        <w:t>found</w:t>
      </w:r>
      <w:r w:rsidRPr="00F52189" w:rsidR="005B21E9">
        <w:rPr>
          <w:rFonts w:ascii="Century Schoolbook" w:hAnsi="Century Schoolbook"/>
          <w:bCs/>
          <w:sz w:val="26"/>
          <w:szCs w:val="26"/>
        </w:rPr>
        <w:t xml:space="preserve"> no </w:t>
      </w:r>
      <w:r w:rsidRPr="00F52189" w:rsidR="00640326">
        <w:rPr>
          <w:rFonts w:ascii="Century Schoolbook" w:hAnsi="Century Schoolbook"/>
          <w:bCs/>
          <w:sz w:val="26"/>
          <w:szCs w:val="26"/>
        </w:rPr>
        <w:t>complaints or service requests concerning the</w:t>
      </w:r>
      <w:r w:rsidRPr="00F52189" w:rsidR="00986765">
        <w:rPr>
          <w:rFonts w:ascii="Century Schoolbook" w:hAnsi="Century Schoolbook"/>
          <w:bCs/>
          <w:sz w:val="26"/>
          <w:szCs w:val="26"/>
        </w:rPr>
        <w:t xml:space="preserve"> incident</w:t>
      </w:r>
      <w:r w:rsidRPr="00F52189" w:rsidR="00640326">
        <w:rPr>
          <w:rFonts w:ascii="Century Schoolbook" w:hAnsi="Century Schoolbook"/>
          <w:bCs/>
          <w:sz w:val="26"/>
          <w:szCs w:val="26"/>
        </w:rPr>
        <w:t xml:space="preserve"> </w:t>
      </w:r>
      <w:r w:rsidRPr="00F52189" w:rsidR="004D18AD">
        <w:rPr>
          <w:rFonts w:ascii="Century Schoolbook" w:hAnsi="Century Schoolbook"/>
          <w:bCs/>
          <w:sz w:val="26"/>
          <w:szCs w:val="26"/>
        </w:rPr>
        <w:t>location</w:t>
      </w:r>
      <w:r w:rsidRPr="00F52189" w:rsidR="00757A10">
        <w:rPr>
          <w:rFonts w:ascii="Century Schoolbook" w:hAnsi="Century Schoolbook"/>
          <w:bCs/>
          <w:sz w:val="26"/>
          <w:szCs w:val="26"/>
        </w:rPr>
        <w:t xml:space="preserve"> </w:t>
      </w:r>
      <w:r w:rsidRPr="00F52189" w:rsidR="006C78B8">
        <w:rPr>
          <w:rFonts w:ascii="Century Schoolbook" w:hAnsi="Century Schoolbook"/>
          <w:bCs/>
          <w:sz w:val="26"/>
          <w:szCs w:val="26"/>
        </w:rPr>
        <w:t>between</w:t>
      </w:r>
      <w:r w:rsidRPr="00F52189" w:rsidR="00757A10">
        <w:rPr>
          <w:rFonts w:ascii="Century Schoolbook" w:hAnsi="Century Schoolbook"/>
          <w:bCs/>
          <w:sz w:val="26"/>
          <w:szCs w:val="26"/>
        </w:rPr>
        <w:t xml:space="preserve"> J</w:t>
      </w:r>
      <w:r w:rsidRPr="00F52189" w:rsidR="00640326">
        <w:rPr>
          <w:rFonts w:ascii="Century Schoolbook" w:hAnsi="Century Schoolbook"/>
          <w:bCs/>
          <w:sz w:val="26"/>
          <w:szCs w:val="26"/>
        </w:rPr>
        <w:t>anuary</w:t>
      </w:r>
      <w:r w:rsidRPr="00F52189" w:rsidR="00F156D8">
        <w:rPr>
          <w:rFonts w:ascii="Century Schoolbook" w:hAnsi="Century Schoolbook"/>
          <w:bCs/>
          <w:sz w:val="26"/>
          <w:szCs w:val="26"/>
        </w:rPr>
        <w:t> </w:t>
      </w:r>
      <w:r w:rsidRPr="00F52189" w:rsidR="00640326">
        <w:rPr>
          <w:rFonts w:ascii="Century Schoolbook" w:hAnsi="Century Schoolbook"/>
          <w:bCs/>
          <w:sz w:val="26"/>
          <w:szCs w:val="26"/>
        </w:rPr>
        <w:t>1,</w:t>
      </w:r>
      <w:r w:rsidRPr="00F52189" w:rsidR="00F156D8">
        <w:rPr>
          <w:rFonts w:ascii="Century Schoolbook" w:hAnsi="Century Schoolbook"/>
          <w:bCs/>
          <w:sz w:val="26"/>
          <w:szCs w:val="26"/>
        </w:rPr>
        <w:t> </w:t>
      </w:r>
      <w:r w:rsidRPr="00F52189" w:rsidR="00640326">
        <w:rPr>
          <w:rFonts w:ascii="Century Schoolbook" w:hAnsi="Century Schoolbook"/>
          <w:bCs/>
          <w:sz w:val="26"/>
          <w:szCs w:val="26"/>
        </w:rPr>
        <w:t>2010</w:t>
      </w:r>
      <w:r w:rsidRPr="00F52189" w:rsidR="00757A10">
        <w:rPr>
          <w:rFonts w:ascii="Century Schoolbook" w:hAnsi="Century Schoolbook"/>
          <w:bCs/>
          <w:sz w:val="26"/>
          <w:szCs w:val="26"/>
        </w:rPr>
        <w:t xml:space="preserve"> and </w:t>
      </w:r>
      <w:r w:rsidRPr="00F52189" w:rsidR="00EE0448">
        <w:rPr>
          <w:rFonts w:ascii="Century Schoolbook" w:hAnsi="Century Schoolbook"/>
          <w:bCs/>
          <w:sz w:val="26"/>
          <w:szCs w:val="26"/>
        </w:rPr>
        <w:t>February</w:t>
      </w:r>
      <w:r w:rsidRPr="00F52189" w:rsidR="00F156D8">
        <w:rPr>
          <w:rFonts w:ascii="Century Schoolbook" w:hAnsi="Century Schoolbook"/>
          <w:bCs/>
          <w:sz w:val="26"/>
          <w:szCs w:val="26"/>
        </w:rPr>
        <w:t> </w:t>
      </w:r>
      <w:r w:rsidRPr="00F52189" w:rsidR="00EE0448">
        <w:rPr>
          <w:rFonts w:ascii="Century Schoolbook" w:hAnsi="Century Schoolbook"/>
          <w:bCs/>
          <w:sz w:val="26"/>
          <w:szCs w:val="26"/>
        </w:rPr>
        <w:t>16,</w:t>
      </w:r>
      <w:r w:rsidRPr="00F52189" w:rsidR="00F156D8">
        <w:rPr>
          <w:rFonts w:ascii="Century Schoolbook" w:hAnsi="Century Schoolbook"/>
          <w:bCs/>
          <w:sz w:val="26"/>
          <w:szCs w:val="26"/>
        </w:rPr>
        <w:t> </w:t>
      </w:r>
      <w:r w:rsidRPr="00F52189" w:rsidR="00EE0448">
        <w:rPr>
          <w:rFonts w:ascii="Century Schoolbook" w:hAnsi="Century Schoolbook"/>
          <w:bCs/>
          <w:sz w:val="26"/>
          <w:szCs w:val="26"/>
        </w:rPr>
        <w:t>2019</w:t>
      </w:r>
      <w:r w:rsidRPr="00F52189" w:rsidR="00757A10">
        <w:rPr>
          <w:rFonts w:ascii="Century Schoolbook" w:hAnsi="Century Schoolbook"/>
          <w:bCs/>
          <w:sz w:val="26"/>
          <w:szCs w:val="26"/>
        </w:rPr>
        <w:t xml:space="preserve"> (date of incident</w:t>
      </w:r>
      <w:r w:rsidRPr="00F52189" w:rsidR="005B21E9">
        <w:rPr>
          <w:rFonts w:ascii="Century Schoolbook" w:hAnsi="Century Schoolbook"/>
          <w:bCs/>
          <w:sz w:val="26"/>
          <w:szCs w:val="26"/>
        </w:rPr>
        <w:t>)</w:t>
      </w:r>
      <w:r w:rsidRPr="00F52189" w:rsidR="00EE0448">
        <w:rPr>
          <w:rFonts w:ascii="Century Schoolbook" w:hAnsi="Century Schoolbook"/>
          <w:bCs/>
          <w:sz w:val="26"/>
          <w:szCs w:val="26"/>
        </w:rPr>
        <w:t xml:space="preserve">. </w:t>
      </w:r>
      <w:r w:rsidRPr="00F52189" w:rsidR="00780462">
        <w:rPr>
          <w:rFonts w:ascii="Century Schoolbook" w:hAnsi="Century Schoolbook"/>
          <w:bCs/>
          <w:sz w:val="26"/>
          <w:szCs w:val="26"/>
        </w:rPr>
        <w:t xml:space="preserve"> </w:t>
      </w:r>
      <w:r w:rsidRPr="00F52189" w:rsidR="00EE0448">
        <w:rPr>
          <w:rFonts w:ascii="Century Schoolbook" w:hAnsi="Century Schoolbook"/>
          <w:bCs/>
          <w:sz w:val="26"/>
          <w:szCs w:val="26"/>
        </w:rPr>
        <w:t>Hip Sen was</w:t>
      </w:r>
      <w:r w:rsidRPr="00F52189" w:rsidR="00757A10">
        <w:rPr>
          <w:rFonts w:ascii="Century Schoolbook" w:hAnsi="Century Schoolbook"/>
          <w:bCs/>
          <w:sz w:val="26"/>
          <w:szCs w:val="26"/>
        </w:rPr>
        <w:t xml:space="preserve"> also</w:t>
      </w:r>
      <w:r w:rsidRPr="00F52189" w:rsidR="00EE0448">
        <w:rPr>
          <w:rFonts w:ascii="Century Schoolbook" w:hAnsi="Century Schoolbook"/>
          <w:bCs/>
          <w:sz w:val="26"/>
          <w:szCs w:val="26"/>
        </w:rPr>
        <w:t xml:space="preserve"> not aware of any prior tripping incidents having occurred on the sidewalk</w:t>
      </w:r>
      <w:r w:rsidRPr="00F52189">
        <w:rPr>
          <w:rFonts w:ascii="Century Schoolbook" w:hAnsi="Century Schoolbook"/>
          <w:bCs/>
          <w:sz w:val="26"/>
          <w:szCs w:val="26"/>
        </w:rPr>
        <w:t xml:space="preserve"> </w:t>
      </w:r>
      <w:r w:rsidRPr="00F52189" w:rsidR="005B21E9">
        <w:rPr>
          <w:rFonts w:ascii="Century Schoolbook" w:hAnsi="Century Schoolbook"/>
          <w:bCs/>
          <w:sz w:val="26"/>
          <w:szCs w:val="26"/>
        </w:rPr>
        <w:t xml:space="preserve">adjacent to its </w:t>
      </w:r>
      <w:r w:rsidRPr="00F52189" w:rsidR="007B7497">
        <w:rPr>
          <w:rFonts w:ascii="Century Schoolbook" w:hAnsi="Century Schoolbook"/>
          <w:bCs/>
          <w:sz w:val="26"/>
          <w:szCs w:val="26"/>
        </w:rPr>
        <w:t xml:space="preserve">property </w:t>
      </w:r>
      <w:r w:rsidRPr="00F52189">
        <w:rPr>
          <w:rFonts w:ascii="Century Schoolbook" w:hAnsi="Century Schoolbook"/>
          <w:bCs/>
          <w:sz w:val="26"/>
          <w:szCs w:val="26"/>
        </w:rPr>
        <w:t>at any time</w:t>
      </w:r>
      <w:r w:rsidRPr="00F52189" w:rsidR="00EE0448">
        <w:rPr>
          <w:rFonts w:ascii="Century Schoolbook" w:hAnsi="Century Schoolbook"/>
          <w:bCs/>
          <w:sz w:val="26"/>
          <w:szCs w:val="26"/>
        </w:rPr>
        <w:t xml:space="preserve">. </w:t>
      </w:r>
    </w:p>
    <w:p w:rsidR="00113C56" w:rsidRPr="00F52189" w:rsidP="00F75014" w14:paraId="25047D80" w14:textId="3CC4FAB3">
      <w:pPr>
        <w:keepNext/>
        <w:spacing w:line="360" w:lineRule="auto"/>
        <w:rPr>
          <w:rFonts w:ascii="Century Schoolbook" w:hAnsi="Century Schoolbook"/>
          <w:b/>
          <w:i/>
          <w:iCs/>
          <w:sz w:val="26"/>
          <w:szCs w:val="26"/>
        </w:rPr>
      </w:pPr>
      <w:r w:rsidRPr="00F52189">
        <w:rPr>
          <w:rFonts w:ascii="Century Schoolbook" w:hAnsi="Century Schoolbook"/>
          <w:b/>
          <w:i/>
          <w:iCs/>
          <w:sz w:val="26"/>
          <w:szCs w:val="26"/>
        </w:rPr>
        <w:t>City Repair Guidelines</w:t>
      </w:r>
    </w:p>
    <w:p w:rsidR="00113C56" w:rsidRPr="00F52189" w:rsidP="00113C56" w14:paraId="0A657B2A" w14:textId="2C779440">
      <w:pPr>
        <w:spacing w:line="360" w:lineRule="auto"/>
        <w:rPr>
          <w:rFonts w:ascii="Century Schoolbook" w:hAnsi="Century Schoolbook"/>
          <w:bCs/>
          <w:sz w:val="26"/>
          <w:szCs w:val="26"/>
        </w:rPr>
      </w:pPr>
      <w:r w:rsidRPr="00F52189">
        <w:rPr>
          <w:rFonts w:ascii="Century Schoolbook" w:hAnsi="Century Schoolbook"/>
          <w:bCs/>
          <w:sz w:val="26"/>
          <w:szCs w:val="26"/>
        </w:rPr>
        <w:tab/>
      </w:r>
      <w:r w:rsidRPr="00F52189" w:rsidR="00AE74F6">
        <w:rPr>
          <w:rFonts w:ascii="Century Schoolbook" w:hAnsi="Century Schoolbook"/>
          <w:bCs/>
          <w:sz w:val="26"/>
          <w:szCs w:val="26"/>
        </w:rPr>
        <w:t>T</w:t>
      </w:r>
      <w:r w:rsidRPr="00F52189" w:rsidR="005164F2">
        <w:rPr>
          <w:rFonts w:ascii="Century Schoolbook" w:hAnsi="Century Schoolbook"/>
          <w:bCs/>
          <w:sz w:val="26"/>
          <w:szCs w:val="26"/>
        </w:rPr>
        <w:t>h</w:t>
      </w:r>
      <w:r w:rsidRPr="00F52189" w:rsidR="00923A83">
        <w:rPr>
          <w:rFonts w:ascii="Century Schoolbook" w:hAnsi="Century Schoolbook"/>
          <w:bCs/>
          <w:sz w:val="26"/>
          <w:szCs w:val="26"/>
        </w:rPr>
        <w:t>e</w:t>
      </w:r>
      <w:r w:rsidRPr="00F52189" w:rsidR="00A211E8">
        <w:rPr>
          <w:rFonts w:ascii="Century Schoolbook" w:hAnsi="Century Schoolbook"/>
          <w:bCs/>
          <w:sz w:val="26"/>
          <w:szCs w:val="26"/>
        </w:rPr>
        <w:t xml:space="preserve"> </w:t>
      </w:r>
      <w:r w:rsidRPr="00F52189" w:rsidR="00625642">
        <w:rPr>
          <w:rFonts w:ascii="Century Schoolbook" w:hAnsi="Century Schoolbook"/>
          <w:bCs/>
          <w:sz w:val="26"/>
          <w:szCs w:val="26"/>
        </w:rPr>
        <w:t>C</w:t>
      </w:r>
      <w:r w:rsidRPr="00F52189" w:rsidR="004E0D5A">
        <w:rPr>
          <w:rFonts w:ascii="Century Schoolbook" w:hAnsi="Century Schoolbook"/>
          <w:bCs/>
          <w:sz w:val="26"/>
          <w:szCs w:val="26"/>
        </w:rPr>
        <w:t xml:space="preserve">ity’s </w:t>
      </w:r>
      <w:r w:rsidRPr="00F52189" w:rsidR="00923A83">
        <w:rPr>
          <w:rFonts w:ascii="Century Schoolbook" w:hAnsi="Century Schoolbook"/>
          <w:bCs/>
          <w:sz w:val="26"/>
          <w:szCs w:val="26"/>
        </w:rPr>
        <w:t xml:space="preserve">Department of Public Works </w:t>
      </w:r>
      <w:r w:rsidRPr="00F52189">
        <w:rPr>
          <w:rFonts w:ascii="Century Schoolbook" w:hAnsi="Century Schoolbook"/>
          <w:bCs/>
          <w:sz w:val="26"/>
          <w:szCs w:val="26"/>
        </w:rPr>
        <w:t>has guidelines concerning the repair of sidewalk defects to improve accessibility within the area of a sidewalk most traveled by pedestrians</w:t>
      </w:r>
      <w:r w:rsidRPr="00F52189" w:rsidR="00A90586">
        <w:rPr>
          <w:rFonts w:ascii="Century Schoolbook" w:hAnsi="Century Schoolbook"/>
          <w:bCs/>
          <w:sz w:val="26"/>
          <w:szCs w:val="26"/>
        </w:rPr>
        <w:t>:</w:t>
      </w:r>
      <w:r w:rsidRPr="00F52189">
        <w:rPr>
          <w:rFonts w:ascii="Century Schoolbook" w:hAnsi="Century Schoolbook"/>
          <w:bCs/>
          <w:sz w:val="26"/>
          <w:szCs w:val="26"/>
        </w:rPr>
        <w:t xml:space="preserve"> </w:t>
      </w:r>
      <w:r w:rsidRPr="00F52189" w:rsidR="00807502">
        <w:rPr>
          <w:rFonts w:ascii="Century Schoolbook" w:hAnsi="Century Schoolbook"/>
          <w:bCs/>
          <w:sz w:val="26"/>
          <w:szCs w:val="26"/>
        </w:rPr>
        <w:t>G</w:t>
      </w:r>
      <w:r w:rsidRPr="00F52189" w:rsidR="004E51B6">
        <w:rPr>
          <w:rFonts w:ascii="Century Schoolbook" w:hAnsi="Century Schoolbook"/>
          <w:bCs/>
          <w:sz w:val="26"/>
          <w:szCs w:val="26"/>
        </w:rPr>
        <w:t>ood Neighbor Guidelines</w:t>
      </w:r>
      <w:r w:rsidRPr="00F52189">
        <w:rPr>
          <w:rFonts w:ascii="Century Schoolbook" w:hAnsi="Century Schoolbook"/>
          <w:bCs/>
          <w:sz w:val="26"/>
          <w:szCs w:val="26"/>
        </w:rPr>
        <w:t xml:space="preserve"> (Order No. 177,526</w:t>
      </w:r>
      <w:r w:rsidRPr="00F52189" w:rsidR="00807502">
        <w:rPr>
          <w:rFonts w:ascii="Century Schoolbook" w:hAnsi="Century Schoolbook"/>
          <w:bCs/>
          <w:sz w:val="26"/>
          <w:szCs w:val="26"/>
        </w:rPr>
        <w:t xml:space="preserve">) </w:t>
      </w:r>
      <w:r w:rsidRPr="00F52189" w:rsidR="00E70F2C">
        <w:rPr>
          <w:rFonts w:ascii="Century Schoolbook" w:hAnsi="Century Schoolbook"/>
          <w:bCs/>
          <w:sz w:val="26"/>
          <w:szCs w:val="26"/>
        </w:rPr>
        <w:t>and Guidelines for Inspection of Sidewalk Defects</w:t>
      </w:r>
      <w:r w:rsidRPr="00F52189">
        <w:rPr>
          <w:rFonts w:ascii="Century Schoolbook" w:hAnsi="Century Schoolbook"/>
          <w:bCs/>
          <w:sz w:val="26"/>
          <w:szCs w:val="26"/>
        </w:rPr>
        <w:t xml:space="preserve"> (Order No. 178,884</w:t>
      </w:r>
      <w:r w:rsidRPr="00F52189" w:rsidR="00E70F2C">
        <w:rPr>
          <w:rFonts w:ascii="Century Schoolbook" w:hAnsi="Century Schoolbook"/>
          <w:bCs/>
          <w:sz w:val="26"/>
          <w:szCs w:val="26"/>
        </w:rPr>
        <w:t xml:space="preserve">). </w:t>
      </w:r>
      <w:r w:rsidRPr="00F52189" w:rsidR="00780462">
        <w:rPr>
          <w:rFonts w:ascii="Century Schoolbook" w:hAnsi="Century Schoolbook"/>
          <w:bCs/>
          <w:sz w:val="26"/>
          <w:szCs w:val="26"/>
        </w:rPr>
        <w:t xml:space="preserve"> </w:t>
      </w:r>
      <w:r w:rsidRPr="00F52189">
        <w:rPr>
          <w:rFonts w:ascii="Century Schoolbook" w:hAnsi="Century Schoolbook"/>
          <w:bCs/>
          <w:sz w:val="26"/>
          <w:szCs w:val="26"/>
        </w:rPr>
        <w:t>Priority</w:t>
      </w:r>
      <w:r w:rsidRPr="00F52189" w:rsidR="00E70F2C">
        <w:rPr>
          <w:rFonts w:ascii="Century Schoolbook" w:hAnsi="Century Schoolbook"/>
          <w:bCs/>
          <w:sz w:val="26"/>
          <w:szCs w:val="26"/>
        </w:rPr>
        <w:t xml:space="preserve"> repair</w:t>
      </w:r>
      <w:r w:rsidRPr="00F52189" w:rsidR="00B231E5">
        <w:rPr>
          <w:rFonts w:ascii="Century Schoolbook" w:hAnsi="Century Schoolbook"/>
          <w:bCs/>
          <w:sz w:val="26"/>
          <w:szCs w:val="26"/>
        </w:rPr>
        <w:t>s includ</w:t>
      </w:r>
      <w:r w:rsidRPr="00F52189" w:rsidR="005B21E9">
        <w:rPr>
          <w:rFonts w:ascii="Century Schoolbook" w:hAnsi="Century Schoolbook"/>
          <w:bCs/>
          <w:sz w:val="26"/>
          <w:szCs w:val="26"/>
        </w:rPr>
        <w:t xml:space="preserve">e </w:t>
      </w:r>
      <w:r w:rsidRPr="00F52189" w:rsidR="00B231E5">
        <w:rPr>
          <w:rFonts w:ascii="Century Schoolbook" w:hAnsi="Century Schoolbook"/>
          <w:bCs/>
          <w:sz w:val="26"/>
          <w:szCs w:val="26"/>
        </w:rPr>
        <w:t xml:space="preserve">sidewalk defects of </w:t>
      </w:r>
      <w:r w:rsidRPr="00F52189" w:rsidR="00356F14">
        <w:rPr>
          <w:rFonts w:ascii="Century Schoolbook" w:hAnsi="Century Schoolbook"/>
          <w:bCs/>
          <w:sz w:val="26"/>
          <w:szCs w:val="26"/>
        </w:rPr>
        <w:t>v</w:t>
      </w:r>
      <w:r w:rsidRPr="00F52189" w:rsidR="00807502">
        <w:rPr>
          <w:rFonts w:ascii="Century Schoolbook" w:hAnsi="Century Schoolbook"/>
          <w:bCs/>
          <w:sz w:val="26"/>
          <w:szCs w:val="26"/>
        </w:rPr>
        <w:t>ertical displacement</w:t>
      </w:r>
      <w:r w:rsidRPr="00F52189" w:rsidR="00356F14">
        <w:rPr>
          <w:rFonts w:ascii="Century Schoolbook" w:hAnsi="Century Schoolbook"/>
          <w:bCs/>
          <w:sz w:val="26"/>
          <w:szCs w:val="26"/>
        </w:rPr>
        <w:t>, meaning</w:t>
      </w:r>
      <w:r w:rsidRPr="00F52189" w:rsidR="00807502">
        <w:rPr>
          <w:rFonts w:ascii="Century Schoolbook" w:hAnsi="Century Schoolbook"/>
          <w:bCs/>
          <w:sz w:val="26"/>
          <w:szCs w:val="26"/>
        </w:rPr>
        <w:t xml:space="preserve"> </w:t>
      </w:r>
      <w:r w:rsidRPr="00F52189" w:rsidR="004E51B6">
        <w:rPr>
          <w:rFonts w:ascii="Century Schoolbook" w:hAnsi="Century Schoolbook"/>
          <w:bCs/>
          <w:sz w:val="26"/>
          <w:szCs w:val="26"/>
        </w:rPr>
        <w:t xml:space="preserve">the sidewalk pavement or curb is displaced by </w:t>
      </w:r>
      <w:r w:rsidRPr="00F52189" w:rsidR="00356F14">
        <w:rPr>
          <w:rFonts w:ascii="Century Schoolbook" w:hAnsi="Century Schoolbook"/>
          <w:bCs/>
          <w:sz w:val="26"/>
          <w:szCs w:val="26"/>
        </w:rPr>
        <w:t>a half</w:t>
      </w:r>
      <w:r w:rsidRPr="00F52189" w:rsidR="0072711A">
        <w:rPr>
          <w:rFonts w:ascii="Century Schoolbook" w:hAnsi="Century Schoolbook"/>
          <w:bCs/>
          <w:sz w:val="26"/>
          <w:szCs w:val="26"/>
        </w:rPr>
        <w:t xml:space="preserve">-inch </w:t>
      </w:r>
      <w:r w:rsidRPr="00F52189" w:rsidR="004E51B6">
        <w:rPr>
          <w:rFonts w:ascii="Century Schoolbook" w:hAnsi="Century Schoolbook"/>
          <w:bCs/>
          <w:sz w:val="26"/>
          <w:szCs w:val="26"/>
        </w:rPr>
        <w:t>or more from the abutting pavement or curb</w:t>
      </w:r>
      <w:r w:rsidRPr="00F52189" w:rsidR="00807502">
        <w:rPr>
          <w:rFonts w:ascii="Century Schoolbook" w:hAnsi="Century Schoolbook"/>
          <w:bCs/>
          <w:sz w:val="26"/>
          <w:szCs w:val="26"/>
        </w:rPr>
        <w:t>.</w:t>
      </w:r>
      <w:r w:rsidRPr="00F52189" w:rsidR="004E51B6">
        <w:rPr>
          <w:rFonts w:ascii="Century Schoolbook" w:hAnsi="Century Schoolbook"/>
          <w:bCs/>
          <w:sz w:val="26"/>
          <w:szCs w:val="26"/>
        </w:rPr>
        <w:t xml:space="preserve"> </w:t>
      </w:r>
    </w:p>
    <w:p w:rsidR="004E4126" w:rsidRPr="00F52189" w:rsidP="00113C56" w14:paraId="152AAAD4" w14:textId="027F1938">
      <w:pPr>
        <w:spacing w:line="360" w:lineRule="auto"/>
        <w:ind w:firstLine="720"/>
        <w:rPr>
          <w:rFonts w:ascii="Century Schoolbook" w:hAnsi="Century Schoolbook"/>
          <w:bCs/>
          <w:sz w:val="26"/>
          <w:szCs w:val="26"/>
        </w:rPr>
      </w:pPr>
      <w:r w:rsidRPr="00F52189">
        <w:rPr>
          <w:rFonts w:ascii="Century Schoolbook" w:hAnsi="Century Schoolbook"/>
          <w:bCs/>
          <w:sz w:val="26"/>
          <w:szCs w:val="26"/>
        </w:rPr>
        <w:t xml:space="preserve">After </w:t>
      </w:r>
      <w:r w:rsidRPr="00F52189" w:rsidR="00066343">
        <w:rPr>
          <w:rFonts w:ascii="Century Schoolbook" w:hAnsi="Century Schoolbook"/>
          <w:bCs/>
          <w:sz w:val="26"/>
          <w:szCs w:val="26"/>
        </w:rPr>
        <w:t xml:space="preserve">Miller’s fall, </w:t>
      </w:r>
      <w:r w:rsidRPr="00F52189" w:rsidR="00D4392D">
        <w:rPr>
          <w:rFonts w:ascii="Century Schoolbook" w:hAnsi="Century Schoolbook"/>
          <w:bCs/>
          <w:sz w:val="26"/>
          <w:szCs w:val="26"/>
        </w:rPr>
        <w:t xml:space="preserve">a </w:t>
      </w:r>
      <w:r w:rsidRPr="00F52189" w:rsidR="00625642">
        <w:rPr>
          <w:rFonts w:ascii="Century Schoolbook" w:hAnsi="Century Schoolbook"/>
          <w:bCs/>
          <w:sz w:val="26"/>
          <w:szCs w:val="26"/>
        </w:rPr>
        <w:t>C</w:t>
      </w:r>
      <w:r w:rsidRPr="00F52189" w:rsidR="00D4392D">
        <w:rPr>
          <w:rFonts w:ascii="Century Schoolbook" w:hAnsi="Century Schoolbook"/>
          <w:bCs/>
          <w:sz w:val="26"/>
          <w:szCs w:val="26"/>
        </w:rPr>
        <w:t xml:space="preserve">ity inspector evaluated the </w:t>
      </w:r>
      <w:r w:rsidRPr="00F52189" w:rsidR="007B7497">
        <w:rPr>
          <w:rFonts w:ascii="Century Schoolbook" w:hAnsi="Century Schoolbook"/>
          <w:bCs/>
          <w:sz w:val="26"/>
          <w:szCs w:val="26"/>
        </w:rPr>
        <w:t xml:space="preserve">incident </w:t>
      </w:r>
      <w:r w:rsidRPr="00F52189" w:rsidR="00066343">
        <w:rPr>
          <w:rFonts w:ascii="Century Schoolbook" w:hAnsi="Century Schoolbook"/>
          <w:bCs/>
          <w:sz w:val="26"/>
          <w:szCs w:val="26"/>
        </w:rPr>
        <w:t>location</w:t>
      </w:r>
      <w:r w:rsidRPr="00F52189" w:rsidR="007B7497">
        <w:rPr>
          <w:rFonts w:ascii="Century Schoolbook" w:hAnsi="Century Schoolbook"/>
          <w:bCs/>
          <w:sz w:val="26"/>
          <w:szCs w:val="26"/>
        </w:rPr>
        <w:t xml:space="preserve"> in July</w:t>
      </w:r>
      <w:r w:rsidRPr="00F52189" w:rsidR="0072711A">
        <w:rPr>
          <w:rFonts w:ascii="Century Schoolbook" w:hAnsi="Century Schoolbook"/>
          <w:bCs/>
          <w:sz w:val="26"/>
          <w:szCs w:val="26"/>
        </w:rPr>
        <w:t> </w:t>
      </w:r>
      <w:r w:rsidRPr="00F52189" w:rsidR="007B7497">
        <w:rPr>
          <w:rFonts w:ascii="Century Schoolbook" w:hAnsi="Century Schoolbook"/>
          <w:bCs/>
          <w:sz w:val="26"/>
          <w:szCs w:val="26"/>
        </w:rPr>
        <w:t>2019</w:t>
      </w:r>
      <w:r w:rsidRPr="00F52189" w:rsidR="00066343">
        <w:rPr>
          <w:rFonts w:ascii="Century Schoolbook" w:hAnsi="Century Schoolbook"/>
          <w:bCs/>
          <w:sz w:val="26"/>
          <w:szCs w:val="26"/>
        </w:rPr>
        <w:t xml:space="preserve"> </w:t>
      </w:r>
      <w:r w:rsidRPr="00F52189" w:rsidR="007B7497">
        <w:rPr>
          <w:rFonts w:ascii="Century Schoolbook" w:hAnsi="Century Schoolbook"/>
          <w:bCs/>
          <w:sz w:val="26"/>
          <w:szCs w:val="26"/>
        </w:rPr>
        <w:t xml:space="preserve">and </w:t>
      </w:r>
      <w:r w:rsidRPr="00F52189" w:rsidR="00066343">
        <w:rPr>
          <w:rFonts w:ascii="Century Schoolbook" w:hAnsi="Century Schoolbook"/>
          <w:bCs/>
          <w:sz w:val="26"/>
          <w:szCs w:val="26"/>
        </w:rPr>
        <w:t xml:space="preserve">issued notices requiring PG&amp;E and Hip Sen to repair </w:t>
      </w:r>
      <w:r w:rsidRPr="00F52189" w:rsidR="00F156D8">
        <w:rPr>
          <w:rFonts w:ascii="Century Schoolbook" w:hAnsi="Century Schoolbook"/>
          <w:bCs/>
          <w:sz w:val="26"/>
          <w:szCs w:val="26"/>
        </w:rPr>
        <w:t xml:space="preserve">the </w:t>
      </w:r>
      <w:r w:rsidRPr="00F52189" w:rsidR="0072711A">
        <w:rPr>
          <w:rFonts w:ascii="Century Schoolbook" w:hAnsi="Century Schoolbook"/>
          <w:bCs/>
          <w:sz w:val="26"/>
          <w:szCs w:val="26"/>
        </w:rPr>
        <w:t xml:space="preserve">vertical </w:t>
      </w:r>
      <w:r w:rsidRPr="00F52189" w:rsidR="00986765">
        <w:rPr>
          <w:rFonts w:ascii="Century Schoolbook" w:hAnsi="Century Schoolbook"/>
          <w:bCs/>
          <w:sz w:val="26"/>
          <w:szCs w:val="26"/>
        </w:rPr>
        <w:t xml:space="preserve">misalignment of the sidewalk and metal </w:t>
      </w:r>
      <w:r w:rsidRPr="00F52189" w:rsidR="00F156D8">
        <w:rPr>
          <w:rFonts w:ascii="Century Schoolbook" w:hAnsi="Century Schoolbook"/>
          <w:bCs/>
          <w:sz w:val="26"/>
          <w:szCs w:val="26"/>
        </w:rPr>
        <w:t xml:space="preserve">plate </w:t>
      </w:r>
      <w:r w:rsidRPr="00F52189" w:rsidR="00986765">
        <w:rPr>
          <w:rFonts w:ascii="Century Schoolbook" w:hAnsi="Century Schoolbook"/>
          <w:bCs/>
          <w:sz w:val="26"/>
          <w:szCs w:val="26"/>
        </w:rPr>
        <w:t>cover</w:t>
      </w:r>
      <w:r w:rsidRPr="00F52189" w:rsidR="007407CF">
        <w:rPr>
          <w:rFonts w:ascii="Century Schoolbook" w:hAnsi="Century Schoolbook"/>
          <w:bCs/>
          <w:sz w:val="26"/>
          <w:szCs w:val="26"/>
        </w:rPr>
        <w:t xml:space="preserve">. </w:t>
      </w:r>
      <w:r w:rsidRPr="00F52189" w:rsidR="00780462">
        <w:rPr>
          <w:rFonts w:ascii="Century Schoolbook" w:hAnsi="Century Schoolbook"/>
          <w:bCs/>
          <w:sz w:val="26"/>
          <w:szCs w:val="26"/>
        </w:rPr>
        <w:t xml:space="preserve"> </w:t>
      </w:r>
      <w:r w:rsidRPr="00F52189" w:rsidR="00113C56">
        <w:rPr>
          <w:rFonts w:ascii="Century Schoolbook" w:hAnsi="Century Schoolbook"/>
          <w:bCs/>
          <w:sz w:val="26"/>
          <w:szCs w:val="26"/>
        </w:rPr>
        <w:t>The repairs were completed</w:t>
      </w:r>
      <w:r w:rsidRPr="00F52189" w:rsidR="00D4392D">
        <w:rPr>
          <w:rFonts w:ascii="Century Schoolbook" w:hAnsi="Century Schoolbook"/>
          <w:bCs/>
          <w:sz w:val="26"/>
          <w:szCs w:val="26"/>
        </w:rPr>
        <w:t xml:space="preserve">. </w:t>
      </w:r>
    </w:p>
    <w:p w:rsidR="00D12247" w:rsidRPr="00F52189" w:rsidP="00D12247" w14:paraId="04BEAD3B" w14:textId="187E1A71">
      <w:pPr>
        <w:spacing w:line="360" w:lineRule="auto"/>
        <w:rPr>
          <w:rFonts w:ascii="Century Schoolbook" w:hAnsi="Century Schoolbook"/>
          <w:b/>
          <w:sz w:val="26"/>
          <w:szCs w:val="26"/>
        </w:rPr>
      </w:pPr>
      <w:r w:rsidRPr="00F52189">
        <w:rPr>
          <w:rFonts w:ascii="Century Schoolbook" w:hAnsi="Century Schoolbook"/>
          <w:b/>
          <w:i/>
          <w:iCs/>
          <w:sz w:val="26"/>
          <w:szCs w:val="26"/>
        </w:rPr>
        <w:t>Motion</w:t>
      </w:r>
      <w:r w:rsidRPr="00F52189" w:rsidR="00632080">
        <w:rPr>
          <w:rFonts w:ascii="Century Schoolbook" w:hAnsi="Century Schoolbook"/>
          <w:b/>
          <w:i/>
          <w:iCs/>
          <w:sz w:val="26"/>
          <w:szCs w:val="26"/>
        </w:rPr>
        <w:t>s</w:t>
      </w:r>
      <w:r w:rsidRPr="00F52189">
        <w:rPr>
          <w:rFonts w:ascii="Century Schoolbook" w:hAnsi="Century Schoolbook"/>
          <w:b/>
          <w:i/>
          <w:iCs/>
          <w:sz w:val="26"/>
          <w:szCs w:val="26"/>
        </w:rPr>
        <w:t xml:space="preserve"> for </w:t>
      </w:r>
      <w:r w:rsidRPr="00F52189" w:rsidR="00165D1E">
        <w:rPr>
          <w:rFonts w:ascii="Century Schoolbook" w:hAnsi="Century Schoolbook"/>
          <w:b/>
          <w:i/>
          <w:iCs/>
          <w:sz w:val="26"/>
          <w:szCs w:val="26"/>
        </w:rPr>
        <w:t>Summary Judgment</w:t>
      </w:r>
    </w:p>
    <w:p w:rsidR="00767A9C" w:rsidRPr="00F52189" w:rsidP="000870CA" w14:paraId="1CBA9073" w14:textId="504C8974">
      <w:pPr>
        <w:spacing w:line="360" w:lineRule="auto"/>
        <w:rPr>
          <w:rFonts w:ascii="Century Schoolbook" w:hAnsi="Century Schoolbook"/>
          <w:bCs/>
          <w:sz w:val="26"/>
          <w:szCs w:val="26"/>
        </w:rPr>
      </w:pPr>
      <w:r w:rsidRPr="00F52189">
        <w:rPr>
          <w:rFonts w:ascii="Century Schoolbook" w:hAnsi="Century Schoolbook"/>
          <w:bCs/>
          <w:sz w:val="26"/>
          <w:szCs w:val="26"/>
        </w:rPr>
        <w:tab/>
      </w:r>
      <w:r w:rsidRPr="00F52189" w:rsidR="004D3C07">
        <w:rPr>
          <w:rFonts w:ascii="Century Schoolbook" w:hAnsi="Century Schoolbook"/>
          <w:bCs/>
          <w:sz w:val="26"/>
          <w:szCs w:val="26"/>
        </w:rPr>
        <w:t>Miller sued PG&amp;E and Hip Sen, alleging general negligence and premises liability</w:t>
      </w:r>
      <w:r w:rsidRPr="00F52189" w:rsidR="005E10D5">
        <w:rPr>
          <w:rFonts w:ascii="Century Schoolbook" w:hAnsi="Century Schoolbook"/>
          <w:bCs/>
          <w:sz w:val="26"/>
          <w:szCs w:val="26"/>
        </w:rPr>
        <w:t xml:space="preserve"> (</w:t>
      </w:r>
      <w:r w:rsidRPr="00F52189" w:rsidR="004D3C07">
        <w:rPr>
          <w:rFonts w:ascii="Century Schoolbook" w:hAnsi="Century Schoolbook"/>
          <w:bCs/>
          <w:sz w:val="26"/>
          <w:szCs w:val="26"/>
        </w:rPr>
        <w:t>a theory of negligence</w:t>
      </w:r>
      <w:r w:rsidRPr="00F52189" w:rsidR="005E10D5">
        <w:rPr>
          <w:rFonts w:ascii="Century Schoolbook" w:hAnsi="Century Schoolbook"/>
          <w:bCs/>
          <w:sz w:val="26"/>
          <w:szCs w:val="26"/>
        </w:rPr>
        <w:t>)</w:t>
      </w:r>
      <w:r w:rsidRPr="00F52189" w:rsidR="007208C8">
        <w:rPr>
          <w:rFonts w:ascii="Century Schoolbook" w:hAnsi="Century Schoolbook"/>
          <w:bCs/>
          <w:sz w:val="26"/>
          <w:szCs w:val="26"/>
        </w:rPr>
        <w:t xml:space="preserve"> against both defendants.</w:t>
      </w:r>
      <w:r w:rsidRPr="00F52189" w:rsidR="004D3C07">
        <w:rPr>
          <w:rFonts w:ascii="Century Schoolbook" w:hAnsi="Century Schoolbook"/>
          <w:bCs/>
          <w:sz w:val="26"/>
          <w:szCs w:val="26"/>
        </w:rPr>
        <w:t xml:space="preserve"> </w:t>
      </w:r>
      <w:r w:rsidRPr="00F52189" w:rsidR="005E10D5">
        <w:rPr>
          <w:rFonts w:ascii="Century Schoolbook" w:hAnsi="Century Schoolbook"/>
          <w:bCs/>
          <w:sz w:val="26"/>
          <w:szCs w:val="26"/>
        </w:rPr>
        <w:t xml:space="preserve"> </w:t>
      </w:r>
      <w:r w:rsidRPr="00F52189" w:rsidR="004D3C07">
        <w:rPr>
          <w:rFonts w:ascii="Century Schoolbook" w:hAnsi="Century Schoolbook"/>
          <w:bCs/>
          <w:sz w:val="26"/>
          <w:szCs w:val="26"/>
        </w:rPr>
        <w:t xml:space="preserve">The gravamen of </w:t>
      </w:r>
      <w:r w:rsidRPr="00F52189" w:rsidR="000B391B">
        <w:rPr>
          <w:rFonts w:ascii="Century Schoolbook" w:hAnsi="Century Schoolbook"/>
          <w:bCs/>
          <w:sz w:val="26"/>
          <w:szCs w:val="26"/>
        </w:rPr>
        <w:t>the complaint</w:t>
      </w:r>
      <w:r w:rsidRPr="00F52189" w:rsidR="004D3C07">
        <w:rPr>
          <w:rFonts w:ascii="Century Schoolbook" w:hAnsi="Century Schoolbook"/>
          <w:bCs/>
          <w:sz w:val="26"/>
          <w:szCs w:val="26"/>
        </w:rPr>
        <w:t xml:space="preserve"> was that defendants had allowed a dangerous condition</w:t>
      </w:r>
      <w:r w:rsidRPr="00F52189" w:rsidR="00A24416">
        <w:rPr>
          <w:rFonts w:ascii="Century Schoolbook" w:hAnsi="Century Schoolbook"/>
          <w:bCs/>
          <w:sz w:val="26"/>
          <w:szCs w:val="26"/>
        </w:rPr>
        <w:t xml:space="preserve"> </w:t>
      </w:r>
      <w:r w:rsidRPr="00F52189" w:rsidR="004D3C07">
        <w:rPr>
          <w:rFonts w:ascii="Century Schoolbook" w:hAnsi="Century Schoolbook"/>
          <w:bCs/>
          <w:sz w:val="26"/>
          <w:szCs w:val="26"/>
        </w:rPr>
        <w:t>– the vertical misalignment of the metal plate cover and surrounding sidewalk</w:t>
      </w:r>
      <w:r w:rsidRPr="00F52189" w:rsidR="00A24416">
        <w:rPr>
          <w:rFonts w:ascii="Century Schoolbook" w:hAnsi="Century Schoolbook"/>
          <w:bCs/>
          <w:sz w:val="26"/>
          <w:szCs w:val="26"/>
        </w:rPr>
        <w:t xml:space="preserve"> – to exist</w:t>
      </w:r>
      <w:r w:rsidRPr="00F52189" w:rsidR="004D3C07">
        <w:rPr>
          <w:rFonts w:ascii="Century Schoolbook" w:hAnsi="Century Schoolbook"/>
          <w:bCs/>
          <w:sz w:val="26"/>
          <w:szCs w:val="26"/>
        </w:rPr>
        <w:t>.  </w:t>
      </w:r>
    </w:p>
    <w:p w:rsidR="00BC64E2" w:rsidRPr="00F52189" w:rsidP="00767A9C" w14:paraId="4D1A19FA" w14:textId="0C5AA434">
      <w:pPr>
        <w:spacing w:line="360" w:lineRule="auto"/>
        <w:ind w:firstLine="720"/>
        <w:rPr>
          <w:rFonts w:ascii="Century Schoolbook" w:hAnsi="Century Schoolbook"/>
          <w:bCs/>
          <w:sz w:val="26"/>
          <w:szCs w:val="26"/>
        </w:rPr>
      </w:pPr>
      <w:r w:rsidRPr="00F52189">
        <w:rPr>
          <w:rFonts w:ascii="Century Schoolbook" w:hAnsi="Century Schoolbook"/>
          <w:bCs/>
          <w:sz w:val="26"/>
          <w:szCs w:val="26"/>
        </w:rPr>
        <w:t>PG&amp;E and Hip Sen filed separate motions for summary judgment</w:t>
      </w:r>
      <w:r w:rsidRPr="00F52189" w:rsidR="008101A8">
        <w:rPr>
          <w:rFonts w:ascii="Century Schoolbook" w:hAnsi="Century Schoolbook"/>
          <w:bCs/>
          <w:sz w:val="26"/>
          <w:szCs w:val="26"/>
        </w:rPr>
        <w:t xml:space="preserve"> on the basis that the</w:t>
      </w:r>
      <w:r w:rsidRPr="00F52189">
        <w:rPr>
          <w:rFonts w:ascii="Century Schoolbook" w:hAnsi="Century Schoolbook"/>
          <w:bCs/>
          <w:sz w:val="26"/>
          <w:szCs w:val="26"/>
        </w:rPr>
        <w:t xml:space="preserve"> vertical misalignment did not constitute a dangerous condition </w:t>
      </w:r>
      <w:r w:rsidRPr="00F52189" w:rsidR="008101A8">
        <w:rPr>
          <w:rFonts w:ascii="Century Schoolbook" w:hAnsi="Century Schoolbook"/>
          <w:bCs/>
          <w:sz w:val="26"/>
          <w:szCs w:val="26"/>
        </w:rPr>
        <w:t>because</w:t>
      </w:r>
      <w:r w:rsidRPr="00F52189">
        <w:rPr>
          <w:rFonts w:ascii="Century Schoolbook" w:hAnsi="Century Schoolbook"/>
          <w:bCs/>
          <w:sz w:val="26"/>
          <w:szCs w:val="26"/>
        </w:rPr>
        <w:t xml:space="preserve"> it was trivial in nature and size and there were no other factors that raised a question of fact regarding the triviality of the defect. </w:t>
      </w:r>
      <w:r w:rsidRPr="00F52189" w:rsidR="00780462">
        <w:rPr>
          <w:rFonts w:ascii="Century Schoolbook" w:hAnsi="Century Schoolbook"/>
          <w:bCs/>
          <w:sz w:val="26"/>
          <w:szCs w:val="26"/>
        </w:rPr>
        <w:t xml:space="preserve"> </w:t>
      </w:r>
      <w:r w:rsidRPr="00F52189" w:rsidR="00834595">
        <w:rPr>
          <w:rFonts w:ascii="Century Schoolbook" w:hAnsi="Century Schoolbook"/>
          <w:bCs/>
          <w:sz w:val="26"/>
          <w:szCs w:val="26"/>
        </w:rPr>
        <w:t xml:space="preserve">In opposition, </w:t>
      </w:r>
      <w:r w:rsidRPr="00F52189">
        <w:rPr>
          <w:rFonts w:ascii="Century Schoolbook" w:hAnsi="Century Schoolbook"/>
          <w:bCs/>
          <w:sz w:val="26"/>
          <w:szCs w:val="26"/>
        </w:rPr>
        <w:t xml:space="preserve">Miller </w:t>
      </w:r>
      <w:r w:rsidRPr="00F52189" w:rsidR="00834595">
        <w:rPr>
          <w:rFonts w:ascii="Century Schoolbook" w:hAnsi="Century Schoolbook"/>
          <w:bCs/>
          <w:sz w:val="26"/>
          <w:szCs w:val="26"/>
        </w:rPr>
        <w:t xml:space="preserve">argued </w:t>
      </w:r>
      <w:r w:rsidRPr="00F52189">
        <w:rPr>
          <w:rFonts w:ascii="Century Schoolbook" w:hAnsi="Century Schoolbook"/>
          <w:bCs/>
          <w:sz w:val="26"/>
          <w:szCs w:val="26"/>
        </w:rPr>
        <w:t xml:space="preserve">there was a triable issue of fact based on evidence that the vertical alignment was more than one-half inch in size and </w:t>
      </w:r>
      <w:r w:rsidRPr="00F52189" w:rsidR="00767A9C">
        <w:rPr>
          <w:rFonts w:ascii="Century Schoolbook" w:hAnsi="Century Schoolbook"/>
          <w:bCs/>
          <w:sz w:val="26"/>
          <w:szCs w:val="26"/>
        </w:rPr>
        <w:t xml:space="preserve">based on </w:t>
      </w:r>
      <w:r w:rsidRPr="00F52189">
        <w:rPr>
          <w:rFonts w:ascii="Century Schoolbook" w:hAnsi="Century Schoolbook"/>
          <w:bCs/>
          <w:sz w:val="26"/>
          <w:szCs w:val="26"/>
        </w:rPr>
        <w:t xml:space="preserve">the City’s guidelines </w:t>
      </w:r>
      <w:r w:rsidRPr="00F52189" w:rsidR="00767A9C">
        <w:rPr>
          <w:rFonts w:ascii="Century Schoolbook" w:hAnsi="Century Schoolbook"/>
          <w:bCs/>
          <w:sz w:val="26"/>
          <w:szCs w:val="26"/>
        </w:rPr>
        <w:t>regarding</w:t>
      </w:r>
      <w:r w:rsidRPr="00F52189">
        <w:rPr>
          <w:rFonts w:ascii="Century Schoolbook" w:hAnsi="Century Schoolbook"/>
          <w:bCs/>
          <w:sz w:val="26"/>
          <w:szCs w:val="26"/>
        </w:rPr>
        <w:t xml:space="preserve"> </w:t>
      </w:r>
      <w:r w:rsidRPr="00F52189" w:rsidR="00767A9C">
        <w:rPr>
          <w:rFonts w:ascii="Century Schoolbook" w:hAnsi="Century Schoolbook"/>
          <w:bCs/>
          <w:sz w:val="26"/>
          <w:szCs w:val="26"/>
        </w:rPr>
        <w:t>repairs</w:t>
      </w:r>
      <w:r w:rsidRPr="00F52189">
        <w:rPr>
          <w:rFonts w:ascii="Century Schoolbook" w:hAnsi="Century Schoolbook"/>
          <w:bCs/>
          <w:sz w:val="26"/>
          <w:szCs w:val="26"/>
        </w:rPr>
        <w:t xml:space="preserve">. </w:t>
      </w:r>
      <w:r w:rsidRPr="00F52189" w:rsidR="00780462">
        <w:rPr>
          <w:rFonts w:ascii="Century Schoolbook" w:hAnsi="Century Schoolbook"/>
          <w:bCs/>
          <w:sz w:val="26"/>
          <w:szCs w:val="26"/>
        </w:rPr>
        <w:t xml:space="preserve"> </w:t>
      </w:r>
      <w:r w:rsidRPr="00F52189" w:rsidR="00767A9C">
        <w:rPr>
          <w:rFonts w:ascii="Century Schoolbook" w:hAnsi="Century Schoolbook"/>
          <w:bCs/>
          <w:sz w:val="26"/>
          <w:szCs w:val="26"/>
        </w:rPr>
        <w:t>Miller</w:t>
      </w:r>
      <w:r w:rsidRPr="00F52189">
        <w:rPr>
          <w:rFonts w:ascii="Century Schoolbook" w:hAnsi="Century Schoolbook"/>
          <w:bCs/>
          <w:sz w:val="26"/>
          <w:szCs w:val="26"/>
        </w:rPr>
        <w:t xml:space="preserve"> further argued the circumstances surrounding her accident raised a triable issue as to</w:t>
      </w:r>
      <w:r w:rsidRPr="00F52189" w:rsidR="00625642">
        <w:rPr>
          <w:rFonts w:ascii="Century Schoolbook" w:hAnsi="Century Schoolbook"/>
          <w:bCs/>
          <w:sz w:val="26"/>
          <w:szCs w:val="26"/>
        </w:rPr>
        <w:t xml:space="preserve"> the existence of a</w:t>
      </w:r>
      <w:r w:rsidRPr="00F52189">
        <w:rPr>
          <w:rFonts w:ascii="Century Schoolbook" w:hAnsi="Century Schoolbook"/>
          <w:bCs/>
          <w:sz w:val="26"/>
          <w:szCs w:val="26"/>
        </w:rPr>
        <w:t xml:space="preserve"> dangerous condition</w:t>
      </w:r>
      <w:r w:rsidRPr="00F52189" w:rsidR="00767A9C">
        <w:rPr>
          <w:rFonts w:ascii="Century Schoolbook" w:hAnsi="Century Schoolbook"/>
          <w:bCs/>
          <w:sz w:val="26"/>
          <w:szCs w:val="26"/>
        </w:rPr>
        <w:t xml:space="preserve"> despite its trivial nature and size</w:t>
      </w:r>
      <w:r w:rsidRPr="00F52189">
        <w:rPr>
          <w:rFonts w:ascii="Century Schoolbook" w:hAnsi="Century Schoolbook"/>
          <w:bCs/>
          <w:sz w:val="26"/>
          <w:szCs w:val="26"/>
        </w:rPr>
        <w:t>.  </w:t>
      </w:r>
    </w:p>
    <w:p w:rsidR="00D4392D" w:rsidRPr="00F52189" w:rsidP="008042A4" w14:paraId="2A6B2313" w14:textId="0A13A366">
      <w:pPr>
        <w:spacing w:line="360" w:lineRule="auto"/>
        <w:rPr>
          <w:rFonts w:ascii="Century Schoolbook" w:hAnsi="Century Schoolbook"/>
          <w:bCs/>
          <w:i/>
          <w:iCs/>
          <w:sz w:val="26"/>
          <w:szCs w:val="26"/>
        </w:rPr>
      </w:pPr>
      <w:r w:rsidRPr="00F52189">
        <w:rPr>
          <w:rFonts w:ascii="Century Schoolbook" w:hAnsi="Century Schoolbook"/>
          <w:bCs/>
          <w:sz w:val="26"/>
          <w:szCs w:val="26"/>
        </w:rPr>
        <w:tab/>
      </w:r>
      <w:r w:rsidRPr="00F52189" w:rsidR="00512ACC">
        <w:rPr>
          <w:rFonts w:ascii="Century Schoolbook" w:hAnsi="Century Schoolbook"/>
          <w:bCs/>
          <w:sz w:val="26"/>
          <w:szCs w:val="26"/>
        </w:rPr>
        <w:t xml:space="preserve">The </w:t>
      </w:r>
      <w:r w:rsidRPr="00F52189" w:rsidR="00111C74">
        <w:rPr>
          <w:rFonts w:ascii="Century Schoolbook" w:hAnsi="Century Schoolbook"/>
          <w:bCs/>
          <w:sz w:val="26"/>
          <w:szCs w:val="26"/>
        </w:rPr>
        <w:t>trial court granted the motions</w:t>
      </w:r>
      <w:r w:rsidRPr="00F52189">
        <w:rPr>
          <w:rFonts w:ascii="Century Schoolbook" w:hAnsi="Century Schoolbook"/>
          <w:bCs/>
          <w:sz w:val="26"/>
          <w:szCs w:val="26"/>
        </w:rPr>
        <w:t xml:space="preserve"> based on the trivial defect doctrine.  The court found </w:t>
      </w:r>
      <w:r w:rsidRPr="00F52189" w:rsidR="00E30ADC">
        <w:rPr>
          <w:rFonts w:ascii="Century Schoolbook" w:hAnsi="Century Schoolbook"/>
          <w:bCs/>
          <w:sz w:val="26"/>
          <w:szCs w:val="26"/>
        </w:rPr>
        <w:t>defendants</w:t>
      </w:r>
      <w:r w:rsidRPr="00F52189">
        <w:rPr>
          <w:rFonts w:ascii="Century Schoolbook" w:hAnsi="Century Schoolbook"/>
          <w:bCs/>
          <w:sz w:val="26"/>
          <w:szCs w:val="26"/>
        </w:rPr>
        <w:t xml:space="preserve"> had met their initial burden of demonstrating</w:t>
      </w:r>
      <w:r w:rsidRPr="00F52189" w:rsidR="008F5A52">
        <w:rPr>
          <w:rFonts w:ascii="Century Schoolbook" w:hAnsi="Century Schoolbook"/>
          <w:bCs/>
          <w:sz w:val="26"/>
          <w:szCs w:val="26"/>
        </w:rPr>
        <w:t xml:space="preserve"> </w:t>
      </w:r>
      <w:r w:rsidRPr="00F52189" w:rsidR="00E30ADC">
        <w:rPr>
          <w:rFonts w:ascii="Century Schoolbook" w:hAnsi="Century Schoolbook"/>
          <w:bCs/>
          <w:sz w:val="26"/>
          <w:szCs w:val="26"/>
        </w:rPr>
        <w:t>the height differential between the sidewalk and metal plate cover</w:t>
      </w:r>
      <w:r w:rsidRPr="00F52189" w:rsidR="008F5A52">
        <w:rPr>
          <w:rFonts w:ascii="Century Schoolbook" w:hAnsi="Century Schoolbook"/>
          <w:bCs/>
          <w:sz w:val="26"/>
          <w:szCs w:val="26"/>
        </w:rPr>
        <w:t xml:space="preserve"> </w:t>
      </w:r>
      <w:r w:rsidRPr="00F52189" w:rsidR="00E30ADC">
        <w:rPr>
          <w:rFonts w:ascii="Century Schoolbook" w:hAnsi="Century Schoolbook"/>
          <w:bCs/>
          <w:sz w:val="26"/>
          <w:szCs w:val="26"/>
        </w:rPr>
        <w:t>was trivia</w:t>
      </w:r>
      <w:r w:rsidRPr="00F52189">
        <w:rPr>
          <w:rFonts w:ascii="Century Schoolbook" w:hAnsi="Century Schoolbook"/>
          <w:bCs/>
          <w:sz w:val="26"/>
          <w:szCs w:val="26"/>
        </w:rPr>
        <w:t>l in nature and therefore did not constitute a dangerous condition requiring repair or warning.</w:t>
      </w:r>
      <w:r w:rsidRPr="00F52189" w:rsidR="00780462">
        <w:rPr>
          <w:rFonts w:ascii="Century Schoolbook" w:hAnsi="Century Schoolbook"/>
          <w:bCs/>
          <w:sz w:val="26"/>
          <w:szCs w:val="26"/>
        </w:rPr>
        <w:t xml:space="preserve"> </w:t>
      </w:r>
      <w:r w:rsidRPr="00F52189">
        <w:rPr>
          <w:rFonts w:ascii="Century Schoolbook" w:hAnsi="Century Schoolbook"/>
          <w:bCs/>
          <w:sz w:val="26"/>
          <w:szCs w:val="26"/>
        </w:rPr>
        <w:t xml:space="preserve"> </w:t>
      </w:r>
      <w:r w:rsidRPr="00F52189" w:rsidR="001B4925">
        <w:rPr>
          <w:rFonts w:ascii="Century Schoolbook" w:hAnsi="Century Schoolbook"/>
          <w:bCs/>
          <w:sz w:val="26"/>
          <w:szCs w:val="26"/>
        </w:rPr>
        <w:t>It</w:t>
      </w:r>
      <w:r w:rsidRPr="00F52189" w:rsidR="009115F8">
        <w:rPr>
          <w:rFonts w:ascii="Century Schoolbook" w:hAnsi="Century Schoolbook"/>
          <w:bCs/>
          <w:sz w:val="26"/>
          <w:szCs w:val="26"/>
        </w:rPr>
        <w:t xml:space="preserve"> </w:t>
      </w:r>
      <w:r w:rsidRPr="00F52189" w:rsidR="00512ACC">
        <w:rPr>
          <w:rFonts w:ascii="Century Schoolbook" w:hAnsi="Century Schoolbook"/>
          <w:bCs/>
          <w:sz w:val="26"/>
          <w:szCs w:val="26"/>
        </w:rPr>
        <w:t>further</w:t>
      </w:r>
      <w:r w:rsidRPr="00F52189" w:rsidR="004424AF">
        <w:rPr>
          <w:rFonts w:ascii="Century Schoolbook" w:hAnsi="Century Schoolbook"/>
          <w:bCs/>
          <w:sz w:val="26"/>
          <w:szCs w:val="26"/>
        </w:rPr>
        <w:t xml:space="preserve"> </w:t>
      </w:r>
      <w:r w:rsidRPr="00F52189" w:rsidR="009115F8">
        <w:rPr>
          <w:rFonts w:ascii="Century Schoolbook" w:hAnsi="Century Schoolbook"/>
          <w:bCs/>
          <w:sz w:val="26"/>
          <w:szCs w:val="26"/>
        </w:rPr>
        <w:t>found Miller had failed to meet her burden of showing a triable issue of material fact concerning triviality</w:t>
      </w:r>
      <w:r w:rsidRPr="00F52189" w:rsidR="004424AF">
        <w:rPr>
          <w:rFonts w:ascii="Century Schoolbook" w:hAnsi="Century Schoolbook"/>
          <w:bCs/>
          <w:sz w:val="26"/>
          <w:szCs w:val="26"/>
        </w:rPr>
        <w:t xml:space="preserve">. </w:t>
      </w:r>
      <w:r w:rsidRPr="00F52189" w:rsidR="00426B03">
        <w:rPr>
          <w:rFonts w:ascii="Century Schoolbook" w:hAnsi="Century Schoolbook"/>
          <w:bCs/>
          <w:sz w:val="26"/>
          <w:szCs w:val="26"/>
        </w:rPr>
        <w:t xml:space="preserve"> It</w:t>
      </w:r>
      <w:r w:rsidRPr="00F52189" w:rsidR="009115F8">
        <w:rPr>
          <w:rFonts w:ascii="Century Schoolbook" w:hAnsi="Century Schoolbook"/>
          <w:bCs/>
          <w:sz w:val="26"/>
          <w:szCs w:val="26"/>
        </w:rPr>
        <w:t xml:space="preserve"> also </w:t>
      </w:r>
      <w:r w:rsidRPr="00F52189" w:rsidR="004424AF">
        <w:rPr>
          <w:rFonts w:ascii="Century Schoolbook" w:hAnsi="Century Schoolbook"/>
          <w:bCs/>
          <w:sz w:val="26"/>
          <w:szCs w:val="26"/>
        </w:rPr>
        <w:t>found no</w:t>
      </w:r>
      <w:r w:rsidRPr="00F52189" w:rsidR="009F3E6A">
        <w:rPr>
          <w:rFonts w:ascii="Century Schoolbook" w:hAnsi="Century Schoolbook"/>
          <w:bCs/>
          <w:sz w:val="26"/>
          <w:szCs w:val="26"/>
        </w:rPr>
        <w:t xml:space="preserve"> triable issue of material fact as to whether the </w:t>
      </w:r>
      <w:r w:rsidRPr="00F52189" w:rsidR="009115F8">
        <w:rPr>
          <w:rFonts w:ascii="Century Schoolbook" w:hAnsi="Century Schoolbook"/>
          <w:bCs/>
          <w:sz w:val="26"/>
          <w:szCs w:val="26"/>
        </w:rPr>
        <w:t xml:space="preserve">vertical </w:t>
      </w:r>
      <w:r w:rsidRPr="00F52189" w:rsidR="004264EF">
        <w:rPr>
          <w:rFonts w:ascii="Century Schoolbook" w:hAnsi="Century Schoolbook"/>
          <w:bCs/>
          <w:sz w:val="26"/>
          <w:szCs w:val="26"/>
        </w:rPr>
        <w:t>misalignment</w:t>
      </w:r>
      <w:r w:rsidRPr="00F52189" w:rsidR="009F3E6A">
        <w:rPr>
          <w:rFonts w:ascii="Century Schoolbook" w:hAnsi="Century Schoolbook"/>
          <w:bCs/>
          <w:sz w:val="26"/>
          <w:szCs w:val="26"/>
        </w:rPr>
        <w:t xml:space="preserve"> was a dangerous condition</w:t>
      </w:r>
      <w:r w:rsidRPr="00F52189" w:rsidR="004264EF">
        <w:rPr>
          <w:rFonts w:ascii="Century Schoolbook" w:hAnsi="Century Schoolbook"/>
          <w:bCs/>
          <w:sz w:val="26"/>
          <w:szCs w:val="26"/>
        </w:rPr>
        <w:t xml:space="preserve"> </w:t>
      </w:r>
      <w:r w:rsidRPr="00F52189" w:rsidR="009F3E6A">
        <w:rPr>
          <w:rFonts w:ascii="Century Schoolbook" w:hAnsi="Century Schoolbook"/>
          <w:bCs/>
          <w:sz w:val="26"/>
          <w:szCs w:val="26"/>
        </w:rPr>
        <w:t xml:space="preserve">based on </w:t>
      </w:r>
      <w:r w:rsidRPr="00F52189" w:rsidR="00A211E8">
        <w:rPr>
          <w:rFonts w:ascii="Century Schoolbook" w:hAnsi="Century Schoolbook"/>
          <w:bCs/>
          <w:sz w:val="26"/>
          <w:szCs w:val="26"/>
        </w:rPr>
        <w:t>the City ha</w:t>
      </w:r>
      <w:r w:rsidRPr="00F52189" w:rsidR="004424AF">
        <w:rPr>
          <w:rFonts w:ascii="Century Schoolbook" w:hAnsi="Century Schoolbook"/>
          <w:bCs/>
          <w:sz w:val="26"/>
          <w:szCs w:val="26"/>
        </w:rPr>
        <w:t>ving</w:t>
      </w:r>
      <w:r w:rsidRPr="00F52189" w:rsidR="00A211E8">
        <w:rPr>
          <w:rFonts w:ascii="Century Schoolbook" w:hAnsi="Century Schoolbook"/>
          <w:bCs/>
          <w:sz w:val="26"/>
          <w:szCs w:val="26"/>
        </w:rPr>
        <w:t xml:space="preserve"> issued notices requiring PG&amp;E and Hip Sen to repair the</w:t>
      </w:r>
      <w:r w:rsidRPr="00F52189" w:rsidR="00F030C4">
        <w:rPr>
          <w:rFonts w:ascii="Century Schoolbook" w:hAnsi="Century Schoolbook"/>
          <w:bCs/>
          <w:sz w:val="26"/>
          <w:szCs w:val="26"/>
        </w:rPr>
        <w:t xml:space="preserve"> </w:t>
      </w:r>
      <w:r w:rsidRPr="00F52189" w:rsidR="00A211E8">
        <w:rPr>
          <w:rFonts w:ascii="Century Schoolbook" w:hAnsi="Century Schoolbook"/>
          <w:bCs/>
          <w:sz w:val="26"/>
          <w:szCs w:val="26"/>
        </w:rPr>
        <w:t>sidewalk</w:t>
      </w:r>
      <w:r w:rsidRPr="00F52189" w:rsidR="00F030C4">
        <w:rPr>
          <w:rFonts w:ascii="Century Schoolbook" w:hAnsi="Century Schoolbook"/>
          <w:bCs/>
          <w:sz w:val="26"/>
          <w:szCs w:val="26"/>
        </w:rPr>
        <w:t xml:space="preserve"> and metal plate cover</w:t>
      </w:r>
      <w:r w:rsidRPr="00F52189" w:rsidR="00A211E8">
        <w:rPr>
          <w:rFonts w:ascii="Century Schoolbook" w:hAnsi="Century Schoolbook"/>
          <w:bCs/>
          <w:sz w:val="26"/>
          <w:szCs w:val="26"/>
        </w:rPr>
        <w:t xml:space="preserve">.  “As PG&amp;E points out, the City’s policy is to issue Notices to Repair whenever there is a sidewalk differential of .5 inches or greater. . . .  However, the City’s notice guidelines do not impose a legal duty to repair defective conditions under the trivial defect standard.  The Court finds that sidewalk maintenance need not meet the .5-inch differential throughout the entire City in order for [defendants] to </w:t>
      </w:r>
      <w:r w:rsidRPr="00F52189">
        <w:rPr>
          <w:rFonts w:ascii="Century Schoolbook" w:hAnsi="Century Schoolbook"/>
          <w:bCs/>
          <w:sz w:val="26"/>
          <w:szCs w:val="26"/>
        </w:rPr>
        <w:t xml:space="preserve">. . . </w:t>
      </w:r>
      <w:r w:rsidRPr="00F52189" w:rsidR="00A211E8">
        <w:rPr>
          <w:rFonts w:ascii="Century Schoolbook" w:hAnsi="Century Schoolbook"/>
          <w:bCs/>
          <w:sz w:val="26"/>
          <w:szCs w:val="26"/>
        </w:rPr>
        <w:t xml:space="preserve">avail [themselves] of the trivial defect doctrine.” </w:t>
      </w:r>
    </w:p>
    <w:p w:rsidR="00464FE6" w:rsidRPr="00F52189" w:rsidP="00464FE6" w14:paraId="3F610B6C" w14:textId="0814704C">
      <w:pPr>
        <w:spacing w:line="360" w:lineRule="auto"/>
        <w:rPr>
          <w:rFonts w:ascii="Century Schoolbook" w:hAnsi="Century Schoolbook"/>
          <w:bCs/>
          <w:sz w:val="26"/>
          <w:szCs w:val="26"/>
        </w:rPr>
      </w:pPr>
      <w:r w:rsidRPr="00F52189">
        <w:rPr>
          <w:rFonts w:ascii="Century Schoolbook" w:hAnsi="Century Schoolbook"/>
          <w:bCs/>
          <w:sz w:val="26"/>
          <w:szCs w:val="26"/>
        </w:rPr>
        <w:tab/>
      </w:r>
      <w:r w:rsidRPr="00F52189" w:rsidR="00111C74">
        <w:rPr>
          <w:rFonts w:ascii="Century Schoolbook" w:hAnsi="Century Schoolbook"/>
          <w:bCs/>
          <w:sz w:val="26"/>
          <w:szCs w:val="26"/>
        </w:rPr>
        <w:t xml:space="preserve">The court entered </w:t>
      </w:r>
      <w:r w:rsidRPr="00F52189" w:rsidR="00CD3B2D">
        <w:rPr>
          <w:rFonts w:ascii="Century Schoolbook" w:hAnsi="Century Schoolbook"/>
          <w:bCs/>
          <w:sz w:val="26"/>
          <w:szCs w:val="26"/>
        </w:rPr>
        <w:t>a</w:t>
      </w:r>
      <w:r w:rsidRPr="00F52189" w:rsidR="00FA1A2B">
        <w:rPr>
          <w:rFonts w:ascii="Century Schoolbook" w:hAnsi="Century Schoolbook"/>
          <w:bCs/>
          <w:sz w:val="26"/>
          <w:szCs w:val="26"/>
        </w:rPr>
        <w:t xml:space="preserve"> </w:t>
      </w:r>
      <w:r w:rsidRPr="00F52189" w:rsidR="00CD3B2D">
        <w:rPr>
          <w:rFonts w:ascii="Century Schoolbook" w:hAnsi="Century Schoolbook"/>
          <w:bCs/>
          <w:sz w:val="26"/>
          <w:szCs w:val="26"/>
        </w:rPr>
        <w:t>j</w:t>
      </w:r>
      <w:r w:rsidRPr="00F52189" w:rsidR="00FA1A2B">
        <w:rPr>
          <w:rFonts w:ascii="Century Schoolbook" w:hAnsi="Century Schoolbook"/>
          <w:bCs/>
          <w:sz w:val="26"/>
          <w:szCs w:val="26"/>
        </w:rPr>
        <w:t>udgment</w:t>
      </w:r>
      <w:r w:rsidRPr="00F52189" w:rsidR="00CD3B2D">
        <w:rPr>
          <w:rFonts w:ascii="Century Schoolbook" w:hAnsi="Century Schoolbook"/>
          <w:bCs/>
          <w:sz w:val="26"/>
          <w:szCs w:val="26"/>
        </w:rPr>
        <w:t xml:space="preserve"> </w:t>
      </w:r>
      <w:r w:rsidRPr="00F52189" w:rsidR="00111C74">
        <w:rPr>
          <w:rFonts w:ascii="Century Schoolbook" w:hAnsi="Century Schoolbook"/>
          <w:bCs/>
          <w:sz w:val="26"/>
          <w:szCs w:val="26"/>
        </w:rPr>
        <w:t xml:space="preserve">of dismissal </w:t>
      </w:r>
      <w:r w:rsidRPr="00F52189" w:rsidR="00CD3B2D">
        <w:rPr>
          <w:rFonts w:ascii="Century Schoolbook" w:hAnsi="Century Schoolbook"/>
          <w:bCs/>
          <w:sz w:val="26"/>
          <w:szCs w:val="26"/>
        </w:rPr>
        <w:t xml:space="preserve">in favor of </w:t>
      </w:r>
      <w:r w:rsidRPr="00F52189" w:rsidR="00D12247">
        <w:rPr>
          <w:rFonts w:ascii="Century Schoolbook" w:hAnsi="Century Schoolbook"/>
          <w:bCs/>
          <w:sz w:val="26"/>
          <w:szCs w:val="26"/>
        </w:rPr>
        <w:t>defendants</w:t>
      </w:r>
      <w:r w:rsidRPr="00F52189" w:rsidR="00512ACC">
        <w:rPr>
          <w:rFonts w:ascii="Century Schoolbook" w:hAnsi="Century Schoolbook"/>
          <w:bCs/>
          <w:sz w:val="26"/>
          <w:szCs w:val="26"/>
        </w:rPr>
        <w:t xml:space="preserve"> on </w:t>
      </w:r>
      <w:r w:rsidRPr="00F52189" w:rsidR="00792C8F">
        <w:rPr>
          <w:rFonts w:ascii="Century Schoolbook" w:hAnsi="Century Schoolbook"/>
          <w:bCs/>
          <w:sz w:val="26"/>
          <w:szCs w:val="26"/>
        </w:rPr>
        <w:t>June 9, 2022</w:t>
      </w:r>
      <w:r w:rsidRPr="00F52189" w:rsidR="00111C74">
        <w:rPr>
          <w:rFonts w:ascii="Century Schoolbook" w:hAnsi="Century Schoolbook"/>
          <w:bCs/>
          <w:sz w:val="26"/>
          <w:szCs w:val="26"/>
        </w:rPr>
        <w:t xml:space="preserve">, and </w:t>
      </w:r>
      <w:r w:rsidRPr="00F52189" w:rsidR="00426B03">
        <w:rPr>
          <w:rFonts w:ascii="Century Schoolbook" w:hAnsi="Century Schoolbook"/>
          <w:bCs/>
          <w:sz w:val="26"/>
          <w:szCs w:val="26"/>
        </w:rPr>
        <w:t>this</w:t>
      </w:r>
      <w:r w:rsidRPr="00F52189" w:rsidR="00111C74">
        <w:rPr>
          <w:rFonts w:ascii="Century Schoolbook" w:hAnsi="Century Schoolbook"/>
          <w:bCs/>
          <w:sz w:val="26"/>
          <w:szCs w:val="26"/>
        </w:rPr>
        <w:t xml:space="preserve"> appeal ensued.</w:t>
      </w:r>
      <w:r w:rsidRPr="00F52189" w:rsidR="00D12247">
        <w:rPr>
          <w:rFonts w:ascii="Century Schoolbook" w:hAnsi="Century Schoolbook"/>
          <w:bCs/>
          <w:sz w:val="26"/>
          <w:szCs w:val="26"/>
        </w:rPr>
        <w:t xml:space="preserve"> </w:t>
      </w:r>
    </w:p>
    <w:p w:rsidR="00464FE6" w:rsidRPr="00F52189" w:rsidP="00464FE6" w14:paraId="08FFFD5D" w14:textId="77777777">
      <w:pPr>
        <w:shd w:val="clear" w:color="auto" w:fill="FFFFFF"/>
        <w:spacing w:line="360" w:lineRule="auto"/>
        <w:jc w:val="center"/>
        <w:textAlignment w:val="baseline"/>
        <w:rPr>
          <w:rFonts w:ascii="Century Schoolbook" w:hAnsi="Century Schoolbook"/>
          <w:b/>
          <w:smallCaps/>
          <w:sz w:val="26"/>
          <w:szCs w:val="26"/>
        </w:rPr>
      </w:pPr>
      <w:r w:rsidRPr="00F52189">
        <w:rPr>
          <w:rFonts w:ascii="Century Schoolbook" w:hAnsi="Century Schoolbook"/>
          <w:b/>
          <w:smallCaps/>
          <w:sz w:val="26"/>
          <w:szCs w:val="26"/>
        </w:rPr>
        <w:t>Discussion</w:t>
      </w:r>
    </w:p>
    <w:p w:rsidR="00464FE6" w:rsidRPr="00F52189" w:rsidP="00464FE6" w14:paraId="5FA78511" w14:textId="6B4568BB">
      <w:pPr>
        <w:pStyle w:val="FootnoteText"/>
        <w:spacing w:line="360" w:lineRule="auto"/>
        <w:rPr>
          <w:b/>
          <w:bCs/>
          <w:szCs w:val="26"/>
        </w:rPr>
      </w:pPr>
      <w:r w:rsidRPr="00F52189">
        <w:rPr>
          <w:b/>
          <w:bCs/>
          <w:szCs w:val="26"/>
        </w:rPr>
        <w:t xml:space="preserve">I.  </w:t>
      </w:r>
      <w:r w:rsidRPr="00F52189">
        <w:rPr>
          <w:b/>
          <w:bCs/>
          <w:szCs w:val="26"/>
        </w:rPr>
        <w:tab/>
        <w:t xml:space="preserve">Standard of Review </w:t>
      </w:r>
    </w:p>
    <w:p w:rsidR="00464FE6" w:rsidRPr="00F52189" w:rsidP="00464FE6" w14:paraId="38A8C46E" w14:textId="416ABDE0">
      <w:pPr>
        <w:pStyle w:val="FootnoteText"/>
        <w:spacing w:line="360" w:lineRule="auto"/>
        <w:rPr>
          <w:color w:val="3D3D3D"/>
          <w:szCs w:val="26"/>
        </w:rPr>
      </w:pPr>
      <w:r w:rsidRPr="00F52189">
        <w:rPr>
          <w:b/>
          <w:bCs/>
          <w:szCs w:val="26"/>
        </w:rPr>
        <w:tab/>
      </w:r>
      <w:r w:rsidRPr="00F52189">
        <w:rPr>
          <w:szCs w:val="26"/>
        </w:rPr>
        <w:t>We review the propriety of</w:t>
      </w:r>
      <w:r w:rsidRPr="00F52189">
        <w:rPr>
          <w:color w:val="3D3D3D"/>
          <w:szCs w:val="26"/>
        </w:rPr>
        <w:t xml:space="preserve"> a grant of summary judgment de novo</w:t>
      </w:r>
      <w:r w:rsidRPr="00F52189">
        <w:rPr>
          <w:szCs w:val="26"/>
        </w:rPr>
        <w:t>, “considering all the evidence set forth in the moving and opposition papers except that to which objections have been made and sustained.”  (</w:t>
      </w:r>
      <w:r w:rsidRPr="00F52189">
        <w:rPr>
          <w:i/>
          <w:iCs/>
          <w:szCs w:val="26"/>
        </w:rPr>
        <w:t>Guz v. Bechtel National, Inc.</w:t>
      </w:r>
      <w:r w:rsidRPr="00F52189">
        <w:rPr>
          <w:szCs w:val="26"/>
        </w:rPr>
        <w:t xml:space="preserve"> (2000) 24 Cal.4th 317, 334.)  As in the trial court, we first determine whether the moving party has met its initial burden to establish </w:t>
      </w:r>
      <w:r w:rsidRPr="00F52189">
        <w:rPr>
          <w:color w:val="3D3D3D"/>
          <w:szCs w:val="26"/>
        </w:rPr>
        <w:t>facts justifying judgment in its favor; if so, we then decide whether the opposing party has demonstrated the existence of a triable, material issue of fact.  (</w:t>
      </w:r>
      <w:r w:rsidRPr="00F52189">
        <w:rPr>
          <w:i/>
          <w:iCs/>
          <w:color w:val="3D3D3D"/>
          <w:szCs w:val="26"/>
        </w:rPr>
        <w:t>Oakland Raiders v. National Football League</w:t>
      </w:r>
      <w:r w:rsidRPr="00F52189">
        <w:rPr>
          <w:color w:val="3D3D3D"/>
          <w:szCs w:val="26"/>
        </w:rPr>
        <w:t xml:space="preserve"> (2005) 131 Cal.App.4th 621, 630.)  </w:t>
      </w:r>
      <w:r w:rsidRPr="00F52189" w:rsidR="00986958">
        <w:rPr>
          <w:color w:val="3D3D3D"/>
          <w:szCs w:val="26"/>
        </w:rPr>
        <w:t>“</w:t>
      </w:r>
      <w:r w:rsidRPr="00F52189">
        <w:rPr>
          <w:color w:val="3D3D3D"/>
          <w:szCs w:val="26"/>
        </w:rPr>
        <w:t>We need not defer to the trial court and are not bound by the reasons in its summary judgment ruling; we review the ruling of the trial court, not its rationale.”  (</w:t>
      </w:r>
      <w:r w:rsidRPr="00F52189">
        <w:rPr>
          <w:i/>
          <w:iCs/>
          <w:color w:val="3D3D3D"/>
          <w:szCs w:val="26"/>
        </w:rPr>
        <w:t>I</w:t>
      </w:r>
      <w:r w:rsidRPr="00F52189" w:rsidR="00986958">
        <w:rPr>
          <w:i/>
          <w:iCs/>
          <w:color w:val="3D3D3D"/>
          <w:szCs w:val="26"/>
        </w:rPr>
        <w:t>bi</w:t>
      </w:r>
      <w:r w:rsidRPr="00F52189">
        <w:rPr>
          <w:i/>
          <w:iCs/>
          <w:color w:val="3D3D3D"/>
          <w:szCs w:val="26"/>
        </w:rPr>
        <w:t>d.)</w:t>
      </w:r>
    </w:p>
    <w:p w:rsidR="00464FE6" w:rsidRPr="00F52189" w:rsidP="002E79D2" w14:paraId="3D846EFA" w14:textId="78FFD6D5">
      <w:pPr>
        <w:pStyle w:val="FootnoteText"/>
        <w:keepNext/>
        <w:spacing w:line="360" w:lineRule="auto"/>
        <w:rPr>
          <w:b/>
          <w:bCs/>
          <w:color w:val="3D3D3D"/>
          <w:szCs w:val="26"/>
        </w:rPr>
      </w:pPr>
      <w:r w:rsidRPr="00F52189">
        <w:rPr>
          <w:b/>
          <w:bCs/>
          <w:color w:val="3D3D3D"/>
          <w:szCs w:val="26"/>
        </w:rPr>
        <w:t xml:space="preserve">II. </w:t>
      </w:r>
      <w:r w:rsidRPr="00F52189">
        <w:rPr>
          <w:b/>
          <w:bCs/>
          <w:color w:val="3D3D3D"/>
          <w:szCs w:val="26"/>
        </w:rPr>
        <w:tab/>
        <w:t xml:space="preserve">Vertical Misalignment Was </w:t>
      </w:r>
      <w:r w:rsidRPr="00F52189" w:rsidR="00DB5758">
        <w:rPr>
          <w:b/>
          <w:bCs/>
          <w:color w:val="3D3D3D"/>
          <w:szCs w:val="26"/>
        </w:rPr>
        <w:t xml:space="preserve">a </w:t>
      </w:r>
      <w:r w:rsidRPr="00F52189">
        <w:rPr>
          <w:b/>
          <w:bCs/>
          <w:color w:val="3D3D3D"/>
          <w:szCs w:val="26"/>
        </w:rPr>
        <w:t xml:space="preserve">Trivial Defect </w:t>
      </w:r>
      <w:r w:rsidRPr="00F52189" w:rsidR="00DB5758">
        <w:rPr>
          <w:b/>
          <w:bCs/>
          <w:color w:val="3D3D3D"/>
          <w:szCs w:val="26"/>
        </w:rPr>
        <w:t>as</w:t>
      </w:r>
      <w:r w:rsidRPr="00F52189">
        <w:rPr>
          <w:b/>
          <w:bCs/>
          <w:color w:val="3D3D3D"/>
          <w:szCs w:val="26"/>
        </w:rPr>
        <w:t xml:space="preserve"> a Matter of Law</w:t>
      </w:r>
    </w:p>
    <w:p w:rsidR="00464FE6" w:rsidRPr="00F52189" w:rsidP="002E79D2" w14:paraId="1CA23D72" w14:textId="77777777">
      <w:pPr>
        <w:pStyle w:val="FootnoteText"/>
        <w:keepNext/>
        <w:numPr>
          <w:ilvl w:val="0"/>
          <w:numId w:val="5"/>
        </w:numPr>
        <w:spacing w:line="360" w:lineRule="auto"/>
        <w:rPr>
          <w:color w:val="3D3D3D"/>
          <w:szCs w:val="26"/>
        </w:rPr>
      </w:pPr>
      <w:r w:rsidRPr="00F52189">
        <w:rPr>
          <w:b/>
          <w:bCs/>
          <w:color w:val="3D3D3D"/>
          <w:szCs w:val="26"/>
        </w:rPr>
        <w:t>Trivial Defect Doctrine</w:t>
      </w:r>
    </w:p>
    <w:p w:rsidR="00084223" w:rsidRPr="00F52189" w:rsidP="00464FE6" w14:paraId="01F235EB" w14:textId="247B3779">
      <w:pPr>
        <w:pStyle w:val="FootnoteText"/>
        <w:spacing w:line="360" w:lineRule="auto"/>
        <w:rPr>
          <w:color w:val="3D3D3D"/>
          <w:szCs w:val="26"/>
        </w:rPr>
      </w:pPr>
      <w:r w:rsidRPr="00F52189">
        <w:rPr>
          <w:color w:val="3D3D3D"/>
          <w:szCs w:val="26"/>
        </w:rPr>
        <w:tab/>
        <w:t xml:space="preserve">To recover damages for either negligence or premises liability, Miller must prove defendants breached a legal duty to either repair or warn about the existence of a dangerous condition – the vertical misalignment – that allegedly caused her to trip and fall.  (See </w:t>
      </w:r>
      <w:r w:rsidRPr="00F52189">
        <w:rPr>
          <w:i/>
          <w:iCs/>
          <w:color w:val="3D3D3D"/>
          <w:szCs w:val="26"/>
        </w:rPr>
        <w:t>Stathoulis v. City of Montebello</w:t>
      </w:r>
      <w:r w:rsidRPr="00F52189">
        <w:rPr>
          <w:color w:val="3D3D3D"/>
          <w:szCs w:val="26"/>
        </w:rPr>
        <w:t xml:space="preserve"> (2008) 164 Cal.App.4th 5</w:t>
      </w:r>
      <w:r w:rsidRPr="00F52189" w:rsidR="00986958">
        <w:rPr>
          <w:color w:val="3D3D3D"/>
          <w:szCs w:val="26"/>
        </w:rPr>
        <w:t>5</w:t>
      </w:r>
      <w:r w:rsidRPr="00F52189">
        <w:rPr>
          <w:color w:val="3D3D3D"/>
          <w:szCs w:val="26"/>
        </w:rPr>
        <w:t xml:space="preserve">9, 566 [elements of premises liability]; </w:t>
      </w:r>
      <w:r w:rsidRPr="00F52189">
        <w:rPr>
          <w:i/>
          <w:iCs/>
          <w:color w:val="3D3D3D"/>
          <w:szCs w:val="26"/>
        </w:rPr>
        <w:t>Ursino v. Big Boy Rest</w:t>
      </w:r>
      <w:r w:rsidRPr="00F52189" w:rsidR="00625642">
        <w:rPr>
          <w:i/>
          <w:iCs/>
          <w:color w:val="3D3D3D"/>
          <w:szCs w:val="26"/>
        </w:rPr>
        <w:t>aurants</w:t>
      </w:r>
      <w:r w:rsidRPr="00F52189">
        <w:rPr>
          <w:color w:val="3D3D3D"/>
          <w:szCs w:val="26"/>
        </w:rPr>
        <w:t xml:space="preserve"> (1987) 192 Cal.App.3d 394, 397 [elements of negligence liability].)  </w:t>
      </w:r>
    </w:p>
    <w:p w:rsidR="00464FE6" w:rsidRPr="00F52189" w:rsidP="00084223" w14:paraId="171C02FA" w14:textId="2E6AD146">
      <w:pPr>
        <w:pStyle w:val="FootnoteText"/>
        <w:spacing w:line="360" w:lineRule="auto"/>
        <w:ind w:firstLine="720"/>
        <w:rPr>
          <w:color w:val="3D3D3D"/>
          <w:szCs w:val="26"/>
        </w:rPr>
      </w:pPr>
      <w:r w:rsidRPr="00F52189">
        <w:rPr>
          <w:color w:val="3D3D3D"/>
          <w:szCs w:val="26"/>
        </w:rPr>
        <w:t xml:space="preserve">It is well settled law that landowners are “not liable for damages caused by a minor, trivial or insignificant defect </w:t>
      </w:r>
      <w:r w:rsidRPr="00F52189" w:rsidR="00625642">
        <w:rPr>
          <w:color w:val="3D3D3D"/>
          <w:szCs w:val="26"/>
        </w:rPr>
        <w:t xml:space="preserve">in </w:t>
      </w:r>
      <w:r w:rsidRPr="00F52189">
        <w:rPr>
          <w:color w:val="3D3D3D"/>
          <w:szCs w:val="26"/>
        </w:rPr>
        <w:t>property.”  (</w:t>
      </w:r>
      <w:r w:rsidRPr="00F52189">
        <w:rPr>
          <w:i/>
          <w:iCs/>
          <w:color w:val="3D3D3D"/>
          <w:szCs w:val="26"/>
        </w:rPr>
        <w:t>Caloros</w:t>
      </w:r>
      <w:r w:rsidRPr="00F52189" w:rsidR="00082AC0">
        <w:rPr>
          <w:i/>
          <w:iCs/>
          <w:color w:val="3D3D3D"/>
          <w:szCs w:val="26"/>
        </w:rPr>
        <w:t>o</w:t>
      </w:r>
      <w:r w:rsidRPr="00F52189">
        <w:rPr>
          <w:i/>
          <w:iCs/>
          <w:color w:val="3D3D3D"/>
          <w:szCs w:val="26"/>
        </w:rPr>
        <w:t xml:space="preserve"> v. Hathaway</w:t>
      </w:r>
      <w:r w:rsidRPr="00F52189">
        <w:rPr>
          <w:color w:val="3D3D3D"/>
          <w:szCs w:val="26"/>
        </w:rPr>
        <w:t xml:space="preserve"> (2004) 122 Cal.App.4th 922, 927.)  In the context of sidewalk defect cases, landowners “</w:t>
      </w:r>
      <w:r w:rsidRPr="00F52189" w:rsidR="009544E2">
        <w:rPr>
          <w:color w:val="3D3D3D"/>
          <w:szCs w:val="26"/>
        </w:rPr>
        <w:t xml:space="preserve">do[] not </w:t>
      </w:r>
      <w:r w:rsidRPr="00F52189">
        <w:rPr>
          <w:color w:val="3D3D3D"/>
          <w:szCs w:val="26"/>
        </w:rPr>
        <w:t xml:space="preserve">have </w:t>
      </w:r>
      <w:r w:rsidRPr="00F52189" w:rsidR="009544E2">
        <w:rPr>
          <w:color w:val="3D3D3D"/>
          <w:szCs w:val="26"/>
        </w:rPr>
        <w:t xml:space="preserve">a </w:t>
      </w:r>
      <w:r w:rsidRPr="00F52189">
        <w:rPr>
          <w:color w:val="3D3D3D"/>
          <w:szCs w:val="26"/>
        </w:rPr>
        <w:t>duty</w:t>
      </w:r>
      <w:r w:rsidRPr="00F52189">
        <w:rPr>
          <w:szCs w:val="26"/>
        </w:rPr>
        <w:t xml:space="preserve"> to protect pedestrians from every sidewalk defect that might pose a tripping hazard – only those defects that create a </w:t>
      </w:r>
      <w:r w:rsidRPr="00F52189">
        <w:rPr>
          <w:i/>
          <w:iCs/>
          <w:szCs w:val="26"/>
        </w:rPr>
        <w:t>substantial</w:t>
      </w:r>
      <w:r w:rsidRPr="00F52189">
        <w:rPr>
          <w:szCs w:val="26"/>
        </w:rPr>
        <w:t xml:space="preserve"> risk of injury to a pedestrian using reasonable care.” (</w:t>
      </w:r>
      <w:r w:rsidRPr="00F52189">
        <w:rPr>
          <w:i/>
          <w:iCs/>
          <w:color w:val="3D3D3D"/>
          <w:szCs w:val="26"/>
        </w:rPr>
        <w:t>Nunez v. City of Redondo Beach</w:t>
      </w:r>
      <w:r w:rsidRPr="00F52189">
        <w:rPr>
          <w:color w:val="3D3D3D"/>
          <w:szCs w:val="26"/>
        </w:rPr>
        <w:t xml:space="preserve"> (2022) 81 Cal.App.5th 749, 757 (</w:t>
      </w:r>
      <w:r w:rsidRPr="00F52189">
        <w:rPr>
          <w:i/>
          <w:iCs/>
          <w:color w:val="3D3D3D"/>
          <w:szCs w:val="26"/>
        </w:rPr>
        <w:t>Nunez</w:t>
      </w:r>
      <w:r w:rsidRPr="00F52189">
        <w:rPr>
          <w:color w:val="3D3D3D"/>
          <w:szCs w:val="26"/>
        </w:rPr>
        <w:t xml:space="preserve">); see </w:t>
      </w:r>
      <w:r w:rsidRPr="00F52189">
        <w:rPr>
          <w:i/>
          <w:iCs/>
          <w:color w:val="3D3D3D"/>
          <w:szCs w:val="26"/>
        </w:rPr>
        <w:t>Huckey v. City of Temecu</w:t>
      </w:r>
      <w:r w:rsidRPr="00F52189" w:rsidR="00625642">
        <w:rPr>
          <w:i/>
          <w:iCs/>
          <w:color w:val="3D3D3D"/>
          <w:szCs w:val="26"/>
        </w:rPr>
        <w:t>la</w:t>
      </w:r>
      <w:r w:rsidRPr="00F52189">
        <w:rPr>
          <w:color w:val="3D3D3D"/>
          <w:szCs w:val="26"/>
        </w:rPr>
        <w:t xml:space="preserve"> (2019) 37 Cal.App.5th 109</w:t>
      </w:r>
      <w:r w:rsidRPr="00F52189" w:rsidR="00986958">
        <w:rPr>
          <w:color w:val="3D3D3D"/>
          <w:szCs w:val="26"/>
        </w:rPr>
        <w:t>2</w:t>
      </w:r>
      <w:r w:rsidRPr="00F52189">
        <w:rPr>
          <w:color w:val="3D3D3D"/>
          <w:szCs w:val="26"/>
        </w:rPr>
        <w:t xml:space="preserve">, </w:t>
      </w:r>
      <w:r w:rsidRPr="00F52189">
        <w:rPr>
          <w:szCs w:val="26"/>
        </w:rPr>
        <w:t>1109–1110 (</w:t>
      </w:r>
      <w:r w:rsidRPr="00F52189">
        <w:rPr>
          <w:i/>
          <w:iCs/>
          <w:szCs w:val="26"/>
        </w:rPr>
        <w:t>Huckey</w:t>
      </w:r>
      <w:r w:rsidRPr="00F52189">
        <w:rPr>
          <w:szCs w:val="26"/>
        </w:rPr>
        <w:t xml:space="preserve">) [while the height differential of sidewalk defect “posed </w:t>
      </w:r>
      <w:r w:rsidRPr="00F52189">
        <w:rPr>
          <w:i/>
          <w:iCs/>
          <w:szCs w:val="26"/>
        </w:rPr>
        <w:t>some</w:t>
      </w:r>
      <w:r w:rsidRPr="00F52189">
        <w:rPr>
          <w:szCs w:val="26"/>
        </w:rPr>
        <w:t xml:space="preserve"> risk of injury,” and was evidence of a “tripping hazard,” to constitute a dangerous condition the height differential and the area surrounding it must pose “ ‘a substantial . . . risk of injury’ ”].)</w:t>
      </w:r>
      <w:r w:rsidRPr="00F52189">
        <w:rPr>
          <w:color w:val="3D3D3D"/>
          <w:szCs w:val="26"/>
        </w:rPr>
        <w:t xml:space="preserve">  This simple principle of law is referred to as the trivial defect doctrine – “it is not an affirmative defense but rather an aspect of duty that </w:t>
      </w:r>
      <w:r w:rsidRPr="00F52189" w:rsidR="00986958">
        <w:rPr>
          <w:color w:val="3D3D3D"/>
          <w:szCs w:val="26"/>
        </w:rPr>
        <w:t>[</w:t>
      </w:r>
      <w:r w:rsidRPr="00F52189">
        <w:rPr>
          <w:color w:val="3D3D3D"/>
          <w:szCs w:val="26"/>
        </w:rPr>
        <w:t>a</w:t>
      </w:r>
      <w:r w:rsidRPr="00F52189" w:rsidR="00986958">
        <w:rPr>
          <w:color w:val="3D3D3D"/>
          <w:szCs w:val="26"/>
        </w:rPr>
        <w:t>]</w:t>
      </w:r>
      <w:r w:rsidRPr="00F52189">
        <w:rPr>
          <w:color w:val="3D3D3D"/>
          <w:szCs w:val="26"/>
        </w:rPr>
        <w:t xml:space="preserve"> plaintiff must plead and prove,” and it applies where liability is alleged against both governmental entities and private landowners such as defendants.  (</w:t>
      </w:r>
      <w:r w:rsidRPr="00F52189">
        <w:rPr>
          <w:i/>
          <w:iCs/>
          <w:color w:val="3D3D3D"/>
          <w:szCs w:val="26"/>
        </w:rPr>
        <w:t>Caloroso</w:t>
      </w:r>
      <w:r w:rsidRPr="00F52189">
        <w:rPr>
          <w:color w:val="3D3D3D"/>
          <w:szCs w:val="26"/>
        </w:rPr>
        <w:t xml:space="preserve">, at p. 927.) </w:t>
      </w:r>
    </w:p>
    <w:p w:rsidR="00464FE6" w:rsidRPr="00F52189" w:rsidP="00464FE6" w14:paraId="28AAEC04" w14:textId="2418032A">
      <w:pPr>
        <w:pStyle w:val="FootnoteText"/>
        <w:spacing w:line="360" w:lineRule="auto"/>
        <w:rPr>
          <w:color w:val="3D3D3D"/>
          <w:szCs w:val="26"/>
        </w:rPr>
      </w:pPr>
      <w:r w:rsidRPr="00F52189">
        <w:rPr>
          <w:color w:val="3D3D3D"/>
          <w:szCs w:val="26"/>
        </w:rPr>
        <w:tab/>
        <w:t xml:space="preserve">Whether a particular sidewalk defect is trivial and nonactionable may be resolved </w:t>
      </w:r>
      <w:r w:rsidRPr="00F52189">
        <w:rPr>
          <w:i/>
          <w:iCs/>
          <w:color w:val="3D3D3D"/>
          <w:szCs w:val="26"/>
        </w:rPr>
        <w:t>as a matter of law</w:t>
      </w:r>
      <w:r w:rsidRPr="00F52189">
        <w:rPr>
          <w:color w:val="3D3D3D"/>
          <w:szCs w:val="26"/>
        </w:rPr>
        <w:t xml:space="preserve"> using a two-step analysis.  (</w:t>
      </w:r>
      <w:r w:rsidRPr="00F52189">
        <w:rPr>
          <w:i/>
          <w:iCs/>
          <w:color w:val="3D3D3D"/>
          <w:szCs w:val="26"/>
        </w:rPr>
        <w:t>Huckey</w:t>
      </w:r>
      <w:r w:rsidRPr="00F52189">
        <w:rPr>
          <w:color w:val="3D3D3D"/>
          <w:szCs w:val="26"/>
        </w:rPr>
        <w:t xml:space="preserve">, </w:t>
      </w:r>
      <w:r w:rsidRPr="00F52189">
        <w:rPr>
          <w:i/>
          <w:iCs/>
          <w:color w:val="3D3D3D"/>
          <w:szCs w:val="26"/>
        </w:rPr>
        <w:t>supra</w:t>
      </w:r>
      <w:r w:rsidRPr="00F52189">
        <w:rPr>
          <w:color w:val="3D3D3D"/>
          <w:szCs w:val="26"/>
        </w:rPr>
        <w:t xml:space="preserve">, 37 Cal.App.5th at p. 1105 [citing cases applying two-step analysis]; see </w:t>
      </w:r>
      <w:r w:rsidRPr="00F52189">
        <w:rPr>
          <w:i/>
          <w:iCs/>
          <w:color w:val="3D3D3D"/>
          <w:szCs w:val="26"/>
        </w:rPr>
        <w:t>Nunez</w:t>
      </w:r>
      <w:r w:rsidRPr="00F52189">
        <w:rPr>
          <w:color w:val="3D3D3D"/>
          <w:szCs w:val="26"/>
        </w:rPr>
        <w:t xml:space="preserve">, </w:t>
      </w:r>
      <w:r w:rsidRPr="00F52189">
        <w:rPr>
          <w:i/>
          <w:iCs/>
          <w:color w:val="3D3D3D"/>
          <w:szCs w:val="26"/>
        </w:rPr>
        <w:t>supra</w:t>
      </w:r>
      <w:r w:rsidRPr="00F52189">
        <w:rPr>
          <w:color w:val="3D3D3D"/>
          <w:szCs w:val="26"/>
        </w:rPr>
        <w:t>, 81 Cal.App.5th at p. 758 [accord].)  First, we review the evidence of the size and nature of the defect.  (</w:t>
      </w:r>
      <w:r w:rsidRPr="00F52189">
        <w:rPr>
          <w:i/>
          <w:iCs/>
          <w:color w:val="3D3D3D"/>
          <w:szCs w:val="26"/>
        </w:rPr>
        <w:t>Huckey</w:t>
      </w:r>
      <w:r w:rsidRPr="00F52189">
        <w:rPr>
          <w:color w:val="3D3D3D"/>
          <w:szCs w:val="26"/>
        </w:rPr>
        <w:t>, at p. 1105.)  If that analysis supports a finding of a trivial defect based on its physical characteristics, we then consider whether the defect was likely to pose a significant risk of injury because there was evidence that the conditions of the walkway surrounding the defect or the circumstances of the accident “ ‘ma</w:t>
      </w:r>
      <w:r w:rsidRPr="00F52189" w:rsidR="00986958">
        <w:rPr>
          <w:color w:val="3D3D3D"/>
          <w:szCs w:val="26"/>
        </w:rPr>
        <w:t>[</w:t>
      </w:r>
      <w:r w:rsidRPr="00F52189">
        <w:rPr>
          <w:color w:val="3D3D3D"/>
          <w:szCs w:val="26"/>
        </w:rPr>
        <w:t>de</w:t>
      </w:r>
      <w:r w:rsidRPr="00F52189" w:rsidR="00986958">
        <w:rPr>
          <w:color w:val="3D3D3D"/>
          <w:szCs w:val="26"/>
        </w:rPr>
        <w:t>]</w:t>
      </w:r>
      <w:r w:rsidRPr="00F52189">
        <w:rPr>
          <w:color w:val="3D3D3D"/>
          <w:szCs w:val="26"/>
        </w:rPr>
        <w:t xml:space="preserve"> the defect more dangerous than its size alone would suggest.’ ”  (</w:t>
      </w:r>
      <w:r w:rsidRPr="00F52189">
        <w:rPr>
          <w:i/>
          <w:iCs/>
          <w:color w:val="3D3D3D"/>
          <w:szCs w:val="26"/>
        </w:rPr>
        <w:t>Ibid</w:t>
      </w:r>
      <w:r w:rsidRPr="00F52189">
        <w:rPr>
          <w:color w:val="3D3D3D"/>
          <w:szCs w:val="26"/>
        </w:rPr>
        <w:t>.)  If the evidence of additional factors does not indicate the defect was sufficiently dangerous to a reasonably careful person, we deem the defect trivial as matter of law.  (</w:t>
      </w:r>
      <w:r w:rsidRPr="00F52189">
        <w:rPr>
          <w:i/>
          <w:iCs/>
          <w:color w:val="3D3D3D"/>
          <w:szCs w:val="26"/>
        </w:rPr>
        <w:t>Id.</w:t>
      </w:r>
      <w:r w:rsidRPr="00F52189">
        <w:rPr>
          <w:color w:val="3D3D3D"/>
          <w:szCs w:val="26"/>
        </w:rPr>
        <w:t xml:space="preserve"> at p. 1105.)</w:t>
      </w:r>
    </w:p>
    <w:p w:rsidR="00464FE6" w:rsidRPr="00F52189" w:rsidP="00464FE6" w14:paraId="402D1BF6" w14:textId="52EB3582">
      <w:pPr>
        <w:pStyle w:val="FootnoteText"/>
        <w:spacing w:line="360" w:lineRule="auto"/>
        <w:ind w:firstLine="720"/>
        <w:rPr>
          <w:color w:val="3D3D3D"/>
          <w:szCs w:val="26"/>
        </w:rPr>
      </w:pPr>
      <w:r w:rsidRPr="00F52189">
        <w:rPr>
          <w:color w:val="3D3D3D"/>
          <w:szCs w:val="26"/>
        </w:rPr>
        <w:t xml:space="preserve">One </w:t>
      </w:r>
      <w:r w:rsidRPr="00F52189">
        <w:rPr>
          <w:szCs w:val="26"/>
        </w:rPr>
        <w:t xml:space="preserve">court of appeal has recently rejected this two-step analysis and used “a holistic multi-factor framework for assessing triviality” as a matter of law, holding that “the size of the defect is but one of the many circumstances to be considered; however, size remains the </w:t>
      </w:r>
      <w:r w:rsidRPr="00F52189" w:rsidR="00986958">
        <w:rPr>
          <w:szCs w:val="26"/>
        </w:rPr>
        <w:t>‘ “</w:t>
      </w:r>
      <w:r w:rsidRPr="00F52189">
        <w:rPr>
          <w:szCs w:val="26"/>
        </w:rPr>
        <w:t>most important” ’ of the dangerous condition factors.”  (</w:t>
      </w:r>
      <w:r w:rsidRPr="00F52189">
        <w:rPr>
          <w:i/>
          <w:iCs/>
          <w:szCs w:val="26"/>
        </w:rPr>
        <w:t>Stack v. City of Lemoore</w:t>
      </w:r>
      <w:r w:rsidRPr="00F52189">
        <w:rPr>
          <w:szCs w:val="26"/>
        </w:rPr>
        <w:t xml:space="preserve"> (2023) 91 Cal.App.5th 102, 114.) </w:t>
      </w:r>
    </w:p>
    <w:p w:rsidR="00464FE6" w:rsidRPr="00F52189" w:rsidP="00464FE6" w14:paraId="1D968349" w14:textId="1B552104">
      <w:pPr>
        <w:pStyle w:val="FootnoteText"/>
        <w:spacing w:line="360" w:lineRule="auto"/>
        <w:ind w:firstLine="720"/>
        <w:rPr>
          <w:color w:val="3D3D3D"/>
          <w:szCs w:val="26"/>
        </w:rPr>
      </w:pPr>
      <w:r w:rsidRPr="00F52189">
        <w:rPr>
          <w:szCs w:val="26"/>
        </w:rPr>
        <w:t>Under either approach, we conclude the vertical misalignment of the metal plate cover and surrounding sidewalk was a trivial defect as a matter of law barring this lawsuit.</w:t>
      </w:r>
    </w:p>
    <w:p w:rsidR="00464FE6" w:rsidRPr="00F52189" w:rsidP="00F75014" w14:paraId="323755F8" w14:textId="6DA27587">
      <w:pPr>
        <w:pStyle w:val="FootnoteText"/>
        <w:keepNext/>
        <w:numPr>
          <w:ilvl w:val="0"/>
          <w:numId w:val="5"/>
        </w:numPr>
        <w:spacing w:line="360" w:lineRule="auto"/>
        <w:rPr>
          <w:b/>
          <w:bCs/>
          <w:color w:val="3D3D3D"/>
          <w:szCs w:val="26"/>
        </w:rPr>
      </w:pPr>
      <w:r w:rsidRPr="00F52189">
        <w:rPr>
          <w:b/>
          <w:bCs/>
          <w:color w:val="3D3D3D"/>
          <w:szCs w:val="26"/>
        </w:rPr>
        <w:t>Defendants Made Prima Facie Showing that Vertical</w:t>
      </w:r>
      <w:r w:rsidRPr="00F52189" w:rsidR="005B42E2">
        <w:rPr>
          <w:b/>
          <w:bCs/>
          <w:color w:val="3D3D3D"/>
          <w:szCs w:val="26"/>
        </w:rPr>
        <w:t xml:space="preserve"> </w:t>
      </w:r>
      <w:r w:rsidRPr="00F52189">
        <w:rPr>
          <w:b/>
          <w:bCs/>
          <w:color w:val="3D3D3D"/>
          <w:szCs w:val="26"/>
        </w:rPr>
        <w:t>Misalignment Was Trivial Defect</w:t>
      </w:r>
    </w:p>
    <w:p w:rsidR="00464FE6" w:rsidRPr="00F52189" w:rsidP="00464FE6" w14:paraId="0FE9EBC1" w14:textId="206F9B20">
      <w:pPr>
        <w:pStyle w:val="FootnoteText"/>
        <w:spacing w:line="360" w:lineRule="auto"/>
        <w:ind w:firstLine="720"/>
        <w:rPr>
          <w:color w:val="3D3D3D"/>
          <w:szCs w:val="26"/>
        </w:rPr>
      </w:pPr>
      <w:r w:rsidRPr="00F52189">
        <w:rPr>
          <w:color w:val="3D3D3D"/>
          <w:szCs w:val="26"/>
        </w:rPr>
        <w:t>Defendants met their initial burden of presenting evidence (both testimonial and photographic) demonstrating prima facie that the vertical misalignment was a trivial defect based on</w:t>
      </w:r>
      <w:r w:rsidRPr="00F52189" w:rsidR="00E06ACD">
        <w:rPr>
          <w:color w:val="3D3D3D"/>
          <w:szCs w:val="26"/>
        </w:rPr>
        <w:t xml:space="preserve"> the</w:t>
      </w:r>
      <w:r w:rsidRPr="00F52189">
        <w:rPr>
          <w:color w:val="3D3D3D"/>
          <w:szCs w:val="26"/>
        </w:rPr>
        <w:t xml:space="preserve"> following factors: (1) the size, nature, and quality of the defect </w:t>
      </w:r>
      <w:r w:rsidRPr="00F52189" w:rsidR="00D96EBC">
        <w:rPr>
          <w:color w:val="3D3D3D"/>
          <w:szCs w:val="26"/>
        </w:rPr>
        <w:t xml:space="preserve">– </w:t>
      </w:r>
      <w:r w:rsidRPr="00F52189">
        <w:rPr>
          <w:color w:val="3D3D3D"/>
          <w:szCs w:val="26"/>
        </w:rPr>
        <w:t>a vertical misalignment of less than one inch with no broken pieces or jagged edges on the metal plate or surrounding sidewalk</w:t>
      </w:r>
      <w:r w:rsidRPr="00F52189" w:rsidR="00D96EBC">
        <w:rPr>
          <w:color w:val="3D3D3D"/>
          <w:szCs w:val="26"/>
        </w:rPr>
        <w:t xml:space="preserve">; </w:t>
      </w:r>
      <w:r w:rsidRPr="00F52189">
        <w:rPr>
          <w:color w:val="3D3D3D"/>
          <w:szCs w:val="26"/>
        </w:rPr>
        <w:t xml:space="preserve">(2) </w:t>
      </w:r>
      <w:r w:rsidRPr="00F52189" w:rsidR="00D96EBC">
        <w:rPr>
          <w:color w:val="3D3D3D"/>
          <w:szCs w:val="26"/>
        </w:rPr>
        <w:t xml:space="preserve">visibility – </w:t>
      </w:r>
      <w:r w:rsidRPr="00F52189">
        <w:rPr>
          <w:color w:val="3D3D3D"/>
          <w:szCs w:val="26"/>
        </w:rPr>
        <w:t xml:space="preserve">although the accident occurred at nighttime the area was illuminated with artificial lighting from multiple sources and there was no debris or material on the metal plate or surrounding sidewalk that concealed the defect; and (3) </w:t>
      </w:r>
      <w:r w:rsidRPr="00F52189" w:rsidR="00D96EBC">
        <w:rPr>
          <w:color w:val="3D3D3D"/>
          <w:szCs w:val="26"/>
        </w:rPr>
        <w:t xml:space="preserve">lack of prior incidents – there was </w:t>
      </w:r>
      <w:r w:rsidRPr="00F52189">
        <w:rPr>
          <w:color w:val="3D3D3D"/>
          <w:szCs w:val="26"/>
        </w:rPr>
        <w:t xml:space="preserve">no evidence </w:t>
      </w:r>
      <w:r w:rsidRPr="00F52189" w:rsidR="00D96EBC">
        <w:rPr>
          <w:color w:val="3D3D3D"/>
          <w:szCs w:val="26"/>
        </w:rPr>
        <w:t xml:space="preserve">of </w:t>
      </w:r>
      <w:r w:rsidRPr="00F52189">
        <w:rPr>
          <w:color w:val="3D3D3D"/>
          <w:szCs w:val="26"/>
        </w:rPr>
        <w:t xml:space="preserve">tripping incidents before Miller’s accident.  (See </w:t>
      </w:r>
      <w:r w:rsidRPr="00F52189">
        <w:rPr>
          <w:i/>
          <w:iCs/>
          <w:color w:val="3D3D3D"/>
          <w:szCs w:val="26"/>
        </w:rPr>
        <w:t>Huckey</w:t>
      </w:r>
      <w:r w:rsidRPr="00F52189">
        <w:rPr>
          <w:color w:val="3D3D3D"/>
          <w:szCs w:val="26"/>
        </w:rPr>
        <w:t xml:space="preserve">, </w:t>
      </w:r>
      <w:r w:rsidRPr="00F52189">
        <w:rPr>
          <w:i/>
          <w:iCs/>
          <w:color w:val="3D3D3D"/>
          <w:szCs w:val="26"/>
        </w:rPr>
        <w:t>supra</w:t>
      </w:r>
      <w:r w:rsidRPr="00F52189">
        <w:rPr>
          <w:color w:val="3D3D3D"/>
          <w:szCs w:val="26"/>
        </w:rPr>
        <w:t xml:space="preserve">, 37 Cal.App.5th at p. 1105 [discussing factors to be considered in making prima facie showing that sidewalk defect was trivial].) </w:t>
      </w:r>
    </w:p>
    <w:p w:rsidR="00464FE6" w:rsidRPr="00F52189" w:rsidP="00464FE6" w14:paraId="1C060ABB" w14:textId="42A87809">
      <w:pPr>
        <w:shd w:val="clear" w:color="auto" w:fill="FFFFFF"/>
        <w:spacing w:line="360" w:lineRule="auto"/>
        <w:textAlignment w:val="baseline"/>
        <w:rPr>
          <w:rFonts w:ascii="Century Schoolbook" w:hAnsi="Century Schoolbook"/>
          <w:color w:val="3D3D3D"/>
          <w:sz w:val="26"/>
          <w:szCs w:val="26"/>
        </w:rPr>
      </w:pPr>
      <w:r w:rsidRPr="00F52189">
        <w:rPr>
          <w:rFonts w:ascii="Century Schoolbook" w:hAnsi="Century Schoolbook"/>
          <w:b/>
          <w:bCs/>
          <w:color w:val="3D3D3D"/>
          <w:sz w:val="26"/>
          <w:szCs w:val="26"/>
          <w:shd w:val="clear" w:color="auto" w:fill="FFFFFF"/>
        </w:rPr>
        <w:tab/>
        <w:t xml:space="preserve">C. City Guidelines Do Not Raise </w:t>
      </w:r>
      <w:r w:rsidRPr="00F52189" w:rsidR="00163CEC">
        <w:rPr>
          <w:rFonts w:ascii="Century Schoolbook" w:hAnsi="Century Schoolbook"/>
          <w:b/>
          <w:bCs/>
          <w:color w:val="3D3D3D"/>
          <w:sz w:val="26"/>
          <w:szCs w:val="26"/>
          <w:shd w:val="clear" w:color="auto" w:fill="FFFFFF"/>
        </w:rPr>
        <w:t>a</w:t>
      </w:r>
      <w:r w:rsidRPr="00F52189">
        <w:rPr>
          <w:rFonts w:ascii="Century Schoolbook" w:hAnsi="Century Schoolbook"/>
          <w:b/>
          <w:bCs/>
          <w:color w:val="3D3D3D"/>
          <w:sz w:val="26"/>
          <w:szCs w:val="26"/>
          <w:shd w:val="clear" w:color="auto" w:fill="FFFFFF"/>
        </w:rPr>
        <w:t xml:space="preserve"> Triable Issue</w:t>
      </w:r>
    </w:p>
    <w:p w:rsidR="00464FE6" w:rsidRPr="00F52189" w:rsidP="00464FE6" w14:paraId="2ED66394" w14:textId="19B5E708">
      <w:pPr>
        <w:pStyle w:val="FootnoteText"/>
        <w:spacing w:line="360" w:lineRule="auto"/>
        <w:ind w:firstLine="720"/>
        <w:rPr>
          <w:bCs/>
          <w:szCs w:val="26"/>
        </w:rPr>
      </w:pPr>
      <w:r w:rsidRPr="00F52189">
        <w:rPr>
          <w:bCs/>
          <w:szCs w:val="26"/>
        </w:rPr>
        <w:t>In challenging defendants’ prima facie showing, Miller contends the vertical misalignment cannot be deemed trivial as a matter of law because</w:t>
      </w:r>
      <w:r w:rsidRPr="00F52189" w:rsidR="00163CEC">
        <w:rPr>
          <w:bCs/>
          <w:szCs w:val="26"/>
        </w:rPr>
        <w:t xml:space="preserve"> </w:t>
      </w:r>
      <w:r w:rsidRPr="00F52189">
        <w:rPr>
          <w:bCs/>
          <w:szCs w:val="26"/>
        </w:rPr>
        <w:t xml:space="preserve">City </w:t>
      </w:r>
      <w:r w:rsidRPr="00F52189" w:rsidR="005208EB">
        <w:rPr>
          <w:bCs/>
          <w:szCs w:val="26"/>
        </w:rPr>
        <w:t>g</w:t>
      </w:r>
      <w:r w:rsidRPr="00F52189">
        <w:rPr>
          <w:bCs/>
          <w:szCs w:val="26"/>
        </w:rPr>
        <w:t xml:space="preserve">uidelines </w:t>
      </w:r>
      <w:r w:rsidRPr="00F52189" w:rsidR="00163CEC">
        <w:rPr>
          <w:bCs/>
          <w:szCs w:val="26"/>
        </w:rPr>
        <w:t>require</w:t>
      </w:r>
      <w:r w:rsidRPr="00F52189">
        <w:rPr>
          <w:bCs/>
          <w:szCs w:val="26"/>
        </w:rPr>
        <w:t xml:space="preserve"> repair of sidewalk height differentials one-half inch or greater</w:t>
      </w:r>
      <w:r w:rsidRPr="00F52189" w:rsidR="00163CEC">
        <w:rPr>
          <w:bCs/>
          <w:szCs w:val="26"/>
        </w:rPr>
        <w:t xml:space="preserve"> and</w:t>
      </w:r>
      <w:r w:rsidRPr="00F52189">
        <w:rPr>
          <w:bCs/>
          <w:szCs w:val="26"/>
        </w:rPr>
        <w:t xml:space="preserve"> the City inspector</w:t>
      </w:r>
      <w:r w:rsidRPr="00F52189" w:rsidR="00163CEC">
        <w:rPr>
          <w:bCs/>
          <w:szCs w:val="26"/>
        </w:rPr>
        <w:t xml:space="preserve"> ordered </w:t>
      </w:r>
      <w:r w:rsidRPr="00F52189">
        <w:rPr>
          <w:bCs/>
          <w:szCs w:val="26"/>
        </w:rPr>
        <w:t>repairs o</w:t>
      </w:r>
      <w:r w:rsidRPr="00F52189" w:rsidR="00163CEC">
        <w:rPr>
          <w:bCs/>
          <w:szCs w:val="26"/>
        </w:rPr>
        <w:t>f</w:t>
      </w:r>
      <w:r w:rsidRPr="00F52189">
        <w:rPr>
          <w:bCs/>
          <w:szCs w:val="26"/>
        </w:rPr>
        <w:t xml:space="preserve"> the misalignment</w:t>
      </w:r>
      <w:r w:rsidRPr="00F52189" w:rsidR="00163CEC">
        <w:rPr>
          <w:bCs/>
          <w:szCs w:val="26"/>
        </w:rPr>
        <w:t xml:space="preserve">.  </w:t>
      </w:r>
      <w:r w:rsidRPr="00F52189" w:rsidR="00FA2D20">
        <w:rPr>
          <w:bCs/>
          <w:szCs w:val="26"/>
        </w:rPr>
        <w:t xml:space="preserve">Therefore, Miller contends, a trier of fact could find the virtual misalignment was a dangerous condition, citing to </w:t>
      </w:r>
      <w:r w:rsidRPr="00F52189">
        <w:rPr>
          <w:bCs/>
          <w:i/>
          <w:iCs/>
          <w:szCs w:val="26"/>
        </w:rPr>
        <w:t>Laurenzi v. Vranizan</w:t>
      </w:r>
      <w:r w:rsidRPr="00F52189">
        <w:rPr>
          <w:bCs/>
          <w:szCs w:val="26"/>
        </w:rPr>
        <w:t xml:space="preserve"> (1945) 25 Cal.2d 806</w:t>
      </w:r>
      <w:r w:rsidRPr="00F52189" w:rsidR="009206BD">
        <w:rPr>
          <w:bCs/>
          <w:szCs w:val="26"/>
        </w:rPr>
        <w:t xml:space="preserve"> (</w:t>
      </w:r>
      <w:r w:rsidRPr="00F52189" w:rsidR="009206BD">
        <w:rPr>
          <w:bCs/>
          <w:i/>
          <w:iCs/>
          <w:szCs w:val="26"/>
        </w:rPr>
        <w:t>Laurenzi</w:t>
      </w:r>
      <w:r w:rsidRPr="00F52189" w:rsidR="009206BD">
        <w:rPr>
          <w:bCs/>
          <w:szCs w:val="26"/>
        </w:rPr>
        <w:t>)</w:t>
      </w:r>
      <w:r w:rsidRPr="00F52189">
        <w:rPr>
          <w:bCs/>
          <w:szCs w:val="26"/>
        </w:rPr>
        <w:t xml:space="preserve">. </w:t>
      </w:r>
      <w:r w:rsidRPr="00F52189" w:rsidR="00780462">
        <w:rPr>
          <w:bCs/>
          <w:szCs w:val="26"/>
        </w:rPr>
        <w:t xml:space="preserve"> </w:t>
      </w:r>
      <w:r w:rsidRPr="00F52189">
        <w:rPr>
          <w:bCs/>
          <w:szCs w:val="26"/>
        </w:rPr>
        <w:t xml:space="preserve">We disagree. </w:t>
      </w:r>
    </w:p>
    <w:p w:rsidR="00464FE6" w:rsidRPr="00F52189" w:rsidP="00464FE6" w14:paraId="71B6EEB8" w14:textId="0E3F9B98">
      <w:pPr>
        <w:pStyle w:val="FootnoteText"/>
        <w:spacing w:line="360" w:lineRule="auto"/>
        <w:ind w:firstLine="720"/>
        <w:rPr>
          <w:bCs/>
          <w:szCs w:val="26"/>
        </w:rPr>
      </w:pPr>
      <w:r w:rsidRPr="00F52189">
        <w:rPr>
          <w:bCs/>
          <w:szCs w:val="26"/>
        </w:rPr>
        <w:t>Miller’s reliance on City</w:t>
      </w:r>
      <w:r w:rsidRPr="00F52189" w:rsidR="005208EB">
        <w:rPr>
          <w:bCs/>
          <w:szCs w:val="26"/>
        </w:rPr>
        <w:t xml:space="preserve"> g</w:t>
      </w:r>
      <w:r w:rsidRPr="00F52189">
        <w:rPr>
          <w:bCs/>
          <w:szCs w:val="26"/>
        </w:rPr>
        <w:t xml:space="preserve">uidelines requiring repair of sidewalk height differentials of one-half inch or great is unavailing as she has presented </w:t>
      </w:r>
      <w:r w:rsidRPr="00F52189">
        <w:rPr>
          <w:bCs/>
          <w:i/>
          <w:iCs/>
          <w:szCs w:val="26"/>
        </w:rPr>
        <w:t>no</w:t>
      </w:r>
      <w:r w:rsidRPr="00F52189">
        <w:rPr>
          <w:bCs/>
          <w:szCs w:val="26"/>
        </w:rPr>
        <w:t xml:space="preserve"> evidence that the City’s standard for repair of sidewalk defects has </w:t>
      </w:r>
      <w:r w:rsidRPr="00F52189" w:rsidR="009206BD">
        <w:rPr>
          <w:bCs/>
          <w:szCs w:val="26"/>
        </w:rPr>
        <w:t>“</w:t>
      </w:r>
      <w:r w:rsidRPr="00F52189">
        <w:rPr>
          <w:bCs/>
          <w:szCs w:val="26"/>
        </w:rPr>
        <w:t>been accepted as the proper standard in California for safe sidewalks.”  (</w:t>
      </w:r>
      <w:r w:rsidRPr="00F52189">
        <w:rPr>
          <w:bCs/>
          <w:i/>
          <w:iCs/>
          <w:szCs w:val="26"/>
        </w:rPr>
        <w:t>Caloroso</w:t>
      </w:r>
      <w:r w:rsidRPr="00F52189">
        <w:rPr>
          <w:bCs/>
          <w:szCs w:val="26"/>
        </w:rPr>
        <w:t xml:space="preserve">, </w:t>
      </w:r>
      <w:r w:rsidRPr="00F52189">
        <w:rPr>
          <w:bCs/>
          <w:i/>
          <w:iCs/>
          <w:szCs w:val="26"/>
        </w:rPr>
        <w:t>supra</w:t>
      </w:r>
      <w:r w:rsidRPr="00F52189">
        <w:rPr>
          <w:bCs/>
          <w:szCs w:val="26"/>
        </w:rPr>
        <w:t xml:space="preserve">, </w:t>
      </w:r>
      <w:r w:rsidRPr="00F52189" w:rsidR="009206BD">
        <w:rPr>
          <w:bCs/>
          <w:szCs w:val="26"/>
        </w:rPr>
        <w:t>1</w:t>
      </w:r>
      <w:r w:rsidRPr="00F52189">
        <w:rPr>
          <w:bCs/>
          <w:szCs w:val="26"/>
        </w:rPr>
        <w:t>22 Cal.App.4</w:t>
      </w:r>
      <w:r w:rsidRPr="00F52189" w:rsidR="00625642">
        <w:rPr>
          <w:bCs/>
          <w:szCs w:val="26"/>
        </w:rPr>
        <w:t>th</w:t>
      </w:r>
      <w:r w:rsidRPr="00F52189">
        <w:rPr>
          <w:bCs/>
          <w:szCs w:val="26"/>
        </w:rPr>
        <w:t xml:space="preserve"> at pp. 928–929 [defendant’s noncompliance with certain building codes and standards did not raise triable issue of fact that sidewalk crack was dangerous].)  </w:t>
      </w:r>
    </w:p>
    <w:p w:rsidR="00464FE6" w:rsidRPr="00F52189" w:rsidP="00464FE6" w14:paraId="11F0ED67" w14:textId="4EED16FD">
      <w:pPr>
        <w:shd w:val="clear" w:color="auto" w:fill="FFFFFF"/>
        <w:spacing w:line="360" w:lineRule="auto"/>
        <w:textAlignment w:val="baseline"/>
        <w:rPr>
          <w:rFonts w:ascii="Century Schoolbook" w:hAnsi="Century Schoolbook"/>
          <w:sz w:val="26"/>
          <w:szCs w:val="26"/>
        </w:rPr>
      </w:pPr>
      <w:r w:rsidRPr="00F52189">
        <w:rPr>
          <w:rFonts w:ascii="Century Schoolbook" w:hAnsi="Century Schoolbook"/>
          <w:bCs/>
          <w:sz w:val="26"/>
          <w:szCs w:val="26"/>
        </w:rPr>
        <w:tab/>
        <w:t xml:space="preserve">Miller’s reliance on the </w:t>
      </w:r>
      <w:r w:rsidRPr="00F52189" w:rsidR="005208EB">
        <w:rPr>
          <w:rFonts w:ascii="Century Schoolbook" w:hAnsi="Century Schoolbook"/>
          <w:bCs/>
          <w:sz w:val="26"/>
          <w:szCs w:val="26"/>
        </w:rPr>
        <w:t>repair orders</w:t>
      </w:r>
      <w:r w:rsidRPr="00F52189">
        <w:rPr>
          <w:rFonts w:ascii="Century Schoolbook" w:hAnsi="Century Schoolbook"/>
          <w:bCs/>
          <w:sz w:val="26"/>
          <w:szCs w:val="26"/>
        </w:rPr>
        <w:t xml:space="preserve"> is also unavailing</w:t>
      </w:r>
      <w:r w:rsidRPr="00F52189" w:rsidR="005208EB">
        <w:rPr>
          <w:rFonts w:ascii="Century Schoolbook" w:hAnsi="Century Schoolbook"/>
          <w:bCs/>
          <w:sz w:val="26"/>
          <w:szCs w:val="26"/>
        </w:rPr>
        <w:t xml:space="preserve">, as is her reliance on </w:t>
      </w:r>
      <w:r w:rsidRPr="00F52189">
        <w:rPr>
          <w:rFonts w:ascii="Century Schoolbook" w:hAnsi="Century Schoolbook"/>
          <w:bCs/>
          <w:i/>
          <w:iCs/>
          <w:sz w:val="26"/>
          <w:szCs w:val="26"/>
        </w:rPr>
        <w:t>Laurenzi</w:t>
      </w:r>
      <w:r w:rsidRPr="00F52189">
        <w:rPr>
          <w:rFonts w:ascii="Century Schoolbook" w:hAnsi="Century Schoolbook"/>
          <w:sz w:val="26"/>
          <w:szCs w:val="26"/>
        </w:rPr>
        <w:t xml:space="preserve">.  In </w:t>
      </w:r>
      <w:r w:rsidRPr="00F52189">
        <w:rPr>
          <w:rFonts w:ascii="Century Schoolbook" w:hAnsi="Century Schoolbook"/>
          <w:i/>
          <w:iCs/>
          <w:color w:val="3D3D3D"/>
          <w:sz w:val="26"/>
          <w:szCs w:val="26"/>
        </w:rPr>
        <w:t>Laurenzi</w:t>
      </w:r>
      <w:r w:rsidRPr="00F52189">
        <w:rPr>
          <w:rFonts w:ascii="Century Schoolbook" w:hAnsi="Century Schoolbook"/>
          <w:sz w:val="26"/>
          <w:szCs w:val="26"/>
        </w:rPr>
        <w:t xml:space="preserve">, the plaintiff’s foot became wedged in a large hole in a sidewalk (a foot long, up to two and one-half inches deep, and from two inches wide at one end to six inches wide at the other end); at the time of the fall, the area was poorly lit, the sidewalk was wet with scattered carrot top debris, and vegetable crates were stacked on either side of hole; and a </w:t>
      </w:r>
      <w:r w:rsidRPr="00F52189" w:rsidR="005741FC">
        <w:rPr>
          <w:rFonts w:ascii="Century Schoolbook" w:hAnsi="Century Schoolbook"/>
          <w:sz w:val="26"/>
          <w:szCs w:val="26"/>
        </w:rPr>
        <w:t>C</w:t>
      </w:r>
      <w:r w:rsidRPr="00F52189">
        <w:rPr>
          <w:rFonts w:ascii="Century Schoolbook" w:hAnsi="Century Schoolbook"/>
          <w:sz w:val="26"/>
          <w:szCs w:val="26"/>
        </w:rPr>
        <w:t xml:space="preserve">ity </w:t>
      </w:r>
      <w:r w:rsidRPr="00F52189">
        <w:rPr>
          <w:rFonts w:ascii="Century Schoolbook" w:hAnsi="Century Schoolbook"/>
          <w:color w:val="3D3D3D"/>
          <w:sz w:val="26"/>
          <w:szCs w:val="26"/>
        </w:rPr>
        <w:t>inspector testified that he would consider the sidewalk condition to be “hazardous</w:t>
      </w:r>
      <w:r w:rsidRPr="00F52189" w:rsidR="00E06ACD">
        <w:rPr>
          <w:rFonts w:ascii="Century Schoolbook" w:hAnsi="Century Schoolbook"/>
          <w:color w:val="3D3D3D"/>
          <w:sz w:val="26"/>
          <w:szCs w:val="26"/>
        </w:rPr>
        <w:t>.</w:t>
      </w:r>
      <w:r w:rsidRPr="00F52189" w:rsidR="004610C1">
        <w:rPr>
          <w:rFonts w:ascii="Century Schoolbook" w:hAnsi="Century Schoolbook"/>
          <w:color w:val="3D3D3D"/>
          <w:sz w:val="26"/>
          <w:szCs w:val="26"/>
        </w:rPr>
        <w:t>”</w:t>
      </w:r>
      <w:r w:rsidRPr="00F52189">
        <w:rPr>
          <w:rFonts w:ascii="Century Schoolbook" w:hAnsi="Century Schoolbook"/>
          <w:color w:val="3D3D3D"/>
          <w:sz w:val="26"/>
          <w:szCs w:val="26"/>
        </w:rPr>
        <w:t xml:space="preserve">  (</w:t>
      </w:r>
      <w:r w:rsidRPr="00F52189">
        <w:rPr>
          <w:rFonts w:ascii="Century Schoolbook" w:hAnsi="Century Schoolbook"/>
          <w:i/>
          <w:iCs/>
          <w:color w:val="3D3D3D"/>
          <w:sz w:val="26"/>
          <w:szCs w:val="26"/>
        </w:rPr>
        <w:t>Id.</w:t>
      </w:r>
      <w:r w:rsidRPr="00F52189">
        <w:rPr>
          <w:rFonts w:ascii="Century Schoolbook" w:hAnsi="Century Schoolbook"/>
          <w:color w:val="3D3D3D"/>
          <w:sz w:val="26"/>
          <w:szCs w:val="26"/>
        </w:rPr>
        <w:t xml:space="preserve"> at pp. 808, 811, 812).  Here, we are concerned with a</w:t>
      </w:r>
      <w:r w:rsidRPr="00F52189" w:rsidR="008F4EBD">
        <w:rPr>
          <w:rFonts w:ascii="Century Schoolbook" w:hAnsi="Century Schoolbook"/>
          <w:color w:val="3D3D3D"/>
          <w:sz w:val="26"/>
          <w:szCs w:val="26"/>
        </w:rPr>
        <w:t>n unobscured</w:t>
      </w:r>
      <w:r w:rsidRPr="00F52189">
        <w:rPr>
          <w:rFonts w:ascii="Century Schoolbook" w:hAnsi="Century Schoolbook"/>
          <w:color w:val="3D3D3D"/>
          <w:sz w:val="26"/>
          <w:szCs w:val="26"/>
        </w:rPr>
        <w:t xml:space="preserve"> vertical misalignment of less than one </w:t>
      </w:r>
      <w:r w:rsidRPr="00F52189" w:rsidR="008F4EBD">
        <w:rPr>
          <w:rFonts w:ascii="Century Schoolbook" w:hAnsi="Century Schoolbook"/>
          <w:color w:val="3D3D3D"/>
          <w:sz w:val="26"/>
          <w:szCs w:val="26"/>
        </w:rPr>
        <w:t>inch</w:t>
      </w:r>
      <w:r w:rsidRPr="00F52189">
        <w:rPr>
          <w:rFonts w:ascii="Century Schoolbook" w:hAnsi="Century Schoolbook"/>
          <w:color w:val="3D3D3D"/>
          <w:sz w:val="26"/>
          <w:szCs w:val="26"/>
        </w:rPr>
        <w:t xml:space="preserve">, a nighttime urban location illuminated by artificial lights from multiple sources, and no evidence that the </w:t>
      </w:r>
      <w:r w:rsidRPr="00F52189">
        <w:rPr>
          <w:rFonts w:ascii="Century Schoolbook" w:hAnsi="Century Schoolbook"/>
          <w:bCs/>
          <w:sz w:val="26"/>
          <w:szCs w:val="26"/>
        </w:rPr>
        <w:t xml:space="preserve">City inspector’s </w:t>
      </w:r>
      <w:r w:rsidRPr="00F52189">
        <w:rPr>
          <w:rFonts w:ascii="Century Schoolbook" w:hAnsi="Century Schoolbook"/>
          <w:sz w:val="26"/>
          <w:szCs w:val="26"/>
        </w:rPr>
        <w:t xml:space="preserve">decision to order repairs was premised on a finding that the vertical misalignment was a hazardous condition.  (See </w:t>
      </w:r>
      <w:r w:rsidRPr="00F52189">
        <w:rPr>
          <w:rFonts w:ascii="Century Schoolbook" w:hAnsi="Century Schoolbook"/>
          <w:i/>
          <w:iCs/>
          <w:sz w:val="26"/>
          <w:szCs w:val="26"/>
        </w:rPr>
        <w:t>Nunez</w:t>
      </w:r>
      <w:r w:rsidRPr="00F52189">
        <w:rPr>
          <w:rFonts w:ascii="Century Schoolbook" w:hAnsi="Century Schoolbook"/>
          <w:sz w:val="26"/>
          <w:szCs w:val="26"/>
        </w:rPr>
        <w:t xml:space="preserve">, </w:t>
      </w:r>
      <w:r w:rsidRPr="00F52189">
        <w:rPr>
          <w:rFonts w:ascii="Century Schoolbook" w:hAnsi="Century Schoolbook"/>
          <w:i/>
          <w:iCs/>
          <w:sz w:val="26"/>
          <w:szCs w:val="26"/>
        </w:rPr>
        <w:t>supra</w:t>
      </w:r>
      <w:r w:rsidRPr="00F52189">
        <w:rPr>
          <w:rFonts w:ascii="Century Schoolbook" w:hAnsi="Century Schoolbook"/>
          <w:sz w:val="26"/>
          <w:szCs w:val="26"/>
        </w:rPr>
        <w:t xml:space="preserve">, 81 Cal.App.5th at p. 759 [rejecting argument that </w:t>
      </w:r>
      <w:r w:rsidRPr="00F52189">
        <w:rPr>
          <w:rFonts w:ascii="Century Schoolbook" w:hAnsi="Century Schoolbook"/>
          <w:i/>
          <w:iCs/>
          <w:sz w:val="26"/>
          <w:szCs w:val="26"/>
        </w:rPr>
        <w:t xml:space="preserve">Laurenzi </w:t>
      </w:r>
      <w:r w:rsidRPr="00F52189">
        <w:rPr>
          <w:rFonts w:ascii="Century Schoolbook" w:hAnsi="Century Schoolbook"/>
          <w:sz w:val="26"/>
          <w:szCs w:val="26"/>
        </w:rPr>
        <w:t>stands for proposition that a city’s determination that a sidewalk defect is hazardous and in need of repair precludes finding the defect</w:t>
      </w:r>
      <w:r w:rsidRPr="00F52189" w:rsidR="00625642">
        <w:rPr>
          <w:rFonts w:ascii="Century Schoolbook" w:hAnsi="Century Schoolbook"/>
          <w:sz w:val="26"/>
          <w:szCs w:val="26"/>
        </w:rPr>
        <w:t xml:space="preserve"> was</w:t>
      </w:r>
      <w:r w:rsidRPr="00F52189">
        <w:rPr>
          <w:rFonts w:ascii="Century Schoolbook" w:hAnsi="Century Schoolbook"/>
          <w:sz w:val="26"/>
          <w:szCs w:val="26"/>
        </w:rPr>
        <w:t xml:space="preserve"> trivial as a matter of law; “[t]he </w:t>
      </w:r>
      <w:r w:rsidRPr="00F52189">
        <w:rPr>
          <w:rFonts w:ascii="Century Schoolbook" w:hAnsi="Century Schoolbook"/>
          <w:i/>
          <w:iCs/>
          <w:sz w:val="26"/>
          <w:szCs w:val="26"/>
        </w:rPr>
        <w:t>Laurenzi</w:t>
      </w:r>
      <w:r w:rsidRPr="00F52189">
        <w:rPr>
          <w:rFonts w:ascii="Century Schoolbook" w:hAnsi="Century Schoolbook"/>
          <w:sz w:val="26"/>
          <w:szCs w:val="26"/>
        </w:rPr>
        <w:t xml:space="preserve"> court did not hold . . . that the city’s admission that a particular defect might be dangerous creates a triable issue of fact as to whether </w:t>
      </w:r>
      <w:r w:rsidRPr="00F52189">
        <w:rPr>
          <w:rFonts w:ascii="Century Schoolbook" w:hAnsi="Century Schoolbook"/>
          <w:i/>
          <w:iCs/>
          <w:sz w:val="26"/>
          <w:szCs w:val="26"/>
        </w:rPr>
        <w:t>an otherwise trivial defect</w:t>
      </w:r>
      <w:r w:rsidRPr="00F52189">
        <w:rPr>
          <w:rFonts w:ascii="Century Schoolbook" w:hAnsi="Century Schoolbook"/>
          <w:sz w:val="26"/>
          <w:szCs w:val="26"/>
        </w:rPr>
        <w:t xml:space="preserve"> constitutes a dangerous condition,” italics added].)  </w:t>
      </w:r>
    </w:p>
    <w:p w:rsidR="00464FE6" w:rsidRPr="00F52189" w:rsidP="002E79D2" w14:paraId="62D032E7" w14:textId="2832CA4B">
      <w:pPr>
        <w:shd w:val="clear" w:color="auto" w:fill="FFFFFF"/>
        <w:spacing w:line="360" w:lineRule="auto"/>
        <w:ind w:left="720"/>
        <w:textAlignment w:val="baseline"/>
        <w:rPr>
          <w:rFonts w:ascii="Century Schoolbook" w:hAnsi="Century Schoolbook"/>
          <w:b/>
          <w:bCs/>
          <w:color w:val="3D3D3D"/>
          <w:sz w:val="26"/>
          <w:szCs w:val="26"/>
        </w:rPr>
      </w:pPr>
      <w:r w:rsidRPr="00F52189">
        <w:rPr>
          <w:rFonts w:ascii="Century Schoolbook" w:hAnsi="Century Schoolbook"/>
          <w:b/>
          <w:bCs/>
          <w:color w:val="3D3D3D"/>
          <w:sz w:val="26"/>
          <w:szCs w:val="26"/>
        </w:rPr>
        <w:t xml:space="preserve">D. Circumstances of Accident </w:t>
      </w:r>
      <w:r w:rsidRPr="00F52189" w:rsidR="008F4EBD">
        <w:rPr>
          <w:rFonts w:ascii="Century Schoolbook" w:hAnsi="Century Schoolbook"/>
          <w:b/>
          <w:bCs/>
          <w:color w:val="3D3D3D"/>
          <w:sz w:val="26"/>
          <w:szCs w:val="26"/>
        </w:rPr>
        <w:t>Do</w:t>
      </w:r>
      <w:r w:rsidRPr="00F52189">
        <w:rPr>
          <w:rFonts w:ascii="Century Schoolbook" w:hAnsi="Century Schoolbook"/>
          <w:b/>
          <w:bCs/>
          <w:color w:val="3D3D3D"/>
          <w:sz w:val="26"/>
          <w:szCs w:val="26"/>
        </w:rPr>
        <w:t xml:space="preserve"> Not Raise </w:t>
      </w:r>
      <w:r w:rsidRPr="00F52189" w:rsidR="008F4EBD">
        <w:rPr>
          <w:rFonts w:ascii="Century Schoolbook" w:hAnsi="Century Schoolbook"/>
          <w:b/>
          <w:bCs/>
          <w:color w:val="3D3D3D"/>
          <w:sz w:val="26"/>
          <w:szCs w:val="26"/>
        </w:rPr>
        <w:t xml:space="preserve">a </w:t>
      </w:r>
      <w:r w:rsidRPr="00F52189">
        <w:rPr>
          <w:rFonts w:ascii="Century Schoolbook" w:hAnsi="Century Schoolbook"/>
          <w:b/>
          <w:bCs/>
          <w:color w:val="3D3D3D"/>
          <w:sz w:val="26"/>
          <w:szCs w:val="26"/>
        </w:rPr>
        <w:t xml:space="preserve">Triable Issue </w:t>
      </w:r>
    </w:p>
    <w:p w:rsidR="00464FE6" w:rsidRPr="00F52189" w:rsidP="00464FE6" w14:paraId="683DA161" w14:textId="5DEF8540">
      <w:pPr>
        <w:shd w:val="clear" w:color="auto" w:fill="FFFFFF"/>
        <w:spacing w:line="360" w:lineRule="auto"/>
        <w:ind w:firstLine="720"/>
        <w:textAlignment w:val="baseline"/>
        <w:rPr>
          <w:rFonts w:ascii="Century Schoolbook" w:hAnsi="Century Schoolbook"/>
          <w:color w:val="3D3D3D"/>
          <w:sz w:val="26"/>
          <w:szCs w:val="26"/>
          <w:shd w:val="clear" w:color="auto" w:fill="FFFFFF"/>
        </w:rPr>
      </w:pPr>
      <w:r w:rsidRPr="00F52189">
        <w:rPr>
          <w:rFonts w:ascii="Century Schoolbook" w:hAnsi="Century Schoolbook"/>
          <w:color w:val="3D3D3D"/>
          <w:sz w:val="26"/>
          <w:szCs w:val="26"/>
          <w:shd w:val="clear" w:color="auto" w:fill="FFFFFF"/>
        </w:rPr>
        <w:t xml:space="preserve">Having found defendants made a prima facie showing that the vertical misalignment is a trivial defect, we next examine Miller’s argument that the circumstances of her accident raise a triable issue of material fact as to whether the defect could be found to be a dangerous condition that would put a reasonably careful pedestrian at significant risk of injury.  She asks us to consider that the following </w:t>
      </w:r>
      <w:r w:rsidRPr="00F52189">
        <w:rPr>
          <w:rFonts w:ascii="Century Schoolbook" w:hAnsi="Century Schoolbook"/>
          <w:sz w:val="26"/>
          <w:szCs w:val="26"/>
        </w:rPr>
        <w:t>circumstances</w:t>
      </w:r>
      <w:r w:rsidRPr="00F52189" w:rsidR="00D75702">
        <w:rPr>
          <w:rFonts w:ascii="Century Schoolbook" w:hAnsi="Century Schoolbook"/>
          <w:sz w:val="26"/>
          <w:szCs w:val="26"/>
        </w:rPr>
        <w:t xml:space="preserve"> </w:t>
      </w:r>
      <w:r w:rsidRPr="00F52189" w:rsidR="00D75702">
        <w:rPr>
          <w:rFonts w:ascii="Century Schoolbook" w:hAnsi="Century Schoolbook"/>
          <w:bCs/>
          <w:sz w:val="26"/>
          <w:szCs w:val="26"/>
        </w:rPr>
        <w:t xml:space="preserve">– </w:t>
      </w:r>
      <w:r w:rsidRPr="00F52189">
        <w:rPr>
          <w:rFonts w:ascii="Century Schoolbook" w:hAnsi="Century Schoolbook"/>
          <w:sz w:val="26"/>
          <w:szCs w:val="26"/>
        </w:rPr>
        <w:t xml:space="preserve">the steep downward decline of the sidewalk, the weather, the nighttime hour, and the crowds on the street </w:t>
      </w:r>
      <w:r w:rsidRPr="00F52189" w:rsidR="00D75702">
        <w:rPr>
          <w:rFonts w:ascii="Century Schoolbook" w:hAnsi="Century Schoolbook"/>
          <w:bCs/>
          <w:sz w:val="26"/>
          <w:szCs w:val="26"/>
        </w:rPr>
        <w:t xml:space="preserve">– </w:t>
      </w:r>
      <w:r w:rsidRPr="00F52189">
        <w:rPr>
          <w:rFonts w:ascii="Century Schoolbook" w:hAnsi="Century Schoolbook"/>
          <w:sz w:val="26"/>
          <w:szCs w:val="26"/>
        </w:rPr>
        <w:t xml:space="preserve">all combined to make the height differential less obvious than it would appear in the daylight, thereby creating a dangerous condition necessitating denial of summary judgment. </w:t>
      </w:r>
      <w:r w:rsidRPr="00F52189" w:rsidR="00780462">
        <w:rPr>
          <w:rFonts w:ascii="Century Schoolbook" w:hAnsi="Century Schoolbook"/>
          <w:sz w:val="26"/>
          <w:szCs w:val="26"/>
        </w:rPr>
        <w:t xml:space="preserve"> </w:t>
      </w:r>
      <w:r w:rsidRPr="00F52189">
        <w:rPr>
          <w:rFonts w:ascii="Century Schoolbook" w:hAnsi="Century Schoolbook"/>
          <w:sz w:val="26"/>
          <w:szCs w:val="26"/>
        </w:rPr>
        <w:t xml:space="preserve">We disagree. </w:t>
      </w:r>
    </w:p>
    <w:p w:rsidR="00464FE6" w:rsidRPr="00F52189" w:rsidP="00464FE6" w14:paraId="1F6501CC" w14:textId="2925E48F">
      <w:pPr>
        <w:shd w:val="clear" w:color="auto" w:fill="FFFFFF"/>
        <w:spacing w:line="360" w:lineRule="auto"/>
        <w:textAlignment w:val="baseline"/>
        <w:rPr>
          <w:rFonts w:ascii="Century Schoolbook" w:hAnsi="Century Schoolbook"/>
          <w:color w:val="3D3D3D"/>
          <w:sz w:val="26"/>
          <w:szCs w:val="26"/>
        </w:rPr>
      </w:pPr>
      <w:r w:rsidRPr="00F52189">
        <w:rPr>
          <w:rFonts w:ascii="Century Schoolbook" w:hAnsi="Century Schoolbook"/>
          <w:sz w:val="26"/>
          <w:szCs w:val="26"/>
        </w:rPr>
        <w:tab/>
      </w:r>
      <w:r w:rsidRPr="00F52189" w:rsidR="0080648F">
        <w:rPr>
          <w:rFonts w:ascii="Century Schoolbook" w:hAnsi="Century Schoolbook"/>
          <w:sz w:val="26"/>
          <w:szCs w:val="26"/>
        </w:rPr>
        <w:t>As to the decline of the sidewalk, w</w:t>
      </w:r>
      <w:r w:rsidRPr="00F52189">
        <w:rPr>
          <w:rFonts w:ascii="Century Schoolbook" w:hAnsi="Century Schoolbook"/>
          <w:sz w:val="26"/>
          <w:szCs w:val="26"/>
        </w:rPr>
        <w:t xml:space="preserve">e find unavailing Miller’s contention that the visibility of the </w:t>
      </w:r>
      <w:r w:rsidRPr="00F52189">
        <w:rPr>
          <w:rFonts w:ascii="Century Schoolbook" w:hAnsi="Century Schoolbook"/>
          <w:color w:val="3D3D3D"/>
          <w:sz w:val="26"/>
          <w:szCs w:val="26"/>
        </w:rPr>
        <w:t xml:space="preserve">vertical misalignment was obscured because the incident occurred on a steep (9% grade) downhill slope, affecting her depth perception and creating an “optical illusion” that the sidewalk surface was </w:t>
      </w:r>
      <w:r w:rsidRPr="00F52189" w:rsidR="00625642">
        <w:rPr>
          <w:rFonts w:ascii="Century Schoolbook" w:hAnsi="Century Schoolbook"/>
          <w:color w:val="3D3D3D"/>
          <w:sz w:val="26"/>
          <w:szCs w:val="26"/>
        </w:rPr>
        <w:t>level</w:t>
      </w:r>
      <w:r w:rsidRPr="00F52189">
        <w:rPr>
          <w:rFonts w:ascii="Century Schoolbook" w:hAnsi="Century Schoolbook"/>
          <w:color w:val="3D3D3D"/>
          <w:sz w:val="26"/>
          <w:szCs w:val="26"/>
        </w:rPr>
        <w:t>.  Even accepting her assertions concerning the grade percentage of the downward slope,</w:t>
      </w:r>
      <w:r>
        <w:rPr>
          <w:rStyle w:val="FootnoteReference"/>
          <w:rFonts w:ascii="Century Schoolbook" w:hAnsi="Century Schoolbook"/>
          <w:color w:val="3D3D3D"/>
          <w:sz w:val="26"/>
          <w:szCs w:val="26"/>
        </w:rPr>
        <w:footnoteReference w:id="2"/>
      </w:r>
      <w:r w:rsidRPr="00F52189">
        <w:rPr>
          <w:rFonts w:ascii="Century Schoolbook" w:hAnsi="Century Schoolbook"/>
          <w:color w:val="3D3D3D"/>
          <w:sz w:val="26"/>
          <w:szCs w:val="26"/>
        </w:rPr>
        <w:t xml:space="preserve"> neither in the trial court nor on appeal does Miller cite to any relevant authority, legal or scientific, supporting her assertions concerning human vision and perception of an “optical illusion.”  (See </w:t>
      </w:r>
      <w:r w:rsidRPr="00F52189">
        <w:rPr>
          <w:rFonts w:ascii="Century Schoolbook" w:hAnsi="Century Schoolbook"/>
          <w:i/>
          <w:iCs/>
          <w:color w:val="3D3D3D"/>
          <w:sz w:val="26"/>
          <w:szCs w:val="26"/>
        </w:rPr>
        <w:t>McGonnell v. Kaiser Gypsum Co.</w:t>
      </w:r>
      <w:r w:rsidRPr="00F52189" w:rsidR="009206BD">
        <w:rPr>
          <w:rFonts w:ascii="Century Schoolbook" w:hAnsi="Century Schoolbook"/>
          <w:i/>
          <w:iCs/>
          <w:color w:val="3D3D3D"/>
          <w:sz w:val="26"/>
          <w:szCs w:val="26"/>
        </w:rPr>
        <w:t>, Inc.</w:t>
      </w:r>
      <w:r w:rsidRPr="00F52189">
        <w:rPr>
          <w:rFonts w:ascii="Century Schoolbook" w:hAnsi="Century Schoolbook"/>
          <w:color w:val="3D3D3D"/>
          <w:sz w:val="26"/>
          <w:szCs w:val="26"/>
        </w:rPr>
        <w:t xml:space="preserve"> (2002) 98 Cal.App.4th 1098, 1106 [party cannot manufacture triable issue of fact with self-serving opinion and speculation devoid of any basis, explanation, or reasoning].) </w:t>
      </w:r>
      <w:r w:rsidRPr="00F52189" w:rsidR="00780462">
        <w:rPr>
          <w:rFonts w:ascii="Century Schoolbook" w:hAnsi="Century Schoolbook"/>
          <w:color w:val="3D3D3D"/>
          <w:sz w:val="26"/>
          <w:szCs w:val="26"/>
        </w:rPr>
        <w:t xml:space="preserve"> </w:t>
      </w:r>
      <w:r w:rsidRPr="00F52189">
        <w:rPr>
          <w:rFonts w:ascii="Century Schoolbook" w:hAnsi="Century Schoolbook"/>
          <w:color w:val="3D3D3D"/>
          <w:sz w:val="26"/>
          <w:szCs w:val="26"/>
        </w:rPr>
        <w:t xml:space="preserve">While Miller refers to </w:t>
      </w:r>
      <w:r w:rsidRPr="00F52189" w:rsidR="00625642">
        <w:rPr>
          <w:rFonts w:ascii="Century Schoolbook" w:hAnsi="Century Schoolbook"/>
          <w:color w:val="3D3D3D"/>
          <w:sz w:val="26"/>
          <w:szCs w:val="26"/>
        </w:rPr>
        <w:t>the American</w:t>
      </w:r>
      <w:r w:rsidRPr="00F52189" w:rsidR="0046317B">
        <w:rPr>
          <w:rFonts w:ascii="Century Schoolbook" w:hAnsi="Century Schoolbook"/>
          <w:color w:val="3D3D3D"/>
          <w:sz w:val="26"/>
          <w:szCs w:val="26"/>
        </w:rPr>
        <w:t>s</w:t>
      </w:r>
      <w:r w:rsidRPr="00F52189" w:rsidR="00625642">
        <w:rPr>
          <w:rFonts w:ascii="Century Schoolbook" w:hAnsi="Century Schoolbook"/>
          <w:color w:val="3D3D3D"/>
          <w:sz w:val="26"/>
          <w:szCs w:val="26"/>
        </w:rPr>
        <w:t xml:space="preserve"> with Disabilities Act </w:t>
      </w:r>
      <w:r w:rsidRPr="00F52189">
        <w:rPr>
          <w:rFonts w:ascii="Century Schoolbook" w:hAnsi="Century Schoolbook"/>
          <w:color w:val="3D3D3D"/>
          <w:sz w:val="26"/>
          <w:szCs w:val="26"/>
        </w:rPr>
        <w:t xml:space="preserve">standards regarding maximum percentage grades allowed for ramps, she has not cited any law indicating </w:t>
      </w:r>
      <w:r w:rsidRPr="00F52189" w:rsidR="00D75702">
        <w:rPr>
          <w:rFonts w:ascii="Century Schoolbook" w:hAnsi="Century Schoolbook"/>
          <w:color w:val="3D3D3D"/>
          <w:sz w:val="26"/>
          <w:szCs w:val="26"/>
        </w:rPr>
        <w:t>that is</w:t>
      </w:r>
      <w:r w:rsidRPr="00F52189">
        <w:rPr>
          <w:rFonts w:ascii="Century Schoolbook" w:hAnsi="Century Schoolbook"/>
          <w:color w:val="3D3D3D"/>
          <w:sz w:val="26"/>
          <w:szCs w:val="26"/>
        </w:rPr>
        <w:t xml:space="preserve"> a relevant standard for determining whether a sidewalk defect constitutes a dangerous condition.  (S</w:t>
      </w:r>
      <w:r w:rsidRPr="00F52189">
        <w:rPr>
          <w:rFonts w:ascii="Century Schoolbook" w:hAnsi="Century Schoolbook"/>
          <w:bCs/>
          <w:sz w:val="26"/>
          <w:szCs w:val="26"/>
        </w:rPr>
        <w:t xml:space="preserve">ee </w:t>
      </w:r>
      <w:r w:rsidRPr="00F52189">
        <w:rPr>
          <w:rFonts w:ascii="Century Schoolbook" w:hAnsi="Century Schoolbook"/>
          <w:bCs/>
          <w:i/>
          <w:iCs/>
          <w:sz w:val="26"/>
          <w:szCs w:val="26"/>
        </w:rPr>
        <w:t>Caloroso</w:t>
      </w:r>
      <w:r w:rsidRPr="00F52189">
        <w:rPr>
          <w:rFonts w:ascii="Century Schoolbook" w:hAnsi="Century Schoolbook"/>
          <w:bCs/>
          <w:sz w:val="26"/>
          <w:szCs w:val="26"/>
        </w:rPr>
        <w:t xml:space="preserve">, </w:t>
      </w:r>
      <w:r w:rsidRPr="00F52189">
        <w:rPr>
          <w:rFonts w:ascii="Century Schoolbook" w:hAnsi="Century Schoolbook"/>
          <w:bCs/>
          <w:i/>
          <w:iCs/>
          <w:sz w:val="26"/>
          <w:szCs w:val="26"/>
        </w:rPr>
        <w:t>supra</w:t>
      </w:r>
      <w:r w:rsidRPr="00F52189">
        <w:rPr>
          <w:rFonts w:ascii="Century Schoolbook" w:hAnsi="Century Schoolbook"/>
          <w:bCs/>
          <w:sz w:val="26"/>
          <w:szCs w:val="26"/>
        </w:rPr>
        <w:t>, 122 Cal.App.4th at p. 92</w:t>
      </w:r>
      <w:r w:rsidRPr="00F52189" w:rsidR="009206BD">
        <w:rPr>
          <w:rFonts w:ascii="Century Schoolbook" w:hAnsi="Century Schoolbook"/>
          <w:bCs/>
          <w:sz w:val="26"/>
          <w:szCs w:val="26"/>
        </w:rPr>
        <w:t>8</w:t>
      </w:r>
      <w:r w:rsidRPr="00F52189">
        <w:rPr>
          <w:rFonts w:ascii="Century Schoolbook" w:hAnsi="Century Schoolbook"/>
          <w:bCs/>
          <w:sz w:val="26"/>
          <w:szCs w:val="26"/>
        </w:rPr>
        <w:t xml:space="preserve"> [evidence that defendant’s noncompliance with certain building codes and standards made sidewalk crack dangerous did not raise triable issue as there was no evidence that the codes and standards “have been accepted as the proper standard in California for safe sidewalks”].)</w:t>
      </w:r>
      <w:r>
        <w:rPr>
          <w:rStyle w:val="FootnoteReference"/>
          <w:rFonts w:ascii="Century Schoolbook" w:hAnsi="Century Schoolbook"/>
          <w:bCs/>
          <w:sz w:val="26"/>
          <w:szCs w:val="26"/>
        </w:rPr>
        <w:footnoteReference w:id="3"/>
      </w:r>
      <w:r w:rsidRPr="00F52189">
        <w:rPr>
          <w:rFonts w:ascii="Century Schoolbook" w:hAnsi="Century Schoolbook"/>
          <w:bCs/>
          <w:sz w:val="26"/>
          <w:szCs w:val="26"/>
        </w:rPr>
        <w:t xml:space="preserve"> </w:t>
      </w:r>
    </w:p>
    <w:p w:rsidR="00464FE6" w:rsidRPr="00F52189" w:rsidP="00464FE6" w14:paraId="0102B6BF" w14:textId="78C186AD">
      <w:pPr>
        <w:spacing w:line="360" w:lineRule="auto"/>
        <w:rPr>
          <w:rFonts w:ascii="Century Schoolbook" w:hAnsi="Century Schoolbook"/>
          <w:sz w:val="26"/>
          <w:szCs w:val="26"/>
        </w:rPr>
      </w:pPr>
      <w:r w:rsidRPr="00F52189">
        <w:rPr>
          <w:rFonts w:ascii="Century Schoolbook" w:hAnsi="Century Schoolbook"/>
          <w:color w:val="3D3D3D"/>
          <w:sz w:val="26"/>
          <w:szCs w:val="26"/>
        </w:rPr>
        <w:tab/>
        <w:t xml:space="preserve">We also are not persuaded by Miller’s argument that </w:t>
      </w:r>
      <w:r w:rsidRPr="00F52189" w:rsidR="0080648F">
        <w:rPr>
          <w:rFonts w:ascii="Century Schoolbook" w:hAnsi="Century Schoolbook"/>
          <w:sz w:val="26"/>
          <w:szCs w:val="26"/>
        </w:rPr>
        <w:t xml:space="preserve">the weather, the nighttime hour, and the crowds on the street combined to make this a dangerous condition. </w:t>
      </w:r>
      <w:r w:rsidRPr="00F52189" w:rsidR="00780462">
        <w:rPr>
          <w:rFonts w:ascii="Century Schoolbook" w:hAnsi="Century Schoolbook"/>
          <w:color w:val="3D3D3D"/>
          <w:sz w:val="26"/>
          <w:szCs w:val="26"/>
        </w:rPr>
        <w:t xml:space="preserve"> </w:t>
      </w:r>
      <w:r w:rsidRPr="00F52189">
        <w:rPr>
          <w:rFonts w:ascii="Century Schoolbook" w:hAnsi="Century Schoolbook"/>
          <w:color w:val="3D3D3D"/>
          <w:sz w:val="26"/>
          <w:szCs w:val="26"/>
        </w:rPr>
        <w:t>It was a typical February evening in San Francisco’s Chinatown</w:t>
      </w:r>
      <w:r w:rsidRPr="00F52189" w:rsidR="004B260D">
        <w:rPr>
          <w:rFonts w:ascii="Century Schoolbook" w:hAnsi="Century Schoolbook"/>
          <w:color w:val="3D3D3D"/>
          <w:sz w:val="26"/>
          <w:szCs w:val="26"/>
        </w:rPr>
        <w:t xml:space="preserve">.  The sky </w:t>
      </w:r>
      <w:r w:rsidRPr="00F52189">
        <w:rPr>
          <w:rFonts w:ascii="Century Schoolbook" w:hAnsi="Century Schoolbook"/>
          <w:color w:val="3D3D3D"/>
          <w:sz w:val="26"/>
          <w:szCs w:val="26"/>
        </w:rPr>
        <w:t>was foggy and misty</w:t>
      </w:r>
      <w:r w:rsidRPr="00F52189" w:rsidR="004B260D">
        <w:rPr>
          <w:rFonts w:ascii="Century Schoolbook" w:hAnsi="Century Schoolbook"/>
          <w:color w:val="3D3D3D"/>
          <w:sz w:val="26"/>
          <w:szCs w:val="26"/>
        </w:rPr>
        <w:t xml:space="preserve"> and</w:t>
      </w:r>
      <w:r w:rsidRPr="00F52189">
        <w:rPr>
          <w:rFonts w:ascii="Century Schoolbook" w:hAnsi="Century Schoolbook"/>
          <w:color w:val="3D3D3D"/>
          <w:sz w:val="26"/>
          <w:szCs w:val="26"/>
        </w:rPr>
        <w:t xml:space="preserve"> the streets were wet from an earlier rainfall</w:t>
      </w:r>
      <w:r w:rsidRPr="00F52189" w:rsidR="004B260D">
        <w:rPr>
          <w:rFonts w:ascii="Century Schoolbook" w:hAnsi="Century Schoolbook"/>
          <w:color w:val="3D3D3D"/>
          <w:sz w:val="26"/>
          <w:szCs w:val="26"/>
        </w:rPr>
        <w:t>,</w:t>
      </w:r>
      <w:r w:rsidRPr="00F52189">
        <w:rPr>
          <w:rFonts w:ascii="Century Schoolbook" w:hAnsi="Century Schoolbook"/>
          <w:color w:val="3D3D3D"/>
          <w:sz w:val="26"/>
          <w:szCs w:val="26"/>
        </w:rPr>
        <w:t xml:space="preserve"> </w:t>
      </w:r>
      <w:r w:rsidRPr="00F52189" w:rsidR="004B260D">
        <w:rPr>
          <w:rFonts w:ascii="Century Schoolbook" w:hAnsi="Century Schoolbook"/>
          <w:color w:val="3D3D3D"/>
          <w:sz w:val="26"/>
          <w:szCs w:val="26"/>
        </w:rPr>
        <w:t xml:space="preserve">but according to Miller it was not actively raining and the street was </w:t>
      </w:r>
      <w:r w:rsidRPr="00F52189">
        <w:rPr>
          <w:rFonts w:ascii="Century Schoolbook" w:hAnsi="Century Schoolbook"/>
          <w:color w:val="3D3D3D"/>
          <w:sz w:val="26"/>
          <w:szCs w:val="26"/>
        </w:rPr>
        <w:t>illuminated</w:t>
      </w:r>
      <w:r w:rsidRPr="00F52189" w:rsidR="004B260D">
        <w:rPr>
          <w:rFonts w:ascii="Century Schoolbook" w:hAnsi="Century Schoolbook"/>
          <w:color w:val="3D3D3D"/>
          <w:sz w:val="26"/>
          <w:szCs w:val="26"/>
        </w:rPr>
        <w:t xml:space="preserve">.  </w:t>
      </w:r>
      <w:r w:rsidRPr="00F52189">
        <w:rPr>
          <w:rFonts w:ascii="Century Schoolbook" w:hAnsi="Century Schoolbook"/>
          <w:bCs/>
          <w:sz w:val="26"/>
          <w:szCs w:val="26"/>
        </w:rPr>
        <w:t xml:space="preserve">Moreover, despite the </w:t>
      </w:r>
      <w:r w:rsidRPr="00F52189" w:rsidR="004B260D">
        <w:rPr>
          <w:rFonts w:ascii="Century Schoolbook" w:hAnsi="Century Schoolbook"/>
          <w:bCs/>
          <w:sz w:val="26"/>
          <w:szCs w:val="26"/>
        </w:rPr>
        <w:t xml:space="preserve">frequency of </w:t>
      </w:r>
      <w:r w:rsidRPr="00F52189">
        <w:rPr>
          <w:rFonts w:ascii="Century Schoolbook" w:hAnsi="Century Schoolbook"/>
          <w:bCs/>
          <w:sz w:val="26"/>
          <w:szCs w:val="26"/>
        </w:rPr>
        <w:t>heavy pedestrian traffic</w:t>
      </w:r>
      <w:r w:rsidRPr="00F52189" w:rsidR="004B260D">
        <w:rPr>
          <w:rFonts w:ascii="Century Schoolbook" w:hAnsi="Century Schoolbook"/>
          <w:bCs/>
          <w:sz w:val="26"/>
          <w:szCs w:val="26"/>
        </w:rPr>
        <w:t xml:space="preserve"> in the area</w:t>
      </w:r>
      <w:r w:rsidRPr="00F52189">
        <w:rPr>
          <w:rFonts w:ascii="Century Schoolbook" w:hAnsi="Century Schoolbook"/>
          <w:bCs/>
          <w:sz w:val="26"/>
          <w:szCs w:val="26"/>
        </w:rPr>
        <w:t xml:space="preserve">, </w:t>
      </w:r>
      <w:r w:rsidRPr="00F52189" w:rsidR="004B260D">
        <w:rPr>
          <w:rFonts w:ascii="Century Schoolbook" w:hAnsi="Century Schoolbook"/>
          <w:bCs/>
          <w:sz w:val="26"/>
          <w:szCs w:val="26"/>
        </w:rPr>
        <w:t xml:space="preserve">there is </w:t>
      </w:r>
      <w:r w:rsidRPr="00F52189">
        <w:rPr>
          <w:rFonts w:ascii="Century Schoolbook" w:hAnsi="Century Schoolbook"/>
          <w:bCs/>
          <w:sz w:val="26"/>
          <w:szCs w:val="26"/>
        </w:rPr>
        <w:t xml:space="preserve">no evidence that anyone other than Miller had complained of tripping at that location. </w:t>
      </w:r>
      <w:r w:rsidRPr="00F52189" w:rsidR="004B260D">
        <w:rPr>
          <w:rFonts w:ascii="Century Schoolbook" w:hAnsi="Century Schoolbook"/>
          <w:bCs/>
          <w:sz w:val="26"/>
          <w:szCs w:val="26"/>
        </w:rPr>
        <w:t xml:space="preserve"> </w:t>
      </w:r>
    </w:p>
    <w:p w:rsidR="00464FE6" w:rsidRPr="00F52189" w:rsidP="00464FE6" w14:paraId="60296360" w14:textId="2DBE0037">
      <w:pPr>
        <w:spacing w:line="360" w:lineRule="auto"/>
        <w:rPr>
          <w:rFonts w:ascii="Century Schoolbook" w:hAnsi="Century Schoolbook"/>
          <w:sz w:val="26"/>
          <w:szCs w:val="26"/>
        </w:rPr>
      </w:pPr>
      <w:r w:rsidRPr="00F52189">
        <w:rPr>
          <w:rFonts w:ascii="Century Schoolbook" w:hAnsi="Century Schoolbook"/>
          <w:sz w:val="26"/>
          <w:szCs w:val="26"/>
        </w:rPr>
        <w:tab/>
        <w:t xml:space="preserve">We therefore agree with the trial court that Miller failed to proffer evidence sufficient to raise a triable issue of fact as to “whether the size of the height differential itself, or any other circumstances </w:t>
      </w:r>
      <w:r w:rsidRPr="00F52189" w:rsidR="009206BD">
        <w:rPr>
          <w:rFonts w:ascii="Century Schoolbook" w:hAnsi="Century Schoolbook"/>
          <w:sz w:val="26"/>
          <w:szCs w:val="26"/>
        </w:rPr>
        <w:t xml:space="preserve">concerning </w:t>
      </w:r>
      <w:r w:rsidRPr="00F52189">
        <w:rPr>
          <w:rFonts w:ascii="Century Schoolbook" w:hAnsi="Century Schoolbook"/>
          <w:sz w:val="26"/>
          <w:szCs w:val="26"/>
        </w:rPr>
        <w:t>it, rendered it a dangerous condition.”  (</w:t>
      </w:r>
      <w:r w:rsidRPr="00F52189">
        <w:rPr>
          <w:rFonts w:ascii="Century Schoolbook" w:hAnsi="Century Schoolbook"/>
          <w:i/>
          <w:iCs/>
          <w:sz w:val="26"/>
          <w:szCs w:val="26"/>
        </w:rPr>
        <w:t>Huckey</w:t>
      </w:r>
      <w:r w:rsidRPr="00F52189">
        <w:rPr>
          <w:rFonts w:ascii="Century Schoolbook" w:hAnsi="Century Schoolbook"/>
          <w:sz w:val="26"/>
          <w:szCs w:val="26"/>
        </w:rPr>
        <w:t xml:space="preserve">, </w:t>
      </w:r>
      <w:r w:rsidRPr="00F52189">
        <w:rPr>
          <w:rFonts w:ascii="Century Schoolbook" w:hAnsi="Century Schoolbook"/>
          <w:i/>
          <w:iCs/>
          <w:sz w:val="26"/>
          <w:szCs w:val="26"/>
        </w:rPr>
        <w:t>supra</w:t>
      </w:r>
      <w:r w:rsidRPr="00F52189">
        <w:rPr>
          <w:rFonts w:ascii="Century Schoolbook" w:hAnsi="Century Schoolbook"/>
          <w:sz w:val="26"/>
          <w:szCs w:val="26"/>
        </w:rPr>
        <w:t xml:space="preserve">, 37 Cal.App.5th at p. 1108.)  </w:t>
      </w:r>
    </w:p>
    <w:p w:rsidR="00464FE6" w:rsidRPr="00F52189" w:rsidP="00464FE6" w14:paraId="2ED6373D" w14:textId="77777777">
      <w:pPr>
        <w:spacing w:line="360" w:lineRule="auto"/>
        <w:rPr>
          <w:rFonts w:ascii="Century Schoolbook" w:hAnsi="Century Schoolbook"/>
          <w:b/>
          <w:bCs/>
          <w:sz w:val="26"/>
          <w:szCs w:val="26"/>
        </w:rPr>
      </w:pPr>
      <w:r w:rsidRPr="00F52189">
        <w:rPr>
          <w:rFonts w:ascii="Century Schoolbook" w:hAnsi="Century Schoolbook"/>
          <w:b/>
          <w:bCs/>
          <w:sz w:val="26"/>
          <w:szCs w:val="26"/>
        </w:rPr>
        <w:t>III.</w:t>
      </w:r>
      <w:r w:rsidRPr="00F52189">
        <w:rPr>
          <w:rFonts w:ascii="Century Schoolbook" w:hAnsi="Century Schoolbook"/>
          <w:b/>
          <w:bCs/>
          <w:sz w:val="26"/>
          <w:szCs w:val="26"/>
        </w:rPr>
        <w:tab/>
        <w:t xml:space="preserve">Miller’s Claim that Complaint Supports Theory of Negligence </w:t>
      </w:r>
      <w:r w:rsidRPr="00F52189">
        <w:rPr>
          <w:rFonts w:ascii="Century Schoolbook" w:hAnsi="Century Schoolbook"/>
          <w:b/>
          <w:bCs/>
          <w:sz w:val="26"/>
          <w:szCs w:val="26"/>
        </w:rPr>
        <w:tab/>
        <w:t xml:space="preserve">Per Se Is Forfeited </w:t>
      </w:r>
    </w:p>
    <w:p w:rsidR="00C141EE" w:rsidRPr="00F52189" w:rsidP="00464FE6" w14:paraId="395667EC" w14:textId="28AA0BC5">
      <w:pPr>
        <w:shd w:val="clear" w:color="auto" w:fill="FFFFFF"/>
        <w:spacing w:line="360" w:lineRule="auto"/>
        <w:textAlignment w:val="baseline"/>
        <w:rPr>
          <w:rFonts w:ascii="Century Schoolbook" w:hAnsi="Century Schoolbook"/>
          <w:bCs/>
          <w:sz w:val="26"/>
          <w:szCs w:val="26"/>
        </w:rPr>
      </w:pPr>
      <w:r w:rsidRPr="00F52189">
        <w:rPr>
          <w:rFonts w:ascii="Century Schoolbook" w:hAnsi="Century Schoolbook"/>
          <w:sz w:val="26"/>
          <w:szCs w:val="26"/>
        </w:rPr>
        <w:tab/>
        <w:t xml:space="preserve">Miller argues </w:t>
      </w:r>
      <w:r w:rsidRPr="00F52189">
        <w:rPr>
          <w:rFonts w:ascii="Century Schoolbook" w:hAnsi="Century Schoolbook"/>
          <w:bCs/>
          <w:sz w:val="26"/>
          <w:szCs w:val="26"/>
        </w:rPr>
        <w:t xml:space="preserve">summary judgment should be reversed because the City’s repair notices to PG&amp;E and Hip Sen for their violations of the City’s Guidelines render them liable under a theory of negligence per se. </w:t>
      </w:r>
      <w:r w:rsidRPr="00F52189" w:rsidR="00780462">
        <w:rPr>
          <w:rFonts w:ascii="Century Schoolbook" w:hAnsi="Century Schoolbook"/>
          <w:bCs/>
          <w:sz w:val="26"/>
          <w:szCs w:val="26"/>
        </w:rPr>
        <w:t xml:space="preserve"> </w:t>
      </w:r>
      <w:r w:rsidRPr="00F52189">
        <w:rPr>
          <w:rFonts w:ascii="Century Schoolbook" w:hAnsi="Century Schoolbook"/>
          <w:bCs/>
          <w:sz w:val="26"/>
          <w:szCs w:val="26"/>
        </w:rPr>
        <w:t>This argument is forfeited.</w:t>
      </w:r>
    </w:p>
    <w:p w:rsidR="00464FE6" w:rsidRPr="00F52189" w:rsidP="00D83DCE" w14:paraId="4FB0390D" w14:textId="5DFF6B7A">
      <w:pPr>
        <w:shd w:val="clear" w:color="auto" w:fill="FFFFFF"/>
        <w:spacing w:line="360" w:lineRule="auto"/>
        <w:ind w:firstLine="720"/>
        <w:textAlignment w:val="baseline"/>
        <w:rPr>
          <w:rFonts w:ascii="Century Schoolbook" w:hAnsi="Century Schoolbook"/>
          <w:bCs/>
          <w:i/>
          <w:iCs/>
          <w:sz w:val="26"/>
          <w:szCs w:val="26"/>
        </w:rPr>
      </w:pPr>
      <w:r w:rsidRPr="00F52189">
        <w:rPr>
          <w:rFonts w:ascii="Century Schoolbook" w:hAnsi="Century Schoolbook"/>
          <w:bCs/>
          <w:sz w:val="26"/>
          <w:szCs w:val="26"/>
        </w:rPr>
        <w:t xml:space="preserve">Miller did not raise this argument to the trial court although there was no barrier to her doing so.  It is a fundamental principle that an appellate court will generally not consider an issue presented for the first time on appeal that could have been but was not presented in the trial court.  (See </w:t>
      </w:r>
      <w:r w:rsidRPr="00F52189">
        <w:rPr>
          <w:rFonts w:ascii="Century Schoolbook" w:hAnsi="Century Schoolbook"/>
          <w:bCs/>
          <w:i/>
          <w:iCs/>
          <w:sz w:val="26"/>
          <w:szCs w:val="26"/>
        </w:rPr>
        <w:t xml:space="preserve">Bank of America, N.A. v. Roberts </w:t>
      </w:r>
      <w:r w:rsidRPr="00F52189">
        <w:rPr>
          <w:rFonts w:ascii="Century Schoolbook" w:hAnsi="Century Schoolbook"/>
          <w:bCs/>
          <w:sz w:val="26"/>
          <w:szCs w:val="26"/>
        </w:rPr>
        <w:t>(2013) 217 Cal.App.4th 13</w:t>
      </w:r>
      <w:r w:rsidRPr="00F52189" w:rsidR="00625642">
        <w:rPr>
          <w:rFonts w:ascii="Century Schoolbook" w:hAnsi="Century Schoolbook"/>
          <w:bCs/>
          <w:sz w:val="26"/>
          <w:szCs w:val="26"/>
        </w:rPr>
        <w:t>8</w:t>
      </w:r>
      <w:r w:rsidRPr="00F52189">
        <w:rPr>
          <w:rFonts w:ascii="Century Schoolbook" w:hAnsi="Century Schoolbook"/>
          <w:bCs/>
          <w:sz w:val="26"/>
          <w:szCs w:val="26"/>
        </w:rPr>
        <w:t>6, 1398–1399.)</w:t>
      </w:r>
      <w:r w:rsidRPr="00F52189" w:rsidR="00625642">
        <w:rPr>
          <w:rFonts w:ascii="Century Schoolbook" w:hAnsi="Century Schoolbook"/>
          <w:bCs/>
          <w:sz w:val="26"/>
          <w:szCs w:val="26"/>
        </w:rPr>
        <w:t xml:space="preserve">  Furthe</w:t>
      </w:r>
      <w:r w:rsidRPr="00F52189" w:rsidR="007663BE">
        <w:rPr>
          <w:rFonts w:ascii="Century Schoolbook" w:hAnsi="Century Schoolbook"/>
          <w:bCs/>
          <w:sz w:val="26"/>
          <w:szCs w:val="26"/>
        </w:rPr>
        <w:t>r</w:t>
      </w:r>
      <w:r w:rsidRPr="00F52189">
        <w:rPr>
          <w:rFonts w:ascii="Century Schoolbook" w:hAnsi="Century Schoolbook"/>
          <w:bCs/>
          <w:sz w:val="26"/>
          <w:szCs w:val="26"/>
        </w:rPr>
        <w:t xml:space="preserve">, appellate arguments presented for the first time in a reply brief </w:t>
      </w:r>
      <w:r w:rsidRPr="00F52189" w:rsidR="007663BE">
        <w:rPr>
          <w:rFonts w:ascii="Century Schoolbook" w:hAnsi="Century Schoolbook"/>
          <w:bCs/>
          <w:sz w:val="26"/>
          <w:szCs w:val="26"/>
        </w:rPr>
        <w:t xml:space="preserve">(as Miller has done) </w:t>
      </w:r>
      <w:r w:rsidRPr="00F52189">
        <w:rPr>
          <w:rFonts w:ascii="Century Schoolbook" w:hAnsi="Century Schoolbook"/>
          <w:bCs/>
          <w:sz w:val="26"/>
          <w:szCs w:val="26"/>
        </w:rPr>
        <w:t xml:space="preserve">are forfeited without a showing of good cause.  (See </w:t>
      </w:r>
      <w:r w:rsidRPr="00F52189">
        <w:rPr>
          <w:rFonts w:ascii="Century Schoolbook" w:hAnsi="Century Schoolbook"/>
          <w:bCs/>
          <w:i/>
          <w:iCs/>
          <w:sz w:val="26"/>
          <w:szCs w:val="26"/>
        </w:rPr>
        <w:t>Committee to Relocate Marilyn v. City of Palm Springs</w:t>
      </w:r>
      <w:r w:rsidRPr="00F52189">
        <w:rPr>
          <w:rFonts w:ascii="Century Schoolbook" w:hAnsi="Century Schoolbook"/>
          <w:bCs/>
          <w:sz w:val="26"/>
          <w:szCs w:val="26"/>
        </w:rPr>
        <w:t xml:space="preserve"> (2023) 88 Cal.App.5th 607, 636, fn. 8.; </w:t>
      </w:r>
      <w:r w:rsidRPr="00F52189">
        <w:rPr>
          <w:rFonts w:ascii="Century Schoolbook" w:hAnsi="Century Schoolbook"/>
          <w:bCs/>
          <w:i/>
          <w:iCs/>
          <w:sz w:val="26"/>
          <w:szCs w:val="26"/>
        </w:rPr>
        <w:t>Holmes v. Petrovich Development Co</w:t>
      </w:r>
      <w:r w:rsidRPr="00F52189">
        <w:rPr>
          <w:rFonts w:ascii="Century Schoolbook" w:hAnsi="Century Schoolbook"/>
          <w:bCs/>
          <w:sz w:val="26"/>
          <w:szCs w:val="26"/>
        </w:rPr>
        <w:t>.</w:t>
      </w:r>
      <w:r w:rsidRPr="00F52189" w:rsidR="00625642">
        <w:rPr>
          <w:rFonts w:ascii="Century Schoolbook" w:hAnsi="Century Schoolbook"/>
          <w:bCs/>
          <w:i/>
          <w:iCs/>
          <w:sz w:val="26"/>
          <w:szCs w:val="26"/>
        </w:rPr>
        <w:t>, LLC</w:t>
      </w:r>
      <w:r w:rsidRPr="00F52189">
        <w:rPr>
          <w:rFonts w:ascii="Century Schoolbook" w:hAnsi="Century Schoolbook"/>
          <w:bCs/>
          <w:sz w:val="26"/>
          <w:szCs w:val="26"/>
        </w:rPr>
        <w:t xml:space="preserve"> (2011) 191 Cal.App.4th 1047, 1064, fn. 2.)</w:t>
      </w:r>
      <w:r w:rsidRPr="00F52189" w:rsidR="00666DC3">
        <w:rPr>
          <w:rFonts w:ascii="Century Schoolbook" w:hAnsi="Century Schoolbook"/>
          <w:bCs/>
          <w:sz w:val="26"/>
          <w:szCs w:val="26"/>
        </w:rPr>
        <w:t xml:space="preserve">  We see no reason not to apply the general rules of forfeiture.  </w:t>
      </w:r>
    </w:p>
    <w:p w:rsidR="00464FE6" w:rsidRPr="00F52189" w:rsidP="00464FE6" w14:paraId="36898156" w14:textId="77777777">
      <w:pPr>
        <w:pStyle w:val="FootnoteText"/>
        <w:spacing w:line="360" w:lineRule="auto"/>
        <w:rPr>
          <w:b/>
          <w:bCs/>
          <w:szCs w:val="26"/>
        </w:rPr>
      </w:pPr>
      <w:r w:rsidRPr="00F52189">
        <w:rPr>
          <w:b/>
          <w:bCs/>
          <w:szCs w:val="26"/>
        </w:rPr>
        <w:t>IV.</w:t>
      </w:r>
      <w:r w:rsidRPr="00F52189">
        <w:rPr>
          <w:b/>
          <w:bCs/>
          <w:szCs w:val="26"/>
        </w:rPr>
        <w:tab/>
        <w:t>Conclusion</w:t>
      </w:r>
    </w:p>
    <w:p w:rsidR="00464FE6" w:rsidRPr="00F52189" w:rsidP="00464FE6" w14:paraId="5433A35F" w14:textId="4BCBE17D">
      <w:pPr>
        <w:pStyle w:val="FootnoteText"/>
        <w:spacing w:line="360" w:lineRule="auto"/>
        <w:ind w:firstLine="720"/>
        <w:rPr>
          <w:color w:val="000000" w:themeColor="text1"/>
          <w:szCs w:val="26"/>
        </w:rPr>
      </w:pPr>
      <w:r w:rsidRPr="00F52189">
        <w:rPr>
          <w:color w:val="000000" w:themeColor="text1"/>
          <w:szCs w:val="26"/>
        </w:rPr>
        <w:t xml:space="preserve">In sum, the trial court properly granted summary judgment as reasonable minds could come to only one conclusion in this case – that the vertical misalignment of the metal plate cover and surrounding sidewalk was a trivial defect. </w:t>
      </w:r>
      <w:r w:rsidRPr="00F52189" w:rsidR="00780462">
        <w:rPr>
          <w:szCs w:val="26"/>
        </w:rPr>
        <w:t xml:space="preserve"> </w:t>
      </w:r>
      <w:r w:rsidRPr="00F52189">
        <w:rPr>
          <w:color w:val="000000" w:themeColor="text1"/>
          <w:szCs w:val="26"/>
        </w:rPr>
        <w:t xml:space="preserve">Despite Miller’s argument to the contrary, we see no evidence from which a reasonable trier of fact could find the trivial sidewalk defect </w:t>
      </w:r>
      <w:r w:rsidRPr="00F52189">
        <w:rPr>
          <w:szCs w:val="26"/>
        </w:rPr>
        <w:t xml:space="preserve">posed a </w:t>
      </w:r>
      <w:r w:rsidRPr="00F52189">
        <w:rPr>
          <w:i/>
          <w:iCs/>
          <w:szCs w:val="26"/>
        </w:rPr>
        <w:t xml:space="preserve">substantial </w:t>
      </w:r>
      <w:r w:rsidRPr="00F52189">
        <w:rPr>
          <w:szCs w:val="26"/>
        </w:rPr>
        <w:t xml:space="preserve">risk of injury to a foreseeable pedestrian exercising due care.  Therefore, we shall </w:t>
      </w:r>
      <w:r w:rsidRPr="00F52189">
        <w:rPr>
          <w:color w:val="000000" w:themeColor="text1"/>
          <w:szCs w:val="26"/>
        </w:rPr>
        <w:t xml:space="preserve">affirm. </w:t>
      </w:r>
    </w:p>
    <w:p w:rsidR="00B86084" w:rsidRPr="00F52189" w:rsidP="00F97F05" w14:paraId="19007678" w14:textId="021601CE">
      <w:pPr>
        <w:pStyle w:val="FootnoteText"/>
        <w:keepNext/>
        <w:spacing w:line="360" w:lineRule="auto"/>
        <w:jc w:val="center"/>
        <w:rPr>
          <w:b/>
          <w:bCs/>
          <w:smallCaps/>
          <w:szCs w:val="26"/>
        </w:rPr>
      </w:pPr>
      <w:r w:rsidRPr="00F52189">
        <w:rPr>
          <w:b/>
          <w:bCs/>
          <w:smallCaps/>
          <w:szCs w:val="26"/>
        </w:rPr>
        <w:t>Disposition</w:t>
      </w:r>
    </w:p>
    <w:p w:rsidR="002801CE" w:rsidRPr="00F52189" w:rsidP="008D6406" w14:paraId="17B27919" w14:textId="4EFC30D7">
      <w:pPr>
        <w:pStyle w:val="FootnoteText"/>
        <w:spacing w:line="360" w:lineRule="auto"/>
        <w:rPr>
          <w:szCs w:val="26"/>
        </w:rPr>
      </w:pPr>
      <w:r w:rsidRPr="00F52189">
        <w:rPr>
          <w:b/>
          <w:bCs/>
          <w:szCs w:val="26"/>
        </w:rPr>
        <w:tab/>
      </w:r>
      <w:r w:rsidRPr="00F52189">
        <w:rPr>
          <w:szCs w:val="26"/>
        </w:rPr>
        <w:t>The judgment is affirmed.  Defendant</w:t>
      </w:r>
      <w:r w:rsidRPr="00F52189" w:rsidR="008D6406">
        <w:rPr>
          <w:szCs w:val="26"/>
        </w:rPr>
        <w:t>s</w:t>
      </w:r>
      <w:r w:rsidRPr="00F52189">
        <w:rPr>
          <w:szCs w:val="26"/>
        </w:rPr>
        <w:t xml:space="preserve"> and responden</w:t>
      </w:r>
      <w:r w:rsidRPr="00F52189" w:rsidR="008D6406">
        <w:rPr>
          <w:szCs w:val="26"/>
        </w:rPr>
        <w:t xml:space="preserve">ts are awarded costs on appeal. </w:t>
      </w:r>
    </w:p>
    <w:p w:rsidR="00F84E65" w:rsidRPr="00F52189" w14:paraId="3BEA96B3" w14:textId="31A42EC4">
      <w:pPr>
        <w:rPr>
          <w:rFonts w:ascii="Century Schoolbook" w:hAnsi="Century Schoolbook" w:eastAsiaTheme="minorHAnsi"/>
          <w:sz w:val="26"/>
          <w:szCs w:val="26"/>
        </w:rPr>
      </w:pPr>
      <w:r w:rsidRPr="00F52189">
        <w:rPr>
          <w:rFonts w:ascii="Century Schoolbook" w:hAnsi="Century Schoolbook"/>
          <w:szCs w:val="26"/>
        </w:rPr>
        <w:br w:type="page"/>
      </w:r>
    </w:p>
    <w:p w:rsidR="00F84E65" w:rsidRPr="00F52189" w:rsidP="00F84E65" w14:paraId="02A2D199" w14:textId="3B4F9D7E">
      <w:pPr>
        <w:pStyle w:val="FootnoteText"/>
        <w:rPr>
          <w:szCs w:val="26"/>
        </w:rPr>
      </w:pPr>
    </w:p>
    <w:p w:rsidR="00F84E65" w:rsidRPr="00F52189" w:rsidP="00F84E65" w14:paraId="7859CC7B" w14:textId="1AEEBC1D">
      <w:pPr>
        <w:pStyle w:val="FootnoteText"/>
        <w:rPr>
          <w:szCs w:val="26"/>
        </w:rPr>
      </w:pPr>
      <w:r w:rsidRPr="00F52189">
        <w:rPr>
          <w:szCs w:val="26"/>
        </w:rPr>
        <w:tab/>
      </w:r>
      <w:r w:rsidRPr="00F52189">
        <w:rPr>
          <w:szCs w:val="26"/>
        </w:rPr>
        <w:tab/>
      </w:r>
      <w:r w:rsidRPr="00F52189">
        <w:rPr>
          <w:szCs w:val="26"/>
        </w:rPr>
        <w:tab/>
      </w:r>
      <w:r w:rsidRPr="00F52189">
        <w:rPr>
          <w:szCs w:val="26"/>
        </w:rPr>
        <w:tab/>
      </w:r>
      <w:r w:rsidRPr="00F52189">
        <w:rPr>
          <w:szCs w:val="26"/>
        </w:rPr>
        <w:tab/>
      </w:r>
      <w:r w:rsidRPr="00F52189">
        <w:rPr>
          <w:szCs w:val="26"/>
        </w:rPr>
        <w:tab/>
      </w:r>
      <w:r w:rsidRPr="00F52189">
        <w:rPr>
          <w:szCs w:val="26"/>
        </w:rPr>
        <w:tab/>
        <w:t>_________________________</w:t>
      </w:r>
    </w:p>
    <w:p w:rsidR="00F84E65" w:rsidRPr="00F52189" w:rsidP="00F84E65" w14:paraId="53B35C22" w14:textId="5496A371">
      <w:pPr>
        <w:pStyle w:val="FootnoteText"/>
        <w:rPr>
          <w:szCs w:val="26"/>
        </w:rPr>
      </w:pPr>
      <w:r w:rsidRPr="00F52189">
        <w:rPr>
          <w:szCs w:val="26"/>
        </w:rPr>
        <w:tab/>
      </w:r>
      <w:r w:rsidRPr="00F52189">
        <w:rPr>
          <w:szCs w:val="26"/>
        </w:rPr>
        <w:tab/>
      </w:r>
      <w:r w:rsidRPr="00F52189">
        <w:rPr>
          <w:szCs w:val="26"/>
        </w:rPr>
        <w:tab/>
      </w:r>
      <w:r w:rsidRPr="00F52189">
        <w:rPr>
          <w:szCs w:val="26"/>
        </w:rPr>
        <w:tab/>
      </w:r>
      <w:r w:rsidRPr="00F52189">
        <w:rPr>
          <w:szCs w:val="26"/>
        </w:rPr>
        <w:tab/>
      </w:r>
      <w:r w:rsidRPr="00F52189">
        <w:rPr>
          <w:szCs w:val="26"/>
        </w:rPr>
        <w:tab/>
      </w:r>
      <w:r w:rsidRPr="00F52189">
        <w:rPr>
          <w:szCs w:val="26"/>
        </w:rPr>
        <w:tab/>
        <w:t>Petrou, J.</w:t>
      </w:r>
    </w:p>
    <w:p w:rsidR="00F84E65" w:rsidRPr="00F52189" w:rsidP="00F84E65" w14:paraId="320903CA" w14:textId="1EE318C7">
      <w:pPr>
        <w:pStyle w:val="FootnoteText"/>
        <w:rPr>
          <w:szCs w:val="26"/>
        </w:rPr>
      </w:pPr>
    </w:p>
    <w:p w:rsidR="00F84E65" w:rsidRPr="00F52189" w:rsidP="00F84E65" w14:paraId="093A4D35" w14:textId="1CB0A599">
      <w:pPr>
        <w:pStyle w:val="FootnoteText"/>
        <w:rPr>
          <w:szCs w:val="26"/>
        </w:rPr>
      </w:pPr>
    </w:p>
    <w:p w:rsidR="00F84E65" w:rsidRPr="00F52189" w:rsidP="00F84E65" w14:paraId="3FCDB307" w14:textId="00484D8C">
      <w:pPr>
        <w:pStyle w:val="FootnoteText"/>
        <w:rPr>
          <w:szCs w:val="26"/>
        </w:rPr>
      </w:pPr>
      <w:r w:rsidRPr="00F52189">
        <w:rPr>
          <w:szCs w:val="26"/>
        </w:rPr>
        <w:t>WE CONCUR:</w:t>
      </w:r>
    </w:p>
    <w:p w:rsidR="00F84E65" w:rsidRPr="00F52189" w:rsidP="00F84E65" w14:paraId="70D3A71C" w14:textId="02BEC04F">
      <w:pPr>
        <w:pStyle w:val="FootnoteText"/>
        <w:rPr>
          <w:szCs w:val="26"/>
        </w:rPr>
      </w:pPr>
    </w:p>
    <w:p w:rsidR="00F84E65" w:rsidRPr="00F52189" w:rsidP="00F84E65" w14:paraId="6AE43E2F" w14:textId="513286B7">
      <w:pPr>
        <w:pStyle w:val="FootnoteText"/>
        <w:rPr>
          <w:szCs w:val="26"/>
        </w:rPr>
      </w:pPr>
    </w:p>
    <w:p w:rsidR="00F84E65" w:rsidRPr="00F52189" w:rsidP="00F84E65" w14:paraId="1A66EBC8" w14:textId="5ADDC3B8">
      <w:pPr>
        <w:pStyle w:val="FootnoteText"/>
        <w:rPr>
          <w:szCs w:val="26"/>
        </w:rPr>
      </w:pPr>
      <w:r w:rsidRPr="00F52189">
        <w:rPr>
          <w:szCs w:val="26"/>
        </w:rPr>
        <w:t>_________________________</w:t>
      </w:r>
    </w:p>
    <w:p w:rsidR="00F84E65" w:rsidRPr="00F52189" w:rsidP="00F84E65" w14:paraId="08AA5A2A" w14:textId="2E6D5C45">
      <w:pPr>
        <w:pStyle w:val="FootnoteText"/>
        <w:rPr>
          <w:szCs w:val="26"/>
        </w:rPr>
      </w:pPr>
      <w:r w:rsidRPr="00F52189">
        <w:rPr>
          <w:szCs w:val="26"/>
        </w:rPr>
        <w:t>Fujisaki, Acting P.J.</w:t>
      </w:r>
    </w:p>
    <w:p w:rsidR="00F84E65" w:rsidRPr="00F52189" w:rsidP="00F84E65" w14:paraId="347989F3" w14:textId="35AE02AC">
      <w:pPr>
        <w:pStyle w:val="FootnoteText"/>
        <w:rPr>
          <w:szCs w:val="26"/>
        </w:rPr>
      </w:pPr>
    </w:p>
    <w:p w:rsidR="00F84E65" w:rsidRPr="00F52189" w:rsidP="00F84E65" w14:paraId="6FA960B1" w14:textId="4FEF48D5">
      <w:pPr>
        <w:pStyle w:val="FootnoteText"/>
        <w:rPr>
          <w:szCs w:val="26"/>
        </w:rPr>
      </w:pPr>
    </w:p>
    <w:p w:rsidR="00F84E65" w:rsidRPr="00F52189" w:rsidP="00F84E65" w14:paraId="29C9E7D3" w14:textId="4A7C5DB7">
      <w:pPr>
        <w:pStyle w:val="FootnoteText"/>
        <w:rPr>
          <w:szCs w:val="26"/>
        </w:rPr>
      </w:pPr>
      <w:r w:rsidRPr="00F52189">
        <w:rPr>
          <w:szCs w:val="26"/>
        </w:rPr>
        <w:t>_________________________</w:t>
      </w:r>
    </w:p>
    <w:p w:rsidR="00F84E65" w:rsidRPr="00F52189" w:rsidP="00F84E65" w14:paraId="20240F19" w14:textId="403D8498">
      <w:pPr>
        <w:pStyle w:val="FootnoteText"/>
        <w:rPr>
          <w:szCs w:val="26"/>
        </w:rPr>
      </w:pPr>
      <w:r w:rsidRPr="00F52189">
        <w:rPr>
          <w:szCs w:val="26"/>
        </w:rPr>
        <w:t>Rodríguez, J.</w:t>
      </w:r>
    </w:p>
    <w:p w:rsidR="00F84E65" w:rsidRPr="00F52189" w:rsidP="00F84E65" w14:paraId="13149F67" w14:textId="1933E047">
      <w:pPr>
        <w:pStyle w:val="FootnoteText"/>
        <w:rPr>
          <w:szCs w:val="26"/>
        </w:rPr>
      </w:pPr>
    </w:p>
    <w:p w:rsidR="00F84E65" w:rsidRPr="00F52189" w:rsidP="00F84E65" w14:paraId="762FBD8F" w14:textId="208818E1">
      <w:pPr>
        <w:pStyle w:val="FootnoteText"/>
        <w:rPr>
          <w:szCs w:val="26"/>
        </w:rPr>
      </w:pPr>
    </w:p>
    <w:p w:rsidR="00F84E65" w:rsidRPr="00F52189" w:rsidP="00F84E65" w14:paraId="202F2204" w14:textId="4B38C8B9">
      <w:pPr>
        <w:pStyle w:val="FootnoteText"/>
        <w:rPr>
          <w:szCs w:val="26"/>
        </w:rPr>
      </w:pPr>
    </w:p>
    <w:p w:rsidR="00F84E65" w:rsidRPr="00F52189" w:rsidP="00F84E65" w14:paraId="5C792FCE" w14:textId="302BE06E">
      <w:pPr>
        <w:pStyle w:val="FootnoteText"/>
        <w:rPr>
          <w:szCs w:val="26"/>
        </w:rPr>
      </w:pPr>
    </w:p>
    <w:p w:rsidR="00F84E65" w:rsidRPr="00F52189" w:rsidP="00F84E65" w14:paraId="1E4DB9B3" w14:textId="26D9C46C">
      <w:pPr>
        <w:pStyle w:val="FootnoteText"/>
        <w:rPr>
          <w:szCs w:val="26"/>
        </w:rPr>
      </w:pPr>
    </w:p>
    <w:p w:rsidR="00F84E65" w:rsidRPr="00F52189" w:rsidP="00F84E65" w14:paraId="0B512626" w14:textId="43313B26">
      <w:pPr>
        <w:pStyle w:val="FootnoteText"/>
        <w:rPr>
          <w:szCs w:val="26"/>
        </w:rPr>
      </w:pPr>
    </w:p>
    <w:p w:rsidR="00F84E65" w:rsidRPr="00F52189" w:rsidP="00F84E65" w14:paraId="52B6F540" w14:textId="4FEB66ED">
      <w:pPr>
        <w:pStyle w:val="FootnoteText"/>
        <w:rPr>
          <w:szCs w:val="26"/>
        </w:rPr>
      </w:pPr>
    </w:p>
    <w:p w:rsidR="00F84E65" w:rsidRPr="00F52189" w:rsidP="00F84E65" w14:paraId="14D8614D" w14:textId="4C197A39">
      <w:pPr>
        <w:pStyle w:val="FootnoteText"/>
        <w:rPr>
          <w:szCs w:val="26"/>
        </w:rPr>
      </w:pPr>
    </w:p>
    <w:p w:rsidR="00F84E65" w:rsidRPr="00F52189" w:rsidP="00F84E65" w14:paraId="0872BFD7" w14:textId="35365A7F">
      <w:pPr>
        <w:pStyle w:val="FootnoteText"/>
        <w:rPr>
          <w:szCs w:val="26"/>
        </w:rPr>
      </w:pPr>
    </w:p>
    <w:p w:rsidR="00F84E65" w:rsidRPr="00F52189" w:rsidP="00F84E65" w14:paraId="013A873E" w14:textId="3D63057A">
      <w:pPr>
        <w:pStyle w:val="FootnoteText"/>
        <w:rPr>
          <w:szCs w:val="26"/>
        </w:rPr>
      </w:pPr>
    </w:p>
    <w:p w:rsidR="00F84E65" w:rsidRPr="00F52189" w:rsidP="00F84E65" w14:paraId="1AD5FCC1" w14:textId="1E4E387B">
      <w:pPr>
        <w:pStyle w:val="FootnoteText"/>
        <w:rPr>
          <w:szCs w:val="26"/>
        </w:rPr>
      </w:pPr>
    </w:p>
    <w:p w:rsidR="00F84E65" w:rsidRPr="00F52189" w:rsidP="00F84E65" w14:paraId="39D97B49" w14:textId="675B66A0">
      <w:pPr>
        <w:pStyle w:val="FootnoteText"/>
        <w:rPr>
          <w:szCs w:val="26"/>
        </w:rPr>
      </w:pPr>
    </w:p>
    <w:p w:rsidR="00F84E65" w:rsidRPr="00F52189" w:rsidP="00F84E65" w14:paraId="387CF06D" w14:textId="2C205972">
      <w:pPr>
        <w:pStyle w:val="FootnoteText"/>
        <w:rPr>
          <w:szCs w:val="26"/>
        </w:rPr>
      </w:pPr>
    </w:p>
    <w:p w:rsidR="00F84E65" w:rsidRPr="00F52189" w:rsidP="00F84E65" w14:paraId="701427B4" w14:textId="5044148F">
      <w:pPr>
        <w:pStyle w:val="FootnoteText"/>
        <w:rPr>
          <w:szCs w:val="26"/>
        </w:rPr>
      </w:pPr>
    </w:p>
    <w:p w:rsidR="00F84E65" w:rsidRPr="00F52189" w:rsidP="00F84E65" w14:paraId="5ED588A4" w14:textId="40E7DB7D">
      <w:pPr>
        <w:pStyle w:val="FootnoteText"/>
        <w:rPr>
          <w:szCs w:val="26"/>
        </w:rPr>
      </w:pPr>
    </w:p>
    <w:p w:rsidR="00F84E65" w:rsidRPr="00F52189" w:rsidP="00F84E65" w14:paraId="19DC1112" w14:textId="2A879E08">
      <w:pPr>
        <w:pStyle w:val="FootnoteText"/>
        <w:rPr>
          <w:szCs w:val="26"/>
        </w:rPr>
      </w:pPr>
    </w:p>
    <w:p w:rsidR="00F84E65" w:rsidRPr="00F52189" w:rsidP="00F84E65" w14:paraId="2FC65F1E" w14:textId="683BBCF1">
      <w:pPr>
        <w:pStyle w:val="FootnoteText"/>
        <w:rPr>
          <w:szCs w:val="26"/>
        </w:rPr>
      </w:pPr>
    </w:p>
    <w:p w:rsidR="00F84E65" w:rsidRPr="00F52189" w:rsidP="00F84E65" w14:paraId="56CC487C" w14:textId="76059C34">
      <w:pPr>
        <w:pStyle w:val="FootnoteText"/>
        <w:rPr>
          <w:szCs w:val="26"/>
        </w:rPr>
      </w:pPr>
    </w:p>
    <w:p w:rsidR="00F84E65" w:rsidRPr="00F52189" w:rsidP="00F84E65" w14:paraId="50466AF4" w14:textId="3881FA6B">
      <w:pPr>
        <w:pStyle w:val="FootnoteText"/>
        <w:rPr>
          <w:szCs w:val="26"/>
        </w:rPr>
      </w:pPr>
    </w:p>
    <w:p w:rsidR="00F84E65" w:rsidRPr="00F52189" w:rsidP="00F84E65" w14:paraId="6D70A44C" w14:textId="155BF81D">
      <w:pPr>
        <w:pStyle w:val="FootnoteText"/>
        <w:rPr>
          <w:szCs w:val="26"/>
        </w:rPr>
      </w:pPr>
    </w:p>
    <w:p w:rsidR="00F84E65" w:rsidRPr="00F52189" w:rsidP="00F84E65" w14:paraId="044A37CC" w14:textId="2E4B369F">
      <w:pPr>
        <w:pStyle w:val="FootnoteText"/>
        <w:rPr>
          <w:szCs w:val="26"/>
        </w:rPr>
      </w:pPr>
    </w:p>
    <w:p w:rsidR="00F84E65" w:rsidRPr="00F52189" w:rsidP="00F84E65" w14:paraId="167B3D5E" w14:textId="10EDFD31">
      <w:pPr>
        <w:pStyle w:val="FootnoteText"/>
        <w:rPr>
          <w:szCs w:val="26"/>
        </w:rPr>
      </w:pPr>
    </w:p>
    <w:p w:rsidR="00F84E65" w:rsidRPr="00F52189" w:rsidP="00F84E65" w14:paraId="15170391" w14:textId="2EF07F15">
      <w:pPr>
        <w:pStyle w:val="FootnoteText"/>
        <w:rPr>
          <w:szCs w:val="26"/>
        </w:rPr>
      </w:pPr>
    </w:p>
    <w:p w:rsidR="00F84E65" w:rsidRPr="00F52189" w:rsidP="00F84E65" w14:paraId="5B482550" w14:textId="79CC6259">
      <w:pPr>
        <w:pStyle w:val="FootnoteText"/>
        <w:rPr>
          <w:szCs w:val="26"/>
        </w:rPr>
      </w:pPr>
    </w:p>
    <w:p w:rsidR="00F84E65" w:rsidRPr="00F52189" w:rsidP="00F84E65" w14:paraId="30E5ECF0" w14:textId="7FBF8FB8">
      <w:pPr>
        <w:pStyle w:val="FootnoteText"/>
        <w:rPr>
          <w:szCs w:val="26"/>
        </w:rPr>
      </w:pPr>
    </w:p>
    <w:p w:rsidR="00F84E65" w:rsidRPr="00F52189" w:rsidP="00F84E65" w14:paraId="72F9928E" w14:textId="6B785695">
      <w:pPr>
        <w:pStyle w:val="FootnoteText"/>
        <w:rPr>
          <w:szCs w:val="26"/>
        </w:rPr>
      </w:pPr>
    </w:p>
    <w:p w:rsidR="006E4FE9" w:rsidP="00F84E65" w14:paraId="24D8732E" w14:textId="77777777">
      <w:pPr>
        <w:pStyle w:val="FootnoteText"/>
        <w:rPr>
          <w:i/>
          <w:iCs/>
          <w:szCs w:val="26"/>
        </w:rPr>
        <w:sectPr w:rsidSect="008042A4">
          <w:headerReference w:type="default" r:id="rId6"/>
          <w:footerReference w:type="even" r:id="rId7"/>
          <w:footerReference w:type="default" r:id="rId8"/>
          <w:pgSz w:w="12240" w:h="15840"/>
          <w:pgMar w:top="1440" w:right="1440" w:bottom="1440" w:left="1440" w:header="720" w:footer="720" w:gutter="0"/>
          <w:cols w:space="720"/>
          <w:docGrid w:linePitch="360"/>
        </w:sectPr>
      </w:pPr>
      <w:r w:rsidRPr="00F52189">
        <w:rPr>
          <w:szCs w:val="26"/>
        </w:rPr>
        <w:t>A165638/</w:t>
      </w:r>
      <w:r w:rsidRPr="00F52189">
        <w:rPr>
          <w:i/>
          <w:iCs/>
          <w:szCs w:val="26"/>
        </w:rPr>
        <w:t>Miller v. Pacific Gas and Electric Company, et al.</w:t>
      </w:r>
    </w:p>
    <w:p w:rsidR="006E4FE9" w:rsidRPr="006E4FE9" w:rsidP="006E4FE9" w14:paraId="330C6825" w14:textId="77777777">
      <w:pPr>
        <w:tabs>
          <w:tab w:val="left" w:pos="720"/>
        </w:tabs>
        <w:suppressAutoHyphens/>
        <w:autoSpaceDN w:val="0"/>
        <w:rPr>
          <w:rFonts w:ascii="Century Schoolbook" w:eastAsia="Calibri" w:hAnsi="Century Schoolbook"/>
          <w:sz w:val="20"/>
          <w:szCs w:val="26"/>
        </w:rPr>
      </w:pPr>
      <w:r w:rsidRPr="006E4FE9">
        <w:rPr>
          <w:rFonts w:ascii="Century Schoolbook" w:eastAsia="Calibri" w:hAnsi="Century Schoolbook"/>
          <w:sz w:val="20"/>
          <w:szCs w:val="26"/>
        </w:rPr>
        <w:t>Filed 12/18/23</w:t>
      </w:r>
    </w:p>
    <w:p w:rsidR="006E4FE9" w:rsidRPr="006E4FE9" w:rsidP="006E4FE9" w14:paraId="7E0433DF" w14:textId="77777777">
      <w:pPr>
        <w:tabs>
          <w:tab w:val="left" w:pos="720"/>
        </w:tabs>
        <w:suppressAutoHyphens/>
        <w:autoSpaceDN w:val="0"/>
        <w:jc w:val="center"/>
        <w:rPr>
          <w:rFonts w:ascii="Century Schoolbook" w:eastAsia="Calibri" w:hAnsi="Century Schoolbook"/>
          <w:b/>
          <w:sz w:val="26"/>
          <w:szCs w:val="26"/>
        </w:rPr>
      </w:pPr>
      <w:r w:rsidRPr="006E4FE9">
        <w:rPr>
          <w:rFonts w:ascii="Century Schoolbook" w:eastAsia="Calibri" w:hAnsi="Century Schoolbook"/>
          <w:b/>
          <w:sz w:val="26"/>
          <w:szCs w:val="26"/>
        </w:rPr>
        <w:t>CERTIFIED FOR PUBLICATION</w:t>
      </w:r>
    </w:p>
    <w:p w:rsidR="006E4FE9" w:rsidRPr="006E4FE9" w:rsidP="006E4FE9" w14:paraId="0246F4F4" w14:textId="77777777">
      <w:pPr>
        <w:tabs>
          <w:tab w:val="left" w:pos="720"/>
        </w:tabs>
        <w:suppressAutoHyphens/>
        <w:autoSpaceDN w:val="0"/>
        <w:jc w:val="center"/>
        <w:rPr>
          <w:rFonts w:ascii="Century Schoolbook" w:eastAsia="Calibri" w:hAnsi="Century Schoolbook"/>
          <w:sz w:val="26"/>
          <w:szCs w:val="26"/>
        </w:rPr>
      </w:pPr>
    </w:p>
    <w:p w:rsidR="006E4FE9" w:rsidRPr="006E4FE9" w:rsidP="006E4FE9" w14:paraId="772FE4F7" w14:textId="77777777">
      <w:pPr>
        <w:tabs>
          <w:tab w:val="left" w:pos="720"/>
        </w:tabs>
        <w:suppressAutoHyphens/>
        <w:autoSpaceDN w:val="0"/>
        <w:jc w:val="center"/>
        <w:rPr>
          <w:rFonts w:ascii="Century Schoolbook" w:eastAsia="Calibri" w:hAnsi="Century Schoolbook"/>
          <w:sz w:val="26"/>
          <w:szCs w:val="26"/>
        </w:rPr>
      </w:pPr>
      <w:r w:rsidRPr="006E4FE9">
        <w:rPr>
          <w:rFonts w:ascii="Century Schoolbook" w:eastAsia="Calibri" w:hAnsi="Century Schoolbook"/>
          <w:sz w:val="26"/>
          <w:szCs w:val="26"/>
        </w:rPr>
        <w:t>IN THE COURT OF APPEAL OF THE STATE OF CALIFORNIA</w:t>
      </w:r>
    </w:p>
    <w:p w:rsidR="006E4FE9" w:rsidRPr="006E4FE9" w:rsidP="006E4FE9" w14:paraId="036FDE02" w14:textId="77777777">
      <w:pPr>
        <w:tabs>
          <w:tab w:val="left" w:pos="720"/>
        </w:tabs>
        <w:suppressAutoHyphens/>
        <w:autoSpaceDN w:val="0"/>
        <w:jc w:val="center"/>
        <w:rPr>
          <w:rFonts w:ascii="Century Schoolbook" w:eastAsia="Calibri" w:hAnsi="Century Schoolbook"/>
          <w:sz w:val="26"/>
          <w:szCs w:val="26"/>
        </w:rPr>
      </w:pPr>
    </w:p>
    <w:p w:rsidR="006E4FE9" w:rsidRPr="006E4FE9" w:rsidP="006E4FE9" w14:paraId="75A4AA18" w14:textId="77777777">
      <w:pPr>
        <w:tabs>
          <w:tab w:val="left" w:pos="720"/>
        </w:tabs>
        <w:suppressAutoHyphens/>
        <w:autoSpaceDN w:val="0"/>
        <w:jc w:val="center"/>
        <w:rPr>
          <w:rFonts w:ascii="Century Schoolbook" w:eastAsia="Calibri" w:hAnsi="Century Schoolbook"/>
          <w:sz w:val="26"/>
          <w:szCs w:val="26"/>
        </w:rPr>
      </w:pPr>
      <w:r w:rsidRPr="006E4FE9">
        <w:rPr>
          <w:rFonts w:ascii="Century Schoolbook" w:eastAsia="Calibri" w:hAnsi="Century Schoolbook"/>
          <w:sz w:val="26"/>
          <w:szCs w:val="26"/>
        </w:rPr>
        <w:t>FIRST APPELLATE DISTRICT</w:t>
      </w:r>
    </w:p>
    <w:p w:rsidR="006E4FE9" w:rsidRPr="006E4FE9" w:rsidP="006E4FE9" w14:paraId="491E63D6" w14:textId="77777777">
      <w:pPr>
        <w:tabs>
          <w:tab w:val="left" w:pos="720"/>
        </w:tabs>
        <w:suppressAutoHyphens/>
        <w:autoSpaceDN w:val="0"/>
        <w:jc w:val="center"/>
        <w:rPr>
          <w:rFonts w:ascii="Century Schoolbook" w:eastAsia="Calibri" w:hAnsi="Century Schoolbook"/>
          <w:sz w:val="26"/>
          <w:szCs w:val="26"/>
        </w:rPr>
      </w:pPr>
    </w:p>
    <w:p w:rsidR="006E4FE9" w:rsidRPr="006E4FE9" w:rsidP="006E4FE9" w14:paraId="2DE8F22B" w14:textId="77777777">
      <w:pPr>
        <w:tabs>
          <w:tab w:val="left" w:pos="720"/>
        </w:tabs>
        <w:suppressAutoHyphens/>
        <w:autoSpaceDN w:val="0"/>
        <w:jc w:val="center"/>
        <w:rPr>
          <w:rFonts w:ascii="Century Schoolbook" w:eastAsia="Calibri" w:hAnsi="Century Schoolbook"/>
          <w:sz w:val="26"/>
          <w:szCs w:val="26"/>
        </w:rPr>
      </w:pPr>
      <w:r w:rsidRPr="006E4FE9">
        <w:rPr>
          <w:rFonts w:ascii="Century Schoolbook" w:eastAsia="Calibri" w:hAnsi="Century Schoolbook"/>
          <w:sz w:val="26"/>
          <w:szCs w:val="26"/>
        </w:rPr>
        <w:t>DIVISION THREE</w:t>
      </w:r>
    </w:p>
    <w:p w:rsidR="006E4FE9" w:rsidRPr="006E4FE9" w:rsidP="006E4FE9" w14:paraId="5C9F24E6" w14:textId="77777777">
      <w:pPr>
        <w:tabs>
          <w:tab w:val="left" w:pos="720"/>
        </w:tabs>
        <w:suppressAutoHyphens/>
        <w:autoSpaceDN w:val="0"/>
        <w:jc w:val="center"/>
        <w:rPr>
          <w:rFonts w:ascii="Century Schoolbook" w:eastAsia="Calibri" w:hAnsi="Century Schoolbook"/>
          <w:sz w:val="26"/>
          <w:szCs w:val="26"/>
        </w:rPr>
      </w:pPr>
    </w:p>
    <w:p w:rsidR="006E4FE9" w:rsidRPr="006E4FE9" w:rsidP="006E4FE9" w14:paraId="60577E1E" w14:textId="77777777">
      <w:pPr>
        <w:tabs>
          <w:tab w:val="left" w:pos="720"/>
        </w:tabs>
        <w:suppressAutoHyphens/>
        <w:autoSpaceDN w:val="0"/>
        <w:jc w:val="center"/>
        <w:rPr>
          <w:rFonts w:ascii="Century Schoolbook" w:eastAsia="Calibri" w:hAnsi="Century Schoolbook"/>
          <w:sz w:val="26"/>
          <w:szCs w:val="26"/>
        </w:rPr>
      </w:pPr>
    </w:p>
    <w:tbl>
      <w:tblPr>
        <w:tblW w:w="0" w:type="auto"/>
        <w:tblLayout w:type="fixed"/>
        <w:tblLook w:val="0000"/>
      </w:tblPr>
      <w:tblGrid>
        <w:gridCol w:w="4770"/>
        <w:gridCol w:w="4590"/>
      </w:tblGrid>
      <w:tr w14:paraId="566B253C" w14:textId="77777777" w:rsidTr="002C6515">
        <w:tblPrEx>
          <w:tblW w:w="0" w:type="auto"/>
          <w:tblLayout w:type="fixed"/>
          <w:tblLook w:val="0000"/>
        </w:tblPrEx>
        <w:tc>
          <w:tcPr>
            <w:tcW w:w="4770" w:type="dxa"/>
            <w:tcBorders>
              <w:bottom w:val="single" w:sz="4" w:space="0" w:color="auto"/>
              <w:right w:val="single" w:sz="4" w:space="0" w:color="auto"/>
            </w:tcBorders>
            <w:shd w:val="clear" w:color="auto" w:fill="auto"/>
          </w:tcPr>
          <w:p w:rsidR="006E4FE9" w:rsidRPr="006E4FE9" w:rsidP="006E4FE9" w14:paraId="178E3AB0" w14:textId="77777777">
            <w:pPr>
              <w:tabs>
                <w:tab w:val="left" w:pos="720"/>
              </w:tabs>
              <w:suppressAutoHyphens/>
              <w:autoSpaceDN w:val="0"/>
              <w:spacing w:after="120" w:line="480" w:lineRule="atLeast"/>
              <w:rPr>
                <w:rFonts w:ascii="Century Schoolbook" w:eastAsia="Calibri" w:hAnsi="Century Schoolbook"/>
                <w:sz w:val="26"/>
                <w:szCs w:val="26"/>
              </w:rPr>
            </w:pPr>
            <w:r w:rsidRPr="006E4FE9">
              <w:rPr>
                <w:rFonts w:ascii="Century Schoolbook" w:eastAsia="Calibri" w:hAnsi="Century Schoolbook"/>
                <w:sz w:val="26"/>
                <w:szCs w:val="26"/>
              </w:rPr>
              <w:t>CRISTA MILLER,</w:t>
            </w:r>
          </w:p>
          <w:p w:rsidR="006E4FE9" w:rsidRPr="006E4FE9" w:rsidP="006E4FE9" w14:paraId="466E3A18" w14:textId="77777777">
            <w:pPr>
              <w:tabs>
                <w:tab w:val="left" w:pos="720"/>
              </w:tabs>
              <w:suppressAutoHyphens/>
              <w:autoSpaceDN w:val="0"/>
              <w:spacing w:after="120" w:line="480" w:lineRule="atLeast"/>
              <w:rPr>
                <w:rFonts w:ascii="Century Schoolbook" w:eastAsia="Calibri" w:hAnsi="Century Schoolbook"/>
                <w:sz w:val="26"/>
                <w:szCs w:val="26"/>
              </w:rPr>
            </w:pPr>
            <w:r w:rsidRPr="006E4FE9">
              <w:rPr>
                <w:rFonts w:ascii="Century Schoolbook" w:eastAsia="Calibri" w:hAnsi="Century Schoolbook"/>
                <w:sz w:val="26"/>
                <w:szCs w:val="26"/>
              </w:rPr>
              <w:tab/>
              <w:t>Plaintiff and Appellant,</w:t>
            </w:r>
          </w:p>
          <w:p w:rsidR="006E4FE9" w:rsidRPr="006E4FE9" w:rsidP="006E4FE9" w14:paraId="0DB7817D" w14:textId="77777777">
            <w:pPr>
              <w:tabs>
                <w:tab w:val="left" w:pos="720"/>
              </w:tabs>
              <w:suppressAutoHyphens/>
              <w:autoSpaceDN w:val="0"/>
              <w:spacing w:after="120" w:line="480" w:lineRule="atLeast"/>
              <w:rPr>
                <w:rFonts w:ascii="Century Schoolbook" w:eastAsia="Calibri" w:hAnsi="Century Schoolbook"/>
                <w:sz w:val="26"/>
                <w:szCs w:val="26"/>
              </w:rPr>
            </w:pPr>
            <w:r w:rsidRPr="006E4FE9">
              <w:rPr>
                <w:rFonts w:ascii="Century Schoolbook" w:eastAsia="Calibri" w:hAnsi="Century Schoolbook"/>
                <w:sz w:val="26"/>
                <w:szCs w:val="26"/>
              </w:rPr>
              <w:t>v.</w:t>
            </w:r>
          </w:p>
          <w:p w:rsidR="006E4FE9" w:rsidRPr="006E4FE9" w:rsidP="006E4FE9" w14:paraId="53EF58EC" w14:textId="77777777">
            <w:pPr>
              <w:tabs>
                <w:tab w:val="left" w:pos="720"/>
              </w:tabs>
              <w:suppressAutoHyphens/>
              <w:autoSpaceDN w:val="0"/>
              <w:spacing w:after="120" w:line="480" w:lineRule="atLeast"/>
              <w:rPr>
                <w:rFonts w:ascii="Century Schoolbook" w:eastAsia="Calibri" w:hAnsi="Century Schoolbook"/>
                <w:sz w:val="26"/>
                <w:szCs w:val="26"/>
              </w:rPr>
            </w:pPr>
            <w:r w:rsidRPr="006E4FE9">
              <w:rPr>
                <w:rFonts w:ascii="Century Schoolbook" w:eastAsia="Calibri" w:hAnsi="Century Schoolbook"/>
                <w:sz w:val="26"/>
                <w:szCs w:val="26"/>
              </w:rPr>
              <w:t xml:space="preserve">PACIFIC GAS AND ELECTRIC COMPANY, et al., </w:t>
            </w:r>
          </w:p>
          <w:p w:rsidR="006E4FE9" w:rsidRPr="006E4FE9" w:rsidP="006E4FE9" w14:paraId="20333EA3" w14:textId="77777777">
            <w:pPr>
              <w:tabs>
                <w:tab w:val="left" w:pos="720"/>
              </w:tabs>
              <w:suppressAutoHyphens/>
              <w:autoSpaceDN w:val="0"/>
              <w:spacing w:after="120" w:line="480" w:lineRule="atLeast"/>
              <w:rPr>
                <w:rFonts w:ascii="Century Schoolbook" w:eastAsia="Calibri" w:hAnsi="Century Schoolbook"/>
                <w:sz w:val="26"/>
                <w:szCs w:val="26"/>
              </w:rPr>
            </w:pPr>
            <w:r w:rsidRPr="006E4FE9">
              <w:rPr>
                <w:rFonts w:ascii="Century Schoolbook" w:eastAsia="Calibri" w:hAnsi="Century Schoolbook"/>
                <w:sz w:val="26"/>
                <w:szCs w:val="26"/>
              </w:rPr>
              <w:tab/>
              <w:t>Defendants and Respondents.</w:t>
            </w:r>
          </w:p>
        </w:tc>
        <w:tc>
          <w:tcPr>
            <w:tcW w:w="4590" w:type="dxa"/>
            <w:tcBorders>
              <w:left w:val="single" w:sz="4" w:space="0" w:color="auto"/>
            </w:tcBorders>
            <w:shd w:val="clear" w:color="auto" w:fill="auto"/>
          </w:tcPr>
          <w:p w:rsidR="006E4FE9" w:rsidRPr="006E4FE9" w:rsidP="006E4FE9" w14:paraId="68F6B214" w14:textId="77777777">
            <w:pPr>
              <w:tabs>
                <w:tab w:val="left" w:pos="720"/>
              </w:tabs>
              <w:suppressAutoHyphens/>
              <w:autoSpaceDN w:val="0"/>
              <w:spacing w:line="480" w:lineRule="atLeast"/>
              <w:rPr>
                <w:rFonts w:ascii="Century Schoolbook" w:eastAsia="Calibri" w:hAnsi="Century Schoolbook"/>
                <w:sz w:val="26"/>
                <w:szCs w:val="26"/>
              </w:rPr>
            </w:pPr>
          </w:p>
          <w:p w:rsidR="006E4FE9" w:rsidRPr="006E4FE9" w:rsidP="006E4FE9" w14:paraId="5B1A9250" w14:textId="77777777">
            <w:pPr>
              <w:tabs>
                <w:tab w:val="left" w:pos="720"/>
              </w:tabs>
              <w:suppressAutoHyphens/>
              <w:autoSpaceDN w:val="0"/>
              <w:spacing w:line="480" w:lineRule="atLeast"/>
              <w:rPr>
                <w:rFonts w:ascii="Century Schoolbook" w:eastAsia="Calibri" w:hAnsi="Century Schoolbook"/>
                <w:sz w:val="26"/>
                <w:szCs w:val="26"/>
              </w:rPr>
            </w:pPr>
          </w:p>
          <w:p w:rsidR="006E4FE9" w:rsidRPr="006E4FE9" w:rsidP="006E4FE9" w14:paraId="256BFA3B" w14:textId="77777777">
            <w:pPr>
              <w:tabs>
                <w:tab w:val="left" w:pos="720"/>
              </w:tabs>
              <w:suppressAutoHyphens/>
              <w:autoSpaceDN w:val="0"/>
              <w:spacing w:line="480" w:lineRule="atLeast"/>
              <w:rPr>
                <w:rFonts w:ascii="Century Schoolbook" w:eastAsia="Calibri" w:hAnsi="Century Schoolbook"/>
                <w:sz w:val="26"/>
                <w:szCs w:val="26"/>
              </w:rPr>
            </w:pPr>
            <w:r w:rsidRPr="006E4FE9">
              <w:rPr>
                <w:rFonts w:ascii="Century Schoolbook" w:eastAsia="Calibri" w:hAnsi="Century Schoolbook"/>
                <w:sz w:val="26"/>
                <w:szCs w:val="26"/>
              </w:rPr>
              <w:t xml:space="preserve">   A165638</w:t>
            </w:r>
          </w:p>
          <w:p w:rsidR="006E4FE9" w:rsidRPr="006E4FE9" w:rsidP="006E4FE9" w14:paraId="3A6B63E1" w14:textId="77777777">
            <w:pPr>
              <w:tabs>
                <w:tab w:val="left" w:pos="720"/>
              </w:tabs>
              <w:suppressAutoHyphens/>
              <w:autoSpaceDN w:val="0"/>
              <w:spacing w:line="480" w:lineRule="atLeast"/>
              <w:rPr>
                <w:rFonts w:ascii="Century Schoolbook" w:eastAsia="Calibri" w:hAnsi="Century Schoolbook"/>
                <w:sz w:val="26"/>
                <w:szCs w:val="26"/>
              </w:rPr>
            </w:pPr>
          </w:p>
          <w:p w:rsidR="006E4FE9" w:rsidRPr="006E4FE9" w:rsidP="006E4FE9" w14:paraId="44E37C4A" w14:textId="77777777">
            <w:pPr>
              <w:tabs>
                <w:tab w:val="left" w:pos="720"/>
              </w:tabs>
              <w:suppressAutoHyphens/>
              <w:autoSpaceDN w:val="0"/>
              <w:spacing w:line="480" w:lineRule="atLeast"/>
              <w:rPr>
                <w:rFonts w:ascii="Century Schoolbook" w:eastAsia="Calibri" w:hAnsi="Century Schoolbook"/>
                <w:sz w:val="26"/>
                <w:szCs w:val="26"/>
              </w:rPr>
            </w:pPr>
            <w:r w:rsidRPr="006E4FE9">
              <w:rPr>
                <w:rFonts w:ascii="Century Schoolbook" w:eastAsia="Calibri" w:hAnsi="Century Schoolbook"/>
                <w:sz w:val="26"/>
                <w:szCs w:val="26"/>
              </w:rPr>
              <w:t xml:space="preserve">   (San Francisco City &amp; County </w:t>
            </w:r>
          </w:p>
          <w:p w:rsidR="006E4FE9" w:rsidRPr="006E4FE9" w:rsidP="006E4FE9" w14:paraId="6623FCA5" w14:textId="77777777">
            <w:pPr>
              <w:tabs>
                <w:tab w:val="left" w:pos="720"/>
              </w:tabs>
              <w:suppressAutoHyphens/>
              <w:autoSpaceDN w:val="0"/>
              <w:spacing w:line="480" w:lineRule="atLeast"/>
              <w:rPr>
                <w:rFonts w:ascii="Century Schoolbook" w:eastAsia="Calibri" w:hAnsi="Century Schoolbook"/>
                <w:sz w:val="26"/>
                <w:szCs w:val="26"/>
              </w:rPr>
            </w:pPr>
            <w:r w:rsidRPr="006E4FE9">
              <w:rPr>
                <w:rFonts w:ascii="Century Schoolbook" w:eastAsia="Calibri" w:hAnsi="Century Schoolbook"/>
                <w:sz w:val="26"/>
                <w:szCs w:val="26"/>
              </w:rPr>
              <w:t xml:space="preserve">    Super. Ct. No. CGC20582606)</w:t>
            </w:r>
          </w:p>
          <w:p w:rsidR="006E4FE9" w:rsidRPr="006E4FE9" w:rsidP="006E4FE9" w14:paraId="0DA03703" w14:textId="77777777">
            <w:pPr>
              <w:tabs>
                <w:tab w:val="left" w:pos="720"/>
              </w:tabs>
              <w:suppressAutoHyphens/>
              <w:autoSpaceDN w:val="0"/>
              <w:spacing w:line="480" w:lineRule="atLeast"/>
              <w:rPr>
                <w:rFonts w:ascii="Century Schoolbook" w:eastAsia="Calibri" w:hAnsi="Century Schoolbook"/>
                <w:sz w:val="26"/>
                <w:szCs w:val="26"/>
              </w:rPr>
            </w:pPr>
          </w:p>
        </w:tc>
      </w:tr>
    </w:tbl>
    <w:p w:rsidR="006E4FE9" w:rsidRPr="006E4FE9" w:rsidP="006E4FE9" w14:paraId="67806302"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4363395D" w14:textId="77777777">
      <w:pPr>
        <w:tabs>
          <w:tab w:val="left" w:pos="720"/>
        </w:tabs>
        <w:suppressAutoHyphens/>
        <w:autoSpaceDN w:val="0"/>
        <w:spacing w:line="360" w:lineRule="auto"/>
        <w:rPr>
          <w:rFonts w:ascii="Century Schoolbook" w:eastAsia="Calibri" w:hAnsi="Century Schoolbook"/>
          <w:sz w:val="26"/>
          <w:szCs w:val="26"/>
        </w:rPr>
      </w:pPr>
      <w:r w:rsidRPr="006E4FE9">
        <w:rPr>
          <w:rFonts w:ascii="Century Schoolbook" w:eastAsia="Calibri" w:hAnsi="Century Schoolbook"/>
          <w:sz w:val="26"/>
          <w:szCs w:val="26"/>
        </w:rPr>
        <w:t>BY THE COURT:</w:t>
      </w:r>
      <w:r>
        <w:rPr>
          <w:rFonts w:ascii="Century Schoolbook" w:eastAsia="Calibri" w:hAnsi="Century Schoolbook"/>
          <w:bCs/>
          <w:sz w:val="26"/>
          <w:szCs w:val="26"/>
        </w:rPr>
        <w:footnoteReference w:id="4"/>
      </w:r>
    </w:p>
    <w:p w:rsidR="006E4FE9" w:rsidRPr="006E4FE9" w:rsidP="006E4FE9" w14:paraId="509C855E" w14:textId="77777777">
      <w:pPr>
        <w:tabs>
          <w:tab w:val="left" w:pos="720"/>
        </w:tabs>
        <w:suppressAutoHyphens/>
        <w:autoSpaceDN w:val="0"/>
        <w:spacing w:line="360" w:lineRule="auto"/>
        <w:rPr>
          <w:rFonts w:ascii="Century Schoolbook" w:eastAsia="Calibri" w:hAnsi="Century Schoolbook"/>
          <w:sz w:val="26"/>
          <w:szCs w:val="26"/>
        </w:rPr>
      </w:pPr>
      <w:r w:rsidRPr="006E4FE9">
        <w:rPr>
          <w:rFonts w:ascii="Century Schoolbook" w:eastAsia="Calibri" w:hAnsi="Century Schoolbook"/>
          <w:sz w:val="26"/>
          <w:szCs w:val="26"/>
        </w:rPr>
        <w:tab/>
        <w:t>The written opinion which was filed on November 27, 2023, has now</w:t>
      </w:r>
    </w:p>
    <w:p w:rsidR="006E4FE9" w:rsidRPr="006E4FE9" w:rsidP="006E4FE9" w14:paraId="1FB54629" w14:textId="77777777">
      <w:pPr>
        <w:tabs>
          <w:tab w:val="left" w:pos="720"/>
        </w:tabs>
        <w:suppressAutoHyphens/>
        <w:autoSpaceDN w:val="0"/>
        <w:spacing w:line="360" w:lineRule="auto"/>
        <w:rPr>
          <w:rFonts w:ascii="Century Schoolbook" w:eastAsia="Calibri" w:hAnsi="Century Schoolbook"/>
          <w:sz w:val="26"/>
          <w:szCs w:val="26"/>
        </w:rPr>
      </w:pPr>
      <w:r w:rsidRPr="006E4FE9">
        <w:rPr>
          <w:rFonts w:ascii="Century Schoolbook" w:eastAsia="Calibri" w:hAnsi="Century Schoolbook"/>
          <w:sz w:val="26"/>
          <w:szCs w:val="26"/>
        </w:rPr>
        <w:t>been certified for publication pursuant to rule 8.1105(b) of the California</w:t>
      </w:r>
    </w:p>
    <w:p w:rsidR="006E4FE9" w:rsidRPr="006E4FE9" w:rsidP="006E4FE9" w14:paraId="085152AA" w14:textId="77777777">
      <w:pPr>
        <w:tabs>
          <w:tab w:val="left" w:pos="720"/>
        </w:tabs>
        <w:suppressAutoHyphens/>
        <w:autoSpaceDN w:val="0"/>
        <w:spacing w:line="360" w:lineRule="auto"/>
        <w:rPr>
          <w:rFonts w:ascii="Century Schoolbook" w:eastAsia="Calibri" w:hAnsi="Century Schoolbook"/>
          <w:sz w:val="26"/>
          <w:szCs w:val="26"/>
        </w:rPr>
      </w:pPr>
      <w:r w:rsidRPr="006E4FE9">
        <w:rPr>
          <w:rFonts w:ascii="Century Schoolbook" w:eastAsia="Calibri" w:hAnsi="Century Schoolbook"/>
          <w:sz w:val="26"/>
          <w:szCs w:val="26"/>
        </w:rPr>
        <w:t>Rules of Court, and it is ordered published in the official reports.</w:t>
      </w:r>
    </w:p>
    <w:p w:rsidR="006E4FE9" w:rsidRPr="006E4FE9" w:rsidP="006E4FE9" w14:paraId="32DCE6FA" w14:textId="77777777">
      <w:pPr>
        <w:tabs>
          <w:tab w:val="left" w:pos="720"/>
        </w:tabs>
        <w:suppressAutoHyphens/>
        <w:autoSpaceDN w:val="0"/>
        <w:rPr>
          <w:rFonts w:ascii="Century Schoolbook" w:eastAsia="Calibri" w:hAnsi="Century Schoolbook"/>
          <w:sz w:val="26"/>
          <w:szCs w:val="26"/>
        </w:rPr>
      </w:pPr>
    </w:p>
    <w:p w:rsidR="006E4FE9" w:rsidRPr="006E4FE9" w:rsidP="006E4FE9" w14:paraId="5F95C688" w14:textId="77777777">
      <w:pPr>
        <w:tabs>
          <w:tab w:val="left" w:pos="720"/>
        </w:tabs>
        <w:suppressAutoHyphens/>
        <w:autoSpaceDN w:val="0"/>
        <w:rPr>
          <w:rFonts w:ascii="Century Schoolbook" w:eastAsia="Calibri" w:hAnsi="Century Schoolbook"/>
          <w:sz w:val="26"/>
          <w:szCs w:val="26"/>
        </w:rPr>
      </w:pPr>
      <w:r w:rsidRPr="006E4FE9">
        <w:rPr>
          <w:rFonts w:ascii="Century Schoolbook" w:eastAsia="Calibri" w:hAnsi="Century Schoolbook"/>
          <w:sz w:val="26"/>
          <w:szCs w:val="26"/>
        </w:rPr>
        <w:t>Dated: ___</w:t>
      </w:r>
      <w:r w:rsidRPr="006E4FE9">
        <w:rPr>
          <w:rFonts w:ascii="Century Schoolbook" w:eastAsia="Calibri" w:hAnsi="Century Schoolbook"/>
          <w:sz w:val="26"/>
          <w:szCs w:val="26"/>
          <w:u w:val="single"/>
        </w:rPr>
        <w:t>12/18/2023</w:t>
      </w:r>
      <w:r w:rsidRPr="006E4FE9">
        <w:rPr>
          <w:rFonts w:ascii="Century Schoolbook" w:eastAsia="Calibri" w:hAnsi="Century Schoolbook"/>
          <w:sz w:val="26"/>
          <w:szCs w:val="26"/>
        </w:rPr>
        <w:t xml:space="preserve">______              </w:t>
      </w:r>
      <w:r w:rsidRPr="006E4FE9">
        <w:rPr>
          <w:rFonts w:ascii="Century Schoolbook" w:eastAsia="Calibri" w:hAnsi="Century Schoolbook"/>
          <w:sz w:val="26"/>
          <w:szCs w:val="26"/>
          <w:u w:val="single"/>
        </w:rPr>
        <w:t>____   Fujisaki, Acting P.J._________</w:t>
      </w:r>
    </w:p>
    <w:p w:rsidR="006E4FE9" w:rsidRPr="006E4FE9" w:rsidP="006E4FE9" w14:paraId="0FEE34B6" w14:textId="77777777">
      <w:pPr>
        <w:widowControl w:val="0"/>
        <w:tabs>
          <w:tab w:val="left" w:pos="720"/>
          <w:tab w:val="left" w:pos="1440"/>
          <w:tab w:val="left" w:pos="2880"/>
          <w:tab w:val="left" w:pos="4320"/>
          <w:tab w:val="left" w:pos="5040"/>
          <w:tab w:val="left" w:pos="5760"/>
          <w:tab w:val="left" w:pos="7200"/>
          <w:tab w:val="left" w:pos="8640"/>
        </w:tabs>
        <w:suppressAutoHyphens/>
        <w:autoSpaceDE w:val="0"/>
        <w:autoSpaceDN w:val="0"/>
        <w:adjustRightInd w:val="0"/>
        <w:rPr>
          <w:rFonts w:ascii="Century Schoolbook" w:eastAsia="Calibri" w:hAnsi="Century Schoolbook" w:cs="Century Schoolbook"/>
          <w:sz w:val="26"/>
          <w:szCs w:val="26"/>
        </w:rPr>
      </w:pPr>
      <w:r w:rsidRPr="006E4FE9">
        <w:rPr>
          <w:rFonts w:ascii="Century Schoolbook" w:eastAsia="Calibri" w:hAnsi="Century Schoolbook"/>
          <w:sz w:val="26"/>
          <w:szCs w:val="26"/>
        </w:rPr>
        <w:tab/>
      </w:r>
      <w:r w:rsidRPr="006E4FE9">
        <w:rPr>
          <w:rFonts w:ascii="Century Schoolbook" w:eastAsia="Calibri" w:hAnsi="Century Schoolbook"/>
          <w:sz w:val="26"/>
          <w:szCs w:val="26"/>
        </w:rPr>
        <w:tab/>
      </w:r>
      <w:r w:rsidRPr="006E4FE9">
        <w:rPr>
          <w:rFonts w:ascii="Century Schoolbook" w:eastAsia="Calibri" w:hAnsi="Century Schoolbook"/>
          <w:sz w:val="26"/>
          <w:szCs w:val="26"/>
        </w:rPr>
        <w:tab/>
        <w:t xml:space="preserve">   </w:t>
      </w:r>
      <w:r w:rsidRPr="006E4FE9">
        <w:rPr>
          <w:rFonts w:ascii="Century Schoolbook" w:eastAsia="Calibri" w:hAnsi="Century Schoolbook"/>
          <w:sz w:val="26"/>
          <w:szCs w:val="26"/>
        </w:rPr>
        <w:tab/>
      </w:r>
      <w:r w:rsidRPr="006E4FE9">
        <w:rPr>
          <w:rFonts w:ascii="Century Schoolbook" w:eastAsia="Calibri" w:hAnsi="Century Schoolbook"/>
          <w:sz w:val="26"/>
          <w:szCs w:val="26"/>
        </w:rPr>
        <w:tab/>
        <w:t xml:space="preserve"> </w:t>
      </w:r>
      <w:r w:rsidRPr="006E4FE9">
        <w:rPr>
          <w:rFonts w:ascii="Century Schoolbook" w:eastAsia="Calibri" w:hAnsi="Century Schoolbook" w:cs="Century Schoolbook"/>
          <w:sz w:val="26"/>
          <w:szCs w:val="26"/>
        </w:rPr>
        <w:t xml:space="preserve">  Acting Presiding Justice</w:t>
      </w:r>
    </w:p>
    <w:p w:rsidR="006E4FE9" w:rsidRPr="006E4FE9" w:rsidP="006E4FE9" w14:paraId="4068F3C6" w14:textId="77777777">
      <w:pPr>
        <w:tabs>
          <w:tab w:val="left" w:pos="720"/>
        </w:tabs>
        <w:suppressAutoHyphens/>
        <w:autoSpaceDN w:val="0"/>
        <w:rPr>
          <w:rFonts w:ascii="Century Schoolbook" w:eastAsia="Calibri" w:hAnsi="Century Schoolbook"/>
          <w:sz w:val="26"/>
          <w:szCs w:val="26"/>
        </w:rPr>
      </w:pPr>
    </w:p>
    <w:p w:rsidR="006E4FE9" w:rsidRPr="006E4FE9" w:rsidP="006E4FE9" w14:paraId="155CBB9D"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219630DB" w14:textId="77777777">
      <w:pPr>
        <w:tabs>
          <w:tab w:val="left" w:pos="720"/>
        </w:tabs>
        <w:suppressAutoHyphens/>
        <w:autoSpaceDN w:val="0"/>
        <w:spacing w:line="360" w:lineRule="auto"/>
        <w:rPr>
          <w:rFonts w:ascii="Century Schoolbook" w:eastAsia="Calibri" w:hAnsi="Century Schoolbook"/>
          <w:sz w:val="26"/>
          <w:szCs w:val="26"/>
        </w:rPr>
        <w:sectPr w:rsidSect="008A44C8">
          <w:footerReference w:type="even" r:id="rId9"/>
          <w:footerReference w:type="default" r:id="rId10"/>
          <w:footnotePr>
            <w:numFmt w:val="chicago"/>
          </w:footnotePr>
          <w:pgSz w:w="12240" w:h="15840" w:code="1"/>
          <w:pgMar w:top="1440" w:right="1440" w:bottom="1440" w:left="1440" w:header="1440" w:footer="1440" w:gutter="0"/>
          <w:pgNumType w:start="1"/>
          <w:cols w:space="720"/>
          <w:noEndnote/>
          <w:docGrid w:linePitch="354"/>
        </w:sectPr>
      </w:pPr>
    </w:p>
    <w:p w:rsidR="006E4FE9" w:rsidRPr="006E4FE9" w:rsidP="006E4FE9" w14:paraId="19DD0B97" w14:textId="77777777">
      <w:pPr>
        <w:pageBreakBefore/>
        <w:tabs>
          <w:tab w:val="left" w:pos="720"/>
        </w:tabs>
        <w:suppressAutoHyphens/>
        <w:rPr>
          <w:rFonts w:ascii="Century Schoolbook" w:eastAsia="Calibri" w:hAnsi="Century Schoolbook"/>
          <w:sz w:val="26"/>
          <w:szCs w:val="26"/>
        </w:rPr>
      </w:pPr>
      <w:r w:rsidRPr="006E4FE9">
        <w:rPr>
          <w:rFonts w:ascii="Century Schoolbook" w:eastAsia="Calibri" w:hAnsi="Century Schoolbook"/>
          <w:sz w:val="26"/>
          <w:szCs w:val="26"/>
        </w:rPr>
        <w:t>Trial Court:</w:t>
      </w:r>
      <w:r w:rsidRPr="006E4FE9">
        <w:rPr>
          <w:rFonts w:ascii="Century Schoolbook" w:eastAsia="Calibri" w:hAnsi="Century Schoolbook"/>
          <w:sz w:val="26"/>
          <w:szCs w:val="26"/>
        </w:rPr>
        <w:tab/>
      </w:r>
      <w:r w:rsidRPr="006E4FE9">
        <w:rPr>
          <w:rFonts w:ascii="Century Schoolbook" w:eastAsia="Calibri" w:hAnsi="Century Schoolbook"/>
          <w:sz w:val="26"/>
          <w:szCs w:val="26"/>
        </w:rPr>
        <w:tab/>
        <w:t xml:space="preserve">San Francisco County Superior Court </w:t>
      </w:r>
    </w:p>
    <w:p w:rsidR="006E4FE9" w:rsidRPr="006E4FE9" w:rsidP="006E4FE9" w14:paraId="50126503" w14:textId="77777777">
      <w:pPr>
        <w:tabs>
          <w:tab w:val="left" w:pos="720"/>
        </w:tabs>
        <w:suppressAutoHyphens/>
        <w:rPr>
          <w:rFonts w:ascii="Century Schoolbook" w:eastAsia="Calibri" w:hAnsi="Century Schoolbook"/>
          <w:sz w:val="26"/>
          <w:szCs w:val="26"/>
        </w:rPr>
      </w:pPr>
    </w:p>
    <w:p w:rsidR="006E4FE9" w:rsidRPr="006E4FE9" w:rsidP="006E4FE9" w14:paraId="6CBA1707" w14:textId="77777777">
      <w:pPr>
        <w:tabs>
          <w:tab w:val="left" w:pos="720"/>
        </w:tabs>
        <w:suppressAutoHyphens/>
        <w:rPr>
          <w:rFonts w:ascii="Century Schoolbook" w:eastAsia="Calibri" w:hAnsi="Century Schoolbook"/>
          <w:sz w:val="26"/>
          <w:szCs w:val="26"/>
        </w:rPr>
      </w:pPr>
      <w:r w:rsidRPr="006E4FE9">
        <w:rPr>
          <w:rFonts w:ascii="Century Schoolbook" w:eastAsia="Calibri" w:hAnsi="Century Schoolbook"/>
          <w:sz w:val="26"/>
          <w:szCs w:val="26"/>
        </w:rPr>
        <w:t>Trial Judge:</w:t>
      </w:r>
      <w:r w:rsidRPr="006E4FE9">
        <w:rPr>
          <w:rFonts w:ascii="Century Schoolbook" w:eastAsia="Calibri" w:hAnsi="Century Schoolbook"/>
          <w:sz w:val="26"/>
          <w:szCs w:val="26"/>
        </w:rPr>
        <w:tab/>
        <w:t xml:space="preserve">Hon. Richard B. Ulmer, Jr. </w:t>
      </w:r>
    </w:p>
    <w:p w:rsidR="006E4FE9" w:rsidRPr="006E4FE9" w:rsidP="006E4FE9" w14:paraId="3A1259CF" w14:textId="77777777">
      <w:pPr>
        <w:tabs>
          <w:tab w:val="left" w:pos="720"/>
        </w:tabs>
        <w:suppressAutoHyphens/>
        <w:rPr>
          <w:rFonts w:ascii="Century Schoolbook" w:eastAsia="Calibri" w:hAnsi="Century Schoolbook"/>
          <w:sz w:val="26"/>
          <w:szCs w:val="26"/>
        </w:rPr>
      </w:pPr>
    </w:p>
    <w:p w:rsidR="006E4FE9" w:rsidRPr="006E4FE9" w:rsidP="006E4FE9" w14:paraId="6D0C3430" w14:textId="77777777">
      <w:pPr>
        <w:tabs>
          <w:tab w:val="left" w:pos="1440"/>
        </w:tabs>
        <w:suppressAutoHyphens/>
        <w:autoSpaceDN w:val="0"/>
        <w:ind w:left="2160" w:hanging="2160"/>
        <w:rPr>
          <w:rFonts w:ascii="Century Schoolbook" w:eastAsia="Calibri" w:hAnsi="Century Schoolbook"/>
          <w:sz w:val="26"/>
          <w:szCs w:val="26"/>
        </w:rPr>
      </w:pPr>
      <w:r w:rsidRPr="006E4FE9">
        <w:rPr>
          <w:rFonts w:ascii="Century Schoolbook" w:eastAsia="Calibri" w:hAnsi="Century Schoolbook" w:cs="Calibri"/>
          <w:sz w:val="26"/>
          <w:szCs w:val="26"/>
        </w:rPr>
        <w:t>Counsel:</w:t>
      </w:r>
      <w:r w:rsidRPr="006E4FE9">
        <w:rPr>
          <w:rFonts w:ascii="Century Schoolbook" w:eastAsia="Calibri" w:hAnsi="Century Schoolbook" w:cs="Calibri"/>
          <w:sz w:val="26"/>
          <w:szCs w:val="26"/>
        </w:rPr>
        <w:tab/>
      </w:r>
      <w:r w:rsidRPr="006E4FE9">
        <w:rPr>
          <w:rFonts w:ascii="Century Schoolbook" w:eastAsia="Calibri" w:hAnsi="Century Schoolbook" w:cs="Calibri"/>
          <w:sz w:val="26"/>
          <w:szCs w:val="26"/>
        </w:rPr>
        <w:tab/>
        <w:t xml:space="preserve">Law Office of Nikolaus W. Reed, Nikolaus Reed, </w:t>
      </w:r>
      <w:r w:rsidRPr="006E4FE9">
        <w:rPr>
          <w:rFonts w:ascii="Century Schoolbook" w:eastAsia="Calibri" w:hAnsi="Century Schoolbook"/>
          <w:sz w:val="26"/>
          <w:szCs w:val="26"/>
        </w:rPr>
        <w:t>for Plaintiff and Appellant.</w:t>
      </w:r>
    </w:p>
    <w:p w:rsidR="006E4FE9" w:rsidRPr="006E4FE9" w:rsidP="006E4FE9" w14:paraId="083AF50D" w14:textId="77777777">
      <w:pPr>
        <w:tabs>
          <w:tab w:val="left" w:pos="1440"/>
        </w:tabs>
        <w:suppressAutoHyphens/>
        <w:autoSpaceDN w:val="0"/>
        <w:ind w:left="2160" w:hanging="2160"/>
        <w:rPr>
          <w:rFonts w:ascii="Century Schoolbook" w:eastAsia="Calibri" w:hAnsi="Century Schoolbook"/>
          <w:sz w:val="26"/>
          <w:szCs w:val="26"/>
        </w:rPr>
      </w:pPr>
    </w:p>
    <w:p w:rsidR="006E4FE9" w:rsidRPr="006E4FE9" w:rsidP="006E4FE9" w14:paraId="58D79E81" w14:textId="77777777">
      <w:pPr>
        <w:tabs>
          <w:tab w:val="left" w:pos="1440"/>
        </w:tabs>
        <w:suppressAutoHyphens/>
        <w:autoSpaceDN w:val="0"/>
        <w:ind w:left="2160" w:hanging="2160"/>
        <w:rPr>
          <w:rFonts w:ascii="Century Schoolbook" w:eastAsia="Calibri" w:hAnsi="Century Schoolbook"/>
          <w:sz w:val="26"/>
          <w:szCs w:val="26"/>
        </w:rPr>
      </w:pPr>
      <w:r w:rsidRPr="006E4FE9">
        <w:rPr>
          <w:rFonts w:ascii="Century Schoolbook" w:eastAsia="Calibri" w:hAnsi="Century Schoolbook"/>
          <w:sz w:val="26"/>
          <w:szCs w:val="26"/>
        </w:rPr>
        <w:tab/>
      </w:r>
      <w:r w:rsidRPr="006E4FE9">
        <w:rPr>
          <w:rFonts w:ascii="Century Schoolbook" w:eastAsia="Calibri" w:hAnsi="Century Schoolbook"/>
          <w:sz w:val="26"/>
          <w:szCs w:val="26"/>
        </w:rPr>
        <w:tab/>
        <w:t>Gough &amp; Hancook, Mark Hancock, Gayle Gough, and Peter Messrobian, for Defendants and Respondents Pacific Gas and Electric Company, et al.</w:t>
      </w:r>
    </w:p>
    <w:p w:rsidR="006E4FE9" w:rsidRPr="006E4FE9" w:rsidP="006E4FE9" w14:paraId="62E8B033" w14:textId="77777777">
      <w:pPr>
        <w:tabs>
          <w:tab w:val="left" w:pos="1440"/>
        </w:tabs>
        <w:suppressAutoHyphens/>
        <w:autoSpaceDN w:val="0"/>
        <w:ind w:left="2160" w:hanging="2160"/>
        <w:rPr>
          <w:rFonts w:ascii="Century Schoolbook" w:eastAsia="Calibri" w:hAnsi="Century Schoolbook"/>
          <w:sz w:val="26"/>
          <w:szCs w:val="26"/>
        </w:rPr>
      </w:pPr>
    </w:p>
    <w:p w:rsidR="006E4FE9" w:rsidRPr="006E4FE9" w:rsidP="006E4FE9" w14:paraId="13BC7F9A" w14:textId="77777777">
      <w:pPr>
        <w:tabs>
          <w:tab w:val="left" w:pos="1440"/>
        </w:tabs>
        <w:suppressAutoHyphens/>
        <w:autoSpaceDN w:val="0"/>
        <w:ind w:left="2160" w:hanging="2160"/>
        <w:rPr>
          <w:rFonts w:ascii="Century Schoolbook" w:eastAsia="Calibri" w:hAnsi="Century Schoolbook"/>
          <w:sz w:val="26"/>
          <w:szCs w:val="26"/>
        </w:rPr>
      </w:pPr>
      <w:r w:rsidRPr="006E4FE9">
        <w:rPr>
          <w:rFonts w:ascii="Century Schoolbook" w:eastAsia="Calibri" w:hAnsi="Century Schoolbook"/>
          <w:sz w:val="26"/>
          <w:szCs w:val="26"/>
        </w:rPr>
        <w:tab/>
      </w:r>
      <w:r w:rsidRPr="006E4FE9">
        <w:rPr>
          <w:rFonts w:ascii="Century Schoolbook" w:eastAsia="Calibri" w:hAnsi="Century Schoolbook"/>
          <w:sz w:val="26"/>
          <w:szCs w:val="26"/>
        </w:rPr>
        <w:tab/>
        <w:t xml:space="preserve">Phillips Spallas &amp; Angstadt, Robert Phillips, Michael Halvorsen, and Matthew Gardner, for Defendants and Respondents, Hip Sen Benevolent Association. </w:t>
      </w:r>
    </w:p>
    <w:p w:rsidR="006E4FE9" w:rsidRPr="006E4FE9" w:rsidP="006E4FE9" w14:paraId="41780013" w14:textId="77777777">
      <w:pPr>
        <w:tabs>
          <w:tab w:val="left" w:pos="1440"/>
        </w:tabs>
        <w:suppressAutoHyphens/>
        <w:autoSpaceDN w:val="0"/>
        <w:ind w:left="2160" w:hanging="2160"/>
        <w:rPr>
          <w:rFonts w:ascii="Century Schoolbook" w:eastAsia="Calibri" w:hAnsi="Century Schoolbook"/>
          <w:sz w:val="26"/>
          <w:szCs w:val="26"/>
        </w:rPr>
      </w:pPr>
      <w:r w:rsidRPr="006E4FE9">
        <w:rPr>
          <w:rFonts w:ascii="Century Schoolbook" w:eastAsia="Calibri" w:hAnsi="Century Schoolbook"/>
          <w:sz w:val="26"/>
          <w:szCs w:val="26"/>
        </w:rPr>
        <w:tab/>
      </w:r>
      <w:r w:rsidRPr="006E4FE9">
        <w:rPr>
          <w:rFonts w:ascii="Century Schoolbook" w:eastAsia="Calibri" w:hAnsi="Century Schoolbook"/>
          <w:sz w:val="26"/>
          <w:szCs w:val="26"/>
        </w:rPr>
        <w:tab/>
      </w:r>
    </w:p>
    <w:p w:rsidR="006E4FE9" w:rsidRPr="006E4FE9" w:rsidP="006E4FE9" w14:paraId="33A7BD88" w14:textId="77777777">
      <w:pPr>
        <w:tabs>
          <w:tab w:val="left" w:pos="1440"/>
        </w:tabs>
        <w:suppressAutoHyphens/>
        <w:autoSpaceDN w:val="0"/>
        <w:ind w:left="2160" w:hanging="2160"/>
        <w:rPr>
          <w:rFonts w:ascii="Century Schoolbook" w:eastAsia="Calibri" w:hAnsi="Century Schoolbook"/>
          <w:sz w:val="26"/>
          <w:szCs w:val="26"/>
        </w:rPr>
      </w:pPr>
      <w:r w:rsidRPr="006E4FE9">
        <w:rPr>
          <w:rFonts w:ascii="Century Schoolbook" w:eastAsia="Calibri" w:hAnsi="Century Schoolbook"/>
          <w:sz w:val="26"/>
          <w:szCs w:val="26"/>
        </w:rPr>
        <w:tab/>
      </w:r>
    </w:p>
    <w:p w:rsidR="006E4FE9" w:rsidRPr="006E4FE9" w:rsidP="006E4FE9" w14:paraId="451EE213" w14:textId="77777777">
      <w:pPr>
        <w:tabs>
          <w:tab w:val="left" w:pos="720"/>
          <w:tab w:val="left" w:pos="1440"/>
          <w:tab w:val="left" w:pos="2160"/>
        </w:tabs>
        <w:suppressAutoHyphens/>
        <w:ind w:left="2520" w:hanging="2520"/>
        <w:rPr>
          <w:rFonts w:ascii="Century Schoolbook" w:eastAsia="Calibri" w:hAnsi="Century Schoolbook"/>
          <w:sz w:val="26"/>
          <w:szCs w:val="26"/>
        </w:rPr>
      </w:pPr>
    </w:p>
    <w:p w:rsidR="006E4FE9" w:rsidRPr="006E4FE9" w:rsidP="006E4FE9" w14:paraId="4CD3BA4F"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719F4682"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0660D2F4"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4B899981"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78D2D2E9"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4AF227CF"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46EE1115"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36122726"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7174B272"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24EEB0DC"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74039BB2"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4978E936"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3E9785AC"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55EFF525" w14:textId="77777777">
      <w:pPr>
        <w:tabs>
          <w:tab w:val="left" w:pos="720"/>
        </w:tabs>
        <w:suppressAutoHyphens/>
        <w:autoSpaceDN w:val="0"/>
        <w:spacing w:line="360" w:lineRule="auto"/>
        <w:rPr>
          <w:rFonts w:ascii="Century Schoolbook" w:eastAsia="Calibri" w:hAnsi="Century Schoolbook"/>
          <w:sz w:val="26"/>
          <w:szCs w:val="26"/>
        </w:rPr>
      </w:pPr>
    </w:p>
    <w:p w:rsidR="006E4FE9" w:rsidRPr="006E4FE9" w:rsidP="006E4FE9" w14:paraId="719C683A" w14:textId="77777777">
      <w:pPr>
        <w:tabs>
          <w:tab w:val="left" w:pos="720"/>
        </w:tabs>
        <w:suppressAutoHyphens/>
        <w:autoSpaceDN w:val="0"/>
        <w:spacing w:line="360" w:lineRule="auto"/>
        <w:rPr>
          <w:rFonts w:ascii="Century Schoolbook" w:eastAsia="Calibri" w:hAnsi="Century Schoolbook"/>
          <w:i/>
          <w:iCs/>
          <w:sz w:val="26"/>
          <w:szCs w:val="26"/>
        </w:rPr>
      </w:pPr>
    </w:p>
    <w:p w:rsidR="00F84E65" w:rsidRPr="006E4FE9" w:rsidP="00F84E65" w14:paraId="7C8A7311" w14:textId="617EEE6D">
      <w:pPr>
        <w:pStyle w:val="FootnoteText"/>
        <w:rPr>
          <w:szCs w:val="26"/>
        </w:rPr>
      </w:pPr>
    </w:p>
    <w:sectPr w:rsidSect="00DF186B">
      <w:footerReference w:type="default" r:id="rId11"/>
      <w:pgSz w:w="12240" w:h="15840"/>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DE7" w:rsidP="008042A4" w14:paraId="047C32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33DE7" w:rsidP="008042A4" w14:paraId="2BA75E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33DE7" w14:paraId="4EDCA6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DE7" w:rsidP="008042A4" w14:paraId="3F4E28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6C4">
      <w:rPr>
        <w:rStyle w:val="PageNumber"/>
        <w:noProof/>
      </w:rPr>
      <w:t>7</w:t>
    </w:r>
    <w:r>
      <w:rPr>
        <w:rStyle w:val="PageNumber"/>
      </w:rPr>
      <w:fldChar w:fldCharType="end"/>
    </w:r>
  </w:p>
  <w:p w:rsidR="00F33DE7" w14:paraId="3467E9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FE9" w:rsidP="00BC01F2" w14:paraId="6C02C4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B1C94">
      <w:rPr>
        <w:rStyle w:val="PageNumber"/>
      </w:rPr>
      <w:fldChar w:fldCharType="separate"/>
    </w:r>
    <w:r>
      <w:rPr>
        <w:rStyle w:val="PageNumber"/>
      </w:rPr>
      <w:fldChar w:fldCharType="end"/>
    </w:r>
  </w:p>
  <w:p w:rsidR="006E4FE9" w14:paraId="413BA04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FE9" w:rsidP="00BC01F2" w14:paraId="0D9C10F9"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FE9" w14:paraId="4184F9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E4FE9" w14:paraId="256CDD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3199" w:rsidP="00781863" w14:paraId="090FD51C" w14:textId="77777777">
      <w:r>
        <w:separator/>
      </w:r>
    </w:p>
  </w:footnote>
  <w:footnote w:type="continuationSeparator" w:id="1">
    <w:p w:rsidR="00CB3199" w:rsidP="00781863" w14:paraId="2CC20B49" w14:textId="77777777">
      <w:r>
        <w:continuationSeparator/>
      </w:r>
    </w:p>
  </w:footnote>
  <w:footnote w:id="2">
    <w:p w:rsidR="00464FE6" w:rsidP="00464FE6" w14:paraId="5FD57F27" w14:textId="2F944FA7">
      <w:pPr>
        <w:pStyle w:val="FootnoteText"/>
      </w:pPr>
      <w:r>
        <w:rPr>
          <w:rStyle w:val="FootnoteReference"/>
        </w:rPr>
        <w:footnoteRef/>
      </w:r>
      <w:r>
        <w:t xml:space="preserve"> </w:t>
      </w:r>
      <w:r>
        <w:tab/>
        <w:t xml:space="preserve">We have disregarded defendants’ arguments challenging Miller’s assertions concerning the grade percentage of the downward slope of the sidewalk. </w:t>
      </w:r>
      <w:r w:rsidR="00780462">
        <w:t xml:space="preserve"> </w:t>
      </w:r>
      <w:r>
        <w:t>In the absence of any showing that the trial court granted objections to this evidence, we presume the court overruled any objections and considered the disputed assertions in ruling on the motions.  (</w:t>
      </w:r>
      <w:r w:rsidRPr="00345D7E">
        <w:rPr>
          <w:i/>
          <w:iCs/>
        </w:rPr>
        <w:t>Reid v. Google, Inc.</w:t>
      </w:r>
      <w:r>
        <w:t xml:space="preserve"> (2010) 50 Cal.4th 512, 534.)  While impliedly overruled evidentiary objections may be renewed on appeal, the burden is on defendants to properly present those arguments and they have failed to do so.  (Cal. Rules of Court, rule 8.</w:t>
      </w:r>
      <w:r>
        <w:rPr>
          <w:color w:val="3D3D3D"/>
          <w:szCs w:val="26"/>
        </w:rPr>
        <w:t xml:space="preserve">204(a)(1)(B).)  </w:t>
      </w:r>
      <w:r>
        <w:t xml:space="preserve">PG&amp;E does not include record citations showing it made written evidentiary objections in the trial court, and it proffers no citations to relevant statutory or case authority. </w:t>
      </w:r>
      <w:r w:rsidR="00780462">
        <w:t xml:space="preserve"> </w:t>
      </w:r>
      <w:r>
        <w:t xml:space="preserve">Hip Sen similarly does not include record citations showing it made written evidentiary objections in the trial court, and while it cites to Evidence Code sections, it offers no explanation as to how the statutory provisions support its argument. </w:t>
      </w:r>
    </w:p>
  </w:footnote>
  <w:footnote w:id="3">
    <w:p w:rsidR="00464FE6" w:rsidP="00464FE6" w14:paraId="1C7BDE9A" w14:textId="4FD9419D">
      <w:pPr>
        <w:pStyle w:val="FootnoteText"/>
      </w:pPr>
      <w:r>
        <w:rPr>
          <w:rStyle w:val="FootnoteReference"/>
        </w:rPr>
        <w:footnoteRef/>
      </w:r>
      <w:r>
        <w:t xml:space="preserve"> </w:t>
      </w:r>
      <w:r>
        <w:tab/>
        <w:t xml:space="preserve">While not dispositive, we note </w:t>
      </w:r>
      <w:r>
        <w:rPr>
          <w:color w:val="3D3D3D"/>
          <w:szCs w:val="26"/>
        </w:rPr>
        <w:t xml:space="preserve">the photographs in the record do not reflect that the sidewalk was on one of the steep hills for which the City is famous; rather they reflect the sidewalk’s downward slope was gradual and unremarkable.  Additionally, </w:t>
      </w:r>
      <w:r>
        <w:rPr>
          <w:szCs w:val="26"/>
        </w:rPr>
        <w:t>Miller did not submit photographic evidence showing that at nighttime the vertical misalignment was not visible.</w:t>
      </w:r>
    </w:p>
  </w:footnote>
  <w:footnote w:id="4">
    <w:p w:rsidR="006E4FE9" w:rsidRPr="00266AC2" w:rsidP="006E4FE9" w14:paraId="18576678" w14:textId="77777777">
      <w:pPr>
        <w:pStyle w:val="FootnoteText"/>
      </w:pPr>
      <w:r w:rsidRPr="00266AC2">
        <w:rPr>
          <w:rStyle w:val="FootnoteReference"/>
        </w:rPr>
        <w:footnoteRef/>
      </w:r>
      <w:r w:rsidRPr="00266AC2">
        <w:t xml:space="preserve"> </w:t>
      </w:r>
      <w:r>
        <w:t>Petrou, J., Fujisaki, Acting P.J., Rodr</w:t>
      </w:r>
      <w:r w:rsidRPr="004D60C7">
        <w:t>í</w:t>
      </w:r>
      <w:r>
        <w:t>guez, J</w:t>
      </w:r>
      <w:r w:rsidRPr="00266AC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406" w:rsidP="00780462" w14:paraId="64E52F94" w14:textId="51AC32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55828"/>
    <w:multiLevelType w:val="hybridMultilevel"/>
    <w:tmpl w:val="715C2EBE"/>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0D07A0F"/>
    <w:multiLevelType w:val="hybridMultilevel"/>
    <w:tmpl w:val="F4FC1E2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6EA2A66"/>
    <w:multiLevelType w:val="hybridMultilevel"/>
    <w:tmpl w:val="15C0EB3A"/>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76E7805"/>
    <w:multiLevelType w:val="hybridMultilevel"/>
    <w:tmpl w:val="4790BE04"/>
    <w:lvl w:ilvl="0">
      <w:start w:val="3"/>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78FD48A3"/>
    <w:multiLevelType w:val="hybridMultilevel"/>
    <w:tmpl w:val="4E20AF1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defaultTabStop w:val="720"/>
  <w:drawingGridHorizontalSpacing w:val="13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F8"/>
    <w:rsid w:val="00000EFF"/>
    <w:rsid w:val="00001194"/>
    <w:rsid w:val="0000167D"/>
    <w:rsid w:val="0000225A"/>
    <w:rsid w:val="00002477"/>
    <w:rsid w:val="00002BE9"/>
    <w:rsid w:val="00002ED6"/>
    <w:rsid w:val="00004A9C"/>
    <w:rsid w:val="00005DC1"/>
    <w:rsid w:val="00010EEA"/>
    <w:rsid w:val="0001106F"/>
    <w:rsid w:val="000114B7"/>
    <w:rsid w:val="000115D5"/>
    <w:rsid w:val="00011C1B"/>
    <w:rsid w:val="000140F7"/>
    <w:rsid w:val="00015529"/>
    <w:rsid w:val="00017C32"/>
    <w:rsid w:val="00020B29"/>
    <w:rsid w:val="00022D5D"/>
    <w:rsid w:val="00022FFC"/>
    <w:rsid w:val="00023860"/>
    <w:rsid w:val="000248D1"/>
    <w:rsid w:val="00024FF9"/>
    <w:rsid w:val="000272AF"/>
    <w:rsid w:val="000311EE"/>
    <w:rsid w:val="000318CE"/>
    <w:rsid w:val="00032ACE"/>
    <w:rsid w:val="0003406A"/>
    <w:rsid w:val="000342DE"/>
    <w:rsid w:val="000350FD"/>
    <w:rsid w:val="000355CD"/>
    <w:rsid w:val="00035DDD"/>
    <w:rsid w:val="00036F03"/>
    <w:rsid w:val="000375A0"/>
    <w:rsid w:val="00037756"/>
    <w:rsid w:val="00040FD6"/>
    <w:rsid w:val="00041DE5"/>
    <w:rsid w:val="0004236B"/>
    <w:rsid w:val="00043D47"/>
    <w:rsid w:val="00044478"/>
    <w:rsid w:val="00045935"/>
    <w:rsid w:val="00045D49"/>
    <w:rsid w:val="0005093A"/>
    <w:rsid w:val="00050A76"/>
    <w:rsid w:val="00050FA4"/>
    <w:rsid w:val="000523ED"/>
    <w:rsid w:val="000524EE"/>
    <w:rsid w:val="00052760"/>
    <w:rsid w:val="00053804"/>
    <w:rsid w:val="00056501"/>
    <w:rsid w:val="0006107E"/>
    <w:rsid w:val="000610A7"/>
    <w:rsid w:val="000612FB"/>
    <w:rsid w:val="00064774"/>
    <w:rsid w:val="00066343"/>
    <w:rsid w:val="00066A19"/>
    <w:rsid w:val="00067C9C"/>
    <w:rsid w:val="0007033C"/>
    <w:rsid w:val="0007215C"/>
    <w:rsid w:val="00073565"/>
    <w:rsid w:val="00075D09"/>
    <w:rsid w:val="000801CE"/>
    <w:rsid w:val="00082AC0"/>
    <w:rsid w:val="00084223"/>
    <w:rsid w:val="00084450"/>
    <w:rsid w:val="00086533"/>
    <w:rsid w:val="00086D46"/>
    <w:rsid w:val="000870CA"/>
    <w:rsid w:val="00087128"/>
    <w:rsid w:val="0008789D"/>
    <w:rsid w:val="00087E46"/>
    <w:rsid w:val="000904CB"/>
    <w:rsid w:val="00090A26"/>
    <w:rsid w:val="00090A97"/>
    <w:rsid w:val="00091413"/>
    <w:rsid w:val="000936B6"/>
    <w:rsid w:val="00094134"/>
    <w:rsid w:val="000947A1"/>
    <w:rsid w:val="000956F2"/>
    <w:rsid w:val="000959BA"/>
    <w:rsid w:val="00096601"/>
    <w:rsid w:val="00097F51"/>
    <w:rsid w:val="000A1F41"/>
    <w:rsid w:val="000A297F"/>
    <w:rsid w:val="000A4B85"/>
    <w:rsid w:val="000A58CA"/>
    <w:rsid w:val="000A5D13"/>
    <w:rsid w:val="000B1961"/>
    <w:rsid w:val="000B391B"/>
    <w:rsid w:val="000B5BB3"/>
    <w:rsid w:val="000B5F53"/>
    <w:rsid w:val="000B7068"/>
    <w:rsid w:val="000C073E"/>
    <w:rsid w:val="000C2382"/>
    <w:rsid w:val="000C2B5D"/>
    <w:rsid w:val="000C32B6"/>
    <w:rsid w:val="000C37AA"/>
    <w:rsid w:val="000C5A1A"/>
    <w:rsid w:val="000C5A29"/>
    <w:rsid w:val="000D0432"/>
    <w:rsid w:val="000D0DF9"/>
    <w:rsid w:val="000D1443"/>
    <w:rsid w:val="000D4463"/>
    <w:rsid w:val="000D645A"/>
    <w:rsid w:val="000E19CE"/>
    <w:rsid w:val="000E2449"/>
    <w:rsid w:val="000E32E4"/>
    <w:rsid w:val="000E49F0"/>
    <w:rsid w:val="000E4EAC"/>
    <w:rsid w:val="000E58CE"/>
    <w:rsid w:val="000E7B1D"/>
    <w:rsid w:val="000F01C9"/>
    <w:rsid w:val="000F0A06"/>
    <w:rsid w:val="000F1666"/>
    <w:rsid w:val="000F174D"/>
    <w:rsid w:val="000F1B07"/>
    <w:rsid w:val="000F24C5"/>
    <w:rsid w:val="000F2EFC"/>
    <w:rsid w:val="000F48C1"/>
    <w:rsid w:val="000F5052"/>
    <w:rsid w:val="000F5074"/>
    <w:rsid w:val="000F52C6"/>
    <w:rsid w:val="000F58D2"/>
    <w:rsid w:val="000F7407"/>
    <w:rsid w:val="000F7E82"/>
    <w:rsid w:val="00100860"/>
    <w:rsid w:val="00103846"/>
    <w:rsid w:val="00104710"/>
    <w:rsid w:val="00105FB4"/>
    <w:rsid w:val="001064BA"/>
    <w:rsid w:val="00106EBE"/>
    <w:rsid w:val="00110B14"/>
    <w:rsid w:val="00111C74"/>
    <w:rsid w:val="00111CF5"/>
    <w:rsid w:val="00112631"/>
    <w:rsid w:val="00113C56"/>
    <w:rsid w:val="001140F0"/>
    <w:rsid w:val="00114361"/>
    <w:rsid w:val="001148A7"/>
    <w:rsid w:val="00114C86"/>
    <w:rsid w:val="0011527E"/>
    <w:rsid w:val="00115914"/>
    <w:rsid w:val="001173E9"/>
    <w:rsid w:val="00117CF2"/>
    <w:rsid w:val="00117D1B"/>
    <w:rsid w:val="0012029B"/>
    <w:rsid w:val="001224F0"/>
    <w:rsid w:val="00123183"/>
    <w:rsid w:val="001240A1"/>
    <w:rsid w:val="001244D9"/>
    <w:rsid w:val="001253FE"/>
    <w:rsid w:val="00125428"/>
    <w:rsid w:val="00126629"/>
    <w:rsid w:val="001303E7"/>
    <w:rsid w:val="00130731"/>
    <w:rsid w:val="00132659"/>
    <w:rsid w:val="00132B8A"/>
    <w:rsid w:val="001333AE"/>
    <w:rsid w:val="0013362B"/>
    <w:rsid w:val="001337D0"/>
    <w:rsid w:val="001361F4"/>
    <w:rsid w:val="00140A5D"/>
    <w:rsid w:val="0014401F"/>
    <w:rsid w:val="0014527B"/>
    <w:rsid w:val="0014589E"/>
    <w:rsid w:val="00146CBA"/>
    <w:rsid w:val="00146E29"/>
    <w:rsid w:val="00150522"/>
    <w:rsid w:val="00150953"/>
    <w:rsid w:val="00151C0E"/>
    <w:rsid w:val="00151CD6"/>
    <w:rsid w:val="00152476"/>
    <w:rsid w:val="00153D34"/>
    <w:rsid w:val="00155CC6"/>
    <w:rsid w:val="00160B4F"/>
    <w:rsid w:val="00161442"/>
    <w:rsid w:val="00162C6B"/>
    <w:rsid w:val="00163185"/>
    <w:rsid w:val="00163CEC"/>
    <w:rsid w:val="00164043"/>
    <w:rsid w:val="00165376"/>
    <w:rsid w:val="00165D1E"/>
    <w:rsid w:val="00166559"/>
    <w:rsid w:val="00167ABC"/>
    <w:rsid w:val="00167C18"/>
    <w:rsid w:val="00171A43"/>
    <w:rsid w:val="00171B02"/>
    <w:rsid w:val="001738F0"/>
    <w:rsid w:val="00174AF2"/>
    <w:rsid w:val="00175063"/>
    <w:rsid w:val="00175D4C"/>
    <w:rsid w:val="00177CAF"/>
    <w:rsid w:val="001809D7"/>
    <w:rsid w:val="001839B7"/>
    <w:rsid w:val="00183A20"/>
    <w:rsid w:val="00183A82"/>
    <w:rsid w:val="00185E5B"/>
    <w:rsid w:val="00187820"/>
    <w:rsid w:val="00190D22"/>
    <w:rsid w:val="0019202E"/>
    <w:rsid w:val="00192B18"/>
    <w:rsid w:val="00193488"/>
    <w:rsid w:val="001936F1"/>
    <w:rsid w:val="0019443A"/>
    <w:rsid w:val="00194BB4"/>
    <w:rsid w:val="00194BE1"/>
    <w:rsid w:val="00194DE3"/>
    <w:rsid w:val="00196A11"/>
    <w:rsid w:val="0019766D"/>
    <w:rsid w:val="001A2435"/>
    <w:rsid w:val="001A2877"/>
    <w:rsid w:val="001A290A"/>
    <w:rsid w:val="001A2D2A"/>
    <w:rsid w:val="001A2F82"/>
    <w:rsid w:val="001A3557"/>
    <w:rsid w:val="001A3742"/>
    <w:rsid w:val="001A4384"/>
    <w:rsid w:val="001A579A"/>
    <w:rsid w:val="001B025B"/>
    <w:rsid w:val="001B15C2"/>
    <w:rsid w:val="001B2EFE"/>
    <w:rsid w:val="001B4925"/>
    <w:rsid w:val="001B5C21"/>
    <w:rsid w:val="001B5FC4"/>
    <w:rsid w:val="001C2FC6"/>
    <w:rsid w:val="001C4926"/>
    <w:rsid w:val="001C58E8"/>
    <w:rsid w:val="001C5F37"/>
    <w:rsid w:val="001C6A78"/>
    <w:rsid w:val="001C77E4"/>
    <w:rsid w:val="001C7B50"/>
    <w:rsid w:val="001D1A92"/>
    <w:rsid w:val="001D1B1F"/>
    <w:rsid w:val="001D79F4"/>
    <w:rsid w:val="001D7BB0"/>
    <w:rsid w:val="001E0695"/>
    <w:rsid w:val="001E17A9"/>
    <w:rsid w:val="001E288C"/>
    <w:rsid w:val="001E29C9"/>
    <w:rsid w:val="001E2D2E"/>
    <w:rsid w:val="001E345C"/>
    <w:rsid w:val="001E46EA"/>
    <w:rsid w:val="001E7794"/>
    <w:rsid w:val="001E7DC3"/>
    <w:rsid w:val="001F1828"/>
    <w:rsid w:val="001F2501"/>
    <w:rsid w:val="001F2822"/>
    <w:rsid w:val="001F380B"/>
    <w:rsid w:val="001F67C5"/>
    <w:rsid w:val="001F6D96"/>
    <w:rsid w:val="001F7B2E"/>
    <w:rsid w:val="00200D20"/>
    <w:rsid w:val="002018D7"/>
    <w:rsid w:val="00201F87"/>
    <w:rsid w:val="002049E8"/>
    <w:rsid w:val="00204F03"/>
    <w:rsid w:val="002050C8"/>
    <w:rsid w:val="00206D46"/>
    <w:rsid w:val="00210706"/>
    <w:rsid w:val="0021079A"/>
    <w:rsid w:val="00212A3B"/>
    <w:rsid w:val="00212C76"/>
    <w:rsid w:val="00212EB0"/>
    <w:rsid w:val="002136AB"/>
    <w:rsid w:val="002148B9"/>
    <w:rsid w:val="0021563A"/>
    <w:rsid w:val="00217BE2"/>
    <w:rsid w:val="002208DF"/>
    <w:rsid w:val="00220955"/>
    <w:rsid w:val="00220C3F"/>
    <w:rsid w:val="002213A1"/>
    <w:rsid w:val="00223185"/>
    <w:rsid w:val="00223198"/>
    <w:rsid w:val="00224E60"/>
    <w:rsid w:val="00226150"/>
    <w:rsid w:val="00226747"/>
    <w:rsid w:val="0023088E"/>
    <w:rsid w:val="00231728"/>
    <w:rsid w:val="002322F7"/>
    <w:rsid w:val="00233446"/>
    <w:rsid w:val="00234B0E"/>
    <w:rsid w:val="00235BED"/>
    <w:rsid w:val="0023619F"/>
    <w:rsid w:val="00240062"/>
    <w:rsid w:val="00240FC9"/>
    <w:rsid w:val="00240FDC"/>
    <w:rsid w:val="002466F1"/>
    <w:rsid w:val="002468B4"/>
    <w:rsid w:val="00246A3B"/>
    <w:rsid w:val="00246DC6"/>
    <w:rsid w:val="00250848"/>
    <w:rsid w:val="00253009"/>
    <w:rsid w:val="00253AB0"/>
    <w:rsid w:val="002562B4"/>
    <w:rsid w:val="002571C2"/>
    <w:rsid w:val="002576EF"/>
    <w:rsid w:val="00257DB8"/>
    <w:rsid w:val="002641B5"/>
    <w:rsid w:val="00264DE8"/>
    <w:rsid w:val="00264DF9"/>
    <w:rsid w:val="00265343"/>
    <w:rsid w:val="00265E20"/>
    <w:rsid w:val="002660FA"/>
    <w:rsid w:val="00266AC2"/>
    <w:rsid w:val="0026786C"/>
    <w:rsid w:val="00273115"/>
    <w:rsid w:val="0027357B"/>
    <w:rsid w:val="00274D45"/>
    <w:rsid w:val="00275830"/>
    <w:rsid w:val="0027691E"/>
    <w:rsid w:val="002773A7"/>
    <w:rsid w:val="002801CE"/>
    <w:rsid w:val="00282BCC"/>
    <w:rsid w:val="00284424"/>
    <w:rsid w:val="00286504"/>
    <w:rsid w:val="0028688D"/>
    <w:rsid w:val="00286BC6"/>
    <w:rsid w:val="0029033F"/>
    <w:rsid w:val="002912FC"/>
    <w:rsid w:val="0029252D"/>
    <w:rsid w:val="002944B0"/>
    <w:rsid w:val="002A01AC"/>
    <w:rsid w:val="002A06F4"/>
    <w:rsid w:val="002A07A0"/>
    <w:rsid w:val="002A1891"/>
    <w:rsid w:val="002A6260"/>
    <w:rsid w:val="002A6EBC"/>
    <w:rsid w:val="002A7314"/>
    <w:rsid w:val="002B142A"/>
    <w:rsid w:val="002B1850"/>
    <w:rsid w:val="002B1C94"/>
    <w:rsid w:val="002B6286"/>
    <w:rsid w:val="002C0180"/>
    <w:rsid w:val="002C0DBE"/>
    <w:rsid w:val="002C298C"/>
    <w:rsid w:val="002C38A0"/>
    <w:rsid w:val="002C5577"/>
    <w:rsid w:val="002D038E"/>
    <w:rsid w:val="002D06EB"/>
    <w:rsid w:val="002D2B76"/>
    <w:rsid w:val="002D2DA0"/>
    <w:rsid w:val="002D4E36"/>
    <w:rsid w:val="002D4F1E"/>
    <w:rsid w:val="002D523D"/>
    <w:rsid w:val="002D5367"/>
    <w:rsid w:val="002D6588"/>
    <w:rsid w:val="002E0494"/>
    <w:rsid w:val="002E0B21"/>
    <w:rsid w:val="002E3AD1"/>
    <w:rsid w:val="002E40C6"/>
    <w:rsid w:val="002E425C"/>
    <w:rsid w:val="002E4DF4"/>
    <w:rsid w:val="002E62EF"/>
    <w:rsid w:val="002E77F8"/>
    <w:rsid w:val="002E79D2"/>
    <w:rsid w:val="002F097C"/>
    <w:rsid w:val="002F0AE2"/>
    <w:rsid w:val="002F1CC4"/>
    <w:rsid w:val="002F25DE"/>
    <w:rsid w:val="002F3EA9"/>
    <w:rsid w:val="002F6A99"/>
    <w:rsid w:val="002F707E"/>
    <w:rsid w:val="0030275C"/>
    <w:rsid w:val="00302C83"/>
    <w:rsid w:val="003036B6"/>
    <w:rsid w:val="00303DF3"/>
    <w:rsid w:val="00305538"/>
    <w:rsid w:val="003104A5"/>
    <w:rsid w:val="00312C59"/>
    <w:rsid w:val="003143CB"/>
    <w:rsid w:val="003145D9"/>
    <w:rsid w:val="00316AA8"/>
    <w:rsid w:val="00321C90"/>
    <w:rsid w:val="00321D2B"/>
    <w:rsid w:val="00321D84"/>
    <w:rsid w:val="003265AE"/>
    <w:rsid w:val="00331069"/>
    <w:rsid w:val="003322CA"/>
    <w:rsid w:val="003326EE"/>
    <w:rsid w:val="003351D7"/>
    <w:rsid w:val="003360B3"/>
    <w:rsid w:val="0033705B"/>
    <w:rsid w:val="00337366"/>
    <w:rsid w:val="003401CB"/>
    <w:rsid w:val="003422F7"/>
    <w:rsid w:val="0034261B"/>
    <w:rsid w:val="00343774"/>
    <w:rsid w:val="00343AB9"/>
    <w:rsid w:val="00345CB5"/>
    <w:rsid w:val="00345CFE"/>
    <w:rsid w:val="00345D7E"/>
    <w:rsid w:val="003478F8"/>
    <w:rsid w:val="00350EC4"/>
    <w:rsid w:val="0035143C"/>
    <w:rsid w:val="00351A69"/>
    <w:rsid w:val="00351E42"/>
    <w:rsid w:val="00351E68"/>
    <w:rsid w:val="00352039"/>
    <w:rsid w:val="00352A5C"/>
    <w:rsid w:val="0035360E"/>
    <w:rsid w:val="00354004"/>
    <w:rsid w:val="0035636D"/>
    <w:rsid w:val="0035678F"/>
    <w:rsid w:val="00356F14"/>
    <w:rsid w:val="00357177"/>
    <w:rsid w:val="003572AE"/>
    <w:rsid w:val="00357507"/>
    <w:rsid w:val="00361D94"/>
    <w:rsid w:val="00364319"/>
    <w:rsid w:val="00364522"/>
    <w:rsid w:val="00365DB0"/>
    <w:rsid w:val="00365F4F"/>
    <w:rsid w:val="00366BAC"/>
    <w:rsid w:val="0036721F"/>
    <w:rsid w:val="00367F70"/>
    <w:rsid w:val="00370222"/>
    <w:rsid w:val="00370B2D"/>
    <w:rsid w:val="003719DC"/>
    <w:rsid w:val="00371A7A"/>
    <w:rsid w:val="003728D1"/>
    <w:rsid w:val="00372C13"/>
    <w:rsid w:val="003739C1"/>
    <w:rsid w:val="00373E1C"/>
    <w:rsid w:val="003753E4"/>
    <w:rsid w:val="0037580E"/>
    <w:rsid w:val="003779BC"/>
    <w:rsid w:val="00380B84"/>
    <w:rsid w:val="00380DD9"/>
    <w:rsid w:val="00381187"/>
    <w:rsid w:val="00382A63"/>
    <w:rsid w:val="00382AFB"/>
    <w:rsid w:val="00384931"/>
    <w:rsid w:val="00385026"/>
    <w:rsid w:val="003855DE"/>
    <w:rsid w:val="00385BAF"/>
    <w:rsid w:val="00385DE8"/>
    <w:rsid w:val="00385EC5"/>
    <w:rsid w:val="00385EDD"/>
    <w:rsid w:val="00391455"/>
    <w:rsid w:val="0039288A"/>
    <w:rsid w:val="00393EAA"/>
    <w:rsid w:val="003949E4"/>
    <w:rsid w:val="0039579C"/>
    <w:rsid w:val="0039727C"/>
    <w:rsid w:val="003A137B"/>
    <w:rsid w:val="003A1A8A"/>
    <w:rsid w:val="003A41D7"/>
    <w:rsid w:val="003A7FB3"/>
    <w:rsid w:val="003B01D2"/>
    <w:rsid w:val="003B0D4D"/>
    <w:rsid w:val="003B3A88"/>
    <w:rsid w:val="003B50E6"/>
    <w:rsid w:val="003B6A6F"/>
    <w:rsid w:val="003B7532"/>
    <w:rsid w:val="003B78E6"/>
    <w:rsid w:val="003C11F9"/>
    <w:rsid w:val="003C38EA"/>
    <w:rsid w:val="003C58F5"/>
    <w:rsid w:val="003D3474"/>
    <w:rsid w:val="003D37DF"/>
    <w:rsid w:val="003D392F"/>
    <w:rsid w:val="003D5282"/>
    <w:rsid w:val="003D56EE"/>
    <w:rsid w:val="003D6037"/>
    <w:rsid w:val="003D6F1A"/>
    <w:rsid w:val="003E1E51"/>
    <w:rsid w:val="003E5431"/>
    <w:rsid w:val="003E6D3C"/>
    <w:rsid w:val="003E756F"/>
    <w:rsid w:val="003E7C7A"/>
    <w:rsid w:val="003E7F71"/>
    <w:rsid w:val="003F0B37"/>
    <w:rsid w:val="003F2164"/>
    <w:rsid w:val="003F23A3"/>
    <w:rsid w:val="003F2CB3"/>
    <w:rsid w:val="003F4FB6"/>
    <w:rsid w:val="003F5CF0"/>
    <w:rsid w:val="003F6409"/>
    <w:rsid w:val="003F7089"/>
    <w:rsid w:val="003F7926"/>
    <w:rsid w:val="003F7C33"/>
    <w:rsid w:val="00401455"/>
    <w:rsid w:val="004025B4"/>
    <w:rsid w:val="00402825"/>
    <w:rsid w:val="00406701"/>
    <w:rsid w:val="004076ED"/>
    <w:rsid w:val="00407AD4"/>
    <w:rsid w:val="0041007C"/>
    <w:rsid w:val="00410189"/>
    <w:rsid w:val="00410D1F"/>
    <w:rsid w:val="0041362C"/>
    <w:rsid w:val="00413DAE"/>
    <w:rsid w:val="00415D8E"/>
    <w:rsid w:val="0041639F"/>
    <w:rsid w:val="00416CDF"/>
    <w:rsid w:val="004201E7"/>
    <w:rsid w:val="004218AE"/>
    <w:rsid w:val="0042301D"/>
    <w:rsid w:val="00423065"/>
    <w:rsid w:val="00423652"/>
    <w:rsid w:val="00424AA1"/>
    <w:rsid w:val="004252EF"/>
    <w:rsid w:val="00425658"/>
    <w:rsid w:val="004264EF"/>
    <w:rsid w:val="00426B03"/>
    <w:rsid w:val="00427F90"/>
    <w:rsid w:val="00430901"/>
    <w:rsid w:val="00431042"/>
    <w:rsid w:val="00432A30"/>
    <w:rsid w:val="004343E7"/>
    <w:rsid w:val="00434BE2"/>
    <w:rsid w:val="00436640"/>
    <w:rsid w:val="0043683A"/>
    <w:rsid w:val="00436965"/>
    <w:rsid w:val="004402BB"/>
    <w:rsid w:val="00441132"/>
    <w:rsid w:val="00441480"/>
    <w:rsid w:val="00441663"/>
    <w:rsid w:val="004422F6"/>
    <w:rsid w:val="004424AF"/>
    <w:rsid w:val="00442762"/>
    <w:rsid w:val="0044363A"/>
    <w:rsid w:val="00443EAF"/>
    <w:rsid w:val="004457A3"/>
    <w:rsid w:val="00445C26"/>
    <w:rsid w:val="004466BF"/>
    <w:rsid w:val="004515F4"/>
    <w:rsid w:val="00451F9E"/>
    <w:rsid w:val="00454490"/>
    <w:rsid w:val="004554FA"/>
    <w:rsid w:val="00456B2F"/>
    <w:rsid w:val="00457517"/>
    <w:rsid w:val="00460901"/>
    <w:rsid w:val="004610C1"/>
    <w:rsid w:val="004617FA"/>
    <w:rsid w:val="004618B7"/>
    <w:rsid w:val="00461E1C"/>
    <w:rsid w:val="004624B8"/>
    <w:rsid w:val="0046317B"/>
    <w:rsid w:val="00463382"/>
    <w:rsid w:val="00463A47"/>
    <w:rsid w:val="00464B32"/>
    <w:rsid w:val="00464FE6"/>
    <w:rsid w:val="004672FE"/>
    <w:rsid w:val="004709F8"/>
    <w:rsid w:val="0047140A"/>
    <w:rsid w:val="00473442"/>
    <w:rsid w:val="00475519"/>
    <w:rsid w:val="00476E8E"/>
    <w:rsid w:val="0048094D"/>
    <w:rsid w:val="00481769"/>
    <w:rsid w:val="004822DA"/>
    <w:rsid w:val="004856CE"/>
    <w:rsid w:val="0048574C"/>
    <w:rsid w:val="00485FE0"/>
    <w:rsid w:val="00487610"/>
    <w:rsid w:val="0048765C"/>
    <w:rsid w:val="0049095C"/>
    <w:rsid w:val="0049578C"/>
    <w:rsid w:val="00495E19"/>
    <w:rsid w:val="00496066"/>
    <w:rsid w:val="004966E2"/>
    <w:rsid w:val="00496F3D"/>
    <w:rsid w:val="00497CEE"/>
    <w:rsid w:val="004A292C"/>
    <w:rsid w:val="004A3544"/>
    <w:rsid w:val="004A3AEC"/>
    <w:rsid w:val="004A3EC8"/>
    <w:rsid w:val="004A463B"/>
    <w:rsid w:val="004A50B0"/>
    <w:rsid w:val="004A761F"/>
    <w:rsid w:val="004A76D9"/>
    <w:rsid w:val="004B1A4F"/>
    <w:rsid w:val="004B260D"/>
    <w:rsid w:val="004B297F"/>
    <w:rsid w:val="004B2FB6"/>
    <w:rsid w:val="004B3455"/>
    <w:rsid w:val="004B3546"/>
    <w:rsid w:val="004B364A"/>
    <w:rsid w:val="004B4501"/>
    <w:rsid w:val="004B552C"/>
    <w:rsid w:val="004B630D"/>
    <w:rsid w:val="004B7022"/>
    <w:rsid w:val="004C10CE"/>
    <w:rsid w:val="004C3320"/>
    <w:rsid w:val="004C472E"/>
    <w:rsid w:val="004C7889"/>
    <w:rsid w:val="004D033D"/>
    <w:rsid w:val="004D0A7F"/>
    <w:rsid w:val="004D18AD"/>
    <w:rsid w:val="004D1D81"/>
    <w:rsid w:val="004D325A"/>
    <w:rsid w:val="004D3569"/>
    <w:rsid w:val="004D3C07"/>
    <w:rsid w:val="004D431B"/>
    <w:rsid w:val="004D6064"/>
    <w:rsid w:val="004D60C7"/>
    <w:rsid w:val="004D6C3B"/>
    <w:rsid w:val="004E0D5A"/>
    <w:rsid w:val="004E1131"/>
    <w:rsid w:val="004E13CA"/>
    <w:rsid w:val="004E175E"/>
    <w:rsid w:val="004E1E71"/>
    <w:rsid w:val="004E2E4A"/>
    <w:rsid w:val="004E3D1D"/>
    <w:rsid w:val="004E3E1B"/>
    <w:rsid w:val="004E4126"/>
    <w:rsid w:val="004E51B6"/>
    <w:rsid w:val="004E5414"/>
    <w:rsid w:val="004E5CF7"/>
    <w:rsid w:val="004E5D97"/>
    <w:rsid w:val="004E7C46"/>
    <w:rsid w:val="004F24E1"/>
    <w:rsid w:val="004F282E"/>
    <w:rsid w:val="004F3944"/>
    <w:rsid w:val="004F4333"/>
    <w:rsid w:val="004F4B79"/>
    <w:rsid w:val="004F516E"/>
    <w:rsid w:val="004F66BC"/>
    <w:rsid w:val="004F784B"/>
    <w:rsid w:val="0050019F"/>
    <w:rsid w:val="00501542"/>
    <w:rsid w:val="00502FAB"/>
    <w:rsid w:val="00504AF9"/>
    <w:rsid w:val="005071B5"/>
    <w:rsid w:val="00507405"/>
    <w:rsid w:val="00507B7E"/>
    <w:rsid w:val="00510960"/>
    <w:rsid w:val="00510F53"/>
    <w:rsid w:val="00511B6E"/>
    <w:rsid w:val="005124A1"/>
    <w:rsid w:val="00512ACC"/>
    <w:rsid w:val="00512DF7"/>
    <w:rsid w:val="00513874"/>
    <w:rsid w:val="0051522D"/>
    <w:rsid w:val="00515C12"/>
    <w:rsid w:val="005164F2"/>
    <w:rsid w:val="005208EB"/>
    <w:rsid w:val="00521A37"/>
    <w:rsid w:val="00521F8E"/>
    <w:rsid w:val="005221EC"/>
    <w:rsid w:val="00524140"/>
    <w:rsid w:val="005258B5"/>
    <w:rsid w:val="0052629C"/>
    <w:rsid w:val="005263CF"/>
    <w:rsid w:val="0052653F"/>
    <w:rsid w:val="00527641"/>
    <w:rsid w:val="0053026C"/>
    <w:rsid w:val="0053098B"/>
    <w:rsid w:val="00530E22"/>
    <w:rsid w:val="00531C26"/>
    <w:rsid w:val="005332E6"/>
    <w:rsid w:val="005405C4"/>
    <w:rsid w:val="00540B13"/>
    <w:rsid w:val="00540D7A"/>
    <w:rsid w:val="0054423A"/>
    <w:rsid w:val="00545FE5"/>
    <w:rsid w:val="00547815"/>
    <w:rsid w:val="00552431"/>
    <w:rsid w:val="00555BFD"/>
    <w:rsid w:val="00557546"/>
    <w:rsid w:val="00557B7B"/>
    <w:rsid w:val="005601D2"/>
    <w:rsid w:val="005618A2"/>
    <w:rsid w:val="00561CF6"/>
    <w:rsid w:val="00562DAB"/>
    <w:rsid w:val="0056323B"/>
    <w:rsid w:val="00564114"/>
    <w:rsid w:val="005660C7"/>
    <w:rsid w:val="0056668B"/>
    <w:rsid w:val="00566C59"/>
    <w:rsid w:val="00566CF7"/>
    <w:rsid w:val="0057018F"/>
    <w:rsid w:val="00570717"/>
    <w:rsid w:val="005729A0"/>
    <w:rsid w:val="0057321D"/>
    <w:rsid w:val="005741FC"/>
    <w:rsid w:val="00575689"/>
    <w:rsid w:val="0057610B"/>
    <w:rsid w:val="00577088"/>
    <w:rsid w:val="00581A6F"/>
    <w:rsid w:val="00581BB5"/>
    <w:rsid w:val="00582DEC"/>
    <w:rsid w:val="005838EC"/>
    <w:rsid w:val="00583D70"/>
    <w:rsid w:val="00584B48"/>
    <w:rsid w:val="00586A68"/>
    <w:rsid w:val="0059037F"/>
    <w:rsid w:val="00593006"/>
    <w:rsid w:val="0059597D"/>
    <w:rsid w:val="00595CBE"/>
    <w:rsid w:val="00595FBC"/>
    <w:rsid w:val="005960B3"/>
    <w:rsid w:val="005979C6"/>
    <w:rsid w:val="005A3C22"/>
    <w:rsid w:val="005A4782"/>
    <w:rsid w:val="005A7D41"/>
    <w:rsid w:val="005B0B22"/>
    <w:rsid w:val="005B21E9"/>
    <w:rsid w:val="005B2C0F"/>
    <w:rsid w:val="005B42E2"/>
    <w:rsid w:val="005C0BEE"/>
    <w:rsid w:val="005C0CD7"/>
    <w:rsid w:val="005C1907"/>
    <w:rsid w:val="005C26A1"/>
    <w:rsid w:val="005C6753"/>
    <w:rsid w:val="005C688E"/>
    <w:rsid w:val="005C76D5"/>
    <w:rsid w:val="005D2AFE"/>
    <w:rsid w:val="005D2DD7"/>
    <w:rsid w:val="005D4B57"/>
    <w:rsid w:val="005D6617"/>
    <w:rsid w:val="005D7805"/>
    <w:rsid w:val="005E02C6"/>
    <w:rsid w:val="005E0AC6"/>
    <w:rsid w:val="005E10D5"/>
    <w:rsid w:val="005E2564"/>
    <w:rsid w:val="005E5548"/>
    <w:rsid w:val="005E5CDC"/>
    <w:rsid w:val="005E7348"/>
    <w:rsid w:val="005F1194"/>
    <w:rsid w:val="005F2330"/>
    <w:rsid w:val="005F3DF2"/>
    <w:rsid w:val="005F6EF6"/>
    <w:rsid w:val="00600933"/>
    <w:rsid w:val="00601B97"/>
    <w:rsid w:val="00603E59"/>
    <w:rsid w:val="00604A17"/>
    <w:rsid w:val="00607911"/>
    <w:rsid w:val="00610521"/>
    <w:rsid w:val="006123F3"/>
    <w:rsid w:val="00616F49"/>
    <w:rsid w:val="006171D5"/>
    <w:rsid w:val="00621C0B"/>
    <w:rsid w:val="00622DEE"/>
    <w:rsid w:val="0062340D"/>
    <w:rsid w:val="006248D5"/>
    <w:rsid w:val="00625642"/>
    <w:rsid w:val="0062568B"/>
    <w:rsid w:val="0062621C"/>
    <w:rsid w:val="006300E3"/>
    <w:rsid w:val="006304A9"/>
    <w:rsid w:val="00631B4B"/>
    <w:rsid w:val="00632080"/>
    <w:rsid w:val="006337DE"/>
    <w:rsid w:val="006348BC"/>
    <w:rsid w:val="00640326"/>
    <w:rsid w:val="00641375"/>
    <w:rsid w:val="00641564"/>
    <w:rsid w:val="00641899"/>
    <w:rsid w:val="00643880"/>
    <w:rsid w:val="00643885"/>
    <w:rsid w:val="00643E46"/>
    <w:rsid w:val="00644F38"/>
    <w:rsid w:val="00645B71"/>
    <w:rsid w:val="00650E6B"/>
    <w:rsid w:val="00651383"/>
    <w:rsid w:val="00651904"/>
    <w:rsid w:val="006530C4"/>
    <w:rsid w:val="00654411"/>
    <w:rsid w:val="0065614D"/>
    <w:rsid w:val="00657C4C"/>
    <w:rsid w:val="006605DA"/>
    <w:rsid w:val="0066071F"/>
    <w:rsid w:val="00660813"/>
    <w:rsid w:val="00662701"/>
    <w:rsid w:val="0066399E"/>
    <w:rsid w:val="00664A91"/>
    <w:rsid w:val="006650E8"/>
    <w:rsid w:val="006667A1"/>
    <w:rsid w:val="006669F3"/>
    <w:rsid w:val="00666DC3"/>
    <w:rsid w:val="00667719"/>
    <w:rsid w:val="00670AE4"/>
    <w:rsid w:val="00670E17"/>
    <w:rsid w:val="00677273"/>
    <w:rsid w:val="00680744"/>
    <w:rsid w:val="00680C6F"/>
    <w:rsid w:val="00680ED3"/>
    <w:rsid w:val="006820F6"/>
    <w:rsid w:val="0068247E"/>
    <w:rsid w:val="006843BA"/>
    <w:rsid w:val="006844D2"/>
    <w:rsid w:val="00684A6C"/>
    <w:rsid w:val="00685213"/>
    <w:rsid w:val="00685D10"/>
    <w:rsid w:val="00686AAE"/>
    <w:rsid w:val="006872CF"/>
    <w:rsid w:val="00693113"/>
    <w:rsid w:val="0069488C"/>
    <w:rsid w:val="00697881"/>
    <w:rsid w:val="006A03C8"/>
    <w:rsid w:val="006A09C3"/>
    <w:rsid w:val="006A1001"/>
    <w:rsid w:val="006A364D"/>
    <w:rsid w:val="006A5849"/>
    <w:rsid w:val="006A60BC"/>
    <w:rsid w:val="006A648F"/>
    <w:rsid w:val="006B2ABB"/>
    <w:rsid w:val="006B4229"/>
    <w:rsid w:val="006B4C93"/>
    <w:rsid w:val="006B4F0B"/>
    <w:rsid w:val="006B6919"/>
    <w:rsid w:val="006B69CD"/>
    <w:rsid w:val="006B6D2B"/>
    <w:rsid w:val="006B7429"/>
    <w:rsid w:val="006B78B0"/>
    <w:rsid w:val="006B78E6"/>
    <w:rsid w:val="006B79F8"/>
    <w:rsid w:val="006C04F8"/>
    <w:rsid w:val="006C1376"/>
    <w:rsid w:val="006C2643"/>
    <w:rsid w:val="006C35C5"/>
    <w:rsid w:val="006C3830"/>
    <w:rsid w:val="006C3C48"/>
    <w:rsid w:val="006C45D1"/>
    <w:rsid w:val="006C566A"/>
    <w:rsid w:val="006C595F"/>
    <w:rsid w:val="006C5EF9"/>
    <w:rsid w:val="006C78B8"/>
    <w:rsid w:val="006C7C9F"/>
    <w:rsid w:val="006D0E62"/>
    <w:rsid w:val="006D116E"/>
    <w:rsid w:val="006D198F"/>
    <w:rsid w:val="006D2532"/>
    <w:rsid w:val="006D2585"/>
    <w:rsid w:val="006D2705"/>
    <w:rsid w:val="006D27BE"/>
    <w:rsid w:val="006D4940"/>
    <w:rsid w:val="006D761C"/>
    <w:rsid w:val="006E11A0"/>
    <w:rsid w:val="006E22BC"/>
    <w:rsid w:val="006E3906"/>
    <w:rsid w:val="006E4F86"/>
    <w:rsid w:val="006E4FE9"/>
    <w:rsid w:val="006F09D1"/>
    <w:rsid w:val="006F4293"/>
    <w:rsid w:val="006F7442"/>
    <w:rsid w:val="00700467"/>
    <w:rsid w:val="00701F97"/>
    <w:rsid w:val="007028E8"/>
    <w:rsid w:val="007040A3"/>
    <w:rsid w:val="0070478E"/>
    <w:rsid w:val="007062E5"/>
    <w:rsid w:val="00706E3E"/>
    <w:rsid w:val="00706F16"/>
    <w:rsid w:val="007115F0"/>
    <w:rsid w:val="00712546"/>
    <w:rsid w:val="007127ED"/>
    <w:rsid w:val="00713976"/>
    <w:rsid w:val="007146A0"/>
    <w:rsid w:val="007151EC"/>
    <w:rsid w:val="00715553"/>
    <w:rsid w:val="00716995"/>
    <w:rsid w:val="007174D7"/>
    <w:rsid w:val="007208C8"/>
    <w:rsid w:val="0072093C"/>
    <w:rsid w:val="00722785"/>
    <w:rsid w:val="0072711A"/>
    <w:rsid w:val="00730ECE"/>
    <w:rsid w:val="00732A7E"/>
    <w:rsid w:val="007334D1"/>
    <w:rsid w:val="00733727"/>
    <w:rsid w:val="00734873"/>
    <w:rsid w:val="00734E55"/>
    <w:rsid w:val="0073508D"/>
    <w:rsid w:val="0073693F"/>
    <w:rsid w:val="007407CF"/>
    <w:rsid w:val="0074113B"/>
    <w:rsid w:val="007418FB"/>
    <w:rsid w:val="007421E7"/>
    <w:rsid w:val="00743AF2"/>
    <w:rsid w:val="00743CBF"/>
    <w:rsid w:val="00744255"/>
    <w:rsid w:val="00744401"/>
    <w:rsid w:val="00744CBD"/>
    <w:rsid w:val="007454F4"/>
    <w:rsid w:val="00745973"/>
    <w:rsid w:val="00745A6B"/>
    <w:rsid w:val="007507B0"/>
    <w:rsid w:val="00751CDA"/>
    <w:rsid w:val="007530CE"/>
    <w:rsid w:val="00753D73"/>
    <w:rsid w:val="00753F2E"/>
    <w:rsid w:val="00754350"/>
    <w:rsid w:val="00754808"/>
    <w:rsid w:val="00755462"/>
    <w:rsid w:val="00756441"/>
    <w:rsid w:val="00756CFB"/>
    <w:rsid w:val="00756F77"/>
    <w:rsid w:val="00757A10"/>
    <w:rsid w:val="00757AC9"/>
    <w:rsid w:val="00762A7A"/>
    <w:rsid w:val="007649A4"/>
    <w:rsid w:val="007663BE"/>
    <w:rsid w:val="00767A9C"/>
    <w:rsid w:val="00767B46"/>
    <w:rsid w:val="007710B1"/>
    <w:rsid w:val="0077118F"/>
    <w:rsid w:val="0077132C"/>
    <w:rsid w:val="00771587"/>
    <w:rsid w:val="00773903"/>
    <w:rsid w:val="00773BE9"/>
    <w:rsid w:val="007758AB"/>
    <w:rsid w:val="00780462"/>
    <w:rsid w:val="00781863"/>
    <w:rsid w:val="00781F38"/>
    <w:rsid w:val="007827A6"/>
    <w:rsid w:val="007833AC"/>
    <w:rsid w:val="0078457D"/>
    <w:rsid w:val="007847C3"/>
    <w:rsid w:val="00785681"/>
    <w:rsid w:val="007870C4"/>
    <w:rsid w:val="00787710"/>
    <w:rsid w:val="0079009A"/>
    <w:rsid w:val="00791173"/>
    <w:rsid w:val="0079119E"/>
    <w:rsid w:val="00791A19"/>
    <w:rsid w:val="00791CA4"/>
    <w:rsid w:val="0079230A"/>
    <w:rsid w:val="00792C8F"/>
    <w:rsid w:val="007931FB"/>
    <w:rsid w:val="00793A77"/>
    <w:rsid w:val="00793B76"/>
    <w:rsid w:val="007978DF"/>
    <w:rsid w:val="007A057A"/>
    <w:rsid w:val="007A1B5B"/>
    <w:rsid w:val="007A1CEA"/>
    <w:rsid w:val="007A2BB7"/>
    <w:rsid w:val="007A317D"/>
    <w:rsid w:val="007A35A7"/>
    <w:rsid w:val="007A4B71"/>
    <w:rsid w:val="007A5B5C"/>
    <w:rsid w:val="007A7E35"/>
    <w:rsid w:val="007A7F6B"/>
    <w:rsid w:val="007B0407"/>
    <w:rsid w:val="007B38DE"/>
    <w:rsid w:val="007B4027"/>
    <w:rsid w:val="007B672C"/>
    <w:rsid w:val="007B7497"/>
    <w:rsid w:val="007B7621"/>
    <w:rsid w:val="007B77AA"/>
    <w:rsid w:val="007C2FFE"/>
    <w:rsid w:val="007C4AF6"/>
    <w:rsid w:val="007C4BA2"/>
    <w:rsid w:val="007C51B4"/>
    <w:rsid w:val="007C5F47"/>
    <w:rsid w:val="007C7163"/>
    <w:rsid w:val="007C7B34"/>
    <w:rsid w:val="007D0470"/>
    <w:rsid w:val="007D0B8A"/>
    <w:rsid w:val="007D0BFC"/>
    <w:rsid w:val="007D15B8"/>
    <w:rsid w:val="007D192B"/>
    <w:rsid w:val="007D3857"/>
    <w:rsid w:val="007D3EAC"/>
    <w:rsid w:val="007D7164"/>
    <w:rsid w:val="007D7BD5"/>
    <w:rsid w:val="007D7C28"/>
    <w:rsid w:val="007E1F87"/>
    <w:rsid w:val="007E20E6"/>
    <w:rsid w:val="007E3488"/>
    <w:rsid w:val="007E37E3"/>
    <w:rsid w:val="007E3B7F"/>
    <w:rsid w:val="007E4E69"/>
    <w:rsid w:val="007E56B6"/>
    <w:rsid w:val="007E58B2"/>
    <w:rsid w:val="007E69E9"/>
    <w:rsid w:val="007E6A44"/>
    <w:rsid w:val="007F3371"/>
    <w:rsid w:val="007F3E4B"/>
    <w:rsid w:val="007F7D41"/>
    <w:rsid w:val="008000DD"/>
    <w:rsid w:val="008003E0"/>
    <w:rsid w:val="00800D16"/>
    <w:rsid w:val="00801C34"/>
    <w:rsid w:val="008022B5"/>
    <w:rsid w:val="008025EA"/>
    <w:rsid w:val="00802722"/>
    <w:rsid w:val="00802D2A"/>
    <w:rsid w:val="008042A4"/>
    <w:rsid w:val="008054AD"/>
    <w:rsid w:val="008056C4"/>
    <w:rsid w:val="0080648F"/>
    <w:rsid w:val="0080676F"/>
    <w:rsid w:val="00807502"/>
    <w:rsid w:val="008101A8"/>
    <w:rsid w:val="0081200E"/>
    <w:rsid w:val="008133D4"/>
    <w:rsid w:val="008156E4"/>
    <w:rsid w:val="00815826"/>
    <w:rsid w:val="008166FC"/>
    <w:rsid w:val="00820218"/>
    <w:rsid w:val="008209C2"/>
    <w:rsid w:val="00820FD7"/>
    <w:rsid w:val="008219C3"/>
    <w:rsid w:val="00822718"/>
    <w:rsid w:val="008231A2"/>
    <w:rsid w:val="00825453"/>
    <w:rsid w:val="008254C8"/>
    <w:rsid w:val="00826B1B"/>
    <w:rsid w:val="00826E5F"/>
    <w:rsid w:val="00827111"/>
    <w:rsid w:val="00830145"/>
    <w:rsid w:val="008304CB"/>
    <w:rsid w:val="00831064"/>
    <w:rsid w:val="0083165F"/>
    <w:rsid w:val="00831807"/>
    <w:rsid w:val="008324BD"/>
    <w:rsid w:val="00834595"/>
    <w:rsid w:val="0083594C"/>
    <w:rsid w:val="00837DB0"/>
    <w:rsid w:val="008407D7"/>
    <w:rsid w:val="00842DBA"/>
    <w:rsid w:val="00845AED"/>
    <w:rsid w:val="00845C43"/>
    <w:rsid w:val="00847200"/>
    <w:rsid w:val="008478A9"/>
    <w:rsid w:val="00847911"/>
    <w:rsid w:val="008506F4"/>
    <w:rsid w:val="00851D1A"/>
    <w:rsid w:val="00852000"/>
    <w:rsid w:val="00854183"/>
    <w:rsid w:val="008547CC"/>
    <w:rsid w:val="00856187"/>
    <w:rsid w:val="00856233"/>
    <w:rsid w:val="008563FD"/>
    <w:rsid w:val="00856737"/>
    <w:rsid w:val="00856B79"/>
    <w:rsid w:val="00857246"/>
    <w:rsid w:val="00857792"/>
    <w:rsid w:val="00857D4B"/>
    <w:rsid w:val="00861C2B"/>
    <w:rsid w:val="00862239"/>
    <w:rsid w:val="00863244"/>
    <w:rsid w:val="00864C3C"/>
    <w:rsid w:val="0086570F"/>
    <w:rsid w:val="00865B8F"/>
    <w:rsid w:val="00865EC9"/>
    <w:rsid w:val="00867456"/>
    <w:rsid w:val="00870283"/>
    <w:rsid w:val="008722E9"/>
    <w:rsid w:val="008761D6"/>
    <w:rsid w:val="00876C69"/>
    <w:rsid w:val="00877100"/>
    <w:rsid w:val="008778DA"/>
    <w:rsid w:val="00880189"/>
    <w:rsid w:val="00881F7F"/>
    <w:rsid w:val="008831CD"/>
    <w:rsid w:val="00884122"/>
    <w:rsid w:val="00885D28"/>
    <w:rsid w:val="008860FA"/>
    <w:rsid w:val="00886666"/>
    <w:rsid w:val="00890388"/>
    <w:rsid w:val="00891C15"/>
    <w:rsid w:val="00891E14"/>
    <w:rsid w:val="008937F1"/>
    <w:rsid w:val="00895753"/>
    <w:rsid w:val="00895C66"/>
    <w:rsid w:val="0089604D"/>
    <w:rsid w:val="00896856"/>
    <w:rsid w:val="00896B8E"/>
    <w:rsid w:val="0089743C"/>
    <w:rsid w:val="0089790E"/>
    <w:rsid w:val="008A01EC"/>
    <w:rsid w:val="008A0677"/>
    <w:rsid w:val="008A25B8"/>
    <w:rsid w:val="008A5B72"/>
    <w:rsid w:val="008A5B88"/>
    <w:rsid w:val="008A6A76"/>
    <w:rsid w:val="008A70BF"/>
    <w:rsid w:val="008B03FF"/>
    <w:rsid w:val="008B097D"/>
    <w:rsid w:val="008B353D"/>
    <w:rsid w:val="008B4599"/>
    <w:rsid w:val="008B76F1"/>
    <w:rsid w:val="008B7F6C"/>
    <w:rsid w:val="008C1AC4"/>
    <w:rsid w:val="008C27FB"/>
    <w:rsid w:val="008C2CB9"/>
    <w:rsid w:val="008C50BA"/>
    <w:rsid w:val="008C78BB"/>
    <w:rsid w:val="008D1BE2"/>
    <w:rsid w:val="008D2978"/>
    <w:rsid w:val="008D3ED1"/>
    <w:rsid w:val="008D4842"/>
    <w:rsid w:val="008D4BED"/>
    <w:rsid w:val="008D4F83"/>
    <w:rsid w:val="008D54C8"/>
    <w:rsid w:val="008D608D"/>
    <w:rsid w:val="008D6406"/>
    <w:rsid w:val="008D6434"/>
    <w:rsid w:val="008D6D86"/>
    <w:rsid w:val="008D6ED4"/>
    <w:rsid w:val="008E222E"/>
    <w:rsid w:val="008E2346"/>
    <w:rsid w:val="008E2584"/>
    <w:rsid w:val="008E3458"/>
    <w:rsid w:val="008E3995"/>
    <w:rsid w:val="008E3D01"/>
    <w:rsid w:val="008E5D6C"/>
    <w:rsid w:val="008E734D"/>
    <w:rsid w:val="008F0A77"/>
    <w:rsid w:val="008F2CB8"/>
    <w:rsid w:val="008F3CB7"/>
    <w:rsid w:val="008F4EBD"/>
    <w:rsid w:val="008F5A52"/>
    <w:rsid w:val="008F6DCE"/>
    <w:rsid w:val="008F7DA3"/>
    <w:rsid w:val="0090088B"/>
    <w:rsid w:val="00900BE5"/>
    <w:rsid w:val="00904040"/>
    <w:rsid w:val="009115F8"/>
    <w:rsid w:val="00912DD6"/>
    <w:rsid w:val="0091407E"/>
    <w:rsid w:val="00916153"/>
    <w:rsid w:val="00916C04"/>
    <w:rsid w:val="009206BD"/>
    <w:rsid w:val="00923A83"/>
    <w:rsid w:val="00925897"/>
    <w:rsid w:val="00925C7D"/>
    <w:rsid w:val="00927890"/>
    <w:rsid w:val="00930396"/>
    <w:rsid w:val="009307A4"/>
    <w:rsid w:val="0093126C"/>
    <w:rsid w:val="00931315"/>
    <w:rsid w:val="009322B1"/>
    <w:rsid w:val="00933515"/>
    <w:rsid w:val="0093679C"/>
    <w:rsid w:val="00936CF8"/>
    <w:rsid w:val="00940C59"/>
    <w:rsid w:val="0094249B"/>
    <w:rsid w:val="009441A1"/>
    <w:rsid w:val="0094545B"/>
    <w:rsid w:val="00945C35"/>
    <w:rsid w:val="00946A1D"/>
    <w:rsid w:val="00946DBD"/>
    <w:rsid w:val="00947FB5"/>
    <w:rsid w:val="00950A7E"/>
    <w:rsid w:val="00950B44"/>
    <w:rsid w:val="00951B5E"/>
    <w:rsid w:val="009520C5"/>
    <w:rsid w:val="009530EB"/>
    <w:rsid w:val="009544E2"/>
    <w:rsid w:val="0095491F"/>
    <w:rsid w:val="00955011"/>
    <w:rsid w:val="00955182"/>
    <w:rsid w:val="00955CDB"/>
    <w:rsid w:val="009564E8"/>
    <w:rsid w:val="009600C2"/>
    <w:rsid w:val="0096151E"/>
    <w:rsid w:val="009619A0"/>
    <w:rsid w:val="00963082"/>
    <w:rsid w:val="00963C54"/>
    <w:rsid w:val="00963E44"/>
    <w:rsid w:val="00963F3C"/>
    <w:rsid w:val="00964BB4"/>
    <w:rsid w:val="00964F88"/>
    <w:rsid w:val="009659ED"/>
    <w:rsid w:val="0096608E"/>
    <w:rsid w:val="00971234"/>
    <w:rsid w:val="009722CA"/>
    <w:rsid w:val="00972C74"/>
    <w:rsid w:val="0097466D"/>
    <w:rsid w:val="0097507F"/>
    <w:rsid w:val="009758C6"/>
    <w:rsid w:val="00975A9C"/>
    <w:rsid w:val="00975ABA"/>
    <w:rsid w:val="00976184"/>
    <w:rsid w:val="00977937"/>
    <w:rsid w:val="00981532"/>
    <w:rsid w:val="00981936"/>
    <w:rsid w:val="00986108"/>
    <w:rsid w:val="00986765"/>
    <w:rsid w:val="00986958"/>
    <w:rsid w:val="00993C5F"/>
    <w:rsid w:val="009973DB"/>
    <w:rsid w:val="00997505"/>
    <w:rsid w:val="009A32A7"/>
    <w:rsid w:val="009A57AA"/>
    <w:rsid w:val="009A5D5D"/>
    <w:rsid w:val="009A6CA5"/>
    <w:rsid w:val="009B004F"/>
    <w:rsid w:val="009B057F"/>
    <w:rsid w:val="009B0840"/>
    <w:rsid w:val="009B11B6"/>
    <w:rsid w:val="009B15D7"/>
    <w:rsid w:val="009B25BA"/>
    <w:rsid w:val="009B27FC"/>
    <w:rsid w:val="009B2E01"/>
    <w:rsid w:val="009B6113"/>
    <w:rsid w:val="009B7DF0"/>
    <w:rsid w:val="009C04FE"/>
    <w:rsid w:val="009C0BDC"/>
    <w:rsid w:val="009C12A0"/>
    <w:rsid w:val="009C18F1"/>
    <w:rsid w:val="009C2495"/>
    <w:rsid w:val="009C3387"/>
    <w:rsid w:val="009C3475"/>
    <w:rsid w:val="009C449E"/>
    <w:rsid w:val="009C4820"/>
    <w:rsid w:val="009C4D58"/>
    <w:rsid w:val="009C4E72"/>
    <w:rsid w:val="009C5BE4"/>
    <w:rsid w:val="009D230D"/>
    <w:rsid w:val="009D31EA"/>
    <w:rsid w:val="009D3F75"/>
    <w:rsid w:val="009D439D"/>
    <w:rsid w:val="009E1057"/>
    <w:rsid w:val="009E2007"/>
    <w:rsid w:val="009E339A"/>
    <w:rsid w:val="009E342C"/>
    <w:rsid w:val="009E5233"/>
    <w:rsid w:val="009F0B40"/>
    <w:rsid w:val="009F0C6E"/>
    <w:rsid w:val="009F0D52"/>
    <w:rsid w:val="009F346F"/>
    <w:rsid w:val="009F3E6A"/>
    <w:rsid w:val="009F5E5F"/>
    <w:rsid w:val="00A01686"/>
    <w:rsid w:val="00A019F1"/>
    <w:rsid w:val="00A01BE7"/>
    <w:rsid w:val="00A037AA"/>
    <w:rsid w:val="00A03CD3"/>
    <w:rsid w:val="00A06E4E"/>
    <w:rsid w:val="00A06FD0"/>
    <w:rsid w:val="00A07A6C"/>
    <w:rsid w:val="00A07AC5"/>
    <w:rsid w:val="00A07B08"/>
    <w:rsid w:val="00A106AE"/>
    <w:rsid w:val="00A12D2E"/>
    <w:rsid w:val="00A139B9"/>
    <w:rsid w:val="00A1478A"/>
    <w:rsid w:val="00A14F1F"/>
    <w:rsid w:val="00A15EDB"/>
    <w:rsid w:val="00A17641"/>
    <w:rsid w:val="00A211E8"/>
    <w:rsid w:val="00A218FC"/>
    <w:rsid w:val="00A23980"/>
    <w:rsid w:val="00A24416"/>
    <w:rsid w:val="00A246FA"/>
    <w:rsid w:val="00A2697B"/>
    <w:rsid w:val="00A274A0"/>
    <w:rsid w:val="00A27634"/>
    <w:rsid w:val="00A27744"/>
    <w:rsid w:val="00A307FD"/>
    <w:rsid w:val="00A322AF"/>
    <w:rsid w:val="00A32BDC"/>
    <w:rsid w:val="00A32E94"/>
    <w:rsid w:val="00A33077"/>
    <w:rsid w:val="00A33324"/>
    <w:rsid w:val="00A36E0B"/>
    <w:rsid w:val="00A37112"/>
    <w:rsid w:val="00A4022E"/>
    <w:rsid w:val="00A4027A"/>
    <w:rsid w:val="00A410F9"/>
    <w:rsid w:val="00A414A9"/>
    <w:rsid w:val="00A4158D"/>
    <w:rsid w:val="00A417BD"/>
    <w:rsid w:val="00A421D5"/>
    <w:rsid w:val="00A42E5E"/>
    <w:rsid w:val="00A44BEE"/>
    <w:rsid w:val="00A45AA6"/>
    <w:rsid w:val="00A46E12"/>
    <w:rsid w:val="00A4784D"/>
    <w:rsid w:val="00A478BC"/>
    <w:rsid w:val="00A5191C"/>
    <w:rsid w:val="00A52A64"/>
    <w:rsid w:val="00A55A33"/>
    <w:rsid w:val="00A55F40"/>
    <w:rsid w:val="00A57A21"/>
    <w:rsid w:val="00A61880"/>
    <w:rsid w:val="00A61D96"/>
    <w:rsid w:val="00A6327F"/>
    <w:rsid w:val="00A70086"/>
    <w:rsid w:val="00A70CEB"/>
    <w:rsid w:val="00A71F00"/>
    <w:rsid w:val="00A72791"/>
    <w:rsid w:val="00A73752"/>
    <w:rsid w:val="00A7436E"/>
    <w:rsid w:val="00A74F16"/>
    <w:rsid w:val="00A80366"/>
    <w:rsid w:val="00A80E9C"/>
    <w:rsid w:val="00A8140E"/>
    <w:rsid w:val="00A8303A"/>
    <w:rsid w:val="00A83811"/>
    <w:rsid w:val="00A84C2B"/>
    <w:rsid w:val="00A856DB"/>
    <w:rsid w:val="00A868BF"/>
    <w:rsid w:val="00A870B4"/>
    <w:rsid w:val="00A8744C"/>
    <w:rsid w:val="00A90586"/>
    <w:rsid w:val="00A90678"/>
    <w:rsid w:val="00A90B14"/>
    <w:rsid w:val="00A90BE8"/>
    <w:rsid w:val="00A92BC6"/>
    <w:rsid w:val="00A92BC9"/>
    <w:rsid w:val="00A93A57"/>
    <w:rsid w:val="00A93E85"/>
    <w:rsid w:val="00A9502A"/>
    <w:rsid w:val="00A95263"/>
    <w:rsid w:val="00A975A5"/>
    <w:rsid w:val="00A97A40"/>
    <w:rsid w:val="00A97CE9"/>
    <w:rsid w:val="00AA04AC"/>
    <w:rsid w:val="00AA0B7F"/>
    <w:rsid w:val="00AA1675"/>
    <w:rsid w:val="00AA3B90"/>
    <w:rsid w:val="00AA5AE4"/>
    <w:rsid w:val="00AA6287"/>
    <w:rsid w:val="00AB0612"/>
    <w:rsid w:val="00AB16F8"/>
    <w:rsid w:val="00AB179A"/>
    <w:rsid w:val="00AB20E0"/>
    <w:rsid w:val="00AB4382"/>
    <w:rsid w:val="00AB64B5"/>
    <w:rsid w:val="00AB6873"/>
    <w:rsid w:val="00AC00BF"/>
    <w:rsid w:val="00AC0FAB"/>
    <w:rsid w:val="00AC3DEB"/>
    <w:rsid w:val="00AC3F59"/>
    <w:rsid w:val="00AC4BC6"/>
    <w:rsid w:val="00AC61BB"/>
    <w:rsid w:val="00AC6369"/>
    <w:rsid w:val="00AD222A"/>
    <w:rsid w:val="00AD323C"/>
    <w:rsid w:val="00AD3B51"/>
    <w:rsid w:val="00AD4A67"/>
    <w:rsid w:val="00AD6C38"/>
    <w:rsid w:val="00AE0EBB"/>
    <w:rsid w:val="00AE11C3"/>
    <w:rsid w:val="00AE3B7D"/>
    <w:rsid w:val="00AE4805"/>
    <w:rsid w:val="00AE6C00"/>
    <w:rsid w:val="00AE74F6"/>
    <w:rsid w:val="00AE7AA5"/>
    <w:rsid w:val="00AE7EC4"/>
    <w:rsid w:val="00AF00FD"/>
    <w:rsid w:val="00AF06A0"/>
    <w:rsid w:val="00AF123F"/>
    <w:rsid w:val="00AF3179"/>
    <w:rsid w:val="00AF3DED"/>
    <w:rsid w:val="00AF55F4"/>
    <w:rsid w:val="00AF5E4B"/>
    <w:rsid w:val="00B00E72"/>
    <w:rsid w:val="00B0267F"/>
    <w:rsid w:val="00B02EA1"/>
    <w:rsid w:val="00B03E29"/>
    <w:rsid w:val="00B04B38"/>
    <w:rsid w:val="00B055D9"/>
    <w:rsid w:val="00B058AE"/>
    <w:rsid w:val="00B06450"/>
    <w:rsid w:val="00B07001"/>
    <w:rsid w:val="00B07625"/>
    <w:rsid w:val="00B07B2F"/>
    <w:rsid w:val="00B07D82"/>
    <w:rsid w:val="00B12E66"/>
    <w:rsid w:val="00B13B80"/>
    <w:rsid w:val="00B1457C"/>
    <w:rsid w:val="00B15E5E"/>
    <w:rsid w:val="00B16239"/>
    <w:rsid w:val="00B16794"/>
    <w:rsid w:val="00B16F56"/>
    <w:rsid w:val="00B17C9D"/>
    <w:rsid w:val="00B203F6"/>
    <w:rsid w:val="00B205E5"/>
    <w:rsid w:val="00B214D2"/>
    <w:rsid w:val="00B21564"/>
    <w:rsid w:val="00B21B3A"/>
    <w:rsid w:val="00B231E5"/>
    <w:rsid w:val="00B237B1"/>
    <w:rsid w:val="00B27A9C"/>
    <w:rsid w:val="00B31AF6"/>
    <w:rsid w:val="00B3234C"/>
    <w:rsid w:val="00B32718"/>
    <w:rsid w:val="00B336D6"/>
    <w:rsid w:val="00B3585C"/>
    <w:rsid w:val="00B37539"/>
    <w:rsid w:val="00B3775E"/>
    <w:rsid w:val="00B40BCA"/>
    <w:rsid w:val="00B40CCC"/>
    <w:rsid w:val="00B41615"/>
    <w:rsid w:val="00B42FD6"/>
    <w:rsid w:val="00B43D88"/>
    <w:rsid w:val="00B43E10"/>
    <w:rsid w:val="00B4492E"/>
    <w:rsid w:val="00B44AA2"/>
    <w:rsid w:val="00B45B9F"/>
    <w:rsid w:val="00B51D33"/>
    <w:rsid w:val="00B522D0"/>
    <w:rsid w:val="00B563D1"/>
    <w:rsid w:val="00B56F18"/>
    <w:rsid w:val="00B60424"/>
    <w:rsid w:val="00B64141"/>
    <w:rsid w:val="00B663F0"/>
    <w:rsid w:val="00B66ED3"/>
    <w:rsid w:val="00B72DE2"/>
    <w:rsid w:val="00B7757F"/>
    <w:rsid w:val="00B77D64"/>
    <w:rsid w:val="00B80DFE"/>
    <w:rsid w:val="00B80FD7"/>
    <w:rsid w:val="00B82A62"/>
    <w:rsid w:val="00B83713"/>
    <w:rsid w:val="00B86084"/>
    <w:rsid w:val="00B92707"/>
    <w:rsid w:val="00B94F59"/>
    <w:rsid w:val="00B95AE8"/>
    <w:rsid w:val="00B9650D"/>
    <w:rsid w:val="00BA33E9"/>
    <w:rsid w:val="00BA34A7"/>
    <w:rsid w:val="00BA40C9"/>
    <w:rsid w:val="00BA4256"/>
    <w:rsid w:val="00BA56FC"/>
    <w:rsid w:val="00BA5DC6"/>
    <w:rsid w:val="00BB1D63"/>
    <w:rsid w:val="00BB44A0"/>
    <w:rsid w:val="00BB49A3"/>
    <w:rsid w:val="00BB4BDC"/>
    <w:rsid w:val="00BB4EFC"/>
    <w:rsid w:val="00BB5137"/>
    <w:rsid w:val="00BC01F2"/>
    <w:rsid w:val="00BC16BD"/>
    <w:rsid w:val="00BC19AF"/>
    <w:rsid w:val="00BC23AD"/>
    <w:rsid w:val="00BC4028"/>
    <w:rsid w:val="00BC583F"/>
    <w:rsid w:val="00BC64E2"/>
    <w:rsid w:val="00BC6A2B"/>
    <w:rsid w:val="00BD03B5"/>
    <w:rsid w:val="00BD0B72"/>
    <w:rsid w:val="00BD2EB4"/>
    <w:rsid w:val="00BD3741"/>
    <w:rsid w:val="00BD37F3"/>
    <w:rsid w:val="00BD79F1"/>
    <w:rsid w:val="00BE08CE"/>
    <w:rsid w:val="00BE0F0A"/>
    <w:rsid w:val="00BE1F7C"/>
    <w:rsid w:val="00BE2AD3"/>
    <w:rsid w:val="00BE4ACC"/>
    <w:rsid w:val="00BE581D"/>
    <w:rsid w:val="00BF0A62"/>
    <w:rsid w:val="00BF1D73"/>
    <w:rsid w:val="00BF3458"/>
    <w:rsid w:val="00BF4CC4"/>
    <w:rsid w:val="00BF50E9"/>
    <w:rsid w:val="00BF57EC"/>
    <w:rsid w:val="00BF5D2E"/>
    <w:rsid w:val="00BF6777"/>
    <w:rsid w:val="00BF6C23"/>
    <w:rsid w:val="00BF750F"/>
    <w:rsid w:val="00BF7817"/>
    <w:rsid w:val="00C01444"/>
    <w:rsid w:val="00C0247C"/>
    <w:rsid w:val="00C06EE1"/>
    <w:rsid w:val="00C07F05"/>
    <w:rsid w:val="00C10C4B"/>
    <w:rsid w:val="00C117D6"/>
    <w:rsid w:val="00C11CEE"/>
    <w:rsid w:val="00C12E9A"/>
    <w:rsid w:val="00C139D0"/>
    <w:rsid w:val="00C141EE"/>
    <w:rsid w:val="00C17AA9"/>
    <w:rsid w:val="00C21D87"/>
    <w:rsid w:val="00C22DE3"/>
    <w:rsid w:val="00C236BA"/>
    <w:rsid w:val="00C26431"/>
    <w:rsid w:val="00C26546"/>
    <w:rsid w:val="00C31C8C"/>
    <w:rsid w:val="00C3383C"/>
    <w:rsid w:val="00C33AB6"/>
    <w:rsid w:val="00C33B20"/>
    <w:rsid w:val="00C3449A"/>
    <w:rsid w:val="00C405DD"/>
    <w:rsid w:val="00C40620"/>
    <w:rsid w:val="00C426AB"/>
    <w:rsid w:val="00C4299D"/>
    <w:rsid w:val="00C455A3"/>
    <w:rsid w:val="00C47D24"/>
    <w:rsid w:val="00C51CF9"/>
    <w:rsid w:val="00C53A55"/>
    <w:rsid w:val="00C55D46"/>
    <w:rsid w:val="00C60B07"/>
    <w:rsid w:val="00C60E4B"/>
    <w:rsid w:val="00C619A0"/>
    <w:rsid w:val="00C64EB3"/>
    <w:rsid w:val="00C656FA"/>
    <w:rsid w:val="00C66BCE"/>
    <w:rsid w:val="00C673E3"/>
    <w:rsid w:val="00C6790B"/>
    <w:rsid w:val="00C70AAB"/>
    <w:rsid w:val="00C71A22"/>
    <w:rsid w:val="00C72865"/>
    <w:rsid w:val="00C74B06"/>
    <w:rsid w:val="00C75CAD"/>
    <w:rsid w:val="00C75FC3"/>
    <w:rsid w:val="00C7605D"/>
    <w:rsid w:val="00C7720A"/>
    <w:rsid w:val="00C77B45"/>
    <w:rsid w:val="00C77EAF"/>
    <w:rsid w:val="00C81907"/>
    <w:rsid w:val="00C81B42"/>
    <w:rsid w:val="00C8202A"/>
    <w:rsid w:val="00C8256E"/>
    <w:rsid w:val="00C8389A"/>
    <w:rsid w:val="00C83D6C"/>
    <w:rsid w:val="00C851B2"/>
    <w:rsid w:val="00C86D01"/>
    <w:rsid w:val="00C86D7E"/>
    <w:rsid w:val="00C8714A"/>
    <w:rsid w:val="00C9007B"/>
    <w:rsid w:val="00C912F9"/>
    <w:rsid w:val="00C91B88"/>
    <w:rsid w:val="00C92372"/>
    <w:rsid w:val="00C93799"/>
    <w:rsid w:val="00C94F96"/>
    <w:rsid w:val="00C9578E"/>
    <w:rsid w:val="00C97044"/>
    <w:rsid w:val="00CA0736"/>
    <w:rsid w:val="00CA0FA2"/>
    <w:rsid w:val="00CA15B7"/>
    <w:rsid w:val="00CA1CCA"/>
    <w:rsid w:val="00CA35A9"/>
    <w:rsid w:val="00CA386D"/>
    <w:rsid w:val="00CA3CC4"/>
    <w:rsid w:val="00CA794F"/>
    <w:rsid w:val="00CA7BAB"/>
    <w:rsid w:val="00CB025C"/>
    <w:rsid w:val="00CB0358"/>
    <w:rsid w:val="00CB13FF"/>
    <w:rsid w:val="00CB15E0"/>
    <w:rsid w:val="00CB1A08"/>
    <w:rsid w:val="00CB20A4"/>
    <w:rsid w:val="00CB2523"/>
    <w:rsid w:val="00CB3199"/>
    <w:rsid w:val="00CB3578"/>
    <w:rsid w:val="00CB390C"/>
    <w:rsid w:val="00CB4255"/>
    <w:rsid w:val="00CB44DA"/>
    <w:rsid w:val="00CB4EE9"/>
    <w:rsid w:val="00CB528F"/>
    <w:rsid w:val="00CB6EC1"/>
    <w:rsid w:val="00CC1A9D"/>
    <w:rsid w:val="00CC5DF5"/>
    <w:rsid w:val="00CC6DFF"/>
    <w:rsid w:val="00CD05D2"/>
    <w:rsid w:val="00CD0C54"/>
    <w:rsid w:val="00CD3B2D"/>
    <w:rsid w:val="00CD3E2C"/>
    <w:rsid w:val="00CD63B2"/>
    <w:rsid w:val="00CD7339"/>
    <w:rsid w:val="00CD7990"/>
    <w:rsid w:val="00CE0679"/>
    <w:rsid w:val="00CE0A4D"/>
    <w:rsid w:val="00CE3343"/>
    <w:rsid w:val="00CE3CAC"/>
    <w:rsid w:val="00CE5E97"/>
    <w:rsid w:val="00CE7410"/>
    <w:rsid w:val="00CF0D49"/>
    <w:rsid w:val="00CF11D9"/>
    <w:rsid w:val="00CF1D3B"/>
    <w:rsid w:val="00CF20E8"/>
    <w:rsid w:val="00CF218E"/>
    <w:rsid w:val="00CF30E0"/>
    <w:rsid w:val="00CF4F0C"/>
    <w:rsid w:val="00CF4FB2"/>
    <w:rsid w:val="00CF5E91"/>
    <w:rsid w:val="00CF7C98"/>
    <w:rsid w:val="00D01A5E"/>
    <w:rsid w:val="00D02606"/>
    <w:rsid w:val="00D030C4"/>
    <w:rsid w:val="00D033F4"/>
    <w:rsid w:val="00D03AA9"/>
    <w:rsid w:val="00D05D9D"/>
    <w:rsid w:val="00D11D11"/>
    <w:rsid w:val="00D12247"/>
    <w:rsid w:val="00D12C21"/>
    <w:rsid w:val="00D139EE"/>
    <w:rsid w:val="00D139F1"/>
    <w:rsid w:val="00D13F31"/>
    <w:rsid w:val="00D152F8"/>
    <w:rsid w:val="00D15A7F"/>
    <w:rsid w:val="00D2000D"/>
    <w:rsid w:val="00D21626"/>
    <w:rsid w:val="00D23554"/>
    <w:rsid w:val="00D24380"/>
    <w:rsid w:val="00D2438E"/>
    <w:rsid w:val="00D24489"/>
    <w:rsid w:val="00D2678D"/>
    <w:rsid w:val="00D277E0"/>
    <w:rsid w:val="00D30267"/>
    <w:rsid w:val="00D32761"/>
    <w:rsid w:val="00D32C46"/>
    <w:rsid w:val="00D3510B"/>
    <w:rsid w:val="00D37FC9"/>
    <w:rsid w:val="00D40555"/>
    <w:rsid w:val="00D40D47"/>
    <w:rsid w:val="00D41105"/>
    <w:rsid w:val="00D42CA4"/>
    <w:rsid w:val="00D4392D"/>
    <w:rsid w:val="00D43A43"/>
    <w:rsid w:val="00D45D0F"/>
    <w:rsid w:val="00D46047"/>
    <w:rsid w:val="00D47750"/>
    <w:rsid w:val="00D528D8"/>
    <w:rsid w:val="00D5462D"/>
    <w:rsid w:val="00D56C6A"/>
    <w:rsid w:val="00D56FA5"/>
    <w:rsid w:val="00D608BA"/>
    <w:rsid w:val="00D60EA1"/>
    <w:rsid w:val="00D62225"/>
    <w:rsid w:val="00D62283"/>
    <w:rsid w:val="00D6251D"/>
    <w:rsid w:val="00D62FBF"/>
    <w:rsid w:val="00D630F1"/>
    <w:rsid w:val="00D643D7"/>
    <w:rsid w:val="00D64D6D"/>
    <w:rsid w:val="00D65839"/>
    <w:rsid w:val="00D664CB"/>
    <w:rsid w:val="00D708B4"/>
    <w:rsid w:val="00D72ED0"/>
    <w:rsid w:val="00D75702"/>
    <w:rsid w:val="00D77555"/>
    <w:rsid w:val="00D814B1"/>
    <w:rsid w:val="00D819C3"/>
    <w:rsid w:val="00D82BBF"/>
    <w:rsid w:val="00D83115"/>
    <w:rsid w:val="00D8314E"/>
    <w:rsid w:val="00D839E4"/>
    <w:rsid w:val="00D83DCE"/>
    <w:rsid w:val="00D84593"/>
    <w:rsid w:val="00D863C7"/>
    <w:rsid w:val="00D94372"/>
    <w:rsid w:val="00D9600C"/>
    <w:rsid w:val="00D96EBC"/>
    <w:rsid w:val="00D97434"/>
    <w:rsid w:val="00DA0D68"/>
    <w:rsid w:val="00DA0DB7"/>
    <w:rsid w:val="00DA179B"/>
    <w:rsid w:val="00DA1F7E"/>
    <w:rsid w:val="00DA210F"/>
    <w:rsid w:val="00DA235C"/>
    <w:rsid w:val="00DA2560"/>
    <w:rsid w:val="00DA54BC"/>
    <w:rsid w:val="00DA756B"/>
    <w:rsid w:val="00DA7D12"/>
    <w:rsid w:val="00DB06AB"/>
    <w:rsid w:val="00DB1963"/>
    <w:rsid w:val="00DB3896"/>
    <w:rsid w:val="00DB481F"/>
    <w:rsid w:val="00DB4B3C"/>
    <w:rsid w:val="00DB4EF6"/>
    <w:rsid w:val="00DB5758"/>
    <w:rsid w:val="00DB672B"/>
    <w:rsid w:val="00DC249F"/>
    <w:rsid w:val="00DC3BAD"/>
    <w:rsid w:val="00DC3E21"/>
    <w:rsid w:val="00DC4B76"/>
    <w:rsid w:val="00DC4C6E"/>
    <w:rsid w:val="00DC67C1"/>
    <w:rsid w:val="00DD175D"/>
    <w:rsid w:val="00DD1CE3"/>
    <w:rsid w:val="00DD2924"/>
    <w:rsid w:val="00DD338D"/>
    <w:rsid w:val="00DD3835"/>
    <w:rsid w:val="00DD38A9"/>
    <w:rsid w:val="00DD3DAA"/>
    <w:rsid w:val="00DD45AF"/>
    <w:rsid w:val="00DD4AA6"/>
    <w:rsid w:val="00DD6A3D"/>
    <w:rsid w:val="00DD7050"/>
    <w:rsid w:val="00DD7377"/>
    <w:rsid w:val="00DD7D75"/>
    <w:rsid w:val="00DE0FE0"/>
    <w:rsid w:val="00DE37E3"/>
    <w:rsid w:val="00DE4DA1"/>
    <w:rsid w:val="00DE4F70"/>
    <w:rsid w:val="00DE6D08"/>
    <w:rsid w:val="00DE799D"/>
    <w:rsid w:val="00DF21C3"/>
    <w:rsid w:val="00DF21FB"/>
    <w:rsid w:val="00DF3D4E"/>
    <w:rsid w:val="00DF4B69"/>
    <w:rsid w:val="00DF5094"/>
    <w:rsid w:val="00DF7976"/>
    <w:rsid w:val="00DF7AC7"/>
    <w:rsid w:val="00E00E96"/>
    <w:rsid w:val="00E01A84"/>
    <w:rsid w:val="00E02FDD"/>
    <w:rsid w:val="00E0564E"/>
    <w:rsid w:val="00E0647B"/>
    <w:rsid w:val="00E06ACD"/>
    <w:rsid w:val="00E06FDF"/>
    <w:rsid w:val="00E100DC"/>
    <w:rsid w:val="00E11A6D"/>
    <w:rsid w:val="00E1328A"/>
    <w:rsid w:val="00E15B63"/>
    <w:rsid w:val="00E17CA0"/>
    <w:rsid w:val="00E2071C"/>
    <w:rsid w:val="00E20FD8"/>
    <w:rsid w:val="00E221FC"/>
    <w:rsid w:val="00E22BBC"/>
    <w:rsid w:val="00E2384B"/>
    <w:rsid w:val="00E23D54"/>
    <w:rsid w:val="00E261AB"/>
    <w:rsid w:val="00E27083"/>
    <w:rsid w:val="00E30ADC"/>
    <w:rsid w:val="00E32BDD"/>
    <w:rsid w:val="00E337DD"/>
    <w:rsid w:val="00E33B2B"/>
    <w:rsid w:val="00E3428D"/>
    <w:rsid w:val="00E35197"/>
    <w:rsid w:val="00E358F1"/>
    <w:rsid w:val="00E3638D"/>
    <w:rsid w:val="00E36A91"/>
    <w:rsid w:val="00E37F17"/>
    <w:rsid w:val="00E37F96"/>
    <w:rsid w:val="00E41BAD"/>
    <w:rsid w:val="00E45149"/>
    <w:rsid w:val="00E45726"/>
    <w:rsid w:val="00E460F4"/>
    <w:rsid w:val="00E47827"/>
    <w:rsid w:val="00E56A01"/>
    <w:rsid w:val="00E56F4E"/>
    <w:rsid w:val="00E5741A"/>
    <w:rsid w:val="00E57698"/>
    <w:rsid w:val="00E57E5E"/>
    <w:rsid w:val="00E60ECF"/>
    <w:rsid w:val="00E61396"/>
    <w:rsid w:val="00E615F1"/>
    <w:rsid w:val="00E62B6C"/>
    <w:rsid w:val="00E65261"/>
    <w:rsid w:val="00E65D7C"/>
    <w:rsid w:val="00E66BB1"/>
    <w:rsid w:val="00E66F12"/>
    <w:rsid w:val="00E70F2C"/>
    <w:rsid w:val="00E73264"/>
    <w:rsid w:val="00E7611A"/>
    <w:rsid w:val="00E77FE3"/>
    <w:rsid w:val="00E80132"/>
    <w:rsid w:val="00E8021B"/>
    <w:rsid w:val="00E80F99"/>
    <w:rsid w:val="00E821C8"/>
    <w:rsid w:val="00E83EB1"/>
    <w:rsid w:val="00E86BC9"/>
    <w:rsid w:val="00E91679"/>
    <w:rsid w:val="00E922E9"/>
    <w:rsid w:val="00E944E1"/>
    <w:rsid w:val="00E94C06"/>
    <w:rsid w:val="00E9517E"/>
    <w:rsid w:val="00E952CA"/>
    <w:rsid w:val="00E95796"/>
    <w:rsid w:val="00E95AE0"/>
    <w:rsid w:val="00EA0A24"/>
    <w:rsid w:val="00EA0D92"/>
    <w:rsid w:val="00EA0F5F"/>
    <w:rsid w:val="00EA1D31"/>
    <w:rsid w:val="00EA1EBB"/>
    <w:rsid w:val="00EA2A39"/>
    <w:rsid w:val="00EA3365"/>
    <w:rsid w:val="00EA6434"/>
    <w:rsid w:val="00EB1C61"/>
    <w:rsid w:val="00EB1D0C"/>
    <w:rsid w:val="00EB2461"/>
    <w:rsid w:val="00EB5E7A"/>
    <w:rsid w:val="00EC0165"/>
    <w:rsid w:val="00EC0C3F"/>
    <w:rsid w:val="00EC427D"/>
    <w:rsid w:val="00EC4AFA"/>
    <w:rsid w:val="00ED013F"/>
    <w:rsid w:val="00ED02E3"/>
    <w:rsid w:val="00ED09FA"/>
    <w:rsid w:val="00ED10FB"/>
    <w:rsid w:val="00ED26EB"/>
    <w:rsid w:val="00ED5BF2"/>
    <w:rsid w:val="00ED782E"/>
    <w:rsid w:val="00EE0448"/>
    <w:rsid w:val="00EE32A4"/>
    <w:rsid w:val="00EE44A7"/>
    <w:rsid w:val="00EE4971"/>
    <w:rsid w:val="00EE4D04"/>
    <w:rsid w:val="00EE5F18"/>
    <w:rsid w:val="00EF029D"/>
    <w:rsid w:val="00EF0763"/>
    <w:rsid w:val="00EF07B7"/>
    <w:rsid w:val="00EF2ABC"/>
    <w:rsid w:val="00EF3CCA"/>
    <w:rsid w:val="00EF4203"/>
    <w:rsid w:val="00EF5091"/>
    <w:rsid w:val="00EF524F"/>
    <w:rsid w:val="00EF5D34"/>
    <w:rsid w:val="00EF7926"/>
    <w:rsid w:val="00F01E8B"/>
    <w:rsid w:val="00F02692"/>
    <w:rsid w:val="00F030C4"/>
    <w:rsid w:val="00F03931"/>
    <w:rsid w:val="00F04605"/>
    <w:rsid w:val="00F048D2"/>
    <w:rsid w:val="00F04BF7"/>
    <w:rsid w:val="00F06387"/>
    <w:rsid w:val="00F068DB"/>
    <w:rsid w:val="00F07F15"/>
    <w:rsid w:val="00F11E30"/>
    <w:rsid w:val="00F14525"/>
    <w:rsid w:val="00F156D8"/>
    <w:rsid w:val="00F16BD8"/>
    <w:rsid w:val="00F1713A"/>
    <w:rsid w:val="00F2009C"/>
    <w:rsid w:val="00F225C5"/>
    <w:rsid w:val="00F238ED"/>
    <w:rsid w:val="00F241AE"/>
    <w:rsid w:val="00F24C9C"/>
    <w:rsid w:val="00F24D6C"/>
    <w:rsid w:val="00F25291"/>
    <w:rsid w:val="00F2585A"/>
    <w:rsid w:val="00F31867"/>
    <w:rsid w:val="00F3250C"/>
    <w:rsid w:val="00F32B30"/>
    <w:rsid w:val="00F33DE7"/>
    <w:rsid w:val="00F34478"/>
    <w:rsid w:val="00F35B86"/>
    <w:rsid w:val="00F363EF"/>
    <w:rsid w:val="00F376AE"/>
    <w:rsid w:val="00F40E62"/>
    <w:rsid w:val="00F45A2C"/>
    <w:rsid w:val="00F46917"/>
    <w:rsid w:val="00F473DE"/>
    <w:rsid w:val="00F478FA"/>
    <w:rsid w:val="00F502F6"/>
    <w:rsid w:val="00F52189"/>
    <w:rsid w:val="00F52C71"/>
    <w:rsid w:val="00F53C68"/>
    <w:rsid w:val="00F53F66"/>
    <w:rsid w:val="00F54430"/>
    <w:rsid w:val="00F55A67"/>
    <w:rsid w:val="00F5605A"/>
    <w:rsid w:val="00F56811"/>
    <w:rsid w:val="00F5714E"/>
    <w:rsid w:val="00F603D3"/>
    <w:rsid w:val="00F6093E"/>
    <w:rsid w:val="00F619BB"/>
    <w:rsid w:val="00F629FC"/>
    <w:rsid w:val="00F63561"/>
    <w:rsid w:val="00F73B08"/>
    <w:rsid w:val="00F74256"/>
    <w:rsid w:val="00F74741"/>
    <w:rsid w:val="00F75014"/>
    <w:rsid w:val="00F75C36"/>
    <w:rsid w:val="00F75E6A"/>
    <w:rsid w:val="00F76265"/>
    <w:rsid w:val="00F76915"/>
    <w:rsid w:val="00F8178F"/>
    <w:rsid w:val="00F81DFB"/>
    <w:rsid w:val="00F82B19"/>
    <w:rsid w:val="00F836A1"/>
    <w:rsid w:val="00F83F38"/>
    <w:rsid w:val="00F841F7"/>
    <w:rsid w:val="00F84430"/>
    <w:rsid w:val="00F84E65"/>
    <w:rsid w:val="00F8747A"/>
    <w:rsid w:val="00F90FB9"/>
    <w:rsid w:val="00F91097"/>
    <w:rsid w:val="00F918A3"/>
    <w:rsid w:val="00F931F7"/>
    <w:rsid w:val="00F944E8"/>
    <w:rsid w:val="00F94DE3"/>
    <w:rsid w:val="00F954E3"/>
    <w:rsid w:val="00F956E6"/>
    <w:rsid w:val="00F9656D"/>
    <w:rsid w:val="00F97035"/>
    <w:rsid w:val="00F97F05"/>
    <w:rsid w:val="00FA0404"/>
    <w:rsid w:val="00FA040A"/>
    <w:rsid w:val="00FA0D8B"/>
    <w:rsid w:val="00FA1A2B"/>
    <w:rsid w:val="00FA1A71"/>
    <w:rsid w:val="00FA2430"/>
    <w:rsid w:val="00FA2D20"/>
    <w:rsid w:val="00FA2DA4"/>
    <w:rsid w:val="00FA31FD"/>
    <w:rsid w:val="00FA3706"/>
    <w:rsid w:val="00FA4000"/>
    <w:rsid w:val="00FA4BE7"/>
    <w:rsid w:val="00FA56D3"/>
    <w:rsid w:val="00FA590C"/>
    <w:rsid w:val="00FA7030"/>
    <w:rsid w:val="00FB035A"/>
    <w:rsid w:val="00FB05E5"/>
    <w:rsid w:val="00FB1E2F"/>
    <w:rsid w:val="00FB5377"/>
    <w:rsid w:val="00FB5451"/>
    <w:rsid w:val="00FB5C94"/>
    <w:rsid w:val="00FB5FF8"/>
    <w:rsid w:val="00FB61B2"/>
    <w:rsid w:val="00FC294F"/>
    <w:rsid w:val="00FC31C7"/>
    <w:rsid w:val="00FC4B46"/>
    <w:rsid w:val="00FC557E"/>
    <w:rsid w:val="00FC62D1"/>
    <w:rsid w:val="00FC6535"/>
    <w:rsid w:val="00FC6BA6"/>
    <w:rsid w:val="00FC7D19"/>
    <w:rsid w:val="00FD0249"/>
    <w:rsid w:val="00FD3495"/>
    <w:rsid w:val="00FD569C"/>
    <w:rsid w:val="00FD7CF3"/>
    <w:rsid w:val="00FE16FE"/>
    <w:rsid w:val="00FE21FB"/>
    <w:rsid w:val="00FE3067"/>
    <w:rsid w:val="00FE6C0C"/>
    <w:rsid w:val="00FE71BA"/>
    <w:rsid w:val="00FF065D"/>
    <w:rsid w:val="00FF0EC7"/>
    <w:rsid w:val="00FF0FF6"/>
    <w:rsid w:val="00FF1106"/>
    <w:rsid w:val="00FF1110"/>
    <w:rsid w:val="00FF17EA"/>
    <w:rsid w:val="00FF2319"/>
    <w:rsid w:val="00FF2353"/>
    <w:rsid w:val="00FF2AA4"/>
    <w:rsid w:val="00FF3C22"/>
    <w:rsid w:val="00FF5D9C"/>
    <w:rsid w:val="00FF6325"/>
    <w:rsid w:val="00FF7D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63"/>
    <w:pPr>
      <w:tabs>
        <w:tab w:val="left" w:pos="720"/>
        <w:tab w:val="center" w:pos="4680"/>
        <w:tab w:val="right" w:pos="9360"/>
      </w:tabs>
      <w:spacing w:line="480" w:lineRule="atLeast"/>
    </w:pPr>
    <w:rPr>
      <w:rFonts w:ascii="Century Schoolbook" w:hAnsi="Century Schoolbook" w:eastAsiaTheme="minorHAnsi"/>
      <w:sz w:val="26"/>
      <w:szCs w:val="22"/>
    </w:rPr>
  </w:style>
  <w:style w:type="character" w:customStyle="1" w:styleId="HeaderChar">
    <w:name w:val="Header Char"/>
    <w:basedOn w:val="DefaultParagraphFont"/>
    <w:link w:val="Header"/>
    <w:uiPriority w:val="99"/>
    <w:rsid w:val="00781863"/>
  </w:style>
  <w:style w:type="paragraph" w:styleId="Footer">
    <w:name w:val="footer"/>
    <w:basedOn w:val="Normal"/>
    <w:link w:val="FooterChar"/>
    <w:uiPriority w:val="99"/>
    <w:unhideWhenUsed/>
    <w:rsid w:val="00781863"/>
    <w:pPr>
      <w:tabs>
        <w:tab w:val="left" w:pos="720"/>
        <w:tab w:val="center" w:pos="4680"/>
        <w:tab w:val="right" w:pos="9360"/>
      </w:tabs>
      <w:spacing w:line="480" w:lineRule="atLeast"/>
    </w:pPr>
    <w:rPr>
      <w:rFonts w:ascii="Century Schoolbook" w:hAnsi="Century Schoolbook" w:eastAsiaTheme="minorHAnsi"/>
      <w:sz w:val="26"/>
      <w:szCs w:val="22"/>
    </w:rPr>
  </w:style>
  <w:style w:type="character" w:customStyle="1" w:styleId="FooterChar">
    <w:name w:val="Footer Char"/>
    <w:basedOn w:val="DefaultParagraphFont"/>
    <w:link w:val="Footer"/>
    <w:uiPriority w:val="99"/>
    <w:rsid w:val="00781863"/>
  </w:style>
  <w:style w:type="character" w:styleId="PageNumber">
    <w:name w:val="page number"/>
    <w:basedOn w:val="DefaultParagraphFont"/>
    <w:unhideWhenUsed/>
    <w:rsid w:val="00781863"/>
  </w:style>
  <w:style w:type="paragraph" w:styleId="FootnoteText">
    <w:name w:val="footnote text"/>
    <w:link w:val="FootnoteTextChar"/>
    <w:uiPriority w:val="99"/>
    <w:unhideWhenUsed/>
    <w:rsid w:val="00781863"/>
    <w:rPr>
      <w:rFonts w:ascii="Century Schoolbook" w:hAnsi="Century Schoolbook"/>
      <w:szCs w:val="20"/>
    </w:rPr>
  </w:style>
  <w:style w:type="character" w:customStyle="1" w:styleId="FootnoteTextChar">
    <w:name w:val="Footnote Text Char"/>
    <w:basedOn w:val="DefaultParagraphFont"/>
    <w:link w:val="FootnoteText"/>
    <w:uiPriority w:val="99"/>
    <w:rsid w:val="00781863"/>
    <w:rPr>
      <w:rFonts w:ascii="Century Schoolbook" w:hAnsi="Century Schoolbook"/>
      <w:szCs w:val="20"/>
    </w:rPr>
  </w:style>
  <w:style w:type="character" w:styleId="FootnoteReference">
    <w:name w:val="footnote reference"/>
    <w:basedOn w:val="DefaultParagraphFont"/>
    <w:uiPriority w:val="99"/>
    <w:semiHidden/>
    <w:unhideWhenUsed/>
    <w:rsid w:val="00485FE0"/>
    <w:rPr>
      <w:vertAlign w:val="superscript"/>
    </w:rPr>
  </w:style>
  <w:style w:type="character" w:customStyle="1" w:styleId="cosearchterm">
    <w:name w:val="co_searchterm"/>
    <w:basedOn w:val="DefaultParagraphFont"/>
    <w:rsid w:val="000A1F41"/>
  </w:style>
  <w:style w:type="character" w:styleId="Emphasis">
    <w:name w:val="Emphasis"/>
    <w:basedOn w:val="DefaultParagraphFont"/>
    <w:uiPriority w:val="20"/>
    <w:qFormat/>
    <w:rsid w:val="00A246FA"/>
    <w:rPr>
      <w:i/>
      <w:iCs/>
    </w:rPr>
  </w:style>
  <w:style w:type="character" w:customStyle="1" w:styleId="costarpage">
    <w:name w:val="co_starpage"/>
    <w:basedOn w:val="DefaultParagraphFont"/>
    <w:rsid w:val="00BB4BDC"/>
  </w:style>
  <w:style w:type="character" w:styleId="Hyperlink">
    <w:name w:val="Hyperlink"/>
    <w:basedOn w:val="DefaultParagraphFont"/>
    <w:uiPriority w:val="99"/>
    <w:semiHidden/>
    <w:unhideWhenUsed/>
    <w:rsid w:val="00E95796"/>
    <w:rPr>
      <w:color w:val="0000FF"/>
      <w:u w:val="single"/>
    </w:rPr>
  </w:style>
  <w:style w:type="character" w:customStyle="1" w:styleId="ssit">
    <w:name w:val="ss_it"/>
    <w:basedOn w:val="DefaultParagraphFont"/>
    <w:rsid w:val="0029252D"/>
  </w:style>
  <w:style w:type="paragraph" w:styleId="NormalWeb">
    <w:name w:val="Normal (Web)"/>
    <w:basedOn w:val="Normal"/>
    <w:uiPriority w:val="99"/>
    <w:unhideWhenUsed/>
    <w:rsid w:val="006304A9"/>
    <w:pPr>
      <w:spacing w:before="100" w:beforeAutospacing="1" w:after="100" w:afterAutospacing="1"/>
    </w:pPr>
    <w:rPr>
      <w:rFonts w:ascii="Century Schoolbook" w:hAnsi="Century Schoolbook"/>
    </w:rPr>
  </w:style>
  <w:style w:type="character" w:styleId="CommentReference">
    <w:name w:val="annotation reference"/>
    <w:basedOn w:val="DefaultParagraphFont"/>
    <w:uiPriority w:val="99"/>
    <w:semiHidden/>
    <w:unhideWhenUsed/>
    <w:rsid w:val="00166559"/>
    <w:rPr>
      <w:sz w:val="16"/>
      <w:szCs w:val="16"/>
    </w:rPr>
  </w:style>
  <w:style w:type="paragraph" w:styleId="CommentText">
    <w:name w:val="annotation text"/>
    <w:basedOn w:val="Normal"/>
    <w:link w:val="CommentTextChar"/>
    <w:uiPriority w:val="99"/>
    <w:unhideWhenUsed/>
    <w:rsid w:val="00166559"/>
    <w:pPr>
      <w:tabs>
        <w:tab w:val="left" w:pos="720"/>
      </w:tabs>
    </w:pPr>
    <w:rPr>
      <w:rFonts w:ascii="Century Schoolbook" w:hAnsi="Century Schoolbook" w:eastAsiaTheme="minorHAnsi"/>
      <w:sz w:val="20"/>
      <w:szCs w:val="20"/>
    </w:rPr>
  </w:style>
  <w:style w:type="character" w:customStyle="1" w:styleId="CommentTextChar">
    <w:name w:val="Comment Text Char"/>
    <w:basedOn w:val="DefaultParagraphFont"/>
    <w:link w:val="CommentText"/>
    <w:uiPriority w:val="99"/>
    <w:rsid w:val="00166559"/>
    <w:rPr>
      <w:sz w:val="20"/>
      <w:szCs w:val="20"/>
    </w:rPr>
  </w:style>
  <w:style w:type="paragraph" w:styleId="CommentSubject">
    <w:name w:val="annotation subject"/>
    <w:basedOn w:val="CommentText"/>
    <w:next w:val="CommentText"/>
    <w:link w:val="CommentSubjectChar"/>
    <w:uiPriority w:val="99"/>
    <w:semiHidden/>
    <w:unhideWhenUsed/>
    <w:rsid w:val="00166559"/>
    <w:rPr>
      <w:b/>
      <w:bCs/>
    </w:rPr>
  </w:style>
  <w:style w:type="character" w:customStyle="1" w:styleId="CommentSubjectChar">
    <w:name w:val="Comment Subject Char"/>
    <w:basedOn w:val="CommentTextChar"/>
    <w:link w:val="CommentSubject"/>
    <w:uiPriority w:val="99"/>
    <w:semiHidden/>
    <w:rsid w:val="00166559"/>
    <w:rPr>
      <w:b/>
      <w:bCs/>
      <w:sz w:val="20"/>
      <w:szCs w:val="20"/>
    </w:rPr>
  </w:style>
  <w:style w:type="paragraph" w:styleId="Revision">
    <w:name w:val="Revision"/>
    <w:hidden/>
    <w:uiPriority w:val="99"/>
    <w:semiHidden/>
    <w:rsid w:val="00CA1CCA"/>
  </w:style>
  <w:style w:type="character" w:customStyle="1" w:styleId="coinlinekeyciteflag">
    <w:name w:val="co_inlinekeyciteflag"/>
    <w:basedOn w:val="DefaultParagraphFont"/>
    <w:rsid w:val="00837DB0"/>
  </w:style>
  <w:style w:type="character" w:customStyle="1" w:styleId="copinpointicon">
    <w:name w:val="co_pinpointicon"/>
    <w:basedOn w:val="DefaultParagraphFont"/>
    <w:rsid w:val="00AA04AC"/>
  </w:style>
  <w:style w:type="character" w:customStyle="1" w:styleId="ssrfcpassagedeactivated">
    <w:name w:val="ss_rfcpassage_deactivated"/>
    <w:basedOn w:val="DefaultParagraphFont"/>
    <w:rsid w:val="00B42FD6"/>
  </w:style>
  <w:style w:type="character" w:customStyle="1" w:styleId="ssheadnotelink">
    <w:name w:val="ss_headnotelink"/>
    <w:basedOn w:val="DefaultParagraphFont"/>
    <w:rsid w:val="00B42FD6"/>
  </w:style>
  <w:style w:type="character" w:customStyle="1" w:styleId="ssbf">
    <w:name w:val="ss_bf"/>
    <w:basedOn w:val="DefaultParagraphFont"/>
    <w:rsid w:val="00B42FD6"/>
  </w:style>
  <w:style w:type="character" w:customStyle="1" w:styleId="ssrfcsection">
    <w:name w:val="ss_rfcsection"/>
    <w:basedOn w:val="DefaultParagraphFont"/>
    <w:rsid w:val="00631B4B"/>
  </w:style>
  <w:style w:type="paragraph" w:styleId="ListParagraph">
    <w:name w:val="List Paragraph"/>
    <w:basedOn w:val="Normal"/>
    <w:uiPriority w:val="34"/>
    <w:qFormat/>
    <w:rsid w:val="00165D1E"/>
    <w:pPr>
      <w:tabs>
        <w:tab w:val="left" w:pos="720"/>
      </w:tabs>
      <w:spacing w:line="480" w:lineRule="atLeast"/>
      <w:ind w:left="720"/>
      <w:contextualSpacing/>
    </w:pPr>
    <w:rPr>
      <w:rFonts w:ascii="Century Schoolbook" w:hAnsi="Century Schoolbook" w:eastAsiaTheme="minorHAnsi"/>
      <w:sz w:val="26"/>
      <w:szCs w:val="22"/>
    </w:rPr>
  </w:style>
  <w:style w:type="character" w:styleId="Strong">
    <w:name w:val="Strong"/>
    <w:basedOn w:val="DefaultParagraphFont"/>
    <w:uiPriority w:val="22"/>
    <w:qFormat/>
    <w:rsid w:val="002D2DA0"/>
    <w:rPr>
      <w:b/>
      <w:bCs/>
    </w:rPr>
  </w:style>
  <w:style w:type="paragraph" w:customStyle="1" w:styleId="paragraph">
    <w:name w:val="paragraph"/>
    <w:basedOn w:val="Normal"/>
    <w:rsid w:val="00EA1D31"/>
    <w:pPr>
      <w:spacing w:before="100" w:beforeAutospacing="1" w:after="100" w:afterAutospacing="1"/>
    </w:pPr>
  </w:style>
  <w:style w:type="character" w:customStyle="1" w:styleId="copy-with-cite-selected-quote">
    <w:name w:val="copy-with-cite-selected-quote"/>
    <w:basedOn w:val="DefaultParagraphFont"/>
    <w:rsid w:val="000F01C9"/>
  </w:style>
  <w:style w:type="character" w:customStyle="1" w:styleId="counderline">
    <w:name w:val="co_underline"/>
    <w:basedOn w:val="DefaultParagraphFont"/>
    <w:rsid w:val="006B6919"/>
  </w:style>
  <w:style w:type="character" w:styleId="FollowedHyperlink">
    <w:name w:val="FollowedHyperlink"/>
    <w:basedOn w:val="DefaultParagraphFont"/>
    <w:uiPriority w:val="99"/>
    <w:semiHidden/>
    <w:unhideWhenUsed/>
    <w:rsid w:val="00E56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7BEC-0E87-479F-8BB3-A7FAA732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2023-12-18T22:50:49Z</dcterms:created>
  <dcterms:modified xsi:type="dcterms:W3CDTF">2023-12-18T22:50:49Z</dcterms:modified>
</cp:coreProperties>
</file>