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81EA" w14:textId="4CC075C9" w:rsidR="008C6DF5" w:rsidRPr="00604CA6" w:rsidRDefault="008C6DF5" w:rsidP="00700AA0">
      <w:pPr>
        <w:spacing w:line="240" w:lineRule="auto"/>
        <w:rPr>
          <w:sz w:val="20"/>
        </w:rPr>
      </w:pPr>
      <w:r w:rsidRPr="00604CA6">
        <w:rPr>
          <w:sz w:val="20"/>
        </w:rPr>
        <w:t>Filed</w:t>
      </w:r>
      <w:r w:rsidR="00604CA6">
        <w:rPr>
          <w:sz w:val="20"/>
        </w:rPr>
        <w:t xml:space="preserve"> </w:t>
      </w:r>
      <w:r w:rsidRPr="00604CA6">
        <w:rPr>
          <w:sz w:val="20"/>
        </w:rPr>
        <w:t xml:space="preserve">12/28/23 </w:t>
      </w:r>
    </w:p>
    <w:p w14:paraId="0679CBF9" w14:textId="77777777" w:rsidR="008C6DF5" w:rsidRDefault="008C6DF5" w:rsidP="00700AA0">
      <w:pPr>
        <w:spacing w:line="240" w:lineRule="auto"/>
        <w:jc w:val="center"/>
        <w:rPr>
          <w:b/>
        </w:rPr>
      </w:pPr>
      <w:r>
        <w:rPr>
          <w:b/>
        </w:rPr>
        <w:t>CERTIFIED FOR PUBLICATION</w:t>
      </w:r>
    </w:p>
    <w:p w14:paraId="0992BA65" w14:textId="77777777" w:rsidR="008C6DF5" w:rsidRDefault="008C6DF5" w:rsidP="00700AA0">
      <w:pPr>
        <w:spacing w:line="240" w:lineRule="auto"/>
        <w:jc w:val="center"/>
      </w:pPr>
    </w:p>
    <w:p w14:paraId="5D056B3D" w14:textId="77777777" w:rsidR="008C6DF5" w:rsidRPr="004D5D48" w:rsidRDefault="008C6DF5" w:rsidP="00700AA0">
      <w:pPr>
        <w:spacing w:line="240" w:lineRule="auto"/>
        <w:jc w:val="center"/>
      </w:pPr>
      <w:r w:rsidRPr="004D5D48">
        <w:t>IN THE COURT OF APPEAL OF THE STATE OF CALIFORNIA</w:t>
      </w:r>
    </w:p>
    <w:p w14:paraId="33EFE5FE" w14:textId="77777777" w:rsidR="008C6DF5" w:rsidRPr="004D5D48" w:rsidRDefault="008C6DF5" w:rsidP="00FF55AD">
      <w:pPr>
        <w:spacing w:line="240" w:lineRule="auto"/>
        <w:jc w:val="center"/>
      </w:pPr>
    </w:p>
    <w:p w14:paraId="15570B28" w14:textId="77777777" w:rsidR="008C6DF5" w:rsidRPr="004D5D48" w:rsidRDefault="008C6DF5" w:rsidP="00FF55AD">
      <w:pPr>
        <w:spacing w:line="240" w:lineRule="auto"/>
        <w:jc w:val="center"/>
      </w:pPr>
      <w:r w:rsidRPr="004D5D48">
        <w:t>FIRST APPELLATE DISTRICT</w:t>
      </w:r>
    </w:p>
    <w:p w14:paraId="4753B4C1" w14:textId="77777777" w:rsidR="008C6DF5" w:rsidRPr="004D5D48" w:rsidRDefault="008C6DF5" w:rsidP="00FF55AD">
      <w:pPr>
        <w:spacing w:line="240" w:lineRule="auto"/>
        <w:jc w:val="center"/>
      </w:pPr>
    </w:p>
    <w:p w14:paraId="714A24EE" w14:textId="77777777" w:rsidR="008C6DF5" w:rsidRPr="004D5D48" w:rsidRDefault="008C6DF5" w:rsidP="00FF55AD">
      <w:pPr>
        <w:spacing w:line="240" w:lineRule="auto"/>
        <w:jc w:val="center"/>
      </w:pPr>
      <w:r w:rsidRPr="004D5D48">
        <w:t xml:space="preserve">DIVISION </w:t>
      </w:r>
      <w:r w:rsidRPr="004D5D48">
        <w:t>THREE</w:t>
      </w:r>
    </w:p>
    <w:p w14:paraId="4477AFFA" w14:textId="77777777" w:rsidR="008C6DF5" w:rsidRPr="004D5D48" w:rsidRDefault="008C6DF5" w:rsidP="00FF55AD">
      <w:pPr>
        <w:spacing w:line="240" w:lineRule="auto"/>
        <w:jc w:val="center"/>
      </w:pPr>
    </w:p>
    <w:p w14:paraId="3EA6EADA" w14:textId="77777777" w:rsidR="008C6DF5" w:rsidRPr="004D5D48" w:rsidRDefault="008C6DF5" w:rsidP="00FF55AD">
      <w:pPr>
        <w:spacing w:line="240" w:lineRule="auto"/>
        <w:jc w:val="center"/>
      </w:pPr>
    </w:p>
    <w:tbl>
      <w:tblPr>
        <w:tblW w:w="0" w:type="auto"/>
        <w:tblLayout w:type="fixed"/>
        <w:tblLook w:val="0000" w:firstRow="0" w:lastRow="0" w:firstColumn="0" w:lastColumn="0" w:noHBand="0" w:noVBand="0"/>
      </w:tblPr>
      <w:tblGrid>
        <w:gridCol w:w="4770"/>
        <w:gridCol w:w="4320"/>
      </w:tblGrid>
      <w:tr w:rsidR="008B78DE" w14:paraId="1BABE4EF" w14:textId="77777777" w:rsidTr="00D3089B">
        <w:tc>
          <w:tcPr>
            <w:tcW w:w="4770" w:type="dxa"/>
            <w:tcBorders>
              <w:right w:val="single" w:sz="4" w:space="0" w:color="auto"/>
            </w:tcBorders>
            <w:shd w:val="clear" w:color="auto" w:fill="auto"/>
          </w:tcPr>
          <w:p w14:paraId="248C8FA7" w14:textId="77777777" w:rsidR="008C6DF5" w:rsidRPr="004D5D48" w:rsidRDefault="008C6DF5" w:rsidP="00E43FED">
            <w:pPr>
              <w:spacing w:after="120" w:line="240" w:lineRule="auto"/>
            </w:pPr>
            <w:r w:rsidRPr="004D5D48">
              <w:t>FIRST AMENDMENT COALITION et al.,</w:t>
            </w:r>
          </w:p>
          <w:p w14:paraId="3F6FC712" w14:textId="77777777" w:rsidR="008C6DF5" w:rsidRPr="004D5D48" w:rsidRDefault="008C6DF5" w:rsidP="00E43FED">
            <w:pPr>
              <w:spacing w:after="120" w:line="240" w:lineRule="auto"/>
            </w:pPr>
            <w:r w:rsidRPr="004D5D48">
              <w:tab/>
              <w:t>P</w:t>
            </w:r>
            <w:r w:rsidRPr="004D5D48">
              <w:t>etitioners</w:t>
            </w:r>
            <w:r w:rsidRPr="004D5D48">
              <w:t>,</w:t>
            </w:r>
          </w:p>
          <w:p w14:paraId="3E34C95E" w14:textId="77777777" w:rsidR="008C6DF5" w:rsidRPr="004D5D48" w:rsidRDefault="008C6DF5" w:rsidP="00E43FED">
            <w:pPr>
              <w:spacing w:after="120" w:line="240" w:lineRule="auto"/>
            </w:pPr>
            <w:r w:rsidRPr="004D5D48">
              <w:t>v.</w:t>
            </w:r>
          </w:p>
          <w:p w14:paraId="0A1DEE19" w14:textId="77777777" w:rsidR="008C6DF5" w:rsidRPr="004D5D48" w:rsidRDefault="008C6DF5" w:rsidP="00E43FED">
            <w:pPr>
              <w:spacing w:after="120" w:line="240" w:lineRule="auto"/>
            </w:pPr>
            <w:r w:rsidRPr="004D5D48">
              <w:t>SUPERIOR COURT FOR THE CITY AND COUNTY OF SAN FRANCISCO</w:t>
            </w:r>
            <w:r w:rsidRPr="004D5D48">
              <w:t>,</w:t>
            </w:r>
          </w:p>
          <w:p w14:paraId="3943EB7B" w14:textId="77777777" w:rsidR="008C6DF5" w:rsidRDefault="008C6DF5" w:rsidP="00E43FED">
            <w:pPr>
              <w:spacing w:after="120" w:line="240" w:lineRule="auto"/>
            </w:pPr>
            <w:r w:rsidRPr="004D5D48">
              <w:tab/>
            </w:r>
            <w:proofErr w:type="gramStart"/>
            <w:r w:rsidRPr="004D5D48">
              <w:t>Respondent</w:t>
            </w:r>
            <w:r>
              <w:t>;</w:t>
            </w:r>
            <w:proofErr w:type="gramEnd"/>
          </w:p>
          <w:p w14:paraId="7DADA293" w14:textId="77777777" w:rsidR="008C6DF5" w:rsidRDefault="008C6DF5" w:rsidP="00765320">
            <w:pPr>
              <w:spacing w:after="120" w:line="240" w:lineRule="auto"/>
            </w:pPr>
            <w:r>
              <w:t>ROB BONTA, Attorney General of the State of Calif</w:t>
            </w:r>
            <w:r>
              <w:t>ornia; CALIFORNIA DEPARTMENT OF JUSTIC</w:t>
            </w:r>
            <w:r>
              <w:t>E</w:t>
            </w:r>
            <w:r>
              <w:t>,</w:t>
            </w:r>
          </w:p>
          <w:p w14:paraId="0942D9E4" w14:textId="7E4E15F4" w:rsidR="008C6DF5" w:rsidRPr="004D5D48" w:rsidRDefault="008C6DF5" w:rsidP="00765320">
            <w:pPr>
              <w:spacing w:after="120" w:line="240" w:lineRule="auto"/>
            </w:pPr>
            <w:r>
              <w:tab/>
              <w:t>Real Part</w:t>
            </w:r>
            <w:r>
              <w:t>ies</w:t>
            </w:r>
            <w:r>
              <w:t xml:space="preserve"> in Interest</w:t>
            </w:r>
            <w:r w:rsidR="00604CA6">
              <w:t>.</w:t>
            </w:r>
          </w:p>
        </w:tc>
        <w:tc>
          <w:tcPr>
            <w:tcW w:w="4320" w:type="dxa"/>
            <w:tcBorders>
              <w:left w:val="single" w:sz="4" w:space="0" w:color="auto"/>
            </w:tcBorders>
            <w:shd w:val="clear" w:color="auto" w:fill="auto"/>
          </w:tcPr>
          <w:p w14:paraId="64ADB64D" w14:textId="77777777" w:rsidR="008C6DF5" w:rsidRPr="004D5D48" w:rsidRDefault="008C6DF5" w:rsidP="00E43FED">
            <w:pPr>
              <w:spacing w:line="240" w:lineRule="auto"/>
            </w:pPr>
          </w:p>
          <w:p w14:paraId="773783D5" w14:textId="77777777" w:rsidR="008C6DF5" w:rsidRPr="004D5D48" w:rsidRDefault="008C6DF5" w:rsidP="00E43FED">
            <w:pPr>
              <w:spacing w:line="240" w:lineRule="auto"/>
            </w:pPr>
          </w:p>
          <w:p w14:paraId="27C976BF" w14:textId="77777777" w:rsidR="008C6DF5" w:rsidRPr="004D5D48" w:rsidRDefault="008C6DF5" w:rsidP="00E43FED">
            <w:pPr>
              <w:spacing w:line="240" w:lineRule="auto"/>
            </w:pPr>
          </w:p>
          <w:p w14:paraId="76DD344E" w14:textId="77777777" w:rsidR="008C6DF5" w:rsidRPr="004D5D48" w:rsidRDefault="008C6DF5" w:rsidP="00E43FED">
            <w:pPr>
              <w:spacing w:line="240" w:lineRule="auto"/>
            </w:pPr>
          </w:p>
          <w:p w14:paraId="1F2C9A03" w14:textId="77777777" w:rsidR="008C6DF5" w:rsidRPr="004D5D48" w:rsidRDefault="008C6DF5" w:rsidP="00E43FED">
            <w:pPr>
              <w:spacing w:line="240" w:lineRule="auto"/>
            </w:pPr>
            <w:r w:rsidRPr="004D5D48">
              <w:t xml:space="preserve">    A165</w:t>
            </w:r>
            <w:r w:rsidRPr="004D5D48">
              <w:t>888</w:t>
            </w:r>
          </w:p>
          <w:p w14:paraId="0D1D1A5E" w14:textId="77777777" w:rsidR="008C6DF5" w:rsidRPr="004D5D48" w:rsidRDefault="008C6DF5" w:rsidP="00E43FED">
            <w:pPr>
              <w:spacing w:line="240" w:lineRule="auto"/>
            </w:pPr>
          </w:p>
          <w:p w14:paraId="3089413F" w14:textId="77777777" w:rsidR="008C6DF5" w:rsidRPr="004D5D48" w:rsidRDefault="008C6DF5" w:rsidP="00E43FED">
            <w:pPr>
              <w:spacing w:line="240" w:lineRule="auto"/>
            </w:pPr>
            <w:r w:rsidRPr="004D5D48">
              <w:t xml:space="preserve">    (San Francisco </w:t>
            </w:r>
            <w:r>
              <w:t xml:space="preserve">City &amp; </w:t>
            </w:r>
            <w:r w:rsidRPr="004D5D48">
              <w:t>County</w:t>
            </w:r>
          </w:p>
          <w:p w14:paraId="1C98D11A" w14:textId="77777777" w:rsidR="008C6DF5" w:rsidRPr="004D5D48" w:rsidRDefault="008C6DF5" w:rsidP="00E43FED">
            <w:pPr>
              <w:spacing w:line="240" w:lineRule="auto"/>
            </w:pPr>
            <w:r w:rsidRPr="004D5D48">
              <w:t xml:space="preserve">    Super. Ct. No. </w:t>
            </w:r>
            <w:r w:rsidRPr="004D5D48">
              <w:t>CPF</w:t>
            </w:r>
            <w:r w:rsidRPr="004D5D48">
              <w:t>-1</w:t>
            </w:r>
            <w:r w:rsidRPr="004D5D48">
              <w:t>9-</w:t>
            </w:r>
            <w:r w:rsidRPr="004D5D48">
              <w:t>5</w:t>
            </w:r>
            <w:r w:rsidRPr="004D5D48">
              <w:t>1</w:t>
            </w:r>
            <w:r w:rsidRPr="004D5D48">
              <w:t>65</w:t>
            </w:r>
            <w:r w:rsidRPr="004D5D48">
              <w:t>4</w:t>
            </w:r>
            <w:r w:rsidRPr="004D5D48">
              <w:t>5)</w:t>
            </w:r>
          </w:p>
          <w:p w14:paraId="2D9A834D" w14:textId="77777777" w:rsidR="008C6DF5" w:rsidRPr="004D5D48" w:rsidRDefault="008C6DF5" w:rsidP="00E43FED">
            <w:pPr>
              <w:spacing w:line="240" w:lineRule="auto"/>
            </w:pPr>
          </w:p>
        </w:tc>
      </w:tr>
      <w:tr w:rsidR="008B78DE" w14:paraId="72E02674" w14:textId="77777777" w:rsidTr="00D3089B">
        <w:tc>
          <w:tcPr>
            <w:tcW w:w="4770" w:type="dxa"/>
            <w:tcBorders>
              <w:bottom w:val="single" w:sz="4" w:space="0" w:color="auto"/>
              <w:right w:val="single" w:sz="4" w:space="0" w:color="auto"/>
            </w:tcBorders>
            <w:shd w:val="clear" w:color="auto" w:fill="auto"/>
          </w:tcPr>
          <w:p w14:paraId="2C7A7500" w14:textId="77777777" w:rsidR="008C6DF5" w:rsidRPr="004D5D48" w:rsidRDefault="008C6DF5" w:rsidP="00E43FED">
            <w:pPr>
              <w:spacing w:after="120" w:line="240" w:lineRule="auto"/>
            </w:pPr>
          </w:p>
        </w:tc>
        <w:tc>
          <w:tcPr>
            <w:tcW w:w="4320" w:type="dxa"/>
            <w:tcBorders>
              <w:left w:val="single" w:sz="4" w:space="0" w:color="auto"/>
            </w:tcBorders>
            <w:shd w:val="clear" w:color="auto" w:fill="auto"/>
          </w:tcPr>
          <w:p w14:paraId="70E7421C" w14:textId="77777777" w:rsidR="008C6DF5" w:rsidRPr="004D5D48" w:rsidRDefault="008C6DF5" w:rsidP="00E43FED">
            <w:pPr>
              <w:spacing w:line="240" w:lineRule="auto"/>
            </w:pPr>
          </w:p>
        </w:tc>
      </w:tr>
    </w:tbl>
    <w:p w14:paraId="1C301AC4" w14:textId="77777777" w:rsidR="008C6DF5" w:rsidRDefault="008C6DF5" w:rsidP="00BF2A4C">
      <w:bookmarkStart w:id="0" w:name="_Hlk144217911"/>
      <w:r>
        <w:tab/>
      </w:r>
      <w:r>
        <w:t xml:space="preserve">In acknowledgment of the extraordinary authority vested </w:t>
      </w:r>
      <w:r>
        <w:t>in peace officers and custodi</w:t>
      </w:r>
      <w:r>
        <w:t>al officers and the serious harms occasioned by misu</w:t>
      </w:r>
      <w:r>
        <w:t>s</w:t>
      </w:r>
      <w:r>
        <w:t xml:space="preserve">es of that authority, </w:t>
      </w:r>
      <w:r>
        <w:t xml:space="preserve">the Legislature enacted </w:t>
      </w:r>
      <w:r w:rsidRPr="004D5D48">
        <w:t>section 832.7, subdivision</w:t>
      </w:r>
      <w:r>
        <w:t> </w:t>
      </w:r>
      <w:r w:rsidRPr="004D5D48">
        <w:t>(b)</w:t>
      </w:r>
      <w:r>
        <w:t>,</w:t>
      </w:r>
      <w:r w:rsidRPr="004D5D48">
        <w:t xml:space="preserve"> </w:t>
      </w:r>
      <w:r>
        <w:t>of the Penal Code</w:t>
      </w:r>
      <w:r>
        <w:rPr>
          <w:rStyle w:val="FootnoteReference"/>
        </w:rPr>
        <w:footnoteReference w:id="1"/>
      </w:r>
      <w:r>
        <w:t xml:space="preserve"> </w:t>
      </w:r>
      <w:r w:rsidRPr="004D5D48">
        <w:t>(</w:t>
      </w:r>
      <w:r>
        <w:t xml:space="preserve">hereafter section </w:t>
      </w:r>
      <w:r w:rsidRPr="004D5D48">
        <w:t xml:space="preserve">832.7(b)) </w:t>
      </w:r>
      <w:r>
        <w:t xml:space="preserve">to promote transparency and public access to </w:t>
      </w:r>
      <w:r>
        <w:t xml:space="preserve">certain </w:t>
      </w:r>
      <w:r>
        <w:t xml:space="preserve">records </w:t>
      </w:r>
      <w:r>
        <w:t>in the possession of state and local agencies</w:t>
      </w:r>
      <w:r w:rsidRPr="004D5D48">
        <w:t xml:space="preserve">.  </w:t>
      </w:r>
      <w:r>
        <w:t xml:space="preserve">Under section 832.7(b), records </w:t>
      </w:r>
      <w:r>
        <w:t xml:space="preserve">relating to officers who engage in specified </w:t>
      </w:r>
      <w:r>
        <w:t xml:space="preserve">types of </w:t>
      </w:r>
      <w:r>
        <w:t xml:space="preserve">harmful or unlawful conduct </w:t>
      </w:r>
      <w:r>
        <w:t>are</w:t>
      </w:r>
      <w:r>
        <w:t xml:space="preserve"> </w:t>
      </w:r>
      <w:r>
        <w:t>deemed nonconfidential</w:t>
      </w:r>
      <w:r>
        <w:t xml:space="preserve"> </w:t>
      </w:r>
      <w:r>
        <w:t xml:space="preserve">and </w:t>
      </w:r>
      <w:r>
        <w:t xml:space="preserve">must be made </w:t>
      </w:r>
      <w:r>
        <w:lastRenderedPageBreak/>
        <w:t xml:space="preserve">available for public inspection pursuant to </w:t>
      </w:r>
      <w:r w:rsidRPr="004D5D48">
        <w:t>the California Public Records Act, Government Code sections 7920.000 et seq. (CPRA)</w:t>
      </w:r>
      <w:r>
        <w:t>.</w:t>
      </w:r>
    </w:p>
    <w:p w14:paraId="7C7F96F5" w14:textId="77777777" w:rsidR="008C6DF5" w:rsidRDefault="008C6DF5" w:rsidP="00BF2A4C">
      <w:pPr>
        <w:rPr>
          <w:shd w:val="clear" w:color="auto" w:fill="FFFFFF"/>
        </w:rPr>
      </w:pPr>
      <w:r>
        <w:tab/>
      </w:r>
      <w:r>
        <w:t>Though section 832.7(b)</w:t>
      </w:r>
      <w:r>
        <w:t>(1)</w:t>
      </w:r>
      <w:r>
        <w:t xml:space="preserve"> </w:t>
      </w:r>
      <w:r>
        <w:t xml:space="preserve">calls </w:t>
      </w:r>
      <w:r>
        <w:t>for public a</w:t>
      </w:r>
      <w:r>
        <w:t>vailability</w:t>
      </w:r>
      <w:r>
        <w:t xml:space="preserve"> </w:t>
      </w:r>
      <w:r>
        <w:t>of</w:t>
      </w:r>
      <w:r>
        <w:t xml:space="preserve"> the</w:t>
      </w:r>
      <w:r>
        <w:t>se</w:t>
      </w:r>
      <w:r>
        <w:t xml:space="preserve"> nonconfidential records</w:t>
      </w:r>
      <w:r>
        <w:t xml:space="preserve"> “[n]</w:t>
      </w:r>
      <w:proofErr w:type="spellStart"/>
      <w:r>
        <w:t>otwithstanding</w:t>
      </w:r>
      <w:proofErr w:type="spellEnd"/>
      <w:r>
        <w:t xml:space="preserve"> </w:t>
      </w:r>
      <w:r w:rsidRPr="004D5D48">
        <w:rPr>
          <w:shd w:val="clear" w:color="auto" w:fill="FFFFFF"/>
        </w:rPr>
        <w:t>subdivision (a)</w:t>
      </w:r>
      <w:r>
        <w:rPr>
          <w:shd w:val="clear" w:color="auto" w:fill="FFFFFF"/>
        </w:rPr>
        <w:t xml:space="preserve"> [of section 832.7]</w:t>
      </w:r>
      <w:r w:rsidRPr="004D5D48">
        <w:rPr>
          <w:shd w:val="clear" w:color="auto" w:fill="FFFFFF"/>
        </w:rPr>
        <w:t>, Section 7923.600 of the Government Code, or</w:t>
      </w:r>
      <w:r>
        <w:t xml:space="preserve"> any</w:t>
      </w:r>
      <w:r>
        <w:t xml:space="preserve"> other law</w:t>
      </w:r>
      <w:r>
        <w:t>,</w:t>
      </w:r>
      <w:r>
        <w:t>”</w:t>
      </w:r>
      <w:r>
        <w:t xml:space="preserve"> </w:t>
      </w:r>
      <w:r>
        <w:t>Government Code section 7927.705</w:t>
      </w:r>
      <w:r>
        <w:t xml:space="preserve"> </w:t>
      </w:r>
      <w:r>
        <w:t>states</w:t>
      </w:r>
      <w:r>
        <w:t xml:space="preserve"> </w:t>
      </w:r>
      <w:r>
        <w:t xml:space="preserve">the CPRA “does not require disclosure of records, the disclosure of which is </w:t>
      </w:r>
      <w:r w:rsidRPr="007D4864">
        <w:rPr>
          <w:i/>
          <w:color w:val="212121"/>
          <w:shd w:val="clear" w:color="auto" w:fill="FFFFFF"/>
        </w:rPr>
        <w:t xml:space="preserve">exempted or prohibited </w:t>
      </w:r>
      <w:r w:rsidRPr="007D4864">
        <w:rPr>
          <w:rStyle w:val="ssit"/>
          <w:i/>
          <w:color w:val="212121"/>
          <w:bdr w:val="none" w:sz="0" w:space="0" w:color="auto" w:frame="1"/>
          <w:shd w:val="clear" w:color="auto" w:fill="FFFFFF"/>
        </w:rPr>
        <w:t>pursuant to</w:t>
      </w:r>
      <w:r w:rsidRPr="004D5D48">
        <w:rPr>
          <w:color w:val="212121"/>
          <w:shd w:val="clear" w:color="auto" w:fill="FFFFFF"/>
        </w:rPr>
        <w:t xml:space="preserve"> </w:t>
      </w:r>
      <w:r>
        <w:rPr>
          <w:color w:val="212121"/>
          <w:shd w:val="clear" w:color="auto" w:fill="FFFFFF"/>
        </w:rPr>
        <w:t>. . .</w:t>
      </w:r>
      <w:r w:rsidRPr="004D5D48">
        <w:rPr>
          <w:color w:val="212121"/>
          <w:shd w:val="clear" w:color="auto" w:fill="FFFFFF"/>
        </w:rPr>
        <w:t xml:space="preserve"> </w:t>
      </w:r>
      <w:r w:rsidRPr="007D4864">
        <w:rPr>
          <w:rStyle w:val="ssit"/>
          <w:i/>
          <w:color w:val="212121"/>
          <w:bdr w:val="none" w:sz="0" w:space="0" w:color="auto" w:frame="1"/>
          <w:shd w:val="clear" w:color="auto" w:fill="FFFFFF"/>
        </w:rPr>
        <w:t>state law</w:t>
      </w:r>
      <w:r>
        <w:rPr>
          <w:rStyle w:val="ssit"/>
          <w:color w:val="212121"/>
          <w:bdr w:val="none" w:sz="0" w:space="0" w:color="auto" w:frame="1"/>
          <w:shd w:val="clear" w:color="auto" w:fill="FFFFFF"/>
        </w:rPr>
        <w:t>.</w:t>
      </w:r>
      <w:r w:rsidRPr="004D5D48">
        <w:rPr>
          <w:rStyle w:val="ssit"/>
          <w:color w:val="212121"/>
          <w:bdr w:val="none" w:sz="0" w:space="0" w:color="auto" w:frame="1"/>
          <w:shd w:val="clear" w:color="auto" w:fill="FFFFFF"/>
        </w:rPr>
        <w:t xml:space="preserve">” </w:t>
      </w:r>
      <w:r>
        <w:rPr>
          <w:rStyle w:val="ssit"/>
          <w:color w:val="212121"/>
          <w:bdr w:val="none" w:sz="0" w:space="0" w:color="auto" w:frame="1"/>
          <w:shd w:val="clear" w:color="auto" w:fill="FFFFFF"/>
        </w:rPr>
        <w:t xml:space="preserve"> (</w:t>
      </w:r>
      <w:r>
        <w:rPr>
          <w:shd w:val="clear" w:color="auto" w:fill="FFFFFF"/>
        </w:rPr>
        <w:t>I</w:t>
      </w:r>
      <w:r>
        <w:rPr>
          <w:rStyle w:val="ssit"/>
          <w:color w:val="212121"/>
          <w:bdr w:val="none" w:sz="0" w:space="0" w:color="auto" w:frame="1"/>
          <w:shd w:val="clear" w:color="auto" w:fill="FFFFFF"/>
        </w:rPr>
        <w:t xml:space="preserve">talics added.)  </w:t>
      </w:r>
      <w:r>
        <w:rPr>
          <w:rStyle w:val="ssit"/>
          <w:color w:val="212121"/>
          <w:bdr w:val="none" w:sz="0" w:space="0" w:color="auto" w:frame="1"/>
          <w:shd w:val="clear" w:color="auto" w:fill="FFFFFF"/>
        </w:rPr>
        <w:t>Applying settled rules of statutory construction, we</w:t>
      </w:r>
      <w:r>
        <w:rPr>
          <w:rStyle w:val="ssit"/>
          <w:color w:val="212121"/>
          <w:bdr w:val="none" w:sz="0" w:space="0" w:color="auto" w:frame="1"/>
          <w:shd w:val="clear" w:color="auto" w:fill="FFFFFF"/>
        </w:rPr>
        <w:t xml:space="preserve"> conclude that</w:t>
      </w:r>
      <w:r>
        <w:rPr>
          <w:rStyle w:val="ssit"/>
          <w:color w:val="212121"/>
          <w:bdr w:val="none" w:sz="0" w:space="0" w:color="auto" w:frame="1"/>
          <w:shd w:val="clear" w:color="auto" w:fill="FFFFFF"/>
        </w:rPr>
        <w:t>, notwithstanding Government Code section 7927.705</w:t>
      </w:r>
      <w:r>
        <w:rPr>
          <w:rStyle w:val="ssit"/>
          <w:color w:val="212121"/>
          <w:bdr w:val="none" w:sz="0" w:space="0" w:color="auto" w:frame="1"/>
          <w:shd w:val="clear" w:color="auto" w:fill="FFFFFF"/>
        </w:rPr>
        <w:t>’s incorporation of disclosure exemptions codified outside the CPRA</w:t>
      </w:r>
      <w:r>
        <w:rPr>
          <w:rStyle w:val="ssit"/>
          <w:color w:val="212121"/>
          <w:bdr w:val="none" w:sz="0" w:space="0" w:color="auto" w:frame="1"/>
          <w:shd w:val="clear" w:color="auto" w:fill="FFFFFF"/>
        </w:rPr>
        <w:t>,</w:t>
      </w:r>
      <w:r>
        <w:rPr>
          <w:rStyle w:val="ssit"/>
          <w:color w:val="212121"/>
          <w:bdr w:val="none" w:sz="0" w:space="0" w:color="auto" w:frame="1"/>
          <w:shd w:val="clear" w:color="auto" w:fill="FFFFFF"/>
        </w:rPr>
        <w:t xml:space="preserve"> </w:t>
      </w:r>
      <w:r>
        <w:rPr>
          <w:rStyle w:val="ssit"/>
          <w:color w:val="212121"/>
          <w:bdr w:val="none" w:sz="0" w:space="0" w:color="auto" w:frame="1"/>
          <w:shd w:val="clear" w:color="auto" w:fill="FFFFFF"/>
        </w:rPr>
        <w:t>section 832.7(b)</w:t>
      </w:r>
      <w:r>
        <w:rPr>
          <w:shd w:val="clear" w:color="auto" w:fill="FFFFFF"/>
        </w:rPr>
        <w:t xml:space="preserve"> </w:t>
      </w:r>
      <w:r>
        <w:rPr>
          <w:shd w:val="clear" w:color="auto" w:fill="FFFFFF"/>
        </w:rPr>
        <w:t xml:space="preserve">supersedes </w:t>
      </w:r>
      <w:r>
        <w:rPr>
          <w:shd w:val="clear" w:color="auto" w:fill="FFFFFF"/>
        </w:rPr>
        <w:t>state law</w:t>
      </w:r>
      <w:r>
        <w:rPr>
          <w:shd w:val="clear" w:color="auto" w:fill="FFFFFF"/>
        </w:rPr>
        <w:t xml:space="preserve"> disclosure exemptions</w:t>
      </w:r>
      <w:r>
        <w:rPr>
          <w:shd w:val="clear" w:color="auto" w:fill="FFFFFF"/>
        </w:rPr>
        <w:t xml:space="preserve"> </w:t>
      </w:r>
      <w:r>
        <w:rPr>
          <w:shd w:val="clear" w:color="auto" w:fill="FFFFFF"/>
        </w:rPr>
        <w:t>that</w:t>
      </w:r>
      <w:r>
        <w:rPr>
          <w:shd w:val="clear" w:color="auto" w:fill="FFFFFF"/>
        </w:rPr>
        <w:t xml:space="preserve">, like </w:t>
      </w:r>
      <w:r>
        <w:rPr>
          <w:shd w:val="clear" w:color="auto" w:fill="FFFFFF"/>
        </w:rPr>
        <w:t>the two statutory provisions specifically mentioned in section 832.7(b)(1)</w:t>
      </w:r>
      <w:r>
        <w:rPr>
          <w:shd w:val="clear" w:color="auto" w:fill="FFFFFF"/>
        </w:rPr>
        <w:t xml:space="preserve">, pose a direct conflict with its </w:t>
      </w:r>
      <w:r>
        <w:rPr>
          <w:shd w:val="clear" w:color="auto" w:fill="FFFFFF"/>
        </w:rPr>
        <w:t>decree</w:t>
      </w:r>
      <w:r>
        <w:rPr>
          <w:shd w:val="clear" w:color="auto" w:fill="FFFFFF"/>
        </w:rPr>
        <w:t xml:space="preserve"> that records within its scope are not confidential and shall be </w:t>
      </w:r>
      <w:r>
        <w:rPr>
          <w:shd w:val="clear" w:color="auto" w:fill="FFFFFF"/>
        </w:rPr>
        <w:t xml:space="preserve">made </w:t>
      </w:r>
      <w:r>
        <w:rPr>
          <w:shd w:val="clear" w:color="auto" w:fill="FFFFFF"/>
        </w:rPr>
        <w:t xml:space="preserve">available </w:t>
      </w:r>
      <w:r>
        <w:rPr>
          <w:shd w:val="clear" w:color="auto" w:fill="FFFFFF"/>
        </w:rPr>
        <w:t>to the public</w:t>
      </w:r>
      <w:r>
        <w:rPr>
          <w:shd w:val="clear" w:color="auto" w:fill="FFFFFF"/>
        </w:rPr>
        <w:t xml:space="preserve">.  </w:t>
      </w:r>
    </w:p>
    <w:p w14:paraId="45CF3954" w14:textId="77777777" w:rsidR="008C6DF5" w:rsidRDefault="008C6DF5" w:rsidP="00BF2A4C">
      <w:r>
        <w:rPr>
          <w:shd w:val="clear" w:color="auto" w:fill="FFFFFF"/>
        </w:rPr>
        <w:tab/>
        <w:t>Accordingly, we shall issue a peremptory writ of mandate directing respondent court to vacate its judgment to the extent it denies petitioners’ motion for judgment based on Government Code section 11183, which prohibits the disclosure of subpoenaed records.  In all other respects, the petition for writ of mandate is denied.</w:t>
      </w:r>
    </w:p>
    <w:bookmarkEnd w:id="0"/>
    <w:p w14:paraId="39D71CF7" w14:textId="77777777" w:rsidR="008C6DF5" w:rsidRPr="004D5D48" w:rsidRDefault="008C6DF5" w:rsidP="00BC0AC3">
      <w:pPr>
        <w:keepNext/>
        <w:jc w:val="center"/>
        <w:rPr>
          <w:rFonts w:cs="Times New Roman (Body CS)"/>
          <w:b/>
          <w:bCs/>
          <w:smallCaps/>
        </w:rPr>
      </w:pPr>
      <w:r w:rsidRPr="004D5D48">
        <w:rPr>
          <w:rFonts w:cs="Times New Roman (Body CS)"/>
          <w:b/>
          <w:bCs/>
          <w:smallCaps/>
        </w:rPr>
        <w:t>F</w:t>
      </w:r>
      <w:r w:rsidRPr="004D5D48">
        <w:rPr>
          <w:rFonts w:cs="Times New Roman (Body CS)"/>
          <w:b/>
          <w:bCs/>
          <w:smallCaps/>
        </w:rPr>
        <w:t>actual and Procedural Background</w:t>
      </w:r>
    </w:p>
    <w:p w14:paraId="0C7EF438" w14:textId="77777777" w:rsidR="008C6DF5" w:rsidRPr="004D5D48" w:rsidRDefault="008C6DF5" w:rsidP="0031601A">
      <w:pPr>
        <w:rPr>
          <w:shd w:val="clear" w:color="auto" w:fill="FFFFFF"/>
        </w:rPr>
      </w:pPr>
      <w:r w:rsidRPr="004D5D48">
        <w:tab/>
      </w:r>
      <w:r>
        <w:t>S</w:t>
      </w:r>
      <w:r w:rsidRPr="004D5D48">
        <w:t xml:space="preserve">ection </w:t>
      </w:r>
      <w:r w:rsidRPr="004D5D48">
        <w:t>832.7(b)</w:t>
      </w:r>
      <w:r>
        <w:t xml:space="preserve"> changed the law </w:t>
      </w:r>
      <w:r>
        <w:t>formerly</w:t>
      </w:r>
      <w:r>
        <w:t xml:space="preserve"> protecting</w:t>
      </w:r>
      <w:r>
        <w:rPr>
          <w:shd w:val="clear" w:color="auto" w:fill="FFFFFF"/>
        </w:rPr>
        <w:t xml:space="preserve"> personnel </w:t>
      </w:r>
      <w:r w:rsidRPr="004D5D48">
        <w:rPr>
          <w:shd w:val="clear" w:color="auto" w:fill="FFFFFF"/>
        </w:rPr>
        <w:t xml:space="preserve">records </w:t>
      </w:r>
      <w:r>
        <w:rPr>
          <w:shd w:val="clear" w:color="auto" w:fill="FFFFFF"/>
        </w:rPr>
        <w:t>of peace officers and custodial officers</w:t>
      </w:r>
      <w:r w:rsidRPr="004D5D48">
        <w:t xml:space="preserve"> </w:t>
      </w:r>
      <w:r>
        <w:t xml:space="preserve">as confidential and </w:t>
      </w:r>
      <w:r>
        <w:t xml:space="preserve">generally exempt from </w:t>
      </w:r>
      <w:r w:rsidRPr="004D5D48">
        <w:t>public disclosure.  (</w:t>
      </w:r>
      <w:r w:rsidRPr="004D5D48">
        <w:rPr>
          <w:shd w:val="clear" w:color="auto" w:fill="FFFFFF"/>
        </w:rPr>
        <w:t xml:space="preserve">Stats. 2018, </w:t>
      </w:r>
      <w:proofErr w:type="spellStart"/>
      <w:r w:rsidRPr="004D5D48">
        <w:rPr>
          <w:shd w:val="clear" w:color="auto" w:fill="FFFFFF"/>
        </w:rPr>
        <w:t>ch.</w:t>
      </w:r>
      <w:proofErr w:type="spellEnd"/>
      <w:r>
        <w:rPr>
          <w:shd w:val="clear" w:color="auto" w:fill="FFFFFF"/>
        </w:rPr>
        <w:t> </w:t>
      </w:r>
      <w:r w:rsidRPr="004D5D48">
        <w:rPr>
          <w:shd w:val="clear" w:color="auto" w:fill="FFFFFF"/>
        </w:rPr>
        <w:t>988, §§</w:t>
      </w:r>
      <w:r>
        <w:rPr>
          <w:shd w:val="clear" w:color="auto" w:fill="FFFFFF"/>
        </w:rPr>
        <w:t> </w:t>
      </w:r>
      <w:r w:rsidRPr="004D5D48">
        <w:rPr>
          <w:shd w:val="clear" w:color="auto" w:fill="FFFFFF"/>
        </w:rPr>
        <w:t>1, 2; see</w:t>
      </w:r>
      <w:r>
        <w:rPr>
          <w:shd w:val="clear" w:color="auto" w:fill="FFFFFF"/>
        </w:rPr>
        <w:t xml:space="preserve"> </w:t>
      </w:r>
      <w:r w:rsidRPr="004D5D48">
        <w:rPr>
          <w:i/>
        </w:rPr>
        <w:t>Becerra v. Superior Court</w:t>
      </w:r>
      <w:r w:rsidRPr="004D5D48">
        <w:t xml:space="preserve"> (2020) 44 Cal.App.5th 897</w:t>
      </w:r>
      <w:r>
        <w:t>, 914–915</w:t>
      </w:r>
      <w:r w:rsidRPr="004D5D48">
        <w:t xml:space="preserve"> (</w:t>
      </w:r>
      <w:r w:rsidRPr="004D5D48">
        <w:rPr>
          <w:i/>
          <w:iCs/>
        </w:rPr>
        <w:t>Becerra</w:t>
      </w:r>
      <w:r>
        <w:t>)</w:t>
      </w:r>
      <w:r w:rsidRPr="004D5D48">
        <w:rPr>
          <w:shd w:val="clear" w:color="auto" w:fill="FFFFFF"/>
        </w:rPr>
        <w:t>.)</w:t>
      </w:r>
      <w:r>
        <w:rPr>
          <w:shd w:val="clear" w:color="auto" w:fill="FFFFFF"/>
        </w:rPr>
        <w:t xml:space="preserve">  </w:t>
      </w:r>
      <w:r>
        <w:t xml:space="preserve">Under the new law, </w:t>
      </w:r>
      <w:r>
        <w:t xml:space="preserve">personnel </w:t>
      </w:r>
      <w:r w:rsidRPr="004D5D48">
        <w:t xml:space="preserve">records regarding specified types of peace </w:t>
      </w:r>
      <w:r>
        <w:t xml:space="preserve">officer and custodial </w:t>
      </w:r>
      <w:r w:rsidRPr="004D5D48">
        <w:t>officer conduct “</w:t>
      </w:r>
      <w:r w:rsidRPr="004D5D48">
        <w:rPr>
          <w:shd w:val="clear" w:color="auto" w:fill="FFFFFF"/>
        </w:rPr>
        <w:t xml:space="preserve">shall not be confidential and shall be made available for public inspection pursuant to the </w:t>
      </w:r>
      <w:r>
        <w:rPr>
          <w:shd w:val="clear" w:color="auto" w:fill="FFFFFF"/>
        </w:rPr>
        <w:t>[</w:t>
      </w:r>
      <w:r w:rsidRPr="004D5D48">
        <w:rPr>
          <w:shd w:val="clear" w:color="auto" w:fill="FFFFFF"/>
        </w:rPr>
        <w:t>CPRA</w:t>
      </w:r>
      <w:r>
        <w:rPr>
          <w:shd w:val="clear" w:color="auto" w:fill="FFFFFF"/>
        </w:rPr>
        <w:t>]</w:t>
      </w:r>
      <w:r w:rsidRPr="004D5D48">
        <w:rPr>
          <w:shd w:val="clear" w:color="auto" w:fill="FFFFFF"/>
        </w:rPr>
        <w:t>.</w:t>
      </w:r>
      <w:r>
        <w:rPr>
          <w:shd w:val="clear" w:color="auto" w:fill="FFFFFF"/>
        </w:rPr>
        <w:t>”</w:t>
      </w:r>
      <w:r w:rsidRPr="004D5D48">
        <w:rPr>
          <w:shd w:val="clear" w:color="auto" w:fill="FFFFFF"/>
        </w:rPr>
        <w:t xml:space="preserve">  </w:t>
      </w:r>
      <w:r>
        <w:rPr>
          <w:shd w:val="clear" w:color="auto" w:fill="FFFFFF"/>
        </w:rPr>
        <w:t>(</w:t>
      </w:r>
      <w:r>
        <w:rPr>
          <w:shd w:val="clear" w:color="auto" w:fill="FFFFFF"/>
        </w:rPr>
        <w:t>§ 832.7(b)</w:t>
      </w:r>
      <w:r>
        <w:rPr>
          <w:shd w:val="clear" w:color="auto" w:fill="FFFFFF"/>
        </w:rPr>
        <w:t>(1)</w:t>
      </w:r>
      <w:r>
        <w:rPr>
          <w:shd w:val="clear" w:color="auto" w:fill="FFFFFF"/>
        </w:rPr>
        <w:t>(A)–(E)</w:t>
      </w:r>
      <w:r>
        <w:rPr>
          <w:shd w:val="clear" w:color="auto" w:fill="FFFFFF"/>
        </w:rPr>
        <w:t>.)</w:t>
      </w:r>
    </w:p>
    <w:p w14:paraId="7D6BBC91" w14:textId="77777777" w:rsidR="008C6DF5" w:rsidRPr="004D5D48" w:rsidRDefault="008C6DF5" w:rsidP="000F6FE5">
      <w:pPr>
        <w:rPr>
          <w:shd w:val="clear" w:color="auto" w:fill="FFFFFF"/>
        </w:rPr>
      </w:pPr>
      <w:r w:rsidRPr="004D5D48">
        <w:rPr>
          <w:shd w:val="clear" w:color="auto" w:fill="FFFFFF"/>
        </w:rPr>
        <w:lastRenderedPageBreak/>
        <w:tab/>
      </w:r>
      <w:r w:rsidRPr="004D5D48">
        <w:rPr>
          <w:shd w:val="clear" w:color="auto" w:fill="FFFFFF"/>
        </w:rPr>
        <w:t xml:space="preserve">Soon after </w:t>
      </w:r>
      <w:r>
        <w:rPr>
          <w:shd w:val="clear" w:color="auto" w:fill="FFFFFF"/>
        </w:rPr>
        <w:t>section 83</w:t>
      </w:r>
      <w:r>
        <w:rPr>
          <w:shd w:val="clear" w:color="auto" w:fill="FFFFFF"/>
        </w:rPr>
        <w:t>2.7</w:t>
      </w:r>
      <w:r>
        <w:rPr>
          <w:shd w:val="clear" w:color="auto" w:fill="FFFFFF"/>
        </w:rPr>
        <w:t>(b) became</w:t>
      </w:r>
      <w:r w:rsidRPr="004D5D48">
        <w:rPr>
          <w:shd w:val="clear" w:color="auto" w:fill="FFFFFF"/>
        </w:rPr>
        <w:t xml:space="preserve"> effective</w:t>
      </w:r>
      <w:r>
        <w:rPr>
          <w:shd w:val="clear" w:color="auto" w:fill="FFFFFF"/>
        </w:rPr>
        <w:t xml:space="preserve"> in 2019</w:t>
      </w:r>
      <w:r w:rsidRPr="004D5D48">
        <w:rPr>
          <w:shd w:val="clear" w:color="auto" w:fill="FFFFFF"/>
        </w:rPr>
        <w:t xml:space="preserve">, </w:t>
      </w:r>
      <w:r>
        <w:t>p</w:t>
      </w:r>
      <w:r w:rsidRPr="004D5D48">
        <w:t>etitioners First Amendment Coalition and KQED Inc. filed requests under the</w:t>
      </w:r>
      <w:r>
        <w:t xml:space="preserve"> CPRA to obtain records in the possession of</w:t>
      </w:r>
      <w:r w:rsidRPr="004D5D48">
        <w:t xml:space="preserve"> the </w:t>
      </w:r>
      <w:r>
        <w:t>Attorney General and the</w:t>
      </w:r>
      <w:r w:rsidRPr="004D5D48">
        <w:t xml:space="preserve"> Department of Justice (</w:t>
      </w:r>
      <w:r>
        <w:t xml:space="preserve">collectively, </w:t>
      </w:r>
      <w:r>
        <w:t xml:space="preserve">the </w:t>
      </w:r>
      <w:r>
        <w:t>D</w:t>
      </w:r>
      <w:r w:rsidRPr="004D5D48">
        <w:t xml:space="preserve">epartment) </w:t>
      </w:r>
      <w:r w:rsidRPr="004D5D48">
        <w:rPr>
          <w:shd w:val="clear" w:color="auto" w:fill="FFFFFF"/>
        </w:rPr>
        <w:t>relating to</w:t>
      </w:r>
      <w:r>
        <w:rPr>
          <w:shd w:val="clear" w:color="auto" w:fill="FFFFFF"/>
        </w:rPr>
        <w:t xml:space="preserve">: </w:t>
      </w:r>
      <w:r w:rsidRPr="004D5D48">
        <w:rPr>
          <w:shd w:val="clear" w:color="auto" w:fill="FFFFFF"/>
        </w:rPr>
        <w:t xml:space="preserve"> (1)</w:t>
      </w:r>
      <w:r>
        <w:rPr>
          <w:shd w:val="clear" w:color="auto" w:fill="FFFFFF"/>
        </w:rPr>
        <w:t> </w:t>
      </w:r>
      <w:r w:rsidRPr="004D5D48">
        <w:rPr>
          <w:shd w:val="clear" w:color="auto" w:fill="FFFFFF"/>
        </w:rPr>
        <w:t>the discharge of a firearm at a person by a peace or custodial officer</w:t>
      </w:r>
      <w:r>
        <w:rPr>
          <w:shd w:val="clear" w:color="auto" w:fill="FFFFFF"/>
        </w:rPr>
        <w:t>;</w:t>
      </w:r>
      <w:r w:rsidRPr="004D5D48">
        <w:rPr>
          <w:shd w:val="clear" w:color="auto" w:fill="FFFFFF"/>
        </w:rPr>
        <w:t xml:space="preserve"> (2)</w:t>
      </w:r>
      <w:r>
        <w:rPr>
          <w:shd w:val="clear" w:color="auto" w:fill="FFFFFF"/>
        </w:rPr>
        <w:t> </w:t>
      </w:r>
      <w:r w:rsidRPr="004D5D48">
        <w:rPr>
          <w:shd w:val="clear" w:color="auto" w:fill="FFFFFF"/>
        </w:rPr>
        <w:t>any use of force by a peace or custodial officer resulting in death or great bodily injury</w:t>
      </w:r>
      <w:r>
        <w:rPr>
          <w:shd w:val="clear" w:color="auto" w:fill="FFFFFF"/>
        </w:rPr>
        <w:t>;</w:t>
      </w:r>
      <w:r w:rsidRPr="004D5D48">
        <w:rPr>
          <w:shd w:val="clear" w:color="auto" w:fill="FFFFFF"/>
        </w:rPr>
        <w:t xml:space="preserve"> and (3)</w:t>
      </w:r>
      <w:r>
        <w:rPr>
          <w:shd w:val="clear" w:color="auto" w:fill="FFFFFF"/>
        </w:rPr>
        <w:t> </w:t>
      </w:r>
      <w:r w:rsidRPr="004D5D48">
        <w:rPr>
          <w:shd w:val="clear" w:color="auto" w:fill="FFFFFF"/>
        </w:rPr>
        <w:t xml:space="preserve">a sustained finding of </w:t>
      </w:r>
      <w:r w:rsidRPr="004D5D48">
        <w:rPr>
          <w:shd w:val="clear" w:color="auto" w:fill="FFFFFF"/>
        </w:rPr>
        <w:t xml:space="preserve">dishonesty or </w:t>
      </w:r>
      <w:r w:rsidRPr="004D5D48">
        <w:rPr>
          <w:shd w:val="clear" w:color="auto" w:fill="FFFFFF"/>
        </w:rPr>
        <w:t xml:space="preserve">sexual assault by an officer.  </w:t>
      </w:r>
      <w:r>
        <w:t xml:space="preserve">Section 832.7(b) </w:t>
      </w:r>
      <w:r>
        <w:t>includes these</w:t>
      </w:r>
      <w:r>
        <w:t xml:space="preserve"> </w:t>
      </w:r>
      <w:r>
        <w:t>types</w:t>
      </w:r>
      <w:r>
        <w:t xml:space="preserve"> of records </w:t>
      </w:r>
      <w:r>
        <w:t xml:space="preserve">among those that </w:t>
      </w:r>
      <w:r>
        <w:t xml:space="preserve">are </w:t>
      </w:r>
      <w:r>
        <w:t xml:space="preserve">deemed not </w:t>
      </w:r>
      <w:r>
        <w:t xml:space="preserve">confidential and </w:t>
      </w:r>
      <w:r>
        <w:t>must be made available for</w:t>
      </w:r>
      <w:r>
        <w:t xml:space="preserve"> public inspection</w:t>
      </w:r>
      <w:r>
        <w:t xml:space="preserve"> pursuant to the CPRA. </w:t>
      </w:r>
      <w:r>
        <w:t xml:space="preserve"> (</w:t>
      </w:r>
      <w:r>
        <w:t xml:space="preserve">See </w:t>
      </w:r>
      <w:r>
        <w:rPr>
          <w:shd w:val="clear" w:color="auto" w:fill="FFFFFF"/>
        </w:rPr>
        <w:t>§ 83</w:t>
      </w:r>
      <w:r>
        <w:rPr>
          <w:shd w:val="clear" w:color="auto" w:fill="FFFFFF"/>
        </w:rPr>
        <w:t>2.7</w:t>
      </w:r>
      <w:r w:rsidRPr="004D5D48">
        <w:rPr>
          <w:shd w:val="clear" w:color="auto" w:fill="FFFFFF"/>
        </w:rPr>
        <w:t>(b)(1)(A)–(C)</w:t>
      </w:r>
      <w:r>
        <w:rPr>
          <w:shd w:val="clear" w:color="auto" w:fill="FFFFFF"/>
        </w:rPr>
        <w:t>.</w:t>
      </w:r>
      <w:r>
        <w:rPr>
          <w:rStyle w:val="FootnoteReference"/>
          <w:shd w:val="clear" w:color="auto" w:fill="FFFFFF"/>
        </w:rPr>
        <w:footnoteReference w:id="2"/>
      </w:r>
      <w:r>
        <w:rPr>
          <w:shd w:val="clear" w:color="auto" w:fill="FFFFFF"/>
        </w:rPr>
        <w:t>)</w:t>
      </w:r>
      <w:r>
        <w:rPr>
          <w:shd w:val="clear" w:color="auto" w:fill="FFFFFF"/>
        </w:rPr>
        <w:t xml:space="preserve">  </w:t>
      </w:r>
      <w:r>
        <w:t>W</w:t>
      </w:r>
      <w:r>
        <w:t>e will</w:t>
      </w:r>
      <w:r>
        <w:t xml:space="preserve"> hereafter</w:t>
      </w:r>
      <w:r>
        <w:t xml:space="preserve"> refer to </w:t>
      </w:r>
      <w:r>
        <w:t xml:space="preserve">these </w:t>
      </w:r>
      <w:r>
        <w:t>nonconfidential</w:t>
      </w:r>
      <w:r>
        <w:t xml:space="preserve"> records</w:t>
      </w:r>
      <w:r>
        <w:t xml:space="preserve"> </w:t>
      </w:r>
      <w:r>
        <w:t xml:space="preserve">as </w:t>
      </w:r>
      <w:r w:rsidRPr="004D5D48">
        <w:t>“officer-related records.”</w:t>
      </w:r>
    </w:p>
    <w:p w14:paraId="292DF7AB" w14:textId="77777777" w:rsidR="008C6DF5" w:rsidRPr="004D5D48" w:rsidRDefault="008C6DF5" w:rsidP="0047727E">
      <w:r w:rsidRPr="004D5D48">
        <w:rPr>
          <w:shd w:val="clear" w:color="auto" w:fill="FFFFFF"/>
        </w:rPr>
        <w:tab/>
      </w:r>
      <w:r>
        <w:t>O</w:t>
      </w:r>
      <w:r w:rsidRPr="004D5D48">
        <w:t xml:space="preserve">ur first decision in this matter, </w:t>
      </w:r>
      <w:r w:rsidRPr="004D5D48">
        <w:rPr>
          <w:i/>
        </w:rPr>
        <w:t>Becerra</w:t>
      </w:r>
      <w:r>
        <w:t>,</w:t>
      </w:r>
      <w:r w:rsidRPr="004D5D48">
        <w:t xml:space="preserve"> </w:t>
      </w:r>
      <w:r w:rsidRPr="00525CDB">
        <w:rPr>
          <w:i/>
        </w:rPr>
        <w:t>supra</w:t>
      </w:r>
      <w:r>
        <w:t xml:space="preserve">, </w:t>
      </w:r>
      <w:r w:rsidRPr="004D5D48">
        <w:t>44 Cal.App.5th 897</w:t>
      </w:r>
      <w:r>
        <w:t>,</w:t>
      </w:r>
      <w:r w:rsidRPr="004D5D48">
        <w:t xml:space="preserve"> addressed the </w:t>
      </w:r>
      <w:r>
        <w:t>D</w:t>
      </w:r>
      <w:r w:rsidRPr="004D5D48">
        <w:t>epartment’s initial objections to disclosure</w:t>
      </w:r>
      <w:r>
        <w:t xml:space="preserve"> and</w:t>
      </w:r>
      <w:r>
        <w:rPr>
          <w:shd w:val="clear" w:color="auto" w:fill="FFFFFF"/>
        </w:rPr>
        <w:t xml:space="preserve"> held</w:t>
      </w:r>
      <w:r>
        <w:rPr>
          <w:shd w:val="clear" w:color="auto" w:fill="FFFFFF"/>
        </w:rPr>
        <w:t xml:space="preserve"> that</w:t>
      </w:r>
      <w:r>
        <w:rPr>
          <w:shd w:val="clear" w:color="auto" w:fill="FFFFFF"/>
        </w:rPr>
        <w:t xml:space="preserve">, as a matter of statutory </w:t>
      </w:r>
      <w:r>
        <w:rPr>
          <w:shd w:val="clear" w:color="auto" w:fill="FFFFFF"/>
        </w:rPr>
        <w:t>interpretation,</w:t>
      </w:r>
      <w:r>
        <w:rPr>
          <w:shd w:val="clear" w:color="auto" w:fill="FFFFFF"/>
        </w:rPr>
        <w:t xml:space="preserve"> </w:t>
      </w:r>
      <w:r>
        <w:t>section 832.7(b) “generally requires disclosure of all responsive records in the possession of the Department, regardless whether the records pertain to officers employed by the Department or by another public agency and regardless whether the Department or another public agency created the records</w:t>
      </w:r>
      <w:r>
        <w:t>.</w:t>
      </w:r>
      <w:r>
        <w:t>”</w:t>
      </w:r>
      <w:r>
        <w:t xml:space="preserve">  </w:t>
      </w:r>
      <w:r w:rsidRPr="004D5D48">
        <w:t>(</w:t>
      </w:r>
      <w:r w:rsidRPr="004D5D48">
        <w:rPr>
          <w:i/>
          <w:iCs/>
        </w:rPr>
        <w:t>Becerra,</w:t>
      </w:r>
      <w:r w:rsidRPr="004D5D48">
        <w:t xml:space="preserve"> at p.</w:t>
      </w:r>
      <w:r>
        <w:t> </w:t>
      </w:r>
      <w:r>
        <w:t>910</w:t>
      </w:r>
      <w:r>
        <w:t>.</w:t>
      </w:r>
      <w:r w:rsidRPr="004D5D48">
        <w:t>)</w:t>
      </w:r>
      <w:r>
        <w:t xml:space="preserve">  </w:t>
      </w:r>
      <w:r w:rsidRPr="00525CDB">
        <w:rPr>
          <w:i/>
        </w:rPr>
        <w:t>Becerra</w:t>
      </w:r>
      <w:r>
        <w:t xml:space="preserve"> also </w:t>
      </w:r>
      <w:r>
        <w:t>concluded</w:t>
      </w:r>
      <w:r>
        <w:t xml:space="preserve"> </w:t>
      </w:r>
      <w:r>
        <w:t xml:space="preserve">the </w:t>
      </w:r>
      <w:r>
        <w:t>CPRA’s</w:t>
      </w:r>
      <w:r w:rsidRPr="004D5D48">
        <w:t xml:space="preserve"> </w:t>
      </w:r>
      <w:r>
        <w:t xml:space="preserve">so-called </w:t>
      </w:r>
      <w:proofErr w:type="gramStart"/>
      <w:r>
        <w:t>“</w:t>
      </w:r>
      <w:r>
        <w:t> </w:t>
      </w:r>
      <w:r>
        <w:t>‘</w:t>
      </w:r>
      <w:proofErr w:type="gramEnd"/>
      <w:r w:rsidRPr="004D5D48">
        <w:t>catchall</w:t>
      </w:r>
      <w:r>
        <w:t>’</w:t>
      </w:r>
      <w:r>
        <w:t> </w:t>
      </w:r>
      <w:r>
        <w:t>”</w:t>
      </w:r>
      <w:r w:rsidRPr="004D5D48">
        <w:t xml:space="preserve"> exemption</w:t>
      </w:r>
      <w:r>
        <w:t>—</w:t>
      </w:r>
      <w:r>
        <w:t xml:space="preserve">which </w:t>
      </w:r>
      <w:r>
        <w:t xml:space="preserve">allows a public agency to </w:t>
      </w:r>
      <w:r>
        <w:t xml:space="preserve">justify the </w:t>
      </w:r>
      <w:r>
        <w:t>withhold</w:t>
      </w:r>
      <w:r>
        <w:t>ing of</w:t>
      </w:r>
      <w:r>
        <w:t xml:space="preserve"> a public record </w:t>
      </w:r>
      <w:r>
        <w:t xml:space="preserve">upon </w:t>
      </w:r>
      <w:r>
        <w:t>a</w:t>
      </w:r>
      <w:r>
        <w:t xml:space="preserve"> showing</w:t>
      </w:r>
      <w:r>
        <w:t xml:space="preserve"> </w:t>
      </w:r>
      <w:r>
        <w:t xml:space="preserve">that </w:t>
      </w:r>
      <w:r>
        <w:t xml:space="preserve">the </w:t>
      </w:r>
      <w:r>
        <w:t xml:space="preserve">public interest served by nondisclosure </w:t>
      </w:r>
      <w:r>
        <w:lastRenderedPageBreak/>
        <w:t>“clearly outweighs” the public interest served by disclosure</w:t>
      </w:r>
      <w:r>
        <w:t xml:space="preserve"> (</w:t>
      </w:r>
      <w:r>
        <w:t xml:space="preserve">Gov. Code, </w:t>
      </w:r>
      <w:r>
        <w:t>§ </w:t>
      </w:r>
      <w:r w:rsidRPr="004D5D48">
        <w:t>7922.000</w:t>
      </w:r>
      <w:r>
        <w:t>)</w:t>
      </w:r>
      <w:r>
        <w:t>—may apply to</w:t>
      </w:r>
      <w:r w:rsidRPr="004D5D48">
        <w:t xml:space="preserve"> records</w:t>
      </w:r>
      <w:r w:rsidRPr="004D5D48">
        <w:t xml:space="preserve"> </w:t>
      </w:r>
      <w:r>
        <w:t>within the scope of</w:t>
      </w:r>
      <w:r>
        <w:t xml:space="preserve"> </w:t>
      </w:r>
      <w:r w:rsidRPr="004D5D48">
        <w:t xml:space="preserve">section </w:t>
      </w:r>
      <w:r>
        <w:t>8</w:t>
      </w:r>
      <w:r w:rsidRPr="004D5D48">
        <w:t>32.7</w:t>
      </w:r>
      <w:r w:rsidRPr="004D5D48">
        <w:t>(b)</w:t>
      </w:r>
      <w:r>
        <w:t xml:space="preserve">. </w:t>
      </w:r>
      <w:r w:rsidRPr="004D5D48">
        <w:t xml:space="preserve"> </w:t>
      </w:r>
      <w:r w:rsidRPr="004D5D48">
        <w:t>(</w:t>
      </w:r>
      <w:r w:rsidRPr="004D5D48">
        <w:rPr>
          <w:i/>
          <w:iCs/>
        </w:rPr>
        <w:t>Becerra,</w:t>
      </w:r>
      <w:r w:rsidRPr="004D5D48">
        <w:t xml:space="preserve"> at p.</w:t>
      </w:r>
      <w:r>
        <w:t> 9</w:t>
      </w:r>
      <w:r>
        <w:t>10</w:t>
      </w:r>
      <w:r>
        <w:t>.)</w:t>
      </w:r>
      <w:r>
        <w:rPr>
          <w:rStyle w:val="FootnoteReference"/>
        </w:rPr>
        <w:footnoteReference w:id="3"/>
      </w:r>
    </w:p>
    <w:p w14:paraId="638331A9" w14:textId="77777777" w:rsidR="008C6DF5" w:rsidRDefault="008C6DF5" w:rsidP="00F63249">
      <w:pPr>
        <w:rPr>
          <w:shd w:val="clear" w:color="auto" w:fill="FFFFFF"/>
        </w:rPr>
      </w:pPr>
      <w:r w:rsidRPr="004D5D48">
        <w:tab/>
        <w:t xml:space="preserve">Following remand, </w:t>
      </w:r>
      <w:r w:rsidRPr="004D5D48">
        <w:t xml:space="preserve">and after further litigation, </w:t>
      </w:r>
      <w:r w:rsidRPr="004D5D48">
        <w:t>petitioners voluntarily narrowed their requests</w:t>
      </w:r>
      <w:r>
        <w:t xml:space="preserve"> to reduce the burden of production</w:t>
      </w:r>
      <w:r w:rsidRPr="004D5D48">
        <w:t xml:space="preserve">, and the </w:t>
      </w:r>
      <w:r>
        <w:t>D</w:t>
      </w:r>
      <w:r w:rsidRPr="004D5D48">
        <w:t>epartment produced some 3,000 documents</w:t>
      </w:r>
      <w:r>
        <w:t xml:space="preserve">.  </w:t>
      </w:r>
      <w:r>
        <w:t>But r</w:t>
      </w:r>
      <w:r>
        <w:t xml:space="preserve">elying on </w:t>
      </w:r>
      <w:r>
        <w:t xml:space="preserve">Government Code </w:t>
      </w:r>
      <w:r>
        <w:t xml:space="preserve">section 7927.705, </w:t>
      </w:r>
      <w:r>
        <w:t xml:space="preserve">the Department withheld certain </w:t>
      </w:r>
      <w:r>
        <w:t xml:space="preserve">officer-related </w:t>
      </w:r>
      <w:r>
        <w:t>records</w:t>
      </w:r>
      <w:r>
        <w:t xml:space="preserve"> on the basis that </w:t>
      </w:r>
      <w:r>
        <w:t>their</w:t>
      </w:r>
      <w:r>
        <w:t xml:space="preserve"> </w:t>
      </w:r>
      <w:r>
        <w:rPr>
          <w:color w:val="212121"/>
          <w:shd w:val="clear" w:color="auto" w:fill="FFFFFF"/>
        </w:rPr>
        <w:t xml:space="preserve">disclosure is </w:t>
      </w:r>
      <w:r>
        <w:rPr>
          <w:color w:val="212121"/>
          <w:shd w:val="clear" w:color="auto" w:fill="FFFFFF"/>
        </w:rPr>
        <w:t xml:space="preserve">either </w:t>
      </w:r>
      <w:r w:rsidRPr="004D5D48">
        <w:rPr>
          <w:color w:val="212121"/>
          <w:shd w:val="clear" w:color="auto" w:fill="FFFFFF"/>
        </w:rPr>
        <w:t xml:space="preserve">exempted or prohibited </w:t>
      </w:r>
      <w:r>
        <w:rPr>
          <w:color w:val="212121"/>
          <w:shd w:val="clear" w:color="auto" w:fill="FFFFFF"/>
        </w:rPr>
        <w:t xml:space="preserve">by </w:t>
      </w:r>
      <w:r>
        <w:rPr>
          <w:color w:val="212121"/>
          <w:shd w:val="clear" w:color="auto" w:fill="FFFFFF"/>
        </w:rPr>
        <w:t>statutes not specifically mentioned in the CPRA</w:t>
      </w:r>
      <w:r>
        <w:rPr>
          <w:rStyle w:val="ssit"/>
          <w:color w:val="212121"/>
          <w:bdr w:val="none" w:sz="0" w:space="0" w:color="auto" w:frame="1"/>
          <w:shd w:val="clear" w:color="auto" w:fill="FFFFFF"/>
        </w:rPr>
        <w:t>.</w:t>
      </w:r>
      <w:r w:rsidRPr="004D5D48">
        <w:t xml:space="preserve">  </w:t>
      </w:r>
      <w:r>
        <w:t>In response</w:t>
      </w:r>
      <w:r>
        <w:t xml:space="preserve">, </w:t>
      </w:r>
      <w:r w:rsidRPr="004D5D48">
        <w:t>petitioners</w:t>
      </w:r>
      <w:r w:rsidRPr="004D5D48">
        <w:t xml:space="preserve"> filed a motion for judgment compelling disclosure</w:t>
      </w:r>
      <w:r>
        <w:t xml:space="preserve"> of the withheld documents</w:t>
      </w:r>
      <w:r w:rsidRPr="004D5D48">
        <w:t xml:space="preserve">. </w:t>
      </w:r>
    </w:p>
    <w:p w14:paraId="3B1518BB" w14:textId="77777777" w:rsidR="008C6DF5" w:rsidRPr="004D5D48" w:rsidRDefault="008C6DF5" w:rsidP="00F63249">
      <w:pPr>
        <w:rPr>
          <w:shd w:val="clear" w:color="auto" w:fill="FFFFFF"/>
        </w:rPr>
      </w:pPr>
      <w:r>
        <w:rPr>
          <w:shd w:val="clear" w:color="auto" w:fill="FFFFFF"/>
        </w:rPr>
        <w:tab/>
      </w:r>
      <w:r>
        <w:rPr>
          <w:shd w:val="clear" w:color="auto" w:fill="FFFFFF"/>
        </w:rPr>
        <w:t>As relevant here, the trial court interpreted</w:t>
      </w:r>
      <w:r w:rsidRPr="004D5D48">
        <w:rPr>
          <w:shd w:val="clear" w:color="auto" w:fill="FFFFFF"/>
        </w:rPr>
        <w:t xml:space="preserve"> </w:t>
      </w:r>
      <w:r w:rsidRPr="004D5D48">
        <w:rPr>
          <w:i/>
          <w:iCs/>
          <w:shd w:val="clear" w:color="auto" w:fill="FFFFFF"/>
        </w:rPr>
        <w:t xml:space="preserve">Becerra </w:t>
      </w:r>
      <w:r w:rsidRPr="004D5D48">
        <w:rPr>
          <w:shd w:val="clear" w:color="auto" w:fill="FFFFFF"/>
        </w:rPr>
        <w:t xml:space="preserve">as holding that section </w:t>
      </w:r>
      <w:r>
        <w:rPr>
          <w:shd w:val="clear" w:color="auto" w:fill="FFFFFF"/>
        </w:rPr>
        <w:t>8</w:t>
      </w:r>
      <w:r w:rsidRPr="004D5D48">
        <w:rPr>
          <w:shd w:val="clear" w:color="auto" w:fill="FFFFFF"/>
        </w:rPr>
        <w:t>32.7</w:t>
      </w:r>
      <w:r>
        <w:rPr>
          <w:shd w:val="clear" w:color="auto" w:fill="FFFFFF"/>
        </w:rPr>
        <w:t>(b)</w:t>
      </w:r>
      <w:r w:rsidRPr="004D5D48">
        <w:rPr>
          <w:shd w:val="clear" w:color="auto" w:fill="FFFFFF"/>
        </w:rPr>
        <w:t xml:space="preserve"> preserves </w:t>
      </w:r>
      <w:r>
        <w:rPr>
          <w:shd w:val="clear" w:color="auto" w:fill="FFFFFF"/>
        </w:rPr>
        <w:t>all</w:t>
      </w:r>
      <w:r w:rsidRPr="004D5D48">
        <w:rPr>
          <w:shd w:val="clear" w:color="auto" w:fill="FFFFFF"/>
        </w:rPr>
        <w:t xml:space="preserve"> </w:t>
      </w:r>
      <w:r>
        <w:rPr>
          <w:shd w:val="clear" w:color="auto" w:fill="FFFFFF"/>
        </w:rPr>
        <w:t xml:space="preserve">disclosure </w:t>
      </w:r>
      <w:r w:rsidRPr="004D5D48">
        <w:rPr>
          <w:shd w:val="clear" w:color="auto" w:fill="FFFFFF"/>
        </w:rPr>
        <w:t>exemptions</w:t>
      </w:r>
      <w:r w:rsidRPr="004D5D48">
        <w:rPr>
          <w:shd w:val="clear" w:color="auto" w:fill="FFFFFF"/>
        </w:rPr>
        <w:t xml:space="preserve"> codified</w:t>
      </w:r>
      <w:r w:rsidRPr="004D5D48">
        <w:rPr>
          <w:shd w:val="clear" w:color="auto" w:fill="FFFFFF"/>
        </w:rPr>
        <w:t xml:space="preserve"> in the CPRA, </w:t>
      </w:r>
      <w:proofErr w:type="gramStart"/>
      <w:r w:rsidRPr="004D5D48">
        <w:rPr>
          <w:shd w:val="clear" w:color="auto" w:fill="FFFFFF"/>
        </w:rPr>
        <w:t xml:space="preserve">with </w:t>
      </w:r>
      <w:r>
        <w:rPr>
          <w:shd w:val="clear" w:color="auto" w:fill="FFFFFF"/>
        </w:rPr>
        <w:t xml:space="preserve">the </w:t>
      </w:r>
      <w:r>
        <w:rPr>
          <w:shd w:val="clear" w:color="auto" w:fill="FFFFFF"/>
        </w:rPr>
        <w:t>exception of</w:t>
      </w:r>
      <w:proofErr w:type="gramEnd"/>
      <w:r>
        <w:rPr>
          <w:shd w:val="clear" w:color="auto" w:fill="FFFFFF"/>
        </w:rPr>
        <w:t xml:space="preserve"> </w:t>
      </w:r>
      <w:r>
        <w:rPr>
          <w:shd w:val="clear" w:color="auto" w:fill="FFFFFF"/>
        </w:rPr>
        <w:t xml:space="preserve">Government Code </w:t>
      </w:r>
      <w:r>
        <w:rPr>
          <w:shd w:val="clear" w:color="auto" w:fill="FFFFFF"/>
        </w:rPr>
        <w:t xml:space="preserve">section 7923.600, which </w:t>
      </w:r>
      <w:r>
        <w:rPr>
          <w:shd w:val="clear" w:color="auto" w:fill="FFFFFF"/>
        </w:rPr>
        <w:t>section 832.7(b)</w:t>
      </w:r>
      <w:r>
        <w:rPr>
          <w:shd w:val="clear" w:color="auto" w:fill="FFFFFF"/>
        </w:rPr>
        <w:t>(1)</w:t>
      </w:r>
      <w:r>
        <w:rPr>
          <w:shd w:val="clear" w:color="auto" w:fill="FFFFFF"/>
        </w:rPr>
        <w:t xml:space="preserve"> </w:t>
      </w:r>
      <w:r w:rsidRPr="004D5D48">
        <w:rPr>
          <w:shd w:val="clear" w:color="auto" w:fill="FFFFFF"/>
        </w:rPr>
        <w:t xml:space="preserve">expressly </w:t>
      </w:r>
      <w:r>
        <w:rPr>
          <w:shd w:val="clear" w:color="auto" w:fill="FFFFFF"/>
        </w:rPr>
        <w:t>overrides</w:t>
      </w:r>
      <w:r w:rsidRPr="004D5D48">
        <w:rPr>
          <w:shd w:val="clear" w:color="auto" w:fill="FFFFFF"/>
        </w:rPr>
        <w:t xml:space="preserve">.  Pursuant to that </w:t>
      </w:r>
      <w:r w:rsidRPr="004D5D48">
        <w:rPr>
          <w:shd w:val="clear" w:color="auto" w:fill="FFFFFF"/>
        </w:rPr>
        <w:t>understandi</w:t>
      </w:r>
      <w:r>
        <w:rPr>
          <w:shd w:val="clear" w:color="auto" w:fill="FFFFFF"/>
        </w:rPr>
        <w:t xml:space="preserve">ng, </w:t>
      </w:r>
      <w:r>
        <w:rPr>
          <w:shd w:val="clear" w:color="auto" w:fill="FFFFFF"/>
        </w:rPr>
        <w:t xml:space="preserve">and as </w:t>
      </w:r>
      <w:r>
        <w:rPr>
          <w:shd w:val="clear" w:color="auto" w:fill="FFFFFF"/>
        </w:rPr>
        <w:t>pertinent</w:t>
      </w:r>
      <w:r>
        <w:rPr>
          <w:shd w:val="clear" w:color="auto" w:fill="FFFFFF"/>
        </w:rPr>
        <w:t xml:space="preserve"> here, </w:t>
      </w:r>
      <w:r>
        <w:rPr>
          <w:shd w:val="clear" w:color="auto" w:fill="FFFFFF"/>
        </w:rPr>
        <w:t>the</w:t>
      </w:r>
      <w:r w:rsidRPr="004D5D48">
        <w:rPr>
          <w:shd w:val="clear" w:color="auto" w:fill="FFFFFF"/>
        </w:rPr>
        <w:t xml:space="preserve"> court </w:t>
      </w:r>
      <w:r>
        <w:rPr>
          <w:shd w:val="clear" w:color="auto" w:fill="FFFFFF"/>
        </w:rPr>
        <w:t>ruled the</w:t>
      </w:r>
      <w:r>
        <w:rPr>
          <w:shd w:val="clear" w:color="auto" w:fill="FFFFFF"/>
        </w:rPr>
        <w:t xml:space="preserve"> Department </w:t>
      </w:r>
      <w:r>
        <w:rPr>
          <w:shd w:val="clear" w:color="auto" w:fill="FFFFFF"/>
        </w:rPr>
        <w:t>may</w:t>
      </w:r>
      <w:r>
        <w:rPr>
          <w:shd w:val="clear" w:color="auto" w:fill="FFFFFF"/>
        </w:rPr>
        <w:t xml:space="preserve"> withhold </w:t>
      </w:r>
      <w:r>
        <w:rPr>
          <w:shd w:val="clear" w:color="auto" w:fill="FFFFFF"/>
        </w:rPr>
        <w:t xml:space="preserve">officer-related documents </w:t>
      </w:r>
      <w:r>
        <w:rPr>
          <w:shd w:val="clear" w:color="auto" w:fill="FFFFFF"/>
        </w:rPr>
        <w:t xml:space="preserve">pursuant to </w:t>
      </w:r>
      <w:r>
        <w:t xml:space="preserve">Government Code </w:t>
      </w:r>
      <w:r w:rsidRPr="004D5D48">
        <w:t>section 11183</w:t>
      </w:r>
      <w:r>
        <w:t xml:space="preserve">, </w:t>
      </w:r>
      <w:r w:rsidRPr="004D5D48">
        <w:t>Penal Code section 6126.3</w:t>
      </w:r>
      <w:r>
        <w:t>, and</w:t>
      </w:r>
      <w:r w:rsidRPr="004D5D48">
        <w:t xml:space="preserve"> Unemployment Insurance Code section 1094</w:t>
      </w:r>
      <w:r>
        <w:t xml:space="preserve">.  The </w:t>
      </w:r>
      <w:r>
        <w:rPr>
          <w:shd w:val="clear" w:color="auto" w:fill="FFFFFF"/>
        </w:rPr>
        <w:t xml:space="preserve">court issued an order </w:t>
      </w:r>
      <w:r>
        <w:rPr>
          <w:shd w:val="clear" w:color="auto" w:fill="FFFFFF"/>
        </w:rPr>
        <w:t xml:space="preserve">denying petitioners’ motion for judgment pertaining to the </w:t>
      </w:r>
      <w:r>
        <w:rPr>
          <w:shd w:val="clear" w:color="auto" w:fill="FFFFFF"/>
        </w:rPr>
        <w:t>following three categories of officer-related records</w:t>
      </w:r>
      <w:proofErr w:type="gramStart"/>
      <w:r>
        <w:rPr>
          <w:shd w:val="clear" w:color="auto" w:fill="FFFFFF"/>
        </w:rPr>
        <w:t xml:space="preserve">: </w:t>
      </w:r>
      <w:r>
        <w:rPr>
          <w:shd w:val="clear" w:color="auto" w:fill="FFFFFF"/>
        </w:rPr>
        <w:t xml:space="preserve"> </w:t>
      </w:r>
      <w:r w:rsidRPr="004D5D48">
        <w:rPr>
          <w:shd w:val="clear" w:color="auto" w:fill="FFFFFF"/>
        </w:rPr>
        <w:t>(</w:t>
      </w:r>
      <w:proofErr w:type="gramEnd"/>
      <w:r w:rsidRPr="004D5D48">
        <w:rPr>
          <w:shd w:val="clear" w:color="auto" w:fill="FFFFFF"/>
        </w:rPr>
        <w:t>1)</w:t>
      </w:r>
      <w:r>
        <w:rPr>
          <w:shd w:val="clear" w:color="auto" w:fill="FFFFFF"/>
        </w:rPr>
        <w:t> </w:t>
      </w:r>
      <w:r w:rsidRPr="004D5D48">
        <w:rPr>
          <w:shd w:val="clear" w:color="auto" w:fill="FFFFFF"/>
        </w:rPr>
        <w:t xml:space="preserve">documents obtained by the </w:t>
      </w:r>
      <w:r>
        <w:rPr>
          <w:shd w:val="clear" w:color="auto" w:fill="FFFFFF"/>
        </w:rPr>
        <w:lastRenderedPageBreak/>
        <w:t>D</w:t>
      </w:r>
      <w:r w:rsidRPr="004D5D48">
        <w:rPr>
          <w:shd w:val="clear" w:color="auto" w:fill="FFFFFF"/>
        </w:rPr>
        <w:t>epartment under subpoena</w:t>
      </w:r>
      <w:r>
        <w:rPr>
          <w:shd w:val="clear" w:color="auto" w:fill="FFFFFF"/>
        </w:rPr>
        <w:t>;</w:t>
      </w:r>
      <w:r w:rsidRPr="004D5D48">
        <w:rPr>
          <w:shd w:val="clear" w:color="auto" w:fill="FFFFFF"/>
        </w:rPr>
        <w:t xml:space="preserve"> (2)</w:t>
      </w:r>
      <w:r>
        <w:rPr>
          <w:shd w:val="clear" w:color="auto" w:fill="FFFFFF"/>
        </w:rPr>
        <w:t> </w:t>
      </w:r>
      <w:r w:rsidRPr="004D5D48">
        <w:rPr>
          <w:shd w:val="clear" w:color="auto" w:fill="FFFFFF"/>
        </w:rPr>
        <w:t xml:space="preserve">a </w:t>
      </w:r>
      <w:r>
        <w:rPr>
          <w:shd w:val="clear" w:color="auto" w:fill="FFFFFF"/>
        </w:rPr>
        <w:t xml:space="preserve">single </w:t>
      </w:r>
      <w:r w:rsidRPr="004D5D48">
        <w:rPr>
          <w:shd w:val="clear" w:color="auto" w:fill="FFFFFF"/>
        </w:rPr>
        <w:t>report prepared by the Office of the Inspector General</w:t>
      </w:r>
      <w:r>
        <w:rPr>
          <w:shd w:val="clear" w:color="auto" w:fill="FFFFFF"/>
        </w:rPr>
        <w:t>; and (3)</w:t>
      </w:r>
      <w:r>
        <w:rPr>
          <w:shd w:val="clear" w:color="auto" w:fill="FFFFFF"/>
        </w:rPr>
        <w:t> </w:t>
      </w:r>
      <w:r w:rsidRPr="004D5D48">
        <w:rPr>
          <w:shd w:val="clear" w:color="auto" w:fill="FFFFFF"/>
        </w:rPr>
        <w:t xml:space="preserve">records relating to unemployment </w:t>
      </w:r>
      <w:r>
        <w:rPr>
          <w:shd w:val="clear" w:color="auto" w:fill="FFFFFF"/>
        </w:rPr>
        <w:t>benefits</w:t>
      </w:r>
      <w:r>
        <w:rPr>
          <w:shd w:val="clear" w:color="auto" w:fill="FFFFFF"/>
        </w:rPr>
        <w:t>.</w:t>
      </w:r>
    </w:p>
    <w:p w14:paraId="33628CD6" w14:textId="77777777" w:rsidR="008C6DF5" w:rsidRPr="004D5D48" w:rsidRDefault="008C6DF5" w:rsidP="0031601A">
      <w:pPr>
        <w:rPr>
          <w:shd w:val="clear" w:color="auto" w:fill="FFFFFF"/>
        </w:rPr>
      </w:pPr>
      <w:r w:rsidRPr="004D5D48">
        <w:rPr>
          <w:shd w:val="clear" w:color="auto" w:fill="FFFFFF"/>
        </w:rPr>
        <w:tab/>
        <w:t>Petitioners filed a petition</w:t>
      </w:r>
      <w:r>
        <w:rPr>
          <w:shd w:val="clear" w:color="auto" w:fill="FFFFFF"/>
        </w:rPr>
        <w:t xml:space="preserve"> </w:t>
      </w:r>
      <w:r w:rsidRPr="004D5D48">
        <w:rPr>
          <w:shd w:val="clear" w:color="auto" w:fill="FFFFFF"/>
        </w:rPr>
        <w:t xml:space="preserve">in this court </w:t>
      </w:r>
      <w:r>
        <w:rPr>
          <w:shd w:val="clear" w:color="auto" w:fill="FFFFFF"/>
        </w:rPr>
        <w:t xml:space="preserve">for a writ of mandate </w:t>
      </w:r>
      <w:r>
        <w:rPr>
          <w:shd w:val="clear" w:color="auto" w:fill="FFFFFF"/>
        </w:rPr>
        <w:t>directing</w:t>
      </w:r>
      <w:r>
        <w:rPr>
          <w:shd w:val="clear" w:color="auto" w:fill="FFFFFF"/>
        </w:rPr>
        <w:t xml:space="preserve"> the trial court to </w:t>
      </w:r>
      <w:r>
        <w:rPr>
          <w:shd w:val="clear" w:color="auto" w:fill="FFFFFF"/>
        </w:rPr>
        <w:t>order disclosure of</w:t>
      </w:r>
      <w:r>
        <w:rPr>
          <w:shd w:val="clear" w:color="auto" w:fill="FFFFFF"/>
        </w:rPr>
        <w:t xml:space="preserve"> these records.</w:t>
      </w:r>
      <w:r w:rsidRPr="004D5D48">
        <w:rPr>
          <w:shd w:val="clear" w:color="auto" w:fill="FFFFFF"/>
        </w:rPr>
        <w:t xml:space="preserve"> </w:t>
      </w:r>
      <w:r>
        <w:rPr>
          <w:shd w:val="clear" w:color="auto" w:fill="FFFFFF"/>
        </w:rPr>
        <w:t xml:space="preserve"> </w:t>
      </w:r>
      <w:r w:rsidRPr="004D5D48">
        <w:rPr>
          <w:shd w:val="clear" w:color="auto" w:fill="FFFFFF"/>
        </w:rPr>
        <w:t xml:space="preserve">We </w:t>
      </w:r>
      <w:r>
        <w:rPr>
          <w:shd w:val="clear" w:color="auto" w:fill="FFFFFF"/>
        </w:rPr>
        <w:t xml:space="preserve">issued an </w:t>
      </w:r>
      <w:r>
        <w:rPr>
          <w:shd w:val="clear" w:color="auto" w:fill="FFFFFF"/>
        </w:rPr>
        <w:t>order to</w:t>
      </w:r>
      <w:r w:rsidRPr="004D5D48">
        <w:rPr>
          <w:shd w:val="clear" w:color="auto" w:fill="FFFFFF"/>
        </w:rPr>
        <w:t xml:space="preserve"> show cause why the </w:t>
      </w:r>
      <w:r>
        <w:rPr>
          <w:shd w:val="clear" w:color="auto" w:fill="FFFFFF"/>
        </w:rPr>
        <w:t>relief requested by petitioners</w:t>
      </w:r>
      <w:r w:rsidRPr="004D5D48">
        <w:rPr>
          <w:shd w:val="clear" w:color="auto" w:fill="FFFFFF"/>
        </w:rPr>
        <w:t xml:space="preserve"> should not be granted.  </w:t>
      </w:r>
    </w:p>
    <w:p w14:paraId="66C1AB7B" w14:textId="77777777" w:rsidR="008C6DF5" w:rsidRPr="004D5D48" w:rsidRDefault="008C6DF5" w:rsidP="00BC0AC3">
      <w:pPr>
        <w:keepNext/>
        <w:jc w:val="center"/>
        <w:rPr>
          <w:rFonts w:cs="Times New Roman (Body CS)"/>
          <w:b/>
          <w:bCs/>
          <w:smallCaps/>
        </w:rPr>
      </w:pPr>
      <w:r w:rsidRPr="004D5D48">
        <w:rPr>
          <w:rFonts w:cs="Times New Roman (Body CS)"/>
          <w:b/>
          <w:bCs/>
          <w:smallCaps/>
        </w:rPr>
        <w:t>D</w:t>
      </w:r>
      <w:r w:rsidRPr="004D5D48">
        <w:rPr>
          <w:rFonts w:cs="Times New Roman (Body CS)"/>
          <w:b/>
          <w:bCs/>
          <w:smallCaps/>
        </w:rPr>
        <w:t>iscussion</w:t>
      </w:r>
    </w:p>
    <w:p w14:paraId="2EDC814D" w14:textId="77777777" w:rsidR="008C6DF5" w:rsidRDefault="008C6DF5" w:rsidP="00C16C2E">
      <w:pPr>
        <w:rPr>
          <w:shd w:val="clear" w:color="auto" w:fill="FFFFFF"/>
        </w:rPr>
      </w:pPr>
      <w:r w:rsidRPr="004D5D48">
        <w:tab/>
      </w:r>
      <w:r>
        <w:t>Under section 832.7(b), officer-related records</w:t>
      </w:r>
      <w:r>
        <w:t xml:space="preserve"> falling within its scope</w:t>
      </w:r>
      <w:r>
        <w:t xml:space="preserve"> are deemed nonconfidential and open to public inspection</w:t>
      </w:r>
      <w:r>
        <w:t>.</w:t>
      </w:r>
      <w:r>
        <w:t xml:space="preserve">  </w:t>
      </w:r>
      <w:r>
        <w:t xml:space="preserve">(§ 832.7(b)(1).)  </w:t>
      </w:r>
      <w:r>
        <w:t>T</w:t>
      </w:r>
      <w:r>
        <w:t xml:space="preserve">his disclosure </w:t>
      </w:r>
      <w:r>
        <w:t>requirement</w:t>
      </w:r>
      <w:r>
        <w:t xml:space="preserve"> </w:t>
      </w:r>
      <w:r>
        <w:t xml:space="preserve">expressly </w:t>
      </w:r>
      <w:r>
        <w:t xml:space="preserve">applies to records in the possession of </w:t>
      </w:r>
      <w:r>
        <w:t>“a state or local agency”</w:t>
      </w:r>
      <w:r>
        <w:t xml:space="preserve"> </w:t>
      </w:r>
      <w:r>
        <w:t xml:space="preserve">which relate to investigations and findings by agencies with </w:t>
      </w:r>
      <w:r>
        <w:t>oversight authority over peace or custodial officers.  (</w:t>
      </w:r>
      <w:r>
        <w:t xml:space="preserve">E.g., </w:t>
      </w:r>
      <w:r>
        <w:t>§ 832.7(b)(1)(</w:t>
      </w:r>
      <w:r>
        <w:t>A</w:t>
      </w:r>
      <w:r>
        <w:t>)</w:t>
      </w:r>
      <w:r>
        <w:t>–</w:t>
      </w:r>
      <w:r>
        <w:t xml:space="preserve">(E).)  </w:t>
      </w:r>
      <w:r>
        <w:t>H</w:t>
      </w:r>
      <w:r>
        <w:t xml:space="preserve">owever, </w:t>
      </w:r>
      <w:r>
        <w:t xml:space="preserve">Government Code section 7927.705 </w:t>
      </w:r>
      <w:r>
        <w:rPr>
          <w:shd w:val="clear" w:color="auto" w:fill="FFFFFF"/>
        </w:rPr>
        <w:t>states the CPRA “</w:t>
      </w:r>
      <w:r>
        <w:rPr>
          <w:shd w:val="clear" w:color="auto" w:fill="FFFFFF"/>
        </w:rPr>
        <w:t xml:space="preserve">does not require disclosure of records, the disclosure of which is exempted or prohibited pursuant to federal or state law, including, but not limited to, provisions of the Evidence Code relating to privilege.”  </w:t>
      </w:r>
      <w:r>
        <w:rPr>
          <w:shd w:val="clear" w:color="auto" w:fill="FFFFFF"/>
        </w:rPr>
        <w:t xml:space="preserve">Government Code section 7927.705 is </w:t>
      </w:r>
      <w:proofErr w:type="gramStart"/>
      <w:r>
        <w:rPr>
          <w:shd w:val="clear" w:color="auto" w:fill="FFFFFF"/>
        </w:rPr>
        <w:t>“</w:t>
      </w:r>
      <w:r>
        <w:rPr>
          <w:shd w:val="clear" w:color="auto" w:fill="FFFFFF"/>
        </w:rPr>
        <w:t> ‘</w:t>
      </w:r>
      <w:proofErr w:type="gramEnd"/>
      <w:r>
        <w:rPr>
          <w:shd w:val="clear" w:color="auto" w:fill="FFFFFF"/>
        </w:rPr>
        <w:t>not an independent exemption</w:t>
      </w:r>
      <w:r>
        <w:rPr>
          <w:shd w:val="clear" w:color="auto" w:fill="FFFFFF"/>
        </w:rPr>
        <w:t>’ </w:t>
      </w:r>
      <w:r>
        <w:rPr>
          <w:shd w:val="clear" w:color="auto" w:fill="FFFFFF"/>
        </w:rPr>
        <w:t>” to disclosure; rather, it “</w:t>
      </w:r>
      <w:r>
        <w:rPr>
          <w:shd w:val="clear" w:color="auto" w:fill="FFFFFF"/>
        </w:rPr>
        <w:t> ‘</w:t>
      </w:r>
      <w:r>
        <w:rPr>
          <w:shd w:val="clear" w:color="auto" w:fill="FFFFFF"/>
        </w:rPr>
        <w:t>merely incorporates other prohibitions established by law.</w:t>
      </w:r>
      <w:r>
        <w:rPr>
          <w:shd w:val="clear" w:color="auto" w:fill="FFFFFF"/>
        </w:rPr>
        <w:t>’ </w:t>
      </w:r>
      <w:r>
        <w:rPr>
          <w:shd w:val="clear" w:color="auto" w:fill="FFFFFF"/>
        </w:rPr>
        <w:t>”  (</w:t>
      </w:r>
      <w:r w:rsidRPr="0094463E">
        <w:rPr>
          <w:i/>
          <w:iCs/>
          <w:shd w:val="clear" w:color="auto" w:fill="FFFFFF"/>
        </w:rPr>
        <w:t>Copley Press, Inc. v. Superior Court</w:t>
      </w:r>
      <w:r>
        <w:rPr>
          <w:shd w:val="clear" w:color="auto" w:fill="FFFFFF"/>
        </w:rPr>
        <w:t xml:space="preserve"> (2006)</w:t>
      </w:r>
      <w:r>
        <w:rPr>
          <w:shd w:val="clear" w:color="auto" w:fill="FFFFFF"/>
        </w:rPr>
        <w:t xml:space="preserve"> 39 Cal.4</w:t>
      </w:r>
      <w:r w:rsidRPr="00AF715C">
        <w:rPr>
          <w:shd w:val="clear" w:color="auto" w:fill="FFFFFF"/>
        </w:rPr>
        <w:t>th</w:t>
      </w:r>
      <w:r>
        <w:rPr>
          <w:shd w:val="clear" w:color="auto" w:fill="FFFFFF"/>
        </w:rPr>
        <w:t xml:space="preserve"> </w:t>
      </w:r>
      <w:r>
        <w:rPr>
          <w:shd w:val="clear" w:color="auto" w:fill="FFFFFF"/>
        </w:rPr>
        <w:t>1272, 128</w:t>
      </w:r>
      <w:r>
        <w:rPr>
          <w:shd w:val="clear" w:color="auto" w:fill="FFFFFF"/>
        </w:rPr>
        <w:t>3</w:t>
      </w:r>
      <w:r>
        <w:rPr>
          <w:shd w:val="clear" w:color="auto" w:fill="FFFFFF"/>
        </w:rPr>
        <w:t xml:space="preserve"> (</w:t>
      </w:r>
      <w:r w:rsidRPr="00F757D3">
        <w:rPr>
          <w:i/>
          <w:iCs/>
          <w:shd w:val="clear" w:color="auto" w:fill="FFFFFF"/>
        </w:rPr>
        <w:t>Copley</w:t>
      </w:r>
      <w:r>
        <w:rPr>
          <w:i/>
          <w:iCs/>
          <w:shd w:val="clear" w:color="auto" w:fill="FFFFFF"/>
        </w:rPr>
        <w:t xml:space="preserve"> Press</w:t>
      </w:r>
      <w:r>
        <w:rPr>
          <w:shd w:val="clear" w:color="auto" w:fill="FFFFFF"/>
        </w:rPr>
        <w:t>)</w:t>
      </w:r>
      <w:r>
        <w:rPr>
          <w:shd w:val="clear" w:color="auto" w:fill="FFFFFF"/>
        </w:rPr>
        <w:t xml:space="preserve">.) </w:t>
      </w:r>
    </w:p>
    <w:p w14:paraId="5C5924DD" w14:textId="77777777" w:rsidR="008C6DF5" w:rsidRDefault="008C6DF5" w:rsidP="00C16C2E">
      <w:r>
        <w:rPr>
          <w:shd w:val="clear" w:color="auto" w:fill="FFFFFF"/>
        </w:rPr>
        <w:tab/>
      </w:r>
      <w:r>
        <w:rPr>
          <w:shd w:val="clear" w:color="auto" w:fill="FFFFFF"/>
        </w:rPr>
        <w:t>T</w:t>
      </w:r>
      <w:r>
        <w:rPr>
          <w:shd w:val="clear" w:color="auto" w:fill="FFFFFF"/>
        </w:rPr>
        <w:t>he question</w:t>
      </w:r>
      <w:r>
        <w:rPr>
          <w:shd w:val="clear" w:color="auto" w:fill="FFFFFF"/>
        </w:rPr>
        <w:t xml:space="preserve"> here</w:t>
      </w:r>
      <w:r>
        <w:rPr>
          <w:shd w:val="clear" w:color="auto" w:fill="FFFFFF"/>
        </w:rPr>
        <w:t xml:space="preserve"> is whether the </w:t>
      </w:r>
      <w:r>
        <w:rPr>
          <w:shd w:val="clear" w:color="auto" w:fill="FFFFFF"/>
        </w:rPr>
        <w:t xml:space="preserve">nonconfidential </w:t>
      </w:r>
      <w:r>
        <w:rPr>
          <w:shd w:val="clear" w:color="auto" w:fill="FFFFFF"/>
        </w:rPr>
        <w:t>officer-related records</w:t>
      </w:r>
      <w:r>
        <w:rPr>
          <w:shd w:val="clear" w:color="auto" w:fill="FFFFFF"/>
        </w:rPr>
        <w:t xml:space="preserve"> that are subject to </w:t>
      </w:r>
      <w:r>
        <w:rPr>
          <w:shd w:val="clear" w:color="auto" w:fill="FFFFFF"/>
        </w:rPr>
        <w:t xml:space="preserve">disclosure under </w:t>
      </w:r>
      <w:r>
        <w:rPr>
          <w:shd w:val="clear" w:color="auto" w:fill="FFFFFF"/>
        </w:rPr>
        <w:t xml:space="preserve">section 832.7(b) may be withheld by the </w:t>
      </w:r>
      <w:r>
        <w:rPr>
          <w:shd w:val="clear" w:color="auto" w:fill="FFFFFF"/>
        </w:rPr>
        <w:t xml:space="preserve">Department pursuant to </w:t>
      </w:r>
      <w:r>
        <w:rPr>
          <w:shd w:val="clear" w:color="auto" w:fill="FFFFFF"/>
        </w:rPr>
        <w:t xml:space="preserve">the </w:t>
      </w:r>
      <w:r>
        <w:rPr>
          <w:shd w:val="clear" w:color="auto" w:fill="FFFFFF"/>
        </w:rPr>
        <w:t xml:space="preserve">state law </w:t>
      </w:r>
      <w:r>
        <w:rPr>
          <w:shd w:val="clear" w:color="auto" w:fill="FFFFFF"/>
        </w:rPr>
        <w:t xml:space="preserve">confidentiality and </w:t>
      </w:r>
      <w:r>
        <w:rPr>
          <w:shd w:val="clear" w:color="auto" w:fill="FFFFFF"/>
        </w:rPr>
        <w:t xml:space="preserve">disclosure </w:t>
      </w:r>
      <w:r>
        <w:rPr>
          <w:shd w:val="clear" w:color="auto" w:fill="FFFFFF"/>
        </w:rPr>
        <w:t>prohibitions</w:t>
      </w:r>
      <w:r>
        <w:rPr>
          <w:shd w:val="clear" w:color="auto" w:fill="FFFFFF"/>
        </w:rPr>
        <w:t xml:space="preserve"> codified in </w:t>
      </w:r>
      <w:r>
        <w:t xml:space="preserve">Government Code </w:t>
      </w:r>
      <w:r w:rsidRPr="004D5D48">
        <w:t>section 11183</w:t>
      </w:r>
      <w:r>
        <w:t xml:space="preserve">, </w:t>
      </w:r>
      <w:r w:rsidRPr="004D5D48">
        <w:t>Penal Code sections 6126 and 6126.3</w:t>
      </w:r>
      <w:r>
        <w:t>, and</w:t>
      </w:r>
      <w:r w:rsidRPr="004D5D48">
        <w:t xml:space="preserve"> Unemployment Insurance Code section 1094</w:t>
      </w:r>
      <w:r>
        <w:t xml:space="preserve">.  </w:t>
      </w:r>
      <w:r>
        <w:t>T</w:t>
      </w:r>
      <w:r>
        <w:t>hese</w:t>
      </w:r>
      <w:r>
        <w:t xml:space="preserve"> </w:t>
      </w:r>
      <w:r>
        <w:t>prohibitions are included in statutory schemes that allow the Department and</w:t>
      </w:r>
      <w:r>
        <w:t xml:space="preserve"> </w:t>
      </w:r>
      <w:r>
        <w:t xml:space="preserve">other state </w:t>
      </w:r>
      <w:r>
        <w:t>oversight bodies</w:t>
      </w:r>
      <w:r>
        <w:t xml:space="preserve"> to collect records and information</w:t>
      </w:r>
      <w:r>
        <w:t xml:space="preserve"> for various </w:t>
      </w:r>
      <w:r>
        <w:lastRenderedPageBreak/>
        <w:t xml:space="preserve">purposes that </w:t>
      </w:r>
      <w:r>
        <w:t xml:space="preserve">can include the </w:t>
      </w:r>
      <w:r>
        <w:t xml:space="preserve">investigation of </w:t>
      </w:r>
      <w:r>
        <w:t>matters falling outside the scope of</w:t>
      </w:r>
      <w:r>
        <w:t xml:space="preserve"> section 832.7(b)</w:t>
      </w:r>
      <w:r>
        <w:t>.</w:t>
      </w:r>
    </w:p>
    <w:p w14:paraId="62E80D79" w14:textId="77777777" w:rsidR="008C6DF5" w:rsidRDefault="008C6DF5" w:rsidP="00C16C2E">
      <w:pPr>
        <w:rPr>
          <w:rStyle w:val="ssrfcsection"/>
          <w:bdr w:val="none" w:sz="0" w:space="0" w:color="auto" w:frame="1"/>
          <w:shd w:val="clear" w:color="auto" w:fill="FFFFFF"/>
        </w:rPr>
      </w:pPr>
      <w:r w:rsidRPr="004D5D48">
        <w:rPr>
          <w:i/>
          <w:iCs/>
        </w:rPr>
        <w:tab/>
      </w:r>
      <w:r>
        <w:t xml:space="preserve">Whether </w:t>
      </w:r>
      <w:r>
        <w:t xml:space="preserve">section 832.7 overrides </w:t>
      </w:r>
      <w:r>
        <w:t xml:space="preserve">the application of </w:t>
      </w:r>
      <w:r>
        <w:t>these</w:t>
      </w:r>
      <w:r>
        <w:t xml:space="preserve"> statutory exemptions </w:t>
      </w:r>
      <w:r>
        <w:t xml:space="preserve">in the context of officer-related records </w:t>
      </w:r>
      <w:r w:rsidRPr="004D5D48">
        <w:t>present</w:t>
      </w:r>
      <w:r>
        <w:t>s</w:t>
      </w:r>
      <w:r w:rsidRPr="004D5D48">
        <w:t xml:space="preserve"> </w:t>
      </w:r>
      <w:r>
        <w:t xml:space="preserve">an </w:t>
      </w:r>
      <w:r w:rsidRPr="004D5D48">
        <w:t>issue of statutory interpretation, which we review de novo.  (</w:t>
      </w:r>
      <w:r>
        <w:t xml:space="preserve">See </w:t>
      </w:r>
      <w:r w:rsidRPr="004D5D48">
        <w:rPr>
          <w:i/>
          <w:iCs/>
        </w:rPr>
        <w:t>Becerra</w:t>
      </w:r>
      <w:r w:rsidRPr="004D5D48">
        <w:t xml:space="preserve">, </w:t>
      </w:r>
      <w:r w:rsidRPr="004D5D48">
        <w:rPr>
          <w:i/>
          <w:iCs/>
        </w:rPr>
        <w:t>supra</w:t>
      </w:r>
      <w:r w:rsidRPr="004D5D48">
        <w:t xml:space="preserve">, </w:t>
      </w:r>
      <w:r w:rsidRPr="004D5D48">
        <w:rPr>
          <w:shd w:val="clear" w:color="auto" w:fill="FFFFFF"/>
        </w:rPr>
        <w:t>44 Cal.App.5th at p.</w:t>
      </w:r>
      <w:r>
        <w:rPr>
          <w:shd w:val="clear" w:color="auto" w:fill="FFFFFF"/>
        </w:rPr>
        <w:t> </w:t>
      </w:r>
      <w:r w:rsidRPr="004D5D48">
        <w:rPr>
          <w:shd w:val="clear" w:color="auto" w:fill="FFFFFF"/>
        </w:rPr>
        <w:t>917.)</w:t>
      </w:r>
      <w:r w:rsidRPr="004D5D48">
        <w:t xml:space="preserve">  </w:t>
      </w:r>
      <w:r>
        <w:t xml:space="preserve">The rules governing our analysis are settled.  Our goal in interpreting a statute is to effectuate the Legislature’s intent.  </w:t>
      </w:r>
      <w:r w:rsidRPr="004D5D48">
        <w:rPr>
          <w:rStyle w:val="ssrfcsection"/>
          <w:bdr w:val="none" w:sz="0" w:space="0" w:color="auto" w:frame="1"/>
          <w:shd w:val="clear" w:color="auto" w:fill="FFFFFF"/>
        </w:rPr>
        <w:t>(</w:t>
      </w:r>
      <w:r w:rsidRPr="004D5D48">
        <w:rPr>
          <w:rStyle w:val="ssrfcsection"/>
          <w:i/>
          <w:bdr w:val="none" w:sz="0" w:space="0" w:color="auto" w:frame="1"/>
          <w:shd w:val="clear" w:color="auto" w:fill="FFFFFF"/>
        </w:rPr>
        <w:t>Davis v. Fresno Unified School Dist.</w:t>
      </w:r>
      <w:r w:rsidRPr="004D5D48">
        <w:rPr>
          <w:rStyle w:val="ssrfcsection"/>
          <w:bdr w:val="none" w:sz="0" w:space="0" w:color="auto" w:frame="1"/>
          <w:shd w:val="clear" w:color="auto" w:fill="FFFFFF"/>
        </w:rPr>
        <w:t xml:space="preserve"> (2023) 14 Cal.5th 671, 687 (</w:t>
      </w:r>
      <w:r w:rsidRPr="004D5D48">
        <w:rPr>
          <w:rStyle w:val="ssrfcsection"/>
          <w:i/>
          <w:iCs/>
          <w:bdr w:val="none" w:sz="0" w:space="0" w:color="auto" w:frame="1"/>
          <w:shd w:val="clear" w:color="auto" w:fill="FFFFFF"/>
        </w:rPr>
        <w:t>Davis</w:t>
      </w:r>
      <w:r w:rsidRPr="004D5D48">
        <w:rPr>
          <w:rStyle w:val="ssrfcsection"/>
          <w:bdr w:val="none" w:sz="0" w:space="0" w:color="auto" w:frame="1"/>
          <w:shd w:val="clear" w:color="auto" w:fill="FFFFFF"/>
        </w:rPr>
        <w:t>).)</w:t>
      </w:r>
      <w:r>
        <w:t xml:space="preserve">  </w:t>
      </w:r>
      <w:r w:rsidRPr="004D5D48">
        <w:rPr>
          <w:rStyle w:val="ssrfcpassagedeactivated"/>
          <w:bdr w:val="none" w:sz="0" w:space="0" w:color="auto" w:frame="1"/>
          <w:shd w:val="clear" w:color="auto" w:fill="FFFFFF"/>
        </w:rPr>
        <w:t xml:space="preserve">We </w:t>
      </w:r>
      <w:r>
        <w:rPr>
          <w:rStyle w:val="ssrfcpassagedeactivated"/>
          <w:bdr w:val="none" w:sz="0" w:space="0" w:color="auto" w:frame="1"/>
          <w:shd w:val="clear" w:color="auto" w:fill="FFFFFF"/>
        </w:rPr>
        <w:t xml:space="preserve">look first to the </w:t>
      </w:r>
      <w:r w:rsidRPr="004D5D48">
        <w:rPr>
          <w:rStyle w:val="ssrfcpassagedeactivated"/>
          <w:bdr w:val="none" w:sz="0" w:space="0" w:color="auto" w:frame="1"/>
          <w:shd w:val="clear" w:color="auto" w:fill="FFFFFF"/>
        </w:rPr>
        <w:t>statutory language</w:t>
      </w:r>
      <w:r>
        <w:rPr>
          <w:rStyle w:val="ssrfcpassagedeactivated"/>
          <w:bdr w:val="none" w:sz="0" w:space="0" w:color="auto" w:frame="1"/>
          <w:shd w:val="clear" w:color="auto" w:fill="FFFFFF"/>
        </w:rPr>
        <w:t>, and i</w:t>
      </w:r>
      <w:r w:rsidRPr="004D5D48">
        <w:rPr>
          <w:rStyle w:val="ssrfcpassagedeactivated"/>
          <w:bdr w:val="none" w:sz="0" w:space="0" w:color="auto" w:frame="1"/>
          <w:shd w:val="clear" w:color="auto" w:fill="FFFFFF"/>
        </w:rPr>
        <w:t>f the language is clear</w:t>
      </w:r>
      <w:r>
        <w:rPr>
          <w:rStyle w:val="ssrfcpassagedeactivated"/>
          <w:bdr w:val="none" w:sz="0" w:space="0" w:color="auto" w:frame="1"/>
          <w:shd w:val="clear" w:color="auto" w:fill="FFFFFF"/>
        </w:rPr>
        <w:t xml:space="preserve"> and unambiguous</w:t>
      </w:r>
      <w:r w:rsidRPr="004D5D48">
        <w:rPr>
          <w:rStyle w:val="ssrfcpassagedeactivated"/>
          <w:bdr w:val="none" w:sz="0" w:space="0" w:color="auto" w:frame="1"/>
          <w:shd w:val="clear" w:color="auto" w:fill="FFFFFF"/>
        </w:rPr>
        <w:t xml:space="preserve">, </w:t>
      </w:r>
      <w:r>
        <w:rPr>
          <w:rStyle w:val="ssrfcpassagedeactivated"/>
          <w:bdr w:val="none" w:sz="0" w:space="0" w:color="auto" w:frame="1"/>
          <w:shd w:val="clear" w:color="auto" w:fill="FFFFFF"/>
        </w:rPr>
        <w:t xml:space="preserve">we adhere to </w:t>
      </w:r>
      <w:r w:rsidRPr="004D5D48">
        <w:rPr>
          <w:rStyle w:val="ssrfcpassagedeactivated"/>
          <w:bdr w:val="none" w:sz="0" w:space="0" w:color="auto" w:frame="1"/>
          <w:shd w:val="clear" w:color="auto" w:fill="FFFFFF"/>
        </w:rPr>
        <w:t xml:space="preserve">its plain meaning unless a literal </w:t>
      </w:r>
      <w:r w:rsidRPr="004D5D48">
        <w:rPr>
          <w:rStyle w:val="ssrfcpassagedeactivated"/>
          <w:bdr w:val="none" w:sz="0" w:space="0" w:color="auto" w:frame="1"/>
          <w:shd w:val="clear" w:color="auto" w:fill="FFFFFF"/>
        </w:rPr>
        <w:t>interpretation would result in absurd consequences</w:t>
      </w:r>
      <w:r>
        <w:rPr>
          <w:rStyle w:val="ssrfcpassagedeactivated"/>
          <w:bdr w:val="none" w:sz="0" w:space="0" w:color="auto" w:frame="1"/>
          <w:shd w:val="clear" w:color="auto" w:fill="FFFFFF"/>
        </w:rPr>
        <w:t>.  (</w:t>
      </w:r>
      <w:r w:rsidRPr="00AD3F43">
        <w:rPr>
          <w:rStyle w:val="ssrfcpassagedeactivated"/>
          <w:i/>
          <w:bdr w:val="none" w:sz="0" w:space="0" w:color="auto" w:frame="1"/>
          <w:shd w:val="clear" w:color="auto" w:fill="FFFFFF"/>
        </w:rPr>
        <w:t>Ibid</w:t>
      </w:r>
      <w:r>
        <w:rPr>
          <w:rStyle w:val="ssrfcpassagedeactivated"/>
          <w:bdr w:val="none" w:sz="0" w:space="0" w:color="auto" w:frame="1"/>
          <w:shd w:val="clear" w:color="auto" w:fill="FFFFFF"/>
        </w:rPr>
        <w:t>.)  But when</w:t>
      </w:r>
      <w:r w:rsidRPr="004D5D48">
        <w:rPr>
          <w:rStyle w:val="ssrfcsection"/>
          <w:bdr w:val="none" w:sz="0" w:space="0" w:color="auto" w:frame="1"/>
          <w:shd w:val="clear" w:color="auto" w:fill="FFFFFF"/>
        </w:rPr>
        <w:t xml:space="preserve"> the statutory language </w:t>
      </w:r>
      <w:r>
        <w:rPr>
          <w:rStyle w:val="ssrfcsection"/>
          <w:bdr w:val="none" w:sz="0" w:space="0" w:color="auto" w:frame="1"/>
          <w:shd w:val="clear" w:color="auto" w:fill="FFFFFF"/>
        </w:rPr>
        <w:t>is susceptible to</w:t>
      </w:r>
      <w:r w:rsidRPr="004D5D48">
        <w:rPr>
          <w:rStyle w:val="ssrfcsection"/>
          <w:bdr w:val="none" w:sz="0" w:space="0" w:color="auto" w:frame="1"/>
          <w:shd w:val="clear" w:color="auto" w:fill="FFFFFF"/>
        </w:rPr>
        <w:t xml:space="preserve"> more than one reasonable interpretation, </w:t>
      </w:r>
      <w:r>
        <w:rPr>
          <w:rStyle w:val="ssrfcsection"/>
          <w:bdr w:val="none" w:sz="0" w:space="0" w:color="auto" w:frame="1"/>
          <w:shd w:val="clear" w:color="auto" w:fill="FFFFFF"/>
        </w:rPr>
        <w:t>we may</w:t>
      </w:r>
      <w:r w:rsidRPr="004D5D48">
        <w:rPr>
          <w:rStyle w:val="ssrfcsection"/>
          <w:bdr w:val="none" w:sz="0" w:space="0" w:color="auto" w:frame="1"/>
          <w:shd w:val="clear" w:color="auto" w:fill="FFFFFF"/>
        </w:rPr>
        <w:t xml:space="preserve"> consider other aids, </w:t>
      </w:r>
      <w:r>
        <w:rPr>
          <w:rStyle w:val="ssrfcsection"/>
          <w:bdr w:val="none" w:sz="0" w:space="0" w:color="auto" w:frame="1"/>
          <w:shd w:val="clear" w:color="auto" w:fill="FFFFFF"/>
        </w:rPr>
        <w:t>including</w:t>
      </w:r>
      <w:r w:rsidRPr="004D5D48">
        <w:rPr>
          <w:rStyle w:val="ssrfcsection"/>
          <w:bdr w:val="none" w:sz="0" w:space="0" w:color="auto" w:frame="1"/>
          <w:shd w:val="clear" w:color="auto" w:fill="FFFFFF"/>
        </w:rPr>
        <w:t xml:space="preserve"> the statute’s purpose, legislative history, and public policy.</w:t>
      </w:r>
      <w:r>
        <w:rPr>
          <w:rStyle w:val="ssrfcsection"/>
          <w:bdr w:val="none" w:sz="0" w:space="0" w:color="auto" w:frame="1"/>
          <w:shd w:val="clear" w:color="auto" w:fill="FFFFFF"/>
        </w:rPr>
        <w:t xml:space="preserve">  (</w:t>
      </w:r>
      <w:r w:rsidRPr="00AD3F43">
        <w:rPr>
          <w:rStyle w:val="ssrfcsection"/>
          <w:i/>
          <w:bdr w:val="none" w:sz="0" w:space="0" w:color="auto" w:frame="1"/>
          <w:shd w:val="clear" w:color="auto" w:fill="FFFFFF"/>
        </w:rPr>
        <w:t>Ibid</w:t>
      </w:r>
      <w:r>
        <w:rPr>
          <w:rStyle w:val="ssrfcsection"/>
          <w:bdr w:val="none" w:sz="0" w:space="0" w:color="auto" w:frame="1"/>
          <w:shd w:val="clear" w:color="auto" w:fill="FFFFFF"/>
        </w:rPr>
        <w:t xml:space="preserve">.) The portions of a statute must be viewed </w:t>
      </w:r>
      <w:proofErr w:type="gramStart"/>
      <w:r>
        <w:rPr>
          <w:rStyle w:val="ssrfcsection"/>
          <w:bdr w:val="none" w:sz="0" w:space="0" w:color="auto" w:frame="1"/>
          <w:shd w:val="clear" w:color="auto" w:fill="FFFFFF"/>
        </w:rPr>
        <w:t>“ ‘</w:t>
      </w:r>
      <w:proofErr w:type="gramEnd"/>
      <w:r>
        <w:rPr>
          <w:rStyle w:val="ssrfcsection"/>
          <w:bdr w:val="none" w:sz="0" w:space="0" w:color="auto" w:frame="1"/>
          <w:shd w:val="clear" w:color="auto" w:fill="FFFFFF"/>
        </w:rPr>
        <w:t> “ ‘ “</w:t>
      </w:r>
      <w:r w:rsidRPr="004D5D48">
        <w:rPr>
          <w:rStyle w:val="ssrfcsection"/>
          <w:bdr w:val="none" w:sz="0" w:space="0" w:color="auto" w:frame="1"/>
          <w:shd w:val="clear" w:color="auto" w:fill="FFFFFF"/>
        </w:rPr>
        <w:t>in the context of the entire statute and the statutory scheme of which it is a part, giving significance to every word, phrase, sentence, and part of an act in pursuance of the</w:t>
      </w:r>
      <w:r>
        <w:rPr>
          <w:rStyle w:val="ssrfcsection"/>
          <w:bdr w:val="none" w:sz="0" w:space="0" w:color="auto" w:frame="1"/>
          <w:shd w:val="clear" w:color="auto" w:fill="FFFFFF"/>
        </w:rPr>
        <w:t xml:space="preserve"> l</w:t>
      </w:r>
      <w:r w:rsidRPr="004D5D48">
        <w:rPr>
          <w:rStyle w:val="ssrfcsection"/>
          <w:bdr w:val="none" w:sz="0" w:space="0" w:color="auto" w:frame="1"/>
          <w:shd w:val="clear" w:color="auto" w:fill="FFFFFF"/>
        </w:rPr>
        <w:t>egislative</w:t>
      </w:r>
      <w:r>
        <w:rPr>
          <w:rStyle w:val="ssrfcsection"/>
          <w:bdr w:val="none" w:sz="0" w:space="0" w:color="auto" w:frame="1"/>
          <w:shd w:val="clear" w:color="auto" w:fill="FFFFFF"/>
        </w:rPr>
        <w:t xml:space="preserve"> </w:t>
      </w:r>
      <w:r w:rsidRPr="004D5D48">
        <w:rPr>
          <w:rStyle w:val="ssrfcsection"/>
          <w:bdr w:val="none" w:sz="0" w:space="0" w:color="auto" w:frame="1"/>
          <w:shd w:val="clear" w:color="auto" w:fill="FFFFFF"/>
        </w:rPr>
        <w:t>purpose.”</w:t>
      </w:r>
      <w:r>
        <w:rPr>
          <w:rStyle w:val="ssrfcsection"/>
          <w:bdr w:val="none" w:sz="0" w:space="0" w:color="auto" w:frame="1"/>
          <w:shd w:val="clear" w:color="auto" w:fill="FFFFFF"/>
        </w:rPr>
        <w:t> </w:t>
      </w:r>
      <w:r w:rsidRPr="004D5D48">
        <w:rPr>
          <w:rStyle w:val="ssrfcsection"/>
          <w:bdr w:val="none" w:sz="0" w:space="0" w:color="auto" w:frame="1"/>
          <w:shd w:val="clear" w:color="auto" w:fill="FFFFFF"/>
        </w:rPr>
        <w:t>’</w:t>
      </w:r>
      <w:r>
        <w:rPr>
          <w:rStyle w:val="ssrfcsection"/>
          <w:bdr w:val="none" w:sz="0" w:space="0" w:color="auto" w:frame="1"/>
          <w:shd w:val="clear" w:color="auto" w:fill="FFFFFF"/>
        </w:rPr>
        <w:t> </w:t>
      </w:r>
      <w:r w:rsidRPr="004D5D48">
        <w:rPr>
          <w:rStyle w:val="ssrfcsection"/>
          <w:bdr w:val="none" w:sz="0" w:space="0" w:color="auto" w:frame="1"/>
          <w:shd w:val="clear" w:color="auto" w:fill="FFFFFF"/>
        </w:rPr>
        <w:t>”</w:t>
      </w:r>
      <w:r>
        <w:rPr>
          <w:rStyle w:val="ssrfcsection"/>
          <w:bdr w:val="none" w:sz="0" w:space="0" w:color="auto" w:frame="1"/>
          <w:shd w:val="clear" w:color="auto" w:fill="FFFFFF"/>
        </w:rPr>
        <w:t> </w:t>
      </w:r>
      <w:r w:rsidRPr="004D5D48">
        <w:rPr>
          <w:rStyle w:val="ssrfcsection"/>
          <w:bdr w:val="none" w:sz="0" w:space="0" w:color="auto" w:frame="1"/>
          <w:shd w:val="clear" w:color="auto" w:fill="FFFFFF"/>
        </w:rPr>
        <w:t>’</w:t>
      </w:r>
      <w:r>
        <w:rPr>
          <w:rStyle w:val="ssrfcsection"/>
          <w:bdr w:val="none" w:sz="0" w:space="0" w:color="auto" w:frame="1"/>
          <w:shd w:val="clear" w:color="auto" w:fill="FFFFFF"/>
        </w:rPr>
        <w:t> </w:t>
      </w:r>
      <w:r w:rsidRPr="004D5D48">
        <w:rPr>
          <w:rStyle w:val="ssrfcsection"/>
          <w:bdr w:val="none" w:sz="0" w:space="0" w:color="auto" w:frame="1"/>
          <w:shd w:val="clear" w:color="auto" w:fill="FFFFFF"/>
        </w:rPr>
        <w:t>”  (</w:t>
      </w:r>
      <w:r w:rsidRPr="00AD3F43">
        <w:rPr>
          <w:rStyle w:val="ssrfcsection"/>
          <w:i/>
          <w:bdr w:val="none" w:sz="0" w:space="0" w:color="auto" w:frame="1"/>
          <w:shd w:val="clear" w:color="auto" w:fill="FFFFFF"/>
        </w:rPr>
        <w:t>Ibid</w:t>
      </w:r>
      <w:r>
        <w:rPr>
          <w:rStyle w:val="ssrfcsection"/>
          <w:bdr w:val="none" w:sz="0" w:space="0" w:color="auto" w:frame="1"/>
          <w:shd w:val="clear" w:color="auto" w:fill="FFFFFF"/>
        </w:rPr>
        <w:t>.)</w:t>
      </w:r>
    </w:p>
    <w:p w14:paraId="7B59B6F7" w14:textId="77777777" w:rsidR="008C6DF5" w:rsidRDefault="008C6DF5" w:rsidP="001C7704">
      <w:pPr>
        <w:rPr>
          <w:shd w:val="clear" w:color="auto" w:fill="FFFFFF"/>
        </w:rPr>
      </w:pPr>
      <w:r>
        <w:tab/>
      </w:r>
      <w:r>
        <w:t>S</w:t>
      </w:r>
      <w:r>
        <w:t>ection 832.7</w:t>
      </w:r>
      <w:r>
        <w:t>(b)</w:t>
      </w:r>
      <w:r>
        <w:t>(1)</w:t>
      </w:r>
      <w:r>
        <w:t xml:space="preserve"> states</w:t>
      </w:r>
      <w:proofErr w:type="gramStart"/>
      <w:r>
        <w:t xml:space="preserve">: </w:t>
      </w:r>
      <w:r>
        <w:t xml:space="preserve"> </w:t>
      </w:r>
      <w:r w:rsidRPr="004D5D48">
        <w:t>“</w:t>
      </w:r>
      <w:proofErr w:type="gramEnd"/>
      <w:r>
        <w:t>N</w:t>
      </w:r>
      <w:r w:rsidRPr="00EC6478">
        <w:rPr>
          <w:iCs/>
          <w:shd w:val="clear" w:color="auto" w:fill="FFFFFF"/>
        </w:rPr>
        <w:t>otwithstanding</w:t>
      </w:r>
      <w:r w:rsidRPr="00EC6478">
        <w:rPr>
          <w:shd w:val="clear" w:color="auto" w:fill="FFFFFF"/>
        </w:rPr>
        <w:t xml:space="preserve"> subdivision (a), Section 7923.600 of the Government Code, or </w:t>
      </w:r>
      <w:r w:rsidRPr="00EC6478">
        <w:rPr>
          <w:iCs/>
          <w:shd w:val="clear" w:color="auto" w:fill="FFFFFF"/>
        </w:rPr>
        <w:t>any other law</w:t>
      </w:r>
      <w:r>
        <w:rPr>
          <w:shd w:val="clear" w:color="auto" w:fill="FFFFFF"/>
        </w:rPr>
        <w:t>,</w:t>
      </w:r>
      <w:r w:rsidRPr="00EC6478">
        <w:rPr>
          <w:shd w:val="clear" w:color="auto" w:fill="FFFFFF"/>
        </w:rPr>
        <w:t xml:space="preserve"> </w:t>
      </w:r>
      <w:r>
        <w:rPr>
          <w:shd w:val="clear" w:color="auto" w:fill="FFFFFF"/>
        </w:rPr>
        <w:t xml:space="preserve">[the </w:t>
      </w:r>
      <w:r>
        <w:rPr>
          <w:iCs/>
          <w:shd w:val="clear" w:color="auto" w:fill="FFFFFF"/>
        </w:rPr>
        <w:t>officer-related</w:t>
      </w:r>
      <w:r w:rsidRPr="00EC6478">
        <w:rPr>
          <w:iCs/>
          <w:shd w:val="clear" w:color="auto" w:fill="FFFFFF"/>
        </w:rPr>
        <w:t xml:space="preserve"> </w:t>
      </w:r>
      <w:r w:rsidRPr="00EC6478">
        <w:rPr>
          <w:iCs/>
          <w:shd w:val="clear" w:color="auto" w:fill="FFFFFF"/>
        </w:rPr>
        <w:t>records</w:t>
      </w:r>
      <w:r>
        <w:rPr>
          <w:iCs/>
          <w:shd w:val="clear" w:color="auto" w:fill="FFFFFF"/>
        </w:rPr>
        <w:t xml:space="preserve"> described in section 832.7</w:t>
      </w:r>
      <w:r>
        <w:rPr>
          <w:iCs/>
          <w:shd w:val="clear" w:color="auto" w:fill="FFFFFF"/>
        </w:rPr>
        <w:t>(b)</w:t>
      </w:r>
      <w:r>
        <w:rPr>
          <w:iCs/>
          <w:shd w:val="clear" w:color="auto" w:fill="FFFFFF"/>
        </w:rPr>
        <w:t xml:space="preserve">] </w:t>
      </w:r>
      <w:r w:rsidRPr="00EC6478">
        <w:rPr>
          <w:iCs/>
          <w:shd w:val="clear" w:color="auto" w:fill="FFFFFF"/>
        </w:rPr>
        <w:t xml:space="preserve">shall not be confidential and shall be made available for public inspection pursuant to </w:t>
      </w:r>
      <w:r w:rsidRPr="00EC6478">
        <w:rPr>
          <w:shd w:val="clear" w:color="auto" w:fill="FFFFFF"/>
        </w:rPr>
        <w:t>[</w:t>
      </w:r>
      <w:r w:rsidRPr="00EC6478">
        <w:rPr>
          <w:iCs/>
          <w:shd w:val="clear" w:color="auto" w:fill="FFFFFF"/>
        </w:rPr>
        <w:t>the CPRA</w:t>
      </w:r>
      <w:r w:rsidRPr="00EC6478">
        <w:rPr>
          <w:shd w:val="clear" w:color="auto" w:fill="FFFFFF"/>
        </w:rPr>
        <w:t>]</w:t>
      </w:r>
      <w:r w:rsidRPr="00EC6478">
        <w:rPr>
          <w:shd w:val="clear" w:color="auto" w:fill="FFFFFF"/>
        </w:rPr>
        <w:t>.</w:t>
      </w:r>
      <w:r>
        <w:rPr>
          <w:shd w:val="clear" w:color="auto" w:fill="FFFFFF"/>
        </w:rPr>
        <w:t>”</w:t>
      </w:r>
      <w:r>
        <w:rPr>
          <w:shd w:val="clear" w:color="auto" w:fill="FFFFFF"/>
        </w:rPr>
        <w:t xml:space="preserve">  </w:t>
      </w:r>
      <w:r>
        <w:rPr>
          <w:rStyle w:val="ssrfcpassagedeactivated"/>
          <w:bdr w:val="none" w:sz="0" w:space="0" w:color="auto" w:frame="1"/>
        </w:rPr>
        <w:t>Subdivision</w:t>
      </w:r>
      <w:r>
        <w:rPr>
          <w:rStyle w:val="ssrfcpassagedeactivated"/>
          <w:bdr w:val="none" w:sz="0" w:space="0" w:color="auto" w:frame="1"/>
        </w:rPr>
        <w:t> </w:t>
      </w:r>
      <w:r>
        <w:rPr>
          <w:rStyle w:val="ssrfcpassagedeactivated"/>
          <w:bdr w:val="none" w:sz="0" w:space="0" w:color="auto" w:frame="1"/>
        </w:rPr>
        <w:t xml:space="preserve">(a) of section 832.7 </w:t>
      </w:r>
      <w:r>
        <w:rPr>
          <w:rStyle w:val="ssrfcpassagedeactivated"/>
          <w:bdr w:val="none" w:sz="0" w:space="0" w:color="auto" w:frame="1"/>
        </w:rPr>
        <w:t xml:space="preserve">(hereafter section 832.7(a)) </w:t>
      </w:r>
      <w:r>
        <w:rPr>
          <w:rStyle w:val="ssrfcpassagedeactivated"/>
          <w:bdr w:val="none" w:sz="0" w:space="0" w:color="auto" w:frame="1"/>
        </w:rPr>
        <w:t xml:space="preserve">articulates the long-established rule that </w:t>
      </w:r>
      <w:r w:rsidRPr="004D5D48">
        <w:t>pe</w:t>
      </w:r>
      <w:r>
        <w:t xml:space="preserve">ace </w:t>
      </w:r>
      <w:r>
        <w:t xml:space="preserve">and custodial </w:t>
      </w:r>
      <w:r>
        <w:t>officer personnel records are</w:t>
      </w:r>
      <w:r w:rsidRPr="004D5D48">
        <w:t xml:space="preserve"> “confidential and </w:t>
      </w:r>
      <w:r>
        <w:t>shall not be disclosed</w:t>
      </w:r>
      <w:r>
        <w:t xml:space="preserve"> in any criminal or civil proceeding except pursuant to discovery </w:t>
      </w:r>
      <w:r>
        <w:t>[</w:t>
      </w:r>
      <w:r>
        <w:t>under certain provisions of the Evidence Code</w:t>
      </w:r>
      <w:r>
        <w:t>]</w:t>
      </w:r>
      <w:r>
        <w:t>.</w:t>
      </w:r>
      <w:r>
        <w:t>”</w:t>
      </w:r>
      <w:r>
        <w:t xml:space="preserve">  Section 832.7(a) prohibits disclosure of such records under the CP</w:t>
      </w:r>
      <w:r>
        <w:t xml:space="preserve">RA as well.  (See </w:t>
      </w:r>
      <w:r w:rsidRPr="004D5D48">
        <w:rPr>
          <w:rStyle w:val="ssrfcpassagedeactivated"/>
          <w:i/>
          <w:iCs/>
          <w:bdr w:val="none" w:sz="0" w:space="0" w:color="auto" w:frame="1"/>
        </w:rPr>
        <w:t>Copley Press</w:t>
      </w:r>
      <w:r w:rsidRPr="004D5D48">
        <w:rPr>
          <w:rStyle w:val="ssrfcpassagedeactivated"/>
          <w:bdr w:val="none" w:sz="0" w:space="0" w:color="auto" w:frame="1"/>
        </w:rPr>
        <w:t xml:space="preserve">, </w:t>
      </w:r>
      <w:r w:rsidRPr="004D5D48">
        <w:rPr>
          <w:rStyle w:val="ssrfcpassagedeactivated"/>
          <w:i/>
          <w:iCs/>
          <w:bdr w:val="none" w:sz="0" w:space="0" w:color="auto" w:frame="1"/>
        </w:rPr>
        <w:t>supra</w:t>
      </w:r>
      <w:r w:rsidRPr="004D5D48">
        <w:rPr>
          <w:rStyle w:val="ssrfcpassagedeactivated"/>
          <w:bdr w:val="none" w:sz="0" w:space="0" w:color="auto" w:frame="1"/>
        </w:rPr>
        <w:t>, 39 Cal.4th at p.</w:t>
      </w:r>
      <w:r>
        <w:rPr>
          <w:rStyle w:val="ssrfcpassagedeactivated"/>
          <w:bdr w:val="none" w:sz="0" w:space="0" w:color="auto" w:frame="1"/>
        </w:rPr>
        <w:t> </w:t>
      </w:r>
      <w:r w:rsidRPr="004D5D48">
        <w:rPr>
          <w:rStyle w:val="ssrfcpassagedeactivated"/>
          <w:bdr w:val="none" w:sz="0" w:space="0" w:color="auto" w:frame="1"/>
        </w:rPr>
        <w:t>128</w:t>
      </w:r>
      <w:r>
        <w:rPr>
          <w:rStyle w:val="ssrfcpassagedeactivated"/>
          <w:bdr w:val="none" w:sz="0" w:space="0" w:color="auto" w:frame="1"/>
        </w:rPr>
        <w:t>6</w:t>
      </w:r>
      <w:r>
        <w:rPr>
          <w:rStyle w:val="ssrfcpassagedeactivated"/>
          <w:bdr w:val="none" w:sz="0" w:space="0" w:color="auto" w:frame="1"/>
        </w:rPr>
        <w:t>.</w:t>
      </w:r>
      <w:r w:rsidRPr="004D5D48">
        <w:rPr>
          <w:rStyle w:val="ssrfcpassagedeactivated"/>
          <w:bdr w:val="none" w:sz="0" w:space="0" w:color="auto" w:frame="1"/>
        </w:rPr>
        <w:t>)</w:t>
      </w:r>
      <w:r>
        <w:t xml:space="preserve">  Government Code </w:t>
      </w:r>
      <w:r>
        <w:lastRenderedPageBreak/>
        <w:t xml:space="preserve">section 7923.600 is part of the CPRA and </w:t>
      </w:r>
      <w:r>
        <w:t xml:space="preserve">as relevant </w:t>
      </w:r>
      <w:r>
        <w:t xml:space="preserve">states the CPRA “does not require the disclosure of records of complaints to, or investigations conducted by” the </w:t>
      </w:r>
      <w:r>
        <w:t>Department of Justice and any state or local police agency, or any “investigatory . . . files comp</w:t>
      </w:r>
      <w:r>
        <w:t>il</w:t>
      </w:r>
      <w:r>
        <w:t xml:space="preserve">ed by any other state or local </w:t>
      </w:r>
      <w:r>
        <w:t xml:space="preserve">police </w:t>
      </w:r>
      <w:r>
        <w:t xml:space="preserve">agency” for “correctional” or “law enforcement” purposes.  </w:t>
      </w:r>
      <w:r>
        <w:t>Thus, s</w:t>
      </w:r>
      <w:r>
        <w:t xml:space="preserve">ection 832.7(b)(1) </w:t>
      </w:r>
      <w:r>
        <w:rPr>
          <w:shd w:val="clear" w:color="auto" w:fill="FFFFFF"/>
        </w:rPr>
        <w:t>makes</w:t>
      </w:r>
      <w:r>
        <w:rPr>
          <w:shd w:val="clear" w:color="auto" w:fill="FFFFFF"/>
        </w:rPr>
        <w:t xml:space="preserve"> clear </w:t>
      </w:r>
      <w:r>
        <w:rPr>
          <w:shd w:val="clear" w:color="auto" w:fill="FFFFFF"/>
        </w:rPr>
        <w:t>these</w:t>
      </w:r>
      <w:r>
        <w:rPr>
          <w:shd w:val="clear" w:color="auto" w:fill="FFFFFF"/>
        </w:rPr>
        <w:t xml:space="preserve"> statutory </w:t>
      </w:r>
      <w:r>
        <w:rPr>
          <w:shd w:val="clear" w:color="auto" w:fill="FFFFFF"/>
        </w:rPr>
        <w:t>exemptions for personnel records</w:t>
      </w:r>
      <w:r>
        <w:rPr>
          <w:shd w:val="clear" w:color="auto" w:fill="FFFFFF"/>
        </w:rPr>
        <w:t xml:space="preserve"> </w:t>
      </w:r>
      <w:r>
        <w:rPr>
          <w:shd w:val="clear" w:color="auto" w:fill="FFFFFF"/>
        </w:rPr>
        <w:t xml:space="preserve">and </w:t>
      </w:r>
      <w:r>
        <w:rPr>
          <w:shd w:val="clear" w:color="auto" w:fill="FFFFFF"/>
        </w:rPr>
        <w:t xml:space="preserve">investigatory files provide no basis for withholding </w:t>
      </w:r>
      <w:r>
        <w:rPr>
          <w:shd w:val="clear" w:color="auto" w:fill="FFFFFF"/>
        </w:rPr>
        <w:t>officer-related records</w:t>
      </w:r>
      <w:r>
        <w:rPr>
          <w:shd w:val="clear" w:color="auto" w:fill="FFFFFF"/>
        </w:rPr>
        <w:t xml:space="preserve"> from public inspection</w:t>
      </w:r>
      <w:r>
        <w:rPr>
          <w:shd w:val="clear" w:color="auto" w:fill="FFFFFF"/>
        </w:rPr>
        <w:t xml:space="preserve">.  </w:t>
      </w:r>
    </w:p>
    <w:p w14:paraId="3BCD2408" w14:textId="77777777" w:rsidR="008C6DF5" w:rsidRDefault="008C6DF5" w:rsidP="001C7704">
      <w:r>
        <w:rPr>
          <w:shd w:val="clear" w:color="auto" w:fill="FFFFFF"/>
        </w:rPr>
        <w:tab/>
      </w:r>
      <w:r>
        <w:rPr>
          <w:shd w:val="clear" w:color="auto" w:fill="FFFFFF"/>
        </w:rPr>
        <w:t xml:space="preserve">But </w:t>
      </w:r>
      <w:r>
        <w:rPr>
          <w:shd w:val="clear" w:color="auto" w:fill="FFFFFF"/>
        </w:rPr>
        <w:t>section 832.7(b)(1)</w:t>
      </w:r>
      <w:r>
        <w:rPr>
          <w:shd w:val="clear" w:color="auto" w:fill="FFFFFF"/>
        </w:rPr>
        <w:t>, by its terms,</w:t>
      </w:r>
      <w:r>
        <w:rPr>
          <w:shd w:val="clear" w:color="auto" w:fill="FFFFFF"/>
        </w:rPr>
        <w:t xml:space="preserve"> </w:t>
      </w:r>
      <w:r>
        <w:rPr>
          <w:shd w:val="clear" w:color="auto" w:fill="FFFFFF"/>
        </w:rPr>
        <w:t>also</w:t>
      </w:r>
      <w:r>
        <w:rPr>
          <w:shd w:val="clear" w:color="auto" w:fill="FFFFFF"/>
        </w:rPr>
        <w:t xml:space="preserve"> contemplat</w:t>
      </w:r>
      <w:r>
        <w:rPr>
          <w:shd w:val="clear" w:color="auto" w:fill="FFFFFF"/>
        </w:rPr>
        <w:t xml:space="preserve">es </w:t>
      </w:r>
      <w:r>
        <w:rPr>
          <w:shd w:val="clear" w:color="auto" w:fill="FFFFFF"/>
        </w:rPr>
        <w:t>public inspection</w:t>
      </w:r>
      <w:r>
        <w:rPr>
          <w:shd w:val="clear" w:color="auto" w:fill="FFFFFF"/>
        </w:rPr>
        <w:t xml:space="preserve"> of officer-related records</w:t>
      </w:r>
      <w:r w:rsidRPr="004D5D48">
        <w:rPr>
          <w:shd w:val="clear" w:color="auto" w:fill="FFFFFF"/>
        </w:rPr>
        <w:t xml:space="preserve"> “[n]</w:t>
      </w:r>
      <w:proofErr w:type="spellStart"/>
      <w:r w:rsidRPr="004D5D48">
        <w:rPr>
          <w:shd w:val="clear" w:color="auto" w:fill="FFFFFF"/>
        </w:rPr>
        <w:t>otwithstanding</w:t>
      </w:r>
      <w:proofErr w:type="spellEnd"/>
      <w:r w:rsidRPr="004D5D48">
        <w:rPr>
          <w:shd w:val="clear" w:color="auto" w:fill="FFFFFF"/>
        </w:rPr>
        <w:t xml:space="preserve"> . . . any other law</w:t>
      </w:r>
      <w:r>
        <w:rPr>
          <w:shd w:val="clear" w:color="auto" w:fill="FFFFFF"/>
        </w:rPr>
        <w:t>.</w:t>
      </w:r>
      <w:r w:rsidRPr="004D5D48">
        <w:rPr>
          <w:shd w:val="clear" w:color="auto" w:fill="FFFFFF"/>
        </w:rPr>
        <w:t xml:space="preserve">” </w:t>
      </w:r>
      <w:r>
        <w:rPr>
          <w:shd w:val="clear" w:color="auto" w:fill="FFFFFF"/>
        </w:rPr>
        <w:t xml:space="preserve"> In petitioners’ view,</w:t>
      </w:r>
      <w:r>
        <w:rPr>
          <w:shd w:val="clear" w:color="auto" w:fill="FFFFFF"/>
        </w:rPr>
        <w:t xml:space="preserve"> th</w:t>
      </w:r>
      <w:r>
        <w:rPr>
          <w:shd w:val="clear" w:color="auto" w:fill="FFFFFF"/>
        </w:rPr>
        <w:t xml:space="preserve">e </w:t>
      </w:r>
      <w:r>
        <w:rPr>
          <w:shd w:val="clear" w:color="auto" w:fill="FFFFFF"/>
        </w:rPr>
        <w:t xml:space="preserve">plain </w:t>
      </w:r>
      <w:r>
        <w:rPr>
          <w:shd w:val="clear" w:color="auto" w:fill="FFFFFF"/>
        </w:rPr>
        <w:t>import of this language</w:t>
      </w:r>
      <w:r>
        <w:rPr>
          <w:shd w:val="clear" w:color="auto" w:fill="FFFFFF"/>
        </w:rPr>
        <w:t xml:space="preserve"> </w:t>
      </w:r>
      <w:r>
        <w:rPr>
          <w:shd w:val="clear" w:color="auto" w:fill="FFFFFF"/>
        </w:rPr>
        <w:t xml:space="preserve">is </w:t>
      </w:r>
      <w:r>
        <w:rPr>
          <w:shd w:val="clear" w:color="auto" w:fill="FFFFFF"/>
        </w:rPr>
        <w:t xml:space="preserve">that </w:t>
      </w:r>
      <w:r>
        <w:rPr>
          <w:shd w:val="clear" w:color="auto" w:fill="FFFFFF"/>
        </w:rPr>
        <w:t xml:space="preserve">records </w:t>
      </w:r>
      <w:r>
        <w:rPr>
          <w:shd w:val="clear" w:color="auto" w:fill="FFFFFF"/>
        </w:rPr>
        <w:t>within the scope of</w:t>
      </w:r>
      <w:r>
        <w:rPr>
          <w:shd w:val="clear" w:color="auto" w:fill="FFFFFF"/>
        </w:rPr>
        <w:t xml:space="preserve"> section 832.7(b)</w:t>
      </w:r>
      <w:r>
        <w:rPr>
          <w:shd w:val="clear" w:color="auto" w:fill="FFFFFF"/>
        </w:rPr>
        <w:t xml:space="preserve"> may not be withheld based on </w:t>
      </w:r>
      <w:r>
        <w:rPr>
          <w:shd w:val="clear" w:color="auto" w:fill="FFFFFF"/>
        </w:rPr>
        <w:t xml:space="preserve">other </w:t>
      </w:r>
      <w:r>
        <w:rPr>
          <w:shd w:val="clear" w:color="auto" w:fill="FFFFFF"/>
        </w:rPr>
        <w:t xml:space="preserve">state laws </w:t>
      </w:r>
      <w:r>
        <w:rPr>
          <w:shd w:val="clear" w:color="auto" w:fill="FFFFFF"/>
        </w:rPr>
        <w:t>prohibiting or exempting their</w:t>
      </w:r>
      <w:r>
        <w:rPr>
          <w:shd w:val="clear" w:color="auto" w:fill="FFFFFF"/>
        </w:rPr>
        <w:t xml:space="preserve"> disclosure</w:t>
      </w:r>
      <w:r>
        <w:rPr>
          <w:shd w:val="clear" w:color="auto" w:fill="FFFFFF"/>
        </w:rPr>
        <w:t>.</w:t>
      </w:r>
      <w:r>
        <w:rPr>
          <w:shd w:val="clear" w:color="auto" w:fill="FFFFFF"/>
        </w:rPr>
        <w:t xml:space="preserve">  </w:t>
      </w:r>
      <w:r>
        <w:t>Conversely, the Department focus</w:t>
      </w:r>
      <w:r>
        <w:t xml:space="preserve">es on the </w:t>
      </w:r>
      <w:r>
        <w:t xml:space="preserve">latter </w:t>
      </w:r>
      <w:r>
        <w:t xml:space="preserve">portion of </w:t>
      </w:r>
      <w:r>
        <w:t>section 832.7</w:t>
      </w:r>
      <w:r>
        <w:t>(b)(1)</w:t>
      </w:r>
      <w:r>
        <w:t xml:space="preserve"> specifying that officer-related records “shall be available for public inspection pursuant to [the CPRA].”  </w:t>
      </w:r>
      <w:r>
        <w:t xml:space="preserve">Relying on </w:t>
      </w:r>
      <w:r w:rsidRPr="004A3D91">
        <w:rPr>
          <w:i/>
        </w:rPr>
        <w:t>Becerra</w:t>
      </w:r>
      <w:r>
        <w:t xml:space="preserve">, </w:t>
      </w:r>
      <w:r w:rsidRPr="004A3D91">
        <w:rPr>
          <w:i/>
        </w:rPr>
        <w:t>supra</w:t>
      </w:r>
      <w:r>
        <w:t>, 44 Cal.App.5</w:t>
      </w:r>
      <w:r w:rsidRPr="004A3D91">
        <w:t>th</w:t>
      </w:r>
      <w:r>
        <w:t xml:space="preserve"> 897, </w:t>
      </w:r>
      <w:r>
        <w:t>the D</w:t>
      </w:r>
      <w:r>
        <w:t xml:space="preserve">epartment contends public </w:t>
      </w:r>
      <w:r>
        <w:t>acce</w:t>
      </w:r>
      <w:r>
        <w:t>ssibility to</w:t>
      </w:r>
      <w:r>
        <w:t xml:space="preserve"> officer-related records remains subject to </w:t>
      </w:r>
      <w:r>
        <w:t xml:space="preserve">all codified disclosure exemptions that </w:t>
      </w:r>
      <w:r>
        <w:t xml:space="preserve">Government Code </w:t>
      </w:r>
      <w:r>
        <w:t>section 7927</w:t>
      </w:r>
      <w:r>
        <w:t>.</w:t>
      </w:r>
      <w:r>
        <w:t>705</w:t>
      </w:r>
      <w:r>
        <w:t xml:space="preserve"> </w:t>
      </w:r>
      <w:r>
        <w:t>incorporates</w:t>
      </w:r>
      <w:r>
        <w:t xml:space="preserve"> into the CPRA</w:t>
      </w:r>
      <w:r>
        <w:t>.</w:t>
      </w:r>
      <w:r>
        <w:t xml:space="preserve">  </w:t>
      </w:r>
      <w:r>
        <w:t xml:space="preserve">For the reasons below, we agree that </w:t>
      </w:r>
      <w:r w:rsidRPr="00B20872">
        <w:rPr>
          <w:i/>
          <w:iCs/>
        </w:rPr>
        <w:t>Becerra</w:t>
      </w:r>
      <w:r>
        <w:t xml:space="preserve"> is instructive but </w:t>
      </w:r>
      <w:r>
        <w:t>find</w:t>
      </w:r>
      <w:r>
        <w:t xml:space="preserve"> it </w:t>
      </w:r>
      <w:r>
        <w:t xml:space="preserve">calls for a more </w:t>
      </w:r>
      <w:r>
        <w:t>nuanced analysis here</w:t>
      </w:r>
      <w:r>
        <w:t>.</w:t>
      </w:r>
    </w:p>
    <w:p w14:paraId="47EC1BF3" w14:textId="77777777" w:rsidR="008C6DF5" w:rsidRPr="00FD46B0" w:rsidRDefault="008C6DF5" w:rsidP="001E2CD5">
      <w:pPr>
        <w:pStyle w:val="ListParagraph"/>
        <w:keepNext/>
        <w:numPr>
          <w:ilvl w:val="0"/>
          <w:numId w:val="5"/>
        </w:numPr>
        <w:rPr>
          <w:b/>
          <w:bCs/>
          <w:i/>
          <w:iCs/>
        </w:rPr>
      </w:pPr>
      <w:r w:rsidRPr="00FD46B0">
        <w:rPr>
          <w:b/>
          <w:bCs/>
          <w:i/>
          <w:iCs/>
        </w:rPr>
        <w:t>Becerra v. Superior Court</w:t>
      </w:r>
    </w:p>
    <w:p w14:paraId="47F91956" w14:textId="77777777" w:rsidR="008C6DF5" w:rsidRDefault="008C6DF5" w:rsidP="008536A2">
      <w:r w:rsidRPr="004D5D48">
        <w:tab/>
      </w:r>
      <w:r w:rsidRPr="005D106D">
        <w:rPr>
          <w:i/>
          <w:iCs/>
        </w:rPr>
        <w:t>Becerra</w:t>
      </w:r>
      <w:r>
        <w:t xml:space="preserve"> concluded as a matter of statutory interpretation that </w:t>
      </w:r>
      <w:r>
        <w:t>a different provision of the CPRA—</w:t>
      </w:r>
      <w:r>
        <w:t>namely</w:t>
      </w:r>
      <w:r>
        <w:t xml:space="preserve"> </w:t>
      </w:r>
      <w:r>
        <w:t xml:space="preserve">the CPRA’s catchall exemption </w:t>
      </w:r>
      <w:r>
        <w:t xml:space="preserve">now </w:t>
      </w:r>
      <w:r>
        <w:t xml:space="preserve">codified in Government Code section </w:t>
      </w:r>
      <w:r>
        <w:t>7922.000</w:t>
      </w:r>
      <w:r>
        <w:t>—</w:t>
      </w:r>
      <w:r>
        <w:t xml:space="preserve">may apply to records </w:t>
      </w:r>
      <w:r>
        <w:t>falling within the scope of</w:t>
      </w:r>
      <w:r>
        <w:t xml:space="preserve"> section 832.7(b).  (</w:t>
      </w:r>
      <w:r w:rsidRPr="005D106D">
        <w:rPr>
          <w:i/>
          <w:iCs/>
        </w:rPr>
        <w:t>Becerra</w:t>
      </w:r>
      <w:r>
        <w:t xml:space="preserve">, </w:t>
      </w:r>
      <w:r w:rsidRPr="005D106D">
        <w:rPr>
          <w:i/>
          <w:iCs/>
        </w:rPr>
        <w:t>supra</w:t>
      </w:r>
      <w:r>
        <w:t xml:space="preserve">, 44 Cal.App.5th at p. 910.)  </w:t>
      </w:r>
      <w:r>
        <w:t>Observing that</w:t>
      </w:r>
      <w:r>
        <w:t xml:space="preserve"> section 832.7</w:t>
      </w:r>
      <w:r>
        <w:t>(b)</w:t>
      </w:r>
      <w:r>
        <w:t>(1)</w:t>
      </w:r>
      <w:r>
        <w:t xml:space="preserve"> starts with</w:t>
      </w:r>
      <w:r>
        <w:t xml:space="preserve"> an</w:t>
      </w:r>
      <w:r>
        <w:t xml:space="preserve"> explicit </w:t>
      </w:r>
      <w:r>
        <w:t>contemplation</w:t>
      </w:r>
      <w:r>
        <w:t xml:space="preserve"> </w:t>
      </w:r>
      <w:r>
        <w:t xml:space="preserve">that officer-related records are nonconfidential and disclosable </w:t>
      </w:r>
      <w:r>
        <w:lastRenderedPageBreak/>
        <w:t>notwithstanding</w:t>
      </w:r>
      <w:r>
        <w:t xml:space="preserve"> </w:t>
      </w:r>
      <w:r>
        <w:t xml:space="preserve">the </w:t>
      </w:r>
      <w:r>
        <w:t xml:space="preserve">investigatory files </w:t>
      </w:r>
      <w:r>
        <w:t xml:space="preserve">exemption in </w:t>
      </w:r>
      <w:r>
        <w:t xml:space="preserve">Government Code </w:t>
      </w:r>
      <w:r>
        <w:t>section 7</w:t>
      </w:r>
      <w:r>
        <w:t>923.600</w:t>
      </w:r>
      <w:r>
        <w:t>,</w:t>
      </w:r>
      <w:r>
        <w:t xml:space="preserve"> and </w:t>
      </w:r>
      <w:r>
        <w:t xml:space="preserve">that it </w:t>
      </w:r>
      <w:r>
        <w:t xml:space="preserve">ends with </w:t>
      </w:r>
      <w:r>
        <w:t>an</w:t>
      </w:r>
      <w:r>
        <w:t xml:space="preserve"> </w:t>
      </w:r>
      <w:r>
        <w:t xml:space="preserve">equally </w:t>
      </w:r>
      <w:r>
        <w:t xml:space="preserve">explicit </w:t>
      </w:r>
      <w:r>
        <w:t>mandate</w:t>
      </w:r>
      <w:r>
        <w:t xml:space="preserve"> that </w:t>
      </w:r>
      <w:r>
        <w:t>such</w:t>
      </w:r>
      <w:r>
        <w:t xml:space="preserve"> records be made available pursuant to</w:t>
      </w:r>
      <w:r>
        <w:t xml:space="preserve"> the CPRA, </w:t>
      </w:r>
      <w:r w:rsidRPr="00C353B6">
        <w:rPr>
          <w:i/>
        </w:rPr>
        <w:t>Becerra</w:t>
      </w:r>
      <w:r>
        <w:t xml:space="preserve"> concluded the Legislature </w:t>
      </w:r>
      <w:r>
        <w:t xml:space="preserve">thereby </w:t>
      </w:r>
      <w:r>
        <w:t xml:space="preserve">“signaled its intent that </w:t>
      </w:r>
      <w:r>
        <w:t>officer-related records are no longer confidential under the CPRA’s investigatory files exemption but that the CPRA is otherwise essential to section 832.7’s operation.”</w:t>
      </w:r>
      <w:r>
        <w:t xml:space="preserve">  (</w:t>
      </w:r>
      <w:r w:rsidRPr="00C353B6">
        <w:rPr>
          <w:i/>
        </w:rPr>
        <w:t>Becerra</w:t>
      </w:r>
      <w:r>
        <w:t xml:space="preserve">, at p. 925.)  </w:t>
      </w:r>
      <w:r>
        <w:t xml:space="preserve">Critically, </w:t>
      </w:r>
      <w:r w:rsidRPr="005E69CD">
        <w:rPr>
          <w:i/>
          <w:iCs/>
        </w:rPr>
        <w:t>Becerra</w:t>
      </w:r>
      <w:r>
        <w:t xml:space="preserve"> emphasized</w:t>
      </w:r>
      <w:r>
        <w:t xml:space="preserve"> that </w:t>
      </w:r>
      <w:r>
        <w:t xml:space="preserve">the phrase </w:t>
      </w:r>
      <w:proofErr w:type="gramStart"/>
      <w:r>
        <w:t>“ ‘</w:t>
      </w:r>
      <w:proofErr w:type="gramEnd"/>
      <w:r>
        <w:t>[n]</w:t>
      </w:r>
      <w:proofErr w:type="spellStart"/>
      <w:r>
        <w:t>otwithstanding</w:t>
      </w:r>
      <w:proofErr w:type="spellEnd"/>
      <w:r>
        <w:t xml:space="preserve"> . . . any other law’ ”</w:t>
      </w:r>
      <w:r>
        <w:t xml:space="preserve"> </w:t>
      </w:r>
      <w:r>
        <w:t>i</w:t>
      </w:r>
      <w:r>
        <w:t>s</w:t>
      </w:r>
      <w:r>
        <w:t xml:space="preserve"> a</w:t>
      </w:r>
      <w:r>
        <w:t xml:space="preserve"> “ ‘ “</w:t>
      </w:r>
      <w:r>
        <w:t> ‘</w:t>
      </w:r>
      <w:r>
        <w:t>term of art’ . . .</w:t>
      </w:r>
      <w:r>
        <w:t xml:space="preserve"> that</w:t>
      </w:r>
      <w:r>
        <w:t xml:space="preserve"> </w:t>
      </w:r>
      <w:r>
        <w:t xml:space="preserve">declares the legislative intent to override all </w:t>
      </w:r>
      <w:r w:rsidRPr="00983F47">
        <w:rPr>
          <w:i/>
          <w:iCs/>
        </w:rPr>
        <w:t>contrary</w:t>
      </w:r>
      <w:r>
        <w:t xml:space="preserve"> law.” ’ ”  (</w:t>
      </w:r>
      <w:r w:rsidRPr="00983F47">
        <w:rPr>
          <w:i/>
          <w:iCs/>
        </w:rPr>
        <w:t>Ibid</w:t>
      </w:r>
      <w:r>
        <w:t xml:space="preserve">., quoting </w:t>
      </w:r>
      <w:r w:rsidRPr="00983F47">
        <w:rPr>
          <w:i/>
          <w:iCs/>
        </w:rPr>
        <w:t>Arias v Superior Court</w:t>
      </w:r>
      <w:r>
        <w:t xml:space="preserve"> (2009) 46 Cal.4th 969, 983</w:t>
      </w:r>
      <w:r>
        <w:t xml:space="preserve">.) </w:t>
      </w:r>
    </w:p>
    <w:p w14:paraId="3A4DCCD6" w14:textId="77777777" w:rsidR="008C6DF5" w:rsidRDefault="008C6DF5" w:rsidP="008536A2">
      <w:r>
        <w:tab/>
      </w:r>
      <w:r w:rsidRPr="005E69CD">
        <w:rPr>
          <w:i/>
          <w:iCs/>
        </w:rPr>
        <w:t>Becerra</w:t>
      </w:r>
      <w:r>
        <w:t xml:space="preserve"> then examined whether</w:t>
      </w:r>
      <w:r>
        <w:t xml:space="preserve"> </w:t>
      </w:r>
      <w:r>
        <w:t xml:space="preserve">Government Code section 7922.000’s </w:t>
      </w:r>
      <w:r>
        <w:t xml:space="preserve">catchall </w:t>
      </w:r>
      <w:r>
        <w:t xml:space="preserve">exemption poses </w:t>
      </w:r>
      <w:r>
        <w:t>a</w:t>
      </w:r>
      <w:r>
        <w:t xml:space="preserve"> direct conflict with section 832.7(b)’s </w:t>
      </w:r>
      <w:r>
        <w:t>call</w:t>
      </w:r>
      <w:r>
        <w:t xml:space="preserve"> </w:t>
      </w:r>
      <w:r>
        <w:t xml:space="preserve">for </w:t>
      </w:r>
      <w:r>
        <w:t>the disclosure</w:t>
      </w:r>
      <w:r>
        <w:t xml:space="preserve"> of officer-related records</w:t>
      </w:r>
      <w:r>
        <w:t>.</w:t>
      </w:r>
      <w:r>
        <w:t xml:space="preserve"> </w:t>
      </w:r>
      <w:r>
        <w:t xml:space="preserve"> (</w:t>
      </w:r>
      <w:r w:rsidRPr="00F910AE">
        <w:rPr>
          <w:i/>
        </w:rPr>
        <w:t>Becerra</w:t>
      </w:r>
      <w:r>
        <w:t xml:space="preserve">, </w:t>
      </w:r>
      <w:r w:rsidRPr="005E69CD">
        <w:rPr>
          <w:i/>
          <w:iCs/>
        </w:rPr>
        <w:t>supra</w:t>
      </w:r>
      <w:r>
        <w:t xml:space="preserve">, 44 Cal.App.5th </w:t>
      </w:r>
      <w:r>
        <w:t xml:space="preserve">at pp. 925–927.)  </w:t>
      </w:r>
      <w:r>
        <w:t xml:space="preserve">Among other things, </w:t>
      </w:r>
      <w:r w:rsidRPr="003F799E">
        <w:rPr>
          <w:i/>
          <w:iCs/>
        </w:rPr>
        <w:t>Becerra</w:t>
      </w:r>
      <w:r>
        <w:t xml:space="preserve"> </w:t>
      </w:r>
      <w:r>
        <w:t>observ</w:t>
      </w:r>
      <w:r>
        <w:t>ed</w:t>
      </w:r>
      <w:r>
        <w:t xml:space="preserve"> </w:t>
      </w:r>
      <w:r>
        <w:t>the catchall exemption</w:t>
      </w:r>
      <w:r>
        <w:t xml:space="preserve"> </w:t>
      </w:r>
      <w:r>
        <w:t>“</w:t>
      </w:r>
      <w:r>
        <w:t xml:space="preserve">is an integral part of the CPRA framework that, at the outset, allows a determination that the interest of the public is best served by the nondisclosure </w:t>
      </w:r>
      <w:r>
        <w:t>of otherwise responsive records</w:t>
      </w:r>
      <w:r>
        <w:t>.</w:t>
      </w:r>
      <w:r>
        <w:t>”</w:t>
      </w:r>
      <w:r>
        <w:t xml:space="preserve"> </w:t>
      </w:r>
      <w:r>
        <w:t xml:space="preserve"> </w:t>
      </w:r>
      <w:r>
        <w:t>(</w:t>
      </w:r>
      <w:r w:rsidRPr="00B5461E">
        <w:rPr>
          <w:i/>
        </w:rPr>
        <w:t>Becerra</w:t>
      </w:r>
      <w:r>
        <w:t>, at p. 928</w:t>
      </w:r>
      <w:r>
        <w:t xml:space="preserve">.)  </w:t>
      </w:r>
      <w:r>
        <w:t>As</w:t>
      </w:r>
      <w:r>
        <w:t xml:space="preserve"> </w:t>
      </w:r>
      <w:r w:rsidRPr="003F799E">
        <w:rPr>
          <w:i/>
          <w:iCs/>
        </w:rPr>
        <w:t>Becerra</w:t>
      </w:r>
      <w:r>
        <w:t xml:space="preserve"> </w:t>
      </w:r>
      <w:r>
        <w:t>explained,</w:t>
      </w:r>
      <w:r>
        <w:t xml:space="preserve"> the exemption </w:t>
      </w:r>
      <w:r>
        <w:t>“</w:t>
      </w:r>
      <w:r>
        <w:t xml:space="preserve">permits withholding based on various considerations, including public fiscal and administrative concerns regarding the </w:t>
      </w:r>
      <w:proofErr w:type="gramStart"/>
      <w:r>
        <w:t>‘ “</w:t>
      </w:r>
      <w:proofErr w:type="gramEnd"/>
      <w:r>
        <w:t>expense and inconvenience involved in segregating nonexempt from exempt information.” ’ ”  (</w:t>
      </w:r>
      <w:r w:rsidRPr="00D57945">
        <w:rPr>
          <w:i/>
          <w:iCs/>
        </w:rPr>
        <w:t>Ibid</w:t>
      </w:r>
      <w:r>
        <w:t>.</w:t>
      </w:r>
      <w:r>
        <w:t xml:space="preserve">)  </w:t>
      </w:r>
      <w:r>
        <w:t>To illustrate the</w:t>
      </w:r>
      <w:r>
        <w:t xml:space="preserve"> point, </w:t>
      </w:r>
      <w:r w:rsidRPr="003A2071">
        <w:rPr>
          <w:i/>
          <w:iCs/>
        </w:rPr>
        <w:t>Becerra</w:t>
      </w:r>
      <w:r>
        <w:t xml:space="preserve"> referenc</w:t>
      </w:r>
      <w:r>
        <w:t>ed the</w:t>
      </w:r>
      <w:r>
        <w:t xml:space="preserve"> Supreme Court’s concern that it </w:t>
      </w:r>
      <w:proofErr w:type="gramStart"/>
      <w:r>
        <w:t>“</w:t>
      </w:r>
      <w:r>
        <w:t> ‘</w:t>
      </w:r>
      <w:proofErr w:type="gramEnd"/>
      <w:r>
        <w:t>would not be in the public interest</w:t>
      </w:r>
      <w:r>
        <w:t>’ </w:t>
      </w:r>
      <w:r>
        <w:t>”</w:t>
      </w:r>
      <w:r>
        <w:t xml:space="preserve"> if “ ‘any person requesting information, for any reason or for no particular reason, [could] impose upon a governmental agency a limitless obligation</w:t>
      </w:r>
      <w:r>
        <w:t>.</w:t>
      </w:r>
      <w:r>
        <w:t>’ ”</w:t>
      </w:r>
      <w:r>
        <w:t xml:space="preserve">  (</w:t>
      </w:r>
      <w:r w:rsidRPr="003A2071">
        <w:rPr>
          <w:i/>
          <w:iCs/>
        </w:rPr>
        <w:t>Id</w:t>
      </w:r>
      <w:r>
        <w:t>.</w:t>
      </w:r>
      <w:r>
        <w:t xml:space="preserve"> at p. 927</w:t>
      </w:r>
      <w:r>
        <w:t xml:space="preserve">, quoting </w:t>
      </w:r>
      <w:r w:rsidRPr="003A2071">
        <w:rPr>
          <w:i/>
          <w:iCs/>
        </w:rPr>
        <w:t xml:space="preserve">American Civil Liberties Union </w:t>
      </w:r>
      <w:r>
        <w:rPr>
          <w:i/>
          <w:iCs/>
        </w:rPr>
        <w:t xml:space="preserve">Foundation </w:t>
      </w:r>
      <w:r w:rsidRPr="003A2071">
        <w:rPr>
          <w:i/>
          <w:iCs/>
        </w:rPr>
        <w:t>v. Deukmejian</w:t>
      </w:r>
      <w:r>
        <w:t xml:space="preserve"> (1982) 32 Cal.3d 440, 453.)</w:t>
      </w:r>
    </w:p>
    <w:p w14:paraId="55B80A5A" w14:textId="77777777" w:rsidR="008C6DF5" w:rsidRDefault="008C6DF5" w:rsidP="008536A2">
      <w:r>
        <w:lastRenderedPageBreak/>
        <w:tab/>
        <w:t>B</w:t>
      </w:r>
      <w:r>
        <w:t xml:space="preserve">ecause the </w:t>
      </w:r>
      <w:r>
        <w:t xml:space="preserve">CPRA’s </w:t>
      </w:r>
      <w:r>
        <w:t xml:space="preserve">catchall exemption </w:t>
      </w:r>
      <w:r>
        <w:t>allows withholding based on a variety of competing public interests</w:t>
      </w:r>
      <w:r>
        <w:t>,</w:t>
      </w:r>
      <w:r>
        <w:t xml:space="preserve"> including public fiscal</w:t>
      </w:r>
      <w:r>
        <w:t xml:space="preserve"> and</w:t>
      </w:r>
      <w:r>
        <w:t xml:space="preserve"> administrative concerns</w:t>
      </w:r>
      <w:r>
        <w:t>, when doing so best serves the public interest</w:t>
      </w:r>
      <w:r>
        <w:t>,</w:t>
      </w:r>
      <w:r>
        <w:t xml:space="preserve"> </w:t>
      </w:r>
      <w:r w:rsidRPr="003F799E">
        <w:rPr>
          <w:i/>
          <w:iCs/>
        </w:rPr>
        <w:t>Becerra</w:t>
      </w:r>
      <w:r>
        <w:t xml:space="preserve"> determined</w:t>
      </w:r>
      <w:r>
        <w:t xml:space="preserve"> the </w:t>
      </w:r>
      <w:r>
        <w:t>exemption</w:t>
      </w:r>
      <w:r>
        <w:t xml:space="preserve"> </w:t>
      </w:r>
      <w:r>
        <w:t>is “reasonably harmonized”</w:t>
      </w:r>
      <w:r>
        <w:t xml:space="preserve"> with </w:t>
      </w:r>
      <w:r>
        <w:t xml:space="preserve">the withholding and redaction provisions of </w:t>
      </w:r>
      <w:r>
        <w:t>section 832.7</w:t>
      </w:r>
      <w:r>
        <w:t>(b)</w:t>
      </w:r>
      <w:r>
        <w:t xml:space="preserve">, which </w:t>
      </w:r>
      <w:r>
        <w:t>more narrowly concern</w:t>
      </w:r>
      <w:r>
        <w:t xml:space="preserve"> active investigations or focus on personal information and other specific situations </w:t>
      </w:r>
      <w:r>
        <w:t>triggered by such information</w:t>
      </w:r>
      <w:r>
        <w:t xml:space="preserve">.  </w:t>
      </w:r>
      <w:r>
        <w:t>(</w:t>
      </w:r>
      <w:r w:rsidRPr="00A44274">
        <w:rPr>
          <w:i/>
        </w:rPr>
        <w:t>Becerra</w:t>
      </w:r>
      <w:r>
        <w:t xml:space="preserve">, </w:t>
      </w:r>
      <w:r w:rsidRPr="006115BE">
        <w:rPr>
          <w:i/>
          <w:iCs/>
        </w:rPr>
        <w:t>supra</w:t>
      </w:r>
      <w:r>
        <w:t xml:space="preserve">, 44 Cal.App.5th </w:t>
      </w:r>
      <w:r>
        <w:t>at p. 92</w:t>
      </w:r>
      <w:r>
        <w:t>9</w:t>
      </w:r>
      <w:r>
        <w:t>.</w:t>
      </w:r>
      <w:r>
        <w:t>)</w:t>
      </w:r>
      <w:r>
        <w:t xml:space="preserve"> </w:t>
      </w:r>
      <w:r>
        <w:t xml:space="preserve"> </w:t>
      </w:r>
      <w:r>
        <w:t xml:space="preserve">As </w:t>
      </w:r>
      <w:r>
        <w:t xml:space="preserve">we </w:t>
      </w:r>
      <w:r>
        <w:t>reasoned</w:t>
      </w:r>
      <w:r>
        <w:t>, “[</w:t>
      </w:r>
      <w:proofErr w:type="spellStart"/>
      <w:r>
        <w:t>i</w:t>
      </w:r>
      <w:proofErr w:type="spellEnd"/>
      <w:r>
        <w:t>]t would seem anomalous to construe section 832.7 as r</w:t>
      </w:r>
      <w:r>
        <w:t>equiring that</w:t>
      </w:r>
      <w:r>
        <w:t xml:space="preserve"> records be made available pursuant </w:t>
      </w:r>
      <w:r>
        <w:t xml:space="preserve">to the </w:t>
      </w:r>
      <w:r>
        <w:t>CPRA” while at the same time “disregarding the CPRA’s</w:t>
      </w:r>
      <w:r>
        <w:t xml:space="preserve"> contemplation that records should be withh</w:t>
      </w:r>
      <w:r>
        <w:t>e</w:t>
      </w:r>
      <w:r>
        <w:t>ld when the public interest in doing so clearly outweighs the public interest in disclosure.”  (</w:t>
      </w:r>
      <w:r w:rsidRPr="002C22B4">
        <w:rPr>
          <w:i/>
          <w:iCs/>
        </w:rPr>
        <w:t>Becerra</w:t>
      </w:r>
      <w:r>
        <w:t>, at p. 927, fn.</w:t>
      </w:r>
      <w:r>
        <w:t> </w:t>
      </w:r>
      <w:r>
        <w:t>5.)</w:t>
      </w:r>
    </w:p>
    <w:p w14:paraId="10720C05" w14:textId="77777777" w:rsidR="008C6DF5" w:rsidRDefault="008C6DF5" w:rsidP="008536A2">
      <w:r>
        <w:tab/>
        <w:t>Finally</w:t>
      </w:r>
      <w:r>
        <w:t xml:space="preserve">, even </w:t>
      </w:r>
      <w:r>
        <w:t>though</w:t>
      </w:r>
      <w:r>
        <w:t xml:space="preserve"> </w:t>
      </w:r>
      <w:r>
        <w:t xml:space="preserve">the </w:t>
      </w:r>
      <w:r>
        <w:t>catchall exemption ha</w:t>
      </w:r>
      <w:r>
        <w:t>s</w:t>
      </w:r>
      <w:r>
        <w:t xml:space="preserve"> long </w:t>
      </w:r>
      <w:r>
        <w:t>applied</w:t>
      </w:r>
      <w:r>
        <w:t xml:space="preserve"> to</w:t>
      </w:r>
      <w:r>
        <w:t xml:space="preserve"> all types of public record requests upon a proper showing, </w:t>
      </w:r>
      <w:r w:rsidRPr="003F799E">
        <w:rPr>
          <w:i/>
          <w:iCs/>
        </w:rPr>
        <w:t>Becerra</w:t>
      </w:r>
      <w:r>
        <w:t xml:space="preserve"> </w:t>
      </w:r>
      <w:r>
        <w:t>found it noteworthy that</w:t>
      </w:r>
      <w:r>
        <w:t xml:space="preserve"> </w:t>
      </w:r>
      <w:r>
        <w:t xml:space="preserve">the exemption </w:t>
      </w:r>
      <w:r>
        <w:t>ha</w:t>
      </w:r>
      <w:r>
        <w:t>s</w:t>
      </w:r>
      <w:r>
        <w:t xml:space="preserve"> not been</w:t>
      </w:r>
      <w:r>
        <w:t xml:space="preserve"> criticized </w:t>
      </w:r>
      <w:r>
        <w:t>“</w:t>
      </w:r>
      <w:r>
        <w:t>as an unworkable or overly broad exemption that unduly impairs government transparency or meaning</w:t>
      </w:r>
      <w:r>
        <w:t>ful</w:t>
      </w:r>
      <w:r>
        <w:t xml:space="preserve"> public access to information.”  </w:t>
      </w:r>
      <w:r>
        <w:t>(</w:t>
      </w:r>
      <w:r w:rsidRPr="002C22B4">
        <w:rPr>
          <w:i/>
          <w:iCs/>
        </w:rPr>
        <w:t>Becerra</w:t>
      </w:r>
      <w:r>
        <w:t xml:space="preserve">, </w:t>
      </w:r>
      <w:r w:rsidRPr="003F799E">
        <w:rPr>
          <w:i/>
          <w:iCs/>
        </w:rPr>
        <w:t>supra</w:t>
      </w:r>
      <w:r>
        <w:t xml:space="preserve">, 44 Cal.App.5th </w:t>
      </w:r>
      <w:r>
        <w:t>at p. 92</w:t>
      </w:r>
      <w:r>
        <w:t>7</w:t>
      </w:r>
      <w:r>
        <w:t>.</w:t>
      </w:r>
      <w:r>
        <w:t>)</w:t>
      </w:r>
    </w:p>
    <w:p w14:paraId="0243CFD2" w14:textId="77777777" w:rsidR="008C6DF5" w:rsidRDefault="008C6DF5" w:rsidP="00AB03B3">
      <w:r>
        <w:tab/>
      </w:r>
      <w:r>
        <w:t>In this case, t</w:t>
      </w:r>
      <w:r>
        <w:t xml:space="preserve">he Department’s briefing at times correctly describes </w:t>
      </w:r>
      <w:r w:rsidRPr="00ED3F3D">
        <w:rPr>
          <w:i/>
          <w:iCs/>
        </w:rPr>
        <w:t>Becerra</w:t>
      </w:r>
      <w:r>
        <w:t xml:space="preserve"> as </w:t>
      </w:r>
      <w:r>
        <w:t>hold</w:t>
      </w:r>
      <w:r>
        <w:t xml:space="preserve">ing that CPRA disclosure exemptions that “do not conflict” with or are not </w:t>
      </w:r>
      <w:r>
        <w:t>“</w:t>
      </w:r>
      <w:r>
        <w:t xml:space="preserve">directly contrary” to section 832.7(b), such as the catchall exemption, can be invoked to withhold officer-related records.  But the Department </w:t>
      </w:r>
      <w:r>
        <w:t xml:space="preserve">seems to </w:t>
      </w:r>
      <w:r>
        <w:t>suggest</w:t>
      </w:r>
      <w:r>
        <w:t xml:space="preserve"> </w:t>
      </w:r>
      <w:r w:rsidRPr="00A811FB">
        <w:rPr>
          <w:i/>
          <w:iCs/>
        </w:rPr>
        <w:t>Becerra</w:t>
      </w:r>
      <w:r>
        <w:t xml:space="preserve"> construed section 832.7(b) as preserving all nondisclosure provisions within the CPRA </w:t>
      </w:r>
      <w:r w:rsidRPr="00706174">
        <w:rPr>
          <w:i/>
          <w:iCs/>
        </w:rPr>
        <w:t>but for</w:t>
      </w:r>
      <w:r>
        <w:t xml:space="preserve"> Government Code section 7923.600</w:t>
      </w:r>
      <w:r>
        <w:t>’s investigatory files exemption</w:t>
      </w:r>
      <w:r>
        <w:t xml:space="preserve">. </w:t>
      </w:r>
      <w:r>
        <w:t xml:space="preserve"> (</w:t>
      </w:r>
      <w:r>
        <w:t xml:space="preserve">See </w:t>
      </w:r>
      <w:r w:rsidRPr="00706174">
        <w:rPr>
          <w:i/>
          <w:iCs/>
        </w:rPr>
        <w:t>Becerra</w:t>
      </w:r>
      <w:r>
        <w:t xml:space="preserve">, </w:t>
      </w:r>
      <w:r w:rsidRPr="00706174">
        <w:rPr>
          <w:i/>
          <w:iCs/>
        </w:rPr>
        <w:t>supra</w:t>
      </w:r>
      <w:r>
        <w:t>, 4</w:t>
      </w:r>
      <w:r>
        <w:t>4 Cal.App.5</w:t>
      </w:r>
      <w:r w:rsidRPr="00706174">
        <w:t>th</w:t>
      </w:r>
      <w:r>
        <w:t xml:space="preserve"> at pp. 924–</w:t>
      </w:r>
      <w:r>
        <w:t>925.)</w:t>
      </w:r>
      <w:r>
        <w:t xml:space="preserve">  </w:t>
      </w:r>
      <w:r w:rsidRPr="006313DF">
        <w:rPr>
          <w:i/>
          <w:iCs/>
        </w:rPr>
        <w:t>Becerra</w:t>
      </w:r>
      <w:r>
        <w:t xml:space="preserve"> did no such thing.  Viewed in</w:t>
      </w:r>
      <w:r>
        <w:t xml:space="preserve"> context, </w:t>
      </w:r>
      <w:r w:rsidRPr="000A28D8">
        <w:rPr>
          <w:i/>
          <w:iCs/>
        </w:rPr>
        <w:t>Becerra</w:t>
      </w:r>
      <w:r>
        <w:t>’s</w:t>
      </w:r>
      <w:r>
        <w:t xml:space="preserve"> analysis was </w:t>
      </w:r>
      <w:r>
        <w:t xml:space="preserve">clearly </w:t>
      </w:r>
      <w:r>
        <w:t xml:space="preserve">confined to the CPRA’s catchall </w:t>
      </w:r>
      <w:r>
        <w:lastRenderedPageBreak/>
        <w:t>exemption</w:t>
      </w:r>
      <w:r>
        <w:t>,</w:t>
      </w:r>
      <w:r>
        <w:t xml:space="preserve"> and</w:t>
      </w:r>
      <w:r>
        <w:t xml:space="preserve"> it offered no opinion </w:t>
      </w:r>
      <w:r>
        <w:t>regarding</w:t>
      </w:r>
      <w:r>
        <w:t xml:space="preserve"> any other CPRA or non-CPRA disclosure exemption.</w:t>
      </w:r>
    </w:p>
    <w:p w14:paraId="7E886102" w14:textId="77777777" w:rsidR="008C6DF5" w:rsidRDefault="008C6DF5" w:rsidP="003A2071">
      <w:r>
        <w:tab/>
      </w:r>
      <w:r>
        <w:t xml:space="preserve">Taking our cue from </w:t>
      </w:r>
      <w:r w:rsidRPr="00D85ADA">
        <w:rPr>
          <w:i/>
          <w:iCs/>
        </w:rPr>
        <w:t>Becerra</w:t>
      </w:r>
      <w:r>
        <w:t xml:space="preserve">’s analysis that section 832.7(b)’s “notwithstanding” </w:t>
      </w:r>
      <w:r>
        <w:t>clause</w:t>
      </w:r>
      <w:r>
        <w:t xml:space="preserve"> declares the Legislature’s intent to override all contrary law, </w:t>
      </w:r>
      <w:r>
        <w:t xml:space="preserve">we now assess </w:t>
      </w:r>
      <w:r>
        <w:t>petitioners’ claims that</w:t>
      </w:r>
      <w:r>
        <w:t xml:space="preserve"> </w:t>
      </w:r>
      <w:r>
        <w:t xml:space="preserve">application of </w:t>
      </w:r>
      <w:r>
        <w:rPr>
          <w:shd w:val="clear" w:color="auto" w:fill="FFFFFF"/>
        </w:rPr>
        <w:t xml:space="preserve">the state law </w:t>
      </w:r>
      <w:r>
        <w:rPr>
          <w:shd w:val="clear" w:color="auto" w:fill="FFFFFF"/>
        </w:rPr>
        <w:t xml:space="preserve">confidentiality and </w:t>
      </w:r>
      <w:r>
        <w:rPr>
          <w:shd w:val="clear" w:color="auto" w:fill="FFFFFF"/>
        </w:rPr>
        <w:t xml:space="preserve">disclosure </w:t>
      </w:r>
      <w:r>
        <w:rPr>
          <w:shd w:val="clear" w:color="auto" w:fill="FFFFFF"/>
        </w:rPr>
        <w:t>prohibitions</w:t>
      </w:r>
      <w:r>
        <w:rPr>
          <w:shd w:val="clear" w:color="auto" w:fill="FFFFFF"/>
        </w:rPr>
        <w:t xml:space="preserve"> codified in </w:t>
      </w:r>
      <w:r>
        <w:t xml:space="preserve">Government Code </w:t>
      </w:r>
      <w:r w:rsidRPr="004D5D48">
        <w:t>section 11183</w:t>
      </w:r>
      <w:r>
        <w:t xml:space="preserve">, </w:t>
      </w:r>
      <w:r w:rsidRPr="004D5D48">
        <w:t>Penal Code sections 6126 and 6126.3</w:t>
      </w:r>
      <w:r>
        <w:t>, and</w:t>
      </w:r>
      <w:r w:rsidRPr="004D5D48">
        <w:t xml:space="preserve"> Unemployment Insurance Code section 1094</w:t>
      </w:r>
      <w:r>
        <w:t xml:space="preserve"> </w:t>
      </w:r>
      <w:r>
        <w:t xml:space="preserve">would </w:t>
      </w:r>
      <w:r>
        <w:t xml:space="preserve">pose a </w:t>
      </w:r>
      <w:r>
        <w:t>direct</w:t>
      </w:r>
      <w:r>
        <w:t xml:space="preserve"> conflict with section 832.7(b)</w:t>
      </w:r>
      <w:r>
        <w:t xml:space="preserve"> with regard to</w:t>
      </w:r>
      <w:r>
        <w:t xml:space="preserve"> </w:t>
      </w:r>
      <w:r>
        <w:t xml:space="preserve">the </w:t>
      </w:r>
      <w:r>
        <w:t>officer-related records</w:t>
      </w:r>
      <w:r>
        <w:t xml:space="preserve"> at issue</w:t>
      </w:r>
      <w:r>
        <w:t>.</w:t>
      </w:r>
    </w:p>
    <w:p w14:paraId="50FE92FF" w14:textId="77777777" w:rsidR="008C6DF5" w:rsidRPr="003A2071" w:rsidRDefault="008C6DF5" w:rsidP="00FD46B0">
      <w:pPr>
        <w:pStyle w:val="ListParagraph"/>
        <w:keepNext/>
        <w:numPr>
          <w:ilvl w:val="0"/>
          <w:numId w:val="5"/>
        </w:numPr>
      </w:pPr>
      <w:r w:rsidRPr="003A2071">
        <w:rPr>
          <w:b/>
          <w:bCs/>
        </w:rPr>
        <w:t xml:space="preserve"> Government Code </w:t>
      </w:r>
      <w:r w:rsidRPr="003A2071">
        <w:rPr>
          <w:b/>
          <w:bCs/>
        </w:rPr>
        <w:t>S</w:t>
      </w:r>
      <w:r w:rsidRPr="003A2071">
        <w:rPr>
          <w:b/>
          <w:bCs/>
        </w:rPr>
        <w:t>ection 11183</w:t>
      </w:r>
    </w:p>
    <w:p w14:paraId="515A2890" w14:textId="77777777" w:rsidR="008C6DF5" w:rsidRDefault="008C6DF5" w:rsidP="00DD3DCD">
      <w:r>
        <w:tab/>
      </w:r>
      <w:r>
        <w:t xml:space="preserve">The Attorney General is the “chief law officer of the State” and </w:t>
      </w:r>
      <w:r>
        <w:t xml:space="preserve">exercises “direct supervision over every district attorney and sheriff . . . in all matters pertaining to the duties of their respective offices.”  (Cal. Const., art. V, § 13.) </w:t>
      </w:r>
      <w:r>
        <w:t xml:space="preserve"> </w:t>
      </w:r>
      <w:r>
        <w:t>T</w:t>
      </w:r>
      <w:r>
        <w:t>he Attorney General</w:t>
      </w:r>
      <w:r>
        <w:t xml:space="preserve"> enjoys broad oversight powers and</w:t>
      </w:r>
      <w:r>
        <w:t xml:space="preserve"> may </w:t>
      </w:r>
      <w:r>
        <w:t>bring a civil action</w:t>
      </w:r>
      <w:r>
        <w:t xml:space="preserve"> to ensure that local law enforcement agencies </w:t>
      </w:r>
      <w:r>
        <w:t xml:space="preserve">and their officers </w:t>
      </w:r>
      <w:r>
        <w:t>do not “engage in a pattern or practice of conduct</w:t>
      </w:r>
      <w:r>
        <w:t xml:space="preserve"> . . . </w:t>
      </w:r>
      <w:r>
        <w:t>that deprives any person of rights, privileges, or immunities” protected by state or federal law.</w:t>
      </w:r>
      <w:r>
        <w:t xml:space="preserve">  </w:t>
      </w:r>
      <w:r>
        <w:t>(Civ. Code, § 52.3, subd</w:t>
      </w:r>
      <w:r>
        <w:t>s</w:t>
      </w:r>
      <w:r>
        <w:t>. (a)</w:t>
      </w:r>
      <w:r>
        <w:t>, (</w:t>
      </w:r>
      <w:r>
        <w:t>b)</w:t>
      </w:r>
      <w:r>
        <w:t xml:space="preserve">.)  </w:t>
      </w:r>
      <w:r>
        <w:t>A</w:t>
      </w:r>
      <w:r>
        <w:t xml:space="preserve"> </w:t>
      </w:r>
      <w:r>
        <w:t>so-called “</w:t>
      </w:r>
      <w:r>
        <w:t>pattern-or-practice investigation</w:t>
      </w:r>
      <w:r>
        <w:t>”</w:t>
      </w:r>
      <w:r>
        <w:t xml:space="preserve"> </w:t>
      </w:r>
      <w:r>
        <w:t xml:space="preserve">seeks </w:t>
      </w:r>
      <w:r>
        <w:t xml:space="preserve">to </w:t>
      </w:r>
      <w:r>
        <w:t>identify systemic violations of individuals’ civil rights</w:t>
      </w:r>
      <w:r>
        <w:t xml:space="preserve"> and </w:t>
      </w:r>
      <w:r>
        <w:t xml:space="preserve">to </w:t>
      </w:r>
      <w:r>
        <w:t>provide</w:t>
      </w:r>
      <w:r>
        <w:t xml:space="preserve"> </w:t>
      </w:r>
      <w:r>
        <w:t>remedial solutions through injunctive relief</w:t>
      </w:r>
      <w:r>
        <w:t>.</w:t>
      </w:r>
    </w:p>
    <w:p w14:paraId="0AD2F3AF" w14:textId="77777777" w:rsidR="008C6DF5" w:rsidRDefault="008C6DF5" w:rsidP="00DD3DCD">
      <w:r>
        <w:tab/>
      </w:r>
      <w:r>
        <w:t>In opposi</w:t>
      </w:r>
      <w:r>
        <w:t>ng</w:t>
      </w:r>
      <w:r>
        <w:t xml:space="preserve"> petitioners’ motion for judgment, the Department submitted the declaration </w:t>
      </w:r>
      <w:r>
        <w:t xml:space="preserve">of </w:t>
      </w:r>
      <w:r>
        <w:t xml:space="preserve">Michael Newman, </w:t>
      </w:r>
      <w:r>
        <w:t>the Senior Assistant Attorney General of</w:t>
      </w:r>
      <w:r>
        <w:t xml:space="preserve"> the Department’s Civil Rights Enforcement Section</w:t>
      </w:r>
      <w:r>
        <w:t>, which included the following representations</w:t>
      </w:r>
      <w:r>
        <w:t xml:space="preserve">.  In December 2016, the Department began a civil </w:t>
      </w:r>
      <w:r>
        <w:t>patter</w:t>
      </w:r>
      <w:r>
        <w:t>n</w:t>
      </w:r>
      <w:r>
        <w:t xml:space="preserve">-or-practice </w:t>
      </w:r>
      <w:r>
        <w:t xml:space="preserve">investigation into the Bakersfield Police Department </w:t>
      </w:r>
      <w:r>
        <w:t>(</w:t>
      </w:r>
      <w:r>
        <w:t xml:space="preserve">hereafter </w:t>
      </w:r>
      <w:r>
        <w:t xml:space="preserve">BPD) </w:t>
      </w:r>
      <w:r>
        <w:t xml:space="preserve">in response to complaints and media reports alleging excessive force and other serious misconduct.  </w:t>
      </w:r>
      <w:r>
        <w:t xml:space="preserve">The Department </w:t>
      </w:r>
      <w:r>
        <w:lastRenderedPageBreak/>
        <w:t>issued an invest</w:t>
      </w:r>
      <w:r>
        <w:t xml:space="preserve">igatory subpoena for BPD’s books and records, and BPD complied by </w:t>
      </w:r>
      <w:r>
        <w:t>producing relevant records.  “At the conclusion of the investigation, the Department determined that BPD engaged in a pattern or practice of conduct that deprives persons of their constitutional rights, including using unreasonable force, unreasonably deploying canines, and engaging in unreasonable stops, searches,</w:t>
      </w:r>
      <w:r>
        <w:t xml:space="preserve"> arrests,</w:t>
      </w:r>
      <w:r>
        <w:t xml:space="preserve"> and seizures.” </w:t>
      </w:r>
      <w:r>
        <w:t xml:space="preserve"> </w:t>
      </w:r>
    </w:p>
    <w:p w14:paraId="59DB2C1B" w14:textId="77777777" w:rsidR="008C6DF5" w:rsidRDefault="008C6DF5" w:rsidP="008536A2">
      <w:r>
        <w:tab/>
      </w:r>
      <w:r>
        <w:t xml:space="preserve">Consistent with Newman’s declaration, </w:t>
      </w:r>
      <w:r>
        <w:t xml:space="preserve">the Department indicated </w:t>
      </w:r>
      <w:r>
        <w:t xml:space="preserve">earlier in this action that </w:t>
      </w:r>
      <w:r>
        <w:t xml:space="preserve">it </w:t>
      </w:r>
      <w:proofErr w:type="gramStart"/>
      <w:r>
        <w:t>“</w:t>
      </w:r>
      <w:r>
        <w:t> ‘</w:t>
      </w:r>
      <w:proofErr w:type="gramEnd"/>
      <w:r>
        <w:t>often</w:t>
      </w:r>
      <w:r>
        <w:t>’ </w:t>
      </w:r>
      <w:r>
        <w:t xml:space="preserve">” uses its subpoena power to obtain necessary records from law enforcement agencies when </w:t>
      </w:r>
      <w:r>
        <w:t>reviewing</w:t>
      </w:r>
      <w:r>
        <w:t xml:space="preserve"> </w:t>
      </w:r>
      <w:r>
        <w:t>an agency’s</w:t>
      </w:r>
      <w:r>
        <w:t xml:space="preserve"> decision not to file charges </w:t>
      </w:r>
      <w:r>
        <w:t>against an officer or independently investigating an agency.  (</w:t>
      </w:r>
      <w:r w:rsidRPr="00276A2D">
        <w:rPr>
          <w:i/>
          <w:iCs/>
        </w:rPr>
        <w:t>Becerra</w:t>
      </w:r>
      <w:r>
        <w:t xml:space="preserve">, </w:t>
      </w:r>
      <w:r w:rsidRPr="00276A2D">
        <w:rPr>
          <w:i/>
          <w:iCs/>
        </w:rPr>
        <w:t>supra</w:t>
      </w:r>
      <w:r>
        <w:t xml:space="preserve">, 44 Cal.App.5th at </w:t>
      </w:r>
      <w:r>
        <w:t>p</w:t>
      </w:r>
      <w:r>
        <w:t>p. 911</w:t>
      </w:r>
      <w:r>
        <w:t>–912</w:t>
      </w:r>
      <w:r>
        <w:t>, fn. 2.)  Alternatively, the Department</w:t>
      </w:r>
      <w:r>
        <w:t xml:space="preserve"> </w:t>
      </w:r>
      <w:proofErr w:type="gramStart"/>
      <w:r>
        <w:t>“</w:t>
      </w:r>
      <w:r>
        <w:t> ‘</w:t>
      </w:r>
      <w:proofErr w:type="gramEnd"/>
      <w:r>
        <w:t>sometimes</w:t>
      </w:r>
      <w:r>
        <w:t>’ </w:t>
      </w:r>
      <w:r>
        <w:t>” procures records pursuant to agreements made under the condition that “</w:t>
      </w:r>
      <w:r>
        <w:t> ‘</w:t>
      </w:r>
      <w:r>
        <w:t>the materials will remain conf</w:t>
      </w:r>
      <w:r>
        <w:t>idential as contemplated by Government Code section 11181.</w:t>
      </w:r>
      <w:r>
        <w:t>’ </w:t>
      </w:r>
      <w:r>
        <w:t>”  (</w:t>
      </w:r>
      <w:r>
        <w:rPr>
          <w:i/>
          <w:iCs/>
        </w:rPr>
        <w:t>Ibid</w:t>
      </w:r>
      <w:r>
        <w:t xml:space="preserve">.)  </w:t>
      </w:r>
      <w:r>
        <w:t xml:space="preserve">The trial court agreed with the Department that the BPD records are categorically exempt from disclosure because they were obtained by subpoena. </w:t>
      </w:r>
    </w:p>
    <w:p w14:paraId="4837F61A" w14:textId="77777777" w:rsidR="008C6DF5" w:rsidRDefault="008C6DF5" w:rsidP="00677347">
      <w:r>
        <w:tab/>
      </w:r>
      <w:r>
        <w:rPr>
          <w:rStyle w:val="ssrfcsection"/>
          <w:bdr w:val="none" w:sz="0" w:space="0" w:color="auto" w:frame="1"/>
          <w:shd w:val="clear" w:color="auto" w:fill="FFFFFF"/>
        </w:rPr>
        <w:t>Government Code s</w:t>
      </w:r>
      <w:r w:rsidRPr="004D5D48">
        <w:rPr>
          <w:rStyle w:val="ssrfcsection"/>
          <w:bdr w:val="none" w:sz="0" w:space="0" w:color="auto" w:frame="1"/>
          <w:shd w:val="clear" w:color="auto" w:fill="FFFFFF"/>
        </w:rPr>
        <w:t xml:space="preserve">ection 11183 implements </w:t>
      </w:r>
      <w:r>
        <w:rPr>
          <w:rStyle w:val="ssrfcsection"/>
          <w:bdr w:val="none" w:sz="0" w:space="0" w:color="auto" w:frame="1"/>
          <w:shd w:val="clear" w:color="auto" w:fill="FFFFFF"/>
        </w:rPr>
        <w:t xml:space="preserve">Government Code </w:t>
      </w:r>
      <w:r w:rsidRPr="004D5D48">
        <w:rPr>
          <w:rStyle w:val="ssrfcsection"/>
          <w:bdr w:val="none" w:sz="0" w:space="0" w:color="auto" w:frame="1"/>
          <w:shd w:val="clear" w:color="auto" w:fill="FFFFFF"/>
        </w:rPr>
        <w:t xml:space="preserve">sections 11180 and 11181, which together authorize </w:t>
      </w:r>
      <w:r>
        <w:rPr>
          <w:rStyle w:val="ssrfcsection"/>
          <w:bdr w:val="none" w:sz="0" w:space="0" w:color="auto" w:frame="1"/>
          <w:shd w:val="clear" w:color="auto" w:fill="FFFFFF"/>
        </w:rPr>
        <w:t xml:space="preserve">state executive </w:t>
      </w:r>
      <w:r>
        <w:rPr>
          <w:rStyle w:val="ssrfcsection"/>
          <w:bdr w:val="none" w:sz="0" w:space="0" w:color="auto" w:frame="1"/>
          <w:shd w:val="clear" w:color="auto" w:fill="FFFFFF"/>
        </w:rPr>
        <w:t>department</w:t>
      </w:r>
      <w:r>
        <w:rPr>
          <w:rStyle w:val="ssrfcsection"/>
          <w:bdr w:val="none" w:sz="0" w:space="0" w:color="auto" w:frame="1"/>
          <w:shd w:val="clear" w:color="auto" w:fill="FFFFFF"/>
        </w:rPr>
        <w:t>s</w:t>
      </w:r>
      <w:r>
        <w:rPr>
          <w:rStyle w:val="ssrfcsection"/>
          <w:bdr w:val="none" w:sz="0" w:space="0" w:color="auto" w:frame="1"/>
          <w:shd w:val="clear" w:color="auto" w:fill="FFFFFF"/>
        </w:rPr>
        <w:t>, including the Department,</w:t>
      </w:r>
      <w:r w:rsidRPr="004D5D48">
        <w:rPr>
          <w:rStyle w:val="ssrfcsection"/>
          <w:bdr w:val="none" w:sz="0" w:space="0" w:color="auto" w:frame="1"/>
          <w:shd w:val="clear" w:color="auto" w:fill="FFFFFF"/>
        </w:rPr>
        <w:t xml:space="preserve"> to </w:t>
      </w:r>
      <w:r>
        <w:rPr>
          <w:rStyle w:val="ssrfcsection"/>
          <w:bdr w:val="none" w:sz="0" w:space="0" w:color="auto" w:frame="1"/>
          <w:shd w:val="clear" w:color="auto" w:fill="FFFFFF"/>
        </w:rPr>
        <w:t>conduct</w:t>
      </w:r>
      <w:r w:rsidRPr="004D5D48">
        <w:rPr>
          <w:rStyle w:val="ssrfcsection"/>
          <w:bdr w:val="none" w:sz="0" w:space="0" w:color="auto" w:frame="1"/>
          <w:shd w:val="clear" w:color="auto" w:fill="FFFFFF"/>
        </w:rPr>
        <w:t xml:space="preserve"> investigations </w:t>
      </w:r>
      <w:r>
        <w:rPr>
          <w:rStyle w:val="ssrfcsection"/>
          <w:bdr w:val="none" w:sz="0" w:space="0" w:color="auto" w:frame="1"/>
          <w:shd w:val="clear" w:color="auto" w:fill="FFFFFF"/>
        </w:rPr>
        <w:t xml:space="preserve">and audits </w:t>
      </w:r>
      <w:r>
        <w:rPr>
          <w:rStyle w:val="ssrfcsection"/>
          <w:bdr w:val="none" w:sz="0" w:space="0" w:color="auto" w:frame="1"/>
          <w:shd w:val="clear" w:color="auto" w:fill="FFFFFF"/>
        </w:rPr>
        <w:t>of all subjects under their jurisdiction</w:t>
      </w:r>
      <w:r w:rsidRPr="004D5D48">
        <w:rPr>
          <w:rStyle w:val="ssrfcsection"/>
          <w:bdr w:val="none" w:sz="0" w:space="0" w:color="auto" w:frame="1"/>
          <w:shd w:val="clear" w:color="auto" w:fill="FFFFFF"/>
        </w:rPr>
        <w:t xml:space="preserve">.  </w:t>
      </w:r>
      <w:r>
        <w:t xml:space="preserve">In obtaining </w:t>
      </w:r>
      <w:r>
        <w:t>BPD’s</w:t>
      </w:r>
      <w:r>
        <w:t xml:space="preserve"> </w:t>
      </w:r>
      <w:r>
        <w:t>officer-related records</w:t>
      </w:r>
      <w:r>
        <w:t xml:space="preserve">, the Department </w:t>
      </w:r>
      <w:r>
        <w:t>claims it</w:t>
      </w:r>
      <w:r>
        <w:t xml:space="preserve"> </w:t>
      </w:r>
      <w:r>
        <w:t xml:space="preserve">acted pursuant to Government Code section 11181, subdivision (e), which allows </w:t>
      </w:r>
      <w:r>
        <w:t>the issuance of</w:t>
      </w:r>
      <w:r>
        <w:t xml:space="preserve"> subpoenas </w:t>
      </w:r>
      <w:proofErr w:type="gramStart"/>
      <w:r>
        <w:t>for the production of</w:t>
      </w:r>
      <w:proofErr w:type="gramEnd"/>
      <w:r>
        <w:t xml:space="preserve"> </w:t>
      </w:r>
      <w:r>
        <w:t xml:space="preserve">documents </w:t>
      </w:r>
      <w:r>
        <w:t xml:space="preserve">and testimony </w:t>
      </w:r>
      <w:r>
        <w:t>“</w:t>
      </w:r>
      <w:r>
        <w:t xml:space="preserve">pertinent or material to any inquiry, investigation, hearing, proceeding, or action conducted in any part of the state.”  </w:t>
      </w:r>
      <w:r>
        <w:t>T</w:t>
      </w:r>
      <w:r>
        <w:t>he</w:t>
      </w:r>
      <w:r>
        <w:t>n, in response to petitioners’ CPRA request, the</w:t>
      </w:r>
      <w:r>
        <w:t xml:space="preserve"> Department withheld such </w:t>
      </w:r>
      <w:r>
        <w:t>records</w:t>
      </w:r>
      <w:r>
        <w:t xml:space="preserve"> on the authority of </w:t>
      </w:r>
      <w:r>
        <w:t>Government</w:t>
      </w:r>
      <w:r>
        <w:t xml:space="preserve"> Code section 11183</w:t>
      </w:r>
      <w:r>
        <w:t xml:space="preserve">, </w:t>
      </w:r>
      <w:r>
        <w:lastRenderedPageBreak/>
        <w:t>which provides</w:t>
      </w:r>
      <w:r>
        <w:t xml:space="preserve">:  “[A]n officer shall not divulge any information or evidence acquired by the officer from the </w:t>
      </w:r>
      <w:r>
        <w:t xml:space="preserve">. . . </w:t>
      </w:r>
      <w:r>
        <w:t>subpoenaed private books, documents, papers, or other items described in subdivision</w:t>
      </w:r>
      <w:r>
        <w:t> </w:t>
      </w:r>
      <w:r>
        <w:t>(e) of Section 11181 or any person while acting or claiming to act under any authorization pursuant to this article</w:t>
      </w:r>
      <w:r>
        <w:t>,</w:t>
      </w:r>
      <w:r>
        <w:t xml:space="preserve"> in respect to the confidential or private transactions, property or business of any person.  An officer who divulges information or evidence in violation of this section is </w:t>
      </w:r>
      <w:r>
        <w:t>guilty of a misdemeanor and disqualified from acting in any official capacity in the department.”</w:t>
      </w:r>
      <w:r>
        <w:rPr>
          <w:rStyle w:val="FootnoteReference"/>
        </w:rPr>
        <w:footnoteReference w:id="4"/>
      </w:r>
      <w:r>
        <w:t xml:space="preserve">  For the reasons below, we conclude </w:t>
      </w:r>
      <w:r>
        <w:t>application of Government Code section 11183</w:t>
      </w:r>
      <w:r>
        <w:t>,</w:t>
      </w:r>
      <w:r>
        <w:t xml:space="preserve"> </w:t>
      </w:r>
      <w:r>
        <w:t>in the context of officer-related records</w:t>
      </w:r>
      <w:r>
        <w:t>, would</w:t>
      </w:r>
      <w:r>
        <w:t xml:space="preserve"> </w:t>
      </w:r>
      <w:r>
        <w:t>pose a direct conflict with</w:t>
      </w:r>
      <w:r>
        <w:t xml:space="preserve"> section 832.7(b).</w:t>
      </w:r>
    </w:p>
    <w:p w14:paraId="25E92BAC" w14:textId="77777777" w:rsidR="008C6DF5" w:rsidRDefault="008C6DF5" w:rsidP="008536A2">
      <w:r>
        <w:tab/>
        <w:t>S</w:t>
      </w:r>
      <w:r>
        <w:t>ection 832.7</w:t>
      </w:r>
      <w:r>
        <w:t>(</w:t>
      </w:r>
      <w:r>
        <w:t xml:space="preserve">b) </w:t>
      </w:r>
      <w:r>
        <w:t>explicitly states</w:t>
      </w:r>
      <w:r w:rsidRPr="00164B2F">
        <w:t xml:space="preserve"> that officer-related records </w:t>
      </w:r>
      <w:r>
        <w:t>shall be</w:t>
      </w:r>
      <w:r w:rsidRPr="00164B2F">
        <w:t xml:space="preserve"> </w:t>
      </w:r>
      <w:r>
        <w:t>nonconfidential and disclosable</w:t>
      </w:r>
      <w:r>
        <w:t xml:space="preserve"> under the CPRA</w:t>
      </w:r>
      <w:r w:rsidRPr="00164B2F">
        <w:t xml:space="preserve">, contrary to the direction of section 832.7(a), which </w:t>
      </w:r>
      <w:r>
        <w:t xml:space="preserve">would otherwise </w:t>
      </w:r>
      <w:r>
        <w:t>exempt</w:t>
      </w:r>
      <w:r w:rsidRPr="00164B2F">
        <w:t xml:space="preserve"> </w:t>
      </w:r>
      <w:r>
        <w:t>officer</w:t>
      </w:r>
      <w:r w:rsidRPr="00164B2F">
        <w:t xml:space="preserve"> personnel records</w:t>
      </w:r>
      <w:r>
        <w:t xml:space="preserve"> from public disclosure</w:t>
      </w:r>
      <w:r w:rsidRPr="00164B2F">
        <w:t xml:space="preserve">, and </w:t>
      </w:r>
      <w:r>
        <w:t xml:space="preserve">Government Code </w:t>
      </w:r>
      <w:r w:rsidRPr="00164B2F">
        <w:rPr>
          <w:shd w:val="clear" w:color="auto" w:fill="FFFFFF"/>
        </w:rPr>
        <w:t xml:space="preserve">section 7923.600, </w:t>
      </w:r>
      <w:r w:rsidRPr="00164B2F">
        <w:t xml:space="preserve">which </w:t>
      </w:r>
      <w:r>
        <w:t>would otherwise</w:t>
      </w:r>
      <w:r w:rsidRPr="00164B2F">
        <w:t xml:space="preserve"> </w:t>
      </w:r>
      <w:r>
        <w:t xml:space="preserve">shield </w:t>
      </w:r>
      <w:r>
        <w:t xml:space="preserve">officer-related </w:t>
      </w:r>
      <w:r w:rsidRPr="00164B2F">
        <w:t xml:space="preserve">records </w:t>
      </w:r>
      <w:r>
        <w:t xml:space="preserve">compiled as part of </w:t>
      </w:r>
      <w:r w:rsidRPr="00164B2F">
        <w:t>a</w:t>
      </w:r>
      <w:r>
        <w:t xml:space="preserve">n </w:t>
      </w:r>
      <w:r w:rsidRPr="00164B2F">
        <w:t>investigation</w:t>
      </w:r>
      <w:r>
        <w:t xml:space="preserve"> for correctional and law enforcement purposes</w:t>
      </w:r>
      <w:r w:rsidRPr="00164B2F">
        <w:t>.</w:t>
      </w:r>
      <w:r>
        <w:t xml:space="preserve">  From this the most logical </w:t>
      </w:r>
      <w:r>
        <w:lastRenderedPageBreak/>
        <w:t>inference is that t</w:t>
      </w:r>
      <w:r w:rsidRPr="00164B2F">
        <w:t>he “[n]</w:t>
      </w:r>
      <w:proofErr w:type="spellStart"/>
      <w:r w:rsidRPr="00164B2F">
        <w:t>otwithstanding</w:t>
      </w:r>
      <w:proofErr w:type="spellEnd"/>
      <w:r w:rsidRPr="00164B2F">
        <w:t xml:space="preserve"> . . . any other law” </w:t>
      </w:r>
      <w:r>
        <w:t xml:space="preserve">clause </w:t>
      </w:r>
      <w:r w:rsidRPr="00164B2F">
        <w:t>ensures</w:t>
      </w:r>
      <w:r>
        <w:t>, at the very least,</w:t>
      </w:r>
      <w:r w:rsidRPr="00164B2F">
        <w:t xml:space="preserve"> that any other law </w:t>
      </w:r>
      <w:r>
        <w:t>having</w:t>
      </w:r>
      <w:r w:rsidRPr="00164B2F">
        <w:t xml:space="preserve"> a similar dramatic impact on the </w:t>
      </w:r>
      <w:r>
        <w:t>public accessibility</w:t>
      </w:r>
      <w:r w:rsidRPr="00164B2F">
        <w:t xml:space="preserve"> of officer-related records </w:t>
      </w:r>
      <w:r>
        <w:t>may</w:t>
      </w:r>
      <w:r w:rsidRPr="00164B2F">
        <w:t xml:space="preserve"> not be given effect</w:t>
      </w:r>
      <w:r>
        <w:t>.</w:t>
      </w:r>
      <w:r>
        <w:t xml:space="preserve">  </w:t>
      </w:r>
    </w:p>
    <w:p w14:paraId="7D3D325B" w14:textId="77777777" w:rsidR="008C6DF5" w:rsidRDefault="008C6DF5" w:rsidP="008536A2">
      <w:r>
        <w:tab/>
      </w:r>
      <w:r>
        <w:t xml:space="preserve">We are unpersuaded by </w:t>
      </w:r>
      <w:r>
        <w:t xml:space="preserve">the Department’s suggestion that the </w:t>
      </w:r>
      <w:r>
        <w:t xml:space="preserve">superseding </w:t>
      </w:r>
      <w:r>
        <w:t xml:space="preserve">effect of the notwithstanding </w:t>
      </w:r>
      <w:r>
        <w:t>clause</w:t>
      </w:r>
      <w:r>
        <w:t xml:space="preserve"> is properly limited to </w:t>
      </w:r>
      <w:r>
        <w:t>section 832.7(a) and Government Code section 7923.600</w:t>
      </w:r>
      <w:r>
        <w:t>.  As the California Supreme Court explain</w:t>
      </w:r>
      <w:r>
        <w:t>s</w:t>
      </w:r>
      <w:r>
        <w:t xml:space="preserve">, “[w]e </w:t>
      </w:r>
      <w:proofErr w:type="gramStart"/>
      <w:r>
        <w:t>deny</w:t>
      </w:r>
      <w:proofErr w:type="gramEnd"/>
      <w:r>
        <w:t xml:space="preserve"> a phrase like ‘any other provision of law’ its proper impact if we expect a . . . statute . . . to further enumerate every provision . . . to which it is relevant.”  (</w:t>
      </w:r>
      <w:r w:rsidRPr="001A41CB">
        <w:rPr>
          <w:i/>
          <w:iCs/>
        </w:rPr>
        <w:t>People v. Romanowski</w:t>
      </w:r>
      <w:r>
        <w:t xml:space="preserve"> (2017) 2 Cal.5th 903, 908–909 [construing Pen. Code, § 490.2, subd. (a)]; see </w:t>
      </w:r>
      <w:r w:rsidRPr="00F506CE">
        <w:rPr>
          <w:i/>
          <w:iCs/>
        </w:rPr>
        <w:t xml:space="preserve">Cross </w:t>
      </w:r>
      <w:r w:rsidRPr="00F506CE">
        <w:rPr>
          <w:i/>
          <w:iCs/>
        </w:rPr>
        <w:t>v. Superior Court</w:t>
      </w:r>
      <w:r>
        <w:t xml:space="preserve"> (2017) 11 Cal.App.5th 305, 320–321.)</w:t>
      </w:r>
    </w:p>
    <w:p w14:paraId="2FC1DB33" w14:textId="77777777" w:rsidR="008C6DF5" w:rsidRDefault="008C6DF5" w:rsidP="008117BE">
      <w:r>
        <w:tab/>
      </w:r>
      <w:r>
        <w:t xml:space="preserve">Here, </w:t>
      </w:r>
      <w:r>
        <w:t xml:space="preserve">it is readily apparent that the subpoena power conferred by Government Code section 11181 is what makes it possible for the Department to effectively exercise its authority to review alleged incidents of excessive force and serious misconduct falling within the scope of section 832.7(b).  </w:t>
      </w:r>
      <w:r>
        <w:t>Indeed, the Department acknowledges the subpoena power is critical to its investigations</w:t>
      </w:r>
      <w:r>
        <w:t xml:space="preserve"> of such incidents.  Thus, l</w:t>
      </w:r>
      <w:r>
        <w:t xml:space="preserve">ike the investigatory files exemption in Government Code section 7923.600, </w:t>
      </w:r>
      <w:r>
        <w:t>Government Code section 11183</w:t>
      </w:r>
      <w:r>
        <w:t>’s</w:t>
      </w:r>
      <w:r>
        <w:t xml:space="preserve"> disclosure prohibition</w:t>
      </w:r>
      <w:r>
        <w:t>, if applied</w:t>
      </w:r>
      <w:r>
        <w:t xml:space="preserve"> </w:t>
      </w:r>
      <w:r>
        <w:t>to officer-related records</w:t>
      </w:r>
      <w:r>
        <w:t>,</w:t>
      </w:r>
      <w:r>
        <w:t xml:space="preserve"> </w:t>
      </w:r>
      <w:r>
        <w:t xml:space="preserve">is likely </w:t>
      </w:r>
      <w:r>
        <w:t xml:space="preserve">to </w:t>
      </w:r>
      <w:r>
        <w:t>shield</w:t>
      </w:r>
      <w:r>
        <w:t xml:space="preserve"> most, if not all, </w:t>
      </w:r>
      <w:r>
        <w:t>such records</w:t>
      </w:r>
      <w:r>
        <w:t xml:space="preserve"> </w:t>
      </w:r>
      <w:r>
        <w:t>obtained by</w:t>
      </w:r>
      <w:r>
        <w:t xml:space="preserve"> </w:t>
      </w:r>
      <w:r>
        <w:t>the Department</w:t>
      </w:r>
      <w:r>
        <w:t xml:space="preserve"> </w:t>
      </w:r>
      <w:r>
        <w:t xml:space="preserve">and thereby </w:t>
      </w:r>
      <w:r>
        <w:t xml:space="preserve">render </w:t>
      </w:r>
      <w:r>
        <w:t>section 832.7(b)</w:t>
      </w:r>
      <w:r>
        <w:t>’s application a nullity</w:t>
      </w:r>
      <w:r>
        <w:t xml:space="preserve"> in that regard</w:t>
      </w:r>
      <w:r>
        <w:t xml:space="preserve">.  </w:t>
      </w:r>
      <w:r>
        <w:t>(</w:t>
      </w:r>
      <w:r>
        <w:t>See</w:t>
      </w:r>
      <w:r>
        <w:t xml:space="preserve"> </w:t>
      </w:r>
      <w:r w:rsidRPr="00816E72">
        <w:rPr>
          <w:i/>
          <w:iCs/>
        </w:rPr>
        <w:t>State Farm Mutual Automobile Ins</w:t>
      </w:r>
      <w:r>
        <w:rPr>
          <w:i/>
          <w:iCs/>
        </w:rPr>
        <w:t>.</w:t>
      </w:r>
      <w:r w:rsidRPr="00816E72">
        <w:rPr>
          <w:i/>
          <w:iCs/>
        </w:rPr>
        <w:t xml:space="preserve"> Co. v. Garamendi</w:t>
      </w:r>
      <w:r>
        <w:t xml:space="preserve"> (2004) 32 Cal.4th 1029, 1042–1044 </w:t>
      </w:r>
      <w:r>
        <w:t>(</w:t>
      </w:r>
      <w:r w:rsidRPr="001F0F79">
        <w:rPr>
          <w:i/>
          <w:iCs/>
        </w:rPr>
        <w:t>Garamendi</w:t>
      </w:r>
      <w:r>
        <w:t xml:space="preserve">) </w:t>
      </w:r>
      <w:r>
        <w:t xml:space="preserve">[where statute mandated that </w:t>
      </w:r>
      <w:proofErr w:type="gramStart"/>
      <w:r>
        <w:t>“ ‘</w:t>
      </w:r>
      <w:proofErr w:type="gramEnd"/>
      <w:r>
        <w:t>[a]</w:t>
      </w:r>
      <w:proofErr w:type="spellStart"/>
      <w:r>
        <w:t>ll</w:t>
      </w:r>
      <w:proofErr w:type="spellEnd"/>
      <w:r>
        <w:t xml:space="preserve"> information provided” to the Insurance Commissioner “shall be available for public inspection,” </w:t>
      </w:r>
      <w:r>
        <w:t xml:space="preserve">court would not give effect to </w:t>
      </w:r>
      <w:r>
        <w:t>the trade secrets privileg</w:t>
      </w:r>
      <w:r>
        <w:t xml:space="preserve">e codified in Evidence Code section 1060, which would “nullify” the broad statutory mandate].)  </w:t>
      </w:r>
      <w:r>
        <w:t>W</w:t>
      </w:r>
      <w:r>
        <w:t>e</w:t>
      </w:r>
      <w:r>
        <w:t xml:space="preserve"> therefore</w:t>
      </w:r>
      <w:r>
        <w:t xml:space="preserve"> conclude that</w:t>
      </w:r>
      <w:r>
        <w:t>,</w:t>
      </w:r>
      <w:r w:rsidRPr="00F04B80">
        <w:t xml:space="preserve"> </w:t>
      </w:r>
      <w:r>
        <w:t xml:space="preserve">in the context of the Department’s </w:t>
      </w:r>
      <w:r>
        <w:lastRenderedPageBreak/>
        <w:t xml:space="preserve">independent review or </w:t>
      </w:r>
      <w:r>
        <w:t xml:space="preserve">investigation of conduct falling </w:t>
      </w:r>
      <w:r>
        <w:t>under</w:t>
      </w:r>
      <w:r>
        <w:t xml:space="preserve"> section 832.7(b),</w:t>
      </w:r>
      <w:r>
        <w:t xml:space="preserve"> </w:t>
      </w:r>
      <w:r>
        <w:t xml:space="preserve">categorical </w:t>
      </w:r>
      <w:r>
        <w:t xml:space="preserve">application of </w:t>
      </w:r>
      <w:r>
        <w:t>Government Code section 11183</w:t>
      </w:r>
      <w:r>
        <w:t>’s disclosure prohibition</w:t>
      </w:r>
      <w:r>
        <w:t xml:space="preserve"> </w:t>
      </w:r>
      <w:r>
        <w:t>stands</w:t>
      </w:r>
      <w:r>
        <w:t xml:space="preserve"> in direct conflict with</w:t>
      </w:r>
      <w:r>
        <w:t xml:space="preserve"> section 832.7(b)’s </w:t>
      </w:r>
      <w:r>
        <w:t>express contemplation that</w:t>
      </w:r>
      <w:r>
        <w:t xml:space="preserve"> </w:t>
      </w:r>
      <w:r>
        <w:t>officer-related</w:t>
      </w:r>
      <w:r>
        <w:t xml:space="preserve"> records</w:t>
      </w:r>
      <w:r>
        <w:t xml:space="preserve"> </w:t>
      </w:r>
      <w:r>
        <w:t xml:space="preserve">“shall not be confidential and shall be made available for public inspection </w:t>
      </w:r>
      <w:r>
        <w:t>pursuant to the [CPRA].</w:t>
      </w:r>
      <w:r>
        <w:t>”</w:t>
      </w:r>
      <w:r>
        <w:t xml:space="preserve"> </w:t>
      </w:r>
    </w:p>
    <w:p w14:paraId="3B02FD08" w14:textId="77777777" w:rsidR="008C6DF5" w:rsidRDefault="008C6DF5" w:rsidP="008536A2">
      <w:r>
        <w:tab/>
      </w:r>
      <w:r>
        <w:t xml:space="preserve">Our conclusion </w:t>
      </w:r>
      <w:r>
        <w:t xml:space="preserve">that the two statutes are in conflict </w:t>
      </w:r>
      <w:r>
        <w:t xml:space="preserve">finds </w:t>
      </w:r>
      <w:r>
        <w:t xml:space="preserve">analogous </w:t>
      </w:r>
      <w:r>
        <w:t xml:space="preserve">support in </w:t>
      </w:r>
      <w:r w:rsidRPr="003F1A09">
        <w:rPr>
          <w:i/>
          <w:iCs/>
        </w:rPr>
        <w:t>State Dept. of Public Health v. Superior Court</w:t>
      </w:r>
      <w:r>
        <w:t xml:space="preserve"> (2015) 60 Cal.4th 940 (</w:t>
      </w:r>
      <w:r w:rsidRPr="009C186E">
        <w:rPr>
          <w:i/>
          <w:iCs/>
        </w:rPr>
        <w:t>SDPH</w:t>
      </w:r>
      <w:r>
        <w:t xml:space="preserve">).  </w:t>
      </w:r>
      <w:r>
        <w:t xml:space="preserve">There, </w:t>
      </w:r>
      <w:r>
        <w:t xml:space="preserve">a news organization </w:t>
      </w:r>
      <w:r>
        <w:t>filed a CPRA request for copies of all</w:t>
      </w:r>
      <w:r>
        <w:t xml:space="preserve"> patient care violation citations that the Department of Public Health (</w:t>
      </w:r>
      <w:r>
        <w:t>DPH</w:t>
      </w:r>
      <w:r>
        <w:t>)</w:t>
      </w:r>
      <w:r>
        <w:t xml:space="preserve"> </w:t>
      </w:r>
      <w:r>
        <w:t xml:space="preserve">issued </w:t>
      </w:r>
      <w:r>
        <w:t xml:space="preserve">to </w:t>
      </w:r>
      <w:r>
        <w:t xml:space="preserve">seven </w:t>
      </w:r>
      <w:r>
        <w:t xml:space="preserve">state-owned long-term health care facilities </w:t>
      </w:r>
      <w:r>
        <w:t>pursuant to the Long-Term Care Act</w:t>
      </w:r>
      <w:r>
        <w:t>.  (</w:t>
      </w:r>
      <w:r>
        <w:rPr>
          <w:i/>
          <w:iCs/>
        </w:rPr>
        <w:t>S</w:t>
      </w:r>
      <w:r>
        <w:rPr>
          <w:i/>
          <w:iCs/>
        </w:rPr>
        <w:t>DP</w:t>
      </w:r>
      <w:r>
        <w:rPr>
          <w:i/>
          <w:iCs/>
        </w:rPr>
        <w:t>H</w:t>
      </w:r>
      <w:r>
        <w:t>,</w:t>
      </w:r>
      <w:r>
        <w:t xml:space="preserve"> at pp. 94</w:t>
      </w:r>
      <w:r>
        <w:t>6</w:t>
      </w:r>
      <w:r>
        <w:t>–94</w:t>
      </w:r>
      <w:r>
        <w:t>7</w:t>
      </w:r>
      <w:r>
        <w:t>.)</w:t>
      </w:r>
      <w:r>
        <w:t xml:space="preserve">  </w:t>
      </w:r>
      <w:r>
        <w:t>DPH, r</w:t>
      </w:r>
      <w:r>
        <w:t xml:space="preserve">elying on the </w:t>
      </w:r>
      <w:r>
        <w:t xml:space="preserve">Lanterman-Petris-Short Act and the </w:t>
      </w:r>
      <w:r>
        <w:t>Lanterman Developmental Disabiliti</w:t>
      </w:r>
      <w:r>
        <w:t>es Services Act (collectively, the Lanterman Act), responded by producing heavily redacted citations containing “scant information about the violations giving rise to each citation.”  (</w:t>
      </w:r>
      <w:r>
        <w:rPr>
          <w:i/>
          <w:iCs/>
        </w:rPr>
        <w:t>SDPH</w:t>
      </w:r>
      <w:r>
        <w:t>,</w:t>
      </w:r>
      <w:r>
        <w:t xml:space="preserve"> at p. 947.)  The news organization filed a petition for a writ of mandate </w:t>
      </w:r>
      <w:r>
        <w:t>seeking an order that DPH disclose the redacted material.  (</w:t>
      </w:r>
      <w:r w:rsidRPr="0013507D">
        <w:rPr>
          <w:i/>
          <w:iCs/>
        </w:rPr>
        <w:t>Id</w:t>
      </w:r>
      <w:r>
        <w:t>. at p. 948.)</w:t>
      </w:r>
    </w:p>
    <w:p w14:paraId="7CB1FD03" w14:textId="77777777" w:rsidR="008C6DF5" w:rsidRDefault="008C6DF5" w:rsidP="008536A2">
      <w:r>
        <w:tab/>
        <w:t xml:space="preserve">As relevant here, the Supreme Court found it </w:t>
      </w:r>
      <w:r>
        <w:t>“</w:t>
      </w:r>
      <w:r>
        <w:t>eviden</w:t>
      </w:r>
      <w:r>
        <w:t>t”</w:t>
      </w:r>
      <w:r>
        <w:t xml:space="preserve"> that the Long-Term Care Act and the Lanterman Act conflict.  (</w:t>
      </w:r>
      <w:r w:rsidRPr="0013507D">
        <w:rPr>
          <w:i/>
          <w:iCs/>
        </w:rPr>
        <w:t>SDPH</w:t>
      </w:r>
      <w:r>
        <w:t xml:space="preserve">, </w:t>
      </w:r>
      <w:r w:rsidRPr="0013507D">
        <w:rPr>
          <w:i/>
          <w:iCs/>
        </w:rPr>
        <w:t>supra</w:t>
      </w:r>
      <w:r>
        <w:t xml:space="preserve">, 60 Cal.4th at p. 958.)  </w:t>
      </w:r>
      <w:r>
        <w:t>As the court observed, t</w:t>
      </w:r>
      <w:r>
        <w:t xml:space="preserve">he Long-Term Care Act </w:t>
      </w:r>
      <w:r>
        <w:t>requires</w:t>
      </w:r>
      <w:r>
        <w:t xml:space="preserve"> that a </w:t>
      </w:r>
      <w:r>
        <w:t>patient care</w:t>
      </w:r>
      <w:r>
        <w:t xml:space="preserve"> violation</w:t>
      </w:r>
      <w:r>
        <w:t xml:space="preserve"> citation</w:t>
      </w:r>
      <w:r>
        <w:t xml:space="preserve"> include past and current medical and mental health information of a mistreated patient, and a description of the risk the violation presents to the patient’s mental and physical condition</w:t>
      </w:r>
      <w:r>
        <w:t xml:space="preserve"> (</w:t>
      </w:r>
      <w:r w:rsidRPr="00706174">
        <w:rPr>
          <w:i/>
          <w:iCs/>
        </w:rPr>
        <w:t>SDPH</w:t>
      </w:r>
      <w:r>
        <w:t>, at p. 951)</w:t>
      </w:r>
      <w:r>
        <w:t>; the act emphasizes that patient names must be redacted “but does not mention any other redaction”</w:t>
      </w:r>
      <w:r>
        <w:t xml:space="preserve"> (</w:t>
      </w:r>
      <w:r>
        <w:rPr>
          <w:i/>
          <w:iCs/>
        </w:rPr>
        <w:t>i</w:t>
      </w:r>
      <w:r>
        <w:rPr>
          <w:i/>
          <w:iCs/>
        </w:rPr>
        <w:t>d</w:t>
      </w:r>
      <w:r w:rsidRPr="00A30ABB">
        <w:t>.</w:t>
      </w:r>
      <w:r>
        <w:t xml:space="preserve"> at </w:t>
      </w:r>
      <w:r>
        <w:t>p</w:t>
      </w:r>
      <w:r>
        <w:t>. </w:t>
      </w:r>
      <w:r>
        <w:t>95</w:t>
      </w:r>
      <w:r>
        <w:t>2</w:t>
      </w:r>
      <w:r>
        <w:t>)</w:t>
      </w:r>
      <w:r>
        <w:t>.</w:t>
      </w:r>
      <w:r>
        <w:t xml:space="preserve">  </w:t>
      </w:r>
      <w:r>
        <w:t xml:space="preserve">Under the Long-Term Care Act, a patient care violation citation </w:t>
      </w:r>
      <w:r>
        <w:t xml:space="preserve">is </w:t>
      </w:r>
      <w:proofErr w:type="gramStart"/>
      <w:r>
        <w:t>“</w:t>
      </w:r>
      <w:r>
        <w:t> ‘</w:t>
      </w:r>
      <w:proofErr w:type="gramEnd"/>
      <w:r>
        <w:t>a public record</w:t>
      </w:r>
      <w:r>
        <w:t xml:space="preserve">’ ” </w:t>
      </w:r>
      <w:r>
        <w:t>and “</w:t>
      </w:r>
      <w:r>
        <w:t> ‘</w:t>
      </w:r>
      <w:r>
        <w:t>open to public inspection pursuant to [provisions of the CPRA]</w:t>
      </w:r>
      <w:r>
        <w:t>’ </w:t>
      </w:r>
      <w:r>
        <w:t xml:space="preserve">” </w:t>
      </w:r>
      <w:r>
        <w:t>(</w:t>
      </w:r>
      <w:r w:rsidRPr="009C186E">
        <w:rPr>
          <w:i/>
          <w:iCs/>
        </w:rPr>
        <w:t>SDPH</w:t>
      </w:r>
      <w:r>
        <w:t>,</w:t>
      </w:r>
      <w:r>
        <w:t xml:space="preserve"> at </w:t>
      </w:r>
      <w:r>
        <w:t>p</w:t>
      </w:r>
      <w:r>
        <w:t>. 952)</w:t>
      </w:r>
      <w:r>
        <w:t xml:space="preserve">, </w:t>
      </w:r>
      <w:r>
        <w:lastRenderedPageBreak/>
        <w:t xml:space="preserve">and </w:t>
      </w:r>
      <w:r>
        <w:t xml:space="preserve">citations </w:t>
      </w:r>
      <w:r>
        <w:t xml:space="preserve">must </w:t>
      </w:r>
      <w:r>
        <w:t xml:space="preserve">also </w:t>
      </w:r>
      <w:r>
        <w:t xml:space="preserve">be posted </w:t>
      </w:r>
      <w:r>
        <w:t xml:space="preserve">as statutorily </w:t>
      </w:r>
      <w:r>
        <w:t>specified</w:t>
      </w:r>
      <w:r>
        <w:t xml:space="preserve"> </w:t>
      </w:r>
      <w:r>
        <w:t>upon pain of a</w:t>
      </w:r>
      <w:r>
        <w:t xml:space="preserve"> $1,000 civil penalty</w:t>
      </w:r>
      <w:r>
        <w:t xml:space="preserve"> (</w:t>
      </w:r>
      <w:r>
        <w:rPr>
          <w:i/>
          <w:iCs/>
        </w:rPr>
        <w:t>i</w:t>
      </w:r>
      <w:r w:rsidRPr="00DB66A1">
        <w:rPr>
          <w:i/>
          <w:iCs/>
        </w:rPr>
        <w:t>d</w:t>
      </w:r>
      <w:r>
        <w:t>. at p. 958)</w:t>
      </w:r>
      <w:r>
        <w:t>.</w:t>
      </w:r>
      <w:r>
        <w:t xml:space="preserve">  </w:t>
      </w:r>
      <w:r>
        <w:t>Meanwhile</w:t>
      </w:r>
      <w:r>
        <w:t>, the Lanterman Act</w:t>
      </w:r>
      <w:r>
        <w:t xml:space="preserve"> </w:t>
      </w:r>
      <w:r>
        <w:t xml:space="preserve">generally </w:t>
      </w:r>
      <w:r>
        <w:t>regards as confidential</w:t>
      </w:r>
      <w:r>
        <w:t xml:space="preserve"> any information obtained </w:t>
      </w:r>
      <w:proofErr w:type="gramStart"/>
      <w:r>
        <w:t>in the course of</w:t>
      </w:r>
      <w:proofErr w:type="gramEnd"/>
      <w:r>
        <w:t xml:space="preserve"> providing </w:t>
      </w:r>
      <w:r>
        <w:t>enumerated services t</w:t>
      </w:r>
      <w:r>
        <w:t>o individuals with mental and developmental conditions</w:t>
      </w:r>
      <w:r>
        <w:t xml:space="preserve"> and authorizes</w:t>
      </w:r>
      <w:r>
        <w:t xml:space="preserve"> minimum</w:t>
      </w:r>
      <w:r>
        <w:t xml:space="preserve"> civil </w:t>
      </w:r>
      <w:r>
        <w:t xml:space="preserve">liability of $10,000 for a knowing </w:t>
      </w:r>
      <w:r>
        <w:t>disclosure violation</w:t>
      </w:r>
      <w:r>
        <w:t xml:space="preserve"> and minimum liability of $1,000 for a negligent disclosure</w:t>
      </w:r>
      <w:r>
        <w:t>.</w:t>
      </w:r>
      <w:r>
        <w:t xml:space="preserve">  (</w:t>
      </w:r>
      <w:r>
        <w:rPr>
          <w:i/>
          <w:iCs/>
        </w:rPr>
        <w:t>SDPH</w:t>
      </w:r>
      <w:r>
        <w:t>,</w:t>
      </w:r>
      <w:r>
        <w:t xml:space="preserve"> at p. </w:t>
      </w:r>
      <w:r>
        <w:t>958.)  Th</w:t>
      </w:r>
      <w:r>
        <w:t>us, th</w:t>
      </w:r>
      <w:r>
        <w:t>e express terms of the Lanterman Act “would render most of the information included in a DPH citation</w:t>
      </w:r>
      <w:r>
        <w:t xml:space="preserve"> confidential and therefore not subject to disclosure.”  (</w:t>
      </w:r>
      <w:r>
        <w:rPr>
          <w:i/>
          <w:iCs/>
        </w:rPr>
        <w:t>SDPH</w:t>
      </w:r>
      <w:r>
        <w:t>,</w:t>
      </w:r>
      <w:r>
        <w:t xml:space="preserve"> at pp. 957–958.)</w:t>
      </w:r>
    </w:p>
    <w:p w14:paraId="53444583" w14:textId="77777777" w:rsidR="008C6DF5" w:rsidRDefault="008C6DF5" w:rsidP="008536A2">
      <w:r>
        <w:tab/>
      </w:r>
      <w:r>
        <w:t>T</w:t>
      </w:r>
      <w:r>
        <w:t xml:space="preserve">he Long-Term Care Act did not include language </w:t>
      </w:r>
      <w:r>
        <w:t xml:space="preserve">expressly </w:t>
      </w:r>
      <w:r>
        <w:t>stating its disclosure requirements apply notwithstanding any other law</w:t>
      </w:r>
      <w:r>
        <w:t>.  Nonetheless</w:t>
      </w:r>
      <w:r>
        <w:t>, t</w:t>
      </w:r>
      <w:r>
        <w:t xml:space="preserve">he </w:t>
      </w:r>
      <w:r>
        <w:t xml:space="preserve">Supreme Court </w:t>
      </w:r>
      <w:r>
        <w:t xml:space="preserve">concluded “the specificity with which the Long-Term Care Act discusses DPH citations and the fact that </w:t>
      </w:r>
      <w:r>
        <w:t xml:space="preserve">[individuals with </w:t>
      </w:r>
      <w:r>
        <w:t>developmental</w:t>
      </w:r>
      <w:r>
        <w:t xml:space="preserve"> and mental health conditions]</w:t>
      </w:r>
      <w:r>
        <w:t xml:space="preserve"> are among the primary groups the Legislature sought to protect via the Long-Term Care Act” evince</w:t>
      </w:r>
      <w:r>
        <w:t>s</w:t>
      </w:r>
      <w:r>
        <w:t xml:space="preserve"> the Legislature’s intent that</w:t>
      </w:r>
      <w:r>
        <w:t>, regardless of the Lanterman Act’s broad confidentialit</w:t>
      </w:r>
      <w:r>
        <w:t>y language,</w:t>
      </w:r>
      <w:r>
        <w:t xml:space="preserve"> DPH citations </w:t>
      </w:r>
      <w:r>
        <w:t>“</w:t>
      </w:r>
      <w:r>
        <w:t>be made public subject only to any redaction required by the Long-Term Care Act</w:t>
      </w:r>
      <w:r>
        <w:t>.</w:t>
      </w:r>
      <w:r>
        <w:t>”  (</w:t>
      </w:r>
      <w:r w:rsidRPr="00171F6B">
        <w:rPr>
          <w:i/>
          <w:iCs/>
        </w:rPr>
        <w:t>SDPH</w:t>
      </w:r>
      <w:r>
        <w:t xml:space="preserve">, </w:t>
      </w:r>
      <w:r w:rsidRPr="00171F6B">
        <w:rPr>
          <w:i/>
          <w:iCs/>
        </w:rPr>
        <w:t>supra</w:t>
      </w:r>
      <w:r>
        <w:t xml:space="preserve">, 60 Cal.4th at p. 961.)  In sum, the </w:t>
      </w:r>
      <w:r>
        <w:t>Supreme C</w:t>
      </w:r>
      <w:r>
        <w:t>ourt held</w:t>
      </w:r>
      <w:r>
        <w:t xml:space="preserve"> </w:t>
      </w:r>
      <w:r>
        <w:t xml:space="preserve">“the Long-Term Care Act’s provisions govern the scope of information contained in DPH citations that must be released to the public” </w:t>
      </w:r>
      <w:r>
        <w:t>in response to a CPRA request</w:t>
      </w:r>
      <w:r>
        <w:t>.</w:t>
      </w:r>
      <w:r>
        <w:t xml:space="preserve">  (</w:t>
      </w:r>
      <w:r w:rsidRPr="002218DD">
        <w:rPr>
          <w:i/>
          <w:iCs/>
        </w:rPr>
        <w:t>Id</w:t>
      </w:r>
      <w:r>
        <w:t>. at p. </w:t>
      </w:r>
      <w:r>
        <w:t>964.)</w:t>
      </w:r>
      <w:r>
        <w:t xml:space="preserve">  </w:t>
      </w:r>
    </w:p>
    <w:p w14:paraId="7D2BA24E" w14:textId="77777777" w:rsidR="008C6DF5" w:rsidRDefault="008C6DF5" w:rsidP="008536A2">
      <w:r>
        <w:tab/>
      </w:r>
      <w:proofErr w:type="gramStart"/>
      <w:r>
        <w:t>Similar to</w:t>
      </w:r>
      <w:proofErr w:type="gramEnd"/>
      <w:r>
        <w:t xml:space="preserve"> the situation in </w:t>
      </w:r>
      <w:r w:rsidRPr="00B83DCF">
        <w:rPr>
          <w:i/>
          <w:iCs/>
        </w:rPr>
        <w:t>SDPH</w:t>
      </w:r>
      <w:r>
        <w:t xml:space="preserve">, </w:t>
      </w:r>
      <w:r>
        <w:t xml:space="preserve">the specificity with which section 832.7(b) </w:t>
      </w:r>
      <w:r>
        <w:t xml:space="preserve">addresses the </w:t>
      </w:r>
      <w:r>
        <w:t xml:space="preserve">parameters for </w:t>
      </w:r>
      <w:r>
        <w:t xml:space="preserve">disclosure </w:t>
      </w:r>
      <w:r>
        <w:t>and redaction of</w:t>
      </w:r>
      <w:r>
        <w:t xml:space="preserve"> </w:t>
      </w:r>
      <w:r>
        <w:t xml:space="preserve">responsive </w:t>
      </w:r>
      <w:r>
        <w:t>officer-related records</w:t>
      </w:r>
      <w:r>
        <w:t xml:space="preserve"> culled from personnel records and investigatory files</w:t>
      </w:r>
      <w:r>
        <w:t>,</w:t>
      </w:r>
      <w:r>
        <w:t xml:space="preserve"> evinces the Legislature</w:t>
      </w:r>
      <w:r>
        <w:t>’s</w:t>
      </w:r>
      <w:r>
        <w:t xml:space="preserve"> intent that, regardless of Government Code section 11183, the BPD records obtained as part of </w:t>
      </w:r>
      <w:r>
        <w:t>the Department’s</w:t>
      </w:r>
      <w:r>
        <w:t xml:space="preserve"> investigation of </w:t>
      </w:r>
      <w:r>
        <w:lastRenderedPageBreak/>
        <w:t xml:space="preserve">conduct falling </w:t>
      </w:r>
      <w:r>
        <w:t>under</w:t>
      </w:r>
      <w:r>
        <w:t xml:space="preserve"> section 832.7(b) are nonconfidential and subject to public inspection. </w:t>
      </w:r>
      <w:r>
        <w:t xml:space="preserve"> </w:t>
      </w:r>
      <w:r>
        <w:t>T</w:t>
      </w:r>
      <w:r>
        <w:t xml:space="preserve">o </w:t>
      </w:r>
      <w:r>
        <w:t>hold</w:t>
      </w:r>
      <w:r>
        <w:t xml:space="preserve"> otherwise would </w:t>
      </w:r>
      <w:r>
        <w:t xml:space="preserve">disregard the straightforward import of </w:t>
      </w:r>
      <w:r>
        <w:t>section 8</w:t>
      </w:r>
      <w:r>
        <w:t xml:space="preserve">32.7(b)(1)’s </w:t>
      </w:r>
      <w:r>
        <w:t xml:space="preserve">notwithstanding clause directing that </w:t>
      </w:r>
      <w:r>
        <w:t xml:space="preserve">such records be made </w:t>
      </w:r>
      <w:r>
        <w:t xml:space="preserve">publicly </w:t>
      </w:r>
      <w:r>
        <w:t>available despite state law exemption</w:t>
      </w:r>
      <w:r>
        <w:t>s</w:t>
      </w:r>
      <w:r>
        <w:t xml:space="preserve"> </w:t>
      </w:r>
      <w:r>
        <w:t>that would</w:t>
      </w:r>
      <w:r>
        <w:t xml:space="preserve"> directly prevent or obstruct their disclosure.</w:t>
      </w:r>
      <w:r>
        <w:t xml:space="preserve"> </w:t>
      </w:r>
      <w:r>
        <w:t xml:space="preserve"> (</w:t>
      </w:r>
      <w:r>
        <w:t xml:space="preserve">See </w:t>
      </w:r>
      <w:proofErr w:type="spellStart"/>
      <w:r w:rsidRPr="00903914">
        <w:rPr>
          <w:i/>
          <w:iCs/>
        </w:rPr>
        <w:t>Klajic</w:t>
      </w:r>
      <w:proofErr w:type="spellEnd"/>
      <w:r w:rsidRPr="00903914">
        <w:rPr>
          <w:i/>
          <w:iCs/>
        </w:rPr>
        <w:t xml:space="preserve"> v. Castaic Lake Water Agency</w:t>
      </w:r>
      <w:r>
        <w:t xml:space="preserve"> (2004) 121 Cal.App.4th 5, 13</w:t>
      </w:r>
      <w:r>
        <w:t>.)</w:t>
      </w:r>
      <w:r>
        <w:t xml:space="preserve">  </w:t>
      </w:r>
    </w:p>
    <w:p w14:paraId="0DFE83DF" w14:textId="77777777" w:rsidR="008C6DF5" w:rsidRDefault="008C6DF5" w:rsidP="008536A2">
      <w:r>
        <w:tab/>
      </w:r>
      <w:r>
        <w:t>According to the Department, th</w:t>
      </w:r>
      <w:r>
        <w:t>e</w:t>
      </w:r>
      <w:r>
        <w:t xml:space="preserve"> circumstance </w:t>
      </w:r>
      <w:r>
        <w:t xml:space="preserve">that </w:t>
      </w:r>
      <w:r>
        <w:t>section 832.7(b)(1)</w:t>
      </w:r>
      <w:r>
        <w:t xml:space="preserve"> </w:t>
      </w:r>
      <w:r>
        <w:t>cites</w:t>
      </w:r>
      <w:r>
        <w:t xml:space="preserve"> Government Code section </w:t>
      </w:r>
      <w:proofErr w:type="gramStart"/>
      <w:r>
        <w:t>7923.600</w:t>
      </w:r>
      <w:proofErr w:type="gramEnd"/>
      <w:r>
        <w:t xml:space="preserve"> but no other CPRA exemption </w:t>
      </w:r>
      <w:r>
        <w:t>gives rise to the inference</w:t>
      </w:r>
      <w:r>
        <w:t xml:space="preserve"> that </w:t>
      </w:r>
      <w:r>
        <w:t xml:space="preserve">section 832.7(b) </w:t>
      </w:r>
      <w:r>
        <w:t>leaves intact</w:t>
      </w:r>
      <w:r>
        <w:t xml:space="preserve"> </w:t>
      </w:r>
      <w:r>
        <w:t xml:space="preserve">the stipulation in </w:t>
      </w:r>
      <w:r>
        <w:t xml:space="preserve">Government Code section </w:t>
      </w:r>
      <w:r>
        <w:t>7927.705</w:t>
      </w:r>
      <w:r>
        <w:t xml:space="preserve"> </w:t>
      </w:r>
      <w:r>
        <w:t xml:space="preserve">that the CPRA does not require disclosure of records where disclosure is </w:t>
      </w:r>
      <w:r>
        <w:t xml:space="preserve">prohibited or </w:t>
      </w:r>
      <w:r>
        <w:t xml:space="preserve">exempted </w:t>
      </w:r>
      <w:r>
        <w:t>pursuant to</w:t>
      </w:r>
      <w:r>
        <w:t xml:space="preserve"> state law.</w:t>
      </w:r>
      <w:r>
        <w:t xml:space="preserve">  Though this statement appears correct as far as it goes, </w:t>
      </w:r>
      <w:r>
        <w:t xml:space="preserve">we reject </w:t>
      </w:r>
      <w:r>
        <w:t>the Department</w:t>
      </w:r>
      <w:r>
        <w:t xml:space="preserve">’s further suggestion that </w:t>
      </w:r>
      <w:r>
        <w:t>section 832.7(b) thereby intend</w:t>
      </w:r>
      <w:r>
        <w:t>s</w:t>
      </w:r>
      <w:r>
        <w:t xml:space="preserve"> to give effect to</w:t>
      </w:r>
      <w:r>
        <w:t xml:space="preserve"> all exemptions generally incorporated into the CPRA by Government Code section 7927.705.</w:t>
      </w:r>
    </w:p>
    <w:p w14:paraId="7815CD76" w14:textId="77777777" w:rsidR="008C6DF5" w:rsidRDefault="008C6DF5" w:rsidP="0074366F">
      <w:r w:rsidRPr="004D5D48">
        <w:tab/>
      </w:r>
      <w:r>
        <w:t>The language of</w:t>
      </w:r>
      <w:r>
        <w:t xml:space="preserve"> section 832.7(b)(1)</w:t>
      </w:r>
      <w:r>
        <w:t xml:space="preserve"> </w:t>
      </w:r>
      <w:r>
        <w:t>declar</w:t>
      </w:r>
      <w:r>
        <w:t>es</w:t>
      </w:r>
      <w:r>
        <w:t xml:space="preserve"> that officer-related records “shall not be confidential and shall be made available for public inspection </w:t>
      </w:r>
      <w:r w:rsidRPr="00980546">
        <w:rPr>
          <w:i/>
          <w:iCs/>
        </w:rPr>
        <w:t xml:space="preserve">pursuant to the </w:t>
      </w:r>
      <w:r w:rsidRPr="00980546">
        <w:t>[</w:t>
      </w:r>
      <w:r w:rsidRPr="00980546">
        <w:rPr>
          <w:i/>
          <w:iCs/>
        </w:rPr>
        <w:t>CPRA</w:t>
      </w:r>
      <w:r w:rsidRPr="00980546">
        <w:t>]</w:t>
      </w:r>
      <w:r>
        <w:t xml:space="preserve">.”  </w:t>
      </w:r>
      <w:r>
        <w:t xml:space="preserve">(Italics added.)  </w:t>
      </w:r>
      <w:r w:rsidRPr="004D5D48">
        <w:t xml:space="preserve">As we </w:t>
      </w:r>
      <w:r>
        <w:t>indicated</w:t>
      </w:r>
      <w:r w:rsidRPr="004D5D48">
        <w:t xml:space="preserve"> in </w:t>
      </w:r>
      <w:r w:rsidRPr="004D5D48">
        <w:rPr>
          <w:i/>
          <w:iCs/>
        </w:rPr>
        <w:t>Becerra</w:t>
      </w:r>
      <w:r w:rsidRPr="004D5D48">
        <w:t>,</w:t>
      </w:r>
      <w:r w:rsidRPr="004D5D48">
        <w:rPr>
          <w:shd w:val="clear" w:color="auto" w:fill="FFFFFF"/>
        </w:rPr>
        <w:t xml:space="preserve"> </w:t>
      </w:r>
      <w:r>
        <w:rPr>
          <w:shd w:val="clear" w:color="auto" w:fill="FFFFFF"/>
        </w:rPr>
        <w:t>the inclusion of th</w:t>
      </w:r>
      <w:r>
        <w:rPr>
          <w:shd w:val="clear" w:color="auto" w:fill="FFFFFF"/>
        </w:rPr>
        <w:t>e italicized</w:t>
      </w:r>
      <w:r>
        <w:rPr>
          <w:shd w:val="clear" w:color="auto" w:fill="FFFFFF"/>
        </w:rPr>
        <w:t xml:space="preserve"> language </w:t>
      </w:r>
      <w:r>
        <w:t>signals the Legislature’s intent that the CPRA remains essential to section 832.7(b)’s operation.  (</w:t>
      </w:r>
      <w:r w:rsidRPr="000B5039">
        <w:rPr>
          <w:i/>
          <w:iCs/>
        </w:rPr>
        <w:t>Becerra</w:t>
      </w:r>
      <w:r>
        <w:t xml:space="preserve">, </w:t>
      </w:r>
      <w:r w:rsidRPr="000B5039">
        <w:rPr>
          <w:i/>
          <w:iCs/>
        </w:rPr>
        <w:t>supra</w:t>
      </w:r>
      <w:r>
        <w:t xml:space="preserve">, 44 Cal.App.4th at p. 925.)  </w:t>
      </w:r>
      <w:r>
        <w:t xml:space="preserve">This point is reinforced by </w:t>
      </w:r>
      <w:r w:rsidRPr="007202A3">
        <w:rPr>
          <w:i/>
          <w:iCs/>
        </w:rPr>
        <w:t>Becerra</w:t>
      </w:r>
      <w:r>
        <w:t xml:space="preserve">’s </w:t>
      </w:r>
      <w:r>
        <w:t>recognition that the notwithstanding clause</w:t>
      </w:r>
      <w:r>
        <w:t xml:space="preserve"> “cannot reasonably be read to do away with the entire CPRA”; rather, </w:t>
      </w:r>
      <w:proofErr w:type="gramStart"/>
      <w:r>
        <w:t>“ ‘</w:t>
      </w:r>
      <w:proofErr w:type="gramEnd"/>
      <w:r>
        <w:t>only those provisions of the law that conflict with’ section 832.7(b)—‘not . . . every provision of law’—are inapplicable.”  (</w:t>
      </w:r>
      <w:r w:rsidRPr="00AF02F5">
        <w:rPr>
          <w:i/>
          <w:iCs/>
        </w:rPr>
        <w:t>Ibid</w:t>
      </w:r>
      <w:r>
        <w:t>.</w:t>
      </w:r>
      <w:r>
        <w:t>)</w:t>
      </w:r>
    </w:p>
    <w:p w14:paraId="777824B2" w14:textId="77777777" w:rsidR="008C6DF5" w:rsidRDefault="008C6DF5" w:rsidP="0074366F">
      <w:r>
        <w:tab/>
      </w:r>
      <w:r>
        <w:t xml:space="preserve">Consequently, like the catchall exemption addressed in </w:t>
      </w:r>
      <w:r w:rsidRPr="002B0445">
        <w:rPr>
          <w:i/>
          <w:iCs/>
        </w:rPr>
        <w:t>Becerra</w:t>
      </w:r>
      <w:r>
        <w:t xml:space="preserve">, other </w:t>
      </w:r>
      <w:r>
        <w:t xml:space="preserve">statutory </w:t>
      </w:r>
      <w:r>
        <w:t>disclosure exemptions</w:t>
      </w:r>
      <w:r>
        <w:t xml:space="preserve"> </w:t>
      </w:r>
      <w:r>
        <w:t xml:space="preserve">that do not </w:t>
      </w:r>
      <w:r>
        <w:t>pos</w:t>
      </w:r>
      <w:r>
        <w:t>e</w:t>
      </w:r>
      <w:r>
        <w:t xml:space="preserve"> a direct conflict with </w:t>
      </w:r>
      <w:r>
        <w:t xml:space="preserve">section </w:t>
      </w:r>
      <w:r>
        <w:t>83</w:t>
      </w:r>
      <w:r>
        <w:t>2</w:t>
      </w:r>
      <w:r>
        <w:t>.7(b)</w:t>
      </w:r>
      <w:r>
        <w:t xml:space="preserve">—whether mentioned by name within the CPRA or incorporated into </w:t>
      </w:r>
      <w:r>
        <w:lastRenderedPageBreak/>
        <w:t xml:space="preserve">the CPRA by Government Code section 7927.705—may continue to operate.  Again, whether a statutory exemption directly conflicts with section 832.7(b) does not turn on the mere circumstance that application of the exemption would result in the withholding of responsive records.  </w:t>
      </w:r>
      <w:r>
        <w:t xml:space="preserve">Here, we </w:t>
      </w:r>
      <w:r>
        <w:t>may</w:t>
      </w:r>
      <w:r>
        <w:t xml:space="preserve"> reasonably infer from </w:t>
      </w:r>
      <w:r>
        <w:t>the e</w:t>
      </w:r>
      <w:r>
        <w:t>ntire text of section 832.7(b)(1)</w:t>
      </w:r>
      <w:r>
        <w:t xml:space="preserve"> that</w:t>
      </w:r>
      <w:r>
        <w:t xml:space="preserve"> its call for disclosure</w:t>
      </w:r>
      <w:r>
        <w:t xml:space="preserve"> is intended to </w:t>
      </w:r>
      <w:r>
        <w:t>supersede</w:t>
      </w:r>
      <w:r>
        <w:t xml:space="preserve">, </w:t>
      </w:r>
      <w:r>
        <w:t>at minimum</w:t>
      </w:r>
      <w:r>
        <w:t>,</w:t>
      </w:r>
      <w:r>
        <w:t xml:space="preserve"> </w:t>
      </w:r>
      <w:r>
        <w:t>those exemption</w:t>
      </w:r>
      <w:r>
        <w:t>s</w:t>
      </w:r>
      <w:r>
        <w:t xml:space="preserve"> </w:t>
      </w:r>
      <w:r>
        <w:t>like</w:t>
      </w:r>
      <w:r>
        <w:t xml:space="preserve"> section 832.7(a) and Government Code section 7923.600</w:t>
      </w:r>
      <w:r>
        <w:t xml:space="preserve"> that</w:t>
      </w:r>
      <w:r>
        <w:t xml:space="preserve"> </w:t>
      </w:r>
      <w:r>
        <w:t>would</w:t>
      </w:r>
      <w:r>
        <w:t xml:space="preserve"> </w:t>
      </w:r>
      <w:r>
        <w:t>“</w:t>
      </w:r>
      <w:r>
        <w:t>nullify</w:t>
      </w:r>
      <w:r>
        <w:t>”</w:t>
      </w:r>
      <w:r>
        <w:t xml:space="preserve"> its application to</w:t>
      </w:r>
      <w:r>
        <w:t xml:space="preserve"> a wide </w:t>
      </w:r>
      <w:r>
        <w:t xml:space="preserve">or significant </w:t>
      </w:r>
      <w:r>
        <w:t>swath of officer-related records</w:t>
      </w:r>
      <w:r>
        <w:t>.  (</w:t>
      </w:r>
      <w:r w:rsidRPr="001F0F79">
        <w:rPr>
          <w:i/>
          <w:iCs/>
        </w:rPr>
        <w:t>Garamendi</w:t>
      </w:r>
      <w:r>
        <w:t xml:space="preserve">, </w:t>
      </w:r>
      <w:r w:rsidRPr="001F0F79">
        <w:rPr>
          <w:i/>
          <w:iCs/>
        </w:rPr>
        <w:t>supra</w:t>
      </w:r>
      <w:r>
        <w:t xml:space="preserve">, </w:t>
      </w:r>
      <w:r>
        <w:t xml:space="preserve">32 Cal.4th </w:t>
      </w:r>
      <w:r>
        <w:t>at p. </w:t>
      </w:r>
      <w:r>
        <w:t>1044.)</w:t>
      </w:r>
      <w:r>
        <w:t xml:space="preserve">  As explained, the disclosure prohibition in Government Code section 11183 falls squarely into this category.</w:t>
      </w:r>
    </w:p>
    <w:p w14:paraId="5724B22E" w14:textId="77777777" w:rsidR="008C6DF5" w:rsidRDefault="008C6DF5" w:rsidP="008536A2">
      <w:r>
        <w:tab/>
      </w:r>
      <w:r>
        <w:t>Though we</w:t>
      </w:r>
      <w:r>
        <w:t xml:space="preserve"> do not view the</w:t>
      </w:r>
      <w:r>
        <w:t xml:space="preserve"> statutory language</w:t>
      </w:r>
      <w:r>
        <w:t xml:space="preserve"> as ambiguous, </w:t>
      </w:r>
      <w:r>
        <w:t xml:space="preserve">we </w:t>
      </w:r>
      <w:r>
        <w:t>may look</w:t>
      </w:r>
      <w:r>
        <w:t xml:space="preserve"> </w:t>
      </w:r>
      <w:r>
        <w:t xml:space="preserve">to </w:t>
      </w:r>
      <w:proofErr w:type="gramStart"/>
      <w:r>
        <w:t>the</w:t>
      </w:r>
      <w:r>
        <w:t xml:space="preserve"> </w:t>
      </w:r>
      <w:r>
        <w:t>legislative</w:t>
      </w:r>
      <w:proofErr w:type="gramEnd"/>
      <w:r>
        <w:t xml:space="preserve"> </w:t>
      </w:r>
      <w:r>
        <w:t xml:space="preserve">history </w:t>
      </w:r>
      <w:r>
        <w:t>to confirm</w:t>
      </w:r>
      <w:r>
        <w:t xml:space="preserve"> our construction </w:t>
      </w:r>
      <w:r>
        <w:t>on this point</w:t>
      </w:r>
      <w:r>
        <w:t xml:space="preserve">.  </w:t>
      </w:r>
      <w:r>
        <w:t>(</w:t>
      </w:r>
      <w:r w:rsidRPr="00FF22C4">
        <w:rPr>
          <w:i/>
          <w:iCs/>
        </w:rPr>
        <w:t>Hughes v. Pair</w:t>
      </w:r>
      <w:r>
        <w:t xml:space="preserve"> (2009) 46 Cal.4th 1035, 1046.)  </w:t>
      </w:r>
      <w:r>
        <w:t xml:space="preserve">As </w:t>
      </w:r>
      <w:r w:rsidRPr="00D54971">
        <w:rPr>
          <w:i/>
          <w:iCs/>
        </w:rPr>
        <w:t>Becerra</w:t>
      </w:r>
      <w:r>
        <w:t xml:space="preserve"> observed,</w:t>
      </w:r>
      <w:r>
        <w:t xml:space="preserve"> one legislative analysis </w:t>
      </w:r>
      <w:r>
        <w:t>described</w:t>
      </w:r>
      <w:r>
        <w:t xml:space="preserve"> the proposed enactment of section 832.7(b) </w:t>
      </w:r>
      <w:r>
        <w:t xml:space="preserve">as </w:t>
      </w:r>
      <w:proofErr w:type="gramStart"/>
      <w:r>
        <w:t>“ ‘</w:t>
      </w:r>
      <w:proofErr w:type="gramEnd"/>
      <w:r>
        <w:t>open</w:t>
      </w:r>
      <w:r>
        <w:t>[</w:t>
      </w:r>
      <w:proofErr w:type="spellStart"/>
      <w:r>
        <w:t>ing</w:t>
      </w:r>
      <w:proofErr w:type="spellEnd"/>
      <w:r>
        <w:t>]</w:t>
      </w:r>
      <w:r>
        <w:t xml:space="preserve"> polic</w:t>
      </w:r>
      <w:r>
        <w:t>e</w:t>
      </w:r>
      <w:r>
        <w:t xml:space="preserve"> officer personnel records in very limited cases, allowing local law enforcement agencies </w:t>
      </w:r>
      <w:r w:rsidRPr="00C533BE">
        <w:rPr>
          <w:i/>
          <w:iCs/>
        </w:rPr>
        <w:t>and law enforcement oversight agencies</w:t>
      </w:r>
      <w:r>
        <w:t xml:space="preserve"> to provide greater transparency around only the most serious police comp</w:t>
      </w:r>
      <w:r>
        <w:t>laints.’</w:t>
      </w:r>
      <w:r>
        <w:t> ”  (</w:t>
      </w:r>
      <w:r w:rsidRPr="003B2BEE">
        <w:rPr>
          <w:i/>
          <w:iCs/>
        </w:rPr>
        <w:t>Becerra</w:t>
      </w:r>
      <w:r>
        <w:t xml:space="preserve">, </w:t>
      </w:r>
      <w:r w:rsidRPr="00EB3999">
        <w:rPr>
          <w:i/>
          <w:iCs/>
        </w:rPr>
        <w:t>supra</w:t>
      </w:r>
      <w:r>
        <w:t xml:space="preserve">, 44 Cal.App.4th </w:t>
      </w:r>
      <w:r>
        <w:t>at p. 920.)  “Underscoring this desire for greater access and transparency, including access to records maintained by law enforcement oversight agencies, the Legislative Counsel’s Digest . . . explained</w:t>
      </w:r>
      <w:proofErr w:type="gramStart"/>
      <w:r>
        <w:t>:  ‘</w:t>
      </w:r>
      <w:proofErr w:type="gramEnd"/>
      <w:r>
        <w:t xml:space="preserve">This bill would require, notwithstanding any other law, </w:t>
      </w:r>
      <w:r>
        <w:t xml:space="preserve">. . . </w:t>
      </w:r>
      <w:r w:rsidRPr="003B2BEE">
        <w:rPr>
          <w:i/>
          <w:iCs/>
        </w:rPr>
        <w:t>records relating to specified incidents, complaints, and investigations involving peace officers and custodial officers</w:t>
      </w:r>
      <w:r>
        <w:t xml:space="preserve"> to be made available for public inspection pursuant to the California Public Rec</w:t>
      </w:r>
      <w:r>
        <w:t>ords Act.’ ”  (</w:t>
      </w:r>
      <w:r w:rsidRPr="003B2BEE">
        <w:rPr>
          <w:i/>
          <w:iCs/>
        </w:rPr>
        <w:t>Becerra</w:t>
      </w:r>
      <w:r>
        <w:t>, at p. 921.)</w:t>
      </w:r>
      <w:r>
        <w:t xml:space="preserve">  </w:t>
      </w:r>
      <w:r>
        <w:t>T</w:t>
      </w:r>
      <w:r>
        <w:t>he</w:t>
      </w:r>
      <w:r>
        <w:t xml:space="preserve">re appears no dispute that the </w:t>
      </w:r>
      <w:r>
        <w:t>Department</w:t>
      </w:r>
      <w:r>
        <w:t xml:space="preserve"> is a</w:t>
      </w:r>
      <w:r>
        <w:t xml:space="preserve"> law enforcement oversight agency</w:t>
      </w:r>
      <w:r>
        <w:t xml:space="preserve"> or that it</w:t>
      </w:r>
      <w:r>
        <w:t xml:space="preserve"> uses its</w:t>
      </w:r>
      <w:r>
        <w:t xml:space="preserve"> </w:t>
      </w:r>
      <w:r>
        <w:t>subpoena</w:t>
      </w:r>
      <w:r>
        <w:t xml:space="preserve"> power to obtain necessary</w:t>
      </w:r>
      <w:r>
        <w:t xml:space="preserve"> </w:t>
      </w:r>
      <w:r>
        <w:lastRenderedPageBreak/>
        <w:t>officer-related</w:t>
      </w:r>
      <w:r>
        <w:t xml:space="preserve"> records </w:t>
      </w:r>
      <w:r>
        <w:t>to conduct its</w:t>
      </w:r>
      <w:r>
        <w:t xml:space="preserve"> independent</w:t>
      </w:r>
      <w:r>
        <w:t xml:space="preserve"> review and</w:t>
      </w:r>
      <w:r>
        <w:t xml:space="preserve"> investigation</w:t>
      </w:r>
      <w:r>
        <w:t>s</w:t>
      </w:r>
      <w:r>
        <w:t xml:space="preserve"> </w:t>
      </w:r>
      <w:r>
        <w:t xml:space="preserve">into complaints </w:t>
      </w:r>
      <w:r>
        <w:t>against officers</w:t>
      </w:r>
      <w:r>
        <w:t xml:space="preserve"> and agencies</w:t>
      </w:r>
      <w:r>
        <w:t>.</w:t>
      </w:r>
      <w:r>
        <w:t xml:space="preserve">  (</w:t>
      </w:r>
      <w:r>
        <w:t xml:space="preserve">See </w:t>
      </w:r>
      <w:r>
        <w:rPr>
          <w:i/>
          <w:iCs/>
        </w:rPr>
        <w:t>i</w:t>
      </w:r>
      <w:r w:rsidRPr="00CA1A23">
        <w:rPr>
          <w:i/>
          <w:iCs/>
        </w:rPr>
        <w:t>d</w:t>
      </w:r>
      <w:r>
        <w:t>. at p</w:t>
      </w:r>
      <w:r>
        <w:t>p</w:t>
      </w:r>
      <w:r>
        <w:t>. 911</w:t>
      </w:r>
      <w:r>
        <w:t>–912</w:t>
      </w:r>
      <w:r>
        <w:t>, fn. 2.)</w:t>
      </w:r>
    </w:p>
    <w:p w14:paraId="35D46FBE" w14:textId="77777777" w:rsidR="008C6DF5" w:rsidRDefault="008C6DF5" w:rsidP="008536A2">
      <w:r>
        <w:tab/>
      </w:r>
      <w:r>
        <w:t>Our construction also aligns with the</w:t>
      </w:r>
      <w:r>
        <w:t xml:space="preserve"> legislative findings</w:t>
      </w:r>
      <w:r>
        <w:t xml:space="preserve"> </w:t>
      </w:r>
      <w:r>
        <w:t>accompanying section 832.7(b)’s enactment</w:t>
      </w:r>
      <w:r>
        <w:t>, which</w:t>
      </w:r>
      <w:r>
        <w:t xml:space="preserve"> </w:t>
      </w:r>
      <w:r>
        <w:t xml:space="preserve">emphasize the critical importance of </w:t>
      </w:r>
      <w:r>
        <w:t>its disclosure mandate</w:t>
      </w:r>
      <w:proofErr w:type="gramStart"/>
      <w:r>
        <w:t>:</w:t>
      </w:r>
      <w:r>
        <w:t xml:space="preserve">  “</w:t>
      </w:r>
      <w:proofErr w:type="gramEnd"/>
      <w:r>
        <w:t> ‘</w:t>
      </w:r>
      <w:r>
        <w:t xml:space="preserve">The public has a right to know all about serious police misconduct, as well as </w:t>
      </w:r>
      <w:r>
        <w:t>a</w:t>
      </w:r>
      <w:r>
        <w:t xml:space="preserve">bout </w:t>
      </w:r>
      <w:r>
        <w:t xml:space="preserve">officer-involved shootings and other serious uses of force.  Concealing crucial public safety matters such as officer violations of civilians’ rights, or inquiries into deadly use of force incidents, undercuts the public’s faith in the legitimacy of law </w:t>
      </w:r>
      <w:r>
        <w:t>enforcement, makes it harder for tens of thousands of hardworking peace officers to do their jobs, and endangers public safety.’  (Stats.</w:t>
      </w:r>
      <w:r>
        <w:t> </w:t>
      </w:r>
      <w:r>
        <w:t xml:space="preserve">2018, </w:t>
      </w:r>
      <w:proofErr w:type="spellStart"/>
      <w:r>
        <w:t>ch.</w:t>
      </w:r>
      <w:proofErr w:type="spellEnd"/>
      <w:r>
        <w:t> 988, § 1</w:t>
      </w:r>
      <w:r>
        <w:t>(b)</w:t>
      </w:r>
      <w:r>
        <w:t xml:space="preserve">.)”  </w:t>
      </w:r>
      <w:r>
        <w:t>(</w:t>
      </w:r>
      <w:r w:rsidRPr="00A77126">
        <w:rPr>
          <w:i/>
          <w:iCs/>
        </w:rPr>
        <w:t>Becerra</w:t>
      </w:r>
      <w:r>
        <w:t xml:space="preserve">, </w:t>
      </w:r>
      <w:r w:rsidRPr="00A77126">
        <w:rPr>
          <w:i/>
          <w:iCs/>
        </w:rPr>
        <w:t>supra</w:t>
      </w:r>
      <w:r>
        <w:t xml:space="preserve">, 44 Cal.App.5th </w:t>
      </w:r>
      <w:r>
        <w:t>at p. 921.)</w:t>
      </w:r>
      <w:r>
        <w:t xml:space="preserve">  </w:t>
      </w:r>
      <w:r>
        <w:t>Th</w:t>
      </w:r>
      <w:r>
        <w:t>ese public policy concerns are</w:t>
      </w:r>
      <w:r>
        <w:t xml:space="preserve"> more fully </w:t>
      </w:r>
      <w:r>
        <w:t>addressed</w:t>
      </w:r>
      <w:r>
        <w:t xml:space="preserve"> by a construction </w:t>
      </w:r>
      <w:r>
        <w:t xml:space="preserve">that, consistent with the statutory language, </w:t>
      </w:r>
      <w:r>
        <w:t>gives primacy to</w:t>
      </w:r>
      <w:r>
        <w:t xml:space="preserve"> </w:t>
      </w:r>
      <w:r>
        <w:t>disclosure</w:t>
      </w:r>
      <w:r>
        <w:t xml:space="preserve"> when a</w:t>
      </w:r>
      <w:r>
        <w:t>n</w:t>
      </w:r>
      <w:r>
        <w:t xml:space="preserve"> oversight agency such as the Department </w:t>
      </w:r>
      <w:r>
        <w:t xml:space="preserve">obtains and </w:t>
      </w:r>
      <w:r>
        <w:t xml:space="preserve">relies on officer-related records to independently </w:t>
      </w:r>
      <w:r>
        <w:t xml:space="preserve">review or </w:t>
      </w:r>
      <w:r>
        <w:t>investigate allegations of</w:t>
      </w:r>
      <w:r>
        <w:t xml:space="preserve"> harmful or unlawful officer conduct.</w:t>
      </w:r>
    </w:p>
    <w:p w14:paraId="31CFAE7B" w14:textId="77777777" w:rsidR="008C6DF5" w:rsidRDefault="008C6DF5" w:rsidP="008536A2">
      <w:r>
        <w:tab/>
      </w:r>
      <w:r>
        <w:t xml:space="preserve">Additionally, under our construction, the same </w:t>
      </w:r>
      <w:r>
        <w:t xml:space="preserve">officer-related </w:t>
      </w:r>
      <w:r>
        <w:t>records must be made available for public inspection whether they are in the possession of the Department or in the hands of</w:t>
      </w:r>
      <w:r>
        <w:t xml:space="preserve"> a local agency</w:t>
      </w:r>
      <w:r>
        <w:t xml:space="preserve">.  This is consistent </w:t>
      </w:r>
      <w:r>
        <w:t xml:space="preserve">with </w:t>
      </w:r>
      <w:r>
        <w:t>case law concluding it “unlikely the Legislature intend</w:t>
      </w:r>
      <w:r>
        <w:t>[</w:t>
      </w:r>
      <w:r>
        <w:t>s</w:t>
      </w:r>
      <w:r>
        <w:t>]</w:t>
      </w:r>
      <w:r>
        <w:t xml:space="preserve"> to render documents confidential based on their location, rather than their con</w:t>
      </w:r>
      <w:r>
        <w:t>tent</w:t>
      </w:r>
      <w:r>
        <w:t>.”  (</w:t>
      </w:r>
      <w:r w:rsidRPr="00BA1819">
        <w:rPr>
          <w:i/>
          <w:iCs/>
        </w:rPr>
        <w:t>Commission on Peace Officer Standards &amp; Training v. Superior Court</w:t>
      </w:r>
      <w:r>
        <w:t xml:space="preserve"> (2007) 42 Cal.4th 278, 291; see </w:t>
      </w:r>
      <w:r w:rsidRPr="00A77126">
        <w:rPr>
          <w:i/>
          <w:iCs/>
        </w:rPr>
        <w:t>Becerra</w:t>
      </w:r>
      <w:r>
        <w:t xml:space="preserve">, </w:t>
      </w:r>
      <w:r w:rsidRPr="00A77126">
        <w:rPr>
          <w:i/>
          <w:iCs/>
        </w:rPr>
        <w:t>supra</w:t>
      </w:r>
      <w:r>
        <w:t>, 44 Cal.App.5th at p. </w:t>
      </w:r>
      <w:r>
        <w:t>923</w:t>
      </w:r>
      <w:r>
        <w:t xml:space="preserve">; </w:t>
      </w:r>
      <w:r w:rsidRPr="00132C60">
        <w:rPr>
          <w:i/>
          <w:iCs/>
        </w:rPr>
        <w:t>San Diego County Employees Retirement Assn. v. Superior Court</w:t>
      </w:r>
      <w:r>
        <w:t xml:space="preserve"> (2011) 196 Cal.App.4th 1228, </w:t>
      </w:r>
      <w:r>
        <w:t xml:space="preserve">1240 [finding “no logic” in exempting a roll of public employee </w:t>
      </w:r>
      <w:r>
        <w:t>information</w:t>
      </w:r>
      <w:r>
        <w:t xml:space="preserve"> from disclosure “depending on what entity maintains it”]</w:t>
      </w:r>
      <w:r>
        <w:t xml:space="preserve">.)  </w:t>
      </w:r>
    </w:p>
    <w:p w14:paraId="07657217" w14:textId="77777777" w:rsidR="008C6DF5" w:rsidRDefault="008C6DF5" w:rsidP="00923084">
      <w:r>
        <w:lastRenderedPageBreak/>
        <w:tab/>
        <w:t xml:space="preserve">On this score, we note the trial court took no exception to the principle that a document’s status as public or confidential does not turn on </w:t>
      </w:r>
      <w:r>
        <w:t>its location</w:t>
      </w:r>
      <w:r>
        <w:t>.  But the court emphasized th</w:t>
      </w:r>
      <w:r>
        <w:t>at</w:t>
      </w:r>
      <w:r>
        <w:t xml:space="preserve"> Government Code section 11183 </w:t>
      </w:r>
      <w:r>
        <w:t>protects documents “as a function of the way the</w:t>
      </w:r>
      <w:r>
        <w:t>y</w:t>
      </w:r>
      <w:r>
        <w:t xml:space="preserve"> were obtained,” </w:t>
      </w:r>
      <w:r>
        <w:t>not their location.  The</w:t>
      </w:r>
      <w:r>
        <w:t xml:space="preserve"> Department </w:t>
      </w:r>
      <w:r>
        <w:t xml:space="preserve">agrees, contending the confidentiality restrictions </w:t>
      </w:r>
      <w:r>
        <w:t>accompanying</w:t>
      </w:r>
      <w:r>
        <w:t xml:space="preserve"> the grant of subpoena power </w:t>
      </w:r>
      <w:r>
        <w:t>serve to</w:t>
      </w:r>
      <w:r>
        <w:t xml:space="preserve"> facilitate </w:t>
      </w:r>
      <w:r>
        <w:t xml:space="preserve">and protect the integrity of </w:t>
      </w:r>
      <w:r>
        <w:t xml:space="preserve">the Department’s </w:t>
      </w:r>
      <w:r>
        <w:t>investigations</w:t>
      </w:r>
      <w:r>
        <w:t>, in part</w:t>
      </w:r>
      <w:r>
        <w:t xml:space="preserve"> because </w:t>
      </w:r>
      <w:r>
        <w:t>witness</w:t>
      </w:r>
      <w:r>
        <w:t xml:space="preserve"> cooperation might be more easily secured if</w:t>
      </w:r>
      <w:r>
        <w:t xml:space="preserve"> witnesses</w:t>
      </w:r>
      <w:r>
        <w:t xml:space="preserve"> know </w:t>
      </w:r>
      <w:r>
        <w:t xml:space="preserve">of </w:t>
      </w:r>
      <w:r>
        <w:t>these confidentiality rules.</w:t>
      </w:r>
      <w:r>
        <w:t xml:space="preserve">  </w:t>
      </w:r>
      <w:r>
        <w:t xml:space="preserve">(See </w:t>
      </w:r>
      <w:r w:rsidRPr="00A77149">
        <w:rPr>
          <w:i/>
          <w:iCs/>
        </w:rPr>
        <w:t>Tom v. Schoolhouse Coins, Inc.</w:t>
      </w:r>
      <w:r>
        <w:t xml:space="preserve"> (1987) 191 Cal.App.3d 827, 830.)</w:t>
      </w:r>
    </w:p>
    <w:p w14:paraId="59D681D2" w14:textId="77777777" w:rsidR="008C6DF5" w:rsidRDefault="008C6DF5" w:rsidP="00923084">
      <w:r>
        <w:tab/>
        <w:t>But section 832.7(b)</w:t>
      </w:r>
      <w:r>
        <w:t xml:space="preserve"> features</w:t>
      </w:r>
      <w:r>
        <w:t xml:space="preserve"> numerous provisions requiring redaction of disclosed records for various protective purposes, including the integrity of pending investigations.</w:t>
      </w:r>
      <w:r>
        <w:rPr>
          <w:rStyle w:val="FootnoteReference"/>
        </w:rPr>
        <w:footnoteReference w:id="5"/>
      </w:r>
      <w:r>
        <w:t xml:space="preserve">  Though claiming such redactions do not apply until after a determination that a responsive record is not otherwise exempt (e.g., pursuant to the CPRA’s catchall exemption), the Department offers no </w:t>
      </w:r>
      <w:r>
        <w:t xml:space="preserve">meaningful </w:t>
      </w:r>
      <w:r>
        <w:t xml:space="preserve">explanation why its ability to investigate and provide effective </w:t>
      </w:r>
      <w:r>
        <w:lastRenderedPageBreak/>
        <w:t xml:space="preserve">oversight would be hampered </w:t>
      </w:r>
      <w:r>
        <w:t>in spite of</w:t>
      </w:r>
      <w:r>
        <w:t xml:space="preserve"> </w:t>
      </w:r>
      <w:r>
        <w:t>these redaction provisions</w:t>
      </w:r>
      <w:r>
        <w:t xml:space="preserve">. </w:t>
      </w:r>
      <w:r>
        <w:t xml:space="preserve"> </w:t>
      </w:r>
      <w:r>
        <w:t xml:space="preserve">Indeed, </w:t>
      </w:r>
      <w:r>
        <w:t>the legislative history indicates</w:t>
      </w:r>
      <w:r>
        <w:t xml:space="preserve"> law enforcement agencies </w:t>
      </w:r>
      <w:r>
        <w:t>made similar</w:t>
      </w:r>
      <w:r>
        <w:t xml:space="preserve"> arguments </w:t>
      </w:r>
      <w:r>
        <w:t>in opposing the</w:t>
      </w:r>
      <w:r>
        <w:t xml:space="preserve"> enactment of </w:t>
      </w:r>
      <w:r>
        <w:t>section 832.7(b)</w:t>
      </w:r>
      <w:r>
        <w:t xml:space="preserve"> (e.g., Assem. Com. on Public Sa</w:t>
      </w:r>
      <w:r>
        <w:t>fety, Rep. on Sen. Bill No. 1421 (2017–2018 Reg. Sess.) as amended June 19, 2018, p. 9)</w:t>
      </w:r>
      <w:r>
        <w:t xml:space="preserve">, </w:t>
      </w:r>
      <w:r>
        <w:t>and</w:t>
      </w:r>
      <w:r>
        <w:t xml:space="preserve"> the </w:t>
      </w:r>
      <w:r>
        <w:t xml:space="preserve">inclusion of the </w:t>
      </w:r>
      <w:r>
        <w:t xml:space="preserve">statutorily </w:t>
      </w:r>
      <w:r>
        <w:t>enumerated</w:t>
      </w:r>
      <w:r>
        <w:t xml:space="preserve"> redactions reflects </w:t>
      </w:r>
      <w:r>
        <w:t xml:space="preserve">the Legislature’s </w:t>
      </w:r>
      <w:r>
        <w:t xml:space="preserve">considered </w:t>
      </w:r>
      <w:r>
        <w:t>response to these arguments</w:t>
      </w:r>
      <w:r>
        <w:t>.</w:t>
      </w:r>
    </w:p>
    <w:p w14:paraId="153F283D" w14:textId="77777777" w:rsidR="008C6DF5" w:rsidRDefault="008C6DF5" w:rsidP="008536A2">
      <w:r>
        <w:tab/>
      </w:r>
      <w:r>
        <w:t>T</w:t>
      </w:r>
      <w:r>
        <w:t xml:space="preserve">he Department </w:t>
      </w:r>
      <w:r>
        <w:t xml:space="preserve">also </w:t>
      </w:r>
      <w:r>
        <w:t>appears to contend</w:t>
      </w:r>
      <w:r>
        <w:t xml:space="preserve"> </w:t>
      </w:r>
      <w:r>
        <w:t xml:space="preserve">that Senate Bill 16, which </w:t>
      </w:r>
      <w:r>
        <w:t>amended</w:t>
      </w:r>
      <w:r>
        <w:t xml:space="preserve"> section 832.7 in 2021</w:t>
      </w:r>
      <w:r>
        <w:t>,</w:t>
      </w:r>
      <w:r>
        <w:t xml:space="preserve"> </w:t>
      </w:r>
      <w:r>
        <w:t>somehow confirm</w:t>
      </w:r>
      <w:r>
        <w:t>s</w:t>
      </w:r>
      <w:r>
        <w:t xml:space="preserve"> the authority of local and state agencies to withhold officer-related records </w:t>
      </w:r>
      <w:r>
        <w:t xml:space="preserve">based on </w:t>
      </w:r>
      <w:proofErr w:type="gramStart"/>
      <w:r>
        <w:t xml:space="preserve">any and </w:t>
      </w:r>
      <w:r>
        <w:t>all</w:t>
      </w:r>
      <w:proofErr w:type="gramEnd"/>
      <w:r>
        <w:t xml:space="preserve"> federal and state law disclosure exemptions</w:t>
      </w:r>
      <w:r>
        <w:t xml:space="preserve">.  We </w:t>
      </w:r>
      <w:r>
        <w:t>cannot</w:t>
      </w:r>
      <w:r>
        <w:t xml:space="preserve"> agree</w:t>
      </w:r>
      <w:r>
        <w:t>.</w:t>
      </w:r>
    </w:p>
    <w:p w14:paraId="32F7628F" w14:textId="77777777" w:rsidR="008C6DF5" w:rsidRDefault="008C6DF5" w:rsidP="008536A2">
      <w:r>
        <w:tab/>
        <w:t xml:space="preserve">Senate Bill 16 </w:t>
      </w:r>
      <w:r>
        <w:t xml:space="preserve">amended </w:t>
      </w:r>
      <w:r>
        <w:t>section 832.7(b) to increase transparency</w:t>
      </w:r>
      <w:r>
        <w:t>.  The legislation enlarged the</w:t>
      </w:r>
      <w:r>
        <w:t xml:space="preserve"> scope of </w:t>
      </w:r>
      <w:r>
        <w:t>the required</w:t>
      </w:r>
      <w:r>
        <w:t xml:space="preserve"> disclosure to include records relating to </w:t>
      </w:r>
      <w:r>
        <w:t>additional</w:t>
      </w:r>
      <w:r>
        <w:t xml:space="preserve"> types of </w:t>
      </w:r>
      <w:r>
        <w:t>sustained findings</w:t>
      </w:r>
      <w:r>
        <w:t xml:space="preserve"> and records of officers who resign before an investigation concludes</w:t>
      </w:r>
      <w:r>
        <w:t xml:space="preserve">.  (Stats. 2021, </w:t>
      </w:r>
      <w:proofErr w:type="spellStart"/>
      <w:r>
        <w:t>ch.</w:t>
      </w:r>
      <w:proofErr w:type="spellEnd"/>
      <w:r>
        <w:t xml:space="preserve"> 402, § 3; e.g., </w:t>
      </w:r>
      <w:r>
        <w:t>§ 832.7(b)</w:t>
      </w:r>
      <w:r>
        <w:t>(</w:t>
      </w:r>
      <w:r>
        <w:t>1)</w:t>
      </w:r>
      <w:r>
        <w:t>(A)(iii), (iv)</w:t>
      </w:r>
      <w:r>
        <w:t xml:space="preserve"> (unreasonable or excessive force</w:t>
      </w:r>
      <w:proofErr w:type="gramStart"/>
      <w:r>
        <w:t>)</w:t>
      </w:r>
      <w:r>
        <w:t>,</w:t>
      </w:r>
      <w:r>
        <w:t>§</w:t>
      </w:r>
      <w:proofErr w:type="gramEnd"/>
      <w:r>
        <w:t> 832.7(b)</w:t>
      </w:r>
      <w:r>
        <w:t>(</w:t>
      </w:r>
      <w:r>
        <w:t>1)</w:t>
      </w:r>
      <w:r>
        <w:t>(D)</w:t>
      </w:r>
      <w:r>
        <w:t xml:space="preserve"> (prejudice or discrimination against protected classes</w:t>
      </w:r>
      <w:r>
        <w:t>); § 832.7(b)</w:t>
      </w:r>
      <w:r>
        <w:t>(1)</w:t>
      </w:r>
      <w:r>
        <w:t>(E)</w:t>
      </w:r>
      <w:r>
        <w:t xml:space="preserve"> (unlawful arrest or search)</w:t>
      </w:r>
      <w:r>
        <w:t>; § 83</w:t>
      </w:r>
      <w:r>
        <w:t>2.7</w:t>
      </w:r>
      <w:r>
        <w:t>(b)(3) (resigning officers)</w:t>
      </w:r>
      <w:r>
        <w:t>.</w:t>
      </w:r>
      <w:r>
        <w:t xml:space="preserve">)  </w:t>
      </w:r>
      <w:r>
        <w:t>Sen</w:t>
      </w:r>
      <w:r>
        <w:t>ate Bill 16 also clarified that</w:t>
      </w:r>
      <w:r>
        <w:t>, for purposes of section 832.7(b),</w:t>
      </w:r>
      <w:r>
        <w:t xml:space="preserve"> the lawyer-client privilege does not prohibit the disclosure of </w:t>
      </w:r>
      <w:proofErr w:type="gramStart"/>
      <w:r>
        <w:t>f</w:t>
      </w:r>
      <w:r w:rsidRPr="005254CB">
        <w:t xml:space="preserve">actual </w:t>
      </w:r>
      <w:r w:rsidRPr="005254CB">
        <w:t>information</w:t>
      </w:r>
      <w:proofErr w:type="gramEnd"/>
      <w:r>
        <w:t xml:space="preserve"> </w:t>
      </w:r>
      <w:r>
        <w:t>provided by the public entity to its attorney or factual information discovered in an investigation</w:t>
      </w:r>
      <w:r>
        <w:t>,</w:t>
      </w:r>
      <w:r>
        <w:t xml:space="preserve"> even </w:t>
      </w:r>
      <w:r>
        <w:t>when</w:t>
      </w:r>
      <w:r>
        <w:t xml:space="preserve"> the investigation is conducted by the attorney</w:t>
      </w:r>
      <w:r>
        <w:t xml:space="preserve">. </w:t>
      </w:r>
      <w:r>
        <w:t xml:space="preserve"> (§ 832.7(b)(12)(A)(</w:t>
      </w:r>
      <w:proofErr w:type="spellStart"/>
      <w:r>
        <w:t>i</w:t>
      </w:r>
      <w:proofErr w:type="spellEnd"/>
      <w:r>
        <w:t>)</w:t>
      </w:r>
      <w:r>
        <w:t>.</w:t>
      </w:r>
      <w:r>
        <w:t xml:space="preserve">)  </w:t>
      </w:r>
      <w:r>
        <w:t>As part of that clarification</w:t>
      </w:r>
      <w:r>
        <w:t xml:space="preserve">, </w:t>
      </w:r>
      <w:r>
        <w:t>Senate Bill 16</w:t>
      </w:r>
      <w:r>
        <w:t xml:space="preserve"> </w:t>
      </w:r>
      <w:r>
        <w:t>included</w:t>
      </w:r>
      <w:r>
        <w:t xml:space="preserve"> </w:t>
      </w:r>
      <w:r>
        <w:t>language</w:t>
      </w:r>
      <w:r>
        <w:t xml:space="preserve"> stating </w:t>
      </w:r>
      <w:r>
        <w:t>the newly added</w:t>
      </w:r>
      <w:r>
        <w:t xml:space="preserve"> lawyer-client privilege</w:t>
      </w:r>
      <w:r>
        <w:t xml:space="preserve"> provision</w:t>
      </w:r>
      <w:r>
        <w:t xml:space="preserve"> “does not prohibit the public </w:t>
      </w:r>
      <w:r>
        <w:t xml:space="preserve">entity </w:t>
      </w:r>
      <w:r>
        <w:t xml:space="preserve">from </w:t>
      </w:r>
      <w:r>
        <w:t xml:space="preserve">asserting that a record or information within the record is exempted or prohibited from disclosure </w:t>
      </w:r>
      <w:r w:rsidRPr="00D6763E">
        <w:rPr>
          <w:i/>
          <w:iCs/>
        </w:rPr>
        <w:t>pursuant to any other federal or state law</w:t>
      </w:r>
      <w:r>
        <w:t>.”  (§ 832.7(b)(12)(B)</w:t>
      </w:r>
      <w:r>
        <w:t>, italics added</w:t>
      </w:r>
      <w:r>
        <w:t>.)</w:t>
      </w:r>
    </w:p>
    <w:p w14:paraId="578CDCD8" w14:textId="77777777" w:rsidR="008C6DF5" w:rsidRDefault="008C6DF5" w:rsidP="008536A2">
      <w:r>
        <w:lastRenderedPageBreak/>
        <w:tab/>
      </w:r>
      <w:r>
        <w:t>Seizing upon</w:t>
      </w:r>
      <w:r>
        <w:t xml:space="preserve"> </w:t>
      </w:r>
      <w:r>
        <w:t>the language italicized above</w:t>
      </w:r>
      <w:r>
        <w:t>,</w:t>
      </w:r>
      <w:r>
        <w:t xml:space="preserve"> the Department </w:t>
      </w:r>
      <w:r>
        <w:t xml:space="preserve">appears to </w:t>
      </w:r>
      <w:r>
        <w:t xml:space="preserve">suggest </w:t>
      </w:r>
      <w:r>
        <w:t>section 832.7(b)(12)(B)</w:t>
      </w:r>
      <w:r>
        <w:t xml:space="preserve"> </w:t>
      </w:r>
      <w:r>
        <w:t xml:space="preserve">broadly </w:t>
      </w:r>
      <w:r>
        <w:t xml:space="preserve">allows it to withhold </w:t>
      </w:r>
      <w:r>
        <w:t xml:space="preserve">officer-related </w:t>
      </w:r>
      <w:r>
        <w:t xml:space="preserve">records under </w:t>
      </w:r>
      <w:r>
        <w:t xml:space="preserve">any other law, such as </w:t>
      </w:r>
      <w:r>
        <w:t>Government Code section 11183</w:t>
      </w:r>
      <w:r>
        <w:t xml:space="preserve"> and the other statutory exemptions invoked here</w:t>
      </w:r>
      <w:r>
        <w:t xml:space="preserve">. </w:t>
      </w:r>
      <w:r>
        <w:t xml:space="preserve"> </w:t>
      </w:r>
      <w:r>
        <w:t>W</w:t>
      </w:r>
      <w:r>
        <w:t>e conclude otherwise</w:t>
      </w:r>
      <w:r>
        <w:t xml:space="preserve">.  </w:t>
      </w:r>
      <w:r>
        <w:t xml:space="preserve">By its terms, </w:t>
      </w:r>
      <w:r>
        <w:t xml:space="preserve">the </w:t>
      </w:r>
      <w:r>
        <w:t xml:space="preserve">provision </w:t>
      </w:r>
      <w:r>
        <w:t xml:space="preserve">explicitly </w:t>
      </w:r>
      <w:r>
        <w:t>limit</w:t>
      </w:r>
      <w:r>
        <w:t>s its application</w:t>
      </w:r>
      <w:r>
        <w:t xml:space="preserve"> </w:t>
      </w:r>
      <w:r>
        <w:t xml:space="preserve">to </w:t>
      </w:r>
      <w:r>
        <w:t>“[t]his paragraph”</w:t>
      </w:r>
      <w:r>
        <w:t>—</w:t>
      </w:r>
      <w:r>
        <w:t>i.e., par</w:t>
      </w:r>
      <w:r>
        <w:t>a</w:t>
      </w:r>
      <w:r>
        <w:t>graph</w:t>
      </w:r>
      <w:r>
        <w:t xml:space="preserve"> </w:t>
      </w:r>
      <w:r>
        <w:t>(b)</w:t>
      </w:r>
      <w:r>
        <w:t>(12)</w:t>
      </w:r>
      <w:r>
        <w:t>—</w:t>
      </w:r>
      <w:r>
        <w:t xml:space="preserve">which </w:t>
      </w:r>
      <w:r>
        <w:t>pertains solely to</w:t>
      </w:r>
      <w:r>
        <w:t xml:space="preserve"> </w:t>
      </w:r>
      <w:r>
        <w:t xml:space="preserve">disclosure obligations when </w:t>
      </w:r>
      <w:r>
        <w:t>the lawyer-client privilege</w:t>
      </w:r>
      <w:r>
        <w:t xml:space="preserve"> is invoked</w:t>
      </w:r>
      <w:r>
        <w:t>.</w:t>
      </w:r>
    </w:p>
    <w:p w14:paraId="52011C97" w14:textId="77777777" w:rsidR="008C6DF5" w:rsidRDefault="008C6DF5" w:rsidP="008536A2">
      <w:r>
        <w:tab/>
      </w:r>
      <w:r>
        <w:t>T</w:t>
      </w:r>
      <w:r>
        <w:t xml:space="preserve">he Department </w:t>
      </w:r>
      <w:r>
        <w:t xml:space="preserve">also </w:t>
      </w:r>
      <w:r>
        <w:t>reiterates that</w:t>
      </w:r>
      <w:r>
        <w:t xml:space="preserve"> </w:t>
      </w:r>
      <w:r>
        <w:t xml:space="preserve">the confidentiality </w:t>
      </w:r>
      <w:r>
        <w:t>protections afforded by</w:t>
      </w:r>
      <w:r>
        <w:t xml:space="preserve"> Government Code section 11183 serve to encourage cooperation by witnesses and targets of investigations and </w:t>
      </w:r>
      <w:r>
        <w:t xml:space="preserve">thereby enable the Department and other agencies to engage in more effective oversight.  </w:t>
      </w:r>
      <w:r>
        <w:t xml:space="preserve">Contending </w:t>
      </w:r>
      <w:r>
        <w:t xml:space="preserve">these are important public policy interests that </w:t>
      </w:r>
      <w:r>
        <w:t xml:space="preserve">are not directly contrary to the interests </w:t>
      </w:r>
      <w:r>
        <w:t>promoted</w:t>
      </w:r>
      <w:r>
        <w:t xml:space="preserve"> by section 832.7(b)</w:t>
      </w:r>
      <w:r>
        <w:t>, the Department argues they should be preserved</w:t>
      </w:r>
      <w:r>
        <w:t xml:space="preserve">.  </w:t>
      </w:r>
      <w:r>
        <w:t>We have</w:t>
      </w:r>
      <w:r>
        <w:t>, however,</w:t>
      </w:r>
      <w:r>
        <w:t xml:space="preserve"> already concluded that</w:t>
      </w:r>
      <w:r>
        <w:t xml:space="preserve"> </w:t>
      </w:r>
      <w:r>
        <w:t xml:space="preserve">Government Code section 11183 </w:t>
      </w:r>
      <w:r>
        <w:t xml:space="preserve">poses a direct conflict to the extent it </w:t>
      </w:r>
      <w:r>
        <w:t>would</w:t>
      </w:r>
      <w:r>
        <w:t xml:space="preserve"> allow the Depa</w:t>
      </w:r>
      <w:r>
        <w:t>rtment to</w:t>
      </w:r>
      <w:r>
        <w:t xml:space="preserve"> </w:t>
      </w:r>
      <w:r>
        <w:t>shield</w:t>
      </w:r>
      <w:r>
        <w:t xml:space="preserve"> </w:t>
      </w:r>
      <w:r>
        <w:t>a broad swath of</w:t>
      </w:r>
      <w:r>
        <w:t xml:space="preserve"> </w:t>
      </w:r>
      <w:r>
        <w:t xml:space="preserve">officer-related records that </w:t>
      </w:r>
      <w:r>
        <w:t xml:space="preserve">are </w:t>
      </w:r>
      <w:r>
        <w:t xml:space="preserve">subject to public inspection </w:t>
      </w:r>
      <w:r>
        <w:t>pursuant</w:t>
      </w:r>
      <w:r>
        <w:t xml:space="preserve"> section 832.7(b)</w:t>
      </w:r>
      <w:r>
        <w:t>, and that therefore effect must be given to section 832.7(b)(1)’s notwithstanding clause</w:t>
      </w:r>
      <w:r>
        <w:t xml:space="preserve">.  </w:t>
      </w:r>
      <w:r>
        <w:t>If</w:t>
      </w:r>
      <w:r>
        <w:t xml:space="preserve"> the Department believes </w:t>
      </w:r>
      <w:r>
        <w:t xml:space="preserve">the </w:t>
      </w:r>
      <w:r>
        <w:t>confidentiality protections</w:t>
      </w:r>
      <w:r>
        <w:t xml:space="preserve"> in </w:t>
      </w:r>
      <w:r>
        <w:t xml:space="preserve">Government Code section 11183 deserve precedence over </w:t>
      </w:r>
      <w:r>
        <w:t>section 832.7(b)</w:t>
      </w:r>
      <w:r>
        <w:t>’s</w:t>
      </w:r>
      <w:r>
        <w:t xml:space="preserve"> express contemplation that records within its scope are not confidential and shall be disclosed</w:t>
      </w:r>
      <w:r>
        <w:t>, it may take its cause to the Legislature.</w:t>
      </w:r>
    </w:p>
    <w:p w14:paraId="0FB2A9B2" w14:textId="77777777" w:rsidR="008C6DF5" w:rsidRDefault="008C6DF5" w:rsidP="008536A2">
      <w:r>
        <w:tab/>
        <w:t xml:space="preserve">In its traverse to the order to show cause, the Department </w:t>
      </w:r>
      <w:r>
        <w:t xml:space="preserve">presently </w:t>
      </w:r>
      <w:r>
        <w:t>acknowledges it mu</w:t>
      </w:r>
      <w:r>
        <w:t>s</w:t>
      </w:r>
      <w:r>
        <w:t>t produce officer-related records</w:t>
      </w:r>
      <w:r>
        <w:t xml:space="preserve"> obtained when it exercises its oversight authority to review a specific incident of officer misconduct covered by section 832.7(b).  But </w:t>
      </w:r>
      <w:r>
        <w:t xml:space="preserve">noting BPD was subject to an independent pattern-or-practice investigation, the Department </w:t>
      </w:r>
      <w:r>
        <w:t xml:space="preserve">now </w:t>
      </w:r>
      <w:r>
        <w:t xml:space="preserve">contends </w:t>
      </w:r>
      <w:r>
        <w:lastRenderedPageBreak/>
        <w:t xml:space="preserve">for </w:t>
      </w:r>
      <w:r>
        <w:t xml:space="preserve">the first time </w:t>
      </w:r>
      <w:r>
        <w:t xml:space="preserve">in this matter </w:t>
      </w:r>
      <w:r>
        <w:t xml:space="preserve">that </w:t>
      </w:r>
      <w:r>
        <w:t>section 832.7(b) is inapplicable to records obtained during a pattern-or-practice investigation</w:t>
      </w:r>
      <w:r>
        <w:t xml:space="preserve">, because such investigations are </w:t>
      </w:r>
      <w:r>
        <w:t xml:space="preserve">aimed at systemic violations and do not </w:t>
      </w:r>
      <w:r>
        <w:t>target</w:t>
      </w:r>
      <w:r>
        <w:t xml:space="preserve"> individual incidents</w:t>
      </w:r>
      <w:r>
        <w:t xml:space="preserve"> for review</w:t>
      </w:r>
      <w:r>
        <w:t>.</w:t>
      </w:r>
      <w:r>
        <w:t xml:space="preserve">  </w:t>
      </w:r>
      <w:r>
        <w:t xml:space="preserve">Though section 832.7(b) </w:t>
      </w:r>
      <w:r>
        <w:t xml:space="preserve">neither includes nor excludes explicit reference to </w:t>
      </w:r>
      <w:r>
        <w:t>pattern</w:t>
      </w:r>
      <w:r>
        <w:t>-</w:t>
      </w:r>
      <w:r>
        <w:t>or</w:t>
      </w:r>
      <w:r>
        <w:t>-</w:t>
      </w:r>
      <w:r>
        <w:t>practice</w:t>
      </w:r>
      <w:r>
        <w:t xml:space="preserve"> investigations,</w:t>
      </w:r>
      <w:r>
        <w:t xml:space="preserve"> </w:t>
      </w:r>
      <w:r>
        <w:t>t</w:t>
      </w:r>
      <w:r>
        <w:t xml:space="preserve">he Department draws </w:t>
      </w:r>
      <w:r>
        <w:t>its</w:t>
      </w:r>
      <w:r>
        <w:t xml:space="preserve"> conclusion from the </w:t>
      </w:r>
      <w:r>
        <w:t xml:space="preserve">statutory </w:t>
      </w:r>
      <w:r>
        <w:t>language</w:t>
      </w:r>
      <w:r>
        <w:t xml:space="preserve"> stating that records “shall be </w:t>
      </w:r>
      <w:r>
        <w:t xml:space="preserve">made </w:t>
      </w:r>
      <w:r>
        <w:t>available for public inspection” where they “relate</w:t>
      </w:r>
      <w:r>
        <w:t xml:space="preserve"> to the report, investigation, or findings” of a specific “incident” of harmful or wrongful conduct listed in section 832.7(b).  (E.g., §832.7(b)(1)(A)(</w:t>
      </w:r>
      <w:proofErr w:type="spellStart"/>
      <w:r>
        <w:t>i</w:t>
      </w:r>
      <w:proofErr w:type="spellEnd"/>
      <w:r>
        <w:t>), (b)(1)(A)(ii)</w:t>
      </w:r>
      <w:r>
        <w:t>, (b)</w:t>
      </w:r>
      <w:r>
        <w:t>(1)</w:t>
      </w:r>
      <w:r>
        <w:t>(B)(</w:t>
      </w:r>
      <w:proofErr w:type="spellStart"/>
      <w:r>
        <w:t>i</w:t>
      </w:r>
      <w:proofErr w:type="spellEnd"/>
      <w:r>
        <w:t>), (b)(1)(C)</w:t>
      </w:r>
      <w:r>
        <w:t xml:space="preserve">, (b)(1)(D), (b)(1)(E).)  </w:t>
      </w:r>
      <w:r>
        <w:t>In other words, the Department</w:t>
      </w:r>
      <w:r>
        <w:t xml:space="preserve"> </w:t>
      </w:r>
      <w:r>
        <w:t xml:space="preserve">seems to </w:t>
      </w:r>
      <w:r>
        <w:t>read</w:t>
      </w:r>
      <w:r>
        <w:t xml:space="preserve"> these statutory provisions </w:t>
      </w:r>
      <w:r>
        <w:t>as excluding records from the scope of section 832.7(b) whe</w:t>
      </w:r>
      <w:r>
        <w:t>n</w:t>
      </w:r>
      <w:r>
        <w:t xml:space="preserve"> they are obtained during a review or investigation of multiple </w:t>
      </w:r>
      <w:r>
        <w:t xml:space="preserve">incidents of misconduct.  </w:t>
      </w:r>
      <w:r>
        <w:t>We are not convinced.</w:t>
      </w:r>
    </w:p>
    <w:p w14:paraId="5424C729" w14:textId="77777777" w:rsidR="008C6DF5" w:rsidRDefault="008C6DF5" w:rsidP="008536A2">
      <w:r>
        <w:tab/>
        <w:t xml:space="preserve">As petitioners point out, the Penal Code makes clear that </w:t>
      </w:r>
      <w:r>
        <w:t>terms referencing “the singular number includes the plural,” and vice versa.  And that is the most sensible way to read</w:t>
      </w:r>
      <w:r>
        <w:t xml:space="preserve"> and understand</w:t>
      </w:r>
      <w:r>
        <w:t xml:space="preserve"> section 832.7(b)</w:t>
      </w:r>
      <w:r>
        <w:t>, whose</w:t>
      </w:r>
      <w:r>
        <w:t xml:space="preserve"> </w:t>
      </w:r>
      <w:r>
        <w:t>aim</w:t>
      </w:r>
      <w:r>
        <w:t xml:space="preserve"> </w:t>
      </w:r>
      <w:r>
        <w:t xml:space="preserve">is </w:t>
      </w:r>
      <w:r>
        <w:t xml:space="preserve">to provide </w:t>
      </w:r>
      <w:r>
        <w:t>meaningful transparency</w:t>
      </w:r>
      <w:r>
        <w:t xml:space="preserve">.  </w:t>
      </w:r>
      <w:r>
        <w:t>By cont</w:t>
      </w:r>
      <w:r>
        <w:t>r</w:t>
      </w:r>
      <w:r>
        <w:t>ast</w:t>
      </w:r>
      <w:r>
        <w:t xml:space="preserve">, </w:t>
      </w:r>
      <w:r>
        <w:t>the Department’s textual construction</w:t>
      </w:r>
      <w:r>
        <w:t xml:space="preserve"> would </w:t>
      </w:r>
      <w:r>
        <w:t xml:space="preserve">categorically </w:t>
      </w:r>
      <w:r>
        <w:t xml:space="preserve">shield </w:t>
      </w:r>
      <w:r>
        <w:t xml:space="preserve">officer-related records whenever a local or oversight agency </w:t>
      </w:r>
      <w:r>
        <w:t>conducts a single investigation involving</w:t>
      </w:r>
      <w:r>
        <w:t xml:space="preserve"> </w:t>
      </w:r>
      <w:r>
        <w:t>se</w:t>
      </w:r>
      <w:r>
        <w:t>parate</w:t>
      </w:r>
      <w:r>
        <w:t xml:space="preserve"> incident</w:t>
      </w:r>
      <w:r>
        <w:t>s</w:t>
      </w:r>
      <w:r>
        <w:t xml:space="preserve"> of misconduct committed by </w:t>
      </w:r>
      <w:r>
        <w:t>one</w:t>
      </w:r>
      <w:r>
        <w:t xml:space="preserve"> officer, or a single investigation of misconduct committed by multiple officer</w:t>
      </w:r>
      <w:r>
        <w:t>s, no matter how related the incidents</w:t>
      </w:r>
      <w:r>
        <w:t>.</w:t>
      </w:r>
    </w:p>
    <w:p w14:paraId="21F96443" w14:textId="77777777" w:rsidR="008C6DF5" w:rsidRDefault="008C6DF5" w:rsidP="008536A2">
      <w:r>
        <w:tab/>
        <w:t xml:space="preserve">In closing, we note petitioners </w:t>
      </w:r>
      <w:r>
        <w:t xml:space="preserve">acknowledge that section 832.7(b) does not </w:t>
      </w:r>
      <w:r>
        <w:t>categorically r</w:t>
      </w:r>
      <w:r>
        <w:t xml:space="preserve">equire disclosure of </w:t>
      </w:r>
      <w:proofErr w:type="gramStart"/>
      <w:r>
        <w:t>all of</w:t>
      </w:r>
      <w:proofErr w:type="gramEnd"/>
      <w:r>
        <w:t xml:space="preserve"> the Department’s pattern-or-practice files. </w:t>
      </w:r>
      <w:r>
        <w:t xml:space="preserve"> </w:t>
      </w:r>
      <w:r>
        <w:t>Petitioners indicate that</w:t>
      </w:r>
      <w:r>
        <w:t xml:space="preserve"> documents created by the Department as part of a pattern-or-practice investigation may fall outside the statute if</w:t>
      </w:r>
      <w:r>
        <w:t>, for example,</w:t>
      </w:r>
      <w:r>
        <w:t xml:space="preserve"> they are “too attenuated” from any </w:t>
      </w:r>
      <w:proofErr w:type="gramStart"/>
      <w:r>
        <w:t xml:space="preserve">particular </w:t>
      </w:r>
      <w:r>
        <w:lastRenderedPageBreak/>
        <w:t>incident</w:t>
      </w:r>
      <w:proofErr w:type="gramEnd"/>
      <w:r>
        <w:t xml:space="preserve">.  </w:t>
      </w:r>
      <w:r>
        <w:t xml:space="preserve">We have no occasion to address </w:t>
      </w:r>
      <w:r>
        <w:t>such</w:t>
      </w:r>
      <w:r>
        <w:t xml:space="preserve"> point</w:t>
      </w:r>
      <w:r>
        <w:t>s.  Th</w:t>
      </w:r>
      <w:r>
        <w:t xml:space="preserve">ere is no indication the Department created any of the </w:t>
      </w:r>
      <w:r>
        <w:t xml:space="preserve">disputed </w:t>
      </w:r>
      <w:r>
        <w:t xml:space="preserve">BPD </w:t>
      </w:r>
      <w:r>
        <w:t xml:space="preserve">records as part of its investigation, and </w:t>
      </w:r>
      <w:r>
        <w:t>in any event</w:t>
      </w:r>
      <w:r>
        <w:t xml:space="preserve">, </w:t>
      </w:r>
      <w:r>
        <w:t xml:space="preserve">the </w:t>
      </w:r>
      <w:r>
        <w:t xml:space="preserve">precise </w:t>
      </w:r>
      <w:r>
        <w:t xml:space="preserve">nature of the </w:t>
      </w:r>
      <w:proofErr w:type="gramStart"/>
      <w:r>
        <w:t xml:space="preserve">particular </w:t>
      </w:r>
      <w:r>
        <w:t>records</w:t>
      </w:r>
      <w:proofErr w:type="gramEnd"/>
      <w:r>
        <w:t xml:space="preserve"> remains unclear</w:t>
      </w:r>
      <w:r>
        <w:t xml:space="preserve">.  </w:t>
      </w:r>
      <w:r>
        <w:t>Petitioners also concede</w:t>
      </w:r>
      <w:r>
        <w:t xml:space="preserve"> that</w:t>
      </w:r>
      <w:r>
        <w:t xml:space="preserve">, on remand, the Department </w:t>
      </w:r>
      <w:r>
        <w:t>is</w:t>
      </w:r>
      <w:r>
        <w:t xml:space="preserve"> free to make a showing</w:t>
      </w:r>
      <w:r>
        <w:t xml:space="preserve"> that</w:t>
      </w:r>
      <w:r>
        <w:t xml:space="preserve"> individual BPD records </w:t>
      </w:r>
      <w:r>
        <w:t xml:space="preserve">are appropriately </w:t>
      </w:r>
      <w:r>
        <w:t xml:space="preserve">“withheld or redacted, either because they do not fall within the scope of [section 832.7(b)] or because they, or parts of them are exempt from disclosure for reasons other than [Government Code section 11183].” </w:t>
      </w:r>
    </w:p>
    <w:p w14:paraId="7788152F" w14:textId="77777777" w:rsidR="008C6DF5" w:rsidRPr="00FC7952" w:rsidRDefault="008C6DF5" w:rsidP="0077733B">
      <w:pPr>
        <w:pStyle w:val="ListParagraph"/>
        <w:keepNext/>
        <w:numPr>
          <w:ilvl w:val="0"/>
          <w:numId w:val="5"/>
        </w:numPr>
        <w:rPr>
          <w:b/>
          <w:bCs/>
        </w:rPr>
      </w:pPr>
      <w:r w:rsidRPr="00FC7952">
        <w:rPr>
          <w:b/>
          <w:bCs/>
        </w:rPr>
        <w:t xml:space="preserve"> Penal Code </w:t>
      </w:r>
      <w:r>
        <w:rPr>
          <w:b/>
          <w:bCs/>
        </w:rPr>
        <w:t>S</w:t>
      </w:r>
      <w:r w:rsidRPr="00FC7952">
        <w:rPr>
          <w:b/>
          <w:bCs/>
        </w:rPr>
        <w:t>ection</w:t>
      </w:r>
      <w:r>
        <w:rPr>
          <w:b/>
          <w:bCs/>
        </w:rPr>
        <w:t>s 6126 and</w:t>
      </w:r>
      <w:r w:rsidRPr="00FC7952">
        <w:rPr>
          <w:b/>
          <w:bCs/>
        </w:rPr>
        <w:t xml:space="preserve"> 6126.3</w:t>
      </w:r>
    </w:p>
    <w:p w14:paraId="3AA1AAC7" w14:textId="77777777" w:rsidR="008C6DF5" w:rsidRPr="00DF7687" w:rsidRDefault="008C6DF5" w:rsidP="00AF1929">
      <w:pPr>
        <w:rPr>
          <w:shd w:val="clear" w:color="auto" w:fill="FFFFFF"/>
        </w:rPr>
      </w:pPr>
      <w:r>
        <w:tab/>
        <w:t xml:space="preserve">The trial court conducted an </w:t>
      </w:r>
      <w:proofErr w:type="gramStart"/>
      <w:r w:rsidRPr="00B3193F">
        <w:rPr>
          <w:i/>
          <w:iCs/>
        </w:rPr>
        <w:t>in camera</w:t>
      </w:r>
      <w:proofErr w:type="gramEnd"/>
      <w:r>
        <w:t xml:space="preserve"> review and described the </w:t>
      </w:r>
      <w:r>
        <w:t xml:space="preserve">next withheld </w:t>
      </w:r>
      <w:r>
        <w:t>record</w:t>
      </w:r>
      <w:r>
        <w:t xml:space="preserve"> </w:t>
      </w:r>
      <w:r>
        <w:t>as</w:t>
      </w:r>
      <w:r>
        <w:t xml:space="preserve"> a 160-page </w:t>
      </w:r>
      <w:r>
        <w:t xml:space="preserve">report of the </w:t>
      </w:r>
      <w:r>
        <w:t>Office of the Inspector General (hereafter OIG)</w:t>
      </w:r>
      <w:r>
        <w:t xml:space="preserve"> </w:t>
      </w:r>
      <w:r>
        <w:rPr>
          <w:shd w:val="clear" w:color="auto" w:fill="FFFFFF"/>
        </w:rPr>
        <w:t>that includes</w:t>
      </w:r>
      <w:r>
        <w:rPr>
          <w:shd w:val="clear" w:color="auto" w:fill="FFFFFF"/>
        </w:rPr>
        <w:t xml:space="preserve"> an incident summary, information </w:t>
      </w:r>
      <w:r>
        <w:rPr>
          <w:shd w:val="clear" w:color="auto" w:fill="FFFFFF"/>
        </w:rPr>
        <w:t xml:space="preserve">and communications </w:t>
      </w:r>
      <w:r>
        <w:rPr>
          <w:shd w:val="clear" w:color="auto" w:fill="FFFFFF"/>
        </w:rPr>
        <w:t xml:space="preserve">from the person or persons seeking </w:t>
      </w:r>
      <w:r>
        <w:rPr>
          <w:shd w:val="clear" w:color="auto" w:fill="FFFFFF"/>
        </w:rPr>
        <w:t xml:space="preserve">the </w:t>
      </w:r>
      <w:r>
        <w:rPr>
          <w:shd w:val="clear" w:color="auto" w:fill="FFFFFF"/>
        </w:rPr>
        <w:t>Inspector General</w:t>
      </w:r>
      <w:r>
        <w:rPr>
          <w:shd w:val="clear" w:color="auto" w:fill="FFFFFF"/>
        </w:rPr>
        <w:t xml:space="preserve">’s review, </w:t>
      </w:r>
      <w:r>
        <w:rPr>
          <w:shd w:val="clear" w:color="auto" w:fill="FFFFFF"/>
        </w:rPr>
        <w:t>a</w:t>
      </w:r>
      <w:r>
        <w:rPr>
          <w:shd w:val="clear" w:color="auto" w:fill="FFFFFF"/>
        </w:rPr>
        <w:t xml:space="preserve"> summary of facts</w:t>
      </w:r>
      <w:r>
        <w:rPr>
          <w:shd w:val="clear" w:color="auto" w:fill="FFFFFF"/>
        </w:rPr>
        <w:t>,</w:t>
      </w:r>
      <w:r>
        <w:rPr>
          <w:shd w:val="clear" w:color="auto" w:fill="FFFFFF"/>
        </w:rPr>
        <w:t xml:space="preserve"> progress of the investigation, materials from the </w:t>
      </w:r>
      <w:r>
        <w:rPr>
          <w:shd w:val="clear" w:color="auto" w:fill="FFFFFF"/>
        </w:rPr>
        <w:t>OIG</w:t>
      </w:r>
      <w:r>
        <w:rPr>
          <w:shd w:val="clear" w:color="auto" w:fill="FFFFFF"/>
        </w:rPr>
        <w:t xml:space="preserve">’s intake review committee, </w:t>
      </w:r>
      <w:r>
        <w:rPr>
          <w:shd w:val="clear" w:color="auto" w:fill="FFFFFF"/>
        </w:rPr>
        <w:t xml:space="preserve">a </w:t>
      </w:r>
      <w:r>
        <w:rPr>
          <w:shd w:val="clear" w:color="auto" w:fill="FFFFFF"/>
        </w:rPr>
        <w:t xml:space="preserve">timeline </w:t>
      </w:r>
      <w:r>
        <w:rPr>
          <w:shd w:val="clear" w:color="auto" w:fill="FFFFFF"/>
        </w:rPr>
        <w:t xml:space="preserve">of </w:t>
      </w:r>
      <w:r>
        <w:rPr>
          <w:shd w:val="clear" w:color="auto" w:fill="FFFFFF"/>
        </w:rPr>
        <w:t>events</w:t>
      </w:r>
      <w:r>
        <w:rPr>
          <w:shd w:val="clear" w:color="auto" w:fill="FFFFFF"/>
        </w:rPr>
        <w:t>,</w:t>
      </w:r>
      <w:r>
        <w:rPr>
          <w:shd w:val="clear" w:color="auto" w:fill="FFFFFF"/>
        </w:rPr>
        <w:t xml:space="preserve"> and other communications</w:t>
      </w:r>
      <w:r>
        <w:rPr>
          <w:shd w:val="clear" w:color="auto" w:fill="FFFFFF"/>
        </w:rPr>
        <w:t xml:space="preserve"> among the </w:t>
      </w:r>
      <w:r>
        <w:rPr>
          <w:shd w:val="clear" w:color="auto" w:fill="FFFFFF"/>
        </w:rPr>
        <w:t>OIG</w:t>
      </w:r>
      <w:r>
        <w:rPr>
          <w:shd w:val="clear" w:color="auto" w:fill="FFFFFF"/>
        </w:rPr>
        <w:t xml:space="preserve"> staff.</w:t>
      </w:r>
      <w:r>
        <w:rPr>
          <w:shd w:val="clear" w:color="auto" w:fill="FFFFFF"/>
        </w:rPr>
        <w:t xml:space="preserve">  </w:t>
      </w:r>
      <w:r>
        <w:rPr>
          <w:shd w:val="clear" w:color="auto" w:fill="FFFFFF"/>
        </w:rPr>
        <w:t>T</w:t>
      </w:r>
      <w:r>
        <w:rPr>
          <w:shd w:val="clear" w:color="auto" w:fill="FFFFFF"/>
        </w:rPr>
        <w:t>his report</w:t>
      </w:r>
      <w:r>
        <w:rPr>
          <w:shd w:val="clear" w:color="auto" w:fill="FFFFFF"/>
        </w:rPr>
        <w:t xml:space="preserve"> apparently</w:t>
      </w:r>
      <w:r>
        <w:rPr>
          <w:shd w:val="clear" w:color="auto" w:fill="FFFFFF"/>
        </w:rPr>
        <w:t xml:space="preserve"> relate</w:t>
      </w:r>
      <w:r>
        <w:rPr>
          <w:shd w:val="clear" w:color="auto" w:fill="FFFFFF"/>
        </w:rPr>
        <w:t>s</w:t>
      </w:r>
      <w:r>
        <w:rPr>
          <w:shd w:val="clear" w:color="auto" w:fill="FFFFFF"/>
        </w:rPr>
        <w:t xml:space="preserve"> to an incident in which prison guards inflicted great bodily injury upon a prisoner</w:t>
      </w:r>
      <w:r>
        <w:rPr>
          <w:shd w:val="clear" w:color="auto" w:fill="FFFFFF"/>
        </w:rPr>
        <w:t xml:space="preserve">, and the report </w:t>
      </w:r>
      <w:r>
        <w:rPr>
          <w:shd w:val="clear" w:color="auto" w:fill="FFFFFF"/>
        </w:rPr>
        <w:t xml:space="preserve">appears to </w:t>
      </w:r>
      <w:r>
        <w:rPr>
          <w:shd w:val="clear" w:color="auto" w:fill="FFFFFF"/>
        </w:rPr>
        <w:t>include</w:t>
      </w:r>
      <w:r>
        <w:rPr>
          <w:shd w:val="clear" w:color="auto" w:fill="FFFFFF"/>
        </w:rPr>
        <w:t xml:space="preserve"> internal records of the </w:t>
      </w:r>
      <w:r>
        <w:rPr>
          <w:shd w:val="clear" w:color="auto" w:fill="FFFFFF"/>
        </w:rPr>
        <w:t>OIG</w:t>
      </w:r>
      <w:r>
        <w:rPr>
          <w:shd w:val="clear" w:color="auto" w:fill="FFFFFF"/>
        </w:rPr>
        <w:t xml:space="preserve">. </w:t>
      </w:r>
      <w:r>
        <w:rPr>
          <w:shd w:val="clear" w:color="auto" w:fill="FFFFFF"/>
        </w:rPr>
        <w:t xml:space="preserve"> </w:t>
      </w:r>
      <w:r>
        <w:t xml:space="preserve">The </w:t>
      </w:r>
      <w:r>
        <w:t xml:space="preserve">trial court concluded the Department </w:t>
      </w:r>
      <w:r>
        <w:t>properly</w:t>
      </w:r>
      <w:r>
        <w:t xml:space="preserve"> withh</w:t>
      </w:r>
      <w:r>
        <w:t>e</w:t>
      </w:r>
      <w:r>
        <w:t xml:space="preserve">ld this report pursuant to section 6126.3, subdivision (c)(2), (3), and (4).  </w:t>
      </w:r>
      <w:r>
        <w:t xml:space="preserve">Petitioners contend </w:t>
      </w:r>
      <w:r>
        <w:t xml:space="preserve">that </w:t>
      </w:r>
      <w:r>
        <w:t>this</w:t>
      </w:r>
      <w:r>
        <w:t xml:space="preserve"> ruling was in error and that section 832.7(b) has superseded </w:t>
      </w:r>
      <w:r>
        <w:rPr>
          <w:shd w:val="clear" w:color="auto" w:fill="FFFFFF"/>
        </w:rPr>
        <w:t xml:space="preserve">the confidentiality provisions in sections 6126, subdivision (c) (hereafter section 6126(c)) and 6126.3, subdivision (c) (hereafter section 6126.3(c)). </w:t>
      </w:r>
    </w:p>
    <w:p w14:paraId="67217420" w14:textId="77777777" w:rsidR="008C6DF5" w:rsidRDefault="008C6DF5" w:rsidP="00AF1929">
      <w:r>
        <w:tab/>
      </w:r>
      <w:r>
        <w:t>By way of background, t</w:t>
      </w:r>
      <w:r>
        <w:t>he O</w:t>
      </w:r>
      <w:r>
        <w:t>IG</w:t>
      </w:r>
      <w:r>
        <w:t xml:space="preserve"> was created as an independent </w:t>
      </w:r>
      <w:r>
        <w:t>entity</w:t>
      </w:r>
      <w:r>
        <w:t xml:space="preserve"> </w:t>
      </w:r>
      <w:r>
        <w:t xml:space="preserve">and </w:t>
      </w:r>
      <w:r>
        <w:t xml:space="preserve">is not “a subdivision of any other governmental entity.”  (§ 6125.)  </w:t>
      </w:r>
      <w:r>
        <w:t xml:space="preserve">Section 6126 </w:t>
      </w:r>
      <w:r>
        <w:t>charges</w:t>
      </w:r>
      <w:r>
        <w:t xml:space="preserve"> t</w:t>
      </w:r>
      <w:r>
        <w:t xml:space="preserve">he </w:t>
      </w:r>
      <w:r>
        <w:t xml:space="preserve">Inspector General </w:t>
      </w:r>
      <w:r>
        <w:t xml:space="preserve">with responsibility </w:t>
      </w:r>
      <w:r>
        <w:t>“</w:t>
      </w:r>
      <w:r>
        <w:t xml:space="preserve">for contemporaneous oversight of internal affairs investigations, and the </w:t>
      </w:r>
      <w:r>
        <w:t xml:space="preserve">disciplinary process of the </w:t>
      </w:r>
      <w:r>
        <w:lastRenderedPageBreak/>
        <w:t>Department of Corrections and Rehabilitation” (§ 6126, subd. (a))</w:t>
      </w:r>
      <w:r>
        <w:t xml:space="preserve"> </w:t>
      </w:r>
      <w:r>
        <w:t xml:space="preserve">and authorizes the OIG to conduct a review </w:t>
      </w:r>
      <w:r>
        <w:t>when “requested by the Governor, the Senate Committee on Rules, or the Speaker of the Assembly,</w:t>
      </w:r>
      <w:r>
        <w:t>”</w:t>
      </w:r>
      <w:r>
        <w:t xml:space="preserve"> or </w:t>
      </w:r>
      <w:r>
        <w:t>“</w:t>
      </w:r>
      <w:r>
        <w:t>on the Inspector General’s own accord” (§ 6126, subd. (</w:t>
      </w:r>
      <w:proofErr w:type="gramStart"/>
      <w:r>
        <w:t>b))</w:t>
      </w:r>
      <w:proofErr w:type="gramEnd"/>
      <w:r>
        <w:t>.</w:t>
      </w:r>
      <w:r>
        <w:t xml:space="preserve">  </w:t>
      </w:r>
      <w:r>
        <w:t>Upon completion of a review</w:t>
      </w:r>
      <w:r>
        <w:t>,</w:t>
      </w:r>
      <w:r>
        <w:t xml:space="preserve"> </w:t>
      </w:r>
      <w:r>
        <w:t xml:space="preserve">the </w:t>
      </w:r>
      <w:r>
        <w:t>OIG</w:t>
      </w:r>
      <w:r>
        <w:t xml:space="preserve"> is required under </w:t>
      </w:r>
      <w:r>
        <w:t xml:space="preserve">section 6126(c)(1) </w:t>
      </w:r>
      <w:r>
        <w:t>to</w:t>
      </w:r>
      <w:r>
        <w:t xml:space="preserve"> </w:t>
      </w:r>
      <w:r>
        <w:t>“</w:t>
      </w:r>
      <w:r>
        <w:t>prepare a complete written report, which may be held as confidential and disclosed in confidence, along with all underlying materials t</w:t>
      </w:r>
      <w:r>
        <w:t>he Inspector General deems appropriate</w:t>
      </w:r>
      <w:r>
        <w:t xml:space="preserve">, to the Department of Corrections and Rehabilitation and to </w:t>
      </w:r>
      <w:r>
        <w:t>the</w:t>
      </w:r>
      <w:r>
        <w:t xml:space="preserve"> requesting entit</w:t>
      </w:r>
      <w:r>
        <w:t>y</w:t>
      </w:r>
      <w:r>
        <w:t xml:space="preserve"> in subdivision (b), where applicable.</w:t>
      </w:r>
      <w:r>
        <w:t>”</w:t>
      </w:r>
      <w:r>
        <w:t xml:space="preserve"> </w:t>
      </w:r>
      <w:r>
        <w:t xml:space="preserve"> </w:t>
      </w:r>
      <w:r>
        <w:t xml:space="preserve">The OIG must also prepare a public report </w:t>
      </w:r>
      <w:r>
        <w:t xml:space="preserve">but may redact certain information for </w:t>
      </w:r>
      <w:r>
        <w:t xml:space="preserve">the </w:t>
      </w:r>
      <w:r>
        <w:t>safety</w:t>
      </w:r>
      <w:r>
        <w:t xml:space="preserve"> and security of OIG staff, inmates, and others, or where the information </w:t>
      </w:r>
      <w:r>
        <w:t>“</w:t>
      </w:r>
      <w:r>
        <w:t>might hinder prosecution related to the review</w:t>
      </w:r>
      <w:r>
        <w:t>.</w:t>
      </w:r>
      <w:r>
        <w:t>”</w:t>
      </w:r>
      <w:r>
        <w:t xml:space="preserve">  </w:t>
      </w:r>
      <w:r>
        <w:t>(</w:t>
      </w:r>
      <w:r>
        <w:t>§</w:t>
      </w:r>
      <w:r>
        <w:t> </w:t>
      </w:r>
      <w:r>
        <w:t>6126(c)(2)</w:t>
      </w:r>
      <w:r>
        <w:t>.)</w:t>
      </w:r>
      <w:r>
        <w:t xml:space="preserve">  </w:t>
      </w:r>
    </w:p>
    <w:p w14:paraId="0970D5AE" w14:textId="77777777" w:rsidR="008C6DF5" w:rsidRDefault="008C6DF5" w:rsidP="008536A2">
      <w:r>
        <w:tab/>
      </w:r>
      <w:r>
        <w:t xml:space="preserve">For </w:t>
      </w:r>
      <w:proofErr w:type="gramStart"/>
      <w:r>
        <w:t>purposes</w:t>
      </w:r>
      <w:proofErr w:type="gramEnd"/>
      <w:r>
        <w:t xml:space="preserve"> of this case, w</w:t>
      </w:r>
      <w:r>
        <w:t>e assume</w:t>
      </w:r>
      <w:r>
        <w:t xml:space="preserve"> the </w:t>
      </w:r>
      <w:r>
        <w:t>Department</w:t>
      </w:r>
      <w:r>
        <w:t xml:space="preserve"> may </w:t>
      </w:r>
      <w:r>
        <w:t>properly</w:t>
      </w:r>
      <w:r>
        <w:t xml:space="preserve"> invoke </w:t>
      </w:r>
      <w:r>
        <w:t xml:space="preserve">statutory </w:t>
      </w:r>
      <w:r>
        <w:t>provisions</w:t>
      </w:r>
      <w:r>
        <w:t xml:space="preserve"> that appear</w:t>
      </w:r>
      <w:r>
        <w:t xml:space="preserve"> </w:t>
      </w:r>
      <w:r>
        <w:t>reserved</w:t>
      </w:r>
      <w:r>
        <w:t xml:space="preserve"> to</w:t>
      </w:r>
      <w:r>
        <w:t xml:space="preserve"> </w:t>
      </w:r>
      <w:r>
        <w:t>the</w:t>
      </w:r>
      <w:r>
        <w:t xml:space="preserve"> </w:t>
      </w:r>
      <w:r>
        <w:t>OIG</w:t>
      </w:r>
      <w:r>
        <w:t xml:space="preserve">.  </w:t>
      </w:r>
      <w:r>
        <w:t xml:space="preserve">But the analysis </w:t>
      </w:r>
      <w:r>
        <w:t>here necessarily differs from</w:t>
      </w:r>
      <w:r>
        <w:t xml:space="preserve"> the analysis in part B, </w:t>
      </w:r>
      <w:r w:rsidRPr="009970B7">
        <w:rPr>
          <w:i/>
          <w:iCs/>
        </w:rPr>
        <w:t>ante</w:t>
      </w:r>
      <w:r>
        <w:t>.  That is because section 6126.3 features a provision expressly stating that</w:t>
      </w:r>
      <w:r>
        <w:t>,</w:t>
      </w:r>
      <w:r>
        <w:t xml:space="preserve"> </w:t>
      </w:r>
      <w:r>
        <w:t>“</w:t>
      </w:r>
      <w:r>
        <w:t>[</w:t>
      </w:r>
      <w:r w:rsidRPr="00385DFD">
        <w:rPr>
          <w:i/>
          <w:iCs/>
        </w:rPr>
        <w:t>e</w:t>
      </w:r>
      <w:r>
        <w:t>]</w:t>
      </w:r>
      <w:proofErr w:type="spellStart"/>
      <w:r w:rsidRPr="00385DFD">
        <w:rPr>
          <w:i/>
          <w:iCs/>
        </w:rPr>
        <w:t>xcept</w:t>
      </w:r>
      <w:proofErr w:type="spellEnd"/>
      <w:r w:rsidRPr="00385DFD">
        <w:rPr>
          <w:i/>
          <w:iCs/>
        </w:rPr>
        <w:t xml:space="preserve"> as provided in </w:t>
      </w:r>
      <w:r>
        <w:rPr>
          <w:i/>
          <w:iCs/>
        </w:rPr>
        <w:t xml:space="preserve">subdivision </w:t>
      </w:r>
      <w:r w:rsidRPr="00463666">
        <w:t>(</w:t>
      </w:r>
      <w:r>
        <w:rPr>
          <w:i/>
          <w:iCs/>
        </w:rPr>
        <w:t>c</w:t>
      </w:r>
      <w:r w:rsidRPr="00463666">
        <w:t>)</w:t>
      </w:r>
      <w:r>
        <w:t>,</w:t>
      </w:r>
      <w:r>
        <w:t>”</w:t>
      </w:r>
      <w:r>
        <w:t xml:space="preserve"> OIG </w:t>
      </w:r>
      <w:r>
        <w:t xml:space="preserve">papers and </w:t>
      </w:r>
      <w:r>
        <w:t xml:space="preserve">records </w:t>
      </w:r>
      <w:r>
        <w:t>“</w:t>
      </w:r>
      <w:r>
        <w:t xml:space="preserve">are public records subject to </w:t>
      </w:r>
      <w:r>
        <w:t>[</w:t>
      </w:r>
      <w:r>
        <w:t>the CPRA</w:t>
      </w:r>
      <w:r>
        <w:t>]</w:t>
      </w:r>
      <w:r>
        <w:t>.</w:t>
      </w:r>
      <w:r>
        <w:t>”</w:t>
      </w:r>
      <w:r>
        <w:t xml:space="preserve">  (§ 6126.3, subd. (b), italics added.)  In turn, s</w:t>
      </w:r>
      <w:r>
        <w:t>ection 6126.3(c)</w:t>
      </w:r>
      <w:r>
        <w:t>(1)</w:t>
      </w:r>
      <w:proofErr w:type="gramStart"/>
      <w:r>
        <w:t>–(</w:t>
      </w:r>
      <w:proofErr w:type="gramEnd"/>
      <w:r>
        <w:t>5)</w:t>
      </w:r>
      <w:r>
        <w:t xml:space="preserve"> </w:t>
      </w:r>
      <w:r>
        <w:t>identifies</w:t>
      </w:r>
      <w:r>
        <w:t xml:space="preserve"> </w:t>
      </w:r>
      <w:r>
        <w:t xml:space="preserve">OIG </w:t>
      </w:r>
      <w:r>
        <w:t xml:space="preserve">papers and records </w:t>
      </w:r>
      <w:r>
        <w:t>that “</w:t>
      </w:r>
      <w:r>
        <w:t>are</w:t>
      </w:r>
      <w:r w:rsidRPr="000F1C3A">
        <w:rPr>
          <w:i/>
          <w:iCs/>
        </w:rPr>
        <w:t xml:space="preserve"> not</w:t>
      </w:r>
      <w:r>
        <w:t xml:space="preserve"> public records subject to </w:t>
      </w:r>
      <w:r>
        <w:t>[</w:t>
      </w:r>
      <w:r>
        <w:t>the CPRA</w:t>
      </w:r>
      <w:r>
        <w:t>]</w:t>
      </w:r>
      <w:r>
        <w:t>.</w:t>
      </w:r>
      <w:r>
        <w:t>”</w:t>
      </w:r>
      <w:r>
        <w:t xml:space="preserve">  (</w:t>
      </w:r>
      <w:r>
        <w:t>§ 6126.3(c), i</w:t>
      </w:r>
      <w:r>
        <w:t>talics added.)</w:t>
      </w:r>
      <w:r>
        <w:t xml:space="preserve">  </w:t>
      </w:r>
      <w:r>
        <w:t>Here</w:t>
      </w:r>
      <w:r>
        <w:t>, the trial</w:t>
      </w:r>
      <w:r>
        <w:t xml:space="preserve"> court</w:t>
      </w:r>
      <w:r>
        <w:t xml:space="preserve"> </w:t>
      </w:r>
      <w:r>
        <w:t xml:space="preserve">determined, after an </w:t>
      </w:r>
      <w:proofErr w:type="gramStart"/>
      <w:r w:rsidRPr="0060450C">
        <w:rPr>
          <w:i/>
          <w:iCs/>
        </w:rPr>
        <w:t>in camera</w:t>
      </w:r>
      <w:proofErr w:type="gramEnd"/>
      <w:r>
        <w:t xml:space="preserve"> review, that</w:t>
      </w:r>
      <w:r>
        <w:t xml:space="preserve"> </w:t>
      </w:r>
      <w:r>
        <w:t xml:space="preserve">the </w:t>
      </w:r>
      <w:r>
        <w:t xml:space="preserve">OIG report at issue </w:t>
      </w:r>
      <w:r>
        <w:t xml:space="preserve">was properly </w:t>
      </w:r>
      <w:r>
        <w:t xml:space="preserve">withheld </w:t>
      </w:r>
      <w:r>
        <w:t>because it appeared “to fall within the confines of”</w:t>
      </w:r>
      <w:r>
        <w:t xml:space="preserve"> section 6126.3(c)(2)</w:t>
      </w:r>
      <w:r>
        <w:t xml:space="preserve"> [reports and documents pertaining to uncompleted reviews]</w:t>
      </w:r>
      <w:r>
        <w:t xml:space="preserve">, </w:t>
      </w:r>
      <w:r>
        <w:t>(c)</w:t>
      </w:r>
      <w:r>
        <w:t>(3)</w:t>
      </w:r>
      <w:r>
        <w:t xml:space="preserve"> [communications pertaining to internal OIG discussions]</w:t>
      </w:r>
      <w:r>
        <w:t xml:space="preserve">, and </w:t>
      </w:r>
      <w:r>
        <w:t>(c)</w:t>
      </w:r>
      <w:r>
        <w:t>(4)</w:t>
      </w:r>
      <w:r>
        <w:t xml:space="preserve"> [identifying information and personal papers from requesting persons]</w:t>
      </w:r>
      <w:r>
        <w:t>.</w:t>
      </w:r>
    </w:p>
    <w:p w14:paraId="48C236D2" w14:textId="77777777" w:rsidR="008C6DF5" w:rsidRDefault="008C6DF5" w:rsidP="008536A2">
      <w:r>
        <w:tab/>
      </w:r>
      <w:r>
        <w:t xml:space="preserve">As indicated in part B, </w:t>
      </w:r>
      <w:r w:rsidRPr="00E6435C">
        <w:rPr>
          <w:i/>
          <w:iCs/>
        </w:rPr>
        <w:t>ante</w:t>
      </w:r>
      <w:r>
        <w:t>, the salient issue is whether, in the context of an OIG investigation of custodial officers, the terms of section 6126.3(c)(</w:t>
      </w:r>
      <w:r>
        <w:t>2</w:t>
      </w:r>
      <w:r>
        <w:t>)</w:t>
      </w:r>
      <w:proofErr w:type="gramStart"/>
      <w:r>
        <w:t>–</w:t>
      </w:r>
      <w:r>
        <w:lastRenderedPageBreak/>
        <w:t>(</w:t>
      </w:r>
      <w:proofErr w:type="gramEnd"/>
      <w:r>
        <w:t>4</w:t>
      </w:r>
      <w:r>
        <w:t>) pose a direct conflict with section 832.7(b)’s decree that the officer-related records within its scope shall be nonconfidential and made available for public inspection.  Section 832.7(b), however, speaks to the universe of public records pertaining to peace and custodial officers and officer investigations that must be made available for public ins</w:t>
      </w:r>
      <w:r>
        <w:t>pection pursuant to the CPRA.  The OIG papers and documents listed in section 6126.3(c)(</w:t>
      </w:r>
      <w:r>
        <w:t>2</w:t>
      </w:r>
      <w:r>
        <w:t>)</w:t>
      </w:r>
      <w:proofErr w:type="gramStart"/>
      <w:r>
        <w:t>–(</w:t>
      </w:r>
      <w:proofErr w:type="gramEnd"/>
      <w:r>
        <w:t>4</w:t>
      </w:r>
      <w:r>
        <w:t>) exist outside that universe because the Legislature has proclaimed they “are not public records subject to the [CPRA].”</w:t>
      </w:r>
      <w:r>
        <w:t xml:space="preserve">  (§ 6126.3(c).)</w:t>
      </w:r>
      <w:r>
        <w:t xml:space="preserve">  Put another way, these </w:t>
      </w:r>
      <w:proofErr w:type="gramStart"/>
      <w:r>
        <w:t>particular papers</w:t>
      </w:r>
      <w:proofErr w:type="gramEnd"/>
      <w:r>
        <w:t xml:space="preserve"> and documents are not records that, in the words of section 832.7(b)(1), could “be made available for public inspection </w:t>
      </w:r>
      <w:r w:rsidRPr="0005606E">
        <w:rPr>
          <w:i/>
          <w:iCs/>
        </w:rPr>
        <w:t xml:space="preserve">pursuant to the </w:t>
      </w:r>
      <w:r w:rsidRPr="0005606E">
        <w:t>[</w:t>
      </w:r>
      <w:r w:rsidRPr="0005606E">
        <w:rPr>
          <w:i/>
          <w:iCs/>
        </w:rPr>
        <w:t>CPRA</w:t>
      </w:r>
      <w:r w:rsidRPr="0005606E">
        <w:t>]</w:t>
      </w:r>
      <w:r>
        <w:t xml:space="preserve">.”  (Italics </w:t>
      </w:r>
      <w:r w:rsidRPr="00670BF2">
        <w:t xml:space="preserve">added.)  </w:t>
      </w:r>
      <w:r w:rsidRPr="00670BF2">
        <w:t xml:space="preserve">We </w:t>
      </w:r>
      <w:r w:rsidRPr="00670BF2">
        <w:t>are not</w:t>
      </w:r>
      <w:r w:rsidRPr="00670BF2">
        <w:t xml:space="preserve"> aware of any authority mandating disclosure</w:t>
      </w:r>
      <w:r w:rsidRPr="00670BF2">
        <w:t xml:space="preserve"> of a record the </w:t>
      </w:r>
      <w:r w:rsidRPr="00670BF2">
        <w:t>Legi</w:t>
      </w:r>
      <w:r w:rsidRPr="00670BF2">
        <w:t xml:space="preserve">slature </w:t>
      </w:r>
      <w:r w:rsidRPr="00670BF2">
        <w:t xml:space="preserve">has </w:t>
      </w:r>
      <w:r w:rsidRPr="00670BF2">
        <w:t xml:space="preserve">expressly </w:t>
      </w:r>
      <w:r w:rsidRPr="00670BF2">
        <w:t>classifie</w:t>
      </w:r>
      <w:r w:rsidRPr="00670BF2">
        <w:t>d</w:t>
      </w:r>
      <w:r w:rsidRPr="00670BF2">
        <w:t xml:space="preserve"> as not a public record subject to the CPRA.  </w:t>
      </w:r>
      <w:r w:rsidRPr="00670BF2">
        <w:t>Because</w:t>
      </w:r>
      <w:r w:rsidRPr="00670BF2">
        <w:t xml:space="preserve"> the OIG report at issue </w:t>
      </w:r>
      <w:r w:rsidRPr="00670BF2">
        <w:t xml:space="preserve">falls outside the </w:t>
      </w:r>
      <w:r w:rsidRPr="00670BF2">
        <w:t>reach of</w:t>
      </w:r>
      <w:r w:rsidRPr="00670BF2">
        <w:t xml:space="preserve"> the CPRA</w:t>
      </w:r>
      <w:r w:rsidRPr="00670BF2">
        <w:t xml:space="preserve">, </w:t>
      </w:r>
      <w:r w:rsidRPr="00670BF2">
        <w:t xml:space="preserve">even though it </w:t>
      </w:r>
      <w:r w:rsidRPr="00670BF2">
        <w:t xml:space="preserve">appears to </w:t>
      </w:r>
      <w:r w:rsidRPr="00670BF2">
        <w:t>concern a custodial officer investigation of the type contemplated in section 832.7(b), the trial court did not err in declining to order its disclosure under section 832.7(b).</w:t>
      </w:r>
    </w:p>
    <w:p w14:paraId="5DBE027C" w14:textId="77777777" w:rsidR="008C6DF5" w:rsidRDefault="008C6DF5" w:rsidP="008536A2">
      <w:r>
        <w:tab/>
        <w:t xml:space="preserve">At oral argument, petitioners identified </w:t>
      </w:r>
      <w:r w:rsidRPr="0022133B">
        <w:rPr>
          <w:i/>
          <w:iCs/>
        </w:rPr>
        <w:t>Sierra Club v. Superior Court</w:t>
      </w:r>
      <w:r>
        <w:t xml:space="preserve"> (2013) 57 Cal.4th </w:t>
      </w:r>
      <w:r>
        <w:t>157</w:t>
      </w:r>
      <w:r>
        <w:t xml:space="preserve"> </w:t>
      </w:r>
      <w:r>
        <w:t>(</w:t>
      </w:r>
      <w:r w:rsidRPr="004262E6">
        <w:rPr>
          <w:i/>
          <w:iCs/>
        </w:rPr>
        <w:t>Sierra Club</w:t>
      </w:r>
      <w:r>
        <w:t xml:space="preserve">) </w:t>
      </w:r>
      <w:r>
        <w:t xml:space="preserve">as authority for the proposition that </w:t>
      </w:r>
      <w:r>
        <w:t>disclosure of a</w:t>
      </w:r>
      <w:r>
        <w:t xml:space="preserve"> public agency </w:t>
      </w:r>
      <w:r>
        <w:t xml:space="preserve">record may be mandated notwithstanding </w:t>
      </w:r>
      <w:r>
        <w:t xml:space="preserve">a statute </w:t>
      </w:r>
      <w:r>
        <w:t xml:space="preserve">that </w:t>
      </w:r>
      <w:r>
        <w:t xml:space="preserve">expressly </w:t>
      </w:r>
      <w:r>
        <w:t>exclude</w:t>
      </w:r>
      <w:r>
        <w:t>s</w:t>
      </w:r>
      <w:r>
        <w:t xml:space="preserve"> it from the </w:t>
      </w:r>
      <w:r>
        <w:t xml:space="preserve">CPRA </w:t>
      </w:r>
      <w:r>
        <w:t xml:space="preserve">definition of a public record.  </w:t>
      </w:r>
      <w:r>
        <w:t>Petitioners’ read of the case, however, is off the mark.</w:t>
      </w:r>
    </w:p>
    <w:p w14:paraId="5D7233F9" w14:textId="77777777" w:rsidR="008C6DF5" w:rsidRDefault="008C6DF5" w:rsidP="008536A2">
      <w:r>
        <w:tab/>
        <w:t xml:space="preserve">In </w:t>
      </w:r>
      <w:r w:rsidRPr="008A3CE6">
        <w:rPr>
          <w:i/>
          <w:iCs/>
        </w:rPr>
        <w:t>Sierra Club</w:t>
      </w:r>
      <w:r>
        <w:t xml:space="preserve">, </w:t>
      </w:r>
      <w:r>
        <w:t>a CPRA</w:t>
      </w:r>
      <w:r>
        <w:t xml:space="preserve"> statute </w:t>
      </w:r>
      <w:r>
        <w:t xml:space="preserve">specifically </w:t>
      </w:r>
      <w:r>
        <w:t xml:space="preserve">excluded </w:t>
      </w:r>
      <w:proofErr w:type="gramStart"/>
      <w:r>
        <w:t>“ ‘</w:t>
      </w:r>
      <w:proofErr w:type="gramEnd"/>
      <w:r>
        <w:t>[c]</w:t>
      </w:r>
      <w:proofErr w:type="spellStart"/>
      <w:r>
        <w:t>omputer</w:t>
      </w:r>
      <w:proofErr w:type="spellEnd"/>
      <w:r>
        <w:t xml:space="preserve"> software’ from the definition of a public record” and defined “ ‘computer software’ ” as including “computer mapping systems.”  (</w:t>
      </w:r>
      <w:r w:rsidRPr="00A0199E">
        <w:rPr>
          <w:i/>
          <w:iCs/>
        </w:rPr>
        <w:t>Sierra Club</w:t>
      </w:r>
      <w:r>
        <w:t xml:space="preserve">, </w:t>
      </w:r>
      <w:r w:rsidRPr="008A3CE6">
        <w:rPr>
          <w:i/>
          <w:iCs/>
        </w:rPr>
        <w:t>supra</w:t>
      </w:r>
      <w:r>
        <w:t>, 57 Cal.4th at p. 165 [</w:t>
      </w:r>
      <w:r>
        <w:t>addressing</w:t>
      </w:r>
      <w:r>
        <w:t xml:space="preserve"> former Gov. Code, § 6254.9].) </w:t>
      </w:r>
      <w:r>
        <w:t xml:space="preserve"> </w:t>
      </w:r>
      <w:r>
        <w:t xml:space="preserve">The question was “whether the term </w:t>
      </w:r>
      <w:proofErr w:type="gramStart"/>
      <w:r>
        <w:t>“ ‘</w:t>
      </w:r>
      <w:proofErr w:type="gramEnd"/>
      <w:r>
        <w:t xml:space="preserve">computer software,’ ” as used in the statute, encompassed a so-called “GIS-formatted OC </w:t>
      </w:r>
      <w:proofErr w:type="spellStart"/>
      <w:r>
        <w:t>Landbase</w:t>
      </w:r>
      <w:proofErr w:type="spellEnd"/>
      <w:r>
        <w:t>.”  (</w:t>
      </w:r>
      <w:r w:rsidRPr="008A3CE6">
        <w:rPr>
          <w:i/>
          <w:iCs/>
        </w:rPr>
        <w:t>Ibid</w:t>
      </w:r>
      <w:r>
        <w:t>.)</w:t>
      </w:r>
      <w:r>
        <w:t xml:space="preserve">  </w:t>
      </w:r>
      <w:r>
        <w:t>If it did,</w:t>
      </w:r>
      <w:r>
        <w:t xml:space="preserve"> </w:t>
      </w:r>
      <w:r w:rsidRPr="003E7479">
        <w:rPr>
          <w:i/>
          <w:iCs/>
        </w:rPr>
        <w:lastRenderedPageBreak/>
        <w:t>Sierra Club</w:t>
      </w:r>
      <w:r>
        <w:t xml:space="preserve"> explained,</w:t>
      </w:r>
      <w:r>
        <w:t xml:space="preserve"> </w:t>
      </w:r>
      <w:r>
        <w:t>“</w:t>
      </w:r>
      <w:r>
        <w:t xml:space="preserve">then the GIS-formatted OC </w:t>
      </w:r>
      <w:proofErr w:type="spellStart"/>
      <w:r>
        <w:t>Landbase</w:t>
      </w:r>
      <w:proofErr w:type="spellEnd"/>
      <w:r>
        <w:t xml:space="preserve"> is not a public re</w:t>
      </w:r>
      <w:r>
        <w:t>cord subject to disclosure; if not, then it is a public record subject to disclosure unless otherwise exempt under the [CPRA].”  (</w:t>
      </w:r>
      <w:r w:rsidRPr="006142FF">
        <w:rPr>
          <w:i/>
          <w:iCs/>
        </w:rPr>
        <w:t>Ibid</w:t>
      </w:r>
      <w:r>
        <w:t>.)</w:t>
      </w:r>
      <w:r>
        <w:rPr>
          <w:rStyle w:val="FootnoteReference"/>
        </w:rPr>
        <w:footnoteReference w:id="6"/>
      </w:r>
      <w:r>
        <w:t xml:space="preserve">  </w:t>
      </w:r>
      <w:r w:rsidRPr="006142FF">
        <w:rPr>
          <w:i/>
          <w:iCs/>
        </w:rPr>
        <w:t>Sierra Club</w:t>
      </w:r>
      <w:r>
        <w:t xml:space="preserve"> ultimately concluded that “the better view, based on statutory text and context, is that GIS-formatted databases are not covered by the statutory exclusion of computer software, including computer mapping systems, from the definition of a public record.”  (</w:t>
      </w:r>
      <w:r w:rsidRPr="006142FF">
        <w:rPr>
          <w:i/>
          <w:iCs/>
        </w:rPr>
        <w:t>Id</w:t>
      </w:r>
      <w:r>
        <w:t xml:space="preserve">. at p. 171.)  </w:t>
      </w:r>
      <w:r>
        <w:t>Th</w:t>
      </w:r>
      <w:r>
        <w:t>ough</w:t>
      </w:r>
      <w:r>
        <w:t xml:space="preserve"> </w:t>
      </w:r>
      <w:r w:rsidRPr="006142FF">
        <w:rPr>
          <w:i/>
          <w:iCs/>
        </w:rPr>
        <w:t>Sierra Club</w:t>
      </w:r>
      <w:r>
        <w:t xml:space="preserve"> </w:t>
      </w:r>
      <w:r>
        <w:t>hel</w:t>
      </w:r>
      <w:r>
        <w:t xml:space="preserve">d </w:t>
      </w:r>
      <w:r>
        <w:t xml:space="preserve">the database at issue </w:t>
      </w:r>
      <w:r>
        <w:t xml:space="preserve">was </w:t>
      </w:r>
      <w:r>
        <w:t xml:space="preserve">potentially </w:t>
      </w:r>
      <w:r>
        <w:t xml:space="preserve">disclosable </w:t>
      </w:r>
      <w:r>
        <w:t xml:space="preserve">pursuant to the CPRA </w:t>
      </w:r>
      <w:r>
        <w:t xml:space="preserve">because it </w:t>
      </w:r>
      <w:r>
        <w:t xml:space="preserve">did not fall within the </w:t>
      </w:r>
      <w:r>
        <w:t>computer software</w:t>
      </w:r>
      <w:r>
        <w:t xml:space="preserve"> exclusion</w:t>
      </w:r>
      <w:r>
        <w:t xml:space="preserve">, the clear implication of the decision is that </w:t>
      </w:r>
      <w:r>
        <w:t>statutes excluding documents from the definition of a public record</w:t>
      </w:r>
      <w:r>
        <w:t xml:space="preserve"> are to be enforced</w:t>
      </w:r>
      <w:r>
        <w:t>.</w:t>
      </w:r>
      <w:r>
        <w:t xml:space="preserve"> </w:t>
      </w:r>
    </w:p>
    <w:p w14:paraId="0140CB00" w14:textId="77777777" w:rsidR="008C6DF5" w:rsidRDefault="008C6DF5" w:rsidP="008536A2">
      <w:r>
        <w:tab/>
        <w:t xml:space="preserve">Petitioners also </w:t>
      </w:r>
      <w:r>
        <w:t>argue</w:t>
      </w:r>
      <w:r>
        <w:t xml:space="preserve"> that article </w:t>
      </w:r>
      <w:r>
        <w:t>I</w:t>
      </w:r>
      <w:r>
        <w:t>, section 3</w:t>
      </w:r>
      <w:r>
        <w:t>, subdivision (b)</w:t>
      </w:r>
      <w:r>
        <w:t xml:space="preserve"> of the California Constitution requires disclosure of the OIG report.  We cannot agree.  Though the constitutional provision generally favors disclosure of writings by public officials and agencies, </w:t>
      </w:r>
      <w:r>
        <w:t>petitioners overlook the provision’s express statement that</w:t>
      </w:r>
      <w:r>
        <w:t xml:space="preserve"> it “does not repeal or nullify, expressly or by implication, any . . . statutory exception to the right of access to public records . . . that is in effect on the effective date of this subdivision</w:t>
      </w:r>
      <w:r>
        <w:t>, inclu</w:t>
      </w:r>
      <w:r>
        <w:t>ding, but not limited to, any statute protecting the confidentiality of law enforcement and prosecution records.”  (Cal. Const., art. I, § 3, subd. (b)(5).)  There is no question that section 6126</w:t>
      </w:r>
      <w:r>
        <w:t>.3</w:t>
      </w:r>
      <w:r>
        <w:t xml:space="preserve">(c) was in effect before the </w:t>
      </w:r>
      <w:r>
        <w:lastRenderedPageBreak/>
        <w:t xml:space="preserve">constitutional provision became effective.  (Compare Stats. 2013, Res. Ch. 123 (S.C.A. 3), § 1 (Prop. 42, approved June 3, 2014, eff. June 4, </w:t>
      </w:r>
      <w:proofErr w:type="gramStart"/>
      <w:r>
        <w:t>2014</w:t>
      </w:r>
      <w:proofErr w:type="gramEnd"/>
      <w:r>
        <w:t xml:space="preserve"> with Stats. 2004, </w:t>
      </w:r>
      <w:proofErr w:type="spellStart"/>
      <w:r>
        <w:t>ch.</w:t>
      </w:r>
      <w:proofErr w:type="spellEnd"/>
      <w:r>
        <w:t> 734, § 1 (Sen. Bill No.</w:t>
      </w:r>
      <w:r>
        <w:t> </w:t>
      </w:r>
      <w:r>
        <w:t>1352).)</w:t>
      </w:r>
      <w:r>
        <w:t xml:space="preserve">  In sum, the plain terms of this constitutional provision do not </w:t>
      </w:r>
      <w:r>
        <w:t>override the public</w:t>
      </w:r>
      <w:r>
        <w:t xml:space="preserve"> records exception embodied in section 6126.3(c)</w:t>
      </w:r>
      <w:r>
        <w:t>(2)</w:t>
      </w:r>
      <w:proofErr w:type="gramStart"/>
      <w:r>
        <w:t>–(</w:t>
      </w:r>
      <w:proofErr w:type="gramEnd"/>
      <w:r>
        <w:t>4)</w:t>
      </w:r>
      <w:r>
        <w:t xml:space="preserve">. </w:t>
      </w:r>
    </w:p>
    <w:p w14:paraId="2DB875ED" w14:textId="77777777" w:rsidR="008C6DF5" w:rsidRDefault="008C6DF5" w:rsidP="008536A2">
      <w:r>
        <w:tab/>
      </w:r>
      <w:r>
        <w:t xml:space="preserve">Petitioners contend </w:t>
      </w:r>
      <w:r>
        <w:t>the conflict</w:t>
      </w:r>
      <w:r>
        <w:t xml:space="preserve"> they perceive</w:t>
      </w:r>
      <w:r>
        <w:t xml:space="preserve"> between s</w:t>
      </w:r>
      <w:r>
        <w:t>ection 6126.3(c)</w:t>
      </w:r>
      <w:r>
        <w:t xml:space="preserve"> and section 832.</w:t>
      </w:r>
      <w:r>
        <w:t>7</w:t>
      </w:r>
      <w:r>
        <w:t xml:space="preserve">(b) is </w:t>
      </w:r>
      <w:r>
        <w:t xml:space="preserve">functionally </w:t>
      </w:r>
      <w:r>
        <w:t>identical to the direct conflict posed by</w:t>
      </w:r>
      <w:r>
        <w:t xml:space="preserve"> </w:t>
      </w:r>
      <w:r>
        <w:t xml:space="preserve">Government Code section 11183.  </w:t>
      </w:r>
      <w:r>
        <w:t>But section 6126.3(c) is fundamentally different from Government Code section 11183 because it reflects the express will of the Legislature that certain specified documents are</w:t>
      </w:r>
      <w:r w:rsidRPr="00670BF2">
        <w:t xml:space="preserve"> not public record</w:t>
      </w:r>
      <w:r>
        <w:t>s</w:t>
      </w:r>
      <w:r w:rsidRPr="00670BF2">
        <w:t xml:space="preserve"> subject to the CPRA</w:t>
      </w:r>
      <w:r>
        <w:t>.</w:t>
      </w:r>
      <w:r>
        <w:t xml:space="preserve">  Not only have petitioners failed to provide any authority requiring disclosure of a record that the Legislature has expressly excluded from the definition of a public record, but the one case it does identify strongly suggests a statute that excludes a document </w:t>
      </w:r>
      <w:r>
        <w:t>from the definition of a public record should be judicially respected and enforced.  (</w:t>
      </w:r>
      <w:r>
        <w:t xml:space="preserve">See </w:t>
      </w:r>
      <w:r w:rsidRPr="00986834">
        <w:rPr>
          <w:i/>
          <w:iCs/>
        </w:rPr>
        <w:t>Sierra Club</w:t>
      </w:r>
      <w:r>
        <w:t xml:space="preserve">, </w:t>
      </w:r>
      <w:r w:rsidRPr="00986834">
        <w:rPr>
          <w:i/>
          <w:iCs/>
        </w:rPr>
        <w:t>supra</w:t>
      </w:r>
      <w:r>
        <w:t>, 57 Cal.4th at p. 165.)</w:t>
      </w:r>
    </w:p>
    <w:p w14:paraId="1890BE0C" w14:textId="77777777" w:rsidR="008C6DF5" w:rsidRDefault="008C6DF5" w:rsidP="009521A3">
      <w:r>
        <w:tab/>
      </w:r>
      <w:r>
        <w:t>Though public accessibility to the OIG documents listed in section 6126.3(c)(</w:t>
      </w:r>
      <w:r>
        <w:t>2</w:t>
      </w:r>
      <w:r>
        <w:t>)</w:t>
      </w:r>
      <w:proofErr w:type="gramStart"/>
      <w:r>
        <w:t>–(</w:t>
      </w:r>
      <w:proofErr w:type="gramEnd"/>
      <w:r>
        <w:t>4</w:t>
      </w:r>
      <w:r>
        <w:t xml:space="preserve">) </w:t>
      </w:r>
      <w:r>
        <w:t>might</w:t>
      </w:r>
      <w:r>
        <w:t xml:space="preserve"> further the purposes underlying section 832.7(b), we may not override the exp</w:t>
      </w:r>
      <w:r>
        <w:t>licit</w:t>
      </w:r>
      <w:r>
        <w:t xml:space="preserve"> intent of the Legislature and the </w:t>
      </w:r>
      <w:r>
        <w:t xml:space="preserve">more limited </w:t>
      </w:r>
      <w:r>
        <w:t xml:space="preserve">disclosure scheme it crafted specifically for OIG documents.  Petitioners, of course, remain free to </w:t>
      </w:r>
      <w:r>
        <w:t xml:space="preserve">seek legislative reversal of the </w:t>
      </w:r>
      <w:r>
        <w:t>public record exception</w:t>
      </w:r>
      <w:r>
        <w:t xml:space="preserve"> reflected in section 6126.3(c)</w:t>
      </w:r>
      <w:r>
        <w:t>(2)</w:t>
      </w:r>
      <w:proofErr w:type="gramStart"/>
      <w:r>
        <w:t>–(</w:t>
      </w:r>
      <w:proofErr w:type="gramEnd"/>
      <w:r>
        <w:t>4)</w:t>
      </w:r>
      <w:r>
        <w:t xml:space="preserve">. </w:t>
      </w:r>
    </w:p>
    <w:p w14:paraId="03D79324" w14:textId="77777777" w:rsidR="008C6DF5" w:rsidRDefault="008C6DF5" w:rsidP="008536A2">
      <w:r>
        <w:tab/>
      </w:r>
      <w:r>
        <w:t>In sum, the OIG report at issue was properly withheld to the extent it fell “within the confines of” section 6126.3(c)(2)</w:t>
      </w:r>
      <w:proofErr w:type="gramStart"/>
      <w:r>
        <w:t>–(</w:t>
      </w:r>
      <w:proofErr w:type="gramEnd"/>
      <w:r>
        <w:t>4)</w:t>
      </w:r>
      <w:r>
        <w:t>, as stated by the trial court</w:t>
      </w:r>
      <w:r>
        <w:t>.</w:t>
      </w:r>
      <w:r>
        <w:t xml:space="preserve">  Our conclusion</w:t>
      </w:r>
      <w:r>
        <w:t>, however,</w:t>
      </w:r>
      <w:r>
        <w:t xml:space="preserve"> is not intended to preclude the trial court, on remand, from revisiting whether portions of the OIG report fall outside the scope of section 6126.3(c)</w:t>
      </w:r>
      <w:r>
        <w:t>(2)</w:t>
      </w:r>
      <w:proofErr w:type="gramStart"/>
      <w:r>
        <w:t>–(</w:t>
      </w:r>
      <w:proofErr w:type="gramEnd"/>
      <w:r>
        <w:t>4)</w:t>
      </w:r>
      <w:r>
        <w:t>.</w:t>
      </w:r>
    </w:p>
    <w:p w14:paraId="00346D77" w14:textId="77777777" w:rsidR="008C6DF5" w:rsidRPr="003B38EC" w:rsidRDefault="008C6DF5" w:rsidP="006C3C2E">
      <w:pPr>
        <w:pStyle w:val="ListParagraph"/>
        <w:keepNext/>
        <w:numPr>
          <w:ilvl w:val="0"/>
          <w:numId w:val="5"/>
        </w:numPr>
        <w:rPr>
          <w:b/>
          <w:bCs/>
        </w:rPr>
      </w:pPr>
      <w:r>
        <w:rPr>
          <w:b/>
          <w:bCs/>
        </w:rPr>
        <w:lastRenderedPageBreak/>
        <w:t xml:space="preserve"> </w:t>
      </w:r>
      <w:r w:rsidRPr="003B38EC">
        <w:rPr>
          <w:b/>
          <w:bCs/>
        </w:rPr>
        <w:t xml:space="preserve">Unemployment Insurance Code </w:t>
      </w:r>
      <w:r>
        <w:rPr>
          <w:b/>
          <w:bCs/>
        </w:rPr>
        <w:t>S</w:t>
      </w:r>
      <w:r w:rsidRPr="003B38EC">
        <w:rPr>
          <w:b/>
          <w:bCs/>
        </w:rPr>
        <w:t>ection 1094</w:t>
      </w:r>
    </w:p>
    <w:p w14:paraId="76580B7D" w14:textId="77777777" w:rsidR="008C6DF5" w:rsidRDefault="008C6DF5" w:rsidP="006D55E0">
      <w:r>
        <w:tab/>
      </w:r>
      <w:r>
        <w:t>Finally, t</w:t>
      </w:r>
      <w:r>
        <w:t xml:space="preserve">he record </w:t>
      </w:r>
      <w:r>
        <w:t>in this matter</w:t>
      </w:r>
      <w:r>
        <w:t xml:space="preserve"> </w:t>
      </w:r>
      <w:r>
        <w:t xml:space="preserve">contains </w:t>
      </w:r>
      <w:r>
        <w:t>the Department’s</w:t>
      </w:r>
      <w:r>
        <w:t xml:space="preserve"> </w:t>
      </w:r>
      <w:r>
        <w:t>“Withholding Log</w:t>
      </w:r>
      <w:r>
        <w:t>,</w:t>
      </w:r>
      <w:r>
        <w:t xml:space="preserve">” </w:t>
      </w:r>
      <w:r>
        <w:t xml:space="preserve">which </w:t>
      </w:r>
      <w:r>
        <w:t>list</w:t>
      </w:r>
      <w:r>
        <w:t>s</w:t>
      </w:r>
      <w:r>
        <w:t xml:space="preserve"> </w:t>
      </w:r>
      <w:proofErr w:type="gramStart"/>
      <w:r>
        <w:t>a number of</w:t>
      </w:r>
      <w:proofErr w:type="gramEnd"/>
      <w:r>
        <w:t xml:space="preserve"> documents </w:t>
      </w:r>
      <w:r>
        <w:t>being withheld</w:t>
      </w:r>
      <w:r>
        <w:t xml:space="preserve"> </w:t>
      </w:r>
      <w:r>
        <w:t xml:space="preserve">on </w:t>
      </w:r>
      <w:r>
        <w:t xml:space="preserve">the grounds they reflect confidential unemployment information or confidential attorney-client communications and/or work product concerning confidential unemployment information. </w:t>
      </w:r>
      <w:r>
        <w:t xml:space="preserve"> </w:t>
      </w:r>
    </w:p>
    <w:p w14:paraId="2ABDA4C6" w14:textId="77777777" w:rsidR="008C6DF5" w:rsidRDefault="008C6DF5" w:rsidP="001313AB">
      <w:r w:rsidRPr="004D5D48">
        <w:rPr>
          <w:iCs/>
        </w:rPr>
        <w:tab/>
      </w:r>
      <w:r>
        <w:rPr>
          <w:iCs/>
        </w:rPr>
        <w:t xml:space="preserve">In refusing </w:t>
      </w:r>
      <w:r>
        <w:rPr>
          <w:iCs/>
        </w:rPr>
        <w:t xml:space="preserve">public </w:t>
      </w:r>
      <w:r>
        <w:rPr>
          <w:iCs/>
        </w:rPr>
        <w:t>access to these documents, the Department relie</w:t>
      </w:r>
      <w:r>
        <w:rPr>
          <w:iCs/>
        </w:rPr>
        <w:t>d</w:t>
      </w:r>
      <w:r>
        <w:rPr>
          <w:iCs/>
        </w:rPr>
        <w:t xml:space="preserve"> on </w:t>
      </w:r>
      <w:r w:rsidRPr="004D5D48">
        <w:t>Unemployment Insurance Code section 1094</w:t>
      </w:r>
      <w:r>
        <w:t xml:space="preserve">, subdivision (a), </w:t>
      </w:r>
      <w:r>
        <w:t xml:space="preserve">which </w:t>
      </w:r>
      <w:r>
        <w:t>provides</w:t>
      </w:r>
      <w:proofErr w:type="gramStart"/>
      <w:r>
        <w:t>:  “</w:t>
      </w:r>
      <w:proofErr w:type="gramEnd"/>
      <w:r>
        <w:t xml:space="preserve">Except as otherwise specifically provided in this code, the information obtained in </w:t>
      </w:r>
      <w:r>
        <w:t xml:space="preserve">the </w:t>
      </w:r>
      <w:r>
        <w:t xml:space="preserve">administration of this code is confidential, not open to the public, and shall be for the exclusive use and information of the director in discharge of his or her duties.”  (See </w:t>
      </w:r>
      <w:proofErr w:type="spellStart"/>
      <w:r>
        <w:t>Unemp</w:t>
      </w:r>
      <w:proofErr w:type="spellEnd"/>
      <w:r>
        <w:t xml:space="preserve">. Ins. Code, § 134 [defining director as the “Director of Employment Development”].)  </w:t>
      </w:r>
      <w:r>
        <w:t xml:space="preserve">This statute also provides that </w:t>
      </w:r>
      <w:r>
        <w:t>“</w:t>
      </w:r>
      <w:r>
        <w:t>[a]</w:t>
      </w:r>
      <w:proofErr w:type="spellStart"/>
      <w:r>
        <w:t>ny</w:t>
      </w:r>
      <w:proofErr w:type="spellEnd"/>
      <w:r>
        <w:t xml:space="preserve"> person who knowingly access</w:t>
      </w:r>
      <w:r>
        <w:t>es</w:t>
      </w:r>
      <w:r>
        <w:t xml:space="preserve">, uses, or discloses any confidential information without authorization is </w:t>
      </w:r>
      <w:r>
        <w:t>in violation of this section and is guilty of a misdemeanor.”  (</w:t>
      </w:r>
      <w:proofErr w:type="spellStart"/>
      <w:r>
        <w:t>Unemp</w:t>
      </w:r>
      <w:proofErr w:type="spellEnd"/>
      <w:r>
        <w:t>. Ins. Code, § 1094, subd. (f).)</w:t>
      </w:r>
    </w:p>
    <w:p w14:paraId="48670ED4" w14:textId="77777777" w:rsidR="008C6DF5" w:rsidRDefault="008C6DF5" w:rsidP="00745A99">
      <w:r>
        <w:tab/>
      </w:r>
      <w:r>
        <w:t>Here, there is no indication the Department was acting in an oversight or investigative capacity with respect to the records at issue.  Instead, the record indicates</w:t>
      </w:r>
      <w:r>
        <w:t xml:space="preserve"> the Department was </w:t>
      </w:r>
      <w:r>
        <w:t xml:space="preserve">serving </w:t>
      </w:r>
      <w:r>
        <w:t>as counsel for a public entity in one or more appeals of an unemployment benefits decision</w:t>
      </w:r>
      <w:r>
        <w:t>.  Notably</w:t>
      </w:r>
      <w:r>
        <w:t xml:space="preserve">, petitioners do not address the significance, if any, of </w:t>
      </w:r>
      <w:r>
        <w:t xml:space="preserve">the </w:t>
      </w:r>
      <w:r>
        <w:t>lawyer-client</w:t>
      </w:r>
      <w:r>
        <w:t xml:space="preserve"> privilege</w:t>
      </w:r>
      <w:r>
        <w:t xml:space="preserve"> in resolving the issue of public accessibility to the records at issue.  </w:t>
      </w:r>
      <w:r>
        <w:t>Moreover,</w:t>
      </w:r>
      <w:r>
        <w:t xml:space="preserve"> they offer no meaningful analysis of whether</w:t>
      </w:r>
      <w:r>
        <w:t xml:space="preserve"> Unemp</w:t>
      </w:r>
      <w:r>
        <w:t>loyment Insurance Code section 1094</w:t>
      </w:r>
      <w:r>
        <w:t xml:space="preserve"> presents a direct conflict with section 832.7.  </w:t>
      </w:r>
      <w:r>
        <w:t xml:space="preserve">Because plaintiffs have not met their burden to affirmatively show error, we will not disturb the trial court’s ruling on this point.  </w:t>
      </w:r>
      <w:r>
        <w:t>(See</w:t>
      </w:r>
      <w:r>
        <w:t xml:space="preserve"> </w:t>
      </w:r>
      <w:r w:rsidRPr="00AF02F5">
        <w:rPr>
          <w:i/>
          <w:iCs/>
        </w:rPr>
        <w:t>Blizzard Energy, Inc. v. Schaefers</w:t>
      </w:r>
      <w:r>
        <w:t xml:space="preserve"> (2021) 71 Cal.App.5</w:t>
      </w:r>
      <w:r w:rsidRPr="00F4497C">
        <w:t xml:space="preserve">th </w:t>
      </w:r>
      <w:r>
        <w:t>832, 856.)</w:t>
      </w:r>
      <w:r>
        <w:t xml:space="preserve"> </w:t>
      </w:r>
    </w:p>
    <w:p w14:paraId="34B0BF1F" w14:textId="77777777" w:rsidR="008C6DF5" w:rsidRPr="004D5D48" w:rsidRDefault="008C6DF5" w:rsidP="00793B54">
      <w:pPr>
        <w:keepNext/>
        <w:jc w:val="center"/>
        <w:rPr>
          <w:rFonts w:cs="Times New Roman (Body CS)"/>
          <w:smallCaps/>
        </w:rPr>
      </w:pPr>
      <w:r w:rsidRPr="004D5D48">
        <w:rPr>
          <w:rFonts w:cs="Times New Roman (Body CS)"/>
          <w:b/>
          <w:bCs/>
          <w:smallCaps/>
          <w:shd w:val="clear" w:color="auto" w:fill="FFFFFF"/>
        </w:rPr>
        <w:lastRenderedPageBreak/>
        <w:t>D</w:t>
      </w:r>
      <w:r w:rsidRPr="004D5D48">
        <w:rPr>
          <w:rFonts w:cs="Times New Roman (Body CS)"/>
          <w:b/>
          <w:bCs/>
          <w:smallCaps/>
          <w:shd w:val="clear" w:color="auto" w:fill="FFFFFF"/>
        </w:rPr>
        <w:t>isposition</w:t>
      </w:r>
    </w:p>
    <w:p w14:paraId="7BA0D582" w14:textId="77777777" w:rsidR="008C6DF5" w:rsidRDefault="008C6DF5" w:rsidP="00E2480D">
      <w:pPr>
        <w:rPr>
          <w:shd w:val="clear" w:color="auto" w:fill="FFFFFF"/>
        </w:rPr>
      </w:pPr>
      <w:r w:rsidRPr="004D5D48">
        <w:rPr>
          <w:shd w:val="clear" w:color="auto" w:fill="FFFFFF"/>
        </w:rPr>
        <w:tab/>
      </w:r>
      <w:r>
        <w:rPr>
          <w:shd w:val="clear" w:color="auto" w:fill="FFFFFF"/>
        </w:rPr>
        <w:t>Let a peremptory writ of mandate issue directing</w:t>
      </w:r>
      <w:r>
        <w:rPr>
          <w:shd w:val="clear" w:color="auto" w:fill="FFFFFF"/>
        </w:rPr>
        <w:t xml:space="preserve"> respondent court to vacate its judgment to the extent it denies</w:t>
      </w:r>
      <w:r>
        <w:rPr>
          <w:shd w:val="clear" w:color="auto" w:fill="FFFFFF"/>
        </w:rPr>
        <w:t xml:space="preserve"> petitioners’ motion for judgment based on Government Code section 11183</w:t>
      </w:r>
      <w:r>
        <w:rPr>
          <w:shd w:val="clear" w:color="auto" w:fill="FFFFFF"/>
        </w:rPr>
        <w:t xml:space="preserve">.  The matter is remanded to respondent court for </w:t>
      </w:r>
      <w:r>
        <w:rPr>
          <w:shd w:val="clear" w:color="auto" w:fill="FFFFFF"/>
        </w:rPr>
        <w:t xml:space="preserve">further proceedings consistent with this opinion.  In all other respects, </w:t>
      </w:r>
      <w:r>
        <w:rPr>
          <w:shd w:val="clear" w:color="auto" w:fill="FFFFFF"/>
        </w:rPr>
        <w:t>the petition for writ of mandate is denied.</w:t>
      </w:r>
    </w:p>
    <w:p w14:paraId="642BE6D8" w14:textId="77777777" w:rsidR="008C6DF5" w:rsidRDefault="008C6DF5" w:rsidP="00D90FBE">
      <w:pPr>
        <w:rPr>
          <w:shd w:val="clear" w:color="auto" w:fill="FFFFFF"/>
        </w:rPr>
      </w:pPr>
      <w:r>
        <w:rPr>
          <w:shd w:val="clear" w:color="auto" w:fill="FFFFFF"/>
        </w:rPr>
        <w:tab/>
        <w:t xml:space="preserve">The parties shall bear their own costs </w:t>
      </w:r>
      <w:r>
        <w:rPr>
          <w:shd w:val="clear" w:color="auto" w:fill="FFFFFF"/>
        </w:rPr>
        <w:t>in this writ proceeding</w:t>
      </w:r>
      <w:r>
        <w:rPr>
          <w:shd w:val="clear" w:color="auto" w:fill="FFFFFF"/>
        </w:rPr>
        <w:t>.  (Cal. Rules of Court, rule 8.493(a)(1)(B).)</w:t>
      </w:r>
    </w:p>
    <w:p w14:paraId="0343C7CF" w14:textId="77777777" w:rsidR="008C6DF5" w:rsidRDefault="008C6DF5" w:rsidP="00D90FBE">
      <w:pPr>
        <w:rPr>
          <w:shd w:val="clear" w:color="auto" w:fill="FFFFFF"/>
        </w:rPr>
      </w:pPr>
    </w:p>
    <w:p w14:paraId="5A5513C9" w14:textId="77777777" w:rsidR="008C6DF5" w:rsidRPr="00432F50" w:rsidRDefault="008C6DF5" w:rsidP="00B80926">
      <w:pPr>
        <w:tabs>
          <w:tab w:val="clear" w:pos="720"/>
        </w:tabs>
        <w:spacing w:line="240" w:lineRule="auto"/>
        <w:ind w:left="4320"/>
        <w:rPr>
          <w:rFonts w:eastAsia="Calibri" w:cs="Times New Roman"/>
        </w:rPr>
      </w:pPr>
      <w:r w:rsidRPr="00432F50">
        <w:rPr>
          <w:rFonts w:eastAsia="Calibri" w:cs="Times New Roman"/>
        </w:rPr>
        <w:t>_________________________</w:t>
      </w:r>
    </w:p>
    <w:p w14:paraId="0CE4D9B8" w14:textId="77777777" w:rsidR="008C6DF5" w:rsidRPr="00432F50" w:rsidRDefault="008C6DF5" w:rsidP="00B80926">
      <w:pPr>
        <w:tabs>
          <w:tab w:val="clear" w:pos="720"/>
        </w:tabs>
        <w:spacing w:line="240" w:lineRule="auto"/>
        <w:rPr>
          <w:rFonts w:eastAsia="Calibri" w:cs="Times New Roman"/>
        </w:rPr>
      </w:pPr>
      <w:r w:rsidRPr="00432F50">
        <w:rPr>
          <w:rFonts w:eastAsia="Calibri" w:cs="Times New Roman"/>
        </w:rPr>
        <w:tab/>
      </w:r>
      <w:r w:rsidRPr="00432F50">
        <w:rPr>
          <w:rFonts w:eastAsia="Calibri" w:cs="Times New Roman"/>
        </w:rPr>
        <w:tab/>
      </w:r>
      <w:r w:rsidRPr="00432F50">
        <w:rPr>
          <w:rFonts w:eastAsia="Calibri" w:cs="Times New Roman"/>
        </w:rPr>
        <w:tab/>
      </w:r>
      <w:r w:rsidRPr="00432F50">
        <w:rPr>
          <w:rFonts w:eastAsia="Calibri" w:cs="Times New Roman"/>
        </w:rPr>
        <w:tab/>
      </w:r>
      <w:r w:rsidRPr="00432F50">
        <w:rPr>
          <w:rFonts w:eastAsia="Calibri" w:cs="Times New Roman"/>
        </w:rPr>
        <w:tab/>
      </w:r>
      <w:r w:rsidRPr="00432F50">
        <w:rPr>
          <w:rFonts w:eastAsia="Calibri" w:cs="Times New Roman"/>
        </w:rPr>
        <w:tab/>
        <w:t>Fujisaki, Acting P.J.</w:t>
      </w:r>
    </w:p>
    <w:p w14:paraId="42812E34" w14:textId="77777777" w:rsidR="008C6DF5" w:rsidRPr="00432F50" w:rsidRDefault="008C6DF5" w:rsidP="00B80926">
      <w:pPr>
        <w:tabs>
          <w:tab w:val="clear" w:pos="720"/>
        </w:tabs>
        <w:spacing w:line="240" w:lineRule="auto"/>
        <w:rPr>
          <w:rFonts w:eastAsia="Calibri" w:cs="Times New Roman"/>
        </w:rPr>
      </w:pPr>
    </w:p>
    <w:p w14:paraId="70D649DE" w14:textId="77777777" w:rsidR="008C6DF5" w:rsidRPr="00432F50" w:rsidRDefault="008C6DF5" w:rsidP="00B80926">
      <w:pPr>
        <w:tabs>
          <w:tab w:val="clear" w:pos="720"/>
        </w:tabs>
        <w:spacing w:line="240" w:lineRule="auto"/>
        <w:rPr>
          <w:rFonts w:eastAsia="Calibri" w:cs="Times New Roman"/>
        </w:rPr>
      </w:pPr>
    </w:p>
    <w:p w14:paraId="67DCC6B4" w14:textId="77777777" w:rsidR="008C6DF5" w:rsidRPr="00432F50" w:rsidRDefault="008C6DF5" w:rsidP="00B80926">
      <w:pPr>
        <w:tabs>
          <w:tab w:val="clear" w:pos="720"/>
        </w:tabs>
        <w:spacing w:line="240" w:lineRule="auto"/>
        <w:rPr>
          <w:rFonts w:eastAsia="Calibri" w:cs="Times New Roman"/>
        </w:rPr>
      </w:pPr>
      <w:r w:rsidRPr="00432F50">
        <w:rPr>
          <w:rFonts w:eastAsia="Calibri" w:cs="Times New Roman"/>
        </w:rPr>
        <w:t>WE CONCUR:</w:t>
      </w:r>
    </w:p>
    <w:p w14:paraId="1BBFC760" w14:textId="77777777" w:rsidR="008C6DF5" w:rsidRPr="00432F50" w:rsidRDefault="008C6DF5" w:rsidP="00B80926">
      <w:pPr>
        <w:tabs>
          <w:tab w:val="clear" w:pos="720"/>
        </w:tabs>
        <w:spacing w:line="240" w:lineRule="auto"/>
        <w:rPr>
          <w:rFonts w:eastAsia="Calibri" w:cs="Times New Roman"/>
        </w:rPr>
      </w:pPr>
    </w:p>
    <w:p w14:paraId="27507B81" w14:textId="77777777" w:rsidR="008C6DF5" w:rsidRPr="00432F50" w:rsidRDefault="008C6DF5" w:rsidP="00B80926">
      <w:pPr>
        <w:tabs>
          <w:tab w:val="clear" w:pos="720"/>
        </w:tabs>
        <w:spacing w:line="240" w:lineRule="auto"/>
        <w:rPr>
          <w:rFonts w:eastAsia="Calibri" w:cs="Times New Roman"/>
        </w:rPr>
      </w:pPr>
    </w:p>
    <w:p w14:paraId="559EBE3B" w14:textId="77777777" w:rsidR="008C6DF5" w:rsidRPr="00432F50" w:rsidRDefault="008C6DF5" w:rsidP="00B80926">
      <w:pPr>
        <w:tabs>
          <w:tab w:val="clear" w:pos="720"/>
        </w:tabs>
        <w:spacing w:line="240" w:lineRule="auto"/>
        <w:rPr>
          <w:rFonts w:eastAsia="Calibri" w:cs="Times New Roman"/>
        </w:rPr>
      </w:pPr>
      <w:r w:rsidRPr="00432F50">
        <w:rPr>
          <w:rFonts w:eastAsia="Calibri" w:cs="Times New Roman"/>
        </w:rPr>
        <w:t>_________________________</w:t>
      </w:r>
    </w:p>
    <w:p w14:paraId="45F4CA61" w14:textId="77777777" w:rsidR="008C6DF5" w:rsidRPr="00432F50" w:rsidRDefault="008C6DF5" w:rsidP="00B80926">
      <w:pPr>
        <w:tabs>
          <w:tab w:val="clear" w:pos="720"/>
        </w:tabs>
        <w:spacing w:line="240" w:lineRule="auto"/>
        <w:rPr>
          <w:rFonts w:eastAsia="Calibri" w:cs="Times New Roman"/>
        </w:rPr>
      </w:pPr>
      <w:r w:rsidRPr="00432F50">
        <w:rPr>
          <w:rFonts w:eastAsia="Calibri" w:cs="Times New Roman"/>
        </w:rPr>
        <w:t>Petrou, J.</w:t>
      </w:r>
    </w:p>
    <w:p w14:paraId="5B04C91F" w14:textId="77777777" w:rsidR="008C6DF5" w:rsidRPr="00432F50" w:rsidRDefault="008C6DF5" w:rsidP="00B80926">
      <w:pPr>
        <w:tabs>
          <w:tab w:val="clear" w:pos="720"/>
        </w:tabs>
        <w:spacing w:line="240" w:lineRule="auto"/>
        <w:rPr>
          <w:rFonts w:eastAsia="Calibri" w:cs="Times New Roman"/>
        </w:rPr>
      </w:pPr>
    </w:p>
    <w:p w14:paraId="61A49AF4" w14:textId="77777777" w:rsidR="008C6DF5" w:rsidRPr="00432F50" w:rsidRDefault="008C6DF5" w:rsidP="00B80926">
      <w:pPr>
        <w:tabs>
          <w:tab w:val="clear" w:pos="720"/>
        </w:tabs>
        <w:spacing w:line="240" w:lineRule="auto"/>
        <w:rPr>
          <w:rFonts w:eastAsia="Calibri" w:cs="Times New Roman"/>
        </w:rPr>
      </w:pPr>
    </w:p>
    <w:p w14:paraId="02D963AD" w14:textId="77777777" w:rsidR="008C6DF5" w:rsidRPr="00432F50" w:rsidRDefault="008C6DF5" w:rsidP="00B80926">
      <w:pPr>
        <w:tabs>
          <w:tab w:val="clear" w:pos="720"/>
        </w:tabs>
        <w:spacing w:line="240" w:lineRule="auto"/>
        <w:rPr>
          <w:rFonts w:eastAsia="Calibri" w:cs="Times New Roman"/>
        </w:rPr>
      </w:pPr>
      <w:r w:rsidRPr="00432F50">
        <w:rPr>
          <w:rFonts w:eastAsia="Calibri" w:cs="Times New Roman"/>
        </w:rPr>
        <w:t>_________________________</w:t>
      </w:r>
    </w:p>
    <w:p w14:paraId="68D19FF0" w14:textId="77777777" w:rsidR="008C6DF5" w:rsidRDefault="008C6DF5" w:rsidP="00B80926">
      <w:pPr>
        <w:tabs>
          <w:tab w:val="clear" w:pos="720"/>
        </w:tabs>
        <w:spacing w:line="240" w:lineRule="auto"/>
        <w:rPr>
          <w:rFonts w:eastAsia="Calibri" w:cs="Times New Roman"/>
        </w:rPr>
      </w:pPr>
      <w:r w:rsidRPr="00432F50">
        <w:rPr>
          <w:rFonts w:eastAsia="Calibri" w:cs="Times New Roman"/>
          <w:lang w:val="es-MX"/>
        </w:rPr>
        <w:t>Rodríguez</w:t>
      </w:r>
      <w:r w:rsidRPr="00432F50">
        <w:rPr>
          <w:rFonts w:eastAsia="Calibri" w:cs="Times New Roman"/>
        </w:rPr>
        <w:t>, J.</w:t>
      </w:r>
    </w:p>
    <w:p w14:paraId="4CF1ADF4" w14:textId="77777777" w:rsidR="008C6DF5" w:rsidRDefault="008C6DF5" w:rsidP="00B80926">
      <w:pPr>
        <w:tabs>
          <w:tab w:val="clear" w:pos="720"/>
        </w:tabs>
        <w:spacing w:line="240" w:lineRule="auto"/>
        <w:rPr>
          <w:rFonts w:eastAsia="Calibri" w:cs="Times New Roman"/>
        </w:rPr>
      </w:pPr>
    </w:p>
    <w:p w14:paraId="6EAB4C78" w14:textId="77777777" w:rsidR="008C6DF5" w:rsidRDefault="008C6DF5" w:rsidP="00B80926">
      <w:pPr>
        <w:tabs>
          <w:tab w:val="clear" w:pos="720"/>
        </w:tabs>
        <w:spacing w:line="240" w:lineRule="auto"/>
        <w:rPr>
          <w:rFonts w:eastAsia="Calibri" w:cs="Times New Roman"/>
        </w:rPr>
      </w:pPr>
    </w:p>
    <w:p w14:paraId="3CA187D6" w14:textId="77777777" w:rsidR="008C6DF5" w:rsidRDefault="008C6DF5" w:rsidP="00B80926">
      <w:pPr>
        <w:tabs>
          <w:tab w:val="clear" w:pos="720"/>
        </w:tabs>
        <w:spacing w:line="240" w:lineRule="auto"/>
        <w:rPr>
          <w:rFonts w:eastAsia="Calibri" w:cs="Times New Roman"/>
        </w:rPr>
      </w:pPr>
    </w:p>
    <w:p w14:paraId="1BE4FA7B" w14:textId="77777777" w:rsidR="008C6DF5" w:rsidRDefault="008C6DF5" w:rsidP="00B80926">
      <w:pPr>
        <w:tabs>
          <w:tab w:val="clear" w:pos="720"/>
        </w:tabs>
        <w:spacing w:line="240" w:lineRule="auto"/>
        <w:rPr>
          <w:rFonts w:eastAsia="Calibri" w:cs="Times New Roman"/>
        </w:rPr>
      </w:pPr>
    </w:p>
    <w:p w14:paraId="3A69FD14" w14:textId="77777777" w:rsidR="008C6DF5" w:rsidRDefault="008C6DF5" w:rsidP="00B80926">
      <w:pPr>
        <w:tabs>
          <w:tab w:val="clear" w:pos="720"/>
        </w:tabs>
        <w:spacing w:line="240" w:lineRule="auto"/>
        <w:rPr>
          <w:rFonts w:eastAsia="Calibri" w:cs="Times New Roman"/>
        </w:rPr>
      </w:pPr>
    </w:p>
    <w:p w14:paraId="0F1EAB2E" w14:textId="77777777" w:rsidR="008C6DF5" w:rsidRDefault="008C6DF5" w:rsidP="00B80926">
      <w:pPr>
        <w:tabs>
          <w:tab w:val="clear" w:pos="720"/>
        </w:tabs>
        <w:spacing w:line="240" w:lineRule="auto"/>
        <w:rPr>
          <w:rFonts w:eastAsia="Calibri" w:cs="Times New Roman"/>
        </w:rPr>
      </w:pPr>
    </w:p>
    <w:p w14:paraId="2699BF0E" w14:textId="77777777" w:rsidR="008C6DF5" w:rsidRDefault="008C6DF5" w:rsidP="00B80926">
      <w:pPr>
        <w:tabs>
          <w:tab w:val="clear" w:pos="720"/>
        </w:tabs>
        <w:spacing w:line="240" w:lineRule="auto"/>
        <w:rPr>
          <w:rFonts w:eastAsia="Calibri" w:cs="Times New Roman"/>
        </w:rPr>
      </w:pPr>
    </w:p>
    <w:p w14:paraId="73435087" w14:textId="77777777" w:rsidR="008C6DF5" w:rsidRDefault="008C6DF5" w:rsidP="00B80926">
      <w:pPr>
        <w:tabs>
          <w:tab w:val="clear" w:pos="720"/>
        </w:tabs>
        <w:spacing w:line="240" w:lineRule="auto"/>
        <w:rPr>
          <w:rFonts w:eastAsia="Calibri" w:cs="Times New Roman"/>
        </w:rPr>
      </w:pPr>
    </w:p>
    <w:p w14:paraId="78754014" w14:textId="77777777" w:rsidR="008C6DF5" w:rsidRDefault="008C6DF5" w:rsidP="00B80926">
      <w:pPr>
        <w:tabs>
          <w:tab w:val="clear" w:pos="720"/>
        </w:tabs>
        <w:spacing w:line="240" w:lineRule="auto"/>
        <w:rPr>
          <w:rFonts w:eastAsia="Calibri" w:cs="Times New Roman"/>
        </w:rPr>
      </w:pPr>
    </w:p>
    <w:p w14:paraId="452834FA" w14:textId="77777777" w:rsidR="008C6DF5" w:rsidRDefault="008C6DF5" w:rsidP="00B80926">
      <w:pPr>
        <w:tabs>
          <w:tab w:val="clear" w:pos="720"/>
        </w:tabs>
        <w:spacing w:line="240" w:lineRule="auto"/>
        <w:rPr>
          <w:rFonts w:eastAsia="Calibri" w:cs="Times New Roman"/>
        </w:rPr>
      </w:pPr>
    </w:p>
    <w:p w14:paraId="32854273" w14:textId="77777777" w:rsidR="008C6DF5" w:rsidRDefault="008C6DF5" w:rsidP="00B80926">
      <w:pPr>
        <w:tabs>
          <w:tab w:val="clear" w:pos="720"/>
        </w:tabs>
        <w:spacing w:line="240" w:lineRule="auto"/>
        <w:rPr>
          <w:rFonts w:eastAsia="Calibri" w:cs="Times New Roman"/>
        </w:rPr>
      </w:pPr>
    </w:p>
    <w:p w14:paraId="3D52F145" w14:textId="77777777" w:rsidR="008C6DF5" w:rsidRDefault="008C6DF5" w:rsidP="00B80926">
      <w:pPr>
        <w:tabs>
          <w:tab w:val="clear" w:pos="720"/>
        </w:tabs>
        <w:spacing w:line="240" w:lineRule="auto"/>
        <w:rPr>
          <w:rFonts w:eastAsia="Calibri" w:cs="Times New Roman"/>
        </w:rPr>
      </w:pPr>
    </w:p>
    <w:p w14:paraId="31FEC673" w14:textId="77777777" w:rsidR="008C6DF5" w:rsidRDefault="008C6DF5" w:rsidP="00B80926">
      <w:pPr>
        <w:tabs>
          <w:tab w:val="clear" w:pos="720"/>
        </w:tabs>
        <w:spacing w:line="240" w:lineRule="auto"/>
        <w:rPr>
          <w:rFonts w:eastAsia="Calibri" w:cs="Times New Roman"/>
        </w:rPr>
      </w:pPr>
    </w:p>
    <w:p w14:paraId="160FF036" w14:textId="77777777" w:rsidR="008C6DF5" w:rsidRDefault="008C6DF5" w:rsidP="00B80926">
      <w:pPr>
        <w:tabs>
          <w:tab w:val="clear" w:pos="720"/>
        </w:tabs>
        <w:spacing w:line="240" w:lineRule="auto"/>
        <w:rPr>
          <w:rFonts w:eastAsia="Calibri" w:cs="Times New Roman"/>
        </w:rPr>
      </w:pPr>
    </w:p>
    <w:p w14:paraId="7C7F1790" w14:textId="77777777" w:rsidR="008C6DF5" w:rsidRPr="007223A7" w:rsidRDefault="008C6DF5" w:rsidP="007223A7">
      <w:pPr>
        <w:pageBreakBefore/>
        <w:spacing w:line="240" w:lineRule="auto"/>
        <w:rPr>
          <w:rFonts w:eastAsia="Calibri" w:cs="Times New Roman"/>
        </w:rPr>
      </w:pPr>
      <w:r w:rsidRPr="007223A7">
        <w:rPr>
          <w:rFonts w:eastAsia="Calibri" w:cs="Times New Roman"/>
        </w:rPr>
        <w:lastRenderedPageBreak/>
        <w:t>Trial Court:</w:t>
      </w:r>
      <w:r w:rsidRPr="007223A7">
        <w:rPr>
          <w:rFonts w:eastAsia="Calibri" w:cs="Times New Roman"/>
        </w:rPr>
        <w:tab/>
      </w:r>
      <w:r w:rsidRPr="007223A7">
        <w:rPr>
          <w:rFonts w:eastAsia="Calibri" w:cs="Times New Roman"/>
        </w:rPr>
        <w:tab/>
        <w:t>City &amp; County San Francisco Superior Court</w:t>
      </w:r>
    </w:p>
    <w:p w14:paraId="32B7E83F" w14:textId="77777777" w:rsidR="008C6DF5" w:rsidRPr="007223A7" w:rsidRDefault="008C6DF5" w:rsidP="007223A7">
      <w:pPr>
        <w:spacing w:line="240" w:lineRule="auto"/>
        <w:rPr>
          <w:rFonts w:eastAsia="Calibri" w:cs="Times New Roman"/>
        </w:rPr>
      </w:pPr>
    </w:p>
    <w:p w14:paraId="54559952" w14:textId="77777777" w:rsidR="008C6DF5" w:rsidRPr="007223A7" w:rsidRDefault="008C6DF5" w:rsidP="007223A7">
      <w:pPr>
        <w:spacing w:line="240" w:lineRule="auto"/>
        <w:rPr>
          <w:rFonts w:eastAsia="Calibri" w:cs="Times New Roman"/>
        </w:rPr>
      </w:pPr>
      <w:r w:rsidRPr="007223A7">
        <w:rPr>
          <w:rFonts w:eastAsia="Calibri" w:cs="Times New Roman"/>
        </w:rPr>
        <w:t>Trial Judge:</w:t>
      </w:r>
      <w:r w:rsidRPr="007223A7">
        <w:rPr>
          <w:rFonts w:eastAsia="Calibri" w:cs="Times New Roman"/>
        </w:rPr>
        <w:tab/>
        <w:t xml:space="preserve">Hon. </w:t>
      </w:r>
      <w:r>
        <w:rPr>
          <w:rFonts w:eastAsia="Calibri" w:cs="Times New Roman"/>
        </w:rPr>
        <w:t>Curtis E.A. Karnow</w:t>
      </w:r>
    </w:p>
    <w:p w14:paraId="72E7AFDC" w14:textId="77777777" w:rsidR="008C6DF5" w:rsidRPr="007223A7" w:rsidRDefault="008C6DF5" w:rsidP="007223A7">
      <w:pPr>
        <w:spacing w:line="240" w:lineRule="auto"/>
        <w:rPr>
          <w:rFonts w:eastAsia="Calibri" w:cs="Times New Roman"/>
        </w:rPr>
      </w:pPr>
    </w:p>
    <w:p w14:paraId="3D52794B" w14:textId="77777777" w:rsidR="008C6DF5" w:rsidRPr="007223A7" w:rsidRDefault="008C6DF5" w:rsidP="007223A7">
      <w:pPr>
        <w:tabs>
          <w:tab w:val="left" w:pos="1440"/>
          <w:tab w:val="left" w:pos="2160"/>
        </w:tabs>
        <w:spacing w:line="240" w:lineRule="auto"/>
        <w:ind w:left="2520" w:hanging="2520"/>
        <w:rPr>
          <w:rFonts w:eastAsia="Calibri" w:cs="Calibri"/>
        </w:rPr>
      </w:pPr>
      <w:r w:rsidRPr="007223A7">
        <w:rPr>
          <w:rFonts w:eastAsia="Calibri" w:cs="Calibri"/>
        </w:rPr>
        <w:t>Counsel:</w:t>
      </w:r>
      <w:r w:rsidRPr="007223A7">
        <w:rPr>
          <w:rFonts w:eastAsia="Calibri" w:cs="Calibri"/>
        </w:rPr>
        <w:tab/>
      </w:r>
      <w:r w:rsidRPr="007223A7">
        <w:rPr>
          <w:rFonts w:eastAsia="Calibri" w:cs="Calibri"/>
        </w:rPr>
        <w:tab/>
      </w:r>
      <w:r>
        <w:rPr>
          <w:rFonts w:eastAsia="Calibri" w:cs="Calibri"/>
        </w:rPr>
        <w:t>Law Office of Michael T. Risher, Micha</w:t>
      </w:r>
      <w:r>
        <w:rPr>
          <w:rFonts w:eastAsia="Calibri" w:cs="Calibri"/>
        </w:rPr>
        <w:t>el T. Risher</w:t>
      </w:r>
      <w:r>
        <w:rPr>
          <w:rFonts w:eastAsia="Calibri" w:cs="Calibri"/>
        </w:rPr>
        <w:t xml:space="preserve">; </w:t>
      </w:r>
      <w:r>
        <w:rPr>
          <w:rFonts w:eastAsia="Calibri" w:cs="Calibri"/>
        </w:rPr>
        <w:t>Davis, Wright</w:t>
      </w:r>
      <w:r>
        <w:rPr>
          <w:rFonts w:eastAsia="Calibri" w:cs="Calibri"/>
        </w:rPr>
        <w:t xml:space="preserve">, Tremaine LLP, </w:t>
      </w:r>
      <w:r>
        <w:rPr>
          <w:rFonts w:eastAsia="Calibri" w:cs="Calibri"/>
        </w:rPr>
        <w:t>Thomas R</w:t>
      </w:r>
      <w:r>
        <w:rPr>
          <w:rFonts w:eastAsia="Calibri" w:cs="Calibri"/>
        </w:rPr>
        <w:t>. Burke</w:t>
      </w:r>
      <w:r>
        <w:rPr>
          <w:rFonts w:eastAsia="Calibri" w:cs="Calibri"/>
        </w:rPr>
        <w:t>, and Sarah E. Burns</w:t>
      </w:r>
      <w:r>
        <w:rPr>
          <w:rFonts w:eastAsia="Calibri" w:cs="Calibri"/>
        </w:rPr>
        <w:t>; California First Amen</w:t>
      </w:r>
      <w:r>
        <w:rPr>
          <w:rFonts w:eastAsia="Calibri" w:cs="Calibri"/>
        </w:rPr>
        <w:t>dment Coalition, David Edward Snyder; First Amendment Coalition, John David Loy</w:t>
      </w:r>
      <w:r w:rsidRPr="007223A7">
        <w:rPr>
          <w:rFonts w:eastAsia="Calibri" w:cs="Calibri"/>
        </w:rPr>
        <w:t xml:space="preserve"> for Plaintiff and </w:t>
      </w:r>
      <w:r>
        <w:rPr>
          <w:rFonts w:eastAsia="Calibri" w:cs="Calibri"/>
        </w:rPr>
        <w:t>Petitioner</w:t>
      </w:r>
    </w:p>
    <w:p w14:paraId="2003FB27" w14:textId="77777777" w:rsidR="008C6DF5" w:rsidRPr="007223A7" w:rsidRDefault="008C6DF5" w:rsidP="007223A7">
      <w:pPr>
        <w:tabs>
          <w:tab w:val="left" w:pos="1440"/>
          <w:tab w:val="left" w:pos="2160"/>
        </w:tabs>
        <w:spacing w:line="240" w:lineRule="auto"/>
        <w:ind w:left="2520" w:hanging="2520"/>
        <w:rPr>
          <w:rFonts w:eastAsia="Calibri" w:cs="Calibri"/>
        </w:rPr>
      </w:pPr>
    </w:p>
    <w:p w14:paraId="53C6D6E4" w14:textId="77777777" w:rsidR="008C6DF5" w:rsidRPr="007223A7" w:rsidRDefault="008C6DF5" w:rsidP="007223A7">
      <w:pPr>
        <w:tabs>
          <w:tab w:val="left" w:pos="1440"/>
          <w:tab w:val="left" w:pos="2160"/>
        </w:tabs>
        <w:spacing w:line="240" w:lineRule="auto"/>
        <w:ind w:left="2520" w:hanging="2520"/>
        <w:rPr>
          <w:rFonts w:eastAsia="Calibri" w:cs="Calibri"/>
        </w:rPr>
      </w:pPr>
      <w:r w:rsidRPr="007223A7">
        <w:rPr>
          <w:rFonts w:eastAsia="Calibri" w:cs="Calibri"/>
        </w:rPr>
        <w:tab/>
      </w:r>
      <w:r w:rsidRPr="007223A7">
        <w:rPr>
          <w:rFonts w:eastAsia="Calibri" w:cs="Calibri"/>
        </w:rPr>
        <w:tab/>
      </w:r>
      <w:r w:rsidRPr="007223A7">
        <w:rPr>
          <w:rFonts w:eastAsia="Calibri" w:cs="Calibri"/>
        </w:rPr>
        <w:tab/>
      </w:r>
      <w:r w:rsidRPr="00D7562F">
        <w:rPr>
          <w:rFonts w:eastAsia="Calibri" w:cs="Calibri"/>
        </w:rPr>
        <w:t xml:space="preserve">Rob Bonta, Attorney General of California, </w:t>
      </w:r>
      <w:r>
        <w:rPr>
          <w:rFonts w:eastAsia="Calibri" w:cs="Calibri"/>
        </w:rPr>
        <w:t>Thomas S. Patterson</w:t>
      </w:r>
      <w:r>
        <w:rPr>
          <w:rFonts w:eastAsia="Calibri" w:cs="Times New Roman"/>
        </w:rPr>
        <w:t>,</w:t>
      </w:r>
      <w:r w:rsidRPr="00D7562F">
        <w:rPr>
          <w:rFonts w:eastAsia="Calibri" w:cs="Calibri"/>
        </w:rPr>
        <w:t xml:space="preserve"> Senior Assistant Attorney General,</w:t>
      </w:r>
      <w:r>
        <w:rPr>
          <w:rFonts w:eastAsia="Calibri" w:cs="Calibri"/>
        </w:rPr>
        <w:t xml:space="preserve"> </w:t>
      </w:r>
      <w:r>
        <w:rPr>
          <w:rFonts w:eastAsia="Calibri" w:cs="Calibri"/>
        </w:rPr>
        <w:t xml:space="preserve">Mark R. </w:t>
      </w:r>
      <w:proofErr w:type="spellStart"/>
      <w:r>
        <w:rPr>
          <w:rFonts w:eastAsia="Calibri" w:cs="Calibri"/>
        </w:rPr>
        <w:t>Beckington</w:t>
      </w:r>
      <w:proofErr w:type="spellEnd"/>
      <w:r w:rsidRPr="00D7562F">
        <w:rPr>
          <w:rFonts w:eastAsia="Calibri" w:cs="Calibri"/>
        </w:rPr>
        <w:t xml:space="preserve">, Supervising Deputy Attorney General, </w:t>
      </w:r>
      <w:r>
        <w:rPr>
          <w:rFonts w:eastAsia="Calibri" w:cs="Calibri"/>
        </w:rPr>
        <w:t xml:space="preserve">John D. Echeverria, Deputy Attorney General, </w:t>
      </w:r>
      <w:r w:rsidRPr="00D7562F">
        <w:rPr>
          <w:rFonts w:eastAsia="Calibri" w:cs="Calibri"/>
        </w:rPr>
        <w:t xml:space="preserve">and </w:t>
      </w:r>
      <w:r>
        <w:rPr>
          <w:rFonts w:eastAsia="Calibri" w:cs="Calibri"/>
        </w:rPr>
        <w:t>Natasha Saggar Sheth</w:t>
      </w:r>
      <w:r w:rsidRPr="00D7562F">
        <w:rPr>
          <w:rFonts w:eastAsia="Calibri" w:cs="Calibri"/>
        </w:rPr>
        <w:t>, Deputy Attorney General for Respondent</w:t>
      </w:r>
      <w:r>
        <w:rPr>
          <w:rFonts w:eastAsia="Calibri" w:cs="Calibri"/>
        </w:rPr>
        <w:t xml:space="preserve"> and Real Party </w:t>
      </w:r>
      <w:proofErr w:type="gramStart"/>
      <w:r>
        <w:rPr>
          <w:rFonts w:eastAsia="Calibri" w:cs="Calibri"/>
        </w:rPr>
        <w:t>In</w:t>
      </w:r>
      <w:proofErr w:type="gramEnd"/>
      <w:r>
        <w:rPr>
          <w:rFonts w:eastAsia="Calibri" w:cs="Calibri"/>
        </w:rPr>
        <w:t xml:space="preserve"> Interest </w:t>
      </w:r>
      <w:r w:rsidRPr="00D7562F">
        <w:rPr>
          <w:rFonts w:eastAsia="Calibri" w:cs="Calibri"/>
        </w:rPr>
        <w:t xml:space="preserve"> </w:t>
      </w:r>
    </w:p>
    <w:p w14:paraId="0E2ECCDC" w14:textId="77777777" w:rsidR="008C6DF5" w:rsidRDefault="008C6DF5" w:rsidP="00B80926">
      <w:pPr>
        <w:tabs>
          <w:tab w:val="clear" w:pos="720"/>
        </w:tabs>
        <w:spacing w:line="240" w:lineRule="auto"/>
        <w:rPr>
          <w:rFonts w:eastAsia="Calibri" w:cs="Times New Roman"/>
        </w:rPr>
      </w:pPr>
    </w:p>
    <w:p w14:paraId="3475DA35" w14:textId="77777777" w:rsidR="008C6DF5" w:rsidRDefault="008C6DF5" w:rsidP="00B80926">
      <w:pPr>
        <w:tabs>
          <w:tab w:val="clear" w:pos="720"/>
        </w:tabs>
        <w:spacing w:line="240" w:lineRule="auto"/>
        <w:rPr>
          <w:rFonts w:eastAsia="Calibri" w:cs="Times New Roman"/>
        </w:rPr>
      </w:pPr>
    </w:p>
    <w:p w14:paraId="2840E544" w14:textId="77777777" w:rsidR="008C6DF5" w:rsidRDefault="008C6DF5" w:rsidP="00B80926">
      <w:pPr>
        <w:tabs>
          <w:tab w:val="clear" w:pos="720"/>
        </w:tabs>
        <w:spacing w:line="240" w:lineRule="auto"/>
        <w:rPr>
          <w:rFonts w:eastAsia="Calibri" w:cs="Times New Roman"/>
        </w:rPr>
      </w:pPr>
    </w:p>
    <w:p w14:paraId="5CA83C84" w14:textId="77777777" w:rsidR="008C6DF5" w:rsidRDefault="008C6DF5" w:rsidP="00B80926">
      <w:pPr>
        <w:tabs>
          <w:tab w:val="clear" w:pos="720"/>
        </w:tabs>
        <w:spacing w:line="240" w:lineRule="auto"/>
        <w:rPr>
          <w:rFonts w:eastAsia="Calibri" w:cs="Times New Roman"/>
        </w:rPr>
      </w:pPr>
    </w:p>
    <w:p w14:paraId="3D26737D" w14:textId="77777777" w:rsidR="008C6DF5" w:rsidRDefault="008C6DF5" w:rsidP="00D90FBE">
      <w:pPr>
        <w:rPr>
          <w:shd w:val="clear" w:color="auto" w:fill="FFFFFF"/>
        </w:rPr>
      </w:pPr>
    </w:p>
    <w:p w14:paraId="07294C98" w14:textId="77777777" w:rsidR="008C6DF5" w:rsidRDefault="008C6DF5" w:rsidP="00CB14B2">
      <w:pPr>
        <w:tabs>
          <w:tab w:val="clear" w:pos="720"/>
        </w:tabs>
        <w:spacing w:line="240" w:lineRule="auto"/>
        <w:rPr>
          <w:rFonts w:eastAsia="Calibri" w:cs="Times New Roman"/>
        </w:rPr>
      </w:pPr>
    </w:p>
    <w:p w14:paraId="566C0FF3" w14:textId="77777777" w:rsidR="008C6DF5" w:rsidRDefault="008C6DF5" w:rsidP="00CB14B2">
      <w:pPr>
        <w:tabs>
          <w:tab w:val="clear" w:pos="720"/>
        </w:tabs>
        <w:spacing w:line="240" w:lineRule="auto"/>
        <w:rPr>
          <w:rFonts w:eastAsia="Calibri" w:cs="Times New Roman"/>
          <w:i/>
          <w:iCs/>
          <w:sz w:val="18"/>
          <w:szCs w:val="18"/>
        </w:rPr>
      </w:pPr>
    </w:p>
    <w:p w14:paraId="0AACC7FB" w14:textId="77777777" w:rsidR="008C6DF5" w:rsidRDefault="008C6DF5" w:rsidP="00CB14B2">
      <w:pPr>
        <w:tabs>
          <w:tab w:val="clear" w:pos="720"/>
        </w:tabs>
        <w:spacing w:line="240" w:lineRule="auto"/>
        <w:rPr>
          <w:rFonts w:eastAsia="Calibri" w:cs="Times New Roman"/>
          <w:i/>
          <w:iCs/>
          <w:sz w:val="18"/>
          <w:szCs w:val="18"/>
        </w:rPr>
      </w:pPr>
    </w:p>
    <w:p w14:paraId="21808E79" w14:textId="77777777" w:rsidR="008C6DF5" w:rsidRDefault="008C6DF5" w:rsidP="00CB14B2">
      <w:pPr>
        <w:tabs>
          <w:tab w:val="clear" w:pos="720"/>
        </w:tabs>
        <w:spacing w:line="240" w:lineRule="auto"/>
        <w:rPr>
          <w:rFonts w:eastAsia="Calibri" w:cs="Times New Roman"/>
          <w:i/>
          <w:iCs/>
          <w:sz w:val="18"/>
          <w:szCs w:val="18"/>
        </w:rPr>
      </w:pPr>
    </w:p>
    <w:p w14:paraId="5BE68AD4" w14:textId="77777777" w:rsidR="008C6DF5" w:rsidRDefault="008C6DF5" w:rsidP="00CB14B2">
      <w:pPr>
        <w:tabs>
          <w:tab w:val="clear" w:pos="720"/>
        </w:tabs>
        <w:spacing w:line="240" w:lineRule="auto"/>
        <w:rPr>
          <w:rFonts w:eastAsia="Calibri" w:cs="Times New Roman"/>
          <w:i/>
          <w:iCs/>
          <w:sz w:val="18"/>
          <w:szCs w:val="18"/>
        </w:rPr>
      </w:pPr>
    </w:p>
    <w:p w14:paraId="3668BCCF" w14:textId="77777777" w:rsidR="008C6DF5" w:rsidRDefault="008C6DF5" w:rsidP="00CB14B2">
      <w:pPr>
        <w:tabs>
          <w:tab w:val="clear" w:pos="720"/>
        </w:tabs>
        <w:spacing w:line="240" w:lineRule="auto"/>
        <w:rPr>
          <w:rFonts w:eastAsia="Calibri" w:cs="Times New Roman"/>
          <w:i/>
          <w:iCs/>
          <w:sz w:val="18"/>
          <w:szCs w:val="18"/>
        </w:rPr>
      </w:pPr>
    </w:p>
    <w:p w14:paraId="6B202A36" w14:textId="77777777" w:rsidR="008C6DF5" w:rsidRDefault="008C6DF5" w:rsidP="00CB14B2">
      <w:pPr>
        <w:tabs>
          <w:tab w:val="clear" w:pos="720"/>
        </w:tabs>
        <w:spacing w:line="240" w:lineRule="auto"/>
        <w:rPr>
          <w:rFonts w:eastAsia="Calibri" w:cs="Times New Roman"/>
          <w:i/>
          <w:iCs/>
          <w:sz w:val="18"/>
          <w:szCs w:val="18"/>
        </w:rPr>
      </w:pPr>
    </w:p>
    <w:p w14:paraId="4C0051BA" w14:textId="77777777" w:rsidR="008C6DF5" w:rsidRDefault="008C6DF5" w:rsidP="00CB14B2">
      <w:pPr>
        <w:tabs>
          <w:tab w:val="clear" w:pos="720"/>
        </w:tabs>
        <w:spacing w:line="240" w:lineRule="auto"/>
        <w:rPr>
          <w:rFonts w:eastAsia="Calibri" w:cs="Times New Roman"/>
          <w:i/>
          <w:iCs/>
          <w:sz w:val="18"/>
          <w:szCs w:val="18"/>
        </w:rPr>
      </w:pPr>
    </w:p>
    <w:p w14:paraId="434C2D01" w14:textId="77777777" w:rsidR="008C6DF5" w:rsidRDefault="008C6DF5" w:rsidP="00CB14B2">
      <w:pPr>
        <w:tabs>
          <w:tab w:val="clear" w:pos="720"/>
        </w:tabs>
        <w:spacing w:line="240" w:lineRule="auto"/>
        <w:rPr>
          <w:rFonts w:eastAsia="Calibri" w:cs="Times New Roman"/>
          <w:i/>
          <w:iCs/>
          <w:sz w:val="18"/>
          <w:szCs w:val="18"/>
        </w:rPr>
      </w:pPr>
    </w:p>
    <w:p w14:paraId="5C67506F" w14:textId="77777777" w:rsidR="008C6DF5" w:rsidRDefault="008C6DF5" w:rsidP="00CB14B2">
      <w:pPr>
        <w:tabs>
          <w:tab w:val="clear" w:pos="720"/>
        </w:tabs>
        <w:spacing w:line="240" w:lineRule="auto"/>
        <w:rPr>
          <w:rFonts w:eastAsia="Calibri" w:cs="Times New Roman"/>
          <w:i/>
          <w:iCs/>
          <w:sz w:val="18"/>
          <w:szCs w:val="18"/>
        </w:rPr>
      </w:pPr>
    </w:p>
    <w:p w14:paraId="0285A0B3" w14:textId="77777777" w:rsidR="008C6DF5" w:rsidRDefault="008C6DF5" w:rsidP="00CB14B2">
      <w:pPr>
        <w:tabs>
          <w:tab w:val="clear" w:pos="720"/>
        </w:tabs>
        <w:spacing w:line="240" w:lineRule="auto"/>
        <w:rPr>
          <w:rFonts w:eastAsia="Calibri" w:cs="Times New Roman"/>
          <w:i/>
          <w:iCs/>
          <w:sz w:val="18"/>
          <w:szCs w:val="18"/>
        </w:rPr>
      </w:pPr>
    </w:p>
    <w:p w14:paraId="5B72957E" w14:textId="77777777" w:rsidR="008C6DF5" w:rsidRDefault="008C6DF5" w:rsidP="00CB14B2">
      <w:pPr>
        <w:tabs>
          <w:tab w:val="clear" w:pos="720"/>
        </w:tabs>
        <w:spacing w:line="240" w:lineRule="auto"/>
        <w:rPr>
          <w:rFonts w:eastAsia="Calibri" w:cs="Times New Roman"/>
          <w:i/>
          <w:iCs/>
          <w:sz w:val="18"/>
          <w:szCs w:val="18"/>
        </w:rPr>
      </w:pPr>
    </w:p>
    <w:p w14:paraId="55DDF1E5" w14:textId="77777777" w:rsidR="008C6DF5" w:rsidRDefault="008C6DF5" w:rsidP="00CB14B2">
      <w:pPr>
        <w:tabs>
          <w:tab w:val="clear" w:pos="720"/>
        </w:tabs>
        <w:spacing w:line="240" w:lineRule="auto"/>
        <w:rPr>
          <w:rFonts w:eastAsia="Calibri" w:cs="Times New Roman"/>
          <w:i/>
          <w:iCs/>
          <w:sz w:val="18"/>
          <w:szCs w:val="18"/>
        </w:rPr>
      </w:pPr>
    </w:p>
    <w:p w14:paraId="3E95B6FB" w14:textId="77777777" w:rsidR="008C6DF5" w:rsidRDefault="008C6DF5" w:rsidP="00CB14B2">
      <w:pPr>
        <w:tabs>
          <w:tab w:val="clear" w:pos="720"/>
        </w:tabs>
        <w:spacing w:line="240" w:lineRule="auto"/>
        <w:rPr>
          <w:rFonts w:eastAsia="Calibri" w:cs="Times New Roman"/>
          <w:i/>
          <w:iCs/>
          <w:sz w:val="18"/>
          <w:szCs w:val="18"/>
        </w:rPr>
      </w:pPr>
    </w:p>
    <w:p w14:paraId="10999E64" w14:textId="77777777" w:rsidR="008C6DF5" w:rsidRDefault="008C6DF5" w:rsidP="00CB14B2">
      <w:pPr>
        <w:tabs>
          <w:tab w:val="clear" w:pos="720"/>
        </w:tabs>
        <w:spacing w:line="240" w:lineRule="auto"/>
        <w:rPr>
          <w:rFonts w:eastAsia="Calibri" w:cs="Times New Roman"/>
          <w:i/>
          <w:iCs/>
          <w:sz w:val="18"/>
          <w:szCs w:val="18"/>
        </w:rPr>
      </w:pPr>
    </w:p>
    <w:p w14:paraId="705E28AF" w14:textId="77777777" w:rsidR="008C6DF5" w:rsidRDefault="008C6DF5" w:rsidP="00CB14B2">
      <w:pPr>
        <w:tabs>
          <w:tab w:val="clear" w:pos="720"/>
        </w:tabs>
        <w:spacing w:line="240" w:lineRule="auto"/>
        <w:rPr>
          <w:rFonts w:eastAsia="Calibri" w:cs="Times New Roman"/>
          <w:i/>
          <w:iCs/>
          <w:sz w:val="18"/>
          <w:szCs w:val="18"/>
        </w:rPr>
      </w:pPr>
    </w:p>
    <w:p w14:paraId="674BB0EA" w14:textId="77777777" w:rsidR="008C6DF5" w:rsidRDefault="008C6DF5" w:rsidP="009E09CE">
      <w:pPr>
        <w:tabs>
          <w:tab w:val="clear" w:pos="720"/>
        </w:tabs>
        <w:spacing w:line="240" w:lineRule="auto"/>
        <w:rPr>
          <w:rFonts w:eastAsia="Calibri" w:cs="Times New Roman"/>
          <w:i/>
          <w:iCs/>
          <w:sz w:val="18"/>
          <w:szCs w:val="18"/>
        </w:rPr>
      </w:pPr>
    </w:p>
    <w:p w14:paraId="5DCEFE36" w14:textId="77777777" w:rsidR="008C6DF5" w:rsidRDefault="008C6DF5" w:rsidP="009E09CE">
      <w:pPr>
        <w:tabs>
          <w:tab w:val="clear" w:pos="720"/>
        </w:tabs>
        <w:spacing w:line="240" w:lineRule="auto"/>
        <w:rPr>
          <w:rFonts w:eastAsia="Calibri" w:cs="Times New Roman"/>
          <w:i/>
          <w:iCs/>
          <w:sz w:val="18"/>
          <w:szCs w:val="18"/>
        </w:rPr>
      </w:pPr>
    </w:p>
    <w:p w14:paraId="68FB4B76" w14:textId="77777777" w:rsidR="008C6DF5" w:rsidRDefault="008C6DF5" w:rsidP="009E09CE">
      <w:pPr>
        <w:tabs>
          <w:tab w:val="clear" w:pos="720"/>
        </w:tabs>
        <w:spacing w:line="240" w:lineRule="auto"/>
        <w:rPr>
          <w:rFonts w:eastAsia="Calibri" w:cs="Times New Roman"/>
          <w:i/>
          <w:iCs/>
          <w:sz w:val="18"/>
          <w:szCs w:val="18"/>
        </w:rPr>
      </w:pPr>
    </w:p>
    <w:p w14:paraId="0B8AD2A6" w14:textId="77777777" w:rsidR="008C6DF5" w:rsidRDefault="008C6DF5" w:rsidP="009E09CE">
      <w:pPr>
        <w:tabs>
          <w:tab w:val="clear" w:pos="720"/>
        </w:tabs>
        <w:spacing w:line="240" w:lineRule="auto"/>
        <w:rPr>
          <w:rFonts w:eastAsia="Calibri" w:cs="Times New Roman"/>
          <w:i/>
          <w:iCs/>
          <w:sz w:val="18"/>
          <w:szCs w:val="18"/>
        </w:rPr>
      </w:pPr>
    </w:p>
    <w:p w14:paraId="67BFE98B" w14:textId="77777777" w:rsidR="008C6DF5" w:rsidRDefault="008C6DF5" w:rsidP="009E09CE">
      <w:pPr>
        <w:tabs>
          <w:tab w:val="clear" w:pos="720"/>
        </w:tabs>
        <w:spacing w:line="240" w:lineRule="auto"/>
        <w:rPr>
          <w:rFonts w:eastAsia="Calibri" w:cs="Times New Roman"/>
          <w:i/>
          <w:iCs/>
          <w:sz w:val="18"/>
          <w:szCs w:val="18"/>
        </w:rPr>
      </w:pPr>
    </w:p>
    <w:p w14:paraId="486F5F06" w14:textId="77777777" w:rsidR="008C6DF5" w:rsidRPr="009E09CE" w:rsidRDefault="008C6DF5" w:rsidP="009E09CE">
      <w:pPr>
        <w:tabs>
          <w:tab w:val="clear" w:pos="720"/>
        </w:tabs>
        <w:spacing w:line="240" w:lineRule="auto"/>
        <w:rPr>
          <w:rFonts w:eastAsia="Calibri" w:cs="Times New Roman"/>
          <w:i/>
          <w:iCs/>
          <w:sz w:val="18"/>
          <w:szCs w:val="18"/>
        </w:rPr>
      </w:pPr>
      <w:r w:rsidRPr="00965EF4">
        <w:rPr>
          <w:rFonts w:eastAsia="Calibri" w:cs="Times New Roman"/>
          <w:i/>
          <w:iCs/>
          <w:sz w:val="18"/>
          <w:szCs w:val="18"/>
        </w:rPr>
        <w:t xml:space="preserve">First Amendment Coalition v. Sup. Ct. </w:t>
      </w:r>
      <w:proofErr w:type="spellStart"/>
      <w:r w:rsidRPr="00965EF4">
        <w:rPr>
          <w:rFonts w:eastAsia="Calibri" w:cs="Times New Roman"/>
          <w:i/>
          <w:iCs/>
          <w:sz w:val="18"/>
          <w:szCs w:val="18"/>
        </w:rPr>
        <w:t>Cnty</w:t>
      </w:r>
      <w:proofErr w:type="spellEnd"/>
      <w:r w:rsidRPr="00965EF4">
        <w:rPr>
          <w:rFonts w:eastAsia="Calibri" w:cs="Times New Roman"/>
          <w:i/>
          <w:iCs/>
          <w:sz w:val="18"/>
          <w:szCs w:val="18"/>
        </w:rPr>
        <w:t xml:space="preserve">. &amp; City S.F. </w:t>
      </w:r>
      <w:r w:rsidRPr="00463666">
        <w:rPr>
          <w:rFonts w:eastAsia="Calibri" w:cs="Times New Roman"/>
          <w:sz w:val="18"/>
          <w:szCs w:val="18"/>
        </w:rPr>
        <w:t>(</w:t>
      </w:r>
      <w:r w:rsidRPr="00965EF4">
        <w:rPr>
          <w:rFonts w:eastAsia="Calibri" w:cs="Times New Roman"/>
          <w:i/>
          <w:iCs/>
          <w:sz w:val="18"/>
          <w:szCs w:val="18"/>
        </w:rPr>
        <w:t>A165888</w:t>
      </w:r>
      <w:r w:rsidRPr="00463666">
        <w:rPr>
          <w:rFonts w:eastAsia="Calibri" w:cs="Times New Roman"/>
          <w:sz w:val="18"/>
          <w:szCs w:val="18"/>
        </w:rPr>
        <w:t>)</w:t>
      </w:r>
    </w:p>
    <w:sectPr w:rsidR="00CB14B2" w:rsidRPr="009E09CE" w:rsidSect="00CE689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3086" w14:textId="77777777" w:rsidR="008C6DF5" w:rsidRDefault="008C6DF5">
      <w:pPr>
        <w:spacing w:line="240" w:lineRule="auto"/>
      </w:pPr>
      <w:r>
        <w:separator/>
      </w:r>
    </w:p>
  </w:endnote>
  <w:endnote w:type="continuationSeparator" w:id="0">
    <w:p w14:paraId="13927218" w14:textId="77777777" w:rsidR="008C6DF5" w:rsidRDefault="008C6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6942924"/>
      <w:docPartObj>
        <w:docPartGallery w:val="Page Numbers (Bottom of Page)"/>
        <w:docPartUnique/>
      </w:docPartObj>
    </w:sdtPr>
    <w:sdtEndPr>
      <w:rPr>
        <w:rStyle w:val="PageNumber"/>
      </w:rPr>
    </w:sdtEndPr>
    <w:sdtContent>
      <w:p w14:paraId="69755F68" w14:textId="77777777" w:rsidR="008C6DF5" w:rsidRDefault="008C6DF5" w:rsidP="00E43F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56DA02F4" w14:textId="77777777" w:rsidR="008C6DF5" w:rsidRDefault="008C6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3179345"/>
      <w:docPartObj>
        <w:docPartGallery w:val="Page Numbers (Bottom of Page)"/>
        <w:docPartUnique/>
      </w:docPartObj>
    </w:sdtPr>
    <w:sdtEndPr>
      <w:rPr>
        <w:rStyle w:val="PageNumber"/>
      </w:rPr>
    </w:sdtEndPr>
    <w:sdtContent>
      <w:p w14:paraId="76AA9AE0" w14:textId="77777777" w:rsidR="008C6DF5" w:rsidRDefault="008C6DF5" w:rsidP="00E43F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A047CEA" w14:textId="77777777" w:rsidR="008C6DF5" w:rsidRDefault="008C6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0F6B" w14:textId="77777777" w:rsidR="008C6DF5" w:rsidRDefault="008C6DF5" w:rsidP="00A92C68">
      <w:pPr>
        <w:spacing w:line="240" w:lineRule="auto"/>
      </w:pPr>
      <w:r>
        <w:separator/>
      </w:r>
    </w:p>
  </w:footnote>
  <w:footnote w:type="continuationSeparator" w:id="0">
    <w:p w14:paraId="7850BDB3" w14:textId="77777777" w:rsidR="008C6DF5" w:rsidRDefault="008C6DF5" w:rsidP="00A92C68">
      <w:pPr>
        <w:spacing w:line="240" w:lineRule="auto"/>
      </w:pPr>
      <w:r>
        <w:continuationSeparator/>
      </w:r>
    </w:p>
  </w:footnote>
  <w:footnote w:id="1">
    <w:p w14:paraId="29105F3A" w14:textId="77777777" w:rsidR="008C6DF5" w:rsidRDefault="008C6DF5" w:rsidP="00584584">
      <w:pPr>
        <w:pStyle w:val="FootnoteText"/>
      </w:pPr>
      <w:r>
        <w:rPr>
          <w:rStyle w:val="FootnoteReference"/>
        </w:rPr>
        <w:footnoteRef/>
      </w:r>
      <w:r>
        <w:t xml:space="preserve"> </w:t>
      </w:r>
      <w:r>
        <w:tab/>
        <w:t xml:space="preserve">Unless </w:t>
      </w:r>
      <w:r>
        <w:t xml:space="preserve">otherwise </w:t>
      </w:r>
      <w:r>
        <w:t xml:space="preserve">indicated, all further statutory references are to the Penal Code.  </w:t>
      </w:r>
    </w:p>
  </w:footnote>
  <w:footnote w:id="2">
    <w:p w14:paraId="74220717" w14:textId="77777777" w:rsidR="008C6DF5" w:rsidRDefault="008C6DF5" w:rsidP="006A58DD">
      <w:pPr>
        <w:pStyle w:val="FootnoteText"/>
        <w:spacing w:after="120"/>
      </w:pPr>
      <w:r>
        <w:rPr>
          <w:rStyle w:val="FootnoteReference"/>
        </w:rPr>
        <w:footnoteRef/>
      </w:r>
      <w:r>
        <w:t xml:space="preserve"> </w:t>
      </w:r>
      <w:r>
        <w:tab/>
        <w:t xml:space="preserve">Petitioners’ </w:t>
      </w:r>
      <w:r>
        <w:t xml:space="preserve">CPRA </w:t>
      </w:r>
      <w:r>
        <w:t xml:space="preserve">requests sought </w:t>
      </w:r>
      <w:r>
        <w:t xml:space="preserve">categories of </w:t>
      </w:r>
      <w:r>
        <w:t xml:space="preserve">records </w:t>
      </w:r>
      <w:r>
        <w:t>deemed</w:t>
      </w:r>
      <w:r>
        <w:t xml:space="preserve"> nonconfidential under section 832.7(b) as </w:t>
      </w:r>
      <w:r>
        <w:t xml:space="preserve">first </w:t>
      </w:r>
      <w:r>
        <w:t xml:space="preserve">enacted.  </w:t>
      </w:r>
      <w:r>
        <w:t xml:space="preserve">(See Stats. 2018, </w:t>
      </w:r>
      <w:proofErr w:type="spellStart"/>
      <w:r>
        <w:t>ch.</w:t>
      </w:r>
      <w:proofErr w:type="spellEnd"/>
      <w:r>
        <w:t xml:space="preserve"> 988, § 2 (Sen. Bill. No. 1421).)  </w:t>
      </w:r>
      <w:r>
        <w:t xml:space="preserve">As will be discussed </w:t>
      </w:r>
      <w:r w:rsidRPr="00246E44">
        <w:rPr>
          <w:i/>
          <w:iCs/>
        </w:rPr>
        <w:t>post</w:t>
      </w:r>
      <w:r>
        <w:t xml:space="preserve">, </w:t>
      </w:r>
      <w:r>
        <w:t>Senate Bill No. 16 (hereafter Senate Bill</w:t>
      </w:r>
      <w:r>
        <w:t> </w:t>
      </w:r>
      <w:r>
        <w:t xml:space="preserve">16) subsequently amended </w:t>
      </w:r>
      <w:r>
        <w:t>s</w:t>
      </w:r>
      <w:r>
        <w:t>ection 832.7</w:t>
      </w:r>
      <w:r>
        <w:t>(b)</w:t>
      </w:r>
      <w:r>
        <w:t xml:space="preserve"> to include </w:t>
      </w:r>
      <w:r>
        <w:t xml:space="preserve">additional categories of </w:t>
      </w:r>
      <w:r>
        <w:t>records relating to sustained finding</w:t>
      </w:r>
      <w:r>
        <w:t>s of other harmful or illegal conduct</w:t>
      </w:r>
      <w:r>
        <w:t xml:space="preserve">.  (Stats. 2021, </w:t>
      </w:r>
      <w:proofErr w:type="spellStart"/>
      <w:r>
        <w:t>ch.</w:t>
      </w:r>
      <w:proofErr w:type="spellEnd"/>
      <w:r>
        <w:t> 402, § 3.)</w:t>
      </w:r>
      <w:r>
        <w:t xml:space="preserve">  </w:t>
      </w:r>
      <w:r>
        <w:t>Th</w:t>
      </w:r>
      <w:r>
        <w:t>ese new categories</w:t>
      </w:r>
      <w:r>
        <w:t xml:space="preserve"> are not </w:t>
      </w:r>
      <w:r>
        <w:t>at issue</w:t>
      </w:r>
      <w:r>
        <w:t xml:space="preserve"> in this case</w:t>
      </w:r>
      <w:r>
        <w:t xml:space="preserve">. </w:t>
      </w:r>
    </w:p>
  </w:footnote>
  <w:footnote w:id="3">
    <w:p w14:paraId="5876E115" w14:textId="77777777" w:rsidR="008C6DF5" w:rsidRDefault="008C6DF5" w:rsidP="007D4864">
      <w:pPr>
        <w:pStyle w:val="FootnoteText"/>
      </w:pPr>
      <w:r>
        <w:rPr>
          <w:rStyle w:val="FootnoteReference"/>
        </w:rPr>
        <w:footnoteRef/>
      </w:r>
      <w:r>
        <w:t xml:space="preserve"> </w:t>
      </w:r>
      <w:r>
        <w:tab/>
        <w:t xml:space="preserve">Effective January 1, 2023, the provisions of the CPRA were re-enacted with changed section numbering.  (Stats. 2021, </w:t>
      </w:r>
      <w:proofErr w:type="spellStart"/>
      <w:r>
        <w:t>ch.</w:t>
      </w:r>
      <w:proofErr w:type="spellEnd"/>
      <w:r>
        <w:t> 614, § 1</w:t>
      </w:r>
      <w:r>
        <w:t xml:space="preserve"> (Assem. Bill No. 473)</w:t>
      </w:r>
      <w:r>
        <w:t xml:space="preserve">.)  </w:t>
      </w:r>
      <w:r>
        <w:t>This opinion uses</w:t>
      </w:r>
      <w:r>
        <w:t xml:space="preserve"> the new numbering scheme, but </w:t>
      </w:r>
      <w:r>
        <w:t xml:space="preserve">we </w:t>
      </w:r>
      <w:r>
        <w:t xml:space="preserve">note the following </w:t>
      </w:r>
      <w:r>
        <w:t xml:space="preserve">changes </w:t>
      </w:r>
      <w:r>
        <w:t xml:space="preserve">to assist readers in identifying the newly numbered sections associated with the key sections cited in </w:t>
      </w:r>
      <w:r w:rsidRPr="00623994">
        <w:rPr>
          <w:i/>
          <w:iCs/>
        </w:rPr>
        <w:t>Becerra</w:t>
      </w:r>
      <w:r>
        <w:t xml:space="preserve">, </w:t>
      </w:r>
      <w:r w:rsidRPr="007971EF">
        <w:rPr>
          <w:i/>
          <w:iCs/>
        </w:rPr>
        <w:t>supra</w:t>
      </w:r>
      <w:r>
        <w:t>, 44 Cal.App.5th 897.  The CPRA’s catchall exemption is currently codified in Government Code section 7922.000, replacing former Government Code section 6255, s</w:t>
      </w:r>
      <w:r>
        <w:t>ubdivision (a).  Government Code section 7923.600</w:t>
      </w:r>
      <w:r>
        <w:t xml:space="preserve"> </w:t>
      </w:r>
      <w:r>
        <w:t>replaces former</w:t>
      </w:r>
      <w:r>
        <w:t xml:space="preserve"> Government Code section 6254, subdivision (f), and</w:t>
      </w:r>
      <w:r>
        <w:t xml:space="preserve"> </w:t>
      </w:r>
      <w:r>
        <w:t>Government Code section 7927.705 replace</w:t>
      </w:r>
      <w:r>
        <w:t>s</w:t>
      </w:r>
      <w:r>
        <w:t xml:space="preserve"> former</w:t>
      </w:r>
      <w:r>
        <w:t xml:space="preserve"> Government Code section 6254, subdivision (k).</w:t>
      </w:r>
    </w:p>
  </w:footnote>
  <w:footnote w:id="4">
    <w:p w14:paraId="63A5D9D7" w14:textId="77777777" w:rsidR="008C6DF5" w:rsidRDefault="008C6DF5" w:rsidP="00BB5C2B">
      <w:pPr>
        <w:pStyle w:val="FootnoteText"/>
        <w:spacing w:after="120"/>
      </w:pPr>
      <w:r>
        <w:rPr>
          <w:rStyle w:val="FootnoteReference"/>
        </w:rPr>
        <w:footnoteRef/>
      </w:r>
      <w:r>
        <w:t xml:space="preserve"> </w:t>
      </w:r>
      <w:r>
        <w:tab/>
      </w:r>
      <w:r>
        <w:t>P</w:t>
      </w:r>
      <w:r>
        <w:t>etitioners argue that none of the BPD records</w:t>
      </w:r>
      <w:r>
        <w:t xml:space="preserve"> concerns “confidential or private transactions, property or business of any person” as contemplated by Government Code section 11183.  We observe, however, that this</w:t>
      </w:r>
      <w:r>
        <w:t xml:space="preserve"> statutory</w:t>
      </w:r>
      <w:r>
        <w:t xml:space="preserve"> language was in place before the enactment of section 832.7(b) </w:t>
      </w:r>
      <w:r>
        <w:t xml:space="preserve">superseded </w:t>
      </w:r>
      <w:r>
        <w:t xml:space="preserve">the provisions for privacy and confidentiality of officer personnel files in section 832.7(a) and in the CPRA’s exemption for investigatory files.  (See Stats. 2003, </w:t>
      </w:r>
      <w:proofErr w:type="spellStart"/>
      <w:r>
        <w:t>ch.</w:t>
      </w:r>
      <w:proofErr w:type="spellEnd"/>
      <w:r>
        <w:t> 876, § 6 (Sen. Bill No. 434</w:t>
      </w:r>
      <w:r>
        <w:t>)</w:t>
      </w:r>
      <w:r>
        <w:t>.)  F</w:t>
      </w:r>
      <w:r>
        <w:t>or purposes of this opinion only,</w:t>
      </w:r>
      <w:r>
        <w:t xml:space="preserve"> we will assume t</w:t>
      </w:r>
      <w:r>
        <w:t>he subpo</w:t>
      </w:r>
      <w:r>
        <w:t xml:space="preserve">enaed BPD records qualify as “private” records and information within the meaning of Government Code sections 11181 and 11183.  (See 87 </w:t>
      </w:r>
      <w:proofErr w:type="spellStart"/>
      <w:proofErr w:type="gramStart"/>
      <w:r>
        <w:t>Ops.Cal.Atty.Gen</w:t>
      </w:r>
      <w:proofErr w:type="spellEnd"/>
      <w:proofErr w:type="gramEnd"/>
      <w:r>
        <w:t xml:space="preserve"> 181</w:t>
      </w:r>
      <w:r>
        <w:t xml:space="preserve">, </w:t>
      </w:r>
      <w:r>
        <w:t>18</w:t>
      </w:r>
      <w:r>
        <w:t xml:space="preserve">6 </w:t>
      </w:r>
      <w:r>
        <w:t>(2004) 2004 WL 2971140</w:t>
      </w:r>
      <w:r>
        <w:t xml:space="preserve"> at p. 3 [“ ‘Private’ is broadly understood to refer to things </w:t>
      </w:r>
      <w:r w:rsidRPr="00BB5C2B">
        <w:rPr>
          <w:i/>
          <w:iCs/>
        </w:rPr>
        <w:t>concerning</w:t>
      </w:r>
      <w:r>
        <w:t xml:space="preserve"> or belonging to </w:t>
      </w:r>
      <w:r w:rsidRPr="00BB5C2B">
        <w:rPr>
          <w:i/>
          <w:iCs/>
        </w:rPr>
        <w:t>an individual</w:t>
      </w:r>
      <w:r>
        <w:t xml:space="preserve"> rather than the government or the public [citation] and ‘confidential’ generally refers to </w:t>
      </w:r>
      <w:r w:rsidRPr="00BB5C2B">
        <w:rPr>
          <w:i/>
          <w:iCs/>
        </w:rPr>
        <w:t>matters</w:t>
      </w:r>
      <w:r>
        <w:t xml:space="preserve"> private, personal, or secret in nature </w:t>
      </w:r>
      <w:r w:rsidRPr="00BB5C2B">
        <w:rPr>
          <w:i/>
          <w:iCs/>
        </w:rPr>
        <w:t>that are not broadly disclosed or widely known</w:t>
      </w:r>
      <w:r>
        <w:t xml:space="preserve"> [citation].”</w:t>
      </w:r>
      <w:r>
        <w:t>]</w:t>
      </w:r>
      <w:r>
        <w:t>)</w:t>
      </w:r>
      <w:r>
        <w:t xml:space="preserve"> </w:t>
      </w:r>
      <w:r>
        <w:t xml:space="preserve"> </w:t>
      </w:r>
      <w:r>
        <w:rPr>
          <w:rStyle w:val="ssit"/>
          <w:color w:val="212121"/>
          <w:bdr w:val="none" w:sz="0" w:space="0" w:color="auto" w:frame="1"/>
          <w:shd w:val="clear" w:color="auto" w:fill="FFFFFF"/>
        </w:rPr>
        <w:t>(</w:t>
      </w:r>
      <w:r>
        <w:rPr>
          <w:shd w:val="clear" w:color="auto" w:fill="FFFFFF"/>
        </w:rPr>
        <w:t>I</w:t>
      </w:r>
      <w:r>
        <w:rPr>
          <w:rStyle w:val="ssit"/>
          <w:color w:val="212121"/>
          <w:bdr w:val="none" w:sz="0" w:space="0" w:color="auto" w:frame="1"/>
          <w:shd w:val="clear" w:color="auto" w:fill="FFFFFF"/>
        </w:rPr>
        <w:t xml:space="preserve">talics added.)  </w:t>
      </w:r>
    </w:p>
  </w:footnote>
  <w:footnote w:id="5">
    <w:p w14:paraId="6CA2E691" w14:textId="77777777" w:rsidR="008C6DF5" w:rsidRDefault="008C6DF5" w:rsidP="00923084">
      <w:pPr>
        <w:pStyle w:val="FootnoteText"/>
      </w:pPr>
      <w:r>
        <w:rPr>
          <w:rStyle w:val="FootnoteReference"/>
        </w:rPr>
        <w:footnoteRef/>
      </w:r>
      <w:r>
        <w:t xml:space="preserve"> </w:t>
      </w:r>
      <w:r>
        <w:tab/>
        <w:t>These include redactions to remove personal data and to preserve the anonymity of complainants and witnesses, and redactions where there is a specific reason to believe that disclosure would pose a significant danger to the physical safety of the officer or another person.  (§ 832.7(b)(</w:t>
      </w:r>
      <w:r>
        <w:t>6</w:t>
      </w:r>
      <w:r>
        <w:t>)(A), (B), (D).)  Redaction is also required to “protect confidential medical, financial, or other information of which disclosure is specifically prohibited by federal law or would cause an unwarranted invasion of persona</w:t>
      </w:r>
      <w:r>
        <w:t xml:space="preserve">l privacy that clearly outweighs the strong public interest in records about </w:t>
      </w:r>
      <w:r>
        <w:t xml:space="preserve">possible </w:t>
      </w:r>
      <w:r>
        <w:t>misconduct and use of force.”  (§ 832.7(b)(</w:t>
      </w:r>
      <w:r>
        <w:t>6</w:t>
      </w:r>
      <w:r>
        <w:t>)(C).)  Redaction is also permitted when, in a particular case, “the public interest served by not disclosing the information clearly outweighs the public interest served by disclosure of the information.”  (§ 832.7(b)(</w:t>
      </w:r>
      <w:r>
        <w:t>7</w:t>
      </w:r>
      <w:r>
        <w:t xml:space="preserve">).)  Additionally, release may be delayed of records involving misconduct or use of force for proscribed periods </w:t>
      </w:r>
      <w:r>
        <w:t>where a criminal investigation or proceeding is</w:t>
      </w:r>
      <w:r>
        <w:t xml:space="preserve"> a</w:t>
      </w:r>
      <w:r>
        <w:t xml:space="preserve">ctive and other criteria </w:t>
      </w:r>
      <w:r>
        <w:t>are</w:t>
      </w:r>
      <w:r>
        <w:t xml:space="preserve"> satisfied.  (§ 832.7(b)(8).)</w:t>
      </w:r>
    </w:p>
  </w:footnote>
  <w:footnote w:id="6">
    <w:p w14:paraId="4074443C" w14:textId="77777777" w:rsidR="008C6DF5" w:rsidRDefault="008C6DF5">
      <w:pPr>
        <w:pStyle w:val="FootnoteText"/>
      </w:pPr>
      <w:r>
        <w:rPr>
          <w:rStyle w:val="FootnoteReference"/>
        </w:rPr>
        <w:footnoteRef/>
      </w:r>
      <w:r>
        <w:t xml:space="preserve"> </w:t>
      </w:r>
      <w:r>
        <w:tab/>
      </w:r>
      <w:r>
        <w:t xml:space="preserve">In </w:t>
      </w:r>
      <w:r w:rsidRPr="005F7205">
        <w:rPr>
          <w:i/>
          <w:iCs/>
        </w:rPr>
        <w:t>Sierra Club</w:t>
      </w:r>
      <w:r>
        <w:t xml:space="preserve">, the </w:t>
      </w:r>
      <w:r>
        <w:t>question</w:t>
      </w:r>
      <w:r>
        <w:t xml:space="preserve"> of whether the GIS-formatted OC </w:t>
      </w:r>
      <w:proofErr w:type="spellStart"/>
      <w:r>
        <w:t>Landbase</w:t>
      </w:r>
      <w:proofErr w:type="spellEnd"/>
      <w:r>
        <w:t xml:space="preserve"> was a public record was relevant </w:t>
      </w:r>
      <w:proofErr w:type="gramStart"/>
      <w:r>
        <w:t xml:space="preserve">in </w:t>
      </w:r>
      <w:r>
        <w:t>order to</w:t>
      </w:r>
      <w:proofErr w:type="gramEnd"/>
      <w:r>
        <w:t xml:space="preserve"> </w:t>
      </w:r>
      <w:r>
        <w:t>determin</w:t>
      </w:r>
      <w:r>
        <w:t>e</w:t>
      </w:r>
      <w:r>
        <w:t xml:space="preserve"> the cost of access to the database.  If the database was a public record, then the petitioner could obtain it for a fee covering only the direct cost of duplication.  (</w:t>
      </w:r>
      <w:r w:rsidRPr="00DC64CE">
        <w:rPr>
          <w:i/>
          <w:iCs/>
        </w:rPr>
        <w:t>Sierra Club</w:t>
      </w:r>
      <w:r>
        <w:t xml:space="preserve">, </w:t>
      </w:r>
      <w:r w:rsidRPr="00DC64CE">
        <w:rPr>
          <w:i/>
          <w:iCs/>
        </w:rPr>
        <w:t>supra</w:t>
      </w:r>
      <w:r>
        <w:t>, 57 Cal.4th at p. 163.)  But if the database was not a public record under the statutory exclusion, then the public agency had the option to license the database according to the terms of a licensing policy.</w:t>
      </w:r>
      <w:r>
        <w:t xml:space="preserve">  (</w:t>
      </w:r>
      <w:r w:rsidRPr="00DC64CE">
        <w:rPr>
          <w:i/>
          <w:iCs/>
        </w:rPr>
        <w:t>Ibid</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52283"/>
    <w:multiLevelType w:val="hybridMultilevel"/>
    <w:tmpl w:val="79204EBA"/>
    <w:lvl w:ilvl="0" w:tplc="E864F140">
      <w:start w:val="1"/>
      <w:numFmt w:val="upperLetter"/>
      <w:lvlText w:val="%1."/>
      <w:lvlJc w:val="left"/>
      <w:pPr>
        <w:ind w:left="1080" w:hanging="360"/>
      </w:pPr>
      <w:rPr>
        <w:rFonts w:hint="default"/>
        <w:b/>
        <w:bCs/>
        <w:i w:val="0"/>
        <w:iCs w:val="0"/>
      </w:rPr>
    </w:lvl>
    <w:lvl w:ilvl="1" w:tplc="E1A40F5C" w:tentative="1">
      <w:start w:val="1"/>
      <w:numFmt w:val="lowerLetter"/>
      <w:lvlText w:val="%2."/>
      <w:lvlJc w:val="left"/>
      <w:pPr>
        <w:ind w:left="1800" w:hanging="360"/>
      </w:pPr>
    </w:lvl>
    <w:lvl w:ilvl="2" w:tplc="97285C6C" w:tentative="1">
      <w:start w:val="1"/>
      <w:numFmt w:val="lowerRoman"/>
      <w:lvlText w:val="%3."/>
      <w:lvlJc w:val="right"/>
      <w:pPr>
        <w:ind w:left="2520" w:hanging="180"/>
      </w:pPr>
    </w:lvl>
    <w:lvl w:ilvl="3" w:tplc="0688D764" w:tentative="1">
      <w:start w:val="1"/>
      <w:numFmt w:val="decimal"/>
      <w:lvlText w:val="%4."/>
      <w:lvlJc w:val="left"/>
      <w:pPr>
        <w:ind w:left="3240" w:hanging="360"/>
      </w:pPr>
    </w:lvl>
    <w:lvl w:ilvl="4" w:tplc="CCA697E0" w:tentative="1">
      <w:start w:val="1"/>
      <w:numFmt w:val="lowerLetter"/>
      <w:lvlText w:val="%5."/>
      <w:lvlJc w:val="left"/>
      <w:pPr>
        <w:ind w:left="3960" w:hanging="360"/>
      </w:pPr>
    </w:lvl>
    <w:lvl w:ilvl="5" w:tplc="E0CA6080" w:tentative="1">
      <w:start w:val="1"/>
      <w:numFmt w:val="lowerRoman"/>
      <w:lvlText w:val="%6."/>
      <w:lvlJc w:val="right"/>
      <w:pPr>
        <w:ind w:left="4680" w:hanging="180"/>
      </w:pPr>
    </w:lvl>
    <w:lvl w:ilvl="6" w:tplc="67A8F6A8" w:tentative="1">
      <w:start w:val="1"/>
      <w:numFmt w:val="decimal"/>
      <w:lvlText w:val="%7."/>
      <w:lvlJc w:val="left"/>
      <w:pPr>
        <w:ind w:left="5400" w:hanging="360"/>
      </w:pPr>
    </w:lvl>
    <w:lvl w:ilvl="7" w:tplc="1A243360" w:tentative="1">
      <w:start w:val="1"/>
      <w:numFmt w:val="lowerLetter"/>
      <w:lvlText w:val="%8."/>
      <w:lvlJc w:val="left"/>
      <w:pPr>
        <w:ind w:left="6120" w:hanging="360"/>
      </w:pPr>
    </w:lvl>
    <w:lvl w:ilvl="8" w:tplc="325447DA" w:tentative="1">
      <w:start w:val="1"/>
      <w:numFmt w:val="lowerRoman"/>
      <w:lvlText w:val="%9."/>
      <w:lvlJc w:val="right"/>
      <w:pPr>
        <w:ind w:left="6840" w:hanging="180"/>
      </w:pPr>
    </w:lvl>
  </w:abstractNum>
  <w:abstractNum w:abstractNumId="1" w15:restartNumberingAfterBreak="0">
    <w:nsid w:val="39D55324"/>
    <w:multiLevelType w:val="hybridMultilevel"/>
    <w:tmpl w:val="B3BE1C24"/>
    <w:lvl w:ilvl="0" w:tplc="4352FA20">
      <w:start w:val="1"/>
      <w:numFmt w:val="upperLetter"/>
      <w:lvlText w:val="%1."/>
      <w:lvlJc w:val="left"/>
      <w:pPr>
        <w:ind w:left="720" w:hanging="360"/>
      </w:pPr>
      <w:rPr>
        <w:rFonts w:hint="default"/>
      </w:rPr>
    </w:lvl>
    <w:lvl w:ilvl="1" w:tplc="3AA42CE8" w:tentative="1">
      <w:start w:val="1"/>
      <w:numFmt w:val="lowerLetter"/>
      <w:lvlText w:val="%2."/>
      <w:lvlJc w:val="left"/>
      <w:pPr>
        <w:ind w:left="1440" w:hanging="360"/>
      </w:pPr>
    </w:lvl>
    <w:lvl w:ilvl="2" w:tplc="39803A90" w:tentative="1">
      <w:start w:val="1"/>
      <w:numFmt w:val="lowerRoman"/>
      <w:lvlText w:val="%3."/>
      <w:lvlJc w:val="right"/>
      <w:pPr>
        <w:ind w:left="2160" w:hanging="180"/>
      </w:pPr>
    </w:lvl>
    <w:lvl w:ilvl="3" w:tplc="26E0A5DC" w:tentative="1">
      <w:start w:val="1"/>
      <w:numFmt w:val="decimal"/>
      <w:lvlText w:val="%4."/>
      <w:lvlJc w:val="left"/>
      <w:pPr>
        <w:ind w:left="2880" w:hanging="360"/>
      </w:pPr>
    </w:lvl>
    <w:lvl w:ilvl="4" w:tplc="517ED698" w:tentative="1">
      <w:start w:val="1"/>
      <w:numFmt w:val="lowerLetter"/>
      <w:lvlText w:val="%5."/>
      <w:lvlJc w:val="left"/>
      <w:pPr>
        <w:ind w:left="3600" w:hanging="360"/>
      </w:pPr>
    </w:lvl>
    <w:lvl w:ilvl="5" w:tplc="2C122ADE" w:tentative="1">
      <w:start w:val="1"/>
      <w:numFmt w:val="lowerRoman"/>
      <w:lvlText w:val="%6."/>
      <w:lvlJc w:val="right"/>
      <w:pPr>
        <w:ind w:left="4320" w:hanging="180"/>
      </w:pPr>
    </w:lvl>
    <w:lvl w:ilvl="6" w:tplc="FD764F40" w:tentative="1">
      <w:start w:val="1"/>
      <w:numFmt w:val="decimal"/>
      <w:lvlText w:val="%7."/>
      <w:lvlJc w:val="left"/>
      <w:pPr>
        <w:ind w:left="5040" w:hanging="360"/>
      </w:pPr>
    </w:lvl>
    <w:lvl w:ilvl="7" w:tplc="9FD42854" w:tentative="1">
      <w:start w:val="1"/>
      <w:numFmt w:val="lowerLetter"/>
      <w:lvlText w:val="%8."/>
      <w:lvlJc w:val="left"/>
      <w:pPr>
        <w:ind w:left="5760" w:hanging="360"/>
      </w:pPr>
    </w:lvl>
    <w:lvl w:ilvl="8" w:tplc="9C9A6636" w:tentative="1">
      <w:start w:val="1"/>
      <w:numFmt w:val="lowerRoman"/>
      <w:lvlText w:val="%9."/>
      <w:lvlJc w:val="right"/>
      <w:pPr>
        <w:ind w:left="6480" w:hanging="180"/>
      </w:pPr>
    </w:lvl>
  </w:abstractNum>
  <w:abstractNum w:abstractNumId="2" w15:restartNumberingAfterBreak="0">
    <w:nsid w:val="43C927D4"/>
    <w:multiLevelType w:val="hybridMultilevel"/>
    <w:tmpl w:val="79204EBA"/>
    <w:lvl w:ilvl="0" w:tplc="545A86F8">
      <w:start w:val="1"/>
      <w:numFmt w:val="upperLetter"/>
      <w:lvlText w:val="%1."/>
      <w:lvlJc w:val="left"/>
      <w:pPr>
        <w:ind w:left="1080" w:hanging="360"/>
      </w:pPr>
      <w:rPr>
        <w:rFonts w:hint="default"/>
        <w:b/>
        <w:bCs/>
        <w:i w:val="0"/>
        <w:iCs w:val="0"/>
      </w:rPr>
    </w:lvl>
    <w:lvl w:ilvl="1" w:tplc="41BAE5A8" w:tentative="1">
      <w:start w:val="1"/>
      <w:numFmt w:val="lowerLetter"/>
      <w:lvlText w:val="%2."/>
      <w:lvlJc w:val="left"/>
      <w:pPr>
        <w:ind w:left="1800" w:hanging="360"/>
      </w:pPr>
    </w:lvl>
    <w:lvl w:ilvl="2" w:tplc="F7EA8084" w:tentative="1">
      <w:start w:val="1"/>
      <w:numFmt w:val="lowerRoman"/>
      <w:lvlText w:val="%3."/>
      <w:lvlJc w:val="right"/>
      <w:pPr>
        <w:ind w:left="2520" w:hanging="180"/>
      </w:pPr>
    </w:lvl>
    <w:lvl w:ilvl="3" w:tplc="ACA6C8EE" w:tentative="1">
      <w:start w:val="1"/>
      <w:numFmt w:val="decimal"/>
      <w:lvlText w:val="%4."/>
      <w:lvlJc w:val="left"/>
      <w:pPr>
        <w:ind w:left="3240" w:hanging="360"/>
      </w:pPr>
    </w:lvl>
    <w:lvl w:ilvl="4" w:tplc="C5F27550" w:tentative="1">
      <w:start w:val="1"/>
      <w:numFmt w:val="lowerLetter"/>
      <w:lvlText w:val="%5."/>
      <w:lvlJc w:val="left"/>
      <w:pPr>
        <w:ind w:left="3960" w:hanging="360"/>
      </w:pPr>
    </w:lvl>
    <w:lvl w:ilvl="5" w:tplc="06BE028E" w:tentative="1">
      <w:start w:val="1"/>
      <w:numFmt w:val="lowerRoman"/>
      <w:lvlText w:val="%6."/>
      <w:lvlJc w:val="right"/>
      <w:pPr>
        <w:ind w:left="4680" w:hanging="180"/>
      </w:pPr>
    </w:lvl>
    <w:lvl w:ilvl="6" w:tplc="7140FCD2" w:tentative="1">
      <w:start w:val="1"/>
      <w:numFmt w:val="decimal"/>
      <w:lvlText w:val="%7."/>
      <w:lvlJc w:val="left"/>
      <w:pPr>
        <w:ind w:left="5400" w:hanging="360"/>
      </w:pPr>
    </w:lvl>
    <w:lvl w:ilvl="7" w:tplc="96C0A8EC" w:tentative="1">
      <w:start w:val="1"/>
      <w:numFmt w:val="lowerLetter"/>
      <w:lvlText w:val="%8."/>
      <w:lvlJc w:val="left"/>
      <w:pPr>
        <w:ind w:left="6120" w:hanging="360"/>
      </w:pPr>
    </w:lvl>
    <w:lvl w:ilvl="8" w:tplc="E5B2A01C" w:tentative="1">
      <w:start w:val="1"/>
      <w:numFmt w:val="lowerRoman"/>
      <w:lvlText w:val="%9."/>
      <w:lvlJc w:val="right"/>
      <w:pPr>
        <w:ind w:left="6840" w:hanging="180"/>
      </w:pPr>
    </w:lvl>
  </w:abstractNum>
  <w:abstractNum w:abstractNumId="3" w15:restartNumberingAfterBreak="0">
    <w:nsid w:val="4BC21D32"/>
    <w:multiLevelType w:val="hybridMultilevel"/>
    <w:tmpl w:val="81EE0E66"/>
    <w:lvl w:ilvl="0" w:tplc="3E7ECE24">
      <w:start w:val="1"/>
      <w:numFmt w:val="bullet"/>
      <w:lvlText w:val=""/>
      <w:lvlJc w:val="left"/>
      <w:pPr>
        <w:ind w:left="360" w:hanging="360"/>
      </w:pPr>
      <w:rPr>
        <w:rFonts w:ascii="Symbol" w:hAnsi="Symbol" w:hint="default"/>
      </w:rPr>
    </w:lvl>
    <w:lvl w:ilvl="1" w:tplc="CAE0B156" w:tentative="1">
      <w:start w:val="1"/>
      <w:numFmt w:val="bullet"/>
      <w:lvlText w:val="o"/>
      <w:lvlJc w:val="left"/>
      <w:pPr>
        <w:ind w:left="1080" w:hanging="360"/>
      </w:pPr>
      <w:rPr>
        <w:rFonts w:ascii="Courier New" w:hAnsi="Courier New" w:cs="Courier New" w:hint="default"/>
      </w:rPr>
    </w:lvl>
    <w:lvl w:ilvl="2" w:tplc="ABB83DC2" w:tentative="1">
      <w:start w:val="1"/>
      <w:numFmt w:val="bullet"/>
      <w:lvlText w:val=""/>
      <w:lvlJc w:val="left"/>
      <w:pPr>
        <w:ind w:left="1800" w:hanging="360"/>
      </w:pPr>
      <w:rPr>
        <w:rFonts w:ascii="Wingdings" w:hAnsi="Wingdings" w:hint="default"/>
      </w:rPr>
    </w:lvl>
    <w:lvl w:ilvl="3" w:tplc="C58056D4" w:tentative="1">
      <w:start w:val="1"/>
      <w:numFmt w:val="bullet"/>
      <w:lvlText w:val=""/>
      <w:lvlJc w:val="left"/>
      <w:pPr>
        <w:ind w:left="2520" w:hanging="360"/>
      </w:pPr>
      <w:rPr>
        <w:rFonts w:ascii="Symbol" w:hAnsi="Symbol" w:hint="default"/>
      </w:rPr>
    </w:lvl>
    <w:lvl w:ilvl="4" w:tplc="7542DE10" w:tentative="1">
      <w:start w:val="1"/>
      <w:numFmt w:val="bullet"/>
      <w:lvlText w:val="o"/>
      <w:lvlJc w:val="left"/>
      <w:pPr>
        <w:ind w:left="3240" w:hanging="360"/>
      </w:pPr>
      <w:rPr>
        <w:rFonts w:ascii="Courier New" w:hAnsi="Courier New" w:cs="Courier New" w:hint="default"/>
      </w:rPr>
    </w:lvl>
    <w:lvl w:ilvl="5" w:tplc="99ACF798" w:tentative="1">
      <w:start w:val="1"/>
      <w:numFmt w:val="bullet"/>
      <w:lvlText w:val=""/>
      <w:lvlJc w:val="left"/>
      <w:pPr>
        <w:ind w:left="3960" w:hanging="360"/>
      </w:pPr>
      <w:rPr>
        <w:rFonts w:ascii="Wingdings" w:hAnsi="Wingdings" w:hint="default"/>
      </w:rPr>
    </w:lvl>
    <w:lvl w:ilvl="6" w:tplc="3BBCEB26" w:tentative="1">
      <w:start w:val="1"/>
      <w:numFmt w:val="bullet"/>
      <w:lvlText w:val=""/>
      <w:lvlJc w:val="left"/>
      <w:pPr>
        <w:ind w:left="4680" w:hanging="360"/>
      </w:pPr>
      <w:rPr>
        <w:rFonts w:ascii="Symbol" w:hAnsi="Symbol" w:hint="default"/>
      </w:rPr>
    </w:lvl>
    <w:lvl w:ilvl="7" w:tplc="C8B2EF74" w:tentative="1">
      <w:start w:val="1"/>
      <w:numFmt w:val="bullet"/>
      <w:lvlText w:val="o"/>
      <w:lvlJc w:val="left"/>
      <w:pPr>
        <w:ind w:left="5400" w:hanging="360"/>
      </w:pPr>
      <w:rPr>
        <w:rFonts w:ascii="Courier New" w:hAnsi="Courier New" w:cs="Courier New" w:hint="default"/>
      </w:rPr>
    </w:lvl>
    <w:lvl w:ilvl="8" w:tplc="DF52EC4A" w:tentative="1">
      <w:start w:val="1"/>
      <w:numFmt w:val="bullet"/>
      <w:lvlText w:val=""/>
      <w:lvlJc w:val="left"/>
      <w:pPr>
        <w:ind w:left="6120" w:hanging="360"/>
      </w:pPr>
      <w:rPr>
        <w:rFonts w:ascii="Wingdings" w:hAnsi="Wingdings" w:hint="default"/>
      </w:rPr>
    </w:lvl>
  </w:abstractNum>
  <w:abstractNum w:abstractNumId="4" w15:restartNumberingAfterBreak="0">
    <w:nsid w:val="4DA45F19"/>
    <w:multiLevelType w:val="hybridMultilevel"/>
    <w:tmpl w:val="79204EBA"/>
    <w:lvl w:ilvl="0" w:tplc="05F26412">
      <w:start w:val="1"/>
      <w:numFmt w:val="upperLetter"/>
      <w:lvlText w:val="%1."/>
      <w:lvlJc w:val="left"/>
      <w:pPr>
        <w:ind w:left="1080" w:hanging="360"/>
      </w:pPr>
      <w:rPr>
        <w:rFonts w:hint="default"/>
        <w:b/>
        <w:bCs/>
        <w:i w:val="0"/>
        <w:iCs w:val="0"/>
      </w:rPr>
    </w:lvl>
    <w:lvl w:ilvl="1" w:tplc="7E82B99E" w:tentative="1">
      <w:start w:val="1"/>
      <w:numFmt w:val="lowerLetter"/>
      <w:lvlText w:val="%2."/>
      <w:lvlJc w:val="left"/>
      <w:pPr>
        <w:ind w:left="1800" w:hanging="360"/>
      </w:pPr>
    </w:lvl>
    <w:lvl w:ilvl="2" w:tplc="62E8F3CA" w:tentative="1">
      <w:start w:val="1"/>
      <w:numFmt w:val="lowerRoman"/>
      <w:lvlText w:val="%3."/>
      <w:lvlJc w:val="right"/>
      <w:pPr>
        <w:ind w:left="2520" w:hanging="180"/>
      </w:pPr>
    </w:lvl>
    <w:lvl w:ilvl="3" w:tplc="3C3EA462" w:tentative="1">
      <w:start w:val="1"/>
      <w:numFmt w:val="decimal"/>
      <w:lvlText w:val="%4."/>
      <w:lvlJc w:val="left"/>
      <w:pPr>
        <w:ind w:left="3240" w:hanging="360"/>
      </w:pPr>
    </w:lvl>
    <w:lvl w:ilvl="4" w:tplc="D9BED846" w:tentative="1">
      <w:start w:val="1"/>
      <w:numFmt w:val="lowerLetter"/>
      <w:lvlText w:val="%5."/>
      <w:lvlJc w:val="left"/>
      <w:pPr>
        <w:ind w:left="3960" w:hanging="360"/>
      </w:pPr>
    </w:lvl>
    <w:lvl w:ilvl="5" w:tplc="9992F46A" w:tentative="1">
      <w:start w:val="1"/>
      <w:numFmt w:val="lowerRoman"/>
      <w:lvlText w:val="%6."/>
      <w:lvlJc w:val="right"/>
      <w:pPr>
        <w:ind w:left="4680" w:hanging="180"/>
      </w:pPr>
    </w:lvl>
    <w:lvl w:ilvl="6" w:tplc="23A84916" w:tentative="1">
      <w:start w:val="1"/>
      <w:numFmt w:val="decimal"/>
      <w:lvlText w:val="%7."/>
      <w:lvlJc w:val="left"/>
      <w:pPr>
        <w:ind w:left="5400" w:hanging="360"/>
      </w:pPr>
    </w:lvl>
    <w:lvl w:ilvl="7" w:tplc="44C49586" w:tentative="1">
      <w:start w:val="1"/>
      <w:numFmt w:val="lowerLetter"/>
      <w:lvlText w:val="%8."/>
      <w:lvlJc w:val="left"/>
      <w:pPr>
        <w:ind w:left="6120" w:hanging="360"/>
      </w:pPr>
    </w:lvl>
    <w:lvl w:ilvl="8" w:tplc="E01876A0" w:tentative="1">
      <w:start w:val="1"/>
      <w:numFmt w:val="lowerRoman"/>
      <w:lvlText w:val="%9."/>
      <w:lvlJc w:val="right"/>
      <w:pPr>
        <w:ind w:left="6840" w:hanging="180"/>
      </w:pPr>
    </w:lvl>
  </w:abstractNum>
  <w:abstractNum w:abstractNumId="5" w15:restartNumberingAfterBreak="0">
    <w:nsid w:val="5F2D0C56"/>
    <w:multiLevelType w:val="hybridMultilevel"/>
    <w:tmpl w:val="D5A48074"/>
    <w:lvl w:ilvl="0" w:tplc="9D123FE2">
      <w:start w:val="1"/>
      <w:numFmt w:val="upperLetter"/>
      <w:lvlText w:val="%1."/>
      <w:lvlJc w:val="left"/>
      <w:pPr>
        <w:ind w:left="1140" w:hanging="420"/>
      </w:pPr>
      <w:rPr>
        <w:rFonts w:hint="default"/>
      </w:rPr>
    </w:lvl>
    <w:lvl w:ilvl="1" w:tplc="3CAE71E4" w:tentative="1">
      <w:start w:val="1"/>
      <w:numFmt w:val="lowerLetter"/>
      <w:lvlText w:val="%2."/>
      <w:lvlJc w:val="left"/>
      <w:pPr>
        <w:ind w:left="1800" w:hanging="360"/>
      </w:pPr>
    </w:lvl>
    <w:lvl w:ilvl="2" w:tplc="B15A3D4C" w:tentative="1">
      <w:start w:val="1"/>
      <w:numFmt w:val="lowerRoman"/>
      <w:lvlText w:val="%3."/>
      <w:lvlJc w:val="right"/>
      <w:pPr>
        <w:ind w:left="2520" w:hanging="180"/>
      </w:pPr>
    </w:lvl>
    <w:lvl w:ilvl="3" w:tplc="D70466E6" w:tentative="1">
      <w:start w:val="1"/>
      <w:numFmt w:val="decimal"/>
      <w:lvlText w:val="%4."/>
      <w:lvlJc w:val="left"/>
      <w:pPr>
        <w:ind w:left="3240" w:hanging="360"/>
      </w:pPr>
    </w:lvl>
    <w:lvl w:ilvl="4" w:tplc="0E6C7FEC" w:tentative="1">
      <w:start w:val="1"/>
      <w:numFmt w:val="lowerLetter"/>
      <w:lvlText w:val="%5."/>
      <w:lvlJc w:val="left"/>
      <w:pPr>
        <w:ind w:left="3960" w:hanging="360"/>
      </w:pPr>
    </w:lvl>
    <w:lvl w:ilvl="5" w:tplc="088EB1A6" w:tentative="1">
      <w:start w:val="1"/>
      <w:numFmt w:val="lowerRoman"/>
      <w:lvlText w:val="%6."/>
      <w:lvlJc w:val="right"/>
      <w:pPr>
        <w:ind w:left="4680" w:hanging="180"/>
      </w:pPr>
    </w:lvl>
    <w:lvl w:ilvl="6" w:tplc="D5F0F2B2" w:tentative="1">
      <w:start w:val="1"/>
      <w:numFmt w:val="decimal"/>
      <w:lvlText w:val="%7."/>
      <w:lvlJc w:val="left"/>
      <w:pPr>
        <w:ind w:left="5400" w:hanging="360"/>
      </w:pPr>
    </w:lvl>
    <w:lvl w:ilvl="7" w:tplc="40D20BF4" w:tentative="1">
      <w:start w:val="1"/>
      <w:numFmt w:val="lowerLetter"/>
      <w:lvlText w:val="%8."/>
      <w:lvlJc w:val="left"/>
      <w:pPr>
        <w:ind w:left="6120" w:hanging="360"/>
      </w:pPr>
    </w:lvl>
    <w:lvl w:ilvl="8" w:tplc="DBCE1330" w:tentative="1">
      <w:start w:val="1"/>
      <w:numFmt w:val="lowerRoman"/>
      <w:lvlText w:val="%9."/>
      <w:lvlJc w:val="right"/>
      <w:pPr>
        <w:ind w:left="6840" w:hanging="180"/>
      </w:pPr>
    </w:lvl>
  </w:abstractNum>
  <w:abstractNum w:abstractNumId="6" w15:restartNumberingAfterBreak="0">
    <w:nsid w:val="643B6ACB"/>
    <w:multiLevelType w:val="hybridMultilevel"/>
    <w:tmpl w:val="D5A48074"/>
    <w:lvl w:ilvl="0" w:tplc="21FC31DC">
      <w:start w:val="1"/>
      <w:numFmt w:val="upperLetter"/>
      <w:lvlText w:val="%1."/>
      <w:lvlJc w:val="left"/>
      <w:pPr>
        <w:ind w:left="1140" w:hanging="420"/>
      </w:pPr>
      <w:rPr>
        <w:rFonts w:hint="default"/>
      </w:rPr>
    </w:lvl>
    <w:lvl w:ilvl="1" w:tplc="210E6442" w:tentative="1">
      <w:start w:val="1"/>
      <w:numFmt w:val="lowerLetter"/>
      <w:lvlText w:val="%2."/>
      <w:lvlJc w:val="left"/>
      <w:pPr>
        <w:ind w:left="1800" w:hanging="360"/>
      </w:pPr>
    </w:lvl>
    <w:lvl w:ilvl="2" w:tplc="B52003C8" w:tentative="1">
      <w:start w:val="1"/>
      <w:numFmt w:val="lowerRoman"/>
      <w:lvlText w:val="%3."/>
      <w:lvlJc w:val="right"/>
      <w:pPr>
        <w:ind w:left="2520" w:hanging="180"/>
      </w:pPr>
    </w:lvl>
    <w:lvl w:ilvl="3" w:tplc="7B4CB5AC" w:tentative="1">
      <w:start w:val="1"/>
      <w:numFmt w:val="decimal"/>
      <w:lvlText w:val="%4."/>
      <w:lvlJc w:val="left"/>
      <w:pPr>
        <w:ind w:left="3240" w:hanging="360"/>
      </w:pPr>
    </w:lvl>
    <w:lvl w:ilvl="4" w:tplc="2A323D70" w:tentative="1">
      <w:start w:val="1"/>
      <w:numFmt w:val="lowerLetter"/>
      <w:lvlText w:val="%5."/>
      <w:lvlJc w:val="left"/>
      <w:pPr>
        <w:ind w:left="3960" w:hanging="360"/>
      </w:pPr>
    </w:lvl>
    <w:lvl w:ilvl="5" w:tplc="7C2AD234" w:tentative="1">
      <w:start w:val="1"/>
      <w:numFmt w:val="lowerRoman"/>
      <w:lvlText w:val="%6."/>
      <w:lvlJc w:val="right"/>
      <w:pPr>
        <w:ind w:left="4680" w:hanging="180"/>
      </w:pPr>
    </w:lvl>
    <w:lvl w:ilvl="6" w:tplc="9314FDD4" w:tentative="1">
      <w:start w:val="1"/>
      <w:numFmt w:val="decimal"/>
      <w:lvlText w:val="%7."/>
      <w:lvlJc w:val="left"/>
      <w:pPr>
        <w:ind w:left="5400" w:hanging="360"/>
      </w:pPr>
    </w:lvl>
    <w:lvl w:ilvl="7" w:tplc="33A47984" w:tentative="1">
      <w:start w:val="1"/>
      <w:numFmt w:val="lowerLetter"/>
      <w:lvlText w:val="%8."/>
      <w:lvlJc w:val="left"/>
      <w:pPr>
        <w:ind w:left="6120" w:hanging="360"/>
      </w:pPr>
    </w:lvl>
    <w:lvl w:ilvl="8" w:tplc="39221750" w:tentative="1">
      <w:start w:val="1"/>
      <w:numFmt w:val="lowerRoman"/>
      <w:lvlText w:val="%9."/>
      <w:lvlJc w:val="right"/>
      <w:pPr>
        <w:ind w:left="6840" w:hanging="180"/>
      </w:pPr>
    </w:lvl>
  </w:abstractNum>
  <w:abstractNum w:abstractNumId="7" w15:restartNumberingAfterBreak="0">
    <w:nsid w:val="7CFE6FBD"/>
    <w:multiLevelType w:val="hybridMultilevel"/>
    <w:tmpl w:val="B3BE1C24"/>
    <w:lvl w:ilvl="0" w:tplc="526EBC02">
      <w:start w:val="1"/>
      <w:numFmt w:val="upperLetter"/>
      <w:lvlText w:val="%1."/>
      <w:lvlJc w:val="left"/>
      <w:pPr>
        <w:ind w:left="720" w:hanging="360"/>
      </w:pPr>
      <w:rPr>
        <w:rFonts w:hint="default"/>
      </w:rPr>
    </w:lvl>
    <w:lvl w:ilvl="1" w:tplc="265603EE" w:tentative="1">
      <w:start w:val="1"/>
      <w:numFmt w:val="lowerLetter"/>
      <w:lvlText w:val="%2."/>
      <w:lvlJc w:val="left"/>
      <w:pPr>
        <w:ind w:left="1440" w:hanging="360"/>
      </w:pPr>
    </w:lvl>
    <w:lvl w:ilvl="2" w:tplc="2EE44CBA" w:tentative="1">
      <w:start w:val="1"/>
      <w:numFmt w:val="lowerRoman"/>
      <w:lvlText w:val="%3."/>
      <w:lvlJc w:val="right"/>
      <w:pPr>
        <w:ind w:left="2160" w:hanging="180"/>
      </w:pPr>
    </w:lvl>
    <w:lvl w:ilvl="3" w:tplc="13C605CC" w:tentative="1">
      <w:start w:val="1"/>
      <w:numFmt w:val="decimal"/>
      <w:lvlText w:val="%4."/>
      <w:lvlJc w:val="left"/>
      <w:pPr>
        <w:ind w:left="2880" w:hanging="360"/>
      </w:pPr>
    </w:lvl>
    <w:lvl w:ilvl="4" w:tplc="CCD0CD18" w:tentative="1">
      <w:start w:val="1"/>
      <w:numFmt w:val="lowerLetter"/>
      <w:lvlText w:val="%5."/>
      <w:lvlJc w:val="left"/>
      <w:pPr>
        <w:ind w:left="3600" w:hanging="360"/>
      </w:pPr>
    </w:lvl>
    <w:lvl w:ilvl="5" w:tplc="9E464E5A" w:tentative="1">
      <w:start w:val="1"/>
      <w:numFmt w:val="lowerRoman"/>
      <w:lvlText w:val="%6."/>
      <w:lvlJc w:val="right"/>
      <w:pPr>
        <w:ind w:left="4320" w:hanging="180"/>
      </w:pPr>
    </w:lvl>
    <w:lvl w:ilvl="6" w:tplc="2A346236" w:tentative="1">
      <w:start w:val="1"/>
      <w:numFmt w:val="decimal"/>
      <w:lvlText w:val="%7."/>
      <w:lvlJc w:val="left"/>
      <w:pPr>
        <w:ind w:left="5040" w:hanging="360"/>
      </w:pPr>
    </w:lvl>
    <w:lvl w:ilvl="7" w:tplc="42345AE2" w:tentative="1">
      <w:start w:val="1"/>
      <w:numFmt w:val="lowerLetter"/>
      <w:lvlText w:val="%8."/>
      <w:lvlJc w:val="left"/>
      <w:pPr>
        <w:ind w:left="5760" w:hanging="360"/>
      </w:pPr>
    </w:lvl>
    <w:lvl w:ilvl="8" w:tplc="2DFEE54C" w:tentative="1">
      <w:start w:val="1"/>
      <w:numFmt w:val="lowerRoman"/>
      <w:lvlText w:val="%9."/>
      <w:lvlJc w:val="right"/>
      <w:pPr>
        <w:ind w:left="6480" w:hanging="180"/>
      </w:pPr>
    </w:lvl>
  </w:abstractNum>
  <w:num w:numId="1" w16cid:durableId="1107459730">
    <w:abstractNumId w:val="6"/>
  </w:num>
  <w:num w:numId="2" w16cid:durableId="211314266">
    <w:abstractNumId w:val="5"/>
  </w:num>
  <w:num w:numId="3" w16cid:durableId="483474890">
    <w:abstractNumId w:val="7"/>
  </w:num>
  <w:num w:numId="4" w16cid:durableId="1281037481">
    <w:abstractNumId w:val="1"/>
  </w:num>
  <w:num w:numId="5" w16cid:durableId="1888907068">
    <w:abstractNumId w:val="4"/>
  </w:num>
  <w:num w:numId="6" w16cid:durableId="340935144">
    <w:abstractNumId w:val="0"/>
  </w:num>
  <w:num w:numId="7" w16cid:durableId="264650918">
    <w:abstractNumId w:val="2"/>
  </w:num>
  <w:num w:numId="8" w16cid:durableId="168300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DE"/>
    <w:rsid w:val="00604CA6"/>
    <w:rsid w:val="00670761"/>
    <w:rsid w:val="008B78DE"/>
    <w:rsid w:val="008C6DF5"/>
    <w:rsid w:val="009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5AD"/>
    <w:pPr>
      <w:tabs>
        <w:tab w:val="left" w:pos="720"/>
      </w:tabs>
      <w:spacing w:line="480" w:lineRule="atLeast"/>
    </w:pPr>
  </w:style>
  <w:style w:type="paragraph" w:styleId="Heading1">
    <w:name w:val="heading 1"/>
    <w:basedOn w:val="Normal"/>
    <w:next w:val="Normal"/>
    <w:link w:val="Heading1Char"/>
    <w:autoRedefine/>
    <w:uiPriority w:val="9"/>
    <w:qFormat/>
    <w:rsid w:val="0021717C"/>
    <w:pPr>
      <w:keepNext/>
      <w:keepLines/>
      <w:spacing w:before="2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1C7083"/>
    <w:pPr>
      <w:keepNext/>
      <w:keepLines/>
      <w:spacing w:before="40"/>
      <w:outlineLvl w:val="1"/>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17C"/>
    <w:rPr>
      <w:rFonts w:eastAsiaTheme="majorEastAsia" w:cstheme="majorBidi"/>
      <w:b/>
      <w:szCs w:val="32"/>
    </w:rPr>
  </w:style>
  <w:style w:type="character" w:customStyle="1" w:styleId="Heading2Char">
    <w:name w:val="Heading 2 Char"/>
    <w:basedOn w:val="DefaultParagraphFont"/>
    <w:link w:val="Heading2"/>
    <w:uiPriority w:val="9"/>
    <w:rsid w:val="001C7083"/>
    <w:rPr>
      <w:rFonts w:eastAsiaTheme="majorEastAsia" w:cstheme="majorBidi"/>
      <w:b/>
      <w:iCs/>
    </w:rPr>
  </w:style>
  <w:style w:type="paragraph" w:styleId="FootnoteText">
    <w:name w:val="footnote text"/>
    <w:link w:val="FootnoteTextChar"/>
    <w:uiPriority w:val="99"/>
    <w:unhideWhenUsed/>
    <w:rsid w:val="00A92C68"/>
    <w:pPr>
      <w:spacing w:line="240" w:lineRule="auto"/>
    </w:pPr>
    <w:rPr>
      <w:szCs w:val="20"/>
    </w:rPr>
  </w:style>
  <w:style w:type="character" w:customStyle="1" w:styleId="FootnoteTextChar">
    <w:name w:val="Footnote Text Char"/>
    <w:basedOn w:val="DefaultParagraphFont"/>
    <w:link w:val="FootnoteText"/>
    <w:uiPriority w:val="99"/>
    <w:rsid w:val="00A92C68"/>
    <w:rPr>
      <w:szCs w:val="20"/>
    </w:rPr>
  </w:style>
  <w:style w:type="character" w:styleId="FootnoteReference">
    <w:name w:val="footnote reference"/>
    <w:basedOn w:val="DefaultParagraphFont"/>
    <w:uiPriority w:val="99"/>
    <w:semiHidden/>
    <w:unhideWhenUsed/>
    <w:rsid w:val="00A92C68"/>
    <w:rPr>
      <w:vertAlign w:val="superscript"/>
    </w:rPr>
  </w:style>
  <w:style w:type="paragraph" w:styleId="ListParagraph">
    <w:name w:val="List Paragraph"/>
    <w:basedOn w:val="Normal"/>
    <w:uiPriority w:val="34"/>
    <w:qFormat/>
    <w:rsid w:val="0036702E"/>
    <w:pPr>
      <w:ind w:left="720"/>
      <w:contextualSpacing/>
    </w:pPr>
  </w:style>
  <w:style w:type="character" w:customStyle="1" w:styleId="sssh">
    <w:name w:val="ss_sh"/>
    <w:basedOn w:val="DefaultParagraphFont"/>
    <w:rsid w:val="006E259D"/>
  </w:style>
  <w:style w:type="character" w:styleId="Hyperlink">
    <w:name w:val="Hyperlink"/>
    <w:basedOn w:val="DefaultParagraphFont"/>
    <w:uiPriority w:val="99"/>
    <w:semiHidden/>
    <w:unhideWhenUsed/>
    <w:rsid w:val="006E259D"/>
    <w:rPr>
      <w:color w:val="0000FF"/>
      <w:u w:val="single"/>
    </w:rPr>
  </w:style>
  <w:style w:type="character" w:customStyle="1" w:styleId="ssparalabel">
    <w:name w:val="ss_paralabel"/>
    <w:basedOn w:val="DefaultParagraphFont"/>
    <w:rsid w:val="00DC46E1"/>
  </w:style>
  <w:style w:type="character" w:customStyle="1" w:styleId="ssbf">
    <w:name w:val="ss_bf"/>
    <w:basedOn w:val="DefaultParagraphFont"/>
    <w:rsid w:val="00DC46E1"/>
  </w:style>
  <w:style w:type="character" w:customStyle="1" w:styleId="ssparacontent">
    <w:name w:val="ss_paracontent"/>
    <w:basedOn w:val="DefaultParagraphFont"/>
    <w:rsid w:val="00DC46E1"/>
  </w:style>
  <w:style w:type="paragraph" w:styleId="NormalWeb">
    <w:name w:val="Normal (Web)"/>
    <w:basedOn w:val="Normal"/>
    <w:uiPriority w:val="99"/>
    <w:unhideWhenUsed/>
    <w:rsid w:val="00E35067"/>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rfcpassagedeactivated">
    <w:name w:val="ss_rfcpassage_deactivated"/>
    <w:basedOn w:val="DefaultParagraphFont"/>
    <w:rsid w:val="00E35067"/>
  </w:style>
  <w:style w:type="character" w:customStyle="1" w:styleId="ssrfcsection">
    <w:name w:val="ss_rfcsection"/>
    <w:basedOn w:val="DefaultParagraphFont"/>
    <w:rsid w:val="00E35067"/>
  </w:style>
  <w:style w:type="character" w:customStyle="1" w:styleId="ssit">
    <w:name w:val="ss_it"/>
    <w:basedOn w:val="DefaultParagraphFont"/>
    <w:rsid w:val="00E35067"/>
  </w:style>
  <w:style w:type="character" w:customStyle="1" w:styleId="ssheadnotelink">
    <w:name w:val="ss_headnotelink"/>
    <w:basedOn w:val="DefaultParagraphFont"/>
    <w:rsid w:val="00814D7E"/>
  </w:style>
  <w:style w:type="character" w:styleId="Strong">
    <w:name w:val="Strong"/>
    <w:basedOn w:val="DefaultParagraphFont"/>
    <w:uiPriority w:val="22"/>
    <w:qFormat/>
    <w:rsid w:val="0007254D"/>
    <w:rPr>
      <w:b/>
      <w:bCs/>
    </w:rPr>
  </w:style>
  <w:style w:type="paragraph" w:styleId="BalloonText">
    <w:name w:val="Balloon Text"/>
    <w:basedOn w:val="Normal"/>
    <w:link w:val="BalloonTextChar"/>
    <w:uiPriority w:val="99"/>
    <w:semiHidden/>
    <w:unhideWhenUsed/>
    <w:rsid w:val="00CE689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6897"/>
    <w:rPr>
      <w:rFonts w:ascii="Times New Roman" w:hAnsi="Times New Roman" w:cs="Times New Roman"/>
      <w:sz w:val="18"/>
      <w:szCs w:val="18"/>
    </w:rPr>
  </w:style>
  <w:style w:type="paragraph" w:styleId="Revision">
    <w:name w:val="Revision"/>
    <w:hidden/>
    <w:uiPriority w:val="99"/>
    <w:semiHidden/>
    <w:rsid w:val="00BC0AC3"/>
    <w:pPr>
      <w:spacing w:line="240" w:lineRule="auto"/>
    </w:pPr>
  </w:style>
  <w:style w:type="paragraph" w:styleId="Footer">
    <w:name w:val="footer"/>
    <w:basedOn w:val="Normal"/>
    <w:link w:val="FooterChar"/>
    <w:uiPriority w:val="99"/>
    <w:unhideWhenUsed/>
    <w:rsid w:val="00BD2B9C"/>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BD2B9C"/>
  </w:style>
  <w:style w:type="character" w:styleId="PageNumber">
    <w:name w:val="page number"/>
    <w:basedOn w:val="DefaultParagraphFont"/>
    <w:uiPriority w:val="99"/>
    <w:semiHidden/>
    <w:unhideWhenUsed/>
    <w:rsid w:val="00BD2B9C"/>
  </w:style>
  <w:style w:type="paragraph" w:styleId="Header">
    <w:name w:val="header"/>
    <w:basedOn w:val="Normal"/>
    <w:link w:val="HeaderChar"/>
    <w:uiPriority w:val="99"/>
    <w:unhideWhenUsed/>
    <w:rsid w:val="00DC6F92"/>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DC6F92"/>
  </w:style>
  <w:style w:type="character" w:styleId="PlaceholderText">
    <w:name w:val="Placeholder Text"/>
    <w:basedOn w:val="DefaultParagraphFont"/>
    <w:uiPriority w:val="99"/>
    <w:semiHidden/>
    <w:rsid w:val="00460F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7623</Words>
  <Characters>43620</Characters>
  <Application>Microsoft Office Word</Application>
  <DocSecurity>0</DocSecurity>
  <Lines>803</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2023-12-29T17:01:00Z</dcterms:created>
  <dcterms:modified xsi:type="dcterms:W3CDTF">2023-12-29T17:01:00Z</dcterms:modified>
  <cp:category/>
</cp:coreProperties>
</file>