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FF20DC" w:rsidP="00FF20DC" w14:paraId="3AFE443F" w14:textId="6BA8801A">
      <w:pPr>
        <w:spacing w:line="240" w:lineRule="auto"/>
        <w:rPr>
          <w:rFonts w:ascii="Century Schoolbook" w:hAnsi="Century Schoolbook"/>
          <w:sz w:val="20"/>
          <w:szCs w:val="26"/>
        </w:rPr>
      </w:pPr>
      <w:r>
        <w:rPr>
          <w:rFonts w:ascii="Century Schoolbook" w:hAnsi="Century Schoolbook"/>
          <w:sz w:val="20"/>
          <w:szCs w:val="26"/>
        </w:rPr>
        <w:t xml:space="preserve">Filed </w:t>
      </w:r>
      <w:r w:rsidR="001C32A4">
        <w:rPr>
          <w:rFonts w:ascii="Century Schoolbook" w:hAnsi="Century Schoolbook"/>
          <w:sz w:val="20"/>
          <w:szCs w:val="26"/>
        </w:rPr>
        <w:t>2/2</w:t>
      </w:r>
      <w:r w:rsidR="004134F7">
        <w:rPr>
          <w:rFonts w:ascii="Century Schoolbook" w:hAnsi="Century Schoolbook"/>
          <w:sz w:val="20"/>
          <w:szCs w:val="26"/>
        </w:rPr>
        <w:t>9</w:t>
      </w:r>
      <w:r w:rsidR="001C32A4">
        <w:rPr>
          <w:rFonts w:ascii="Century Schoolbook" w:hAnsi="Century Schoolbook"/>
          <w:sz w:val="20"/>
          <w:szCs w:val="26"/>
        </w:rPr>
        <w:t>/24</w:t>
      </w:r>
    </w:p>
    <w:p w:rsidR="00FF20DC" w:rsidP="00FF20DC" w14:paraId="6C286147" w14:textId="77777777">
      <w:pPr>
        <w:spacing w:line="240" w:lineRule="auto"/>
        <w:jc w:val="center"/>
        <w:rPr>
          <w:rFonts w:ascii="Century Schoolbook" w:hAnsi="Century Schoolbook"/>
          <w:b/>
          <w:szCs w:val="26"/>
        </w:rPr>
      </w:pPr>
      <w:r>
        <w:rPr>
          <w:rFonts w:ascii="Century Schoolbook" w:hAnsi="Century Schoolbook"/>
          <w:b/>
          <w:szCs w:val="26"/>
        </w:rPr>
        <w:t>CERTIFIED FOR PUBLICATION</w:t>
      </w:r>
    </w:p>
    <w:p w:rsidR="00FF20DC" w:rsidP="00FF20DC" w14:paraId="0F9FC490" w14:textId="77777777">
      <w:pPr>
        <w:spacing w:line="240" w:lineRule="auto"/>
        <w:jc w:val="center"/>
        <w:rPr>
          <w:rFonts w:ascii="Century Schoolbook" w:hAnsi="Century Schoolbook"/>
          <w:szCs w:val="26"/>
        </w:rPr>
      </w:pPr>
    </w:p>
    <w:p w:rsidR="00F94B28" w:rsidRPr="003C38B8" w:rsidP="00FF20DC" w14:paraId="572F0796" w14:textId="6428E32B">
      <w:pPr>
        <w:spacing w:line="240" w:lineRule="auto"/>
        <w:jc w:val="center"/>
        <w:rPr>
          <w:rFonts w:ascii="Century Schoolbook" w:hAnsi="Century Schoolbook"/>
          <w:szCs w:val="26"/>
        </w:rPr>
      </w:pPr>
      <w:r w:rsidRPr="003C38B8">
        <w:rPr>
          <w:rFonts w:ascii="Century Schoolbook" w:hAnsi="Century Schoolbook"/>
          <w:szCs w:val="26"/>
        </w:rPr>
        <w:t>IN THE COURT OF APPEAL OF THE STATE OF CALIFORNIA</w:t>
      </w:r>
    </w:p>
    <w:p w:rsidR="00C0565C" w:rsidRPr="003C38B8" w:rsidP="00C0565C" w14:paraId="4242DCDC" w14:textId="77777777">
      <w:pPr>
        <w:spacing w:line="240" w:lineRule="auto"/>
        <w:jc w:val="center"/>
        <w:rPr>
          <w:rFonts w:ascii="Century Schoolbook" w:hAnsi="Century Schoolbook"/>
          <w:szCs w:val="26"/>
        </w:rPr>
      </w:pPr>
    </w:p>
    <w:p w:rsidR="00C0565C" w:rsidRPr="003C38B8" w:rsidP="00C0565C" w14:paraId="1A1FB5D2" w14:textId="77777777">
      <w:pPr>
        <w:spacing w:line="240" w:lineRule="auto"/>
        <w:jc w:val="center"/>
        <w:rPr>
          <w:rFonts w:ascii="Century Schoolbook" w:hAnsi="Century Schoolbook"/>
          <w:szCs w:val="26"/>
        </w:rPr>
      </w:pPr>
      <w:r w:rsidRPr="003C38B8">
        <w:rPr>
          <w:rFonts w:ascii="Century Schoolbook" w:hAnsi="Century Schoolbook"/>
          <w:szCs w:val="26"/>
        </w:rPr>
        <w:t>FIRST APPELLATE DISTRICT</w:t>
      </w:r>
    </w:p>
    <w:p w:rsidR="00C0565C" w:rsidRPr="003C38B8" w:rsidP="00C0565C" w14:paraId="4D8F0138" w14:textId="77777777">
      <w:pPr>
        <w:spacing w:line="240" w:lineRule="auto"/>
        <w:jc w:val="center"/>
        <w:rPr>
          <w:rFonts w:ascii="Century Schoolbook" w:hAnsi="Century Schoolbook"/>
          <w:szCs w:val="26"/>
        </w:rPr>
      </w:pPr>
    </w:p>
    <w:p w:rsidR="00C0565C" w:rsidRPr="003C38B8" w:rsidP="00C0565C" w14:paraId="022EA993" w14:textId="4A45BF80">
      <w:pPr>
        <w:spacing w:line="240" w:lineRule="auto"/>
        <w:jc w:val="center"/>
        <w:rPr>
          <w:rFonts w:ascii="Century Schoolbook" w:hAnsi="Century Schoolbook"/>
          <w:szCs w:val="26"/>
        </w:rPr>
      </w:pPr>
      <w:r w:rsidRPr="003C38B8">
        <w:rPr>
          <w:rFonts w:ascii="Century Schoolbook" w:hAnsi="Century Schoolbook"/>
          <w:szCs w:val="26"/>
        </w:rPr>
        <w:t xml:space="preserve">DIVISION </w:t>
      </w:r>
      <w:r w:rsidR="00741002">
        <w:rPr>
          <w:rFonts w:ascii="Century Schoolbook" w:hAnsi="Century Schoolbook"/>
          <w:szCs w:val="26"/>
        </w:rPr>
        <w:t>THREE</w:t>
      </w:r>
    </w:p>
    <w:p w:rsidR="00C0565C" w:rsidRPr="003C38B8" w:rsidP="00C0565C" w14:paraId="532C12EA" w14:textId="77777777">
      <w:pPr>
        <w:spacing w:line="240" w:lineRule="auto"/>
        <w:jc w:val="center"/>
        <w:rPr>
          <w:rFonts w:ascii="Century Schoolbook" w:hAnsi="Century Schoolbook"/>
          <w:szCs w:val="26"/>
        </w:rPr>
      </w:pPr>
    </w:p>
    <w:p w:rsidR="00C0565C" w:rsidRPr="003C38B8" w:rsidP="00C0565C" w14:paraId="5CDE82C9" w14:textId="77777777">
      <w:pPr>
        <w:spacing w:line="240" w:lineRule="auto"/>
        <w:jc w:val="center"/>
        <w:rPr>
          <w:rFonts w:ascii="Century Schoolbook" w:hAnsi="Century Schoolbook"/>
          <w:szCs w:val="26"/>
        </w:rPr>
      </w:pPr>
    </w:p>
    <w:tbl>
      <w:tblPr>
        <w:tblW w:w="0" w:type="auto"/>
        <w:tblLayout w:type="fixed"/>
        <w:tblLook w:val="0000"/>
      </w:tblPr>
      <w:tblGrid>
        <w:gridCol w:w="4680"/>
        <w:gridCol w:w="4680"/>
      </w:tblGrid>
      <w:tr w14:paraId="69872E81" w14:textId="77777777" w:rsidTr="00C0565C">
        <w:tblPrEx>
          <w:tblW w:w="0" w:type="auto"/>
          <w:tblLayout w:type="fixed"/>
          <w:tblLook w:val="0000"/>
        </w:tblPrEx>
        <w:tc>
          <w:tcPr>
            <w:tcW w:w="4680" w:type="dxa"/>
            <w:tcBorders>
              <w:bottom w:val="single" w:sz="4" w:space="0" w:color="auto"/>
              <w:right w:val="single" w:sz="4" w:space="0" w:color="auto"/>
            </w:tcBorders>
            <w:shd w:val="clear" w:color="auto" w:fill="auto"/>
          </w:tcPr>
          <w:p w:rsidR="00C0565C" w:rsidRPr="00814E6A" w:rsidP="00C0565C" w14:paraId="5F4C3973" w14:textId="73862CB1">
            <w:pPr>
              <w:spacing w:after="120" w:line="240" w:lineRule="auto"/>
              <w:rPr>
                <w:rFonts w:ascii="Century Schoolbook" w:hAnsi="Century Schoolbook"/>
                <w:szCs w:val="26"/>
              </w:rPr>
            </w:pPr>
            <w:r>
              <w:rPr>
                <w:rFonts w:ascii="Century Schoolbook" w:hAnsi="Century Schoolbook"/>
                <w:szCs w:val="26"/>
              </w:rPr>
              <w:t>SAMANTHA BERLANGA, et al.</w:t>
            </w:r>
            <w:r w:rsidR="00E34E20">
              <w:rPr>
                <w:rFonts w:ascii="Century Schoolbook" w:hAnsi="Century Schoolbook"/>
                <w:szCs w:val="26"/>
              </w:rPr>
              <w:t>,</w:t>
            </w:r>
          </w:p>
          <w:p w:rsidR="00C0565C" w:rsidRPr="00814E6A" w:rsidP="00C0565C" w14:paraId="0A44E837" w14:textId="6E09170A">
            <w:pPr>
              <w:spacing w:after="120" w:line="240" w:lineRule="auto"/>
              <w:rPr>
                <w:rFonts w:ascii="Century Schoolbook" w:hAnsi="Century Schoolbook"/>
                <w:szCs w:val="26"/>
              </w:rPr>
            </w:pPr>
            <w:r w:rsidRPr="00814E6A">
              <w:rPr>
                <w:rFonts w:ascii="Century Schoolbook" w:hAnsi="Century Schoolbook"/>
                <w:szCs w:val="26"/>
              </w:rPr>
              <w:tab/>
            </w:r>
            <w:r w:rsidR="00AE3AC3">
              <w:rPr>
                <w:rFonts w:ascii="Century Schoolbook" w:hAnsi="Century Schoolbook"/>
                <w:szCs w:val="26"/>
              </w:rPr>
              <w:t>Plaintiff</w:t>
            </w:r>
            <w:r w:rsidR="00741002">
              <w:rPr>
                <w:rFonts w:ascii="Century Schoolbook" w:hAnsi="Century Schoolbook"/>
                <w:szCs w:val="26"/>
              </w:rPr>
              <w:t>s</w:t>
            </w:r>
            <w:r w:rsidR="00AE3AC3">
              <w:rPr>
                <w:rFonts w:ascii="Century Schoolbook" w:hAnsi="Century Schoolbook"/>
                <w:szCs w:val="26"/>
              </w:rPr>
              <w:t xml:space="preserve"> and Appellant</w:t>
            </w:r>
            <w:r w:rsidR="00741002">
              <w:rPr>
                <w:rFonts w:ascii="Century Schoolbook" w:hAnsi="Century Schoolbook"/>
                <w:szCs w:val="26"/>
              </w:rPr>
              <w:t>s</w:t>
            </w:r>
            <w:r w:rsidRPr="00814E6A">
              <w:rPr>
                <w:rFonts w:ascii="Century Schoolbook" w:hAnsi="Century Schoolbook"/>
                <w:szCs w:val="26"/>
              </w:rPr>
              <w:t>,</w:t>
            </w:r>
          </w:p>
          <w:p w:rsidR="00C0565C" w:rsidP="00C0565C" w14:paraId="108D4DFD" w14:textId="5A2E9A8E">
            <w:pPr>
              <w:spacing w:after="120" w:line="240" w:lineRule="auto"/>
              <w:rPr>
                <w:rFonts w:ascii="Century Schoolbook" w:hAnsi="Century Schoolbook"/>
                <w:szCs w:val="26"/>
              </w:rPr>
            </w:pPr>
            <w:r w:rsidRPr="00814E6A">
              <w:rPr>
                <w:rFonts w:ascii="Century Schoolbook" w:hAnsi="Century Schoolbook"/>
                <w:szCs w:val="26"/>
              </w:rPr>
              <w:t>v.</w:t>
            </w:r>
          </w:p>
          <w:p w:rsidR="00AE3AC3" w:rsidP="00C0565C" w14:paraId="48EC2230" w14:textId="02DB23D2">
            <w:pPr>
              <w:spacing w:after="120" w:line="240" w:lineRule="auto"/>
              <w:rPr>
                <w:rFonts w:ascii="Century Schoolbook" w:hAnsi="Century Schoolbook"/>
                <w:szCs w:val="26"/>
              </w:rPr>
            </w:pPr>
            <w:r>
              <w:rPr>
                <w:rFonts w:ascii="Century Schoolbook" w:hAnsi="Century Schoolbook"/>
                <w:szCs w:val="26"/>
              </w:rPr>
              <w:t>UNIVERSITY OF SAN FRANCISCO,</w:t>
            </w:r>
          </w:p>
          <w:p w:rsidR="00C0565C" w:rsidRPr="00814E6A" w:rsidP="004D3427" w14:paraId="46CA60C7" w14:textId="2C89B7BC">
            <w:pPr>
              <w:spacing w:after="120" w:line="240" w:lineRule="auto"/>
              <w:rPr>
                <w:rFonts w:ascii="Century Schoolbook" w:hAnsi="Century Schoolbook"/>
                <w:szCs w:val="26"/>
              </w:rPr>
            </w:pPr>
            <w:r>
              <w:rPr>
                <w:rFonts w:ascii="Century Schoolbook" w:hAnsi="Century Schoolbook"/>
                <w:szCs w:val="26"/>
              </w:rPr>
              <w:tab/>
              <w:t>Defendant</w:t>
            </w:r>
            <w:r w:rsidR="00E34E20">
              <w:rPr>
                <w:rFonts w:ascii="Century Schoolbook" w:hAnsi="Century Schoolbook"/>
                <w:szCs w:val="26"/>
              </w:rPr>
              <w:t xml:space="preserve"> and Respondent</w:t>
            </w:r>
            <w:r w:rsidR="004D3427">
              <w:rPr>
                <w:rFonts w:ascii="Century Schoolbook" w:hAnsi="Century Schoolbook"/>
                <w:szCs w:val="26"/>
              </w:rPr>
              <w:t>.</w:t>
            </w:r>
          </w:p>
        </w:tc>
        <w:tc>
          <w:tcPr>
            <w:tcW w:w="4680" w:type="dxa"/>
            <w:tcBorders>
              <w:left w:val="single" w:sz="4" w:space="0" w:color="auto"/>
            </w:tcBorders>
            <w:shd w:val="clear" w:color="auto" w:fill="auto"/>
          </w:tcPr>
          <w:p w:rsidR="00C0565C" w:rsidRPr="00814E6A" w:rsidP="00C0565C" w14:paraId="5CEF9A71" w14:textId="77777777">
            <w:pPr>
              <w:spacing w:line="240" w:lineRule="auto"/>
              <w:rPr>
                <w:rFonts w:ascii="Century Schoolbook" w:hAnsi="Century Schoolbook"/>
                <w:szCs w:val="26"/>
              </w:rPr>
            </w:pPr>
          </w:p>
          <w:p w:rsidR="00C0565C" w:rsidRPr="00814E6A" w:rsidP="00C0565C" w14:paraId="6F04CD52" w14:textId="77777777">
            <w:pPr>
              <w:spacing w:line="240" w:lineRule="auto"/>
              <w:rPr>
                <w:rFonts w:ascii="Century Schoolbook" w:hAnsi="Century Schoolbook"/>
                <w:szCs w:val="26"/>
              </w:rPr>
            </w:pPr>
          </w:p>
          <w:p w:rsidR="00C0565C" w:rsidRPr="00814E6A" w:rsidP="00C0565C" w14:paraId="2645AEB0" w14:textId="01677DA3">
            <w:pPr>
              <w:spacing w:line="240" w:lineRule="auto"/>
              <w:rPr>
                <w:rFonts w:ascii="Century Schoolbook" w:hAnsi="Century Schoolbook"/>
                <w:szCs w:val="26"/>
              </w:rPr>
            </w:pPr>
            <w:r w:rsidRPr="00814E6A">
              <w:rPr>
                <w:rFonts w:ascii="Century Schoolbook" w:hAnsi="Century Schoolbook"/>
                <w:szCs w:val="26"/>
              </w:rPr>
              <w:t xml:space="preserve">      </w:t>
            </w:r>
            <w:bookmarkStart w:id="0" w:name="_Hlk160095903"/>
            <w:r w:rsidR="004D3427">
              <w:rPr>
                <w:rFonts w:ascii="Century Schoolbook" w:hAnsi="Century Schoolbook"/>
                <w:szCs w:val="26"/>
              </w:rPr>
              <w:t>A16</w:t>
            </w:r>
            <w:r w:rsidR="00E34E20">
              <w:rPr>
                <w:rFonts w:ascii="Century Schoolbook" w:hAnsi="Century Schoolbook"/>
                <w:szCs w:val="26"/>
              </w:rPr>
              <w:t>5</w:t>
            </w:r>
            <w:r w:rsidR="00741002">
              <w:rPr>
                <w:rFonts w:ascii="Century Schoolbook" w:hAnsi="Century Schoolbook"/>
                <w:szCs w:val="26"/>
              </w:rPr>
              <w:t>976; A166231</w:t>
            </w:r>
            <w:bookmarkEnd w:id="0"/>
          </w:p>
          <w:p w:rsidR="00C0565C" w:rsidRPr="00814E6A" w:rsidP="00C0565C" w14:paraId="5A4B5EFE" w14:textId="77777777">
            <w:pPr>
              <w:spacing w:line="240" w:lineRule="auto"/>
              <w:rPr>
                <w:rFonts w:ascii="Century Schoolbook" w:hAnsi="Century Schoolbook"/>
                <w:szCs w:val="26"/>
              </w:rPr>
            </w:pPr>
          </w:p>
          <w:p w:rsidR="00C0565C" w:rsidRPr="00814E6A" w:rsidP="00377B49" w14:paraId="3771939D" w14:textId="54FA142F">
            <w:pPr>
              <w:spacing w:line="240" w:lineRule="auto"/>
              <w:ind w:left="521" w:hanging="521"/>
              <w:rPr>
                <w:rFonts w:ascii="Century Schoolbook" w:hAnsi="Century Schoolbook"/>
                <w:szCs w:val="26"/>
              </w:rPr>
            </w:pPr>
            <w:r w:rsidRPr="00814E6A">
              <w:rPr>
                <w:rFonts w:ascii="Century Schoolbook" w:hAnsi="Century Schoolbook"/>
                <w:szCs w:val="26"/>
              </w:rPr>
              <w:t xml:space="preserve">      (</w:t>
            </w:r>
            <w:r w:rsidR="004D3427">
              <w:rPr>
                <w:rFonts w:ascii="Century Schoolbook" w:hAnsi="Century Schoolbook"/>
                <w:szCs w:val="26"/>
              </w:rPr>
              <w:t>San Francisco City &amp; County</w:t>
            </w:r>
            <w:r w:rsidRPr="00814E6A" w:rsidR="00814E6A">
              <w:rPr>
                <w:rFonts w:ascii="Century Schoolbook" w:hAnsi="Century Schoolbook"/>
                <w:szCs w:val="26"/>
              </w:rPr>
              <w:br/>
            </w:r>
            <w:r w:rsidR="00E33F7E">
              <w:rPr>
                <w:rFonts w:ascii="Century Schoolbook" w:hAnsi="Century Schoolbook"/>
                <w:szCs w:val="26"/>
              </w:rPr>
              <w:t xml:space="preserve">Super. Ct. </w:t>
            </w:r>
            <w:r w:rsidRPr="00814E6A">
              <w:rPr>
                <w:rFonts w:ascii="Century Schoolbook" w:hAnsi="Century Schoolbook"/>
                <w:szCs w:val="26"/>
              </w:rPr>
              <w:t xml:space="preserve">No. </w:t>
            </w:r>
            <w:r w:rsidR="004D3427">
              <w:rPr>
                <w:rFonts w:ascii="Century Schoolbook" w:hAnsi="Century Schoolbook"/>
                <w:szCs w:val="26"/>
              </w:rPr>
              <w:t>C</w:t>
            </w:r>
            <w:r w:rsidR="00F8724D">
              <w:rPr>
                <w:rFonts w:ascii="Century Schoolbook" w:hAnsi="Century Schoolbook"/>
                <w:szCs w:val="26"/>
              </w:rPr>
              <w:t>GC</w:t>
            </w:r>
            <w:r w:rsidR="004D3427">
              <w:rPr>
                <w:rFonts w:ascii="Century Schoolbook" w:hAnsi="Century Schoolbook"/>
                <w:szCs w:val="26"/>
              </w:rPr>
              <w:t>-</w:t>
            </w:r>
            <w:r w:rsidR="00741002">
              <w:rPr>
                <w:rFonts w:ascii="Century Schoolbook" w:hAnsi="Century Schoolbook"/>
                <w:szCs w:val="26"/>
              </w:rPr>
              <w:t>20</w:t>
            </w:r>
            <w:r w:rsidR="004D3427">
              <w:rPr>
                <w:rFonts w:ascii="Century Schoolbook" w:hAnsi="Century Schoolbook"/>
                <w:szCs w:val="26"/>
              </w:rPr>
              <w:t>-</w:t>
            </w:r>
            <w:r w:rsidR="00741002">
              <w:rPr>
                <w:rFonts w:ascii="Century Schoolbook" w:hAnsi="Century Schoolbook"/>
                <w:szCs w:val="26"/>
              </w:rPr>
              <w:t>584829</w:t>
            </w:r>
            <w:r w:rsidRPr="00814E6A">
              <w:rPr>
                <w:rFonts w:ascii="Century Schoolbook" w:hAnsi="Century Schoolbook"/>
                <w:szCs w:val="26"/>
              </w:rPr>
              <w:t>)</w:t>
            </w:r>
          </w:p>
          <w:p w:rsidR="00C0565C" w:rsidRPr="00814E6A" w:rsidP="00C0565C" w14:paraId="1B38B512" w14:textId="77777777">
            <w:pPr>
              <w:spacing w:line="240" w:lineRule="auto"/>
              <w:rPr>
                <w:rFonts w:ascii="Century Schoolbook" w:hAnsi="Century Schoolbook"/>
                <w:szCs w:val="26"/>
              </w:rPr>
            </w:pPr>
          </w:p>
        </w:tc>
      </w:tr>
    </w:tbl>
    <w:p w:rsidR="00C0565C" w:rsidRPr="003C38B8" w:rsidP="00C0565C" w14:paraId="02100932" w14:textId="77777777">
      <w:pPr>
        <w:spacing w:line="360" w:lineRule="auto"/>
        <w:rPr>
          <w:rFonts w:ascii="Century Schoolbook" w:hAnsi="Century Schoolbook"/>
          <w:szCs w:val="26"/>
        </w:rPr>
      </w:pPr>
    </w:p>
    <w:p w:rsidR="00E60A63" w:rsidP="00BB3769" w14:paraId="3FFEED05" w14:textId="60AD93A2">
      <w:pPr>
        <w:spacing w:line="360" w:lineRule="auto"/>
        <w:rPr>
          <w:rFonts w:ascii="Century Schoolbook" w:hAnsi="Century Schoolbook"/>
          <w:szCs w:val="26"/>
        </w:rPr>
      </w:pPr>
      <w:r w:rsidRPr="003C38B8">
        <w:rPr>
          <w:rFonts w:ascii="Century Schoolbook" w:hAnsi="Century Schoolbook"/>
          <w:szCs w:val="26"/>
        </w:rPr>
        <w:tab/>
      </w:r>
      <w:r w:rsidR="0054528F">
        <w:rPr>
          <w:rFonts w:ascii="Century Schoolbook" w:hAnsi="Century Schoolbook"/>
          <w:szCs w:val="26"/>
        </w:rPr>
        <w:t xml:space="preserve">During the COVID-19 pandemic, numerous universities including respondent University of San Francisco (USF) transitioned to remote, online learning.  </w:t>
      </w:r>
      <w:r w:rsidR="00647874">
        <w:rPr>
          <w:rFonts w:ascii="Century Schoolbook" w:hAnsi="Century Schoolbook"/>
          <w:szCs w:val="26"/>
        </w:rPr>
        <w:t>Appellants</w:t>
      </w:r>
      <w:r w:rsidR="00741002">
        <w:rPr>
          <w:rFonts w:ascii="Century Schoolbook" w:hAnsi="Century Schoolbook"/>
          <w:szCs w:val="26"/>
        </w:rPr>
        <w:t xml:space="preserve"> Samantha Berlanga,</w:t>
      </w:r>
      <w:r w:rsidR="00647874">
        <w:rPr>
          <w:rFonts w:ascii="Century Schoolbook" w:hAnsi="Century Schoolbook"/>
          <w:szCs w:val="26"/>
        </w:rPr>
        <w:t xml:space="preserve"> Joseph Oliva, Jasmine Moore (jointly, student appellants),</w:t>
      </w:r>
      <w:r w:rsidR="00251111">
        <w:rPr>
          <w:rFonts w:ascii="Century Schoolbook" w:hAnsi="Century Schoolbook"/>
          <w:szCs w:val="26"/>
        </w:rPr>
        <w:t xml:space="preserve"> </w:t>
      </w:r>
      <w:r w:rsidR="00741002">
        <w:rPr>
          <w:rFonts w:ascii="Century Schoolbook" w:hAnsi="Century Schoolbook"/>
          <w:szCs w:val="26"/>
        </w:rPr>
        <w:t xml:space="preserve">and </w:t>
      </w:r>
      <w:r w:rsidR="00647874">
        <w:rPr>
          <w:rFonts w:ascii="Century Schoolbook" w:hAnsi="Century Schoolbook"/>
          <w:szCs w:val="26"/>
        </w:rPr>
        <w:t>Amber Kaiser</w:t>
      </w:r>
      <w:r w:rsidR="00741002">
        <w:rPr>
          <w:rFonts w:ascii="Century Schoolbook" w:hAnsi="Century Schoolbook"/>
          <w:szCs w:val="26"/>
        </w:rPr>
        <w:t xml:space="preserve"> </w:t>
      </w:r>
      <w:r w:rsidR="00332363">
        <w:rPr>
          <w:rFonts w:ascii="Century Schoolbook" w:hAnsi="Century Schoolbook"/>
          <w:szCs w:val="26"/>
        </w:rPr>
        <w:t xml:space="preserve">sued </w:t>
      </w:r>
      <w:r w:rsidR="0054528F">
        <w:rPr>
          <w:rFonts w:ascii="Century Schoolbook" w:hAnsi="Century Schoolbook"/>
          <w:szCs w:val="26"/>
        </w:rPr>
        <w:t>USF</w:t>
      </w:r>
      <w:r w:rsidR="00647874">
        <w:rPr>
          <w:rFonts w:ascii="Century Schoolbook" w:hAnsi="Century Schoolbook"/>
          <w:bCs/>
          <w:szCs w:val="26"/>
        </w:rPr>
        <w:t xml:space="preserve"> </w:t>
      </w:r>
      <w:r w:rsidR="0054528F">
        <w:rPr>
          <w:rFonts w:ascii="Century Schoolbook" w:hAnsi="Century Schoolbook"/>
          <w:bCs/>
          <w:szCs w:val="26"/>
        </w:rPr>
        <w:t xml:space="preserve">alleging it breached its promise to provide in-person instruction and should refund a portion of their tuition payments.  </w:t>
      </w:r>
      <w:r w:rsidR="00647874">
        <w:rPr>
          <w:rFonts w:ascii="Century Schoolbook" w:hAnsi="Century Schoolbook"/>
          <w:bCs/>
          <w:szCs w:val="26"/>
        </w:rPr>
        <w:t xml:space="preserve">The trial court granted </w:t>
      </w:r>
      <w:r w:rsidR="00741002">
        <w:rPr>
          <w:rFonts w:ascii="Century Schoolbook" w:hAnsi="Century Schoolbook"/>
          <w:szCs w:val="26"/>
        </w:rPr>
        <w:t>USF</w:t>
      </w:r>
      <w:r w:rsidR="00647874">
        <w:rPr>
          <w:rFonts w:ascii="Century Schoolbook" w:hAnsi="Century Schoolbook"/>
          <w:szCs w:val="26"/>
        </w:rPr>
        <w:t>’s</w:t>
      </w:r>
      <w:r w:rsidR="00332363">
        <w:rPr>
          <w:rFonts w:ascii="Century Schoolbook" w:hAnsi="Century Schoolbook"/>
          <w:szCs w:val="26"/>
        </w:rPr>
        <w:t xml:space="preserve"> </w:t>
      </w:r>
      <w:r w:rsidR="00647874">
        <w:rPr>
          <w:rFonts w:ascii="Century Schoolbook" w:hAnsi="Century Schoolbook"/>
          <w:szCs w:val="26"/>
        </w:rPr>
        <w:t>motion</w:t>
      </w:r>
      <w:r w:rsidR="00332363">
        <w:rPr>
          <w:rFonts w:ascii="Century Schoolbook" w:hAnsi="Century Schoolbook"/>
          <w:szCs w:val="26"/>
        </w:rPr>
        <w:t xml:space="preserve"> for summary </w:t>
      </w:r>
      <w:r w:rsidR="00647874">
        <w:rPr>
          <w:rFonts w:ascii="Century Schoolbook" w:hAnsi="Century Schoolbook"/>
          <w:szCs w:val="26"/>
        </w:rPr>
        <w:t>adjudication, concluding appellants</w:t>
      </w:r>
      <w:r w:rsidR="0044612F">
        <w:rPr>
          <w:rFonts w:ascii="Century Schoolbook" w:hAnsi="Century Schoolbook"/>
          <w:szCs w:val="26"/>
        </w:rPr>
        <w:t xml:space="preserve"> failed to </w:t>
      </w:r>
      <w:r w:rsidR="00647874">
        <w:rPr>
          <w:rFonts w:ascii="Century Schoolbook" w:hAnsi="Century Schoolbook"/>
          <w:szCs w:val="26"/>
        </w:rPr>
        <w:t>raise a triable issue of fact regarding whether</w:t>
      </w:r>
      <w:r w:rsidR="00741002">
        <w:rPr>
          <w:rFonts w:ascii="Century Schoolbook" w:hAnsi="Century Schoolbook"/>
          <w:szCs w:val="26"/>
        </w:rPr>
        <w:t xml:space="preserve"> USF promised to provide exclusively in-person instruction</w:t>
      </w:r>
      <w:r w:rsidR="00332363">
        <w:rPr>
          <w:rFonts w:ascii="Century Schoolbook" w:hAnsi="Century Schoolbook"/>
          <w:szCs w:val="26"/>
        </w:rPr>
        <w:t xml:space="preserve">.  We </w:t>
      </w:r>
      <w:r w:rsidRPr="00647874" w:rsidR="00332363">
        <w:rPr>
          <w:rFonts w:ascii="Century Schoolbook" w:hAnsi="Century Schoolbook"/>
          <w:szCs w:val="26"/>
        </w:rPr>
        <w:t>affirm</w:t>
      </w:r>
      <w:r w:rsidR="00332363">
        <w:rPr>
          <w:rFonts w:ascii="Century Schoolbook" w:hAnsi="Century Schoolbook"/>
          <w:szCs w:val="26"/>
        </w:rPr>
        <w:t>.</w:t>
      </w:r>
    </w:p>
    <w:p w:rsidR="00E6579E" w:rsidRPr="00D537AF" w:rsidP="00161868" w14:paraId="2C9EAC45" w14:textId="4F785E7F">
      <w:pPr>
        <w:keepNext/>
        <w:spacing w:line="360" w:lineRule="auto"/>
        <w:jc w:val="center"/>
        <w:rPr>
          <w:rFonts w:ascii="Century Schoolbook" w:hAnsi="Century Schoolbook"/>
          <w:b/>
          <w:bCs/>
          <w:smallCaps/>
          <w:szCs w:val="26"/>
        </w:rPr>
      </w:pPr>
      <w:r>
        <w:rPr>
          <w:rFonts w:ascii="Century Schoolbook" w:hAnsi="Century Schoolbook"/>
          <w:b/>
          <w:bCs/>
          <w:smallCaps/>
          <w:szCs w:val="26"/>
        </w:rPr>
        <w:t>Background</w:t>
      </w:r>
    </w:p>
    <w:p w:rsidR="00DB6FFF" w:rsidP="00F07B45" w14:paraId="2967A1D5" w14:textId="29746677">
      <w:pPr>
        <w:spacing w:line="360" w:lineRule="auto"/>
        <w:rPr>
          <w:rFonts w:ascii="Century Schoolbook" w:hAnsi="Century Schoolbook"/>
          <w:szCs w:val="26"/>
        </w:rPr>
      </w:pPr>
      <w:r>
        <w:rPr>
          <w:rFonts w:ascii="Century Schoolbook" w:hAnsi="Century Schoolbook"/>
          <w:szCs w:val="26"/>
        </w:rPr>
        <w:tab/>
      </w:r>
      <w:r w:rsidR="00E22AC7">
        <w:rPr>
          <w:rFonts w:ascii="Century Schoolbook" w:hAnsi="Century Schoolbook"/>
          <w:szCs w:val="26"/>
        </w:rPr>
        <w:t>Student</w:t>
      </w:r>
      <w:r>
        <w:rPr>
          <w:rFonts w:ascii="Century Schoolbook" w:hAnsi="Century Schoolbook"/>
          <w:szCs w:val="26"/>
        </w:rPr>
        <w:t xml:space="preserve"> </w:t>
      </w:r>
      <w:r w:rsidR="0054528F">
        <w:rPr>
          <w:rFonts w:ascii="Century Schoolbook" w:hAnsi="Century Schoolbook"/>
          <w:szCs w:val="26"/>
        </w:rPr>
        <w:t>appellants</w:t>
      </w:r>
      <w:r>
        <w:rPr>
          <w:rFonts w:ascii="Century Schoolbook" w:hAnsi="Century Schoolbook"/>
          <w:szCs w:val="26"/>
        </w:rPr>
        <w:t xml:space="preserve"> were enrolled at USF as undergraduate students in the spring 2020 semester. </w:t>
      </w:r>
      <w:r w:rsidR="00480A55">
        <w:rPr>
          <w:rFonts w:ascii="Century Schoolbook" w:hAnsi="Century Schoolbook"/>
          <w:szCs w:val="26"/>
        </w:rPr>
        <w:t xml:space="preserve"> </w:t>
      </w:r>
      <w:r w:rsidR="00400EB4">
        <w:rPr>
          <w:rFonts w:ascii="Century Schoolbook" w:hAnsi="Century Schoolbook"/>
          <w:szCs w:val="26"/>
        </w:rPr>
        <w:t xml:space="preserve">Prior to March 2020, they attended their </w:t>
      </w:r>
      <w:r w:rsidR="006C4D5D">
        <w:rPr>
          <w:rFonts w:ascii="Century Schoolbook" w:hAnsi="Century Schoolbook"/>
          <w:szCs w:val="26"/>
        </w:rPr>
        <w:t xml:space="preserve">USF </w:t>
      </w:r>
      <w:r w:rsidR="00400EB4">
        <w:rPr>
          <w:rFonts w:ascii="Century Schoolbook" w:hAnsi="Century Schoolbook"/>
          <w:szCs w:val="26"/>
        </w:rPr>
        <w:t xml:space="preserve">classes in-person. </w:t>
      </w:r>
    </w:p>
    <w:p w:rsidR="00F07B45" w:rsidP="00F07B45" w14:paraId="4D181DD2" w14:textId="500C6348">
      <w:pPr>
        <w:spacing w:line="360" w:lineRule="auto"/>
        <w:rPr>
          <w:rFonts w:ascii="Century Schoolbook" w:hAnsi="Century Schoolbook"/>
          <w:szCs w:val="26"/>
        </w:rPr>
      </w:pPr>
      <w:r>
        <w:rPr>
          <w:rFonts w:ascii="Century Schoolbook" w:hAnsi="Century Schoolbook"/>
          <w:szCs w:val="26"/>
        </w:rPr>
        <w:tab/>
      </w:r>
      <w:r w:rsidRPr="00F07B45">
        <w:rPr>
          <w:rFonts w:ascii="Century Schoolbook" w:hAnsi="Century Schoolbook"/>
          <w:szCs w:val="26"/>
        </w:rPr>
        <w:t xml:space="preserve">On March 4, 2020, Governor Gavin Newsom declared a state of emergency in response to the global outbreak of COVID-19, a new disease </w:t>
      </w:r>
      <w:r w:rsidRPr="00F07B45">
        <w:rPr>
          <w:rFonts w:ascii="Century Schoolbook" w:hAnsi="Century Schoolbook"/>
          <w:szCs w:val="26"/>
        </w:rPr>
        <w:t xml:space="preserve">caused by a </w:t>
      </w:r>
      <w:r w:rsidR="008A1955">
        <w:rPr>
          <w:rFonts w:ascii="Century Schoolbook" w:hAnsi="Century Schoolbook"/>
          <w:szCs w:val="26"/>
        </w:rPr>
        <w:t>“</w:t>
      </w:r>
      <w:r w:rsidRPr="00F07B45">
        <w:rPr>
          <w:rFonts w:ascii="Century Schoolbook" w:hAnsi="Century Schoolbook"/>
          <w:szCs w:val="26"/>
        </w:rPr>
        <w:t>novel coronavirus</w:t>
      </w:r>
      <w:r w:rsidR="008A1955">
        <w:rPr>
          <w:rFonts w:ascii="Century Schoolbook" w:hAnsi="Century Schoolbook"/>
          <w:szCs w:val="26"/>
        </w:rPr>
        <w:t>.”</w:t>
      </w:r>
      <w:r>
        <w:rPr>
          <w:rFonts w:ascii="Century Schoolbook" w:hAnsi="Century Schoolbook"/>
          <w:szCs w:val="26"/>
        </w:rPr>
        <w:t xml:space="preserve"> </w:t>
      </w:r>
      <w:r w:rsidR="007E1BFF">
        <w:rPr>
          <w:rFonts w:ascii="Century Schoolbook" w:hAnsi="Century Schoolbook"/>
          <w:szCs w:val="26"/>
        </w:rPr>
        <w:t xml:space="preserve"> </w:t>
      </w:r>
      <w:r w:rsidR="008A1955">
        <w:rPr>
          <w:rFonts w:ascii="Century Schoolbook" w:hAnsi="Century Schoolbook"/>
          <w:szCs w:val="26"/>
        </w:rPr>
        <w:t xml:space="preserve">That declaration emphasized the need to “mitigate the spread of COVID-19” due to concerns that “the number of persons requiring medical care may exceed locally available resources.” </w:t>
      </w:r>
      <w:r w:rsidR="00806DE0">
        <w:rPr>
          <w:rFonts w:ascii="Century Schoolbook" w:hAnsi="Century Schoolbook"/>
          <w:szCs w:val="26"/>
        </w:rPr>
        <w:t xml:space="preserve"> </w:t>
      </w:r>
      <w:r w:rsidRPr="00F07B45">
        <w:rPr>
          <w:rFonts w:ascii="Century Schoolbook" w:hAnsi="Century Schoolbook"/>
          <w:szCs w:val="26"/>
        </w:rPr>
        <w:t xml:space="preserve">On March 16, 2020, the San Francisco Health Officer issued a shelter-in-place order requiring residents of </w:t>
      </w:r>
      <w:r w:rsidR="008819A7">
        <w:rPr>
          <w:rFonts w:ascii="Century Schoolbook" w:hAnsi="Century Schoolbook"/>
          <w:szCs w:val="26"/>
        </w:rPr>
        <w:t>San Francisco</w:t>
      </w:r>
      <w:r w:rsidRPr="00F07B45" w:rsidR="008819A7">
        <w:rPr>
          <w:rFonts w:ascii="Century Schoolbook" w:hAnsi="Century Schoolbook"/>
          <w:szCs w:val="26"/>
        </w:rPr>
        <w:t xml:space="preserve"> County</w:t>
      </w:r>
      <w:r w:rsidRPr="00F07B45">
        <w:rPr>
          <w:rFonts w:ascii="Century Schoolbook" w:hAnsi="Century Schoolbook"/>
          <w:szCs w:val="26"/>
        </w:rPr>
        <w:t xml:space="preserve"> to remain in their homes except when engaging in essential activities, and to stay at least six feet apart from other persons when leaving their homes. </w:t>
      </w:r>
      <w:r w:rsidR="007E1BFF">
        <w:rPr>
          <w:rFonts w:ascii="Century Schoolbook" w:hAnsi="Century Schoolbook"/>
          <w:szCs w:val="26"/>
        </w:rPr>
        <w:t xml:space="preserve"> </w:t>
      </w:r>
      <w:r w:rsidRPr="00F07B45">
        <w:rPr>
          <w:rFonts w:ascii="Century Schoolbook" w:hAnsi="Century Schoolbook"/>
          <w:szCs w:val="26"/>
        </w:rPr>
        <w:t xml:space="preserve">A few days later, the Governor issued an executive order requiring all Californians to stay at home except for </w:t>
      </w:r>
      <w:r w:rsidR="00F07D8E">
        <w:rPr>
          <w:rFonts w:ascii="Century Schoolbook" w:hAnsi="Century Schoolbook"/>
          <w:szCs w:val="26"/>
        </w:rPr>
        <w:t>essential</w:t>
      </w:r>
      <w:r w:rsidRPr="00F07B45">
        <w:rPr>
          <w:rFonts w:ascii="Century Schoolbook" w:hAnsi="Century Schoolbook"/>
          <w:szCs w:val="26"/>
        </w:rPr>
        <w:t xml:space="preserve"> activities.</w:t>
      </w:r>
      <w:r w:rsidR="00B26C4D">
        <w:rPr>
          <w:szCs w:val="26"/>
        </w:rPr>
        <w:t xml:space="preserve"> </w:t>
      </w:r>
    </w:p>
    <w:p w:rsidR="00F07B45" w:rsidP="0044612F" w14:paraId="07F9E3CB" w14:textId="24BD6963">
      <w:pPr>
        <w:spacing w:line="360" w:lineRule="auto"/>
        <w:rPr>
          <w:rFonts w:ascii="Century Schoolbook" w:hAnsi="Century Schoolbook"/>
          <w:szCs w:val="26"/>
        </w:rPr>
      </w:pPr>
      <w:r>
        <w:rPr>
          <w:rFonts w:ascii="Century Schoolbook" w:hAnsi="Century Schoolbook"/>
          <w:szCs w:val="26"/>
        </w:rPr>
        <w:tab/>
        <w:t>As a result, USF was prohibited by law from holding large in-person gatherings, and USF suspend</w:t>
      </w:r>
      <w:r w:rsidR="00B26C4D">
        <w:rPr>
          <w:rFonts w:ascii="Century Schoolbook" w:hAnsi="Century Schoolbook"/>
          <w:szCs w:val="26"/>
        </w:rPr>
        <w:t>ed</w:t>
      </w:r>
      <w:r>
        <w:rPr>
          <w:rFonts w:ascii="Century Schoolbook" w:hAnsi="Century Schoolbook"/>
          <w:szCs w:val="26"/>
        </w:rPr>
        <w:t xml:space="preserve"> all in-person instruction</w:t>
      </w:r>
      <w:r w:rsidR="00B9383A">
        <w:rPr>
          <w:rFonts w:ascii="Century Schoolbook" w:hAnsi="Century Schoolbook"/>
          <w:szCs w:val="26"/>
        </w:rPr>
        <w:t xml:space="preserve"> and closed its on-campus facilities</w:t>
      </w:r>
      <w:r>
        <w:rPr>
          <w:rFonts w:ascii="Century Schoolbook" w:hAnsi="Century Schoolbook"/>
          <w:szCs w:val="26"/>
        </w:rPr>
        <w:t xml:space="preserve">. </w:t>
      </w:r>
      <w:r w:rsidR="007E1BFF">
        <w:rPr>
          <w:rFonts w:ascii="Century Schoolbook" w:hAnsi="Century Schoolbook"/>
          <w:szCs w:val="26"/>
        </w:rPr>
        <w:t xml:space="preserve"> </w:t>
      </w:r>
      <w:r>
        <w:rPr>
          <w:rFonts w:ascii="Century Schoolbook" w:hAnsi="Century Schoolbook"/>
          <w:szCs w:val="26"/>
        </w:rPr>
        <w:t>USF announced all classes would transition to distance learning</w:t>
      </w:r>
      <w:r w:rsidR="00B9383A">
        <w:rPr>
          <w:rFonts w:ascii="Century Schoolbook" w:hAnsi="Century Schoolbook"/>
          <w:szCs w:val="26"/>
        </w:rPr>
        <w:t xml:space="preserve"> for the remainder of the semester</w:t>
      </w:r>
      <w:r>
        <w:rPr>
          <w:rFonts w:ascii="Century Schoolbook" w:hAnsi="Century Schoolbook"/>
          <w:szCs w:val="26"/>
        </w:rPr>
        <w:t>.</w:t>
      </w:r>
    </w:p>
    <w:p w:rsidR="00400EB4" w:rsidP="0044612F" w14:paraId="4CDE1830" w14:textId="5A905B19">
      <w:pPr>
        <w:spacing w:line="360" w:lineRule="auto"/>
        <w:rPr>
          <w:rFonts w:ascii="Century Schoolbook" w:hAnsi="Century Schoolbook"/>
          <w:szCs w:val="26"/>
        </w:rPr>
      </w:pPr>
      <w:r>
        <w:rPr>
          <w:rFonts w:ascii="Century Schoolbook" w:hAnsi="Century Schoolbook"/>
          <w:szCs w:val="26"/>
        </w:rPr>
        <w:tab/>
        <w:t xml:space="preserve">In </w:t>
      </w:r>
      <w:r w:rsidR="00F839C1">
        <w:rPr>
          <w:rFonts w:ascii="Century Schoolbook" w:hAnsi="Century Schoolbook"/>
          <w:szCs w:val="26"/>
        </w:rPr>
        <w:t>July 2020,</w:t>
      </w:r>
      <w:r>
        <w:rPr>
          <w:rFonts w:ascii="Century Schoolbook" w:hAnsi="Century Schoolbook"/>
          <w:szCs w:val="26"/>
        </w:rPr>
        <w:t xml:space="preserve"> USF announced </w:t>
      </w:r>
      <w:r w:rsidR="00F839C1">
        <w:rPr>
          <w:rFonts w:ascii="Century Schoolbook" w:hAnsi="Century Schoolbook"/>
          <w:szCs w:val="26"/>
        </w:rPr>
        <w:t xml:space="preserve">instruction would be “primarily remote </w:t>
      </w:r>
      <w:r w:rsidR="00A31847">
        <w:rPr>
          <w:rFonts w:ascii="Century Schoolbook" w:hAnsi="Century Schoolbook"/>
          <w:szCs w:val="26"/>
        </w:rPr>
        <w:t>for</w:t>
      </w:r>
      <w:r w:rsidR="00F839C1">
        <w:rPr>
          <w:rFonts w:ascii="Century Schoolbook" w:hAnsi="Century Schoolbook"/>
          <w:szCs w:val="26"/>
        </w:rPr>
        <w:t xml:space="preserve"> the fall 2020 semester” due to a COVID-19 surge and California’s delay in reopening plans</w:t>
      </w:r>
      <w:r>
        <w:rPr>
          <w:rFonts w:ascii="Century Schoolbook" w:hAnsi="Century Schoolbook"/>
          <w:szCs w:val="26"/>
        </w:rPr>
        <w:t xml:space="preserve">. </w:t>
      </w:r>
      <w:r w:rsidR="007E1BFF">
        <w:rPr>
          <w:rFonts w:ascii="Century Schoolbook" w:hAnsi="Century Schoolbook"/>
          <w:szCs w:val="26"/>
        </w:rPr>
        <w:t xml:space="preserve"> </w:t>
      </w:r>
      <w:r w:rsidR="00F839C1">
        <w:rPr>
          <w:rFonts w:ascii="Century Schoolbook" w:hAnsi="Century Schoolbook"/>
          <w:szCs w:val="26"/>
        </w:rPr>
        <w:t xml:space="preserve">USF informed students the San Francisco Department of Public Health “cannot tell us when we will receive clearance from the state to reopen campus for in-person instruction, so we are planning to conduct the entire fall semester remotely.” </w:t>
      </w:r>
      <w:r w:rsidR="007E1BFF">
        <w:rPr>
          <w:rFonts w:ascii="Century Schoolbook" w:hAnsi="Century Schoolbook"/>
          <w:szCs w:val="26"/>
        </w:rPr>
        <w:t xml:space="preserve"> </w:t>
      </w:r>
      <w:r>
        <w:rPr>
          <w:rFonts w:ascii="Century Schoolbook" w:hAnsi="Century Schoolbook"/>
          <w:szCs w:val="26"/>
        </w:rPr>
        <w:t xml:space="preserve">USF again informed students in </w:t>
      </w:r>
      <w:r w:rsidR="00F839C1">
        <w:rPr>
          <w:rFonts w:ascii="Century Schoolbook" w:hAnsi="Century Schoolbook"/>
          <w:szCs w:val="26"/>
        </w:rPr>
        <w:t>October 2020</w:t>
      </w:r>
      <w:r w:rsidR="00D934D9">
        <w:rPr>
          <w:rFonts w:ascii="Century Schoolbook" w:hAnsi="Century Schoolbook"/>
          <w:szCs w:val="26"/>
        </w:rPr>
        <w:t xml:space="preserve"> that the spring 2021 semester would also be conducted via distance learning</w:t>
      </w:r>
      <w:r w:rsidR="007E1BFF">
        <w:rPr>
          <w:rFonts w:ascii="Century Schoolbook" w:hAnsi="Century Schoolbook"/>
          <w:szCs w:val="26"/>
        </w:rPr>
        <w:t xml:space="preserve">.  </w:t>
      </w:r>
      <w:r w:rsidR="00E22AC7">
        <w:rPr>
          <w:rFonts w:ascii="Century Schoolbook" w:hAnsi="Century Schoolbook"/>
          <w:szCs w:val="26"/>
        </w:rPr>
        <w:t>Student</w:t>
      </w:r>
      <w:r>
        <w:rPr>
          <w:rFonts w:ascii="Century Schoolbook" w:hAnsi="Century Schoolbook"/>
          <w:szCs w:val="26"/>
        </w:rPr>
        <w:t xml:space="preserve"> </w:t>
      </w:r>
      <w:r w:rsidR="00F839C1">
        <w:rPr>
          <w:rFonts w:ascii="Century Schoolbook" w:hAnsi="Century Schoolbook"/>
          <w:szCs w:val="26"/>
        </w:rPr>
        <w:t>appellants</w:t>
      </w:r>
      <w:r>
        <w:rPr>
          <w:rFonts w:ascii="Century Schoolbook" w:hAnsi="Century Schoolbook"/>
          <w:szCs w:val="26"/>
        </w:rPr>
        <w:t xml:space="preserve"> continued to attend USF during these semesters. </w:t>
      </w:r>
    </w:p>
    <w:p w:rsidR="00086798" w:rsidP="0044612F" w14:paraId="58A05643" w14:textId="41BFC9B2">
      <w:pPr>
        <w:spacing w:line="360" w:lineRule="auto"/>
        <w:rPr>
          <w:rFonts w:ascii="Century Schoolbook" w:hAnsi="Century Schoolbook"/>
          <w:szCs w:val="26"/>
        </w:rPr>
      </w:pPr>
      <w:r>
        <w:rPr>
          <w:rFonts w:ascii="Century Schoolbook" w:hAnsi="Century Schoolbook"/>
          <w:szCs w:val="26"/>
        </w:rPr>
        <w:tab/>
      </w:r>
      <w:r w:rsidR="00F839C1">
        <w:rPr>
          <w:rFonts w:ascii="Century Schoolbook" w:hAnsi="Century Schoolbook"/>
          <w:szCs w:val="26"/>
        </w:rPr>
        <w:t>Appellants</w:t>
      </w:r>
      <w:r>
        <w:rPr>
          <w:rFonts w:ascii="Century Schoolbook" w:hAnsi="Century Schoolbook"/>
          <w:szCs w:val="26"/>
        </w:rPr>
        <w:t xml:space="preserve"> filed a complaint against USF alleging</w:t>
      </w:r>
      <w:r w:rsidR="00D65077">
        <w:rPr>
          <w:rFonts w:ascii="Century Schoolbook" w:hAnsi="Century Schoolbook"/>
          <w:szCs w:val="26"/>
        </w:rPr>
        <w:t xml:space="preserve"> breach of contract, violation of the California Unfair Competition Law </w:t>
      </w:r>
      <w:r w:rsidRPr="00DE45FA" w:rsidR="00DE45FA">
        <w:rPr>
          <w:rFonts w:ascii="Century Schoolbook" w:hAnsi="Century Schoolbook"/>
          <w:szCs w:val="26"/>
        </w:rPr>
        <w:t>(Bus. &amp; Prof. Code, §</w:t>
      </w:r>
      <w:r w:rsidR="00A31847">
        <w:rPr>
          <w:rFonts w:ascii="Century Schoolbook" w:hAnsi="Century Schoolbook"/>
          <w:szCs w:val="26"/>
        </w:rPr>
        <w:t> </w:t>
      </w:r>
      <w:r w:rsidRPr="00DE45FA" w:rsidR="00DE45FA">
        <w:rPr>
          <w:rFonts w:ascii="Century Schoolbook" w:hAnsi="Century Schoolbook"/>
          <w:szCs w:val="26"/>
        </w:rPr>
        <w:t>17200 et seq.; UCL)</w:t>
      </w:r>
      <w:r w:rsidR="00D65077">
        <w:rPr>
          <w:rFonts w:ascii="Century Schoolbook" w:hAnsi="Century Schoolbook"/>
          <w:szCs w:val="26"/>
        </w:rPr>
        <w:t xml:space="preserve">, </w:t>
      </w:r>
      <w:r>
        <w:rPr>
          <w:rFonts w:ascii="Century Schoolbook" w:hAnsi="Century Schoolbook"/>
          <w:szCs w:val="26"/>
        </w:rPr>
        <w:t xml:space="preserve">quasi-contract, and promissory estoppel. </w:t>
      </w:r>
      <w:r w:rsidR="007E1BFF">
        <w:rPr>
          <w:rFonts w:ascii="Century Schoolbook" w:hAnsi="Century Schoolbook"/>
          <w:szCs w:val="26"/>
        </w:rPr>
        <w:t xml:space="preserve"> </w:t>
      </w:r>
      <w:r w:rsidR="00DE45FA">
        <w:rPr>
          <w:rFonts w:ascii="Century Schoolbook" w:hAnsi="Century Schoolbook"/>
          <w:szCs w:val="26"/>
        </w:rPr>
        <w:t>Appellant</w:t>
      </w:r>
      <w:r>
        <w:rPr>
          <w:rFonts w:ascii="Century Schoolbook" w:hAnsi="Century Schoolbook"/>
          <w:szCs w:val="26"/>
        </w:rPr>
        <w:t xml:space="preserve"> Oliva filed a separate action alleging breach of contract, unjust enrichment, </w:t>
      </w:r>
      <w:r w:rsidR="00DE45FA">
        <w:rPr>
          <w:rFonts w:ascii="Century Schoolbook" w:hAnsi="Century Schoolbook"/>
          <w:szCs w:val="26"/>
        </w:rPr>
        <w:t xml:space="preserve">and </w:t>
      </w:r>
      <w:r>
        <w:rPr>
          <w:rFonts w:ascii="Century Schoolbook" w:hAnsi="Century Schoolbook"/>
          <w:szCs w:val="26"/>
        </w:rPr>
        <w:t xml:space="preserve">conversion. </w:t>
      </w:r>
      <w:r w:rsidR="007E1BFF">
        <w:rPr>
          <w:rFonts w:ascii="Century Schoolbook" w:hAnsi="Century Schoolbook"/>
          <w:szCs w:val="26"/>
        </w:rPr>
        <w:t xml:space="preserve"> </w:t>
      </w:r>
      <w:r>
        <w:rPr>
          <w:rFonts w:ascii="Century Schoolbook" w:hAnsi="Century Schoolbook"/>
          <w:szCs w:val="26"/>
        </w:rPr>
        <w:t>Both complaints were filed as class actions.</w:t>
      </w:r>
    </w:p>
    <w:p w:rsidR="00400EB4" w:rsidP="0044612F" w14:paraId="591B1535" w14:textId="64B8E0CC">
      <w:pPr>
        <w:spacing w:line="360" w:lineRule="auto"/>
        <w:rPr>
          <w:rFonts w:ascii="Century Schoolbook" w:hAnsi="Century Schoolbook"/>
          <w:szCs w:val="26"/>
        </w:rPr>
      </w:pPr>
      <w:r>
        <w:rPr>
          <w:rFonts w:ascii="Century Schoolbook" w:hAnsi="Century Schoolbook"/>
          <w:szCs w:val="26"/>
        </w:rPr>
        <w:tab/>
        <w:t>These matters were consolidated into a single class action complaint</w:t>
      </w:r>
      <w:r w:rsidR="006C4D5D">
        <w:rPr>
          <w:rFonts w:ascii="Century Schoolbook" w:hAnsi="Century Schoolbook"/>
          <w:szCs w:val="26"/>
        </w:rPr>
        <w:t xml:space="preserve"> </w:t>
      </w:r>
      <w:r>
        <w:rPr>
          <w:rFonts w:ascii="Century Schoolbook" w:hAnsi="Century Schoolbook"/>
          <w:szCs w:val="26"/>
        </w:rPr>
        <w:t xml:space="preserve">for breach of contract, violation of the UCL, quasi-contract, and promissory estoppel. </w:t>
      </w:r>
      <w:r w:rsidR="007E1BFF">
        <w:rPr>
          <w:rFonts w:ascii="Century Schoolbook" w:hAnsi="Century Schoolbook"/>
          <w:szCs w:val="26"/>
        </w:rPr>
        <w:t xml:space="preserve"> </w:t>
      </w:r>
      <w:r>
        <w:rPr>
          <w:rFonts w:ascii="Century Schoolbook" w:hAnsi="Century Schoolbook"/>
          <w:szCs w:val="26"/>
        </w:rPr>
        <w:t xml:space="preserve">As relevant here, the consolidated complaint </w:t>
      </w:r>
      <w:r w:rsidR="00DE45FA">
        <w:rPr>
          <w:rFonts w:ascii="Century Schoolbook" w:hAnsi="Century Schoolbook"/>
          <w:szCs w:val="26"/>
        </w:rPr>
        <w:t>alleges</w:t>
      </w:r>
      <w:r w:rsidR="008F6FBB">
        <w:rPr>
          <w:rFonts w:ascii="Century Schoolbook" w:hAnsi="Century Schoolbook"/>
          <w:szCs w:val="26"/>
        </w:rPr>
        <w:t xml:space="preserve"> “USF has not delivered the educational services, facilities, access and/or opportunities for which Plaintiffs and the proposed Class and Subclasses contracted and paid”</w:t>
      </w:r>
      <w:r w:rsidR="00DE45FA">
        <w:rPr>
          <w:rFonts w:ascii="Century Schoolbook" w:hAnsi="Century Schoolbook"/>
          <w:szCs w:val="26"/>
        </w:rPr>
        <w:t xml:space="preserve"> as a result of the transition to remote learning due to the COVID-19 pandemic.</w:t>
      </w:r>
      <w:r>
        <w:rPr>
          <w:rFonts w:ascii="Century Schoolbook" w:hAnsi="Century Schoolbook"/>
          <w:szCs w:val="26"/>
        </w:rPr>
        <w:t xml:space="preserve"> </w:t>
      </w:r>
      <w:r w:rsidR="007E1BFF">
        <w:rPr>
          <w:rFonts w:ascii="Century Schoolbook" w:hAnsi="Century Schoolbook"/>
          <w:szCs w:val="26"/>
        </w:rPr>
        <w:t xml:space="preserve"> </w:t>
      </w:r>
      <w:r w:rsidR="001937EA">
        <w:rPr>
          <w:rFonts w:ascii="Century Schoolbook" w:hAnsi="Century Schoolbook"/>
          <w:szCs w:val="26"/>
        </w:rPr>
        <w:t xml:space="preserve">It further </w:t>
      </w:r>
      <w:r w:rsidR="00DE45FA">
        <w:rPr>
          <w:rFonts w:ascii="Century Schoolbook" w:hAnsi="Century Schoolbook"/>
          <w:szCs w:val="26"/>
        </w:rPr>
        <w:t>asserts</w:t>
      </w:r>
      <w:r w:rsidR="001937EA">
        <w:rPr>
          <w:rFonts w:ascii="Century Schoolbook" w:hAnsi="Century Schoolbook"/>
          <w:szCs w:val="26"/>
        </w:rPr>
        <w:t xml:space="preserve"> “[t]hrough the admission agreement and payment of tuition and fees, Plaintiffs and each member of the Class and Subclasses entered a binding contract with USF.” </w:t>
      </w:r>
      <w:r w:rsidR="007E1BFF">
        <w:rPr>
          <w:rFonts w:ascii="Century Schoolbook" w:hAnsi="Century Schoolbook"/>
          <w:szCs w:val="26"/>
        </w:rPr>
        <w:t xml:space="preserve"> </w:t>
      </w:r>
      <w:r w:rsidR="001937EA">
        <w:rPr>
          <w:rFonts w:ascii="Century Schoolbook" w:hAnsi="Century Schoolbook"/>
          <w:szCs w:val="26"/>
        </w:rPr>
        <w:t xml:space="preserve">The complaint asserts USF “promised to provide certain services” pursuant to </w:t>
      </w:r>
      <w:r w:rsidR="00DE45FA">
        <w:rPr>
          <w:rFonts w:ascii="Century Schoolbook" w:hAnsi="Century Schoolbook"/>
          <w:szCs w:val="26"/>
        </w:rPr>
        <w:t>this</w:t>
      </w:r>
      <w:r w:rsidR="001937EA">
        <w:rPr>
          <w:rFonts w:ascii="Century Schoolbook" w:hAnsi="Century Schoolbook"/>
          <w:szCs w:val="26"/>
        </w:rPr>
        <w:t xml:space="preserve"> contract, and </w:t>
      </w:r>
      <w:r w:rsidR="00DE45FA">
        <w:rPr>
          <w:rFonts w:ascii="Century Schoolbook" w:hAnsi="Century Schoolbook"/>
          <w:szCs w:val="26"/>
        </w:rPr>
        <w:t>appellants</w:t>
      </w:r>
      <w:r w:rsidR="001937EA">
        <w:rPr>
          <w:rFonts w:ascii="Century Schoolbook" w:hAnsi="Century Schoolbook"/>
          <w:szCs w:val="26"/>
        </w:rPr>
        <w:t xml:space="preserve"> were “entitled to in-person educational services.”</w:t>
      </w:r>
    </w:p>
    <w:p w:rsidR="001937EA" w:rsidP="0044612F" w14:paraId="2F7C3C09" w14:textId="281F54B8">
      <w:pPr>
        <w:spacing w:line="360" w:lineRule="auto"/>
        <w:rPr>
          <w:rFonts w:ascii="Century Schoolbook" w:hAnsi="Century Schoolbook"/>
          <w:szCs w:val="26"/>
        </w:rPr>
      </w:pPr>
      <w:r>
        <w:rPr>
          <w:rFonts w:ascii="Century Schoolbook" w:hAnsi="Century Schoolbook"/>
          <w:szCs w:val="26"/>
        </w:rPr>
        <w:tab/>
        <w:t xml:space="preserve">USF moved for summary judgment or, alternatively, summary adjudication of the consolidated complaint. </w:t>
      </w:r>
      <w:r w:rsidR="007E1BFF">
        <w:rPr>
          <w:rFonts w:ascii="Century Schoolbook" w:hAnsi="Century Schoolbook"/>
          <w:szCs w:val="26"/>
        </w:rPr>
        <w:t xml:space="preserve"> </w:t>
      </w:r>
      <w:r>
        <w:rPr>
          <w:rFonts w:ascii="Century Schoolbook" w:hAnsi="Century Schoolbook"/>
          <w:szCs w:val="26"/>
        </w:rPr>
        <w:t xml:space="preserve">USF raised various arguments </w:t>
      </w:r>
      <w:r w:rsidR="00AF6888">
        <w:rPr>
          <w:rFonts w:ascii="Century Schoolbook" w:hAnsi="Century Schoolbook"/>
          <w:szCs w:val="26"/>
        </w:rPr>
        <w:t>in support of its motion, including:</w:t>
      </w:r>
      <w:r>
        <w:rPr>
          <w:rFonts w:ascii="Century Schoolbook" w:hAnsi="Century Schoolbook"/>
          <w:szCs w:val="26"/>
        </w:rPr>
        <w:t xml:space="preserve"> </w:t>
      </w:r>
      <w:r w:rsidR="00AF6888">
        <w:rPr>
          <w:rFonts w:ascii="Century Schoolbook" w:hAnsi="Century Schoolbook"/>
          <w:szCs w:val="26"/>
        </w:rPr>
        <w:t xml:space="preserve">(1) </w:t>
      </w:r>
      <w:r w:rsidR="00DE45FA">
        <w:rPr>
          <w:rFonts w:ascii="Century Schoolbook" w:hAnsi="Century Schoolbook"/>
          <w:szCs w:val="26"/>
        </w:rPr>
        <w:t>appellants</w:t>
      </w:r>
      <w:r>
        <w:rPr>
          <w:rFonts w:ascii="Century Schoolbook" w:hAnsi="Century Schoolbook"/>
          <w:szCs w:val="26"/>
        </w:rPr>
        <w:t xml:space="preserve"> failed to identify any specific promise by USF to provide them with in-person instruction “under all circumstances</w:t>
      </w:r>
      <w:r w:rsidR="00AF6888">
        <w:rPr>
          <w:rFonts w:ascii="Century Schoolbook" w:hAnsi="Century Schoolbook"/>
          <w:szCs w:val="26"/>
        </w:rPr>
        <w:t>;</w:t>
      </w:r>
      <w:r>
        <w:rPr>
          <w:rFonts w:ascii="Century Schoolbook" w:hAnsi="Century Schoolbook"/>
          <w:szCs w:val="26"/>
        </w:rPr>
        <w:t xml:space="preserve">” </w:t>
      </w:r>
      <w:r w:rsidR="00AF6888">
        <w:rPr>
          <w:rFonts w:ascii="Century Schoolbook" w:hAnsi="Century Schoolbook"/>
          <w:szCs w:val="26"/>
        </w:rPr>
        <w:t xml:space="preserve">(2) </w:t>
      </w:r>
      <w:r>
        <w:rPr>
          <w:rFonts w:ascii="Century Schoolbook" w:hAnsi="Century Schoolbook"/>
          <w:szCs w:val="26"/>
        </w:rPr>
        <w:t xml:space="preserve">USF was excused </w:t>
      </w:r>
      <w:r w:rsidR="00AF6888">
        <w:rPr>
          <w:rFonts w:ascii="Century Schoolbook" w:hAnsi="Century Schoolbook"/>
          <w:szCs w:val="26"/>
        </w:rPr>
        <w:t xml:space="preserve">from </w:t>
      </w:r>
      <w:r w:rsidR="00DE45FA">
        <w:rPr>
          <w:rFonts w:ascii="Century Schoolbook" w:hAnsi="Century Schoolbook"/>
          <w:szCs w:val="26"/>
        </w:rPr>
        <w:t xml:space="preserve">providing </w:t>
      </w:r>
      <w:r w:rsidR="00AF6888">
        <w:rPr>
          <w:rFonts w:ascii="Century Schoolbook" w:hAnsi="Century Schoolbook"/>
          <w:szCs w:val="26"/>
        </w:rPr>
        <w:t xml:space="preserve">any </w:t>
      </w:r>
      <w:r w:rsidR="00DE45FA">
        <w:rPr>
          <w:rFonts w:ascii="Century Schoolbook" w:hAnsi="Century Schoolbook"/>
          <w:szCs w:val="26"/>
        </w:rPr>
        <w:t xml:space="preserve">required </w:t>
      </w:r>
      <w:r w:rsidR="00AF6888">
        <w:rPr>
          <w:rFonts w:ascii="Century Schoolbook" w:hAnsi="Century Schoolbook"/>
          <w:szCs w:val="26"/>
        </w:rPr>
        <w:t xml:space="preserve">in-person </w:t>
      </w:r>
      <w:r w:rsidR="00DE45FA">
        <w:rPr>
          <w:rFonts w:ascii="Century Schoolbook" w:hAnsi="Century Schoolbook"/>
          <w:szCs w:val="26"/>
        </w:rPr>
        <w:t>instruction</w:t>
      </w:r>
      <w:r w:rsidR="00AF6888">
        <w:rPr>
          <w:rFonts w:ascii="Century Schoolbook" w:hAnsi="Century Schoolbook"/>
          <w:szCs w:val="26"/>
        </w:rPr>
        <w:t xml:space="preserve"> </w:t>
      </w:r>
      <w:r>
        <w:rPr>
          <w:rFonts w:ascii="Century Schoolbook" w:hAnsi="Century Schoolbook"/>
          <w:szCs w:val="26"/>
        </w:rPr>
        <w:t xml:space="preserve">by </w:t>
      </w:r>
      <w:r w:rsidR="00DE45FA">
        <w:rPr>
          <w:rFonts w:ascii="Century Schoolbook" w:hAnsi="Century Schoolbook"/>
          <w:szCs w:val="26"/>
        </w:rPr>
        <w:t xml:space="preserve">state and local </w:t>
      </w:r>
      <w:r>
        <w:rPr>
          <w:rFonts w:ascii="Century Schoolbook" w:hAnsi="Century Schoolbook"/>
          <w:szCs w:val="26"/>
        </w:rPr>
        <w:t>orders related to COVID-19</w:t>
      </w:r>
      <w:r w:rsidR="00AF6888">
        <w:rPr>
          <w:rFonts w:ascii="Century Schoolbook" w:hAnsi="Century Schoolbook"/>
          <w:szCs w:val="26"/>
        </w:rPr>
        <w:t>; (3)</w:t>
      </w:r>
      <w:r w:rsidR="00DE45FA">
        <w:rPr>
          <w:rFonts w:ascii="Century Schoolbook" w:hAnsi="Century Schoolbook"/>
          <w:szCs w:val="26"/>
        </w:rPr>
        <w:t> appellants</w:t>
      </w:r>
      <w:r>
        <w:rPr>
          <w:rFonts w:ascii="Century Schoolbook" w:hAnsi="Century Schoolbook"/>
          <w:szCs w:val="26"/>
        </w:rPr>
        <w:t xml:space="preserve"> cannot now </w:t>
      </w:r>
      <w:r w:rsidR="00DE45FA">
        <w:rPr>
          <w:rFonts w:ascii="Century Schoolbook" w:hAnsi="Century Schoolbook"/>
          <w:szCs w:val="26"/>
        </w:rPr>
        <w:t>seek</w:t>
      </w:r>
      <w:r>
        <w:rPr>
          <w:rFonts w:ascii="Century Schoolbook" w:hAnsi="Century Schoolbook"/>
          <w:szCs w:val="26"/>
        </w:rPr>
        <w:t xml:space="preserve"> to modify the terms of any contract</w:t>
      </w:r>
      <w:r w:rsidR="00AF6888">
        <w:rPr>
          <w:rFonts w:ascii="Century Schoolbook" w:hAnsi="Century Schoolbook"/>
          <w:szCs w:val="26"/>
        </w:rPr>
        <w:t xml:space="preserve"> with USF; (4) </w:t>
      </w:r>
      <w:r w:rsidR="00DE45FA">
        <w:rPr>
          <w:rFonts w:ascii="Century Schoolbook" w:hAnsi="Century Schoolbook"/>
          <w:szCs w:val="26"/>
        </w:rPr>
        <w:t>appellants</w:t>
      </w:r>
      <w:r w:rsidR="00AF6888">
        <w:rPr>
          <w:rFonts w:ascii="Century Schoolbook" w:hAnsi="Century Schoolbook"/>
          <w:szCs w:val="26"/>
        </w:rPr>
        <w:t xml:space="preserve"> fail</w:t>
      </w:r>
      <w:r w:rsidR="00DE45FA">
        <w:rPr>
          <w:rFonts w:ascii="Century Schoolbook" w:hAnsi="Century Schoolbook"/>
          <w:szCs w:val="26"/>
        </w:rPr>
        <w:t>ed</w:t>
      </w:r>
      <w:r w:rsidR="00AF6888">
        <w:rPr>
          <w:rFonts w:ascii="Century Schoolbook" w:hAnsi="Century Schoolbook"/>
          <w:szCs w:val="26"/>
        </w:rPr>
        <w:t xml:space="preserve"> to identify any practices by USF that violate the UCL; (5)</w:t>
      </w:r>
      <w:r w:rsidR="00DE45FA">
        <w:rPr>
          <w:rFonts w:ascii="Century Schoolbook" w:hAnsi="Century Schoolbook"/>
          <w:szCs w:val="26"/>
        </w:rPr>
        <w:t xml:space="preserve"> appellants </w:t>
      </w:r>
      <w:r w:rsidR="00AF6888">
        <w:rPr>
          <w:rFonts w:ascii="Century Schoolbook" w:hAnsi="Century Schoolbook"/>
          <w:szCs w:val="26"/>
        </w:rPr>
        <w:t>were aware USF would conduct classes either remotely or via a hybrid format</w:t>
      </w:r>
      <w:r w:rsidR="00DE45FA">
        <w:rPr>
          <w:rFonts w:ascii="Century Schoolbook" w:hAnsi="Century Schoolbook"/>
          <w:szCs w:val="26"/>
        </w:rPr>
        <w:t xml:space="preserve"> during the Fall 2020 and Spring 2021 semesters prior to paying tuition</w:t>
      </w:r>
      <w:r w:rsidR="00AF6888">
        <w:rPr>
          <w:rFonts w:ascii="Century Schoolbook" w:hAnsi="Century Schoolbook"/>
          <w:szCs w:val="26"/>
        </w:rPr>
        <w:t>; (6)</w:t>
      </w:r>
      <w:r w:rsidR="00D934D9">
        <w:rPr>
          <w:rFonts w:ascii="Century Schoolbook" w:hAnsi="Century Schoolbook"/>
          <w:szCs w:val="26"/>
        </w:rPr>
        <w:t> </w:t>
      </w:r>
      <w:r w:rsidR="00DE45FA">
        <w:rPr>
          <w:rFonts w:ascii="Century Schoolbook" w:hAnsi="Century Schoolbook"/>
          <w:szCs w:val="26"/>
        </w:rPr>
        <w:t>appellant</w:t>
      </w:r>
      <w:r w:rsidR="00AF6888">
        <w:rPr>
          <w:rFonts w:ascii="Century Schoolbook" w:hAnsi="Century Schoolbook"/>
          <w:szCs w:val="26"/>
        </w:rPr>
        <w:t xml:space="preserve"> Kaiser lack</w:t>
      </w:r>
      <w:r w:rsidR="00DE45FA">
        <w:rPr>
          <w:rFonts w:ascii="Century Schoolbook" w:hAnsi="Century Schoolbook"/>
          <w:szCs w:val="26"/>
        </w:rPr>
        <w:t>ed</w:t>
      </w:r>
      <w:r w:rsidR="00AF6888">
        <w:rPr>
          <w:rFonts w:ascii="Century Schoolbook" w:hAnsi="Century Schoolbook"/>
          <w:szCs w:val="26"/>
        </w:rPr>
        <w:t xml:space="preserve"> standing; and (7) </w:t>
      </w:r>
      <w:r w:rsidR="00DE45FA">
        <w:rPr>
          <w:rFonts w:ascii="Century Schoolbook" w:hAnsi="Century Schoolbook"/>
          <w:szCs w:val="26"/>
        </w:rPr>
        <w:t>appellants’</w:t>
      </w:r>
      <w:r w:rsidR="00AF6888">
        <w:rPr>
          <w:rFonts w:ascii="Century Schoolbook" w:hAnsi="Century Schoolbook"/>
          <w:szCs w:val="26"/>
        </w:rPr>
        <w:t xml:space="preserve"> arguments </w:t>
      </w:r>
      <w:r w:rsidR="00DE45FA">
        <w:rPr>
          <w:rFonts w:ascii="Century Schoolbook" w:hAnsi="Century Schoolbook"/>
          <w:szCs w:val="26"/>
        </w:rPr>
        <w:t>were</w:t>
      </w:r>
      <w:r w:rsidR="00AF6888">
        <w:rPr>
          <w:rFonts w:ascii="Century Schoolbook" w:hAnsi="Century Schoolbook"/>
          <w:szCs w:val="26"/>
        </w:rPr>
        <w:t xml:space="preserve"> barred by the doctrine of educational malpractice</w:t>
      </w:r>
      <w:r>
        <w:rPr>
          <w:rFonts w:ascii="Century Schoolbook" w:hAnsi="Century Schoolbook"/>
          <w:szCs w:val="26"/>
        </w:rPr>
        <w:t xml:space="preserve">. </w:t>
      </w:r>
    </w:p>
    <w:p w:rsidR="00713161" w:rsidP="0044612F" w14:paraId="7EEF0AFD" w14:textId="0573B84C">
      <w:pPr>
        <w:spacing w:line="360" w:lineRule="auto"/>
        <w:rPr>
          <w:rFonts w:ascii="Century Schoolbook" w:hAnsi="Century Schoolbook"/>
          <w:szCs w:val="26"/>
        </w:rPr>
      </w:pPr>
      <w:r>
        <w:rPr>
          <w:rFonts w:ascii="Century Schoolbook" w:hAnsi="Century Schoolbook"/>
          <w:szCs w:val="26"/>
        </w:rPr>
        <w:tab/>
      </w:r>
      <w:r w:rsidR="00DE45FA">
        <w:rPr>
          <w:rFonts w:ascii="Century Schoolbook" w:hAnsi="Century Schoolbook"/>
          <w:szCs w:val="26"/>
        </w:rPr>
        <w:t>Appellants</w:t>
      </w:r>
      <w:r>
        <w:rPr>
          <w:rFonts w:ascii="Century Schoolbook" w:hAnsi="Century Schoolbook"/>
          <w:szCs w:val="26"/>
        </w:rPr>
        <w:t xml:space="preserve"> opposed the motion. </w:t>
      </w:r>
      <w:r w:rsidR="007E1BFF">
        <w:rPr>
          <w:rFonts w:ascii="Century Schoolbook" w:hAnsi="Century Schoolbook"/>
          <w:szCs w:val="26"/>
        </w:rPr>
        <w:t xml:space="preserve"> </w:t>
      </w:r>
      <w:r>
        <w:rPr>
          <w:rFonts w:ascii="Century Schoolbook" w:hAnsi="Century Schoolbook"/>
          <w:szCs w:val="26"/>
        </w:rPr>
        <w:t>They</w:t>
      </w:r>
      <w:r w:rsidR="00DE45FA">
        <w:rPr>
          <w:rFonts w:ascii="Century Schoolbook" w:hAnsi="Century Schoolbook"/>
          <w:szCs w:val="26"/>
        </w:rPr>
        <w:t xml:space="preserve"> </w:t>
      </w:r>
      <w:r w:rsidR="00F22975">
        <w:rPr>
          <w:rFonts w:ascii="Century Schoolbook" w:hAnsi="Century Schoolbook"/>
          <w:szCs w:val="26"/>
        </w:rPr>
        <w:t>asserted</w:t>
      </w:r>
      <w:r w:rsidR="00DE45FA">
        <w:rPr>
          <w:rFonts w:ascii="Century Schoolbook" w:hAnsi="Century Schoolbook"/>
          <w:szCs w:val="26"/>
        </w:rPr>
        <w:t xml:space="preserve"> </w:t>
      </w:r>
      <w:r>
        <w:rPr>
          <w:rFonts w:ascii="Century Schoolbook" w:hAnsi="Century Schoolbook"/>
          <w:szCs w:val="26"/>
        </w:rPr>
        <w:t xml:space="preserve">a triable issue of fact existed regarding </w:t>
      </w:r>
      <w:r w:rsidR="00F22975">
        <w:rPr>
          <w:rFonts w:ascii="Century Schoolbook" w:hAnsi="Century Schoolbook"/>
          <w:szCs w:val="26"/>
        </w:rPr>
        <w:t>the terms of</w:t>
      </w:r>
      <w:r w:rsidR="008A0E48">
        <w:rPr>
          <w:rFonts w:ascii="Century Schoolbook" w:hAnsi="Century Schoolbook"/>
          <w:szCs w:val="26"/>
        </w:rPr>
        <w:t xml:space="preserve"> their contract</w:t>
      </w:r>
      <w:r w:rsidR="00DE45FA">
        <w:rPr>
          <w:rFonts w:ascii="Century Schoolbook" w:hAnsi="Century Schoolbook"/>
          <w:szCs w:val="26"/>
        </w:rPr>
        <w:t>s</w:t>
      </w:r>
      <w:r w:rsidR="008A0E48">
        <w:rPr>
          <w:rFonts w:ascii="Century Schoolbook" w:hAnsi="Century Schoolbook"/>
          <w:szCs w:val="26"/>
        </w:rPr>
        <w:t xml:space="preserve"> with USF</w:t>
      </w:r>
      <w:r>
        <w:rPr>
          <w:rFonts w:ascii="Century Schoolbook" w:hAnsi="Century Schoolbook"/>
          <w:szCs w:val="26"/>
        </w:rPr>
        <w:t>.</w:t>
      </w:r>
      <w:r w:rsidR="00E30545">
        <w:rPr>
          <w:rFonts w:ascii="Century Schoolbook" w:hAnsi="Century Schoolbook"/>
          <w:szCs w:val="26"/>
        </w:rPr>
        <w:t xml:space="preserve"> </w:t>
      </w:r>
      <w:r w:rsidR="007E1BFF">
        <w:rPr>
          <w:rFonts w:ascii="Century Schoolbook" w:hAnsi="Century Schoolbook"/>
          <w:szCs w:val="26"/>
        </w:rPr>
        <w:t xml:space="preserve"> </w:t>
      </w:r>
      <w:r w:rsidR="00F22975">
        <w:rPr>
          <w:rFonts w:ascii="Century Schoolbook" w:hAnsi="Century Schoolbook"/>
          <w:szCs w:val="26"/>
        </w:rPr>
        <w:t>Appellants</w:t>
      </w:r>
      <w:r w:rsidR="00E30545">
        <w:rPr>
          <w:rFonts w:ascii="Century Schoolbook" w:hAnsi="Century Schoolbook"/>
          <w:szCs w:val="26"/>
        </w:rPr>
        <w:t xml:space="preserve"> </w:t>
      </w:r>
      <w:r>
        <w:rPr>
          <w:rFonts w:ascii="Century Schoolbook" w:hAnsi="Century Schoolbook"/>
          <w:szCs w:val="26"/>
        </w:rPr>
        <w:t>rel</w:t>
      </w:r>
      <w:r w:rsidR="00B35A67">
        <w:rPr>
          <w:rFonts w:ascii="Century Schoolbook" w:hAnsi="Century Schoolbook"/>
          <w:szCs w:val="26"/>
        </w:rPr>
        <w:t>ied</w:t>
      </w:r>
      <w:r>
        <w:rPr>
          <w:rFonts w:ascii="Century Schoolbook" w:hAnsi="Century Schoolbook"/>
          <w:szCs w:val="26"/>
        </w:rPr>
        <w:t xml:space="preserve"> on the following statements from the admission letter to </w:t>
      </w:r>
      <w:r w:rsidR="00F22975">
        <w:rPr>
          <w:rFonts w:ascii="Century Schoolbook" w:hAnsi="Century Schoolbook"/>
          <w:szCs w:val="26"/>
        </w:rPr>
        <w:t>argue USF promised to provide in-person instruction</w:t>
      </w:r>
      <w:r>
        <w:rPr>
          <w:rFonts w:ascii="Century Schoolbook" w:hAnsi="Century Schoolbook"/>
          <w:szCs w:val="26"/>
        </w:rPr>
        <w:t>: (1) “</w:t>
      </w:r>
      <w:r w:rsidR="00A31847">
        <w:rPr>
          <w:rFonts w:ascii="Century Schoolbook" w:hAnsi="Century Schoolbook"/>
          <w:szCs w:val="26"/>
        </w:rPr>
        <w:t xml:space="preserve"> ‘</w:t>
      </w:r>
      <w:r>
        <w:rPr>
          <w:rFonts w:ascii="Century Schoolbook" w:hAnsi="Century Schoolbook"/>
          <w:szCs w:val="26"/>
        </w:rPr>
        <w:t>As a member of the USF community, you will join a dynamic student body that represents a diversity of cultures, interests, thoughts, and experiences</w:t>
      </w:r>
      <w:r w:rsidR="00A31847">
        <w:rPr>
          <w:rFonts w:ascii="Century Schoolbook" w:hAnsi="Century Schoolbook"/>
          <w:szCs w:val="26"/>
        </w:rPr>
        <w:t>’ </w:t>
      </w:r>
      <w:r>
        <w:rPr>
          <w:rFonts w:ascii="Century Schoolbook" w:hAnsi="Century Schoolbook"/>
          <w:szCs w:val="26"/>
        </w:rPr>
        <w:t>”; (2) “</w:t>
      </w:r>
      <w:r w:rsidR="00A31847">
        <w:rPr>
          <w:rFonts w:ascii="Century Schoolbook" w:hAnsi="Century Schoolbook"/>
          <w:szCs w:val="26"/>
        </w:rPr>
        <w:t> ‘</w:t>
      </w:r>
      <w:r>
        <w:rPr>
          <w:rFonts w:ascii="Century Schoolbook" w:hAnsi="Century Schoolbook"/>
          <w:szCs w:val="26"/>
        </w:rPr>
        <w:t>You will be challenged intellectually and encouraged to put thought into action, an important tenet of the nearly 500 years of Jesuit educational tradition that underpins and guides USF</w:t>
      </w:r>
      <w:r w:rsidR="00A31847">
        <w:rPr>
          <w:rFonts w:ascii="Century Schoolbook" w:hAnsi="Century Schoolbook"/>
          <w:szCs w:val="26"/>
        </w:rPr>
        <w:t>’ </w:t>
      </w:r>
      <w:r>
        <w:rPr>
          <w:rFonts w:ascii="Century Schoolbook" w:hAnsi="Century Schoolbook"/>
          <w:szCs w:val="26"/>
        </w:rPr>
        <w:t>”; (3) “</w:t>
      </w:r>
      <w:r w:rsidR="00A31847">
        <w:rPr>
          <w:rFonts w:ascii="Century Schoolbook" w:hAnsi="Century Schoolbook"/>
          <w:szCs w:val="26"/>
        </w:rPr>
        <w:t> ‘</w:t>
      </w:r>
      <w:r>
        <w:rPr>
          <w:rFonts w:ascii="Century Schoolbook" w:hAnsi="Century Schoolbook"/>
          <w:szCs w:val="26"/>
        </w:rPr>
        <w:t>You will develop amazing friendships and expand your horizons, and you will be surrounded by the best city ever”; (4) “Please join us at one of our admitted student visit days . . . to meet your future classmates and experience the richness of our university</w:t>
      </w:r>
      <w:r w:rsidR="00A31847">
        <w:rPr>
          <w:rFonts w:ascii="Century Schoolbook" w:hAnsi="Century Schoolbook"/>
          <w:szCs w:val="26"/>
        </w:rPr>
        <w:t>’ </w:t>
      </w:r>
      <w:r>
        <w:rPr>
          <w:rFonts w:ascii="Century Schoolbook" w:hAnsi="Century Schoolbook"/>
          <w:szCs w:val="26"/>
        </w:rPr>
        <w:t xml:space="preserve">”; </w:t>
      </w:r>
      <w:r w:rsidR="00E9207B">
        <w:rPr>
          <w:rFonts w:ascii="Century Schoolbook" w:hAnsi="Century Schoolbook"/>
          <w:szCs w:val="26"/>
        </w:rPr>
        <w:t xml:space="preserve">and </w:t>
      </w:r>
      <w:r>
        <w:rPr>
          <w:rFonts w:ascii="Century Schoolbook" w:hAnsi="Century Schoolbook"/>
          <w:szCs w:val="26"/>
        </w:rPr>
        <w:t>(5) “</w:t>
      </w:r>
      <w:r w:rsidR="00A31847">
        <w:rPr>
          <w:rFonts w:ascii="Century Schoolbook" w:hAnsi="Century Schoolbook"/>
          <w:szCs w:val="26"/>
        </w:rPr>
        <w:t> ‘</w:t>
      </w:r>
      <w:r>
        <w:rPr>
          <w:rFonts w:ascii="Century Schoolbook" w:hAnsi="Century Schoolbook"/>
          <w:szCs w:val="26"/>
        </w:rPr>
        <w:t>The [USF] family of faculty, students, and staff welcomes you, and I personally look forward to greeting you on campus . . . .</w:t>
      </w:r>
      <w:r w:rsidR="00A31847">
        <w:rPr>
          <w:rFonts w:ascii="Century Schoolbook" w:hAnsi="Century Schoolbook"/>
          <w:szCs w:val="26"/>
        </w:rPr>
        <w:t>’ </w:t>
      </w:r>
      <w:r>
        <w:rPr>
          <w:rFonts w:ascii="Century Schoolbook" w:hAnsi="Century Schoolbook"/>
          <w:szCs w:val="26"/>
        </w:rPr>
        <w:t xml:space="preserve">” </w:t>
      </w:r>
    </w:p>
    <w:p w:rsidR="00AF6888" w:rsidP="0044612F" w14:paraId="1044A54E" w14:textId="062BF077">
      <w:pPr>
        <w:spacing w:line="360" w:lineRule="auto"/>
        <w:rPr>
          <w:rFonts w:ascii="Century Schoolbook" w:hAnsi="Century Schoolbook"/>
          <w:szCs w:val="26"/>
        </w:rPr>
      </w:pPr>
      <w:r>
        <w:rPr>
          <w:rFonts w:ascii="Century Schoolbook" w:hAnsi="Century Schoolbook"/>
          <w:szCs w:val="26"/>
        </w:rPr>
        <w:tab/>
      </w:r>
      <w:r w:rsidR="00066814">
        <w:rPr>
          <w:rFonts w:ascii="Century Schoolbook" w:hAnsi="Century Schoolbook"/>
          <w:szCs w:val="26"/>
        </w:rPr>
        <w:t>Appellants</w:t>
      </w:r>
      <w:r>
        <w:rPr>
          <w:rFonts w:ascii="Century Schoolbook" w:hAnsi="Century Schoolbook"/>
          <w:szCs w:val="26"/>
        </w:rPr>
        <w:t xml:space="preserve"> </w:t>
      </w:r>
      <w:r w:rsidR="00B35A67">
        <w:rPr>
          <w:rFonts w:ascii="Century Schoolbook" w:hAnsi="Century Schoolbook"/>
          <w:szCs w:val="26"/>
        </w:rPr>
        <w:t>also</w:t>
      </w:r>
      <w:r>
        <w:rPr>
          <w:rFonts w:ascii="Century Schoolbook" w:hAnsi="Century Schoolbook"/>
          <w:szCs w:val="26"/>
        </w:rPr>
        <w:t xml:space="preserve"> </w:t>
      </w:r>
      <w:r w:rsidR="001C273A">
        <w:rPr>
          <w:rFonts w:ascii="Century Schoolbook" w:hAnsi="Century Schoolbook"/>
          <w:szCs w:val="26"/>
        </w:rPr>
        <w:t>argued</w:t>
      </w:r>
      <w:r>
        <w:rPr>
          <w:rFonts w:ascii="Century Schoolbook" w:hAnsi="Century Schoolbook"/>
          <w:szCs w:val="26"/>
        </w:rPr>
        <w:t xml:space="preserve"> an implied</w:t>
      </w:r>
      <w:r w:rsidR="00B35A67">
        <w:rPr>
          <w:rFonts w:ascii="Century Schoolbook" w:hAnsi="Century Schoolbook"/>
          <w:szCs w:val="26"/>
        </w:rPr>
        <w:t>-</w:t>
      </w:r>
      <w:r>
        <w:rPr>
          <w:rFonts w:ascii="Century Schoolbook" w:hAnsi="Century Schoolbook"/>
          <w:szCs w:val="26"/>
        </w:rPr>
        <w:t>in</w:t>
      </w:r>
      <w:r w:rsidR="00B35A67">
        <w:rPr>
          <w:rFonts w:ascii="Century Schoolbook" w:hAnsi="Century Schoolbook"/>
          <w:szCs w:val="26"/>
        </w:rPr>
        <w:t>-</w:t>
      </w:r>
      <w:r>
        <w:rPr>
          <w:rFonts w:ascii="Century Schoolbook" w:hAnsi="Century Schoolbook"/>
          <w:szCs w:val="26"/>
        </w:rPr>
        <w:t xml:space="preserve">fact contract was formed based on conduct, custom, usage, and history. </w:t>
      </w:r>
      <w:r w:rsidR="007E1BFF">
        <w:rPr>
          <w:rFonts w:ascii="Century Schoolbook" w:hAnsi="Century Schoolbook"/>
          <w:szCs w:val="26"/>
        </w:rPr>
        <w:t xml:space="preserve"> </w:t>
      </w:r>
      <w:r>
        <w:rPr>
          <w:rFonts w:ascii="Century Schoolbook" w:hAnsi="Century Schoolbook"/>
          <w:szCs w:val="26"/>
        </w:rPr>
        <w:t xml:space="preserve">They </w:t>
      </w:r>
      <w:r w:rsidR="001C273A">
        <w:rPr>
          <w:rFonts w:ascii="Century Schoolbook" w:hAnsi="Century Schoolbook"/>
          <w:szCs w:val="26"/>
        </w:rPr>
        <w:t>contended</w:t>
      </w:r>
      <w:r>
        <w:rPr>
          <w:rFonts w:ascii="Century Schoolbook" w:hAnsi="Century Schoolbook"/>
          <w:szCs w:val="26"/>
        </w:rPr>
        <w:t xml:space="preserve"> USF’s 165-year history of in-person instruction, the course syllabi referencing the physical location of in-person classes, the course descriptions in the course catalog,</w:t>
      </w:r>
      <w:r w:rsidR="001C273A">
        <w:rPr>
          <w:rFonts w:ascii="Century Schoolbook" w:hAnsi="Century Schoolbook"/>
          <w:szCs w:val="26"/>
        </w:rPr>
        <w:t xml:space="preserve"> </w:t>
      </w:r>
      <w:r>
        <w:rPr>
          <w:rFonts w:ascii="Century Schoolbook" w:hAnsi="Century Schoolbook"/>
          <w:szCs w:val="26"/>
        </w:rPr>
        <w:t xml:space="preserve">and the student schedules stating the physical locations and times of in-person classes all </w:t>
      </w:r>
      <w:r w:rsidR="00B35A67">
        <w:rPr>
          <w:rFonts w:ascii="Century Schoolbook" w:hAnsi="Century Schoolbook"/>
          <w:szCs w:val="26"/>
        </w:rPr>
        <w:t>indicate</w:t>
      </w:r>
      <w:r>
        <w:rPr>
          <w:rFonts w:ascii="Century Schoolbook" w:hAnsi="Century Schoolbook"/>
          <w:szCs w:val="26"/>
        </w:rPr>
        <w:t xml:space="preserve"> USF </w:t>
      </w:r>
      <w:r w:rsidR="00B35A67">
        <w:rPr>
          <w:rFonts w:ascii="Century Schoolbook" w:hAnsi="Century Schoolbook"/>
          <w:szCs w:val="26"/>
        </w:rPr>
        <w:t>represented itself as a “residential university, offering in-person instruction and on-campus facilities.”</w:t>
      </w:r>
      <w:r>
        <w:rPr>
          <w:rFonts w:ascii="Century Schoolbook" w:hAnsi="Century Schoolbook"/>
          <w:szCs w:val="26"/>
        </w:rPr>
        <w:t xml:space="preserve"> </w:t>
      </w:r>
      <w:r w:rsidR="007E1BFF">
        <w:rPr>
          <w:rFonts w:ascii="Century Schoolbook" w:hAnsi="Century Schoolbook"/>
          <w:szCs w:val="26"/>
        </w:rPr>
        <w:t xml:space="preserve"> </w:t>
      </w:r>
      <w:r w:rsidR="001C273A">
        <w:rPr>
          <w:rFonts w:ascii="Century Schoolbook" w:hAnsi="Century Schoolbook"/>
          <w:szCs w:val="26"/>
        </w:rPr>
        <w:t>Appellants</w:t>
      </w:r>
      <w:r w:rsidR="00B35A67">
        <w:rPr>
          <w:rFonts w:ascii="Century Schoolbook" w:hAnsi="Century Schoolbook"/>
          <w:szCs w:val="26"/>
        </w:rPr>
        <w:t xml:space="preserve"> noted none of these materials contained any reference to online instruction, and USF’s general reservation of rights</w:t>
      </w:r>
      <w:r>
        <w:rPr>
          <w:rStyle w:val="FootnoteReference"/>
          <w:szCs w:val="26"/>
        </w:rPr>
        <w:footnoteReference w:id="2"/>
      </w:r>
      <w:r w:rsidR="00B35A67">
        <w:rPr>
          <w:rFonts w:ascii="Century Schoolbook" w:hAnsi="Century Schoolbook"/>
          <w:szCs w:val="26"/>
        </w:rPr>
        <w:t xml:space="preserve"> cannot excuse its failure to provide promised services. </w:t>
      </w:r>
    </w:p>
    <w:p w:rsidR="00B35A67" w:rsidP="0044612F" w14:paraId="10119644" w14:textId="5EB4C584">
      <w:pPr>
        <w:spacing w:line="360" w:lineRule="auto"/>
        <w:rPr>
          <w:rFonts w:ascii="Century Schoolbook" w:hAnsi="Century Schoolbook"/>
          <w:szCs w:val="26"/>
        </w:rPr>
      </w:pPr>
      <w:r>
        <w:rPr>
          <w:rFonts w:ascii="Century Schoolbook" w:hAnsi="Century Schoolbook"/>
          <w:szCs w:val="26"/>
        </w:rPr>
        <w:tab/>
      </w:r>
      <w:r w:rsidR="001C273A">
        <w:rPr>
          <w:rFonts w:ascii="Century Schoolbook" w:hAnsi="Century Schoolbook"/>
          <w:szCs w:val="26"/>
        </w:rPr>
        <w:t>Appellants</w:t>
      </w:r>
      <w:r>
        <w:rPr>
          <w:rFonts w:ascii="Century Schoolbook" w:hAnsi="Century Schoolbook"/>
          <w:szCs w:val="26"/>
        </w:rPr>
        <w:t xml:space="preserve"> further argued USF’s affirmative defenses of impossibility and educational malpractice </w:t>
      </w:r>
      <w:r w:rsidR="001C273A">
        <w:rPr>
          <w:rFonts w:ascii="Century Schoolbook" w:hAnsi="Century Schoolbook"/>
          <w:szCs w:val="26"/>
        </w:rPr>
        <w:t>were</w:t>
      </w:r>
      <w:r>
        <w:rPr>
          <w:rFonts w:ascii="Century Schoolbook" w:hAnsi="Century Schoolbook"/>
          <w:szCs w:val="26"/>
        </w:rPr>
        <w:t xml:space="preserve"> inapplicable, fact issues exist</w:t>
      </w:r>
      <w:r w:rsidR="001C273A">
        <w:rPr>
          <w:rFonts w:ascii="Century Schoolbook" w:hAnsi="Century Schoolbook"/>
          <w:szCs w:val="26"/>
        </w:rPr>
        <w:t>ed</w:t>
      </w:r>
      <w:r>
        <w:rPr>
          <w:rFonts w:ascii="Century Schoolbook" w:hAnsi="Century Schoolbook"/>
          <w:szCs w:val="26"/>
        </w:rPr>
        <w:t xml:space="preserve"> as to their </w:t>
      </w:r>
      <w:r w:rsidR="0094002F">
        <w:rPr>
          <w:rFonts w:ascii="Century Schoolbook" w:hAnsi="Century Schoolbook"/>
          <w:szCs w:val="26"/>
        </w:rPr>
        <w:t xml:space="preserve">UCL, quasi-contract, and promissory estoppel </w:t>
      </w:r>
      <w:r>
        <w:rPr>
          <w:rFonts w:ascii="Century Schoolbook" w:hAnsi="Century Schoolbook"/>
          <w:szCs w:val="26"/>
        </w:rPr>
        <w:t>claims</w:t>
      </w:r>
      <w:r w:rsidR="0094002F">
        <w:rPr>
          <w:rFonts w:ascii="Century Schoolbook" w:hAnsi="Century Schoolbook"/>
          <w:szCs w:val="26"/>
        </w:rPr>
        <w:t xml:space="preserve">, and </w:t>
      </w:r>
      <w:r w:rsidR="001C273A">
        <w:rPr>
          <w:rFonts w:ascii="Century Schoolbook" w:hAnsi="Century Schoolbook"/>
          <w:szCs w:val="26"/>
        </w:rPr>
        <w:t>appellant</w:t>
      </w:r>
      <w:r>
        <w:rPr>
          <w:rFonts w:ascii="Century Schoolbook" w:hAnsi="Century Schoolbook"/>
          <w:szCs w:val="26"/>
        </w:rPr>
        <w:t xml:space="preserve"> Kaiser ha</w:t>
      </w:r>
      <w:r w:rsidR="001C273A">
        <w:rPr>
          <w:rFonts w:ascii="Century Schoolbook" w:hAnsi="Century Schoolbook"/>
          <w:szCs w:val="26"/>
        </w:rPr>
        <w:t>d</w:t>
      </w:r>
      <w:r>
        <w:rPr>
          <w:rFonts w:ascii="Century Schoolbook" w:hAnsi="Century Schoolbook"/>
          <w:szCs w:val="26"/>
        </w:rPr>
        <w:t xml:space="preserve"> standing</w:t>
      </w:r>
      <w:r w:rsidR="001C273A">
        <w:rPr>
          <w:rFonts w:ascii="Century Schoolbook" w:hAnsi="Century Schoolbook"/>
          <w:szCs w:val="26"/>
        </w:rPr>
        <w:t>.</w:t>
      </w:r>
      <w:r>
        <w:rPr>
          <w:rFonts w:ascii="Century Schoolbook" w:hAnsi="Century Schoolbook"/>
          <w:szCs w:val="26"/>
        </w:rPr>
        <w:t xml:space="preserve"> </w:t>
      </w:r>
    </w:p>
    <w:p w:rsidR="002F2062" w:rsidP="0044612F" w14:paraId="3CD7504A" w14:textId="138987EF">
      <w:pPr>
        <w:spacing w:line="360" w:lineRule="auto"/>
        <w:rPr>
          <w:rFonts w:ascii="Century Schoolbook" w:hAnsi="Century Schoolbook"/>
          <w:szCs w:val="26"/>
        </w:rPr>
      </w:pPr>
      <w:r>
        <w:rPr>
          <w:rFonts w:ascii="Century Schoolbook" w:hAnsi="Century Schoolbook"/>
          <w:szCs w:val="26"/>
        </w:rPr>
        <w:tab/>
        <w:t xml:space="preserve">The trial court granted USF’s motion as to the breach of contract, </w:t>
      </w:r>
      <w:r w:rsidR="001C273A">
        <w:rPr>
          <w:rFonts w:ascii="Century Schoolbook" w:hAnsi="Century Schoolbook"/>
          <w:szCs w:val="26"/>
        </w:rPr>
        <w:t xml:space="preserve">breach of the implied covenant of good faith and fair dealing, </w:t>
      </w:r>
      <w:r>
        <w:rPr>
          <w:rFonts w:ascii="Century Schoolbook" w:hAnsi="Century Schoolbook"/>
          <w:szCs w:val="26"/>
        </w:rPr>
        <w:t>quasi-contract, and promissory estoppel causes of action, but denied it as to the UCL cause of action.</w:t>
      </w:r>
      <w:r>
        <w:rPr>
          <w:rStyle w:val="FootnoteReference"/>
          <w:szCs w:val="26"/>
        </w:rPr>
        <w:footnoteReference w:id="3"/>
      </w:r>
      <w:r>
        <w:rPr>
          <w:rFonts w:ascii="Century Schoolbook" w:hAnsi="Century Schoolbook"/>
          <w:szCs w:val="26"/>
        </w:rPr>
        <w:t xml:space="preserve"> </w:t>
      </w:r>
      <w:r w:rsidR="007E1BFF">
        <w:rPr>
          <w:rFonts w:ascii="Century Schoolbook" w:hAnsi="Century Schoolbook"/>
          <w:szCs w:val="26"/>
        </w:rPr>
        <w:t xml:space="preserve"> </w:t>
      </w:r>
      <w:r>
        <w:rPr>
          <w:rFonts w:ascii="Century Schoolbook" w:hAnsi="Century Schoolbook"/>
          <w:szCs w:val="26"/>
        </w:rPr>
        <w:t xml:space="preserve">The court noted “[t]he fact and substance of Plaintiffs’ admissions letters offering them admission to USF . . . are undisputed.” </w:t>
      </w:r>
      <w:r w:rsidR="007E1BFF">
        <w:rPr>
          <w:rFonts w:ascii="Century Schoolbook" w:hAnsi="Century Schoolbook"/>
          <w:szCs w:val="26"/>
        </w:rPr>
        <w:t xml:space="preserve"> </w:t>
      </w:r>
      <w:r>
        <w:rPr>
          <w:rFonts w:ascii="Century Schoolbook" w:hAnsi="Century Schoolbook"/>
          <w:szCs w:val="26"/>
        </w:rPr>
        <w:t xml:space="preserve">The court explained the letters “do not contain any promise of in-person instruction, nor do they contain unqualified promises of </w:t>
      </w:r>
      <w:r>
        <w:rPr>
          <w:rFonts w:ascii="Century Schoolbook" w:hAnsi="Century Schoolbook"/>
          <w:i/>
          <w:iCs/>
          <w:szCs w:val="26"/>
        </w:rPr>
        <w:t>exclusively</w:t>
      </w:r>
      <w:r>
        <w:rPr>
          <w:rFonts w:ascii="Century Schoolbook" w:hAnsi="Century Schoolbook"/>
          <w:szCs w:val="26"/>
        </w:rPr>
        <w:t xml:space="preserve"> in-person instruction even during an emergency like the COIVD-19 pandemic</w:t>
      </w:r>
      <w:r w:rsidR="00E9207B">
        <w:rPr>
          <w:rFonts w:ascii="Century Schoolbook" w:hAnsi="Century Schoolbook"/>
          <w:szCs w:val="26"/>
        </w:rPr>
        <w:t>.</w:t>
      </w:r>
      <w:r>
        <w:rPr>
          <w:rFonts w:ascii="Century Schoolbook" w:hAnsi="Century Schoolbook"/>
          <w:szCs w:val="26"/>
        </w:rPr>
        <w:t>”</w:t>
      </w:r>
      <w:r w:rsidR="00E9207B">
        <w:rPr>
          <w:rFonts w:ascii="Century Schoolbook" w:hAnsi="Century Schoolbook"/>
          <w:szCs w:val="26"/>
        </w:rPr>
        <w:t xml:space="preserve"> </w:t>
      </w:r>
      <w:r>
        <w:rPr>
          <w:rFonts w:ascii="Century Schoolbook" w:hAnsi="Century Schoolbook"/>
          <w:szCs w:val="26"/>
        </w:rPr>
        <w:t xml:space="preserve"> The court likewise concluded other documents referenced by </w:t>
      </w:r>
      <w:r w:rsidR="008D5ED1">
        <w:rPr>
          <w:rFonts w:ascii="Century Schoolbook" w:hAnsi="Century Schoolbook"/>
          <w:szCs w:val="26"/>
        </w:rPr>
        <w:t>appellants</w:t>
      </w:r>
      <w:r>
        <w:rPr>
          <w:rFonts w:ascii="Century Schoolbook" w:hAnsi="Century Schoolbook"/>
          <w:szCs w:val="26"/>
        </w:rPr>
        <w:t>, such as syllabi, student schedules, and course catalogs</w:t>
      </w:r>
      <w:r w:rsidR="00CB29D4">
        <w:rPr>
          <w:rFonts w:ascii="Century Schoolbook" w:hAnsi="Century Schoolbook"/>
          <w:szCs w:val="26"/>
        </w:rPr>
        <w:t xml:space="preserve">, do not contain and “cannot give rise to a binding agreement for in-person instruction.” </w:t>
      </w:r>
      <w:r w:rsidR="007E1BFF">
        <w:rPr>
          <w:rFonts w:ascii="Century Schoolbook" w:hAnsi="Century Schoolbook"/>
          <w:szCs w:val="26"/>
        </w:rPr>
        <w:t xml:space="preserve"> </w:t>
      </w:r>
      <w:r w:rsidR="001C273A">
        <w:rPr>
          <w:rFonts w:ascii="Century Schoolbook" w:hAnsi="Century Schoolbook"/>
          <w:szCs w:val="26"/>
        </w:rPr>
        <w:t xml:space="preserve">Accordingly, the trial court held appellants </w:t>
      </w:r>
      <w:r w:rsidR="006C4D5D">
        <w:rPr>
          <w:rFonts w:ascii="Century Schoolbook" w:hAnsi="Century Schoolbook"/>
          <w:szCs w:val="26"/>
        </w:rPr>
        <w:t xml:space="preserve">could not </w:t>
      </w:r>
      <w:r w:rsidR="00B85DFA">
        <w:rPr>
          <w:rFonts w:ascii="Century Schoolbook" w:hAnsi="Century Schoolbook"/>
          <w:szCs w:val="26"/>
        </w:rPr>
        <w:t xml:space="preserve">establish a breach “based on the failure to provide in-person instruction during the COVID-19 pandemic” or otherwise </w:t>
      </w:r>
      <w:r w:rsidR="001C273A">
        <w:rPr>
          <w:rFonts w:ascii="Century Schoolbook" w:hAnsi="Century Schoolbook"/>
          <w:szCs w:val="26"/>
        </w:rPr>
        <w:t xml:space="preserve">raise a triable issue of fact. </w:t>
      </w:r>
    </w:p>
    <w:p w:rsidR="002F2062" w:rsidRPr="0094002F" w:rsidP="0044612F" w14:paraId="10B44506" w14:textId="12D9A0B0">
      <w:pPr>
        <w:spacing w:line="360" w:lineRule="auto"/>
        <w:rPr>
          <w:rFonts w:ascii="Century Schoolbook" w:hAnsi="Century Schoolbook"/>
          <w:szCs w:val="26"/>
        </w:rPr>
      </w:pPr>
      <w:r>
        <w:rPr>
          <w:rFonts w:ascii="Century Schoolbook" w:hAnsi="Century Schoolbook"/>
          <w:szCs w:val="26"/>
        </w:rPr>
        <w:tab/>
      </w:r>
      <w:r w:rsidR="009E1894">
        <w:rPr>
          <w:rFonts w:ascii="Century Schoolbook" w:hAnsi="Century Schoolbook"/>
          <w:szCs w:val="26"/>
        </w:rPr>
        <w:t xml:space="preserve">The </w:t>
      </w:r>
      <w:r>
        <w:rPr>
          <w:rFonts w:ascii="Century Schoolbook" w:hAnsi="Century Schoolbook"/>
          <w:szCs w:val="26"/>
        </w:rPr>
        <w:t xml:space="preserve">court </w:t>
      </w:r>
      <w:r w:rsidR="009E1894">
        <w:rPr>
          <w:rFonts w:ascii="Century Schoolbook" w:hAnsi="Century Schoolbook"/>
          <w:szCs w:val="26"/>
        </w:rPr>
        <w:t xml:space="preserve">also </w:t>
      </w:r>
      <w:r>
        <w:rPr>
          <w:rFonts w:ascii="Century Schoolbook" w:hAnsi="Century Schoolbook"/>
          <w:szCs w:val="26"/>
        </w:rPr>
        <w:t xml:space="preserve">concluded </w:t>
      </w:r>
      <w:r w:rsidR="001C273A">
        <w:rPr>
          <w:rFonts w:ascii="Century Schoolbook" w:hAnsi="Century Schoolbook"/>
          <w:szCs w:val="26"/>
        </w:rPr>
        <w:t>appellants</w:t>
      </w:r>
      <w:r>
        <w:rPr>
          <w:rFonts w:ascii="Century Schoolbook" w:hAnsi="Century Schoolbook"/>
          <w:szCs w:val="26"/>
        </w:rPr>
        <w:t xml:space="preserve"> could not sustain a quasi-contract claim because </w:t>
      </w:r>
      <w:r w:rsidR="009E1894">
        <w:rPr>
          <w:rFonts w:ascii="Century Schoolbook" w:hAnsi="Century Schoolbook"/>
          <w:szCs w:val="26"/>
        </w:rPr>
        <w:t>they challenged</w:t>
      </w:r>
      <w:r>
        <w:rPr>
          <w:rFonts w:ascii="Century Schoolbook" w:hAnsi="Century Schoolbook"/>
          <w:szCs w:val="26"/>
        </w:rPr>
        <w:t xml:space="preserve"> the terms</w:t>
      </w:r>
      <w:r w:rsidR="009E1894">
        <w:rPr>
          <w:rFonts w:ascii="Century Schoolbook" w:hAnsi="Century Schoolbook"/>
          <w:szCs w:val="26"/>
        </w:rPr>
        <w:t xml:space="preserve"> of their contract with USF</w:t>
      </w:r>
      <w:r>
        <w:rPr>
          <w:rFonts w:ascii="Century Schoolbook" w:hAnsi="Century Schoolbook"/>
          <w:szCs w:val="26"/>
        </w:rPr>
        <w:t xml:space="preserve">, not its existence. </w:t>
      </w:r>
      <w:r w:rsidR="007E1BFF">
        <w:rPr>
          <w:rFonts w:ascii="Century Schoolbook" w:hAnsi="Century Schoolbook"/>
          <w:szCs w:val="26"/>
        </w:rPr>
        <w:t xml:space="preserve"> </w:t>
      </w:r>
      <w:r w:rsidR="009C5FD4">
        <w:rPr>
          <w:rFonts w:ascii="Century Schoolbook" w:hAnsi="Century Schoolbook"/>
          <w:szCs w:val="26"/>
        </w:rPr>
        <w:t>Finally, t</w:t>
      </w:r>
      <w:r>
        <w:rPr>
          <w:rFonts w:ascii="Century Schoolbook" w:hAnsi="Century Schoolbook"/>
          <w:szCs w:val="26"/>
        </w:rPr>
        <w:t xml:space="preserve">he court rejected </w:t>
      </w:r>
      <w:r w:rsidR="009E1894">
        <w:rPr>
          <w:rFonts w:ascii="Century Schoolbook" w:hAnsi="Century Schoolbook"/>
          <w:szCs w:val="26"/>
        </w:rPr>
        <w:t>appellants’</w:t>
      </w:r>
      <w:r>
        <w:rPr>
          <w:rFonts w:ascii="Century Schoolbook" w:hAnsi="Century Schoolbook"/>
          <w:szCs w:val="26"/>
        </w:rPr>
        <w:t xml:space="preserve"> promissory estoppel claim because “the undisputed evidence establishes that USF did not make clear and unequivocal promises” for in-person instruction. </w:t>
      </w:r>
    </w:p>
    <w:p w:rsidR="009C5FD4" w:rsidP="0044612F" w14:paraId="7499C543" w14:textId="1AFB699B">
      <w:pPr>
        <w:spacing w:line="360" w:lineRule="auto"/>
        <w:rPr>
          <w:rFonts w:ascii="Century Schoolbook" w:hAnsi="Century Schoolbook"/>
          <w:szCs w:val="26"/>
        </w:rPr>
      </w:pPr>
      <w:r>
        <w:rPr>
          <w:rFonts w:ascii="Century Schoolbook" w:hAnsi="Century Schoolbook"/>
          <w:szCs w:val="26"/>
        </w:rPr>
        <w:tab/>
      </w:r>
      <w:r w:rsidR="009E1894">
        <w:rPr>
          <w:rFonts w:ascii="Century Schoolbook" w:hAnsi="Century Schoolbook"/>
          <w:szCs w:val="26"/>
        </w:rPr>
        <w:t>Appellants requested t</w:t>
      </w:r>
      <w:r>
        <w:rPr>
          <w:rFonts w:ascii="Century Schoolbook" w:hAnsi="Century Schoolbook"/>
          <w:szCs w:val="26"/>
        </w:rPr>
        <w:t xml:space="preserve">he court </w:t>
      </w:r>
      <w:r w:rsidR="009E1894">
        <w:rPr>
          <w:rFonts w:ascii="Century Schoolbook" w:hAnsi="Century Schoolbook"/>
          <w:szCs w:val="26"/>
        </w:rPr>
        <w:t>dismiss</w:t>
      </w:r>
      <w:r>
        <w:rPr>
          <w:rFonts w:ascii="Century Schoolbook" w:hAnsi="Century Schoolbook"/>
          <w:szCs w:val="26"/>
        </w:rPr>
        <w:t xml:space="preserve"> the UCL cause of action with prejudice</w:t>
      </w:r>
      <w:r w:rsidR="009E1894">
        <w:rPr>
          <w:rFonts w:ascii="Century Schoolbook" w:hAnsi="Century Schoolbook"/>
          <w:szCs w:val="26"/>
        </w:rPr>
        <w:t>, which the court granted</w:t>
      </w:r>
      <w:r>
        <w:rPr>
          <w:rFonts w:ascii="Century Schoolbook" w:hAnsi="Century Schoolbook"/>
          <w:szCs w:val="26"/>
        </w:rPr>
        <w:t xml:space="preserve">. </w:t>
      </w:r>
      <w:r w:rsidR="007E1BFF">
        <w:rPr>
          <w:rFonts w:ascii="Century Schoolbook" w:hAnsi="Century Schoolbook"/>
          <w:szCs w:val="26"/>
        </w:rPr>
        <w:t xml:space="preserve"> </w:t>
      </w:r>
      <w:r w:rsidR="009E1894">
        <w:rPr>
          <w:rFonts w:ascii="Century Schoolbook" w:hAnsi="Century Schoolbook"/>
          <w:szCs w:val="26"/>
        </w:rPr>
        <w:t>They now</w:t>
      </w:r>
      <w:r>
        <w:rPr>
          <w:rFonts w:ascii="Century Schoolbook" w:hAnsi="Century Schoolbook"/>
          <w:szCs w:val="26"/>
        </w:rPr>
        <w:t xml:space="preserve"> appeal. </w:t>
      </w:r>
    </w:p>
    <w:p w:rsidR="00F8707E" w:rsidRPr="009E1894" w:rsidP="009E1894" w14:paraId="0BC8CE26" w14:textId="1698D512">
      <w:pPr>
        <w:keepNext/>
        <w:spacing w:line="360" w:lineRule="auto"/>
        <w:jc w:val="center"/>
        <w:rPr>
          <w:rFonts w:ascii="Century Schoolbook" w:hAnsi="Century Schoolbook"/>
          <w:szCs w:val="26"/>
        </w:rPr>
      </w:pPr>
      <w:r>
        <w:rPr>
          <w:rFonts w:ascii="Century Schoolbook" w:hAnsi="Century Schoolbook"/>
          <w:b/>
          <w:bCs/>
          <w:smallCaps/>
          <w:szCs w:val="26"/>
        </w:rPr>
        <w:t>Discussion</w:t>
      </w:r>
    </w:p>
    <w:p w:rsidR="00F8707E" w:rsidRPr="00D537AF" w:rsidP="00E555EC" w14:paraId="2F718278" w14:textId="48CD18A9">
      <w:pPr>
        <w:spacing w:line="360" w:lineRule="auto"/>
        <w:rPr>
          <w:rFonts w:ascii="Century Schoolbook" w:hAnsi="Century Schoolbook"/>
          <w:b/>
          <w:bCs/>
          <w:iCs/>
          <w:szCs w:val="26"/>
        </w:rPr>
      </w:pPr>
      <w:r>
        <w:rPr>
          <w:rFonts w:ascii="Century Schoolbook" w:hAnsi="Century Schoolbook"/>
          <w:b/>
          <w:bCs/>
          <w:iCs/>
          <w:szCs w:val="26"/>
        </w:rPr>
        <w:t>I</w:t>
      </w:r>
      <w:r w:rsidRPr="00D537AF">
        <w:rPr>
          <w:rFonts w:ascii="Century Schoolbook" w:hAnsi="Century Schoolbook"/>
          <w:b/>
          <w:bCs/>
          <w:iCs/>
          <w:szCs w:val="26"/>
        </w:rPr>
        <w:t>.  Standard of Review</w:t>
      </w:r>
    </w:p>
    <w:p w:rsidR="009E1894" w:rsidRPr="009E1894" w:rsidP="009E1894" w14:paraId="0FE1C178" w14:textId="23191EF3">
      <w:pPr>
        <w:spacing w:line="360" w:lineRule="auto"/>
        <w:rPr>
          <w:rFonts w:ascii="Century Schoolbook" w:hAnsi="Century Schoolbook"/>
          <w:iCs/>
          <w:szCs w:val="26"/>
        </w:rPr>
      </w:pPr>
      <w:r>
        <w:rPr>
          <w:rFonts w:ascii="Century Schoolbook" w:hAnsi="Century Schoolbook"/>
          <w:iCs/>
          <w:szCs w:val="26"/>
        </w:rPr>
        <w:tab/>
      </w:r>
      <w:r w:rsidRPr="009E1894">
        <w:rPr>
          <w:rFonts w:ascii="Century Schoolbook" w:hAnsi="Century Schoolbook"/>
          <w:iCs/>
          <w:szCs w:val="26"/>
        </w:rPr>
        <w:t xml:space="preserve">“Summary judgment is appropriate when there are no triable issues of material fact such that the moving party is entitled to judgment as a matter of law on all causes of action.” </w:t>
      </w:r>
      <w:r>
        <w:rPr>
          <w:rFonts w:ascii="Century Schoolbook" w:hAnsi="Century Schoolbook"/>
          <w:iCs/>
          <w:szCs w:val="26"/>
        </w:rPr>
        <w:t xml:space="preserve"> </w:t>
      </w:r>
      <w:r w:rsidRPr="009E1894">
        <w:rPr>
          <w:rFonts w:ascii="Century Schoolbook" w:hAnsi="Century Schoolbook"/>
          <w:iCs/>
          <w:szCs w:val="26"/>
        </w:rPr>
        <w:t>(</w:t>
      </w:r>
      <w:r w:rsidRPr="009E1894">
        <w:rPr>
          <w:rFonts w:ascii="Century Schoolbook" w:hAnsi="Century Schoolbook"/>
          <w:i/>
          <w:szCs w:val="26"/>
        </w:rPr>
        <w:t>Choi v. Sagemark Consulting</w:t>
      </w:r>
      <w:r w:rsidRPr="009E1894">
        <w:rPr>
          <w:rFonts w:ascii="Century Schoolbook" w:hAnsi="Century Schoolbook"/>
          <w:iCs/>
          <w:szCs w:val="26"/>
        </w:rPr>
        <w:t xml:space="preserve"> (2017) 18 Cal.App.5th 308, 318 (</w:t>
      </w:r>
      <w:r w:rsidRPr="009E1894">
        <w:rPr>
          <w:rFonts w:ascii="Century Schoolbook" w:hAnsi="Century Schoolbook"/>
          <w:i/>
          <w:szCs w:val="26"/>
        </w:rPr>
        <w:t>Choi</w:t>
      </w:r>
      <w:r w:rsidRPr="009E1894">
        <w:rPr>
          <w:rFonts w:ascii="Century Schoolbook" w:hAnsi="Century Schoolbook"/>
          <w:iCs/>
          <w:szCs w:val="26"/>
        </w:rPr>
        <w:t>).)</w:t>
      </w:r>
    </w:p>
    <w:p w:rsidR="00E555EC" w:rsidRPr="00E555EC" w:rsidP="009E1894" w14:paraId="4F44E71F" w14:textId="0E97461B">
      <w:pPr>
        <w:spacing w:line="360" w:lineRule="auto"/>
        <w:rPr>
          <w:rFonts w:ascii="Century Schoolbook" w:hAnsi="Century Schoolbook"/>
          <w:i/>
          <w:szCs w:val="26"/>
        </w:rPr>
      </w:pPr>
      <w:r>
        <w:rPr>
          <w:rFonts w:ascii="Century Schoolbook" w:hAnsi="Century Schoolbook"/>
          <w:iCs/>
          <w:szCs w:val="26"/>
        </w:rPr>
        <w:tab/>
      </w:r>
      <w:r w:rsidRPr="009E1894">
        <w:rPr>
          <w:rFonts w:ascii="Century Schoolbook" w:hAnsi="Century Schoolbook"/>
          <w:iCs/>
          <w:szCs w:val="26"/>
        </w:rPr>
        <w:t xml:space="preserve">“We review an order granting summary judgment de novo, applying the same three-step analysis as the trial court. </w:t>
      </w:r>
      <w:r>
        <w:rPr>
          <w:rFonts w:ascii="Century Schoolbook" w:hAnsi="Century Schoolbook"/>
          <w:iCs/>
          <w:szCs w:val="26"/>
        </w:rPr>
        <w:t xml:space="preserve"> </w:t>
      </w:r>
      <w:r w:rsidRPr="009E1894">
        <w:rPr>
          <w:rFonts w:ascii="Century Schoolbook" w:hAnsi="Century Schoolbook"/>
          <w:iCs/>
          <w:szCs w:val="26"/>
        </w:rPr>
        <w:t>[Citations.]</w:t>
      </w:r>
      <w:r>
        <w:rPr>
          <w:rFonts w:ascii="Century Schoolbook" w:hAnsi="Century Schoolbook"/>
          <w:iCs/>
          <w:szCs w:val="26"/>
        </w:rPr>
        <w:t xml:space="preserve"> </w:t>
      </w:r>
      <w:r w:rsidRPr="009E1894">
        <w:rPr>
          <w:rFonts w:ascii="Century Schoolbook" w:hAnsi="Century Schoolbook"/>
          <w:iCs/>
          <w:szCs w:val="26"/>
        </w:rPr>
        <w:t xml:space="preserve"> First, we identify the causes of action framed by the pleadings. </w:t>
      </w:r>
      <w:r>
        <w:rPr>
          <w:rFonts w:ascii="Century Schoolbook" w:hAnsi="Century Schoolbook"/>
          <w:iCs/>
          <w:szCs w:val="26"/>
        </w:rPr>
        <w:t xml:space="preserve"> </w:t>
      </w:r>
      <w:r w:rsidRPr="009E1894">
        <w:rPr>
          <w:rFonts w:ascii="Century Schoolbook" w:hAnsi="Century Schoolbook"/>
          <w:iCs/>
          <w:szCs w:val="26"/>
        </w:rPr>
        <w:t xml:space="preserve">Second, we determine whether the moving party has satisfied its burden of showing the causes of action have no merit because one or more elements cannot be established, or that there is a complete defense to that cause of action. </w:t>
      </w:r>
      <w:r>
        <w:rPr>
          <w:rFonts w:ascii="Century Schoolbook" w:hAnsi="Century Schoolbook"/>
          <w:iCs/>
          <w:szCs w:val="26"/>
        </w:rPr>
        <w:t xml:space="preserve"> </w:t>
      </w:r>
      <w:r w:rsidRPr="009E1894">
        <w:rPr>
          <w:rFonts w:ascii="Century Schoolbook" w:hAnsi="Century Schoolbook"/>
          <w:iCs/>
          <w:szCs w:val="26"/>
        </w:rPr>
        <w:t>Third, if the moving party has made a prima facie showing that it is entitled to judgment as a matter of law, the burden of production shifts and we review whether the party opposing summary judgment has provided evidence of a triable issue of material fact as to the cause of action or a defense.</w:t>
      </w:r>
      <w:r>
        <w:rPr>
          <w:rFonts w:ascii="Century Schoolbook" w:hAnsi="Century Schoolbook"/>
          <w:iCs/>
          <w:szCs w:val="26"/>
        </w:rPr>
        <w:t xml:space="preserve"> </w:t>
      </w:r>
      <w:r w:rsidRPr="009E1894">
        <w:rPr>
          <w:rFonts w:ascii="Century Schoolbook" w:hAnsi="Century Schoolbook"/>
          <w:iCs/>
          <w:szCs w:val="26"/>
        </w:rPr>
        <w:t xml:space="preserve"> [Citations.]</w:t>
      </w:r>
      <w:r>
        <w:rPr>
          <w:rFonts w:ascii="Century Schoolbook" w:hAnsi="Century Schoolbook"/>
          <w:iCs/>
          <w:szCs w:val="26"/>
        </w:rPr>
        <w:t xml:space="preserve"> </w:t>
      </w:r>
      <w:r w:rsidRPr="009E1894">
        <w:rPr>
          <w:rFonts w:ascii="Century Schoolbook" w:hAnsi="Century Schoolbook"/>
          <w:iCs/>
          <w:szCs w:val="26"/>
        </w:rPr>
        <w:t xml:space="preserve"> A party opposing summary judgment may not ‘rely upon the allegations or denials of its pleadings’ but must set forth ‘specific facts’ beyond the pleadings to show the existence of a triable issue of material fact.</w:t>
      </w:r>
      <w:r>
        <w:rPr>
          <w:rFonts w:ascii="Century Schoolbook" w:hAnsi="Century Schoolbook"/>
          <w:iCs/>
          <w:szCs w:val="26"/>
        </w:rPr>
        <w:t xml:space="preserve"> </w:t>
      </w:r>
      <w:r w:rsidRPr="009E1894">
        <w:rPr>
          <w:rFonts w:ascii="Century Schoolbook" w:hAnsi="Century Schoolbook"/>
          <w:iCs/>
          <w:szCs w:val="26"/>
        </w:rPr>
        <w:t xml:space="preserve"> [Citation.] </w:t>
      </w:r>
      <w:r>
        <w:rPr>
          <w:rFonts w:ascii="Century Schoolbook" w:hAnsi="Century Schoolbook"/>
          <w:iCs/>
          <w:szCs w:val="26"/>
        </w:rPr>
        <w:t xml:space="preserve"> </w:t>
      </w:r>
      <w:r w:rsidRPr="009E1894">
        <w:rPr>
          <w:rFonts w:ascii="Century Schoolbook" w:hAnsi="Century Schoolbook"/>
          <w:iCs/>
          <w:szCs w:val="26"/>
        </w:rPr>
        <w:t xml:space="preserve">The evidence must be viewed in the light most favorable to the nonmoving party.” </w:t>
      </w:r>
      <w:r>
        <w:rPr>
          <w:rFonts w:ascii="Century Schoolbook" w:hAnsi="Century Schoolbook"/>
          <w:iCs/>
          <w:szCs w:val="26"/>
        </w:rPr>
        <w:t xml:space="preserve"> </w:t>
      </w:r>
      <w:r w:rsidRPr="009E1894">
        <w:rPr>
          <w:rFonts w:ascii="Century Schoolbook" w:hAnsi="Century Schoolbook"/>
          <w:iCs/>
          <w:szCs w:val="26"/>
        </w:rPr>
        <w:t>(</w:t>
      </w:r>
      <w:r w:rsidRPr="009E1894">
        <w:rPr>
          <w:rFonts w:ascii="Century Schoolbook" w:hAnsi="Century Schoolbook"/>
          <w:i/>
          <w:szCs w:val="26"/>
        </w:rPr>
        <w:t>Choi</w:t>
      </w:r>
      <w:r w:rsidRPr="009E1894">
        <w:rPr>
          <w:rFonts w:ascii="Century Schoolbook" w:hAnsi="Century Schoolbook"/>
          <w:iCs/>
          <w:szCs w:val="26"/>
        </w:rPr>
        <w:t xml:space="preserve">, </w:t>
      </w:r>
      <w:r w:rsidRPr="009E1894">
        <w:rPr>
          <w:rFonts w:ascii="Century Schoolbook" w:hAnsi="Century Schoolbook"/>
          <w:i/>
          <w:szCs w:val="26"/>
        </w:rPr>
        <w:t>supra</w:t>
      </w:r>
      <w:r w:rsidRPr="009E1894">
        <w:rPr>
          <w:rFonts w:ascii="Century Schoolbook" w:hAnsi="Century Schoolbook"/>
          <w:iCs/>
          <w:szCs w:val="26"/>
        </w:rPr>
        <w:t>, 18 Cal.App.5th at p.</w:t>
      </w:r>
      <w:r>
        <w:rPr>
          <w:rFonts w:ascii="Century Schoolbook" w:hAnsi="Century Schoolbook"/>
          <w:iCs/>
          <w:szCs w:val="26"/>
        </w:rPr>
        <w:t> </w:t>
      </w:r>
      <w:r w:rsidRPr="009E1894">
        <w:rPr>
          <w:rFonts w:ascii="Century Schoolbook" w:hAnsi="Century Schoolbook"/>
          <w:iCs/>
          <w:szCs w:val="26"/>
        </w:rPr>
        <w:t>318.)</w:t>
      </w:r>
      <w:r>
        <w:rPr>
          <w:rFonts w:ascii="Century Schoolbook" w:hAnsi="Century Schoolbook"/>
          <w:iCs/>
          <w:szCs w:val="26"/>
        </w:rPr>
        <w:t xml:space="preserve"> </w:t>
      </w:r>
      <w:r w:rsidRPr="009E1894">
        <w:rPr>
          <w:rFonts w:ascii="Century Schoolbook" w:hAnsi="Century Schoolbook"/>
          <w:iCs/>
          <w:szCs w:val="26"/>
        </w:rPr>
        <w:t xml:space="preserve"> We independently determine whether the record supports the trial court</w:t>
      </w:r>
      <w:r>
        <w:rPr>
          <w:rFonts w:ascii="Century Schoolbook" w:hAnsi="Century Schoolbook"/>
          <w:iCs/>
          <w:szCs w:val="26"/>
        </w:rPr>
        <w:t>’</w:t>
      </w:r>
      <w:r w:rsidRPr="009E1894">
        <w:rPr>
          <w:rFonts w:ascii="Century Schoolbook" w:hAnsi="Century Schoolbook"/>
          <w:iCs/>
          <w:szCs w:val="26"/>
        </w:rPr>
        <w:t>s conclusions that the asserted claims fail as a matter of law, and we are not bound by the trial court</w:t>
      </w:r>
      <w:r>
        <w:rPr>
          <w:rFonts w:ascii="Century Schoolbook" w:hAnsi="Century Schoolbook"/>
          <w:iCs/>
          <w:szCs w:val="26"/>
        </w:rPr>
        <w:t>’</w:t>
      </w:r>
      <w:r w:rsidRPr="009E1894">
        <w:rPr>
          <w:rFonts w:ascii="Century Schoolbook" w:hAnsi="Century Schoolbook"/>
          <w:iCs/>
          <w:szCs w:val="26"/>
        </w:rPr>
        <w:t xml:space="preserve">s stated reasoning or rationales. </w:t>
      </w:r>
      <w:r>
        <w:rPr>
          <w:rFonts w:ascii="Century Schoolbook" w:hAnsi="Century Schoolbook"/>
          <w:iCs/>
          <w:szCs w:val="26"/>
        </w:rPr>
        <w:t xml:space="preserve"> </w:t>
      </w:r>
      <w:r w:rsidRPr="009E1894">
        <w:rPr>
          <w:rFonts w:ascii="Century Schoolbook" w:hAnsi="Century Schoolbook"/>
          <w:iCs/>
          <w:szCs w:val="26"/>
        </w:rPr>
        <w:t>(</w:t>
      </w:r>
      <w:r w:rsidRPr="009E1894">
        <w:rPr>
          <w:rFonts w:ascii="Century Schoolbook" w:hAnsi="Century Schoolbook"/>
          <w:i/>
          <w:szCs w:val="26"/>
        </w:rPr>
        <w:t>Prilliman v. United Air Lines, Inc</w:t>
      </w:r>
      <w:r w:rsidRPr="009E1894">
        <w:rPr>
          <w:rFonts w:ascii="Century Schoolbook" w:hAnsi="Century Schoolbook"/>
          <w:iCs/>
          <w:szCs w:val="26"/>
        </w:rPr>
        <w:t>. (1997) 53 Cal.App.4th 935, 951.)</w:t>
      </w:r>
    </w:p>
    <w:p w:rsidR="00A93965" w:rsidRPr="00D537AF" w:rsidP="0044612F" w14:paraId="49454EF5" w14:textId="3C0B0060">
      <w:pPr>
        <w:spacing w:line="360" w:lineRule="auto"/>
        <w:rPr>
          <w:rFonts w:ascii="Century Schoolbook" w:hAnsi="Century Schoolbook"/>
          <w:b/>
          <w:bCs/>
          <w:iCs/>
          <w:szCs w:val="26"/>
        </w:rPr>
      </w:pPr>
      <w:r>
        <w:rPr>
          <w:rFonts w:ascii="Century Schoolbook" w:hAnsi="Century Schoolbook"/>
          <w:b/>
          <w:bCs/>
          <w:iCs/>
          <w:szCs w:val="26"/>
        </w:rPr>
        <w:t>II</w:t>
      </w:r>
      <w:r w:rsidRPr="00D537AF" w:rsidR="00A74CB3">
        <w:rPr>
          <w:rFonts w:ascii="Century Schoolbook" w:hAnsi="Century Schoolbook"/>
          <w:b/>
          <w:bCs/>
          <w:iCs/>
          <w:szCs w:val="26"/>
        </w:rPr>
        <w:t xml:space="preserve">.  </w:t>
      </w:r>
      <w:r w:rsidRPr="00D537AF" w:rsidR="00153759">
        <w:rPr>
          <w:rFonts w:ascii="Century Schoolbook" w:hAnsi="Century Schoolbook"/>
          <w:b/>
          <w:bCs/>
          <w:iCs/>
          <w:szCs w:val="26"/>
        </w:rPr>
        <w:t>Breach of</w:t>
      </w:r>
      <w:r w:rsidRPr="00D537AF" w:rsidR="00741002">
        <w:rPr>
          <w:rFonts w:ascii="Century Schoolbook" w:hAnsi="Century Schoolbook"/>
          <w:b/>
          <w:bCs/>
          <w:iCs/>
          <w:szCs w:val="26"/>
        </w:rPr>
        <w:t xml:space="preserve"> Contract</w:t>
      </w:r>
    </w:p>
    <w:p w:rsidR="00153759" w:rsidP="0044612F" w14:paraId="7D55ADD6" w14:textId="03C51A21">
      <w:pPr>
        <w:spacing w:line="360" w:lineRule="auto"/>
        <w:rPr>
          <w:rFonts w:ascii="Century Schoolbook" w:hAnsi="Century Schoolbook"/>
          <w:iCs/>
          <w:szCs w:val="26"/>
        </w:rPr>
      </w:pPr>
      <w:r>
        <w:rPr>
          <w:rFonts w:ascii="Century Schoolbook" w:hAnsi="Century Schoolbook"/>
          <w:iCs/>
          <w:szCs w:val="26"/>
        </w:rPr>
        <w:tab/>
      </w:r>
      <w:r w:rsidR="00F226D8">
        <w:rPr>
          <w:rFonts w:ascii="Century Schoolbook" w:hAnsi="Century Schoolbook"/>
          <w:iCs/>
          <w:szCs w:val="26"/>
        </w:rPr>
        <w:t xml:space="preserve">The parties do not dispute that an implied-in-fact contract existed between USF and the </w:t>
      </w:r>
      <w:r w:rsidR="009E1894">
        <w:rPr>
          <w:rFonts w:ascii="Century Schoolbook" w:hAnsi="Century Schoolbook"/>
          <w:iCs/>
          <w:szCs w:val="26"/>
        </w:rPr>
        <w:t>appellant</w:t>
      </w:r>
      <w:r w:rsidR="00F226D8">
        <w:rPr>
          <w:rFonts w:ascii="Century Schoolbook" w:hAnsi="Century Schoolbook"/>
          <w:iCs/>
          <w:szCs w:val="26"/>
        </w:rPr>
        <w:t xml:space="preserve"> stud</w:t>
      </w:r>
      <w:r w:rsidRPr="00636F74" w:rsidR="00F226D8">
        <w:rPr>
          <w:rFonts w:ascii="Century Schoolbook" w:hAnsi="Century Schoolbook"/>
          <w:iCs/>
          <w:szCs w:val="26"/>
        </w:rPr>
        <w:t>ents</w:t>
      </w:r>
      <w:r w:rsidRPr="00636F74" w:rsidR="00E11AEF">
        <w:rPr>
          <w:rFonts w:ascii="Century Schoolbook" w:hAnsi="Century Schoolbook"/>
          <w:iCs/>
          <w:szCs w:val="26"/>
        </w:rPr>
        <w:t>, created via the students’ matriculation and payment of tuition</w:t>
      </w:r>
      <w:r w:rsidRPr="00636F74" w:rsidR="00291B9C">
        <w:rPr>
          <w:rFonts w:ascii="Century Schoolbook" w:hAnsi="Century Schoolbook"/>
          <w:iCs/>
          <w:szCs w:val="26"/>
        </w:rPr>
        <w:t xml:space="preserve"> and based on some but not necessarily all the information USF provided to matriculants in its catalogs, bulletins, circulars, and/or regulations</w:t>
      </w:r>
      <w:r w:rsidRPr="00636F74" w:rsidR="00F226D8">
        <w:rPr>
          <w:rFonts w:ascii="Century Schoolbook" w:hAnsi="Century Schoolbook"/>
          <w:iCs/>
          <w:szCs w:val="26"/>
        </w:rPr>
        <w:t>.</w:t>
      </w:r>
      <w:r w:rsidR="00F226D8">
        <w:rPr>
          <w:rFonts w:ascii="Century Schoolbook" w:hAnsi="Century Schoolbook"/>
          <w:iCs/>
          <w:szCs w:val="26"/>
        </w:rPr>
        <w:t xml:space="preserve"> </w:t>
      </w:r>
      <w:r w:rsidR="007E1BFF">
        <w:rPr>
          <w:rFonts w:ascii="Century Schoolbook" w:hAnsi="Century Schoolbook"/>
          <w:iCs/>
          <w:szCs w:val="26"/>
        </w:rPr>
        <w:t xml:space="preserve"> </w:t>
      </w:r>
      <w:r w:rsidR="00F226D8">
        <w:rPr>
          <w:rFonts w:ascii="Century Schoolbook" w:hAnsi="Century Schoolbook"/>
          <w:iCs/>
          <w:szCs w:val="26"/>
        </w:rPr>
        <w:t xml:space="preserve">Rather, the parties dispute whether that contract </w:t>
      </w:r>
      <w:r w:rsidR="009E1894">
        <w:rPr>
          <w:rFonts w:ascii="Century Schoolbook" w:hAnsi="Century Schoolbook"/>
          <w:iCs/>
          <w:szCs w:val="26"/>
        </w:rPr>
        <w:t>committed</w:t>
      </w:r>
      <w:r w:rsidR="00F226D8">
        <w:rPr>
          <w:rFonts w:ascii="Century Schoolbook" w:hAnsi="Century Schoolbook"/>
          <w:iCs/>
          <w:szCs w:val="26"/>
        </w:rPr>
        <w:t xml:space="preserve"> USF to provide</w:t>
      </w:r>
      <w:r w:rsidR="009E1894">
        <w:rPr>
          <w:rFonts w:ascii="Century Schoolbook" w:hAnsi="Century Schoolbook"/>
          <w:iCs/>
          <w:szCs w:val="26"/>
        </w:rPr>
        <w:t xml:space="preserve"> exclusively</w:t>
      </w:r>
      <w:r w:rsidR="00F226D8">
        <w:rPr>
          <w:rFonts w:ascii="Century Schoolbook" w:hAnsi="Century Schoolbook"/>
          <w:iCs/>
          <w:szCs w:val="26"/>
        </w:rPr>
        <w:t xml:space="preserve"> in-person instruction.  </w:t>
      </w:r>
    </w:p>
    <w:p w:rsidR="00A0014F" w:rsidP="00A0014F" w14:paraId="6605E21F" w14:textId="54F38832">
      <w:pPr>
        <w:spacing w:line="360" w:lineRule="auto"/>
        <w:rPr>
          <w:rFonts w:ascii="Century Schoolbook" w:hAnsi="Century Schoolbook"/>
          <w:iCs/>
          <w:szCs w:val="26"/>
        </w:rPr>
      </w:pPr>
      <w:r>
        <w:rPr>
          <w:rFonts w:ascii="Century Schoolbook" w:hAnsi="Century Schoolbook"/>
          <w:iCs/>
          <w:szCs w:val="26"/>
        </w:rPr>
        <w:tab/>
      </w:r>
      <w:r w:rsidRPr="00B334B6">
        <w:rPr>
          <w:rFonts w:ascii="Century Schoolbook" w:hAnsi="Century Schoolbook"/>
          <w:iCs/>
          <w:szCs w:val="26"/>
        </w:rPr>
        <w:t>A contract is either express, meaning it is stated in words, or implied, meaning its existence and terms are manifested by the conduct of the parties.</w:t>
      </w:r>
      <w:r w:rsidR="007E1BFF">
        <w:rPr>
          <w:rFonts w:ascii="Century Schoolbook" w:hAnsi="Century Schoolbook"/>
          <w:iCs/>
          <w:szCs w:val="26"/>
        </w:rPr>
        <w:t xml:space="preserve">  </w:t>
      </w:r>
      <w:r w:rsidRPr="004B5014">
        <w:rPr>
          <w:rFonts w:ascii="Century Schoolbook" w:hAnsi="Century Schoolbook"/>
          <w:iCs/>
          <w:szCs w:val="26"/>
        </w:rPr>
        <w:t xml:space="preserve">As with any contract claim, a key element is the mutual assent of the parties to the contract. </w:t>
      </w:r>
      <w:r>
        <w:rPr>
          <w:rFonts w:ascii="Century Schoolbook" w:hAnsi="Century Schoolbook"/>
          <w:iCs/>
          <w:szCs w:val="26"/>
        </w:rPr>
        <w:t xml:space="preserve"> </w:t>
      </w:r>
      <w:r w:rsidRPr="004B5014">
        <w:rPr>
          <w:rFonts w:ascii="Century Schoolbook" w:hAnsi="Century Schoolbook"/>
          <w:iCs/>
          <w:szCs w:val="26"/>
        </w:rPr>
        <w:t>“</w:t>
      </w:r>
      <w:r>
        <w:rPr>
          <w:rFonts w:ascii="Century Schoolbook" w:hAnsi="Century Schoolbook"/>
          <w:iCs/>
          <w:szCs w:val="26"/>
        </w:rPr>
        <w:t> </w:t>
      </w:r>
      <w:r w:rsidRPr="004B5014">
        <w:rPr>
          <w:rFonts w:ascii="Century Schoolbook" w:hAnsi="Century Schoolbook"/>
          <w:iCs/>
          <w:szCs w:val="26"/>
        </w:rPr>
        <w:t xml:space="preserve">‘[T]he vital elements of a cause of action based on contract are mutual assent (usually accomplished through the medium of an offer and acceptance) and consideration. </w:t>
      </w:r>
      <w:r>
        <w:rPr>
          <w:rFonts w:ascii="Century Schoolbook" w:hAnsi="Century Schoolbook"/>
          <w:iCs/>
          <w:szCs w:val="26"/>
        </w:rPr>
        <w:t xml:space="preserve"> </w:t>
      </w:r>
      <w:r w:rsidRPr="004B5014">
        <w:rPr>
          <w:rFonts w:ascii="Century Schoolbook" w:hAnsi="Century Schoolbook"/>
          <w:iCs/>
          <w:szCs w:val="26"/>
        </w:rPr>
        <w:t xml:space="preserve">As to the basic elements, there is no difference between an express and implied contract. </w:t>
      </w:r>
      <w:r>
        <w:rPr>
          <w:rFonts w:ascii="Century Schoolbook" w:hAnsi="Century Schoolbook"/>
          <w:iCs/>
          <w:szCs w:val="26"/>
        </w:rPr>
        <w:t xml:space="preserve"> </w:t>
      </w:r>
      <w:r w:rsidRPr="004B5014">
        <w:rPr>
          <w:rFonts w:ascii="Century Schoolbook" w:hAnsi="Century Schoolbook"/>
          <w:iCs/>
          <w:szCs w:val="26"/>
        </w:rPr>
        <w:t>While an express contract is defined as one, the terms of which are stated in words (Civ. Code, §</w:t>
      </w:r>
      <w:r>
        <w:rPr>
          <w:rFonts w:ascii="Century Schoolbook" w:hAnsi="Century Schoolbook"/>
          <w:iCs/>
          <w:szCs w:val="26"/>
        </w:rPr>
        <w:t> </w:t>
      </w:r>
      <w:r w:rsidRPr="004B5014">
        <w:rPr>
          <w:rFonts w:ascii="Century Schoolbook" w:hAnsi="Century Schoolbook"/>
          <w:iCs/>
          <w:szCs w:val="26"/>
        </w:rPr>
        <w:t>1620), an implied contract is an agreement, the existence and terms of which are manifested by conduct (Civ. Code, § 1621).</w:t>
      </w:r>
      <w:r>
        <w:rPr>
          <w:rFonts w:ascii="Century Schoolbook" w:hAnsi="Century Schoolbook"/>
          <w:iCs/>
          <w:szCs w:val="26"/>
        </w:rPr>
        <w:t> </w:t>
      </w:r>
      <w:r w:rsidRPr="004B5014">
        <w:rPr>
          <w:rFonts w:ascii="Century Schoolbook" w:hAnsi="Century Schoolbook"/>
          <w:iCs/>
          <w:szCs w:val="26"/>
        </w:rPr>
        <w:t>.</w:t>
      </w:r>
      <w:r>
        <w:rPr>
          <w:rFonts w:ascii="Century Schoolbook" w:hAnsi="Century Schoolbook"/>
          <w:iCs/>
          <w:szCs w:val="26"/>
        </w:rPr>
        <w:t> . . [B]</w:t>
      </w:r>
      <w:r w:rsidRPr="004B5014">
        <w:rPr>
          <w:rFonts w:ascii="Century Schoolbook" w:hAnsi="Century Schoolbook"/>
          <w:iCs/>
          <w:szCs w:val="26"/>
        </w:rPr>
        <w:t xml:space="preserve">oth types of contract are identical in that they require a meeting of minds or an agreement [citation]. </w:t>
      </w:r>
      <w:r>
        <w:rPr>
          <w:rFonts w:ascii="Century Schoolbook" w:hAnsi="Century Schoolbook"/>
          <w:iCs/>
          <w:szCs w:val="26"/>
        </w:rPr>
        <w:t xml:space="preserve"> </w:t>
      </w:r>
      <w:r w:rsidRPr="004B5014">
        <w:rPr>
          <w:rFonts w:ascii="Century Schoolbook" w:hAnsi="Century Schoolbook"/>
          <w:iCs/>
          <w:szCs w:val="26"/>
        </w:rPr>
        <w:t>Thus, it is evident that both the express contract and contract implied in fact are founded upon an ascertained agreement or, in other words, are consensual in nature, the substantial difference being in the mode of proof by which they are established.’</w:t>
      </w:r>
      <w:r>
        <w:rPr>
          <w:rFonts w:ascii="Century Schoolbook" w:hAnsi="Century Schoolbook"/>
          <w:iCs/>
          <w:szCs w:val="26"/>
        </w:rPr>
        <w:t> </w:t>
      </w:r>
      <w:r w:rsidRPr="004B5014">
        <w:rPr>
          <w:rFonts w:ascii="Century Schoolbook" w:hAnsi="Century Schoolbook"/>
          <w:iCs/>
          <w:szCs w:val="26"/>
        </w:rPr>
        <w:t>” (</w:t>
      </w:r>
      <w:r w:rsidRPr="00064BE6">
        <w:rPr>
          <w:rFonts w:ascii="Century Schoolbook" w:hAnsi="Century Schoolbook"/>
          <w:i/>
          <w:szCs w:val="26"/>
        </w:rPr>
        <w:t>Pacific Bay Recovery, Inc. v. California Physicians</w:t>
      </w:r>
      <w:r w:rsidR="009B1800">
        <w:rPr>
          <w:rFonts w:ascii="Century Schoolbook" w:hAnsi="Century Schoolbook"/>
          <w:i/>
          <w:szCs w:val="26"/>
        </w:rPr>
        <w:t>’</w:t>
      </w:r>
      <w:r w:rsidRPr="00064BE6">
        <w:rPr>
          <w:rFonts w:ascii="Century Schoolbook" w:hAnsi="Century Schoolbook"/>
          <w:i/>
          <w:szCs w:val="26"/>
        </w:rPr>
        <w:t xml:space="preserve"> Services, Inc</w:t>
      </w:r>
      <w:r w:rsidRPr="004B5014">
        <w:rPr>
          <w:rFonts w:ascii="Century Schoolbook" w:hAnsi="Century Schoolbook"/>
          <w:iCs/>
          <w:szCs w:val="26"/>
        </w:rPr>
        <w:t>. (2017) 12 Cal.App.5</w:t>
      </w:r>
      <w:r w:rsidRPr="00D537AF">
        <w:rPr>
          <w:rFonts w:ascii="Century Schoolbook" w:hAnsi="Century Schoolbook"/>
          <w:iCs/>
          <w:szCs w:val="26"/>
        </w:rPr>
        <w:t>th</w:t>
      </w:r>
      <w:r w:rsidRPr="004B5014">
        <w:rPr>
          <w:rFonts w:ascii="Century Schoolbook" w:hAnsi="Century Schoolbook"/>
          <w:iCs/>
          <w:szCs w:val="26"/>
        </w:rPr>
        <w:t xml:space="preserve"> 200, 215.)</w:t>
      </w:r>
    </w:p>
    <w:p w:rsidR="00A0014F" w:rsidP="00A0014F" w14:paraId="0AC0B0B5" w14:textId="77777777">
      <w:pPr>
        <w:spacing w:line="360" w:lineRule="auto"/>
        <w:rPr>
          <w:rFonts w:ascii="Century Schoolbook" w:hAnsi="Century Schoolbook"/>
          <w:iCs/>
          <w:szCs w:val="26"/>
        </w:rPr>
      </w:pPr>
      <w:r>
        <w:rPr>
          <w:rFonts w:ascii="Century Schoolbook" w:hAnsi="Century Schoolbook"/>
          <w:iCs/>
          <w:szCs w:val="26"/>
        </w:rPr>
        <w:tab/>
      </w:r>
      <w:r w:rsidRPr="004B5014">
        <w:rPr>
          <w:rFonts w:ascii="Century Schoolbook" w:hAnsi="Century Schoolbook"/>
          <w:iCs/>
          <w:szCs w:val="26"/>
        </w:rPr>
        <w:t>The question of whether the parties</w:t>
      </w:r>
      <w:r>
        <w:rPr>
          <w:rFonts w:ascii="Century Schoolbook" w:hAnsi="Century Schoolbook"/>
          <w:iCs/>
          <w:szCs w:val="26"/>
        </w:rPr>
        <w:t>’</w:t>
      </w:r>
      <w:r w:rsidRPr="004B5014">
        <w:rPr>
          <w:rFonts w:ascii="Century Schoolbook" w:hAnsi="Century Schoolbook"/>
          <w:iCs/>
          <w:szCs w:val="26"/>
        </w:rPr>
        <w:t xml:space="preserve"> conduct evidences an implied-in-fact contract is </w:t>
      </w:r>
      <w:r>
        <w:rPr>
          <w:rFonts w:ascii="Century Schoolbook" w:hAnsi="Century Schoolbook"/>
          <w:iCs/>
          <w:szCs w:val="26"/>
        </w:rPr>
        <w:t xml:space="preserve">generally </w:t>
      </w:r>
      <w:r w:rsidRPr="004B5014">
        <w:rPr>
          <w:rFonts w:ascii="Century Schoolbook" w:hAnsi="Century Schoolbook"/>
          <w:iCs/>
          <w:szCs w:val="26"/>
        </w:rPr>
        <w:t>a question of fact for the trier of fact unless the underlying facts are undisputed and support only one conclusion</w:t>
      </w:r>
      <w:r>
        <w:rPr>
          <w:rFonts w:ascii="Century Schoolbook" w:hAnsi="Century Schoolbook"/>
          <w:iCs/>
          <w:szCs w:val="26"/>
        </w:rPr>
        <w:t>.</w:t>
      </w:r>
      <w:r w:rsidRPr="004B5014">
        <w:rPr>
          <w:rFonts w:ascii="Century Schoolbook" w:hAnsi="Century Schoolbook"/>
          <w:iCs/>
          <w:szCs w:val="26"/>
        </w:rPr>
        <w:t xml:space="preserve"> (</w:t>
      </w:r>
      <w:r w:rsidRPr="00A0014F">
        <w:rPr>
          <w:rFonts w:ascii="Century Schoolbook" w:hAnsi="Century Schoolbook"/>
          <w:i/>
          <w:szCs w:val="26"/>
        </w:rPr>
        <w:t>Foley v. Interactive Data Corp</w:t>
      </w:r>
      <w:r w:rsidRPr="004B5014">
        <w:rPr>
          <w:rFonts w:ascii="Century Schoolbook" w:hAnsi="Century Schoolbook"/>
          <w:iCs/>
          <w:szCs w:val="26"/>
        </w:rPr>
        <w:t>. (1988) 47 Cal.3d 654, 677, 682</w:t>
      </w:r>
      <w:r>
        <w:rPr>
          <w:rFonts w:ascii="Century Schoolbook" w:hAnsi="Century Schoolbook"/>
          <w:iCs/>
          <w:szCs w:val="26"/>
        </w:rPr>
        <w:t xml:space="preserve">; </w:t>
      </w:r>
      <w:r w:rsidRPr="00A0014F">
        <w:rPr>
          <w:rFonts w:ascii="Century Schoolbook" w:hAnsi="Century Schoolbook"/>
          <w:i/>
          <w:szCs w:val="26"/>
        </w:rPr>
        <w:t>Eisenberg v. Alameda Newspapers, Inc</w:t>
      </w:r>
      <w:r w:rsidRPr="004B5014">
        <w:rPr>
          <w:rFonts w:ascii="Century Schoolbook" w:hAnsi="Century Schoolbook"/>
          <w:iCs/>
          <w:szCs w:val="26"/>
        </w:rPr>
        <w:t>. (1999) 74 Cal.App.4</w:t>
      </w:r>
      <w:r w:rsidRPr="00D537AF">
        <w:rPr>
          <w:rFonts w:ascii="Century Schoolbook" w:hAnsi="Century Schoolbook"/>
          <w:iCs/>
          <w:szCs w:val="26"/>
        </w:rPr>
        <w:t>th</w:t>
      </w:r>
      <w:r w:rsidRPr="004B5014">
        <w:rPr>
          <w:rFonts w:ascii="Century Schoolbook" w:hAnsi="Century Schoolbook"/>
          <w:iCs/>
          <w:szCs w:val="26"/>
        </w:rPr>
        <w:t xml:space="preserve"> 1359, 1386–1387).</w:t>
      </w:r>
    </w:p>
    <w:p w:rsidR="00A0014F" w:rsidRPr="00A0014F" w:rsidP="008D5ED1" w14:paraId="7DF6C6F2" w14:textId="3A9952DC">
      <w:pPr>
        <w:keepNext/>
        <w:spacing w:line="360" w:lineRule="auto"/>
        <w:rPr>
          <w:rFonts w:ascii="Century Schoolbook" w:hAnsi="Century Schoolbook"/>
          <w:b/>
          <w:bCs/>
          <w:iCs/>
          <w:szCs w:val="26"/>
        </w:rPr>
      </w:pPr>
      <w:r w:rsidRPr="00A0014F">
        <w:rPr>
          <w:rFonts w:ascii="Century Schoolbook" w:hAnsi="Century Schoolbook"/>
          <w:b/>
          <w:bCs/>
          <w:iCs/>
          <w:szCs w:val="26"/>
        </w:rPr>
        <w:tab/>
      </w:r>
      <w:r w:rsidR="009B1800">
        <w:rPr>
          <w:rFonts w:ascii="Century Schoolbook" w:hAnsi="Century Schoolbook"/>
          <w:b/>
          <w:bCs/>
          <w:iCs/>
          <w:szCs w:val="26"/>
        </w:rPr>
        <w:t>A</w:t>
      </w:r>
      <w:r w:rsidRPr="00A0014F">
        <w:rPr>
          <w:rFonts w:ascii="Century Schoolbook" w:hAnsi="Century Schoolbook"/>
          <w:b/>
          <w:bCs/>
          <w:iCs/>
          <w:szCs w:val="26"/>
        </w:rPr>
        <w:t xml:space="preserve">.  </w:t>
      </w:r>
      <w:r w:rsidR="00CD6CF4">
        <w:rPr>
          <w:rFonts w:ascii="Century Schoolbook" w:hAnsi="Century Schoolbook"/>
          <w:b/>
          <w:bCs/>
          <w:iCs/>
          <w:szCs w:val="26"/>
        </w:rPr>
        <w:t xml:space="preserve">The Parties’ </w:t>
      </w:r>
      <w:r w:rsidR="002A41BA">
        <w:rPr>
          <w:rFonts w:ascii="Century Schoolbook" w:hAnsi="Century Schoolbook"/>
          <w:b/>
          <w:bCs/>
          <w:iCs/>
          <w:szCs w:val="26"/>
        </w:rPr>
        <w:t>Implied-In-Fact Contract</w:t>
      </w:r>
    </w:p>
    <w:p w:rsidR="006D6C8E" w:rsidP="0044612F" w14:paraId="53825BD3" w14:textId="7E47F7E3">
      <w:pPr>
        <w:spacing w:line="360" w:lineRule="auto"/>
        <w:rPr>
          <w:rFonts w:ascii="Century Schoolbook" w:hAnsi="Century Schoolbook"/>
          <w:iCs/>
          <w:szCs w:val="26"/>
        </w:rPr>
      </w:pPr>
      <w:r>
        <w:rPr>
          <w:rFonts w:ascii="Century Schoolbook" w:hAnsi="Century Schoolbook"/>
          <w:iCs/>
          <w:szCs w:val="26"/>
        </w:rPr>
        <w:tab/>
      </w:r>
      <w:r w:rsidRPr="006D6C8E">
        <w:rPr>
          <w:rFonts w:ascii="Century Schoolbook" w:hAnsi="Century Schoolbook"/>
          <w:iCs/>
          <w:szCs w:val="26"/>
        </w:rPr>
        <w:t>“[T]he basic legal relationship between a student and a private university is contractual in nature.”  (</w:t>
      </w:r>
      <w:r w:rsidRPr="006D6C8E">
        <w:rPr>
          <w:rFonts w:ascii="Century Schoolbook" w:hAnsi="Century Schoolbook"/>
          <w:i/>
          <w:szCs w:val="26"/>
        </w:rPr>
        <w:t>Kashmiri v. Regents of Univ. of California</w:t>
      </w:r>
      <w:r w:rsidRPr="006D6C8E">
        <w:rPr>
          <w:rFonts w:ascii="Century Schoolbook" w:hAnsi="Century Schoolbook"/>
          <w:iCs/>
          <w:szCs w:val="26"/>
        </w:rPr>
        <w:t xml:space="preserve"> </w:t>
      </w:r>
      <w:r>
        <w:rPr>
          <w:rFonts w:ascii="Century Schoolbook" w:hAnsi="Century Schoolbook"/>
          <w:iCs/>
          <w:szCs w:val="26"/>
        </w:rPr>
        <w:t xml:space="preserve">(2007) </w:t>
      </w:r>
      <w:r w:rsidRPr="006D6C8E">
        <w:rPr>
          <w:rFonts w:ascii="Century Schoolbook" w:hAnsi="Century Schoolbook"/>
          <w:iCs/>
          <w:szCs w:val="26"/>
        </w:rPr>
        <w:t>156 Cal.App.4th 809, 823–</w:t>
      </w:r>
      <w:r>
        <w:rPr>
          <w:rFonts w:ascii="Century Schoolbook" w:hAnsi="Century Schoolbook"/>
          <w:iCs/>
          <w:szCs w:val="26"/>
        </w:rPr>
        <w:t>8</w:t>
      </w:r>
      <w:r w:rsidRPr="006D6C8E">
        <w:rPr>
          <w:rFonts w:ascii="Century Schoolbook" w:hAnsi="Century Schoolbook"/>
          <w:iCs/>
          <w:szCs w:val="26"/>
        </w:rPr>
        <w:t>24</w:t>
      </w:r>
      <w:r>
        <w:rPr>
          <w:rFonts w:ascii="Century Schoolbook" w:hAnsi="Century Schoolbook"/>
          <w:iCs/>
          <w:szCs w:val="26"/>
        </w:rPr>
        <w:t xml:space="preserve"> (</w:t>
      </w:r>
      <w:r>
        <w:rPr>
          <w:rFonts w:ascii="Century Schoolbook" w:hAnsi="Century Schoolbook"/>
          <w:i/>
          <w:szCs w:val="26"/>
        </w:rPr>
        <w:t>Kashmiri</w:t>
      </w:r>
      <w:r>
        <w:rPr>
          <w:rFonts w:ascii="Century Schoolbook" w:hAnsi="Century Schoolbook"/>
          <w:iCs/>
          <w:szCs w:val="26"/>
        </w:rPr>
        <w:t>)</w:t>
      </w:r>
      <w:r w:rsidR="003D0F79">
        <w:rPr>
          <w:rFonts w:ascii="Century Schoolbook" w:hAnsi="Century Schoolbook"/>
          <w:iCs/>
          <w:szCs w:val="26"/>
        </w:rPr>
        <w:t xml:space="preserve"> [a contract is created by the act of matriculation plus the payment of required fees]</w:t>
      </w:r>
      <w:r w:rsidRPr="006D6C8E">
        <w:rPr>
          <w:rFonts w:ascii="Century Schoolbook" w:hAnsi="Century Schoolbook"/>
          <w:iCs/>
          <w:szCs w:val="26"/>
        </w:rPr>
        <w:t>.)</w:t>
      </w:r>
      <w:r w:rsidR="003D0F79">
        <w:rPr>
          <w:rFonts w:ascii="Century Schoolbook" w:hAnsi="Century Schoolbook"/>
          <w:iCs/>
          <w:szCs w:val="26"/>
        </w:rPr>
        <w:t xml:space="preserve">  </w:t>
      </w:r>
      <w:r w:rsidR="00BD78F6">
        <w:rPr>
          <w:rFonts w:ascii="Century Schoolbook" w:hAnsi="Century Schoolbook"/>
          <w:iCs/>
          <w:szCs w:val="26"/>
        </w:rPr>
        <w:t>However, courts “</w:t>
      </w:r>
      <w:r w:rsidRPr="00BD78F6" w:rsidR="00BD78F6">
        <w:rPr>
          <w:rFonts w:ascii="Century Schoolbook" w:hAnsi="Century Schoolbook"/>
          <w:iCs/>
          <w:szCs w:val="26"/>
        </w:rPr>
        <w:t>have recognized that contract law should not be strictly applied.</w:t>
      </w:r>
      <w:r w:rsidR="00BD78F6">
        <w:rPr>
          <w:rFonts w:ascii="Century Schoolbook" w:hAnsi="Century Schoolbook"/>
          <w:iCs/>
          <w:szCs w:val="26"/>
        </w:rPr>
        <w:t> </w:t>
      </w:r>
      <w:r w:rsidRPr="00BD78F6" w:rsidR="00BD78F6">
        <w:rPr>
          <w:rFonts w:ascii="Century Schoolbook" w:hAnsi="Century Schoolbook"/>
          <w:iCs/>
          <w:szCs w:val="26"/>
        </w:rPr>
        <w:t>.</w:t>
      </w:r>
      <w:r w:rsidR="00BD78F6">
        <w:rPr>
          <w:rFonts w:ascii="Century Schoolbook" w:hAnsi="Century Schoolbook"/>
          <w:iCs/>
          <w:szCs w:val="26"/>
        </w:rPr>
        <w:t> </w:t>
      </w:r>
      <w:r w:rsidRPr="00BD78F6" w:rsidR="00BD78F6">
        <w:rPr>
          <w:rFonts w:ascii="Century Schoolbook" w:hAnsi="Century Schoolbook"/>
          <w:iCs/>
          <w:szCs w:val="26"/>
        </w:rPr>
        <w:t>.</w:t>
      </w:r>
      <w:r w:rsidR="00BD78F6">
        <w:rPr>
          <w:rFonts w:ascii="Century Schoolbook" w:hAnsi="Century Schoolbook"/>
          <w:iCs/>
          <w:szCs w:val="26"/>
        </w:rPr>
        <w:t> </w:t>
      </w:r>
      <w:r w:rsidRPr="00BD78F6" w:rsidR="00BD78F6">
        <w:rPr>
          <w:rFonts w:ascii="Century Schoolbook" w:hAnsi="Century Schoolbook"/>
          <w:iCs/>
          <w:szCs w:val="26"/>
        </w:rPr>
        <w:t>. Universities are entitled to some leeway in modifying their programs from time to time to exercise their educational responsibility properly.”  (</w:t>
      </w:r>
      <w:r w:rsidR="00A31847">
        <w:rPr>
          <w:rFonts w:ascii="Century Schoolbook" w:hAnsi="Century Schoolbook"/>
          <w:i/>
          <w:szCs w:val="26"/>
        </w:rPr>
        <w:t>Id</w:t>
      </w:r>
      <w:r w:rsidRPr="00BD78F6" w:rsidR="00BD78F6">
        <w:rPr>
          <w:rFonts w:ascii="Century Schoolbook" w:hAnsi="Century Schoolbook"/>
          <w:iCs/>
          <w:szCs w:val="26"/>
        </w:rPr>
        <w:t>.</w:t>
      </w:r>
      <w:r w:rsidR="00A31847">
        <w:rPr>
          <w:rFonts w:ascii="Century Schoolbook" w:hAnsi="Century Schoolbook"/>
          <w:iCs/>
          <w:szCs w:val="26"/>
        </w:rPr>
        <w:t xml:space="preserve"> at p. 824</w:t>
      </w:r>
      <w:r w:rsidRPr="00BD78F6" w:rsidR="00BD78F6">
        <w:rPr>
          <w:rFonts w:ascii="Century Schoolbook" w:hAnsi="Century Schoolbook"/>
          <w:iCs/>
          <w:szCs w:val="26"/>
        </w:rPr>
        <w:t>)</w:t>
      </w:r>
      <w:r w:rsidR="00BD78F6">
        <w:rPr>
          <w:rFonts w:ascii="Century Schoolbook" w:hAnsi="Century Schoolbook"/>
          <w:iCs/>
          <w:szCs w:val="26"/>
        </w:rPr>
        <w:t xml:space="preserve">  </w:t>
      </w:r>
      <w:r w:rsidRPr="00BD78F6" w:rsidR="00BD78F6">
        <w:rPr>
          <w:rFonts w:ascii="Century Schoolbook" w:hAnsi="Century Schoolbook"/>
          <w:iCs/>
          <w:szCs w:val="26"/>
        </w:rPr>
        <w:t>“Courts have applied contract law flexibly to actions involving academic and disciplinary decisions by educational institutions .</w:t>
      </w:r>
      <w:r w:rsidR="00BD78F6">
        <w:rPr>
          <w:rFonts w:ascii="Century Schoolbook" w:hAnsi="Century Schoolbook"/>
          <w:iCs/>
          <w:szCs w:val="26"/>
        </w:rPr>
        <w:t> </w:t>
      </w:r>
      <w:r w:rsidRPr="00BD78F6" w:rsidR="00BD78F6">
        <w:rPr>
          <w:rFonts w:ascii="Century Schoolbook" w:hAnsi="Century Schoolbook"/>
          <w:iCs/>
          <w:szCs w:val="26"/>
        </w:rPr>
        <w:t>.</w:t>
      </w:r>
      <w:r w:rsidR="00BD78F6">
        <w:rPr>
          <w:rFonts w:ascii="Century Schoolbook" w:hAnsi="Century Schoolbook"/>
          <w:iCs/>
          <w:szCs w:val="26"/>
        </w:rPr>
        <w:t> </w:t>
      </w:r>
      <w:r w:rsidRPr="00BD78F6" w:rsidR="00BD78F6">
        <w:rPr>
          <w:rFonts w:ascii="Century Schoolbook" w:hAnsi="Century Schoolbook"/>
          <w:iCs/>
          <w:szCs w:val="26"/>
        </w:rPr>
        <w:t>.</w:t>
      </w:r>
      <w:r w:rsidR="00BD78F6">
        <w:rPr>
          <w:rFonts w:ascii="Century Schoolbook" w:hAnsi="Century Schoolbook"/>
          <w:iCs/>
          <w:szCs w:val="26"/>
        </w:rPr>
        <w:t> </w:t>
      </w:r>
      <w:r w:rsidRPr="00BD78F6" w:rsidR="00BD78F6">
        <w:rPr>
          <w:rFonts w:ascii="Century Schoolbook" w:hAnsi="Century Schoolbook"/>
          <w:iCs/>
          <w:szCs w:val="26"/>
        </w:rPr>
        <w:t>.  Courts also have been reluctant to apply contract law to general promises or expectations.  [Citation.]  Courts have, however, not been hesitant to apply contract law when the educational institution makes a specific promise to provide an educational service, such as a failure to offer any classes or a failure to deliver a promised number of hours of instruction.”  (</w:t>
      </w:r>
      <w:r w:rsidRPr="00BD78F6" w:rsidR="00BD78F6">
        <w:rPr>
          <w:rFonts w:ascii="Century Schoolbook" w:hAnsi="Century Schoolbook"/>
          <w:i/>
          <w:szCs w:val="26"/>
        </w:rPr>
        <w:t>Id</w:t>
      </w:r>
      <w:r w:rsidR="00BD78F6">
        <w:rPr>
          <w:rFonts w:ascii="Century Schoolbook" w:hAnsi="Century Schoolbook"/>
          <w:iCs/>
          <w:szCs w:val="26"/>
        </w:rPr>
        <w:t>. at p. </w:t>
      </w:r>
      <w:r w:rsidRPr="00BD78F6" w:rsidR="00BD78F6">
        <w:rPr>
          <w:rFonts w:ascii="Century Schoolbook" w:hAnsi="Century Schoolbook"/>
          <w:iCs/>
          <w:szCs w:val="26"/>
        </w:rPr>
        <w:t>826.)</w:t>
      </w:r>
    </w:p>
    <w:p w:rsidR="00BD78F6" w:rsidRPr="007F60B7" w:rsidP="0044612F" w14:paraId="56CB12E5" w14:textId="1F3C4A9A">
      <w:pPr>
        <w:spacing w:line="360" w:lineRule="auto"/>
        <w:rPr>
          <w:rFonts w:ascii="Century Schoolbook" w:hAnsi="Century Schoolbook"/>
          <w:iCs/>
          <w:szCs w:val="26"/>
        </w:rPr>
      </w:pPr>
      <w:r>
        <w:rPr>
          <w:rFonts w:ascii="Century Schoolbook" w:hAnsi="Century Schoolbook"/>
          <w:iCs/>
          <w:szCs w:val="26"/>
        </w:rPr>
        <w:tab/>
      </w:r>
      <w:r w:rsidR="002A41BA">
        <w:rPr>
          <w:rFonts w:ascii="Century Schoolbook" w:hAnsi="Century Schoolbook"/>
          <w:i/>
          <w:szCs w:val="26"/>
        </w:rPr>
        <w:t>Kashmiri</w:t>
      </w:r>
      <w:r w:rsidR="002A41BA">
        <w:rPr>
          <w:rFonts w:ascii="Century Schoolbook" w:hAnsi="Century Schoolbook"/>
          <w:iCs/>
          <w:szCs w:val="26"/>
        </w:rPr>
        <w:t xml:space="preserve">, </w:t>
      </w:r>
      <w:r w:rsidR="002A41BA">
        <w:rPr>
          <w:rFonts w:ascii="Century Schoolbook" w:hAnsi="Century Schoolbook"/>
          <w:i/>
          <w:szCs w:val="26"/>
        </w:rPr>
        <w:t>supra</w:t>
      </w:r>
      <w:r w:rsidR="002A41BA">
        <w:rPr>
          <w:rFonts w:ascii="Century Schoolbook" w:hAnsi="Century Schoolbook"/>
          <w:iCs/>
          <w:szCs w:val="26"/>
        </w:rPr>
        <w:t xml:space="preserve">, </w:t>
      </w:r>
      <w:r w:rsidRPr="006D6C8E" w:rsidR="002A41BA">
        <w:rPr>
          <w:rFonts w:ascii="Century Schoolbook" w:hAnsi="Century Schoolbook"/>
          <w:iCs/>
          <w:szCs w:val="26"/>
        </w:rPr>
        <w:t>156 Cal.App.4th 809</w:t>
      </w:r>
      <w:r w:rsidR="002A41BA">
        <w:rPr>
          <w:rFonts w:ascii="Century Schoolbook" w:hAnsi="Century Schoolbook"/>
          <w:iCs/>
          <w:szCs w:val="26"/>
        </w:rPr>
        <w:t xml:space="preserve"> provides a useful comparison in evaluating whether USF promise</w:t>
      </w:r>
      <w:r w:rsidR="00CD6CF4">
        <w:rPr>
          <w:rFonts w:ascii="Century Schoolbook" w:hAnsi="Century Schoolbook"/>
          <w:iCs/>
          <w:szCs w:val="26"/>
        </w:rPr>
        <w:t>d</w:t>
      </w:r>
      <w:r w:rsidR="002A41BA">
        <w:rPr>
          <w:rFonts w:ascii="Century Schoolbook" w:hAnsi="Century Schoolbook"/>
          <w:iCs/>
          <w:szCs w:val="26"/>
        </w:rPr>
        <w:t xml:space="preserve"> </w:t>
      </w:r>
      <w:r w:rsidR="00CD6CF4">
        <w:rPr>
          <w:rFonts w:ascii="Century Schoolbook" w:hAnsi="Century Schoolbook"/>
          <w:iCs/>
          <w:szCs w:val="26"/>
        </w:rPr>
        <w:t xml:space="preserve">to provide exclusively </w:t>
      </w:r>
      <w:r w:rsidR="002A41BA">
        <w:rPr>
          <w:rFonts w:ascii="Century Schoolbook" w:hAnsi="Century Schoolbook"/>
          <w:iCs/>
          <w:szCs w:val="26"/>
        </w:rPr>
        <w:t xml:space="preserve">in-person instruction.  </w:t>
      </w:r>
      <w:r>
        <w:rPr>
          <w:rFonts w:ascii="Century Schoolbook" w:hAnsi="Century Schoolbook"/>
          <w:iCs/>
          <w:szCs w:val="26"/>
        </w:rPr>
        <w:t xml:space="preserve">In </w:t>
      </w:r>
      <w:r>
        <w:rPr>
          <w:rFonts w:ascii="Century Schoolbook" w:hAnsi="Century Schoolbook"/>
          <w:i/>
          <w:szCs w:val="26"/>
        </w:rPr>
        <w:t>Kashmiri</w:t>
      </w:r>
      <w:r>
        <w:rPr>
          <w:rFonts w:ascii="Century Schoolbook" w:hAnsi="Century Schoolbook"/>
          <w:iCs/>
          <w:szCs w:val="26"/>
        </w:rPr>
        <w:t xml:space="preserve">, </w:t>
      </w:r>
      <w:r w:rsidR="00F86F86">
        <w:rPr>
          <w:rFonts w:ascii="Century Schoolbook" w:hAnsi="Century Schoolbook"/>
          <w:iCs/>
          <w:szCs w:val="26"/>
        </w:rPr>
        <w:t xml:space="preserve">students </w:t>
      </w:r>
      <w:r w:rsidR="00E94ED7">
        <w:rPr>
          <w:rFonts w:ascii="Century Schoolbook" w:hAnsi="Century Schoolbook"/>
          <w:iCs/>
          <w:szCs w:val="26"/>
        </w:rPr>
        <w:t>alleged</w:t>
      </w:r>
      <w:r w:rsidR="00F86F86">
        <w:rPr>
          <w:rFonts w:ascii="Century Schoolbook" w:hAnsi="Century Schoolbook"/>
          <w:iCs/>
          <w:szCs w:val="26"/>
        </w:rPr>
        <w:t xml:space="preserve"> the university</w:t>
      </w:r>
      <w:r w:rsidR="00E94ED7">
        <w:rPr>
          <w:rFonts w:ascii="Century Schoolbook" w:hAnsi="Century Schoolbook"/>
          <w:iCs/>
          <w:szCs w:val="26"/>
        </w:rPr>
        <w:t xml:space="preserve"> had</w:t>
      </w:r>
      <w:r w:rsidR="00F86F86">
        <w:rPr>
          <w:rFonts w:ascii="Century Schoolbook" w:hAnsi="Century Schoolbook"/>
          <w:iCs/>
          <w:szCs w:val="26"/>
        </w:rPr>
        <w:t xml:space="preserve"> </w:t>
      </w:r>
      <w:r w:rsidR="00E94ED7">
        <w:rPr>
          <w:rFonts w:ascii="Century Schoolbook" w:hAnsi="Century Schoolbook"/>
          <w:iCs/>
          <w:szCs w:val="26"/>
        </w:rPr>
        <w:t>promised not to impose certain fee increases on continuing students but rather only on new students</w:t>
      </w:r>
      <w:r w:rsidR="00F86F86">
        <w:rPr>
          <w:rFonts w:ascii="Century Schoolbook" w:hAnsi="Century Schoolbook"/>
          <w:iCs/>
          <w:szCs w:val="26"/>
        </w:rPr>
        <w:t>.  (</w:t>
      </w:r>
      <w:r w:rsidR="00F86F86">
        <w:rPr>
          <w:rFonts w:ascii="Century Schoolbook" w:hAnsi="Century Schoolbook"/>
          <w:i/>
          <w:szCs w:val="26"/>
        </w:rPr>
        <w:t>Id.</w:t>
      </w:r>
      <w:r w:rsidR="00F86F86">
        <w:rPr>
          <w:rFonts w:ascii="Century Schoolbook" w:hAnsi="Century Schoolbook"/>
          <w:iCs/>
          <w:szCs w:val="26"/>
        </w:rPr>
        <w:t xml:space="preserve"> at </w:t>
      </w:r>
      <w:r w:rsidR="00E94ED7">
        <w:rPr>
          <w:rFonts w:ascii="Century Schoolbook" w:hAnsi="Century Schoolbook"/>
          <w:iCs/>
          <w:szCs w:val="26"/>
        </w:rPr>
        <w:t>p</w:t>
      </w:r>
      <w:r w:rsidR="00F86F86">
        <w:rPr>
          <w:rFonts w:ascii="Century Schoolbook" w:hAnsi="Century Schoolbook"/>
          <w:iCs/>
          <w:szCs w:val="26"/>
        </w:rPr>
        <w:t>p. 81</w:t>
      </w:r>
      <w:r w:rsidR="00E94ED7">
        <w:rPr>
          <w:rFonts w:ascii="Century Schoolbook" w:hAnsi="Century Schoolbook"/>
          <w:iCs/>
          <w:szCs w:val="26"/>
        </w:rPr>
        <w:t>5–816</w:t>
      </w:r>
      <w:r w:rsidR="00F86F86">
        <w:rPr>
          <w:rFonts w:ascii="Century Schoolbook" w:hAnsi="Century Schoolbook"/>
          <w:iCs/>
          <w:szCs w:val="26"/>
        </w:rPr>
        <w:t>.)  The students relied on</w:t>
      </w:r>
      <w:r w:rsidR="00E94ED7">
        <w:rPr>
          <w:rFonts w:ascii="Century Schoolbook" w:hAnsi="Century Schoolbook"/>
          <w:iCs/>
          <w:szCs w:val="26"/>
        </w:rPr>
        <w:t xml:space="preserve"> three publications setting forth this “unequivocal” promise.  (</w:t>
      </w:r>
      <w:r w:rsidR="00E94ED7">
        <w:rPr>
          <w:rFonts w:ascii="Century Schoolbook" w:hAnsi="Century Schoolbook"/>
          <w:i/>
          <w:szCs w:val="26"/>
        </w:rPr>
        <w:t>Id.</w:t>
      </w:r>
      <w:r w:rsidR="00E94ED7">
        <w:rPr>
          <w:rFonts w:ascii="Century Schoolbook" w:hAnsi="Century Schoolbook"/>
          <w:iCs/>
          <w:szCs w:val="26"/>
        </w:rPr>
        <w:t xml:space="preserve"> at p. 833.)  First,</w:t>
      </w:r>
      <w:r w:rsidR="00F86F86">
        <w:rPr>
          <w:rFonts w:ascii="Century Schoolbook" w:hAnsi="Century Schoolbook"/>
          <w:iCs/>
          <w:szCs w:val="26"/>
        </w:rPr>
        <w:t xml:space="preserve"> </w:t>
      </w:r>
      <w:r>
        <w:rPr>
          <w:rFonts w:ascii="Century Schoolbook" w:hAnsi="Century Schoolbook"/>
          <w:iCs/>
          <w:szCs w:val="26"/>
        </w:rPr>
        <w:t xml:space="preserve">the </w:t>
      </w:r>
      <w:r w:rsidRPr="00E94ED7" w:rsidR="00E94ED7">
        <w:rPr>
          <w:rFonts w:ascii="Century Schoolbook" w:hAnsi="Century Schoolbook"/>
          <w:iCs/>
          <w:szCs w:val="26"/>
        </w:rPr>
        <w:t>Office of the President of the University</w:t>
      </w:r>
      <w:r w:rsidR="00E94ED7">
        <w:rPr>
          <w:rFonts w:ascii="Century Schoolbook" w:hAnsi="Century Schoolbook"/>
          <w:iCs/>
          <w:szCs w:val="26"/>
        </w:rPr>
        <w:t>’</w:t>
      </w:r>
      <w:r w:rsidRPr="00E94ED7" w:rsidR="00E94ED7">
        <w:rPr>
          <w:rFonts w:ascii="Century Schoolbook" w:hAnsi="Century Schoolbook"/>
          <w:iCs/>
          <w:szCs w:val="26"/>
        </w:rPr>
        <w:t>s “</w:t>
      </w:r>
      <w:r w:rsidR="00A31847">
        <w:rPr>
          <w:rFonts w:ascii="Century Schoolbook" w:hAnsi="Century Schoolbook"/>
          <w:iCs/>
          <w:szCs w:val="26"/>
        </w:rPr>
        <w:t> ‘ “</w:t>
      </w:r>
      <w:r w:rsidRPr="00E94ED7" w:rsidR="00E94ED7">
        <w:rPr>
          <w:rFonts w:ascii="Century Schoolbook" w:hAnsi="Century Schoolbook"/>
          <w:iCs/>
          <w:szCs w:val="26"/>
        </w:rPr>
        <w:t>official guide for all University departments in the area of general University fees</w:t>
      </w:r>
      <w:r w:rsidR="00A31847">
        <w:rPr>
          <w:rFonts w:ascii="Century Schoolbook" w:hAnsi="Century Schoolbook"/>
          <w:iCs/>
          <w:szCs w:val="26"/>
        </w:rPr>
        <w:t>” ’ </w:t>
      </w:r>
      <w:r w:rsidRPr="00E94ED7" w:rsidR="00E94ED7">
        <w:rPr>
          <w:rFonts w:ascii="Century Schoolbook" w:hAnsi="Century Schoolbook"/>
          <w:iCs/>
          <w:szCs w:val="26"/>
        </w:rPr>
        <w:t>”</w:t>
      </w:r>
      <w:r w:rsidR="00E94ED7">
        <w:rPr>
          <w:rFonts w:ascii="Century Schoolbook" w:hAnsi="Century Schoolbook"/>
          <w:iCs/>
          <w:szCs w:val="26"/>
        </w:rPr>
        <w:t xml:space="preserve"> provided:</w:t>
      </w:r>
      <w:r w:rsidR="00F86F86">
        <w:rPr>
          <w:rFonts w:ascii="Century Schoolbook" w:hAnsi="Century Schoolbook"/>
          <w:iCs/>
          <w:szCs w:val="26"/>
        </w:rPr>
        <w:t xml:space="preserve"> </w:t>
      </w:r>
      <w:r w:rsidRPr="00BD78F6">
        <w:rPr>
          <w:rFonts w:ascii="Century Schoolbook" w:hAnsi="Century Schoolbook"/>
          <w:iCs/>
          <w:szCs w:val="26"/>
        </w:rPr>
        <w:t xml:space="preserve">“Increases in the Fee </w:t>
      </w:r>
      <w:r>
        <w:rPr>
          <w:rFonts w:ascii="Century Schoolbook" w:hAnsi="Century Schoolbook"/>
          <w:iCs/>
          <w:szCs w:val="26"/>
        </w:rPr>
        <w:t>[f</w:t>
      </w:r>
      <w:r w:rsidRPr="00BD78F6">
        <w:rPr>
          <w:rFonts w:ascii="Century Schoolbook" w:hAnsi="Century Schoolbook"/>
          <w:iCs/>
          <w:szCs w:val="26"/>
        </w:rPr>
        <w:t>or Selected Professional School Students</w:t>
      </w:r>
      <w:r>
        <w:rPr>
          <w:rFonts w:ascii="Century Schoolbook" w:hAnsi="Century Schoolbook"/>
          <w:iCs/>
          <w:szCs w:val="26"/>
        </w:rPr>
        <w:t xml:space="preserve">] </w:t>
      </w:r>
      <w:r w:rsidRPr="00BD78F6">
        <w:rPr>
          <w:rFonts w:ascii="Century Schoolbook" w:hAnsi="Century Schoolbook"/>
          <w:iCs/>
          <w:szCs w:val="26"/>
        </w:rPr>
        <w:t>apply to new students only.</w:t>
      </w:r>
      <w:r>
        <w:rPr>
          <w:rFonts w:ascii="Century Schoolbook" w:hAnsi="Century Schoolbook"/>
          <w:iCs/>
          <w:szCs w:val="26"/>
        </w:rPr>
        <w:t xml:space="preserve"> </w:t>
      </w:r>
      <w:r w:rsidRPr="00BD78F6">
        <w:rPr>
          <w:rFonts w:ascii="Century Schoolbook" w:hAnsi="Century Schoolbook"/>
          <w:iCs/>
          <w:szCs w:val="26"/>
        </w:rPr>
        <w:t xml:space="preserve"> The Fee will remain the same for each student for the duration of his or her enrollment in the professional degree program.”</w:t>
      </w:r>
      <w:r>
        <w:rPr>
          <w:rFonts w:ascii="Century Schoolbook" w:hAnsi="Century Schoolbook"/>
          <w:iCs/>
          <w:szCs w:val="26"/>
        </w:rPr>
        <w:t xml:space="preserve">  (</w:t>
      </w:r>
      <w:r>
        <w:rPr>
          <w:rFonts w:ascii="Century Schoolbook" w:hAnsi="Century Schoolbook"/>
          <w:i/>
          <w:szCs w:val="26"/>
        </w:rPr>
        <w:t>Id.</w:t>
      </w:r>
      <w:r>
        <w:rPr>
          <w:rFonts w:ascii="Century Schoolbook" w:hAnsi="Century Schoolbook"/>
          <w:iCs/>
          <w:szCs w:val="26"/>
        </w:rPr>
        <w:t xml:space="preserve"> at p. 816.)  </w:t>
      </w:r>
      <w:r w:rsidR="00E94ED7">
        <w:rPr>
          <w:rFonts w:ascii="Century Schoolbook" w:hAnsi="Century Schoolbook"/>
          <w:iCs/>
          <w:szCs w:val="26"/>
        </w:rPr>
        <w:t>Second, in connect</w:t>
      </w:r>
      <w:r w:rsidR="00E11AEF">
        <w:rPr>
          <w:rFonts w:ascii="Century Schoolbook" w:hAnsi="Century Schoolbook"/>
          <w:iCs/>
          <w:szCs w:val="26"/>
        </w:rPr>
        <w:t>ion</w:t>
      </w:r>
      <w:r w:rsidR="00E94ED7">
        <w:rPr>
          <w:rFonts w:ascii="Century Schoolbook" w:hAnsi="Century Schoolbook"/>
          <w:iCs/>
          <w:szCs w:val="26"/>
        </w:rPr>
        <w:t xml:space="preserve"> with its approval of the fee policy, the Re</w:t>
      </w:r>
      <w:r w:rsidRPr="00E94ED7" w:rsidR="00E94ED7">
        <w:rPr>
          <w:rFonts w:ascii="Century Schoolbook" w:hAnsi="Century Schoolbook"/>
          <w:iCs/>
          <w:szCs w:val="26"/>
        </w:rPr>
        <w:t>gents of the University of California</w:t>
      </w:r>
      <w:r w:rsidR="00E94ED7">
        <w:rPr>
          <w:rFonts w:ascii="Century Schoolbook" w:hAnsi="Century Schoolbook"/>
          <w:iCs/>
          <w:szCs w:val="26"/>
        </w:rPr>
        <w:t xml:space="preserve"> declared, “ </w:t>
      </w:r>
      <w:r w:rsidRPr="00E94ED7" w:rsidR="00E94ED7">
        <w:rPr>
          <w:rFonts w:ascii="Century Schoolbook" w:hAnsi="Century Schoolbook"/>
          <w:iCs/>
          <w:szCs w:val="26"/>
        </w:rPr>
        <w:t>‘the level of the [challenged fee] remain</w:t>
      </w:r>
      <w:r w:rsidR="00A31847">
        <w:rPr>
          <w:rFonts w:ascii="Century Schoolbook" w:hAnsi="Century Schoolbook"/>
          <w:iCs/>
          <w:szCs w:val="26"/>
        </w:rPr>
        <w:t>s</w:t>
      </w:r>
      <w:r w:rsidRPr="00E94ED7" w:rsidR="00E94ED7">
        <w:rPr>
          <w:rFonts w:ascii="Century Schoolbook" w:hAnsi="Century Schoolbook"/>
          <w:iCs/>
          <w:szCs w:val="26"/>
        </w:rPr>
        <w:t xml:space="preserve"> the same for each student for the duration of his or her enrollment in the professional degree program, with increases in the fee applicable to new students only.” </w:t>
      </w:r>
      <w:r w:rsidR="00E94ED7">
        <w:rPr>
          <w:rFonts w:ascii="Century Schoolbook" w:hAnsi="Century Schoolbook"/>
          <w:iCs/>
          <w:szCs w:val="26"/>
        </w:rPr>
        <w:t xml:space="preserve"> (</w:t>
      </w:r>
      <w:r w:rsidR="00E94ED7">
        <w:rPr>
          <w:rFonts w:ascii="Century Schoolbook" w:hAnsi="Century Schoolbook"/>
          <w:i/>
          <w:szCs w:val="26"/>
        </w:rPr>
        <w:t>Ibid.</w:t>
      </w:r>
      <w:r w:rsidR="00E94ED7">
        <w:rPr>
          <w:rFonts w:ascii="Century Schoolbook" w:hAnsi="Century Schoolbook"/>
          <w:iCs/>
          <w:szCs w:val="26"/>
        </w:rPr>
        <w:t>)  Finally, t</w:t>
      </w:r>
      <w:r w:rsidR="007F60B7">
        <w:rPr>
          <w:rFonts w:ascii="Century Schoolbook" w:hAnsi="Century Schoolbook"/>
          <w:iCs/>
          <w:szCs w:val="26"/>
        </w:rPr>
        <w:t xml:space="preserve">he university’s annual budget documents </w:t>
      </w:r>
      <w:r w:rsidR="00E94ED7">
        <w:rPr>
          <w:rFonts w:ascii="Century Schoolbook" w:hAnsi="Century Schoolbook"/>
          <w:iCs/>
          <w:szCs w:val="26"/>
        </w:rPr>
        <w:t>stated, “</w:t>
      </w:r>
      <w:r w:rsidR="00A31847">
        <w:rPr>
          <w:rFonts w:ascii="Century Schoolbook" w:hAnsi="Century Schoolbook"/>
          <w:iCs/>
          <w:szCs w:val="26"/>
        </w:rPr>
        <w:t> ‘</w:t>
      </w:r>
      <w:r w:rsidRPr="00E94ED7" w:rsidR="00E94ED7">
        <w:rPr>
          <w:rFonts w:ascii="Century Schoolbook" w:hAnsi="Century Schoolbook"/>
          <w:iCs/>
          <w:szCs w:val="26"/>
        </w:rPr>
        <w:t>the level of the [challenged fee] remains the same for each student for the duration of his or her enrollment in the professional degree program, with increases in the fee applicable to new students only.</w:t>
      </w:r>
      <w:r w:rsidR="00A31847">
        <w:rPr>
          <w:rFonts w:ascii="Century Schoolbook" w:hAnsi="Century Schoolbook"/>
          <w:iCs/>
          <w:szCs w:val="26"/>
        </w:rPr>
        <w:t>’ </w:t>
      </w:r>
      <w:r w:rsidRPr="00E94ED7" w:rsidR="00E94ED7">
        <w:rPr>
          <w:rFonts w:ascii="Century Schoolbook" w:hAnsi="Century Schoolbook"/>
          <w:iCs/>
          <w:szCs w:val="26"/>
        </w:rPr>
        <w:t>”</w:t>
      </w:r>
      <w:r w:rsidR="007F60B7">
        <w:rPr>
          <w:rFonts w:ascii="Century Schoolbook" w:hAnsi="Century Schoolbook"/>
          <w:iCs/>
          <w:szCs w:val="26"/>
        </w:rPr>
        <w:t xml:space="preserve">  (</w:t>
      </w:r>
      <w:r w:rsidR="00E94ED7">
        <w:rPr>
          <w:rFonts w:ascii="Century Schoolbook" w:hAnsi="Century Schoolbook"/>
          <w:i/>
          <w:szCs w:val="26"/>
        </w:rPr>
        <w:t>Ibid</w:t>
      </w:r>
      <w:r w:rsidR="007F60B7">
        <w:rPr>
          <w:rFonts w:ascii="Century Schoolbook" w:hAnsi="Century Schoolbook"/>
          <w:iCs/>
          <w:szCs w:val="26"/>
        </w:rPr>
        <w:t xml:space="preserve">.)  </w:t>
      </w:r>
    </w:p>
    <w:p w:rsidR="006D6C8E" w:rsidRPr="008428B1" w:rsidP="00AE39BE" w14:paraId="72605ACB" w14:textId="7D835329">
      <w:pPr>
        <w:spacing w:line="360" w:lineRule="auto"/>
        <w:rPr>
          <w:rFonts w:ascii="Century Schoolbook" w:hAnsi="Century Schoolbook"/>
          <w:iCs/>
          <w:szCs w:val="26"/>
        </w:rPr>
      </w:pPr>
      <w:r>
        <w:rPr>
          <w:rFonts w:ascii="Century Schoolbook" w:hAnsi="Century Schoolbook"/>
          <w:iCs/>
          <w:szCs w:val="26"/>
        </w:rPr>
        <w:tab/>
      </w:r>
      <w:r w:rsidR="00E94ED7">
        <w:rPr>
          <w:rFonts w:ascii="Century Schoolbook" w:hAnsi="Century Schoolbook"/>
          <w:iCs/>
          <w:szCs w:val="26"/>
        </w:rPr>
        <w:t>In evaluating these statements</w:t>
      </w:r>
      <w:r>
        <w:rPr>
          <w:rFonts w:ascii="Century Schoolbook" w:hAnsi="Century Schoolbook"/>
          <w:iCs/>
          <w:szCs w:val="26"/>
        </w:rPr>
        <w:t xml:space="preserve">, </w:t>
      </w:r>
      <w:r w:rsidR="00BD78F6">
        <w:rPr>
          <w:rFonts w:ascii="Century Schoolbook" w:hAnsi="Century Schoolbook"/>
          <w:iCs/>
          <w:szCs w:val="26"/>
        </w:rPr>
        <w:t xml:space="preserve">our colleagues in Division Two </w:t>
      </w:r>
      <w:r w:rsidR="002F0DD6">
        <w:rPr>
          <w:rFonts w:ascii="Century Schoolbook" w:hAnsi="Century Schoolbook"/>
          <w:iCs/>
          <w:szCs w:val="26"/>
        </w:rPr>
        <w:t>clarified that not all statements in university</w:t>
      </w:r>
      <w:r w:rsidRPr="00F86F86">
        <w:rPr>
          <w:rFonts w:ascii="Century Schoolbook" w:hAnsi="Century Schoolbook"/>
          <w:iCs/>
          <w:szCs w:val="26"/>
        </w:rPr>
        <w:t xml:space="preserve"> catalogs and bulletins</w:t>
      </w:r>
      <w:r w:rsidR="002F0DD6">
        <w:rPr>
          <w:rFonts w:ascii="Century Schoolbook" w:hAnsi="Century Schoolbook"/>
          <w:iCs/>
          <w:szCs w:val="26"/>
        </w:rPr>
        <w:t xml:space="preserve"> </w:t>
      </w:r>
      <w:r w:rsidRPr="00F86F86">
        <w:rPr>
          <w:rFonts w:ascii="Century Schoolbook" w:hAnsi="Century Schoolbook"/>
          <w:iCs/>
          <w:szCs w:val="26"/>
        </w:rPr>
        <w:t xml:space="preserve">amount to contractual obligations.  </w:t>
      </w:r>
      <w:r w:rsidR="002F0DD6">
        <w:rPr>
          <w:rFonts w:ascii="Century Schoolbook" w:hAnsi="Century Schoolbook"/>
          <w:iCs/>
          <w:szCs w:val="26"/>
        </w:rPr>
        <w:t>“</w:t>
      </w:r>
      <w:r w:rsidR="00B341FC">
        <w:rPr>
          <w:rFonts w:ascii="Century Schoolbook" w:hAnsi="Century Schoolbook"/>
          <w:iCs/>
          <w:szCs w:val="26"/>
        </w:rPr>
        <w:t>[L]ike</w:t>
      </w:r>
      <w:r w:rsidRPr="00F86F86">
        <w:rPr>
          <w:rFonts w:ascii="Century Schoolbook" w:hAnsi="Century Schoolbook"/>
          <w:iCs/>
          <w:szCs w:val="26"/>
        </w:rPr>
        <w:t xml:space="preserve"> all obligations imposed pursuant to implied contractual terms, the contractual obligations imposed by the language in catalogues ‘center around what is reasonable.’</w:t>
      </w:r>
      <w:r>
        <w:rPr>
          <w:rFonts w:ascii="Century Schoolbook" w:hAnsi="Century Schoolbook"/>
          <w:iCs/>
          <w:szCs w:val="26"/>
        </w:rPr>
        <w:t> ”  (</w:t>
      </w:r>
      <w:r>
        <w:rPr>
          <w:rFonts w:ascii="Century Schoolbook" w:hAnsi="Century Schoolbook"/>
          <w:i/>
          <w:szCs w:val="26"/>
        </w:rPr>
        <w:t xml:space="preserve">Id. </w:t>
      </w:r>
      <w:r>
        <w:rPr>
          <w:rFonts w:ascii="Century Schoolbook" w:hAnsi="Century Schoolbook"/>
          <w:iCs/>
          <w:szCs w:val="26"/>
        </w:rPr>
        <w:t>at pp. </w:t>
      </w:r>
      <w:r w:rsidRPr="00F86F86">
        <w:rPr>
          <w:rFonts w:ascii="Century Schoolbook" w:hAnsi="Century Schoolbook"/>
          <w:iCs/>
          <w:szCs w:val="26"/>
        </w:rPr>
        <w:t>828–</w:t>
      </w:r>
      <w:r>
        <w:rPr>
          <w:rFonts w:ascii="Century Schoolbook" w:hAnsi="Century Schoolbook"/>
          <w:iCs/>
          <w:szCs w:val="26"/>
        </w:rPr>
        <w:t>8</w:t>
      </w:r>
      <w:r w:rsidRPr="00F86F86">
        <w:rPr>
          <w:rFonts w:ascii="Century Schoolbook" w:hAnsi="Century Schoolbook"/>
          <w:iCs/>
          <w:szCs w:val="26"/>
        </w:rPr>
        <w:t>29.)</w:t>
      </w:r>
      <w:r w:rsidR="008428B1">
        <w:rPr>
          <w:rFonts w:ascii="Century Schoolbook" w:hAnsi="Century Schoolbook"/>
          <w:iCs/>
          <w:szCs w:val="26"/>
        </w:rPr>
        <w:t xml:space="preserve"> </w:t>
      </w:r>
      <w:r w:rsidR="002F0DD6">
        <w:rPr>
          <w:rFonts w:ascii="Century Schoolbook" w:hAnsi="Century Schoolbook"/>
          <w:iCs/>
          <w:szCs w:val="26"/>
        </w:rPr>
        <w:t xml:space="preserve"> What is reasonable is based on the </w:t>
      </w:r>
      <w:r w:rsidRPr="00F86F86">
        <w:rPr>
          <w:rFonts w:ascii="Century Schoolbook" w:hAnsi="Century Schoolbook"/>
          <w:iCs/>
          <w:szCs w:val="26"/>
        </w:rPr>
        <w:t>totality of the circumstances</w:t>
      </w:r>
      <w:r w:rsidR="00AE39BE">
        <w:rPr>
          <w:rFonts w:ascii="Century Schoolbook" w:hAnsi="Century Schoolbook"/>
          <w:iCs/>
          <w:szCs w:val="26"/>
        </w:rPr>
        <w:t xml:space="preserve"> </w:t>
      </w:r>
      <w:r w:rsidR="002F0DD6">
        <w:rPr>
          <w:rFonts w:ascii="Century Schoolbook" w:hAnsi="Century Schoolbook"/>
          <w:iCs/>
          <w:szCs w:val="26"/>
        </w:rPr>
        <w:t>including</w:t>
      </w:r>
      <w:r w:rsidRPr="00F86F86">
        <w:rPr>
          <w:rFonts w:ascii="Century Schoolbook" w:hAnsi="Century Schoolbook"/>
          <w:iCs/>
          <w:szCs w:val="26"/>
        </w:rPr>
        <w:t xml:space="preserve"> the acts and conduct of the parties</w:t>
      </w:r>
      <w:r w:rsidR="002F0DD6">
        <w:rPr>
          <w:rFonts w:ascii="Century Schoolbook" w:hAnsi="Century Schoolbook"/>
          <w:iCs/>
          <w:szCs w:val="26"/>
        </w:rPr>
        <w:t xml:space="preserve"> and </w:t>
      </w:r>
      <w:r w:rsidRPr="00F86F86">
        <w:rPr>
          <w:rFonts w:ascii="Century Schoolbook" w:hAnsi="Century Schoolbook"/>
          <w:iCs/>
          <w:szCs w:val="26"/>
        </w:rPr>
        <w:t>the subject matter</w:t>
      </w:r>
      <w:r w:rsidR="002F0DD6">
        <w:rPr>
          <w:rFonts w:ascii="Century Schoolbook" w:hAnsi="Century Schoolbook"/>
          <w:iCs/>
          <w:szCs w:val="26"/>
        </w:rPr>
        <w:t>, and “t</w:t>
      </w:r>
      <w:r w:rsidRPr="00F86F86">
        <w:rPr>
          <w:rFonts w:ascii="Century Schoolbook" w:hAnsi="Century Schoolbook"/>
          <w:iCs/>
          <w:szCs w:val="26"/>
        </w:rPr>
        <w:t>he reasonableness of the student’s expectation is measured by the definiteness, specificity, or explicit nature of the representation at issue.”  (</w:t>
      </w:r>
      <w:r w:rsidR="008428B1">
        <w:rPr>
          <w:rFonts w:ascii="Century Schoolbook" w:hAnsi="Century Schoolbook"/>
          <w:i/>
          <w:szCs w:val="26"/>
        </w:rPr>
        <w:t xml:space="preserve">Id. </w:t>
      </w:r>
      <w:r>
        <w:rPr>
          <w:rFonts w:ascii="Century Schoolbook" w:hAnsi="Century Schoolbook"/>
          <w:iCs/>
          <w:szCs w:val="26"/>
        </w:rPr>
        <w:t>at pp. </w:t>
      </w:r>
      <w:r w:rsidRPr="00F86F86">
        <w:rPr>
          <w:rFonts w:ascii="Century Schoolbook" w:hAnsi="Century Schoolbook"/>
          <w:iCs/>
          <w:szCs w:val="26"/>
        </w:rPr>
        <w:t>831–</w:t>
      </w:r>
      <w:r>
        <w:rPr>
          <w:rFonts w:ascii="Century Schoolbook" w:hAnsi="Century Schoolbook"/>
          <w:iCs/>
          <w:szCs w:val="26"/>
        </w:rPr>
        <w:t>8</w:t>
      </w:r>
      <w:r w:rsidRPr="00F86F86">
        <w:rPr>
          <w:rFonts w:ascii="Century Schoolbook" w:hAnsi="Century Schoolbook"/>
          <w:iCs/>
          <w:szCs w:val="26"/>
        </w:rPr>
        <w:t>32.)</w:t>
      </w:r>
      <w:r w:rsidR="002F0DD6">
        <w:rPr>
          <w:rFonts w:ascii="Century Schoolbook" w:hAnsi="Century Schoolbook"/>
          <w:iCs/>
          <w:szCs w:val="26"/>
        </w:rPr>
        <w:t xml:space="preserve">  </w:t>
      </w:r>
      <w:r w:rsidR="00AE39BE">
        <w:rPr>
          <w:rFonts w:ascii="Century Schoolbook" w:hAnsi="Century Schoolbook"/>
          <w:iCs/>
          <w:szCs w:val="26"/>
        </w:rPr>
        <w:t xml:space="preserve">Applying these principles, the court concluded </w:t>
      </w:r>
      <w:r w:rsidR="002F0DD6">
        <w:rPr>
          <w:rFonts w:ascii="Century Schoolbook" w:hAnsi="Century Schoolbook"/>
          <w:iCs/>
          <w:szCs w:val="26"/>
        </w:rPr>
        <w:t>“</w:t>
      </w:r>
      <w:r w:rsidRPr="00AE39BE" w:rsidR="00AE39BE">
        <w:rPr>
          <w:rFonts w:ascii="Century Schoolbook" w:hAnsi="Century Schoolbook"/>
          <w:iCs/>
          <w:szCs w:val="26"/>
        </w:rPr>
        <w:t>it was reasonable for students to believe</w:t>
      </w:r>
      <w:r w:rsidR="008428B1">
        <w:rPr>
          <w:rFonts w:ascii="Century Schoolbook" w:hAnsi="Century Schoolbook"/>
          <w:iCs/>
          <w:szCs w:val="26"/>
        </w:rPr>
        <w:t>” the professional degree fees “</w:t>
      </w:r>
      <w:r w:rsidRPr="00AE39BE" w:rsidR="00AE39BE">
        <w:rPr>
          <w:rFonts w:ascii="Century Schoolbook" w:hAnsi="Century Schoolbook"/>
          <w:iCs/>
          <w:szCs w:val="26"/>
        </w:rPr>
        <w:t>would remain the same for the duration of that student</w:t>
      </w:r>
      <w:r w:rsidR="008428B1">
        <w:rPr>
          <w:rFonts w:ascii="Century Schoolbook" w:hAnsi="Century Schoolbook"/>
          <w:iCs/>
          <w:szCs w:val="26"/>
        </w:rPr>
        <w:t>’</w:t>
      </w:r>
      <w:r w:rsidRPr="00AE39BE" w:rsidR="00AE39BE">
        <w:rPr>
          <w:rFonts w:ascii="Century Schoolbook" w:hAnsi="Century Schoolbook"/>
          <w:iCs/>
          <w:szCs w:val="26"/>
        </w:rPr>
        <w:t>s enrollment in the professional program</w:t>
      </w:r>
      <w:r w:rsidR="00AE39BE">
        <w:rPr>
          <w:rFonts w:ascii="Century Schoolbook" w:hAnsi="Century Schoolbook"/>
          <w:iCs/>
          <w:szCs w:val="26"/>
        </w:rPr>
        <w:t>.”  (</w:t>
      </w:r>
      <w:r w:rsidR="00AE39BE">
        <w:rPr>
          <w:rFonts w:ascii="Century Schoolbook" w:hAnsi="Century Schoolbook"/>
          <w:i/>
          <w:szCs w:val="26"/>
        </w:rPr>
        <w:t>Id.</w:t>
      </w:r>
      <w:r w:rsidRPr="00AE39BE" w:rsidR="00AE39BE">
        <w:rPr>
          <w:rFonts w:ascii="Century Schoolbook" w:hAnsi="Century Schoolbook"/>
          <w:iCs/>
          <w:szCs w:val="26"/>
        </w:rPr>
        <w:t xml:space="preserve"> </w:t>
      </w:r>
      <w:r w:rsidR="00AE39BE">
        <w:rPr>
          <w:rFonts w:ascii="Century Schoolbook" w:hAnsi="Century Schoolbook"/>
          <w:iCs/>
          <w:szCs w:val="26"/>
        </w:rPr>
        <w:t>at p. </w:t>
      </w:r>
      <w:r w:rsidRPr="00AE39BE" w:rsidR="00AE39BE">
        <w:rPr>
          <w:rFonts w:ascii="Century Schoolbook" w:hAnsi="Century Schoolbook"/>
          <w:iCs/>
          <w:szCs w:val="26"/>
        </w:rPr>
        <w:t>833</w:t>
      </w:r>
      <w:r w:rsidR="00AE39BE">
        <w:rPr>
          <w:rFonts w:ascii="Century Schoolbook" w:hAnsi="Century Schoolbook"/>
          <w:iCs/>
          <w:szCs w:val="26"/>
        </w:rPr>
        <w:t>.</w:t>
      </w:r>
      <w:r w:rsidRPr="00AE39BE" w:rsidR="00AE39BE">
        <w:rPr>
          <w:rFonts w:ascii="Century Schoolbook" w:hAnsi="Century Schoolbook"/>
          <w:iCs/>
          <w:szCs w:val="26"/>
        </w:rPr>
        <w:t>)</w:t>
      </w:r>
      <w:r w:rsidR="008428B1">
        <w:rPr>
          <w:rFonts w:ascii="Century Schoolbook" w:hAnsi="Century Schoolbook"/>
          <w:iCs/>
          <w:szCs w:val="26"/>
        </w:rPr>
        <w:t xml:space="preserve">  The court thus held the university made a “specific promise” through its </w:t>
      </w:r>
      <w:r w:rsidRPr="008428B1" w:rsidR="008428B1">
        <w:rPr>
          <w:rFonts w:ascii="Century Schoolbook" w:hAnsi="Century Schoolbook"/>
          <w:iCs/>
          <w:szCs w:val="26"/>
        </w:rPr>
        <w:t>“unequivocal” statements</w:t>
      </w:r>
      <w:r w:rsidR="008428B1">
        <w:rPr>
          <w:rFonts w:ascii="Century Schoolbook" w:hAnsi="Century Schoolbook"/>
          <w:iCs/>
          <w:szCs w:val="26"/>
        </w:rPr>
        <w:t>, and not merely “a general statement or declaration.”  (</w:t>
      </w:r>
      <w:r w:rsidR="008428B1">
        <w:rPr>
          <w:rFonts w:ascii="Century Schoolbook" w:hAnsi="Century Schoolbook"/>
          <w:i/>
          <w:szCs w:val="26"/>
        </w:rPr>
        <w:t>Ibid.</w:t>
      </w:r>
      <w:r w:rsidR="008428B1">
        <w:rPr>
          <w:rFonts w:ascii="Century Schoolbook" w:hAnsi="Century Schoolbook"/>
          <w:iCs/>
          <w:szCs w:val="26"/>
        </w:rPr>
        <w:t>)</w:t>
      </w:r>
    </w:p>
    <w:p w:rsidR="00CD6CF4" w:rsidP="0044612F" w14:paraId="564B62E9" w14:textId="6A1EE0C1">
      <w:pPr>
        <w:spacing w:line="360" w:lineRule="auto"/>
        <w:rPr>
          <w:rFonts w:ascii="Century Schoolbook" w:hAnsi="Century Schoolbook"/>
          <w:iCs/>
          <w:szCs w:val="26"/>
        </w:rPr>
      </w:pPr>
      <w:r>
        <w:rPr>
          <w:rFonts w:ascii="Century Schoolbook" w:hAnsi="Century Schoolbook"/>
          <w:iCs/>
          <w:szCs w:val="26"/>
        </w:rPr>
        <w:tab/>
        <w:t xml:space="preserve">Here, by contrast, there </w:t>
      </w:r>
      <w:r w:rsidR="00FF20DC">
        <w:rPr>
          <w:rFonts w:ascii="Century Schoolbook" w:hAnsi="Century Schoolbook"/>
          <w:iCs/>
          <w:szCs w:val="26"/>
        </w:rPr>
        <w:t>are</w:t>
      </w:r>
      <w:r>
        <w:rPr>
          <w:rFonts w:ascii="Century Schoolbook" w:hAnsi="Century Schoolbook"/>
          <w:iCs/>
          <w:szCs w:val="26"/>
        </w:rPr>
        <w:t xml:space="preserve"> no comparable “unequivocal” statements.  A</w:t>
      </w:r>
      <w:r w:rsidR="008D5ED1">
        <w:rPr>
          <w:rFonts w:ascii="Century Schoolbook" w:hAnsi="Century Schoolbook"/>
          <w:iCs/>
          <w:szCs w:val="26"/>
        </w:rPr>
        <w:t>ppellants</w:t>
      </w:r>
      <w:r w:rsidR="00C56434">
        <w:rPr>
          <w:rFonts w:ascii="Century Schoolbook" w:hAnsi="Century Schoolbook"/>
          <w:iCs/>
          <w:szCs w:val="26"/>
        </w:rPr>
        <w:t xml:space="preserve"> rely on</w:t>
      </w:r>
      <w:r w:rsidR="002A41BA">
        <w:rPr>
          <w:rFonts w:ascii="Century Schoolbook" w:hAnsi="Century Schoolbook"/>
          <w:iCs/>
          <w:szCs w:val="26"/>
        </w:rPr>
        <w:t xml:space="preserve"> the following evidence to assert a contractual term for in-person instruction:</w:t>
      </w:r>
      <w:r w:rsidR="00C56434">
        <w:rPr>
          <w:rFonts w:ascii="Century Schoolbook" w:hAnsi="Century Schoolbook"/>
          <w:iCs/>
          <w:szCs w:val="26"/>
        </w:rPr>
        <w:t xml:space="preserve"> (1) statements inviting them to “join a dynamic student body,” “develop amazing friendships,” “be surrounded by the best city ever,” and “join . . . one of our admitted student visit days,” and (2) documents referencing the physical locations of classes</w:t>
      </w:r>
      <w:r w:rsidR="00B1755B">
        <w:rPr>
          <w:rFonts w:ascii="Century Schoolbook" w:hAnsi="Century Schoolbook"/>
          <w:iCs/>
          <w:szCs w:val="26"/>
        </w:rPr>
        <w:t>.</w:t>
      </w:r>
      <w:r>
        <w:rPr>
          <w:rStyle w:val="FootnoteReference"/>
          <w:iCs/>
          <w:szCs w:val="26"/>
        </w:rPr>
        <w:footnoteReference w:id="4"/>
      </w:r>
      <w:r w:rsidR="00B1755B">
        <w:rPr>
          <w:rFonts w:ascii="Century Schoolbook" w:hAnsi="Century Schoolbook"/>
          <w:iCs/>
          <w:szCs w:val="26"/>
        </w:rPr>
        <w:t xml:space="preserve"> </w:t>
      </w:r>
      <w:r w:rsidR="00806DE0">
        <w:rPr>
          <w:rFonts w:ascii="Century Schoolbook" w:hAnsi="Century Schoolbook"/>
          <w:iCs/>
          <w:szCs w:val="26"/>
        </w:rPr>
        <w:t xml:space="preserve"> </w:t>
      </w:r>
      <w:r w:rsidR="00BF4ECD">
        <w:rPr>
          <w:rFonts w:ascii="Century Schoolbook" w:hAnsi="Century Schoolbook"/>
          <w:iCs/>
          <w:szCs w:val="26"/>
        </w:rPr>
        <w:t xml:space="preserve">Unlike the statements in </w:t>
      </w:r>
      <w:r w:rsidRPr="00BF4ECD" w:rsidR="00BF4ECD">
        <w:rPr>
          <w:rFonts w:ascii="Century Schoolbook" w:hAnsi="Century Schoolbook"/>
          <w:i/>
          <w:szCs w:val="26"/>
        </w:rPr>
        <w:t>Kashmiri</w:t>
      </w:r>
      <w:r w:rsidR="00BF4ECD">
        <w:rPr>
          <w:rFonts w:ascii="Century Schoolbook" w:hAnsi="Century Schoolbook"/>
          <w:iCs/>
          <w:szCs w:val="26"/>
        </w:rPr>
        <w:t xml:space="preserve"> which specifically mentioned fees, n</w:t>
      </w:r>
      <w:r w:rsidRPr="00BF4ECD" w:rsidR="00B1755B">
        <w:rPr>
          <w:rFonts w:ascii="Century Schoolbook" w:hAnsi="Century Schoolbook"/>
          <w:iCs/>
          <w:szCs w:val="26"/>
        </w:rPr>
        <w:t>one</w:t>
      </w:r>
      <w:r w:rsidR="00B1755B">
        <w:rPr>
          <w:rFonts w:ascii="Century Schoolbook" w:hAnsi="Century Schoolbook"/>
          <w:iCs/>
          <w:szCs w:val="26"/>
        </w:rPr>
        <w:t xml:space="preserve"> of these statements </w:t>
      </w:r>
      <w:r w:rsidR="002A41BA">
        <w:rPr>
          <w:rFonts w:ascii="Century Schoolbook" w:hAnsi="Century Schoolbook"/>
          <w:iCs/>
          <w:szCs w:val="26"/>
        </w:rPr>
        <w:t>provide</w:t>
      </w:r>
      <w:r w:rsidR="00B1755B">
        <w:rPr>
          <w:rFonts w:ascii="Century Schoolbook" w:hAnsi="Century Schoolbook"/>
          <w:iCs/>
          <w:szCs w:val="26"/>
        </w:rPr>
        <w:t xml:space="preserve"> a </w:t>
      </w:r>
      <w:r w:rsidRPr="00B1755B" w:rsidR="00B1755B">
        <w:rPr>
          <w:rFonts w:ascii="Century Schoolbook" w:hAnsi="Century Schoolbook"/>
          <w:iCs/>
          <w:szCs w:val="26"/>
        </w:rPr>
        <w:t xml:space="preserve">specific promise </w:t>
      </w:r>
      <w:r w:rsidR="002A41BA">
        <w:rPr>
          <w:rFonts w:ascii="Century Schoolbook" w:hAnsi="Century Schoolbook"/>
          <w:iCs/>
          <w:szCs w:val="26"/>
        </w:rPr>
        <w:t>of</w:t>
      </w:r>
      <w:r w:rsidR="00E005B2">
        <w:rPr>
          <w:rFonts w:ascii="Century Schoolbook" w:hAnsi="Century Schoolbook"/>
          <w:iCs/>
          <w:szCs w:val="26"/>
        </w:rPr>
        <w:t xml:space="preserve"> exclusive</w:t>
      </w:r>
      <w:r w:rsidRPr="00B1755B" w:rsidR="00B1755B">
        <w:rPr>
          <w:rFonts w:ascii="Century Schoolbook" w:hAnsi="Century Schoolbook"/>
          <w:iCs/>
          <w:szCs w:val="26"/>
        </w:rPr>
        <w:t xml:space="preserve"> in-person instruction for the duration of </w:t>
      </w:r>
      <w:r w:rsidR="00B1755B">
        <w:rPr>
          <w:rFonts w:ascii="Century Schoolbook" w:hAnsi="Century Schoolbook"/>
          <w:iCs/>
          <w:szCs w:val="26"/>
        </w:rPr>
        <w:t xml:space="preserve">the </w:t>
      </w:r>
      <w:r w:rsidR="002A41BA">
        <w:rPr>
          <w:rFonts w:ascii="Century Schoolbook" w:hAnsi="Century Schoolbook"/>
          <w:iCs/>
          <w:szCs w:val="26"/>
        </w:rPr>
        <w:t>S</w:t>
      </w:r>
      <w:r w:rsidR="00B1755B">
        <w:rPr>
          <w:rFonts w:ascii="Century Schoolbook" w:hAnsi="Century Schoolbook"/>
          <w:iCs/>
          <w:szCs w:val="26"/>
        </w:rPr>
        <w:t xml:space="preserve">pring 2020 </w:t>
      </w:r>
      <w:r w:rsidRPr="00B1755B" w:rsidR="00B1755B">
        <w:rPr>
          <w:rFonts w:ascii="Century Schoolbook" w:hAnsi="Century Schoolbook"/>
          <w:iCs/>
          <w:szCs w:val="26"/>
        </w:rPr>
        <w:t>semester.</w:t>
      </w:r>
      <w:r w:rsidR="004D086B">
        <w:rPr>
          <w:rFonts w:ascii="Century Schoolbook" w:hAnsi="Century Schoolbook"/>
          <w:iCs/>
          <w:szCs w:val="26"/>
        </w:rPr>
        <w:t xml:space="preserve">  </w:t>
      </w:r>
    </w:p>
    <w:p w:rsidR="00E005B2" w:rsidP="0044612F" w14:paraId="37125F0E" w14:textId="61EBD514">
      <w:pPr>
        <w:spacing w:line="360" w:lineRule="auto"/>
        <w:rPr>
          <w:rFonts w:ascii="Century Schoolbook" w:hAnsi="Century Schoolbook"/>
          <w:iCs/>
          <w:szCs w:val="26"/>
        </w:rPr>
      </w:pPr>
      <w:r>
        <w:rPr>
          <w:rFonts w:ascii="Century Schoolbook" w:hAnsi="Century Schoolbook"/>
          <w:iCs/>
          <w:szCs w:val="26"/>
        </w:rPr>
        <w:tab/>
      </w:r>
      <w:r w:rsidR="00BF4ECD">
        <w:rPr>
          <w:rFonts w:ascii="Century Schoolbook" w:hAnsi="Century Schoolbook"/>
          <w:iCs/>
          <w:szCs w:val="26"/>
        </w:rPr>
        <w:t xml:space="preserve">Moreover, the statements in </w:t>
      </w:r>
      <w:r w:rsidR="00BF4ECD">
        <w:rPr>
          <w:rFonts w:ascii="Century Schoolbook" w:hAnsi="Century Schoolbook"/>
          <w:i/>
          <w:szCs w:val="26"/>
        </w:rPr>
        <w:t xml:space="preserve">Kashmiri </w:t>
      </w:r>
      <w:r w:rsidR="00BF4ECD">
        <w:rPr>
          <w:rFonts w:ascii="Century Schoolbook" w:hAnsi="Century Schoolbook"/>
          <w:iCs/>
          <w:szCs w:val="26"/>
        </w:rPr>
        <w:t>provided specific details regarding the scope of how and when the fee increases would be applied—i.e., fees would stay the same for the duration of a student’s enrollment.  (</w:t>
      </w:r>
      <w:r w:rsidR="00BF4ECD">
        <w:rPr>
          <w:rFonts w:ascii="Century Schoolbook" w:hAnsi="Century Schoolbook"/>
          <w:i/>
          <w:szCs w:val="26"/>
        </w:rPr>
        <w:t>Kashmiri</w:t>
      </w:r>
      <w:r w:rsidR="00BF4ECD">
        <w:rPr>
          <w:rFonts w:ascii="Century Schoolbook" w:hAnsi="Century Schoolbook"/>
          <w:iCs/>
          <w:szCs w:val="26"/>
        </w:rPr>
        <w:t>,</w:t>
      </w:r>
      <w:r w:rsidR="00BF4ECD">
        <w:rPr>
          <w:rFonts w:ascii="Century Schoolbook" w:hAnsi="Century Schoolbook"/>
          <w:i/>
          <w:szCs w:val="26"/>
        </w:rPr>
        <w:t xml:space="preserve"> supra</w:t>
      </w:r>
      <w:r w:rsidR="00BF4ECD">
        <w:rPr>
          <w:rFonts w:ascii="Century Schoolbook" w:hAnsi="Century Schoolbook"/>
          <w:iCs/>
          <w:szCs w:val="26"/>
        </w:rPr>
        <w:t xml:space="preserve">, </w:t>
      </w:r>
      <w:r w:rsidRPr="006D6C8E" w:rsidR="00BF4ECD">
        <w:rPr>
          <w:rFonts w:ascii="Century Schoolbook" w:hAnsi="Century Schoolbook"/>
          <w:iCs/>
          <w:szCs w:val="26"/>
        </w:rPr>
        <w:t xml:space="preserve">156 Cal.App.4th </w:t>
      </w:r>
      <w:r w:rsidR="00BF4ECD">
        <w:rPr>
          <w:rFonts w:ascii="Century Schoolbook" w:hAnsi="Century Schoolbook"/>
          <w:iCs/>
          <w:szCs w:val="26"/>
        </w:rPr>
        <w:t xml:space="preserve">at p. 816.)  Here, even assuming the </w:t>
      </w:r>
      <w:r w:rsidR="00443FB4">
        <w:rPr>
          <w:rFonts w:ascii="Century Schoolbook" w:hAnsi="Century Schoolbook"/>
          <w:iCs/>
          <w:szCs w:val="26"/>
        </w:rPr>
        <w:t xml:space="preserve">students </w:t>
      </w:r>
      <w:r w:rsidR="002F0DD6">
        <w:rPr>
          <w:rFonts w:ascii="Century Schoolbook" w:hAnsi="Century Schoolbook"/>
          <w:iCs/>
          <w:szCs w:val="26"/>
        </w:rPr>
        <w:t xml:space="preserve">were </w:t>
      </w:r>
      <w:r w:rsidR="00BF4ECD">
        <w:rPr>
          <w:rFonts w:ascii="Century Schoolbook" w:hAnsi="Century Schoolbook"/>
          <w:iCs/>
          <w:szCs w:val="26"/>
        </w:rPr>
        <w:t>promise</w:t>
      </w:r>
      <w:r w:rsidR="002F0DD6">
        <w:rPr>
          <w:rFonts w:ascii="Century Schoolbook" w:hAnsi="Century Schoolbook"/>
          <w:iCs/>
          <w:szCs w:val="26"/>
        </w:rPr>
        <w:t>d</w:t>
      </w:r>
      <w:r>
        <w:rPr>
          <w:rFonts w:ascii="Century Schoolbook" w:hAnsi="Century Schoolbook"/>
          <w:iCs/>
          <w:szCs w:val="26"/>
        </w:rPr>
        <w:t xml:space="preserve"> in-person instruction, </w:t>
      </w:r>
      <w:r w:rsidR="00BF4ECD">
        <w:rPr>
          <w:rFonts w:ascii="Century Schoolbook" w:hAnsi="Century Schoolbook"/>
          <w:iCs/>
          <w:szCs w:val="26"/>
        </w:rPr>
        <w:t>appellants</w:t>
      </w:r>
      <w:r>
        <w:rPr>
          <w:rFonts w:ascii="Century Schoolbook" w:hAnsi="Century Schoolbook"/>
          <w:iCs/>
          <w:szCs w:val="26"/>
        </w:rPr>
        <w:t xml:space="preserve"> fail to</w:t>
      </w:r>
      <w:r w:rsidR="003952B9">
        <w:rPr>
          <w:rFonts w:ascii="Century Schoolbook" w:hAnsi="Century Schoolbook"/>
          <w:iCs/>
          <w:szCs w:val="26"/>
        </w:rPr>
        <w:t xml:space="preserve"> </w:t>
      </w:r>
      <w:r>
        <w:rPr>
          <w:rFonts w:ascii="Century Schoolbook" w:hAnsi="Century Schoolbook"/>
          <w:iCs/>
          <w:szCs w:val="26"/>
        </w:rPr>
        <w:t xml:space="preserve">identify </w:t>
      </w:r>
      <w:r w:rsidR="003952B9">
        <w:rPr>
          <w:rFonts w:ascii="Century Schoolbook" w:hAnsi="Century Schoolbook"/>
          <w:iCs/>
          <w:szCs w:val="26"/>
        </w:rPr>
        <w:t xml:space="preserve">the terms under which </w:t>
      </w:r>
      <w:r w:rsidR="00BF4ECD">
        <w:rPr>
          <w:rFonts w:ascii="Century Schoolbook" w:hAnsi="Century Schoolbook"/>
          <w:iCs/>
          <w:szCs w:val="26"/>
        </w:rPr>
        <w:t xml:space="preserve">such </w:t>
      </w:r>
      <w:r w:rsidR="003952B9">
        <w:rPr>
          <w:rFonts w:ascii="Century Schoolbook" w:hAnsi="Century Schoolbook"/>
          <w:iCs/>
          <w:szCs w:val="26"/>
        </w:rPr>
        <w:t xml:space="preserve">in-person instruction </w:t>
      </w:r>
      <w:r w:rsidR="00043B68">
        <w:rPr>
          <w:rFonts w:ascii="Century Schoolbook" w:hAnsi="Century Schoolbook"/>
          <w:iCs/>
          <w:szCs w:val="26"/>
        </w:rPr>
        <w:t xml:space="preserve">and access to campus </w:t>
      </w:r>
      <w:r w:rsidR="003952B9">
        <w:rPr>
          <w:rFonts w:ascii="Century Schoolbook" w:hAnsi="Century Schoolbook"/>
          <w:iCs/>
          <w:szCs w:val="26"/>
        </w:rPr>
        <w:t>would be offered</w:t>
      </w:r>
      <w:r w:rsidRPr="003952B9" w:rsidR="003952B9">
        <w:rPr>
          <w:rFonts w:ascii="Century Schoolbook" w:hAnsi="Century Schoolbook"/>
          <w:iCs/>
          <w:szCs w:val="26"/>
        </w:rPr>
        <w:t xml:space="preserve">. </w:t>
      </w:r>
      <w:r w:rsidR="003952B9">
        <w:rPr>
          <w:rFonts w:ascii="Century Schoolbook" w:hAnsi="Century Schoolbook"/>
          <w:iCs/>
          <w:szCs w:val="26"/>
        </w:rPr>
        <w:t xml:space="preserve"> </w:t>
      </w:r>
      <w:r w:rsidR="00043B68">
        <w:rPr>
          <w:rFonts w:ascii="Century Schoolbook" w:hAnsi="Century Schoolbook"/>
          <w:iCs/>
          <w:szCs w:val="26"/>
        </w:rPr>
        <w:t>(</w:t>
      </w:r>
      <w:r w:rsidRPr="003952B9" w:rsidR="003952B9">
        <w:rPr>
          <w:rFonts w:ascii="Century Schoolbook" w:hAnsi="Century Schoolbook"/>
          <w:iCs/>
          <w:szCs w:val="26"/>
        </w:rPr>
        <w:t xml:space="preserve">See e.g., </w:t>
      </w:r>
      <w:r w:rsidRPr="00043B68" w:rsidR="003952B9">
        <w:rPr>
          <w:rFonts w:ascii="Century Schoolbook" w:hAnsi="Century Schoolbook"/>
          <w:i/>
          <w:szCs w:val="26"/>
        </w:rPr>
        <w:t>Kashmiri</w:t>
      </w:r>
      <w:r w:rsidRPr="003952B9" w:rsidR="003952B9">
        <w:rPr>
          <w:rFonts w:ascii="Century Schoolbook" w:hAnsi="Century Schoolbook"/>
          <w:iCs/>
          <w:szCs w:val="26"/>
        </w:rPr>
        <w:t>,</w:t>
      </w:r>
      <w:r w:rsidR="00AF6AF5">
        <w:rPr>
          <w:rFonts w:ascii="Century Schoolbook" w:hAnsi="Century Schoolbook"/>
          <w:iCs/>
          <w:szCs w:val="26"/>
        </w:rPr>
        <w:t xml:space="preserve"> </w:t>
      </w:r>
      <w:r w:rsidRPr="00AF6AF5" w:rsidR="00AF6AF5">
        <w:rPr>
          <w:rFonts w:ascii="Century Schoolbook" w:hAnsi="Century Schoolbook"/>
          <w:i/>
          <w:szCs w:val="26"/>
        </w:rPr>
        <w:t>supra</w:t>
      </w:r>
      <w:r w:rsidRPr="0012523C" w:rsidR="00AF6AF5">
        <w:rPr>
          <w:rFonts w:ascii="Century Schoolbook" w:hAnsi="Century Schoolbook"/>
          <w:iCs/>
          <w:szCs w:val="26"/>
        </w:rPr>
        <w:t>,</w:t>
      </w:r>
      <w:r w:rsidRPr="0012523C" w:rsidR="003952B9">
        <w:rPr>
          <w:rFonts w:ascii="Century Schoolbook" w:hAnsi="Century Schoolbook"/>
          <w:iCs/>
          <w:szCs w:val="26"/>
        </w:rPr>
        <w:t xml:space="preserve"> 15</w:t>
      </w:r>
      <w:r w:rsidRPr="0012523C" w:rsidR="0012523C">
        <w:rPr>
          <w:rFonts w:ascii="Century Schoolbook" w:hAnsi="Century Schoolbook"/>
          <w:iCs/>
          <w:szCs w:val="26"/>
        </w:rPr>
        <w:t>6</w:t>
      </w:r>
      <w:r w:rsidRPr="0012523C" w:rsidR="003952B9">
        <w:rPr>
          <w:rFonts w:ascii="Century Schoolbook" w:hAnsi="Century Schoolbook"/>
          <w:iCs/>
          <w:szCs w:val="26"/>
        </w:rPr>
        <w:t xml:space="preserve"> Cal.App.4th at </w:t>
      </w:r>
      <w:r w:rsidR="0012523C">
        <w:rPr>
          <w:rFonts w:ascii="Century Schoolbook" w:hAnsi="Century Schoolbook"/>
          <w:iCs/>
          <w:szCs w:val="26"/>
        </w:rPr>
        <w:t>p. </w:t>
      </w:r>
      <w:r w:rsidRPr="0012523C" w:rsidR="003952B9">
        <w:rPr>
          <w:rFonts w:ascii="Century Schoolbook" w:hAnsi="Century Schoolbook"/>
          <w:iCs/>
          <w:szCs w:val="26"/>
        </w:rPr>
        <w:t>832</w:t>
      </w:r>
      <w:r w:rsidRPr="003952B9" w:rsidR="003952B9">
        <w:rPr>
          <w:rFonts w:ascii="Century Schoolbook" w:hAnsi="Century Schoolbook"/>
          <w:iCs/>
          <w:szCs w:val="26"/>
        </w:rPr>
        <w:t xml:space="preserve"> </w:t>
      </w:r>
      <w:r w:rsidR="00043B68">
        <w:rPr>
          <w:rFonts w:ascii="Century Schoolbook" w:hAnsi="Century Schoolbook"/>
          <w:iCs/>
          <w:szCs w:val="26"/>
        </w:rPr>
        <w:t>[</w:t>
      </w:r>
      <w:r w:rsidRPr="003952B9" w:rsidR="003952B9">
        <w:rPr>
          <w:rFonts w:ascii="Century Schoolbook" w:hAnsi="Century Schoolbook"/>
          <w:iCs/>
          <w:szCs w:val="26"/>
        </w:rPr>
        <w:t>“words, such as ‘estimated’ .</w:t>
      </w:r>
      <w:r w:rsidR="00043B68">
        <w:rPr>
          <w:rFonts w:ascii="Century Schoolbook" w:hAnsi="Century Schoolbook"/>
          <w:iCs/>
          <w:szCs w:val="26"/>
        </w:rPr>
        <w:t> </w:t>
      </w:r>
      <w:r w:rsidRPr="003952B9" w:rsidR="003952B9">
        <w:rPr>
          <w:rFonts w:ascii="Century Schoolbook" w:hAnsi="Century Schoolbook"/>
          <w:iCs/>
          <w:szCs w:val="26"/>
        </w:rPr>
        <w:t>.</w:t>
      </w:r>
      <w:r w:rsidR="00043B68">
        <w:rPr>
          <w:rFonts w:ascii="Century Schoolbook" w:hAnsi="Century Schoolbook"/>
          <w:iCs/>
          <w:szCs w:val="26"/>
        </w:rPr>
        <w:t> </w:t>
      </w:r>
      <w:r w:rsidRPr="003952B9" w:rsidR="003952B9">
        <w:rPr>
          <w:rFonts w:ascii="Century Schoolbook" w:hAnsi="Century Schoolbook"/>
          <w:iCs/>
          <w:szCs w:val="26"/>
        </w:rPr>
        <w:t>. were too indefinite to create a contractual obligation.”</w:t>
      </w:r>
      <w:r w:rsidR="00043B68">
        <w:rPr>
          <w:rFonts w:ascii="Century Schoolbook" w:hAnsi="Century Schoolbook"/>
          <w:iCs/>
          <w:szCs w:val="26"/>
        </w:rPr>
        <w:t xml:space="preserve">].)  </w:t>
      </w:r>
      <w:r w:rsidR="008D5ED1">
        <w:rPr>
          <w:rFonts w:ascii="Century Schoolbook" w:hAnsi="Century Schoolbook"/>
          <w:iCs/>
          <w:szCs w:val="26"/>
        </w:rPr>
        <w:t>Appellants</w:t>
      </w:r>
      <w:r w:rsidR="00043B68">
        <w:rPr>
          <w:rFonts w:ascii="Century Schoolbook" w:hAnsi="Century Schoolbook"/>
          <w:iCs/>
          <w:szCs w:val="26"/>
        </w:rPr>
        <w:t xml:space="preserve"> do not assert such statements entitle them to 24/7 access to every building on campus.  Nor do they assert that a change in class location, from one building to another, would </w:t>
      </w:r>
      <w:r w:rsidR="002A41BA">
        <w:rPr>
          <w:rFonts w:ascii="Century Schoolbook" w:hAnsi="Century Schoolbook"/>
          <w:iCs/>
          <w:szCs w:val="26"/>
        </w:rPr>
        <w:t>constitute</w:t>
      </w:r>
      <w:r w:rsidR="00043B68">
        <w:rPr>
          <w:rFonts w:ascii="Century Schoolbook" w:hAnsi="Century Schoolbook"/>
          <w:iCs/>
          <w:szCs w:val="26"/>
        </w:rPr>
        <w:t xml:space="preserve"> a contractual breach based on the course catalog.  </w:t>
      </w:r>
      <w:r w:rsidR="002A41BA">
        <w:rPr>
          <w:rFonts w:ascii="Century Schoolbook" w:hAnsi="Century Schoolbook"/>
          <w:iCs/>
          <w:szCs w:val="26"/>
        </w:rPr>
        <w:t>And, in fact, appellants Moore and Oliva testified they did not interpret the admission letter as promising in-person instruction during a health and safety emergency.</w:t>
      </w:r>
    </w:p>
    <w:p w:rsidR="00BF4ECD" w:rsidRPr="00CD6CF4" w:rsidP="0044612F" w14:paraId="2D3F18C2" w14:textId="055A9954">
      <w:pPr>
        <w:spacing w:line="360" w:lineRule="auto"/>
        <w:rPr>
          <w:rFonts w:ascii="Century Schoolbook" w:hAnsi="Century Schoolbook"/>
        </w:rPr>
      </w:pPr>
      <w:r>
        <w:rPr>
          <w:rFonts w:ascii="Century Schoolbook" w:hAnsi="Century Schoolbook"/>
          <w:iCs/>
          <w:szCs w:val="26"/>
        </w:rPr>
        <w:tab/>
        <w:t xml:space="preserve">The generality of USF’s statements is particularly pronounced when compared to the specific and repeat promises in </w:t>
      </w:r>
      <w:r>
        <w:rPr>
          <w:rFonts w:ascii="Century Schoolbook" w:hAnsi="Century Schoolbook"/>
          <w:i/>
          <w:szCs w:val="26"/>
        </w:rPr>
        <w:t>Kashmiri</w:t>
      </w:r>
      <w:r>
        <w:t xml:space="preserve"> </w:t>
      </w:r>
      <w:r>
        <w:rPr>
          <w:rFonts w:ascii="Century Schoolbook" w:hAnsi="Century Schoolbook"/>
        </w:rPr>
        <w:t xml:space="preserve">regarding fee increases.  At most, these statements, </w:t>
      </w:r>
      <w:r w:rsidRPr="0072241B">
        <w:rPr>
          <w:rFonts w:ascii="Century Schoolbook" w:hAnsi="Century Schoolbook"/>
          <w:iCs/>
          <w:szCs w:val="26"/>
        </w:rPr>
        <w:t xml:space="preserve">construed in a light most favorable to </w:t>
      </w:r>
      <w:r>
        <w:rPr>
          <w:rFonts w:ascii="Century Schoolbook" w:hAnsi="Century Schoolbook"/>
          <w:iCs/>
          <w:szCs w:val="26"/>
        </w:rPr>
        <w:t>appellants</w:t>
      </w:r>
      <w:r w:rsidRPr="0072241B">
        <w:rPr>
          <w:rFonts w:ascii="Century Schoolbook" w:hAnsi="Century Schoolbook"/>
          <w:iCs/>
          <w:szCs w:val="26"/>
        </w:rPr>
        <w:t xml:space="preserve">, support </w:t>
      </w:r>
      <w:r>
        <w:rPr>
          <w:rFonts w:ascii="Century Schoolbook" w:hAnsi="Century Schoolbook"/>
          <w:iCs/>
          <w:szCs w:val="26"/>
        </w:rPr>
        <w:t>the proposition that USF</w:t>
      </w:r>
      <w:r w:rsidRPr="0072241B">
        <w:rPr>
          <w:rFonts w:ascii="Century Schoolbook" w:hAnsi="Century Schoolbook"/>
          <w:iCs/>
          <w:szCs w:val="26"/>
        </w:rPr>
        <w:t xml:space="preserve"> made sufficiently specific representations to infer a contractual promise to provide </w:t>
      </w:r>
      <w:r w:rsidRPr="004D086B">
        <w:rPr>
          <w:rFonts w:ascii="Century Schoolbook" w:hAnsi="Century Schoolbook"/>
          <w:i/>
          <w:szCs w:val="26"/>
        </w:rPr>
        <w:t>some</w:t>
      </w:r>
      <w:r w:rsidRPr="0072241B">
        <w:rPr>
          <w:rFonts w:ascii="Century Schoolbook" w:hAnsi="Century Schoolbook"/>
          <w:iCs/>
          <w:szCs w:val="26"/>
        </w:rPr>
        <w:t xml:space="preserve"> in-person instruction and on-campus services in exchange for </w:t>
      </w:r>
      <w:r>
        <w:rPr>
          <w:rFonts w:ascii="Century Schoolbook" w:hAnsi="Century Schoolbook"/>
          <w:iCs/>
          <w:szCs w:val="26"/>
        </w:rPr>
        <w:t>appellants’</w:t>
      </w:r>
      <w:r w:rsidRPr="0072241B">
        <w:rPr>
          <w:rFonts w:ascii="Century Schoolbook" w:hAnsi="Century Schoolbook"/>
          <w:iCs/>
          <w:szCs w:val="26"/>
        </w:rPr>
        <w:t xml:space="preserve"> </w:t>
      </w:r>
      <w:r>
        <w:rPr>
          <w:rFonts w:ascii="Century Schoolbook" w:hAnsi="Century Schoolbook"/>
          <w:iCs/>
          <w:szCs w:val="26"/>
        </w:rPr>
        <w:t>tuition</w:t>
      </w:r>
      <w:r w:rsidRPr="0072241B">
        <w:rPr>
          <w:rFonts w:ascii="Century Schoolbook" w:hAnsi="Century Schoolbook"/>
          <w:iCs/>
          <w:szCs w:val="26"/>
        </w:rPr>
        <w:t>.</w:t>
      </w:r>
      <w:r>
        <w:rPr>
          <w:rFonts w:ascii="Century Schoolbook" w:hAnsi="Century Schoolbook"/>
          <w:iCs/>
          <w:szCs w:val="26"/>
        </w:rPr>
        <w:t xml:space="preserve">  But the record does not support an inference of </w:t>
      </w:r>
      <w:r>
        <w:rPr>
          <w:rFonts w:ascii="Century Schoolbook" w:hAnsi="Century Schoolbook"/>
          <w:i/>
          <w:szCs w:val="26"/>
        </w:rPr>
        <w:t>exclusively</w:t>
      </w:r>
      <w:r>
        <w:rPr>
          <w:rFonts w:ascii="Century Schoolbook" w:hAnsi="Century Schoolbook"/>
          <w:iCs/>
          <w:szCs w:val="26"/>
        </w:rPr>
        <w:t xml:space="preserve"> in-person instruction under the circumstances of a global health and safety emergency.  </w:t>
      </w:r>
    </w:p>
    <w:p w:rsidR="00AF6AF5" w:rsidP="0044612F" w14:paraId="596741B4" w14:textId="19E503CF">
      <w:pPr>
        <w:spacing w:line="360" w:lineRule="auto"/>
        <w:rPr>
          <w:rFonts w:ascii="Century Schoolbook" w:hAnsi="Century Schoolbook"/>
          <w:iCs/>
          <w:szCs w:val="26"/>
        </w:rPr>
      </w:pPr>
      <w:r>
        <w:rPr>
          <w:rFonts w:ascii="Century Schoolbook" w:hAnsi="Century Schoolbook"/>
          <w:iCs/>
          <w:szCs w:val="26"/>
        </w:rPr>
        <w:tab/>
      </w:r>
      <w:r w:rsidR="008D5ED1">
        <w:rPr>
          <w:rFonts w:ascii="Century Schoolbook" w:hAnsi="Century Schoolbook"/>
          <w:iCs/>
          <w:szCs w:val="26"/>
        </w:rPr>
        <w:t>Appellants</w:t>
      </w:r>
      <w:r w:rsidR="00043B68">
        <w:rPr>
          <w:rFonts w:ascii="Century Schoolbook" w:hAnsi="Century Schoolbook"/>
          <w:iCs/>
          <w:szCs w:val="26"/>
        </w:rPr>
        <w:t xml:space="preserve"> </w:t>
      </w:r>
      <w:r w:rsidR="00CF2E1B">
        <w:rPr>
          <w:rFonts w:ascii="Century Schoolbook" w:hAnsi="Century Schoolbook"/>
          <w:iCs/>
          <w:szCs w:val="26"/>
        </w:rPr>
        <w:t xml:space="preserve">also </w:t>
      </w:r>
      <w:r w:rsidR="00043B68">
        <w:rPr>
          <w:rFonts w:ascii="Century Schoolbook" w:hAnsi="Century Schoolbook"/>
          <w:iCs/>
          <w:szCs w:val="26"/>
        </w:rPr>
        <w:t xml:space="preserve">fail to </w:t>
      </w:r>
      <w:r>
        <w:rPr>
          <w:rFonts w:ascii="Century Schoolbook" w:hAnsi="Century Schoolbook"/>
          <w:iCs/>
          <w:szCs w:val="26"/>
        </w:rPr>
        <w:t xml:space="preserve">identify </w:t>
      </w:r>
      <w:r w:rsidR="00CF2E1B">
        <w:rPr>
          <w:rFonts w:ascii="Century Schoolbook" w:hAnsi="Century Schoolbook"/>
          <w:iCs/>
          <w:szCs w:val="26"/>
        </w:rPr>
        <w:t>specific evidence of past conduct</w:t>
      </w:r>
      <w:r w:rsidR="002A41BA">
        <w:rPr>
          <w:rFonts w:ascii="Century Schoolbook" w:hAnsi="Century Schoolbook"/>
          <w:iCs/>
          <w:szCs w:val="26"/>
        </w:rPr>
        <w:t xml:space="preserve"> or custom</w:t>
      </w:r>
      <w:r w:rsidR="00CF2E1B">
        <w:rPr>
          <w:rFonts w:ascii="Century Schoolbook" w:hAnsi="Century Schoolbook"/>
          <w:iCs/>
          <w:szCs w:val="26"/>
        </w:rPr>
        <w:t xml:space="preserve"> to support their </w:t>
      </w:r>
      <w:r w:rsidR="002A41BA">
        <w:rPr>
          <w:rFonts w:ascii="Century Schoolbook" w:hAnsi="Century Schoolbook"/>
          <w:iCs/>
          <w:szCs w:val="26"/>
        </w:rPr>
        <w:t xml:space="preserve">contract </w:t>
      </w:r>
      <w:r w:rsidR="00CF2E1B">
        <w:rPr>
          <w:rFonts w:ascii="Century Schoolbook" w:hAnsi="Century Schoolbook"/>
          <w:iCs/>
          <w:szCs w:val="26"/>
        </w:rPr>
        <w:t>claim</w:t>
      </w:r>
      <w:r w:rsidR="002A41BA">
        <w:rPr>
          <w:rFonts w:ascii="Century Schoolbook" w:hAnsi="Century Schoolbook"/>
          <w:iCs/>
          <w:szCs w:val="26"/>
        </w:rPr>
        <w:t>s</w:t>
      </w:r>
      <w:r w:rsidR="00CF2E1B">
        <w:rPr>
          <w:rFonts w:ascii="Century Schoolbook" w:hAnsi="Century Schoolbook"/>
          <w:iCs/>
          <w:szCs w:val="26"/>
        </w:rPr>
        <w:t xml:space="preserve">.  While USF has generally provided in-person instruction and access to its campus, </w:t>
      </w:r>
      <w:r w:rsidR="008D5ED1">
        <w:rPr>
          <w:rFonts w:ascii="Century Schoolbook" w:hAnsi="Century Schoolbook"/>
          <w:iCs/>
          <w:szCs w:val="26"/>
        </w:rPr>
        <w:t xml:space="preserve">appellants </w:t>
      </w:r>
      <w:r w:rsidR="00CF2E1B">
        <w:rPr>
          <w:rFonts w:ascii="Century Schoolbook" w:hAnsi="Century Schoolbook"/>
          <w:iCs/>
          <w:szCs w:val="26"/>
        </w:rPr>
        <w:t xml:space="preserve">have not </w:t>
      </w:r>
      <w:r w:rsidR="00043B68">
        <w:rPr>
          <w:rFonts w:ascii="Century Schoolbook" w:hAnsi="Century Schoolbook"/>
          <w:iCs/>
          <w:szCs w:val="26"/>
        </w:rPr>
        <w:t>identif</w:t>
      </w:r>
      <w:r w:rsidR="00CF2E1B">
        <w:rPr>
          <w:rFonts w:ascii="Century Schoolbook" w:hAnsi="Century Schoolbook"/>
          <w:iCs/>
          <w:szCs w:val="26"/>
        </w:rPr>
        <w:t>ied</w:t>
      </w:r>
      <w:r w:rsidR="00043B68">
        <w:rPr>
          <w:rFonts w:ascii="Century Schoolbook" w:hAnsi="Century Schoolbook"/>
          <w:iCs/>
          <w:szCs w:val="26"/>
        </w:rPr>
        <w:t xml:space="preserve"> any evidence </w:t>
      </w:r>
      <w:r w:rsidR="00CF2E1B">
        <w:rPr>
          <w:rFonts w:ascii="Century Schoolbook" w:hAnsi="Century Schoolbook"/>
          <w:iCs/>
          <w:szCs w:val="26"/>
        </w:rPr>
        <w:t>that</w:t>
      </w:r>
      <w:r w:rsidR="00043B68">
        <w:rPr>
          <w:rFonts w:ascii="Century Schoolbook" w:hAnsi="Century Schoolbook"/>
          <w:iCs/>
          <w:szCs w:val="26"/>
        </w:rPr>
        <w:t xml:space="preserve"> USF </w:t>
      </w:r>
      <w:r w:rsidR="00CF2E1B">
        <w:rPr>
          <w:rFonts w:ascii="Century Schoolbook" w:hAnsi="Century Schoolbook"/>
          <w:iCs/>
          <w:szCs w:val="26"/>
        </w:rPr>
        <w:t xml:space="preserve">has historically provided </w:t>
      </w:r>
      <w:r w:rsidR="00043B68">
        <w:rPr>
          <w:rFonts w:ascii="Century Schoolbook" w:hAnsi="Century Schoolbook"/>
          <w:iCs/>
          <w:szCs w:val="26"/>
        </w:rPr>
        <w:t>in-person instruction during public hea</w:t>
      </w:r>
      <w:r w:rsidR="002A41BA">
        <w:rPr>
          <w:rFonts w:ascii="Century Schoolbook" w:hAnsi="Century Schoolbook"/>
          <w:iCs/>
          <w:szCs w:val="26"/>
        </w:rPr>
        <w:t>l</w:t>
      </w:r>
      <w:r w:rsidR="00043B68">
        <w:rPr>
          <w:rFonts w:ascii="Century Schoolbook" w:hAnsi="Century Schoolbook"/>
          <w:iCs/>
          <w:szCs w:val="26"/>
        </w:rPr>
        <w:t>th</w:t>
      </w:r>
      <w:r w:rsidR="002A41BA">
        <w:rPr>
          <w:rFonts w:ascii="Century Schoolbook" w:hAnsi="Century Schoolbook"/>
          <w:iCs/>
          <w:szCs w:val="26"/>
        </w:rPr>
        <w:t xml:space="preserve"> or safety</w:t>
      </w:r>
      <w:r w:rsidR="00043B68">
        <w:rPr>
          <w:rFonts w:ascii="Century Schoolbook" w:hAnsi="Century Schoolbook"/>
          <w:iCs/>
          <w:szCs w:val="26"/>
        </w:rPr>
        <w:t xml:space="preserve"> emergencies.  Nor do they identify any evidence </w:t>
      </w:r>
      <w:r w:rsidR="002A41BA">
        <w:rPr>
          <w:rFonts w:ascii="Century Schoolbook" w:hAnsi="Century Schoolbook"/>
          <w:iCs/>
          <w:szCs w:val="26"/>
        </w:rPr>
        <w:t>indicating an</w:t>
      </w:r>
      <w:r w:rsidR="00043B68">
        <w:rPr>
          <w:rFonts w:ascii="Century Schoolbook" w:hAnsi="Century Schoolbook"/>
          <w:iCs/>
          <w:szCs w:val="26"/>
        </w:rPr>
        <w:t xml:space="preserve"> expectation that USF would offer in-person instruction during such emergencies.</w:t>
      </w:r>
      <w:r w:rsidR="00C440B4">
        <w:rPr>
          <w:rFonts w:ascii="Century Schoolbook" w:hAnsi="Century Schoolbook"/>
          <w:iCs/>
          <w:szCs w:val="26"/>
        </w:rPr>
        <w:t xml:space="preserve">  </w:t>
      </w:r>
    </w:p>
    <w:p w:rsidR="006850A5" w:rsidRPr="00BF4ECD" w:rsidP="006850A5" w14:paraId="7C3E6020" w14:textId="7E5B1348">
      <w:pPr>
        <w:spacing w:line="360" w:lineRule="auto"/>
        <w:rPr>
          <w:rFonts w:ascii="Century Schoolbook" w:hAnsi="Century Schoolbook"/>
          <w:iCs/>
          <w:szCs w:val="26"/>
        </w:rPr>
      </w:pPr>
      <w:r>
        <w:rPr>
          <w:rFonts w:ascii="Century Schoolbook" w:hAnsi="Century Schoolbook"/>
          <w:iCs/>
          <w:szCs w:val="26"/>
        </w:rPr>
        <w:tab/>
        <w:t xml:space="preserve">In </w:t>
      </w:r>
      <w:r>
        <w:rPr>
          <w:rFonts w:ascii="Century Schoolbook" w:hAnsi="Century Schoolbook"/>
          <w:i/>
          <w:szCs w:val="26"/>
        </w:rPr>
        <w:t xml:space="preserve">Randall v. </w:t>
      </w:r>
      <w:r w:rsidRPr="0063155E" w:rsidR="0063155E">
        <w:rPr>
          <w:rFonts w:ascii="Century Schoolbook" w:hAnsi="Century Schoolbook"/>
          <w:i/>
          <w:szCs w:val="26"/>
        </w:rPr>
        <w:t>Univ. of the Pac</w:t>
      </w:r>
      <w:r w:rsidRPr="006850A5" w:rsidR="0063155E">
        <w:rPr>
          <w:rFonts w:ascii="Century Schoolbook" w:hAnsi="Century Schoolbook"/>
          <w:iCs/>
          <w:szCs w:val="26"/>
        </w:rPr>
        <w:t xml:space="preserve">., </w:t>
      </w:r>
      <w:r w:rsidR="0063155E">
        <w:rPr>
          <w:rFonts w:ascii="Century Schoolbook" w:hAnsi="Century Schoolbook"/>
          <w:iCs/>
          <w:szCs w:val="26"/>
        </w:rPr>
        <w:t>(N.D. Cal.</w:t>
      </w:r>
      <w:r w:rsidR="00D73D2A">
        <w:rPr>
          <w:rFonts w:ascii="Century Schoolbook" w:hAnsi="Century Schoolbook"/>
          <w:iCs/>
          <w:szCs w:val="26"/>
        </w:rPr>
        <w:t>,</w:t>
      </w:r>
      <w:r w:rsidR="0063155E">
        <w:rPr>
          <w:rFonts w:ascii="Century Schoolbook" w:hAnsi="Century Schoolbook"/>
          <w:iCs/>
          <w:szCs w:val="26"/>
        </w:rPr>
        <w:t xml:space="preserve"> May 28, 2022</w:t>
      </w:r>
      <w:r w:rsidR="00F417C1">
        <w:rPr>
          <w:rFonts w:ascii="Century Schoolbook" w:hAnsi="Century Schoolbook"/>
          <w:iCs/>
          <w:szCs w:val="26"/>
        </w:rPr>
        <w:t>,</w:t>
      </w:r>
      <w:r w:rsidR="0063155E">
        <w:rPr>
          <w:rFonts w:ascii="Century Schoolbook" w:hAnsi="Century Schoolbook"/>
          <w:iCs/>
          <w:szCs w:val="26"/>
        </w:rPr>
        <w:t xml:space="preserve"> </w:t>
      </w:r>
      <w:r w:rsidRPr="006850A5" w:rsidR="0063155E">
        <w:rPr>
          <w:rFonts w:ascii="Century Schoolbook" w:hAnsi="Century Schoolbook"/>
          <w:iCs/>
          <w:szCs w:val="26"/>
        </w:rPr>
        <w:t>No. 5:20-CV-03196-EJD</w:t>
      </w:r>
      <w:r w:rsidR="0063155E">
        <w:rPr>
          <w:rFonts w:ascii="Century Schoolbook" w:hAnsi="Century Schoolbook"/>
          <w:iCs/>
          <w:szCs w:val="26"/>
        </w:rPr>
        <w:t>)</w:t>
      </w:r>
      <w:r w:rsidRPr="006850A5" w:rsidR="0063155E">
        <w:rPr>
          <w:rFonts w:ascii="Century Schoolbook" w:hAnsi="Century Schoolbook"/>
          <w:iCs/>
          <w:szCs w:val="26"/>
        </w:rPr>
        <w:t xml:space="preserve"> 2022 WL 1720085</w:t>
      </w:r>
      <w:r w:rsidR="00320D23">
        <w:rPr>
          <w:rFonts w:ascii="Century Schoolbook" w:hAnsi="Century Schoolbook"/>
          <w:iCs/>
          <w:szCs w:val="26"/>
        </w:rPr>
        <w:t xml:space="preserve"> (</w:t>
      </w:r>
      <w:r w:rsidR="00320D23">
        <w:rPr>
          <w:rFonts w:ascii="Century Schoolbook" w:hAnsi="Century Schoolbook"/>
          <w:i/>
          <w:szCs w:val="26"/>
        </w:rPr>
        <w:t>Randall</w:t>
      </w:r>
      <w:r w:rsidR="00320D23">
        <w:rPr>
          <w:rFonts w:ascii="Century Schoolbook" w:hAnsi="Century Schoolbook"/>
          <w:iCs/>
          <w:szCs w:val="26"/>
        </w:rPr>
        <w:t>)</w:t>
      </w:r>
      <w:r w:rsidR="00D73D2A">
        <w:rPr>
          <w:rFonts w:ascii="Century Schoolbook" w:hAnsi="Century Schoolbook"/>
          <w:iCs/>
          <w:szCs w:val="26"/>
        </w:rPr>
        <w:t>)</w:t>
      </w:r>
      <w:r>
        <w:rPr>
          <w:rFonts w:ascii="Century Schoolbook" w:hAnsi="Century Schoolbook"/>
          <w:iCs/>
          <w:szCs w:val="26"/>
        </w:rPr>
        <w:t>, the Northern District of California considered a similar claim arising from the failure to provide in-person instruction during the COVID-19 pandemic.  (</w:t>
      </w:r>
      <w:r w:rsidR="0063155E">
        <w:rPr>
          <w:rFonts w:ascii="Century Schoolbook" w:hAnsi="Century Schoolbook"/>
          <w:i/>
          <w:szCs w:val="26"/>
        </w:rPr>
        <w:t>Id.</w:t>
      </w:r>
      <w:r w:rsidR="0063155E">
        <w:rPr>
          <w:rFonts w:ascii="Century Schoolbook" w:hAnsi="Century Schoolbook"/>
          <w:iCs/>
          <w:szCs w:val="26"/>
        </w:rPr>
        <w:t xml:space="preserve"> at p. *2</w:t>
      </w:r>
      <w:r>
        <w:rPr>
          <w:rFonts w:ascii="Century Schoolbook" w:hAnsi="Century Schoolbook"/>
          <w:iCs/>
          <w:szCs w:val="26"/>
        </w:rPr>
        <w:t xml:space="preserve">.)  The plaintiff relied on </w:t>
      </w:r>
      <w:r w:rsidR="002A41BA">
        <w:rPr>
          <w:rFonts w:ascii="Century Schoolbook" w:hAnsi="Century Schoolbook"/>
          <w:iCs/>
          <w:szCs w:val="26"/>
        </w:rPr>
        <w:t xml:space="preserve">general </w:t>
      </w:r>
      <w:r w:rsidR="0063155E">
        <w:rPr>
          <w:rFonts w:ascii="Century Schoolbook" w:hAnsi="Century Schoolbook"/>
          <w:iCs/>
          <w:szCs w:val="26"/>
        </w:rPr>
        <w:t xml:space="preserve">statements </w:t>
      </w:r>
      <w:r w:rsidR="002A41BA">
        <w:rPr>
          <w:rFonts w:ascii="Century Schoolbook" w:hAnsi="Century Schoolbook"/>
          <w:iCs/>
          <w:szCs w:val="26"/>
        </w:rPr>
        <w:t xml:space="preserve">in university materials </w:t>
      </w:r>
      <w:r w:rsidR="00F417C1">
        <w:rPr>
          <w:rFonts w:ascii="Century Schoolbook" w:hAnsi="Century Schoolbook"/>
          <w:iCs/>
          <w:szCs w:val="26"/>
        </w:rPr>
        <w:t>that referenced (1) </w:t>
      </w:r>
      <w:r w:rsidR="0063155E">
        <w:rPr>
          <w:rFonts w:ascii="Century Schoolbook" w:hAnsi="Century Schoolbook"/>
          <w:iCs/>
          <w:szCs w:val="26"/>
        </w:rPr>
        <w:t xml:space="preserve">consulting faculty advisors, </w:t>
      </w:r>
      <w:r w:rsidR="00F417C1">
        <w:rPr>
          <w:rFonts w:ascii="Century Schoolbook" w:hAnsi="Century Schoolbook"/>
          <w:iCs/>
          <w:szCs w:val="26"/>
        </w:rPr>
        <w:t xml:space="preserve">(2) </w:t>
      </w:r>
      <w:r w:rsidR="0063155E">
        <w:rPr>
          <w:rFonts w:ascii="Century Schoolbook" w:hAnsi="Century Schoolbook"/>
          <w:iCs/>
          <w:szCs w:val="26"/>
        </w:rPr>
        <w:t xml:space="preserve">engaging in experiential learning, </w:t>
      </w:r>
      <w:r w:rsidR="00F417C1">
        <w:rPr>
          <w:rFonts w:ascii="Century Schoolbook" w:hAnsi="Century Schoolbook"/>
          <w:iCs/>
          <w:szCs w:val="26"/>
        </w:rPr>
        <w:t xml:space="preserve">(3) accessing </w:t>
      </w:r>
      <w:r w:rsidR="0063155E">
        <w:rPr>
          <w:rFonts w:ascii="Century Schoolbook" w:hAnsi="Century Schoolbook"/>
          <w:iCs/>
          <w:szCs w:val="26"/>
        </w:rPr>
        <w:t>a personalized learning environment</w:t>
      </w:r>
      <w:r w:rsidR="00F417C1">
        <w:rPr>
          <w:rFonts w:ascii="Century Schoolbook" w:hAnsi="Century Schoolbook"/>
          <w:iCs/>
          <w:szCs w:val="26"/>
        </w:rPr>
        <w:t>,</w:t>
      </w:r>
      <w:r w:rsidR="0063155E">
        <w:rPr>
          <w:rFonts w:ascii="Century Schoolbook" w:hAnsi="Century Schoolbook"/>
          <w:iCs/>
          <w:szCs w:val="26"/>
        </w:rPr>
        <w:t xml:space="preserve"> and </w:t>
      </w:r>
      <w:r w:rsidR="00F417C1">
        <w:rPr>
          <w:rFonts w:ascii="Century Schoolbook" w:hAnsi="Century Schoolbook"/>
          <w:iCs/>
          <w:szCs w:val="26"/>
        </w:rPr>
        <w:t>(4) engaging in collaboration</w:t>
      </w:r>
      <w:r w:rsidR="0063155E">
        <w:rPr>
          <w:rFonts w:ascii="Century Schoolbook" w:hAnsi="Century Schoolbook"/>
          <w:iCs/>
          <w:szCs w:val="26"/>
        </w:rPr>
        <w:t xml:space="preserve">, </w:t>
      </w:r>
      <w:r w:rsidR="00F417C1">
        <w:rPr>
          <w:rFonts w:ascii="Century Schoolbook" w:hAnsi="Century Schoolbook"/>
          <w:iCs/>
          <w:szCs w:val="26"/>
        </w:rPr>
        <w:t xml:space="preserve">as well as documents identifying (1) </w:t>
      </w:r>
      <w:r w:rsidR="0063155E">
        <w:rPr>
          <w:rFonts w:ascii="Century Schoolbook" w:hAnsi="Century Schoolbook"/>
          <w:iCs/>
          <w:szCs w:val="26"/>
        </w:rPr>
        <w:t>campus locations for classes,</w:t>
      </w:r>
      <w:r w:rsidR="00F417C1">
        <w:rPr>
          <w:rFonts w:ascii="Century Schoolbook" w:hAnsi="Century Schoolbook"/>
          <w:iCs/>
          <w:szCs w:val="26"/>
        </w:rPr>
        <w:t xml:space="preserve"> (2)</w:t>
      </w:r>
      <w:r w:rsidR="0063155E">
        <w:rPr>
          <w:rFonts w:ascii="Century Schoolbook" w:hAnsi="Century Schoolbook"/>
          <w:iCs/>
          <w:szCs w:val="26"/>
        </w:rPr>
        <w:t xml:space="preserve"> lab components</w:t>
      </w:r>
      <w:r w:rsidR="00F417C1">
        <w:rPr>
          <w:rFonts w:ascii="Century Schoolbook" w:hAnsi="Century Schoolbook"/>
          <w:iCs/>
          <w:szCs w:val="26"/>
        </w:rPr>
        <w:t xml:space="preserve"> of classes</w:t>
      </w:r>
      <w:r w:rsidR="0063155E">
        <w:rPr>
          <w:rFonts w:ascii="Century Schoolbook" w:hAnsi="Century Schoolbook"/>
          <w:iCs/>
          <w:szCs w:val="26"/>
        </w:rPr>
        <w:t xml:space="preserve">, </w:t>
      </w:r>
      <w:r w:rsidR="00F417C1">
        <w:rPr>
          <w:rFonts w:ascii="Century Schoolbook" w:hAnsi="Century Schoolbook"/>
          <w:iCs/>
          <w:szCs w:val="26"/>
        </w:rPr>
        <w:t xml:space="preserve">(3) </w:t>
      </w:r>
      <w:r w:rsidR="0063155E">
        <w:rPr>
          <w:rFonts w:ascii="Century Schoolbook" w:hAnsi="Century Schoolbook"/>
          <w:iCs/>
          <w:szCs w:val="26"/>
        </w:rPr>
        <w:t xml:space="preserve">attendance policies, </w:t>
      </w:r>
      <w:r w:rsidR="00F417C1">
        <w:rPr>
          <w:rFonts w:ascii="Century Schoolbook" w:hAnsi="Century Schoolbook"/>
          <w:iCs/>
          <w:szCs w:val="26"/>
        </w:rPr>
        <w:t xml:space="preserve">(4) an on-campus credit </w:t>
      </w:r>
      <w:r w:rsidR="0063155E">
        <w:rPr>
          <w:rFonts w:ascii="Century Schoolbook" w:hAnsi="Century Schoolbook"/>
          <w:iCs/>
          <w:szCs w:val="26"/>
        </w:rPr>
        <w:t xml:space="preserve">requirement, </w:t>
      </w:r>
      <w:r w:rsidR="00F417C1">
        <w:rPr>
          <w:rFonts w:ascii="Century Schoolbook" w:hAnsi="Century Schoolbook"/>
          <w:iCs/>
          <w:szCs w:val="26"/>
        </w:rPr>
        <w:t xml:space="preserve">(5) </w:t>
      </w:r>
      <w:r w:rsidR="0063155E">
        <w:rPr>
          <w:rFonts w:ascii="Century Schoolbook" w:hAnsi="Century Schoolbook"/>
          <w:iCs/>
          <w:szCs w:val="26"/>
        </w:rPr>
        <w:t xml:space="preserve">residence policies, </w:t>
      </w:r>
      <w:r w:rsidR="00F417C1">
        <w:rPr>
          <w:rFonts w:ascii="Century Schoolbook" w:hAnsi="Century Schoolbook"/>
          <w:iCs/>
          <w:szCs w:val="26"/>
        </w:rPr>
        <w:t xml:space="preserve">and (6) </w:t>
      </w:r>
      <w:r w:rsidR="0063155E">
        <w:rPr>
          <w:rFonts w:ascii="Century Schoolbook" w:hAnsi="Century Schoolbook"/>
          <w:iCs/>
          <w:szCs w:val="26"/>
        </w:rPr>
        <w:t>an “online” format</w:t>
      </w:r>
      <w:r w:rsidR="00F417C1">
        <w:rPr>
          <w:rFonts w:ascii="Century Schoolbook" w:hAnsi="Century Schoolbook"/>
          <w:iCs/>
          <w:szCs w:val="26"/>
        </w:rPr>
        <w:t xml:space="preserve"> designation for certain classes</w:t>
      </w:r>
      <w:r w:rsidR="0063155E">
        <w:rPr>
          <w:rFonts w:ascii="Century Schoolbook" w:hAnsi="Century Schoolbook"/>
          <w:iCs/>
          <w:szCs w:val="26"/>
        </w:rPr>
        <w:t xml:space="preserve"> </w:t>
      </w:r>
      <w:r>
        <w:rPr>
          <w:rFonts w:ascii="Century Schoolbook" w:hAnsi="Century Schoolbook"/>
          <w:iCs/>
          <w:szCs w:val="26"/>
        </w:rPr>
        <w:t xml:space="preserve">to support </w:t>
      </w:r>
      <w:r w:rsidR="0063155E">
        <w:rPr>
          <w:rFonts w:ascii="Century Schoolbook" w:hAnsi="Century Schoolbook"/>
          <w:iCs/>
          <w:szCs w:val="26"/>
        </w:rPr>
        <w:t>his</w:t>
      </w:r>
      <w:r>
        <w:rPr>
          <w:rFonts w:ascii="Century Schoolbook" w:hAnsi="Century Schoolbook"/>
          <w:iCs/>
          <w:szCs w:val="26"/>
        </w:rPr>
        <w:t xml:space="preserve"> breach of contract claim.  (</w:t>
      </w:r>
      <w:r w:rsidR="0063155E">
        <w:rPr>
          <w:rFonts w:ascii="Century Schoolbook" w:hAnsi="Century Schoolbook"/>
          <w:i/>
          <w:szCs w:val="26"/>
        </w:rPr>
        <w:t>Ibid</w:t>
      </w:r>
      <w:r>
        <w:rPr>
          <w:rFonts w:ascii="Century Schoolbook" w:hAnsi="Century Schoolbook"/>
          <w:iCs/>
          <w:szCs w:val="26"/>
        </w:rPr>
        <w:t xml:space="preserve">.)  The court granted summary judgment, relying on </w:t>
      </w:r>
      <w:r w:rsidRPr="006850A5">
        <w:rPr>
          <w:rFonts w:ascii="Century Schoolbook" w:hAnsi="Century Schoolbook"/>
          <w:i/>
          <w:szCs w:val="26"/>
        </w:rPr>
        <w:t>Kashmiri</w:t>
      </w:r>
      <w:r>
        <w:rPr>
          <w:rFonts w:ascii="Century Schoolbook" w:hAnsi="Century Schoolbook"/>
          <w:iCs/>
          <w:szCs w:val="26"/>
        </w:rPr>
        <w:t xml:space="preserve"> to </w:t>
      </w:r>
      <w:r w:rsidRPr="006850A5">
        <w:rPr>
          <w:rFonts w:ascii="Century Schoolbook" w:hAnsi="Century Schoolbook"/>
          <w:iCs/>
          <w:szCs w:val="26"/>
        </w:rPr>
        <w:t>explain</w:t>
      </w:r>
      <w:r>
        <w:rPr>
          <w:rFonts w:ascii="Century Schoolbook" w:hAnsi="Century Schoolbook"/>
          <w:iCs/>
          <w:szCs w:val="26"/>
        </w:rPr>
        <w:t xml:space="preserve"> the plaintiff “</w:t>
      </w:r>
      <w:r w:rsidRPr="006850A5">
        <w:rPr>
          <w:rFonts w:ascii="Century Schoolbook" w:hAnsi="Century Schoolbook"/>
          <w:iCs/>
          <w:szCs w:val="26"/>
        </w:rPr>
        <w:t xml:space="preserve">must offer evidence of a specific, unequivocal promise by </w:t>
      </w:r>
      <w:r>
        <w:rPr>
          <w:rFonts w:ascii="Century Schoolbook" w:hAnsi="Century Schoolbook"/>
          <w:iCs/>
          <w:szCs w:val="26"/>
        </w:rPr>
        <w:t>[the university]</w:t>
      </w:r>
      <w:r w:rsidRPr="006850A5">
        <w:rPr>
          <w:rFonts w:ascii="Century Schoolbook" w:hAnsi="Century Schoolbook"/>
          <w:iCs/>
          <w:szCs w:val="26"/>
        </w:rPr>
        <w:t xml:space="preserve"> that it would provide in-person instruction and services</w:t>
      </w:r>
      <w:r>
        <w:rPr>
          <w:rFonts w:ascii="Century Schoolbook" w:hAnsi="Century Schoolbook"/>
          <w:iCs/>
          <w:szCs w:val="26"/>
        </w:rPr>
        <w:t xml:space="preserve">. . . . </w:t>
      </w:r>
      <w:r w:rsidRPr="006850A5">
        <w:rPr>
          <w:rFonts w:ascii="Century Schoolbook" w:hAnsi="Century Schoolbook"/>
          <w:iCs/>
          <w:szCs w:val="26"/>
        </w:rPr>
        <w:t xml:space="preserve">Plaintiff uses various, vague statements in </w:t>
      </w:r>
      <w:r w:rsidR="0063155E">
        <w:rPr>
          <w:rFonts w:ascii="Century Schoolbook" w:hAnsi="Century Schoolbook"/>
          <w:iCs/>
          <w:szCs w:val="26"/>
        </w:rPr>
        <w:t>[the university’s]</w:t>
      </w:r>
      <w:r w:rsidRPr="006850A5">
        <w:rPr>
          <w:rFonts w:ascii="Century Schoolbook" w:hAnsi="Century Schoolbook"/>
          <w:iCs/>
          <w:szCs w:val="26"/>
        </w:rPr>
        <w:t xml:space="preserve"> promotional materials and course catalogs to demonstrate a specific promise.</w:t>
      </w:r>
      <w:r w:rsidR="0063155E">
        <w:rPr>
          <w:rFonts w:ascii="Century Schoolbook" w:hAnsi="Century Schoolbook"/>
          <w:iCs/>
          <w:szCs w:val="26"/>
        </w:rPr>
        <w:t xml:space="preserve"> </w:t>
      </w:r>
      <w:r w:rsidRPr="006850A5">
        <w:rPr>
          <w:rFonts w:ascii="Century Schoolbook" w:hAnsi="Century Schoolbook"/>
          <w:iCs/>
          <w:szCs w:val="26"/>
        </w:rPr>
        <w:t xml:space="preserve"> This is insufficient.</w:t>
      </w:r>
      <w:r>
        <w:rPr>
          <w:rFonts w:ascii="Century Schoolbook" w:hAnsi="Century Schoolbook"/>
          <w:iCs/>
          <w:szCs w:val="26"/>
        </w:rPr>
        <w:t>”</w:t>
      </w:r>
      <w:r w:rsidR="0063155E">
        <w:rPr>
          <w:rFonts w:ascii="Century Schoolbook" w:hAnsi="Century Schoolbook"/>
          <w:iCs/>
          <w:szCs w:val="26"/>
        </w:rPr>
        <w:t xml:space="preserve">  (</w:t>
      </w:r>
      <w:r w:rsidR="0063155E">
        <w:rPr>
          <w:rFonts w:ascii="Century Schoolbook" w:hAnsi="Century Schoolbook"/>
          <w:i/>
          <w:szCs w:val="26"/>
        </w:rPr>
        <w:t>Id.</w:t>
      </w:r>
      <w:r w:rsidRPr="006850A5">
        <w:rPr>
          <w:rFonts w:ascii="Century Schoolbook" w:hAnsi="Century Schoolbook"/>
          <w:iCs/>
          <w:szCs w:val="26"/>
        </w:rPr>
        <w:t xml:space="preserve"> at </w:t>
      </w:r>
      <w:r w:rsidR="0063155E">
        <w:rPr>
          <w:rFonts w:ascii="Century Schoolbook" w:hAnsi="Century Schoolbook"/>
          <w:iCs/>
          <w:szCs w:val="26"/>
        </w:rPr>
        <w:t>p. </w:t>
      </w:r>
      <w:r w:rsidRPr="006850A5">
        <w:rPr>
          <w:rFonts w:ascii="Century Schoolbook" w:hAnsi="Century Schoolbook"/>
          <w:iCs/>
          <w:szCs w:val="26"/>
        </w:rPr>
        <w:t>*6</w:t>
      </w:r>
      <w:r w:rsidR="0063155E">
        <w:rPr>
          <w:rFonts w:ascii="Century Schoolbook" w:hAnsi="Century Schoolbook"/>
          <w:iCs/>
          <w:szCs w:val="26"/>
        </w:rPr>
        <w:t>.</w:t>
      </w:r>
      <w:r w:rsidRPr="006850A5">
        <w:rPr>
          <w:rFonts w:ascii="Century Schoolbook" w:hAnsi="Century Schoolbook"/>
          <w:iCs/>
          <w:szCs w:val="26"/>
        </w:rPr>
        <w:t>)</w:t>
      </w:r>
      <w:r w:rsidR="0063155E">
        <w:rPr>
          <w:rFonts w:ascii="Century Schoolbook" w:hAnsi="Century Schoolbook"/>
          <w:iCs/>
          <w:szCs w:val="26"/>
        </w:rPr>
        <w:t xml:space="preserve">  The court held these statements and publications “</w:t>
      </w:r>
      <w:r w:rsidRPr="0063155E" w:rsidR="0063155E">
        <w:rPr>
          <w:rFonts w:ascii="Century Schoolbook" w:hAnsi="Century Schoolbook"/>
          <w:iCs/>
          <w:szCs w:val="26"/>
        </w:rPr>
        <w:t>created an expectation that classes would be taught in-person and that students would be able to take advantage of a myriad of on-campus opportunities,</w:t>
      </w:r>
      <w:r w:rsidR="0063155E">
        <w:rPr>
          <w:rFonts w:ascii="Century Schoolbook" w:hAnsi="Century Schoolbook"/>
          <w:iCs/>
          <w:szCs w:val="26"/>
        </w:rPr>
        <w:t>”</w:t>
      </w:r>
      <w:r w:rsidRPr="0063155E" w:rsidR="0063155E">
        <w:rPr>
          <w:rFonts w:ascii="Century Schoolbook" w:hAnsi="Century Schoolbook"/>
          <w:iCs/>
          <w:szCs w:val="26"/>
        </w:rPr>
        <w:t xml:space="preserve"> </w:t>
      </w:r>
      <w:r w:rsidR="0063155E">
        <w:rPr>
          <w:rFonts w:ascii="Century Schoolbook" w:hAnsi="Century Schoolbook"/>
          <w:iCs/>
          <w:szCs w:val="26"/>
        </w:rPr>
        <w:t>but “</w:t>
      </w:r>
      <w:r w:rsidRPr="0063155E" w:rsidR="0063155E">
        <w:rPr>
          <w:rFonts w:ascii="Century Schoolbook" w:hAnsi="Century Schoolbook"/>
          <w:iCs/>
          <w:szCs w:val="26"/>
        </w:rPr>
        <w:t>do not contain any specific or identifiable promise that is adequate to support a breach of contract, even one implied in fact.</w:t>
      </w:r>
      <w:r w:rsidR="0063155E">
        <w:rPr>
          <w:rFonts w:ascii="Century Schoolbook" w:hAnsi="Century Schoolbook"/>
          <w:iCs/>
          <w:szCs w:val="26"/>
        </w:rPr>
        <w:t>”  (</w:t>
      </w:r>
      <w:r w:rsidR="0063155E">
        <w:rPr>
          <w:rFonts w:ascii="Century Schoolbook" w:hAnsi="Century Schoolbook"/>
          <w:i/>
          <w:szCs w:val="26"/>
        </w:rPr>
        <w:t>Ibid.</w:t>
      </w:r>
      <w:r w:rsidR="0063155E">
        <w:rPr>
          <w:rFonts w:ascii="Century Schoolbook" w:hAnsi="Century Schoolbook"/>
          <w:iCs/>
          <w:szCs w:val="26"/>
        </w:rPr>
        <w:t>)</w:t>
      </w:r>
      <w:r w:rsidR="00BF4ECD">
        <w:rPr>
          <w:rFonts w:ascii="Century Schoolbook" w:hAnsi="Century Schoolbook"/>
          <w:iCs/>
          <w:szCs w:val="26"/>
        </w:rPr>
        <w:t xml:space="preserve"> We agree with the </w:t>
      </w:r>
      <w:r w:rsidR="00BF4ECD">
        <w:rPr>
          <w:rFonts w:ascii="Century Schoolbook" w:hAnsi="Century Schoolbook"/>
          <w:i/>
          <w:szCs w:val="26"/>
        </w:rPr>
        <w:t xml:space="preserve">Randall </w:t>
      </w:r>
      <w:r w:rsidR="00BF4ECD">
        <w:rPr>
          <w:rFonts w:ascii="Century Schoolbook" w:hAnsi="Century Schoolbook"/>
          <w:iCs/>
          <w:szCs w:val="26"/>
        </w:rPr>
        <w:t>court’s analysis.</w:t>
      </w:r>
    </w:p>
    <w:p w:rsidR="00B341FC" w:rsidP="006850A5" w14:paraId="4A77D9AE" w14:textId="110F380C">
      <w:pPr>
        <w:spacing w:line="360" w:lineRule="auto"/>
        <w:rPr>
          <w:rFonts w:ascii="Century Schoolbook" w:hAnsi="Century Schoolbook"/>
          <w:iCs/>
          <w:szCs w:val="26"/>
        </w:rPr>
      </w:pPr>
      <w:r>
        <w:rPr>
          <w:rFonts w:ascii="Century Schoolbook" w:hAnsi="Century Schoolbook"/>
          <w:iCs/>
          <w:szCs w:val="26"/>
        </w:rPr>
        <w:tab/>
        <w:t xml:space="preserve">We recognize some federal authorities have found </w:t>
      </w:r>
      <w:r w:rsidR="00BF4ECD">
        <w:rPr>
          <w:rFonts w:ascii="Century Schoolbook" w:hAnsi="Century Schoolbook"/>
          <w:iCs/>
          <w:szCs w:val="26"/>
        </w:rPr>
        <w:t>comparable</w:t>
      </w:r>
      <w:r>
        <w:rPr>
          <w:rFonts w:ascii="Century Schoolbook" w:hAnsi="Century Schoolbook"/>
          <w:iCs/>
          <w:szCs w:val="26"/>
        </w:rPr>
        <w:t xml:space="preserve"> evidence sufficient to raise a fact issue regarding in-person instruction.</w:t>
      </w:r>
      <w:r>
        <w:rPr>
          <w:rStyle w:val="FootnoteReference"/>
          <w:iCs/>
          <w:szCs w:val="26"/>
        </w:rPr>
        <w:footnoteReference w:id="5"/>
      </w:r>
      <w:r w:rsidR="00900FBC">
        <w:rPr>
          <w:rFonts w:ascii="Century Schoolbook" w:hAnsi="Century Schoolbook"/>
          <w:iCs/>
          <w:szCs w:val="26"/>
        </w:rPr>
        <w:t xml:space="preserve">  (See, e.g., </w:t>
      </w:r>
      <w:r w:rsidRPr="00D537AF" w:rsidR="00A31847">
        <w:rPr>
          <w:rFonts w:ascii="Century Schoolbook" w:hAnsi="Century Schoolbook"/>
          <w:i/>
          <w:szCs w:val="26"/>
        </w:rPr>
        <w:t xml:space="preserve">In re </w:t>
      </w:r>
      <w:r w:rsidRPr="00900FBC" w:rsidR="00900FBC">
        <w:rPr>
          <w:rFonts w:ascii="Century Schoolbook" w:hAnsi="Century Schoolbook"/>
          <w:i/>
          <w:szCs w:val="26"/>
        </w:rPr>
        <w:t>Pepperdine University Tuition and Fees COVID-19 Refund Litigation</w:t>
      </w:r>
      <w:r w:rsidRPr="00900FBC" w:rsidR="00900FBC">
        <w:rPr>
          <w:rFonts w:ascii="Century Schoolbook" w:hAnsi="Century Schoolbook"/>
          <w:iCs/>
          <w:szCs w:val="26"/>
        </w:rPr>
        <w:t xml:space="preserve"> (C.D. Cal. 2023) 659 F.Supp.3d 1086</w:t>
      </w:r>
      <w:r w:rsidR="00900FBC">
        <w:rPr>
          <w:rFonts w:ascii="Century Schoolbook" w:hAnsi="Century Schoolbook"/>
          <w:iCs/>
          <w:szCs w:val="26"/>
        </w:rPr>
        <w:t>, 1094</w:t>
      </w:r>
      <w:r w:rsidR="00710D76">
        <w:rPr>
          <w:rFonts w:ascii="Century Schoolbook" w:hAnsi="Century Schoolbook"/>
          <w:iCs/>
          <w:szCs w:val="26"/>
        </w:rPr>
        <w:t xml:space="preserve">; </w:t>
      </w:r>
      <w:r w:rsidR="00710D76">
        <w:rPr>
          <w:rFonts w:ascii="Century Schoolbook" w:hAnsi="Century Schoolbook"/>
          <w:i/>
          <w:szCs w:val="26"/>
        </w:rPr>
        <w:t>Arredondo v. University of La Verne</w:t>
      </w:r>
      <w:r w:rsidR="00710D76">
        <w:rPr>
          <w:rFonts w:ascii="Century Schoolbook" w:hAnsi="Century Schoolbook"/>
          <w:iCs/>
          <w:szCs w:val="26"/>
        </w:rPr>
        <w:t xml:space="preserve"> (C.D. Cal. 2022) 618 F.Supp.3d 937, 946</w:t>
      </w:r>
      <w:r w:rsidR="00900FBC">
        <w:rPr>
          <w:rFonts w:ascii="Century Schoolbook" w:hAnsi="Century Schoolbook"/>
          <w:iCs/>
          <w:szCs w:val="26"/>
        </w:rPr>
        <w:t>.)  We are not bound by these authorities and, in any event, find their reasoning flawed</w:t>
      </w:r>
      <w:r w:rsidR="00710D76">
        <w:rPr>
          <w:rFonts w:ascii="Century Schoolbook" w:hAnsi="Century Schoolbook"/>
          <w:iCs/>
          <w:szCs w:val="26"/>
        </w:rPr>
        <w:t xml:space="preserve"> to the extent they rely on generalized statements regarding campus experiences or facilities</w:t>
      </w:r>
      <w:r w:rsidR="00900FBC">
        <w:rPr>
          <w:rFonts w:ascii="Century Schoolbook" w:hAnsi="Century Schoolbook"/>
          <w:iCs/>
          <w:szCs w:val="26"/>
        </w:rPr>
        <w:t xml:space="preserve">.  </w:t>
      </w:r>
      <w:r w:rsidR="00710D76">
        <w:rPr>
          <w:rFonts w:ascii="Century Schoolbook" w:hAnsi="Century Schoolbook"/>
          <w:iCs/>
          <w:szCs w:val="26"/>
        </w:rPr>
        <w:t xml:space="preserve">Such </w:t>
      </w:r>
      <w:r w:rsidR="002F0DD6">
        <w:rPr>
          <w:rFonts w:ascii="Century Schoolbook" w:hAnsi="Century Schoolbook"/>
          <w:iCs/>
          <w:szCs w:val="26"/>
        </w:rPr>
        <w:t xml:space="preserve">generalized </w:t>
      </w:r>
      <w:r w:rsidR="00960CC8">
        <w:rPr>
          <w:rFonts w:ascii="Century Schoolbook" w:hAnsi="Century Schoolbook"/>
          <w:iCs/>
          <w:szCs w:val="26"/>
        </w:rPr>
        <w:t>statements</w:t>
      </w:r>
      <w:r w:rsidR="00710D76">
        <w:rPr>
          <w:rFonts w:ascii="Century Schoolbook" w:hAnsi="Century Schoolbook"/>
          <w:iCs/>
          <w:szCs w:val="26"/>
        </w:rPr>
        <w:t xml:space="preserve"> fail to delineate the </w:t>
      </w:r>
      <w:r w:rsidR="003B26A0">
        <w:rPr>
          <w:rFonts w:ascii="Century Schoolbook" w:hAnsi="Century Schoolbook"/>
          <w:iCs/>
          <w:szCs w:val="26"/>
        </w:rPr>
        <w:t>specific terms under which the universities were offering in-person instruction or campus access</w:t>
      </w:r>
      <w:r w:rsidR="00F417C1">
        <w:rPr>
          <w:rFonts w:ascii="Century Schoolbook" w:hAnsi="Century Schoolbook"/>
          <w:iCs/>
          <w:szCs w:val="26"/>
        </w:rPr>
        <w:t xml:space="preserve"> as required by California law</w:t>
      </w:r>
      <w:r w:rsidR="003B26A0">
        <w:rPr>
          <w:rFonts w:ascii="Century Schoolbook" w:hAnsi="Century Schoolbook"/>
          <w:iCs/>
          <w:szCs w:val="26"/>
        </w:rPr>
        <w:t xml:space="preserve">.  (See </w:t>
      </w:r>
      <w:r w:rsidRPr="003B26A0" w:rsidR="003B26A0">
        <w:rPr>
          <w:rFonts w:ascii="Century Schoolbook" w:hAnsi="Century Schoolbook"/>
          <w:i/>
          <w:szCs w:val="26"/>
        </w:rPr>
        <w:t>Weddington Productions, Inc. v. Flick</w:t>
      </w:r>
      <w:r w:rsidRPr="003B26A0" w:rsidR="003B26A0">
        <w:rPr>
          <w:rFonts w:ascii="Century Schoolbook" w:hAnsi="Century Schoolbook"/>
          <w:iCs/>
          <w:szCs w:val="26"/>
        </w:rPr>
        <w:t xml:space="preserve"> (1998) 60 Cal.App.4th 793, 811</w:t>
      </w:r>
      <w:r w:rsidR="003B26A0">
        <w:rPr>
          <w:rFonts w:ascii="Century Schoolbook" w:hAnsi="Century Schoolbook"/>
          <w:iCs/>
          <w:szCs w:val="26"/>
        </w:rPr>
        <w:t xml:space="preserve"> [“</w:t>
      </w:r>
      <w:r w:rsidRPr="003B26A0" w:rsidR="003B26A0">
        <w:rPr>
          <w:rFonts w:ascii="Century Schoolbook" w:hAnsi="Century Schoolbook"/>
          <w:iCs/>
          <w:szCs w:val="26"/>
        </w:rPr>
        <w:t>If</w:t>
      </w:r>
      <w:r w:rsidR="003B26A0">
        <w:rPr>
          <w:rFonts w:ascii="Century Schoolbook" w:hAnsi="Century Schoolbook"/>
          <w:iCs/>
          <w:szCs w:val="26"/>
        </w:rPr>
        <w:t xml:space="preserve"> . . . </w:t>
      </w:r>
      <w:r w:rsidRPr="003B26A0" w:rsidR="003B26A0">
        <w:rPr>
          <w:rFonts w:ascii="Century Schoolbook" w:hAnsi="Century Schoolbook"/>
          <w:iCs/>
          <w:szCs w:val="26"/>
        </w:rPr>
        <w:t xml:space="preserve">a supposed </w:t>
      </w:r>
      <w:r w:rsidR="003B26A0">
        <w:rPr>
          <w:rFonts w:ascii="Century Schoolbook" w:hAnsi="Century Schoolbook"/>
          <w:iCs/>
          <w:szCs w:val="26"/>
        </w:rPr>
        <w:t>‘</w:t>
      </w:r>
      <w:r w:rsidRPr="003B26A0" w:rsidR="003B26A0">
        <w:rPr>
          <w:rFonts w:ascii="Century Schoolbook" w:hAnsi="Century Schoolbook"/>
          <w:iCs/>
          <w:szCs w:val="26"/>
        </w:rPr>
        <w:t>contract</w:t>
      </w:r>
      <w:r w:rsidR="003B26A0">
        <w:rPr>
          <w:rFonts w:ascii="Century Schoolbook" w:hAnsi="Century Schoolbook"/>
          <w:iCs/>
          <w:szCs w:val="26"/>
        </w:rPr>
        <w:t>’</w:t>
      </w:r>
      <w:r w:rsidRPr="003B26A0" w:rsidR="003B26A0">
        <w:rPr>
          <w:rFonts w:ascii="Century Schoolbook" w:hAnsi="Century Schoolbook"/>
          <w:iCs/>
          <w:szCs w:val="26"/>
        </w:rPr>
        <w:t xml:space="preserve"> does not provide a basis for determining what obligations the parties have agreed to, and hence does not make possible a determination of whether those agreed obligations have been breached, there is no contract.</w:t>
      </w:r>
      <w:r w:rsidR="003B26A0">
        <w:rPr>
          <w:rFonts w:ascii="Century Schoolbook" w:hAnsi="Century Schoolbook"/>
          <w:iCs/>
          <w:szCs w:val="26"/>
        </w:rPr>
        <w:t>”]</w:t>
      </w:r>
      <w:r w:rsidR="00960CC8">
        <w:rPr>
          <w:rFonts w:ascii="Century Schoolbook" w:hAnsi="Century Schoolbook"/>
          <w:iCs/>
          <w:szCs w:val="26"/>
        </w:rPr>
        <w:t xml:space="preserve">; </w:t>
      </w:r>
      <w:r w:rsidRPr="00960CC8" w:rsidR="00960CC8">
        <w:rPr>
          <w:rFonts w:ascii="Century Schoolbook" w:hAnsi="Century Schoolbook"/>
          <w:i/>
          <w:szCs w:val="26"/>
        </w:rPr>
        <w:t>Ladas v. California State Auto. Ass</w:t>
      </w:r>
      <w:r w:rsidR="00960CC8">
        <w:rPr>
          <w:rFonts w:ascii="Century Schoolbook" w:hAnsi="Century Schoolbook"/>
          <w:i/>
          <w:szCs w:val="26"/>
        </w:rPr>
        <w:t>’</w:t>
      </w:r>
      <w:r w:rsidRPr="00960CC8" w:rsidR="00960CC8">
        <w:rPr>
          <w:rFonts w:ascii="Century Schoolbook" w:hAnsi="Century Schoolbook"/>
          <w:i/>
          <w:szCs w:val="26"/>
        </w:rPr>
        <w:t>n</w:t>
      </w:r>
      <w:r w:rsidRPr="00960CC8" w:rsidR="00960CC8">
        <w:rPr>
          <w:rFonts w:ascii="Century Schoolbook" w:hAnsi="Century Schoolbook"/>
          <w:iCs/>
          <w:szCs w:val="26"/>
        </w:rPr>
        <w:t xml:space="preserve"> (1993) 19 Cal.App.4th 761, 770</w:t>
      </w:r>
      <w:r w:rsidR="00960CC8">
        <w:rPr>
          <w:rFonts w:ascii="Century Schoolbook" w:hAnsi="Century Schoolbook"/>
          <w:iCs/>
          <w:szCs w:val="26"/>
        </w:rPr>
        <w:t xml:space="preserve"> [“</w:t>
      </w:r>
      <w:r w:rsidRPr="00960CC8" w:rsidR="00960CC8">
        <w:rPr>
          <w:rFonts w:ascii="Century Schoolbook" w:hAnsi="Century Schoolbook"/>
          <w:iCs/>
          <w:szCs w:val="26"/>
        </w:rPr>
        <w:t>To be enforceable, a promise must be definite enough that a court can determine the scope of the duty and the limits of performance</w:t>
      </w:r>
      <w:r w:rsidR="00960CC8">
        <w:rPr>
          <w:rFonts w:ascii="Century Schoolbook" w:hAnsi="Century Schoolbook"/>
          <w:iCs/>
          <w:szCs w:val="26"/>
        </w:rPr>
        <w:t> . . . .”]</w:t>
      </w:r>
      <w:r w:rsidRPr="003B26A0" w:rsidR="003B26A0">
        <w:rPr>
          <w:rFonts w:ascii="Century Schoolbook" w:hAnsi="Century Schoolbook"/>
          <w:iCs/>
          <w:szCs w:val="26"/>
        </w:rPr>
        <w:t>.)</w:t>
      </w:r>
      <w:r w:rsidR="00F417C1">
        <w:rPr>
          <w:rFonts w:ascii="Century Schoolbook" w:hAnsi="Century Schoolbook"/>
          <w:iCs/>
          <w:szCs w:val="26"/>
        </w:rPr>
        <w:t xml:space="preserve"> </w:t>
      </w:r>
      <w:r w:rsidR="00710D76">
        <w:rPr>
          <w:rFonts w:ascii="Century Schoolbook" w:hAnsi="Century Schoolbook"/>
          <w:iCs/>
          <w:szCs w:val="26"/>
        </w:rPr>
        <w:t xml:space="preserve"> </w:t>
      </w:r>
      <w:r w:rsidR="002F0DD6">
        <w:rPr>
          <w:rFonts w:ascii="Century Schoolbook" w:hAnsi="Century Schoolbook"/>
          <w:iCs/>
          <w:szCs w:val="26"/>
        </w:rPr>
        <w:t>And t</w:t>
      </w:r>
      <w:r w:rsidRPr="00710D76" w:rsidR="00710D76">
        <w:rPr>
          <w:rFonts w:ascii="Century Schoolbook" w:hAnsi="Century Schoolbook"/>
          <w:iCs/>
          <w:szCs w:val="26"/>
        </w:rPr>
        <w:t xml:space="preserve">hese </w:t>
      </w:r>
      <w:r w:rsidR="00960CC8">
        <w:rPr>
          <w:rFonts w:ascii="Century Schoolbook" w:hAnsi="Century Schoolbook"/>
          <w:iCs/>
          <w:szCs w:val="26"/>
        </w:rPr>
        <w:t>cases</w:t>
      </w:r>
      <w:r w:rsidRPr="00710D76" w:rsidR="00710D76">
        <w:rPr>
          <w:rFonts w:ascii="Century Schoolbook" w:hAnsi="Century Schoolbook"/>
          <w:iCs/>
          <w:szCs w:val="26"/>
        </w:rPr>
        <w:t xml:space="preserve"> assume the promise for in-person instruction was made without </w:t>
      </w:r>
      <w:r w:rsidR="00960CC8">
        <w:rPr>
          <w:rFonts w:ascii="Century Schoolbook" w:hAnsi="Century Schoolbook"/>
          <w:iCs/>
          <w:szCs w:val="26"/>
        </w:rPr>
        <w:t xml:space="preserve">exception.  </w:t>
      </w:r>
    </w:p>
    <w:p w:rsidR="00B341FC" w:rsidP="0044612F" w14:paraId="11FA3A5B" w14:textId="13ED6CBB">
      <w:pPr>
        <w:spacing w:line="360" w:lineRule="auto"/>
        <w:rPr>
          <w:rFonts w:ascii="Century Schoolbook" w:hAnsi="Century Schoolbook"/>
          <w:iCs/>
          <w:szCs w:val="26"/>
        </w:rPr>
      </w:pPr>
      <w:r>
        <w:rPr>
          <w:rFonts w:ascii="Century Schoolbook" w:hAnsi="Century Schoolbook"/>
          <w:iCs/>
          <w:szCs w:val="26"/>
        </w:rPr>
        <w:tab/>
      </w:r>
      <w:r w:rsidR="00AF6AF5">
        <w:rPr>
          <w:rFonts w:ascii="Century Schoolbook" w:hAnsi="Century Schoolbook"/>
          <w:iCs/>
          <w:szCs w:val="26"/>
        </w:rPr>
        <w:t xml:space="preserve">While </w:t>
      </w:r>
      <w:r>
        <w:rPr>
          <w:rFonts w:ascii="Century Schoolbook" w:hAnsi="Century Schoolbook"/>
          <w:iCs/>
          <w:szCs w:val="26"/>
        </w:rPr>
        <w:t xml:space="preserve">we recognize that </w:t>
      </w:r>
      <w:r w:rsidR="00AF6AF5">
        <w:rPr>
          <w:rFonts w:ascii="Century Schoolbook" w:hAnsi="Century Schoolbook"/>
          <w:iCs/>
          <w:szCs w:val="26"/>
        </w:rPr>
        <w:t xml:space="preserve">all parties expected classes to be conducted in-person, those general expectations do not amount to an enforceable </w:t>
      </w:r>
      <w:r w:rsidR="008E4389">
        <w:rPr>
          <w:rFonts w:ascii="Century Schoolbook" w:hAnsi="Century Schoolbook"/>
          <w:iCs/>
          <w:szCs w:val="26"/>
        </w:rPr>
        <w:t xml:space="preserve">term of the parties’ </w:t>
      </w:r>
      <w:r w:rsidR="00AF6AF5">
        <w:rPr>
          <w:rFonts w:ascii="Century Schoolbook" w:hAnsi="Century Schoolbook"/>
          <w:iCs/>
          <w:szCs w:val="26"/>
        </w:rPr>
        <w:t>contract.  (</w:t>
      </w:r>
      <w:r w:rsidRPr="00043B68" w:rsidR="00AF6AF5">
        <w:rPr>
          <w:rFonts w:ascii="Century Schoolbook" w:hAnsi="Century Schoolbook"/>
          <w:i/>
          <w:szCs w:val="26"/>
        </w:rPr>
        <w:t>Kashmiri</w:t>
      </w:r>
      <w:r w:rsidRPr="003952B9" w:rsidR="00AF6AF5">
        <w:rPr>
          <w:rFonts w:ascii="Century Schoolbook" w:hAnsi="Century Schoolbook"/>
          <w:iCs/>
          <w:szCs w:val="26"/>
        </w:rPr>
        <w:t>,</w:t>
      </w:r>
      <w:r w:rsidR="00AF6AF5">
        <w:rPr>
          <w:rFonts w:ascii="Century Schoolbook" w:hAnsi="Century Schoolbook"/>
          <w:iCs/>
          <w:szCs w:val="26"/>
        </w:rPr>
        <w:t xml:space="preserve"> </w:t>
      </w:r>
      <w:r w:rsidRPr="00AF6AF5" w:rsidR="00AF6AF5">
        <w:rPr>
          <w:rFonts w:ascii="Century Schoolbook" w:hAnsi="Century Schoolbook"/>
          <w:i/>
          <w:szCs w:val="26"/>
        </w:rPr>
        <w:t>supra</w:t>
      </w:r>
      <w:r w:rsidR="00AF6AF5">
        <w:rPr>
          <w:rFonts w:ascii="Century Schoolbook" w:hAnsi="Century Schoolbook"/>
          <w:iCs/>
          <w:szCs w:val="26"/>
        </w:rPr>
        <w:t>,</w:t>
      </w:r>
      <w:r w:rsidRPr="003952B9" w:rsidR="00AF6AF5">
        <w:rPr>
          <w:rFonts w:ascii="Century Schoolbook" w:hAnsi="Century Schoolbook"/>
          <w:iCs/>
          <w:szCs w:val="26"/>
        </w:rPr>
        <w:t xml:space="preserve"> 15</w:t>
      </w:r>
      <w:r w:rsidR="00A31847">
        <w:rPr>
          <w:rFonts w:ascii="Century Schoolbook" w:hAnsi="Century Schoolbook"/>
          <w:iCs/>
          <w:szCs w:val="26"/>
        </w:rPr>
        <w:t>6</w:t>
      </w:r>
      <w:r w:rsidRPr="003952B9" w:rsidR="00AF6AF5">
        <w:rPr>
          <w:rFonts w:ascii="Century Schoolbook" w:hAnsi="Century Schoolbook"/>
          <w:iCs/>
          <w:szCs w:val="26"/>
        </w:rPr>
        <w:t xml:space="preserve"> Cal.App.4th at </w:t>
      </w:r>
      <w:r w:rsidR="0012523C">
        <w:rPr>
          <w:rFonts w:ascii="Century Schoolbook" w:hAnsi="Century Schoolbook"/>
          <w:iCs/>
          <w:szCs w:val="26"/>
        </w:rPr>
        <w:t>p. 832</w:t>
      </w:r>
      <w:r w:rsidR="00AF6AF5">
        <w:rPr>
          <w:rFonts w:ascii="Century Schoolbook" w:hAnsi="Century Schoolbook"/>
          <w:iCs/>
          <w:szCs w:val="26"/>
        </w:rPr>
        <w:t xml:space="preserve"> [</w:t>
      </w:r>
      <w:r w:rsidRPr="00AF6AF5" w:rsidR="00AF6AF5">
        <w:rPr>
          <w:rFonts w:ascii="Century Schoolbook" w:hAnsi="Century Schoolbook"/>
          <w:iCs/>
          <w:szCs w:val="26"/>
        </w:rPr>
        <w:t>“</w:t>
      </w:r>
      <w:r w:rsidR="00A31847">
        <w:rPr>
          <w:rFonts w:ascii="Century Schoolbook" w:hAnsi="Century Schoolbook"/>
          <w:iCs/>
          <w:szCs w:val="26"/>
        </w:rPr>
        <w:t> ‘</w:t>
      </w:r>
      <w:r w:rsidRPr="00AF6AF5" w:rsidR="00AF6AF5">
        <w:rPr>
          <w:rFonts w:ascii="Century Schoolbook" w:hAnsi="Century Schoolbook"/>
          <w:iCs/>
          <w:szCs w:val="26"/>
        </w:rPr>
        <w:t>At best, these words expressed an expectancy by the [educational institution] .</w:t>
      </w:r>
      <w:r w:rsidR="00AF6AF5">
        <w:rPr>
          <w:rFonts w:ascii="Century Schoolbook" w:hAnsi="Century Schoolbook"/>
          <w:iCs/>
          <w:szCs w:val="26"/>
        </w:rPr>
        <w:t> </w:t>
      </w:r>
      <w:r w:rsidRPr="00AF6AF5" w:rsidR="00AF6AF5">
        <w:rPr>
          <w:rFonts w:ascii="Century Schoolbook" w:hAnsi="Century Schoolbook"/>
          <w:iCs/>
          <w:szCs w:val="26"/>
        </w:rPr>
        <w:t>.</w:t>
      </w:r>
      <w:r w:rsidR="00AF6AF5">
        <w:rPr>
          <w:rFonts w:ascii="Century Schoolbook" w:hAnsi="Century Schoolbook"/>
          <w:iCs/>
          <w:szCs w:val="26"/>
        </w:rPr>
        <w:t> </w:t>
      </w:r>
      <w:r w:rsidRPr="00AF6AF5" w:rsidR="00AF6AF5">
        <w:rPr>
          <w:rFonts w:ascii="Century Schoolbook" w:hAnsi="Century Schoolbook"/>
          <w:iCs/>
          <w:szCs w:val="26"/>
        </w:rPr>
        <w:t>.</w:t>
      </w:r>
      <w:r w:rsidR="00AF6AF5">
        <w:rPr>
          <w:rFonts w:ascii="Century Schoolbook" w:hAnsi="Century Schoolbook"/>
          <w:iCs/>
          <w:szCs w:val="26"/>
        </w:rPr>
        <w:t> </w:t>
      </w:r>
      <w:r w:rsidRPr="00AF6AF5" w:rsidR="00AF6AF5">
        <w:rPr>
          <w:rFonts w:ascii="Century Schoolbook" w:hAnsi="Century Schoolbook"/>
          <w:iCs/>
          <w:szCs w:val="26"/>
        </w:rPr>
        <w:t>.</w:t>
      </w:r>
      <w:r w:rsidR="00AF6AF5">
        <w:rPr>
          <w:rFonts w:ascii="Century Schoolbook" w:hAnsi="Century Schoolbook"/>
          <w:iCs/>
          <w:szCs w:val="26"/>
        </w:rPr>
        <w:t xml:space="preserve"> </w:t>
      </w:r>
      <w:r w:rsidRPr="00AF6AF5" w:rsidR="00AF6AF5">
        <w:rPr>
          <w:rFonts w:ascii="Century Schoolbook" w:hAnsi="Century Schoolbook"/>
          <w:iCs/>
          <w:szCs w:val="26"/>
        </w:rPr>
        <w:t xml:space="preserve"> This is not a promise susceptible of enforcement.</w:t>
      </w:r>
      <w:r w:rsidR="00A31847">
        <w:rPr>
          <w:rFonts w:ascii="Century Schoolbook" w:hAnsi="Century Schoolbook"/>
          <w:iCs/>
          <w:szCs w:val="26"/>
        </w:rPr>
        <w:t>’ </w:t>
      </w:r>
      <w:r w:rsidRPr="00AF6AF5" w:rsidR="00AF6AF5">
        <w:rPr>
          <w:rFonts w:ascii="Century Schoolbook" w:hAnsi="Century Schoolbook"/>
          <w:iCs/>
          <w:szCs w:val="26"/>
        </w:rPr>
        <w:t>”</w:t>
      </w:r>
      <w:r w:rsidR="00AF6AF5">
        <w:rPr>
          <w:rFonts w:ascii="Century Schoolbook" w:hAnsi="Century Schoolbook"/>
          <w:iCs/>
          <w:szCs w:val="26"/>
        </w:rPr>
        <w:t xml:space="preserve">].)  </w:t>
      </w:r>
      <w:r>
        <w:rPr>
          <w:rFonts w:ascii="Century Schoolbook" w:hAnsi="Century Schoolbook"/>
          <w:iCs/>
          <w:szCs w:val="26"/>
        </w:rPr>
        <w:t xml:space="preserve">Interpreting general statements about campus life as binding contracts for in-person instruction or access to campus facilities without exception places universities in an impossible situation—violating state and/or local stay-at-home orders or breaching their contracts with students.  We cannot conclude it is objectively reasonable that universities agreed to such an arrangement.  (Accord </w:t>
      </w:r>
      <w:r>
        <w:rPr>
          <w:rFonts w:ascii="Century Schoolbook" w:hAnsi="Century Schoolbook"/>
          <w:i/>
          <w:szCs w:val="26"/>
        </w:rPr>
        <w:t>Vierra v. Workers’ Comp. Appeals Bd.</w:t>
      </w:r>
      <w:r>
        <w:rPr>
          <w:rFonts w:ascii="Century Schoolbook" w:hAnsi="Century Schoolbook"/>
          <w:iCs/>
          <w:szCs w:val="26"/>
        </w:rPr>
        <w:t xml:space="preserve"> (2007) 154 Cal.App.4th 1142, 1148 [“</w:t>
      </w:r>
      <w:r w:rsidRPr="0012523C">
        <w:rPr>
          <w:rFonts w:ascii="Century Schoolbook" w:hAnsi="Century Schoolbook"/>
          <w:iCs/>
          <w:szCs w:val="26"/>
        </w:rPr>
        <w:t xml:space="preserve">A contract must be lawful </w:t>
      </w:r>
      <w:r>
        <w:rPr>
          <w:rFonts w:ascii="Century Schoolbook" w:hAnsi="Century Schoolbook"/>
          <w:iCs/>
          <w:szCs w:val="26"/>
        </w:rPr>
        <w:t>[citation]</w:t>
      </w:r>
      <w:r w:rsidRPr="0012523C">
        <w:rPr>
          <w:rFonts w:ascii="Century Schoolbook" w:hAnsi="Century Schoolbook"/>
          <w:iCs/>
          <w:szCs w:val="26"/>
        </w:rPr>
        <w:t>; i.e., it must not be in conflict either with express statutes or public policy.</w:t>
      </w:r>
      <w:r>
        <w:rPr>
          <w:rFonts w:ascii="Century Schoolbook" w:hAnsi="Century Schoolbook"/>
          <w:iCs/>
          <w:szCs w:val="26"/>
        </w:rPr>
        <w:t xml:space="preserve">].)  </w:t>
      </w:r>
    </w:p>
    <w:p w:rsidR="003952B9" w:rsidP="0044612F" w14:paraId="7022DC33" w14:textId="479D5CEC">
      <w:pPr>
        <w:spacing w:line="360" w:lineRule="auto"/>
        <w:rPr>
          <w:rFonts w:ascii="Century Schoolbook" w:hAnsi="Century Schoolbook"/>
          <w:iCs/>
          <w:szCs w:val="26"/>
        </w:rPr>
      </w:pPr>
      <w:r>
        <w:rPr>
          <w:rFonts w:ascii="Century Schoolbook" w:hAnsi="Century Schoolbook"/>
          <w:iCs/>
          <w:szCs w:val="26"/>
        </w:rPr>
        <w:tab/>
      </w:r>
      <w:r w:rsidR="008E4389">
        <w:rPr>
          <w:rFonts w:ascii="Century Schoolbook" w:hAnsi="Century Schoolbook"/>
          <w:iCs/>
          <w:szCs w:val="26"/>
        </w:rPr>
        <w:t xml:space="preserve">The </w:t>
      </w:r>
      <w:r w:rsidRPr="004B5014" w:rsidR="008E4389">
        <w:rPr>
          <w:rFonts w:ascii="Century Schoolbook" w:hAnsi="Century Schoolbook"/>
          <w:iCs/>
          <w:szCs w:val="26"/>
        </w:rPr>
        <w:t>underlying facts are undisputed</w:t>
      </w:r>
      <w:r w:rsidR="008E4389">
        <w:rPr>
          <w:rFonts w:ascii="Century Schoolbook" w:hAnsi="Century Schoolbook"/>
          <w:iCs/>
          <w:szCs w:val="26"/>
        </w:rPr>
        <w:t>,</w:t>
      </w:r>
      <w:r w:rsidRPr="004B5014" w:rsidR="008E4389">
        <w:rPr>
          <w:rFonts w:ascii="Century Schoolbook" w:hAnsi="Century Schoolbook"/>
          <w:iCs/>
          <w:szCs w:val="26"/>
        </w:rPr>
        <w:t xml:space="preserve"> and </w:t>
      </w:r>
      <w:r w:rsidR="008E4389">
        <w:rPr>
          <w:rFonts w:ascii="Century Schoolbook" w:hAnsi="Century Schoolbook"/>
          <w:iCs/>
          <w:szCs w:val="26"/>
        </w:rPr>
        <w:t xml:space="preserve">California law </w:t>
      </w:r>
      <w:r w:rsidRPr="004B5014" w:rsidR="008E4389">
        <w:rPr>
          <w:rFonts w:ascii="Century Schoolbook" w:hAnsi="Century Schoolbook"/>
          <w:iCs/>
          <w:szCs w:val="26"/>
        </w:rPr>
        <w:t>support</w:t>
      </w:r>
      <w:r w:rsidR="008E4389">
        <w:rPr>
          <w:rFonts w:ascii="Century Schoolbook" w:hAnsi="Century Schoolbook"/>
          <w:iCs/>
          <w:szCs w:val="26"/>
        </w:rPr>
        <w:t>s</w:t>
      </w:r>
      <w:r w:rsidRPr="004B5014" w:rsidR="008E4389">
        <w:rPr>
          <w:rFonts w:ascii="Century Schoolbook" w:hAnsi="Century Schoolbook"/>
          <w:iCs/>
          <w:szCs w:val="26"/>
        </w:rPr>
        <w:t xml:space="preserve"> only one conclusion</w:t>
      </w:r>
      <w:r w:rsidR="008E4389">
        <w:rPr>
          <w:rFonts w:ascii="Century Schoolbook" w:hAnsi="Century Schoolbook"/>
          <w:iCs/>
          <w:szCs w:val="26"/>
        </w:rPr>
        <w:t xml:space="preserve"> from this record: that appellants</w:t>
      </w:r>
      <w:r w:rsidR="008D5ED1">
        <w:rPr>
          <w:rFonts w:ascii="Century Schoolbook" w:hAnsi="Century Schoolbook"/>
          <w:iCs/>
          <w:szCs w:val="26"/>
        </w:rPr>
        <w:t xml:space="preserve"> </w:t>
      </w:r>
      <w:r w:rsidR="00C440B4">
        <w:rPr>
          <w:rFonts w:ascii="Century Schoolbook" w:hAnsi="Century Schoolbook"/>
          <w:iCs/>
          <w:szCs w:val="26"/>
        </w:rPr>
        <w:t>failed to raise a triable issue of fact as to whether USF contractually committed to offering exclusively in-person instruction during a global pandemic.</w:t>
      </w:r>
      <w:r w:rsidR="008E4389">
        <w:rPr>
          <w:rFonts w:ascii="Century Schoolbook" w:hAnsi="Century Schoolbook"/>
          <w:iCs/>
          <w:szCs w:val="26"/>
        </w:rPr>
        <w:t xml:space="preserve">  Accordingly, the trial court did not err in granting summary adjudication of this claim.</w:t>
      </w:r>
    </w:p>
    <w:p w:rsidR="00153759" w:rsidRPr="00153759" w:rsidP="00A0014F" w14:paraId="7BAE4F48" w14:textId="5E94158B">
      <w:pPr>
        <w:spacing w:line="360" w:lineRule="auto"/>
        <w:ind w:left="1080" w:hanging="1080"/>
        <w:rPr>
          <w:rFonts w:ascii="Century Schoolbook" w:hAnsi="Century Schoolbook"/>
          <w:b/>
          <w:bCs/>
          <w:iCs/>
          <w:szCs w:val="26"/>
        </w:rPr>
      </w:pPr>
      <w:r w:rsidRPr="00153759">
        <w:rPr>
          <w:rFonts w:ascii="Century Schoolbook" w:hAnsi="Century Schoolbook"/>
          <w:b/>
          <w:bCs/>
          <w:iCs/>
          <w:szCs w:val="26"/>
        </w:rPr>
        <w:tab/>
      </w:r>
      <w:r w:rsidR="009B1800">
        <w:rPr>
          <w:rFonts w:ascii="Century Schoolbook" w:hAnsi="Century Schoolbook"/>
          <w:b/>
          <w:bCs/>
          <w:iCs/>
          <w:szCs w:val="26"/>
        </w:rPr>
        <w:t>B</w:t>
      </w:r>
      <w:r w:rsidRPr="00153759">
        <w:rPr>
          <w:rFonts w:ascii="Century Schoolbook" w:hAnsi="Century Schoolbook"/>
          <w:b/>
          <w:bCs/>
          <w:iCs/>
          <w:szCs w:val="26"/>
        </w:rPr>
        <w:t xml:space="preserve">.  </w:t>
      </w:r>
      <w:r w:rsidR="008D5ED1">
        <w:rPr>
          <w:rFonts w:ascii="Century Schoolbook" w:hAnsi="Century Schoolbook"/>
          <w:b/>
          <w:bCs/>
          <w:iCs/>
          <w:szCs w:val="26"/>
        </w:rPr>
        <w:t>Appellants’</w:t>
      </w:r>
      <w:r w:rsidR="0012523C">
        <w:rPr>
          <w:rFonts w:ascii="Century Schoolbook" w:hAnsi="Century Schoolbook"/>
          <w:b/>
          <w:bCs/>
          <w:iCs/>
          <w:szCs w:val="26"/>
        </w:rPr>
        <w:t xml:space="preserve"> Additional Challenges to the Court’s Ruling</w:t>
      </w:r>
      <w:r w:rsidR="00A0014F">
        <w:rPr>
          <w:rFonts w:ascii="Century Schoolbook" w:hAnsi="Century Schoolbook"/>
          <w:b/>
          <w:bCs/>
          <w:iCs/>
          <w:szCs w:val="26"/>
        </w:rPr>
        <w:t xml:space="preserve"> on the Breach of Contract Claim</w:t>
      </w:r>
    </w:p>
    <w:p w:rsidR="0012523C" w:rsidP="0044612F" w14:paraId="552DB423" w14:textId="1EB399AD">
      <w:pPr>
        <w:spacing w:line="360" w:lineRule="auto"/>
        <w:rPr>
          <w:rFonts w:ascii="Century Schoolbook" w:hAnsi="Century Schoolbook"/>
          <w:iCs/>
          <w:szCs w:val="26"/>
        </w:rPr>
      </w:pPr>
      <w:r>
        <w:rPr>
          <w:rFonts w:ascii="Century Schoolbook" w:hAnsi="Century Schoolbook"/>
          <w:iCs/>
          <w:szCs w:val="26"/>
        </w:rPr>
        <w:tab/>
      </w:r>
      <w:r w:rsidR="008D5ED1">
        <w:rPr>
          <w:rFonts w:ascii="Century Schoolbook" w:hAnsi="Century Schoolbook"/>
          <w:iCs/>
          <w:szCs w:val="26"/>
        </w:rPr>
        <w:t>Appellants</w:t>
      </w:r>
      <w:r w:rsidR="00F226D8">
        <w:rPr>
          <w:rFonts w:ascii="Century Schoolbook" w:hAnsi="Century Schoolbook"/>
          <w:iCs/>
          <w:szCs w:val="26"/>
        </w:rPr>
        <w:t xml:space="preserve"> </w:t>
      </w:r>
      <w:r>
        <w:rPr>
          <w:rFonts w:ascii="Century Schoolbook" w:hAnsi="Century Schoolbook"/>
          <w:iCs/>
          <w:szCs w:val="26"/>
        </w:rPr>
        <w:t xml:space="preserve">raise two </w:t>
      </w:r>
      <w:r w:rsidR="00F417C1">
        <w:rPr>
          <w:rFonts w:ascii="Century Schoolbook" w:hAnsi="Century Schoolbook"/>
          <w:iCs/>
          <w:szCs w:val="26"/>
        </w:rPr>
        <w:t>additional</w:t>
      </w:r>
      <w:r>
        <w:rPr>
          <w:rFonts w:ascii="Century Schoolbook" w:hAnsi="Century Schoolbook"/>
          <w:iCs/>
          <w:szCs w:val="26"/>
        </w:rPr>
        <w:t xml:space="preserve"> arguments in connection with the court’s ruling on their breach of contract claim.  First, they assert </w:t>
      </w:r>
      <w:r w:rsidR="00F226D8">
        <w:rPr>
          <w:rFonts w:ascii="Century Schoolbook" w:hAnsi="Century Schoolbook"/>
          <w:iCs/>
          <w:szCs w:val="26"/>
        </w:rPr>
        <w:t>the trial court erred by</w:t>
      </w:r>
      <w:r>
        <w:rPr>
          <w:rFonts w:ascii="Century Schoolbook" w:hAnsi="Century Schoolbook"/>
          <w:iCs/>
          <w:szCs w:val="26"/>
        </w:rPr>
        <w:t xml:space="preserve"> concluding their complaint only alleged breach of an express contract rather than an implied-in-fact contract.</w:t>
      </w:r>
      <w:r w:rsidR="00F226D8">
        <w:rPr>
          <w:rFonts w:ascii="Century Schoolbook" w:hAnsi="Century Schoolbook"/>
          <w:iCs/>
          <w:szCs w:val="26"/>
        </w:rPr>
        <w:t xml:space="preserve"> </w:t>
      </w:r>
      <w:r w:rsidR="00806DE0">
        <w:rPr>
          <w:rFonts w:ascii="Century Schoolbook" w:hAnsi="Century Schoolbook"/>
          <w:iCs/>
          <w:szCs w:val="26"/>
        </w:rPr>
        <w:t xml:space="preserve"> </w:t>
      </w:r>
      <w:r>
        <w:rPr>
          <w:rFonts w:ascii="Century Schoolbook" w:hAnsi="Century Schoolbook"/>
          <w:iCs/>
          <w:szCs w:val="26"/>
        </w:rPr>
        <w:t xml:space="preserve">Second, </w:t>
      </w:r>
      <w:r w:rsidR="008D5ED1">
        <w:rPr>
          <w:rFonts w:ascii="Century Schoolbook" w:hAnsi="Century Schoolbook"/>
          <w:iCs/>
          <w:szCs w:val="26"/>
        </w:rPr>
        <w:t xml:space="preserve">appellants </w:t>
      </w:r>
      <w:r>
        <w:rPr>
          <w:rFonts w:ascii="Century Schoolbook" w:hAnsi="Century Schoolbook"/>
          <w:iCs/>
          <w:szCs w:val="26"/>
        </w:rPr>
        <w:t xml:space="preserve">assert the court only relied on </w:t>
      </w:r>
      <w:r w:rsidR="00F417C1">
        <w:rPr>
          <w:rFonts w:ascii="Century Schoolbook" w:hAnsi="Century Schoolbook"/>
          <w:iCs/>
          <w:szCs w:val="26"/>
        </w:rPr>
        <w:t>the admission letter</w:t>
      </w:r>
      <w:r>
        <w:rPr>
          <w:rFonts w:ascii="Century Schoolbook" w:hAnsi="Century Schoolbook"/>
          <w:iCs/>
          <w:szCs w:val="26"/>
        </w:rPr>
        <w:t xml:space="preserve"> rather than USF’s past conduct in rejecting its implied</w:t>
      </w:r>
      <w:r w:rsidR="00F417C1">
        <w:rPr>
          <w:rFonts w:ascii="Century Schoolbook" w:hAnsi="Century Schoolbook"/>
          <w:iCs/>
          <w:szCs w:val="26"/>
        </w:rPr>
        <w:t>-in-fact</w:t>
      </w:r>
      <w:r>
        <w:rPr>
          <w:rFonts w:ascii="Century Schoolbook" w:hAnsi="Century Schoolbook"/>
          <w:iCs/>
          <w:szCs w:val="26"/>
        </w:rPr>
        <w:t xml:space="preserve"> contract theory. </w:t>
      </w:r>
      <w:r w:rsidR="00806DE0">
        <w:rPr>
          <w:rFonts w:ascii="Century Schoolbook" w:hAnsi="Century Schoolbook"/>
          <w:iCs/>
          <w:szCs w:val="26"/>
        </w:rPr>
        <w:t xml:space="preserve"> </w:t>
      </w:r>
      <w:r>
        <w:rPr>
          <w:rFonts w:ascii="Century Schoolbook" w:hAnsi="Century Schoolbook"/>
          <w:iCs/>
          <w:szCs w:val="26"/>
        </w:rPr>
        <w:t>Both arguments fail.</w:t>
      </w:r>
    </w:p>
    <w:p w:rsidR="00153759" w:rsidP="0044612F" w14:paraId="649E00DA" w14:textId="10E2B715">
      <w:pPr>
        <w:spacing w:line="360" w:lineRule="auto"/>
        <w:rPr>
          <w:rFonts w:ascii="Century Schoolbook" w:hAnsi="Century Schoolbook"/>
          <w:iCs/>
          <w:szCs w:val="26"/>
        </w:rPr>
      </w:pPr>
      <w:r>
        <w:rPr>
          <w:rFonts w:ascii="Century Schoolbook" w:hAnsi="Century Schoolbook"/>
          <w:iCs/>
          <w:szCs w:val="26"/>
        </w:rPr>
        <w:tab/>
      </w:r>
      <w:r w:rsidR="00A0014F">
        <w:rPr>
          <w:rFonts w:ascii="Century Schoolbook" w:hAnsi="Century Schoolbook"/>
          <w:iCs/>
          <w:szCs w:val="26"/>
        </w:rPr>
        <w:t>Contrary to</w:t>
      </w:r>
      <w:r w:rsidR="006B4994">
        <w:rPr>
          <w:rFonts w:ascii="Century Schoolbook" w:hAnsi="Century Schoolbook"/>
          <w:iCs/>
          <w:szCs w:val="26"/>
        </w:rPr>
        <w:t xml:space="preserve"> the arguments in</w:t>
      </w:r>
      <w:r w:rsidR="00A0014F">
        <w:rPr>
          <w:rFonts w:ascii="Century Schoolbook" w:hAnsi="Century Schoolbook"/>
          <w:iCs/>
          <w:szCs w:val="26"/>
        </w:rPr>
        <w:t xml:space="preserve"> </w:t>
      </w:r>
      <w:r w:rsidR="008D5ED1">
        <w:rPr>
          <w:rFonts w:ascii="Century Schoolbook" w:hAnsi="Century Schoolbook"/>
          <w:iCs/>
          <w:szCs w:val="26"/>
        </w:rPr>
        <w:t>appellants</w:t>
      </w:r>
      <w:r w:rsidR="00A0014F">
        <w:rPr>
          <w:rFonts w:ascii="Century Schoolbook" w:hAnsi="Century Schoolbook"/>
          <w:iCs/>
          <w:szCs w:val="26"/>
        </w:rPr>
        <w:t xml:space="preserve">’ </w:t>
      </w:r>
      <w:r w:rsidR="006B4994">
        <w:rPr>
          <w:rFonts w:ascii="Century Schoolbook" w:hAnsi="Century Schoolbook"/>
          <w:iCs/>
          <w:szCs w:val="26"/>
        </w:rPr>
        <w:t>brief</w:t>
      </w:r>
      <w:r w:rsidR="00A0014F">
        <w:rPr>
          <w:rFonts w:ascii="Century Schoolbook" w:hAnsi="Century Schoolbook"/>
          <w:iCs/>
          <w:szCs w:val="26"/>
        </w:rPr>
        <w:t>, the court did not reject the</w:t>
      </w:r>
      <w:r w:rsidR="006B4994">
        <w:rPr>
          <w:rFonts w:ascii="Century Schoolbook" w:hAnsi="Century Schoolbook"/>
          <w:iCs/>
          <w:szCs w:val="26"/>
        </w:rPr>
        <w:t>ir</w:t>
      </w:r>
      <w:r w:rsidR="00A0014F">
        <w:rPr>
          <w:rFonts w:ascii="Century Schoolbook" w:hAnsi="Century Schoolbook"/>
          <w:iCs/>
          <w:szCs w:val="26"/>
        </w:rPr>
        <w:t xml:space="preserve"> breach of contract claim based solely on an express contract theory.  The court evaluated whether an implied contract was formed and concluded the various documents at issue, such as the admissions letter, syllabi, student schedules, and course catalogs, did not give rise to a binding agreement for in-person instruction. </w:t>
      </w:r>
      <w:r w:rsidR="00806DE0">
        <w:rPr>
          <w:rFonts w:ascii="Century Schoolbook" w:hAnsi="Century Schoolbook"/>
          <w:iCs/>
          <w:szCs w:val="26"/>
        </w:rPr>
        <w:t xml:space="preserve"> </w:t>
      </w:r>
      <w:r w:rsidR="00A0014F">
        <w:rPr>
          <w:rFonts w:ascii="Century Schoolbook" w:hAnsi="Century Schoolbook"/>
          <w:iCs/>
          <w:szCs w:val="26"/>
        </w:rPr>
        <w:t xml:space="preserve">The court explained (1) these materials do not contain promises or definite offers to provide in-person instruction; (2) </w:t>
      </w:r>
      <w:r w:rsidR="008D5ED1">
        <w:rPr>
          <w:rFonts w:ascii="Century Schoolbook" w:hAnsi="Century Schoolbook"/>
          <w:iCs/>
          <w:szCs w:val="26"/>
        </w:rPr>
        <w:t xml:space="preserve">appellants </w:t>
      </w:r>
      <w:r w:rsidR="00A0014F">
        <w:rPr>
          <w:rFonts w:ascii="Century Schoolbook" w:hAnsi="Century Schoolbook"/>
          <w:iCs/>
          <w:szCs w:val="26"/>
        </w:rPr>
        <w:t>failed to explain how professors could bind USF to contract terms by providing students with syllabi; and (3) documents such as syllabi and student schedules were not provided at the time of enrollment and thus could not have been part of the accepted offer.</w:t>
      </w:r>
    </w:p>
    <w:p w:rsidR="00927EF4" w:rsidP="00741002" w14:paraId="06A9C180" w14:textId="28EB7F0D">
      <w:pPr>
        <w:spacing w:line="360" w:lineRule="auto"/>
        <w:rPr>
          <w:rFonts w:ascii="Century Schoolbook" w:hAnsi="Century Schoolbook"/>
          <w:iCs/>
          <w:szCs w:val="26"/>
        </w:rPr>
      </w:pPr>
      <w:r>
        <w:rPr>
          <w:rFonts w:ascii="Century Schoolbook" w:hAnsi="Century Schoolbook"/>
          <w:iCs/>
          <w:szCs w:val="26"/>
        </w:rPr>
        <w:tab/>
      </w:r>
      <w:r w:rsidR="00A0014F">
        <w:rPr>
          <w:rFonts w:ascii="Century Schoolbook" w:hAnsi="Century Schoolbook"/>
          <w:iCs/>
          <w:szCs w:val="26"/>
        </w:rPr>
        <w:t xml:space="preserve">Second, the court properly </w:t>
      </w:r>
      <w:r w:rsidR="006B4994">
        <w:rPr>
          <w:rFonts w:ascii="Century Schoolbook" w:hAnsi="Century Schoolbook"/>
          <w:iCs/>
          <w:szCs w:val="26"/>
        </w:rPr>
        <w:t>focused</w:t>
      </w:r>
      <w:r w:rsidR="00A0014F">
        <w:rPr>
          <w:rFonts w:ascii="Century Schoolbook" w:hAnsi="Century Schoolbook"/>
          <w:iCs/>
          <w:szCs w:val="26"/>
        </w:rPr>
        <w:t xml:space="preserve"> on the admissions letter because that document formed the basis for </w:t>
      </w:r>
      <w:r w:rsidR="008D5ED1">
        <w:rPr>
          <w:rFonts w:ascii="Century Schoolbook" w:hAnsi="Century Schoolbook"/>
          <w:iCs/>
          <w:szCs w:val="26"/>
        </w:rPr>
        <w:t>appellants</w:t>
      </w:r>
      <w:r w:rsidR="00A0014F">
        <w:rPr>
          <w:rFonts w:ascii="Century Schoolbook" w:hAnsi="Century Schoolbook"/>
          <w:iCs/>
          <w:szCs w:val="26"/>
        </w:rPr>
        <w:t>’ breach of contract allegations.  The</w:t>
      </w:r>
      <w:r w:rsidR="00C15DF6">
        <w:rPr>
          <w:rFonts w:ascii="Century Schoolbook" w:hAnsi="Century Schoolbook"/>
          <w:iCs/>
          <w:szCs w:val="26"/>
        </w:rPr>
        <w:t xml:space="preserve"> complaint states </w:t>
      </w:r>
      <w:r w:rsidR="008D5ED1">
        <w:rPr>
          <w:rFonts w:ascii="Century Schoolbook" w:hAnsi="Century Schoolbook"/>
          <w:iCs/>
          <w:szCs w:val="26"/>
        </w:rPr>
        <w:t xml:space="preserve">appellants </w:t>
      </w:r>
      <w:r w:rsidR="00C15DF6">
        <w:rPr>
          <w:rFonts w:ascii="Century Schoolbook" w:hAnsi="Century Schoolbook"/>
          <w:iCs/>
          <w:szCs w:val="26"/>
        </w:rPr>
        <w:t xml:space="preserve">entered into a binding contract with USF “[t]hrough the admission agreement and payment of tuition and fees.” </w:t>
      </w:r>
      <w:r w:rsidR="00806DE0">
        <w:rPr>
          <w:rFonts w:ascii="Century Schoolbook" w:hAnsi="Century Schoolbook"/>
          <w:iCs/>
          <w:szCs w:val="26"/>
        </w:rPr>
        <w:t xml:space="preserve"> </w:t>
      </w:r>
      <w:r w:rsidR="00C15DF6">
        <w:rPr>
          <w:rFonts w:ascii="Century Schoolbook" w:hAnsi="Century Schoolbook"/>
          <w:iCs/>
          <w:szCs w:val="26"/>
        </w:rPr>
        <w:t xml:space="preserve">The complaint does not identify any other documents or conduct as either forming or supplementing the contractual relationship between the parties. </w:t>
      </w:r>
      <w:r w:rsidR="00806DE0">
        <w:rPr>
          <w:rFonts w:ascii="Century Schoolbook" w:hAnsi="Century Schoolbook"/>
          <w:iCs/>
          <w:szCs w:val="26"/>
        </w:rPr>
        <w:t xml:space="preserve"> </w:t>
      </w:r>
      <w:r w:rsidR="006B4994">
        <w:rPr>
          <w:rFonts w:ascii="Century Schoolbook" w:hAnsi="Century Schoolbook"/>
          <w:iCs/>
          <w:szCs w:val="26"/>
        </w:rPr>
        <w:t xml:space="preserve">Nor have appellants identified any “conduct” the trial court failed to consider.  </w:t>
      </w:r>
      <w:r w:rsidR="00A0014F">
        <w:rPr>
          <w:rFonts w:ascii="Century Schoolbook" w:hAnsi="Century Schoolbook"/>
          <w:iCs/>
          <w:szCs w:val="26"/>
        </w:rPr>
        <w:t>A</w:t>
      </w:r>
      <w:r w:rsidRPr="00C15DF6" w:rsidR="00A0014F">
        <w:rPr>
          <w:rFonts w:ascii="Century Schoolbook" w:hAnsi="Century Schoolbook"/>
          <w:iCs/>
          <w:szCs w:val="26"/>
        </w:rPr>
        <w:t xml:space="preserve"> plaintiff opposing summary judgment may not raise facts or legal theories not encompassed by his complaint to defeat a summary judgment motion. </w:t>
      </w:r>
      <w:r w:rsidR="00A0014F">
        <w:rPr>
          <w:rFonts w:ascii="Century Schoolbook" w:hAnsi="Century Schoolbook"/>
          <w:iCs/>
          <w:szCs w:val="26"/>
        </w:rPr>
        <w:t xml:space="preserve"> </w:t>
      </w:r>
      <w:r w:rsidRPr="00C15DF6" w:rsidR="00A0014F">
        <w:rPr>
          <w:rFonts w:ascii="Century Schoolbook" w:hAnsi="Century Schoolbook"/>
          <w:iCs/>
          <w:szCs w:val="26"/>
        </w:rPr>
        <w:t xml:space="preserve">(See </w:t>
      </w:r>
      <w:r w:rsidRPr="00C15DF6" w:rsidR="00A0014F">
        <w:rPr>
          <w:rFonts w:ascii="Century Schoolbook" w:hAnsi="Century Schoolbook"/>
          <w:i/>
          <w:szCs w:val="26"/>
        </w:rPr>
        <w:t>Laabs v. City of Victorville</w:t>
      </w:r>
      <w:r w:rsidRPr="00C15DF6" w:rsidR="00A0014F">
        <w:rPr>
          <w:rFonts w:ascii="Century Schoolbook" w:hAnsi="Century Schoolbook"/>
          <w:iCs/>
          <w:szCs w:val="26"/>
        </w:rPr>
        <w:t xml:space="preserve"> (2008) 163 Cal.App.4th 1242, 1258 &amp; fn. 7 [“The complaint limits the issues to be addressed at the motion for summary judgment. </w:t>
      </w:r>
      <w:r w:rsidR="00A0014F">
        <w:rPr>
          <w:rFonts w:ascii="Century Schoolbook" w:hAnsi="Century Schoolbook"/>
          <w:iCs/>
          <w:szCs w:val="26"/>
        </w:rPr>
        <w:t xml:space="preserve"> </w:t>
      </w:r>
      <w:r w:rsidRPr="00C15DF6" w:rsidR="00A0014F">
        <w:rPr>
          <w:rFonts w:ascii="Century Schoolbook" w:hAnsi="Century Schoolbook"/>
          <w:iCs/>
          <w:szCs w:val="26"/>
        </w:rPr>
        <w:t>The rationale is clear: It is the allegations in the complaint to which the summary judgment motion must respond.”]</w:t>
      </w:r>
      <w:r w:rsidR="00A0014F">
        <w:rPr>
          <w:rFonts w:ascii="Century Schoolbook" w:hAnsi="Century Schoolbook"/>
          <w:iCs/>
          <w:szCs w:val="26"/>
        </w:rPr>
        <w:t>; accord</w:t>
      </w:r>
      <w:r w:rsidRPr="00B334B6" w:rsidR="00A0014F">
        <w:rPr>
          <w:rFonts w:ascii="Century Schoolbook" w:hAnsi="Century Schoolbook"/>
          <w:iCs/>
          <w:szCs w:val="26"/>
        </w:rPr>
        <w:t xml:space="preserve"> </w:t>
      </w:r>
      <w:r w:rsidRPr="00B334B6" w:rsidR="00A0014F">
        <w:rPr>
          <w:rFonts w:ascii="Century Schoolbook" w:hAnsi="Century Schoolbook"/>
          <w:i/>
          <w:szCs w:val="26"/>
        </w:rPr>
        <w:t>Youngman v. Nevada Irrigation Dist</w:t>
      </w:r>
      <w:r w:rsidRPr="00B334B6" w:rsidR="00A0014F">
        <w:rPr>
          <w:rFonts w:ascii="Century Schoolbook" w:hAnsi="Century Schoolbook"/>
          <w:iCs/>
          <w:szCs w:val="26"/>
        </w:rPr>
        <w:t xml:space="preserve">. (1969) 70 Cal.2d 240, </w:t>
      </w:r>
      <w:r w:rsidR="00A31847">
        <w:rPr>
          <w:rFonts w:ascii="Century Schoolbook" w:hAnsi="Century Schoolbook"/>
          <w:iCs/>
          <w:szCs w:val="26"/>
        </w:rPr>
        <w:t>246–</w:t>
      </w:r>
      <w:r w:rsidRPr="00B334B6" w:rsidR="00A0014F">
        <w:rPr>
          <w:rFonts w:ascii="Century Schoolbook" w:hAnsi="Century Schoolbook"/>
          <w:iCs/>
          <w:szCs w:val="26"/>
        </w:rPr>
        <w:t>247</w:t>
      </w:r>
      <w:r w:rsidR="00A0014F">
        <w:rPr>
          <w:rFonts w:ascii="Century Schoolbook" w:hAnsi="Century Schoolbook"/>
          <w:iCs/>
          <w:szCs w:val="26"/>
        </w:rPr>
        <w:t xml:space="preserve"> [</w:t>
      </w:r>
      <w:r w:rsidRPr="00B334B6" w:rsidR="00A0014F">
        <w:rPr>
          <w:rFonts w:ascii="Century Schoolbook" w:hAnsi="Century Schoolbook"/>
          <w:iCs/>
          <w:szCs w:val="26"/>
        </w:rPr>
        <w:t>plaintiff</w:t>
      </w:r>
      <w:r w:rsidR="00A0014F">
        <w:rPr>
          <w:rFonts w:ascii="Century Schoolbook" w:hAnsi="Century Schoolbook"/>
          <w:iCs/>
          <w:szCs w:val="26"/>
        </w:rPr>
        <w:t xml:space="preserve"> alleging cause of action for an implied-in-fact contract</w:t>
      </w:r>
      <w:r w:rsidRPr="00B334B6" w:rsidR="00A0014F">
        <w:rPr>
          <w:rFonts w:ascii="Century Schoolbook" w:hAnsi="Century Schoolbook"/>
          <w:iCs/>
          <w:szCs w:val="26"/>
        </w:rPr>
        <w:t xml:space="preserve"> must plead “the facts from which the promise is implied.”</w:t>
      </w:r>
      <w:r w:rsidR="00A0014F">
        <w:rPr>
          <w:rFonts w:ascii="Century Schoolbook" w:hAnsi="Century Schoolbook"/>
          <w:iCs/>
          <w:szCs w:val="26"/>
        </w:rPr>
        <w:t xml:space="preserve">].)  </w:t>
      </w:r>
      <w:r w:rsidR="00C15DF6">
        <w:rPr>
          <w:rFonts w:ascii="Century Schoolbook" w:hAnsi="Century Schoolbook"/>
          <w:iCs/>
          <w:szCs w:val="26"/>
        </w:rPr>
        <w:t xml:space="preserve">Accordingly, the trial court properly </w:t>
      </w:r>
      <w:r w:rsidR="003B430A">
        <w:rPr>
          <w:rFonts w:ascii="Century Schoolbook" w:hAnsi="Century Schoolbook"/>
          <w:iCs/>
          <w:szCs w:val="26"/>
        </w:rPr>
        <w:t>evaluate</w:t>
      </w:r>
      <w:r w:rsidR="00A0014F">
        <w:rPr>
          <w:rFonts w:ascii="Century Schoolbook" w:hAnsi="Century Schoolbook"/>
          <w:iCs/>
          <w:szCs w:val="26"/>
        </w:rPr>
        <w:t>d</w:t>
      </w:r>
      <w:r w:rsidR="003B430A">
        <w:rPr>
          <w:rFonts w:ascii="Century Schoolbook" w:hAnsi="Century Schoolbook"/>
          <w:iCs/>
          <w:szCs w:val="26"/>
        </w:rPr>
        <w:t xml:space="preserve"> </w:t>
      </w:r>
      <w:r w:rsidR="008D5ED1">
        <w:rPr>
          <w:rFonts w:ascii="Century Schoolbook" w:hAnsi="Century Schoolbook"/>
          <w:iCs/>
          <w:szCs w:val="26"/>
        </w:rPr>
        <w:t xml:space="preserve">appellants’ </w:t>
      </w:r>
      <w:r w:rsidR="003B430A">
        <w:rPr>
          <w:rFonts w:ascii="Century Schoolbook" w:hAnsi="Century Schoolbook"/>
          <w:iCs/>
          <w:szCs w:val="26"/>
        </w:rPr>
        <w:t>claim</w:t>
      </w:r>
      <w:r w:rsidR="00A0014F">
        <w:rPr>
          <w:rFonts w:ascii="Century Schoolbook" w:hAnsi="Century Schoolbook"/>
          <w:iCs/>
          <w:szCs w:val="26"/>
        </w:rPr>
        <w:t>s</w:t>
      </w:r>
      <w:r w:rsidR="003B430A">
        <w:rPr>
          <w:rFonts w:ascii="Century Schoolbook" w:hAnsi="Century Schoolbook"/>
          <w:iCs/>
          <w:szCs w:val="26"/>
        </w:rPr>
        <w:t xml:space="preserve"> based on the complaint allegations, and </w:t>
      </w:r>
      <w:r w:rsidR="008D5ED1">
        <w:rPr>
          <w:rFonts w:ascii="Century Schoolbook" w:hAnsi="Century Schoolbook"/>
          <w:iCs/>
          <w:szCs w:val="26"/>
        </w:rPr>
        <w:t xml:space="preserve">appellants </w:t>
      </w:r>
      <w:r w:rsidR="003B430A">
        <w:rPr>
          <w:rFonts w:ascii="Century Schoolbook" w:hAnsi="Century Schoolbook"/>
          <w:iCs/>
          <w:szCs w:val="26"/>
        </w:rPr>
        <w:t xml:space="preserve">do not assert they ever sought to amend their complaint to conform to proof.  </w:t>
      </w:r>
    </w:p>
    <w:p w:rsidR="006B5F4C" w:rsidRPr="006B5F4C" w:rsidP="006B5F4C" w14:paraId="7FB7AD52" w14:textId="14A59ADA">
      <w:pPr>
        <w:spacing w:line="360" w:lineRule="auto"/>
        <w:rPr>
          <w:rFonts w:ascii="Century Schoolbook" w:hAnsi="Century Schoolbook"/>
          <w:b/>
          <w:bCs/>
          <w:iCs/>
          <w:szCs w:val="26"/>
        </w:rPr>
      </w:pPr>
      <w:r w:rsidRPr="006B5F4C">
        <w:rPr>
          <w:rFonts w:ascii="Century Schoolbook" w:hAnsi="Century Schoolbook"/>
          <w:b/>
          <w:bCs/>
          <w:iCs/>
          <w:szCs w:val="26"/>
        </w:rPr>
        <w:tab/>
      </w:r>
      <w:r w:rsidR="009B1800">
        <w:rPr>
          <w:rFonts w:ascii="Century Schoolbook" w:hAnsi="Century Schoolbook"/>
          <w:b/>
          <w:bCs/>
          <w:iCs/>
          <w:szCs w:val="26"/>
        </w:rPr>
        <w:t>C</w:t>
      </w:r>
      <w:r w:rsidRPr="006B5F4C">
        <w:rPr>
          <w:rFonts w:ascii="Century Schoolbook" w:hAnsi="Century Schoolbook"/>
          <w:b/>
          <w:bCs/>
          <w:iCs/>
          <w:szCs w:val="26"/>
        </w:rPr>
        <w:t>.</w:t>
      </w:r>
      <w:r>
        <w:rPr>
          <w:rFonts w:ascii="Century Schoolbook" w:hAnsi="Century Schoolbook"/>
          <w:b/>
          <w:bCs/>
          <w:iCs/>
          <w:szCs w:val="26"/>
        </w:rPr>
        <w:t xml:space="preserve">  Fall 2020 and Spring 2021 Semesters</w:t>
      </w:r>
    </w:p>
    <w:p w:rsidR="006B5F4C" w:rsidP="00741002" w14:paraId="3182BDCA" w14:textId="6D75DBA1">
      <w:pPr>
        <w:spacing w:line="360" w:lineRule="auto"/>
        <w:rPr>
          <w:rFonts w:ascii="Century Schoolbook" w:hAnsi="Century Schoolbook"/>
          <w:iCs/>
          <w:szCs w:val="26"/>
        </w:rPr>
      </w:pPr>
      <w:r>
        <w:rPr>
          <w:rFonts w:ascii="Century Schoolbook" w:hAnsi="Century Schoolbook"/>
          <w:iCs/>
          <w:szCs w:val="26"/>
        </w:rPr>
        <w:tab/>
        <w:t xml:space="preserve">In addition to contesting the switch from in-person to remote learning in the Spring 2020 semester, </w:t>
      </w:r>
      <w:r w:rsidR="008D5ED1">
        <w:rPr>
          <w:rFonts w:ascii="Century Schoolbook" w:hAnsi="Century Schoolbook"/>
          <w:iCs/>
          <w:szCs w:val="26"/>
        </w:rPr>
        <w:t xml:space="preserve">appellants </w:t>
      </w:r>
      <w:r w:rsidR="009443FF">
        <w:rPr>
          <w:rFonts w:ascii="Century Schoolbook" w:hAnsi="Century Schoolbook"/>
          <w:iCs/>
          <w:szCs w:val="26"/>
        </w:rPr>
        <w:t>assert they should receive tuition refunds for</w:t>
      </w:r>
      <w:r>
        <w:rPr>
          <w:rFonts w:ascii="Century Schoolbook" w:hAnsi="Century Schoolbook"/>
          <w:iCs/>
          <w:szCs w:val="26"/>
        </w:rPr>
        <w:t xml:space="preserve"> the ongoing remote instruction in the Fall 2020 and Spring 2021 semesters. </w:t>
      </w:r>
    </w:p>
    <w:p w:rsidR="006935A6" w:rsidP="00741002" w14:paraId="65E86A52" w14:textId="2FE407A3">
      <w:pPr>
        <w:spacing w:line="360" w:lineRule="auto"/>
        <w:rPr>
          <w:rFonts w:ascii="Century Schoolbook" w:hAnsi="Century Schoolbook"/>
          <w:iCs/>
          <w:szCs w:val="26"/>
        </w:rPr>
      </w:pPr>
      <w:r>
        <w:rPr>
          <w:rFonts w:ascii="Century Schoolbook" w:hAnsi="Century Schoolbook"/>
          <w:iCs/>
          <w:szCs w:val="26"/>
        </w:rPr>
        <w:tab/>
      </w:r>
      <w:r w:rsidR="002F0DD6">
        <w:rPr>
          <w:rFonts w:ascii="Century Schoolbook" w:hAnsi="Century Schoolbook"/>
          <w:iCs/>
          <w:szCs w:val="26"/>
        </w:rPr>
        <w:t xml:space="preserve">As </w:t>
      </w:r>
      <w:r w:rsidR="008D5ED1">
        <w:rPr>
          <w:rFonts w:ascii="Century Schoolbook" w:hAnsi="Century Schoolbook"/>
          <w:iCs/>
          <w:szCs w:val="26"/>
        </w:rPr>
        <w:t>USF</w:t>
      </w:r>
      <w:r w:rsidRPr="009443FF">
        <w:rPr>
          <w:rFonts w:ascii="Century Schoolbook" w:hAnsi="Century Schoolbook"/>
          <w:iCs/>
          <w:szCs w:val="26"/>
        </w:rPr>
        <w:t xml:space="preserve"> correctly note</w:t>
      </w:r>
      <w:r w:rsidR="008D5ED1">
        <w:rPr>
          <w:rFonts w:ascii="Century Schoolbook" w:hAnsi="Century Schoolbook"/>
          <w:iCs/>
          <w:szCs w:val="26"/>
        </w:rPr>
        <w:t>s</w:t>
      </w:r>
      <w:r w:rsidRPr="009443FF">
        <w:rPr>
          <w:rFonts w:ascii="Century Schoolbook" w:hAnsi="Century Schoolbook"/>
          <w:iCs/>
          <w:szCs w:val="26"/>
        </w:rPr>
        <w:t xml:space="preserve">, </w:t>
      </w:r>
      <w:r w:rsidR="008D5ED1">
        <w:rPr>
          <w:rFonts w:ascii="Century Schoolbook" w:hAnsi="Century Schoolbook"/>
          <w:iCs/>
          <w:szCs w:val="26"/>
        </w:rPr>
        <w:t xml:space="preserve">appellants </w:t>
      </w:r>
      <w:r>
        <w:rPr>
          <w:rFonts w:ascii="Century Schoolbook" w:hAnsi="Century Schoolbook"/>
          <w:iCs/>
          <w:szCs w:val="26"/>
        </w:rPr>
        <w:t xml:space="preserve">were aware these semesters would be conducted either entirely remotely or in a hybrid format prior to enrolling or paying tuition for those semesters. </w:t>
      </w:r>
      <w:r w:rsidRPr="009443FF">
        <w:rPr>
          <w:rFonts w:ascii="Century Schoolbook" w:hAnsi="Century Schoolbook"/>
          <w:iCs/>
          <w:szCs w:val="26"/>
        </w:rPr>
        <w:t xml:space="preserve"> </w:t>
      </w:r>
      <w:r w:rsidR="00F6745B">
        <w:rPr>
          <w:rFonts w:ascii="Century Schoolbook" w:hAnsi="Century Schoolbook"/>
          <w:iCs/>
          <w:szCs w:val="26"/>
        </w:rPr>
        <w:t xml:space="preserve">In May 2020, USF alerted students of the possibility that the Fall 2020 semester would be either remote or a hybrid format. </w:t>
      </w:r>
      <w:r w:rsidR="00806DE0">
        <w:rPr>
          <w:rFonts w:ascii="Century Schoolbook" w:hAnsi="Century Schoolbook"/>
          <w:iCs/>
          <w:szCs w:val="26"/>
        </w:rPr>
        <w:t xml:space="preserve"> </w:t>
      </w:r>
      <w:r w:rsidR="00F6745B">
        <w:rPr>
          <w:rFonts w:ascii="Century Schoolbook" w:hAnsi="Century Schoolbook"/>
          <w:iCs/>
          <w:szCs w:val="26"/>
        </w:rPr>
        <w:t xml:space="preserve">In </w:t>
      </w:r>
      <w:r>
        <w:rPr>
          <w:rFonts w:ascii="Century Schoolbook" w:hAnsi="Century Schoolbook"/>
          <w:iCs/>
          <w:szCs w:val="26"/>
        </w:rPr>
        <w:t>July</w:t>
      </w:r>
      <w:r w:rsidR="00F6745B">
        <w:rPr>
          <w:rFonts w:ascii="Century Schoolbook" w:hAnsi="Century Schoolbook"/>
          <w:iCs/>
          <w:szCs w:val="26"/>
        </w:rPr>
        <w:t xml:space="preserve"> 2020, USF informed students the Fall 2020 semester would primarily be remote. </w:t>
      </w:r>
      <w:r w:rsidR="00806DE0">
        <w:rPr>
          <w:rFonts w:ascii="Century Schoolbook" w:hAnsi="Century Schoolbook"/>
          <w:iCs/>
          <w:szCs w:val="26"/>
        </w:rPr>
        <w:t xml:space="preserve"> </w:t>
      </w:r>
      <w:r w:rsidR="00F6745B">
        <w:rPr>
          <w:rFonts w:ascii="Century Schoolbook" w:hAnsi="Century Schoolbook"/>
          <w:iCs/>
          <w:szCs w:val="26"/>
        </w:rPr>
        <w:t xml:space="preserve">Tuition for that semester was not due until August 2020. </w:t>
      </w:r>
      <w:r w:rsidR="00806DE0">
        <w:rPr>
          <w:rFonts w:ascii="Century Schoolbook" w:hAnsi="Century Schoolbook"/>
          <w:iCs/>
          <w:szCs w:val="26"/>
        </w:rPr>
        <w:t xml:space="preserve"> </w:t>
      </w:r>
      <w:r w:rsidR="00F6745B">
        <w:rPr>
          <w:rFonts w:ascii="Century Schoolbook" w:hAnsi="Century Schoolbook"/>
          <w:iCs/>
          <w:szCs w:val="26"/>
        </w:rPr>
        <w:t xml:space="preserve">Similar information was provided in advance of the Spring 2021 semester. </w:t>
      </w:r>
      <w:r w:rsidR="00806DE0">
        <w:rPr>
          <w:rFonts w:ascii="Century Schoolbook" w:hAnsi="Century Schoolbook"/>
          <w:iCs/>
          <w:szCs w:val="26"/>
        </w:rPr>
        <w:t xml:space="preserve"> </w:t>
      </w:r>
      <w:r w:rsidR="00F6745B">
        <w:rPr>
          <w:rFonts w:ascii="Century Schoolbook" w:hAnsi="Century Schoolbook"/>
          <w:iCs/>
          <w:szCs w:val="26"/>
        </w:rPr>
        <w:t xml:space="preserve">Accordingly, </w:t>
      </w:r>
      <w:r w:rsidR="008D5ED1">
        <w:rPr>
          <w:rFonts w:ascii="Century Schoolbook" w:hAnsi="Century Schoolbook"/>
          <w:iCs/>
          <w:szCs w:val="26"/>
        </w:rPr>
        <w:t>appellants</w:t>
      </w:r>
      <w:r w:rsidRPr="009443FF" w:rsidR="008D5ED1">
        <w:rPr>
          <w:rFonts w:ascii="Century Schoolbook" w:hAnsi="Century Schoolbook"/>
          <w:iCs/>
          <w:szCs w:val="26"/>
        </w:rPr>
        <w:t xml:space="preserve"> </w:t>
      </w:r>
      <w:r w:rsidRPr="009443FF">
        <w:rPr>
          <w:rFonts w:ascii="Century Schoolbook" w:hAnsi="Century Schoolbook"/>
          <w:iCs/>
          <w:szCs w:val="26"/>
        </w:rPr>
        <w:t xml:space="preserve">could not reasonably have believed </w:t>
      </w:r>
      <w:r>
        <w:rPr>
          <w:rFonts w:ascii="Century Schoolbook" w:hAnsi="Century Schoolbook"/>
          <w:iCs/>
          <w:szCs w:val="26"/>
        </w:rPr>
        <w:t xml:space="preserve">USF contractually promised to provide </w:t>
      </w:r>
      <w:r w:rsidRPr="009443FF">
        <w:rPr>
          <w:rFonts w:ascii="Century Schoolbook" w:hAnsi="Century Schoolbook"/>
          <w:iCs/>
          <w:szCs w:val="26"/>
        </w:rPr>
        <w:t xml:space="preserve">an in-person education for the Fall 2020 </w:t>
      </w:r>
      <w:r w:rsidR="00F6745B">
        <w:rPr>
          <w:rFonts w:ascii="Century Schoolbook" w:hAnsi="Century Schoolbook"/>
          <w:iCs/>
          <w:szCs w:val="26"/>
        </w:rPr>
        <w:t xml:space="preserve">and Spring 2021 </w:t>
      </w:r>
      <w:r w:rsidRPr="009443FF">
        <w:rPr>
          <w:rFonts w:ascii="Century Schoolbook" w:hAnsi="Century Schoolbook"/>
          <w:iCs/>
          <w:szCs w:val="26"/>
        </w:rPr>
        <w:t>semester</w:t>
      </w:r>
      <w:r w:rsidR="00F6745B">
        <w:rPr>
          <w:rFonts w:ascii="Century Schoolbook" w:hAnsi="Century Schoolbook"/>
          <w:iCs/>
          <w:szCs w:val="26"/>
        </w:rPr>
        <w:t>s</w:t>
      </w:r>
      <w:r w:rsidRPr="009443FF">
        <w:rPr>
          <w:rFonts w:ascii="Century Schoolbook" w:hAnsi="Century Schoolbook"/>
          <w:iCs/>
          <w:szCs w:val="26"/>
        </w:rPr>
        <w:t>.</w:t>
      </w:r>
      <w:r w:rsidR="00F6745B">
        <w:rPr>
          <w:rFonts w:ascii="Century Schoolbook" w:hAnsi="Century Schoolbook"/>
          <w:iCs/>
          <w:szCs w:val="26"/>
        </w:rPr>
        <w:t xml:space="preserve">  </w:t>
      </w:r>
    </w:p>
    <w:p w:rsidR="006B5F4C" w:rsidP="00741002" w14:paraId="2BB10655" w14:textId="2B934D9E">
      <w:pPr>
        <w:spacing w:line="360" w:lineRule="auto"/>
        <w:rPr>
          <w:rFonts w:ascii="Century Schoolbook" w:hAnsi="Century Schoolbook"/>
          <w:iCs/>
          <w:szCs w:val="26"/>
        </w:rPr>
      </w:pPr>
      <w:r>
        <w:rPr>
          <w:rFonts w:ascii="Century Schoolbook" w:hAnsi="Century Schoolbook"/>
          <w:iCs/>
          <w:szCs w:val="26"/>
        </w:rPr>
        <w:tab/>
      </w:r>
      <w:r w:rsidR="00F6745B">
        <w:rPr>
          <w:rFonts w:ascii="Century Schoolbook" w:hAnsi="Century Schoolbook"/>
          <w:iCs/>
          <w:szCs w:val="26"/>
        </w:rPr>
        <w:t xml:space="preserve">While </w:t>
      </w:r>
      <w:r w:rsidR="008D5ED1">
        <w:rPr>
          <w:rFonts w:ascii="Century Schoolbook" w:hAnsi="Century Schoolbook"/>
          <w:iCs/>
          <w:szCs w:val="26"/>
        </w:rPr>
        <w:t xml:space="preserve">appellants </w:t>
      </w:r>
      <w:r w:rsidR="00F6745B">
        <w:rPr>
          <w:rFonts w:ascii="Century Schoolbook" w:hAnsi="Century Schoolbook"/>
          <w:iCs/>
          <w:szCs w:val="26"/>
        </w:rPr>
        <w:t>contend it would have been disruptive to pause their education or transfer to a different university</w:t>
      </w:r>
      <w:r w:rsidR="00806DE0">
        <w:rPr>
          <w:rFonts w:ascii="Century Schoolbook" w:hAnsi="Century Schoolbook"/>
          <w:iCs/>
          <w:szCs w:val="26"/>
        </w:rPr>
        <w:t>,</w:t>
      </w:r>
      <w:r w:rsidR="00F6745B">
        <w:rPr>
          <w:rFonts w:ascii="Century Schoolbook" w:hAnsi="Century Schoolbook"/>
          <w:iCs/>
          <w:szCs w:val="26"/>
        </w:rPr>
        <w:t xml:space="preserve"> their breach of contract claim fails because they have not identified any contract with USF for in-person instruction during those semesters.  </w:t>
      </w:r>
    </w:p>
    <w:p w:rsidR="00A60AC1" w:rsidRPr="00A60AC1" w:rsidP="00741002" w14:paraId="246DE455" w14:textId="594B1304">
      <w:pPr>
        <w:spacing w:line="360" w:lineRule="auto"/>
        <w:rPr>
          <w:rFonts w:ascii="Century Schoolbook" w:hAnsi="Century Schoolbook"/>
          <w:b/>
          <w:bCs/>
          <w:iCs/>
          <w:szCs w:val="26"/>
        </w:rPr>
      </w:pPr>
      <w:r>
        <w:rPr>
          <w:rFonts w:ascii="Century Schoolbook" w:hAnsi="Century Schoolbook"/>
          <w:iCs/>
          <w:szCs w:val="26"/>
        </w:rPr>
        <w:tab/>
      </w:r>
      <w:r w:rsidR="009B1800">
        <w:rPr>
          <w:rFonts w:ascii="Century Schoolbook" w:hAnsi="Century Schoolbook"/>
          <w:b/>
          <w:bCs/>
          <w:iCs/>
          <w:szCs w:val="26"/>
        </w:rPr>
        <w:t>D</w:t>
      </w:r>
      <w:r>
        <w:rPr>
          <w:rFonts w:ascii="Century Schoolbook" w:hAnsi="Century Schoolbook"/>
          <w:b/>
          <w:bCs/>
          <w:iCs/>
          <w:szCs w:val="26"/>
        </w:rPr>
        <w:t>.  Implied Covenant of Good Faith and Fair Dealing</w:t>
      </w:r>
    </w:p>
    <w:p w:rsidR="00B334B6" w:rsidRPr="000C1C06" w:rsidP="00741002" w14:paraId="5A272CCE" w14:textId="07B5EBF8">
      <w:pPr>
        <w:spacing w:line="360" w:lineRule="auto"/>
        <w:rPr>
          <w:rFonts w:ascii="Century Schoolbook" w:hAnsi="Century Schoolbook"/>
          <w:iCs/>
          <w:szCs w:val="26"/>
        </w:rPr>
      </w:pPr>
      <w:r>
        <w:rPr>
          <w:rFonts w:ascii="Century Schoolbook" w:hAnsi="Century Schoolbook"/>
          <w:iCs/>
          <w:szCs w:val="26"/>
        </w:rPr>
        <w:tab/>
      </w:r>
      <w:r w:rsidRPr="00B334B6">
        <w:rPr>
          <w:rFonts w:ascii="Century Schoolbook" w:hAnsi="Century Schoolbook"/>
          <w:iCs/>
          <w:szCs w:val="26"/>
        </w:rPr>
        <w:t>“</w:t>
      </w:r>
      <w:r>
        <w:rPr>
          <w:rFonts w:ascii="Century Schoolbook" w:hAnsi="Century Schoolbook"/>
          <w:iCs/>
          <w:szCs w:val="26"/>
        </w:rPr>
        <w:t>T</w:t>
      </w:r>
      <w:r w:rsidRPr="00B334B6">
        <w:rPr>
          <w:rFonts w:ascii="Century Schoolbook" w:hAnsi="Century Schoolbook"/>
          <w:iCs/>
          <w:szCs w:val="26"/>
        </w:rPr>
        <w:t>he covenant of good faith is read into contracts in order to protect the express covenants or promises of the contract, not to protect some general public policy interest not directly tied to the contract</w:t>
      </w:r>
      <w:r w:rsidR="00A31847">
        <w:rPr>
          <w:rFonts w:ascii="Century Schoolbook" w:hAnsi="Century Schoolbook"/>
          <w:iCs/>
          <w:szCs w:val="26"/>
        </w:rPr>
        <w:t>’</w:t>
      </w:r>
      <w:r w:rsidRPr="00B334B6">
        <w:rPr>
          <w:rFonts w:ascii="Century Schoolbook" w:hAnsi="Century Schoolbook"/>
          <w:iCs/>
          <w:szCs w:val="26"/>
        </w:rPr>
        <w:t xml:space="preserve">s purposes.” </w:t>
      </w:r>
      <w:r>
        <w:rPr>
          <w:rFonts w:ascii="Century Schoolbook" w:hAnsi="Century Schoolbook"/>
          <w:iCs/>
          <w:szCs w:val="26"/>
        </w:rPr>
        <w:t xml:space="preserve"> </w:t>
      </w:r>
      <w:r w:rsidRPr="00B334B6">
        <w:rPr>
          <w:rFonts w:ascii="Century Schoolbook" w:hAnsi="Century Schoolbook"/>
          <w:iCs/>
          <w:szCs w:val="26"/>
        </w:rPr>
        <w:t>(</w:t>
      </w:r>
      <w:r w:rsidRPr="00B334B6">
        <w:rPr>
          <w:rFonts w:ascii="Century Schoolbook" w:hAnsi="Century Schoolbook"/>
          <w:i/>
          <w:szCs w:val="26"/>
        </w:rPr>
        <w:t>Foley v. Interactive Data Corp</w:t>
      </w:r>
      <w:r w:rsidRPr="00B334B6">
        <w:rPr>
          <w:rFonts w:ascii="Century Schoolbook" w:hAnsi="Century Schoolbook"/>
          <w:iCs/>
          <w:szCs w:val="26"/>
        </w:rPr>
        <w:t>.</w:t>
      </w:r>
      <w:r w:rsidR="00D56E3E">
        <w:rPr>
          <w:rFonts w:ascii="Century Schoolbook" w:hAnsi="Century Schoolbook"/>
          <w:iCs/>
          <w:szCs w:val="26"/>
        </w:rPr>
        <w:t xml:space="preserve">, </w:t>
      </w:r>
      <w:r w:rsidRPr="00342532" w:rsidR="00D56E3E">
        <w:rPr>
          <w:rFonts w:ascii="Century Schoolbook" w:hAnsi="Century Schoolbook"/>
          <w:i/>
          <w:szCs w:val="26"/>
        </w:rPr>
        <w:t>supra</w:t>
      </w:r>
      <w:r w:rsidR="00D56E3E">
        <w:rPr>
          <w:rFonts w:ascii="Century Schoolbook" w:hAnsi="Century Schoolbook"/>
          <w:iCs/>
          <w:szCs w:val="26"/>
        </w:rPr>
        <w:t>,</w:t>
      </w:r>
      <w:r w:rsidRPr="00B334B6">
        <w:rPr>
          <w:rFonts w:ascii="Century Schoolbook" w:hAnsi="Century Schoolbook"/>
          <w:iCs/>
          <w:szCs w:val="26"/>
        </w:rPr>
        <w:t xml:space="preserve"> 47 Cal.3d </w:t>
      </w:r>
      <w:r w:rsidR="00D56E3E">
        <w:rPr>
          <w:rFonts w:ascii="Century Schoolbook" w:hAnsi="Century Schoolbook"/>
          <w:iCs/>
          <w:szCs w:val="26"/>
        </w:rPr>
        <w:t>at</w:t>
      </w:r>
      <w:r w:rsidRPr="00B334B6">
        <w:rPr>
          <w:rFonts w:ascii="Century Schoolbook" w:hAnsi="Century Schoolbook"/>
          <w:iCs/>
          <w:szCs w:val="26"/>
        </w:rPr>
        <w:t xml:space="preserve"> </w:t>
      </w:r>
      <w:r w:rsidR="00D56E3E">
        <w:rPr>
          <w:rFonts w:ascii="Century Schoolbook" w:hAnsi="Century Schoolbook"/>
          <w:iCs/>
          <w:szCs w:val="26"/>
        </w:rPr>
        <w:t>p. </w:t>
      </w:r>
      <w:r w:rsidRPr="00B334B6">
        <w:rPr>
          <w:rFonts w:ascii="Century Schoolbook" w:hAnsi="Century Schoolbook"/>
          <w:iCs/>
          <w:szCs w:val="26"/>
        </w:rPr>
        <w:t xml:space="preserve">690.) </w:t>
      </w:r>
      <w:r>
        <w:rPr>
          <w:rFonts w:ascii="Century Schoolbook" w:hAnsi="Century Schoolbook"/>
          <w:iCs/>
          <w:szCs w:val="26"/>
        </w:rPr>
        <w:t xml:space="preserve"> </w:t>
      </w:r>
      <w:r w:rsidRPr="00B334B6">
        <w:rPr>
          <w:rFonts w:ascii="Century Schoolbook" w:hAnsi="Century Schoolbook"/>
          <w:iCs/>
          <w:szCs w:val="26"/>
        </w:rPr>
        <w:t xml:space="preserve">“Without a contractual relationship, [a plaintiff] cannot state a cause of action for breach of the implied covenant.” </w:t>
      </w:r>
      <w:r>
        <w:rPr>
          <w:rFonts w:ascii="Century Schoolbook" w:hAnsi="Century Schoolbook"/>
          <w:iCs/>
          <w:szCs w:val="26"/>
        </w:rPr>
        <w:t xml:space="preserve"> </w:t>
      </w:r>
      <w:r w:rsidRPr="00B334B6">
        <w:rPr>
          <w:rFonts w:ascii="Century Schoolbook" w:hAnsi="Century Schoolbook"/>
          <w:iCs/>
          <w:szCs w:val="26"/>
        </w:rPr>
        <w:t>(</w:t>
      </w:r>
      <w:r w:rsidRPr="00B334B6">
        <w:rPr>
          <w:rFonts w:ascii="Century Schoolbook" w:hAnsi="Century Schoolbook"/>
          <w:i/>
          <w:szCs w:val="26"/>
        </w:rPr>
        <w:t>Smith v. City and County of San Francisco</w:t>
      </w:r>
      <w:r w:rsidRPr="00B334B6">
        <w:rPr>
          <w:rFonts w:ascii="Century Schoolbook" w:hAnsi="Century Schoolbook"/>
          <w:iCs/>
          <w:szCs w:val="26"/>
        </w:rPr>
        <w:t xml:space="preserve"> (1990) 225 Cal.App.3d 38, 49.) </w:t>
      </w:r>
      <w:r>
        <w:rPr>
          <w:rFonts w:ascii="Century Schoolbook" w:hAnsi="Century Schoolbook"/>
          <w:iCs/>
          <w:szCs w:val="26"/>
        </w:rPr>
        <w:t xml:space="preserve"> </w:t>
      </w:r>
      <w:r w:rsidRPr="00B334B6">
        <w:rPr>
          <w:rFonts w:ascii="Century Schoolbook" w:hAnsi="Century Schoolbook"/>
          <w:iCs/>
          <w:szCs w:val="26"/>
        </w:rPr>
        <w:t xml:space="preserve">“In essence, the covenant is implied as a </w:t>
      </w:r>
      <w:r w:rsidRPr="00D537AF">
        <w:rPr>
          <w:rFonts w:ascii="Century Schoolbook" w:hAnsi="Century Schoolbook"/>
          <w:i/>
          <w:szCs w:val="26"/>
        </w:rPr>
        <w:t>supplement</w:t>
      </w:r>
      <w:r w:rsidRPr="00B334B6">
        <w:rPr>
          <w:rFonts w:ascii="Century Schoolbook" w:hAnsi="Century Schoolbook"/>
          <w:iCs/>
          <w:szCs w:val="26"/>
        </w:rPr>
        <w:t xml:space="preserve"> to the express contractual covenants, to prevent a contracting party from engaging in conduct which (while not technically transgressing the express covenants) frustrates the other party</w:t>
      </w:r>
      <w:r>
        <w:rPr>
          <w:rFonts w:ascii="Century Schoolbook" w:hAnsi="Century Schoolbook"/>
          <w:iCs/>
          <w:szCs w:val="26"/>
        </w:rPr>
        <w:t>’</w:t>
      </w:r>
      <w:r w:rsidRPr="00B334B6">
        <w:rPr>
          <w:rFonts w:ascii="Century Schoolbook" w:hAnsi="Century Schoolbook"/>
          <w:iCs/>
          <w:szCs w:val="26"/>
        </w:rPr>
        <w:t>s rights to the benefits of the contract.”</w:t>
      </w:r>
      <w:r>
        <w:rPr>
          <w:rFonts w:ascii="Century Schoolbook" w:hAnsi="Century Schoolbook"/>
          <w:iCs/>
          <w:szCs w:val="26"/>
        </w:rPr>
        <w:t xml:space="preserve"> </w:t>
      </w:r>
      <w:r w:rsidRPr="00B334B6">
        <w:rPr>
          <w:rFonts w:ascii="Century Schoolbook" w:hAnsi="Century Schoolbook"/>
          <w:iCs/>
          <w:szCs w:val="26"/>
        </w:rPr>
        <w:t xml:space="preserve"> (</w:t>
      </w:r>
      <w:r w:rsidRPr="00B334B6">
        <w:rPr>
          <w:rFonts w:ascii="Century Schoolbook" w:hAnsi="Century Schoolbook"/>
          <w:i/>
          <w:szCs w:val="26"/>
        </w:rPr>
        <w:t>Love v. Fire Ins. Exchange</w:t>
      </w:r>
      <w:r w:rsidRPr="00B334B6">
        <w:rPr>
          <w:rFonts w:ascii="Century Schoolbook" w:hAnsi="Century Schoolbook"/>
          <w:iCs/>
          <w:szCs w:val="26"/>
        </w:rPr>
        <w:t xml:space="preserve"> (1990) 221 Cal.App.3d 1136, 1153.)</w:t>
      </w:r>
      <w:r>
        <w:rPr>
          <w:rFonts w:ascii="Century Schoolbook" w:hAnsi="Century Schoolbook"/>
          <w:iCs/>
          <w:szCs w:val="26"/>
        </w:rPr>
        <w:t xml:space="preserve">  </w:t>
      </w:r>
      <w:r w:rsidR="000C1C06">
        <w:rPr>
          <w:rFonts w:ascii="Century Schoolbook" w:hAnsi="Century Schoolbook"/>
          <w:iCs/>
          <w:szCs w:val="26"/>
        </w:rPr>
        <w:t>It</w:t>
      </w:r>
      <w:r w:rsidR="00001581">
        <w:rPr>
          <w:rFonts w:ascii="Century Schoolbook" w:hAnsi="Century Schoolbook"/>
          <w:iCs/>
          <w:szCs w:val="26"/>
        </w:rPr>
        <w:t xml:space="preserve"> </w:t>
      </w:r>
      <w:r w:rsidR="000C1C06">
        <w:rPr>
          <w:rFonts w:ascii="Century Schoolbook" w:hAnsi="Century Schoolbook"/>
          <w:iCs/>
          <w:szCs w:val="26"/>
        </w:rPr>
        <w:t>“c</w:t>
      </w:r>
      <w:r w:rsidRPr="000C1C06" w:rsidR="000C1C06">
        <w:rPr>
          <w:rFonts w:ascii="Century Schoolbook" w:hAnsi="Century Schoolbook"/>
          <w:iCs/>
          <w:szCs w:val="26"/>
        </w:rPr>
        <w:t>annot impose substantive duties or limits on the contracting parties beyond those incorporated in the specific terms of their agreement.</w:t>
      </w:r>
      <w:r w:rsidR="000C1C06">
        <w:rPr>
          <w:rFonts w:ascii="Century Schoolbook" w:hAnsi="Century Schoolbook"/>
          <w:iCs/>
          <w:szCs w:val="26"/>
        </w:rPr>
        <w:t xml:space="preserve">” </w:t>
      </w:r>
      <w:r w:rsidRPr="000C1C06" w:rsidR="000C1C06">
        <w:rPr>
          <w:rFonts w:ascii="Century Schoolbook" w:hAnsi="Century Schoolbook"/>
          <w:iCs/>
          <w:szCs w:val="26"/>
        </w:rPr>
        <w:t xml:space="preserve"> </w:t>
      </w:r>
      <w:r w:rsidR="000C1C06">
        <w:rPr>
          <w:rFonts w:ascii="Century Schoolbook" w:hAnsi="Century Schoolbook"/>
          <w:iCs/>
          <w:szCs w:val="26"/>
        </w:rPr>
        <w:t>(</w:t>
      </w:r>
      <w:r w:rsidR="000C1C06">
        <w:rPr>
          <w:rFonts w:ascii="Century Schoolbook" w:hAnsi="Century Schoolbook"/>
          <w:i/>
          <w:szCs w:val="26"/>
        </w:rPr>
        <w:t>G</w:t>
      </w:r>
      <w:r w:rsidR="00A31847">
        <w:rPr>
          <w:rFonts w:ascii="Century Schoolbook" w:hAnsi="Century Schoolbook"/>
          <w:i/>
          <w:szCs w:val="26"/>
        </w:rPr>
        <w:t>uz</w:t>
      </w:r>
      <w:r w:rsidR="000C1C06">
        <w:rPr>
          <w:rFonts w:ascii="Century Schoolbook" w:hAnsi="Century Schoolbook"/>
          <w:i/>
          <w:szCs w:val="26"/>
        </w:rPr>
        <w:t xml:space="preserve"> v. Bechtel Nat. Inc. </w:t>
      </w:r>
      <w:r w:rsidR="000C1C06">
        <w:rPr>
          <w:rFonts w:ascii="Century Schoolbook" w:hAnsi="Century Schoolbook"/>
          <w:iCs/>
          <w:szCs w:val="26"/>
        </w:rPr>
        <w:t>(2000) 24 Cal.4th 317, 349–350.)</w:t>
      </w:r>
    </w:p>
    <w:p w:rsidR="00B334B6" w:rsidP="00741002" w14:paraId="6A8A9B7F" w14:textId="4C8A1E7C">
      <w:pPr>
        <w:spacing w:line="360" w:lineRule="auto"/>
        <w:rPr>
          <w:rFonts w:ascii="Century Schoolbook" w:hAnsi="Century Schoolbook"/>
          <w:iCs/>
          <w:szCs w:val="26"/>
        </w:rPr>
      </w:pPr>
      <w:r>
        <w:rPr>
          <w:rFonts w:ascii="Century Schoolbook" w:hAnsi="Century Schoolbook"/>
          <w:iCs/>
          <w:szCs w:val="26"/>
        </w:rPr>
        <w:tab/>
      </w:r>
      <w:r w:rsidR="006B5F4C">
        <w:rPr>
          <w:rFonts w:ascii="Century Schoolbook" w:hAnsi="Century Schoolbook"/>
          <w:iCs/>
          <w:szCs w:val="26"/>
        </w:rPr>
        <w:t xml:space="preserve">As discussed above, the evidence does not </w:t>
      </w:r>
      <w:r w:rsidR="006935A6">
        <w:rPr>
          <w:rFonts w:ascii="Century Schoolbook" w:hAnsi="Century Schoolbook"/>
          <w:iCs/>
          <w:szCs w:val="26"/>
        </w:rPr>
        <w:t>raise a triable issue of fact as to whether</w:t>
      </w:r>
      <w:r w:rsidR="006B5F4C">
        <w:rPr>
          <w:rFonts w:ascii="Century Schoolbook" w:hAnsi="Century Schoolbook"/>
          <w:iCs/>
          <w:szCs w:val="26"/>
        </w:rPr>
        <w:t xml:space="preserve"> the parties entered into an agreement for USF to provide exclusively in-person instruction under the circumstances of a global pandemic.  USF’s switch from in-person to remote instruction</w:t>
      </w:r>
      <w:r w:rsidR="006935A6">
        <w:rPr>
          <w:rFonts w:ascii="Century Schoolbook" w:hAnsi="Century Schoolbook"/>
          <w:iCs/>
          <w:szCs w:val="26"/>
        </w:rPr>
        <w:t>,</w:t>
      </w:r>
      <w:r w:rsidR="006B5F4C">
        <w:rPr>
          <w:rFonts w:ascii="Century Schoolbook" w:hAnsi="Century Schoolbook"/>
          <w:iCs/>
          <w:szCs w:val="26"/>
        </w:rPr>
        <w:t xml:space="preserve"> as required by state and local stay-at-home orders</w:t>
      </w:r>
      <w:r w:rsidR="006935A6">
        <w:rPr>
          <w:rFonts w:ascii="Century Schoolbook" w:hAnsi="Century Schoolbook"/>
          <w:iCs/>
          <w:szCs w:val="26"/>
        </w:rPr>
        <w:t>,</w:t>
      </w:r>
      <w:r w:rsidR="006B5F4C">
        <w:rPr>
          <w:rFonts w:ascii="Century Schoolbook" w:hAnsi="Century Schoolbook"/>
          <w:iCs/>
          <w:szCs w:val="26"/>
        </w:rPr>
        <w:t xml:space="preserve"> did not frustrate </w:t>
      </w:r>
      <w:r w:rsidR="008D5ED1">
        <w:rPr>
          <w:rFonts w:ascii="Century Schoolbook" w:hAnsi="Century Schoolbook"/>
          <w:iCs/>
          <w:szCs w:val="26"/>
        </w:rPr>
        <w:t>appellants</w:t>
      </w:r>
      <w:r w:rsidR="006B5F4C">
        <w:rPr>
          <w:rFonts w:ascii="Century Schoolbook" w:hAnsi="Century Schoolbook"/>
          <w:iCs/>
          <w:szCs w:val="26"/>
        </w:rPr>
        <w:t>’ rights to any contract benefits and thus did not violate the implied covenant of good faith and fair dealing.</w:t>
      </w:r>
    </w:p>
    <w:p w:rsidR="00385CAE" w:rsidRPr="00D537AF" w:rsidP="001E14DD" w14:paraId="60C90AAF" w14:textId="04C76E97">
      <w:pPr>
        <w:keepNext/>
        <w:spacing w:line="360" w:lineRule="auto"/>
        <w:rPr>
          <w:rFonts w:ascii="Century Schoolbook" w:hAnsi="Century Schoolbook"/>
          <w:b/>
          <w:bCs/>
          <w:iCs/>
          <w:szCs w:val="26"/>
        </w:rPr>
      </w:pPr>
      <w:r w:rsidRPr="00D537AF">
        <w:rPr>
          <w:rFonts w:ascii="Century Schoolbook" w:hAnsi="Century Schoolbook"/>
          <w:b/>
          <w:bCs/>
          <w:iCs/>
          <w:szCs w:val="26"/>
        </w:rPr>
        <w:t>III</w:t>
      </w:r>
      <w:r w:rsidRPr="00D537AF" w:rsidR="00D91133">
        <w:rPr>
          <w:rFonts w:ascii="Century Schoolbook" w:hAnsi="Century Schoolbook"/>
          <w:b/>
          <w:bCs/>
          <w:iCs/>
          <w:szCs w:val="26"/>
        </w:rPr>
        <w:t xml:space="preserve">.  </w:t>
      </w:r>
      <w:r w:rsidRPr="00D537AF" w:rsidR="008D5ED1">
        <w:rPr>
          <w:rFonts w:ascii="Century Schoolbook" w:hAnsi="Century Schoolbook"/>
          <w:b/>
          <w:bCs/>
          <w:iCs/>
          <w:szCs w:val="26"/>
        </w:rPr>
        <w:t>Appellants’</w:t>
      </w:r>
      <w:r w:rsidRPr="00D537AF">
        <w:rPr>
          <w:rFonts w:ascii="Century Schoolbook" w:hAnsi="Century Schoolbook"/>
          <w:b/>
          <w:bCs/>
          <w:iCs/>
          <w:szCs w:val="26"/>
        </w:rPr>
        <w:t xml:space="preserve"> Remaining Claims</w:t>
      </w:r>
    </w:p>
    <w:p w:rsidR="00385CAE" w:rsidRPr="00385CAE" w:rsidP="00741002" w14:paraId="5C087C97" w14:textId="4C02600C">
      <w:pPr>
        <w:spacing w:line="360" w:lineRule="auto"/>
        <w:rPr>
          <w:rFonts w:ascii="Century Schoolbook" w:hAnsi="Century Schoolbook"/>
          <w:iCs/>
          <w:szCs w:val="26"/>
        </w:rPr>
      </w:pPr>
      <w:r>
        <w:rPr>
          <w:rFonts w:ascii="Century Schoolbook" w:hAnsi="Century Schoolbook"/>
          <w:iCs/>
          <w:szCs w:val="26"/>
        </w:rPr>
        <w:tab/>
      </w:r>
      <w:r w:rsidR="008D5ED1">
        <w:rPr>
          <w:rFonts w:ascii="Century Schoolbook" w:hAnsi="Century Schoolbook"/>
          <w:iCs/>
          <w:szCs w:val="26"/>
        </w:rPr>
        <w:t>Appellants</w:t>
      </w:r>
      <w:r>
        <w:rPr>
          <w:rFonts w:ascii="Century Schoolbook" w:hAnsi="Century Schoolbook"/>
          <w:iCs/>
          <w:szCs w:val="26"/>
        </w:rPr>
        <w:t xml:space="preserve"> </w:t>
      </w:r>
      <w:r w:rsidR="006935A6">
        <w:rPr>
          <w:rFonts w:ascii="Century Schoolbook" w:hAnsi="Century Schoolbook"/>
          <w:iCs/>
          <w:szCs w:val="26"/>
        </w:rPr>
        <w:t>also challenge</w:t>
      </w:r>
      <w:r>
        <w:rPr>
          <w:rFonts w:ascii="Century Schoolbook" w:hAnsi="Century Schoolbook"/>
          <w:iCs/>
          <w:szCs w:val="26"/>
        </w:rPr>
        <w:t xml:space="preserve"> the trial court</w:t>
      </w:r>
      <w:r w:rsidR="006935A6">
        <w:rPr>
          <w:rFonts w:ascii="Century Schoolbook" w:hAnsi="Century Schoolbook"/>
          <w:iCs/>
          <w:szCs w:val="26"/>
        </w:rPr>
        <w:t>’s</w:t>
      </w:r>
      <w:r>
        <w:rPr>
          <w:rFonts w:ascii="Century Schoolbook" w:hAnsi="Century Schoolbook"/>
          <w:iCs/>
          <w:szCs w:val="26"/>
        </w:rPr>
        <w:t xml:space="preserve"> </w:t>
      </w:r>
      <w:r w:rsidR="006935A6">
        <w:rPr>
          <w:rFonts w:ascii="Century Schoolbook" w:hAnsi="Century Schoolbook"/>
          <w:iCs/>
          <w:szCs w:val="26"/>
        </w:rPr>
        <w:t xml:space="preserve">order </w:t>
      </w:r>
      <w:r>
        <w:rPr>
          <w:rFonts w:ascii="Century Schoolbook" w:hAnsi="Century Schoolbook"/>
          <w:iCs/>
          <w:szCs w:val="26"/>
        </w:rPr>
        <w:t xml:space="preserve">granting summary adjudication of their quasi-contract and promissory estoppel claims. </w:t>
      </w:r>
      <w:r w:rsidR="00806DE0">
        <w:rPr>
          <w:rFonts w:ascii="Century Schoolbook" w:hAnsi="Century Schoolbook"/>
          <w:iCs/>
          <w:szCs w:val="26"/>
        </w:rPr>
        <w:t xml:space="preserve"> </w:t>
      </w:r>
      <w:r>
        <w:rPr>
          <w:rFonts w:ascii="Century Schoolbook" w:hAnsi="Century Schoolbook"/>
          <w:iCs/>
          <w:szCs w:val="26"/>
        </w:rPr>
        <w:t xml:space="preserve">We </w:t>
      </w:r>
      <w:r w:rsidR="006935A6">
        <w:rPr>
          <w:rFonts w:ascii="Century Schoolbook" w:hAnsi="Century Schoolbook"/>
          <w:iCs/>
          <w:szCs w:val="26"/>
        </w:rPr>
        <w:t>address each below</w:t>
      </w:r>
      <w:r>
        <w:rPr>
          <w:rFonts w:ascii="Century Schoolbook" w:hAnsi="Century Schoolbook"/>
          <w:iCs/>
          <w:szCs w:val="26"/>
        </w:rPr>
        <w:t>.</w:t>
      </w:r>
    </w:p>
    <w:p w:rsidR="00A93965" w:rsidRPr="00385CAE" w:rsidP="006935A6" w14:paraId="3CB6D0D2" w14:textId="6F671CC0">
      <w:pPr>
        <w:keepNext/>
        <w:spacing w:line="360" w:lineRule="auto"/>
        <w:rPr>
          <w:rFonts w:ascii="Century Schoolbook" w:hAnsi="Century Schoolbook"/>
          <w:b/>
          <w:bCs/>
          <w:iCs/>
          <w:szCs w:val="26"/>
        </w:rPr>
      </w:pPr>
      <w:r>
        <w:rPr>
          <w:rFonts w:ascii="Century Schoolbook" w:hAnsi="Century Schoolbook"/>
          <w:b/>
          <w:bCs/>
          <w:iCs/>
          <w:szCs w:val="26"/>
        </w:rPr>
        <w:tab/>
      </w:r>
      <w:r w:rsidR="009B1800">
        <w:rPr>
          <w:rFonts w:ascii="Century Schoolbook" w:hAnsi="Century Schoolbook"/>
          <w:b/>
          <w:bCs/>
          <w:iCs/>
          <w:szCs w:val="26"/>
        </w:rPr>
        <w:t>A</w:t>
      </w:r>
      <w:r>
        <w:rPr>
          <w:rFonts w:ascii="Century Schoolbook" w:hAnsi="Century Schoolbook"/>
          <w:b/>
          <w:bCs/>
          <w:iCs/>
          <w:szCs w:val="26"/>
        </w:rPr>
        <w:t xml:space="preserve">.  </w:t>
      </w:r>
      <w:r w:rsidRPr="00385CAE" w:rsidR="00F226D8">
        <w:rPr>
          <w:rFonts w:ascii="Century Schoolbook" w:hAnsi="Century Schoolbook"/>
          <w:b/>
          <w:bCs/>
          <w:iCs/>
          <w:szCs w:val="26"/>
        </w:rPr>
        <w:t>Quasi-Contract Claims</w:t>
      </w:r>
    </w:p>
    <w:p w:rsidR="0044612F" w:rsidP="00E41219" w14:paraId="69092485" w14:textId="122B9869">
      <w:pPr>
        <w:spacing w:line="360" w:lineRule="auto"/>
        <w:rPr>
          <w:rFonts w:ascii="Century Schoolbook" w:hAnsi="Century Schoolbook"/>
          <w:iCs/>
          <w:szCs w:val="26"/>
        </w:rPr>
      </w:pPr>
      <w:r>
        <w:rPr>
          <w:rFonts w:ascii="Century Schoolbook" w:hAnsi="Century Schoolbook"/>
          <w:iCs/>
          <w:szCs w:val="26"/>
        </w:rPr>
        <w:tab/>
      </w:r>
      <w:r w:rsidR="008D5ED1">
        <w:rPr>
          <w:rFonts w:ascii="Century Schoolbook" w:hAnsi="Century Schoolbook"/>
          <w:iCs/>
          <w:szCs w:val="26"/>
        </w:rPr>
        <w:t>Appellants</w:t>
      </w:r>
      <w:r w:rsidR="00C7522C">
        <w:rPr>
          <w:rFonts w:ascii="Century Schoolbook" w:hAnsi="Century Schoolbook"/>
          <w:iCs/>
          <w:szCs w:val="26"/>
        </w:rPr>
        <w:t xml:space="preserve"> assert the trial court erroneously granted summary </w:t>
      </w:r>
      <w:r w:rsidR="00CC767F">
        <w:rPr>
          <w:rFonts w:ascii="Century Schoolbook" w:hAnsi="Century Schoolbook"/>
          <w:iCs/>
          <w:szCs w:val="26"/>
        </w:rPr>
        <w:t>adjudication</w:t>
      </w:r>
      <w:r w:rsidR="00C7522C">
        <w:rPr>
          <w:rFonts w:ascii="Century Schoolbook" w:hAnsi="Century Schoolbook"/>
          <w:iCs/>
          <w:szCs w:val="26"/>
        </w:rPr>
        <w:t xml:space="preserve"> of its quasi-contract claim because parties may bring such claims when there is either no express contract or the contract is “unenforceable or ineffective for some reason.” </w:t>
      </w:r>
    </w:p>
    <w:p w:rsidR="00C7522C" w:rsidP="00801E6F" w14:paraId="5DAC6AFB" w14:textId="06FF9A36">
      <w:pPr>
        <w:spacing w:line="360" w:lineRule="auto"/>
        <w:rPr>
          <w:rFonts w:ascii="Century Schoolbook" w:hAnsi="Century Schoolbook"/>
          <w:iCs/>
          <w:szCs w:val="26"/>
        </w:rPr>
      </w:pPr>
      <w:r>
        <w:rPr>
          <w:rFonts w:ascii="Century Schoolbook" w:hAnsi="Century Schoolbook"/>
          <w:iCs/>
          <w:szCs w:val="26"/>
        </w:rPr>
        <w:tab/>
        <w:t>A cause of action for quasi-contract “</w:t>
      </w:r>
      <w:r w:rsidRPr="00C7522C">
        <w:rPr>
          <w:rFonts w:ascii="Century Schoolbook" w:hAnsi="Century Schoolbook"/>
          <w:iCs/>
          <w:szCs w:val="26"/>
        </w:rPr>
        <w:t xml:space="preserve">cannot lie where there exists between the parties a valid express contract covering the same subject matter.” </w:t>
      </w:r>
      <w:r>
        <w:rPr>
          <w:rFonts w:ascii="Century Schoolbook" w:hAnsi="Century Schoolbook"/>
          <w:iCs/>
          <w:szCs w:val="26"/>
        </w:rPr>
        <w:t xml:space="preserve"> (</w:t>
      </w:r>
      <w:r w:rsidRPr="00C7522C">
        <w:rPr>
          <w:rFonts w:ascii="Century Schoolbook" w:hAnsi="Century Schoolbook"/>
          <w:i/>
          <w:szCs w:val="26"/>
        </w:rPr>
        <w:t>Rutherford Holdings, LLC v. Plaza Del Rey</w:t>
      </w:r>
      <w:r>
        <w:rPr>
          <w:rFonts w:ascii="Century Schoolbook" w:hAnsi="Century Schoolbook"/>
          <w:iCs/>
          <w:szCs w:val="26"/>
        </w:rPr>
        <w:t xml:space="preserve"> (2014)</w:t>
      </w:r>
      <w:r w:rsidRPr="00C7522C">
        <w:rPr>
          <w:rFonts w:ascii="Century Schoolbook" w:hAnsi="Century Schoolbook"/>
          <w:iCs/>
          <w:szCs w:val="26"/>
        </w:rPr>
        <w:t xml:space="preserve"> 223 Cal.App.4th </w:t>
      </w:r>
      <w:r>
        <w:rPr>
          <w:rFonts w:ascii="Century Schoolbook" w:hAnsi="Century Schoolbook"/>
          <w:iCs/>
          <w:szCs w:val="26"/>
        </w:rPr>
        <w:t xml:space="preserve">221, </w:t>
      </w:r>
      <w:r w:rsidRPr="00C7522C">
        <w:rPr>
          <w:rFonts w:ascii="Century Schoolbook" w:hAnsi="Century Schoolbook"/>
          <w:iCs/>
          <w:szCs w:val="26"/>
        </w:rPr>
        <w:t>231</w:t>
      </w:r>
      <w:r>
        <w:rPr>
          <w:rFonts w:ascii="Century Schoolbook" w:hAnsi="Century Schoolbook"/>
          <w:iCs/>
          <w:szCs w:val="26"/>
        </w:rPr>
        <w:t xml:space="preserve">; </w:t>
      </w:r>
      <w:r w:rsidRPr="00C7522C">
        <w:rPr>
          <w:rFonts w:ascii="Century Schoolbook" w:hAnsi="Century Schoolbook"/>
          <w:iCs/>
          <w:szCs w:val="26"/>
        </w:rPr>
        <w:t xml:space="preserve">see also </w:t>
      </w:r>
      <w:r w:rsidRPr="00C7522C">
        <w:rPr>
          <w:rFonts w:ascii="Century Schoolbook" w:hAnsi="Century Schoolbook"/>
          <w:i/>
          <w:szCs w:val="26"/>
        </w:rPr>
        <w:t>Klein v. Chevron U.S.A., Inc</w:t>
      </w:r>
      <w:r w:rsidRPr="00C7522C">
        <w:rPr>
          <w:rFonts w:ascii="Century Schoolbook" w:hAnsi="Century Schoolbook"/>
          <w:iCs/>
          <w:szCs w:val="26"/>
        </w:rPr>
        <w:t xml:space="preserve">. </w:t>
      </w:r>
      <w:r>
        <w:rPr>
          <w:rFonts w:ascii="Century Schoolbook" w:hAnsi="Century Schoolbook"/>
          <w:iCs/>
          <w:szCs w:val="26"/>
        </w:rPr>
        <w:t xml:space="preserve">(2012) </w:t>
      </w:r>
      <w:r w:rsidRPr="00C7522C">
        <w:rPr>
          <w:rFonts w:ascii="Century Schoolbook" w:hAnsi="Century Schoolbook"/>
          <w:iCs/>
          <w:szCs w:val="26"/>
        </w:rPr>
        <w:t xml:space="preserve">202 Cal.App.4th 1342, 1388 </w:t>
      </w:r>
      <w:r>
        <w:rPr>
          <w:rFonts w:ascii="Century Schoolbook" w:hAnsi="Century Schoolbook"/>
          <w:iCs/>
          <w:szCs w:val="26"/>
        </w:rPr>
        <w:t>[</w:t>
      </w:r>
      <w:r w:rsidRPr="00C7522C">
        <w:rPr>
          <w:rFonts w:ascii="Century Schoolbook" w:hAnsi="Century Schoolbook"/>
          <w:iCs/>
          <w:szCs w:val="26"/>
        </w:rPr>
        <w:t>“[a] plaintiff may not .</w:t>
      </w:r>
      <w:r>
        <w:rPr>
          <w:rFonts w:ascii="Century Schoolbook" w:hAnsi="Century Schoolbook"/>
          <w:iCs/>
          <w:szCs w:val="26"/>
        </w:rPr>
        <w:t> </w:t>
      </w:r>
      <w:r w:rsidRPr="00C7522C">
        <w:rPr>
          <w:rFonts w:ascii="Century Schoolbook" w:hAnsi="Century Schoolbook"/>
          <w:iCs/>
          <w:szCs w:val="26"/>
        </w:rPr>
        <w:t>.</w:t>
      </w:r>
      <w:r>
        <w:rPr>
          <w:rFonts w:ascii="Century Schoolbook" w:hAnsi="Century Schoolbook"/>
          <w:iCs/>
          <w:szCs w:val="26"/>
        </w:rPr>
        <w:t> </w:t>
      </w:r>
      <w:r w:rsidRPr="00C7522C">
        <w:rPr>
          <w:rFonts w:ascii="Century Schoolbook" w:hAnsi="Century Schoolbook"/>
          <w:iCs/>
          <w:szCs w:val="26"/>
        </w:rPr>
        <w:t>. pursue or recover on a quasi-contract claim if the parties have an enforceable agreement regarding a particular subject matter.”</w:t>
      </w:r>
      <w:r>
        <w:rPr>
          <w:rFonts w:ascii="Century Schoolbook" w:hAnsi="Century Schoolbook"/>
          <w:iCs/>
          <w:szCs w:val="26"/>
        </w:rPr>
        <w:t>].)</w:t>
      </w:r>
      <w:r w:rsidR="00683482">
        <w:rPr>
          <w:rFonts w:ascii="Century Schoolbook" w:hAnsi="Century Schoolbook"/>
          <w:iCs/>
          <w:szCs w:val="26"/>
        </w:rPr>
        <w:t xml:space="preserve">  “[A]</w:t>
      </w:r>
      <w:r w:rsidRPr="00683482" w:rsidR="00683482">
        <w:rPr>
          <w:rFonts w:ascii="Century Schoolbook" w:hAnsi="Century Schoolbook"/>
          <w:iCs/>
          <w:szCs w:val="26"/>
        </w:rPr>
        <w:t xml:space="preserve"> plaintiff may not plead the existence of an enforceable contract and simultaneously maintain a quasi-contract claim unless the plaintiff also pleads facts suggesting that the contract may be unenforceable or invalid.</w:t>
      </w:r>
      <w:r w:rsidR="00683482">
        <w:rPr>
          <w:rFonts w:ascii="Century Schoolbook" w:hAnsi="Century Schoolbook"/>
          <w:iCs/>
          <w:szCs w:val="26"/>
        </w:rPr>
        <w:t>”  (</w:t>
      </w:r>
      <w:r w:rsidRPr="00683482" w:rsidR="00683482">
        <w:rPr>
          <w:rFonts w:ascii="Century Schoolbook" w:hAnsi="Century Schoolbook"/>
          <w:i/>
          <w:szCs w:val="26"/>
        </w:rPr>
        <w:t>Saroya v. Univ. of the Pac</w:t>
      </w:r>
      <w:r w:rsidRPr="00683482" w:rsidR="00683482">
        <w:rPr>
          <w:rFonts w:ascii="Century Schoolbook" w:hAnsi="Century Schoolbook"/>
          <w:iCs/>
          <w:szCs w:val="26"/>
        </w:rPr>
        <w:t>. (N.D. Cal. 2020)</w:t>
      </w:r>
      <w:r w:rsidR="00683482">
        <w:rPr>
          <w:rFonts w:ascii="Century Schoolbook" w:hAnsi="Century Schoolbook"/>
          <w:iCs/>
          <w:szCs w:val="26"/>
        </w:rPr>
        <w:t xml:space="preserve"> </w:t>
      </w:r>
      <w:r w:rsidRPr="00683482" w:rsidR="00683482">
        <w:rPr>
          <w:rFonts w:ascii="Century Schoolbook" w:hAnsi="Century Schoolbook"/>
          <w:iCs/>
          <w:szCs w:val="26"/>
        </w:rPr>
        <w:t>503 F.Supp.3d 986, 998</w:t>
      </w:r>
      <w:r w:rsidR="00683482">
        <w:rPr>
          <w:rFonts w:ascii="Century Schoolbook" w:hAnsi="Century Schoolbook"/>
          <w:iCs/>
          <w:szCs w:val="26"/>
        </w:rPr>
        <w:t xml:space="preserve">; see also </w:t>
      </w:r>
      <w:r w:rsidRPr="00801E6F" w:rsidR="00801E6F">
        <w:rPr>
          <w:rFonts w:ascii="Century Schoolbook" w:hAnsi="Century Schoolbook"/>
          <w:i/>
          <w:szCs w:val="26"/>
        </w:rPr>
        <w:t>Nguyen v. Stephens Inst</w:t>
      </w:r>
      <w:r w:rsidRPr="00801E6F" w:rsidR="00801E6F">
        <w:rPr>
          <w:rFonts w:ascii="Century Schoolbook" w:hAnsi="Century Schoolbook"/>
          <w:iCs/>
          <w:szCs w:val="26"/>
        </w:rPr>
        <w:t>. (N.D. Cal. 2021)</w:t>
      </w:r>
      <w:r w:rsidR="00801E6F">
        <w:rPr>
          <w:rFonts w:ascii="Century Schoolbook" w:hAnsi="Century Schoolbook"/>
          <w:iCs/>
          <w:szCs w:val="26"/>
        </w:rPr>
        <w:t xml:space="preserve"> </w:t>
      </w:r>
      <w:r w:rsidRPr="00801E6F" w:rsidR="00801E6F">
        <w:rPr>
          <w:rFonts w:ascii="Century Schoolbook" w:hAnsi="Century Schoolbook"/>
          <w:iCs/>
          <w:szCs w:val="26"/>
        </w:rPr>
        <w:t xml:space="preserve">529 F.Supp.3d 1047, 1057 </w:t>
      </w:r>
      <w:r w:rsidR="00801E6F">
        <w:rPr>
          <w:rFonts w:ascii="Century Schoolbook" w:hAnsi="Century Schoolbook"/>
          <w:iCs/>
          <w:szCs w:val="26"/>
        </w:rPr>
        <w:t>[dismissing quasi-contract claim because plaintiff “</w:t>
      </w:r>
      <w:r w:rsidRPr="00801E6F" w:rsidR="00801E6F">
        <w:rPr>
          <w:rFonts w:ascii="Century Schoolbook" w:hAnsi="Century Schoolbook"/>
          <w:iCs/>
          <w:szCs w:val="26"/>
        </w:rPr>
        <w:t xml:space="preserve">alleges an enforceable contract existed </w:t>
      </w:r>
      <w:r w:rsidR="00801E6F">
        <w:rPr>
          <w:rFonts w:ascii="Century Schoolbook" w:hAnsi="Century Schoolbook"/>
          <w:iCs/>
          <w:szCs w:val="26"/>
        </w:rPr>
        <w:t>. . .</w:t>
      </w:r>
      <w:r w:rsidRPr="00801E6F" w:rsidR="00801E6F">
        <w:rPr>
          <w:rFonts w:ascii="Century Schoolbook" w:hAnsi="Century Schoolbook"/>
          <w:iCs/>
          <w:szCs w:val="26"/>
        </w:rPr>
        <w:t xml:space="preserve"> but fails to allege that the same contract was unenforceable or void.</w:t>
      </w:r>
      <w:r w:rsidR="00801E6F">
        <w:rPr>
          <w:rFonts w:ascii="Century Schoolbook" w:hAnsi="Century Schoolbook"/>
          <w:iCs/>
          <w:szCs w:val="26"/>
        </w:rPr>
        <w:t xml:space="preserve">”]; </w:t>
      </w:r>
      <w:r w:rsidRPr="00801E6F" w:rsidR="00801E6F">
        <w:rPr>
          <w:rFonts w:ascii="Century Schoolbook" w:hAnsi="Century Schoolbook"/>
          <w:i/>
          <w:szCs w:val="26"/>
        </w:rPr>
        <w:t>Lindner v. Occidental Coll</w:t>
      </w:r>
      <w:r w:rsidRPr="00801E6F" w:rsidR="00801E6F">
        <w:rPr>
          <w:rFonts w:ascii="Century Schoolbook" w:hAnsi="Century Schoolbook"/>
          <w:iCs/>
          <w:szCs w:val="26"/>
        </w:rPr>
        <w:t>. (C.D. Cal.</w:t>
      </w:r>
      <w:r w:rsidR="00D73D2A">
        <w:rPr>
          <w:rFonts w:ascii="Century Schoolbook" w:hAnsi="Century Schoolbook"/>
          <w:iCs/>
          <w:szCs w:val="26"/>
        </w:rPr>
        <w:t>,</w:t>
      </w:r>
      <w:r w:rsidRPr="00801E6F" w:rsidR="00801E6F">
        <w:rPr>
          <w:rFonts w:ascii="Century Schoolbook" w:hAnsi="Century Schoolbook"/>
          <w:iCs/>
          <w:szCs w:val="26"/>
        </w:rPr>
        <w:t xml:space="preserve"> Dec. 11, 2020</w:t>
      </w:r>
      <w:r w:rsidR="00801E6F">
        <w:rPr>
          <w:rFonts w:ascii="Century Schoolbook" w:hAnsi="Century Schoolbook"/>
          <w:iCs/>
          <w:szCs w:val="26"/>
        </w:rPr>
        <w:t xml:space="preserve">; </w:t>
      </w:r>
      <w:r w:rsidRPr="00801E6F" w:rsidR="00801E6F">
        <w:rPr>
          <w:rFonts w:ascii="Century Schoolbook" w:hAnsi="Century Schoolbook"/>
          <w:iCs/>
          <w:szCs w:val="26"/>
        </w:rPr>
        <w:t xml:space="preserve">Case No. CV 20-8481-JFW), 2020 WL 7350212, at *9 </w:t>
      </w:r>
      <w:r w:rsidR="00801E6F">
        <w:rPr>
          <w:rFonts w:ascii="Century Schoolbook" w:hAnsi="Century Schoolbook"/>
          <w:iCs/>
          <w:szCs w:val="26"/>
        </w:rPr>
        <w:t>[</w:t>
      </w:r>
      <w:r w:rsidRPr="00801E6F" w:rsidR="00801E6F">
        <w:rPr>
          <w:rFonts w:ascii="Century Schoolbook" w:hAnsi="Century Schoolbook"/>
          <w:iCs/>
          <w:szCs w:val="26"/>
        </w:rPr>
        <w:t>dismissing unjust enrichment claim where it was undisputed that the relationship between a student and a university was governed by a contract</w:t>
      </w:r>
      <w:r w:rsidR="00801E6F">
        <w:rPr>
          <w:rFonts w:ascii="Century Schoolbook" w:hAnsi="Century Schoolbook"/>
          <w:iCs/>
          <w:szCs w:val="26"/>
        </w:rPr>
        <w:t>].</w:t>
      </w:r>
      <w:r w:rsidRPr="00801E6F" w:rsidR="00801E6F">
        <w:rPr>
          <w:rFonts w:ascii="Century Schoolbook" w:hAnsi="Century Schoolbook"/>
          <w:iCs/>
          <w:szCs w:val="26"/>
        </w:rPr>
        <w:t>)</w:t>
      </w:r>
      <w:r w:rsidR="00801E6F">
        <w:rPr>
          <w:rFonts w:ascii="Century Schoolbook" w:hAnsi="Century Schoolbook"/>
          <w:iCs/>
          <w:szCs w:val="26"/>
        </w:rPr>
        <w:t xml:space="preserve">  Conversely, a plaintiff may pursue restitution on a quasi-contract theory when “performance of an otherwise valid contract has been rendered impossible.”  (</w:t>
      </w:r>
      <w:r w:rsidRPr="00801E6F" w:rsidR="00801E6F">
        <w:rPr>
          <w:rFonts w:ascii="Century Schoolbook" w:hAnsi="Century Schoolbook"/>
          <w:i/>
          <w:szCs w:val="26"/>
        </w:rPr>
        <w:t>In re Pepperdine Univ. Tuition &amp; Fees COVID-19 Refund Litig</w:t>
      </w:r>
      <w:r w:rsidRPr="00801E6F" w:rsidR="00801E6F">
        <w:rPr>
          <w:rFonts w:ascii="Century Schoolbook" w:hAnsi="Century Schoolbook"/>
          <w:iCs/>
          <w:szCs w:val="26"/>
        </w:rPr>
        <w:t xml:space="preserve">., </w:t>
      </w:r>
      <w:r w:rsidRPr="00801E6F" w:rsidR="00801E6F">
        <w:rPr>
          <w:rFonts w:ascii="Century Schoolbook" w:hAnsi="Century Schoolbook"/>
          <w:i/>
          <w:szCs w:val="26"/>
        </w:rPr>
        <w:t>supra</w:t>
      </w:r>
      <w:r w:rsidR="00801E6F">
        <w:rPr>
          <w:rFonts w:ascii="Century Schoolbook" w:hAnsi="Century Schoolbook"/>
          <w:iCs/>
          <w:szCs w:val="26"/>
        </w:rPr>
        <w:t xml:space="preserve">, </w:t>
      </w:r>
      <w:r w:rsidRPr="00801E6F" w:rsidR="00801E6F">
        <w:rPr>
          <w:rFonts w:ascii="Century Schoolbook" w:hAnsi="Century Schoolbook"/>
          <w:iCs/>
          <w:szCs w:val="26"/>
        </w:rPr>
        <w:t xml:space="preserve">659 F.Supp.3d </w:t>
      </w:r>
      <w:r w:rsidR="00801E6F">
        <w:rPr>
          <w:rFonts w:ascii="Century Schoolbook" w:hAnsi="Century Schoolbook"/>
          <w:iCs/>
          <w:szCs w:val="26"/>
        </w:rPr>
        <w:t>at p. </w:t>
      </w:r>
      <w:r w:rsidRPr="00801E6F" w:rsidR="00801E6F">
        <w:rPr>
          <w:rFonts w:ascii="Century Schoolbook" w:hAnsi="Century Schoolbook"/>
          <w:iCs/>
          <w:szCs w:val="26"/>
        </w:rPr>
        <w:t>1095</w:t>
      </w:r>
      <w:r w:rsidR="00801E6F">
        <w:rPr>
          <w:rFonts w:ascii="Century Schoolbook" w:hAnsi="Century Schoolbook"/>
          <w:iCs/>
          <w:szCs w:val="26"/>
        </w:rPr>
        <w:t xml:space="preserve">; see also </w:t>
      </w:r>
      <w:r w:rsidRPr="00801E6F" w:rsidR="00801E6F">
        <w:rPr>
          <w:rFonts w:ascii="Century Schoolbook" w:hAnsi="Century Schoolbook"/>
          <w:i/>
          <w:szCs w:val="26"/>
        </w:rPr>
        <w:t>Arredondo</w:t>
      </w:r>
      <w:r w:rsidRPr="00801E6F" w:rsidR="00801E6F">
        <w:rPr>
          <w:rFonts w:ascii="Century Schoolbook" w:hAnsi="Century Schoolbook"/>
          <w:iCs/>
          <w:szCs w:val="26"/>
        </w:rPr>
        <w:t xml:space="preserve">, </w:t>
      </w:r>
      <w:r w:rsidRPr="00801E6F" w:rsidR="00801E6F">
        <w:rPr>
          <w:rFonts w:ascii="Century Schoolbook" w:hAnsi="Century Schoolbook"/>
          <w:i/>
          <w:szCs w:val="26"/>
        </w:rPr>
        <w:t>supra</w:t>
      </w:r>
      <w:r w:rsidR="00801E6F">
        <w:rPr>
          <w:rFonts w:ascii="Century Schoolbook" w:hAnsi="Century Schoolbook"/>
          <w:iCs/>
          <w:szCs w:val="26"/>
        </w:rPr>
        <w:t xml:space="preserve">, </w:t>
      </w:r>
      <w:r w:rsidRPr="00801E6F" w:rsidR="00801E6F">
        <w:rPr>
          <w:rFonts w:ascii="Century Schoolbook" w:hAnsi="Century Schoolbook"/>
          <w:iCs/>
          <w:szCs w:val="26"/>
        </w:rPr>
        <w:t xml:space="preserve">618 F.Supp.3d at </w:t>
      </w:r>
      <w:r w:rsidR="00801E6F">
        <w:rPr>
          <w:rFonts w:ascii="Century Schoolbook" w:hAnsi="Century Schoolbook"/>
          <w:iCs/>
          <w:szCs w:val="26"/>
        </w:rPr>
        <w:t>pp. </w:t>
      </w:r>
      <w:r w:rsidRPr="00801E6F" w:rsidR="00801E6F">
        <w:rPr>
          <w:rFonts w:ascii="Century Schoolbook" w:hAnsi="Century Schoolbook"/>
          <w:iCs/>
          <w:szCs w:val="26"/>
        </w:rPr>
        <w:t>946</w:t>
      </w:r>
      <w:r w:rsidR="00801E6F">
        <w:rPr>
          <w:rFonts w:ascii="Century Schoolbook" w:hAnsi="Century Schoolbook"/>
          <w:iCs/>
          <w:szCs w:val="26"/>
        </w:rPr>
        <w:t>–9</w:t>
      </w:r>
      <w:r w:rsidRPr="00801E6F" w:rsidR="00801E6F">
        <w:rPr>
          <w:rFonts w:ascii="Century Schoolbook" w:hAnsi="Century Schoolbook"/>
          <w:iCs/>
          <w:szCs w:val="26"/>
        </w:rPr>
        <w:t xml:space="preserve">48 </w:t>
      </w:r>
      <w:r w:rsidR="00801E6F">
        <w:rPr>
          <w:rFonts w:ascii="Century Schoolbook" w:hAnsi="Century Schoolbook"/>
          <w:iCs/>
          <w:szCs w:val="26"/>
        </w:rPr>
        <w:t>[</w:t>
      </w:r>
      <w:r w:rsidRPr="00801E6F" w:rsidR="00801E6F">
        <w:rPr>
          <w:rFonts w:ascii="Century Schoolbook" w:hAnsi="Century Schoolbook"/>
          <w:iCs/>
          <w:szCs w:val="26"/>
        </w:rPr>
        <w:t>denying summary judgment on quasi-contract claim where the plaintiffs had demonstrated the existence of an implied contract</w:t>
      </w:r>
      <w:r w:rsidR="00CC767F">
        <w:rPr>
          <w:rFonts w:ascii="Century Schoolbook" w:hAnsi="Century Schoolbook"/>
          <w:iCs/>
          <w:szCs w:val="26"/>
        </w:rPr>
        <w:t>,</w:t>
      </w:r>
      <w:r w:rsidRPr="00801E6F" w:rsidR="00801E6F">
        <w:rPr>
          <w:rFonts w:ascii="Century Schoolbook" w:hAnsi="Century Schoolbook"/>
          <w:iCs/>
          <w:szCs w:val="26"/>
        </w:rPr>
        <w:t xml:space="preserve"> but defendant had shown performance was impossible</w:t>
      </w:r>
      <w:r w:rsidR="00801E6F">
        <w:rPr>
          <w:rFonts w:ascii="Century Schoolbook" w:hAnsi="Century Schoolbook"/>
          <w:iCs/>
          <w:szCs w:val="26"/>
        </w:rPr>
        <w:t>].)</w:t>
      </w:r>
    </w:p>
    <w:p w:rsidR="00683482" w:rsidP="00E41219" w14:paraId="0783F661" w14:textId="1D9EF82E">
      <w:pPr>
        <w:spacing w:line="360" w:lineRule="auto"/>
        <w:rPr>
          <w:rFonts w:ascii="Century Schoolbook" w:hAnsi="Century Schoolbook"/>
          <w:iCs/>
          <w:szCs w:val="26"/>
        </w:rPr>
      </w:pPr>
      <w:r>
        <w:rPr>
          <w:rFonts w:ascii="Century Schoolbook" w:hAnsi="Century Schoolbook"/>
          <w:iCs/>
          <w:szCs w:val="26"/>
        </w:rPr>
        <w:tab/>
        <w:t xml:space="preserve">Here, the court found—and the parties both acknowledge—there was a contract between student </w:t>
      </w:r>
      <w:r w:rsidR="008D5ED1">
        <w:rPr>
          <w:rFonts w:ascii="Century Schoolbook" w:hAnsi="Century Schoolbook"/>
          <w:iCs/>
          <w:szCs w:val="26"/>
        </w:rPr>
        <w:t xml:space="preserve">appellants </w:t>
      </w:r>
      <w:r>
        <w:rPr>
          <w:rFonts w:ascii="Century Schoolbook" w:hAnsi="Century Schoolbook"/>
          <w:iCs/>
          <w:szCs w:val="26"/>
        </w:rPr>
        <w:t>and USF regarding their enrollment</w:t>
      </w:r>
      <w:r w:rsidR="00CC767F">
        <w:rPr>
          <w:rFonts w:ascii="Century Schoolbook" w:hAnsi="Century Schoolbook"/>
          <w:iCs/>
          <w:szCs w:val="26"/>
        </w:rPr>
        <w:t>.</w:t>
      </w:r>
      <w:r w:rsidR="005B7640">
        <w:rPr>
          <w:rFonts w:ascii="Century Schoolbook" w:hAnsi="Century Schoolbook"/>
          <w:iCs/>
          <w:szCs w:val="26"/>
        </w:rPr>
        <w:t xml:space="preserve"> </w:t>
      </w:r>
      <w:r w:rsidR="00CC767F">
        <w:rPr>
          <w:rFonts w:ascii="Century Schoolbook" w:hAnsi="Century Schoolbook"/>
          <w:iCs/>
          <w:szCs w:val="26"/>
        </w:rPr>
        <w:t xml:space="preserve"> The court also did not find that </w:t>
      </w:r>
      <w:r w:rsidR="00801E6F">
        <w:rPr>
          <w:rFonts w:ascii="Century Schoolbook" w:hAnsi="Century Schoolbook"/>
          <w:iCs/>
          <w:szCs w:val="26"/>
        </w:rPr>
        <w:t xml:space="preserve">contract unenforceable or invalid.  Rather, the court </w:t>
      </w:r>
      <w:r w:rsidR="00CC767F">
        <w:rPr>
          <w:rFonts w:ascii="Century Schoolbook" w:hAnsi="Century Schoolbook"/>
          <w:iCs/>
          <w:szCs w:val="26"/>
        </w:rPr>
        <w:t>concluded</w:t>
      </w:r>
      <w:r w:rsidR="00801E6F">
        <w:rPr>
          <w:rFonts w:ascii="Century Schoolbook" w:hAnsi="Century Schoolbook"/>
          <w:iCs/>
          <w:szCs w:val="26"/>
        </w:rPr>
        <w:t xml:space="preserve"> the </w:t>
      </w:r>
      <w:r w:rsidR="00CC767F">
        <w:rPr>
          <w:rFonts w:ascii="Century Schoolbook" w:hAnsi="Century Schoolbook"/>
          <w:iCs/>
          <w:szCs w:val="26"/>
        </w:rPr>
        <w:t xml:space="preserve">terms of the </w:t>
      </w:r>
      <w:r>
        <w:rPr>
          <w:rFonts w:ascii="Century Schoolbook" w:hAnsi="Century Schoolbook"/>
          <w:iCs/>
          <w:szCs w:val="26"/>
        </w:rPr>
        <w:t xml:space="preserve">contract did not guarantee students exclusive in-person instruction during a global pandemic.  Because a </w:t>
      </w:r>
      <w:r w:rsidR="005B7640">
        <w:rPr>
          <w:rFonts w:ascii="Century Schoolbook" w:hAnsi="Century Schoolbook"/>
          <w:iCs/>
          <w:szCs w:val="26"/>
        </w:rPr>
        <w:t xml:space="preserve">valid and enforceable </w:t>
      </w:r>
      <w:r>
        <w:rPr>
          <w:rFonts w:ascii="Century Schoolbook" w:hAnsi="Century Schoolbook"/>
          <w:iCs/>
          <w:szCs w:val="26"/>
        </w:rPr>
        <w:t xml:space="preserve">contract existed between student </w:t>
      </w:r>
      <w:r w:rsidR="008D5ED1">
        <w:rPr>
          <w:rFonts w:ascii="Century Schoolbook" w:hAnsi="Century Schoolbook"/>
          <w:iCs/>
          <w:szCs w:val="26"/>
        </w:rPr>
        <w:t xml:space="preserve">appellants </w:t>
      </w:r>
      <w:r>
        <w:rPr>
          <w:rFonts w:ascii="Century Schoolbook" w:hAnsi="Century Schoolbook"/>
          <w:iCs/>
          <w:szCs w:val="26"/>
        </w:rPr>
        <w:t xml:space="preserve">and USF regarding their enrollment, </w:t>
      </w:r>
      <w:r w:rsidR="005B7640">
        <w:rPr>
          <w:rFonts w:ascii="Century Schoolbook" w:hAnsi="Century Schoolbook"/>
          <w:iCs/>
          <w:szCs w:val="26"/>
        </w:rPr>
        <w:t>albeit without the terms they sought</w:t>
      </w:r>
      <w:r>
        <w:rPr>
          <w:rFonts w:ascii="Century Schoolbook" w:hAnsi="Century Schoolbook"/>
          <w:iCs/>
          <w:szCs w:val="26"/>
        </w:rPr>
        <w:t xml:space="preserve">, </w:t>
      </w:r>
      <w:r w:rsidR="008D5ED1">
        <w:rPr>
          <w:rFonts w:ascii="Century Schoolbook" w:hAnsi="Century Schoolbook"/>
          <w:iCs/>
          <w:szCs w:val="26"/>
        </w:rPr>
        <w:t xml:space="preserve">appellants </w:t>
      </w:r>
      <w:r>
        <w:rPr>
          <w:rFonts w:ascii="Century Schoolbook" w:hAnsi="Century Schoolbook"/>
          <w:iCs/>
          <w:szCs w:val="26"/>
        </w:rPr>
        <w:t xml:space="preserve">are precluded from pursuing their quasi-contract claim. </w:t>
      </w:r>
    </w:p>
    <w:p w:rsidR="00F226D8" w:rsidRPr="00385CAE" w:rsidP="00F226D8" w14:paraId="5B1B518C" w14:textId="0ECE3634">
      <w:pPr>
        <w:spacing w:line="360" w:lineRule="auto"/>
        <w:rPr>
          <w:rFonts w:ascii="Century Schoolbook" w:hAnsi="Century Schoolbook"/>
          <w:b/>
          <w:bCs/>
          <w:iCs/>
          <w:szCs w:val="26"/>
        </w:rPr>
      </w:pPr>
      <w:r>
        <w:rPr>
          <w:rFonts w:ascii="Century Schoolbook" w:hAnsi="Century Schoolbook"/>
          <w:b/>
          <w:bCs/>
          <w:i/>
          <w:szCs w:val="26"/>
        </w:rPr>
        <w:tab/>
      </w:r>
      <w:r w:rsidR="009B1800">
        <w:rPr>
          <w:rFonts w:ascii="Century Schoolbook" w:hAnsi="Century Schoolbook"/>
          <w:b/>
          <w:bCs/>
          <w:iCs/>
          <w:szCs w:val="26"/>
        </w:rPr>
        <w:t>B</w:t>
      </w:r>
      <w:r w:rsidRPr="00385CAE">
        <w:rPr>
          <w:rFonts w:ascii="Century Schoolbook" w:hAnsi="Century Schoolbook"/>
          <w:b/>
          <w:bCs/>
          <w:iCs/>
          <w:szCs w:val="26"/>
        </w:rPr>
        <w:t>.  Promissory Estoppel</w:t>
      </w:r>
    </w:p>
    <w:p w:rsidR="00741002" w:rsidP="00E41219" w14:paraId="613A1269" w14:textId="6ECA0ADD">
      <w:pPr>
        <w:spacing w:line="360" w:lineRule="auto"/>
        <w:rPr>
          <w:rFonts w:ascii="Century Schoolbook" w:hAnsi="Century Schoolbook"/>
          <w:iCs/>
          <w:szCs w:val="26"/>
        </w:rPr>
      </w:pPr>
      <w:r>
        <w:rPr>
          <w:rFonts w:ascii="Century Schoolbook" w:hAnsi="Century Schoolbook"/>
          <w:iCs/>
          <w:szCs w:val="26"/>
        </w:rPr>
        <w:tab/>
      </w:r>
      <w:r w:rsidR="00CC767F">
        <w:rPr>
          <w:rFonts w:ascii="Century Schoolbook" w:hAnsi="Century Schoolbook"/>
          <w:iCs/>
          <w:szCs w:val="26"/>
        </w:rPr>
        <w:t>In support of their promissory estoppel claim, a</w:t>
      </w:r>
      <w:r w:rsidR="008D5ED1">
        <w:rPr>
          <w:rFonts w:ascii="Century Schoolbook" w:hAnsi="Century Schoolbook"/>
          <w:iCs/>
          <w:szCs w:val="26"/>
        </w:rPr>
        <w:t>ppellants</w:t>
      </w:r>
      <w:r>
        <w:rPr>
          <w:rFonts w:ascii="Century Schoolbook" w:hAnsi="Century Schoolbook"/>
          <w:iCs/>
          <w:szCs w:val="26"/>
        </w:rPr>
        <w:t xml:space="preserve"> rely on the same evidence </w:t>
      </w:r>
      <w:r w:rsidR="00CC767F">
        <w:rPr>
          <w:rFonts w:ascii="Century Schoolbook" w:hAnsi="Century Schoolbook"/>
          <w:iCs/>
          <w:szCs w:val="26"/>
        </w:rPr>
        <w:t>cited in connection with</w:t>
      </w:r>
      <w:r>
        <w:rPr>
          <w:rFonts w:ascii="Century Schoolbook" w:hAnsi="Century Schoolbook"/>
          <w:iCs/>
          <w:szCs w:val="26"/>
        </w:rPr>
        <w:t xml:space="preserve"> their breach of contract claim</w:t>
      </w:r>
      <w:r w:rsidR="00CC767F">
        <w:rPr>
          <w:rFonts w:ascii="Century Schoolbook" w:hAnsi="Century Schoolbook"/>
          <w:iCs/>
          <w:szCs w:val="26"/>
        </w:rPr>
        <w:t xml:space="preserve">. </w:t>
      </w:r>
      <w:r w:rsidR="00806DE0">
        <w:rPr>
          <w:rFonts w:ascii="Century Schoolbook" w:hAnsi="Century Schoolbook"/>
          <w:iCs/>
          <w:szCs w:val="26"/>
        </w:rPr>
        <w:t xml:space="preserve"> </w:t>
      </w:r>
      <w:r w:rsidR="00CC767F">
        <w:rPr>
          <w:rFonts w:ascii="Century Schoolbook" w:hAnsi="Century Schoolbook"/>
          <w:iCs/>
          <w:szCs w:val="26"/>
        </w:rPr>
        <w:t>Again, appellants contend this evidence raises a triable issue of fact as to whether USF</w:t>
      </w:r>
      <w:r>
        <w:rPr>
          <w:rFonts w:ascii="Century Schoolbook" w:hAnsi="Century Schoolbook"/>
          <w:iCs/>
          <w:szCs w:val="26"/>
        </w:rPr>
        <w:t xml:space="preserve"> </w:t>
      </w:r>
      <w:r w:rsidR="00385CAE">
        <w:rPr>
          <w:rFonts w:ascii="Century Schoolbook" w:hAnsi="Century Schoolbook"/>
          <w:iCs/>
          <w:szCs w:val="26"/>
        </w:rPr>
        <w:t>promise</w:t>
      </w:r>
      <w:r w:rsidR="00CC767F">
        <w:rPr>
          <w:rFonts w:ascii="Century Schoolbook" w:hAnsi="Century Schoolbook"/>
          <w:iCs/>
          <w:szCs w:val="26"/>
        </w:rPr>
        <w:t>d</w:t>
      </w:r>
      <w:r w:rsidR="00385CAE">
        <w:rPr>
          <w:rFonts w:ascii="Century Schoolbook" w:hAnsi="Century Schoolbook"/>
          <w:iCs/>
          <w:szCs w:val="26"/>
        </w:rPr>
        <w:t xml:space="preserve"> </w:t>
      </w:r>
      <w:r w:rsidR="00CC767F">
        <w:rPr>
          <w:rFonts w:ascii="Century Schoolbook" w:hAnsi="Century Schoolbook"/>
          <w:iCs/>
          <w:szCs w:val="26"/>
        </w:rPr>
        <w:t xml:space="preserve">to provide exclusively </w:t>
      </w:r>
      <w:r w:rsidR="00385CAE">
        <w:rPr>
          <w:rFonts w:ascii="Century Schoolbook" w:hAnsi="Century Schoolbook"/>
          <w:iCs/>
          <w:szCs w:val="26"/>
        </w:rPr>
        <w:t>in-person instruction</w:t>
      </w:r>
      <w:r>
        <w:rPr>
          <w:rFonts w:ascii="Century Schoolbook" w:hAnsi="Century Schoolbook"/>
          <w:iCs/>
          <w:szCs w:val="26"/>
        </w:rPr>
        <w:t xml:space="preserve">. </w:t>
      </w:r>
      <w:r w:rsidR="00806DE0">
        <w:rPr>
          <w:rFonts w:ascii="Century Schoolbook" w:hAnsi="Century Schoolbook"/>
          <w:iCs/>
          <w:szCs w:val="26"/>
        </w:rPr>
        <w:t xml:space="preserve"> </w:t>
      </w:r>
      <w:r w:rsidR="00385CAE">
        <w:rPr>
          <w:rFonts w:ascii="Century Schoolbook" w:hAnsi="Century Schoolbook"/>
          <w:iCs/>
          <w:szCs w:val="26"/>
        </w:rPr>
        <w:t xml:space="preserve">As explained in Part </w:t>
      </w:r>
      <w:r w:rsidR="00660882">
        <w:rPr>
          <w:rFonts w:ascii="Century Schoolbook" w:hAnsi="Century Schoolbook"/>
          <w:iCs/>
          <w:szCs w:val="26"/>
        </w:rPr>
        <w:t>II.A</w:t>
      </w:r>
      <w:r w:rsidR="00CC767F">
        <w:rPr>
          <w:rFonts w:ascii="Century Schoolbook" w:hAnsi="Century Schoolbook"/>
          <w:iCs/>
          <w:szCs w:val="26"/>
        </w:rPr>
        <w:t>.</w:t>
      </w:r>
      <w:r w:rsidR="00385CAE">
        <w:rPr>
          <w:rFonts w:ascii="Century Schoolbook" w:hAnsi="Century Schoolbook"/>
          <w:iCs/>
          <w:szCs w:val="26"/>
        </w:rPr>
        <w:t xml:space="preserve">, the record does not </w:t>
      </w:r>
      <w:r w:rsidR="00CC767F">
        <w:rPr>
          <w:rFonts w:ascii="Century Schoolbook" w:hAnsi="Century Schoolbook"/>
          <w:iCs/>
          <w:szCs w:val="26"/>
        </w:rPr>
        <w:t>reflect any such promise</w:t>
      </w:r>
      <w:r w:rsidR="00385CAE">
        <w:rPr>
          <w:rFonts w:ascii="Century Schoolbook" w:hAnsi="Century Schoolbook"/>
          <w:iCs/>
          <w:szCs w:val="26"/>
        </w:rPr>
        <w:t xml:space="preserve">.  Accordingly, the trial court properly granted summary </w:t>
      </w:r>
      <w:r w:rsidR="00CC767F">
        <w:rPr>
          <w:rFonts w:ascii="Century Schoolbook" w:hAnsi="Century Schoolbook"/>
          <w:iCs/>
          <w:szCs w:val="26"/>
        </w:rPr>
        <w:t>adjudication</w:t>
      </w:r>
      <w:r w:rsidR="00385CAE">
        <w:rPr>
          <w:rFonts w:ascii="Century Schoolbook" w:hAnsi="Century Schoolbook"/>
          <w:iCs/>
          <w:szCs w:val="26"/>
        </w:rPr>
        <w:t xml:space="preserve"> </w:t>
      </w:r>
      <w:r w:rsidR="00CC767F">
        <w:rPr>
          <w:rFonts w:ascii="Century Schoolbook" w:hAnsi="Century Schoolbook"/>
          <w:iCs/>
          <w:szCs w:val="26"/>
        </w:rPr>
        <w:t xml:space="preserve">of </w:t>
      </w:r>
      <w:r w:rsidR="00385CAE">
        <w:rPr>
          <w:rFonts w:ascii="Century Schoolbook" w:hAnsi="Century Schoolbook"/>
          <w:iCs/>
          <w:szCs w:val="26"/>
        </w:rPr>
        <w:t>this claim.</w:t>
      </w:r>
    </w:p>
    <w:p w:rsidR="002D2923" w:rsidRPr="00E41219" w:rsidP="00E41219" w14:paraId="10BAA275" w14:textId="465E934A">
      <w:pPr>
        <w:spacing w:line="360" w:lineRule="auto"/>
        <w:rPr>
          <w:rFonts w:ascii="Century Schoolbook" w:hAnsi="Century Schoolbook"/>
          <w:iCs/>
          <w:szCs w:val="26"/>
        </w:rPr>
      </w:pPr>
      <w:r>
        <w:rPr>
          <w:rFonts w:ascii="Century Schoolbook" w:hAnsi="Century Schoolbook"/>
          <w:iCs/>
          <w:szCs w:val="26"/>
        </w:rPr>
        <w:tab/>
        <w:t>Moreover, we note “[a</w:t>
      </w:r>
      <w:r w:rsidR="007D51B9">
        <w:rPr>
          <w:rFonts w:ascii="Century Schoolbook" w:hAnsi="Century Schoolbook"/>
          <w:iCs/>
          <w:szCs w:val="26"/>
        </w:rPr>
        <w:t>n</w:t>
      </w:r>
      <w:r>
        <w:rPr>
          <w:rFonts w:ascii="Century Schoolbook" w:hAnsi="Century Schoolbook"/>
          <w:iCs/>
          <w:szCs w:val="26"/>
        </w:rPr>
        <w:t>]</w:t>
      </w:r>
      <w:r w:rsidRPr="00385CAE">
        <w:rPr>
          <w:rFonts w:ascii="Century Schoolbook" w:hAnsi="Century Schoolbook"/>
          <w:iCs/>
          <w:szCs w:val="26"/>
        </w:rPr>
        <w:t xml:space="preserve"> action for promissory estoppel is a claim in equity that substitutes reliance on a promise for consideration </w:t>
      </w:r>
      <w:r>
        <w:rPr>
          <w:rFonts w:ascii="Century Schoolbook" w:hAnsi="Century Schoolbook"/>
          <w:iCs/>
          <w:szCs w:val="26"/>
        </w:rPr>
        <w:t>‘</w:t>
      </w:r>
      <w:r w:rsidRPr="00385CAE">
        <w:rPr>
          <w:rFonts w:ascii="Century Schoolbook" w:hAnsi="Century Schoolbook"/>
          <w:iCs/>
          <w:szCs w:val="26"/>
        </w:rPr>
        <w:t>in the usual sense of something bargained for and given in exchange.</w:t>
      </w:r>
      <w:r>
        <w:rPr>
          <w:rFonts w:ascii="Century Schoolbook" w:hAnsi="Century Schoolbook"/>
          <w:iCs/>
          <w:szCs w:val="26"/>
        </w:rPr>
        <w:t xml:space="preserve">’ </w:t>
      </w:r>
      <w:r w:rsidRPr="00385CAE">
        <w:rPr>
          <w:rFonts w:ascii="Century Schoolbook" w:hAnsi="Century Schoolbook"/>
          <w:iCs/>
          <w:szCs w:val="26"/>
        </w:rPr>
        <w:t xml:space="preserve"> </w:t>
      </w:r>
      <w:r>
        <w:rPr>
          <w:rFonts w:ascii="Century Schoolbook" w:hAnsi="Century Schoolbook"/>
          <w:iCs/>
          <w:szCs w:val="26"/>
        </w:rPr>
        <w:t xml:space="preserve">[Citation.] </w:t>
      </w:r>
      <w:r w:rsidRPr="00385CAE">
        <w:rPr>
          <w:rFonts w:ascii="Century Schoolbook" w:hAnsi="Century Schoolbook"/>
          <w:iCs/>
          <w:szCs w:val="26"/>
        </w:rPr>
        <w:t xml:space="preserve"> If actual consideration was given by the promisee, promissory estoppel does not apply.</w:t>
      </w:r>
      <w:r>
        <w:rPr>
          <w:rFonts w:ascii="Century Schoolbook" w:hAnsi="Century Schoolbook"/>
          <w:iCs/>
          <w:szCs w:val="26"/>
        </w:rPr>
        <w:t>”  (</w:t>
      </w:r>
      <w:r w:rsidRPr="00385CAE">
        <w:rPr>
          <w:rFonts w:ascii="Century Schoolbook" w:hAnsi="Century Schoolbook"/>
          <w:i/>
          <w:szCs w:val="26"/>
        </w:rPr>
        <w:t>Fleet v. Bank of Am. N.A</w:t>
      </w:r>
      <w:r w:rsidRPr="00385CAE">
        <w:rPr>
          <w:rFonts w:ascii="Century Schoolbook" w:hAnsi="Century Schoolbook"/>
          <w:iCs/>
          <w:szCs w:val="26"/>
        </w:rPr>
        <w:t xml:space="preserve">. </w:t>
      </w:r>
      <w:r>
        <w:rPr>
          <w:rFonts w:ascii="Century Schoolbook" w:hAnsi="Century Schoolbook"/>
          <w:iCs/>
          <w:szCs w:val="26"/>
        </w:rPr>
        <w:t xml:space="preserve">(2014) </w:t>
      </w:r>
      <w:r w:rsidRPr="00385CAE">
        <w:rPr>
          <w:rFonts w:ascii="Century Schoolbook" w:hAnsi="Century Schoolbook"/>
          <w:iCs/>
          <w:szCs w:val="26"/>
        </w:rPr>
        <w:t>229 Cal.App.4th 1403, 1412–</w:t>
      </w:r>
      <w:r>
        <w:rPr>
          <w:rFonts w:ascii="Century Schoolbook" w:hAnsi="Century Schoolbook"/>
          <w:iCs/>
          <w:szCs w:val="26"/>
        </w:rPr>
        <w:t>14</w:t>
      </w:r>
      <w:r w:rsidRPr="00385CAE">
        <w:rPr>
          <w:rFonts w:ascii="Century Schoolbook" w:hAnsi="Century Schoolbook"/>
          <w:iCs/>
          <w:szCs w:val="26"/>
        </w:rPr>
        <w:t>13</w:t>
      </w:r>
      <w:r>
        <w:rPr>
          <w:rFonts w:ascii="Century Schoolbook" w:hAnsi="Century Schoolbook"/>
          <w:iCs/>
          <w:szCs w:val="26"/>
        </w:rPr>
        <w:t>.</w:t>
      </w:r>
      <w:r w:rsidRPr="00385CAE">
        <w:rPr>
          <w:rFonts w:ascii="Century Schoolbook" w:hAnsi="Century Schoolbook"/>
          <w:iCs/>
          <w:szCs w:val="26"/>
        </w:rPr>
        <w:t>)</w:t>
      </w:r>
      <w:r>
        <w:rPr>
          <w:rFonts w:ascii="Century Schoolbook" w:hAnsi="Century Schoolbook"/>
          <w:iCs/>
          <w:szCs w:val="26"/>
        </w:rPr>
        <w:t xml:space="preserve">  Here, </w:t>
      </w:r>
      <w:r w:rsidR="008D5ED1">
        <w:rPr>
          <w:rFonts w:ascii="Century Schoolbook" w:hAnsi="Century Schoolbook"/>
          <w:iCs/>
          <w:szCs w:val="26"/>
        </w:rPr>
        <w:t xml:space="preserve">appellants </w:t>
      </w:r>
      <w:r>
        <w:rPr>
          <w:rFonts w:ascii="Century Schoolbook" w:hAnsi="Century Schoolbook"/>
          <w:iCs/>
          <w:szCs w:val="26"/>
        </w:rPr>
        <w:t xml:space="preserve">provided actual consideration—i.e., payment of tuition.  Their promissory estoppel claim </w:t>
      </w:r>
      <w:r w:rsidR="00CC767F">
        <w:rPr>
          <w:rFonts w:ascii="Century Schoolbook" w:hAnsi="Century Schoolbook"/>
          <w:iCs/>
          <w:szCs w:val="26"/>
        </w:rPr>
        <w:t>also</w:t>
      </w:r>
      <w:r>
        <w:rPr>
          <w:rFonts w:ascii="Century Schoolbook" w:hAnsi="Century Schoolbook"/>
          <w:iCs/>
          <w:szCs w:val="26"/>
        </w:rPr>
        <w:t xml:space="preserve"> fails on that basis.</w:t>
      </w:r>
      <w:r>
        <w:rPr>
          <w:rStyle w:val="FootnoteReference"/>
          <w:iCs/>
          <w:szCs w:val="26"/>
        </w:rPr>
        <w:footnoteReference w:id="6"/>
      </w:r>
    </w:p>
    <w:p w:rsidR="00F04CDB" w:rsidRPr="003C38B8" w:rsidP="008A5476" w14:paraId="3A0E07D2" w14:textId="07CC6889">
      <w:pPr>
        <w:keepNext/>
        <w:spacing w:line="360" w:lineRule="auto"/>
        <w:jc w:val="center"/>
        <w:rPr>
          <w:rFonts w:ascii="Century Schoolbook" w:hAnsi="Century Schoolbook"/>
          <w:b/>
          <w:bCs/>
          <w:szCs w:val="26"/>
        </w:rPr>
      </w:pPr>
      <w:r>
        <w:rPr>
          <w:rFonts w:ascii="Century Schoolbook" w:hAnsi="Century Schoolbook"/>
          <w:b/>
          <w:bCs/>
          <w:smallCaps/>
          <w:szCs w:val="26"/>
        </w:rPr>
        <w:t>Disposition</w:t>
      </w:r>
    </w:p>
    <w:p w:rsidR="00FF20DC" w:rsidP="007D51B9" w14:paraId="6FD152E8" w14:textId="4877D931">
      <w:pPr>
        <w:spacing w:line="360" w:lineRule="auto"/>
        <w:rPr>
          <w:rFonts w:ascii="Century Schoolbook" w:hAnsi="Century Schoolbook"/>
          <w:szCs w:val="26"/>
        </w:rPr>
      </w:pPr>
      <w:r w:rsidRPr="003C38B8">
        <w:rPr>
          <w:rFonts w:ascii="Century Schoolbook" w:hAnsi="Century Schoolbook"/>
          <w:b/>
          <w:bCs/>
          <w:szCs w:val="26"/>
        </w:rPr>
        <w:tab/>
      </w:r>
      <w:r w:rsidRPr="0069001D" w:rsidR="0069001D">
        <w:rPr>
          <w:rFonts w:ascii="Century Schoolbook" w:hAnsi="Century Schoolbook"/>
          <w:szCs w:val="26"/>
        </w:rPr>
        <w:t xml:space="preserve">The </w:t>
      </w:r>
      <w:r w:rsidR="009C5745">
        <w:rPr>
          <w:rFonts w:ascii="Century Schoolbook" w:hAnsi="Century Schoolbook"/>
          <w:szCs w:val="26"/>
        </w:rPr>
        <w:t xml:space="preserve">trial court’s </w:t>
      </w:r>
      <w:r w:rsidRPr="0069001D" w:rsidR="0069001D">
        <w:rPr>
          <w:rFonts w:ascii="Century Schoolbook" w:hAnsi="Century Schoolbook"/>
          <w:szCs w:val="26"/>
        </w:rPr>
        <w:t xml:space="preserve">order </w:t>
      </w:r>
      <w:r w:rsidR="00297F67">
        <w:rPr>
          <w:rFonts w:ascii="Century Schoolbook" w:hAnsi="Century Schoolbook"/>
          <w:szCs w:val="26"/>
        </w:rPr>
        <w:t>granting</w:t>
      </w:r>
      <w:r w:rsidR="00A37DE0">
        <w:rPr>
          <w:rFonts w:ascii="Century Schoolbook" w:hAnsi="Century Schoolbook"/>
          <w:szCs w:val="26"/>
        </w:rPr>
        <w:t xml:space="preserve"> </w:t>
      </w:r>
      <w:r w:rsidR="00741002">
        <w:rPr>
          <w:rFonts w:ascii="Century Schoolbook" w:hAnsi="Century Schoolbook"/>
          <w:szCs w:val="26"/>
        </w:rPr>
        <w:t>USF’s</w:t>
      </w:r>
      <w:r w:rsidR="0044612F">
        <w:rPr>
          <w:rFonts w:ascii="Century Schoolbook" w:hAnsi="Century Schoolbook"/>
          <w:szCs w:val="26"/>
        </w:rPr>
        <w:t xml:space="preserve"> </w:t>
      </w:r>
      <w:r w:rsidR="00297F67">
        <w:rPr>
          <w:rFonts w:ascii="Century Schoolbook" w:hAnsi="Century Schoolbook"/>
          <w:szCs w:val="26"/>
        </w:rPr>
        <w:t xml:space="preserve">motion for summary </w:t>
      </w:r>
      <w:r w:rsidR="00C81EE9">
        <w:rPr>
          <w:rFonts w:ascii="Century Schoolbook" w:hAnsi="Century Schoolbook"/>
          <w:szCs w:val="26"/>
        </w:rPr>
        <w:t>adjudication</w:t>
      </w:r>
      <w:r w:rsidR="00297F67">
        <w:rPr>
          <w:rFonts w:ascii="Century Schoolbook" w:hAnsi="Century Schoolbook"/>
          <w:szCs w:val="26"/>
        </w:rPr>
        <w:t xml:space="preserve"> </w:t>
      </w:r>
      <w:r w:rsidR="00A37DE0">
        <w:rPr>
          <w:rFonts w:ascii="Century Schoolbook" w:hAnsi="Century Schoolbook"/>
          <w:szCs w:val="26"/>
        </w:rPr>
        <w:t xml:space="preserve">is </w:t>
      </w:r>
      <w:r w:rsidRPr="00C81EE9" w:rsidR="0069001D">
        <w:rPr>
          <w:rFonts w:ascii="Century Schoolbook" w:hAnsi="Century Schoolbook"/>
          <w:szCs w:val="26"/>
        </w:rPr>
        <w:t>affirmed</w:t>
      </w:r>
      <w:r w:rsidRPr="003C38B8" w:rsidR="00D159C4">
        <w:rPr>
          <w:rFonts w:ascii="Century Schoolbook" w:hAnsi="Century Schoolbook"/>
          <w:szCs w:val="26"/>
        </w:rPr>
        <w:t>.</w:t>
      </w:r>
      <w:r w:rsidR="0069001D">
        <w:rPr>
          <w:rFonts w:ascii="Century Schoolbook" w:hAnsi="Century Schoolbook"/>
          <w:szCs w:val="26"/>
        </w:rPr>
        <w:t xml:space="preserve">  </w:t>
      </w:r>
      <w:r w:rsidR="00741002">
        <w:rPr>
          <w:rFonts w:ascii="Century Schoolbook" w:hAnsi="Century Schoolbook"/>
        </w:rPr>
        <w:t>USF</w:t>
      </w:r>
      <w:r w:rsidR="0044612F">
        <w:rPr>
          <w:rFonts w:ascii="Century Schoolbook" w:hAnsi="Century Schoolbook"/>
        </w:rPr>
        <w:t xml:space="preserve"> </w:t>
      </w:r>
      <w:r w:rsidR="002F0DD6">
        <w:rPr>
          <w:rFonts w:ascii="Century Schoolbook" w:hAnsi="Century Schoolbook"/>
          <w:szCs w:val="26"/>
        </w:rPr>
        <w:t>is entitled</w:t>
      </w:r>
      <w:r w:rsidR="00E0056E">
        <w:rPr>
          <w:rFonts w:ascii="Century Schoolbook" w:hAnsi="Century Schoolbook"/>
          <w:szCs w:val="26"/>
        </w:rPr>
        <w:t xml:space="preserve"> </w:t>
      </w:r>
      <w:r w:rsidRPr="00024F80" w:rsidR="00E0056E">
        <w:rPr>
          <w:rFonts w:ascii="Century Schoolbook" w:hAnsi="Century Schoolbook"/>
          <w:szCs w:val="26"/>
        </w:rPr>
        <w:t xml:space="preserve">recover </w:t>
      </w:r>
      <w:r w:rsidR="00E0056E">
        <w:rPr>
          <w:rFonts w:ascii="Century Schoolbook" w:hAnsi="Century Schoolbook"/>
          <w:szCs w:val="26"/>
        </w:rPr>
        <w:t xml:space="preserve">its </w:t>
      </w:r>
      <w:r w:rsidRPr="00024F80" w:rsidR="00E0056E">
        <w:rPr>
          <w:rFonts w:ascii="Century Schoolbook" w:hAnsi="Century Schoolbook"/>
          <w:szCs w:val="26"/>
        </w:rPr>
        <w:t>costs on appeal</w:t>
      </w:r>
      <w:r w:rsidR="00E0056E">
        <w:rPr>
          <w:rFonts w:ascii="Century Schoolbook" w:hAnsi="Century Schoolbook"/>
          <w:szCs w:val="26"/>
        </w:rPr>
        <w:t>.</w:t>
      </w:r>
      <w:r w:rsidRPr="00024F80" w:rsidR="00E0056E">
        <w:rPr>
          <w:rFonts w:ascii="Century Schoolbook" w:hAnsi="Century Schoolbook"/>
          <w:szCs w:val="26"/>
        </w:rPr>
        <w:t xml:space="preserve"> </w:t>
      </w:r>
      <w:r w:rsidR="00E0056E">
        <w:rPr>
          <w:rFonts w:ascii="Century Schoolbook" w:hAnsi="Century Schoolbook"/>
          <w:szCs w:val="26"/>
        </w:rPr>
        <w:t xml:space="preserve"> (</w:t>
      </w:r>
      <w:r w:rsidRPr="00024F80" w:rsidR="00E0056E">
        <w:rPr>
          <w:rFonts w:ascii="Century Schoolbook" w:hAnsi="Century Schoolbook"/>
          <w:szCs w:val="26"/>
        </w:rPr>
        <w:t>Cal</w:t>
      </w:r>
      <w:r w:rsidR="00E0056E">
        <w:rPr>
          <w:rFonts w:ascii="Century Schoolbook" w:hAnsi="Century Schoolbook"/>
          <w:szCs w:val="26"/>
        </w:rPr>
        <w:t>.</w:t>
      </w:r>
      <w:r w:rsidRPr="00024F80" w:rsidR="00E0056E">
        <w:rPr>
          <w:rFonts w:ascii="Century Schoolbook" w:hAnsi="Century Schoolbook"/>
          <w:szCs w:val="26"/>
        </w:rPr>
        <w:t xml:space="preserve"> Rules of Court, rule 8.278(a)(1)</w:t>
      </w:r>
      <w:r w:rsidR="00E0056E">
        <w:rPr>
          <w:rFonts w:ascii="Century Schoolbook" w:hAnsi="Century Schoolbook"/>
          <w:szCs w:val="26"/>
        </w:rPr>
        <w:t>, (2)</w:t>
      </w:r>
      <w:r w:rsidRPr="00024F80" w:rsidR="00E0056E">
        <w:rPr>
          <w:rFonts w:ascii="Century Schoolbook" w:hAnsi="Century Schoolbook"/>
          <w:szCs w:val="26"/>
        </w:rPr>
        <w:t>.</w:t>
      </w:r>
      <w:r w:rsidR="00E0056E">
        <w:rPr>
          <w:rFonts w:ascii="Century Schoolbook" w:hAnsi="Century Schoolbook"/>
          <w:szCs w:val="26"/>
        </w:rPr>
        <w:t>)</w:t>
      </w:r>
    </w:p>
    <w:p w:rsidR="00FF20DC" w14:paraId="38D41A32" w14:textId="77777777">
      <w:pPr>
        <w:tabs>
          <w:tab w:val="clear" w:pos="720"/>
        </w:tabs>
        <w:spacing w:after="160" w:line="259" w:lineRule="auto"/>
        <w:rPr>
          <w:rFonts w:ascii="Century Schoolbook" w:hAnsi="Century Schoolbook"/>
          <w:szCs w:val="26"/>
        </w:rPr>
      </w:pPr>
      <w:r>
        <w:rPr>
          <w:rFonts w:ascii="Century Schoolbook" w:hAnsi="Century Schoolbook"/>
          <w:szCs w:val="26"/>
        </w:rPr>
        <w:br w:type="page"/>
      </w:r>
    </w:p>
    <w:p w:rsidR="00FF20DC" w:rsidP="00FF20DC" w14:paraId="448F4C88" w14:textId="77777777">
      <w:pPr>
        <w:spacing w:line="240" w:lineRule="auto"/>
        <w:rPr>
          <w:rFonts w:ascii="Century Schoolbook" w:hAnsi="Century Schoolbook"/>
          <w:szCs w:val="26"/>
        </w:rPr>
      </w:pPr>
    </w:p>
    <w:p w:rsidR="00FF20DC" w:rsidP="00FF20DC" w14:paraId="135ACD1B" w14:textId="1D7B41BA">
      <w:pPr>
        <w:spacing w:line="240" w:lineRule="auto"/>
        <w:rPr>
          <w:rFonts w:ascii="Century Schoolbook" w:hAnsi="Century Schoolbook"/>
          <w:szCs w:val="26"/>
        </w:rPr>
      </w:pP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t>_________________________</w:t>
      </w:r>
    </w:p>
    <w:p w:rsidR="00FF20DC" w:rsidP="00FF20DC" w14:paraId="2640C16A" w14:textId="12B79ACD">
      <w:pPr>
        <w:spacing w:line="240" w:lineRule="auto"/>
        <w:rPr>
          <w:rFonts w:ascii="Century Schoolbook" w:hAnsi="Century Schoolbook"/>
          <w:szCs w:val="26"/>
        </w:rPr>
      </w:pP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t>Petrou, J.</w:t>
      </w:r>
    </w:p>
    <w:p w:rsidR="00FF20DC" w:rsidP="00FF20DC" w14:paraId="12A16EB5" w14:textId="77777777">
      <w:pPr>
        <w:spacing w:line="240" w:lineRule="auto"/>
        <w:rPr>
          <w:rFonts w:ascii="Century Schoolbook" w:hAnsi="Century Schoolbook"/>
          <w:szCs w:val="26"/>
        </w:rPr>
      </w:pPr>
    </w:p>
    <w:p w:rsidR="00FF20DC" w:rsidP="00FF20DC" w14:paraId="45C5CC39" w14:textId="77777777">
      <w:pPr>
        <w:spacing w:line="240" w:lineRule="auto"/>
        <w:rPr>
          <w:rFonts w:ascii="Century Schoolbook" w:hAnsi="Century Schoolbook"/>
          <w:szCs w:val="26"/>
        </w:rPr>
      </w:pPr>
    </w:p>
    <w:p w:rsidR="00FF20DC" w:rsidP="00FF20DC" w14:paraId="21C256E1" w14:textId="378BBF8B">
      <w:pPr>
        <w:spacing w:line="240" w:lineRule="auto"/>
        <w:rPr>
          <w:rFonts w:ascii="Century Schoolbook" w:hAnsi="Century Schoolbook"/>
          <w:szCs w:val="26"/>
        </w:rPr>
      </w:pPr>
      <w:r>
        <w:rPr>
          <w:rFonts w:ascii="Century Schoolbook" w:hAnsi="Century Schoolbook"/>
          <w:szCs w:val="26"/>
        </w:rPr>
        <w:t>WE CONCUR:</w:t>
      </w:r>
    </w:p>
    <w:p w:rsidR="00FF20DC" w:rsidP="00FF20DC" w14:paraId="3F6A477A" w14:textId="77777777">
      <w:pPr>
        <w:spacing w:line="240" w:lineRule="auto"/>
        <w:rPr>
          <w:rFonts w:ascii="Century Schoolbook" w:hAnsi="Century Schoolbook"/>
          <w:szCs w:val="26"/>
        </w:rPr>
      </w:pPr>
    </w:p>
    <w:p w:rsidR="00FF20DC" w:rsidP="00FF20DC" w14:paraId="4C09498F" w14:textId="77777777">
      <w:pPr>
        <w:spacing w:line="240" w:lineRule="auto"/>
        <w:rPr>
          <w:rFonts w:ascii="Century Schoolbook" w:hAnsi="Century Schoolbook"/>
          <w:szCs w:val="26"/>
        </w:rPr>
      </w:pPr>
    </w:p>
    <w:p w:rsidR="00FF20DC" w:rsidP="00FF20DC" w14:paraId="15B0CC85" w14:textId="3AA2BCE5">
      <w:pPr>
        <w:spacing w:line="240" w:lineRule="auto"/>
        <w:rPr>
          <w:rFonts w:ascii="Century Schoolbook" w:hAnsi="Century Schoolbook"/>
          <w:szCs w:val="26"/>
        </w:rPr>
      </w:pPr>
      <w:r>
        <w:rPr>
          <w:rFonts w:ascii="Century Schoolbook" w:hAnsi="Century Schoolbook"/>
          <w:szCs w:val="26"/>
        </w:rPr>
        <w:t>_________________________</w:t>
      </w:r>
    </w:p>
    <w:p w:rsidR="00FF20DC" w:rsidP="00FF20DC" w14:paraId="6BE27992" w14:textId="362E00CE">
      <w:pPr>
        <w:spacing w:line="240" w:lineRule="auto"/>
        <w:rPr>
          <w:rFonts w:ascii="Century Schoolbook" w:hAnsi="Century Schoolbook"/>
          <w:szCs w:val="26"/>
        </w:rPr>
      </w:pPr>
      <w:r>
        <w:rPr>
          <w:rFonts w:ascii="Century Schoolbook" w:hAnsi="Century Schoolbook"/>
          <w:szCs w:val="26"/>
        </w:rPr>
        <w:t>Fujisaki, Acting P.</w:t>
      </w:r>
      <w:r w:rsidR="00B70F87">
        <w:rPr>
          <w:rFonts w:ascii="Century Schoolbook" w:hAnsi="Century Schoolbook"/>
          <w:szCs w:val="26"/>
        </w:rPr>
        <w:t xml:space="preserve"> </w:t>
      </w:r>
      <w:r>
        <w:rPr>
          <w:rFonts w:ascii="Century Schoolbook" w:hAnsi="Century Schoolbook"/>
          <w:szCs w:val="26"/>
        </w:rPr>
        <w:t>J.</w:t>
      </w:r>
    </w:p>
    <w:p w:rsidR="00FF20DC" w:rsidP="00FF20DC" w14:paraId="459F48FB" w14:textId="77777777">
      <w:pPr>
        <w:spacing w:line="240" w:lineRule="auto"/>
        <w:rPr>
          <w:rFonts w:ascii="Century Schoolbook" w:hAnsi="Century Schoolbook"/>
          <w:szCs w:val="26"/>
        </w:rPr>
      </w:pPr>
    </w:p>
    <w:p w:rsidR="00FF20DC" w:rsidP="00FF20DC" w14:paraId="74F0F317" w14:textId="77777777">
      <w:pPr>
        <w:spacing w:line="240" w:lineRule="auto"/>
        <w:rPr>
          <w:rFonts w:ascii="Century Schoolbook" w:hAnsi="Century Schoolbook"/>
          <w:szCs w:val="26"/>
        </w:rPr>
      </w:pPr>
    </w:p>
    <w:p w:rsidR="00FF20DC" w:rsidP="00FF20DC" w14:paraId="5FFCD2F5" w14:textId="0135E69C">
      <w:pPr>
        <w:spacing w:line="240" w:lineRule="auto"/>
        <w:rPr>
          <w:rFonts w:ascii="Century Schoolbook" w:hAnsi="Century Schoolbook"/>
          <w:szCs w:val="26"/>
        </w:rPr>
      </w:pPr>
      <w:r>
        <w:rPr>
          <w:rFonts w:ascii="Century Schoolbook" w:hAnsi="Century Schoolbook"/>
          <w:szCs w:val="26"/>
        </w:rPr>
        <w:t>_________________________</w:t>
      </w:r>
    </w:p>
    <w:p w:rsidR="00FF20DC" w:rsidP="00FF20DC" w14:paraId="2C05C94E" w14:textId="2F58FEE8">
      <w:pPr>
        <w:spacing w:line="240" w:lineRule="auto"/>
        <w:rPr>
          <w:rFonts w:ascii="Century Schoolbook" w:hAnsi="Century Schoolbook"/>
          <w:szCs w:val="26"/>
        </w:rPr>
      </w:pPr>
      <w:r>
        <w:rPr>
          <w:rFonts w:ascii="Century Schoolbook" w:hAnsi="Century Schoolbook"/>
          <w:szCs w:val="26"/>
        </w:rPr>
        <w:t>Rodr</w:t>
      </w:r>
      <w:r w:rsidRPr="00FF20DC">
        <w:rPr>
          <w:rFonts w:ascii="Century Schoolbook" w:hAnsi="Century Schoolbook"/>
          <w:szCs w:val="26"/>
        </w:rPr>
        <w:t>í</w:t>
      </w:r>
      <w:r>
        <w:rPr>
          <w:rFonts w:ascii="Century Schoolbook" w:hAnsi="Century Schoolbook"/>
          <w:szCs w:val="26"/>
        </w:rPr>
        <w:t>guez, J.</w:t>
      </w:r>
    </w:p>
    <w:p w:rsidR="00FF20DC" w:rsidP="00FF20DC" w14:paraId="5EB428E5" w14:textId="77777777">
      <w:pPr>
        <w:spacing w:line="240" w:lineRule="auto"/>
        <w:rPr>
          <w:rFonts w:ascii="Century Schoolbook" w:hAnsi="Century Schoolbook"/>
          <w:szCs w:val="26"/>
        </w:rPr>
      </w:pPr>
    </w:p>
    <w:p w:rsidR="00FF20DC" w:rsidP="00FF20DC" w14:paraId="3131EFAC" w14:textId="77777777">
      <w:pPr>
        <w:spacing w:line="240" w:lineRule="auto"/>
        <w:rPr>
          <w:rFonts w:ascii="Century Schoolbook" w:hAnsi="Century Schoolbook"/>
          <w:szCs w:val="26"/>
        </w:rPr>
      </w:pPr>
    </w:p>
    <w:p w:rsidR="00FF20DC" w:rsidP="00FF20DC" w14:paraId="008F1F97" w14:textId="77777777">
      <w:pPr>
        <w:spacing w:line="240" w:lineRule="auto"/>
        <w:rPr>
          <w:rFonts w:ascii="Century Schoolbook" w:hAnsi="Century Schoolbook"/>
          <w:szCs w:val="26"/>
        </w:rPr>
      </w:pPr>
    </w:p>
    <w:p w:rsidR="00FF20DC" w:rsidP="00FF20DC" w14:paraId="700E3088" w14:textId="77777777">
      <w:pPr>
        <w:spacing w:line="240" w:lineRule="auto"/>
        <w:rPr>
          <w:rFonts w:ascii="Century Schoolbook" w:hAnsi="Century Schoolbook"/>
          <w:szCs w:val="26"/>
        </w:rPr>
      </w:pPr>
    </w:p>
    <w:p w:rsidR="00FF20DC" w:rsidP="00FF20DC" w14:paraId="2FC0E993" w14:textId="77777777">
      <w:pPr>
        <w:spacing w:line="240" w:lineRule="auto"/>
        <w:rPr>
          <w:rFonts w:ascii="Century Schoolbook" w:hAnsi="Century Schoolbook"/>
          <w:szCs w:val="26"/>
        </w:rPr>
      </w:pPr>
    </w:p>
    <w:p w:rsidR="00FF20DC" w:rsidP="00FF20DC" w14:paraId="620BF394" w14:textId="77777777">
      <w:pPr>
        <w:spacing w:line="240" w:lineRule="auto"/>
        <w:rPr>
          <w:rFonts w:ascii="Century Schoolbook" w:hAnsi="Century Schoolbook"/>
          <w:szCs w:val="26"/>
        </w:rPr>
      </w:pPr>
    </w:p>
    <w:p w:rsidR="00FF20DC" w:rsidP="00FF20DC" w14:paraId="4F152E23" w14:textId="77777777">
      <w:pPr>
        <w:spacing w:line="240" w:lineRule="auto"/>
        <w:rPr>
          <w:rFonts w:ascii="Century Schoolbook" w:hAnsi="Century Schoolbook"/>
          <w:szCs w:val="26"/>
        </w:rPr>
      </w:pPr>
    </w:p>
    <w:p w:rsidR="00FF20DC" w:rsidP="00FF20DC" w14:paraId="2F3D52E0" w14:textId="77777777">
      <w:pPr>
        <w:spacing w:line="240" w:lineRule="auto"/>
        <w:rPr>
          <w:rFonts w:ascii="Century Schoolbook" w:hAnsi="Century Schoolbook"/>
          <w:szCs w:val="26"/>
        </w:rPr>
      </w:pPr>
    </w:p>
    <w:p w:rsidR="00FF20DC" w:rsidP="00FF20DC" w14:paraId="67FF421C" w14:textId="77777777">
      <w:pPr>
        <w:spacing w:line="240" w:lineRule="auto"/>
        <w:rPr>
          <w:rFonts w:ascii="Century Schoolbook" w:hAnsi="Century Schoolbook"/>
          <w:szCs w:val="26"/>
        </w:rPr>
      </w:pPr>
    </w:p>
    <w:p w:rsidR="00FF20DC" w:rsidP="00FF20DC" w14:paraId="53FCF24D" w14:textId="77777777">
      <w:pPr>
        <w:spacing w:line="240" w:lineRule="auto"/>
        <w:rPr>
          <w:rFonts w:ascii="Century Schoolbook" w:hAnsi="Century Schoolbook"/>
          <w:szCs w:val="26"/>
        </w:rPr>
      </w:pPr>
    </w:p>
    <w:p w:rsidR="00FF20DC" w:rsidP="00FF20DC" w14:paraId="5023548D" w14:textId="77777777">
      <w:pPr>
        <w:spacing w:line="240" w:lineRule="auto"/>
        <w:rPr>
          <w:rFonts w:ascii="Century Schoolbook" w:hAnsi="Century Schoolbook"/>
          <w:szCs w:val="26"/>
        </w:rPr>
      </w:pPr>
    </w:p>
    <w:p w:rsidR="00FF20DC" w:rsidP="00FF20DC" w14:paraId="31D1534D" w14:textId="77777777">
      <w:pPr>
        <w:spacing w:line="240" w:lineRule="auto"/>
        <w:rPr>
          <w:rFonts w:ascii="Century Schoolbook" w:hAnsi="Century Schoolbook"/>
          <w:szCs w:val="26"/>
        </w:rPr>
      </w:pPr>
    </w:p>
    <w:p w:rsidR="00FF20DC" w:rsidP="00FF20DC" w14:paraId="23250439" w14:textId="77777777">
      <w:pPr>
        <w:spacing w:line="240" w:lineRule="auto"/>
        <w:rPr>
          <w:rFonts w:ascii="Century Schoolbook" w:hAnsi="Century Schoolbook"/>
          <w:szCs w:val="26"/>
        </w:rPr>
      </w:pPr>
    </w:p>
    <w:p w:rsidR="00FF20DC" w:rsidP="00FF20DC" w14:paraId="0519D7AD" w14:textId="77777777">
      <w:pPr>
        <w:spacing w:line="240" w:lineRule="auto"/>
        <w:rPr>
          <w:rFonts w:ascii="Century Schoolbook" w:hAnsi="Century Schoolbook"/>
          <w:szCs w:val="26"/>
        </w:rPr>
      </w:pPr>
    </w:p>
    <w:p w:rsidR="00FF20DC" w:rsidP="00FF20DC" w14:paraId="313F7854" w14:textId="77777777">
      <w:pPr>
        <w:spacing w:line="240" w:lineRule="auto"/>
        <w:rPr>
          <w:rFonts w:ascii="Century Schoolbook" w:hAnsi="Century Schoolbook"/>
          <w:szCs w:val="26"/>
        </w:rPr>
      </w:pPr>
    </w:p>
    <w:p w:rsidR="00FF20DC" w:rsidP="00FF20DC" w14:paraId="43E79076" w14:textId="77777777">
      <w:pPr>
        <w:spacing w:line="240" w:lineRule="auto"/>
        <w:rPr>
          <w:rFonts w:ascii="Century Schoolbook" w:hAnsi="Century Schoolbook"/>
          <w:szCs w:val="26"/>
        </w:rPr>
      </w:pPr>
    </w:p>
    <w:p w:rsidR="00FF20DC" w:rsidP="00FF20DC" w14:paraId="3355EC03" w14:textId="77777777">
      <w:pPr>
        <w:spacing w:line="240" w:lineRule="auto"/>
        <w:rPr>
          <w:rFonts w:ascii="Century Schoolbook" w:hAnsi="Century Schoolbook"/>
          <w:szCs w:val="26"/>
        </w:rPr>
      </w:pPr>
    </w:p>
    <w:p w:rsidR="00FF20DC" w:rsidP="00FF20DC" w14:paraId="3AC89B15" w14:textId="77777777">
      <w:pPr>
        <w:spacing w:line="240" w:lineRule="auto"/>
        <w:rPr>
          <w:rFonts w:ascii="Century Schoolbook" w:hAnsi="Century Schoolbook"/>
          <w:szCs w:val="26"/>
        </w:rPr>
      </w:pPr>
    </w:p>
    <w:p w:rsidR="00FF20DC" w:rsidP="00FF20DC" w14:paraId="33AB5D72" w14:textId="77777777">
      <w:pPr>
        <w:spacing w:line="240" w:lineRule="auto"/>
        <w:rPr>
          <w:rFonts w:ascii="Century Schoolbook" w:hAnsi="Century Schoolbook"/>
          <w:szCs w:val="26"/>
        </w:rPr>
      </w:pPr>
    </w:p>
    <w:p w:rsidR="00FF20DC" w:rsidP="00FF20DC" w14:paraId="5E7A4939" w14:textId="77777777">
      <w:pPr>
        <w:spacing w:line="240" w:lineRule="auto"/>
        <w:rPr>
          <w:rFonts w:ascii="Century Schoolbook" w:hAnsi="Century Schoolbook"/>
          <w:szCs w:val="26"/>
        </w:rPr>
      </w:pPr>
    </w:p>
    <w:p w:rsidR="00FF20DC" w:rsidP="00FF20DC" w14:paraId="0F19E9D5" w14:textId="77777777">
      <w:pPr>
        <w:spacing w:line="240" w:lineRule="auto"/>
        <w:rPr>
          <w:rFonts w:ascii="Century Schoolbook" w:hAnsi="Century Schoolbook"/>
          <w:szCs w:val="26"/>
        </w:rPr>
      </w:pPr>
    </w:p>
    <w:p w:rsidR="00FF20DC" w:rsidP="00FF20DC" w14:paraId="6D425995" w14:textId="77777777">
      <w:pPr>
        <w:spacing w:line="240" w:lineRule="auto"/>
        <w:rPr>
          <w:rFonts w:ascii="Century Schoolbook" w:hAnsi="Century Schoolbook"/>
          <w:szCs w:val="26"/>
        </w:rPr>
      </w:pPr>
    </w:p>
    <w:p w:rsidR="00FF20DC" w:rsidP="00FF20DC" w14:paraId="5E0F17D6" w14:textId="77777777">
      <w:pPr>
        <w:spacing w:line="240" w:lineRule="auto"/>
        <w:rPr>
          <w:rFonts w:ascii="Century Schoolbook" w:hAnsi="Century Schoolbook"/>
          <w:szCs w:val="26"/>
        </w:rPr>
      </w:pPr>
    </w:p>
    <w:p w:rsidR="00FF20DC" w:rsidP="00FF20DC" w14:paraId="4D97A360" w14:textId="77777777">
      <w:pPr>
        <w:spacing w:line="240" w:lineRule="auto"/>
        <w:rPr>
          <w:rFonts w:ascii="Century Schoolbook" w:hAnsi="Century Schoolbook"/>
          <w:szCs w:val="26"/>
        </w:rPr>
      </w:pPr>
    </w:p>
    <w:p w:rsidR="00FF20DC" w:rsidP="00FF20DC" w14:paraId="7D57CE42" w14:textId="77777777">
      <w:pPr>
        <w:spacing w:line="240" w:lineRule="auto"/>
        <w:rPr>
          <w:rFonts w:ascii="Century Schoolbook" w:hAnsi="Century Schoolbook"/>
          <w:szCs w:val="26"/>
        </w:rPr>
      </w:pPr>
    </w:p>
    <w:p w:rsidR="00FF20DC" w:rsidP="00FF20DC" w14:paraId="471DEA37" w14:textId="77777777">
      <w:pPr>
        <w:spacing w:line="240" w:lineRule="auto"/>
        <w:rPr>
          <w:rFonts w:ascii="Century Schoolbook" w:hAnsi="Century Schoolbook"/>
          <w:szCs w:val="26"/>
        </w:rPr>
      </w:pPr>
    </w:p>
    <w:p w:rsidR="00FF20DC" w:rsidP="00FF20DC" w14:paraId="4492C789" w14:textId="1C93B0EF">
      <w:pPr>
        <w:spacing w:line="240" w:lineRule="auto"/>
        <w:rPr>
          <w:rFonts w:ascii="Century Schoolbook" w:hAnsi="Century Schoolbook"/>
          <w:i/>
          <w:iCs/>
          <w:szCs w:val="26"/>
        </w:rPr>
      </w:pPr>
      <w:r>
        <w:rPr>
          <w:rFonts w:ascii="Century Schoolbook" w:hAnsi="Century Schoolbook"/>
          <w:szCs w:val="26"/>
        </w:rPr>
        <w:t>A165976;A166231/</w:t>
      </w:r>
      <w:r>
        <w:rPr>
          <w:rFonts w:ascii="Century Schoolbook" w:hAnsi="Century Schoolbook"/>
          <w:i/>
          <w:iCs/>
          <w:szCs w:val="26"/>
        </w:rPr>
        <w:t>Berlanga et al., v. University of San Francisco</w:t>
      </w:r>
    </w:p>
    <w:p w:rsidR="009B5DEA" w:rsidRPr="00156E51" w:rsidP="009B5DEA" w14:paraId="0365E5D2" w14:textId="77777777">
      <w:pPr>
        <w:tabs>
          <w:tab w:val="clear" w:pos="720"/>
          <w:tab w:val="left" w:pos="1440"/>
        </w:tabs>
        <w:spacing w:line="240" w:lineRule="auto"/>
        <w:rPr>
          <w:rFonts w:ascii="Century Schoolbook" w:hAnsi="Century Schoolbook"/>
        </w:rPr>
      </w:pPr>
      <w:r w:rsidRPr="00156E51">
        <w:rPr>
          <w:rFonts w:ascii="Century Schoolbook" w:hAnsi="Century Schoolbook"/>
        </w:rPr>
        <w:t>Trial Court:</w:t>
      </w:r>
      <w:r w:rsidRPr="00156E51">
        <w:rPr>
          <w:rFonts w:ascii="Century Schoolbook" w:hAnsi="Century Schoolbook"/>
        </w:rPr>
        <w:tab/>
      </w:r>
      <w:r>
        <w:rPr>
          <w:rFonts w:ascii="Century Schoolbook" w:hAnsi="Century Schoolbook"/>
        </w:rPr>
        <w:tab/>
      </w:r>
      <w:r w:rsidRPr="00156E51">
        <w:rPr>
          <w:rFonts w:ascii="Century Schoolbook" w:hAnsi="Century Schoolbook"/>
        </w:rPr>
        <w:t>San Francisco County Superior Court</w:t>
      </w:r>
    </w:p>
    <w:p w:rsidR="009B5DEA" w:rsidRPr="00156E51" w:rsidP="009B5DEA" w14:paraId="772E4F46" w14:textId="77777777">
      <w:pPr>
        <w:tabs>
          <w:tab w:val="clear" w:pos="720"/>
          <w:tab w:val="left" w:pos="1440"/>
        </w:tabs>
        <w:spacing w:line="240" w:lineRule="auto"/>
        <w:rPr>
          <w:rFonts w:ascii="Century Schoolbook" w:hAnsi="Century Schoolbook"/>
        </w:rPr>
      </w:pPr>
    </w:p>
    <w:p w:rsidR="009B5DEA" w:rsidRPr="00156E51" w:rsidP="009B5DEA" w14:paraId="46A43427" w14:textId="77777777">
      <w:pPr>
        <w:tabs>
          <w:tab w:val="clear" w:pos="720"/>
          <w:tab w:val="left" w:pos="1440"/>
        </w:tabs>
        <w:spacing w:line="240" w:lineRule="auto"/>
        <w:rPr>
          <w:rFonts w:ascii="Century Schoolbook" w:hAnsi="Century Schoolbook"/>
        </w:rPr>
      </w:pPr>
      <w:r w:rsidRPr="00156E51">
        <w:rPr>
          <w:rFonts w:ascii="Century Schoolbook" w:hAnsi="Century Schoolbook"/>
        </w:rPr>
        <w:t>Trial Judge:</w:t>
      </w:r>
      <w:r w:rsidRPr="00156E51">
        <w:rPr>
          <w:rFonts w:ascii="Century Schoolbook" w:hAnsi="Century Schoolbook"/>
        </w:rPr>
        <w:tab/>
      </w:r>
      <w:r>
        <w:rPr>
          <w:rFonts w:ascii="Century Schoolbook" w:hAnsi="Century Schoolbook"/>
        </w:rPr>
        <w:t>Hon. Andrew Y.S. Cheng</w:t>
      </w:r>
    </w:p>
    <w:p w:rsidR="009B5DEA" w:rsidRPr="00156E51" w:rsidP="009B5DEA" w14:paraId="2471A299" w14:textId="77777777">
      <w:pPr>
        <w:tabs>
          <w:tab w:val="clear" w:pos="720"/>
          <w:tab w:val="left" w:pos="1440"/>
        </w:tabs>
        <w:spacing w:line="240" w:lineRule="auto"/>
        <w:rPr>
          <w:rFonts w:ascii="Century Schoolbook" w:hAnsi="Century Schoolbook"/>
        </w:rPr>
      </w:pPr>
    </w:p>
    <w:p w:rsidR="009B5DEA" w:rsidRPr="00156E51" w:rsidP="009B5DEA" w14:paraId="367786AC" w14:textId="77777777">
      <w:pPr>
        <w:tabs>
          <w:tab w:val="clear" w:pos="720"/>
          <w:tab w:val="left" w:pos="1440"/>
        </w:tabs>
        <w:spacing w:line="240" w:lineRule="auto"/>
        <w:ind w:left="2160" w:hanging="2160"/>
        <w:rPr>
          <w:rFonts w:ascii="Century Schoolbook" w:hAnsi="Century Schoolbook"/>
        </w:rPr>
      </w:pPr>
      <w:r w:rsidRPr="00156E51">
        <w:rPr>
          <w:rFonts w:ascii="Century Schoolbook" w:hAnsi="Century Schoolbook"/>
        </w:rPr>
        <w:t>Counsel:</w:t>
      </w:r>
      <w:r w:rsidRPr="00156E51">
        <w:rPr>
          <w:rFonts w:ascii="Century Schoolbook" w:hAnsi="Century Schoolbook"/>
        </w:rPr>
        <w:tab/>
      </w:r>
      <w:r>
        <w:rPr>
          <w:rFonts w:ascii="Century Schoolbook" w:hAnsi="Century Schoolbook"/>
        </w:rPr>
        <w:tab/>
        <w:t xml:space="preserve">Keller, Fishback &amp; Jackson, Stephen M. Fishback, Tenny Mirzayan; Bursor &amp; Fisher, L. Timothy Fisher, Frederick J. Klorczyk III, and Brittany S. Scott; The Arkin Law Firm, Sharon J. Arkin for Plaintiffs and Appellants. </w:t>
      </w:r>
    </w:p>
    <w:p w:rsidR="009B5DEA" w:rsidRPr="00156E51" w:rsidP="009B5DEA" w14:paraId="22764C14" w14:textId="77777777">
      <w:pPr>
        <w:tabs>
          <w:tab w:val="clear" w:pos="720"/>
          <w:tab w:val="left" w:pos="1440"/>
        </w:tabs>
        <w:spacing w:line="240" w:lineRule="auto"/>
        <w:ind w:left="2160" w:hanging="2160"/>
        <w:rPr>
          <w:rFonts w:ascii="Century Schoolbook" w:hAnsi="Century Schoolbook"/>
        </w:rPr>
      </w:pPr>
    </w:p>
    <w:p w:rsidR="009B5DEA" w:rsidRPr="00156E51" w:rsidP="009B5DEA" w14:paraId="2F515BB5" w14:textId="77777777">
      <w:pPr>
        <w:tabs>
          <w:tab w:val="clear" w:pos="720"/>
          <w:tab w:val="left" w:pos="1440"/>
        </w:tabs>
        <w:spacing w:line="240" w:lineRule="auto"/>
        <w:ind w:left="2160" w:hanging="2160"/>
        <w:rPr>
          <w:rFonts w:ascii="Century Schoolbook" w:hAnsi="Century Schoolbook"/>
        </w:rPr>
      </w:pPr>
      <w:r w:rsidRPr="00156E51">
        <w:rPr>
          <w:rFonts w:ascii="Century Schoolbook" w:hAnsi="Century Schoolbook"/>
        </w:rPr>
        <w:tab/>
      </w:r>
      <w:r>
        <w:rPr>
          <w:rFonts w:ascii="Century Schoolbook" w:hAnsi="Century Schoolbook"/>
        </w:rPr>
        <w:tab/>
        <w:t xml:space="preserve">Holland &amp; Knight, Vito A Costanzo, Kristina S. Azlin, Stacey H. Wang, and Qian Shen, for Defendant and Respondent. </w:t>
      </w:r>
    </w:p>
    <w:p w:rsidR="009B5DEA" w:rsidP="009B5DEA" w14:paraId="5F37EA52" w14:textId="77777777"/>
    <w:p w:rsidR="009B5DEA" w:rsidRPr="009B5DEA" w:rsidP="00FF20DC" w14:paraId="3EB5AEA3" w14:textId="77777777">
      <w:pPr>
        <w:spacing w:line="240" w:lineRule="auto"/>
        <w:rPr>
          <w:rFonts w:ascii="Century Schoolbook" w:hAnsi="Century Schoolbook"/>
          <w:szCs w:val="26"/>
        </w:rPr>
      </w:pPr>
    </w:p>
    <w:sectPr w:rsidSect="000E4145">
      <w:footerReference w:type="even" r:id="rId6"/>
      <w:footerReference w:type="default" r:id="rId7"/>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3E64" w:rsidP="00B442F1" w14:paraId="106CD364" w14:textId="77777777">
    <w:pPr>
      <w:pStyle w:val="Footer"/>
      <w:framePr w:wrap="around" w:vAnchor="text" w:hAnchor="margin" w:xAlign="center" w:y="1"/>
      <w:rPr>
        <w:rStyle w:val="PageNumber"/>
      </w:rPr>
    </w:pPr>
  </w:p>
  <w:p w:rsidR="002C3E64" w:rsidP="00B442F1" w14:paraId="39F65E4C" w14:textId="77777777">
    <w:pPr>
      <w:pStyle w:val="Footer"/>
      <w:framePr w:wrap="around" w:vAnchor="text" w:hAnchor="margin" w:xAlign="center" w:y="1"/>
      <w:rPr>
        <w:rStyle w:val="PageNumber"/>
      </w:rPr>
    </w:pPr>
  </w:p>
  <w:p w:rsidR="002C3E64" w14:paraId="3B8C61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1841706"/>
      <w:docPartObj>
        <w:docPartGallery w:val="Page Numbers (Bottom of Page)"/>
        <w:docPartUnique/>
      </w:docPartObj>
    </w:sdtPr>
    <w:sdtEndPr>
      <w:rPr>
        <w:noProof/>
      </w:rPr>
    </w:sdtEndPr>
    <w:sdtContent>
      <w:p w:rsidR="002C3E64" w14:paraId="0FE4DAF3" w14:textId="2855BFD6">
        <w:pPr>
          <w:pStyle w:val="Footer"/>
          <w:jc w:val="center"/>
        </w:pPr>
        <w:r>
          <w:fldChar w:fldCharType="begin"/>
        </w:r>
        <w:r>
          <w:instrText xml:space="preserve"> PAGE   \* MERGEFORMAT </w:instrText>
        </w:r>
        <w:r>
          <w:fldChar w:fldCharType="separate"/>
        </w:r>
        <w:r w:rsidR="00546804">
          <w:rPr>
            <w:noProof/>
          </w:rPr>
          <w:t>8</w:t>
        </w:r>
        <w:r>
          <w:rPr>
            <w:noProof/>
          </w:rPr>
          <w:fldChar w:fldCharType="end"/>
        </w:r>
      </w:p>
    </w:sdtContent>
  </w:sdt>
  <w:p w:rsidR="002C3E64" w:rsidRPr="008A7AA0" w:rsidP="008A7AA0" w14:paraId="36F22FC7" w14:textId="2B52C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3CEF" w:rsidP="00C0565C" w14:paraId="6314BB3C" w14:textId="77777777">
      <w:pPr>
        <w:spacing w:line="240" w:lineRule="auto"/>
      </w:pPr>
      <w:r>
        <w:separator/>
      </w:r>
    </w:p>
  </w:footnote>
  <w:footnote w:type="continuationSeparator" w:id="1">
    <w:p w:rsidR="00F73CEF" w:rsidP="00C0565C" w14:paraId="50E0AF87" w14:textId="77777777">
      <w:pPr>
        <w:spacing w:line="240" w:lineRule="auto"/>
      </w:pPr>
      <w:r>
        <w:continuationSeparator/>
      </w:r>
    </w:p>
  </w:footnote>
  <w:footnote w:id="2">
    <w:p w:rsidR="00B35A67" w:rsidP="00E9207B" w14:paraId="2662670A" w14:textId="1F2AEF4B">
      <w:pPr>
        <w:pStyle w:val="FootnoteText"/>
        <w:ind w:firstLine="0"/>
      </w:pPr>
      <w:r>
        <w:rPr>
          <w:rStyle w:val="FootnoteReference"/>
        </w:rPr>
        <w:footnoteRef/>
      </w:r>
      <w:r>
        <w:t xml:space="preserve"> </w:t>
      </w:r>
      <w:r w:rsidR="008819A7">
        <w:tab/>
      </w:r>
      <w:r>
        <w:t xml:space="preserve">USF’s catalog provides </w:t>
      </w:r>
      <w:r w:rsidR="001C273A">
        <w:t>the information contained therein “is subject to change” and USF</w:t>
      </w:r>
      <w:r>
        <w:t xml:space="preserve"> “reserves the right to revise its regulations and programs in accord with sound academic standards and requirements.” </w:t>
      </w:r>
    </w:p>
  </w:footnote>
  <w:footnote w:id="3">
    <w:p w:rsidR="009C5FD4" w:rsidP="00E9207B" w14:paraId="196BD7C1" w14:textId="7F1BD70A">
      <w:pPr>
        <w:pStyle w:val="FootnoteText"/>
        <w:ind w:firstLine="0"/>
      </w:pPr>
      <w:r>
        <w:rPr>
          <w:rStyle w:val="FootnoteReference"/>
        </w:rPr>
        <w:footnoteRef/>
      </w:r>
      <w:r>
        <w:t xml:space="preserve"> </w:t>
      </w:r>
      <w:r w:rsidR="008819A7">
        <w:tab/>
      </w:r>
      <w:r>
        <w:t>We do not address the court’s holding on the UCL cause of action because that part of the ruling was not appealed.</w:t>
      </w:r>
    </w:p>
  </w:footnote>
  <w:footnote w:id="4">
    <w:p w:rsidR="009443FF" w:rsidP="00E9207B" w14:paraId="2DAE42A2" w14:textId="6C96746D">
      <w:pPr>
        <w:pStyle w:val="FootnoteText"/>
        <w:ind w:firstLine="0"/>
      </w:pPr>
      <w:r>
        <w:rPr>
          <w:rStyle w:val="FootnoteReference"/>
        </w:rPr>
        <w:footnoteRef/>
      </w:r>
      <w:r>
        <w:t xml:space="preserve"> </w:t>
      </w:r>
      <w:r w:rsidR="008819A7">
        <w:tab/>
      </w:r>
      <w:r w:rsidR="008D5ED1">
        <w:t>Appellant</w:t>
      </w:r>
      <w:r>
        <w:t xml:space="preserve"> Berlanga also testified she received a “verbal promise</w:t>
      </w:r>
      <w:r w:rsidR="00A31847">
        <w:t>[]</w:t>
      </w:r>
      <w:r>
        <w:t>” from “whoever was giving me the tour” of USF that “</w:t>
      </w:r>
      <w:r w:rsidR="00A31847">
        <w:t> ‘</w:t>
      </w:r>
      <w:r>
        <w:t>[t]his is where you’ll spend your four years at . . . USF.</w:t>
      </w:r>
      <w:r w:rsidR="00A31847">
        <w:t>’ </w:t>
      </w:r>
      <w:r>
        <w:t xml:space="preserve">” </w:t>
      </w:r>
      <w:r w:rsidR="00806DE0">
        <w:t xml:space="preserve"> </w:t>
      </w:r>
      <w:r w:rsidR="00E9207B">
        <w:t>She</w:t>
      </w:r>
      <w:r>
        <w:t xml:space="preserve"> does not identify who made this alleged promise and what authority, if any, that individual had to contract on behalf of USF.</w:t>
      </w:r>
    </w:p>
  </w:footnote>
  <w:footnote w:id="5">
    <w:p w:rsidR="00320D23" w:rsidRPr="00320D23" w:rsidP="00E9207B" w14:paraId="1BF6CAD4" w14:textId="44AA53A2">
      <w:pPr>
        <w:pStyle w:val="FootnoteText"/>
        <w:ind w:firstLine="0"/>
      </w:pPr>
      <w:r>
        <w:rPr>
          <w:rStyle w:val="FootnoteReference"/>
        </w:rPr>
        <w:footnoteRef/>
      </w:r>
      <w:r>
        <w:t xml:space="preserve"> </w:t>
      </w:r>
      <w:r w:rsidR="008819A7">
        <w:tab/>
      </w:r>
      <w:r w:rsidR="008D5ED1">
        <w:t>Appellants</w:t>
      </w:r>
      <w:r>
        <w:t xml:space="preserve"> also rely on various cases</w:t>
      </w:r>
      <w:r w:rsidR="00066245">
        <w:t xml:space="preserve"> (1)</w:t>
      </w:r>
      <w:r>
        <w:t xml:space="preserve"> decided at the motion to dismiss stage</w:t>
      </w:r>
      <w:r w:rsidR="00066245">
        <w:t>, or (2) outside California</w:t>
      </w:r>
      <w:r>
        <w:t xml:space="preserve">.  We find those cases distinguishable </w:t>
      </w:r>
      <w:r w:rsidR="00066245">
        <w:t>because</w:t>
      </w:r>
      <w:r>
        <w:t xml:space="preserve"> they </w:t>
      </w:r>
      <w:r w:rsidR="008847E9">
        <w:t xml:space="preserve">either </w:t>
      </w:r>
      <w:r>
        <w:t>require a different evidentiary showing from the parties (</w:t>
      </w:r>
      <w:r w:rsidR="00066245">
        <w:t>s</w:t>
      </w:r>
      <w:r>
        <w:t xml:space="preserve">ee </w:t>
      </w:r>
      <w:r>
        <w:rPr>
          <w:i/>
          <w:iCs/>
        </w:rPr>
        <w:t>Randall</w:t>
      </w:r>
      <w:r>
        <w:t xml:space="preserve">, </w:t>
      </w:r>
      <w:r>
        <w:rPr>
          <w:i/>
          <w:iCs/>
        </w:rPr>
        <w:t>supra</w:t>
      </w:r>
      <w:r>
        <w:t xml:space="preserve">, </w:t>
      </w:r>
      <w:r w:rsidRPr="006850A5">
        <w:rPr>
          <w:iCs/>
          <w:szCs w:val="26"/>
        </w:rPr>
        <w:t>2022 WL 1720085</w:t>
      </w:r>
      <w:r>
        <w:rPr>
          <w:iCs/>
          <w:szCs w:val="26"/>
        </w:rPr>
        <w:t xml:space="preserve"> </w:t>
      </w:r>
      <w:r>
        <w:t>at p. *6 [“</w:t>
      </w:r>
      <w:r w:rsidRPr="00320D23">
        <w:t xml:space="preserve">While this Court concluded at the motion to dismiss stage that Plaintiff had sufficiently alleged facts that </w:t>
      </w:r>
      <w:r w:rsidRPr="00D537AF">
        <w:rPr>
          <w:i/>
          <w:iCs/>
        </w:rPr>
        <w:t>could</w:t>
      </w:r>
      <w:r w:rsidRPr="00320D23">
        <w:t xml:space="preserve"> show a specific promise by Defendant to hold in-person instruction and services, at the summary judgment phase Plaintiff must provide evidence supporting his assertion that Defendant made express promises. </w:t>
      </w:r>
      <w:r>
        <w:t xml:space="preserve"> </w:t>
      </w:r>
      <w:r w:rsidRPr="00320D23">
        <w:t xml:space="preserve">Statements in the course catalog about the </w:t>
      </w:r>
      <w:r>
        <w:t>‘</w:t>
      </w:r>
      <w:r w:rsidRPr="00320D23">
        <w:t>days and times</w:t>
      </w:r>
      <w:r>
        <w:t>’</w:t>
      </w:r>
      <w:r w:rsidRPr="00320D23">
        <w:t xml:space="preserve"> and the </w:t>
      </w:r>
      <w:r>
        <w:t>‘</w:t>
      </w:r>
      <w:r w:rsidRPr="00320D23">
        <w:t>location</w:t>
      </w:r>
      <w:r>
        <w:t>’</w:t>
      </w:r>
      <w:r w:rsidRPr="00320D23">
        <w:t xml:space="preserve"> of courses are not express promises to provide in-person instruction.</w:t>
      </w:r>
      <w:r>
        <w:t>”])</w:t>
      </w:r>
      <w:r w:rsidR="00066245">
        <w:t xml:space="preserve"> or do not apply California law.</w:t>
      </w:r>
    </w:p>
  </w:footnote>
  <w:footnote w:id="6">
    <w:p w:rsidR="00385CAE" w:rsidP="00E9207B" w14:paraId="01BE0218" w14:textId="4A4FF0C6">
      <w:pPr>
        <w:pStyle w:val="FootnoteText"/>
        <w:ind w:firstLine="0"/>
      </w:pPr>
      <w:r>
        <w:rPr>
          <w:rStyle w:val="FootnoteReference"/>
        </w:rPr>
        <w:footnoteRef/>
      </w:r>
      <w:r>
        <w:t xml:space="preserve"> </w:t>
      </w:r>
      <w:r w:rsidR="008819A7">
        <w:tab/>
      </w:r>
      <w:r w:rsidR="008D5ED1">
        <w:t>Appellants</w:t>
      </w:r>
      <w:r>
        <w:t xml:space="preserve"> assert triable issues of fact remain as to various defenses asserted by USF.  </w:t>
      </w:r>
      <w:r w:rsidR="00E9207B">
        <w:t>We</w:t>
      </w:r>
      <w:r>
        <w:t xml:space="preserve"> need not reach these </w:t>
      </w:r>
      <w:r w:rsidR="0090077D">
        <w:t>issues</w:t>
      </w:r>
      <w:r w:rsidR="001F0BE0">
        <w:t xml:space="preserve">, including the question of </w:t>
      </w:r>
      <w:r w:rsidR="008D5ED1">
        <w:t>appellant</w:t>
      </w:r>
      <w:r w:rsidR="001F0BE0">
        <w:t xml:space="preserve"> Kaiser’s standing,</w:t>
      </w:r>
      <w:r>
        <w:t xml:space="preserve"> because we conclude </w:t>
      </w:r>
      <w:r w:rsidR="008D5ED1">
        <w:rPr>
          <w:iCs/>
          <w:szCs w:val="26"/>
        </w:rPr>
        <w:t>appellants</w:t>
      </w:r>
      <w:r w:rsidR="008D5ED1">
        <w:t xml:space="preserve"> </w:t>
      </w:r>
      <w:r w:rsidR="0090077D">
        <w:t xml:space="preserve">failed to establish triable issues of </w:t>
      </w:r>
      <w:r w:rsidR="001F0BE0">
        <w:t>f</w:t>
      </w:r>
      <w:r w:rsidR="0090077D">
        <w:t>act as to their claims.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46C7"/>
    <w:multiLevelType w:val="hybridMultilevel"/>
    <w:tmpl w:val="633EC7A6"/>
    <w:lvl w:ilvl="0">
      <w:start w:val="2"/>
      <w:numFmt w:val="bullet"/>
      <w:lvlText w:val="-"/>
      <w:lvlJc w:val="left"/>
      <w:pPr>
        <w:ind w:left="1080" w:hanging="360"/>
      </w:pPr>
      <w:rPr>
        <w:rFonts w:ascii="Century Schoolbook" w:hAnsi="Century Schoolbook"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3197A32"/>
    <w:multiLevelType w:val="hybridMultilevel"/>
    <w:tmpl w:val="23AAB6C6"/>
    <w:lvl w:ilvl="0">
      <w:start w:val="3"/>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B916941"/>
    <w:multiLevelType w:val="hybridMultilevel"/>
    <w:tmpl w:val="539886FA"/>
    <w:lvl w:ilvl="0">
      <w:start w:val="1"/>
      <w:numFmt w:val="bullet"/>
      <w:lvlText w:val="-"/>
      <w:lvlJc w:val="left"/>
      <w:pPr>
        <w:ind w:left="1080" w:hanging="360"/>
      </w:pPr>
      <w:rPr>
        <w:rFonts w:ascii="Century Schoolbook" w:hAnsi="Century Schoolbook"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DDD10A5"/>
    <w:multiLevelType w:val="hybridMultilevel"/>
    <w:tmpl w:val="468605DE"/>
    <w:lvl w:ilvl="0">
      <w:start w:val="4"/>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E153051"/>
    <w:multiLevelType w:val="hybridMultilevel"/>
    <w:tmpl w:val="CABC0D90"/>
    <w:lvl w:ilvl="0">
      <w:start w:val="1"/>
      <w:numFmt w:val="bullet"/>
      <w:lvlText w:val="-"/>
      <w:lvlJc w:val="left"/>
      <w:pPr>
        <w:ind w:left="1080" w:hanging="360"/>
      </w:pPr>
      <w:rPr>
        <w:rFonts w:ascii="Century Schoolbook" w:hAnsi="Century Schoolbook"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3CB6CA6"/>
    <w:multiLevelType w:val="hybridMultilevel"/>
    <w:tmpl w:val="AD703D2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48D7F3D"/>
    <w:multiLevelType w:val="hybridMultilevel"/>
    <w:tmpl w:val="0ED43A94"/>
    <w:lvl w:ilvl="0">
      <w:start w:val="3"/>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41A0468"/>
    <w:multiLevelType w:val="hybridMultilevel"/>
    <w:tmpl w:val="A888E776"/>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A434D1A"/>
    <w:multiLevelType w:val="hybridMultilevel"/>
    <w:tmpl w:val="EC24B92A"/>
    <w:lvl w:ilvl="0">
      <w:start w:val="2"/>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73F6C64"/>
    <w:multiLevelType w:val="hybridMultilevel"/>
    <w:tmpl w:val="01021E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76F4143"/>
    <w:multiLevelType w:val="hybridMultilevel"/>
    <w:tmpl w:val="3CA2A48E"/>
    <w:lvl w:ilvl="0">
      <w:start w:val="3"/>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48D95E29"/>
    <w:multiLevelType w:val="hybridMultilevel"/>
    <w:tmpl w:val="12D4B822"/>
    <w:lvl w:ilvl="0">
      <w:start w:val="2"/>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D125E70"/>
    <w:multiLevelType w:val="hybridMultilevel"/>
    <w:tmpl w:val="27AE973C"/>
    <w:lvl w:ilvl="0">
      <w:start w:val="1"/>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5709444C"/>
    <w:multiLevelType w:val="hybridMultilevel"/>
    <w:tmpl w:val="A9F6ECC2"/>
    <w:lvl w:ilvl="0">
      <w:start w:val="1"/>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58E50569"/>
    <w:multiLevelType w:val="hybridMultilevel"/>
    <w:tmpl w:val="441A10F4"/>
    <w:lvl w:ilvl="0">
      <w:start w:val="2"/>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5B2C0042"/>
    <w:multiLevelType w:val="hybridMultilevel"/>
    <w:tmpl w:val="F0FA6AD8"/>
    <w:lvl w:ilvl="0">
      <w:start w:val="1"/>
      <w:numFmt w:val="bullet"/>
      <w:lvlText w:val="-"/>
      <w:lvlJc w:val="left"/>
      <w:pPr>
        <w:ind w:left="720" w:hanging="360"/>
      </w:pPr>
      <w:rPr>
        <w:rFonts w:ascii="Century Schoolbook" w:hAnsi="Century Schoolbook"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B448BC"/>
    <w:multiLevelType w:val="hybridMultilevel"/>
    <w:tmpl w:val="EB5010D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7D74662"/>
    <w:multiLevelType w:val="hybridMultilevel"/>
    <w:tmpl w:val="5A5041EE"/>
    <w:lvl w:ilvl="0">
      <w:start w:val="2"/>
      <w:numFmt w:val="bullet"/>
      <w:lvlText w:val="-"/>
      <w:lvlJc w:val="left"/>
      <w:pPr>
        <w:ind w:left="1080" w:hanging="360"/>
      </w:pPr>
      <w:rPr>
        <w:rFonts w:ascii="Century Schoolbook" w:hAnsi="Century Schoolbook"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7B861A0D"/>
    <w:multiLevelType w:val="hybridMultilevel"/>
    <w:tmpl w:val="E69C8EF4"/>
    <w:lvl w:ilvl="0">
      <w:start w:val="2"/>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7CA463CF"/>
    <w:multiLevelType w:val="hybridMultilevel"/>
    <w:tmpl w:val="9830F976"/>
    <w:lvl w:ilvl="0">
      <w:start w:val="2"/>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7CB877BA"/>
    <w:multiLevelType w:val="hybridMultilevel"/>
    <w:tmpl w:val="56F8BCB0"/>
    <w:lvl w:ilvl="0">
      <w:start w:val="2"/>
      <w:numFmt w:val="bullet"/>
      <w:lvlText w:val="-"/>
      <w:lvlJc w:val="left"/>
      <w:pPr>
        <w:ind w:left="1080" w:hanging="360"/>
      </w:pPr>
      <w:rPr>
        <w:rFonts w:ascii="Century Schoolbook" w:hAnsi="Century Schoolbook"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6"/>
  </w:num>
  <w:num w:numId="2">
    <w:abstractNumId w:val="7"/>
  </w:num>
  <w:num w:numId="3">
    <w:abstractNumId w:val="5"/>
  </w:num>
  <w:num w:numId="4">
    <w:abstractNumId w:val="19"/>
  </w:num>
  <w:num w:numId="5">
    <w:abstractNumId w:val="9"/>
  </w:num>
  <w:num w:numId="6">
    <w:abstractNumId w:val="20"/>
  </w:num>
  <w:num w:numId="7">
    <w:abstractNumId w:val="0"/>
  </w:num>
  <w:num w:numId="8">
    <w:abstractNumId w:val="1"/>
  </w:num>
  <w:num w:numId="9">
    <w:abstractNumId w:val="14"/>
  </w:num>
  <w:num w:numId="10">
    <w:abstractNumId w:val="12"/>
  </w:num>
  <w:num w:numId="11">
    <w:abstractNumId w:val="13"/>
  </w:num>
  <w:num w:numId="12">
    <w:abstractNumId w:val="17"/>
  </w:num>
  <w:num w:numId="13">
    <w:abstractNumId w:val="10"/>
  </w:num>
  <w:num w:numId="14">
    <w:abstractNumId w:val="15"/>
  </w:num>
  <w:num w:numId="15">
    <w:abstractNumId w:val="4"/>
  </w:num>
  <w:num w:numId="16">
    <w:abstractNumId w:val="8"/>
  </w:num>
  <w:num w:numId="17">
    <w:abstractNumId w:val="2"/>
  </w:num>
  <w:num w:numId="18">
    <w:abstractNumId w:val="6"/>
  </w:num>
  <w:num w:numId="19">
    <w:abstractNumId w:val="11"/>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5C"/>
    <w:rsid w:val="000007C8"/>
    <w:rsid w:val="00000E36"/>
    <w:rsid w:val="000013C0"/>
    <w:rsid w:val="00001581"/>
    <w:rsid w:val="00001797"/>
    <w:rsid w:val="00001BD8"/>
    <w:rsid w:val="0000222C"/>
    <w:rsid w:val="00003B35"/>
    <w:rsid w:val="0001205F"/>
    <w:rsid w:val="000132CF"/>
    <w:rsid w:val="0001459B"/>
    <w:rsid w:val="00014CBD"/>
    <w:rsid w:val="000169B1"/>
    <w:rsid w:val="00016ECC"/>
    <w:rsid w:val="000175A2"/>
    <w:rsid w:val="00017884"/>
    <w:rsid w:val="00020BBA"/>
    <w:rsid w:val="000211AD"/>
    <w:rsid w:val="00021975"/>
    <w:rsid w:val="00024AB5"/>
    <w:rsid w:val="00024F80"/>
    <w:rsid w:val="00025A08"/>
    <w:rsid w:val="000303D5"/>
    <w:rsid w:val="000311A3"/>
    <w:rsid w:val="00032A76"/>
    <w:rsid w:val="000358AF"/>
    <w:rsid w:val="00036061"/>
    <w:rsid w:val="000413FD"/>
    <w:rsid w:val="00043B68"/>
    <w:rsid w:val="00044538"/>
    <w:rsid w:val="000446CB"/>
    <w:rsid w:val="00044C64"/>
    <w:rsid w:val="00044C79"/>
    <w:rsid w:val="00045186"/>
    <w:rsid w:val="000469BF"/>
    <w:rsid w:val="00046DBA"/>
    <w:rsid w:val="0005068C"/>
    <w:rsid w:val="000508FA"/>
    <w:rsid w:val="000521F6"/>
    <w:rsid w:val="0005271C"/>
    <w:rsid w:val="00054DA1"/>
    <w:rsid w:val="000551F9"/>
    <w:rsid w:val="00055654"/>
    <w:rsid w:val="00055F2E"/>
    <w:rsid w:val="00057AF7"/>
    <w:rsid w:val="00060382"/>
    <w:rsid w:val="00060685"/>
    <w:rsid w:val="000606FD"/>
    <w:rsid w:val="00060BB1"/>
    <w:rsid w:val="00060F39"/>
    <w:rsid w:val="000635D3"/>
    <w:rsid w:val="00063C7B"/>
    <w:rsid w:val="00064BE6"/>
    <w:rsid w:val="00066245"/>
    <w:rsid w:val="000662D7"/>
    <w:rsid w:val="00066814"/>
    <w:rsid w:val="00066886"/>
    <w:rsid w:val="00067355"/>
    <w:rsid w:val="000711EE"/>
    <w:rsid w:val="00074144"/>
    <w:rsid w:val="0007420A"/>
    <w:rsid w:val="00074EBE"/>
    <w:rsid w:val="00075216"/>
    <w:rsid w:val="00075737"/>
    <w:rsid w:val="00075BFE"/>
    <w:rsid w:val="0007698A"/>
    <w:rsid w:val="00076D5B"/>
    <w:rsid w:val="00080ACA"/>
    <w:rsid w:val="00082162"/>
    <w:rsid w:val="000826D1"/>
    <w:rsid w:val="0008422A"/>
    <w:rsid w:val="00086798"/>
    <w:rsid w:val="00086CA2"/>
    <w:rsid w:val="0009161C"/>
    <w:rsid w:val="00093B26"/>
    <w:rsid w:val="00094FC8"/>
    <w:rsid w:val="0009717C"/>
    <w:rsid w:val="000A0717"/>
    <w:rsid w:val="000A0E85"/>
    <w:rsid w:val="000A1E34"/>
    <w:rsid w:val="000A2C29"/>
    <w:rsid w:val="000A5982"/>
    <w:rsid w:val="000A7415"/>
    <w:rsid w:val="000B1F02"/>
    <w:rsid w:val="000B31F3"/>
    <w:rsid w:val="000B441A"/>
    <w:rsid w:val="000B4B79"/>
    <w:rsid w:val="000B4BB4"/>
    <w:rsid w:val="000C1C06"/>
    <w:rsid w:val="000C2625"/>
    <w:rsid w:val="000C41EB"/>
    <w:rsid w:val="000C57B6"/>
    <w:rsid w:val="000C63FF"/>
    <w:rsid w:val="000D0736"/>
    <w:rsid w:val="000D09F1"/>
    <w:rsid w:val="000D0A87"/>
    <w:rsid w:val="000D2B43"/>
    <w:rsid w:val="000D2F05"/>
    <w:rsid w:val="000D2F67"/>
    <w:rsid w:val="000D595E"/>
    <w:rsid w:val="000D60E4"/>
    <w:rsid w:val="000D6B1B"/>
    <w:rsid w:val="000E081A"/>
    <w:rsid w:val="000E0BF4"/>
    <w:rsid w:val="000E2383"/>
    <w:rsid w:val="000E3B51"/>
    <w:rsid w:val="000E4145"/>
    <w:rsid w:val="000E4712"/>
    <w:rsid w:val="000E4D5C"/>
    <w:rsid w:val="000E4FB3"/>
    <w:rsid w:val="000E596F"/>
    <w:rsid w:val="000E5A40"/>
    <w:rsid w:val="000E5C61"/>
    <w:rsid w:val="000E6048"/>
    <w:rsid w:val="000E6559"/>
    <w:rsid w:val="000E7179"/>
    <w:rsid w:val="000F2DF3"/>
    <w:rsid w:val="000F3CC4"/>
    <w:rsid w:val="000F461F"/>
    <w:rsid w:val="000F513A"/>
    <w:rsid w:val="000F633F"/>
    <w:rsid w:val="001015EE"/>
    <w:rsid w:val="001029F0"/>
    <w:rsid w:val="00103EB7"/>
    <w:rsid w:val="0011115D"/>
    <w:rsid w:val="00111270"/>
    <w:rsid w:val="00112B91"/>
    <w:rsid w:val="00113199"/>
    <w:rsid w:val="0011420F"/>
    <w:rsid w:val="001168B0"/>
    <w:rsid w:val="001212FE"/>
    <w:rsid w:val="001222CA"/>
    <w:rsid w:val="00122C8D"/>
    <w:rsid w:val="001247E2"/>
    <w:rsid w:val="001250B6"/>
    <w:rsid w:val="0012523C"/>
    <w:rsid w:val="00125984"/>
    <w:rsid w:val="00127471"/>
    <w:rsid w:val="001308E2"/>
    <w:rsid w:val="00130F72"/>
    <w:rsid w:val="0013176E"/>
    <w:rsid w:val="00131EC3"/>
    <w:rsid w:val="00134719"/>
    <w:rsid w:val="00134904"/>
    <w:rsid w:val="00135D4C"/>
    <w:rsid w:val="00135EAA"/>
    <w:rsid w:val="00136760"/>
    <w:rsid w:val="00137763"/>
    <w:rsid w:val="001401BD"/>
    <w:rsid w:val="00140A43"/>
    <w:rsid w:val="00140C34"/>
    <w:rsid w:val="0014276A"/>
    <w:rsid w:val="001431EC"/>
    <w:rsid w:val="0014392D"/>
    <w:rsid w:val="0014434F"/>
    <w:rsid w:val="001446EE"/>
    <w:rsid w:val="00144AB8"/>
    <w:rsid w:val="001457DA"/>
    <w:rsid w:val="00145AF6"/>
    <w:rsid w:val="001469C5"/>
    <w:rsid w:val="00147C7E"/>
    <w:rsid w:val="001509F0"/>
    <w:rsid w:val="00150E07"/>
    <w:rsid w:val="00152133"/>
    <w:rsid w:val="00152F1D"/>
    <w:rsid w:val="00153127"/>
    <w:rsid w:val="00153759"/>
    <w:rsid w:val="00156394"/>
    <w:rsid w:val="00156E51"/>
    <w:rsid w:val="00156E56"/>
    <w:rsid w:val="0016070C"/>
    <w:rsid w:val="00161868"/>
    <w:rsid w:val="00161CBD"/>
    <w:rsid w:val="00162D6D"/>
    <w:rsid w:val="00164AAD"/>
    <w:rsid w:val="001654A3"/>
    <w:rsid w:val="00167092"/>
    <w:rsid w:val="00170642"/>
    <w:rsid w:val="00172D81"/>
    <w:rsid w:val="00173352"/>
    <w:rsid w:val="00180099"/>
    <w:rsid w:val="00184EAE"/>
    <w:rsid w:val="00185B94"/>
    <w:rsid w:val="00190261"/>
    <w:rsid w:val="001903A5"/>
    <w:rsid w:val="001904D3"/>
    <w:rsid w:val="00191A6D"/>
    <w:rsid w:val="00192711"/>
    <w:rsid w:val="001937EA"/>
    <w:rsid w:val="0019502F"/>
    <w:rsid w:val="00197E66"/>
    <w:rsid w:val="001A0DA9"/>
    <w:rsid w:val="001A2020"/>
    <w:rsid w:val="001A2548"/>
    <w:rsid w:val="001A43AD"/>
    <w:rsid w:val="001A4676"/>
    <w:rsid w:val="001A49BC"/>
    <w:rsid w:val="001A65E0"/>
    <w:rsid w:val="001A6934"/>
    <w:rsid w:val="001A76E0"/>
    <w:rsid w:val="001A7911"/>
    <w:rsid w:val="001B27D7"/>
    <w:rsid w:val="001B31D4"/>
    <w:rsid w:val="001B32CA"/>
    <w:rsid w:val="001B7754"/>
    <w:rsid w:val="001B79BC"/>
    <w:rsid w:val="001C1DB1"/>
    <w:rsid w:val="001C2505"/>
    <w:rsid w:val="001C273A"/>
    <w:rsid w:val="001C32A4"/>
    <w:rsid w:val="001C35E4"/>
    <w:rsid w:val="001C36A6"/>
    <w:rsid w:val="001C37CF"/>
    <w:rsid w:val="001C62C6"/>
    <w:rsid w:val="001D135A"/>
    <w:rsid w:val="001D2858"/>
    <w:rsid w:val="001D32D8"/>
    <w:rsid w:val="001D3908"/>
    <w:rsid w:val="001D3DB8"/>
    <w:rsid w:val="001D4627"/>
    <w:rsid w:val="001D4C97"/>
    <w:rsid w:val="001D7A46"/>
    <w:rsid w:val="001E1354"/>
    <w:rsid w:val="001E145B"/>
    <w:rsid w:val="001E14DD"/>
    <w:rsid w:val="001E4021"/>
    <w:rsid w:val="001E59D7"/>
    <w:rsid w:val="001E688A"/>
    <w:rsid w:val="001E6E42"/>
    <w:rsid w:val="001E7AAE"/>
    <w:rsid w:val="001E7CA8"/>
    <w:rsid w:val="001F0BE0"/>
    <w:rsid w:val="001F11FD"/>
    <w:rsid w:val="001F1469"/>
    <w:rsid w:val="001F27C1"/>
    <w:rsid w:val="001F548E"/>
    <w:rsid w:val="002052FA"/>
    <w:rsid w:val="00206652"/>
    <w:rsid w:val="00206BA0"/>
    <w:rsid w:val="00206BC7"/>
    <w:rsid w:val="00207A4E"/>
    <w:rsid w:val="00211C9F"/>
    <w:rsid w:val="0021217C"/>
    <w:rsid w:val="0021251E"/>
    <w:rsid w:val="002136B6"/>
    <w:rsid w:val="00214546"/>
    <w:rsid w:val="00215A37"/>
    <w:rsid w:val="00215E2B"/>
    <w:rsid w:val="0021621F"/>
    <w:rsid w:val="00217795"/>
    <w:rsid w:val="00222290"/>
    <w:rsid w:val="00222EBE"/>
    <w:rsid w:val="002235E4"/>
    <w:rsid w:val="00224470"/>
    <w:rsid w:val="00226141"/>
    <w:rsid w:val="00227B1C"/>
    <w:rsid w:val="0023006E"/>
    <w:rsid w:val="00230A6D"/>
    <w:rsid w:val="00231BCC"/>
    <w:rsid w:val="002359E5"/>
    <w:rsid w:val="00237AF6"/>
    <w:rsid w:val="00245106"/>
    <w:rsid w:val="00245A8F"/>
    <w:rsid w:val="002460E7"/>
    <w:rsid w:val="002465E5"/>
    <w:rsid w:val="00246FD8"/>
    <w:rsid w:val="00250ACE"/>
    <w:rsid w:val="00250DAA"/>
    <w:rsid w:val="00250E4C"/>
    <w:rsid w:val="00251111"/>
    <w:rsid w:val="002511BE"/>
    <w:rsid w:val="00253FD9"/>
    <w:rsid w:val="0025587B"/>
    <w:rsid w:val="002609BD"/>
    <w:rsid w:val="00263531"/>
    <w:rsid w:val="0026623F"/>
    <w:rsid w:val="002664CD"/>
    <w:rsid w:val="00266778"/>
    <w:rsid w:val="00271C4A"/>
    <w:rsid w:val="0027427F"/>
    <w:rsid w:val="00274518"/>
    <w:rsid w:val="00277D89"/>
    <w:rsid w:val="00277E70"/>
    <w:rsid w:val="00282B92"/>
    <w:rsid w:val="002831EE"/>
    <w:rsid w:val="002903A4"/>
    <w:rsid w:val="00291B31"/>
    <w:rsid w:val="00291B9C"/>
    <w:rsid w:val="00293D2A"/>
    <w:rsid w:val="00295350"/>
    <w:rsid w:val="0029617B"/>
    <w:rsid w:val="002971A5"/>
    <w:rsid w:val="00297F67"/>
    <w:rsid w:val="002A0345"/>
    <w:rsid w:val="002A2C52"/>
    <w:rsid w:val="002A41BA"/>
    <w:rsid w:val="002A5A39"/>
    <w:rsid w:val="002A792C"/>
    <w:rsid w:val="002B0244"/>
    <w:rsid w:val="002B3EFD"/>
    <w:rsid w:val="002B47EF"/>
    <w:rsid w:val="002B4AAC"/>
    <w:rsid w:val="002C001D"/>
    <w:rsid w:val="002C049F"/>
    <w:rsid w:val="002C2032"/>
    <w:rsid w:val="002C31C0"/>
    <w:rsid w:val="002C3E64"/>
    <w:rsid w:val="002D00A8"/>
    <w:rsid w:val="002D0170"/>
    <w:rsid w:val="002D02C2"/>
    <w:rsid w:val="002D0440"/>
    <w:rsid w:val="002D07A2"/>
    <w:rsid w:val="002D0A9D"/>
    <w:rsid w:val="002D23DF"/>
    <w:rsid w:val="002D2923"/>
    <w:rsid w:val="002D3A0D"/>
    <w:rsid w:val="002D3DAF"/>
    <w:rsid w:val="002D490B"/>
    <w:rsid w:val="002D5E31"/>
    <w:rsid w:val="002D7C45"/>
    <w:rsid w:val="002E04E1"/>
    <w:rsid w:val="002E1043"/>
    <w:rsid w:val="002E1303"/>
    <w:rsid w:val="002E22A6"/>
    <w:rsid w:val="002E2CBE"/>
    <w:rsid w:val="002E2DB3"/>
    <w:rsid w:val="002E561F"/>
    <w:rsid w:val="002E5643"/>
    <w:rsid w:val="002F0DD6"/>
    <w:rsid w:val="002F2062"/>
    <w:rsid w:val="002F62AD"/>
    <w:rsid w:val="002F691A"/>
    <w:rsid w:val="003000C2"/>
    <w:rsid w:val="0030574B"/>
    <w:rsid w:val="003122AB"/>
    <w:rsid w:val="00313255"/>
    <w:rsid w:val="00313CE3"/>
    <w:rsid w:val="00315239"/>
    <w:rsid w:val="00315578"/>
    <w:rsid w:val="00315C54"/>
    <w:rsid w:val="003171A7"/>
    <w:rsid w:val="003179DE"/>
    <w:rsid w:val="00317D67"/>
    <w:rsid w:val="003202BC"/>
    <w:rsid w:val="00320D23"/>
    <w:rsid w:val="00324BDE"/>
    <w:rsid w:val="0032515E"/>
    <w:rsid w:val="00332363"/>
    <w:rsid w:val="003329A7"/>
    <w:rsid w:val="00333230"/>
    <w:rsid w:val="0033346E"/>
    <w:rsid w:val="00334B6E"/>
    <w:rsid w:val="00335B31"/>
    <w:rsid w:val="00335EF8"/>
    <w:rsid w:val="00340A2F"/>
    <w:rsid w:val="00341A20"/>
    <w:rsid w:val="00341D6C"/>
    <w:rsid w:val="00342384"/>
    <w:rsid w:val="00342532"/>
    <w:rsid w:val="00342C3A"/>
    <w:rsid w:val="0034739E"/>
    <w:rsid w:val="00347BD8"/>
    <w:rsid w:val="00351F09"/>
    <w:rsid w:val="0035260E"/>
    <w:rsid w:val="003550ED"/>
    <w:rsid w:val="00355600"/>
    <w:rsid w:val="00356CFD"/>
    <w:rsid w:val="003573D6"/>
    <w:rsid w:val="0035780C"/>
    <w:rsid w:val="00357984"/>
    <w:rsid w:val="00357B91"/>
    <w:rsid w:val="003620E9"/>
    <w:rsid w:val="00363E18"/>
    <w:rsid w:val="00367F8D"/>
    <w:rsid w:val="00371861"/>
    <w:rsid w:val="003722EC"/>
    <w:rsid w:val="00372BEE"/>
    <w:rsid w:val="003733D9"/>
    <w:rsid w:val="00373684"/>
    <w:rsid w:val="00377205"/>
    <w:rsid w:val="00377B49"/>
    <w:rsid w:val="00381086"/>
    <w:rsid w:val="00381E9B"/>
    <w:rsid w:val="0038256B"/>
    <w:rsid w:val="0038363B"/>
    <w:rsid w:val="00384790"/>
    <w:rsid w:val="00385CAE"/>
    <w:rsid w:val="00387905"/>
    <w:rsid w:val="00387DAB"/>
    <w:rsid w:val="00392DFF"/>
    <w:rsid w:val="003952B9"/>
    <w:rsid w:val="00397354"/>
    <w:rsid w:val="003975D2"/>
    <w:rsid w:val="003A28B1"/>
    <w:rsid w:val="003A4D0E"/>
    <w:rsid w:val="003A5973"/>
    <w:rsid w:val="003A75B6"/>
    <w:rsid w:val="003A7FC9"/>
    <w:rsid w:val="003B045E"/>
    <w:rsid w:val="003B0D8A"/>
    <w:rsid w:val="003B174C"/>
    <w:rsid w:val="003B26A0"/>
    <w:rsid w:val="003B3898"/>
    <w:rsid w:val="003B4022"/>
    <w:rsid w:val="003B430A"/>
    <w:rsid w:val="003B7098"/>
    <w:rsid w:val="003C2F4A"/>
    <w:rsid w:val="003C38B8"/>
    <w:rsid w:val="003C39E9"/>
    <w:rsid w:val="003C45F7"/>
    <w:rsid w:val="003C5434"/>
    <w:rsid w:val="003C6ABD"/>
    <w:rsid w:val="003C7260"/>
    <w:rsid w:val="003C7B1A"/>
    <w:rsid w:val="003D0F79"/>
    <w:rsid w:val="003D179B"/>
    <w:rsid w:val="003D1B16"/>
    <w:rsid w:val="003D2A66"/>
    <w:rsid w:val="003D3720"/>
    <w:rsid w:val="003D4348"/>
    <w:rsid w:val="003D58FC"/>
    <w:rsid w:val="003D6D5C"/>
    <w:rsid w:val="003E0AF1"/>
    <w:rsid w:val="003E2342"/>
    <w:rsid w:val="003E2ECA"/>
    <w:rsid w:val="003F0882"/>
    <w:rsid w:val="003F0C1B"/>
    <w:rsid w:val="003F1D5F"/>
    <w:rsid w:val="003F2AAA"/>
    <w:rsid w:val="003F45A7"/>
    <w:rsid w:val="003F5DAC"/>
    <w:rsid w:val="003F654E"/>
    <w:rsid w:val="003F6BFB"/>
    <w:rsid w:val="00400480"/>
    <w:rsid w:val="00400EB4"/>
    <w:rsid w:val="00405C2C"/>
    <w:rsid w:val="004061D7"/>
    <w:rsid w:val="00407208"/>
    <w:rsid w:val="004116D6"/>
    <w:rsid w:val="00411C6C"/>
    <w:rsid w:val="004134F7"/>
    <w:rsid w:val="004154E5"/>
    <w:rsid w:val="00416EF9"/>
    <w:rsid w:val="00417D4E"/>
    <w:rsid w:val="00420B1A"/>
    <w:rsid w:val="00420D18"/>
    <w:rsid w:val="0042464B"/>
    <w:rsid w:val="0042510E"/>
    <w:rsid w:val="00426E54"/>
    <w:rsid w:val="0042713F"/>
    <w:rsid w:val="004322D3"/>
    <w:rsid w:val="00433FE0"/>
    <w:rsid w:val="00434721"/>
    <w:rsid w:val="00434763"/>
    <w:rsid w:val="00434772"/>
    <w:rsid w:val="00436217"/>
    <w:rsid w:val="00436D4A"/>
    <w:rsid w:val="00436F5B"/>
    <w:rsid w:val="00437D2B"/>
    <w:rsid w:val="00443FB4"/>
    <w:rsid w:val="0044531F"/>
    <w:rsid w:val="0044564C"/>
    <w:rsid w:val="00445B51"/>
    <w:rsid w:val="0044612F"/>
    <w:rsid w:val="00446446"/>
    <w:rsid w:val="00446F07"/>
    <w:rsid w:val="0045056E"/>
    <w:rsid w:val="00451186"/>
    <w:rsid w:val="00451CAA"/>
    <w:rsid w:val="0045216C"/>
    <w:rsid w:val="004539D9"/>
    <w:rsid w:val="00455010"/>
    <w:rsid w:val="004560B3"/>
    <w:rsid w:val="0046092F"/>
    <w:rsid w:val="00461E8D"/>
    <w:rsid w:val="00461EAD"/>
    <w:rsid w:val="00461EC2"/>
    <w:rsid w:val="00461F89"/>
    <w:rsid w:val="0046210D"/>
    <w:rsid w:val="004635A8"/>
    <w:rsid w:val="00464A3F"/>
    <w:rsid w:val="00470A51"/>
    <w:rsid w:val="0047237A"/>
    <w:rsid w:val="004724CB"/>
    <w:rsid w:val="00472652"/>
    <w:rsid w:val="00472D66"/>
    <w:rsid w:val="00473AFD"/>
    <w:rsid w:val="00475D00"/>
    <w:rsid w:val="00480A55"/>
    <w:rsid w:val="00480B65"/>
    <w:rsid w:val="00480BE9"/>
    <w:rsid w:val="00483E12"/>
    <w:rsid w:val="00483FD4"/>
    <w:rsid w:val="00484850"/>
    <w:rsid w:val="00484940"/>
    <w:rsid w:val="0048563A"/>
    <w:rsid w:val="00485AD4"/>
    <w:rsid w:val="00486EB4"/>
    <w:rsid w:val="00487CDB"/>
    <w:rsid w:val="00487FED"/>
    <w:rsid w:val="004907B7"/>
    <w:rsid w:val="00491AA9"/>
    <w:rsid w:val="004946C8"/>
    <w:rsid w:val="00495C3A"/>
    <w:rsid w:val="004A63D9"/>
    <w:rsid w:val="004B227B"/>
    <w:rsid w:val="004B273C"/>
    <w:rsid w:val="004B291C"/>
    <w:rsid w:val="004B5014"/>
    <w:rsid w:val="004B5671"/>
    <w:rsid w:val="004B6464"/>
    <w:rsid w:val="004B747E"/>
    <w:rsid w:val="004B7F9F"/>
    <w:rsid w:val="004C0387"/>
    <w:rsid w:val="004C19B4"/>
    <w:rsid w:val="004C3241"/>
    <w:rsid w:val="004C4085"/>
    <w:rsid w:val="004D086B"/>
    <w:rsid w:val="004D0DC3"/>
    <w:rsid w:val="004D0F05"/>
    <w:rsid w:val="004D1FFA"/>
    <w:rsid w:val="004D3427"/>
    <w:rsid w:val="004D36A3"/>
    <w:rsid w:val="004D53F6"/>
    <w:rsid w:val="004D567C"/>
    <w:rsid w:val="004D5952"/>
    <w:rsid w:val="004D60B0"/>
    <w:rsid w:val="004E03D2"/>
    <w:rsid w:val="004E0A47"/>
    <w:rsid w:val="004E13DF"/>
    <w:rsid w:val="004E1C09"/>
    <w:rsid w:val="004E2276"/>
    <w:rsid w:val="004E3085"/>
    <w:rsid w:val="004E3A11"/>
    <w:rsid w:val="004E490B"/>
    <w:rsid w:val="004F05D4"/>
    <w:rsid w:val="004F0E10"/>
    <w:rsid w:val="004F1E1D"/>
    <w:rsid w:val="004F4A4A"/>
    <w:rsid w:val="004F4AEB"/>
    <w:rsid w:val="004F4DF2"/>
    <w:rsid w:val="00500014"/>
    <w:rsid w:val="00501E0D"/>
    <w:rsid w:val="00504D9F"/>
    <w:rsid w:val="00504E60"/>
    <w:rsid w:val="00504FB1"/>
    <w:rsid w:val="005050F0"/>
    <w:rsid w:val="00507276"/>
    <w:rsid w:val="00507A50"/>
    <w:rsid w:val="00511D94"/>
    <w:rsid w:val="00512675"/>
    <w:rsid w:val="00524300"/>
    <w:rsid w:val="00524698"/>
    <w:rsid w:val="00526507"/>
    <w:rsid w:val="005268BB"/>
    <w:rsid w:val="005301AB"/>
    <w:rsid w:val="00530E85"/>
    <w:rsid w:val="0053178C"/>
    <w:rsid w:val="00531B76"/>
    <w:rsid w:val="00531C1E"/>
    <w:rsid w:val="00532928"/>
    <w:rsid w:val="0053488F"/>
    <w:rsid w:val="005365B4"/>
    <w:rsid w:val="00536F0A"/>
    <w:rsid w:val="00537081"/>
    <w:rsid w:val="0053750D"/>
    <w:rsid w:val="00542270"/>
    <w:rsid w:val="00543278"/>
    <w:rsid w:val="00543367"/>
    <w:rsid w:val="00544892"/>
    <w:rsid w:val="0054528F"/>
    <w:rsid w:val="00545791"/>
    <w:rsid w:val="00546614"/>
    <w:rsid w:val="00546804"/>
    <w:rsid w:val="0054680F"/>
    <w:rsid w:val="00547738"/>
    <w:rsid w:val="0055004B"/>
    <w:rsid w:val="00550934"/>
    <w:rsid w:val="00550E2B"/>
    <w:rsid w:val="00551AD9"/>
    <w:rsid w:val="00552A34"/>
    <w:rsid w:val="00554841"/>
    <w:rsid w:val="005551E9"/>
    <w:rsid w:val="00555327"/>
    <w:rsid w:val="00557726"/>
    <w:rsid w:val="005602EA"/>
    <w:rsid w:val="00561B35"/>
    <w:rsid w:val="00563EDF"/>
    <w:rsid w:val="00564E98"/>
    <w:rsid w:val="005655DC"/>
    <w:rsid w:val="00565E51"/>
    <w:rsid w:val="00567098"/>
    <w:rsid w:val="00572E1F"/>
    <w:rsid w:val="00574762"/>
    <w:rsid w:val="00576C95"/>
    <w:rsid w:val="00576EC9"/>
    <w:rsid w:val="0058130B"/>
    <w:rsid w:val="005827CF"/>
    <w:rsid w:val="00582831"/>
    <w:rsid w:val="00583267"/>
    <w:rsid w:val="00583E87"/>
    <w:rsid w:val="0058506F"/>
    <w:rsid w:val="00585393"/>
    <w:rsid w:val="00587D9D"/>
    <w:rsid w:val="005911FD"/>
    <w:rsid w:val="00591449"/>
    <w:rsid w:val="00594C06"/>
    <w:rsid w:val="00594EAD"/>
    <w:rsid w:val="005964BD"/>
    <w:rsid w:val="005A08B1"/>
    <w:rsid w:val="005A0EA4"/>
    <w:rsid w:val="005A1765"/>
    <w:rsid w:val="005A3A74"/>
    <w:rsid w:val="005A54AD"/>
    <w:rsid w:val="005A651D"/>
    <w:rsid w:val="005A746F"/>
    <w:rsid w:val="005B1DF2"/>
    <w:rsid w:val="005B2838"/>
    <w:rsid w:val="005B3502"/>
    <w:rsid w:val="005B6108"/>
    <w:rsid w:val="005B6F4B"/>
    <w:rsid w:val="005B74D2"/>
    <w:rsid w:val="005B7640"/>
    <w:rsid w:val="005C3FF3"/>
    <w:rsid w:val="005C7DFE"/>
    <w:rsid w:val="005D0FE2"/>
    <w:rsid w:val="005D1305"/>
    <w:rsid w:val="005D1631"/>
    <w:rsid w:val="005D1677"/>
    <w:rsid w:val="005D3346"/>
    <w:rsid w:val="005D7099"/>
    <w:rsid w:val="005D74A6"/>
    <w:rsid w:val="005D7BC0"/>
    <w:rsid w:val="005E0A5F"/>
    <w:rsid w:val="005E1A61"/>
    <w:rsid w:val="005E2FB5"/>
    <w:rsid w:val="005E2FE6"/>
    <w:rsid w:val="005E78F0"/>
    <w:rsid w:val="005F01CE"/>
    <w:rsid w:val="005F105D"/>
    <w:rsid w:val="005F17C8"/>
    <w:rsid w:val="005F1C11"/>
    <w:rsid w:val="005F31BE"/>
    <w:rsid w:val="005F3AB2"/>
    <w:rsid w:val="005F3B0B"/>
    <w:rsid w:val="005F5AF3"/>
    <w:rsid w:val="005F71F2"/>
    <w:rsid w:val="0060041E"/>
    <w:rsid w:val="00602C58"/>
    <w:rsid w:val="00602FC1"/>
    <w:rsid w:val="00604AF0"/>
    <w:rsid w:val="006070CF"/>
    <w:rsid w:val="00610513"/>
    <w:rsid w:val="00610782"/>
    <w:rsid w:val="006149AC"/>
    <w:rsid w:val="0061533F"/>
    <w:rsid w:val="006207CB"/>
    <w:rsid w:val="006211A1"/>
    <w:rsid w:val="00622392"/>
    <w:rsid w:val="00622C82"/>
    <w:rsid w:val="00623A3F"/>
    <w:rsid w:val="00625471"/>
    <w:rsid w:val="0062559E"/>
    <w:rsid w:val="0062643F"/>
    <w:rsid w:val="006272A0"/>
    <w:rsid w:val="00630193"/>
    <w:rsid w:val="0063030B"/>
    <w:rsid w:val="0063155E"/>
    <w:rsid w:val="00631999"/>
    <w:rsid w:val="00631BDC"/>
    <w:rsid w:val="00632159"/>
    <w:rsid w:val="00632685"/>
    <w:rsid w:val="00632C0A"/>
    <w:rsid w:val="00632C34"/>
    <w:rsid w:val="00633BA3"/>
    <w:rsid w:val="0063475C"/>
    <w:rsid w:val="00636572"/>
    <w:rsid w:val="00636F74"/>
    <w:rsid w:val="00640EFD"/>
    <w:rsid w:val="00642542"/>
    <w:rsid w:val="00642CCD"/>
    <w:rsid w:val="0064498E"/>
    <w:rsid w:val="00644E12"/>
    <w:rsid w:val="0064557B"/>
    <w:rsid w:val="006455D5"/>
    <w:rsid w:val="006465C4"/>
    <w:rsid w:val="006468D1"/>
    <w:rsid w:val="00647874"/>
    <w:rsid w:val="00647B78"/>
    <w:rsid w:val="00650540"/>
    <w:rsid w:val="00653087"/>
    <w:rsid w:val="006533D1"/>
    <w:rsid w:val="0065433F"/>
    <w:rsid w:val="00657911"/>
    <w:rsid w:val="00660882"/>
    <w:rsid w:val="00660BC8"/>
    <w:rsid w:val="00661032"/>
    <w:rsid w:val="00661BF8"/>
    <w:rsid w:val="006627C9"/>
    <w:rsid w:val="00663B5B"/>
    <w:rsid w:val="00664831"/>
    <w:rsid w:val="00666ECF"/>
    <w:rsid w:val="00667501"/>
    <w:rsid w:val="006700F7"/>
    <w:rsid w:val="00670CC0"/>
    <w:rsid w:val="00672058"/>
    <w:rsid w:val="0067410A"/>
    <w:rsid w:val="006750F9"/>
    <w:rsid w:val="00675723"/>
    <w:rsid w:val="00675BE7"/>
    <w:rsid w:val="00677A34"/>
    <w:rsid w:val="0068071E"/>
    <w:rsid w:val="00682BFC"/>
    <w:rsid w:val="006833A6"/>
    <w:rsid w:val="00683482"/>
    <w:rsid w:val="00684EEE"/>
    <w:rsid w:val="006850A5"/>
    <w:rsid w:val="00685925"/>
    <w:rsid w:val="00685B9A"/>
    <w:rsid w:val="00685DBA"/>
    <w:rsid w:val="0069001D"/>
    <w:rsid w:val="006904A9"/>
    <w:rsid w:val="006929A8"/>
    <w:rsid w:val="006935A6"/>
    <w:rsid w:val="0069377A"/>
    <w:rsid w:val="00695041"/>
    <w:rsid w:val="00696937"/>
    <w:rsid w:val="006A3C19"/>
    <w:rsid w:val="006A7E00"/>
    <w:rsid w:val="006B16CA"/>
    <w:rsid w:val="006B17FB"/>
    <w:rsid w:val="006B4994"/>
    <w:rsid w:val="006B5F4C"/>
    <w:rsid w:val="006B7287"/>
    <w:rsid w:val="006C14C2"/>
    <w:rsid w:val="006C1F7C"/>
    <w:rsid w:val="006C2186"/>
    <w:rsid w:val="006C22AA"/>
    <w:rsid w:val="006C31A7"/>
    <w:rsid w:val="006C4D5D"/>
    <w:rsid w:val="006C708F"/>
    <w:rsid w:val="006C78ED"/>
    <w:rsid w:val="006C7AA6"/>
    <w:rsid w:val="006D0DD7"/>
    <w:rsid w:val="006D1444"/>
    <w:rsid w:val="006D1812"/>
    <w:rsid w:val="006D20BB"/>
    <w:rsid w:val="006D6C8E"/>
    <w:rsid w:val="006D7025"/>
    <w:rsid w:val="006D783D"/>
    <w:rsid w:val="006E2454"/>
    <w:rsid w:val="006E260F"/>
    <w:rsid w:val="006E543E"/>
    <w:rsid w:val="006E58B1"/>
    <w:rsid w:val="006E66DB"/>
    <w:rsid w:val="006F1827"/>
    <w:rsid w:val="006F2CAF"/>
    <w:rsid w:val="006F358B"/>
    <w:rsid w:val="006F3D1D"/>
    <w:rsid w:val="006F6124"/>
    <w:rsid w:val="006F6508"/>
    <w:rsid w:val="006F68F1"/>
    <w:rsid w:val="00700E48"/>
    <w:rsid w:val="00701203"/>
    <w:rsid w:val="00704228"/>
    <w:rsid w:val="00704CE7"/>
    <w:rsid w:val="00705858"/>
    <w:rsid w:val="00705A22"/>
    <w:rsid w:val="00706E41"/>
    <w:rsid w:val="007077CA"/>
    <w:rsid w:val="007102AA"/>
    <w:rsid w:val="00710564"/>
    <w:rsid w:val="00710D76"/>
    <w:rsid w:val="00711126"/>
    <w:rsid w:val="007113DA"/>
    <w:rsid w:val="0071314C"/>
    <w:rsid w:val="00713161"/>
    <w:rsid w:val="00713633"/>
    <w:rsid w:val="0071463F"/>
    <w:rsid w:val="0071473E"/>
    <w:rsid w:val="00714E74"/>
    <w:rsid w:val="0071531D"/>
    <w:rsid w:val="007160CD"/>
    <w:rsid w:val="00716C6F"/>
    <w:rsid w:val="007215F1"/>
    <w:rsid w:val="00721AAB"/>
    <w:rsid w:val="0072241B"/>
    <w:rsid w:val="007238DF"/>
    <w:rsid w:val="00725EA3"/>
    <w:rsid w:val="007275B5"/>
    <w:rsid w:val="00734696"/>
    <w:rsid w:val="007351A7"/>
    <w:rsid w:val="00736BA1"/>
    <w:rsid w:val="007378A6"/>
    <w:rsid w:val="0074008D"/>
    <w:rsid w:val="00740E88"/>
    <w:rsid w:val="00741002"/>
    <w:rsid w:val="00742901"/>
    <w:rsid w:val="00742E61"/>
    <w:rsid w:val="00744A14"/>
    <w:rsid w:val="00745473"/>
    <w:rsid w:val="00745C2E"/>
    <w:rsid w:val="00750258"/>
    <w:rsid w:val="007512E7"/>
    <w:rsid w:val="00752017"/>
    <w:rsid w:val="007526B7"/>
    <w:rsid w:val="00753514"/>
    <w:rsid w:val="007549C3"/>
    <w:rsid w:val="00755978"/>
    <w:rsid w:val="00755A2B"/>
    <w:rsid w:val="00755D21"/>
    <w:rsid w:val="007565EF"/>
    <w:rsid w:val="00756C59"/>
    <w:rsid w:val="00756C64"/>
    <w:rsid w:val="00761120"/>
    <w:rsid w:val="00761A58"/>
    <w:rsid w:val="00763A56"/>
    <w:rsid w:val="00764ABB"/>
    <w:rsid w:val="007653B0"/>
    <w:rsid w:val="00765F65"/>
    <w:rsid w:val="00767790"/>
    <w:rsid w:val="00770071"/>
    <w:rsid w:val="00770A94"/>
    <w:rsid w:val="00772CD1"/>
    <w:rsid w:val="007731A1"/>
    <w:rsid w:val="00773C69"/>
    <w:rsid w:val="007754A1"/>
    <w:rsid w:val="007770CE"/>
    <w:rsid w:val="0078016B"/>
    <w:rsid w:val="007803D9"/>
    <w:rsid w:val="00780D1A"/>
    <w:rsid w:val="00780DDC"/>
    <w:rsid w:val="00781BFF"/>
    <w:rsid w:val="007829B8"/>
    <w:rsid w:val="00782D24"/>
    <w:rsid w:val="00783EE6"/>
    <w:rsid w:val="0078689A"/>
    <w:rsid w:val="00786A1C"/>
    <w:rsid w:val="00787B55"/>
    <w:rsid w:val="00790CAD"/>
    <w:rsid w:val="007919A4"/>
    <w:rsid w:val="00796CCC"/>
    <w:rsid w:val="007A0979"/>
    <w:rsid w:val="007A0997"/>
    <w:rsid w:val="007A15F8"/>
    <w:rsid w:val="007A29AD"/>
    <w:rsid w:val="007A4DCE"/>
    <w:rsid w:val="007A5913"/>
    <w:rsid w:val="007A6E6B"/>
    <w:rsid w:val="007A6FCD"/>
    <w:rsid w:val="007B09A0"/>
    <w:rsid w:val="007B0D7F"/>
    <w:rsid w:val="007B103C"/>
    <w:rsid w:val="007B11C0"/>
    <w:rsid w:val="007B12E1"/>
    <w:rsid w:val="007B1979"/>
    <w:rsid w:val="007B6143"/>
    <w:rsid w:val="007B786B"/>
    <w:rsid w:val="007C0939"/>
    <w:rsid w:val="007C1E08"/>
    <w:rsid w:val="007C45F6"/>
    <w:rsid w:val="007C4CA2"/>
    <w:rsid w:val="007C5737"/>
    <w:rsid w:val="007C5D40"/>
    <w:rsid w:val="007C7D52"/>
    <w:rsid w:val="007D0568"/>
    <w:rsid w:val="007D16DA"/>
    <w:rsid w:val="007D1746"/>
    <w:rsid w:val="007D368A"/>
    <w:rsid w:val="007D51B9"/>
    <w:rsid w:val="007D69F7"/>
    <w:rsid w:val="007E0083"/>
    <w:rsid w:val="007E02AC"/>
    <w:rsid w:val="007E1BFF"/>
    <w:rsid w:val="007E27E9"/>
    <w:rsid w:val="007E322B"/>
    <w:rsid w:val="007E7537"/>
    <w:rsid w:val="007E7B7D"/>
    <w:rsid w:val="007F3564"/>
    <w:rsid w:val="007F36A5"/>
    <w:rsid w:val="007F37EF"/>
    <w:rsid w:val="007F4E7E"/>
    <w:rsid w:val="007F60B7"/>
    <w:rsid w:val="007F7C63"/>
    <w:rsid w:val="0080112E"/>
    <w:rsid w:val="00801E6F"/>
    <w:rsid w:val="0080617E"/>
    <w:rsid w:val="00806DE0"/>
    <w:rsid w:val="0081022C"/>
    <w:rsid w:val="00810ECD"/>
    <w:rsid w:val="00811382"/>
    <w:rsid w:val="00812BFE"/>
    <w:rsid w:val="00813E03"/>
    <w:rsid w:val="00814A27"/>
    <w:rsid w:val="00814B71"/>
    <w:rsid w:val="00814E6A"/>
    <w:rsid w:val="00816217"/>
    <w:rsid w:val="008176B1"/>
    <w:rsid w:val="00821406"/>
    <w:rsid w:val="0082238D"/>
    <w:rsid w:val="00822CDC"/>
    <w:rsid w:val="008259EF"/>
    <w:rsid w:val="008268CD"/>
    <w:rsid w:val="0082786A"/>
    <w:rsid w:val="00827B73"/>
    <w:rsid w:val="00832F64"/>
    <w:rsid w:val="00834C1C"/>
    <w:rsid w:val="00834E7A"/>
    <w:rsid w:val="00835254"/>
    <w:rsid w:val="00835645"/>
    <w:rsid w:val="00836E24"/>
    <w:rsid w:val="008428B1"/>
    <w:rsid w:val="008439E9"/>
    <w:rsid w:val="00844259"/>
    <w:rsid w:val="00844B54"/>
    <w:rsid w:val="008453B6"/>
    <w:rsid w:val="008466BC"/>
    <w:rsid w:val="008473B2"/>
    <w:rsid w:val="00847496"/>
    <w:rsid w:val="00850855"/>
    <w:rsid w:val="008573BB"/>
    <w:rsid w:val="008575D2"/>
    <w:rsid w:val="00857EBF"/>
    <w:rsid w:val="00861C93"/>
    <w:rsid w:val="008646D6"/>
    <w:rsid w:val="00864B7B"/>
    <w:rsid w:val="0086690D"/>
    <w:rsid w:val="008679BE"/>
    <w:rsid w:val="0087283D"/>
    <w:rsid w:val="00873774"/>
    <w:rsid w:val="00874CDB"/>
    <w:rsid w:val="00875178"/>
    <w:rsid w:val="008753A5"/>
    <w:rsid w:val="00876FD6"/>
    <w:rsid w:val="008809DF"/>
    <w:rsid w:val="00880DA3"/>
    <w:rsid w:val="008819A7"/>
    <w:rsid w:val="00881CDD"/>
    <w:rsid w:val="00883F14"/>
    <w:rsid w:val="00884766"/>
    <w:rsid w:val="008847E9"/>
    <w:rsid w:val="008847F7"/>
    <w:rsid w:val="00884F32"/>
    <w:rsid w:val="00885F88"/>
    <w:rsid w:val="00886756"/>
    <w:rsid w:val="00890863"/>
    <w:rsid w:val="008931E2"/>
    <w:rsid w:val="00893F56"/>
    <w:rsid w:val="00894749"/>
    <w:rsid w:val="008969CA"/>
    <w:rsid w:val="00896A6A"/>
    <w:rsid w:val="00896F32"/>
    <w:rsid w:val="0089746A"/>
    <w:rsid w:val="008A056E"/>
    <w:rsid w:val="008A0E48"/>
    <w:rsid w:val="008A1955"/>
    <w:rsid w:val="008A3606"/>
    <w:rsid w:val="008A421B"/>
    <w:rsid w:val="008A50BC"/>
    <w:rsid w:val="008A5476"/>
    <w:rsid w:val="008A54F5"/>
    <w:rsid w:val="008A7AA0"/>
    <w:rsid w:val="008B1E06"/>
    <w:rsid w:val="008B2C83"/>
    <w:rsid w:val="008B5179"/>
    <w:rsid w:val="008B5B93"/>
    <w:rsid w:val="008B6F37"/>
    <w:rsid w:val="008C1304"/>
    <w:rsid w:val="008C1FFC"/>
    <w:rsid w:val="008C2D41"/>
    <w:rsid w:val="008C3F68"/>
    <w:rsid w:val="008C5CD3"/>
    <w:rsid w:val="008D2119"/>
    <w:rsid w:val="008D3F96"/>
    <w:rsid w:val="008D4CA0"/>
    <w:rsid w:val="008D5ED1"/>
    <w:rsid w:val="008D7667"/>
    <w:rsid w:val="008D7E95"/>
    <w:rsid w:val="008E03E1"/>
    <w:rsid w:val="008E04DA"/>
    <w:rsid w:val="008E3182"/>
    <w:rsid w:val="008E4389"/>
    <w:rsid w:val="008E4E52"/>
    <w:rsid w:val="008E5145"/>
    <w:rsid w:val="008E5B7C"/>
    <w:rsid w:val="008E5D82"/>
    <w:rsid w:val="008E6DDA"/>
    <w:rsid w:val="008E7101"/>
    <w:rsid w:val="008F0236"/>
    <w:rsid w:val="008F28F6"/>
    <w:rsid w:val="008F6ED6"/>
    <w:rsid w:val="008F6FBB"/>
    <w:rsid w:val="0090077D"/>
    <w:rsid w:val="00900C0B"/>
    <w:rsid w:val="00900F5B"/>
    <w:rsid w:val="00900FBC"/>
    <w:rsid w:val="009020F3"/>
    <w:rsid w:val="009025C6"/>
    <w:rsid w:val="009029D0"/>
    <w:rsid w:val="00903D96"/>
    <w:rsid w:val="00904D6C"/>
    <w:rsid w:val="00906892"/>
    <w:rsid w:val="0090709F"/>
    <w:rsid w:val="009129F7"/>
    <w:rsid w:val="009131FE"/>
    <w:rsid w:val="00913CCE"/>
    <w:rsid w:val="009168F1"/>
    <w:rsid w:val="00916E19"/>
    <w:rsid w:val="00917FEB"/>
    <w:rsid w:val="009213C7"/>
    <w:rsid w:val="009232AC"/>
    <w:rsid w:val="00924954"/>
    <w:rsid w:val="009263E2"/>
    <w:rsid w:val="00926AA3"/>
    <w:rsid w:val="009272FF"/>
    <w:rsid w:val="0092742F"/>
    <w:rsid w:val="00927EF4"/>
    <w:rsid w:val="00930216"/>
    <w:rsid w:val="0093039A"/>
    <w:rsid w:val="00930C6F"/>
    <w:rsid w:val="009342F2"/>
    <w:rsid w:val="00935E3F"/>
    <w:rsid w:val="00936C01"/>
    <w:rsid w:val="0094002F"/>
    <w:rsid w:val="009443FF"/>
    <w:rsid w:val="00950987"/>
    <w:rsid w:val="00953525"/>
    <w:rsid w:val="00956D41"/>
    <w:rsid w:val="00957D15"/>
    <w:rsid w:val="009607B6"/>
    <w:rsid w:val="00960CC8"/>
    <w:rsid w:val="00961404"/>
    <w:rsid w:val="009621E7"/>
    <w:rsid w:val="00963A64"/>
    <w:rsid w:val="0096481A"/>
    <w:rsid w:val="00964B4A"/>
    <w:rsid w:val="0096539C"/>
    <w:rsid w:val="0096733E"/>
    <w:rsid w:val="00967F60"/>
    <w:rsid w:val="009707CE"/>
    <w:rsid w:val="00970DB8"/>
    <w:rsid w:val="00972592"/>
    <w:rsid w:val="009740EE"/>
    <w:rsid w:val="00982D1E"/>
    <w:rsid w:val="00983FA4"/>
    <w:rsid w:val="009845AE"/>
    <w:rsid w:val="00984BD7"/>
    <w:rsid w:val="00986833"/>
    <w:rsid w:val="00987213"/>
    <w:rsid w:val="00990CCB"/>
    <w:rsid w:val="00991308"/>
    <w:rsid w:val="00992A10"/>
    <w:rsid w:val="00993A69"/>
    <w:rsid w:val="00996182"/>
    <w:rsid w:val="009A33D1"/>
    <w:rsid w:val="009A4B1E"/>
    <w:rsid w:val="009A71F8"/>
    <w:rsid w:val="009A73DC"/>
    <w:rsid w:val="009B0D3C"/>
    <w:rsid w:val="009B1277"/>
    <w:rsid w:val="009B1800"/>
    <w:rsid w:val="009B186D"/>
    <w:rsid w:val="009B2316"/>
    <w:rsid w:val="009B31D0"/>
    <w:rsid w:val="009B5617"/>
    <w:rsid w:val="009B5DEA"/>
    <w:rsid w:val="009B7DB4"/>
    <w:rsid w:val="009C022F"/>
    <w:rsid w:val="009C3C0B"/>
    <w:rsid w:val="009C5745"/>
    <w:rsid w:val="009C5FD4"/>
    <w:rsid w:val="009C6900"/>
    <w:rsid w:val="009D1FE1"/>
    <w:rsid w:val="009D4346"/>
    <w:rsid w:val="009D5424"/>
    <w:rsid w:val="009D6611"/>
    <w:rsid w:val="009D6804"/>
    <w:rsid w:val="009D7D4C"/>
    <w:rsid w:val="009E1894"/>
    <w:rsid w:val="009E1D1E"/>
    <w:rsid w:val="009E3DDD"/>
    <w:rsid w:val="009E4793"/>
    <w:rsid w:val="009E5147"/>
    <w:rsid w:val="009E627E"/>
    <w:rsid w:val="009E693B"/>
    <w:rsid w:val="009E71D4"/>
    <w:rsid w:val="009F0875"/>
    <w:rsid w:val="009F0F5E"/>
    <w:rsid w:val="009F33D6"/>
    <w:rsid w:val="009F3498"/>
    <w:rsid w:val="009F618D"/>
    <w:rsid w:val="009F6C9D"/>
    <w:rsid w:val="00A0014F"/>
    <w:rsid w:val="00A022DD"/>
    <w:rsid w:val="00A0237C"/>
    <w:rsid w:val="00A0285A"/>
    <w:rsid w:val="00A03477"/>
    <w:rsid w:val="00A03ED4"/>
    <w:rsid w:val="00A03F8C"/>
    <w:rsid w:val="00A04E54"/>
    <w:rsid w:val="00A054A8"/>
    <w:rsid w:val="00A0612C"/>
    <w:rsid w:val="00A1081A"/>
    <w:rsid w:val="00A11AC6"/>
    <w:rsid w:val="00A1209F"/>
    <w:rsid w:val="00A1278A"/>
    <w:rsid w:val="00A12D71"/>
    <w:rsid w:val="00A16E87"/>
    <w:rsid w:val="00A17D47"/>
    <w:rsid w:val="00A22979"/>
    <w:rsid w:val="00A23A3A"/>
    <w:rsid w:val="00A2519F"/>
    <w:rsid w:val="00A25563"/>
    <w:rsid w:val="00A25C34"/>
    <w:rsid w:val="00A26295"/>
    <w:rsid w:val="00A30DE1"/>
    <w:rsid w:val="00A31847"/>
    <w:rsid w:val="00A32112"/>
    <w:rsid w:val="00A32226"/>
    <w:rsid w:val="00A32AEA"/>
    <w:rsid w:val="00A33E23"/>
    <w:rsid w:val="00A363E6"/>
    <w:rsid w:val="00A37DE0"/>
    <w:rsid w:val="00A40ABA"/>
    <w:rsid w:val="00A40C4B"/>
    <w:rsid w:val="00A40D89"/>
    <w:rsid w:val="00A412D4"/>
    <w:rsid w:val="00A4269C"/>
    <w:rsid w:val="00A4297E"/>
    <w:rsid w:val="00A43CA3"/>
    <w:rsid w:val="00A44A2C"/>
    <w:rsid w:val="00A45660"/>
    <w:rsid w:val="00A45728"/>
    <w:rsid w:val="00A4617A"/>
    <w:rsid w:val="00A4659A"/>
    <w:rsid w:val="00A50783"/>
    <w:rsid w:val="00A50D2C"/>
    <w:rsid w:val="00A5111E"/>
    <w:rsid w:val="00A515DD"/>
    <w:rsid w:val="00A5305A"/>
    <w:rsid w:val="00A53E9A"/>
    <w:rsid w:val="00A54F34"/>
    <w:rsid w:val="00A57625"/>
    <w:rsid w:val="00A578B6"/>
    <w:rsid w:val="00A57DEC"/>
    <w:rsid w:val="00A60AC1"/>
    <w:rsid w:val="00A61D33"/>
    <w:rsid w:val="00A67240"/>
    <w:rsid w:val="00A7011E"/>
    <w:rsid w:val="00A70992"/>
    <w:rsid w:val="00A719C5"/>
    <w:rsid w:val="00A72DFA"/>
    <w:rsid w:val="00A7465D"/>
    <w:rsid w:val="00A74BCA"/>
    <w:rsid w:val="00A74CB3"/>
    <w:rsid w:val="00A754A6"/>
    <w:rsid w:val="00A75FD0"/>
    <w:rsid w:val="00A75FEE"/>
    <w:rsid w:val="00A76545"/>
    <w:rsid w:val="00A768D7"/>
    <w:rsid w:val="00A769E5"/>
    <w:rsid w:val="00A77F9A"/>
    <w:rsid w:val="00A82570"/>
    <w:rsid w:val="00A841E4"/>
    <w:rsid w:val="00A84381"/>
    <w:rsid w:val="00A84B26"/>
    <w:rsid w:val="00A84C1C"/>
    <w:rsid w:val="00A856FE"/>
    <w:rsid w:val="00A85D5A"/>
    <w:rsid w:val="00A85FF9"/>
    <w:rsid w:val="00A867E8"/>
    <w:rsid w:val="00A90253"/>
    <w:rsid w:val="00A906ED"/>
    <w:rsid w:val="00A91364"/>
    <w:rsid w:val="00A91C73"/>
    <w:rsid w:val="00A93965"/>
    <w:rsid w:val="00A956EE"/>
    <w:rsid w:val="00A95CFE"/>
    <w:rsid w:val="00A96041"/>
    <w:rsid w:val="00A962CE"/>
    <w:rsid w:val="00A966FC"/>
    <w:rsid w:val="00AA0CEE"/>
    <w:rsid w:val="00AA5216"/>
    <w:rsid w:val="00AA54AB"/>
    <w:rsid w:val="00AB093E"/>
    <w:rsid w:val="00AB162B"/>
    <w:rsid w:val="00AB394B"/>
    <w:rsid w:val="00AB56AE"/>
    <w:rsid w:val="00AB6AB4"/>
    <w:rsid w:val="00AB7035"/>
    <w:rsid w:val="00AB7649"/>
    <w:rsid w:val="00AB7B5D"/>
    <w:rsid w:val="00AB7CD7"/>
    <w:rsid w:val="00AC1DEF"/>
    <w:rsid w:val="00AC27F6"/>
    <w:rsid w:val="00AC35BD"/>
    <w:rsid w:val="00AC589C"/>
    <w:rsid w:val="00AC6612"/>
    <w:rsid w:val="00AD0406"/>
    <w:rsid w:val="00AD101E"/>
    <w:rsid w:val="00AD47C9"/>
    <w:rsid w:val="00AD4904"/>
    <w:rsid w:val="00AE1EC6"/>
    <w:rsid w:val="00AE2A00"/>
    <w:rsid w:val="00AE304C"/>
    <w:rsid w:val="00AE39BE"/>
    <w:rsid w:val="00AE3AC3"/>
    <w:rsid w:val="00AE4E39"/>
    <w:rsid w:val="00AE5F15"/>
    <w:rsid w:val="00AE6326"/>
    <w:rsid w:val="00AE6346"/>
    <w:rsid w:val="00AE7987"/>
    <w:rsid w:val="00AF05C3"/>
    <w:rsid w:val="00AF1EBA"/>
    <w:rsid w:val="00AF4402"/>
    <w:rsid w:val="00AF4CBE"/>
    <w:rsid w:val="00AF6888"/>
    <w:rsid w:val="00AF6AF5"/>
    <w:rsid w:val="00B01F30"/>
    <w:rsid w:val="00B031DC"/>
    <w:rsid w:val="00B05445"/>
    <w:rsid w:val="00B05BF2"/>
    <w:rsid w:val="00B06A6B"/>
    <w:rsid w:val="00B06C17"/>
    <w:rsid w:val="00B06CBF"/>
    <w:rsid w:val="00B0715C"/>
    <w:rsid w:val="00B07C3C"/>
    <w:rsid w:val="00B10657"/>
    <w:rsid w:val="00B12748"/>
    <w:rsid w:val="00B12BBF"/>
    <w:rsid w:val="00B12C5C"/>
    <w:rsid w:val="00B135C3"/>
    <w:rsid w:val="00B16DD4"/>
    <w:rsid w:val="00B1755B"/>
    <w:rsid w:val="00B178DE"/>
    <w:rsid w:val="00B179E3"/>
    <w:rsid w:val="00B17B7C"/>
    <w:rsid w:val="00B20B6F"/>
    <w:rsid w:val="00B210A8"/>
    <w:rsid w:val="00B2136F"/>
    <w:rsid w:val="00B22B0F"/>
    <w:rsid w:val="00B2364F"/>
    <w:rsid w:val="00B23803"/>
    <w:rsid w:val="00B23C26"/>
    <w:rsid w:val="00B2455C"/>
    <w:rsid w:val="00B26C4D"/>
    <w:rsid w:val="00B2733E"/>
    <w:rsid w:val="00B2798C"/>
    <w:rsid w:val="00B308C9"/>
    <w:rsid w:val="00B334B6"/>
    <w:rsid w:val="00B341FC"/>
    <w:rsid w:val="00B350B4"/>
    <w:rsid w:val="00B35A67"/>
    <w:rsid w:val="00B360DC"/>
    <w:rsid w:val="00B401ED"/>
    <w:rsid w:val="00B41223"/>
    <w:rsid w:val="00B422E4"/>
    <w:rsid w:val="00B442F1"/>
    <w:rsid w:val="00B468FE"/>
    <w:rsid w:val="00B47088"/>
    <w:rsid w:val="00B47E59"/>
    <w:rsid w:val="00B50F81"/>
    <w:rsid w:val="00B51A55"/>
    <w:rsid w:val="00B53646"/>
    <w:rsid w:val="00B5397F"/>
    <w:rsid w:val="00B53F71"/>
    <w:rsid w:val="00B54A54"/>
    <w:rsid w:val="00B55E10"/>
    <w:rsid w:val="00B569BB"/>
    <w:rsid w:val="00B57221"/>
    <w:rsid w:val="00B6082B"/>
    <w:rsid w:val="00B62163"/>
    <w:rsid w:val="00B63C79"/>
    <w:rsid w:val="00B63D92"/>
    <w:rsid w:val="00B64980"/>
    <w:rsid w:val="00B66613"/>
    <w:rsid w:val="00B70F87"/>
    <w:rsid w:val="00B7160C"/>
    <w:rsid w:val="00B716D2"/>
    <w:rsid w:val="00B72354"/>
    <w:rsid w:val="00B7428A"/>
    <w:rsid w:val="00B74363"/>
    <w:rsid w:val="00B74623"/>
    <w:rsid w:val="00B761FF"/>
    <w:rsid w:val="00B76FFD"/>
    <w:rsid w:val="00B80D09"/>
    <w:rsid w:val="00B83F76"/>
    <w:rsid w:val="00B845C0"/>
    <w:rsid w:val="00B8517A"/>
    <w:rsid w:val="00B854C1"/>
    <w:rsid w:val="00B857BE"/>
    <w:rsid w:val="00B85DFA"/>
    <w:rsid w:val="00B86ED6"/>
    <w:rsid w:val="00B87E2D"/>
    <w:rsid w:val="00B909A3"/>
    <w:rsid w:val="00B9383A"/>
    <w:rsid w:val="00B94A6C"/>
    <w:rsid w:val="00B95C37"/>
    <w:rsid w:val="00B95F13"/>
    <w:rsid w:val="00B96B49"/>
    <w:rsid w:val="00BA023E"/>
    <w:rsid w:val="00BA0E8F"/>
    <w:rsid w:val="00BA13ED"/>
    <w:rsid w:val="00BA1CE1"/>
    <w:rsid w:val="00BA453E"/>
    <w:rsid w:val="00BA5A57"/>
    <w:rsid w:val="00BB0593"/>
    <w:rsid w:val="00BB1FDA"/>
    <w:rsid w:val="00BB28DE"/>
    <w:rsid w:val="00BB2F20"/>
    <w:rsid w:val="00BB3769"/>
    <w:rsid w:val="00BB57F7"/>
    <w:rsid w:val="00BB5829"/>
    <w:rsid w:val="00BB5DE9"/>
    <w:rsid w:val="00BC0098"/>
    <w:rsid w:val="00BC0888"/>
    <w:rsid w:val="00BC2A8D"/>
    <w:rsid w:val="00BC2FC6"/>
    <w:rsid w:val="00BC30CF"/>
    <w:rsid w:val="00BC4122"/>
    <w:rsid w:val="00BC4529"/>
    <w:rsid w:val="00BC52B4"/>
    <w:rsid w:val="00BC5B74"/>
    <w:rsid w:val="00BC5E3B"/>
    <w:rsid w:val="00BD0E94"/>
    <w:rsid w:val="00BD34B6"/>
    <w:rsid w:val="00BD437F"/>
    <w:rsid w:val="00BD6A14"/>
    <w:rsid w:val="00BD78F6"/>
    <w:rsid w:val="00BE041B"/>
    <w:rsid w:val="00BE0B5D"/>
    <w:rsid w:val="00BE2B34"/>
    <w:rsid w:val="00BE5A66"/>
    <w:rsid w:val="00BE5A8D"/>
    <w:rsid w:val="00BE6263"/>
    <w:rsid w:val="00BE7D55"/>
    <w:rsid w:val="00BF1F73"/>
    <w:rsid w:val="00BF216A"/>
    <w:rsid w:val="00BF29F2"/>
    <w:rsid w:val="00BF2F23"/>
    <w:rsid w:val="00BF35A0"/>
    <w:rsid w:val="00BF3C3A"/>
    <w:rsid w:val="00BF3C84"/>
    <w:rsid w:val="00BF4456"/>
    <w:rsid w:val="00BF4ECD"/>
    <w:rsid w:val="00BF525B"/>
    <w:rsid w:val="00BF6517"/>
    <w:rsid w:val="00BF6524"/>
    <w:rsid w:val="00BF7BE1"/>
    <w:rsid w:val="00C002A7"/>
    <w:rsid w:val="00C007F0"/>
    <w:rsid w:val="00C0118C"/>
    <w:rsid w:val="00C01EF5"/>
    <w:rsid w:val="00C029DB"/>
    <w:rsid w:val="00C03C5B"/>
    <w:rsid w:val="00C040F0"/>
    <w:rsid w:val="00C04675"/>
    <w:rsid w:val="00C04D3C"/>
    <w:rsid w:val="00C0565C"/>
    <w:rsid w:val="00C0605D"/>
    <w:rsid w:val="00C07A3B"/>
    <w:rsid w:val="00C1122C"/>
    <w:rsid w:val="00C158A1"/>
    <w:rsid w:val="00C15C80"/>
    <w:rsid w:val="00C15DF6"/>
    <w:rsid w:val="00C16FDB"/>
    <w:rsid w:val="00C20FFD"/>
    <w:rsid w:val="00C21724"/>
    <w:rsid w:val="00C21F6D"/>
    <w:rsid w:val="00C24FE3"/>
    <w:rsid w:val="00C250C5"/>
    <w:rsid w:val="00C25655"/>
    <w:rsid w:val="00C27434"/>
    <w:rsid w:val="00C30192"/>
    <w:rsid w:val="00C319A6"/>
    <w:rsid w:val="00C324E7"/>
    <w:rsid w:val="00C35AE9"/>
    <w:rsid w:val="00C35C3F"/>
    <w:rsid w:val="00C37C46"/>
    <w:rsid w:val="00C40CEA"/>
    <w:rsid w:val="00C41900"/>
    <w:rsid w:val="00C440B4"/>
    <w:rsid w:val="00C46697"/>
    <w:rsid w:val="00C46F53"/>
    <w:rsid w:val="00C520AF"/>
    <w:rsid w:val="00C523AF"/>
    <w:rsid w:val="00C5309C"/>
    <w:rsid w:val="00C53E5D"/>
    <w:rsid w:val="00C56434"/>
    <w:rsid w:val="00C619CB"/>
    <w:rsid w:val="00C6502A"/>
    <w:rsid w:val="00C65BC9"/>
    <w:rsid w:val="00C65FF2"/>
    <w:rsid w:val="00C669C5"/>
    <w:rsid w:val="00C67233"/>
    <w:rsid w:val="00C71533"/>
    <w:rsid w:val="00C73DEF"/>
    <w:rsid w:val="00C74BF5"/>
    <w:rsid w:val="00C7522C"/>
    <w:rsid w:val="00C75266"/>
    <w:rsid w:val="00C766DB"/>
    <w:rsid w:val="00C7699E"/>
    <w:rsid w:val="00C772E4"/>
    <w:rsid w:val="00C80D67"/>
    <w:rsid w:val="00C80F12"/>
    <w:rsid w:val="00C81EE9"/>
    <w:rsid w:val="00C821D5"/>
    <w:rsid w:val="00C83894"/>
    <w:rsid w:val="00C83FF0"/>
    <w:rsid w:val="00C84246"/>
    <w:rsid w:val="00C843CD"/>
    <w:rsid w:val="00C844A6"/>
    <w:rsid w:val="00C87995"/>
    <w:rsid w:val="00C90537"/>
    <w:rsid w:val="00C90571"/>
    <w:rsid w:val="00C92AA1"/>
    <w:rsid w:val="00C956C3"/>
    <w:rsid w:val="00C957A5"/>
    <w:rsid w:val="00C95997"/>
    <w:rsid w:val="00C97048"/>
    <w:rsid w:val="00C97390"/>
    <w:rsid w:val="00C97A3E"/>
    <w:rsid w:val="00C97D60"/>
    <w:rsid w:val="00CA3A87"/>
    <w:rsid w:val="00CA3D25"/>
    <w:rsid w:val="00CA4248"/>
    <w:rsid w:val="00CA4D2A"/>
    <w:rsid w:val="00CA665C"/>
    <w:rsid w:val="00CA7901"/>
    <w:rsid w:val="00CB05F3"/>
    <w:rsid w:val="00CB2828"/>
    <w:rsid w:val="00CB29D4"/>
    <w:rsid w:val="00CB52FC"/>
    <w:rsid w:val="00CB575D"/>
    <w:rsid w:val="00CB583A"/>
    <w:rsid w:val="00CB60EA"/>
    <w:rsid w:val="00CB6135"/>
    <w:rsid w:val="00CB61E5"/>
    <w:rsid w:val="00CB7B35"/>
    <w:rsid w:val="00CB7CEA"/>
    <w:rsid w:val="00CC01CB"/>
    <w:rsid w:val="00CC0EDB"/>
    <w:rsid w:val="00CC162C"/>
    <w:rsid w:val="00CC16E3"/>
    <w:rsid w:val="00CC1D34"/>
    <w:rsid w:val="00CC20E3"/>
    <w:rsid w:val="00CC3BEF"/>
    <w:rsid w:val="00CC4354"/>
    <w:rsid w:val="00CC6A47"/>
    <w:rsid w:val="00CC6A9B"/>
    <w:rsid w:val="00CC767F"/>
    <w:rsid w:val="00CC7931"/>
    <w:rsid w:val="00CD2F70"/>
    <w:rsid w:val="00CD3605"/>
    <w:rsid w:val="00CD5254"/>
    <w:rsid w:val="00CD5301"/>
    <w:rsid w:val="00CD6CF4"/>
    <w:rsid w:val="00CE3F27"/>
    <w:rsid w:val="00CE6BA0"/>
    <w:rsid w:val="00CE7820"/>
    <w:rsid w:val="00CF1555"/>
    <w:rsid w:val="00CF25FB"/>
    <w:rsid w:val="00CF2E1B"/>
    <w:rsid w:val="00CF6096"/>
    <w:rsid w:val="00CF658B"/>
    <w:rsid w:val="00CF6BFD"/>
    <w:rsid w:val="00D0177C"/>
    <w:rsid w:val="00D02085"/>
    <w:rsid w:val="00D051A4"/>
    <w:rsid w:val="00D06108"/>
    <w:rsid w:val="00D103D5"/>
    <w:rsid w:val="00D12042"/>
    <w:rsid w:val="00D12A0D"/>
    <w:rsid w:val="00D14A48"/>
    <w:rsid w:val="00D15254"/>
    <w:rsid w:val="00D159C4"/>
    <w:rsid w:val="00D15B43"/>
    <w:rsid w:val="00D175D5"/>
    <w:rsid w:val="00D17ACC"/>
    <w:rsid w:val="00D20233"/>
    <w:rsid w:val="00D206A1"/>
    <w:rsid w:val="00D2134A"/>
    <w:rsid w:val="00D269A4"/>
    <w:rsid w:val="00D276C2"/>
    <w:rsid w:val="00D277B7"/>
    <w:rsid w:val="00D27A74"/>
    <w:rsid w:val="00D4099B"/>
    <w:rsid w:val="00D41453"/>
    <w:rsid w:val="00D4252D"/>
    <w:rsid w:val="00D429B5"/>
    <w:rsid w:val="00D435EE"/>
    <w:rsid w:val="00D447A2"/>
    <w:rsid w:val="00D46169"/>
    <w:rsid w:val="00D468F3"/>
    <w:rsid w:val="00D46AD8"/>
    <w:rsid w:val="00D50724"/>
    <w:rsid w:val="00D51914"/>
    <w:rsid w:val="00D526C7"/>
    <w:rsid w:val="00D537AF"/>
    <w:rsid w:val="00D53F93"/>
    <w:rsid w:val="00D5417D"/>
    <w:rsid w:val="00D560CB"/>
    <w:rsid w:val="00D56E0B"/>
    <w:rsid w:val="00D56E3E"/>
    <w:rsid w:val="00D572F0"/>
    <w:rsid w:val="00D57519"/>
    <w:rsid w:val="00D617F0"/>
    <w:rsid w:val="00D65077"/>
    <w:rsid w:val="00D655D9"/>
    <w:rsid w:val="00D66B19"/>
    <w:rsid w:val="00D6776A"/>
    <w:rsid w:val="00D700D8"/>
    <w:rsid w:val="00D704F5"/>
    <w:rsid w:val="00D708EF"/>
    <w:rsid w:val="00D71DCF"/>
    <w:rsid w:val="00D724E4"/>
    <w:rsid w:val="00D72B24"/>
    <w:rsid w:val="00D72D6F"/>
    <w:rsid w:val="00D73645"/>
    <w:rsid w:val="00D73D2A"/>
    <w:rsid w:val="00D7480D"/>
    <w:rsid w:val="00D76198"/>
    <w:rsid w:val="00D81245"/>
    <w:rsid w:val="00D81A5F"/>
    <w:rsid w:val="00D824A5"/>
    <w:rsid w:val="00D82DB3"/>
    <w:rsid w:val="00D82E84"/>
    <w:rsid w:val="00D831F0"/>
    <w:rsid w:val="00D83756"/>
    <w:rsid w:val="00D844DB"/>
    <w:rsid w:val="00D86606"/>
    <w:rsid w:val="00D86BF1"/>
    <w:rsid w:val="00D8765F"/>
    <w:rsid w:val="00D87988"/>
    <w:rsid w:val="00D87C35"/>
    <w:rsid w:val="00D87ECE"/>
    <w:rsid w:val="00D91133"/>
    <w:rsid w:val="00D92682"/>
    <w:rsid w:val="00D934D9"/>
    <w:rsid w:val="00D9355D"/>
    <w:rsid w:val="00D93642"/>
    <w:rsid w:val="00D95016"/>
    <w:rsid w:val="00D97108"/>
    <w:rsid w:val="00DA1AAF"/>
    <w:rsid w:val="00DA26AC"/>
    <w:rsid w:val="00DA28A1"/>
    <w:rsid w:val="00DA3021"/>
    <w:rsid w:val="00DA3498"/>
    <w:rsid w:val="00DA5B50"/>
    <w:rsid w:val="00DA7011"/>
    <w:rsid w:val="00DB0477"/>
    <w:rsid w:val="00DB0A3E"/>
    <w:rsid w:val="00DB1595"/>
    <w:rsid w:val="00DB25B2"/>
    <w:rsid w:val="00DB6FA0"/>
    <w:rsid w:val="00DB6FFF"/>
    <w:rsid w:val="00DB786B"/>
    <w:rsid w:val="00DC068E"/>
    <w:rsid w:val="00DC3B64"/>
    <w:rsid w:val="00DC4B2A"/>
    <w:rsid w:val="00DC58AF"/>
    <w:rsid w:val="00DC722D"/>
    <w:rsid w:val="00DD2C07"/>
    <w:rsid w:val="00DD30DA"/>
    <w:rsid w:val="00DD42D6"/>
    <w:rsid w:val="00DD4710"/>
    <w:rsid w:val="00DD4AE9"/>
    <w:rsid w:val="00DD521B"/>
    <w:rsid w:val="00DD54A1"/>
    <w:rsid w:val="00DD5ACC"/>
    <w:rsid w:val="00DD5B43"/>
    <w:rsid w:val="00DE2879"/>
    <w:rsid w:val="00DE28F0"/>
    <w:rsid w:val="00DE45FA"/>
    <w:rsid w:val="00DE5ADB"/>
    <w:rsid w:val="00DE5D73"/>
    <w:rsid w:val="00DE646F"/>
    <w:rsid w:val="00DE647C"/>
    <w:rsid w:val="00DE68E9"/>
    <w:rsid w:val="00DE6BB0"/>
    <w:rsid w:val="00DF0231"/>
    <w:rsid w:val="00DF04A8"/>
    <w:rsid w:val="00DF1B20"/>
    <w:rsid w:val="00DF2154"/>
    <w:rsid w:val="00DF3073"/>
    <w:rsid w:val="00DF3472"/>
    <w:rsid w:val="00DF5478"/>
    <w:rsid w:val="00DF7660"/>
    <w:rsid w:val="00E0012F"/>
    <w:rsid w:val="00E0056E"/>
    <w:rsid w:val="00E005B2"/>
    <w:rsid w:val="00E0370D"/>
    <w:rsid w:val="00E06360"/>
    <w:rsid w:val="00E076B2"/>
    <w:rsid w:val="00E07D83"/>
    <w:rsid w:val="00E10757"/>
    <w:rsid w:val="00E11308"/>
    <w:rsid w:val="00E1134F"/>
    <w:rsid w:val="00E11AEF"/>
    <w:rsid w:val="00E11FD4"/>
    <w:rsid w:val="00E158BD"/>
    <w:rsid w:val="00E16375"/>
    <w:rsid w:val="00E16CD4"/>
    <w:rsid w:val="00E20C81"/>
    <w:rsid w:val="00E2199E"/>
    <w:rsid w:val="00E22AC7"/>
    <w:rsid w:val="00E23589"/>
    <w:rsid w:val="00E2446F"/>
    <w:rsid w:val="00E26407"/>
    <w:rsid w:val="00E2706B"/>
    <w:rsid w:val="00E27D44"/>
    <w:rsid w:val="00E30545"/>
    <w:rsid w:val="00E30B36"/>
    <w:rsid w:val="00E31142"/>
    <w:rsid w:val="00E3236A"/>
    <w:rsid w:val="00E33F7E"/>
    <w:rsid w:val="00E34829"/>
    <w:rsid w:val="00E34E20"/>
    <w:rsid w:val="00E3689B"/>
    <w:rsid w:val="00E409A5"/>
    <w:rsid w:val="00E41219"/>
    <w:rsid w:val="00E417B8"/>
    <w:rsid w:val="00E419FB"/>
    <w:rsid w:val="00E4209C"/>
    <w:rsid w:val="00E433B1"/>
    <w:rsid w:val="00E43443"/>
    <w:rsid w:val="00E439B2"/>
    <w:rsid w:val="00E43B3E"/>
    <w:rsid w:val="00E440A3"/>
    <w:rsid w:val="00E45A83"/>
    <w:rsid w:val="00E46001"/>
    <w:rsid w:val="00E46D1C"/>
    <w:rsid w:val="00E46E6D"/>
    <w:rsid w:val="00E47A8F"/>
    <w:rsid w:val="00E47C48"/>
    <w:rsid w:val="00E5068C"/>
    <w:rsid w:val="00E52FF2"/>
    <w:rsid w:val="00E53956"/>
    <w:rsid w:val="00E54584"/>
    <w:rsid w:val="00E54EFE"/>
    <w:rsid w:val="00E555EC"/>
    <w:rsid w:val="00E55662"/>
    <w:rsid w:val="00E5680B"/>
    <w:rsid w:val="00E576C9"/>
    <w:rsid w:val="00E60420"/>
    <w:rsid w:val="00E60A63"/>
    <w:rsid w:val="00E6151F"/>
    <w:rsid w:val="00E63B4B"/>
    <w:rsid w:val="00E64465"/>
    <w:rsid w:val="00E65558"/>
    <w:rsid w:val="00E6560A"/>
    <w:rsid w:val="00E6579E"/>
    <w:rsid w:val="00E70C8A"/>
    <w:rsid w:val="00E70DFC"/>
    <w:rsid w:val="00E7337A"/>
    <w:rsid w:val="00E7440D"/>
    <w:rsid w:val="00E74413"/>
    <w:rsid w:val="00E7569C"/>
    <w:rsid w:val="00E766EF"/>
    <w:rsid w:val="00E768E5"/>
    <w:rsid w:val="00E76D11"/>
    <w:rsid w:val="00E77478"/>
    <w:rsid w:val="00E77953"/>
    <w:rsid w:val="00E8127B"/>
    <w:rsid w:val="00E8136C"/>
    <w:rsid w:val="00E81807"/>
    <w:rsid w:val="00E834D1"/>
    <w:rsid w:val="00E83D16"/>
    <w:rsid w:val="00E84D30"/>
    <w:rsid w:val="00E85E38"/>
    <w:rsid w:val="00E85EC4"/>
    <w:rsid w:val="00E86E94"/>
    <w:rsid w:val="00E87994"/>
    <w:rsid w:val="00E90390"/>
    <w:rsid w:val="00E91E95"/>
    <w:rsid w:val="00E9207B"/>
    <w:rsid w:val="00E9237E"/>
    <w:rsid w:val="00E94ED7"/>
    <w:rsid w:val="00E95FD9"/>
    <w:rsid w:val="00E968D4"/>
    <w:rsid w:val="00EA0D17"/>
    <w:rsid w:val="00EA107B"/>
    <w:rsid w:val="00EA13B5"/>
    <w:rsid w:val="00EA25C0"/>
    <w:rsid w:val="00EB29B5"/>
    <w:rsid w:val="00EB3360"/>
    <w:rsid w:val="00EB3676"/>
    <w:rsid w:val="00EB3807"/>
    <w:rsid w:val="00EB6100"/>
    <w:rsid w:val="00EB69F1"/>
    <w:rsid w:val="00EB6FF6"/>
    <w:rsid w:val="00EC0204"/>
    <w:rsid w:val="00EC0BBA"/>
    <w:rsid w:val="00EC371A"/>
    <w:rsid w:val="00EC3745"/>
    <w:rsid w:val="00EC5659"/>
    <w:rsid w:val="00EC6AC8"/>
    <w:rsid w:val="00EC71DE"/>
    <w:rsid w:val="00ED2126"/>
    <w:rsid w:val="00ED3C0D"/>
    <w:rsid w:val="00ED5B58"/>
    <w:rsid w:val="00ED69F3"/>
    <w:rsid w:val="00EE02AA"/>
    <w:rsid w:val="00EE0FD6"/>
    <w:rsid w:val="00EE2979"/>
    <w:rsid w:val="00EE3737"/>
    <w:rsid w:val="00EE398F"/>
    <w:rsid w:val="00EE442F"/>
    <w:rsid w:val="00EE4E34"/>
    <w:rsid w:val="00EE59AA"/>
    <w:rsid w:val="00EE68B8"/>
    <w:rsid w:val="00EE69B1"/>
    <w:rsid w:val="00EE6A85"/>
    <w:rsid w:val="00EE79F0"/>
    <w:rsid w:val="00EF00E1"/>
    <w:rsid w:val="00EF0D46"/>
    <w:rsid w:val="00EF1AA8"/>
    <w:rsid w:val="00EF2394"/>
    <w:rsid w:val="00EF3DF5"/>
    <w:rsid w:val="00EF506F"/>
    <w:rsid w:val="00EF53EE"/>
    <w:rsid w:val="00EF5638"/>
    <w:rsid w:val="00EF6948"/>
    <w:rsid w:val="00F00398"/>
    <w:rsid w:val="00F01F1E"/>
    <w:rsid w:val="00F02299"/>
    <w:rsid w:val="00F02FCD"/>
    <w:rsid w:val="00F03E1C"/>
    <w:rsid w:val="00F04A5A"/>
    <w:rsid w:val="00F04CDB"/>
    <w:rsid w:val="00F04E52"/>
    <w:rsid w:val="00F04F2E"/>
    <w:rsid w:val="00F06388"/>
    <w:rsid w:val="00F07A21"/>
    <w:rsid w:val="00F07B45"/>
    <w:rsid w:val="00F07D8E"/>
    <w:rsid w:val="00F07D98"/>
    <w:rsid w:val="00F108D6"/>
    <w:rsid w:val="00F10C40"/>
    <w:rsid w:val="00F142C2"/>
    <w:rsid w:val="00F16507"/>
    <w:rsid w:val="00F219E5"/>
    <w:rsid w:val="00F21D80"/>
    <w:rsid w:val="00F226D8"/>
    <w:rsid w:val="00F22975"/>
    <w:rsid w:val="00F229FB"/>
    <w:rsid w:val="00F2307F"/>
    <w:rsid w:val="00F27C30"/>
    <w:rsid w:val="00F31CA3"/>
    <w:rsid w:val="00F325F3"/>
    <w:rsid w:val="00F327AA"/>
    <w:rsid w:val="00F35A0A"/>
    <w:rsid w:val="00F36BB4"/>
    <w:rsid w:val="00F4010D"/>
    <w:rsid w:val="00F41565"/>
    <w:rsid w:val="00F417C1"/>
    <w:rsid w:val="00F44723"/>
    <w:rsid w:val="00F465F3"/>
    <w:rsid w:val="00F509EF"/>
    <w:rsid w:val="00F50A95"/>
    <w:rsid w:val="00F54A39"/>
    <w:rsid w:val="00F55BF7"/>
    <w:rsid w:val="00F56287"/>
    <w:rsid w:val="00F60325"/>
    <w:rsid w:val="00F62238"/>
    <w:rsid w:val="00F63437"/>
    <w:rsid w:val="00F65005"/>
    <w:rsid w:val="00F6516B"/>
    <w:rsid w:val="00F6570E"/>
    <w:rsid w:val="00F65F89"/>
    <w:rsid w:val="00F661C0"/>
    <w:rsid w:val="00F66646"/>
    <w:rsid w:val="00F6745B"/>
    <w:rsid w:val="00F67E59"/>
    <w:rsid w:val="00F70784"/>
    <w:rsid w:val="00F70AE8"/>
    <w:rsid w:val="00F70C85"/>
    <w:rsid w:val="00F70F90"/>
    <w:rsid w:val="00F73CEF"/>
    <w:rsid w:val="00F74167"/>
    <w:rsid w:val="00F80288"/>
    <w:rsid w:val="00F839C1"/>
    <w:rsid w:val="00F844A0"/>
    <w:rsid w:val="00F8472E"/>
    <w:rsid w:val="00F8497E"/>
    <w:rsid w:val="00F86B77"/>
    <w:rsid w:val="00F86F86"/>
    <w:rsid w:val="00F8707E"/>
    <w:rsid w:val="00F8724D"/>
    <w:rsid w:val="00F87873"/>
    <w:rsid w:val="00F8788E"/>
    <w:rsid w:val="00F9109B"/>
    <w:rsid w:val="00F922A6"/>
    <w:rsid w:val="00F923FA"/>
    <w:rsid w:val="00F93505"/>
    <w:rsid w:val="00F94B28"/>
    <w:rsid w:val="00F95111"/>
    <w:rsid w:val="00F959C0"/>
    <w:rsid w:val="00F96184"/>
    <w:rsid w:val="00F971AB"/>
    <w:rsid w:val="00FA0185"/>
    <w:rsid w:val="00FA07D7"/>
    <w:rsid w:val="00FA50E9"/>
    <w:rsid w:val="00FA658A"/>
    <w:rsid w:val="00FA6D19"/>
    <w:rsid w:val="00FB024F"/>
    <w:rsid w:val="00FB2658"/>
    <w:rsid w:val="00FB3B56"/>
    <w:rsid w:val="00FB6C4D"/>
    <w:rsid w:val="00FB7F1A"/>
    <w:rsid w:val="00FC0965"/>
    <w:rsid w:val="00FC7B0D"/>
    <w:rsid w:val="00FD1796"/>
    <w:rsid w:val="00FD75E8"/>
    <w:rsid w:val="00FE1939"/>
    <w:rsid w:val="00FE1A5D"/>
    <w:rsid w:val="00FE1B85"/>
    <w:rsid w:val="00FE1D8F"/>
    <w:rsid w:val="00FE2B59"/>
    <w:rsid w:val="00FE4D30"/>
    <w:rsid w:val="00FE5F0F"/>
    <w:rsid w:val="00FE7717"/>
    <w:rsid w:val="00FF0625"/>
    <w:rsid w:val="00FF0E21"/>
    <w:rsid w:val="00FF1A16"/>
    <w:rsid w:val="00FF20DC"/>
    <w:rsid w:val="00FF24B4"/>
    <w:rsid w:val="00FF24E7"/>
    <w:rsid w:val="00FF28A2"/>
    <w:rsid w:val="00FF366F"/>
    <w:rsid w:val="00FF3D8F"/>
    <w:rsid w:val="00FF4064"/>
    <w:rsid w:val="00FF5DA8"/>
    <w:rsid w:val="00FF627F"/>
    <w:rsid w:val="00FF661C"/>
    <w:rsid w:val="00FF6A62"/>
    <w:rsid w:val="00FF7C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65C"/>
    <w:pPr>
      <w:tabs>
        <w:tab w:val="center" w:pos="4680"/>
        <w:tab w:val="right" w:pos="9360"/>
      </w:tabs>
      <w:spacing w:line="240" w:lineRule="auto"/>
    </w:pPr>
  </w:style>
  <w:style w:type="character" w:customStyle="1" w:styleId="HeaderChar">
    <w:name w:val="Header Char"/>
    <w:basedOn w:val="DefaultParagraphFont"/>
    <w:link w:val="Header"/>
    <w:uiPriority w:val="99"/>
    <w:rsid w:val="00C0565C"/>
  </w:style>
  <w:style w:type="paragraph" w:styleId="Footer">
    <w:name w:val="footer"/>
    <w:basedOn w:val="Normal"/>
    <w:link w:val="FooterChar"/>
    <w:uiPriority w:val="99"/>
    <w:unhideWhenUsed/>
    <w:rsid w:val="00C0565C"/>
    <w:pPr>
      <w:tabs>
        <w:tab w:val="center" w:pos="4680"/>
        <w:tab w:val="right" w:pos="9360"/>
      </w:tabs>
      <w:spacing w:line="240" w:lineRule="auto"/>
    </w:pPr>
  </w:style>
  <w:style w:type="character" w:customStyle="1" w:styleId="FooterChar">
    <w:name w:val="Footer Char"/>
    <w:basedOn w:val="DefaultParagraphFont"/>
    <w:link w:val="Footer"/>
    <w:uiPriority w:val="99"/>
    <w:rsid w:val="00C0565C"/>
  </w:style>
  <w:style w:type="character" w:styleId="PageNumber">
    <w:name w:val="page number"/>
    <w:basedOn w:val="DefaultParagraphFont"/>
    <w:uiPriority w:val="99"/>
    <w:semiHidden/>
    <w:unhideWhenUsed/>
    <w:rsid w:val="00C0565C"/>
  </w:style>
  <w:style w:type="paragraph" w:styleId="FootnoteText">
    <w:name w:val="footnote text"/>
    <w:link w:val="FootnoteTextChar"/>
    <w:uiPriority w:val="99"/>
    <w:unhideWhenUsed/>
    <w:rsid w:val="00387DAB"/>
    <w:pPr>
      <w:spacing w:after="120" w:line="240" w:lineRule="auto"/>
      <w:ind w:firstLine="720"/>
    </w:pPr>
    <w:rPr>
      <w:rFonts w:ascii="Century Schoolbook" w:hAnsi="Century Schoolbook" w:cs="Times New Roman"/>
      <w:sz w:val="26"/>
      <w:szCs w:val="20"/>
    </w:rPr>
  </w:style>
  <w:style w:type="character" w:customStyle="1" w:styleId="FootnoteTextChar">
    <w:name w:val="Footnote Text Char"/>
    <w:basedOn w:val="DefaultParagraphFont"/>
    <w:link w:val="FootnoteText"/>
    <w:uiPriority w:val="99"/>
    <w:rsid w:val="00387DAB"/>
    <w:rPr>
      <w:rFonts w:ascii="Century Schoolbook" w:hAnsi="Century Schoolbook" w:cs="Times New Roman"/>
      <w:sz w:val="26"/>
      <w:szCs w:val="20"/>
    </w:rPr>
  </w:style>
  <w:style w:type="character" w:styleId="FootnoteReference">
    <w:name w:val="footnote reference"/>
    <w:basedOn w:val="DefaultParagraphFont"/>
    <w:uiPriority w:val="99"/>
    <w:unhideWhenUsed/>
    <w:rsid w:val="003C38B8"/>
    <w:rPr>
      <w:rFonts w:ascii="Century Schoolbook" w:hAnsi="Century Schoolbook"/>
      <w:vertAlign w:val="superscript"/>
    </w:rPr>
  </w:style>
  <w:style w:type="paragraph" w:styleId="ListParagraph">
    <w:name w:val="List Paragraph"/>
    <w:basedOn w:val="Normal"/>
    <w:uiPriority w:val="34"/>
    <w:qFormat/>
    <w:rsid w:val="00BE0B5D"/>
    <w:pPr>
      <w:ind w:left="720"/>
      <w:contextualSpacing/>
    </w:pPr>
  </w:style>
  <w:style w:type="paragraph" w:styleId="BalloonText">
    <w:name w:val="Balloon Text"/>
    <w:basedOn w:val="Normal"/>
    <w:link w:val="BalloonTextChar"/>
    <w:uiPriority w:val="99"/>
    <w:semiHidden/>
    <w:unhideWhenUsed/>
    <w:rsid w:val="001112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70"/>
    <w:rPr>
      <w:rFonts w:ascii="Segoe UI" w:hAnsi="Segoe UI" w:cs="Segoe UI"/>
      <w:sz w:val="18"/>
      <w:szCs w:val="18"/>
    </w:rPr>
  </w:style>
  <w:style w:type="character" w:styleId="CommentReference">
    <w:name w:val="annotation reference"/>
    <w:basedOn w:val="DefaultParagraphFont"/>
    <w:uiPriority w:val="99"/>
    <w:semiHidden/>
    <w:unhideWhenUsed/>
    <w:rsid w:val="00E33F7E"/>
    <w:rPr>
      <w:sz w:val="16"/>
      <w:szCs w:val="16"/>
    </w:rPr>
  </w:style>
  <w:style w:type="paragraph" w:styleId="CommentText">
    <w:name w:val="annotation text"/>
    <w:basedOn w:val="Normal"/>
    <w:link w:val="CommentTextChar"/>
    <w:uiPriority w:val="99"/>
    <w:semiHidden/>
    <w:unhideWhenUsed/>
    <w:rsid w:val="00E33F7E"/>
    <w:pPr>
      <w:spacing w:line="240" w:lineRule="auto"/>
    </w:pPr>
    <w:rPr>
      <w:sz w:val="20"/>
      <w:szCs w:val="20"/>
    </w:rPr>
  </w:style>
  <w:style w:type="character" w:customStyle="1" w:styleId="CommentTextChar">
    <w:name w:val="Comment Text Char"/>
    <w:basedOn w:val="DefaultParagraphFont"/>
    <w:link w:val="CommentText"/>
    <w:uiPriority w:val="99"/>
    <w:semiHidden/>
    <w:rsid w:val="00E33F7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3F7E"/>
    <w:rPr>
      <w:b/>
      <w:bCs/>
    </w:rPr>
  </w:style>
  <w:style w:type="character" w:customStyle="1" w:styleId="CommentSubjectChar">
    <w:name w:val="Comment Subject Char"/>
    <w:basedOn w:val="CommentTextChar"/>
    <w:link w:val="CommentSubject"/>
    <w:uiPriority w:val="99"/>
    <w:semiHidden/>
    <w:rsid w:val="00E33F7E"/>
    <w:rPr>
      <w:rFonts w:ascii="Times New Roman" w:hAnsi="Times New Roman" w:cs="Times New Roman"/>
      <w:b/>
      <w:bCs/>
      <w:sz w:val="20"/>
      <w:szCs w:val="20"/>
    </w:rPr>
  </w:style>
  <w:style w:type="character" w:styleId="Emphasis">
    <w:name w:val="Emphasis"/>
    <w:basedOn w:val="DefaultParagraphFont"/>
    <w:uiPriority w:val="20"/>
    <w:qFormat/>
    <w:rsid w:val="003952B9"/>
    <w:rPr>
      <w:i/>
      <w:iCs/>
    </w:rPr>
  </w:style>
  <w:style w:type="character" w:styleId="Hyperlink">
    <w:name w:val="Hyperlink"/>
    <w:basedOn w:val="DefaultParagraphFont"/>
    <w:uiPriority w:val="99"/>
    <w:semiHidden/>
    <w:unhideWhenUsed/>
    <w:rsid w:val="003952B9"/>
    <w:rPr>
      <w:color w:val="0000FF"/>
      <w:u w:val="single"/>
    </w:rPr>
  </w:style>
  <w:style w:type="paragraph" w:styleId="Revision">
    <w:name w:val="Revision"/>
    <w:hidden/>
    <w:uiPriority w:val="99"/>
    <w:semiHidden/>
    <w:rsid w:val="00443FB4"/>
    <w:pPr>
      <w:spacing w:after="0" w:line="240" w:lineRule="auto"/>
    </w:pPr>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D765-DEAA-4181-A622-0ADF2368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4859</Words>
  <Characters>27701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2024-02-29T18:48:09Z</dcterms:created>
  <dcterms:modified xsi:type="dcterms:W3CDTF">2024-02-29T18:48:09Z</dcterms:modified>
</cp:coreProperties>
</file>