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3 -->
  <w:body>
    <w:p w:rsidR="00AD123A" w:rsidP="00AD123A" w14:paraId="7AE07695" w14:textId="19F79181">
      <w:pPr>
        <w:tabs>
          <w:tab w:val="left" w:pos="3960"/>
          <w:tab w:val="left" w:pos="4680"/>
        </w:tabs>
        <w:spacing w:line="240" w:lineRule="auto"/>
        <w:rPr>
          <w:rFonts w:eastAsia="Times New Roman" w:cs="Times New Roman"/>
          <w:kern w:val="0"/>
          <w:sz w:val="20"/>
          <w14:ligatures w14:val="none"/>
        </w:rPr>
      </w:pPr>
      <w:r>
        <w:rPr>
          <w:rFonts w:eastAsia="Times New Roman" w:cs="Times New Roman"/>
          <w:kern w:val="0"/>
          <w:sz w:val="20"/>
          <w14:ligatures w14:val="none"/>
        </w:rPr>
        <w:t xml:space="preserve">Filed </w:t>
      </w:r>
      <w:r w:rsidR="00E2217B">
        <w:rPr>
          <w:rFonts w:eastAsia="Times New Roman" w:cs="Times New Roman"/>
          <w:kern w:val="0"/>
          <w:sz w:val="20"/>
          <w14:ligatures w14:val="none"/>
        </w:rPr>
        <w:t>3/28/24</w:t>
      </w:r>
    </w:p>
    <w:p w:rsidR="00AD123A" w:rsidRPr="00AD123A" w:rsidP="00AD123A" w14:paraId="7609A47C" w14:textId="74D62885">
      <w:pPr>
        <w:tabs>
          <w:tab w:val="left" w:pos="3960"/>
          <w:tab w:val="left" w:pos="4680"/>
        </w:tabs>
        <w:spacing w:line="240" w:lineRule="auto"/>
        <w:jc w:val="center"/>
        <w:rPr>
          <w:rFonts w:eastAsia="Times New Roman" w:cs="Times New Roman"/>
          <w:kern w:val="0"/>
          <w14:ligatures w14:val="none"/>
        </w:rPr>
      </w:pPr>
      <w:r>
        <w:rPr>
          <w:rFonts w:eastAsia="Times New Roman" w:cs="Times New Roman"/>
          <w:b/>
          <w:kern w:val="0"/>
          <w14:ligatures w14:val="none"/>
        </w:rPr>
        <w:t>CERTIFIED FOR PARTIAL PUBLICATION</w:t>
      </w:r>
      <w:r>
        <w:rPr>
          <w:rStyle w:val="FootnoteReference"/>
          <w:rFonts w:eastAsia="Times New Roman" w:cs="Times New Roman"/>
          <w:b/>
          <w:kern w:val="0"/>
          <w14:ligatures w14:val="none"/>
        </w:rPr>
        <w:footnoteReference w:customMarkFollows="1" w:id="3"/>
        <w:t xml:space="preserve">*</w:t>
      </w:r>
    </w:p>
    <w:p w:rsidR="00AD123A" w:rsidRPr="00AD123A" w:rsidP="00AD123A" w14:paraId="4C6D5858" w14:textId="77777777">
      <w:pPr>
        <w:tabs>
          <w:tab w:val="left" w:pos="3960"/>
          <w:tab w:val="left" w:pos="4680"/>
        </w:tabs>
        <w:spacing w:line="240" w:lineRule="auto"/>
        <w:rPr>
          <w:rFonts w:eastAsia="Times New Roman" w:cs="Times New Roman"/>
          <w:kern w:val="0"/>
          <w:sz w:val="20"/>
          <w14:ligatures w14:val="none"/>
        </w:rPr>
      </w:pPr>
    </w:p>
    <w:p w:rsidR="00720B9E" w:rsidRPr="00720B9E" w:rsidP="00657673" w14:paraId="4E1538E9" w14:textId="7F5F0219">
      <w:pPr>
        <w:tabs>
          <w:tab w:val="left" w:pos="3960"/>
          <w:tab w:val="left" w:pos="4680"/>
        </w:tabs>
        <w:spacing w:line="240" w:lineRule="auto"/>
        <w:jc w:val="center"/>
        <w:rPr>
          <w:rFonts w:eastAsia="Times New Roman" w:cs="Times New Roman"/>
          <w:kern w:val="0"/>
          <w14:ligatures w14:val="none"/>
        </w:rPr>
      </w:pPr>
      <w:r w:rsidRPr="00720B9E">
        <w:rPr>
          <w:rFonts w:eastAsia="Times New Roman" w:cs="Times New Roman"/>
          <w:kern w:val="0"/>
          <w14:ligatures w14:val="none"/>
        </w:rPr>
        <w:t>IN THE COURT OF APPEAL OF THE STATE OF CALIFORNIA</w:t>
      </w:r>
    </w:p>
    <w:p w:rsidR="00720B9E" w:rsidRPr="00720B9E" w:rsidP="00657673" w14:paraId="1F352C39" w14:textId="77777777">
      <w:pPr>
        <w:spacing w:line="240" w:lineRule="auto"/>
        <w:jc w:val="center"/>
        <w:rPr>
          <w:rFonts w:eastAsia="Times New Roman" w:cs="Times New Roman"/>
          <w:kern w:val="0"/>
          <w14:ligatures w14:val="none"/>
        </w:rPr>
      </w:pPr>
    </w:p>
    <w:p w:rsidR="00720B9E" w:rsidRPr="00720B9E" w:rsidP="00657673" w14:paraId="55EE378F" w14:textId="77777777">
      <w:pPr>
        <w:spacing w:line="240" w:lineRule="auto"/>
        <w:jc w:val="center"/>
        <w:rPr>
          <w:rFonts w:eastAsia="Times New Roman" w:cs="Times New Roman"/>
          <w:kern w:val="0"/>
          <w14:ligatures w14:val="none"/>
        </w:rPr>
      </w:pPr>
      <w:r w:rsidRPr="00720B9E">
        <w:rPr>
          <w:rFonts w:eastAsia="Times New Roman" w:cs="Times New Roman"/>
          <w:kern w:val="0"/>
          <w14:ligatures w14:val="none"/>
        </w:rPr>
        <w:t>FIRST APPELLATE DISTRICT</w:t>
      </w:r>
    </w:p>
    <w:p w:rsidR="00720B9E" w:rsidRPr="00720B9E" w:rsidP="00657673" w14:paraId="2ED65346" w14:textId="77777777">
      <w:pPr>
        <w:spacing w:line="240" w:lineRule="auto"/>
        <w:jc w:val="center"/>
        <w:rPr>
          <w:rFonts w:eastAsia="Times New Roman" w:cs="Times New Roman"/>
          <w:kern w:val="0"/>
          <w14:ligatures w14:val="none"/>
        </w:rPr>
      </w:pPr>
    </w:p>
    <w:p w:rsidR="00720B9E" w:rsidRPr="00720B9E" w:rsidP="00657673" w14:paraId="6F45749A" w14:textId="77777777">
      <w:pPr>
        <w:spacing w:line="240" w:lineRule="auto"/>
        <w:jc w:val="center"/>
        <w:rPr>
          <w:rFonts w:eastAsia="Times New Roman" w:cs="Times New Roman"/>
          <w:kern w:val="0"/>
          <w14:ligatures w14:val="none"/>
        </w:rPr>
      </w:pPr>
      <w:r w:rsidRPr="00720B9E">
        <w:rPr>
          <w:rFonts w:eastAsia="Times New Roman" w:cs="Times New Roman"/>
          <w:kern w:val="0"/>
          <w14:ligatures w14:val="none"/>
        </w:rPr>
        <w:t>DIVISION FOUR</w:t>
      </w:r>
    </w:p>
    <w:p w:rsidR="00720B9E" w:rsidRPr="00720B9E" w:rsidP="00657673" w14:paraId="56971F6C" w14:textId="77777777">
      <w:pPr>
        <w:spacing w:line="240" w:lineRule="auto"/>
        <w:jc w:val="center"/>
        <w:rPr>
          <w:rFonts w:eastAsia="Times New Roman" w:cs="Times New Roman"/>
          <w:kern w:val="0"/>
          <w14:ligatures w14:val="none"/>
        </w:rPr>
      </w:pPr>
    </w:p>
    <w:p w:rsidR="00720B9E" w:rsidRPr="00720B9E" w:rsidP="00AA4140" w14:paraId="7E9D463A" w14:textId="77777777">
      <w:pPr>
        <w:spacing w:line="240" w:lineRule="auto"/>
        <w:rPr>
          <w:rFonts w:eastAsia="Times New Roman" w:cs="Times New Roman"/>
          <w:kern w:val="0"/>
          <w14:ligatures w14:val="none"/>
        </w:rPr>
      </w:pPr>
    </w:p>
    <w:tbl>
      <w:tblPr>
        <w:tblW w:w="9540" w:type="dxa"/>
        <w:tblLayout w:type="fixed"/>
        <w:tblLook w:val="0000"/>
      </w:tblPr>
      <w:tblGrid>
        <w:gridCol w:w="4770"/>
        <w:gridCol w:w="4770"/>
      </w:tblGrid>
      <w:tr w14:paraId="682BAA26" w14:textId="77777777" w:rsidTr="007D50A1">
        <w:tblPrEx>
          <w:tblW w:w="9540" w:type="dxa"/>
          <w:tblLayout w:type="fixed"/>
          <w:tblLook w:val="0000"/>
        </w:tblPrEx>
        <w:tc>
          <w:tcPr>
            <w:tcW w:w="4770" w:type="dxa"/>
            <w:tcBorders>
              <w:bottom w:val="single" w:sz="4" w:space="0" w:color="auto"/>
              <w:right w:val="single" w:sz="4" w:space="0" w:color="auto"/>
            </w:tcBorders>
            <w:shd w:val="clear" w:color="auto" w:fill="auto"/>
          </w:tcPr>
          <w:p w:rsidR="00720B9E" w:rsidRPr="00720B9E" w:rsidP="00AA4140" w14:paraId="729C10A9" w14:textId="7E0F9AFB">
            <w:pPr>
              <w:spacing w:after="120" w:line="240" w:lineRule="auto"/>
              <w:rPr>
                <w:rFonts w:eastAsia="Times New Roman" w:cs="Times New Roman"/>
                <w:kern w:val="0"/>
                <w14:ligatures w14:val="none"/>
              </w:rPr>
            </w:pPr>
            <w:r>
              <w:rPr>
                <w:rFonts w:eastAsia="Times New Roman" w:cs="Times New Roman"/>
                <w:kern w:val="0"/>
                <w14:ligatures w14:val="none"/>
              </w:rPr>
              <w:t>BTHHM BERKELEY, LLC</w:t>
            </w:r>
            <w:r w:rsidR="00D84E76">
              <w:rPr>
                <w:rFonts w:eastAsia="Times New Roman" w:cs="Times New Roman"/>
                <w:kern w:val="0"/>
                <w14:ligatures w14:val="none"/>
              </w:rPr>
              <w:t>,</w:t>
            </w:r>
            <w:r>
              <w:rPr>
                <w:rFonts w:eastAsia="Times New Roman" w:cs="Times New Roman"/>
                <w:kern w:val="0"/>
                <w14:ligatures w14:val="none"/>
              </w:rPr>
              <w:t xml:space="preserve"> </w:t>
            </w:r>
            <w:r w:rsidR="003728AA">
              <w:rPr>
                <w:rFonts w:eastAsia="Times New Roman" w:cs="Times New Roman"/>
                <w:kern w:val="0"/>
                <w14:ligatures w14:val="none"/>
              </w:rPr>
              <w:t>et al</w:t>
            </w:r>
            <w:r>
              <w:rPr>
                <w:rFonts w:eastAsia="Times New Roman" w:cs="Times New Roman"/>
                <w:kern w:val="0"/>
                <w14:ligatures w14:val="none"/>
              </w:rPr>
              <w:t>.</w:t>
            </w:r>
            <w:r w:rsidRPr="00720B9E">
              <w:rPr>
                <w:rFonts w:eastAsia="Times New Roman" w:cs="Times New Roman"/>
                <w:kern w:val="0"/>
                <w14:ligatures w14:val="none"/>
              </w:rPr>
              <w:t>,</w:t>
            </w:r>
          </w:p>
          <w:p w:rsidR="00720B9E" w:rsidRPr="00720B9E" w:rsidP="00AA4140" w14:paraId="68380B51" w14:textId="15DF1F29">
            <w:pPr>
              <w:spacing w:after="120" w:line="240" w:lineRule="auto"/>
              <w:rPr>
                <w:rFonts w:eastAsia="Times New Roman" w:cs="Times New Roman"/>
                <w:kern w:val="0"/>
                <w14:ligatures w14:val="none"/>
              </w:rPr>
            </w:pPr>
            <w:r w:rsidRPr="00720B9E">
              <w:rPr>
                <w:rFonts w:eastAsia="Times New Roman" w:cs="Times New Roman"/>
                <w:kern w:val="0"/>
                <w14:ligatures w14:val="none"/>
              </w:rPr>
              <w:tab/>
              <w:t>Plaintiff</w:t>
            </w:r>
            <w:r w:rsidR="00D1694E">
              <w:rPr>
                <w:rFonts w:eastAsia="Times New Roman" w:cs="Times New Roman"/>
                <w:kern w:val="0"/>
                <w14:ligatures w14:val="none"/>
              </w:rPr>
              <w:t>s</w:t>
            </w:r>
            <w:r w:rsidRPr="00720B9E">
              <w:rPr>
                <w:rFonts w:eastAsia="Times New Roman" w:cs="Times New Roman"/>
                <w:kern w:val="0"/>
                <w14:ligatures w14:val="none"/>
              </w:rPr>
              <w:t xml:space="preserve"> and </w:t>
            </w:r>
            <w:r w:rsidR="00D1694E">
              <w:rPr>
                <w:rFonts w:eastAsia="Times New Roman" w:cs="Times New Roman"/>
                <w:kern w:val="0"/>
                <w14:ligatures w14:val="none"/>
              </w:rPr>
              <w:t>Respondents</w:t>
            </w:r>
            <w:r w:rsidRPr="00720B9E">
              <w:rPr>
                <w:rFonts w:eastAsia="Times New Roman" w:cs="Times New Roman"/>
                <w:kern w:val="0"/>
                <w14:ligatures w14:val="none"/>
              </w:rPr>
              <w:t>,</w:t>
            </w:r>
          </w:p>
          <w:p w:rsidR="00720B9E" w:rsidRPr="00720B9E" w:rsidP="00AA4140" w14:paraId="4917203B" w14:textId="77777777">
            <w:pPr>
              <w:spacing w:after="120" w:line="240" w:lineRule="auto"/>
              <w:rPr>
                <w:rFonts w:eastAsia="Times New Roman" w:cs="Times New Roman"/>
                <w:kern w:val="0"/>
                <w14:ligatures w14:val="none"/>
              </w:rPr>
            </w:pPr>
            <w:r w:rsidRPr="00720B9E">
              <w:rPr>
                <w:rFonts w:eastAsia="Times New Roman" w:cs="Times New Roman"/>
                <w:kern w:val="0"/>
                <w14:ligatures w14:val="none"/>
              </w:rPr>
              <w:t>v.</w:t>
            </w:r>
          </w:p>
          <w:p w:rsidR="00720B9E" w:rsidRPr="00720B9E" w:rsidP="00AA4140" w14:paraId="173C504D" w14:textId="511559AD">
            <w:pPr>
              <w:spacing w:after="120" w:line="240" w:lineRule="auto"/>
              <w:rPr>
                <w:rFonts w:eastAsia="Times New Roman" w:cs="Times New Roman"/>
                <w:kern w:val="0"/>
                <w14:ligatures w14:val="none"/>
              </w:rPr>
            </w:pPr>
            <w:r>
              <w:rPr>
                <w:rFonts w:eastAsia="Times New Roman" w:cs="Times New Roman"/>
                <w:kern w:val="0"/>
                <w14:ligatures w14:val="none"/>
              </w:rPr>
              <w:t>STEWART JOHNSTON</w:t>
            </w:r>
            <w:r w:rsidRPr="00720B9E">
              <w:rPr>
                <w:rFonts w:eastAsia="Times New Roman" w:cs="Times New Roman"/>
                <w:kern w:val="0"/>
                <w14:ligatures w14:val="none"/>
              </w:rPr>
              <w:t>,</w:t>
            </w:r>
          </w:p>
          <w:p w:rsidR="00720B9E" w:rsidP="00AA4140" w14:paraId="7D37E70D" w14:textId="64150244">
            <w:pPr>
              <w:spacing w:after="120" w:line="240" w:lineRule="auto"/>
              <w:rPr>
                <w:rFonts w:eastAsia="Times New Roman" w:cs="Times New Roman"/>
                <w:kern w:val="0"/>
                <w14:ligatures w14:val="none"/>
              </w:rPr>
            </w:pPr>
            <w:r w:rsidRPr="00720B9E">
              <w:rPr>
                <w:rFonts w:eastAsia="Times New Roman" w:cs="Times New Roman"/>
                <w:kern w:val="0"/>
                <w14:ligatures w14:val="none"/>
              </w:rPr>
              <w:tab/>
              <w:t>Defendant</w:t>
            </w:r>
            <w:r w:rsidR="00CD72C0">
              <w:rPr>
                <w:rFonts w:eastAsia="Times New Roman" w:cs="Times New Roman"/>
                <w:kern w:val="0"/>
                <w14:ligatures w14:val="none"/>
              </w:rPr>
              <w:t>, Cross-complainant</w:t>
            </w:r>
            <w:r w:rsidRPr="00720B9E">
              <w:rPr>
                <w:rFonts w:eastAsia="Times New Roman" w:cs="Times New Roman"/>
                <w:kern w:val="0"/>
                <w14:ligatures w14:val="none"/>
              </w:rPr>
              <w:t xml:space="preserve"> and </w:t>
            </w:r>
            <w:r w:rsidR="00D1694E">
              <w:rPr>
                <w:rFonts w:eastAsia="Times New Roman" w:cs="Times New Roman"/>
                <w:kern w:val="0"/>
                <w14:ligatures w14:val="none"/>
              </w:rPr>
              <w:t>Appella</w:t>
            </w:r>
            <w:r w:rsidRPr="00720B9E">
              <w:rPr>
                <w:rFonts w:eastAsia="Times New Roman" w:cs="Times New Roman"/>
                <w:kern w:val="0"/>
                <w14:ligatures w14:val="none"/>
              </w:rPr>
              <w:t>nt</w:t>
            </w:r>
            <w:r w:rsidR="00D84E76">
              <w:rPr>
                <w:rFonts w:eastAsia="Times New Roman" w:cs="Times New Roman"/>
                <w:kern w:val="0"/>
                <w14:ligatures w14:val="none"/>
              </w:rPr>
              <w:t>;</w:t>
            </w:r>
          </w:p>
          <w:p w:rsidR="00CD72C0" w:rsidP="002B3A29" w14:paraId="02EF4495" w14:textId="0A386187">
            <w:pPr>
              <w:spacing w:before="240" w:after="120" w:line="240" w:lineRule="auto"/>
              <w:rPr>
                <w:rFonts w:eastAsia="Times New Roman" w:cs="Times New Roman"/>
                <w:kern w:val="0"/>
                <w14:ligatures w14:val="none"/>
              </w:rPr>
            </w:pPr>
            <w:r>
              <w:rPr>
                <w:rFonts w:eastAsia="Times New Roman" w:cs="Times New Roman"/>
                <w:kern w:val="0"/>
                <w14:ligatures w14:val="none"/>
              </w:rPr>
              <w:t xml:space="preserve">HOLDA NOVELO </w:t>
            </w:r>
            <w:r w:rsidR="001F4220">
              <w:rPr>
                <w:rFonts w:eastAsia="Times New Roman" w:cs="Times New Roman"/>
                <w:kern w:val="0"/>
                <w14:ligatures w14:val="none"/>
              </w:rPr>
              <w:t>et al.,</w:t>
            </w:r>
          </w:p>
          <w:p w:rsidR="001F4220" w:rsidRPr="00720B9E" w:rsidP="000C08C6" w14:paraId="7FE15DC7" w14:textId="1D8AD8AD">
            <w:pPr>
              <w:spacing w:after="240" w:line="240" w:lineRule="auto"/>
              <w:rPr>
                <w:rFonts w:eastAsia="Times New Roman" w:cs="Times New Roman"/>
                <w:kern w:val="0"/>
                <w14:ligatures w14:val="none"/>
              </w:rPr>
            </w:pPr>
            <w:r>
              <w:rPr>
                <w:rFonts w:eastAsia="Times New Roman" w:cs="Times New Roman"/>
                <w:kern w:val="0"/>
                <w14:ligatures w14:val="none"/>
              </w:rPr>
              <w:tab/>
              <w:t>Cross-defendants and Respondents</w:t>
            </w:r>
            <w:r w:rsidR="00074CF8">
              <w:rPr>
                <w:rFonts w:eastAsia="Times New Roman" w:cs="Times New Roman"/>
                <w:kern w:val="0"/>
                <w14:ligatures w14:val="none"/>
              </w:rPr>
              <w:t>.</w:t>
            </w:r>
          </w:p>
        </w:tc>
        <w:tc>
          <w:tcPr>
            <w:tcW w:w="4770" w:type="dxa"/>
            <w:tcBorders>
              <w:left w:val="single" w:sz="4" w:space="0" w:color="auto"/>
            </w:tcBorders>
            <w:shd w:val="clear" w:color="auto" w:fill="auto"/>
          </w:tcPr>
          <w:p w:rsidR="00720B9E" w:rsidRPr="00720B9E" w:rsidP="00AA4140" w14:paraId="03D7AA43" w14:textId="77777777">
            <w:pPr>
              <w:spacing w:after="120" w:line="240" w:lineRule="auto"/>
              <w:rPr>
                <w:rFonts w:eastAsia="Times New Roman" w:cs="Times New Roman"/>
                <w:kern w:val="0"/>
                <w14:ligatures w14:val="none"/>
              </w:rPr>
            </w:pPr>
          </w:p>
          <w:p w:rsidR="000C2224" w:rsidP="00AA4140" w14:paraId="08514947" w14:textId="77777777">
            <w:pPr>
              <w:spacing w:after="120" w:line="240" w:lineRule="auto"/>
              <w:rPr>
                <w:rFonts w:eastAsia="Times New Roman" w:cs="Times New Roman"/>
                <w:kern w:val="0"/>
                <w14:ligatures w14:val="none"/>
              </w:rPr>
            </w:pPr>
          </w:p>
          <w:p w:rsidR="00720B9E" w:rsidRPr="00720B9E" w:rsidP="00AA4140" w14:paraId="03AB6F56" w14:textId="6F757689">
            <w:pPr>
              <w:spacing w:after="120" w:line="240" w:lineRule="auto"/>
              <w:rPr>
                <w:rFonts w:eastAsia="Times New Roman" w:cs="Times New Roman"/>
                <w:kern w:val="0"/>
                <w14:ligatures w14:val="none"/>
              </w:rPr>
            </w:pPr>
            <w:r w:rsidRPr="00720B9E">
              <w:rPr>
                <w:rFonts w:eastAsia="Times New Roman" w:cs="Times New Roman"/>
                <w:kern w:val="0"/>
                <w14:ligatures w14:val="none"/>
              </w:rPr>
              <w:t xml:space="preserve">      A</w:t>
            </w:r>
            <w:r w:rsidR="00D1694E">
              <w:rPr>
                <w:rFonts w:eastAsia="Times New Roman" w:cs="Times New Roman"/>
                <w:kern w:val="0"/>
                <w14:ligatures w14:val="none"/>
              </w:rPr>
              <w:t>166242</w:t>
            </w:r>
          </w:p>
          <w:p w:rsidR="00720B9E" w:rsidRPr="00720B9E" w:rsidP="00AA4140" w14:paraId="62DAE30C" w14:textId="77777777">
            <w:pPr>
              <w:spacing w:after="120" w:line="240" w:lineRule="auto"/>
              <w:rPr>
                <w:rFonts w:eastAsia="Times New Roman" w:cs="Times New Roman"/>
                <w:kern w:val="0"/>
                <w14:ligatures w14:val="none"/>
              </w:rPr>
            </w:pPr>
          </w:p>
          <w:p w:rsidR="00720B9E" w:rsidRPr="00720B9E" w:rsidP="00AA4140" w14:paraId="02453508" w14:textId="6521AB06">
            <w:pPr>
              <w:spacing w:line="240" w:lineRule="auto"/>
              <w:rPr>
                <w:rFonts w:eastAsia="Times New Roman" w:cs="Times New Roman"/>
                <w:kern w:val="0"/>
                <w14:ligatures w14:val="none"/>
              </w:rPr>
            </w:pPr>
            <w:r w:rsidRPr="00720B9E">
              <w:rPr>
                <w:rFonts w:eastAsia="Times New Roman" w:cs="Times New Roman"/>
                <w:kern w:val="0"/>
                <w14:ligatures w14:val="none"/>
              </w:rPr>
              <w:t xml:space="preserve">      (</w:t>
            </w:r>
            <w:r w:rsidR="00D1694E">
              <w:rPr>
                <w:rFonts w:eastAsia="Times New Roman" w:cs="Times New Roman"/>
                <w:kern w:val="0"/>
                <w14:ligatures w14:val="none"/>
              </w:rPr>
              <w:t>Alameda</w:t>
            </w:r>
            <w:r w:rsidRPr="00720B9E">
              <w:rPr>
                <w:rFonts w:eastAsia="Times New Roman" w:cs="Times New Roman"/>
                <w:kern w:val="0"/>
                <w14:ligatures w14:val="none"/>
              </w:rPr>
              <w:t xml:space="preserve"> County</w:t>
            </w:r>
            <w:r w:rsidR="00D1694E">
              <w:rPr>
                <w:rFonts w:eastAsia="Times New Roman" w:cs="Times New Roman"/>
                <w:kern w:val="0"/>
                <w14:ligatures w14:val="none"/>
              </w:rPr>
              <w:t xml:space="preserve"> Super.</w:t>
            </w:r>
          </w:p>
          <w:p w:rsidR="00720B9E" w:rsidRPr="00720B9E" w:rsidP="00AA4140" w14:paraId="34101613" w14:textId="24CE4589">
            <w:pPr>
              <w:spacing w:line="240" w:lineRule="auto"/>
              <w:rPr>
                <w:rFonts w:eastAsia="Times New Roman" w:cs="Times New Roman"/>
                <w:kern w:val="0"/>
                <w14:ligatures w14:val="none"/>
              </w:rPr>
            </w:pPr>
            <w:r w:rsidRPr="00720B9E">
              <w:rPr>
                <w:rFonts w:eastAsia="Times New Roman" w:cs="Times New Roman"/>
                <w:kern w:val="0"/>
                <w14:ligatures w14:val="none"/>
              </w:rPr>
              <w:t xml:space="preserve">      Ct. No. </w:t>
            </w:r>
            <w:r w:rsidR="00D1694E">
              <w:rPr>
                <w:rFonts w:eastAsia="Times New Roman" w:cs="Times New Roman"/>
                <w:kern w:val="0"/>
                <w14:ligatures w14:val="none"/>
              </w:rPr>
              <w:t>RG17862130</w:t>
            </w:r>
            <w:r w:rsidRPr="00720B9E">
              <w:rPr>
                <w:rFonts w:eastAsia="Times New Roman" w:cs="Times New Roman"/>
                <w:kern w:val="0"/>
                <w14:ligatures w14:val="none"/>
              </w:rPr>
              <w:t>)</w:t>
            </w:r>
          </w:p>
        </w:tc>
      </w:tr>
    </w:tbl>
    <w:p w:rsidR="00720B9E" w:rsidP="00C6285C" w14:paraId="109EA9FA" w14:textId="396611C0">
      <w:pPr>
        <w:spacing w:before="240"/>
        <w:ind w:firstLine="720"/>
        <w:rPr>
          <w:rFonts w:eastAsia="Times New Roman" w:cs="Times New Roman"/>
          <w:kern w:val="0"/>
          <w14:ligatures w14:val="none"/>
        </w:rPr>
      </w:pPr>
      <w:r>
        <w:rPr>
          <w:rFonts w:eastAsia="Times New Roman" w:cs="Times New Roman"/>
          <w:kern w:val="0"/>
          <w14:ligatures w14:val="none"/>
        </w:rPr>
        <w:t xml:space="preserve">Stewart Johnston appeals from the trial court’s order </w:t>
      </w:r>
      <w:r w:rsidR="0081743C">
        <w:rPr>
          <w:rFonts w:eastAsia="Times New Roman" w:cs="Times New Roman"/>
          <w:kern w:val="0"/>
          <w14:ligatures w14:val="none"/>
        </w:rPr>
        <w:t>in favor of</w:t>
      </w:r>
      <w:r>
        <w:rPr>
          <w:rFonts w:eastAsia="Times New Roman" w:cs="Times New Roman"/>
          <w:kern w:val="0"/>
          <w14:ligatures w14:val="none"/>
        </w:rPr>
        <w:t xml:space="preserve"> BTHHM Berkeley, LLC,</w:t>
      </w:r>
      <w:r w:rsidR="0081743C">
        <w:rPr>
          <w:rFonts w:eastAsia="Times New Roman" w:cs="Times New Roman"/>
          <w:kern w:val="0"/>
          <w14:ligatures w14:val="none"/>
        </w:rPr>
        <w:t xml:space="preserve"> PNG Berkeley, LLC, Michail Family 2004 Living Trust, Bianca Blesching, Scot Hawkins</w:t>
      </w:r>
      <w:r w:rsidR="0032134F">
        <w:rPr>
          <w:rFonts w:eastAsia="Times New Roman" w:cs="Times New Roman"/>
          <w:kern w:val="0"/>
          <w14:ligatures w14:val="none"/>
        </w:rPr>
        <w:t xml:space="preserve"> (collectively, BTHHM)</w:t>
      </w:r>
      <w:r w:rsidR="0081743C">
        <w:rPr>
          <w:rFonts w:eastAsia="Times New Roman" w:cs="Times New Roman"/>
          <w:kern w:val="0"/>
          <w14:ligatures w14:val="none"/>
        </w:rPr>
        <w:t xml:space="preserve">, </w:t>
      </w:r>
      <w:r w:rsidR="00FD39AE">
        <w:rPr>
          <w:rFonts w:eastAsia="Times New Roman" w:cs="Times New Roman"/>
          <w:kern w:val="0"/>
          <w14:ligatures w14:val="none"/>
        </w:rPr>
        <w:t xml:space="preserve">and </w:t>
      </w:r>
      <w:r w:rsidR="0081743C">
        <w:rPr>
          <w:rFonts w:eastAsia="Times New Roman" w:cs="Times New Roman"/>
          <w:kern w:val="0"/>
          <w14:ligatures w14:val="none"/>
        </w:rPr>
        <w:t>Holda Novelo and Landmark Real Estate Management, Inc.</w:t>
      </w:r>
      <w:r w:rsidR="005A4DE5">
        <w:rPr>
          <w:rFonts w:eastAsia="Times New Roman" w:cs="Times New Roman"/>
          <w:kern w:val="0"/>
          <w14:ligatures w14:val="none"/>
        </w:rPr>
        <w:t xml:space="preserve"> (</w:t>
      </w:r>
      <w:r w:rsidR="00D07997">
        <w:rPr>
          <w:rFonts w:eastAsia="Times New Roman" w:cs="Times New Roman"/>
          <w:kern w:val="0"/>
          <w14:ligatures w14:val="none"/>
        </w:rPr>
        <w:t xml:space="preserve">collectively, </w:t>
      </w:r>
      <w:r w:rsidR="005A4DE5">
        <w:rPr>
          <w:rFonts w:eastAsia="Times New Roman" w:cs="Times New Roman"/>
          <w:kern w:val="0"/>
          <w14:ligatures w14:val="none"/>
        </w:rPr>
        <w:t>Landmark)</w:t>
      </w:r>
      <w:r w:rsidR="0081743C">
        <w:rPr>
          <w:rFonts w:eastAsia="Times New Roman" w:cs="Times New Roman"/>
          <w:kern w:val="0"/>
          <w14:ligatures w14:val="none"/>
        </w:rPr>
        <w:t xml:space="preserve">, enforcing </w:t>
      </w:r>
      <w:r w:rsidR="005A4DE5">
        <w:rPr>
          <w:rFonts w:eastAsia="Times New Roman" w:cs="Times New Roman"/>
          <w:kern w:val="0"/>
          <w14:ligatures w14:val="none"/>
        </w:rPr>
        <w:t xml:space="preserve">a settlement term sheet </w:t>
      </w:r>
      <w:r w:rsidRPr="0047736A" w:rsidR="0081743C">
        <w:rPr>
          <w:rFonts w:eastAsia="Times New Roman" w:cs="Times New Roman"/>
          <w:kern w:val="0"/>
          <w14:ligatures w14:val="none"/>
        </w:rPr>
        <w:t xml:space="preserve">and entering </w:t>
      </w:r>
      <w:r w:rsidRPr="0047736A">
        <w:rPr>
          <w:rFonts w:eastAsia="Times New Roman" w:cs="Times New Roman"/>
          <w:kern w:val="0"/>
          <w14:ligatures w14:val="none"/>
        </w:rPr>
        <w:t xml:space="preserve">judgment </w:t>
      </w:r>
      <w:r w:rsidRPr="0047736A" w:rsidR="0081743C">
        <w:rPr>
          <w:rFonts w:eastAsia="Times New Roman" w:cs="Times New Roman"/>
          <w:kern w:val="0"/>
          <w14:ligatures w14:val="none"/>
        </w:rPr>
        <w:t>against him</w:t>
      </w:r>
      <w:r w:rsidRPr="0047736A" w:rsidR="00D07997">
        <w:rPr>
          <w:rFonts w:eastAsia="Times New Roman" w:cs="Times New Roman"/>
          <w:kern w:val="0"/>
          <w14:ligatures w14:val="none"/>
        </w:rPr>
        <w:t xml:space="preserve"> pursuant to Code of Civil Procedure section</w:t>
      </w:r>
      <w:r w:rsidR="009410CB">
        <w:rPr>
          <w:rFonts w:eastAsia="Times New Roman" w:cs="Times New Roman"/>
          <w:kern w:val="0"/>
          <w14:ligatures w14:val="none"/>
        </w:rPr>
        <w:t> </w:t>
      </w:r>
      <w:r w:rsidRPr="0047736A" w:rsidR="00D07997">
        <w:rPr>
          <w:rFonts w:eastAsia="Times New Roman" w:cs="Times New Roman"/>
          <w:kern w:val="0"/>
          <w14:ligatures w14:val="none"/>
        </w:rPr>
        <w:t>664.6</w:t>
      </w:r>
      <w:r w:rsidR="00FD39AE">
        <w:rPr>
          <w:rFonts w:eastAsia="Times New Roman" w:cs="Times New Roman"/>
          <w:kern w:val="0"/>
          <w14:ligatures w14:val="none"/>
        </w:rPr>
        <w:t xml:space="preserve"> (section</w:t>
      </w:r>
      <w:r w:rsidR="009410CB">
        <w:rPr>
          <w:rFonts w:eastAsia="Times New Roman" w:cs="Times New Roman"/>
          <w:kern w:val="0"/>
          <w14:ligatures w14:val="none"/>
        </w:rPr>
        <w:t> </w:t>
      </w:r>
      <w:r w:rsidR="00FD39AE">
        <w:rPr>
          <w:rFonts w:eastAsia="Times New Roman" w:cs="Times New Roman"/>
          <w:kern w:val="0"/>
          <w14:ligatures w14:val="none"/>
        </w:rPr>
        <w:t>664.6)</w:t>
      </w:r>
      <w:r w:rsidRPr="0047736A" w:rsidR="00CD5AA5">
        <w:rPr>
          <w:rFonts w:eastAsia="Times New Roman" w:cs="Times New Roman"/>
          <w:kern w:val="0"/>
          <w14:ligatures w14:val="none"/>
        </w:rPr>
        <w:t>.</w:t>
      </w:r>
      <w:r w:rsidRPr="0047736A" w:rsidR="00CD0A61">
        <w:rPr>
          <w:rFonts w:eastAsia="Times New Roman" w:cs="Times New Roman"/>
          <w:kern w:val="0"/>
          <w14:ligatures w14:val="none"/>
        </w:rPr>
        <w:t xml:space="preserve">  Johnston argues that the term sheet was not an enforceable </w:t>
      </w:r>
      <w:r w:rsidR="00603CF8">
        <w:rPr>
          <w:rFonts w:eastAsia="Times New Roman" w:cs="Times New Roman"/>
          <w:kern w:val="0"/>
          <w14:ligatures w14:val="none"/>
        </w:rPr>
        <w:t xml:space="preserve">settlement </w:t>
      </w:r>
      <w:r w:rsidRPr="0047736A" w:rsidR="00CD0A61">
        <w:rPr>
          <w:rFonts w:eastAsia="Times New Roman" w:cs="Times New Roman"/>
          <w:kern w:val="0"/>
          <w14:ligatures w14:val="none"/>
        </w:rPr>
        <w:t>agreement</w:t>
      </w:r>
      <w:r w:rsidR="00CD0A61">
        <w:rPr>
          <w:rFonts w:eastAsia="Times New Roman" w:cs="Times New Roman"/>
          <w:kern w:val="0"/>
          <w14:ligatures w14:val="none"/>
        </w:rPr>
        <w:t xml:space="preserve"> </w:t>
      </w:r>
      <w:r w:rsidRPr="00A92635" w:rsidR="00CD0A61">
        <w:rPr>
          <w:rFonts w:eastAsia="Times New Roman" w:cs="Times New Roman"/>
          <w:kern w:val="0"/>
          <w14:ligatures w14:val="none"/>
        </w:rPr>
        <w:t xml:space="preserve">because it omits material terms.  Even if it is enforceable, he argues, </w:t>
      </w:r>
      <w:r w:rsidR="00575037">
        <w:rPr>
          <w:rFonts w:eastAsia="Times New Roman" w:cs="Times New Roman"/>
          <w:kern w:val="0"/>
          <w14:ligatures w14:val="none"/>
        </w:rPr>
        <w:t>a provision in the term sheet</w:t>
      </w:r>
      <w:r w:rsidRPr="00A92635" w:rsidR="00575037">
        <w:rPr>
          <w:rFonts w:eastAsia="Times New Roman" w:cs="Times New Roman"/>
          <w:kern w:val="0"/>
          <w14:ligatures w14:val="none"/>
        </w:rPr>
        <w:t xml:space="preserve"> requir</w:t>
      </w:r>
      <w:r w:rsidR="00575037">
        <w:rPr>
          <w:rFonts w:eastAsia="Times New Roman" w:cs="Times New Roman"/>
          <w:kern w:val="0"/>
          <w14:ligatures w14:val="none"/>
        </w:rPr>
        <w:t>ing</w:t>
      </w:r>
      <w:r w:rsidRPr="00A92635" w:rsidR="00575037">
        <w:rPr>
          <w:rFonts w:eastAsia="Times New Roman" w:cs="Times New Roman"/>
          <w:kern w:val="0"/>
          <w14:ligatures w14:val="none"/>
        </w:rPr>
        <w:t xml:space="preserve"> him to pay</w:t>
      </w:r>
      <w:r w:rsidR="00575037">
        <w:rPr>
          <w:rFonts w:eastAsia="Times New Roman" w:cs="Times New Roman"/>
          <w:kern w:val="0"/>
          <w14:ligatures w14:val="none"/>
        </w:rPr>
        <w:t> </w:t>
      </w:r>
      <w:r w:rsidRPr="00A92635" w:rsidR="00575037">
        <w:rPr>
          <w:rFonts w:eastAsia="Times New Roman" w:cs="Times New Roman"/>
          <w:kern w:val="0"/>
          <w14:ligatures w14:val="none"/>
        </w:rPr>
        <w:t xml:space="preserve">$250,000 in </w:t>
      </w:r>
      <w:r w:rsidRPr="00A92635" w:rsidR="00575037">
        <w:rPr>
          <w:rFonts w:eastAsia="Times New Roman" w:cs="Times New Roman"/>
          <w:kern w:val="0"/>
          <w14:ligatures w14:val="none"/>
        </w:rPr>
        <w:t>liquidated damages</w:t>
      </w:r>
      <w:r w:rsidR="00230197">
        <w:rPr>
          <w:rFonts w:eastAsia="Times New Roman" w:cs="Times New Roman"/>
          <w:kern w:val="0"/>
          <w14:ligatures w14:val="none"/>
        </w:rPr>
        <w:t xml:space="preserve"> for late payment is unlawful, and the trial court’s award of </w:t>
      </w:r>
      <w:r w:rsidRPr="00A92635" w:rsidR="00CD0A61">
        <w:rPr>
          <w:rFonts w:eastAsia="Times New Roman" w:cs="Times New Roman"/>
          <w:kern w:val="0"/>
          <w14:ligatures w14:val="none"/>
        </w:rPr>
        <w:t>prejudgment</w:t>
      </w:r>
      <w:r w:rsidR="00CD0A61">
        <w:rPr>
          <w:rFonts w:eastAsia="Times New Roman" w:cs="Times New Roman"/>
          <w:kern w:val="0"/>
          <w14:ligatures w14:val="none"/>
        </w:rPr>
        <w:t xml:space="preserve"> interest on the settlement </w:t>
      </w:r>
      <w:r w:rsidR="00FD39AE">
        <w:rPr>
          <w:rFonts w:eastAsia="Times New Roman" w:cs="Times New Roman"/>
          <w:kern w:val="0"/>
          <w14:ligatures w14:val="none"/>
        </w:rPr>
        <w:t>amou</w:t>
      </w:r>
      <w:r w:rsidR="00CD0A61">
        <w:rPr>
          <w:rFonts w:eastAsia="Times New Roman" w:cs="Times New Roman"/>
          <w:kern w:val="0"/>
          <w14:ligatures w14:val="none"/>
        </w:rPr>
        <w:t xml:space="preserve">nt </w:t>
      </w:r>
      <w:r w:rsidR="00230197">
        <w:rPr>
          <w:rFonts w:eastAsia="Times New Roman" w:cs="Times New Roman"/>
          <w:kern w:val="0"/>
          <w14:ligatures w14:val="none"/>
        </w:rPr>
        <w:t>was unauthorized</w:t>
      </w:r>
      <w:r w:rsidRPr="00A92635" w:rsidR="00CD0A61">
        <w:rPr>
          <w:rFonts w:eastAsia="Times New Roman" w:cs="Times New Roman"/>
          <w:kern w:val="0"/>
          <w14:ligatures w14:val="none"/>
        </w:rPr>
        <w:t>.</w:t>
      </w:r>
      <w:r w:rsidRPr="00A92635" w:rsidR="00F62E1B">
        <w:rPr>
          <w:rFonts w:eastAsia="Times New Roman" w:cs="Times New Roman"/>
          <w:kern w:val="0"/>
          <w14:ligatures w14:val="none"/>
        </w:rPr>
        <w:t xml:space="preserve"> </w:t>
      </w:r>
    </w:p>
    <w:p w:rsidR="00CD0A61" w:rsidRPr="00720B9E" w:rsidP="0081743C" w14:paraId="1D0EC71C" w14:textId="737F139C">
      <w:pPr>
        <w:ind w:firstLine="720"/>
        <w:rPr>
          <w:rFonts w:eastAsia="Times New Roman" w:cs="Times New Roman"/>
          <w:kern w:val="0"/>
          <w14:ligatures w14:val="none"/>
        </w:rPr>
      </w:pPr>
      <w:r>
        <w:rPr>
          <w:rFonts w:eastAsia="Times New Roman" w:cs="Times New Roman"/>
          <w:kern w:val="0"/>
          <w14:ligatures w14:val="none"/>
        </w:rPr>
        <w:t xml:space="preserve">We </w:t>
      </w:r>
      <w:r w:rsidR="00052825">
        <w:rPr>
          <w:rFonts w:eastAsia="Times New Roman" w:cs="Times New Roman"/>
          <w:kern w:val="0"/>
          <w14:ligatures w14:val="none"/>
        </w:rPr>
        <w:t>reverse the trial court’s award of prejudgment interest</w:t>
      </w:r>
      <w:r>
        <w:rPr>
          <w:rFonts w:eastAsia="Times New Roman" w:cs="Times New Roman"/>
          <w:kern w:val="0"/>
          <w14:ligatures w14:val="none"/>
        </w:rPr>
        <w:t xml:space="preserve"> </w:t>
      </w:r>
      <w:r w:rsidR="000B3827">
        <w:rPr>
          <w:rFonts w:eastAsia="Times New Roman" w:cs="Times New Roman"/>
          <w:kern w:val="0"/>
          <w14:ligatures w14:val="none"/>
        </w:rPr>
        <w:t>but</w:t>
      </w:r>
      <w:r w:rsidR="00052825">
        <w:rPr>
          <w:rFonts w:eastAsia="Times New Roman" w:cs="Times New Roman"/>
          <w:kern w:val="0"/>
          <w14:ligatures w14:val="none"/>
        </w:rPr>
        <w:t xml:space="preserve"> otherwise</w:t>
      </w:r>
      <w:r>
        <w:rPr>
          <w:rFonts w:eastAsia="Times New Roman" w:cs="Times New Roman"/>
          <w:kern w:val="0"/>
          <w14:ligatures w14:val="none"/>
        </w:rPr>
        <w:t xml:space="preserve"> affirm.</w:t>
      </w:r>
    </w:p>
    <w:p w:rsidR="00046358" w:rsidP="00DA3934" w14:paraId="248076C3" w14:textId="3C8FA0FC">
      <w:pPr>
        <w:pStyle w:val="Heading1"/>
        <w:tabs>
          <w:tab w:val="left" w:pos="3960"/>
        </w:tabs>
      </w:pPr>
      <w:bookmarkStart w:id="0" w:name="_Hlk154133216"/>
      <w:r>
        <w:t>BACKGROUND</w:t>
      </w:r>
    </w:p>
    <w:bookmarkEnd w:id="0"/>
    <w:p w:rsidR="0032134F" w:rsidP="00065477" w14:paraId="5E20958B" w14:textId="55662159">
      <w:pPr>
        <w:tabs>
          <w:tab w:val="left" w:pos="720"/>
        </w:tabs>
        <w:ind w:firstLine="720"/>
      </w:pPr>
      <w:r>
        <w:t>Landmark</w:t>
      </w:r>
      <w:r w:rsidR="00477FD4">
        <w:t xml:space="preserve"> and the predecessors of </w:t>
      </w:r>
      <w:r w:rsidR="005A4DE5">
        <w:t xml:space="preserve">BTHHM entered into a letter of intent to lease real property </w:t>
      </w:r>
      <w:r w:rsidR="00FD39AE">
        <w:t>owned by Johnston</w:t>
      </w:r>
      <w:r w:rsidR="005A4DE5">
        <w:t xml:space="preserve">. </w:t>
      </w:r>
      <w:r>
        <w:t xml:space="preserve"> </w:t>
      </w:r>
      <w:r w:rsidR="005A4DE5">
        <w:t>Landmark</w:t>
      </w:r>
      <w:r>
        <w:t xml:space="preserve"> was</w:t>
      </w:r>
      <w:r w:rsidR="005A4DE5">
        <w:t xml:space="preserve"> Johnston’s property manager.</w:t>
      </w:r>
      <w:r w:rsidR="00D408A4">
        <w:t xml:space="preserve">  According to the letter of intent and its amendments, BTHHM would pay rent to Johnston to hold the property vacant while BTHHM applied to the </w:t>
      </w:r>
      <w:r w:rsidR="009F0149">
        <w:t xml:space="preserve">City </w:t>
      </w:r>
      <w:r w:rsidR="00D408A4">
        <w:t>of</w:t>
      </w:r>
      <w:r w:rsidR="00D37B60">
        <w:t> </w:t>
      </w:r>
      <w:r w:rsidR="00D408A4">
        <w:t xml:space="preserve">Berkeley for a permit to operate a </w:t>
      </w:r>
      <w:r w:rsidR="00E02BD4">
        <w:t>cannabis</w:t>
      </w:r>
      <w:r w:rsidR="00D408A4">
        <w:t xml:space="preserve"> dispensary. </w:t>
      </w:r>
      <w:r>
        <w:t xml:space="preserve"> The </w:t>
      </w:r>
      <w:r w:rsidR="00D408A4">
        <w:t>letter of intent provided that</w:t>
      </w:r>
      <w:r>
        <w:t>, once the city granted the permit,</w:t>
      </w:r>
      <w:r w:rsidR="00D408A4">
        <w:t xml:space="preserve"> Johnston would turn the property </w:t>
      </w:r>
      <w:r w:rsidR="00FD39AE">
        <w:t xml:space="preserve">over </w:t>
      </w:r>
      <w:r w:rsidR="00D408A4">
        <w:t>to BTHHM to operate the dispensary</w:t>
      </w:r>
      <w:r>
        <w:t>.  In return,</w:t>
      </w:r>
      <w:r w:rsidR="00D408A4">
        <w:t xml:space="preserve"> BTHHM would pay Johnston </w:t>
      </w:r>
      <w:r w:rsidR="00E02BD4">
        <w:t>double the</w:t>
      </w:r>
      <w:r w:rsidR="00D408A4">
        <w:t xml:space="preserve"> rent</w:t>
      </w:r>
      <w:r w:rsidR="00FD39AE">
        <w:t xml:space="preserve"> required to hold the property vacant</w:t>
      </w:r>
      <w:r w:rsidR="00D408A4">
        <w:t xml:space="preserve">.  </w:t>
      </w:r>
      <w:r>
        <w:t xml:space="preserve">Johnston held the property vacant for 20 months </w:t>
      </w:r>
      <w:r w:rsidR="005C5F04">
        <w:t xml:space="preserve">during which time </w:t>
      </w:r>
      <w:r>
        <w:t>BTHHM paid</w:t>
      </w:r>
      <w:r w:rsidR="00051335">
        <w:t>, and</w:t>
      </w:r>
      <w:r>
        <w:t xml:space="preserve"> Johnston</w:t>
      </w:r>
      <w:r w:rsidR="00051335">
        <w:t xml:space="preserve"> accepted,</w:t>
      </w:r>
      <w:r>
        <w:t xml:space="preserve"> rent</w:t>
      </w:r>
      <w:r w:rsidR="00051335">
        <w:t xml:space="preserve"> according to the provisions of the letter of intent and its amendments</w:t>
      </w:r>
      <w:r>
        <w:t>.  But w</w:t>
      </w:r>
      <w:r w:rsidR="00D408A4">
        <w:t xml:space="preserve">hen the city approved the permit, Johnston refused to </w:t>
      </w:r>
      <w:r w:rsidR="00995836">
        <w:t xml:space="preserve">deliver possession of </w:t>
      </w:r>
      <w:r w:rsidR="00D408A4">
        <w:t>the property to BTHHM.</w:t>
      </w:r>
      <w:r w:rsidR="00BD1463">
        <w:t xml:space="preserve"> </w:t>
      </w:r>
    </w:p>
    <w:p w:rsidR="00046358" w:rsidP="00065477" w14:paraId="5AA5B1BF" w14:textId="7CB9109A">
      <w:pPr>
        <w:tabs>
          <w:tab w:val="left" w:pos="720"/>
        </w:tabs>
        <w:ind w:firstLine="720"/>
      </w:pPr>
      <w:r>
        <w:t>BTHHM sued Johnston, asserting breach of contract and related claims</w:t>
      </w:r>
      <w:r w:rsidR="00995836">
        <w:t xml:space="preserve">, and seeking </w:t>
      </w:r>
      <w:r w:rsidR="00FD39AE">
        <w:t>“</w:t>
      </w:r>
      <w:r w:rsidR="00A92635">
        <w:t>at least</w:t>
      </w:r>
      <w:r w:rsidR="00FD39AE">
        <w:t>”</w:t>
      </w:r>
      <w:r w:rsidR="00A92635">
        <w:t xml:space="preserve"> $1,545,000</w:t>
      </w:r>
      <w:r w:rsidR="00D37B60">
        <w:t> </w:t>
      </w:r>
      <w:r w:rsidR="00995836">
        <w:t>in damages</w:t>
      </w:r>
      <w:r>
        <w:t xml:space="preserve">.  Johnston filed a cross-complaint against Landmark, alleging that </w:t>
      </w:r>
      <w:r w:rsidR="00FD39AE">
        <w:t>it</w:t>
      </w:r>
      <w:r>
        <w:t xml:space="preserve"> lacked </w:t>
      </w:r>
      <w:r w:rsidRPr="00731BE7">
        <w:t>authority to bind him to the contract with BTHHM</w:t>
      </w:r>
      <w:r w:rsidRPr="00731BE7" w:rsidR="00FB2A50">
        <w:t xml:space="preserve">, and that </w:t>
      </w:r>
      <w:r w:rsidR="00FD39AE">
        <w:t>Landmark</w:t>
      </w:r>
      <w:r w:rsidRPr="00731BE7" w:rsidR="00FB2A50">
        <w:t xml:space="preserve"> knew Johnston would never agree to lease his real property to a cannabis dispensary</w:t>
      </w:r>
      <w:r w:rsidRPr="00731BE7">
        <w:t xml:space="preserve">. </w:t>
      </w:r>
      <w:r w:rsidR="00852D38">
        <w:t xml:space="preserve"> </w:t>
      </w:r>
    </w:p>
    <w:p w:rsidR="00FD39AE" w:rsidP="00150C76" w14:paraId="24B6320E" w14:textId="1A7378E1">
      <w:pPr>
        <w:tabs>
          <w:tab w:val="left" w:pos="720"/>
        </w:tabs>
        <w:ind w:firstLine="720"/>
      </w:pPr>
      <w:r>
        <w:t>I</w:t>
      </w:r>
      <w:r w:rsidR="00852D38">
        <w:t>n October</w:t>
      </w:r>
      <w:r w:rsidR="00D37B60">
        <w:t> </w:t>
      </w:r>
      <w:r w:rsidR="00852D38">
        <w:t>2021, the parties attended an all-day tele-mediation, the product of which was a two-page term sheet</w:t>
      </w:r>
      <w:r w:rsidR="008B4107">
        <w:t xml:space="preserve"> titled “Settlement Term Sheet Agreement,”</w:t>
      </w:r>
      <w:r w:rsidR="003B2CC0">
        <w:t xml:space="preserve"> </w:t>
      </w:r>
      <w:r w:rsidR="008B4107">
        <w:t>which</w:t>
      </w:r>
      <w:r w:rsidR="003B2CC0">
        <w:t xml:space="preserve"> provided, in relevant part:</w:t>
      </w:r>
    </w:p>
    <w:p w:rsidR="008B4107" w:rsidP="001B1ADA" w14:paraId="40616279" w14:textId="0B369ECF">
      <w:pPr>
        <w:tabs>
          <w:tab w:val="left" w:pos="1440"/>
        </w:tabs>
        <w:spacing w:before="120" w:line="240" w:lineRule="auto"/>
        <w:ind w:left="1440" w:right="720"/>
      </w:pPr>
      <w:r>
        <w:t>“[The parties] enter into this Settlement Term Sheet (“Agreement”) as of October</w:t>
      </w:r>
      <w:r w:rsidR="00D37B60">
        <w:t> </w:t>
      </w:r>
      <w:r>
        <w:t>27, 2021 and agree as follows.</w:t>
      </w:r>
      <w:r w:rsidR="00D37B60">
        <w:t> </w:t>
      </w:r>
      <w:r>
        <w:t>.</w:t>
      </w:r>
      <w:r w:rsidR="00D37B60">
        <w:t> </w:t>
      </w:r>
      <w:r>
        <w:t>.</w:t>
      </w:r>
      <w:r w:rsidR="00D37B60">
        <w:t> </w:t>
      </w:r>
      <w:r>
        <w:t>.</w:t>
      </w:r>
    </w:p>
    <w:p w:rsidR="00377632" w:rsidP="00AB3A24" w14:paraId="150CC66E" w14:textId="77777777">
      <w:pPr>
        <w:tabs>
          <w:tab w:val="left" w:pos="720"/>
        </w:tabs>
        <w:spacing w:line="240" w:lineRule="auto"/>
        <w:ind w:right="720" w:firstLine="720"/>
      </w:pPr>
    </w:p>
    <w:p w:rsidR="008B4107" w:rsidP="007539A8" w14:paraId="1CC0E6E2" w14:textId="7631495F">
      <w:pPr>
        <w:tabs>
          <w:tab w:val="left" w:pos="720"/>
          <w:tab w:val="left" w:pos="8640"/>
        </w:tabs>
        <w:spacing w:line="240" w:lineRule="auto"/>
        <w:ind w:left="1800" w:right="720" w:hanging="364"/>
      </w:pPr>
      <w:r w:rsidRPr="00860698">
        <w:t>“1.</w:t>
      </w:r>
      <w:r>
        <w:rPr>
          <w:b/>
          <w:bCs/>
        </w:rPr>
        <w:t xml:space="preserve"> </w:t>
      </w:r>
      <w:r w:rsidRPr="007857E0">
        <w:rPr>
          <w:b/>
          <w:bCs/>
        </w:rPr>
        <w:t>Dismissal of Entire Action with Prejudice</w:t>
      </w:r>
      <w:r>
        <w:t>:  Defendant will dismiss his Cross-Complaint with prejudice upon Cross-Defendant’s payment of its share of the settlement amount.  Plaintiffs will dismiss their Complaint with prejudice upon full payment of the settlement amount of</w:t>
      </w:r>
      <w:r w:rsidR="00B435FB">
        <w:t> </w:t>
      </w:r>
      <w:r>
        <w:t>$2,200,000 to Plaintiffs.</w:t>
      </w:r>
    </w:p>
    <w:p w:rsidR="00377632" w:rsidP="00C11792" w14:paraId="39C4F55C" w14:textId="77777777">
      <w:pPr>
        <w:tabs>
          <w:tab w:val="left" w:pos="720"/>
        </w:tabs>
        <w:spacing w:line="240" w:lineRule="auto"/>
        <w:ind w:left="1440" w:right="720"/>
      </w:pPr>
    </w:p>
    <w:p w:rsidR="008B4107" w:rsidP="007857E0" w14:paraId="64BD0065" w14:textId="2CE6120B">
      <w:pPr>
        <w:tabs>
          <w:tab w:val="left" w:pos="1800"/>
        </w:tabs>
        <w:spacing w:line="240" w:lineRule="auto"/>
        <w:ind w:left="1440" w:right="720"/>
      </w:pPr>
      <w:r w:rsidRPr="007857E0">
        <w:t>“2.</w:t>
      </w:r>
      <w:r w:rsidR="00860698">
        <w:t xml:space="preserve"> </w:t>
      </w:r>
      <w:r w:rsidRPr="007857E0">
        <w:rPr>
          <w:b/>
          <w:bCs/>
        </w:rPr>
        <w:t>Settlement Payment</w:t>
      </w:r>
      <w:r>
        <w:t xml:space="preserve">:  </w:t>
      </w:r>
      <w:r w:rsidR="00D22FA8">
        <w:t>.</w:t>
      </w:r>
      <w:r w:rsidR="00B435FB">
        <w:t> </w:t>
      </w:r>
      <w:r w:rsidR="00D22FA8">
        <w:t>.</w:t>
      </w:r>
      <w:r w:rsidR="00B435FB">
        <w:t> </w:t>
      </w:r>
      <w:r w:rsidR="00D22FA8">
        <w:t>.</w:t>
      </w:r>
      <w:r w:rsidR="00B435FB">
        <w:t> </w:t>
      </w:r>
      <w:r w:rsidR="00D22FA8">
        <w:t>.</w:t>
      </w:r>
    </w:p>
    <w:p w:rsidR="000E2E24" w:rsidP="007857E0" w14:paraId="377A41EF" w14:textId="77777777">
      <w:pPr>
        <w:tabs>
          <w:tab w:val="left" w:pos="1800"/>
        </w:tabs>
        <w:spacing w:line="240" w:lineRule="auto"/>
        <w:ind w:left="1440" w:right="720"/>
      </w:pPr>
    </w:p>
    <w:p w:rsidR="00D22FA8" w:rsidP="00154064" w14:paraId="42932DAE" w14:textId="64F7D20E">
      <w:pPr>
        <w:pStyle w:val="ListParagraph"/>
        <w:numPr>
          <w:ilvl w:val="0"/>
          <w:numId w:val="24"/>
        </w:numPr>
        <w:spacing w:line="240" w:lineRule="auto"/>
        <w:ind w:left="2160" w:right="720" w:hanging="360"/>
      </w:pPr>
      <w:r w:rsidRPr="00D22FA8">
        <w:rPr>
          <w:b/>
          <w:bCs/>
        </w:rPr>
        <w:t>Settlement Payment by Defendant</w:t>
      </w:r>
      <w:r>
        <w:t>:  Defendant shall pay Plaintiffs the total amount of</w:t>
      </w:r>
      <w:r w:rsidR="00B435FB">
        <w:t> </w:t>
      </w:r>
      <w:r>
        <w:t>$1,600,000 as follows:</w:t>
      </w:r>
    </w:p>
    <w:p w:rsidR="00377632" w:rsidP="00C11792" w14:paraId="6ED4D31A" w14:textId="77777777">
      <w:pPr>
        <w:pStyle w:val="ListParagraph"/>
        <w:spacing w:line="240" w:lineRule="auto"/>
        <w:ind w:left="1440" w:right="720"/>
      </w:pPr>
    </w:p>
    <w:p w:rsidR="00D22FA8" w:rsidP="002A6C50" w14:paraId="22880820" w14:textId="21CC4547">
      <w:pPr>
        <w:pStyle w:val="ListParagraph"/>
        <w:numPr>
          <w:ilvl w:val="0"/>
          <w:numId w:val="25"/>
        </w:numPr>
        <w:tabs>
          <w:tab w:val="left" w:pos="2880"/>
        </w:tabs>
        <w:spacing w:line="240" w:lineRule="auto"/>
        <w:ind w:left="1890" w:right="720" w:firstLine="270"/>
      </w:pPr>
      <w:r>
        <w:t xml:space="preserve">$200,000 within (30) days of this </w:t>
      </w:r>
      <w:r w:rsidR="007C3774">
        <w:t>a</w:t>
      </w:r>
      <w:r>
        <w:t>greement;</w:t>
      </w:r>
    </w:p>
    <w:p w:rsidR="00377632" w:rsidP="00C11792" w14:paraId="6030C54F" w14:textId="77777777">
      <w:pPr>
        <w:pStyle w:val="ListParagraph"/>
        <w:spacing w:line="240" w:lineRule="auto"/>
        <w:ind w:left="1440" w:right="720"/>
      </w:pPr>
    </w:p>
    <w:p w:rsidR="00D22FA8" w:rsidP="0039232D" w14:paraId="40F97964" w14:textId="348A681F">
      <w:pPr>
        <w:pStyle w:val="ListParagraph"/>
        <w:numPr>
          <w:ilvl w:val="0"/>
          <w:numId w:val="25"/>
        </w:numPr>
        <w:tabs>
          <w:tab w:val="left" w:pos="2880"/>
        </w:tabs>
        <w:spacing w:line="240" w:lineRule="auto"/>
        <w:ind w:left="2880" w:right="720"/>
      </w:pPr>
      <w:r>
        <w:t>$700,000 by January</w:t>
      </w:r>
      <w:r w:rsidR="00B435FB">
        <w:t> </w:t>
      </w:r>
      <w:r>
        <w:t>15, 2022 at 5:00</w:t>
      </w:r>
      <w:r w:rsidR="00B435FB">
        <w:t> </w:t>
      </w:r>
      <w:r>
        <w:t>p.m. Pacific time; and</w:t>
      </w:r>
    </w:p>
    <w:p w:rsidR="00377632" w:rsidP="00C11792" w14:paraId="4FEEA6E6" w14:textId="77777777">
      <w:pPr>
        <w:pStyle w:val="ListParagraph"/>
        <w:spacing w:line="240" w:lineRule="auto"/>
        <w:ind w:left="1440" w:right="720"/>
      </w:pPr>
    </w:p>
    <w:p w:rsidR="00D22FA8" w:rsidP="001B4865" w14:paraId="58F79CE4" w14:textId="69568FE6">
      <w:pPr>
        <w:pStyle w:val="ListParagraph"/>
        <w:numPr>
          <w:ilvl w:val="0"/>
          <w:numId w:val="25"/>
        </w:numPr>
        <w:tabs>
          <w:tab w:val="left" w:pos="2880"/>
        </w:tabs>
        <w:spacing w:line="240" w:lineRule="auto"/>
        <w:ind w:left="2880" w:right="720"/>
      </w:pPr>
      <w:r>
        <w:t>$700,000 by April</w:t>
      </w:r>
      <w:r w:rsidR="00B435FB">
        <w:t> </w:t>
      </w:r>
      <w:r>
        <w:t>15, 2022 at 5:00</w:t>
      </w:r>
      <w:r w:rsidR="00B435FB">
        <w:t> </w:t>
      </w:r>
      <w:r>
        <w:t>p.m. Pacific time.</w:t>
      </w:r>
    </w:p>
    <w:p w:rsidR="000E2E24" w:rsidP="000E2E24" w14:paraId="38B20177" w14:textId="77777777">
      <w:pPr>
        <w:pStyle w:val="ListParagraph"/>
        <w:tabs>
          <w:tab w:val="left" w:pos="2880"/>
        </w:tabs>
        <w:spacing w:line="240" w:lineRule="auto"/>
        <w:ind w:left="2880" w:right="720"/>
      </w:pPr>
    </w:p>
    <w:p w:rsidR="001648F2" w:rsidP="00416974" w14:paraId="021BD347" w14:textId="4F26E183">
      <w:pPr>
        <w:pStyle w:val="ListParagraph"/>
        <w:numPr>
          <w:ilvl w:val="0"/>
          <w:numId w:val="24"/>
        </w:numPr>
        <w:spacing w:line="240" w:lineRule="auto"/>
        <w:ind w:left="2160" w:right="720" w:hanging="360"/>
      </w:pPr>
      <w:r>
        <w:rPr>
          <w:b/>
          <w:bCs/>
        </w:rPr>
        <w:t>Settlement Payment by Cross-Defendant</w:t>
      </w:r>
      <w:r>
        <w:t>:  Cross-Defendant shall pay Plaintiffs the total amount of</w:t>
      </w:r>
      <w:r w:rsidR="00B435FB">
        <w:t> </w:t>
      </w:r>
      <w:r>
        <w:t>$600,000 within thirty (30) days of receipt</w:t>
      </w:r>
      <w:r w:rsidR="00B435FB">
        <w:t> </w:t>
      </w:r>
      <w:r>
        <w:t>.</w:t>
      </w:r>
      <w:r w:rsidR="00B435FB">
        <w:t> </w:t>
      </w:r>
      <w:r>
        <w:t>.</w:t>
      </w:r>
      <w:r w:rsidR="00B435FB">
        <w:t> </w:t>
      </w:r>
      <w:r>
        <w:t>. of a completed W-9.</w:t>
      </w:r>
      <w:r w:rsidR="00B435FB">
        <w:t> </w:t>
      </w:r>
      <w:r>
        <w:t>.</w:t>
      </w:r>
      <w:r w:rsidR="00B435FB">
        <w:t> </w:t>
      </w:r>
      <w:r>
        <w:t>.</w:t>
      </w:r>
      <w:r w:rsidR="00B435FB">
        <w:t> </w:t>
      </w:r>
      <w:r>
        <w:t>.</w:t>
      </w:r>
    </w:p>
    <w:p w:rsidR="00377632" w:rsidP="00C11792" w14:paraId="41A86557" w14:textId="77777777">
      <w:pPr>
        <w:pStyle w:val="ListParagraph"/>
        <w:spacing w:line="240" w:lineRule="auto"/>
        <w:ind w:left="1440" w:right="720"/>
      </w:pPr>
    </w:p>
    <w:p w:rsidR="001648F2" w:rsidP="00C91CA9" w14:paraId="577DD88E" w14:textId="769D67F3">
      <w:pPr>
        <w:spacing w:line="240" w:lineRule="auto"/>
        <w:ind w:left="1800" w:right="720" w:hanging="360"/>
      </w:pPr>
      <w:r w:rsidRPr="00372327">
        <w:t>“</w:t>
      </w:r>
      <w:r w:rsidRPr="00372327" w:rsidR="00372327">
        <w:t>3.</w:t>
      </w:r>
      <w:r w:rsidR="00372327">
        <w:rPr>
          <w:b/>
          <w:bCs/>
        </w:rPr>
        <w:t xml:space="preserve"> </w:t>
      </w:r>
      <w:r w:rsidRPr="00B068F8">
        <w:rPr>
          <w:b/>
          <w:bCs/>
        </w:rPr>
        <w:t>Stipulation for Entry of Judgment/Liquidated Damages</w:t>
      </w:r>
      <w:r>
        <w:t>:</w:t>
      </w:r>
      <w:r w:rsidR="00C91CA9">
        <w:t xml:space="preserve"> </w:t>
      </w:r>
      <w:r w:rsidR="007B596D">
        <w:t xml:space="preserve"> </w:t>
      </w:r>
      <w:r>
        <w:t>Defendant shall execute and deliver to Plaintiffs a Stipulation of Entry of Judgment in favor of Plaintiffs and against Defendant.  If Defendant fails to make any of the payments referenced in Paragraph</w:t>
      </w:r>
      <w:r w:rsidR="00FD6F60">
        <w:t> </w:t>
      </w:r>
      <w:r>
        <w:t>2(a) above, then</w:t>
      </w:r>
      <w:r w:rsidR="00FD6F60">
        <w:t> </w:t>
      </w:r>
      <w:r>
        <w:t>.</w:t>
      </w:r>
      <w:r w:rsidR="00FD6F60">
        <w:t> </w:t>
      </w:r>
      <w:r>
        <w:t>.</w:t>
      </w:r>
      <w:r w:rsidR="00FD6F60">
        <w:t> </w:t>
      </w:r>
      <w:r>
        <w:t>. Plaintiffs shall have the right to immediately file the Stipulation for Entry of Judgment in the Action in the amount of the unpaid balance owed by Defendant plus</w:t>
      </w:r>
      <w:r w:rsidR="00FD6F60">
        <w:t> </w:t>
      </w:r>
      <w:r>
        <w:t>$250,000, and have Judgment entered in accordance therewith.</w:t>
      </w:r>
    </w:p>
    <w:p w:rsidR="00377632" w:rsidP="00C11792" w14:paraId="07F71587" w14:textId="77777777">
      <w:pPr>
        <w:spacing w:line="240" w:lineRule="auto"/>
        <w:ind w:left="1440" w:right="720"/>
      </w:pPr>
    </w:p>
    <w:p w:rsidR="001648F2" w:rsidP="007B596D" w14:paraId="60B2B013" w14:textId="71227736">
      <w:pPr>
        <w:spacing w:line="240" w:lineRule="auto"/>
        <w:ind w:left="1800" w:right="720" w:hanging="360"/>
      </w:pPr>
      <w:r w:rsidRPr="00B068F8">
        <w:t>“4.</w:t>
      </w:r>
      <w:r>
        <w:rPr>
          <w:b/>
          <w:bCs/>
        </w:rPr>
        <w:t xml:space="preserve"> </w:t>
      </w:r>
      <w:r w:rsidRPr="00B068F8">
        <w:rPr>
          <w:b/>
          <w:bCs/>
        </w:rPr>
        <w:t>Code of Civil Procedure §</w:t>
      </w:r>
      <w:r w:rsidRPr="00B068F8" w:rsidR="00FD6F60">
        <w:rPr>
          <w:b/>
          <w:bCs/>
        </w:rPr>
        <w:t> </w:t>
      </w:r>
      <w:r w:rsidRPr="00B068F8">
        <w:rPr>
          <w:b/>
          <w:bCs/>
        </w:rPr>
        <w:t>664.6</w:t>
      </w:r>
      <w:r>
        <w:t>:</w:t>
      </w:r>
      <w:r w:rsidR="007B596D">
        <w:t xml:space="preserve">  Parties agree </w:t>
      </w:r>
      <w:r>
        <w:t>the Agreement is admissible and enforceable in court pursuant to CCP §</w:t>
      </w:r>
      <w:r w:rsidR="00FD6F60">
        <w:t> </w:t>
      </w:r>
      <w:r>
        <w:t>664.6.  The parties agree that this is a good faith settlement between adverse parties.</w:t>
      </w:r>
      <w:r w:rsidR="00FD6F60">
        <w:t> </w:t>
      </w:r>
      <w:r>
        <w:t>.</w:t>
      </w:r>
      <w:r w:rsidR="00FD6F60">
        <w:t> </w:t>
      </w:r>
      <w:r>
        <w:t>.</w:t>
      </w:r>
      <w:r w:rsidR="00FD6F60">
        <w:t> </w:t>
      </w:r>
      <w:r>
        <w:t>.</w:t>
      </w:r>
    </w:p>
    <w:p w:rsidR="000627AD" w:rsidP="00B068F8" w14:paraId="080EF6CA" w14:textId="77777777">
      <w:pPr>
        <w:tabs>
          <w:tab w:val="left" w:pos="1890"/>
        </w:tabs>
        <w:spacing w:line="240" w:lineRule="auto"/>
        <w:ind w:left="1800" w:right="720"/>
      </w:pPr>
    </w:p>
    <w:p w:rsidR="00377632" w:rsidP="00C11792" w14:paraId="75BF9B66" w14:textId="689DD0E9">
      <w:pPr>
        <w:spacing w:line="240" w:lineRule="auto"/>
        <w:ind w:left="1440" w:right="720"/>
      </w:pPr>
      <w:bookmarkStart w:id="1" w:name="_Hlk161390409"/>
      <w:r>
        <w:t>[</w:t>
      </w:r>
      <w:r w:rsidR="00E74B49">
        <w:t>¶</w:t>
      </w:r>
      <w:r>
        <w:t>]</w:t>
      </w:r>
      <w:r w:rsidR="00E74B49">
        <w:t xml:space="preserve"> . . . [¶]</w:t>
      </w:r>
    </w:p>
    <w:p w:rsidR="000627AD" w:rsidP="00C11792" w14:paraId="2530C026" w14:textId="77777777">
      <w:pPr>
        <w:spacing w:line="240" w:lineRule="auto"/>
        <w:ind w:left="1440" w:right="720"/>
      </w:pPr>
    </w:p>
    <w:bookmarkEnd w:id="1"/>
    <w:p w:rsidR="001648F2" w:rsidP="005A6CE8" w14:paraId="4EE523D0" w14:textId="6D77E530">
      <w:pPr>
        <w:tabs>
          <w:tab w:val="left" w:pos="1800"/>
        </w:tabs>
        <w:spacing w:line="240" w:lineRule="auto"/>
        <w:ind w:left="1890" w:right="720" w:hanging="450"/>
      </w:pPr>
      <w:r w:rsidRPr="00C724DE">
        <w:t>“</w:t>
      </w:r>
      <w:r w:rsidRPr="00C724DE" w:rsidR="00C724DE">
        <w:t>6.</w:t>
      </w:r>
      <w:r w:rsidR="005A6CE8">
        <w:rPr>
          <w:b/>
          <w:bCs/>
        </w:rPr>
        <w:t xml:space="preserve"> </w:t>
      </w:r>
      <w:r w:rsidRPr="006D40D1" w:rsidR="001D5249">
        <w:rPr>
          <w:b/>
          <w:bCs/>
        </w:rPr>
        <w:t>Plaintiffs’ Release of Claims To Property</w:t>
      </w:r>
      <w:r w:rsidR="001D5249">
        <w:t>:  Plaintiffs agree to release any and all rights under the subject Letter of Intent and its amendments, including their right of first refusal on the proper</w:t>
      </w:r>
      <w:r w:rsidR="00377632">
        <w:t>ty [at issue], upon Defendant’s full payment of</w:t>
      </w:r>
      <w:r w:rsidR="00EE2354">
        <w:t> </w:t>
      </w:r>
      <w:r w:rsidR="00377632">
        <w:t>$1,600,000.</w:t>
      </w:r>
    </w:p>
    <w:p w:rsidR="00377632" w:rsidP="00C11792" w14:paraId="0BD027CA" w14:textId="77777777">
      <w:pPr>
        <w:spacing w:line="240" w:lineRule="auto"/>
        <w:ind w:left="1440" w:right="720"/>
      </w:pPr>
    </w:p>
    <w:p w:rsidR="00377632" w:rsidP="00AA266D" w14:paraId="2D405AE7" w14:textId="32B4C859">
      <w:pPr>
        <w:spacing w:line="240" w:lineRule="auto"/>
        <w:ind w:left="1890" w:right="720" w:hanging="450"/>
      </w:pPr>
      <w:r w:rsidRPr="006D40D1">
        <w:t>“7.</w:t>
      </w:r>
      <w:r>
        <w:rPr>
          <w:b/>
          <w:bCs/>
        </w:rPr>
        <w:t xml:space="preserve"> </w:t>
      </w:r>
      <w:r w:rsidRPr="006D40D1" w:rsidR="00605F78">
        <w:rPr>
          <w:b/>
          <w:bCs/>
        </w:rPr>
        <w:t>Mu</w:t>
      </w:r>
      <w:r w:rsidRPr="006D40D1">
        <w:rPr>
          <w:b/>
          <w:bCs/>
        </w:rPr>
        <w:t>tual Releases</w:t>
      </w:r>
      <w:r>
        <w:t xml:space="preserve">: </w:t>
      </w:r>
      <w:r w:rsidR="00FC1C5C">
        <w:t xml:space="preserve"> </w:t>
      </w:r>
      <w:r>
        <w:t>All Parties shall fully release each other from all claims he/she/it had or may have against each other, except as to any continuing obligations under this Agreement.</w:t>
      </w:r>
      <w:r w:rsidR="00EE2354">
        <w:t> </w:t>
      </w:r>
      <w:r>
        <w:t>.</w:t>
      </w:r>
      <w:r w:rsidR="00EE2354">
        <w:t> </w:t>
      </w:r>
      <w:r>
        <w:t>.</w:t>
      </w:r>
      <w:r w:rsidR="00EE2354">
        <w:t> </w:t>
      </w:r>
      <w:r>
        <w:t>.</w:t>
      </w:r>
    </w:p>
    <w:p w:rsidR="00C235D2" w:rsidP="006D40D1" w14:paraId="2917C353" w14:textId="77777777">
      <w:pPr>
        <w:pStyle w:val="ListParagraph"/>
        <w:spacing w:line="240" w:lineRule="auto"/>
        <w:ind w:left="1800" w:right="720" w:hanging="360"/>
      </w:pPr>
    </w:p>
    <w:p w:rsidR="00C235D2" w:rsidP="00C235D2" w14:paraId="26746E6B" w14:textId="77777777">
      <w:pPr>
        <w:spacing w:line="240" w:lineRule="auto"/>
        <w:ind w:left="1440" w:right="720"/>
      </w:pPr>
      <w:r>
        <w:t>[¶] . . . [¶]</w:t>
      </w:r>
    </w:p>
    <w:p w:rsidR="00C235D2" w:rsidP="00C235D2" w14:paraId="5BBCD7CF" w14:textId="77777777">
      <w:pPr>
        <w:spacing w:line="240" w:lineRule="auto"/>
        <w:ind w:left="1440" w:right="720"/>
      </w:pPr>
    </w:p>
    <w:p w:rsidR="00377632" w:rsidP="00C724DE" w14:paraId="2E901E3B" w14:textId="715418FB">
      <w:pPr>
        <w:tabs>
          <w:tab w:val="left" w:pos="1800"/>
        </w:tabs>
        <w:spacing w:line="240" w:lineRule="auto"/>
        <w:ind w:left="1980" w:right="720" w:hanging="540"/>
      </w:pPr>
      <w:r>
        <w:t>“11.</w:t>
      </w:r>
      <w:r w:rsidR="000912FC">
        <w:t xml:space="preserve"> </w:t>
      </w:r>
      <w:r>
        <w:rPr>
          <w:b/>
          <w:bCs/>
        </w:rPr>
        <w:t>Further Documentation</w:t>
      </w:r>
      <w:r>
        <w:t>:</w:t>
      </w:r>
      <w:r w:rsidR="00F4272F">
        <w:t xml:space="preserve"> </w:t>
      </w:r>
      <w:r>
        <w:t xml:space="preserve"> Parties agree to execute a final settlement agreement, which includes a mutually agreeable form for the Stipulation for Entry of Judgment.</w:t>
      </w:r>
    </w:p>
    <w:p w:rsidR="00377632" w:rsidP="00C11792" w14:paraId="1D5FE317" w14:textId="77777777">
      <w:pPr>
        <w:spacing w:line="240" w:lineRule="auto"/>
        <w:ind w:left="1440" w:right="720"/>
      </w:pPr>
    </w:p>
    <w:p w:rsidR="00377632" w:rsidP="002E66DC" w14:paraId="3C21D7A1" w14:textId="60A2AF50">
      <w:pPr>
        <w:spacing w:line="240" w:lineRule="auto"/>
        <w:ind w:left="1890" w:right="720" w:hanging="450"/>
      </w:pPr>
      <w:r>
        <w:t>“12.</w:t>
      </w:r>
      <w:r w:rsidR="002E66DC">
        <w:t xml:space="preserve"> </w:t>
      </w:r>
      <w:r>
        <w:rPr>
          <w:b/>
          <w:bCs/>
        </w:rPr>
        <w:t>Judge Warren’s Availability</w:t>
      </w:r>
      <w:r>
        <w:t xml:space="preserve">: </w:t>
      </w:r>
      <w:r w:rsidR="00FC1C5C">
        <w:t xml:space="preserve"> </w:t>
      </w:r>
      <w:r>
        <w:t>Judge Warren is available to further assist the parties as necessary.</w:t>
      </w:r>
      <w:r w:rsidR="00EE2354">
        <w:t> </w:t>
      </w:r>
      <w:r>
        <w:t>.</w:t>
      </w:r>
      <w:r w:rsidR="00EE2354">
        <w:t> </w:t>
      </w:r>
      <w:r>
        <w:t>.</w:t>
      </w:r>
      <w:r w:rsidR="00EE2354">
        <w:t> </w:t>
      </w:r>
      <w:r>
        <w:t>.</w:t>
      </w:r>
      <w:r w:rsidR="00D808B3">
        <w:t>”</w:t>
      </w:r>
      <w:r>
        <w:t xml:space="preserve"> </w:t>
      </w:r>
    </w:p>
    <w:p w:rsidR="00377632" w:rsidRPr="00377632" w:rsidP="00377632" w14:paraId="431F93D3" w14:textId="77777777">
      <w:pPr>
        <w:spacing w:line="240" w:lineRule="auto"/>
        <w:ind w:left="1440" w:hanging="720"/>
      </w:pPr>
    </w:p>
    <w:p w:rsidR="003B2CC0" w:rsidP="00FD36FF" w14:paraId="7D7CE84B" w14:textId="5E19AE9E">
      <w:pPr>
        <w:tabs>
          <w:tab w:val="left" w:pos="720"/>
        </w:tabs>
      </w:pPr>
      <w:r>
        <w:t xml:space="preserve"> All parties </w:t>
      </w:r>
      <w:r w:rsidR="0044337C">
        <w:t>signed the term sheet.</w:t>
      </w:r>
      <w:r>
        <w:t xml:space="preserve"> </w:t>
      </w:r>
    </w:p>
    <w:p w:rsidR="0044337C" w:rsidP="00065477" w14:paraId="25C4275B" w14:textId="38D2FF60">
      <w:pPr>
        <w:tabs>
          <w:tab w:val="left" w:pos="720"/>
        </w:tabs>
        <w:ind w:firstLine="720"/>
      </w:pPr>
      <w:r>
        <w:t>In the ensuing days,</w:t>
      </w:r>
      <w:r w:rsidR="006642BF">
        <w:t xml:space="preserve"> the parties discussed execut</w:t>
      </w:r>
      <w:r w:rsidR="0027567C">
        <w:t>ion of</w:t>
      </w:r>
      <w:r w:rsidR="006642BF">
        <w:t xml:space="preserve"> the settlement,</w:t>
      </w:r>
      <w:r w:rsidR="004B79A3">
        <w:t xml:space="preserve"> including </w:t>
      </w:r>
      <w:r w:rsidR="0027567C">
        <w:t xml:space="preserve">drafting a </w:t>
      </w:r>
      <w:r w:rsidR="004B79A3">
        <w:t>formal settlement agreement</w:t>
      </w:r>
      <w:r w:rsidR="005F5080">
        <w:t xml:space="preserve"> pursuant to paragraph</w:t>
      </w:r>
      <w:r w:rsidR="00EE2354">
        <w:t> </w:t>
      </w:r>
      <w:r w:rsidR="005F5080">
        <w:t>11</w:t>
      </w:r>
      <w:r w:rsidR="004B79A3">
        <w:t>.</w:t>
      </w:r>
      <w:r w:rsidR="006642BF">
        <w:t xml:space="preserve"> </w:t>
      </w:r>
      <w:r>
        <w:t xml:space="preserve"> </w:t>
      </w:r>
      <w:r w:rsidR="004B79A3">
        <w:t xml:space="preserve">During these discussions, </w:t>
      </w:r>
      <w:r>
        <w:t>Johnston’s attorney</w:t>
      </w:r>
      <w:r w:rsidR="004B79A3">
        <w:t xml:space="preserve"> inform</w:t>
      </w:r>
      <w:r>
        <w:t xml:space="preserve">ed the other parties </w:t>
      </w:r>
      <w:r w:rsidR="006642BF">
        <w:t xml:space="preserve">that Johnston </w:t>
      </w:r>
      <w:r w:rsidR="00A31490">
        <w:t>wished to</w:t>
      </w:r>
      <w:r w:rsidR="006642BF">
        <w:t xml:space="preserve"> withdraw his agreement to the </w:t>
      </w:r>
      <w:r w:rsidR="00470A92">
        <w:t>settlemen</w:t>
      </w:r>
      <w:r w:rsidR="006642BF">
        <w:t xml:space="preserve">t.  </w:t>
      </w:r>
      <w:r w:rsidR="00A52AE9">
        <w:t>Johnston</w:t>
      </w:r>
      <w:r w:rsidR="00527CC8">
        <w:t xml:space="preserve"> later explained that he “was exhausted, confused, and feeling ill” at the end of the day of mediation, and that when his attorneys presented him with the term sheet, he signed it without understanding the meaning of the reference to section</w:t>
      </w:r>
      <w:r w:rsidR="006C5D0C">
        <w:t> </w:t>
      </w:r>
      <w:r w:rsidR="00527CC8">
        <w:t xml:space="preserve">664.6 or that </w:t>
      </w:r>
      <w:r w:rsidR="00B5625C">
        <w:t xml:space="preserve">it was intended </w:t>
      </w:r>
      <w:r w:rsidR="00527CC8">
        <w:t xml:space="preserve">as a final settlement.  </w:t>
      </w:r>
      <w:r w:rsidR="00E85907">
        <w:t>The day</w:t>
      </w:r>
      <w:r w:rsidR="00A52AE9">
        <w:t xml:space="preserve"> after the mediation</w:t>
      </w:r>
      <w:r w:rsidR="00E85907">
        <w:t>, Johnston</w:t>
      </w:r>
      <w:r w:rsidR="00A52AE9">
        <w:t xml:space="preserve"> stated, he</w:t>
      </w:r>
      <w:r w:rsidR="00E85907">
        <w:t xml:space="preserve"> instructed his attorney “to immediately rescind and cancel whatever [he] signed</w:t>
      </w:r>
      <w:r w:rsidR="00975CB7">
        <w:t>,</w:t>
      </w:r>
      <w:r w:rsidR="00E85907">
        <w:t>”</w:t>
      </w:r>
      <w:r w:rsidR="00975CB7">
        <w:t xml:space="preserve"> and roughly a month later Johnston’s attorney </w:t>
      </w:r>
      <w:r w:rsidR="006B3421">
        <w:t>confi</w:t>
      </w:r>
      <w:r w:rsidR="00975CB7">
        <w:t xml:space="preserve">rmed that </w:t>
      </w:r>
      <w:r w:rsidR="00A31490">
        <w:t>Johnston</w:t>
      </w:r>
      <w:r w:rsidR="00975CB7">
        <w:t xml:space="preserve"> would not sign the formal settlement agreement.</w:t>
      </w:r>
      <w:r w:rsidR="00B5625C">
        <w:t xml:space="preserve"> </w:t>
      </w:r>
    </w:p>
    <w:p w:rsidR="0072562B" w:rsidP="00DE2174" w14:paraId="41B23534" w14:textId="6CB88F85">
      <w:pPr>
        <w:tabs>
          <w:tab w:val="left" w:pos="720"/>
        </w:tabs>
        <w:ind w:firstLine="720"/>
      </w:pPr>
      <w:r>
        <w:t>BTHHM and Landmark moved to enforce the term sheet pursuant to section</w:t>
      </w:r>
      <w:r w:rsidR="006C5D0C">
        <w:t> </w:t>
      </w:r>
      <w:r>
        <w:t>664.6.  The court granted the motion</w:t>
      </w:r>
      <w:r w:rsidR="005E30FB">
        <w:t>s</w:t>
      </w:r>
      <w:r>
        <w:t xml:space="preserve">, finding that the term sheet was </w:t>
      </w:r>
      <w:r w:rsidR="00A2051C">
        <w:t>an enforceable</w:t>
      </w:r>
      <w:r>
        <w:t xml:space="preserve"> agreement within the meaning of </w:t>
      </w:r>
      <w:r w:rsidR="00A04640">
        <w:t>section</w:t>
      </w:r>
      <w:r w:rsidR="006C5D0C">
        <w:t> </w:t>
      </w:r>
      <w:r w:rsidR="00A04640">
        <w:t>664.6</w:t>
      </w:r>
      <w:r w:rsidR="0069304A">
        <w:t xml:space="preserve">, that its terms were clear and </w:t>
      </w:r>
      <w:r w:rsidR="0001603A">
        <w:t xml:space="preserve">definite, and that Johnston’s “self-serving” declaration was not credible insofar as </w:t>
      </w:r>
      <w:r w:rsidR="006C25DC">
        <w:t>he</w:t>
      </w:r>
      <w:r w:rsidR="0001603A">
        <w:t xml:space="preserve"> attested that he did not understand the term sheet was meant to be a binding agreement</w:t>
      </w:r>
      <w:r>
        <w:t>.</w:t>
      </w:r>
      <w:r w:rsidR="00DE2174">
        <w:t xml:space="preserve"> </w:t>
      </w:r>
    </w:p>
    <w:p w:rsidR="00B5625C" w:rsidP="0072562B" w14:paraId="4E78337D" w14:textId="272BD0FB">
      <w:pPr>
        <w:tabs>
          <w:tab w:val="left" w:pos="720"/>
        </w:tabs>
        <w:ind w:firstLine="720"/>
      </w:pPr>
      <w:r>
        <w:t>Johnston did not pay BTHHM</w:t>
      </w:r>
      <w:r w:rsidR="0069304A">
        <w:t xml:space="preserve"> </w:t>
      </w:r>
      <w:r w:rsidR="006C25DC">
        <w:t>or</w:t>
      </w:r>
      <w:r w:rsidR="0069304A">
        <w:t xml:space="preserve"> dismiss his cross-complaint against Landmark</w:t>
      </w:r>
      <w:r w:rsidR="006C25DC">
        <w:t xml:space="preserve"> as required by the enforcement orders</w:t>
      </w:r>
      <w:r>
        <w:t>.</w:t>
      </w:r>
      <w:r w:rsidR="0072562B">
        <w:t xml:space="preserve"> </w:t>
      </w:r>
      <w:r>
        <w:t xml:space="preserve"> Landmark</w:t>
      </w:r>
      <w:r w:rsidR="006C25DC">
        <w:t xml:space="preserve"> did, however</w:t>
      </w:r>
      <w:r w:rsidR="0024649F">
        <w:t>,</w:t>
      </w:r>
      <w:r>
        <w:t xml:space="preserve"> pa</w:t>
      </w:r>
      <w:r w:rsidR="006C25DC">
        <w:t>y</w:t>
      </w:r>
      <w:r>
        <w:t xml:space="preserve"> BTHHM</w:t>
      </w:r>
      <w:r w:rsidR="006C5D0C">
        <w:t> </w:t>
      </w:r>
      <w:r>
        <w:t>$600,000.</w:t>
      </w:r>
      <w:r w:rsidR="0072562B">
        <w:t xml:space="preserve"> </w:t>
      </w:r>
      <w:r>
        <w:t xml:space="preserve"> </w:t>
      </w:r>
    </w:p>
    <w:p w:rsidR="000B7969" w:rsidP="0072562B" w14:paraId="3C425A45" w14:textId="46289707">
      <w:pPr>
        <w:tabs>
          <w:tab w:val="left" w:pos="720"/>
        </w:tabs>
        <w:ind w:firstLine="720"/>
      </w:pPr>
      <w:r>
        <w:t xml:space="preserve">BTHHM filed a motion for entry of judgment, which Landmark joined.  </w:t>
      </w:r>
      <w:r w:rsidR="00A2051C">
        <w:t xml:space="preserve">Along with enforcement of the term sheet, BTHHM requested prejudgment interest on the amounts </w:t>
      </w:r>
      <w:r w:rsidR="00B5625C">
        <w:t>owed by Johnston</w:t>
      </w:r>
      <w:r w:rsidR="00A2051C">
        <w:t xml:space="preserve">.  </w:t>
      </w:r>
      <w:r>
        <w:t>Johnston</w:t>
      </w:r>
      <w:r w:rsidR="00A2051C">
        <w:t xml:space="preserve"> opposed the motion and</w:t>
      </w:r>
      <w:r>
        <w:t xml:space="preserve"> filed an ex parte application as well as supplemental briefing and supplemental declarations</w:t>
      </w:r>
      <w:r w:rsidR="00B225C7">
        <w:t>, but did not i</w:t>
      </w:r>
      <w:r w:rsidR="00514EDA">
        <w:t>n</w:t>
      </w:r>
      <w:r w:rsidR="00B225C7">
        <w:t xml:space="preserve"> his filings oppose the request for prejudgment interest</w:t>
      </w:r>
      <w:r>
        <w:t>.  After hearing, the court granted the motion</w:t>
      </w:r>
      <w:r w:rsidR="00A2051C">
        <w:t>, awarded</w:t>
      </w:r>
      <w:r w:rsidR="00A76DEB">
        <w:t xml:space="preserve"> prejudgment interest to BTHHM</w:t>
      </w:r>
      <w:r w:rsidR="008E6437">
        <w:t xml:space="preserve">, </w:t>
      </w:r>
      <w:r>
        <w:t>entered judgment against Johnston</w:t>
      </w:r>
      <w:r w:rsidR="00A2051C">
        <w:t>, and dismissed his cross-complaint with prejudice</w:t>
      </w:r>
      <w:r>
        <w:t xml:space="preserve">. </w:t>
      </w:r>
    </w:p>
    <w:p w:rsidR="00714EDA" w:rsidP="00DA3934" w14:paraId="1C2942CF" w14:textId="49867D8B">
      <w:pPr>
        <w:pStyle w:val="Heading1"/>
        <w:tabs>
          <w:tab w:val="left" w:pos="3870"/>
          <w:tab w:val="left" w:pos="3960"/>
        </w:tabs>
      </w:pPr>
      <w:r>
        <w:t>DISCUSSION</w:t>
      </w:r>
    </w:p>
    <w:p w:rsidR="005C07AE" w:rsidP="007007AC" w14:paraId="377B3908" w14:textId="77777777">
      <w:pPr>
        <w:pStyle w:val="Heading2"/>
        <w:numPr>
          <w:ilvl w:val="0"/>
          <w:numId w:val="14"/>
        </w:numPr>
        <w:ind w:left="720" w:hanging="540"/>
      </w:pPr>
      <w:r>
        <w:t>Standard of Review</w:t>
      </w:r>
    </w:p>
    <w:p w:rsidR="009835DF" w:rsidRPr="009835DF" w:rsidP="009835DF" w14:paraId="0C50C46B" w14:textId="1E71EAB1">
      <w:pPr>
        <w:ind w:firstLine="720"/>
      </w:pPr>
      <w:r>
        <w:t>“</w:t>
      </w:r>
      <w:r w:rsidR="00C67200">
        <w:t> </w:t>
      </w:r>
      <w:r>
        <w:t>‘The trial court’s factual findings on a motion to enforce a settlement pursuant to</w:t>
      </w:r>
      <w:r w:rsidR="00C67200">
        <w:t> </w:t>
      </w:r>
      <w:r>
        <w:t>.</w:t>
      </w:r>
      <w:r w:rsidR="00C67200">
        <w:t> </w:t>
      </w:r>
      <w:r>
        <w:t>.</w:t>
      </w:r>
      <w:r w:rsidR="00C67200">
        <w:t> </w:t>
      </w:r>
      <w:r>
        <w:t>. section</w:t>
      </w:r>
      <w:r w:rsidR="00C67200">
        <w:t> </w:t>
      </w:r>
      <w:r>
        <w:t>664.6 “are subject to limited appellate review and will not be disturbed if supported by substantial evidence.”</w:t>
      </w:r>
      <w:r w:rsidR="00C67200">
        <w:t> </w:t>
      </w:r>
      <w:r>
        <w:t xml:space="preserve">’  [Citation.] </w:t>
      </w:r>
      <w:r w:rsidR="00517206">
        <w:t xml:space="preserve"> </w:t>
      </w:r>
      <w:r>
        <w:t>‘Consistent with the venerable substantial evidence standard of review, and with our policy favoring settlements, we resolve all evidentiary conflicts and draw all reasonable inferences to support the trial court’s finding that these parties entered into an enforceable settlement agreement and its order enforcing that agreement.’</w:t>
      </w:r>
      <w:r w:rsidR="00C67200">
        <w:t> </w:t>
      </w:r>
      <w:r>
        <w:t>”  (</w:t>
      </w:r>
      <w:r w:rsidRPr="009835DF">
        <w:rPr>
          <w:i/>
          <w:iCs/>
        </w:rPr>
        <w:t>J.B.B. Investment Partners, Ltd. v. Fair</w:t>
      </w:r>
      <w:r>
        <w:t xml:space="preserve"> (2014) 232</w:t>
      </w:r>
      <w:r w:rsidR="00C67200">
        <w:t> </w:t>
      </w:r>
      <w:r>
        <w:t xml:space="preserve">Cal.App.4th 974, 984.)  </w:t>
      </w:r>
    </w:p>
    <w:p w:rsidR="005C07AE" w:rsidP="007007AC" w14:paraId="4926BBA8" w14:textId="77777777">
      <w:pPr>
        <w:pStyle w:val="Heading2"/>
        <w:numPr>
          <w:ilvl w:val="0"/>
          <w:numId w:val="14"/>
        </w:numPr>
        <w:ind w:left="720" w:hanging="450"/>
      </w:pPr>
      <w:r>
        <w:t>Enforceability of the Term Sheet</w:t>
      </w:r>
    </w:p>
    <w:p w:rsidR="001D3808" w:rsidP="001D3808" w14:paraId="21C87DBA" w14:textId="0AA530E9">
      <w:pPr>
        <w:ind w:firstLine="720"/>
      </w:pPr>
      <w:r>
        <w:t>Section</w:t>
      </w:r>
      <w:r w:rsidR="00C67200">
        <w:t> </w:t>
      </w:r>
      <w:r>
        <w:t>664.6 provides</w:t>
      </w:r>
      <w:r w:rsidR="00B8695B">
        <w:t xml:space="preserve"> that</w:t>
      </w:r>
      <w:r w:rsidR="00A3222E">
        <w:t xml:space="preserve"> “</w:t>
      </w:r>
      <w:r w:rsidR="00B8695B">
        <w:t>[i]</w:t>
      </w:r>
      <w:r w:rsidR="00A3222E">
        <w:t>f parties to pending litigation stipulate, in a writing signed by the parties</w:t>
      </w:r>
      <w:r w:rsidR="00C67200">
        <w:t> </w:t>
      </w:r>
      <w:r w:rsidR="00A3222E">
        <w:t>.</w:t>
      </w:r>
      <w:r w:rsidR="00C67200">
        <w:t> </w:t>
      </w:r>
      <w:r w:rsidR="00A3222E">
        <w:t>.</w:t>
      </w:r>
      <w:r w:rsidR="00C67200">
        <w:t> </w:t>
      </w:r>
      <w:r w:rsidR="00A3222E">
        <w:t>. for settlement of the case</w:t>
      </w:r>
      <w:r w:rsidR="00C67200">
        <w:t> </w:t>
      </w:r>
      <w:r w:rsidR="00A3222E">
        <w:t>.</w:t>
      </w:r>
      <w:r w:rsidR="00C67200">
        <w:t> </w:t>
      </w:r>
      <w:r w:rsidR="00A3222E">
        <w:t>.</w:t>
      </w:r>
      <w:r w:rsidR="00C67200">
        <w:t> </w:t>
      </w:r>
      <w:r w:rsidR="00A3222E">
        <w:t>. the court, upon motion, may enter judgment pursuant to the terms of the settlement.”  (§</w:t>
      </w:r>
      <w:r w:rsidR="00C67200">
        <w:t> </w:t>
      </w:r>
      <w:r w:rsidR="00A3222E">
        <w:t>664.6, subd.</w:t>
      </w:r>
      <w:r w:rsidR="00C67200">
        <w:t> </w:t>
      </w:r>
      <w:r w:rsidR="00A3222E">
        <w:t>(a).)</w:t>
      </w:r>
      <w:r w:rsidR="00760AFD">
        <w:t xml:space="preserve">  Just as with any other contract, whether a settlement entered pursuant to section</w:t>
      </w:r>
      <w:r w:rsidR="00C67200">
        <w:t> </w:t>
      </w:r>
      <w:r w:rsidR="00760AFD">
        <w:t xml:space="preserve">664.6 is binding and enforceable depends on the parties’ intent, as manifested by the objective language of the </w:t>
      </w:r>
      <w:r w:rsidR="007F0084">
        <w:t>writing</w:t>
      </w:r>
      <w:r w:rsidR="00760AFD">
        <w:t>.</w:t>
      </w:r>
      <w:r w:rsidR="00161AAD">
        <w:t xml:space="preserve">  (</w:t>
      </w:r>
      <w:r w:rsidR="00DA173D">
        <w:t xml:space="preserve">Civ. Code </w:t>
      </w:r>
      <w:r w:rsidRPr="00DA173D" w:rsidR="00DA173D">
        <w:t>§§</w:t>
      </w:r>
      <w:r w:rsidR="00C67200">
        <w:t> </w:t>
      </w:r>
      <w:r w:rsidR="00DA173D">
        <w:t xml:space="preserve">1636, </w:t>
      </w:r>
      <w:r w:rsidRPr="00DA173D" w:rsidR="00DA173D">
        <w:t xml:space="preserve">1638, 1639; </w:t>
      </w:r>
      <w:r w:rsidRPr="00F53F22" w:rsidR="00021AA9">
        <w:rPr>
          <w:i/>
          <w:iCs/>
          <w:noProof/>
        </w:rPr>
        <w:t>J.B.B.</w:t>
      </w:r>
      <w:r w:rsidR="00C411B6">
        <w:rPr>
          <w:i/>
          <w:iCs/>
          <w:noProof/>
        </w:rPr>
        <w:t xml:space="preserve"> Investment Partners</w:t>
      </w:r>
      <w:r w:rsidR="00BC5E8B">
        <w:rPr>
          <w:i/>
          <w:iCs/>
          <w:noProof/>
        </w:rPr>
        <w:t xml:space="preserve"> Ltd. v. Fair</w:t>
      </w:r>
      <w:r w:rsidR="0035137E">
        <w:rPr>
          <w:noProof/>
        </w:rPr>
        <w:t xml:space="preserve"> (</w:t>
      </w:r>
      <w:r w:rsidR="00C026DD">
        <w:rPr>
          <w:noProof/>
        </w:rPr>
        <w:t>2019)</w:t>
      </w:r>
      <w:r w:rsidRPr="00F53F22" w:rsidR="00021AA9">
        <w:rPr>
          <w:noProof/>
        </w:rPr>
        <w:t xml:space="preserve"> 37</w:t>
      </w:r>
      <w:r w:rsidR="00C67200">
        <w:rPr>
          <w:noProof/>
        </w:rPr>
        <w:t> </w:t>
      </w:r>
      <w:r w:rsidRPr="00F53F22" w:rsidR="00021AA9">
        <w:rPr>
          <w:noProof/>
        </w:rPr>
        <w:t>Cal.</w:t>
      </w:r>
      <w:r w:rsidR="00021AA9">
        <w:rPr>
          <w:noProof/>
        </w:rPr>
        <w:t xml:space="preserve">App.5th </w:t>
      </w:r>
      <w:r w:rsidR="00836AFD">
        <w:rPr>
          <w:noProof/>
        </w:rPr>
        <w:t xml:space="preserve">1, </w:t>
      </w:r>
      <w:r w:rsidR="001922CE">
        <w:rPr>
          <w:noProof/>
        </w:rPr>
        <w:t>1</w:t>
      </w:r>
      <w:r w:rsidR="00021AA9">
        <w:t>1–12 &amp; fn.</w:t>
      </w:r>
      <w:r w:rsidR="00C67200">
        <w:t> </w:t>
      </w:r>
      <w:r w:rsidR="00021AA9">
        <w:t>8</w:t>
      </w:r>
      <w:r w:rsidR="00F64028">
        <w:t xml:space="preserve"> (</w:t>
      </w:r>
      <w:r w:rsidR="00F64028">
        <w:rPr>
          <w:i/>
          <w:iCs/>
        </w:rPr>
        <w:t>J.B.B. II</w:t>
      </w:r>
      <w:r w:rsidR="006A17D6">
        <w:t>)</w:t>
      </w:r>
      <w:r w:rsidR="00021AA9">
        <w:t>.</w:t>
      </w:r>
      <w:r w:rsidR="00161AAD">
        <w:t>)</w:t>
      </w:r>
    </w:p>
    <w:p w:rsidR="00A466D9" w:rsidP="0025054A" w14:paraId="7BB14F77" w14:textId="71D3A4C3">
      <w:pPr>
        <w:ind w:firstLine="720"/>
      </w:pPr>
      <w:r>
        <w:t xml:space="preserve">As </w:t>
      </w:r>
      <w:r w:rsidR="00DA173D">
        <w:t xml:space="preserve">the trial court </w:t>
      </w:r>
      <w:r>
        <w:t>note</w:t>
      </w:r>
      <w:r w:rsidR="00DA173D">
        <w:t>d,</w:t>
      </w:r>
      <w:r>
        <w:t xml:space="preserve"> the term sheet expressly states that the parties agree that it “is admissible and enforceable in court pursuant to [section</w:t>
      </w:r>
      <w:r w:rsidR="00C67200">
        <w:t> </w:t>
      </w:r>
      <w:r>
        <w:t xml:space="preserve">664.6]” and “is a good faith settlement between adverse parties.”  The trial court found, </w:t>
      </w:r>
      <w:r w:rsidRPr="00DA173D">
        <w:t>and we agree, that the term sheet is not ambiguous or indefinite</w:t>
      </w:r>
      <w:r w:rsidR="00F3173D">
        <w:t>, and objectively reflects a mutual inten</w:t>
      </w:r>
      <w:r w:rsidR="00D366EE">
        <w:t>t</w:t>
      </w:r>
      <w:r w:rsidR="00F3173D">
        <w:t xml:space="preserve"> to be bound</w:t>
      </w:r>
      <w:r w:rsidR="000220CA">
        <w:t xml:space="preserve"> by its terms</w:t>
      </w:r>
      <w:r w:rsidRPr="00DA173D" w:rsidR="006C7354">
        <w:t xml:space="preserve">. </w:t>
      </w:r>
      <w:r w:rsidRPr="00DA173D">
        <w:t xml:space="preserve"> </w:t>
      </w:r>
      <w:r w:rsidRPr="00DA173D" w:rsidR="00DA173D">
        <w:t xml:space="preserve">We similarly defer to the trial court’s finding that Johnston’s self-serving statements that he did not intend to be bound by the term sheet were not credible.  </w:t>
      </w:r>
      <w:r w:rsidRPr="00DA173D" w:rsidR="006C7354">
        <w:t>Substantial evidence supports the trial court’s finding that</w:t>
      </w:r>
      <w:r w:rsidRPr="00DA173D">
        <w:t xml:space="preserve"> the </w:t>
      </w:r>
      <w:r w:rsidR="001B6414">
        <w:t>term sheet’s language</w:t>
      </w:r>
      <w:r w:rsidRPr="00DA173D">
        <w:t xml:space="preserve"> evinces </w:t>
      </w:r>
      <w:r w:rsidR="00D366EE">
        <w:t>the parties’ mutual agreement</w:t>
      </w:r>
      <w:r w:rsidR="00626009">
        <w:t xml:space="preserve"> to settle the case</w:t>
      </w:r>
      <w:r w:rsidR="00310523">
        <w:t xml:space="preserve"> according to its terms</w:t>
      </w:r>
      <w:r>
        <w:t>.</w:t>
      </w:r>
    </w:p>
    <w:p w:rsidR="00402BBD" w:rsidP="00402BBD" w14:paraId="5940B0A8" w14:textId="548B0B10">
      <w:pPr>
        <w:ind w:firstLine="720"/>
      </w:pPr>
      <w:r>
        <w:t>Johnston argues that the term sheet was not a final, enforceable agreement because it omitted material terms and contemplated future negotiations.  First, he argues, the parties agreed in paragraph</w:t>
      </w:r>
      <w:r w:rsidR="00C67200">
        <w:t> </w:t>
      </w:r>
      <w:r>
        <w:t xml:space="preserve">11 to reduce the terms of the agreement to a final, formal document </w:t>
      </w:r>
      <w:r w:rsidR="00871293">
        <w:t>with</w:t>
      </w:r>
      <w:r>
        <w:t xml:space="preserve"> mutual release</w:t>
      </w:r>
      <w:r w:rsidR="00B8695B">
        <w:t>s</w:t>
      </w:r>
      <w:r>
        <w:t>.  Second, paragraph</w:t>
      </w:r>
      <w:r w:rsidR="00C67200">
        <w:t> </w:t>
      </w:r>
      <w:r>
        <w:t xml:space="preserve">3 required </w:t>
      </w:r>
      <w:r w:rsidR="00871293">
        <w:t>Johnston</w:t>
      </w:r>
      <w:r>
        <w:t xml:space="preserve"> to execute a separate stipulation for entry of judgment that </w:t>
      </w:r>
      <w:r w:rsidR="00871293">
        <w:t>BTHHM could</w:t>
      </w:r>
      <w:r>
        <w:t xml:space="preserve"> file in the event of a default.  Third, paragraph</w:t>
      </w:r>
      <w:r w:rsidR="00C67200">
        <w:t> </w:t>
      </w:r>
      <w:r>
        <w:t>12 states that the mediator would be available to assist as necessary, implying that the parties perceived the term sheet as incomplete.  These arguments are not persuasive.</w:t>
      </w:r>
    </w:p>
    <w:p w:rsidR="0025115B" w:rsidP="00480BCB" w14:paraId="6861CE12" w14:textId="34858D15">
      <w:pPr>
        <w:ind w:firstLine="720"/>
      </w:pPr>
      <w:r>
        <w:t>T</w:t>
      </w:r>
      <w:r w:rsidR="00760AFD">
        <w:t>hat the parties intended to incorporate the term</w:t>
      </w:r>
      <w:r w:rsidR="00F74C68">
        <w:t>s of their agreement</w:t>
      </w:r>
      <w:r w:rsidR="00760AFD">
        <w:t xml:space="preserve"> into a formal, final settlement document does not negate the parties’ </w:t>
      </w:r>
      <w:r w:rsidRPr="00F53F22" w:rsidR="00760AFD">
        <w:t xml:space="preserve">intent that the term sheet </w:t>
      </w:r>
      <w:r w:rsidR="00F74C68">
        <w:t xml:space="preserve">itself </w:t>
      </w:r>
      <w:r w:rsidR="00597680">
        <w:t>would bind them</w:t>
      </w:r>
      <w:r w:rsidRPr="00F53F22" w:rsidR="00760AFD">
        <w:t>.</w:t>
      </w:r>
      <w:r w:rsidRPr="00F53F22" w:rsidR="007F0084">
        <w:t xml:space="preserve"> </w:t>
      </w:r>
      <w:r w:rsidRPr="00F53F22" w:rsidR="00F53F22">
        <w:t xml:space="preserve"> (</w:t>
      </w:r>
      <w:r w:rsidRPr="00F53F22" w:rsidR="00F53F22">
        <w:rPr>
          <w:i/>
          <w:iCs/>
          <w:noProof/>
        </w:rPr>
        <w:t>J.B.B.</w:t>
      </w:r>
      <w:r w:rsidR="00D6407A">
        <w:rPr>
          <w:i/>
          <w:iCs/>
          <w:noProof/>
        </w:rPr>
        <w:t xml:space="preserve"> </w:t>
      </w:r>
      <w:r w:rsidRPr="00F64028" w:rsidR="00A12CDA">
        <w:rPr>
          <w:i/>
          <w:iCs/>
          <w:noProof/>
        </w:rPr>
        <w:t>II</w:t>
      </w:r>
      <w:r w:rsidR="00F64028">
        <w:rPr>
          <w:noProof/>
        </w:rPr>
        <w:t>,</w:t>
      </w:r>
      <w:r w:rsidRPr="00F53F22" w:rsidR="00F53F22">
        <w:rPr>
          <w:noProof/>
        </w:rPr>
        <w:t xml:space="preserve"> 37</w:t>
      </w:r>
      <w:r w:rsidR="00C67200">
        <w:rPr>
          <w:noProof/>
        </w:rPr>
        <w:t> </w:t>
      </w:r>
      <w:r w:rsidRPr="00F53F22" w:rsidR="00F53F22">
        <w:rPr>
          <w:noProof/>
        </w:rPr>
        <w:t>Cal.</w:t>
      </w:r>
      <w:r w:rsidR="00F53F22">
        <w:rPr>
          <w:noProof/>
        </w:rPr>
        <w:t xml:space="preserve">App.5th </w:t>
      </w:r>
      <w:r w:rsidR="00F64028">
        <w:rPr>
          <w:noProof/>
        </w:rPr>
        <w:t>at pp.</w:t>
      </w:r>
      <w:r w:rsidR="005E2921">
        <w:rPr>
          <w:noProof/>
        </w:rPr>
        <w:t> </w:t>
      </w:r>
      <w:r w:rsidR="00F53F22">
        <w:rPr>
          <w:noProof/>
        </w:rPr>
        <w:t>11–12 &amp; fn.</w:t>
      </w:r>
      <w:r w:rsidR="00C67200">
        <w:rPr>
          <w:noProof/>
        </w:rPr>
        <w:t> </w:t>
      </w:r>
      <w:r w:rsidR="00F53F22">
        <w:rPr>
          <w:noProof/>
        </w:rPr>
        <w:t>8 [plain, objective language evidencing mutual consent to be bound to preliminary agreement, notwithstanding acknowledgment that a more formal agreement would be drafted, established mutual consent to be bound as a matter of law]</w:t>
      </w:r>
      <w:r w:rsidR="004D628B">
        <w:rPr>
          <w:noProof/>
        </w:rPr>
        <w:t xml:space="preserve">; </w:t>
      </w:r>
      <w:r w:rsidRPr="004D628B" w:rsidR="004D628B">
        <w:rPr>
          <w:i/>
          <w:iCs/>
          <w:noProof/>
        </w:rPr>
        <w:t>Pappas v. Chang</w:t>
      </w:r>
      <w:r w:rsidRPr="004D628B" w:rsidR="004D628B">
        <w:rPr>
          <w:noProof/>
        </w:rPr>
        <w:t xml:space="preserve"> (2022</w:t>
      </w:r>
      <w:r w:rsidR="004D628B">
        <w:rPr>
          <w:noProof/>
        </w:rPr>
        <w:t>) 75</w:t>
      </w:r>
      <w:r w:rsidR="00C67200">
        <w:rPr>
          <w:noProof/>
        </w:rPr>
        <w:t> </w:t>
      </w:r>
      <w:r w:rsidR="004D628B">
        <w:rPr>
          <w:noProof/>
        </w:rPr>
        <w:t>Cal.App.5th 975</w:t>
      </w:r>
      <w:r w:rsidR="004D628B">
        <w:t xml:space="preserve">, 986, 988 [term in preliminary settlement agreement providing </w:t>
      </w:r>
      <w:r w:rsidR="00DA7978">
        <w:t xml:space="preserve">that parties would draft </w:t>
      </w:r>
      <w:r w:rsidR="004D628B">
        <w:t>a “more comprehensive settlement agreement” with “a provision for mutual confidentiality” d</w:t>
      </w:r>
      <w:r w:rsidR="001B6414">
        <w:t>id</w:t>
      </w:r>
      <w:r w:rsidR="004D628B">
        <w:t xml:space="preserve"> not render preliminary agreement unenforceable]</w:t>
      </w:r>
      <w:r w:rsidR="00F53F22">
        <w:rPr>
          <w:noProof/>
        </w:rPr>
        <w:t>.</w:t>
      </w:r>
      <w:r w:rsidR="00F53F22">
        <w:t>)</w:t>
      </w:r>
      <w:r w:rsidR="007F0084">
        <w:t xml:space="preserve"> </w:t>
      </w:r>
      <w:r w:rsidR="002C4FE6">
        <w:t xml:space="preserve"> </w:t>
      </w:r>
      <w:r w:rsidR="00A466D9">
        <w:t xml:space="preserve">The same </w:t>
      </w:r>
      <w:r w:rsidR="009036F2">
        <w:t xml:space="preserve">is true </w:t>
      </w:r>
      <w:r w:rsidR="00A466D9">
        <w:t xml:space="preserve">with respect to the parties’ </w:t>
      </w:r>
      <w:r w:rsidR="006C7354">
        <w:t>agreement that</w:t>
      </w:r>
      <w:r w:rsidR="00A466D9">
        <w:t xml:space="preserve"> Johnston </w:t>
      </w:r>
      <w:r w:rsidR="006C7354">
        <w:t>would</w:t>
      </w:r>
      <w:r w:rsidR="00A466D9">
        <w:t xml:space="preserve"> </w:t>
      </w:r>
      <w:r w:rsidR="005C0E03">
        <w:t>execute</w:t>
      </w:r>
      <w:r w:rsidR="00A466D9">
        <w:t xml:space="preserve"> a separate stipulation for entry of judgment</w:t>
      </w:r>
      <w:r w:rsidR="00FC4253">
        <w:t>; nothing in the term sheet</w:t>
      </w:r>
      <w:r w:rsidR="00DF5967">
        <w:t xml:space="preserve"> indicate</w:t>
      </w:r>
      <w:r w:rsidR="00FC4253">
        <w:t>s</w:t>
      </w:r>
      <w:r w:rsidR="00A466D9">
        <w:t xml:space="preserve"> that the parties </w:t>
      </w:r>
      <w:r w:rsidR="00DF5967">
        <w:t>agreed to be bound</w:t>
      </w:r>
      <w:r w:rsidR="009036F2">
        <w:t xml:space="preserve"> by its terms</w:t>
      </w:r>
      <w:r w:rsidR="00DF5967">
        <w:t xml:space="preserve"> only </w:t>
      </w:r>
      <w:r w:rsidR="00F74C68">
        <w:t>if</w:t>
      </w:r>
      <w:r w:rsidR="00DF5967">
        <w:t xml:space="preserve"> Johnston </w:t>
      </w:r>
      <w:r w:rsidR="005C0E03">
        <w:t>execut</w:t>
      </w:r>
      <w:r w:rsidR="009036F2">
        <w:t>ed</w:t>
      </w:r>
      <w:r w:rsidR="00DF5967">
        <w:t xml:space="preserve"> the stipulation.  (Cf. </w:t>
      </w:r>
      <w:r w:rsidRPr="00DF5967" w:rsidR="00DF5967">
        <w:rPr>
          <w:i/>
          <w:iCs/>
        </w:rPr>
        <w:t>Elyaoudayan v. Hoffman</w:t>
      </w:r>
      <w:r w:rsidR="00DF5967">
        <w:t xml:space="preserve"> (2003) 104</w:t>
      </w:r>
      <w:r w:rsidR="003F2BAA">
        <w:t> </w:t>
      </w:r>
      <w:r w:rsidR="00DF5967">
        <w:t>Cal.App.4th 1421, 1430 [“where the [agreement]</w:t>
      </w:r>
      <w:r w:rsidR="00F74C68">
        <w:t xml:space="preserve"> shows it was not intended to be binding until a [separate writing] is executed, there is no contract”]</w:t>
      </w:r>
      <w:r w:rsidR="00424FDA">
        <w:t xml:space="preserve">; </w:t>
      </w:r>
      <w:r w:rsidR="00424FDA">
        <w:rPr>
          <w:i/>
          <w:iCs/>
        </w:rPr>
        <w:t xml:space="preserve">Beck </w:t>
      </w:r>
      <w:r w:rsidR="003101DB">
        <w:rPr>
          <w:i/>
          <w:iCs/>
        </w:rPr>
        <w:t>v. American Health Group Internat</w:t>
      </w:r>
      <w:r w:rsidR="00D55FC8">
        <w:rPr>
          <w:i/>
          <w:iCs/>
        </w:rPr>
        <w:t>.</w:t>
      </w:r>
      <w:r w:rsidR="007F56F0">
        <w:rPr>
          <w:i/>
          <w:iCs/>
        </w:rPr>
        <w:t>, Inc.</w:t>
      </w:r>
      <w:r w:rsidR="003101DB">
        <w:rPr>
          <w:i/>
          <w:iCs/>
        </w:rPr>
        <w:t xml:space="preserve"> </w:t>
      </w:r>
      <w:r w:rsidR="003101DB">
        <w:t>(1989) 211</w:t>
      </w:r>
      <w:r w:rsidR="007872BB">
        <w:t> </w:t>
      </w:r>
      <w:r w:rsidR="003101DB">
        <w:t>Cal.App.3d 1555,</w:t>
      </w:r>
      <w:r w:rsidR="006539D6">
        <w:t xml:space="preserve"> 1562–1563</w:t>
      </w:r>
      <w:r w:rsidR="0058068E">
        <w:t xml:space="preserve">, superseded by statute on other grounds as </w:t>
      </w:r>
      <w:r w:rsidR="007D2601">
        <w:t>recogniz</w:t>
      </w:r>
      <w:r w:rsidR="0058068E">
        <w:t xml:space="preserve">ed in </w:t>
      </w:r>
      <w:r w:rsidR="0058068E">
        <w:rPr>
          <w:i/>
          <w:iCs/>
        </w:rPr>
        <w:t xml:space="preserve">Epic </w:t>
      </w:r>
      <w:r w:rsidR="007D2601">
        <w:rPr>
          <w:i/>
          <w:iCs/>
        </w:rPr>
        <w:t>Medical Management, LLC v. Paquette</w:t>
      </w:r>
      <w:r w:rsidR="007D2601">
        <w:t xml:space="preserve"> (2015) </w:t>
      </w:r>
      <w:r w:rsidR="00CD6707">
        <w:t>244</w:t>
      </w:r>
      <w:r w:rsidR="00223977">
        <w:t> </w:t>
      </w:r>
      <w:r w:rsidR="00CD6707">
        <w:t>Cal.App.4th 504, 516, fn.</w:t>
      </w:r>
      <w:r w:rsidR="000E25DA">
        <w:t> </w:t>
      </w:r>
      <w:r w:rsidR="00CD6707">
        <w:t>6</w:t>
      </w:r>
      <w:r w:rsidR="003101DB">
        <w:t xml:space="preserve"> [</w:t>
      </w:r>
      <w:r w:rsidR="006539D6">
        <w:t>no</w:t>
      </w:r>
      <w:r w:rsidR="003101DB">
        <w:t xml:space="preserve"> </w:t>
      </w:r>
      <w:r w:rsidR="006539D6">
        <w:t>binding contract where writing expressly stated the parties would agree on a contract in the future</w:t>
      </w:r>
      <w:r w:rsidR="003101DB">
        <w:t>]</w:t>
      </w:r>
      <w:r w:rsidR="00F74C68">
        <w:t>.</w:t>
      </w:r>
      <w:r w:rsidR="00DF5967">
        <w:t xml:space="preserve">)  </w:t>
      </w:r>
      <w:r w:rsidR="00490213">
        <w:t>On the contrary</w:t>
      </w:r>
      <w:r w:rsidR="00862C41">
        <w:t>, the term sheet</w:t>
      </w:r>
      <w:r w:rsidR="00F74C68">
        <w:t xml:space="preserve"> </w:t>
      </w:r>
      <w:r w:rsidR="00862C41">
        <w:t>st</w:t>
      </w:r>
      <w:r w:rsidR="00F74C68">
        <w:t>ates that the parties agreed to be bound, including that</w:t>
      </w:r>
      <w:r w:rsidR="001B6414">
        <w:t xml:space="preserve"> </w:t>
      </w:r>
      <w:r>
        <w:t>Johnston</w:t>
      </w:r>
      <w:r w:rsidR="00703360">
        <w:t xml:space="preserve"> agreed</w:t>
      </w:r>
      <w:r w:rsidR="00F74C68">
        <w:t xml:space="preserve"> to prepare a separate stipulation for entry of judgment.  Johnston </w:t>
      </w:r>
      <w:r>
        <w:t xml:space="preserve">has not shown that the parties’ </w:t>
      </w:r>
      <w:r w:rsidR="001E23EB">
        <w:t>agreement t</w:t>
      </w:r>
      <w:r w:rsidR="00DF5967">
        <w:t>o prepare separate documents reflects</w:t>
      </w:r>
      <w:r w:rsidR="001E23EB">
        <w:t xml:space="preserve"> a failure to agree on the material terms of the settlement.</w:t>
      </w:r>
    </w:p>
    <w:p w:rsidR="00760AFD" w:rsidP="0025054A" w14:paraId="7BD23D5D" w14:textId="60C823B4">
      <w:pPr>
        <w:ind w:firstLine="720"/>
        <w:rPr>
          <w:rFonts w:cs="CenturySchoolbook-Italic"/>
        </w:rPr>
      </w:pPr>
      <w:r>
        <w:t>Johnston asserts</w:t>
      </w:r>
      <w:r w:rsidR="007F0084">
        <w:t xml:space="preserve"> </w:t>
      </w:r>
      <w:r>
        <w:t>that the</w:t>
      </w:r>
      <w:r w:rsidR="007F0084">
        <w:t xml:space="preserve"> lack of mutual releases </w:t>
      </w:r>
      <w:r>
        <w:t xml:space="preserve">in the term sheet </w:t>
      </w:r>
      <w:r w:rsidR="00862C41">
        <w:t>shows</w:t>
      </w:r>
      <w:r w:rsidR="00F74C68">
        <w:t xml:space="preserve"> that the agreement is</w:t>
      </w:r>
      <w:r>
        <w:t xml:space="preserve"> missing material terms and therefore is not enforceable.  </w:t>
      </w:r>
      <w:r w:rsidR="003E30F4">
        <w:t>This</w:t>
      </w:r>
      <w:r w:rsidR="00DA7978">
        <w:t xml:space="preserve"> argument</w:t>
      </w:r>
      <w:r w:rsidR="003E30F4">
        <w:t xml:space="preserve"> </w:t>
      </w:r>
      <w:r w:rsidR="00E5048E">
        <w:t>overlooks that</w:t>
      </w:r>
      <w:r w:rsidR="00DA7978">
        <w:t xml:space="preserve"> both paragraphs</w:t>
      </w:r>
      <w:r w:rsidR="003F2BAA">
        <w:t> </w:t>
      </w:r>
      <w:r w:rsidR="00DA7978">
        <w:t>6 and 7 of the term sheet are explicit release provisions</w:t>
      </w:r>
      <w:r w:rsidR="00480BCB">
        <w:t xml:space="preserve">. </w:t>
      </w:r>
      <w:r w:rsidR="00DA7978">
        <w:t xml:space="preserve"> </w:t>
      </w:r>
      <w:r w:rsidR="00480BCB">
        <w:t>P</w:t>
      </w:r>
      <w:r w:rsidR="00DA7978">
        <w:t>aragraph</w:t>
      </w:r>
      <w:r w:rsidR="003F2BAA">
        <w:t> </w:t>
      </w:r>
      <w:r w:rsidR="00DA7978">
        <w:t>7</w:t>
      </w:r>
      <w:r w:rsidR="00F74C68">
        <w:t>,</w:t>
      </w:r>
      <w:r w:rsidR="00DA7978">
        <w:t xml:space="preserve"> in particular</w:t>
      </w:r>
      <w:r w:rsidR="00F74C68">
        <w:t>,</w:t>
      </w:r>
      <w:r w:rsidR="00DA7978">
        <w:t xml:space="preserve"> broadly requires “</w:t>
      </w:r>
      <w:r w:rsidR="00F74C68">
        <w:t>A</w:t>
      </w:r>
      <w:r w:rsidR="00DA7978">
        <w:t>ll Parties” to “fully release each other from all claims he/she/it had or may have against each other, except as to any continuing obligations under this Agreement</w:t>
      </w:r>
      <w:r w:rsidR="003F2BAA">
        <w:t> </w:t>
      </w:r>
      <w:r w:rsidR="00DA7978">
        <w:t>.</w:t>
      </w:r>
      <w:r w:rsidR="003F2BAA">
        <w:t> </w:t>
      </w:r>
      <w:r w:rsidR="00DA7978">
        <w:t>.</w:t>
      </w:r>
      <w:r w:rsidR="003F2BAA">
        <w:t> </w:t>
      </w:r>
      <w:r w:rsidR="00DA7978">
        <w:t>.</w:t>
      </w:r>
      <w:r w:rsidR="004A3709">
        <w:t> </w:t>
      </w:r>
      <w:r w:rsidR="00DA7978">
        <w:t>.”</w:t>
      </w:r>
      <w:r>
        <w:t xml:space="preserve"> </w:t>
      </w:r>
      <w:r w:rsidR="00DA7978">
        <w:t xml:space="preserve"> And paragraph</w:t>
      </w:r>
      <w:r w:rsidR="003F2BAA">
        <w:t> </w:t>
      </w:r>
      <w:r w:rsidR="00DA7978">
        <w:t>1 requires Johnston and BTHHM to dismiss their complaints</w:t>
      </w:r>
      <w:r w:rsidR="003E30F4">
        <w:t xml:space="preserve"> with prejudice</w:t>
      </w:r>
      <w:r w:rsidR="00DA7978">
        <w:t xml:space="preserve"> upon performance of the agreement.  </w:t>
      </w:r>
      <w:r w:rsidRPr="00BB1A89">
        <w:t xml:space="preserve">Johnston does not </w:t>
      </w:r>
      <w:r w:rsidRPr="00BB1A89" w:rsidR="003E30F4">
        <w:t>specify</w:t>
      </w:r>
      <w:r w:rsidRPr="00BB1A89">
        <w:t xml:space="preserve"> what additiona</w:t>
      </w:r>
      <w:r w:rsidRPr="00BB1A89" w:rsidR="00DA7978">
        <w:t>l</w:t>
      </w:r>
      <w:r w:rsidRPr="00BB1A89">
        <w:t xml:space="preserve"> releases are necessary </w:t>
      </w:r>
      <w:r w:rsidR="00862C41">
        <w:t>but</w:t>
      </w:r>
      <w:r w:rsidRPr="00BB1A89" w:rsidR="00BB1A89">
        <w:t xml:space="preserve"> </w:t>
      </w:r>
      <w:r w:rsidR="00BB1A89">
        <w:t>stat</w:t>
      </w:r>
      <w:r w:rsidR="00862C41">
        <w:t>es</w:t>
      </w:r>
      <w:r w:rsidR="00BB1A89">
        <w:t xml:space="preserve"> that the term sheet lacks “specific language on the terms of the release”</w:t>
      </w:r>
      <w:r w:rsidR="00F74C68">
        <w:t xml:space="preserve"> </w:t>
      </w:r>
      <w:r w:rsidR="00862C41">
        <w:t>and implies</w:t>
      </w:r>
      <w:r w:rsidR="00F74C68">
        <w:t xml:space="preserve"> that paragraph</w:t>
      </w:r>
      <w:r w:rsidR="003F2BAA">
        <w:t> </w:t>
      </w:r>
      <w:r w:rsidR="00F74C68">
        <w:t>11 requires the drafting of some other form of mutual release.</w:t>
      </w:r>
      <w:r w:rsidR="003E30F4">
        <w:t xml:space="preserve"> </w:t>
      </w:r>
      <w:r>
        <w:t xml:space="preserve"> </w:t>
      </w:r>
      <w:r w:rsidR="00BB1A89">
        <w:t>But paragraphs</w:t>
      </w:r>
      <w:r w:rsidR="00B51B22">
        <w:t> </w:t>
      </w:r>
      <w:r w:rsidR="00BB1A89">
        <w:t xml:space="preserve">1, 6, </w:t>
      </w:r>
      <w:r w:rsidR="00AA79BA">
        <w:t>and</w:t>
      </w:r>
      <w:r w:rsidR="00F74C68">
        <w:t xml:space="preserve"> </w:t>
      </w:r>
      <w:r w:rsidR="00BB1A89">
        <w:t xml:space="preserve">7 </w:t>
      </w:r>
      <w:r w:rsidR="00AA79BA">
        <w:t>are not</w:t>
      </w:r>
      <w:r w:rsidR="00BB1A89">
        <w:t xml:space="preserve"> vague or </w:t>
      </w:r>
      <w:r w:rsidR="00AA79BA">
        <w:t>indefinite</w:t>
      </w:r>
      <w:r w:rsidR="00BB1A89">
        <w:t>.  They specify that the parties will dismiss their respective complaints with prejudice; BTHHM will release any claims it has to the subject real property; and that otherwise the parties “fully release each other from all claims</w:t>
      </w:r>
      <w:r w:rsidR="00B51B22">
        <w:t> </w:t>
      </w:r>
      <w:r w:rsidR="00BB1A89">
        <w:t>.</w:t>
      </w:r>
      <w:r w:rsidR="00B51B22">
        <w:t> </w:t>
      </w:r>
      <w:r w:rsidR="00BB1A89">
        <w:t>.</w:t>
      </w:r>
      <w:r w:rsidR="00B51B22">
        <w:t> </w:t>
      </w:r>
      <w:r w:rsidR="00BB1A89">
        <w:t xml:space="preserve">. against each other, except as to any continuing obligations” set forth in the term sheet.  </w:t>
      </w:r>
      <w:r w:rsidR="00AA5DCE">
        <w:t>And paragraph</w:t>
      </w:r>
      <w:r w:rsidR="00F17E47">
        <w:t> </w:t>
      </w:r>
      <w:r w:rsidR="00AA5DCE">
        <w:t xml:space="preserve">11 says nothing about </w:t>
      </w:r>
      <w:r w:rsidR="00862C41">
        <w:t xml:space="preserve">mutual </w:t>
      </w:r>
      <w:r w:rsidR="00AA5DCE">
        <w:t xml:space="preserve">releases.  </w:t>
      </w:r>
    </w:p>
    <w:p w:rsidR="0025115B" w:rsidRPr="001D3808" w:rsidP="0025054A" w14:paraId="4AE74F6E" w14:textId="4AA5665A">
      <w:pPr>
        <w:ind w:firstLine="720"/>
      </w:pPr>
      <w:r>
        <w:rPr>
          <w:rFonts w:cs="CenturySchoolbook-Italic"/>
        </w:rPr>
        <w:t>We similarly do not find persuasive Johnston’s argument that the parties’ ability, as necessary, to consult further with the mediator</w:t>
      </w:r>
      <w:r w:rsidR="004A5748">
        <w:rPr>
          <w:rFonts w:cs="CenturySchoolbook-Italic"/>
        </w:rPr>
        <w:t xml:space="preserve"> negated their express intent to be bound by the term sheet. </w:t>
      </w:r>
      <w:r w:rsidR="00AA79BA">
        <w:rPr>
          <w:rFonts w:cs="CenturySchoolbook-Italic"/>
        </w:rPr>
        <w:t xml:space="preserve"> It would be entirely reasonable for</w:t>
      </w:r>
      <w:r w:rsidR="004A5748">
        <w:rPr>
          <w:rFonts w:cs="CenturySchoolbook-Italic"/>
        </w:rPr>
        <w:t xml:space="preserve"> the parties</w:t>
      </w:r>
      <w:r w:rsidR="00AA79BA">
        <w:rPr>
          <w:rFonts w:cs="CenturySchoolbook-Italic"/>
        </w:rPr>
        <w:t xml:space="preserve"> to seek</w:t>
      </w:r>
      <w:r w:rsidR="004A5748">
        <w:rPr>
          <w:rFonts w:cs="CenturySchoolbook-Italic"/>
        </w:rPr>
        <w:t xml:space="preserve"> the assistance of the mediator to flesh out</w:t>
      </w:r>
      <w:r w:rsidR="00F05D64">
        <w:rPr>
          <w:rFonts w:cs="CenturySchoolbook-Italic"/>
        </w:rPr>
        <w:t>—without materially altering—</w:t>
      </w:r>
      <w:r w:rsidR="004A5748">
        <w:rPr>
          <w:rFonts w:cs="CenturySchoolbook-Italic"/>
        </w:rPr>
        <w:t xml:space="preserve">the terms of their agreement </w:t>
      </w:r>
      <w:r w:rsidR="00AA79BA">
        <w:rPr>
          <w:rFonts w:cs="CenturySchoolbook-Italic"/>
        </w:rPr>
        <w:t>in the</w:t>
      </w:r>
      <w:r w:rsidR="00F05D64">
        <w:rPr>
          <w:rFonts w:cs="CenturySchoolbook-Italic"/>
        </w:rPr>
        <w:t xml:space="preserve"> anticipated</w:t>
      </w:r>
      <w:r w:rsidR="00AA79BA">
        <w:rPr>
          <w:rFonts w:cs="CenturySchoolbook-Italic"/>
        </w:rPr>
        <w:t xml:space="preserve"> formal writing</w:t>
      </w:r>
      <w:r w:rsidR="004A5748">
        <w:rPr>
          <w:rFonts w:cs="CenturySchoolbook-Italic"/>
        </w:rPr>
        <w:t xml:space="preserve">; to </w:t>
      </w:r>
      <w:r w:rsidR="00703360">
        <w:rPr>
          <w:rFonts w:cs="CenturySchoolbook-Italic"/>
        </w:rPr>
        <w:t xml:space="preserve">further </w:t>
      </w:r>
      <w:r w:rsidR="004A5748">
        <w:rPr>
          <w:rFonts w:cs="CenturySchoolbook-Italic"/>
        </w:rPr>
        <w:t>negotiate non-material details of the agreement; to assist the</w:t>
      </w:r>
      <w:r w:rsidR="00AA79BA">
        <w:rPr>
          <w:rFonts w:cs="CenturySchoolbook-Italic"/>
        </w:rPr>
        <w:t>m</w:t>
      </w:r>
      <w:r w:rsidR="004A5748">
        <w:rPr>
          <w:rFonts w:cs="CenturySchoolbook-Italic"/>
        </w:rPr>
        <w:t xml:space="preserve"> in resolving any disputes regarding performance</w:t>
      </w:r>
      <w:r w:rsidR="00703360">
        <w:rPr>
          <w:rFonts w:cs="CenturySchoolbook-Italic"/>
        </w:rPr>
        <w:t>;</w:t>
      </w:r>
      <w:r w:rsidR="00F05D64">
        <w:rPr>
          <w:rFonts w:cs="CenturySchoolbook-Italic"/>
        </w:rPr>
        <w:t xml:space="preserve"> or</w:t>
      </w:r>
      <w:r w:rsidR="00703360">
        <w:rPr>
          <w:rFonts w:cs="CenturySchoolbook-Italic"/>
        </w:rPr>
        <w:t xml:space="preserve"> to address</w:t>
      </w:r>
      <w:r w:rsidR="00F05D64">
        <w:rPr>
          <w:rFonts w:cs="CenturySchoolbook-Italic"/>
        </w:rPr>
        <w:t xml:space="preserve"> other minor issues</w:t>
      </w:r>
      <w:r w:rsidR="00AA79BA">
        <w:rPr>
          <w:rFonts w:cs="CenturySchoolbook-Italic"/>
        </w:rPr>
        <w:t>.  That they contemplated doing so</w:t>
      </w:r>
      <w:r w:rsidR="004A5748">
        <w:rPr>
          <w:rFonts w:cs="CenturySchoolbook-Italic"/>
        </w:rPr>
        <w:t xml:space="preserve"> only reinforces th</w:t>
      </w:r>
      <w:r w:rsidR="00F05D64">
        <w:rPr>
          <w:rFonts w:cs="CenturySchoolbook-Italic"/>
        </w:rPr>
        <w:t>at they agreed</w:t>
      </w:r>
      <w:r w:rsidR="004A5748">
        <w:rPr>
          <w:rFonts w:cs="CenturySchoolbook-Italic"/>
        </w:rPr>
        <w:t xml:space="preserve"> to be bound</w:t>
      </w:r>
      <w:r w:rsidR="00AA79BA">
        <w:rPr>
          <w:rFonts w:cs="CenturySchoolbook-Italic"/>
        </w:rPr>
        <w:t>,</w:t>
      </w:r>
      <w:r w:rsidR="004A5748">
        <w:rPr>
          <w:rFonts w:cs="CenturySchoolbook-Italic"/>
        </w:rPr>
        <w:t xml:space="preserve"> while acknowledging that the term sheet was not a formal, long-form agreement.</w:t>
      </w:r>
    </w:p>
    <w:p w:rsidR="004459A5" w:rsidP="00F96B8E" w14:paraId="79727FFA" w14:textId="77777777">
      <w:pPr>
        <w:pStyle w:val="Heading2"/>
        <w:numPr>
          <w:ilvl w:val="0"/>
          <w:numId w:val="14"/>
        </w:numPr>
        <w:ind w:left="720" w:hanging="270"/>
      </w:pPr>
      <w:r>
        <w:t>The Liquidated Damages Clause</w:t>
      </w:r>
    </w:p>
    <w:p w:rsidR="004459A5" w:rsidP="004459A5" w14:paraId="38A4A45D" w14:textId="283879CC">
      <w:pPr>
        <w:ind w:firstLine="720"/>
      </w:pPr>
      <w:r>
        <w:t>Paragraph 3 of the term sheet authorizes the award of $250,000 to plaintiffs as liquidated damages if</w:t>
      </w:r>
      <w:r w:rsidRPr="006226C0">
        <w:t xml:space="preserve"> </w:t>
      </w:r>
      <w:r>
        <w:t xml:space="preserve">Johnston fails to make the scheduled payments.  </w:t>
      </w:r>
      <w:r w:rsidRPr="00961F66">
        <w:t>Civil Code section 1671</w:t>
      </w:r>
      <w:r>
        <w:t xml:space="preserve">, subdivision (b) governs the validity of liquidated damages provisions in a contract.  It provides that a liquidated damages provision “is valid unless the party seeking to invalidate the provision establishes that the provision was unreasonable under the circumstances existing at the time the contract was made.”  (Civ. Code § 1671, subd. (b).)  “Whether a liquidated damages provision is invalid under [Civil Code] section 1671 is generally a question of law subject to de novo review, ‘ “but the factual foundation for appellate review consists of (1) the facts that are not in </w:t>
      </w:r>
      <w:r w:rsidRPr="00BF2EBE">
        <w:t>dispute and (2)</w:t>
      </w:r>
      <w:r>
        <w:t> </w:t>
      </w:r>
      <w:r w:rsidRPr="00BF2EBE">
        <w:t>the fact</w:t>
      </w:r>
      <w:r>
        <w:t>s</w:t>
      </w:r>
      <w:r w:rsidRPr="00BF2EBE">
        <w:t xml:space="preserve"> that are established by viewing the conflicting evidence in the light most favorable to the trial court’s judgment.”</w:t>
      </w:r>
      <w:r>
        <w:t> </w:t>
      </w:r>
      <w:r w:rsidRPr="00BF2EBE">
        <w:t>’</w:t>
      </w:r>
      <w:r>
        <w:t> </w:t>
      </w:r>
      <w:r w:rsidRPr="00BF2EBE">
        <w:t>”</w:t>
      </w:r>
      <w:r>
        <w:t xml:space="preserve">  </w:t>
      </w:r>
      <w:r w:rsidRPr="00BF2EBE">
        <w:t>(</w:t>
      </w:r>
      <w:r w:rsidRPr="00BF2EBE">
        <w:rPr>
          <w:rFonts w:cs="CenturySchoolbook-Italic"/>
          <w:i/>
          <w:iCs/>
        </w:rPr>
        <w:t xml:space="preserve">Gormley v. Gonzalez </w:t>
      </w:r>
      <w:r w:rsidRPr="00BF2EBE">
        <w:rPr>
          <w:rFonts w:cs="CenturySchoolbook"/>
        </w:rPr>
        <w:t>(2022</w:t>
      </w:r>
      <w:r w:rsidRPr="006226C0">
        <w:rPr>
          <w:rFonts w:cs="CenturySchoolbook"/>
        </w:rPr>
        <w:t>) 84</w:t>
      </w:r>
      <w:r>
        <w:rPr>
          <w:rFonts w:cs="CenturySchoolbook"/>
        </w:rPr>
        <w:t> </w:t>
      </w:r>
      <w:r w:rsidRPr="006226C0">
        <w:rPr>
          <w:rFonts w:cs="CenturySchoolbook"/>
        </w:rPr>
        <w:t>Cal.App.5th</w:t>
      </w:r>
      <w:r w:rsidRPr="00B16946">
        <w:rPr>
          <w:rFonts w:cs="CenturySchoolbook"/>
        </w:rPr>
        <w:t xml:space="preserve"> 72</w:t>
      </w:r>
      <w:r>
        <w:rPr>
          <w:rFonts w:cs="CenturySchoolbook"/>
        </w:rPr>
        <w:t>, 82 (</w:t>
      </w:r>
      <w:r>
        <w:rPr>
          <w:rFonts w:cs="CenturySchoolbook"/>
          <w:i/>
          <w:iCs/>
        </w:rPr>
        <w:t>Gormley</w:t>
      </w:r>
      <w:r>
        <w:rPr>
          <w:rFonts w:cs="CenturySchoolbook"/>
        </w:rPr>
        <w:t>).)</w:t>
      </w:r>
    </w:p>
    <w:p w:rsidR="004459A5" w:rsidP="004459A5" w14:paraId="1F425815" w14:textId="57F0C9CC">
      <w:pPr>
        <w:ind w:firstLine="720"/>
      </w:pPr>
      <w:r>
        <w:t>“ ‘ “A liquidated damages clause will generally be considered unreasonable, and hence unenforceable under [Civil Code] section</w:t>
      </w:r>
      <w:r w:rsidR="0052296A">
        <w:t> </w:t>
      </w:r>
      <w:r>
        <w:t>1671[,</w:t>
      </w:r>
      <w:r w:rsidR="004B756C">
        <w:t> </w:t>
      </w:r>
      <w:r>
        <w:t>subdivision] (b), if it bears no reasonable relationship to the range of actual damages that the parties could have anticipated would flow from a breach.” ’ ”  (</w:t>
      </w:r>
      <w:r>
        <w:rPr>
          <w:i/>
          <w:iCs/>
        </w:rPr>
        <w:t>Gormley</w:t>
      </w:r>
      <w:r>
        <w:t xml:space="preserve">, </w:t>
      </w:r>
      <w:r>
        <w:rPr>
          <w:i/>
          <w:iCs/>
        </w:rPr>
        <w:t>supra</w:t>
      </w:r>
      <w:r>
        <w:t>, 84 Cal.App.5th at p. 83.)  Although older cases have stated that “damages for failing to pay money are ‘ “easily determinable” ’ and are limited to ‘ “interest at [the] prevailing rate[]” ’ and (perhaps) ‘reasonable costs [incurred] in pursuing the payment’ ” (</w:t>
      </w:r>
      <w:r>
        <w:rPr>
          <w:i/>
          <w:iCs/>
        </w:rPr>
        <w:t>ibid.</w:t>
      </w:r>
      <w:r>
        <w:t>), this former rule applied specifically to consumer contracts.  In analyzing liquidated damages provisions in non-consumer contracts, like the one here, additional factors are relevant, such as the parties’ relative bargaining power, whether they had legal representation, and whether the settlement was the result of “ ‘significant negotiations’ ” rather than being a form contract.  (</w:t>
      </w:r>
      <w:r w:rsidRPr="003010FB">
        <w:rPr>
          <w:i/>
          <w:iCs/>
        </w:rPr>
        <w:t>Id.</w:t>
      </w:r>
      <w:r>
        <w:t xml:space="preserve"> at p. 85.)</w:t>
      </w:r>
    </w:p>
    <w:p w:rsidR="004459A5" w:rsidP="00A12CDA" w14:paraId="52258852" w14:textId="19A54048">
      <w:pPr>
        <w:ind w:firstLine="720"/>
      </w:pPr>
      <w:r>
        <w:t xml:space="preserve">Here, as in </w:t>
      </w:r>
      <w:r w:rsidRPr="004459A5">
        <w:rPr>
          <w:i/>
          <w:iCs/>
        </w:rPr>
        <w:t>Gormley</w:t>
      </w:r>
      <w:r>
        <w:t xml:space="preserve">, the parties were represented by counsel and had relatively equal bargaining power.  The settlement was not a form contract, but rather the result of significant negotiations, including prior settlement conferences.  In addition, the liquidated damages amount of $250,000 was not unreasonably out of proportion to the $2.2 million settlement.  (See </w:t>
      </w:r>
      <w:r w:rsidRPr="009009E3">
        <w:rPr>
          <w:i/>
          <w:iCs/>
        </w:rPr>
        <w:t>Gormley</w:t>
      </w:r>
      <w:r>
        <w:t xml:space="preserve">, </w:t>
      </w:r>
      <w:r>
        <w:rPr>
          <w:i/>
          <w:iCs/>
        </w:rPr>
        <w:t>supra</w:t>
      </w:r>
      <w:r>
        <w:t>, 84 Cal.App.5th</w:t>
      </w:r>
      <w:r>
        <w:rPr>
          <w:i/>
          <w:iCs/>
        </w:rPr>
        <w:t xml:space="preserve"> </w:t>
      </w:r>
      <w:r>
        <w:t>at p. 87.)  The trial court also concluded that Johnston failed to meet his burden to show $250,000 was an unreasonable amount in the circumstances, a determination to which we defer.</w:t>
      </w:r>
    </w:p>
    <w:p w:rsidR="00BD74A9" w:rsidP="007F43EF" w14:paraId="3A5F646B" w14:textId="0D1DFAA7">
      <w:pPr>
        <w:pStyle w:val="Heading2"/>
        <w:numPr>
          <w:ilvl w:val="0"/>
          <w:numId w:val="14"/>
        </w:numPr>
        <w:ind w:left="720"/>
      </w:pPr>
      <w:r>
        <w:t>Prejudgment Interest</w:t>
      </w:r>
    </w:p>
    <w:p w:rsidR="00CB2A5E" w:rsidP="00CB2A5E" w14:paraId="04896903" w14:textId="0483A861">
      <w:pPr>
        <w:ind w:firstLine="720"/>
      </w:pPr>
      <w:r>
        <w:t xml:space="preserve">Johnston argues that the trial </w:t>
      </w:r>
      <w:r w:rsidRPr="00750956">
        <w:t>court lacked authority to award BTHHM prejudgment interest on the settlement amounts</w:t>
      </w:r>
      <w:r w:rsidRPr="00750956" w:rsidR="00750956">
        <w:t xml:space="preserve"> because the parties never so agreed</w:t>
      </w:r>
      <w:r w:rsidRPr="00750956">
        <w:t xml:space="preserve">.  BTHHM </w:t>
      </w:r>
      <w:r w:rsidR="00D11505">
        <w:t>responds</w:t>
      </w:r>
      <w:r w:rsidRPr="00750956">
        <w:t xml:space="preserve"> that Johnston failed to oppose its request for pre</w:t>
      </w:r>
      <w:r>
        <w:t xml:space="preserve">judgment interest before the trial court, and that even if the issue were </w:t>
      </w:r>
      <w:r w:rsidR="00874321">
        <w:t>not forfeited</w:t>
      </w:r>
      <w:r>
        <w:t>, the court had authority to award prejudgment interest pursuant to</w:t>
      </w:r>
      <w:r w:rsidR="00750956">
        <w:t xml:space="preserve"> </w:t>
      </w:r>
      <w:r w:rsidR="00DF0E82">
        <w:t xml:space="preserve">Civil Code </w:t>
      </w:r>
      <w:r w:rsidR="00750956">
        <w:t>section</w:t>
      </w:r>
      <w:r w:rsidR="00F17E47">
        <w:t> </w:t>
      </w:r>
      <w:r w:rsidR="00750956">
        <w:t>3287</w:t>
      </w:r>
      <w:r w:rsidR="00DF0E82">
        <w:t xml:space="preserve"> once the right to recover damages ha</w:t>
      </w:r>
      <w:r w:rsidR="00D8494B">
        <w:t>d</w:t>
      </w:r>
      <w:r w:rsidR="00DF0E82">
        <w:t xml:space="preserve"> vested and the damages amount </w:t>
      </w:r>
      <w:r w:rsidR="00D8494B">
        <w:t xml:space="preserve">was </w:t>
      </w:r>
      <w:r w:rsidR="00DF0E82">
        <w:t>certain</w:t>
      </w:r>
      <w:r>
        <w:t>.</w:t>
      </w:r>
      <w:r w:rsidR="00750956">
        <w:t xml:space="preserve"> </w:t>
      </w:r>
      <w:r w:rsidR="00DF0E82">
        <w:t xml:space="preserve"> (</w:t>
      </w:r>
      <w:r w:rsidR="00AF722D">
        <w:t xml:space="preserve">Civ. Code </w:t>
      </w:r>
      <w:r w:rsidR="00DF0E82">
        <w:t>§ 3287, subd. (a).)</w:t>
      </w:r>
    </w:p>
    <w:p w:rsidR="00366387" w:rsidRPr="00952B22" w:rsidP="000736F2" w14:paraId="648A4F7A" w14:textId="2D6D7FBF">
      <w:pPr>
        <w:ind w:firstLine="720"/>
      </w:pPr>
      <w:r>
        <w:t>Johnston did not challenge the award of prejudgment interest until oral argument on the motion for entry of judgment</w:t>
      </w:r>
      <w:r w:rsidR="00CB2A5E">
        <w:t>.</w:t>
      </w:r>
      <w:r>
        <w:t xml:space="preserve"> </w:t>
      </w:r>
      <w:r w:rsidR="00DF0E82">
        <w:t xml:space="preserve"> </w:t>
      </w:r>
      <w:r>
        <w:t xml:space="preserve">At </w:t>
      </w:r>
      <w:r w:rsidR="00B7727D">
        <w:t xml:space="preserve">that point, he challenged only the amount of prejudgment interest, not the court’s authority to award such interest.  </w:t>
      </w:r>
      <w:r>
        <w:t>A</w:t>
      </w:r>
      <w:r w:rsidR="000F5A3C">
        <w:t>lthough we agree that Johnston likel</w:t>
      </w:r>
      <w:r w:rsidR="009F49D2">
        <w:t>y</w:t>
      </w:r>
      <w:r w:rsidR="000F5A3C">
        <w:t xml:space="preserve"> forfeited his challenge to</w:t>
      </w:r>
      <w:r w:rsidR="007C7688">
        <w:t xml:space="preserve"> the</w:t>
      </w:r>
      <w:r w:rsidR="000F5A3C">
        <w:t xml:space="preserve"> </w:t>
      </w:r>
      <w:r w:rsidR="00542A35">
        <w:t>award</w:t>
      </w:r>
      <w:r w:rsidR="000F5A3C">
        <w:t xml:space="preserve">, we nevertheless </w:t>
      </w:r>
      <w:r w:rsidR="00AD1516">
        <w:t xml:space="preserve">address the issue because it implicates </w:t>
      </w:r>
      <w:r w:rsidR="002324A2">
        <w:t>the trial court’s</w:t>
      </w:r>
      <w:r w:rsidR="00ED5A56">
        <w:t xml:space="preserve"> </w:t>
      </w:r>
      <w:r w:rsidR="00AD1516">
        <w:t>jurisdiction.  (</w:t>
      </w:r>
      <w:r w:rsidRPr="00F37631" w:rsidR="00017135">
        <w:rPr>
          <w:i/>
          <w:iCs/>
        </w:rPr>
        <w:t>People v. Lara</w:t>
      </w:r>
      <w:r w:rsidR="00017135">
        <w:t xml:space="preserve"> (2010) </w:t>
      </w:r>
      <w:r w:rsidR="000C7A40">
        <w:t>48</w:t>
      </w:r>
      <w:r w:rsidR="00F17E47">
        <w:t> </w:t>
      </w:r>
      <w:r w:rsidR="000C7A40">
        <w:t>Cal.4th 216, 225</w:t>
      </w:r>
      <w:r w:rsidR="006D2E08">
        <w:t>.)</w:t>
      </w:r>
      <w:r w:rsidR="00BA599D">
        <w:t xml:space="preserve"> </w:t>
      </w:r>
    </w:p>
    <w:p w:rsidR="003C6C20" w:rsidP="000736F2" w14:paraId="32255F59" w14:textId="77777777">
      <w:pPr>
        <w:ind w:firstLine="720"/>
      </w:pPr>
      <w:r>
        <w:t>Section</w:t>
      </w:r>
      <w:r w:rsidR="00F17E47">
        <w:t> </w:t>
      </w:r>
      <w:r>
        <w:t xml:space="preserve">664.6 </w:t>
      </w:r>
      <w:r w:rsidR="00746A0D">
        <w:t xml:space="preserve">authorizes </w:t>
      </w:r>
      <w:r w:rsidR="001C19DA">
        <w:t>the trial court to enter a judgment reflecting the terms of the parties’ settlement agreement</w:t>
      </w:r>
      <w:r w:rsidR="002070C4">
        <w:t xml:space="preserve">—nothing more, and nothing less. </w:t>
      </w:r>
      <w:r w:rsidR="00686FC6">
        <w:t xml:space="preserve"> </w:t>
      </w:r>
      <w:r w:rsidRPr="00686FC6" w:rsidR="00686FC6">
        <w:t>“</w:t>
      </w:r>
      <w:r w:rsidR="00F17E47">
        <w:t> </w:t>
      </w:r>
      <w:r w:rsidRPr="00686FC6" w:rsidR="00686FC6">
        <w:t>‘</w:t>
      </w:r>
      <w:r w:rsidR="00686FC6">
        <w:t xml:space="preserve"> </w:t>
      </w:r>
      <w:r w:rsidRPr="00686FC6" w:rsidR="00686FC6">
        <w:t>Although a judge hearing a section</w:t>
      </w:r>
      <w:r w:rsidR="00F17E47">
        <w:t> </w:t>
      </w:r>
      <w:r w:rsidRPr="00686FC6" w:rsidR="00686FC6">
        <w:t>664.6 motion may receive evidence, determine disputed facts and enter the terms of a settlement agreement as a judgment [citations], nothing in section</w:t>
      </w:r>
      <w:r w:rsidR="00C60227">
        <w:t> </w:t>
      </w:r>
      <w:r w:rsidRPr="00686FC6" w:rsidR="00686FC6">
        <w:t>664.6 authorizes a judge to</w:t>
      </w:r>
      <w:r w:rsidRPr="005E4E81" w:rsidR="00686FC6">
        <w:rPr>
          <w:i/>
          <w:iCs/>
        </w:rPr>
        <w:t xml:space="preserve"> create</w:t>
      </w:r>
      <w:r w:rsidRPr="00686FC6" w:rsidR="00686FC6">
        <w:t xml:space="preserve"> the material terms of a settlement, as opposed to deciding what terms </w:t>
      </w:r>
      <w:r w:rsidRPr="005E4E81" w:rsidR="00686FC6">
        <w:rPr>
          <w:i/>
          <w:iCs/>
        </w:rPr>
        <w:t>the parties themselves</w:t>
      </w:r>
      <w:r w:rsidRPr="00686FC6" w:rsidR="00686FC6">
        <w:t xml:space="preserve"> have previously agreed upon.’</w:t>
      </w:r>
      <w:r w:rsidR="00C60227">
        <w:t> </w:t>
      </w:r>
      <w:r w:rsidR="00686FC6">
        <w:t xml:space="preserve">” </w:t>
      </w:r>
      <w:r w:rsidR="002070C4">
        <w:t xml:space="preserve"> </w:t>
      </w:r>
      <w:r w:rsidR="00686FC6">
        <w:t>(</w:t>
      </w:r>
      <w:r w:rsidRPr="00895902" w:rsidR="00686FC6">
        <w:rPr>
          <w:i/>
          <w:iCs/>
        </w:rPr>
        <w:t>Osumi v. Sutton</w:t>
      </w:r>
      <w:r w:rsidR="00686FC6">
        <w:t xml:space="preserve"> (2007) 151</w:t>
      </w:r>
      <w:r w:rsidR="00C60227">
        <w:t> </w:t>
      </w:r>
      <w:r w:rsidR="00686FC6">
        <w:t>Cal.App.4th 1355, 1360.)</w:t>
      </w:r>
      <w:r w:rsidR="009A0460">
        <w:t xml:space="preserve">  </w:t>
      </w:r>
    </w:p>
    <w:p w:rsidR="00DD0761" w:rsidRPr="00952B22" w:rsidP="000736F2" w14:paraId="15EBA623" w14:textId="5C1BD0C8">
      <w:pPr>
        <w:ind w:firstLine="720"/>
      </w:pPr>
      <w:r>
        <w:t xml:space="preserve">Prejudgment interest is </w:t>
      </w:r>
      <w:r w:rsidR="00A743E0">
        <w:t xml:space="preserve">not a cost, but </w:t>
      </w:r>
      <w:r>
        <w:t>an element of damages</w:t>
      </w:r>
      <w:r w:rsidR="00827D39">
        <w:t xml:space="preserve">. </w:t>
      </w:r>
      <w:r w:rsidR="0047361E">
        <w:t xml:space="preserve"> (</w:t>
      </w:r>
      <w:r w:rsidRPr="003D52CE" w:rsidR="00F7668B">
        <w:rPr>
          <w:i/>
          <w:iCs/>
        </w:rPr>
        <w:t xml:space="preserve">North Oakland Medical Clinic v. Rogers </w:t>
      </w:r>
      <w:r w:rsidR="00F7668B">
        <w:t>(1998) 65</w:t>
      </w:r>
      <w:r w:rsidR="00C60227">
        <w:t> </w:t>
      </w:r>
      <w:r w:rsidR="00F7668B">
        <w:t xml:space="preserve">Cal.App.4th </w:t>
      </w:r>
      <w:r w:rsidR="00A93C7B">
        <w:t>824, 830</w:t>
      </w:r>
      <w:r w:rsidR="00827D39">
        <w:t>.</w:t>
      </w:r>
      <w:r w:rsidR="0047361E">
        <w:t>)</w:t>
      </w:r>
      <w:r w:rsidR="00827D39">
        <w:t xml:space="preserve"> </w:t>
      </w:r>
      <w:r w:rsidR="0047361E">
        <w:t xml:space="preserve"> </w:t>
      </w:r>
      <w:r w:rsidR="00E35671">
        <w:t>Here, the parties reached an agreement about what</w:t>
      </w:r>
      <w:r w:rsidR="001C1B22">
        <w:t xml:space="preserve"> amount of money would adequately compensate BTHHM for </w:t>
      </w:r>
      <w:r w:rsidR="004F0DF1">
        <w:t xml:space="preserve">the harm it suffered to warrant BTHHM’s release of claims.  </w:t>
      </w:r>
      <w:r w:rsidR="00167C19">
        <w:t>T</w:t>
      </w:r>
      <w:r w:rsidR="004F0DF1">
        <w:t xml:space="preserve">hat agreement included a liquidated damages provision that would become operative if Johnston </w:t>
      </w:r>
      <w:r w:rsidR="007720E1">
        <w:t xml:space="preserve">failed to make timely </w:t>
      </w:r>
      <w:r w:rsidR="00A525E0">
        <w:t xml:space="preserve">payment.  </w:t>
      </w:r>
      <w:r w:rsidR="007022C5">
        <w:t xml:space="preserve">By awarding prejudgment interest to compensate BTHMM for damages it suffered by virtue of Johnston’s failure to pay, </w:t>
      </w:r>
      <w:r w:rsidR="002B7447">
        <w:t xml:space="preserve">the court entered a judgment </w:t>
      </w:r>
      <w:r w:rsidR="00D13260">
        <w:t>that differed materially from the terms of the parties’ agreement, and to that extent it was unauthorized.</w:t>
      </w:r>
      <w:r w:rsidR="001C1B22">
        <w:t xml:space="preserve"> </w:t>
      </w:r>
      <w:r w:rsidR="00684938">
        <w:t xml:space="preserve"> </w:t>
      </w:r>
      <w:r w:rsidR="00381D7D">
        <w:t>(</w:t>
      </w:r>
      <w:r w:rsidR="00680731">
        <w:t xml:space="preserve">See </w:t>
      </w:r>
      <w:r w:rsidRPr="00C41938" w:rsidR="006F1056">
        <w:rPr>
          <w:i/>
          <w:iCs/>
        </w:rPr>
        <w:t>Jones v. World Life Research Institute</w:t>
      </w:r>
      <w:r w:rsidR="006F1056">
        <w:t xml:space="preserve"> (1976) </w:t>
      </w:r>
      <w:r w:rsidR="000C523E">
        <w:t>60</w:t>
      </w:r>
      <w:r w:rsidR="00C60227">
        <w:t> </w:t>
      </w:r>
      <w:r w:rsidR="000C523E">
        <w:t>Cal.App.3d 836,</w:t>
      </w:r>
      <w:r w:rsidR="00CA1C32">
        <w:t xml:space="preserve"> </w:t>
      </w:r>
      <w:r w:rsidR="00705703">
        <w:t>839</w:t>
      </w:r>
      <w:r w:rsidR="003A4F7D">
        <w:t>–84</w:t>
      </w:r>
      <w:r w:rsidR="00E05656">
        <w:t>0, 848</w:t>
      </w:r>
      <w:r w:rsidR="006F1056">
        <w:t>;</w:t>
      </w:r>
      <w:r w:rsidR="00DE5B2E">
        <w:t xml:space="preserve"> </w:t>
      </w:r>
      <w:r w:rsidRPr="005F70C2" w:rsidR="00DE5B2E">
        <w:rPr>
          <w:i/>
          <w:iCs/>
        </w:rPr>
        <w:t xml:space="preserve">Greentree Financial </w:t>
      </w:r>
      <w:r w:rsidRPr="005F70C2" w:rsidR="00DF31A2">
        <w:rPr>
          <w:i/>
          <w:iCs/>
        </w:rPr>
        <w:t>Group, Inc. v. Execute Sports, Inc.</w:t>
      </w:r>
      <w:r w:rsidR="00381D7D">
        <w:t xml:space="preserve"> (2008) 163</w:t>
      </w:r>
      <w:r w:rsidR="00C60227">
        <w:t> </w:t>
      </w:r>
      <w:r w:rsidR="00381D7D">
        <w:t xml:space="preserve">Cal.App.4th 495, </w:t>
      </w:r>
      <w:r w:rsidR="005F70C2">
        <w:t>502</w:t>
      </w:r>
      <w:r w:rsidR="00480653">
        <w:t xml:space="preserve"> [reversing award of prejudgment interest</w:t>
      </w:r>
      <w:r w:rsidR="00E05656">
        <w:t xml:space="preserve"> not provided for</w:t>
      </w:r>
      <w:r w:rsidR="00480653">
        <w:t xml:space="preserve"> in section</w:t>
      </w:r>
      <w:r w:rsidR="00C60227">
        <w:t> </w:t>
      </w:r>
      <w:r w:rsidR="00480653">
        <w:t>664.6 agreement</w:t>
      </w:r>
      <w:r w:rsidR="000C49D0">
        <w:t>]</w:t>
      </w:r>
      <w:r w:rsidR="00381D7D">
        <w:t>.)</w:t>
      </w:r>
      <w:r w:rsidR="003A530A">
        <w:t xml:space="preserve">  We disagree that Civil Code section</w:t>
      </w:r>
      <w:r w:rsidR="00C60227">
        <w:t> </w:t>
      </w:r>
      <w:r w:rsidR="003A530A">
        <w:t xml:space="preserve">3287 authorizes an award of prejudgment interest on a judgment entered </w:t>
      </w:r>
      <w:r w:rsidR="00344E98">
        <w:t>pursuant to section</w:t>
      </w:r>
      <w:r w:rsidR="00C60227">
        <w:t> </w:t>
      </w:r>
      <w:r w:rsidR="00344E98">
        <w:t xml:space="preserve">664.6 where, as here, </w:t>
      </w:r>
      <w:r w:rsidR="003F24FC">
        <w:t xml:space="preserve">the parties have reached </w:t>
      </w:r>
      <w:r w:rsidR="00F15D0F">
        <w:t>their own</w:t>
      </w:r>
      <w:r w:rsidR="003F24FC">
        <w:t xml:space="preserve"> agreement about</w:t>
      </w:r>
      <w:r w:rsidR="00843DEE">
        <w:t xml:space="preserve"> what</w:t>
      </w:r>
      <w:r w:rsidR="003F24FC">
        <w:t xml:space="preserve"> </w:t>
      </w:r>
      <w:r w:rsidR="00843DEE">
        <w:t>compensation is owed for damages</w:t>
      </w:r>
      <w:r w:rsidR="00552DAF">
        <w:t xml:space="preserve"> that would otherwise be addressed by an award of prejudgment</w:t>
      </w:r>
      <w:r w:rsidR="00045325">
        <w:t xml:space="preserve"> interest</w:t>
      </w:r>
      <w:r w:rsidR="000A374A">
        <w:t>.</w:t>
      </w:r>
    </w:p>
    <w:p w:rsidR="003521CD" w:rsidRPr="00AF794D" w:rsidP="00A12CDA" w14:paraId="6E46EC8F" w14:textId="593944D7">
      <w:pPr>
        <w:ind w:firstLine="720"/>
      </w:pPr>
      <w:r>
        <w:t xml:space="preserve">The parties disagree </w:t>
      </w:r>
      <w:r w:rsidR="00A47B2E">
        <w:t>as to</w:t>
      </w:r>
      <w:r>
        <w:t xml:space="preserve"> whether the </w:t>
      </w:r>
      <w:r w:rsidR="0040616A">
        <w:t>award of prejudgment interest may be s</w:t>
      </w:r>
      <w:r w:rsidR="009B2DC3">
        <w:t>ever</w:t>
      </w:r>
      <w:r w:rsidR="0040616A">
        <w:t xml:space="preserve">ed from the </w:t>
      </w:r>
      <w:r w:rsidR="008F4C10">
        <w:t>judgment, leaving the remainder intact</w:t>
      </w:r>
      <w:r w:rsidR="009B2DC3">
        <w:t xml:space="preserve">. </w:t>
      </w:r>
      <w:r w:rsidR="008F4C10">
        <w:t xml:space="preserve"> </w:t>
      </w:r>
      <w:r w:rsidR="00EB0589">
        <w:t xml:space="preserve">We conclude that the </w:t>
      </w:r>
      <w:r w:rsidR="00B50D09">
        <w:t xml:space="preserve">portion of the judgment providing for prejudgment interest </w:t>
      </w:r>
      <w:r w:rsidR="002243BA">
        <w:t>may be stricken</w:t>
      </w:r>
      <w:r w:rsidR="000005EE">
        <w:t xml:space="preserve"> without </w:t>
      </w:r>
      <w:r w:rsidR="008E6192">
        <w:t xml:space="preserve">otherwise </w:t>
      </w:r>
      <w:r w:rsidR="000005EE">
        <w:t>invalidating the judgment</w:t>
      </w:r>
      <w:r w:rsidR="00B50D09">
        <w:t>.</w:t>
      </w:r>
      <w:r w:rsidR="00555798">
        <w:t xml:space="preserve">  (</w:t>
      </w:r>
      <w:r w:rsidRPr="00796368" w:rsidR="00B544D3">
        <w:rPr>
          <w:i/>
          <w:iCs/>
        </w:rPr>
        <w:t>Jones v. World Life Research Institute</w:t>
      </w:r>
      <w:r w:rsidR="00B544D3">
        <w:t xml:space="preserve">, </w:t>
      </w:r>
      <w:r w:rsidRPr="00796368" w:rsidR="00B544D3">
        <w:rPr>
          <w:i/>
          <w:iCs/>
        </w:rPr>
        <w:t>supra</w:t>
      </w:r>
      <w:r w:rsidR="00B544D3">
        <w:t xml:space="preserve">, </w:t>
      </w:r>
      <w:r w:rsidR="002243BA">
        <w:t>60</w:t>
      </w:r>
      <w:r w:rsidR="00C60227">
        <w:t> </w:t>
      </w:r>
      <w:r w:rsidR="002243BA">
        <w:t>Cal.App.3d at p.</w:t>
      </w:r>
      <w:r w:rsidR="00C60227">
        <w:t> </w:t>
      </w:r>
      <w:r w:rsidR="002243BA">
        <w:t>848</w:t>
      </w:r>
      <w:r w:rsidR="00993DE3">
        <w:t>.)</w:t>
      </w:r>
    </w:p>
    <w:p w:rsidR="00714EDA" w:rsidP="00DA3934" w14:paraId="7E78188C" w14:textId="058D0E4A">
      <w:pPr>
        <w:pStyle w:val="Heading1"/>
        <w:tabs>
          <w:tab w:val="left" w:pos="3960"/>
        </w:tabs>
        <w:rPr>
          <w:rFonts w:eastAsia="Times New Roman" w:cs="Times New Roman"/>
          <w:kern w:val="0"/>
          <w14:ligatures w14:val="none"/>
        </w:rPr>
      </w:pPr>
      <w:r>
        <w:t xml:space="preserve"> </w:t>
      </w:r>
      <w:r w:rsidR="009D47BF">
        <w:t>DISPOSITION</w:t>
      </w:r>
    </w:p>
    <w:p w:rsidR="000B7969" w:rsidP="0025115B" w14:paraId="65E2EFB3" w14:textId="0512C69F">
      <w:pPr>
        <w:spacing w:before="2" w:beforeLines="1" w:after="2" w:afterLines="1"/>
        <w:ind w:right="-720" w:firstLine="720"/>
        <w:textAlignment w:val="baseline"/>
        <w:rPr>
          <w:rFonts w:eastAsia="Times New Roman" w:cs="Times New Roman"/>
          <w:kern w:val="0"/>
          <w14:ligatures w14:val="none"/>
        </w:rPr>
      </w:pPr>
      <w:r>
        <w:rPr>
          <w:rFonts w:eastAsia="Times New Roman" w:cs="Times New Roman"/>
          <w:kern w:val="0"/>
          <w14:ligatures w14:val="none"/>
        </w:rPr>
        <w:t xml:space="preserve">The judgment is </w:t>
      </w:r>
      <w:r w:rsidR="009B2DC3">
        <w:rPr>
          <w:rFonts w:eastAsia="Times New Roman" w:cs="Times New Roman"/>
          <w:kern w:val="0"/>
          <w14:ligatures w14:val="none"/>
        </w:rPr>
        <w:t xml:space="preserve">reversed in part and </w:t>
      </w:r>
      <w:r w:rsidR="00227A1C">
        <w:rPr>
          <w:rFonts w:eastAsia="Times New Roman" w:cs="Times New Roman"/>
          <w:kern w:val="0"/>
          <w14:ligatures w14:val="none"/>
        </w:rPr>
        <w:t>affirmed</w:t>
      </w:r>
      <w:r w:rsidR="009B2DC3">
        <w:rPr>
          <w:rFonts w:eastAsia="Times New Roman" w:cs="Times New Roman"/>
          <w:kern w:val="0"/>
          <w14:ligatures w14:val="none"/>
        </w:rPr>
        <w:t xml:space="preserve"> in part</w:t>
      </w:r>
      <w:r>
        <w:rPr>
          <w:rFonts w:eastAsia="Times New Roman" w:cs="Times New Roman"/>
          <w:kern w:val="0"/>
          <w14:ligatures w14:val="none"/>
        </w:rPr>
        <w:t>.</w:t>
      </w:r>
      <w:r w:rsidR="00CC283F">
        <w:rPr>
          <w:rFonts w:eastAsia="Times New Roman" w:cs="Times New Roman"/>
          <w:kern w:val="0"/>
          <w14:ligatures w14:val="none"/>
        </w:rPr>
        <w:t xml:space="preserve">  The matter is remanded to the trial court </w:t>
      </w:r>
      <w:r w:rsidR="008269F1">
        <w:rPr>
          <w:rFonts w:eastAsia="Times New Roman" w:cs="Times New Roman"/>
          <w:kern w:val="0"/>
          <w14:ligatures w14:val="none"/>
        </w:rPr>
        <w:t>with directions to reduce the judgment against Johnston by</w:t>
      </w:r>
      <w:r w:rsidR="009E2AF7">
        <w:rPr>
          <w:rFonts w:eastAsia="Times New Roman" w:cs="Times New Roman"/>
          <w:kern w:val="0"/>
          <w14:ligatures w14:val="none"/>
        </w:rPr>
        <w:t> </w:t>
      </w:r>
      <w:r w:rsidR="0081334C">
        <w:rPr>
          <w:rFonts w:eastAsia="Times New Roman" w:cs="Times New Roman"/>
          <w:kern w:val="0"/>
          <w14:ligatures w14:val="none"/>
        </w:rPr>
        <w:t>$55,671.52</w:t>
      </w:r>
      <w:r w:rsidR="00682C91">
        <w:rPr>
          <w:rFonts w:eastAsia="Times New Roman" w:cs="Times New Roman"/>
          <w:kern w:val="0"/>
          <w14:ligatures w14:val="none"/>
        </w:rPr>
        <w:t xml:space="preserve">, </w:t>
      </w:r>
      <w:r w:rsidR="008269F1">
        <w:rPr>
          <w:rFonts w:eastAsia="Times New Roman" w:cs="Times New Roman"/>
          <w:kern w:val="0"/>
          <w14:ligatures w14:val="none"/>
        </w:rPr>
        <w:t>the</w:t>
      </w:r>
      <w:r w:rsidR="00682D30">
        <w:rPr>
          <w:rFonts w:eastAsia="Times New Roman" w:cs="Times New Roman"/>
          <w:kern w:val="0"/>
          <w14:ligatures w14:val="none"/>
        </w:rPr>
        <w:t xml:space="preserve"> total</w:t>
      </w:r>
      <w:r w:rsidR="008269F1">
        <w:rPr>
          <w:rFonts w:eastAsia="Times New Roman" w:cs="Times New Roman"/>
          <w:kern w:val="0"/>
          <w14:ligatures w14:val="none"/>
        </w:rPr>
        <w:t xml:space="preserve"> value of </w:t>
      </w:r>
      <w:r w:rsidR="00682D30">
        <w:rPr>
          <w:rFonts w:eastAsia="Times New Roman" w:cs="Times New Roman"/>
          <w:kern w:val="0"/>
          <w14:ligatures w14:val="none"/>
        </w:rPr>
        <w:t>the prejudgment interest awarded to BTHHM.</w:t>
      </w:r>
      <w:r w:rsidRPr="00714EDA">
        <w:rPr>
          <w:rFonts w:eastAsia="Times New Roman" w:cs="Times New Roman"/>
          <w:kern w:val="0"/>
          <w14:ligatures w14:val="none"/>
        </w:rPr>
        <w:t xml:space="preserve"> </w:t>
      </w:r>
      <w:r w:rsidR="00363CDE">
        <w:rPr>
          <w:rFonts w:eastAsia="Times New Roman" w:cs="Times New Roman"/>
          <w:kern w:val="0"/>
          <w14:ligatures w14:val="none"/>
        </w:rPr>
        <w:t xml:space="preserve"> </w:t>
      </w:r>
      <w:r w:rsidR="009B2DC3">
        <w:rPr>
          <w:rFonts w:eastAsia="Times New Roman" w:cs="Times New Roman"/>
          <w:kern w:val="0"/>
          <w14:ligatures w14:val="none"/>
        </w:rPr>
        <w:t xml:space="preserve">The parties shall bear </w:t>
      </w:r>
      <w:r w:rsidR="00227A1C">
        <w:rPr>
          <w:rFonts w:eastAsia="Times New Roman" w:cs="Times New Roman"/>
          <w:kern w:val="0"/>
          <w14:ligatures w14:val="none"/>
        </w:rPr>
        <w:t>their</w:t>
      </w:r>
      <w:r w:rsidRPr="00714EDA" w:rsidR="00714EDA">
        <w:rPr>
          <w:rFonts w:eastAsia="Times New Roman" w:cs="Times New Roman"/>
          <w:kern w:val="0"/>
          <w14:ligatures w14:val="none"/>
        </w:rPr>
        <w:t xml:space="preserve"> </w:t>
      </w:r>
      <w:r w:rsidR="009B2DC3">
        <w:rPr>
          <w:rFonts w:eastAsia="Times New Roman" w:cs="Times New Roman"/>
          <w:kern w:val="0"/>
          <w14:ligatures w14:val="none"/>
        </w:rPr>
        <w:t>respective</w:t>
      </w:r>
      <w:r w:rsidRPr="00714EDA" w:rsidR="00714EDA">
        <w:rPr>
          <w:rFonts w:eastAsia="Times New Roman" w:cs="Times New Roman"/>
          <w:kern w:val="0"/>
          <w14:ligatures w14:val="none"/>
        </w:rPr>
        <w:t xml:space="preserve"> costs on appeal.</w:t>
      </w:r>
    </w:p>
    <w:p w:rsidR="006F181D" w:rsidRPr="00490764" w:rsidP="00490764" w14:paraId="6F58C329" w14:textId="77777777">
      <w:pPr>
        <w:spacing w:line="240" w:lineRule="auto"/>
      </w:pPr>
      <w:r w:rsidRPr="00490764">
        <w:tab/>
      </w:r>
      <w:r w:rsidRPr="00490764">
        <w:tab/>
      </w:r>
      <w:r w:rsidRPr="00490764">
        <w:tab/>
      </w:r>
      <w:r w:rsidRPr="00490764">
        <w:tab/>
      </w:r>
      <w:r w:rsidRPr="00490764">
        <w:tab/>
      </w:r>
      <w:r w:rsidRPr="00490764">
        <w:tab/>
      </w:r>
      <w:r w:rsidRPr="00490764">
        <w:tab/>
        <w:t>GOLDMAN, J.</w:t>
      </w:r>
    </w:p>
    <w:p w:rsidR="006F181D" w:rsidRPr="00490764" w:rsidP="00490764" w14:paraId="3B43FFEB" w14:textId="77777777">
      <w:pPr>
        <w:spacing w:line="240" w:lineRule="auto"/>
      </w:pPr>
    </w:p>
    <w:p w:rsidR="006F181D" w:rsidRPr="00490764" w:rsidP="00490764" w14:paraId="3ABDB64F" w14:textId="77777777">
      <w:pPr>
        <w:spacing w:line="240" w:lineRule="auto"/>
      </w:pPr>
      <w:r w:rsidRPr="00490764">
        <w:t>WE CONCUR:</w:t>
      </w:r>
    </w:p>
    <w:p w:rsidR="006F181D" w:rsidRPr="00490764" w:rsidP="00490764" w14:paraId="1B07C9AC" w14:textId="77777777">
      <w:pPr>
        <w:spacing w:line="240" w:lineRule="auto"/>
      </w:pPr>
    </w:p>
    <w:p w:rsidR="006F181D" w:rsidRPr="00490764" w:rsidP="00490764" w14:paraId="14D07E37" w14:textId="79D247F5">
      <w:pPr>
        <w:spacing w:line="240" w:lineRule="auto"/>
      </w:pPr>
      <w:r>
        <w:t>BROWN</w:t>
      </w:r>
      <w:r w:rsidRPr="00490764">
        <w:t>, P. J.</w:t>
      </w:r>
    </w:p>
    <w:p w:rsidR="006F181D" w:rsidRPr="00490764" w:rsidP="00490764" w14:paraId="1D86B656" w14:textId="2DA43EF2">
      <w:pPr>
        <w:spacing w:line="240" w:lineRule="auto"/>
      </w:pPr>
      <w:r>
        <w:t>STREETER</w:t>
      </w:r>
      <w:r w:rsidRPr="00490764">
        <w:t>, J.</w:t>
      </w:r>
    </w:p>
    <w:p w:rsidR="006F181D" w:rsidP="0025115B" w14:paraId="329FBCE0" w14:textId="2A3C88CC">
      <w:pPr>
        <w:spacing w:before="2" w:beforeLines="1" w:after="2" w:afterLines="1"/>
        <w:ind w:right="-720" w:firstLine="720"/>
        <w:textAlignment w:val="baseline"/>
        <w:rPr>
          <w:rFonts w:eastAsia="Times New Roman" w:cs="Times New Roman"/>
          <w:kern w:val="0"/>
          <w14:ligatures w14:val="none"/>
        </w:rPr>
      </w:pPr>
      <w:r>
        <w:rPr>
          <w:rFonts w:eastAsia="Times New Roman" w:cs="Times New Roman"/>
          <w:kern w:val="0"/>
          <w14:ligatures w14:val="none"/>
        </w:rPr>
        <w:t xml:space="preserve"> </w:t>
      </w:r>
    </w:p>
    <w:p w:rsidR="006F181D" w14:paraId="0E8EE92E" w14:textId="1B944C2D">
      <w:pPr>
        <w:rPr>
          <w:rFonts w:eastAsia="Times New Roman" w:cs="Times New Roman"/>
          <w:kern w:val="0"/>
          <w14:ligatures w14:val="none"/>
        </w:rPr>
      </w:pPr>
      <w:r>
        <w:rPr>
          <w:rFonts w:eastAsia="Times New Roman" w:cs="Times New Roman"/>
          <w:kern w:val="0"/>
          <w14:ligatures w14:val="none"/>
        </w:rPr>
        <w:br w:type="page"/>
      </w:r>
    </w:p>
    <w:tbl>
      <w:tblPr>
        <w:tblStyle w:val="TableGrid"/>
        <w:tblW w:w="9535" w:type="dxa"/>
        <w:tblLook w:val="04A0"/>
      </w:tblPr>
      <w:tblGrid>
        <w:gridCol w:w="4405"/>
        <w:gridCol w:w="5130"/>
      </w:tblGrid>
      <w:tr w14:paraId="190C1FCF" w14:textId="77777777" w:rsidTr="00FE32D4">
        <w:tblPrEx>
          <w:tblW w:w="9535" w:type="dxa"/>
          <w:tblLook w:val="04A0"/>
        </w:tblPrEx>
        <w:tc>
          <w:tcPr>
            <w:tcW w:w="4405" w:type="dxa"/>
          </w:tcPr>
          <w:p w:rsidR="006F181D" w:rsidRPr="006F181D" w:rsidP="006F181D" w14:paraId="2C37C1B2" w14:textId="77777777">
            <w:pPr>
              <w:tabs>
                <w:tab w:val="left" w:pos="720"/>
              </w:tabs>
              <w:suppressAutoHyphens/>
              <w:rPr>
                <w:rFonts w:ascii="Century Schoolbook" w:hAnsi="Century Schoolbook"/>
              </w:rPr>
            </w:pPr>
            <w:r w:rsidRPr="006F181D">
              <w:rPr>
                <w:rFonts w:ascii="Century Schoolbook" w:hAnsi="Century Schoolbook"/>
              </w:rPr>
              <w:t>Trial Court:</w:t>
            </w:r>
          </w:p>
        </w:tc>
        <w:tc>
          <w:tcPr>
            <w:tcW w:w="5130" w:type="dxa"/>
          </w:tcPr>
          <w:p w:rsidR="006F181D" w:rsidRPr="006F181D" w:rsidP="006F181D" w14:paraId="720E9617" w14:textId="77777777">
            <w:pPr>
              <w:tabs>
                <w:tab w:val="left" w:pos="720"/>
              </w:tabs>
              <w:suppressAutoHyphens/>
              <w:rPr>
                <w:rFonts w:ascii="Century Schoolbook" w:hAnsi="Century Schoolbook"/>
              </w:rPr>
            </w:pPr>
            <w:r w:rsidRPr="006F181D">
              <w:rPr>
                <w:rFonts w:ascii="Century Schoolbook" w:hAnsi="Century Schoolbook"/>
              </w:rPr>
              <w:t>Alameda County Superior Court</w:t>
            </w:r>
          </w:p>
          <w:p w:rsidR="006F181D" w:rsidRPr="006F181D" w:rsidP="006F181D" w14:paraId="34A0D4AF" w14:textId="77777777">
            <w:pPr>
              <w:tabs>
                <w:tab w:val="left" w:pos="720"/>
              </w:tabs>
              <w:suppressAutoHyphens/>
              <w:rPr>
                <w:rFonts w:ascii="Century Schoolbook" w:hAnsi="Century Schoolbook"/>
              </w:rPr>
            </w:pPr>
          </w:p>
        </w:tc>
      </w:tr>
      <w:tr w14:paraId="693D5707" w14:textId="77777777" w:rsidTr="00FE32D4">
        <w:tblPrEx>
          <w:tblW w:w="9535" w:type="dxa"/>
          <w:tblLook w:val="04A0"/>
        </w:tblPrEx>
        <w:tc>
          <w:tcPr>
            <w:tcW w:w="4405" w:type="dxa"/>
          </w:tcPr>
          <w:p w:rsidR="006F181D" w:rsidRPr="006F181D" w:rsidP="006F181D" w14:paraId="012D00B3" w14:textId="77777777">
            <w:pPr>
              <w:tabs>
                <w:tab w:val="left" w:pos="720"/>
              </w:tabs>
              <w:suppressAutoHyphens/>
              <w:rPr>
                <w:rFonts w:ascii="Century Schoolbook" w:hAnsi="Century Schoolbook"/>
              </w:rPr>
            </w:pPr>
            <w:r w:rsidRPr="006F181D">
              <w:rPr>
                <w:rFonts w:ascii="Century Schoolbook" w:hAnsi="Century Schoolbook"/>
              </w:rPr>
              <w:t>Trial Judge:</w:t>
            </w:r>
          </w:p>
        </w:tc>
        <w:tc>
          <w:tcPr>
            <w:tcW w:w="5130" w:type="dxa"/>
          </w:tcPr>
          <w:p w:rsidR="006F181D" w:rsidRPr="006F181D" w:rsidP="006F181D" w14:paraId="368084DB" w14:textId="77777777">
            <w:pPr>
              <w:tabs>
                <w:tab w:val="left" w:pos="720"/>
              </w:tabs>
              <w:suppressAutoHyphens/>
              <w:rPr>
                <w:rFonts w:ascii="Century Schoolbook" w:hAnsi="Century Schoolbook"/>
              </w:rPr>
            </w:pPr>
            <w:r w:rsidRPr="006F181D">
              <w:rPr>
                <w:rFonts w:ascii="Century Schoolbook" w:hAnsi="Century Schoolbook"/>
              </w:rPr>
              <w:t>Honorable Patrick R. McKinney</w:t>
            </w:r>
          </w:p>
          <w:p w:rsidR="006F181D" w:rsidRPr="006F181D" w:rsidP="006F181D" w14:paraId="7B759761" w14:textId="77777777">
            <w:pPr>
              <w:tabs>
                <w:tab w:val="left" w:pos="720"/>
              </w:tabs>
              <w:suppressAutoHyphens/>
              <w:rPr>
                <w:rFonts w:ascii="Century Schoolbook" w:hAnsi="Century Schoolbook"/>
              </w:rPr>
            </w:pPr>
          </w:p>
        </w:tc>
      </w:tr>
      <w:tr w14:paraId="219F65AA" w14:textId="77777777" w:rsidTr="00FE32D4">
        <w:tblPrEx>
          <w:tblW w:w="9535" w:type="dxa"/>
          <w:tblLook w:val="04A0"/>
        </w:tblPrEx>
        <w:tc>
          <w:tcPr>
            <w:tcW w:w="4405" w:type="dxa"/>
          </w:tcPr>
          <w:p w:rsidR="006F181D" w:rsidRPr="006F181D" w:rsidP="006F181D" w14:paraId="71408BDF" w14:textId="77777777">
            <w:pPr>
              <w:tabs>
                <w:tab w:val="left" w:pos="720"/>
              </w:tabs>
              <w:suppressAutoHyphens/>
              <w:spacing w:after="120"/>
              <w:rPr>
                <w:rFonts w:ascii="Century Schoolbook" w:hAnsi="Century Schoolbook"/>
              </w:rPr>
            </w:pPr>
            <w:r w:rsidRPr="006F181D">
              <w:rPr>
                <w:rFonts w:ascii="Century Schoolbook" w:hAnsi="Century Schoolbook"/>
              </w:rPr>
              <w:t xml:space="preserve">Counsel for Defendant, Cross-complainant and Appellant Stewart Johnston: </w:t>
            </w:r>
          </w:p>
        </w:tc>
        <w:tc>
          <w:tcPr>
            <w:tcW w:w="5130" w:type="dxa"/>
          </w:tcPr>
          <w:p w:rsidR="006F181D" w:rsidRPr="006F181D" w:rsidP="006F181D" w14:paraId="5442CC2B" w14:textId="77777777">
            <w:pPr>
              <w:suppressAutoHyphens/>
              <w:autoSpaceDE w:val="0"/>
              <w:autoSpaceDN w:val="0"/>
              <w:adjustRightInd w:val="0"/>
              <w:rPr>
                <w:rFonts w:ascii="Century Schoolbook" w:hAnsi="Century Schoolbook"/>
              </w:rPr>
            </w:pPr>
            <w:r w:rsidRPr="006F181D">
              <w:rPr>
                <w:rFonts w:ascii="Century Schoolbook" w:hAnsi="Century Schoolbook"/>
              </w:rPr>
              <w:t>Stephen F. Lopez</w:t>
            </w:r>
          </w:p>
        </w:tc>
      </w:tr>
      <w:tr w14:paraId="50C6EF0C" w14:textId="77777777" w:rsidTr="00FE32D4">
        <w:tblPrEx>
          <w:tblW w:w="9535" w:type="dxa"/>
          <w:tblLook w:val="04A0"/>
        </w:tblPrEx>
        <w:tc>
          <w:tcPr>
            <w:tcW w:w="4405" w:type="dxa"/>
          </w:tcPr>
          <w:p w:rsidR="006F181D" w:rsidRPr="006F181D" w:rsidP="006F181D" w14:paraId="7B0BEEA4" w14:textId="77777777">
            <w:pPr>
              <w:tabs>
                <w:tab w:val="left" w:pos="720"/>
              </w:tabs>
              <w:suppressAutoHyphens/>
              <w:rPr>
                <w:rFonts w:ascii="Century Schoolbook" w:hAnsi="Century Schoolbook"/>
              </w:rPr>
            </w:pPr>
            <w:r w:rsidRPr="006F181D">
              <w:rPr>
                <w:rFonts w:ascii="Century Schoolbook" w:hAnsi="Century Schoolbook"/>
              </w:rPr>
              <w:t xml:space="preserve">Counsel for Plaintiffs and Respondents BTHHM Berkeley, LLC, PNB Berkeley, LLC, Michael Family 2004 Living Trust, Bianca Blesching, and Scot Hawkins: </w:t>
            </w:r>
          </w:p>
        </w:tc>
        <w:tc>
          <w:tcPr>
            <w:tcW w:w="5130" w:type="dxa"/>
          </w:tcPr>
          <w:p w:rsidR="006F181D" w:rsidRPr="006F181D" w:rsidP="006F181D" w14:paraId="13CEF926" w14:textId="77777777">
            <w:pPr>
              <w:suppressAutoHyphens/>
              <w:autoSpaceDE w:val="0"/>
              <w:adjustRightInd w:val="0"/>
              <w:rPr>
                <w:rFonts w:ascii="Century Schoolbook" w:hAnsi="Century Schoolbook"/>
              </w:rPr>
            </w:pPr>
            <w:r w:rsidRPr="006F181D">
              <w:rPr>
                <w:rFonts w:ascii="Century Schoolbook" w:hAnsi="Century Schoolbook"/>
              </w:rPr>
              <w:t>ALLEN MATKINS LECK GAMBLE MALLORY &amp; NATSIS, Marissa M. Dennis</w:t>
            </w:r>
          </w:p>
          <w:p w:rsidR="006F181D" w:rsidRPr="006F181D" w:rsidP="006F181D" w14:paraId="0638EC1E" w14:textId="77777777">
            <w:pPr>
              <w:suppressAutoHyphens/>
              <w:autoSpaceDE w:val="0"/>
              <w:adjustRightInd w:val="0"/>
              <w:rPr>
                <w:rFonts w:ascii="Century Schoolbook" w:hAnsi="Century Schoolbook"/>
              </w:rPr>
            </w:pPr>
          </w:p>
        </w:tc>
      </w:tr>
      <w:tr w14:paraId="6B19B573" w14:textId="77777777" w:rsidTr="00FE32D4">
        <w:tblPrEx>
          <w:tblW w:w="9535" w:type="dxa"/>
          <w:tblLook w:val="04A0"/>
        </w:tblPrEx>
        <w:tc>
          <w:tcPr>
            <w:tcW w:w="4405" w:type="dxa"/>
          </w:tcPr>
          <w:p w:rsidR="006F181D" w:rsidRPr="006F181D" w:rsidP="006F181D" w14:paraId="7ACD8961" w14:textId="77777777">
            <w:pPr>
              <w:tabs>
                <w:tab w:val="left" w:pos="720"/>
              </w:tabs>
              <w:suppressAutoHyphens/>
              <w:rPr>
                <w:rFonts w:ascii="Century Schoolbook" w:hAnsi="Century Schoolbook"/>
              </w:rPr>
            </w:pPr>
            <w:r w:rsidRPr="006F181D">
              <w:rPr>
                <w:rFonts w:ascii="Century Schoolbook" w:hAnsi="Century Schoolbook"/>
              </w:rPr>
              <w:t>Counsel for Cross-defendants and Respondents Holda M. Novelo and Landmark Real Estate Management:</w:t>
            </w:r>
          </w:p>
        </w:tc>
        <w:tc>
          <w:tcPr>
            <w:tcW w:w="5130" w:type="dxa"/>
          </w:tcPr>
          <w:p w:rsidR="006F181D" w:rsidRPr="006F181D" w:rsidP="006F181D" w14:paraId="3A1C4F44" w14:textId="77777777">
            <w:pPr>
              <w:suppressAutoHyphens/>
              <w:autoSpaceDE w:val="0"/>
              <w:adjustRightInd w:val="0"/>
              <w:rPr>
                <w:rFonts w:ascii="Century Schoolbook" w:hAnsi="Century Schoolbook"/>
              </w:rPr>
            </w:pPr>
            <w:r w:rsidRPr="006F181D">
              <w:rPr>
                <w:rFonts w:ascii="Century Schoolbook" w:hAnsi="Century Schoolbook"/>
              </w:rPr>
              <w:t>HINSHAW &amp; CULBERTSON, Gary E. Devlin</w:t>
            </w:r>
          </w:p>
        </w:tc>
      </w:tr>
    </w:tbl>
    <w:p w:rsidR="006F181D" w:rsidRPr="00B70BBA" w:rsidP="0025115B" w14:paraId="233B123F" w14:textId="77777777">
      <w:pPr>
        <w:spacing w:before="2" w:beforeLines="1" w:after="2" w:afterLines="1"/>
        <w:ind w:right="-720" w:firstLine="720"/>
        <w:textAlignment w:val="baseline"/>
        <w:rPr>
          <w:rFonts w:eastAsia="Times New Roman" w:cs="Times New Roman"/>
          <w:kern w:val="0"/>
          <w14:ligatures w14:val="none"/>
        </w:rPr>
      </w:pPr>
    </w:p>
    <w:sectPr w:rsidSect="00C3567A">
      <w:footerReference w:type="default" r:id="rId5"/>
      <w:footerReference w:type="first" r:id="rId6"/>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enturySchoolbook-Italic">
    <w:altName w:val="Calibri"/>
    <w:panose1 w:val="00000000000000000000"/>
    <w:charset w:val="00"/>
    <w:family w:val="swiss"/>
    <w:notTrueType/>
    <w:pitch w:val="default"/>
    <w:sig w:usb0="00000003" w:usb1="00000000" w:usb2="00000000" w:usb3="00000000" w:csb0="00000001" w:csb1="00000000"/>
  </w:font>
  <w:font w:name="CenturySchoolbook">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893258814"/>
      <w:docPartObj>
        <w:docPartGallery w:val="Page Numbers (Bottom of Page)"/>
        <w:docPartUnique/>
      </w:docPartObj>
    </w:sdtPr>
    <w:sdtEndPr>
      <w:rPr>
        <w:noProof/>
      </w:rPr>
    </w:sdtEndPr>
    <w:sdtContent>
      <w:p w:rsidR="003B0982" w14:paraId="0B9CBFC0" w14:textId="7395741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29366B" w14:paraId="6B73B84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0139674"/>
      <w:docPartObj>
        <w:docPartGallery w:val="Page Numbers (Bottom of Page)"/>
        <w:docPartUnique/>
      </w:docPartObj>
    </w:sdtPr>
    <w:sdtEndPr>
      <w:rPr>
        <w:noProof/>
      </w:rPr>
    </w:sdtEndPr>
    <w:sdtContent>
      <w:p w:rsidR="0029366B" w14:paraId="691357DE" w14:textId="4EC56F1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29366B" w14:paraId="678C408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3567A" w:rsidP="00720B9E" w14:paraId="3B6AD69C" w14:textId="77777777">
      <w:pPr>
        <w:spacing w:line="240" w:lineRule="auto"/>
      </w:pPr>
      <w:r>
        <w:separator/>
      </w:r>
    </w:p>
  </w:footnote>
  <w:footnote w:type="continuationSeparator" w:id="1">
    <w:p w:rsidR="00C3567A" w:rsidP="00720B9E" w14:paraId="082D321F" w14:textId="77777777">
      <w:pPr>
        <w:spacing w:line="240" w:lineRule="auto"/>
      </w:pPr>
      <w:r>
        <w:continuationSeparator/>
      </w:r>
    </w:p>
  </w:footnote>
  <w:footnote w:type="continuationNotice" w:id="2">
    <w:p w:rsidR="00C3567A" w14:paraId="1917D36A" w14:textId="77777777">
      <w:pPr>
        <w:spacing w:line="240" w:lineRule="auto"/>
      </w:pPr>
    </w:p>
  </w:footnote>
  <w:footnote w:id="3">
    <w:p w:rsidR="00AD123A" w:rsidRPr="002B6B54" w14:paraId="56DD644F" w14:textId="01FFA196">
      <w:pPr>
        <w:pStyle w:val="FootnoteText"/>
        <w:rPr>
          <w:rFonts w:ascii="Century Schoolbook" w:hAnsi="Century Schoolbook"/>
          <w:sz w:val="26"/>
          <w:szCs w:val="26"/>
        </w:rPr>
      </w:pPr>
      <w:r w:rsidRPr="002B6B54">
        <w:rPr>
          <w:rStyle w:val="FootnoteReference"/>
          <w:rFonts w:ascii="Century Schoolbook" w:hAnsi="Century Schoolbook"/>
          <w:sz w:val="26"/>
          <w:szCs w:val="26"/>
        </w:rPr>
        <w:t>*</w:t>
      </w:r>
      <w:r w:rsidRPr="002B6B54">
        <w:rPr>
          <w:rFonts w:ascii="Century Schoolbook" w:hAnsi="Century Schoolbook"/>
          <w:sz w:val="26"/>
          <w:szCs w:val="26"/>
        </w:rPr>
        <w:t xml:space="preserve"> Pursuant to California Rules of Court, rules 8.1105(b) and 8.1110, this opinion is certified for publication with the exception of part</w:t>
      </w:r>
      <w:r w:rsidRPr="002B6B54" w:rsidR="002B6B54">
        <w:rPr>
          <w:rFonts w:ascii="Century Schoolbook" w:hAnsi="Century Schoolbook"/>
          <w:sz w:val="26"/>
          <w:szCs w:val="26"/>
        </w:rPr>
        <w:t>s I, II and III.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151E1C"/>
    <w:multiLevelType w:val="hybridMultilevel"/>
    <w:tmpl w:val="C7467578"/>
    <w:lvl w:ilvl="0">
      <w:start w:val="1"/>
      <w:numFmt w:val="lowerLetter"/>
      <w:lvlText w:val="%1."/>
      <w:lvlJc w:val="left"/>
      <w:pPr>
        <w:ind w:left="144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4A1329E"/>
    <w:multiLevelType w:val="hybridMultilevel"/>
    <w:tmpl w:val="31888576"/>
    <w:lvl w:ilvl="0">
      <w:start w:val="1"/>
      <w:numFmt w:val="upp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
    <w:nsid w:val="087D5E47"/>
    <w:multiLevelType w:val="hybridMultilevel"/>
    <w:tmpl w:val="E9306FA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27F4917"/>
    <w:multiLevelType w:val="hybridMultilevel"/>
    <w:tmpl w:val="AD646FAC"/>
    <w:lvl w:ilvl="0">
      <w:start w:val="1"/>
      <w:numFmt w:val="upperRoman"/>
      <w:pStyle w:val="Heading2"/>
      <w:lvlText w:val="%1."/>
      <w:lvlJc w:val="right"/>
      <w:pPr>
        <w:ind w:left="36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15D13571"/>
    <w:multiLevelType w:val="hybridMultilevel"/>
    <w:tmpl w:val="B626445E"/>
    <w:lvl w:ilvl="0">
      <w:start w:val="1"/>
      <w:numFmt w:val="lowerRoman"/>
      <w:lvlText w:val="%1."/>
      <w:lvlJc w:val="left"/>
      <w:pPr>
        <w:ind w:left="3420" w:hanging="720"/>
      </w:pPr>
      <w:rPr>
        <w:rFonts w:hint="default"/>
      </w:rPr>
    </w:lvl>
    <w:lvl w:ilvl="1">
      <w:start w:val="1"/>
      <w:numFmt w:val="lowerLetter"/>
      <w:lvlText w:val="%2."/>
      <w:lvlJc w:val="left"/>
      <w:pPr>
        <w:ind w:left="3780" w:hanging="360"/>
      </w:pPr>
    </w:lvl>
    <w:lvl w:ilvl="2" w:tentative="1">
      <w:start w:val="1"/>
      <w:numFmt w:val="lowerRoman"/>
      <w:lvlText w:val="%3."/>
      <w:lvlJc w:val="right"/>
      <w:pPr>
        <w:ind w:left="4500" w:hanging="180"/>
      </w:pPr>
    </w:lvl>
    <w:lvl w:ilvl="3" w:tentative="1">
      <w:start w:val="1"/>
      <w:numFmt w:val="decimal"/>
      <w:lvlText w:val="%4."/>
      <w:lvlJc w:val="left"/>
      <w:pPr>
        <w:ind w:left="5220" w:hanging="360"/>
      </w:pPr>
    </w:lvl>
    <w:lvl w:ilvl="4" w:tentative="1">
      <w:start w:val="1"/>
      <w:numFmt w:val="lowerLetter"/>
      <w:lvlText w:val="%5."/>
      <w:lvlJc w:val="left"/>
      <w:pPr>
        <w:ind w:left="5940" w:hanging="360"/>
      </w:pPr>
    </w:lvl>
    <w:lvl w:ilvl="5" w:tentative="1">
      <w:start w:val="1"/>
      <w:numFmt w:val="lowerRoman"/>
      <w:lvlText w:val="%6."/>
      <w:lvlJc w:val="right"/>
      <w:pPr>
        <w:ind w:left="6660" w:hanging="180"/>
      </w:pPr>
    </w:lvl>
    <w:lvl w:ilvl="6" w:tentative="1">
      <w:start w:val="1"/>
      <w:numFmt w:val="decimal"/>
      <w:lvlText w:val="%7."/>
      <w:lvlJc w:val="left"/>
      <w:pPr>
        <w:ind w:left="7380" w:hanging="360"/>
      </w:pPr>
    </w:lvl>
    <w:lvl w:ilvl="7" w:tentative="1">
      <w:start w:val="1"/>
      <w:numFmt w:val="lowerLetter"/>
      <w:lvlText w:val="%8."/>
      <w:lvlJc w:val="left"/>
      <w:pPr>
        <w:ind w:left="8100" w:hanging="360"/>
      </w:pPr>
    </w:lvl>
    <w:lvl w:ilvl="8" w:tentative="1">
      <w:start w:val="1"/>
      <w:numFmt w:val="lowerRoman"/>
      <w:lvlText w:val="%9."/>
      <w:lvlJc w:val="right"/>
      <w:pPr>
        <w:ind w:left="8820" w:hanging="180"/>
      </w:pPr>
    </w:lvl>
  </w:abstractNum>
  <w:abstractNum w:abstractNumId="5">
    <w:nsid w:val="1E7945F8"/>
    <w:multiLevelType w:val="hybridMultilevel"/>
    <w:tmpl w:val="78D05132"/>
    <w:lvl w:ilvl="0">
      <w:start w:val="1"/>
      <w:numFmt w:val="lowerLetter"/>
      <w:lvlText w:val="%1."/>
      <w:lvlJc w:val="left"/>
      <w:pPr>
        <w:ind w:left="2250" w:hanging="720"/>
      </w:pPr>
      <w:rPr>
        <w:rFonts w:hint="default"/>
      </w:rPr>
    </w:lvl>
    <w:lvl w:ilvl="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6">
    <w:nsid w:val="20714AF6"/>
    <w:multiLevelType w:val="hybridMultilevel"/>
    <w:tmpl w:val="36B2AAB2"/>
    <w:lvl w:ilvl="0">
      <w:start w:val="9"/>
      <w:numFmt w:val="lowerLetter"/>
      <w:lvlText w:val="%1."/>
      <w:lvlJc w:val="left"/>
      <w:pPr>
        <w:ind w:left="1800" w:hanging="360"/>
      </w:pPr>
      <w:rPr>
        <w:rFonts w:hint="default"/>
        <w:i w:val="0"/>
        <w:iCs w:val="0"/>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7">
    <w:nsid w:val="22F24B99"/>
    <w:multiLevelType w:val="hybridMultilevel"/>
    <w:tmpl w:val="C42A09F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3E3116AD"/>
    <w:multiLevelType w:val="hybridMultilevel"/>
    <w:tmpl w:val="5D2CF1D6"/>
    <w:lvl w:ilvl="0">
      <w:start w:val="1"/>
      <w:numFmt w:val="decimal"/>
      <w:lvlText w:val="%1."/>
      <w:lvlJc w:val="left"/>
      <w:pPr>
        <w:ind w:left="2160" w:hanging="360"/>
      </w:p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9">
    <w:nsid w:val="3E78457C"/>
    <w:multiLevelType w:val="hybridMultilevel"/>
    <w:tmpl w:val="DB98151C"/>
    <w:lvl w:ilvl="0">
      <w:start w:val="1"/>
      <w:numFmt w:val="upperLetter"/>
      <w:pStyle w:val="Heading4"/>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0">
    <w:nsid w:val="4432057D"/>
    <w:multiLevelType w:val="hybridMultilevel"/>
    <w:tmpl w:val="B994E9FC"/>
    <w:lvl w:ilvl="0">
      <w:start w:val="6"/>
      <w:numFmt w:val="decimal"/>
      <w:lvlText w:val="%1."/>
      <w:lvlJc w:val="left"/>
      <w:pPr>
        <w:ind w:left="1800" w:hanging="360"/>
      </w:pPr>
      <w:rPr>
        <w:rFonts w:hint="default"/>
        <w:b w:val="0"/>
        <w:bCs/>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1">
    <w:nsid w:val="4A100740"/>
    <w:multiLevelType w:val="hybridMultilevel"/>
    <w:tmpl w:val="C64CCA44"/>
    <w:lvl w:ilvl="0">
      <w:start w:val="1"/>
      <w:numFmt w:val="lowerRoman"/>
      <w:pStyle w:val="Heading5"/>
      <w:lvlText w:val="%1."/>
      <w:lvlJc w:val="right"/>
      <w:pPr>
        <w:ind w:left="2160" w:hanging="360"/>
      </w:p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12">
    <w:nsid w:val="53617CA7"/>
    <w:multiLevelType w:val="hybridMultilevel"/>
    <w:tmpl w:val="1AD48FA8"/>
    <w:lvl w:ilvl="0">
      <w:start w:val="1"/>
      <w:numFmt w:val="decimal"/>
      <w:pStyle w:val="Heading3"/>
      <w:lvlText w:val="%1."/>
      <w:lvlJc w:val="left"/>
      <w:pPr>
        <w:ind w:left="72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3">
    <w:nsid w:val="58311036"/>
    <w:multiLevelType w:val="hybridMultilevel"/>
    <w:tmpl w:val="2A683CA8"/>
    <w:lvl w:ilvl="0">
      <w:start w:val="1"/>
      <w:numFmt w:val="upp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5FA17F5F"/>
    <w:multiLevelType w:val="hybridMultilevel"/>
    <w:tmpl w:val="303CD4F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6FAA2A02"/>
    <w:multiLevelType w:val="hybridMultilevel"/>
    <w:tmpl w:val="CE704B82"/>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num w:numId="1">
    <w:abstractNumId w:val="13"/>
  </w:num>
  <w:num w:numId="2">
    <w:abstractNumId w:val="8"/>
  </w:num>
  <w:num w:numId="3">
    <w:abstractNumId w:val="0"/>
  </w:num>
  <w:num w:numId="4">
    <w:abstractNumId w:val="0"/>
  </w:num>
  <w:num w:numId="5">
    <w:abstractNumId w:val="1"/>
  </w:num>
  <w:num w:numId="6">
    <w:abstractNumId w:val="8"/>
  </w:num>
  <w:num w:numId="7">
    <w:abstractNumId w:val="0"/>
  </w:num>
  <w:num w:numId="8">
    <w:abstractNumId w:val="3"/>
  </w:num>
  <w:num w:numId="9">
    <w:abstractNumId w:val="12"/>
  </w:num>
  <w:num w:numId="10">
    <w:abstractNumId w:val="9"/>
  </w:num>
  <w:num w:numId="11">
    <w:abstractNumId w:val="6"/>
  </w:num>
  <w:num w:numId="12">
    <w:abstractNumId w:val="11"/>
  </w:num>
  <w:num w:numId="13">
    <w:abstractNumId w:val="9"/>
    <w:lvlOverride w:ilvl="0">
      <w:startOverride w:val="1"/>
    </w:lvlOverride>
  </w:num>
  <w:num w:numId="14">
    <w:abstractNumId w:val="3"/>
    <w:lvlOverride w:ilvl="0">
      <w:startOverride w:val="1"/>
    </w:lvlOverride>
  </w:num>
  <w:num w:numId="15">
    <w:abstractNumId w:val="12"/>
    <w:lvlOverride w:ilvl="0">
      <w:startOverride w:val="1"/>
    </w:lvlOverride>
  </w:num>
  <w:num w:numId="16">
    <w:abstractNumId w:val="9"/>
    <w:lvlOverride w:ilvl="0">
      <w:startOverride w:val="1"/>
    </w:lvlOverride>
  </w:num>
  <w:num w:numId="17">
    <w:abstractNumId w:val="11"/>
    <w:lvlOverride w:ilvl="0">
      <w:startOverride w:val="1"/>
    </w:lvlOverride>
  </w:num>
  <w:num w:numId="18">
    <w:abstractNumId w:val="11"/>
    <w:lvlOverride w:ilvl="0">
      <w:startOverride w:val="1"/>
    </w:lvlOverride>
  </w:num>
  <w:num w:numId="19">
    <w:abstractNumId w:val="2"/>
  </w:num>
  <w:num w:numId="20">
    <w:abstractNumId w:val="12"/>
  </w:num>
  <w:num w:numId="21">
    <w:abstractNumId w:val="12"/>
  </w:num>
  <w:num w:numId="22">
    <w:abstractNumId w:val="14"/>
  </w:num>
  <w:num w:numId="23">
    <w:abstractNumId w:val="7"/>
  </w:num>
  <w:num w:numId="24">
    <w:abstractNumId w:val="5"/>
  </w:num>
  <w:num w:numId="25">
    <w:abstractNumId w:val="4"/>
  </w:num>
  <w:num w:numId="26">
    <w:abstractNumId w:val="15"/>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rawingGridHorizontalSpacing w:val="130"/>
  <w:displayHorizontalDrawingGridEvery w:val="2"/>
  <w:displayVerticalDrawingGridEvery w:val="2"/>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C3E"/>
    <w:rsid w:val="000005EE"/>
    <w:rsid w:val="000079F7"/>
    <w:rsid w:val="0001603A"/>
    <w:rsid w:val="00017135"/>
    <w:rsid w:val="00017786"/>
    <w:rsid w:val="000177A8"/>
    <w:rsid w:val="000179B8"/>
    <w:rsid w:val="00021262"/>
    <w:rsid w:val="00021AA9"/>
    <w:rsid w:val="000220CA"/>
    <w:rsid w:val="00027C47"/>
    <w:rsid w:val="00030AF2"/>
    <w:rsid w:val="000415A9"/>
    <w:rsid w:val="00045325"/>
    <w:rsid w:val="00046358"/>
    <w:rsid w:val="0004696D"/>
    <w:rsid w:val="0004735F"/>
    <w:rsid w:val="00050124"/>
    <w:rsid w:val="00051335"/>
    <w:rsid w:val="00052825"/>
    <w:rsid w:val="000535A9"/>
    <w:rsid w:val="00053CFE"/>
    <w:rsid w:val="00055AE4"/>
    <w:rsid w:val="00057ED6"/>
    <w:rsid w:val="000627AD"/>
    <w:rsid w:val="00062A83"/>
    <w:rsid w:val="000643F9"/>
    <w:rsid w:val="00065477"/>
    <w:rsid w:val="0006699E"/>
    <w:rsid w:val="00067FE9"/>
    <w:rsid w:val="000736F2"/>
    <w:rsid w:val="00074CF8"/>
    <w:rsid w:val="000912FC"/>
    <w:rsid w:val="000A007F"/>
    <w:rsid w:val="000A374A"/>
    <w:rsid w:val="000B3827"/>
    <w:rsid w:val="000B4C29"/>
    <w:rsid w:val="000B4CE3"/>
    <w:rsid w:val="000B7969"/>
    <w:rsid w:val="000C08C6"/>
    <w:rsid w:val="000C2224"/>
    <w:rsid w:val="000C2F56"/>
    <w:rsid w:val="000C49D0"/>
    <w:rsid w:val="000C523E"/>
    <w:rsid w:val="000C63DD"/>
    <w:rsid w:val="000C7A40"/>
    <w:rsid w:val="000D67D9"/>
    <w:rsid w:val="000E25DA"/>
    <w:rsid w:val="000E2E24"/>
    <w:rsid w:val="000F2B23"/>
    <w:rsid w:val="000F478C"/>
    <w:rsid w:val="000F5544"/>
    <w:rsid w:val="000F5A3C"/>
    <w:rsid w:val="000F6499"/>
    <w:rsid w:val="000F6ABC"/>
    <w:rsid w:val="00103B58"/>
    <w:rsid w:val="00123295"/>
    <w:rsid w:val="00133F97"/>
    <w:rsid w:val="001368E3"/>
    <w:rsid w:val="0014028D"/>
    <w:rsid w:val="001427B4"/>
    <w:rsid w:val="00144BC4"/>
    <w:rsid w:val="001454F1"/>
    <w:rsid w:val="00150C76"/>
    <w:rsid w:val="00154064"/>
    <w:rsid w:val="00156B59"/>
    <w:rsid w:val="00160536"/>
    <w:rsid w:val="00161AAD"/>
    <w:rsid w:val="00161BFD"/>
    <w:rsid w:val="001648F2"/>
    <w:rsid w:val="00167C19"/>
    <w:rsid w:val="001736C2"/>
    <w:rsid w:val="00175DC6"/>
    <w:rsid w:val="00176433"/>
    <w:rsid w:val="00180EE0"/>
    <w:rsid w:val="00186692"/>
    <w:rsid w:val="001922CE"/>
    <w:rsid w:val="001A7D58"/>
    <w:rsid w:val="001B0FC5"/>
    <w:rsid w:val="001B1ADA"/>
    <w:rsid w:val="001B4865"/>
    <w:rsid w:val="001B6414"/>
    <w:rsid w:val="001C19DA"/>
    <w:rsid w:val="001C1B22"/>
    <w:rsid w:val="001C37CE"/>
    <w:rsid w:val="001C55D6"/>
    <w:rsid w:val="001C744A"/>
    <w:rsid w:val="001C75A2"/>
    <w:rsid w:val="001D078F"/>
    <w:rsid w:val="001D16F3"/>
    <w:rsid w:val="001D1C7B"/>
    <w:rsid w:val="001D3808"/>
    <w:rsid w:val="001D4366"/>
    <w:rsid w:val="001D5249"/>
    <w:rsid w:val="001D72F9"/>
    <w:rsid w:val="001E23EB"/>
    <w:rsid w:val="001E5DB0"/>
    <w:rsid w:val="001E67D0"/>
    <w:rsid w:val="001E7FB8"/>
    <w:rsid w:val="001F0687"/>
    <w:rsid w:val="001F34CE"/>
    <w:rsid w:val="001F37A4"/>
    <w:rsid w:val="001F4220"/>
    <w:rsid w:val="002070C4"/>
    <w:rsid w:val="0022077A"/>
    <w:rsid w:val="00223493"/>
    <w:rsid w:val="00223977"/>
    <w:rsid w:val="002243BA"/>
    <w:rsid w:val="00227A1C"/>
    <w:rsid w:val="00230197"/>
    <w:rsid w:val="002312A0"/>
    <w:rsid w:val="002324A2"/>
    <w:rsid w:val="00234C00"/>
    <w:rsid w:val="00234F43"/>
    <w:rsid w:val="0024437E"/>
    <w:rsid w:val="00245792"/>
    <w:rsid w:val="0024649F"/>
    <w:rsid w:val="0025054A"/>
    <w:rsid w:val="0025115B"/>
    <w:rsid w:val="0025202C"/>
    <w:rsid w:val="002619A1"/>
    <w:rsid w:val="0027567C"/>
    <w:rsid w:val="00285C00"/>
    <w:rsid w:val="00290D00"/>
    <w:rsid w:val="0029366B"/>
    <w:rsid w:val="002A05BE"/>
    <w:rsid w:val="002A6C50"/>
    <w:rsid w:val="002B3A29"/>
    <w:rsid w:val="002B4228"/>
    <w:rsid w:val="002B6B54"/>
    <w:rsid w:val="002B7009"/>
    <w:rsid w:val="002B70F6"/>
    <w:rsid w:val="002B7447"/>
    <w:rsid w:val="002B7E67"/>
    <w:rsid w:val="002C0FF1"/>
    <w:rsid w:val="002C4FE6"/>
    <w:rsid w:val="002C6F60"/>
    <w:rsid w:val="002D11B2"/>
    <w:rsid w:val="002D3BA8"/>
    <w:rsid w:val="002E0283"/>
    <w:rsid w:val="002E10B8"/>
    <w:rsid w:val="002E66DC"/>
    <w:rsid w:val="002E7DAA"/>
    <w:rsid w:val="002F3D60"/>
    <w:rsid w:val="003010FB"/>
    <w:rsid w:val="003034C8"/>
    <w:rsid w:val="0030483D"/>
    <w:rsid w:val="003101DB"/>
    <w:rsid w:val="00310523"/>
    <w:rsid w:val="00314C21"/>
    <w:rsid w:val="003164FE"/>
    <w:rsid w:val="00320A12"/>
    <w:rsid w:val="0032134F"/>
    <w:rsid w:val="00324C00"/>
    <w:rsid w:val="0033283A"/>
    <w:rsid w:val="00343C9F"/>
    <w:rsid w:val="00344E98"/>
    <w:rsid w:val="003479AA"/>
    <w:rsid w:val="0035137E"/>
    <w:rsid w:val="00351485"/>
    <w:rsid w:val="0035208E"/>
    <w:rsid w:val="003521CD"/>
    <w:rsid w:val="00355B65"/>
    <w:rsid w:val="00363CDE"/>
    <w:rsid w:val="00366387"/>
    <w:rsid w:val="00366923"/>
    <w:rsid w:val="00372327"/>
    <w:rsid w:val="003728AA"/>
    <w:rsid w:val="00375687"/>
    <w:rsid w:val="00377632"/>
    <w:rsid w:val="00380C19"/>
    <w:rsid w:val="00381D7D"/>
    <w:rsid w:val="0038264D"/>
    <w:rsid w:val="0038723E"/>
    <w:rsid w:val="00390196"/>
    <w:rsid w:val="0039232D"/>
    <w:rsid w:val="003A0B8C"/>
    <w:rsid w:val="003A4F7D"/>
    <w:rsid w:val="003A530A"/>
    <w:rsid w:val="003A5A01"/>
    <w:rsid w:val="003A6950"/>
    <w:rsid w:val="003B0982"/>
    <w:rsid w:val="003B1E17"/>
    <w:rsid w:val="003B2CC0"/>
    <w:rsid w:val="003B3724"/>
    <w:rsid w:val="003B44D7"/>
    <w:rsid w:val="003B5807"/>
    <w:rsid w:val="003C6C20"/>
    <w:rsid w:val="003D52CE"/>
    <w:rsid w:val="003D787C"/>
    <w:rsid w:val="003E30F4"/>
    <w:rsid w:val="003E7D0D"/>
    <w:rsid w:val="003F24FC"/>
    <w:rsid w:val="003F2BAA"/>
    <w:rsid w:val="004007E7"/>
    <w:rsid w:val="00402BBD"/>
    <w:rsid w:val="0040616A"/>
    <w:rsid w:val="00416974"/>
    <w:rsid w:val="00421AB3"/>
    <w:rsid w:val="00423D8F"/>
    <w:rsid w:val="00424452"/>
    <w:rsid w:val="00424FDA"/>
    <w:rsid w:val="00434F5A"/>
    <w:rsid w:val="004420AB"/>
    <w:rsid w:val="0044337C"/>
    <w:rsid w:val="004459A5"/>
    <w:rsid w:val="00446C1F"/>
    <w:rsid w:val="00455473"/>
    <w:rsid w:val="00457B78"/>
    <w:rsid w:val="00457BBE"/>
    <w:rsid w:val="004619DB"/>
    <w:rsid w:val="004641E3"/>
    <w:rsid w:val="00470A92"/>
    <w:rsid w:val="0047361E"/>
    <w:rsid w:val="00475EA3"/>
    <w:rsid w:val="00475FF2"/>
    <w:rsid w:val="0047736A"/>
    <w:rsid w:val="00477FD4"/>
    <w:rsid w:val="00480653"/>
    <w:rsid w:val="00480BCB"/>
    <w:rsid w:val="004841FB"/>
    <w:rsid w:val="00490213"/>
    <w:rsid w:val="00490764"/>
    <w:rsid w:val="00491AE8"/>
    <w:rsid w:val="00491BE3"/>
    <w:rsid w:val="004A1DCF"/>
    <w:rsid w:val="004A3709"/>
    <w:rsid w:val="004A5748"/>
    <w:rsid w:val="004A61F7"/>
    <w:rsid w:val="004B756C"/>
    <w:rsid w:val="004B79A3"/>
    <w:rsid w:val="004D385B"/>
    <w:rsid w:val="004D58C9"/>
    <w:rsid w:val="004D628B"/>
    <w:rsid w:val="004D68F3"/>
    <w:rsid w:val="004E2D4A"/>
    <w:rsid w:val="004E35D1"/>
    <w:rsid w:val="004E6042"/>
    <w:rsid w:val="004F0DF1"/>
    <w:rsid w:val="004F3E01"/>
    <w:rsid w:val="004F49AC"/>
    <w:rsid w:val="00503EBB"/>
    <w:rsid w:val="0050443E"/>
    <w:rsid w:val="00510FED"/>
    <w:rsid w:val="005111D4"/>
    <w:rsid w:val="00514EDA"/>
    <w:rsid w:val="00515081"/>
    <w:rsid w:val="00515F0B"/>
    <w:rsid w:val="00517206"/>
    <w:rsid w:val="0052296A"/>
    <w:rsid w:val="00522C9C"/>
    <w:rsid w:val="00526F66"/>
    <w:rsid w:val="00527CC8"/>
    <w:rsid w:val="005334BC"/>
    <w:rsid w:val="00533C55"/>
    <w:rsid w:val="00535E8B"/>
    <w:rsid w:val="00542A35"/>
    <w:rsid w:val="00552DAF"/>
    <w:rsid w:val="00555798"/>
    <w:rsid w:val="00555E59"/>
    <w:rsid w:val="00560E7B"/>
    <w:rsid w:val="00567754"/>
    <w:rsid w:val="00572866"/>
    <w:rsid w:val="00575037"/>
    <w:rsid w:val="0058068E"/>
    <w:rsid w:val="00582A14"/>
    <w:rsid w:val="00597680"/>
    <w:rsid w:val="005A45F4"/>
    <w:rsid w:val="005A4DE5"/>
    <w:rsid w:val="005A6CE8"/>
    <w:rsid w:val="005B1B1B"/>
    <w:rsid w:val="005B3069"/>
    <w:rsid w:val="005C07AE"/>
    <w:rsid w:val="005C0E03"/>
    <w:rsid w:val="005C110D"/>
    <w:rsid w:val="005C34D6"/>
    <w:rsid w:val="005C5F04"/>
    <w:rsid w:val="005C63EB"/>
    <w:rsid w:val="005D1C1A"/>
    <w:rsid w:val="005D647F"/>
    <w:rsid w:val="005E1515"/>
    <w:rsid w:val="005E2921"/>
    <w:rsid w:val="005E30FB"/>
    <w:rsid w:val="005E4E81"/>
    <w:rsid w:val="005F5080"/>
    <w:rsid w:val="005F6321"/>
    <w:rsid w:val="005F70C2"/>
    <w:rsid w:val="0060027E"/>
    <w:rsid w:val="00603CF8"/>
    <w:rsid w:val="00605F78"/>
    <w:rsid w:val="00611835"/>
    <w:rsid w:val="00613058"/>
    <w:rsid w:val="006149A8"/>
    <w:rsid w:val="006226C0"/>
    <w:rsid w:val="0062326F"/>
    <w:rsid w:val="00626009"/>
    <w:rsid w:val="00636CF1"/>
    <w:rsid w:val="00640FF5"/>
    <w:rsid w:val="00645758"/>
    <w:rsid w:val="0065049E"/>
    <w:rsid w:val="006520DC"/>
    <w:rsid w:val="006539D6"/>
    <w:rsid w:val="00653DC9"/>
    <w:rsid w:val="00654087"/>
    <w:rsid w:val="0065439E"/>
    <w:rsid w:val="00657673"/>
    <w:rsid w:val="006642BF"/>
    <w:rsid w:val="00664C4C"/>
    <w:rsid w:val="00673565"/>
    <w:rsid w:val="00673843"/>
    <w:rsid w:val="00680731"/>
    <w:rsid w:val="00682C91"/>
    <w:rsid w:val="00682D30"/>
    <w:rsid w:val="0068352E"/>
    <w:rsid w:val="00684938"/>
    <w:rsid w:val="00686C26"/>
    <w:rsid w:val="00686FC6"/>
    <w:rsid w:val="00687216"/>
    <w:rsid w:val="00687DFF"/>
    <w:rsid w:val="0069304A"/>
    <w:rsid w:val="006A17D6"/>
    <w:rsid w:val="006A1C64"/>
    <w:rsid w:val="006A5735"/>
    <w:rsid w:val="006B3421"/>
    <w:rsid w:val="006B3D99"/>
    <w:rsid w:val="006B6EE9"/>
    <w:rsid w:val="006C1DE4"/>
    <w:rsid w:val="006C25DC"/>
    <w:rsid w:val="006C5D0C"/>
    <w:rsid w:val="006C7354"/>
    <w:rsid w:val="006C775A"/>
    <w:rsid w:val="006D2E08"/>
    <w:rsid w:val="006D34B8"/>
    <w:rsid w:val="006D40D1"/>
    <w:rsid w:val="006D45D0"/>
    <w:rsid w:val="006E2095"/>
    <w:rsid w:val="006E25E6"/>
    <w:rsid w:val="006F1056"/>
    <w:rsid w:val="006F181D"/>
    <w:rsid w:val="006F5E30"/>
    <w:rsid w:val="006F610C"/>
    <w:rsid w:val="007007AC"/>
    <w:rsid w:val="007022C5"/>
    <w:rsid w:val="00703360"/>
    <w:rsid w:val="00705703"/>
    <w:rsid w:val="00714EDA"/>
    <w:rsid w:val="0071532D"/>
    <w:rsid w:val="00716C58"/>
    <w:rsid w:val="00720B9E"/>
    <w:rsid w:val="0072384E"/>
    <w:rsid w:val="0072562B"/>
    <w:rsid w:val="00725DD9"/>
    <w:rsid w:val="00731BE7"/>
    <w:rsid w:val="007326E9"/>
    <w:rsid w:val="007423A7"/>
    <w:rsid w:val="0074300D"/>
    <w:rsid w:val="00743EC3"/>
    <w:rsid w:val="00744695"/>
    <w:rsid w:val="00746191"/>
    <w:rsid w:val="007465E4"/>
    <w:rsid w:val="00746A0D"/>
    <w:rsid w:val="00750956"/>
    <w:rsid w:val="007539A8"/>
    <w:rsid w:val="00754894"/>
    <w:rsid w:val="0075641F"/>
    <w:rsid w:val="00760AFD"/>
    <w:rsid w:val="00762B01"/>
    <w:rsid w:val="007720E1"/>
    <w:rsid w:val="00773F80"/>
    <w:rsid w:val="00776BEC"/>
    <w:rsid w:val="007809BE"/>
    <w:rsid w:val="007857E0"/>
    <w:rsid w:val="007872BB"/>
    <w:rsid w:val="007922C2"/>
    <w:rsid w:val="00796368"/>
    <w:rsid w:val="007A183E"/>
    <w:rsid w:val="007A442A"/>
    <w:rsid w:val="007B596D"/>
    <w:rsid w:val="007C3774"/>
    <w:rsid w:val="007C7688"/>
    <w:rsid w:val="007D137A"/>
    <w:rsid w:val="007D2601"/>
    <w:rsid w:val="007D50A1"/>
    <w:rsid w:val="007D5770"/>
    <w:rsid w:val="007D5ACE"/>
    <w:rsid w:val="007E1B21"/>
    <w:rsid w:val="007E34BA"/>
    <w:rsid w:val="007E5FE5"/>
    <w:rsid w:val="007F0084"/>
    <w:rsid w:val="007F43EF"/>
    <w:rsid w:val="007F56F0"/>
    <w:rsid w:val="007F73D1"/>
    <w:rsid w:val="00802B21"/>
    <w:rsid w:val="00802D03"/>
    <w:rsid w:val="0081334C"/>
    <w:rsid w:val="0081743C"/>
    <w:rsid w:val="008269F1"/>
    <w:rsid w:val="00827D39"/>
    <w:rsid w:val="008304FE"/>
    <w:rsid w:val="008361B9"/>
    <w:rsid w:val="00836AFD"/>
    <w:rsid w:val="008426B5"/>
    <w:rsid w:val="00843DEE"/>
    <w:rsid w:val="00852D38"/>
    <w:rsid w:val="00860698"/>
    <w:rsid w:val="00861CE5"/>
    <w:rsid w:val="008624EB"/>
    <w:rsid w:val="00862C41"/>
    <w:rsid w:val="008643DC"/>
    <w:rsid w:val="0086543F"/>
    <w:rsid w:val="00870E90"/>
    <w:rsid w:val="00871293"/>
    <w:rsid w:val="00873D63"/>
    <w:rsid w:val="00874321"/>
    <w:rsid w:val="00881781"/>
    <w:rsid w:val="008865D2"/>
    <w:rsid w:val="008911EC"/>
    <w:rsid w:val="00891DFA"/>
    <w:rsid w:val="00893033"/>
    <w:rsid w:val="00895902"/>
    <w:rsid w:val="00896F15"/>
    <w:rsid w:val="008A28F6"/>
    <w:rsid w:val="008A2A33"/>
    <w:rsid w:val="008B3952"/>
    <w:rsid w:val="008B4107"/>
    <w:rsid w:val="008B412D"/>
    <w:rsid w:val="008B5C68"/>
    <w:rsid w:val="008C69C3"/>
    <w:rsid w:val="008D3EC1"/>
    <w:rsid w:val="008D5A52"/>
    <w:rsid w:val="008D77EB"/>
    <w:rsid w:val="008E24C8"/>
    <w:rsid w:val="008E2A98"/>
    <w:rsid w:val="008E3D35"/>
    <w:rsid w:val="008E403C"/>
    <w:rsid w:val="008E4E7C"/>
    <w:rsid w:val="008E5768"/>
    <w:rsid w:val="008E6192"/>
    <w:rsid w:val="008E6437"/>
    <w:rsid w:val="008F1403"/>
    <w:rsid w:val="008F4C10"/>
    <w:rsid w:val="009009E3"/>
    <w:rsid w:val="00902017"/>
    <w:rsid w:val="009036F2"/>
    <w:rsid w:val="009052A2"/>
    <w:rsid w:val="009348A2"/>
    <w:rsid w:val="009410CB"/>
    <w:rsid w:val="00942A40"/>
    <w:rsid w:val="00943028"/>
    <w:rsid w:val="00952B22"/>
    <w:rsid w:val="00954658"/>
    <w:rsid w:val="00957848"/>
    <w:rsid w:val="00961F66"/>
    <w:rsid w:val="00962B6A"/>
    <w:rsid w:val="0097544C"/>
    <w:rsid w:val="00975CB7"/>
    <w:rsid w:val="009763B7"/>
    <w:rsid w:val="009835DF"/>
    <w:rsid w:val="00983B56"/>
    <w:rsid w:val="00987E16"/>
    <w:rsid w:val="00993DE3"/>
    <w:rsid w:val="0099486B"/>
    <w:rsid w:val="00995631"/>
    <w:rsid w:val="00995836"/>
    <w:rsid w:val="00997310"/>
    <w:rsid w:val="009A0460"/>
    <w:rsid w:val="009A381F"/>
    <w:rsid w:val="009B2DC3"/>
    <w:rsid w:val="009B68DF"/>
    <w:rsid w:val="009D066A"/>
    <w:rsid w:val="009D47BF"/>
    <w:rsid w:val="009E2AF7"/>
    <w:rsid w:val="009F0149"/>
    <w:rsid w:val="009F49D2"/>
    <w:rsid w:val="009F5F5E"/>
    <w:rsid w:val="00A00896"/>
    <w:rsid w:val="00A00BB4"/>
    <w:rsid w:val="00A04640"/>
    <w:rsid w:val="00A066CC"/>
    <w:rsid w:val="00A12343"/>
    <w:rsid w:val="00A125E3"/>
    <w:rsid w:val="00A12CDA"/>
    <w:rsid w:val="00A2051C"/>
    <w:rsid w:val="00A22C8F"/>
    <w:rsid w:val="00A31490"/>
    <w:rsid w:val="00A32141"/>
    <w:rsid w:val="00A3222E"/>
    <w:rsid w:val="00A3455D"/>
    <w:rsid w:val="00A375C9"/>
    <w:rsid w:val="00A41303"/>
    <w:rsid w:val="00A432C6"/>
    <w:rsid w:val="00A444C5"/>
    <w:rsid w:val="00A466D9"/>
    <w:rsid w:val="00A47B2E"/>
    <w:rsid w:val="00A51341"/>
    <w:rsid w:val="00A51CC3"/>
    <w:rsid w:val="00A525E0"/>
    <w:rsid w:val="00A52AE9"/>
    <w:rsid w:val="00A53872"/>
    <w:rsid w:val="00A60327"/>
    <w:rsid w:val="00A64432"/>
    <w:rsid w:val="00A67BC6"/>
    <w:rsid w:val="00A743E0"/>
    <w:rsid w:val="00A75112"/>
    <w:rsid w:val="00A76DEB"/>
    <w:rsid w:val="00A76F9F"/>
    <w:rsid w:val="00A77E35"/>
    <w:rsid w:val="00A905A2"/>
    <w:rsid w:val="00A92635"/>
    <w:rsid w:val="00A93C7B"/>
    <w:rsid w:val="00A93C95"/>
    <w:rsid w:val="00A95CB5"/>
    <w:rsid w:val="00AA0CCC"/>
    <w:rsid w:val="00AA142E"/>
    <w:rsid w:val="00AA266D"/>
    <w:rsid w:val="00AA4140"/>
    <w:rsid w:val="00AA5C20"/>
    <w:rsid w:val="00AA5DCE"/>
    <w:rsid w:val="00AA67F5"/>
    <w:rsid w:val="00AA79BA"/>
    <w:rsid w:val="00AB1124"/>
    <w:rsid w:val="00AB36E2"/>
    <w:rsid w:val="00AB3A24"/>
    <w:rsid w:val="00AB3B72"/>
    <w:rsid w:val="00AC286A"/>
    <w:rsid w:val="00AD123A"/>
    <w:rsid w:val="00AD1516"/>
    <w:rsid w:val="00AD1E6E"/>
    <w:rsid w:val="00AD4766"/>
    <w:rsid w:val="00AE6A27"/>
    <w:rsid w:val="00AF29D7"/>
    <w:rsid w:val="00AF56EE"/>
    <w:rsid w:val="00AF722D"/>
    <w:rsid w:val="00AF794D"/>
    <w:rsid w:val="00B02E5B"/>
    <w:rsid w:val="00B068F8"/>
    <w:rsid w:val="00B16946"/>
    <w:rsid w:val="00B169DF"/>
    <w:rsid w:val="00B225C7"/>
    <w:rsid w:val="00B24330"/>
    <w:rsid w:val="00B24D70"/>
    <w:rsid w:val="00B352C2"/>
    <w:rsid w:val="00B41D38"/>
    <w:rsid w:val="00B435FB"/>
    <w:rsid w:val="00B50D09"/>
    <w:rsid w:val="00B51B22"/>
    <w:rsid w:val="00B52320"/>
    <w:rsid w:val="00B544D3"/>
    <w:rsid w:val="00B5625C"/>
    <w:rsid w:val="00B604AF"/>
    <w:rsid w:val="00B63CBE"/>
    <w:rsid w:val="00B64C28"/>
    <w:rsid w:val="00B64C4F"/>
    <w:rsid w:val="00B67757"/>
    <w:rsid w:val="00B70005"/>
    <w:rsid w:val="00B70BBA"/>
    <w:rsid w:val="00B74799"/>
    <w:rsid w:val="00B7727D"/>
    <w:rsid w:val="00B773FD"/>
    <w:rsid w:val="00B81032"/>
    <w:rsid w:val="00B8695B"/>
    <w:rsid w:val="00B900EA"/>
    <w:rsid w:val="00B92537"/>
    <w:rsid w:val="00B9764E"/>
    <w:rsid w:val="00BA2F11"/>
    <w:rsid w:val="00BA45F2"/>
    <w:rsid w:val="00BA4E7B"/>
    <w:rsid w:val="00BA599D"/>
    <w:rsid w:val="00BA733F"/>
    <w:rsid w:val="00BB09FA"/>
    <w:rsid w:val="00BB1922"/>
    <w:rsid w:val="00BB1A89"/>
    <w:rsid w:val="00BB3788"/>
    <w:rsid w:val="00BC0E9C"/>
    <w:rsid w:val="00BC22FA"/>
    <w:rsid w:val="00BC5E8B"/>
    <w:rsid w:val="00BD1463"/>
    <w:rsid w:val="00BD3325"/>
    <w:rsid w:val="00BD74A9"/>
    <w:rsid w:val="00BE4EF1"/>
    <w:rsid w:val="00BE5727"/>
    <w:rsid w:val="00BF01AA"/>
    <w:rsid w:val="00BF2EBE"/>
    <w:rsid w:val="00BF72BA"/>
    <w:rsid w:val="00BF7567"/>
    <w:rsid w:val="00C00A77"/>
    <w:rsid w:val="00C00AF4"/>
    <w:rsid w:val="00C01032"/>
    <w:rsid w:val="00C026DD"/>
    <w:rsid w:val="00C06C3E"/>
    <w:rsid w:val="00C07AC9"/>
    <w:rsid w:val="00C11688"/>
    <w:rsid w:val="00C11792"/>
    <w:rsid w:val="00C12C14"/>
    <w:rsid w:val="00C13838"/>
    <w:rsid w:val="00C1484D"/>
    <w:rsid w:val="00C17531"/>
    <w:rsid w:val="00C231A1"/>
    <w:rsid w:val="00C235D2"/>
    <w:rsid w:val="00C27387"/>
    <w:rsid w:val="00C303F6"/>
    <w:rsid w:val="00C3567A"/>
    <w:rsid w:val="00C411B6"/>
    <w:rsid w:val="00C41938"/>
    <w:rsid w:val="00C4449B"/>
    <w:rsid w:val="00C444B2"/>
    <w:rsid w:val="00C53721"/>
    <w:rsid w:val="00C57367"/>
    <w:rsid w:val="00C60227"/>
    <w:rsid w:val="00C616CC"/>
    <w:rsid w:val="00C6285C"/>
    <w:rsid w:val="00C67200"/>
    <w:rsid w:val="00C678C2"/>
    <w:rsid w:val="00C724DE"/>
    <w:rsid w:val="00C743E4"/>
    <w:rsid w:val="00C82EF9"/>
    <w:rsid w:val="00C83F7B"/>
    <w:rsid w:val="00C861D7"/>
    <w:rsid w:val="00C91CA9"/>
    <w:rsid w:val="00C96933"/>
    <w:rsid w:val="00CA1C32"/>
    <w:rsid w:val="00CB28D3"/>
    <w:rsid w:val="00CB2A5E"/>
    <w:rsid w:val="00CB5B64"/>
    <w:rsid w:val="00CC283F"/>
    <w:rsid w:val="00CC4FB5"/>
    <w:rsid w:val="00CD0A61"/>
    <w:rsid w:val="00CD35EC"/>
    <w:rsid w:val="00CD5AA5"/>
    <w:rsid w:val="00CD5DE4"/>
    <w:rsid w:val="00CD66C1"/>
    <w:rsid w:val="00CD6707"/>
    <w:rsid w:val="00CD72C0"/>
    <w:rsid w:val="00CE5C99"/>
    <w:rsid w:val="00CF1372"/>
    <w:rsid w:val="00CF27B1"/>
    <w:rsid w:val="00CF5213"/>
    <w:rsid w:val="00CF7CC7"/>
    <w:rsid w:val="00D00275"/>
    <w:rsid w:val="00D00F03"/>
    <w:rsid w:val="00D05363"/>
    <w:rsid w:val="00D07997"/>
    <w:rsid w:val="00D11505"/>
    <w:rsid w:val="00D13260"/>
    <w:rsid w:val="00D143C8"/>
    <w:rsid w:val="00D162D8"/>
    <w:rsid w:val="00D1630A"/>
    <w:rsid w:val="00D1694E"/>
    <w:rsid w:val="00D1744F"/>
    <w:rsid w:val="00D20E20"/>
    <w:rsid w:val="00D22FA8"/>
    <w:rsid w:val="00D366EE"/>
    <w:rsid w:val="00D37B60"/>
    <w:rsid w:val="00D408A4"/>
    <w:rsid w:val="00D40963"/>
    <w:rsid w:val="00D41BB3"/>
    <w:rsid w:val="00D46AF1"/>
    <w:rsid w:val="00D55A49"/>
    <w:rsid w:val="00D55FC8"/>
    <w:rsid w:val="00D57ADE"/>
    <w:rsid w:val="00D601E3"/>
    <w:rsid w:val="00D615EB"/>
    <w:rsid w:val="00D63D83"/>
    <w:rsid w:val="00D6407A"/>
    <w:rsid w:val="00D72DF9"/>
    <w:rsid w:val="00D808B3"/>
    <w:rsid w:val="00D812F4"/>
    <w:rsid w:val="00D8494B"/>
    <w:rsid w:val="00D84E76"/>
    <w:rsid w:val="00D878C5"/>
    <w:rsid w:val="00D908BB"/>
    <w:rsid w:val="00DA0162"/>
    <w:rsid w:val="00DA173D"/>
    <w:rsid w:val="00DA24A3"/>
    <w:rsid w:val="00DA3934"/>
    <w:rsid w:val="00DA7978"/>
    <w:rsid w:val="00DB081A"/>
    <w:rsid w:val="00DB2F52"/>
    <w:rsid w:val="00DB67AC"/>
    <w:rsid w:val="00DB6AEB"/>
    <w:rsid w:val="00DC2D70"/>
    <w:rsid w:val="00DC4813"/>
    <w:rsid w:val="00DD0761"/>
    <w:rsid w:val="00DE2174"/>
    <w:rsid w:val="00DE417B"/>
    <w:rsid w:val="00DE5B2E"/>
    <w:rsid w:val="00DE5E9F"/>
    <w:rsid w:val="00DF0E82"/>
    <w:rsid w:val="00DF31A2"/>
    <w:rsid w:val="00DF5967"/>
    <w:rsid w:val="00E02BD4"/>
    <w:rsid w:val="00E05656"/>
    <w:rsid w:val="00E13622"/>
    <w:rsid w:val="00E14ACE"/>
    <w:rsid w:val="00E15205"/>
    <w:rsid w:val="00E16DD0"/>
    <w:rsid w:val="00E176AC"/>
    <w:rsid w:val="00E20388"/>
    <w:rsid w:val="00E20535"/>
    <w:rsid w:val="00E2217B"/>
    <w:rsid w:val="00E31013"/>
    <w:rsid w:val="00E3292C"/>
    <w:rsid w:val="00E35671"/>
    <w:rsid w:val="00E35CD6"/>
    <w:rsid w:val="00E3646F"/>
    <w:rsid w:val="00E4287A"/>
    <w:rsid w:val="00E5048E"/>
    <w:rsid w:val="00E5095F"/>
    <w:rsid w:val="00E6074A"/>
    <w:rsid w:val="00E6708E"/>
    <w:rsid w:val="00E70198"/>
    <w:rsid w:val="00E7027E"/>
    <w:rsid w:val="00E7108B"/>
    <w:rsid w:val="00E74B49"/>
    <w:rsid w:val="00E81F47"/>
    <w:rsid w:val="00E8433E"/>
    <w:rsid w:val="00E85907"/>
    <w:rsid w:val="00E85CBF"/>
    <w:rsid w:val="00E87103"/>
    <w:rsid w:val="00EA6888"/>
    <w:rsid w:val="00EA70E5"/>
    <w:rsid w:val="00EB0589"/>
    <w:rsid w:val="00EB29E6"/>
    <w:rsid w:val="00EC632C"/>
    <w:rsid w:val="00ED2008"/>
    <w:rsid w:val="00ED5A56"/>
    <w:rsid w:val="00ED7E0D"/>
    <w:rsid w:val="00EE2354"/>
    <w:rsid w:val="00EE27C9"/>
    <w:rsid w:val="00EF2123"/>
    <w:rsid w:val="00EF5106"/>
    <w:rsid w:val="00EF6C1E"/>
    <w:rsid w:val="00EF7750"/>
    <w:rsid w:val="00EF7DCD"/>
    <w:rsid w:val="00F000B3"/>
    <w:rsid w:val="00F02094"/>
    <w:rsid w:val="00F02CB0"/>
    <w:rsid w:val="00F05D64"/>
    <w:rsid w:val="00F11B4C"/>
    <w:rsid w:val="00F15D0F"/>
    <w:rsid w:val="00F17618"/>
    <w:rsid w:val="00F17E47"/>
    <w:rsid w:val="00F300DA"/>
    <w:rsid w:val="00F314FB"/>
    <w:rsid w:val="00F3173D"/>
    <w:rsid w:val="00F3320F"/>
    <w:rsid w:val="00F37631"/>
    <w:rsid w:val="00F4144E"/>
    <w:rsid w:val="00F417EB"/>
    <w:rsid w:val="00F4210E"/>
    <w:rsid w:val="00F4272F"/>
    <w:rsid w:val="00F46057"/>
    <w:rsid w:val="00F53096"/>
    <w:rsid w:val="00F53F22"/>
    <w:rsid w:val="00F560C1"/>
    <w:rsid w:val="00F60268"/>
    <w:rsid w:val="00F62E1B"/>
    <w:rsid w:val="00F631B4"/>
    <w:rsid w:val="00F638E9"/>
    <w:rsid w:val="00F64028"/>
    <w:rsid w:val="00F672F9"/>
    <w:rsid w:val="00F74C68"/>
    <w:rsid w:val="00F75725"/>
    <w:rsid w:val="00F7668B"/>
    <w:rsid w:val="00F76EF5"/>
    <w:rsid w:val="00F7797F"/>
    <w:rsid w:val="00F80721"/>
    <w:rsid w:val="00F838E4"/>
    <w:rsid w:val="00F867FF"/>
    <w:rsid w:val="00F96B8E"/>
    <w:rsid w:val="00FA7FAD"/>
    <w:rsid w:val="00FB2A50"/>
    <w:rsid w:val="00FB6EC9"/>
    <w:rsid w:val="00FC1B9E"/>
    <w:rsid w:val="00FC1C5C"/>
    <w:rsid w:val="00FC4253"/>
    <w:rsid w:val="00FC65C2"/>
    <w:rsid w:val="00FD36FF"/>
    <w:rsid w:val="00FD39AE"/>
    <w:rsid w:val="00FD6F60"/>
    <w:rsid w:val="00FE0AFC"/>
    <w:rsid w:val="00FE2605"/>
    <w:rsid w:val="00FE7BDD"/>
    <w:rsid w:val="00FF0675"/>
    <w:rsid w:val="00FF1044"/>
    <w:rsid w:val="00FF1293"/>
    <w:rsid w:val="00FF1B6D"/>
    <w:rsid w:val="00FF2C4C"/>
    <w:rsid w:val="00FF3091"/>
    <w:rsid w:val="00FF6771"/>
    <w:rsid w:val="00FF74AB"/>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Schoolbook" w:hAnsi="Century Schoolbook" w:eastAsiaTheme="minorHAnsi" w:cstheme="minorBidi"/>
        <w:kern w:val="2"/>
        <w:sz w:val="26"/>
        <w:szCs w:val="26"/>
        <w:lang w:val="en-US" w:eastAsia="en-US" w:bidi="ar-SA"/>
        <w14:ligatures w14:val="standardContextual"/>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8433E"/>
    <w:pPr>
      <w:keepNext/>
      <w:keepLines/>
      <w:jc w:val="center"/>
      <w:outlineLvl w:val="0"/>
    </w:pPr>
    <w:rPr>
      <w:rFonts w:eastAsiaTheme="majorEastAsia" w:cstheme="majorBidi"/>
      <w:b/>
      <w:smallCaps/>
      <w:szCs w:val="32"/>
    </w:rPr>
  </w:style>
  <w:style w:type="paragraph" w:styleId="Heading2">
    <w:name w:val="heading 2"/>
    <w:basedOn w:val="Normal"/>
    <w:next w:val="Normal"/>
    <w:link w:val="Heading2Char"/>
    <w:uiPriority w:val="9"/>
    <w:unhideWhenUsed/>
    <w:qFormat/>
    <w:rsid w:val="000F6ABC"/>
    <w:pPr>
      <w:keepNext/>
      <w:keepLines/>
      <w:numPr>
        <w:numId w:val="8"/>
      </w:numPr>
      <w:ind w:right="-720"/>
      <w:outlineLvl w:val="1"/>
    </w:pPr>
    <w:rPr>
      <w:rFonts w:eastAsiaTheme="majorEastAsia" w:cstheme="majorBidi"/>
      <w:b/>
    </w:rPr>
  </w:style>
  <w:style w:type="paragraph" w:styleId="Heading3">
    <w:name w:val="heading 3"/>
    <w:basedOn w:val="Normal"/>
    <w:next w:val="Normal"/>
    <w:link w:val="Heading3Char"/>
    <w:uiPriority w:val="9"/>
    <w:unhideWhenUsed/>
    <w:qFormat/>
    <w:rsid w:val="00030AF2"/>
    <w:pPr>
      <w:keepNext/>
      <w:keepLines/>
      <w:numPr>
        <w:numId w:val="9"/>
      </w:numPr>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030AF2"/>
    <w:pPr>
      <w:keepNext/>
      <w:keepLines/>
      <w:numPr>
        <w:numId w:val="10"/>
      </w:numPr>
      <w:outlineLvl w:val="3"/>
    </w:pPr>
    <w:rPr>
      <w:rFonts w:eastAsiaTheme="majorEastAsia" w:cstheme="majorBidi"/>
      <w:b/>
      <w:iCs/>
    </w:rPr>
  </w:style>
  <w:style w:type="paragraph" w:styleId="Heading5">
    <w:name w:val="heading 5"/>
    <w:basedOn w:val="Heading4"/>
    <w:next w:val="Normal"/>
    <w:link w:val="Heading5Char"/>
    <w:uiPriority w:val="9"/>
    <w:unhideWhenUsed/>
    <w:qFormat/>
    <w:rsid w:val="00CD5AA5"/>
    <w:pPr>
      <w:numPr>
        <w:numId w:val="12"/>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D3EC1"/>
    <w:pPr>
      <w:contextualSpacing/>
      <w:jc w:val="center"/>
    </w:pPr>
    <w:rPr>
      <w:rFonts w:eastAsiaTheme="majorEastAsia" w:cstheme="majorBidi"/>
      <w:b/>
      <w:smallCaps/>
      <w:spacing w:val="-10"/>
      <w:kern w:val="28"/>
      <w:szCs w:val="56"/>
    </w:rPr>
  </w:style>
  <w:style w:type="character" w:customStyle="1" w:styleId="TitleChar">
    <w:name w:val="Title Char"/>
    <w:basedOn w:val="DefaultParagraphFont"/>
    <w:link w:val="Title"/>
    <w:uiPriority w:val="10"/>
    <w:rsid w:val="008D3EC1"/>
    <w:rPr>
      <w:rFonts w:eastAsiaTheme="majorEastAsia" w:cstheme="majorBidi"/>
      <w:b/>
      <w:smallCaps/>
      <w:spacing w:val="-10"/>
      <w:kern w:val="28"/>
      <w:szCs w:val="56"/>
    </w:rPr>
  </w:style>
  <w:style w:type="character" w:customStyle="1" w:styleId="Heading1Char">
    <w:name w:val="Heading 1 Char"/>
    <w:basedOn w:val="DefaultParagraphFont"/>
    <w:link w:val="Heading1"/>
    <w:uiPriority w:val="9"/>
    <w:rsid w:val="00E8433E"/>
    <w:rPr>
      <w:rFonts w:eastAsiaTheme="majorEastAsia" w:cstheme="majorBidi"/>
      <w:b/>
      <w:smallCaps/>
      <w:szCs w:val="32"/>
    </w:rPr>
  </w:style>
  <w:style w:type="character" w:customStyle="1" w:styleId="Heading3Char">
    <w:name w:val="Heading 3 Char"/>
    <w:basedOn w:val="DefaultParagraphFont"/>
    <w:link w:val="Heading3"/>
    <w:uiPriority w:val="9"/>
    <w:rsid w:val="00046358"/>
    <w:rPr>
      <w:rFonts w:eastAsiaTheme="majorEastAsia" w:cstheme="majorBidi"/>
      <w:b/>
      <w:szCs w:val="24"/>
    </w:rPr>
  </w:style>
  <w:style w:type="character" w:customStyle="1" w:styleId="Heading4Char">
    <w:name w:val="Heading 4 Char"/>
    <w:basedOn w:val="DefaultParagraphFont"/>
    <w:link w:val="Heading4"/>
    <w:uiPriority w:val="9"/>
    <w:rsid w:val="00046358"/>
    <w:rPr>
      <w:rFonts w:eastAsiaTheme="majorEastAsia" w:cstheme="majorBidi"/>
      <w:b/>
      <w:iCs/>
    </w:rPr>
  </w:style>
  <w:style w:type="character" w:customStyle="1" w:styleId="Heading2Char">
    <w:name w:val="Heading 2 Char"/>
    <w:basedOn w:val="DefaultParagraphFont"/>
    <w:link w:val="Heading2"/>
    <w:uiPriority w:val="9"/>
    <w:rsid w:val="005F6321"/>
    <w:rPr>
      <w:rFonts w:eastAsiaTheme="majorEastAsia" w:cstheme="majorBidi"/>
      <w:b/>
    </w:rPr>
  </w:style>
  <w:style w:type="paragraph" w:styleId="NoSpacing">
    <w:name w:val="No Spacing"/>
    <w:uiPriority w:val="1"/>
    <w:qFormat/>
    <w:rsid w:val="00C06C3E"/>
    <w:pPr>
      <w:spacing w:line="240" w:lineRule="auto"/>
    </w:pPr>
  </w:style>
  <w:style w:type="paragraph" w:styleId="FootnoteText">
    <w:name w:val="footnote text"/>
    <w:basedOn w:val="Normal"/>
    <w:link w:val="FootnoteTextChar"/>
    <w:uiPriority w:val="99"/>
    <w:unhideWhenUsed/>
    <w:rsid w:val="00720B9E"/>
    <w:pPr>
      <w:spacing w:line="240" w:lineRule="auto"/>
    </w:pPr>
    <w:rPr>
      <w:rFonts w:ascii="Times New Roman" w:eastAsia="Times New Roman" w:hAnsi="Times New Roman" w:cs="Times New Roman"/>
      <w:kern w:val="0"/>
      <w:sz w:val="20"/>
      <w:szCs w:val="20"/>
      <w14:ligatures w14:val="none"/>
    </w:rPr>
  </w:style>
  <w:style w:type="character" w:customStyle="1" w:styleId="FootnoteTextChar">
    <w:name w:val="Footnote Text Char"/>
    <w:basedOn w:val="DefaultParagraphFont"/>
    <w:link w:val="FootnoteText"/>
    <w:uiPriority w:val="99"/>
    <w:rsid w:val="00720B9E"/>
    <w:rPr>
      <w:rFonts w:ascii="Times New Roman" w:eastAsia="Times New Roman" w:hAnsi="Times New Roman" w:cs="Times New Roman"/>
      <w:kern w:val="0"/>
      <w:sz w:val="20"/>
      <w:szCs w:val="20"/>
      <w14:ligatures w14:val="none"/>
    </w:rPr>
  </w:style>
  <w:style w:type="character" w:styleId="FootnoteReference">
    <w:name w:val="footnote reference"/>
    <w:uiPriority w:val="99"/>
    <w:semiHidden/>
    <w:unhideWhenUsed/>
    <w:rsid w:val="00720B9E"/>
    <w:rPr>
      <w:vertAlign w:val="superscript"/>
    </w:rPr>
  </w:style>
  <w:style w:type="character" w:customStyle="1" w:styleId="Heading5Char">
    <w:name w:val="Heading 5 Char"/>
    <w:basedOn w:val="DefaultParagraphFont"/>
    <w:link w:val="Heading5"/>
    <w:uiPriority w:val="9"/>
    <w:rsid w:val="00E14ACE"/>
    <w:rPr>
      <w:rFonts w:eastAsiaTheme="majorEastAsia" w:cstheme="majorBidi"/>
      <w:b/>
      <w:iCs/>
    </w:rPr>
  </w:style>
  <w:style w:type="paragraph" w:styleId="Header">
    <w:name w:val="header"/>
    <w:basedOn w:val="Normal"/>
    <w:link w:val="HeaderChar"/>
    <w:uiPriority w:val="99"/>
    <w:unhideWhenUsed/>
    <w:rsid w:val="00942A40"/>
    <w:pPr>
      <w:tabs>
        <w:tab w:val="center" w:pos="4680"/>
        <w:tab w:val="right" w:pos="9360"/>
      </w:tabs>
      <w:spacing w:line="240" w:lineRule="auto"/>
    </w:pPr>
  </w:style>
  <w:style w:type="character" w:customStyle="1" w:styleId="HeaderChar">
    <w:name w:val="Header Char"/>
    <w:basedOn w:val="DefaultParagraphFont"/>
    <w:link w:val="Header"/>
    <w:uiPriority w:val="99"/>
    <w:rsid w:val="00942A40"/>
  </w:style>
  <w:style w:type="paragraph" w:styleId="Footer">
    <w:name w:val="footer"/>
    <w:basedOn w:val="Normal"/>
    <w:link w:val="FooterChar"/>
    <w:uiPriority w:val="99"/>
    <w:unhideWhenUsed/>
    <w:rsid w:val="00942A40"/>
    <w:pPr>
      <w:tabs>
        <w:tab w:val="center" w:pos="4680"/>
        <w:tab w:val="right" w:pos="9360"/>
      </w:tabs>
      <w:spacing w:line="240" w:lineRule="auto"/>
    </w:pPr>
  </w:style>
  <w:style w:type="character" w:customStyle="1" w:styleId="FooterChar">
    <w:name w:val="Footer Char"/>
    <w:basedOn w:val="DefaultParagraphFont"/>
    <w:link w:val="Footer"/>
    <w:uiPriority w:val="99"/>
    <w:rsid w:val="00942A40"/>
  </w:style>
  <w:style w:type="paragraph" w:styleId="ListParagraph">
    <w:name w:val="List Paragraph"/>
    <w:basedOn w:val="Normal"/>
    <w:uiPriority w:val="72"/>
    <w:qFormat/>
    <w:rsid w:val="005C07AE"/>
    <w:pPr>
      <w:ind w:left="720"/>
      <w:contextualSpacing/>
    </w:pPr>
  </w:style>
  <w:style w:type="character" w:styleId="CommentReference">
    <w:name w:val="annotation reference"/>
    <w:basedOn w:val="DefaultParagraphFont"/>
    <w:uiPriority w:val="99"/>
    <w:semiHidden/>
    <w:unhideWhenUsed/>
    <w:rsid w:val="00D05363"/>
    <w:rPr>
      <w:sz w:val="16"/>
      <w:szCs w:val="16"/>
    </w:rPr>
  </w:style>
  <w:style w:type="paragraph" w:styleId="CommentText">
    <w:name w:val="annotation text"/>
    <w:basedOn w:val="Normal"/>
    <w:link w:val="CommentTextChar"/>
    <w:uiPriority w:val="99"/>
    <w:unhideWhenUsed/>
    <w:rsid w:val="00D05363"/>
    <w:pPr>
      <w:spacing w:line="240" w:lineRule="auto"/>
    </w:pPr>
    <w:rPr>
      <w:sz w:val="20"/>
      <w:szCs w:val="20"/>
    </w:rPr>
  </w:style>
  <w:style w:type="character" w:customStyle="1" w:styleId="CommentTextChar">
    <w:name w:val="Comment Text Char"/>
    <w:basedOn w:val="DefaultParagraphFont"/>
    <w:link w:val="CommentText"/>
    <w:uiPriority w:val="99"/>
    <w:rsid w:val="00D05363"/>
    <w:rPr>
      <w:sz w:val="20"/>
      <w:szCs w:val="20"/>
    </w:rPr>
  </w:style>
  <w:style w:type="paragraph" w:styleId="CommentSubject">
    <w:name w:val="annotation subject"/>
    <w:basedOn w:val="CommentText"/>
    <w:next w:val="CommentText"/>
    <w:link w:val="CommentSubjectChar"/>
    <w:uiPriority w:val="99"/>
    <w:semiHidden/>
    <w:unhideWhenUsed/>
    <w:rsid w:val="00D05363"/>
    <w:rPr>
      <w:b/>
      <w:bCs/>
    </w:rPr>
  </w:style>
  <w:style w:type="character" w:customStyle="1" w:styleId="CommentSubjectChar">
    <w:name w:val="Comment Subject Char"/>
    <w:basedOn w:val="CommentTextChar"/>
    <w:link w:val="CommentSubject"/>
    <w:uiPriority w:val="99"/>
    <w:semiHidden/>
    <w:rsid w:val="00D05363"/>
    <w:rPr>
      <w:b/>
      <w:bCs/>
      <w:sz w:val="20"/>
      <w:szCs w:val="20"/>
    </w:rPr>
  </w:style>
  <w:style w:type="paragraph" w:styleId="Revision">
    <w:name w:val="Revision"/>
    <w:hidden/>
    <w:uiPriority w:val="99"/>
    <w:semiHidden/>
    <w:rsid w:val="007326E9"/>
    <w:pPr>
      <w:spacing w:line="240" w:lineRule="auto"/>
    </w:pPr>
  </w:style>
  <w:style w:type="table" w:styleId="TableGrid">
    <w:name w:val="Table Grid"/>
    <w:basedOn w:val="TableNormal"/>
    <w:uiPriority w:val="39"/>
    <w:rsid w:val="006F181D"/>
    <w:pPr>
      <w:spacing w:line="240" w:lineRule="auto"/>
    </w:pPr>
    <w:rPr>
      <w:rFonts w:ascii="Times New Roman" w:hAnsi="Times New Roman"/>
      <w:kern w:val="0"/>
      <w:szCs w:val="22"/>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3003</Words>
  <Characters>17121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2024-03-28T19:42:29Z</dcterms:created>
  <dcterms:modified xsi:type="dcterms:W3CDTF">2024-03-28T19:42:29Z</dcterms:modified>
</cp:coreProperties>
</file>