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96B2" w14:textId="7FADCF79" w:rsidR="00E465D5" w:rsidRDefault="00E465D5" w:rsidP="00E465D5">
      <w:pPr>
        <w:tabs>
          <w:tab w:val="left" w:pos="720"/>
        </w:tabs>
        <w:spacing w:line="240" w:lineRule="auto"/>
        <w:rPr>
          <w:rFonts w:eastAsia="Times New Roman" w:cs="Times New Roman"/>
          <w:kern w:val="0"/>
          <w:sz w:val="20"/>
          <w14:ligatures w14:val="none"/>
        </w:rPr>
      </w:pPr>
      <w:r>
        <w:rPr>
          <w:rFonts w:eastAsia="Times New Roman" w:cs="Times New Roman"/>
          <w:kern w:val="0"/>
          <w:sz w:val="20"/>
          <w14:ligatures w14:val="none"/>
        </w:rPr>
        <w:t xml:space="preserve">Filed </w:t>
      </w:r>
      <w:r w:rsidR="006604E8">
        <w:rPr>
          <w:rFonts w:eastAsia="Times New Roman" w:cs="Times New Roman"/>
          <w:kern w:val="0"/>
          <w:sz w:val="20"/>
          <w14:ligatures w14:val="none"/>
        </w:rPr>
        <w:t>3/20/24</w:t>
      </w:r>
    </w:p>
    <w:p w14:paraId="33750B0F" w14:textId="6BFAACBB" w:rsidR="00E465D5" w:rsidRPr="00E465D5" w:rsidRDefault="00E465D5" w:rsidP="00E465D5">
      <w:pPr>
        <w:tabs>
          <w:tab w:val="left" w:pos="720"/>
        </w:tabs>
        <w:spacing w:line="240" w:lineRule="auto"/>
        <w:jc w:val="center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b/>
          <w:kern w:val="0"/>
          <w14:ligatures w14:val="none"/>
        </w:rPr>
        <w:t>CERTIFIED FOR PARTIAL PUBLICATION</w:t>
      </w:r>
      <w:r>
        <w:rPr>
          <w:rStyle w:val="FootnoteReference"/>
          <w:rFonts w:eastAsia="Times New Roman" w:cs="Times New Roman"/>
          <w:b/>
          <w:kern w:val="0"/>
          <w14:ligatures w14:val="none"/>
        </w:rPr>
        <w:footnoteReference w:customMarkFollows="1" w:id="2"/>
        <w:t>*</w:t>
      </w:r>
    </w:p>
    <w:p w14:paraId="31D8C5DC" w14:textId="77777777" w:rsidR="00E465D5" w:rsidRPr="00E465D5" w:rsidRDefault="00E465D5" w:rsidP="00E465D5">
      <w:pPr>
        <w:tabs>
          <w:tab w:val="left" w:pos="720"/>
        </w:tabs>
        <w:spacing w:line="240" w:lineRule="auto"/>
        <w:rPr>
          <w:rFonts w:eastAsia="Times New Roman" w:cs="Times New Roman"/>
          <w:kern w:val="0"/>
          <w:sz w:val="20"/>
          <w14:ligatures w14:val="none"/>
        </w:rPr>
      </w:pPr>
    </w:p>
    <w:p w14:paraId="4E1538E9" w14:textId="7B102782" w:rsidR="00720B9E" w:rsidRPr="00720B9E" w:rsidRDefault="00720B9E" w:rsidP="003B3423">
      <w:pPr>
        <w:tabs>
          <w:tab w:val="left" w:pos="720"/>
        </w:tabs>
        <w:spacing w:line="240" w:lineRule="auto"/>
        <w:jc w:val="center"/>
        <w:rPr>
          <w:rFonts w:eastAsia="Times New Roman" w:cs="Times New Roman"/>
          <w:kern w:val="0"/>
          <w14:ligatures w14:val="none"/>
        </w:rPr>
      </w:pPr>
      <w:r w:rsidRPr="00720B9E">
        <w:rPr>
          <w:rFonts w:eastAsia="Times New Roman" w:cs="Times New Roman"/>
          <w:kern w:val="0"/>
          <w14:ligatures w14:val="none"/>
        </w:rPr>
        <w:t>IN THE COURT OF APPEAL OF THE STATE OF CALIFORNIA</w:t>
      </w:r>
    </w:p>
    <w:p w14:paraId="1F352C39" w14:textId="77777777" w:rsidR="00720B9E" w:rsidRPr="00720B9E" w:rsidRDefault="00720B9E" w:rsidP="006E282E">
      <w:pPr>
        <w:spacing w:line="240" w:lineRule="auto"/>
        <w:jc w:val="center"/>
        <w:rPr>
          <w:rFonts w:eastAsia="Times New Roman" w:cs="Times New Roman"/>
          <w:kern w:val="0"/>
          <w14:ligatures w14:val="none"/>
        </w:rPr>
      </w:pPr>
    </w:p>
    <w:p w14:paraId="55EE378F" w14:textId="6AE11E4A" w:rsidR="00720B9E" w:rsidRPr="00720B9E" w:rsidRDefault="00D713B5" w:rsidP="00D713B5">
      <w:pPr>
        <w:tabs>
          <w:tab w:val="left" w:pos="985"/>
          <w:tab w:val="center" w:pos="4680"/>
        </w:tabs>
        <w:spacing w:line="240" w:lineRule="auto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ab/>
      </w:r>
      <w:r>
        <w:rPr>
          <w:rFonts w:eastAsia="Times New Roman" w:cs="Times New Roman"/>
          <w:kern w:val="0"/>
          <w14:ligatures w14:val="none"/>
        </w:rPr>
        <w:tab/>
      </w:r>
      <w:r w:rsidR="00720B9E" w:rsidRPr="00720B9E">
        <w:rPr>
          <w:rFonts w:eastAsia="Times New Roman" w:cs="Times New Roman"/>
          <w:kern w:val="0"/>
          <w14:ligatures w14:val="none"/>
        </w:rPr>
        <w:t>FIRST APPELLATE DISTRICT</w:t>
      </w:r>
    </w:p>
    <w:p w14:paraId="2ED65346" w14:textId="77777777" w:rsidR="00720B9E" w:rsidRPr="00720B9E" w:rsidRDefault="00720B9E" w:rsidP="006E282E">
      <w:pPr>
        <w:spacing w:line="240" w:lineRule="auto"/>
        <w:jc w:val="center"/>
        <w:rPr>
          <w:rFonts w:eastAsia="Times New Roman" w:cs="Times New Roman"/>
          <w:kern w:val="0"/>
          <w14:ligatures w14:val="none"/>
        </w:rPr>
      </w:pPr>
    </w:p>
    <w:p w14:paraId="6F45749A" w14:textId="77777777" w:rsidR="00720B9E" w:rsidRPr="00720B9E" w:rsidRDefault="00720B9E" w:rsidP="006E282E">
      <w:pPr>
        <w:spacing w:line="240" w:lineRule="auto"/>
        <w:jc w:val="center"/>
        <w:rPr>
          <w:rFonts w:eastAsia="Times New Roman" w:cs="Times New Roman"/>
          <w:kern w:val="0"/>
          <w14:ligatures w14:val="none"/>
        </w:rPr>
      </w:pPr>
      <w:r w:rsidRPr="00720B9E">
        <w:rPr>
          <w:rFonts w:eastAsia="Times New Roman" w:cs="Times New Roman"/>
          <w:kern w:val="0"/>
          <w14:ligatures w14:val="none"/>
        </w:rPr>
        <w:t>DIVISION FOUR</w:t>
      </w:r>
    </w:p>
    <w:p w14:paraId="56971F6C" w14:textId="77777777" w:rsidR="00720B9E" w:rsidRPr="00720B9E" w:rsidRDefault="00720B9E" w:rsidP="006E282E">
      <w:pPr>
        <w:spacing w:line="240" w:lineRule="auto"/>
        <w:jc w:val="center"/>
        <w:rPr>
          <w:rFonts w:eastAsia="Times New Roman" w:cs="Times New Roman"/>
          <w:kern w:val="0"/>
          <w14:ligatures w14:val="none"/>
        </w:rPr>
      </w:pPr>
    </w:p>
    <w:p w14:paraId="7E9D463A" w14:textId="77777777" w:rsidR="00720B9E" w:rsidRPr="00720B9E" w:rsidRDefault="00720B9E" w:rsidP="006E282E">
      <w:pPr>
        <w:spacing w:line="240" w:lineRule="auto"/>
        <w:jc w:val="center"/>
        <w:rPr>
          <w:rFonts w:eastAsia="Times New Roman" w:cs="Times New Roman"/>
          <w:kern w:val="0"/>
          <w14:ligatures w14:val="none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770"/>
        <w:gridCol w:w="4590"/>
      </w:tblGrid>
      <w:tr w:rsidR="00445A95" w14:paraId="367ADDF4" w14:textId="77777777" w:rsidTr="004C2ECC">
        <w:trPr>
          <w:trHeight w:val="387"/>
        </w:trPr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17CE" w14:textId="5BFC6EA5" w:rsidR="00445A95" w:rsidRPr="003C3A76" w:rsidRDefault="00340551" w:rsidP="004449AA">
            <w:pPr>
              <w:spacing w:after="120" w:line="240" w:lineRule="auto"/>
              <w:rPr>
                <w:highlight w:val="yellow"/>
              </w:rPr>
            </w:pPr>
            <w:r>
              <w:t xml:space="preserve">Conservatorship of </w:t>
            </w:r>
            <w:r w:rsidR="00E10FF0">
              <w:t xml:space="preserve">the Person of </w:t>
            </w:r>
            <w:r>
              <w:t>K.Y</w:t>
            </w:r>
            <w:r w:rsidR="00E10FF0">
              <w:t>.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shd w:val="clear" w:color="auto" w:fill="auto"/>
          </w:tcPr>
          <w:p w14:paraId="495AABBA" w14:textId="77777777" w:rsidR="00445A95" w:rsidRDefault="00445A95" w:rsidP="006E282E">
            <w:pPr>
              <w:tabs>
                <w:tab w:val="left" w:pos="346"/>
              </w:tabs>
              <w:spacing w:line="240" w:lineRule="auto"/>
            </w:pPr>
          </w:p>
        </w:tc>
      </w:tr>
      <w:tr w:rsidR="00445A95" w14:paraId="0F312703" w14:textId="77777777" w:rsidTr="00E90070">
        <w:trPr>
          <w:trHeight w:val="1752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BC40" w14:textId="46AC7793" w:rsidR="00445A95" w:rsidRDefault="00340551" w:rsidP="006E282E">
            <w:pPr>
              <w:spacing w:before="120" w:after="120" w:line="240" w:lineRule="auto"/>
            </w:pPr>
            <w:r>
              <w:t>PUBLIC GUARDIAN OF CONTRA COSTA COUNTY</w:t>
            </w:r>
            <w:r w:rsidR="00445A95">
              <w:t>,</w:t>
            </w:r>
          </w:p>
          <w:p w14:paraId="31BF983A" w14:textId="37470C87" w:rsidR="00445A95" w:rsidRDefault="00445A95" w:rsidP="006E282E">
            <w:pPr>
              <w:tabs>
                <w:tab w:val="left" w:pos="610"/>
              </w:tabs>
              <w:spacing w:after="120" w:line="240" w:lineRule="auto"/>
            </w:pPr>
            <w:r>
              <w:tab/>
            </w:r>
            <w:r w:rsidR="00E10FF0">
              <w:t>Petitioner</w:t>
            </w:r>
            <w:r>
              <w:t xml:space="preserve"> </w:t>
            </w:r>
            <w:r w:rsidRPr="009F39EC">
              <w:t>and Respondent,</w:t>
            </w:r>
          </w:p>
          <w:p w14:paraId="1E3FACA8" w14:textId="4E450007" w:rsidR="00445A95" w:rsidRDefault="00445A95" w:rsidP="006E282E">
            <w:pPr>
              <w:tabs>
                <w:tab w:val="left" w:pos="1876"/>
              </w:tabs>
              <w:spacing w:after="120" w:line="240" w:lineRule="auto"/>
              <w:ind w:hanging="14"/>
            </w:pPr>
            <w:r>
              <w:tab/>
              <w:t>v.</w:t>
            </w:r>
          </w:p>
          <w:p w14:paraId="0BCF7CBB" w14:textId="27A6F3FF" w:rsidR="00445A95" w:rsidRDefault="00340551" w:rsidP="006E282E">
            <w:pPr>
              <w:tabs>
                <w:tab w:val="left" w:pos="610"/>
              </w:tabs>
              <w:spacing w:line="240" w:lineRule="auto"/>
            </w:pPr>
            <w:r>
              <w:t>K.Y.</w:t>
            </w:r>
            <w:r w:rsidR="0018568B">
              <w:t>,</w:t>
            </w:r>
          </w:p>
          <w:p w14:paraId="31F0C14A" w14:textId="0172DEA1" w:rsidR="00445A95" w:rsidRPr="003C3A76" w:rsidRDefault="00445A95" w:rsidP="006E282E">
            <w:pPr>
              <w:tabs>
                <w:tab w:val="left" w:pos="610"/>
              </w:tabs>
              <w:spacing w:before="120" w:after="240" w:line="240" w:lineRule="auto"/>
            </w:pPr>
            <w:r>
              <w:tab/>
            </w:r>
            <w:r w:rsidR="00E10FF0">
              <w:t>Objector</w:t>
            </w:r>
            <w:r>
              <w:t xml:space="preserve"> </w:t>
            </w:r>
            <w:r w:rsidRPr="002E0F86">
              <w:t>and Appellant.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shd w:val="clear" w:color="auto" w:fill="auto"/>
          </w:tcPr>
          <w:p w14:paraId="7C3405ED" w14:textId="23B78B99" w:rsidR="00445A95" w:rsidRDefault="00445A95" w:rsidP="006E282E">
            <w:pPr>
              <w:tabs>
                <w:tab w:val="left" w:pos="346"/>
              </w:tabs>
              <w:spacing w:before="120" w:after="120" w:line="240" w:lineRule="auto"/>
            </w:pPr>
            <w:r>
              <w:tab/>
            </w:r>
            <w:r w:rsidRPr="009F39EC">
              <w:t>A16</w:t>
            </w:r>
            <w:r w:rsidR="00340551">
              <w:t>6825</w:t>
            </w:r>
          </w:p>
          <w:p w14:paraId="72D45153" w14:textId="71FAA453" w:rsidR="00445A95" w:rsidRDefault="00445A95" w:rsidP="006E282E">
            <w:pPr>
              <w:tabs>
                <w:tab w:val="left" w:pos="346"/>
              </w:tabs>
              <w:spacing w:before="240" w:line="240" w:lineRule="auto"/>
            </w:pPr>
            <w:r>
              <w:tab/>
              <w:t>(</w:t>
            </w:r>
            <w:r w:rsidR="00340551">
              <w:t>Contra Costa</w:t>
            </w:r>
            <w:r>
              <w:t xml:space="preserve"> County Super. Ct. </w:t>
            </w:r>
            <w:r>
              <w:tab/>
              <w:t>No. </w:t>
            </w:r>
            <w:r w:rsidR="00D345B6">
              <w:t>MSP22-00966</w:t>
            </w:r>
            <w:r>
              <w:t>)</w:t>
            </w:r>
          </w:p>
          <w:p w14:paraId="5640E3A6" w14:textId="77777777" w:rsidR="00445A95" w:rsidRDefault="00445A95" w:rsidP="006E282E">
            <w:pPr>
              <w:tabs>
                <w:tab w:val="left" w:pos="346"/>
              </w:tabs>
              <w:spacing w:line="240" w:lineRule="auto"/>
            </w:pPr>
          </w:p>
          <w:p w14:paraId="126A32F2" w14:textId="5E2FEB7F" w:rsidR="00445A95" w:rsidRDefault="00445A95" w:rsidP="006E282E">
            <w:pPr>
              <w:tabs>
                <w:tab w:val="left" w:pos="346"/>
              </w:tabs>
              <w:spacing w:after="120" w:line="240" w:lineRule="auto"/>
            </w:pPr>
            <w:r>
              <w:tab/>
            </w:r>
          </w:p>
        </w:tc>
      </w:tr>
    </w:tbl>
    <w:p w14:paraId="109EA9FA" w14:textId="3C39BF7C" w:rsidR="00720B9E" w:rsidRPr="00720B9E" w:rsidRDefault="0061142D" w:rsidP="006E282E">
      <w:pPr>
        <w:spacing w:before="240"/>
        <w:ind w:firstLine="720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 xml:space="preserve">K.Y. </w:t>
      </w:r>
      <w:r w:rsidR="00C76D53" w:rsidRPr="00C76D53">
        <w:rPr>
          <w:rFonts w:eastAsia="Times New Roman" w:cs="Times New Roman"/>
          <w:kern w:val="0"/>
          <w14:ligatures w14:val="none"/>
        </w:rPr>
        <w:t xml:space="preserve">appeals from an order granting the petition of the Public Guardian of Contra Costa County (Public Guardian) to establish a conservatorship for a one-year period </w:t>
      </w:r>
      <w:r w:rsidR="00131687">
        <w:rPr>
          <w:rFonts w:eastAsia="Times New Roman" w:cs="Times New Roman"/>
          <w:kern w:val="0"/>
          <w14:ligatures w14:val="none"/>
        </w:rPr>
        <w:t>under</w:t>
      </w:r>
      <w:r w:rsidR="00C76D53" w:rsidRPr="00C76D53">
        <w:rPr>
          <w:rFonts w:eastAsia="Times New Roman" w:cs="Times New Roman"/>
          <w:kern w:val="0"/>
          <w14:ligatures w14:val="none"/>
        </w:rPr>
        <w:t xml:space="preserve"> the Lanterman-Petris-Short Act (Welf. &amp; Inst. Code, §</w:t>
      </w:r>
      <w:r w:rsidR="005F6285">
        <w:rPr>
          <w:rFonts w:eastAsia="Times New Roman" w:cs="Times New Roman"/>
          <w:kern w:val="0"/>
          <w14:ligatures w14:val="none"/>
        </w:rPr>
        <w:t> </w:t>
      </w:r>
      <w:r w:rsidR="00C76D53" w:rsidRPr="00C76D53">
        <w:rPr>
          <w:rFonts w:eastAsia="Times New Roman" w:cs="Times New Roman"/>
          <w:kern w:val="0"/>
          <w14:ligatures w14:val="none"/>
        </w:rPr>
        <w:t>5000 et seq.)</w:t>
      </w:r>
      <w:r w:rsidR="00625A02">
        <w:rPr>
          <w:rFonts w:eastAsia="Times New Roman" w:cs="Times New Roman"/>
          <w:kern w:val="0"/>
          <w14:ligatures w14:val="none"/>
        </w:rPr>
        <w:t xml:space="preserve"> (LPS Act)</w:t>
      </w:r>
      <w:r w:rsidR="00E56ECC">
        <w:rPr>
          <w:rFonts w:eastAsia="Times New Roman" w:cs="Times New Roman"/>
          <w:kern w:val="0"/>
          <w14:ligatures w14:val="none"/>
        </w:rPr>
        <w:t>.</w:t>
      </w:r>
      <w:r w:rsidR="00E56ECC">
        <w:rPr>
          <w:rStyle w:val="FootnoteReference"/>
          <w:rFonts w:eastAsia="Times New Roman" w:cs="Times New Roman"/>
          <w:kern w:val="0"/>
          <w14:ligatures w14:val="none"/>
        </w:rPr>
        <w:footnoteReference w:id="3"/>
      </w:r>
      <w:r w:rsidR="00C76D53" w:rsidRPr="00C76D53">
        <w:rPr>
          <w:rFonts w:eastAsia="Times New Roman" w:cs="Times New Roman"/>
          <w:kern w:val="0"/>
          <w14:ligatures w14:val="none"/>
        </w:rPr>
        <w:t xml:space="preserve"> </w:t>
      </w:r>
      <w:r w:rsidR="00E059D4">
        <w:rPr>
          <w:rFonts w:eastAsia="Times New Roman" w:cs="Times New Roman"/>
          <w:kern w:val="0"/>
          <w14:ligatures w14:val="none"/>
        </w:rPr>
        <w:t xml:space="preserve"> </w:t>
      </w:r>
      <w:r w:rsidR="00E56ECC">
        <w:rPr>
          <w:rFonts w:eastAsia="Times New Roman" w:cs="Times New Roman"/>
          <w:kern w:val="0"/>
          <w14:ligatures w14:val="none"/>
        </w:rPr>
        <w:t>She</w:t>
      </w:r>
      <w:r w:rsidR="00C76D53" w:rsidRPr="00C76D53">
        <w:rPr>
          <w:rFonts w:eastAsia="Times New Roman" w:cs="Times New Roman"/>
          <w:kern w:val="0"/>
          <w14:ligatures w14:val="none"/>
        </w:rPr>
        <w:t xml:space="preserve"> challenges th</w:t>
      </w:r>
      <w:r w:rsidR="005D0254">
        <w:rPr>
          <w:rFonts w:eastAsia="Times New Roman" w:cs="Times New Roman"/>
          <w:kern w:val="0"/>
          <w14:ligatures w14:val="none"/>
        </w:rPr>
        <w:t xml:space="preserve">e sufficiency of the evidence in support of </w:t>
      </w:r>
      <w:r w:rsidR="00D97338">
        <w:rPr>
          <w:rFonts w:eastAsia="Times New Roman" w:cs="Times New Roman"/>
          <w:kern w:val="0"/>
          <w14:ligatures w14:val="none"/>
        </w:rPr>
        <w:t>th</w:t>
      </w:r>
      <w:r w:rsidR="00836CD0">
        <w:rPr>
          <w:rFonts w:eastAsia="Times New Roman" w:cs="Times New Roman"/>
          <w:kern w:val="0"/>
          <w14:ligatures w14:val="none"/>
        </w:rPr>
        <w:t xml:space="preserve">e jury’s finding that she is gravely disabled </w:t>
      </w:r>
      <w:r w:rsidR="005D0254">
        <w:rPr>
          <w:rFonts w:eastAsia="Times New Roman" w:cs="Times New Roman"/>
          <w:kern w:val="0"/>
          <w14:ligatures w14:val="none"/>
        </w:rPr>
        <w:t xml:space="preserve">and </w:t>
      </w:r>
      <w:r w:rsidR="00836CD0">
        <w:rPr>
          <w:rFonts w:eastAsia="Times New Roman" w:cs="Times New Roman"/>
          <w:kern w:val="0"/>
          <w14:ligatures w14:val="none"/>
        </w:rPr>
        <w:t xml:space="preserve">the court’s </w:t>
      </w:r>
      <w:r w:rsidR="00B5016C">
        <w:rPr>
          <w:rFonts w:eastAsia="Times New Roman" w:cs="Times New Roman"/>
          <w:kern w:val="0"/>
          <w14:ligatures w14:val="none"/>
        </w:rPr>
        <w:t xml:space="preserve">order permitting the </w:t>
      </w:r>
      <w:r w:rsidR="00B5016C" w:rsidRPr="00EC3216">
        <w:t>Public Guardian to make medical decisions on h</w:t>
      </w:r>
      <w:r w:rsidR="00B5016C">
        <w:t xml:space="preserve">er </w:t>
      </w:r>
      <w:r w:rsidR="00B5016C" w:rsidRPr="00EC3216">
        <w:t>behalf</w:t>
      </w:r>
      <w:r w:rsidR="005D0254">
        <w:rPr>
          <w:rFonts w:eastAsia="Times New Roman" w:cs="Times New Roman"/>
          <w:kern w:val="0"/>
          <w14:ligatures w14:val="none"/>
        </w:rPr>
        <w:t xml:space="preserve">. </w:t>
      </w:r>
      <w:r w:rsidR="001809E1">
        <w:rPr>
          <w:rFonts w:eastAsia="Times New Roman" w:cs="Times New Roman"/>
          <w:kern w:val="0"/>
          <w14:ligatures w14:val="none"/>
        </w:rPr>
        <w:t xml:space="preserve"> </w:t>
      </w:r>
      <w:r w:rsidR="005D0254">
        <w:rPr>
          <w:rFonts w:eastAsia="Times New Roman" w:cs="Times New Roman"/>
          <w:kern w:val="0"/>
          <w14:ligatures w14:val="none"/>
        </w:rPr>
        <w:t xml:space="preserve">She also contends that </w:t>
      </w:r>
      <w:r w:rsidR="00C76D53" w:rsidRPr="00C76D53">
        <w:rPr>
          <w:rFonts w:eastAsia="Times New Roman" w:cs="Times New Roman"/>
          <w:kern w:val="0"/>
          <w14:ligatures w14:val="none"/>
        </w:rPr>
        <w:t>the trial court erred in admitting</w:t>
      </w:r>
      <w:r w:rsidR="00DF2FA9">
        <w:rPr>
          <w:rFonts w:eastAsia="Times New Roman" w:cs="Times New Roman"/>
          <w:kern w:val="0"/>
          <w14:ligatures w14:val="none"/>
        </w:rPr>
        <w:t xml:space="preserve"> at trial</w:t>
      </w:r>
      <w:r w:rsidR="00C76D53" w:rsidRPr="00C76D53">
        <w:rPr>
          <w:rFonts w:eastAsia="Times New Roman" w:cs="Times New Roman"/>
          <w:kern w:val="0"/>
          <w14:ligatures w14:val="none"/>
        </w:rPr>
        <w:t xml:space="preserve"> hearsay </w:t>
      </w:r>
      <w:r w:rsidR="00225E84">
        <w:rPr>
          <w:rFonts w:eastAsia="Times New Roman" w:cs="Times New Roman"/>
          <w:kern w:val="0"/>
          <w14:ligatures w14:val="none"/>
        </w:rPr>
        <w:t xml:space="preserve">statements </w:t>
      </w:r>
      <w:r w:rsidR="00214C59">
        <w:rPr>
          <w:rFonts w:eastAsia="Times New Roman" w:cs="Times New Roman"/>
          <w:kern w:val="0"/>
          <w14:ligatures w14:val="none"/>
        </w:rPr>
        <w:t>contained within psychiatric records</w:t>
      </w:r>
      <w:r w:rsidR="00C76D53" w:rsidRPr="00C76D53">
        <w:rPr>
          <w:rFonts w:eastAsia="Times New Roman" w:cs="Times New Roman"/>
          <w:kern w:val="0"/>
          <w14:ligatures w14:val="none"/>
        </w:rPr>
        <w:t>.</w:t>
      </w:r>
      <w:r w:rsidR="00DF2FA9">
        <w:rPr>
          <w:rFonts w:eastAsia="Times New Roman" w:cs="Times New Roman"/>
          <w:kern w:val="0"/>
          <w14:ligatures w14:val="none"/>
        </w:rPr>
        <w:t xml:space="preserve"> </w:t>
      </w:r>
      <w:r w:rsidR="00B73EC4">
        <w:rPr>
          <w:rFonts w:eastAsia="Times New Roman" w:cs="Times New Roman"/>
          <w:kern w:val="0"/>
          <w14:ligatures w14:val="none"/>
        </w:rPr>
        <w:t xml:space="preserve"> </w:t>
      </w:r>
      <w:r w:rsidR="00CF6440">
        <w:rPr>
          <w:rFonts w:eastAsia="Times New Roman" w:cs="Times New Roman"/>
          <w:kern w:val="0"/>
          <w14:ligatures w14:val="none"/>
        </w:rPr>
        <w:t xml:space="preserve">We dismiss the appeal as moot </w:t>
      </w:r>
      <w:r w:rsidR="00A4366A">
        <w:rPr>
          <w:rFonts w:eastAsia="Times New Roman" w:cs="Times New Roman"/>
          <w:kern w:val="0"/>
          <w14:ligatures w14:val="none"/>
        </w:rPr>
        <w:t>b</w:t>
      </w:r>
      <w:r w:rsidR="00704FEC" w:rsidRPr="00704FEC">
        <w:rPr>
          <w:rFonts w:eastAsia="Times New Roman" w:cs="Times New Roman"/>
          <w:kern w:val="0"/>
          <w14:ligatures w14:val="none"/>
        </w:rPr>
        <w:t xml:space="preserve">ecause the order appealed from expired even before briefing was complete </w:t>
      </w:r>
      <w:r w:rsidR="00704FEC">
        <w:rPr>
          <w:rFonts w:eastAsia="Times New Roman" w:cs="Times New Roman"/>
          <w:kern w:val="0"/>
          <w14:ligatures w14:val="none"/>
        </w:rPr>
        <w:t xml:space="preserve">and </w:t>
      </w:r>
      <w:r w:rsidR="00A4366A">
        <w:rPr>
          <w:rFonts w:eastAsia="Times New Roman" w:cs="Times New Roman"/>
          <w:kern w:val="0"/>
          <w14:ligatures w14:val="none"/>
        </w:rPr>
        <w:t xml:space="preserve">we find that </w:t>
      </w:r>
      <w:r w:rsidR="00704FEC">
        <w:rPr>
          <w:rFonts w:eastAsia="Times New Roman" w:cs="Times New Roman"/>
          <w:kern w:val="0"/>
          <w14:ligatures w14:val="none"/>
        </w:rPr>
        <w:t>no exception to the mootness doctrine applies</w:t>
      </w:r>
      <w:r w:rsidR="00B73EC4" w:rsidRPr="00B73EC4">
        <w:rPr>
          <w:rFonts w:eastAsia="Times New Roman" w:cs="Times New Roman"/>
          <w:kern w:val="0"/>
          <w14:ligatures w14:val="none"/>
        </w:rPr>
        <w:t>.</w:t>
      </w:r>
      <w:r w:rsidR="003A54CE">
        <w:rPr>
          <w:rFonts w:eastAsia="Times New Roman" w:cs="Times New Roman"/>
          <w:kern w:val="0"/>
          <w14:ligatures w14:val="none"/>
        </w:rPr>
        <w:t xml:space="preserve">  </w:t>
      </w:r>
      <w:r w:rsidR="00681F83">
        <w:rPr>
          <w:rFonts w:eastAsia="Times New Roman" w:cs="Times New Roman"/>
          <w:kern w:val="0"/>
          <w14:ligatures w14:val="none"/>
        </w:rPr>
        <w:lastRenderedPageBreak/>
        <w:t>B</w:t>
      </w:r>
      <w:r w:rsidR="00E03C5C">
        <w:rPr>
          <w:rFonts w:eastAsia="Times New Roman" w:cs="Times New Roman"/>
          <w:kern w:val="0"/>
          <w14:ligatures w14:val="none"/>
        </w:rPr>
        <w:t xml:space="preserve">ecause </w:t>
      </w:r>
      <w:r w:rsidR="0074661A">
        <w:rPr>
          <w:rFonts w:eastAsia="Times New Roman" w:cs="Times New Roman"/>
          <w:kern w:val="0"/>
          <w14:ligatures w14:val="none"/>
        </w:rPr>
        <w:t xml:space="preserve">it appears that the appeal likely </w:t>
      </w:r>
      <w:r w:rsidR="004458E4">
        <w:rPr>
          <w:rFonts w:eastAsia="Times New Roman" w:cs="Times New Roman"/>
          <w:kern w:val="0"/>
          <w14:ligatures w14:val="none"/>
        </w:rPr>
        <w:t xml:space="preserve">would </w:t>
      </w:r>
      <w:r w:rsidR="0074661A">
        <w:rPr>
          <w:rFonts w:eastAsia="Times New Roman" w:cs="Times New Roman"/>
          <w:kern w:val="0"/>
          <w14:ligatures w14:val="none"/>
        </w:rPr>
        <w:t xml:space="preserve">not have become moot </w:t>
      </w:r>
      <w:r w:rsidR="00B62379">
        <w:rPr>
          <w:rFonts w:eastAsia="Times New Roman" w:cs="Times New Roman"/>
          <w:kern w:val="0"/>
          <w14:ligatures w14:val="none"/>
        </w:rPr>
        <w:t>had the parties not obtained</w:t>
      </w:r>
      <w:r w:rsidR="0074661A">
        <w:rPr>
          <w:rFonts w:eastAsia="Times New Roman" w:cs="Times New Roman"/>
          <w:kern w:val="0"/>
          <w14:ligatures w14:val="none"/>
        </w:rPr>
        <w:t xml:space="preserve"> </w:t>
      </w:r>
      <w:r w:rsidR="00460506">
        <w:rPr>
          <w:rFonts w:eastAsia="Times New Roman" w:cs="Times New Roman"/>
          <w:kern w:val="0"/>
          <w14:ligatures w14:val="none"/>
        </w:rPr>
        <w:t>several</w:t>
      </w:r>
      <w:r w:rsidR="0074661A">
        <w:rPr>
          <w:rFonts w:eastAsia="Times New Roman" w:cs="Times New Roman"/>
          <w:kern w:val="0"/>
          <w14:ligatures w14:val="none"/>
        </w:rPr>
        <w:t xml:space="preserve"> extensions of time</w:t>
      </w:r>
      <w:r w:rsidR="00020481">
        <w:rPr>
          <w:rFonts w:eastAsia="Times New Roman" w:cs="Times New Roman"/>
          <w:kern w:val="0"/>
          <w14:ligatures w14:val="none"/>
        </w:rPr>
        <w:t xml:space="preserve"> in the briefing schedule, </w:t>
      </w:r>
      <w:r w:rsidR="00E16DF2">
        <w:rPr>
          <w:rFonts w:eastAsia="Times New Roman" w:cs="Times New Roman"/>
          <w:kern w:val="0"/>
          <w14:ligatures w14:val="none"/>
        </w:rPr>
        <w:t xml:space="preserve">we also take </w:t>
      </w:r>
      <w:r w:rsidR="00C34E61">
        <w:rPr>
          <w:rFonts w:eastAsia="Times New Roman" w:cs="Times New Roman"/>
          <w:kern w:val="0"/>
          <w14:ligatures w14:val="none"/>
        </w:rPr>
        <w:t>the</w:t>
      </w:r>
      <w:r w:rsidR="00E16DF2">
        <w:rPr>
          <w:rFonts w:eastAsia="Times New Roman" w:cs="Times New Roman"/>
          <w:kern w:val="0"/>
          <w14:ligatures w14:val="none"/>
        </w:rPr>
        <w:t xml:space="preserve"> opportunity </w:t>
      </w:r>
      <w:r w:rsidR="000E11FB">
        <w:rPr>
          <w:rFonts w:eastAsia="Times New Roman" w:cs="Times New Roman"/>
          <w:kern w:val="0"/>
          <w14:ligatures w14:val="none"/>
        </w:rPr>
        <w:t xml:space="preserve">in the published portion of </w:t>
      </w:r>
      <w:r w:rsidR="00C24A21">
        <w:rPr>
          <w:rFonts w:eastAsia="Times New Roman" w:cs="Times New Roman"/>
          <w:kern w:val="0"/>
          <w14:ligatures w14:val="none"/>
        </w:rPr>
        <w:t xml:space="preserve">the opinion </w:t>
      </w:r>
      <w:r w:rsidR="00031A50">
        <w:rPr>
          <w:rFonts w:eastAsia="Times New Roman" w:cs="Times New Roman"/>
          <w:kern w:val="0"/>
          <w14:ligatures w14:val="none"/>
        </w:rPr>
        <w:t xml:space="preserve">to </w:t>
      </w:r>
      <w:r w:rsidR="001D0C05">
        <w:rPr>
          <w:rFonts w:eastAsia="Times New Roman" w:cs="Times New Roman"/>
          <w:kern w:val="0"/>
          <w14:ligatures w14:val="none"/>
        </w:rPr>
        <w:t xml:space="preserve">address </w:t>
      </w:r>
      <w:r w:rsidR="002F1EFE">
        <w:rPr>
          <w:rFonts w:eastAsia="Times New Roman" w:cs="Times New Roman"/>
          <w:kern w:val="0"/>
          <w14:ligatures w14:val="none"/>
        </w:rPr>
        <w:t>considerations</w:t>
      </w:r>
      <w:r w:rsidR="00CB14F3">
        <w:rPr>
          <w:rFonts w:eastAsia="Times New Roman" w:cs="Times New Roman"/>
          <w:kern w:val="0"/>
          <w14:ligatures w14:val="none"/>
        </w:rPr>
        <w:t xml:space="preserve"> </w:t>
      </w:r>
      <w:r w:rsidR="009615F9">
        <w:rPr>
          <w:rFonts w:eastAsia="Times New Roman" w:cs="Times New Roman"/>
          <w:kern w:val="0"/>
          <w14:ligatures w14:val="none"/>
        </w:rPr>
        <w:t>for</w:t>
      </w:r>
      <w:r w:rsidR="00CB14F3">
        <w:rPr>
          <w:rFonts w:eastAsia="Times New Roman" w:cs="Times New Roman"/>
          <w:kern w:val="0"/>
          <w14:ligatures w14:val="none"/>
        </w:rPr>
        <w:t xml:space="preserve"> the </w:t>
      </w:r>
      <w:r w:rsidR="00C34E61">
        <w:rPr>
          <w:rFonts w:eastAsia="Times New Roman" w:cs="Times New Roman"/>
          <w:kern w:val="0"/>
          <w14:ligatures w14:val="none"/>
        </w:rPr>
        <w:t>expeditious</w:t>
      </w:r>
      <w:r w:rsidR="00F263AD">
        <w:rPr>
          <w:rFonts w:eastAsia="Times New Roman" w:cs="Times New Roman"/>
          <w:kern w:val="0"/>
          <w14:ligatures w14:val="none"/>
        </w:rPr>
        <w:t xml:space="preserve"> presentation</w:t>
      </w:r>
      <w:r w:rsidR="00CB14F3">
        <w:rPr>
          <w:rFonts w:eastAsia="Times New Roman" w:cs="Times New Roman"/>
          <w:kern w:val="0"/>
          <w14:ligatures w14:val="none"/>
        </w:rPr>
        <w:t xml:space="preserve"> of appeals</w:t>
      </w:r>
      <w:r w:rsidR="00CA2127">
        <w:rPr>
          <w:rFonts w:eastAsia="Times New Roman" w:cs="Times New Roman"/>
          <w:kern w:val="0"/>
          <w14:ligatures w14:val="none"/>
        </w:rPr>
        <w:t xml:space="preserve"> in conservatorship </w:t>
      </w:r>
      <w:r w:rsidR="004B461D">
        <w:rPr>
          <w:rFonts w:eastAsia="Times New Roman" w:cs="Times New Roman"/>
          <w:kern w:val="0"/>
          <w14:ligatures w14:val="none"/>
        </w:rPr>
        <w:t xml:space="preserve">and other similar </w:t>
      </w:r>
      <w:r w:rsidR="007767D2">
        <w:rPr>
          <w:rFonts w:eastAsia="Times New Roman" w:cs="Times New Roman"/>
          <w:kern w:val="0"/>
          <w14:ligatures w14:val="none"/>
        </w:rPr>
        <w:t>cases</w:t>
      </w:r>
      <w:r w:rsidR="00CA2127">
        <w:rPr>
          <w:rFonts w:eastAsia="Times New Roman" w:cs="Times New Roman"/>
          <w:kern w:val="0"/>
          <w14:ligatures w14:val="none"/>
        </w:rPr>
        <w:t xml:space="preserve"> </w:t>
      </w:r>
      <w:r w:rsidR="004D1D3B">
        <w:rPr>
          <w:rFonts w:eastAsia="Times New Roman" w:cs="Times New Roman"/>
          <w:kern w:val="0"/>
          <w14:ligatures w14:val="none"/>
        </w:rPr>
        <w:t>that involve</w:t>
      </w:r>
      <w:r w:rsidR="00D327AE">
        <w:rPr>
          <w:rFonts w:eastAsia="Times New Roman" w:cs="Times New Roman"/>
          <w:kern w:val="0"/>
          <w14:ligatures w14:val="none"/>
        </w:rPr>
        <w:t xml:space="preserve"> an</w:t>
      </w:r>
      <w:r w:rsidR="004B461D">
        <w:rPr>
          <w:rFonts w:eastAsia="Times New Roman" w:cs="Times New Roman"/>
          <w:kern w:val="0"/>
          <w14:ligatures w14:val="none"/>
        </w:rPr>
        <w:t xml:space="preserve"> inherent</w:t>
      </w:r>
      <w:r w:rsidR="00CA2127">
        <w:rPr>
          <w:rFonts w:eastAsia="Times New Roman" w:cs="Times New Roman"/>
          <w:kern w:val="0"/>
          <w14:ligatures w14:val="none"/>
        </w:rPr>
        <w:t xml:space="preserve"> risk of mootness</w:t>
      </w:r>
      <w:r w:rsidR="00387CB0">
        <w:rPr>
          <w:rFonts w:eastAsia="Times New Roman" w:cs="Times New Roman"/>
          <w:kern w:val="0"/>
          <w14:ligatures w14:val="none"/>
        </w:rPr>
        <w:t>.</w:t>
      </w:r>
      <w:r w:rsidR="00CA2127">
        <w:rPr>
          <w:rFonts w:eastAsia="Times New Roman" w:cs="Times New Roman"/>
          <w:kern w:val="0"/>
          <w14:ligatures w14:val="none"/>
        </w:rPr>
        <w:t xml:space="preserve"> </w:t>
      </w:r>
      <w:r w:rsidR="00923E07">
        <w:rPr>
          <w:rFonts w:eastAsia="Times New Roman" w:cs="Times New Roman"/>
          <w:kern w:val="0"/>
          <w14:ligatures w14:val="none"/>
        </w:rPr>
        <w:t xml:space="preserve"> </w:t>
      </w:r>
    </w:p>
    <w:p w14:paraId="248076C3" w14:textId="3724918E" w:rsidR="00046358" w:rsidRDefault="00046358" w:rsidP="00F620C5">
      <w:pPr>
        <w:pStyle w:val="Heading1"/>
      </w:pPr>
      <w:bookmarkStart w:id="0" w:name="_Hlk154133216"/>
      <w:r>
        <w:t>Background</w:t>
      </w:r>
    </w:p>
    <w:p w14:paraId="402D3042" w14:textId="6F6A5667" w:rsidR="00D47BA7" w:rsidRDefault="00EC3216" w:rsidP="007F273C">
      <w:pPr>
        <w:ind w:firstLine="720"/>
      </w:pPr>
      <w:r>
        <w:t>On December 9, 2022</w:t>
      </w:r>
      <w:r w:rsidRPr="00EC3216">
        <w:t xml:space="preserve">, </w:t>
      </w:r>
      <w:r w:rsidR="00CB1772">
        <w:t>following a trial at which a jury found K.Y. to be gravel</w:t>
      </w:r>
      <w:r w:rsidR="00803E1C">
        <w:t>y</w:t>
      </w:r>
      <w:r w:rsidR="00CB1772">
        <w:t xml:space="preserve"> disabled within the meaning of then section</w:t>
      </w:r>
      <w:r w:rsidR="007B7530">
        <w:t> </w:t>
      </w:r>
      <w:r w:rsidR="00D91A5B" w:rsidRPr="00D91A5B">
        <w:t>5008</w:t>
      </w:r>
      <w:r w:rsidR="008D74B9">
        <w:t>, subdivision</w:t>
      </w:r>
      <w:r w:rsidR="007B7530">
        <w:t> </w:t>
      </w:r>
      <w:r w:rsidR="00D91A5B" w:rsidRPr="00D91A5B">
        <w:t>(h)(1)(A)</w:t>
      </w:r>
      <w:r w:rsidR="009F3F7C">
        <w:t xml:space="preserve">, </w:t>
      </w:r>
      <w:r w:rsidRPr="00EC3216">
        <w:t xml:space="preserve">the trial court appointed the Public Guardian as conservator of </w:t>
      </w:r>
      <w:r w:rsidR="00CB1772">
        <w:t>K.Y’s</w:t>
      </w:r>
      <w:r w:rsidRPr="00EC3216">
        <w:t xml:space="preserve"> person</w:t>
      </w:r>
      <w:r w:rsidR="009F3F7C">
        <w:t>, placed her in a board and care facility</w:t>
      </w:r>
      <w:r w:rsidR="00972836">
        <w:t>,</w:t>
      </w:r>
      <w:r w:rsidR="009F3F7C">
        <w:t xml:space="preserve"> </w:t>
      </w:r>
      <w:r w:rsidRPr="00EC3216">
        <w:t>and empowered the Public Guardian to make medical decisions on h</w:t>
      </w:r>
      <w:r w:rsidR="009F3F7C">
        <w:t xml:space="preserve">er </w:t>
      </w:r>
      <w:r w:rsidRPr="00EC3216">
        <w:t>behalf.</w:t>
      </w:r>
      <w:r w:rsidR="00A70DDD" w:rsidRPr="00A70DDD">
        <w:rPr>
          <w:rStyle w:val="FootnoteReference"/>
        </w:rPr>
        <w:t xml:space="preserve"> </w:t>
      </w:r>
      <w:r w:rsidR="00A70DDD">
        <w:rPr>
          <w:rStyle w:val="FootnoteReference"/>
        </w:rPr>
        <w:footnoteReference w:id="4"/>
      </w:r>
      <w:r w:rsidR="009D532A">
        <w:t xml:space="preserve"> </w:t>
      </w:r>
      <w:r w:rsidR="00D47BA7">
        <w:t xml:space="preserve"> </w:t>
      </w:r>
    </w:p>
    <w:p w14:paraId="28B23F33" w14:textId="1E16E260" w:rsidR="00197479" w:rsidRDefault="00D47BA7" w:rsidP="007F273C">
      <w:pPr>
        <w:ind w:firstLine="720"/>
      </w:pPr>
      <w:r>
        <w:t>K.Y. timely filed a notice of appeal</w:t>
      </w:r>
      <w:r w:rsidR="00997B18">
        <w:t xml:space="preserve"> on December</w:t>
      </w:r>
      <w:r w:rsidR="00491A38">
        <w:t> </w:t>
      </w:r>
      <w:r w:rsidR="00997B18">
        <w:t>13, 2022</w:t>
      </w:r>
      <w:r w:rsidR="009C1C0B">
        <w:t xml:space="preserve">. </w:t>
      </w:r>
      <w:r w:rsidR="002F1853">
        <w:t xml:space="preserve"> </w:t>
      </w:r>
      <w:r w:rsidR="00131A3F">
        <w:t>Appellate C</w:t>
      </w:r>
      <w:r w:rsidR="009C1C0B">
        <w:t xml:space="preserve">ounsel </w:t>
      </w:r>
      <w:r w:rsidR="00131A3F">
        <w:t xml:space="preserve">was appointed </w:t>
      </w:r>
      <w:r w:rsidR="009C1C0B">
        <w:t xml:space="preserve">on </w:t>
      </w:r>
      <w:r w:rsidR="005B53EB">
        <w:t>January</w:t>
      </w:r>
      <w:r w:rsidR="00491A38">
        <w:t> </w:t>
      </w:r>
      <w:r w:rsidR="005B53EB">
        <w:t>24, 2023</w:t>
      </w:r>
      <w:r w:rsidR="00AE7A19">
        <w:t>,</w:t>
      </w:r>
      <w:r w:rsidR="009C1C0B">
        <w:t xml:space="preserve"> and the record </w:t>
      </w:r>
      <w:r w:rsidR="005B53EB">
        <w:t xml:space="preserve">on appeal </w:t>
      </w:r>
      <w:r w:rsidR="009C1C0B">
        <w:t xml:space="preserve">was filed in this court </w:t>
      </w:r>
      <w:r w:rsidR="005B53EB">
        <w:t>on</w:t>
      </w:r>
      <w:r w:rsidR="009C1C0B">
        <w:t xml:space="preserve"> March</w:t>
      </w:r>
      <w:r w:rsidR="00491A38">
        <w:t> </w:t>
      </w:r>
      <w:r w:rsidR="009C1C0B">
        <w:t xml:space="preserve">9. </w:t>
      </w:r>
      <w:r w:rsidR="002F1853">
        <w:t xml:space="preserve"> </w:t>
      </w:r>
      <w:r w:rsidR="00496D61">
        <w:t xml:space="preserve">K.Y. </w:t>
      </w:r>
      <w:r w:rsidR="00972836">
        <w:t xml:space="preserve">sought and </w:t>
      </w:r>
      <w:r w:rsidR="00496D61">
        <w:t xml:space="preserve">received </w:t>
      </w:r>
      <w:r w:rsidR="00E177AC">
        <w:t>three extensions of time</w:t>
      </w:r>
      <w:r w:rsidR="002449E7">
        <w:t xml:space="preserve"> for a total 94</w:t>
      </w:r>
      <w:r w:rsidR="00491A38">
        <w:t> </w:t>
      </w:r>
      <w:r w:rsidR="002449E7">
        <w:t>days</w:t>
      </w:r>
      <w:r w:rsidR="00E177AC">
        <w:t xml:space="preserve">, </w:t>
      </w:r>
      <w:r w:rsidR="00496D61">
        <w:t xml:space="preserve">before filing her </w:t>
      </w:r>
      <w:r w:rsidR="005B53EB">
        <w:t xml:space="preserve">opening brief </w:t>
      </w:r>
      <w:r w:rsidR="00473E81">
        <w:t>on</w:t>
      </w:r>
      <w:r w:rsidR="005B53EB">
        <w:t xml:space="preserve"> September</w:t>
      </w:r>
      <w:r w:rsidR="00491A38">
        <w:t> </w:t>
      </w:r>
      <w:r w:rsidR="005B53EB">
        <w:t>7</w:t>
      </w:r>
      <w:r w:rsidR="00E177AC">
        <w:t xml:space="preserve">. </w:t>
      </w:r>
      <w:r w:rsidR="002F1853">
        <w:t xml:space="preserve"> </w:t>
      </w:r>
      <w:r w:rsidR="00E177AC">
        <w:t xml:space="preserve">After </w:t>
      </w:r>
      <w:r w:rsidR="00910732">
        <w:t>receiving two extensions of time</w:t>
      </w:r>
      <w:r w:rsidR="002449E7">
        <w:t xml:space="preserve"> for a total of 28</w:t>
      </w:r>
      <w:r w:rsidR="00491A38">
        <w:t> </w:t>
      </w:r>
      <w:r w:rsidR="002449E7">
        <w:t>days</w:t>
      </w:r>
      <w:r w:rsidR="00910732">
        <w:t>, the Public Guardian’s brief was filed on November</w:t>
      </w:r>
      <w:r w:rsidR="00491A38">
        <w:t> </w:t>
      </w:r>
      <w:r w:rsidR="00910732">
        <w:t>30</w:t>
      </w:r>
      <w:r w:rsidR="00704FEC">
        <w:t xml:space="preserve">, less than two weeks before </w:t>
      </w:r>
      <w:r w:rsidR="00E1413D">
        <w:t xml:space="preserve">the </w:t>
      </w:r>
      <w:r w:rsidR="00704FEC">
        <w:t xml:space="preserve">expiration of </w:t>
      </w:r>
      <w:r w:rsidR="00704FEC">
        <w:lastRenderedPageBreak/>
        <w:t xml:space="preserve">the </w:t>
      </w:r>
      <w:r w:rsidR="00D83F3A">
        <w:t>conservatorship order</w:t>
      </w:r>
      <w:r w:rsidR="00910732">
        <w:t>.</w:t>
      </w:r>
      <w:r w:rsidR="00D83F3A">
        <w:t xml:space="preserve"> </w:t>
      </w:r>
      <w:r w:rsidR="002F1853">
        <w:t xml:space="preserve"> </w:t>
      </w:r>
      <w:r w:rsidR="00D83F3A">
        <w:t>On January</w:t>
      </w:r>
      <w:r w:rsidR="00491A38">
        <w:t> </w:t>
      </w:r>
      <w:r w:rsidR="00D83F3A">
        <w:t xml:space="preserve">19, 2024, after receiving </w:t>
      </w:r>
      <w:r w:rsidR="00197479">
        <w:t xml:space="preserve">an additional </w:t>
      </w:r>
      <w:r w:rsidR="00192E1C">
        <w:t xml:space="preserve">30-day </w:t>
      </w:r>
      <w:r w:rsidR="00197479">
        <w:t xml:space="preserve">extension, K.Y.’s reply brief was filed. </w:t>
      </w:r>
    </w:p>
    <w:p w14:paraId="765D5626" w14:textId="7AA93886" w:rsidR="00281A37" w:rsidRDefault="00DA3C38" w:rsidP="00281A37">
      <w:pPr>
        <w:ind w:firstLine="720"/>
      </w:pPr>
      <w:r>
        <w:t>None of the parties</w:t>
      </w:r>
      <w:r w:rsidR="002D02B2">
        <w:t>’ briefs addressed the possible mootness of the appeal.  Accordingly, o</w:t>
      </w:r>
      <w:r w:rsidR="00C379D7">
        <w:t>n February</w:t>
      </w:r>
      <w:r w:rsidR="00B23418">
        <w:t> </w:t>
      </w:r>
      <w:r w:rsidR="00C379D7">
        <w:t xml:space="preserve">15, 2024, </w:t>
      </w:r>
      <w:r w:rsidR="002C485D">
        <w:t>we</w:t>
      </w:r>
      <w:r w:rsidR="00C379D7">
        <w:t xml:space="preserve"> requested supplemental briefing on whether the appeal had been rendered </w:t>
      </w:r>
      <w:r w:rsidR="00C379D7" w:rsidRPr="00272CF8">
        <w:rPr>
          <w:rFonts w:eastAsia="Times New Roman" w:cs="Times New Roman"/>
          <w:kern w:val="0"/>
          <w14:ligatures w14:val="none"/>
        </w:rPr>
        <w:t xml:space="preserve">moot </w:t>
      </w:r>
      <w:r w:rsidR="00C379D7">
        <w:rPr>
          <w:rFonts w:eastAsia="Times New Roman" w:cs="Times New Roman"/>
          <w:kern w:val="0"/>
          <w14:ligatures w14:val="none"/>
        </w:rPr>
        <w:t xml:space="preserve">by </w:t>
      </w:r>
      <w:r w:rsidR="0069765F">
        <w:rPr>
          <w:rFonts w:eastAsia="Times New Roman" w:cs="Times New Roman"/>
          <w:kern w:val="0"/>
          <w14:ligatures w14:val="none"/>
        </w:rPr>
        <w:t xml:space="preserve">the </w:t>
      </w:r>
      <w:r w:rsidR="00C379D7">
        <w:rPr>
          <w:rFonts w:eastAsia="Times New Roman" w:cs="Times New Roman"/>
          <w:kern w:val="0"/>
          <w14:ligatures w14:val="none"/>
        </w:rPr>
        <w:t>expiration of the order</w:t>
      </w:r>
      <w:r w:rsidR="008404A9">
        <w:rPr>
          <w:rFonts w:eastAsia="Times New Roman" w:cs="Times New Roman"/>
          <w:kern w:val="0"/>
          <w14:ligatures w14:val="none"/>
        </w:rPr>
        <w:t>,</w:t>
      </w:r>
      <w:r w:rsidR="00C379D7">
        <w:rPr>
          <w:rFonts w:eastAsia="Times New Roman" w:cs="Times New Roman"/>
          <w:kern w:val="0"/>
          <w14:ligatures w14:val="none"/>
        </w:rPr>
        <w:t xml:space="preserve"> and</w:t>
      </w:r>
      <w:r w:rsidR="00C379D7">
        <w:t xml:space="preserve"> if so, whether there is any applicable exception </w:t>
      </w:r>
      <w:r w:rsidR="00371627">
        <w:t xml:space="preserve">to the mootness doctrine </w:t>
      </w:r>
      <w:r w:rsidR="00C379D7">
        <w:t>that warrant</w:t>
      </w:r>
      <w:r w:rsidR="008404A9">
        <w:t>s</w:t>
      </w:r>
      <w:r w:rsidR="00C379D7">
        <w:t xml:space="preserve"> the court’s exercise of discretion to consider one or more of the issues raised in </w:t>
      </w:r>
      <w:r w:rsidR="00E973B7">
        <w:t>the</w:t>
      </w:r>
      <w:r w:rsidR="00C379D7">
        <w:t xml:space="preserve"> opening brief. </w:t>
      </w:r>
      <w:r w:rsidR="00080807">
        <w:t xml:space="preserve"> In response, t</w:t>
      </w:r>
      <w:r w:rsidR="00C379D7" w:rsidRPr="007813D1">
        <w:t xml:space="preserve">he Public Guardian </w:t>
      </w:r>
      <w:r w:rsidR="00E50C37" w:rsidRPr="007813D1">
        <w:t>ask</w:t>
      </w:r>
      <w:r w:rsidR="00E50C37">
        <w:t>ed</w:t>
      </w:r>
      <w:r w:rsidR="00E50C37" w:rsidRPr="007813D1">
        <w:t xml:space="preserve"> </w:t>
      </w:r>
      <w:r w:rsidR="00DD0276">
        <w:t>the court</w:t>
      </w:r>
      <w:r w:rsidR="00DD0276" w:rsidRPr="007813D1">
        <w:t xml:space="preserve"> </w:t>
      </w:r>
      <w:r w:rsidR="00F67B7A">
        <w:t xml:space="preserve">to </w:t>
      </w:r>
      <w:r w:rsidR="00DD0276" w:rsidRPr="007813D1">
        <w:t>dismiss</w:t>
      </w:r>
      <w:r w:rsidR="00DD0276">
        <w:t xml:space="preserve"> the appeal</w:t>
      </w:r>
      <w:r w:rsidR="00DD0276" w:rsidRPr="007813D1">
        <w:t xml:space="preserve"> as moot.</w:t>
      </w:r>
      <w:r w:rsidR="00DD0276">
        <w:t xml:space="preserve">  The Public Guardian </w:t>
      </w:r>
      <w:r w:rsidR="00202965">
        <w:t>advised the court that</w:t>
      </w:r>
      <w:r w:rsidR="004A210F">
        <w:t xml:space="preserve"> it</w:t>
      </w:r>
      <w:r w:rsidR="002F1853">
        <w:t xml:space="preserve"> had</w:t>
      </w:r>
      <w:r w:rsidR="004A210F">
        <w:t xml:space="preserve"> filed a petition to renew the conservatorship in </w:t>
      </w:r>
      <w:r w:rsidR="00640A7D">
        <w:t>November</w:t>
      </w:r>
      <w:r w:rsidR="00B23418">
        <w:t> </w:t>
      </w:r>
      <w:r w:rsidR="00640A7D">
        <w:t>2023</w:t>
      </w:r>
      <w:r w:rsidR="004A210F">
        <w:t xml:space="preserve"> and that</w:t>
      </w:r>
      <w:r w:rsidR="00202965">
        <w:t xml:space="preserve"> </w:t>
      </w:r>
      <w:r w:rsidR="004564DF">
        <w:t xml:space="preserve">K.Y. </w:t>
      </w:r>
      <w:r w:rsidR="002F1853">
        <w:t xml:space="preserve">had </w:t>
      </w:r>
      <w:r w:rsidR="004A210F">
        <w:t>accepted reappointment of the conservatorship for six months, with a reservation of rights</w:t>
      </w:r>
      <w:r w:rsidR="002F1853">
        <w:t xml:space="preserve">.  </w:t>
      </w:r>
      <w:r w:rsidR="00D317E1">
        <w:t xml:space="preserve">The current conservatorship is set for review on </w:t>
      </w:r>
      <w:r w:rsidR="00DF0020">
        <w:t>June</w:t>
      </w:r>
      <w:r w:rsidR="00B23418">
        <w:t> </w:t>
      </w:r>
      <w:r w:rsidR="00640A7D">
        <w:t>5</w:t>
      </w:r>
      <w:r w:rsidR="00DF0020">
        <w:t>, 2024.</w:t>
      </w:r>
      <w:r w:rsidR="00B51B83">
        <w:rPr>
          <w:rStyle w:val="FootnoteReference"/>
        </w:rPr>
        <w:footnoteReference w:id="5"/>
      </w:r>
      <w:r w:rsidR="00DF0020">
        <w:t xml:space="preserve"> </w:t>
      </w:r>
      <w:r w:rsidR="00C379D7" w:rsidRPr="007813D1">
        <w:t xml:space="preserve"> </w:t>
      </w:r>
      <w:r w:rsidR="00C379D7">
        <w:t>K.Y</w:t>
      </w:r>
      <w:r w:rsidR="001C6069">
        <w:t>.</w:t>
      </w:r>
      <w:r w:rsidR="00C379D7" w:rsidRPr="007813D1">
        <w:t xml:space="preserve"> </w:t>
      </w:r>
      <w:r w:rsidR="004D14AE">
        <w:t xml:space="preserve">disagrees that </w:t>
      </w:r>
      <w:r w:rsidR="00640A7D">
        <w:t xml:space="preserve">the appeal is moot </w:t>
      </w:r>
      <w:r w:rsidR="0093215B">
        <w:t xml:space="preserve">and argues that even if it is, </w:t>
      </w:r>
      <w:r w:rsidR="0023521A">
        <w:t>the</w:t>
      </w:r>
      <w:r w:rsidR="00281A37">
        <w:t xml:space="preserve"> court</w:t>
      </w:r>
      <w:r w:rsidR="0023521A">
        <w:t xml:space="preserve"> </w:t>
      </w:r>
      <w:r w:rsidR="0093215B">
        <w:t xml:space="preserve">should </w:t>
      </w:r>
      <w:r w:rsidR="000E6129" w:rsidRPr="000E6129">
        <w:t xml:space="preserve">exercise </w:t>
      </w:r>
      <w:r w:rsidR="00F300DE">
        <w:t xml:space="preserve">its </w:t>
      </w:r>
      <w:r w:rsidR="000E6129" w:rsidRPr="000E6129">
        <w:t>discretion</w:t>
      </w:r>
      <w:r w:rsidR="000E6129">
        <w:t xml:space="preserve"> to address the merits of the appeal </w:t>
      </w:r>
      <w:r w:rsidR="00281A37">
        <w:t>based on the public importance of the issue</w:t>
      </w:r>
      <w:r w:rsidR="000E6129">
        <w:t>s</w:t>
      </w:r>
      <w:r w:rsidR="00F67952">
        <w:t xml:space="preserve"> raised</w:t>
      </w:r>
      <w:r w:rsidR="00281A37">
        <w:t xml:space="preserve">, </w:t>
      </w:r>
      <w:r w:rsidR="000E6129">
        <w:t>their</w:t>
      </w:r>
      <w:r w:rsidR="00281A37">
        <w:t xml:space="preserve"> likely continuing impact on her</w:t>
      </w:r>
      <w:r w:rsidR="00AE4496">
        <w:t xml:space="preserve"> and others</w:t>
      </w:r>
      <w:r w:rsidR="00281A37">
        <w:t xml:space="preserve">, </w:t>
      </w:r>
      <w:r w:rsidR="004C20DD">
        <w:t>and</w:t>
      </w:r>
      <w:r w:rsidR="00281A37">
        <w:t xml:space="preserve"> the </w:t>
      </w:r>
      <w:r w:rsidR="004C20DD">
        <w:t xml:space="preserve">potential </w:t>
      </w:r>
      <w:r w:rsidR="00281A37">
        <w:t>difficulty of resolving such an appeal before the expiration of a one-year conservatorship.</w:t>
      </w:r>
    </w:p>
    <w:p w14:paraId="41CE43F3" w14:textId="19544AAD" w:rsidR="00306EA3" w:rsidRDefault="00F300DE" w:rsidP="009F6C98">
      <w:pPr>
        <w:pStyle w:val="Heading1"/>
      </w:pPr>
      <w:r>
        <w:t>D</w:t>
      </w:r>
      <w:r w:rsidR="009F6C98">
        <w:t>iscussion</w:t>
      </w:r>
    </w:p>
    <w:p w14:paraId="7C60553A" w14:textId="304349B7" w:rsidR="00036990" w:rsidRDefault="00F1264D" w:rsidP="00036990">
      <w:pPr>
        <w:ind w:firstLine="720"/>
      </w:pPr>
      <w:r w:rsidRPr="00F1264D">
        <w:t>An LPS conservatorship appointment or reappointment order lasts for one year only, by operation of law.</w:t>
      </w:r>
      <w:r w:rsidR="002722A1">
        <w:t xml:space="preserve"> </w:t>
      </w:r>
      <w:r w:rsidRPr="00F1264D">
        <w:t xml:space="preserve"> (§</w:t>
      </w:r>
      <w:r w:rsidR="00B23418">
        <w:t> </w:t>
      </w:r>
      <w:r w:rsidRPr="00F1264D">
        <w:t xml:space="preserve">5361.) </w:t>
      </w:r>
      <w:r w:rsidR="002722A1">
        <w:t xml:space="preserve"> </w:t>
      </w:r>
      <w:r w:rsidRPr="00F1264D">
        <w:t xml:space="preserve">The order under review expired on </w:t>
      </w:r>
      <w:r>
        <w:t>December</w:t>
      </w:r>
      <w:r w:rsidR="00B23418">
        <w:t> </w:t>
      </w:r>
      <w:r>
        <w:t>9, 2023</w:t>
      </w:r>
      <w:r w:rsidRPr="00F1264D">
        <w:t xml:space="preserve">. </w:t>
      </w:r>
      <w:r w:rsidR="000476B0">
        <w:t xml:space="preserve"> </w:t>
      </w:r>
      <w:r w:rsidRPr="00F1264D">
        <w:t>At that point</w:t>
      </w:r>
      <w:r w:rsidR="001A3AF3">
        <w:t>,</w:t>
      </w:r>
      <w:r w:rsidRPr="00F1264D">
        <w:t xml:space="preserve"> the appeal became moot.</w:t>
      </w:r>
      <w:r w:rsidR="002722A1">
        <w:t xml:space="preserve"> </w:t>
      </w:r>
      <w:r w:rsidRPr="00F1264D">
        <w:t xml:space="preserve"> </w:t>
      </w:r>
      <w:r w:rsidR="00700A4B">
        <w:t>(</w:t>
      </w:r>
      <w:r w:rsidR="00700A4B" w:rsidRPr="00252714">
        <w:rPr>
          <w:i/>
          <w:iCs/>
        </w:rPr>
        <w:t>Conservatorship of J.Y.</w:t>
      </w:r>
      <w:r w:rsidR="00700A4B">
        <w:t xml:space="preserve"> (2020) 49</w:t>
      </w:r>
      <w:r w:rsidR="00B23418">
        <w:t> </w:t>
      </w:r>
      <w:r w:rsidR="00700A4B">
        <w:t>Cal.App.5th 220, 223, 225.)</w:t>
      </w:r>
      <w:r w:rsidR="000476B0">
        <w:t xml:space="preserve"> </w:t>
      </w:r>
      <w:r w:rsidR="00700A4B" w:rsidRPr="00700A4B">
        <w:t xml:space="preserve"> </w:t>
      </w:r>
      <w:r w:rsidR="000C5504">
        <w:t xml:space="preserve">K.Y.’s argument </w:t>
      </w:r>
      <w:r w:rsidR="006D1136">
        <w:t xml:space="preserve">that the appeal </w:t>
      </w:r>
      <w:r w:rsidR="006C7D28">
        <w:t>“</w:t>
      </w:r>
      <w:r w:rsidR="006D1136">
        <w:t>is not moot because</w:t>
      </w:r>
      <w:r w:rsidR="006C7D28" w:rsidRPr="006C7D28">
        <w:t xml:space="preserve"> </w:t>
      </w:r>
      <w:r w:rsidR="006C7D28">
        <w:t xml:space="preserve">‘collateral consequences </w:t>
      </w:r>
      <w:r w:rsidR="006C7D28">
        <w:lastRenderedPageBreak/>
        <w:t>remain even after the conservatorship has been terminated</w:t>
      </w:r>
      <w:r w:rsidR="000F1A7A">
        <w:t xml:space="preserve">’ </w:t>
      </w:r>
      <w:r w:rsidR="006C7D28">
        <w:t>” is not persuasive</w:t>
      </w:r>
      <w:r w:rsidR="0083738B">
        <w:t xml:space="preserve"> under the circumstances here</w:t>
      </w:r>
      <w:r w:rsidR="006C7D28">
        <w:t>.</w:t>
      </w:r>
      <w:r w:rsidR="00B01C3B">
        <w:t xml:space="preserve"> </w:t>
      </w:r>
      <w:r w:rsidR="00B270CF">
        <w:t xml:space="preserve"> </w:t>
      </w:r>
      <w:r w:rsidR="00B01C3B">
        <w:t xml:space="preserve">(See </w:t>
      </w:r>
      <w:r w:rsidR="00B01C3B" w:rsidRPr="005B7955">
        <w:rPr>
          <w:i/>
          <w:iCs/>
        </w:rPr>
        <w:t>Conservatorship of Jones</w:t>
      </w:r>
      <w:r w:rsidR="00B01C3B">
        <w:t xml:space="preserve"> (1989) 208</w:t>
      </w:r>
      <w:r w:rsidR="00F60F70">
        <w:t> </w:t>
      </w:r>
      <w:r w:rsidR="00B01C3B">
        <w:t>Cal.App.3d 292, 298 [identifying legal questions arising from the period of incapacity and potential social stigma as possible collateral consequences remaining after the termination of a conservatorship].)</w:t>
      </w:r>
      <w:r w:rsidR="00630000">
        <w:t xml:space="preserve">  </w:t>
      </w:r>
      <w:r w:rsidR="000839CE">
        <w:t>Because K.Y.</w:t>
      </w:r>
      <w:r w:rsidR="00582CDA">
        <w:t xml:space="preserve"> has accepted reappointment of the conservatorship, </w:t>
      </w:r>
      <w:r w:rsidR="00741654">
        <w:t>t</w:t>
      </w:r>
      <w:r w:rsidR="00741654" w:rsidRPr="00741654">
        <w:t xml:space="preserve">here is little likelihood that </w:t>
      </w:r>
      <w:r w:rsidR="00741654">
        <w:t>s</w:t>
      </w:r>
      <w:r w:rsidR="00741654" w:rsidRPr="00741654">
        <w:t>he will suffer collateral consequences as a result of the finding</w:t>
      </w:r>
      <w:r w:rsidR="00C92172">
        <w:t xml:space="preserve"> of grave disabi</w:t>
      </w:r>
      <w:r w:rsidR="000162E5">
        <w:t>lity</w:t>
      </w:r>
      <w:r w:rsidR="00741654" w:rsidRPr="00741654">
        <w:t xml:space="preserve"> on this </w:t>
      </w:r>
      <w:r w:rsidR="002C7E83">
        <w:t xml:space="preserve">specific </w:t>
      </w:r>
      <w:r w:rsidR="00741654" w:rsidRPr="00741654">
        <w:t>petition.</w:t>
      </w:r>
    </w:p>
    <w:p w14:paraId="386D314C" w14:textId="7778FC00" w:rsidR="007813D1" w:rsidRDefault="009732B1" w:rsidP="00BF4B9B">
      <w:pPr>
        <w:ind w:firstLine="720"/>
      </w:pPr>
      <w:r>
        <w:t>As K.Y. notes,</w:t>
      </w:r>
      <w:r w:rsidR="004470CD">
        <w:t xml:space="preserve"> </w:t>
      </w:r>
      <w:r w:rsidR="00A35521">
        <w:t xml:space="preserve">we have </w:t>
      </w:r>
      <w:r w:rsidR="00F66C2D">
        <w:t xml:space="preserve">inherent </w:t>
      </w:r>
      <w:r w:rsidR="00A35521">
        <w:t xml:space="preserve">discretion to </w:t>
      </w:r>
      <w:r w:rsidR="00F66C2D">
        <w:t xml:space="preserve">resolve </w:t>
      </w:r>
      <w:r w:rsidR="00036990">
        <w:t>an</w:t>
      </w:r>
      <w:r w:rsidR="00F66C2D">
        <w:t xml:space="preserve"> appeal </w:t>
      </w:r>
      <w:r w:rsidR="00752DE1">
        <w:t xml:space="preserve">on the merits </w:t>
      </w:r>
      <w:r w:rsidR="00F66C2D">
        <w:t xml:space="preserve">where “the issues in [the] case </w:t>
      </w:r>
      <w:r w:rsidR="00B96412" w:rsidRPr="00B96412">
        <w:t>are of public interest, will continue to evade review, and are likely to recur, both in general and as to the petitioner specifically.</w:t>
      </w:r>
      <w:r w:rsidR="00F66C2D">
        <w:t>”</w:t>
      </w:r>
      <w:r w:rsidR="00A35521">
        <w:t xml:space="preserve">  (</w:t>
      </w:r>
      <w:r w:rsidR="00A35521" w:rsidRPr="009C7830">
        <w:rPr>
          <w:i/>
        </w:rPr>
        <w:t>Baber v. Superior Ct.</w:t>
      </w:r>
      <w:r w:rsidR="00A35521">
        <w:t xml:space="preserve"> (1980) 113</w:t>
      </w:r>
      <w:r w:rsidR="00F60F70">
        <w:t> </w:t>
      </w:r>
      <w:r w:rsidR="00A35521">
        <w:t>Cal.App.3d 955, 959</w:t>
      </w:r>
      <w:r w:rsidR="000A72A5" w:rsidDel="00752DE1">
        <w:t xml:space="preserve">; </w:t>
      </w:r>
      <w:r w:rsidR="009C609D" w:rsidRPr="009C609D">
        <w:rPr>
          <w:i/>
          <w:iCs/>
        </w:rPr>
        <w:t>Conservatorship of Joseph</w:t>
      </w:r>
      <w:r w:rsidR="00F60F70">
        <w:rPr>
          <w:i/>
          <w:iCs/>
        </w:rPr>
        <w:t> </w:t>
      </w:r>
      <w:r w:rsidR="009C609D" w:rsidRPr="009C609D">
        <w:rPr>
          <w:i/>
          <w:iCs/>
        </w:rPr>
        <w:t>W</w:t>
      </w:r>
      <w:r w:rsidR="009C609D" w:rsidRPr="009C609D">
        <w:t>. (2011) 199</w:t>
      </w:r>
      <w:r w:rsidR="00F60F70">
        <w:t> </w:t>
      </w:r>
      <w:r w:rsidR="009C609D" w:rsidRPr="009C609D">
        <w:t>Cal.App.4th 953, 960 [</w:t>
      </w:r>
      <w:r w:rsidR="009C609D">
        <w:t xml:space="preserve">exercising discretion to consider moot appeal where </w:t>
      </w:r>
      <w:r w:rsidR="009C609D" w:rsidRPr="009C609D">
        <w:t xml:space="preserve">“the issue presented </w:t>
      </w:r>
      <w:r w:rsidR="009C609D">
        <w:t>. . .</w:t>
      </w:r>
      <w:r w:rsidR="009C609D" w:rsidRPr="009C609D">
        <w:t xml:space="preserve"> is capable of recurring, but evading review, and involves a matter of general public interest</w:t>
      </w:r>
      <w:r w:rsidR="00862C79">
        <w:t>”]</w:t>
      </w:r>
      <w:r w:rsidR="00BF4B9B">
        <w:t xml:space="preserve">.)  </w:t>
      </w:r>
      <w:r w:rsidR="00862C79">
        <w:t>A</w:t>
      </w:r>
      <w:r w:rsidR="002B2EC8">
        <w:t>s</w:t>
      </w:r>
      <w:r w:rsidR="00DF14D9">
        <w:t xml:space="preserve"> discussed below, </w:t>
      </w:r>
      <w:r w:rsidR="00862C79">
        <w:t xml:space="preserve">however, </w:t>
      </w:r>
      <w:r w:rsidR="002B2EC8">
        <w:t>n</w:t>
      </w:r>
      <w:r w:rsidR="002B2EC8" w:rsidRPr="002B2EC8">
        <w:t xml:space="preserve">one of these reasons apply to </w:t>
      </w:r>
      <w:r w:rsidR="00E843CC">
        <w:t>the</w:t>
      </w:r>
      <w:r w:rsidR="002B2EC8" w:rsidRPr="002B2EC8">
        <w:t xml:space="preserve"> present appeal.</w:t>
      </w:r>
      <w:r w:rsidR="00E341E9">
        <w:t xml:space="preserve"> </w:t>
      </w:r>
    </w:p>
    <w:p w14:paraId="138C140F" w14:textId="5D13FC55" w:rsidR="009D6215" w:rsidRDefault="00130E40" w:rsidP="005F6285">
      <w:pPr>
        <w:pStyle w:val="Heading2"/>
        <w:ind w:left="720" w:hanging="540"/>
      </w:pPr>
      <w:r>
        <w:t>Issues of Broad Public Interest</w:t>
      </w:r>
    </w:p>
    <w:p w14:paraId="0B05651E" w14:textId="743BC83E" w:rsidR="001569F4" w:rsidRDefault="0078766E" w:rsidP="0060272C">
      <w:pPr>
        <w:ind w:firstLine="720"/>
      </w:pPr>
      <w:r>
        <w:t>K.Y. contends</w:t>
      </w:r>
      <w:r w:rsidR="005E1992">
        <w:t xml:space="preserve"> that</w:t>
      </w:r>
      <w:r>
        <w:t xml:space="preserve"> </w:t>
      </w:r>
      <w:r w:rsidR="00EE0AEF">
        <w:t>each of the arguments raised on appeal</w:t>
      </w:r>
      <w:r w:rsidR="00D81BC3">
        <w:t xml:space="preserve"> are issues of public importance likely to recur in conservatorship proceedings involving both her and others.</w:t>
      </w:r>
      <w:r w:rsidR="00DF417B">
        <w:t xml:space="preserve"> </w:t>
      </w:r>
      <w:r w:rsidR="00D81BC3">
        <w:t xml:space="preserve"> </w:t>
      </w:r>
      <w:r w:rsidR="00AD18AB">
        <w:t>Initially, she argues that</w:t>
      </w:r>
      <w:r w:rsidR="00D81BC3">
        <w:t xml:space="preserve"> </w:t>
      </w:r>
      <w:r>
        <w:t xml:space="preserve">her </w:t>
      </w:r>
      <w:r w:rsidR="00FE50E4">
        <w:t xml:space="preserve">challenge </w:t>
      </w:r>
      <w:r w:rsidR="00C8411F">
        <w:t xml:space="preserve">to </w:t>
      </w:r>
      <w:r w:rsidR="00FE50E4">
        <w:t xml:space="preserve">the sufficiency of the evidence in support of the jury’s </w:t>
      </w:r>
      <w:r w:rsidR="00510FCE">
        <w:t xml:space="preserve">finding </w:t>
      </w:r>
      <w:r w:rsidR="00562FFC">
        <w:t xml:space="preserve">of grave disability </w:t>
      </w:r>
      <w:r w:rsidR="006B646B">
        <w:t xml:space="preserve">raises the important </w:t>
      </w:r>
      <w:r w:rsidR="00DF417B">
        <w:t>question</w:t>
      </w:r>
      <w:r w:rsidR="006B646B">
        <w:t xml:space="preserve"> of “</w:t>
      </w:r>
      <w:r w:rsidR="00F2468F">
        <w:t xml:space="preserve">whether a homeless camp constitutes ‘shelter’ within the meaning of the </w:t>
      </w:r>
      <w:r w:rsidR="00DF417B">
        <w:t>[</w:t>
      </w:r>
      <w:r w:rsidR="00625A02">
        <w:rPr>
          <w:rFonts w:eastAsia="Times New Roman" w:cs="Times New Roman"/>
          <w:kern w:val="0"/>
          <w14:ligatures w14:val="none"/>
        </w:rPr>
        <w:t>LPS</w:t>
      </w:r>
      <w:r w:rsidR="00DF417B" w:rsidRPr="00C76D53">
        <w:rPr>
          <w:rFonts w:eastAsia="Times New Roman" w:cs="Times New Roman"/>
          <w:kern w:val="0"/>
          <w14:ligatures w14:val="none"/>
        </w:rPr>
        <w:t xml:space="preserve"> Act</w:t>
      </w:r>
      <w:r w:rsidR="00DF417B">
        <w:rPr>
          <w:rFonts w:eastAsia="Times New Roman" w:cs="Times New Roman"/>
          <w:kern w:val="0"/>
          <w14:ligatures w14:val="none"/>
        </w:rPr>
        <w:t>]</w:t>
      </w:r>
      <w:r w:rsidR="00F2468F">
        <w:t xml:space="preserve"> grave disability standard, as there was no dispute as to whether [she] could provide for her own food or clothing.” </w:t>
      </w:r>
      <w:r w:rsidR="002366C1">
        <w:t xml:space="preserve"> </w:t>
      </w:r>
      <w:r w:rsidR="006913A9">
        <w:t xml:space="preserve">We are not persuaded </w:t>
      </w:r>
      <w:r w:rsidR="00F91479">
        <w:t xml:space="preserve">that K.Y.’s </w:t>
      </w:r>
      <w:r w:rsidR="00916894">
        <w:t xml:space="preserve">appeal turns on whether a homeless encampment can qualify as shelter.  </w:t>
      </w:r>
      <w:r w:rsidR="004474AD">
        <w:t xml:space="preserve">Contrary </w:t>
      </w:r>
      <w:r w:rsidR="006419C7">
        <w:t>to her suggestion,</w:t>
      </w:r>
      <w:r w:rsidR="00F2468F">
        <w:t xml:space="preserve"> </w:t>
      </w:r>
      <w:r w:rsidR="00237D00">
        <w:lastRenderedPageBreak/>
        <w:t>although there was some evidence that she</w:t>
      </w:r>
      <w:r w:rsidR="007C2F6A">
        <w:t xml:space="preserve"> was able to locate food </w:t>
      </w:r>
      <w:r w:rsidR="00DC64D4">
        <w:t>when not hospitalized</w:t>
      </w:r>
      <w:r w:rsidR="004B5222">
        <w:t>,</w:t>
      </w:r>
      <w:r w:rsidR="00890D3E">
        <w:t xml:space="preserve"> </w:t>
      </w:r>
      <w:r w:rsidR="006419C7">
        <w:t xml:space="preserve">the Public Guardian did not concede that she </w:t>
      </w:r>
      <w:r w:rsidR="001A67BF">
        <w:t>could provide for her own food and clothing.</w:t>
      </w:r>
      <w:r w:rsidR="006A78AE">
        <w:t xml:space="preserve"> </w:t>
      </w:r>
      <w:r w:rsidR="001A67BF">
        <w:t xml:space="preserve"> </w:t>
      </w:r>
      <w:r w:rsidR="00B835C9">
        <w:t xml:space="preserve">The </w:t>
      </w:r>
      <w:r w:rsidR="005D1F2D">
        <w:t xml:space="preserve">Public Guardian </w:t>
      </w:r>
      <w:r w:rsidR="006A78AE">
        <w:t xml:space="preserve">relied on </w:t>
      </w:r>
      <w:r w:rsidR="0031711E">
        <w:t>the expert</w:t>
      </w:r>
      <w:r w:rsidR="00D36FA1">
        <w:t>’</w:t>
      </w:r>
      <w:r w:rsidR="0031711E">
        <w:t xml:space="preserve">s testimony regarding K.Y.’s behavior </w:t>
      </w:r>
      <w:r w:rsidR="00E148B3">
        <w:t xml:space="preserve">and repeated hospitalization </w:t>
      </w:r>
      <w:r w:rsidR="0031711E">
        <w:t>over the preceding year</w:t>
      </w:r>
      <w:r w:rsidR="00C3459D">
        <w:t xml:space="preserve">, her lack </w:t>
      </w:r>
      <w:r w:rsidR="001475B3">
        <w:t>of insight into her mental illness</w:t>
      </w:r>
      <w:r w:rsidR="00DC3BE8">
        <w:t>,</w:t>
      </w:r>
      <w:r w:rsidR="001475B3">
        <w:t xml:space="preserve"> and her inability</w:t>
      </w:r>
      <w:r w:rsidR="00D10E49">
        <w:t xml:space="preserve"> or refusal</w:t>
      </w:r>
      <w:r w:rsidR="001475B3">
        <w:t xml:space="preserve"> to take her medication without oversight</w:t>
      </w:r>
      <w:r w:rsidR="00DD0897">
        <w:t>,</w:t>
      </w:r>
      <w:r w:rsidR="00603E54">
        <w:t xml:space="preserve"> to argue that her mental disorder </w:t>
      </w:r>
      <w:r w:rsidR="00D36FA1">
        <w:t>rendered her unable to provide for food, clothing</w:t>
      </w:r>
      <w:r w:rsidR="008143D5">
        <w:t>,</w:t>
      </w:r>
      <w:r w:rsidR="00D36FA1">
        <w:t xml:space="preserve"> and shelter.</w:t>
      </w:r>
      <w:r w:rsidR="006455FB">
        <w:t xml:space="preserve"> </w:t>
      </w:r>
      <w:r w:rsidR="00D36FA1">
        <w:t xml:space="preserve"> </w:t>
      </w:r>
      <w:r w:rsidR="009D787A">
        <w:t>The relevant question</w:t>
      </w:r>
      <w:r w:rsidR="00DC3BE8">
        <w:t>,</w:t>
      </w:r>
      <w:r w:rsidR="009D787A">
        <w:t xml:space="preserve"> </w:t>
      </w:r>
      <w:r w:rsidR="00377FD8">
        <w:t>then</w:t>
      </w:r>
      <w:r w:rsidR="00DC3BE8">
        <w:t>,</w:t>
      </w:r>
      <w:r w:rsidR="00377FD8">
        <w:t xml:space="preserve"> </w:t>
      </w:r>
      <w:r w:rsidR="009D787A">
        <w:t>is whether, taking the record as a whole, there is substantial evidence to support th</w:t>
      </w:r>
      <w:r w:rsidR="00D10E49">
        <w:t>e jury’s</w:t>
      </w:r>
      <w:r w:rsidR="009D787A">
        <w:t xml:space="preserve"> finding. </w:t>
      </w:r>
      <w:r w:rsidR="00475BE5">
        <w:t xml:space="preserve"> </w:t>
      </w:r>
      <w:r w:rsidR="00475BE5" w:rsidRPr="001569F4">
        <w:t>(</w:t>
      </w:r>
      <w:r w:rsidR="002C1298" w:rsidRPr="001569F4">
        <w:t xml:space="preserve">See </w:t>
      </w:r>
      <w:r w:rsidR="00992D4E" w:rsidRPr="00992D4E">
        <w:rPr>
          <w:i/>
          <w:iCs/>
        </w:rPr>
        <w:t>Conservatorship of</w:t>
      </w:r>
      <w:r w:rsidR="00F60F70">
        <w:rPr>
          <w:i/>
          <w:iCs/>
        </w:rPr>
        <w:t> </w:t>
      </w:r>
      <w:r w:rsidR="00992D4E" w:rsidRPr="00992D4E">
        <w:rPr>
          <w:i/>
          <w:iCs/>
        </w:rPr>
        <w:t>S.A</w:t>
      </w:r>
      <w:r w:rsidR="00992D4E">
        <w:t>. (2020) 57</w:t>
      </w:r>
      <w:r w:rsidR="00F60F70">
        <w:t> </w:t>
      </w:r>
      <w:r w:rsidR="00992D4E">
        <w:t>Cal.App.5th 48, 54 [“We review the whole record in favor of the judgment below to determine whether there was substantial evidence [appellant] was gravely disabled beyond a reasonable doubt”].)</w:t>
      </w:r>
      <w:r w:rsidR="009D787A">
        <w:t xml:space="preserve"> </w:t>
      </w:r>
      <w:r w:rsidR="00DF417B">
        <w:t xml:space="preserve"> This</w:t>
      </w:r>
      <w:r w:rsidR="009D787A" w:rsidRPr="00FE50E4">
        <w:t xml:space="preserve"> fact-intensive inquiry into </w:t>
      </w:r>
      <w:r w:rsidR="009D787A">
        <w:t>her</w:t>
      </w:r>
      <w:r w:rsidR="009D787A" w:rsidRPr="00FE50E4">
        <w:t xml:space="preserve"> individual mental health status</w:t>
      </w:r>
      <w:r w:rsidR="00DF417B">
        <w:t xml:space="preserve"> </w:t>
      </w:r>
      <w:r w:rsidR="00AD635C">
        <w:t>does not meet the standards for the public-importance exception</w:t>
      </w:r>
      <w:r w:rsidR="009D787A" w:rsidRPr="00FE50E4">
        <w:t xml:space="preserve">. </w:t>
      </w:r>
      <w:r w:rsidR="00E8535C">
        <w:t xml:space="preserve"> </w:t>
      </w:r>
    </w:p>
    <w:p w14:paraId="007B5A9D" w14:textId="38118A5A" w:rsidR="00925F34" w:rsidRDefault="00815ED7" w:rsidP="0060272C">
      <w:pPr>
        <w:ind w:firstLine="720"/>
      </w:pPr>
      <w:r>
        <w:t>T</w:t>
      </w:r>
      <w:r w:rsidR="00BA0C97">
        <w:t>he sufficiency of the evidence in support of the court’s medica</w:t>
      </w:r>
      <w:r w:rsidR="00804DB0">
        <w:t>tion</w:t>
      </w:r>
      <w:r w:rsidR="00BA0C97">
        <w:t xml:space="preserve"> disability </w:t>
      </w:r>
      <w:r w:rsidR="005F4AFB">
        <w:t>order</w:t>
      </w:r>
      <w:r w:rsidR="00BA0C97">
        <w:t xml:space="preserve"> </w:t>
      </w:r>
      <w:r w:rsidR="00FC210D">
        <w:t xml:space="preserve">is also </w:t>
      </w:r>
      <w:r w:rsidR="0016068F">
        <w:t xml:space="preserve">not </w:t>
      </w:r>
      <w:r w:rsidR="00FC210D">
        <w:t xml:space="preserve">a </w:t>
      </w:r>
      <w:r w:rsidR="0016068F">
        <w:t xml:space="preserve">matter of </w:t>
      </w:r>
      <w:r w:rsidR="00D65E84">
        <w:t xml:space="preserve">wide </w:t>
      </w:r>
      <w:r w:rsidR="0016068F">
        <w:t xml:space="preserve">public concern. </w:t>
      </w:r>
      <w:r w:rsidR="005F4AFB">
        <w:t xml:space="preserve"> </w:t>
      </w:r>
      <w:r w:rsidR="004F7432">
        <w:t>K.Y.</w:t>
      </w:r>
      <w:r w:rsidR="000159E5">
        <w:t xml:space="preserve"> characterizes the </w:t>
      </w:r>
      <w:r w:rsidR="00392E3A">
        <w:t xml:space="preserve">important public </w:t>
      </w:r>
      <w:r w:rsidR="000159E5">
        <w:t>issue as “whether a medication disability may be imposed where the evidence shows that the conservatee is medication compliant.”</w:t>
      </w:r>
      <w:r w:rsidR="00C05344">
        <w:t xml:space="preserve"> </w:t>
      </w:r>
      <w:r w:rsidR="004F7432">
        <w:t xml:space="preserve"> She acknowledges, however, that </w:t>
      </w:r>
      <w:r w:rsidR="00D920AB">
        <w:t>the relevant question</w:t>
      </w:r>
      <w:r w:rsidR="003A6E45">
        <w:t xml:space="preserve"> on appeal </w:t>
      </w:r>
      <w:r w:rsidR="00D920AB">
        <w:t>is</w:t>
      </w:r>
      <w:r w:rsidR="002E4C41" w:rsidRPr="002E4C41">
        <w:t xml:space="preserve"> </w:t>
      </w:r>
      <w:r w:rsidR="003A6E45">
        <w:t>“whether substantial evidence exists from which a reasonable trier of fact could have found by clear and convincing proof that appellant lacked the capacity to give or withhold informed consent</w:t>
      </w:r>
      <w:r w:rsidR="004E0995">
        <w:t>,</w:t>
      </w:r>
      <w:r w:rsidR="003A6E45">
        <w:t>”</w:t>
      </w:r>
      <w:r w:rsidR="004E38D0">
        <w:t xml:space="preserve"> and that </w:t>
      </w:r>
      <w:r w:rsidR="00A21079">
        <w:t xml:space="preserve">“the capacity to provide informed consent does not turn upon medication compliance.” </w:t>
      </w:r>
      <w:r w:rsidR="00B93669">
        <w:t xml:space="preserve"> While evidence of K.Y.’s past and current medication compliance </w:t>
      </w:r>
      <w:r w:rsidR="00A7788E">
        <w:t xml:space="preserve">is relevant to the analysis, </w:t>
      </w:r>
      <w:r w:rsidR="00A52EA0">
        <w:t>again the public-importance exception does not apply to a</w:t>
      </w:r>
      <w:r w:rsidR="00A7788E" w:rsidRPr="00FE50E4">
        <w:t xml:space="preserve"> fact-intensive inquiry into </w:t>
      </w:r>
      <w:r w:rsidR="00A7788E">
        <w:t>her</w:t>
      </w:r>
      <w:r w:rsidR="00A7788E" w:rsidRPr="00FE50E4">
        <w:t xml:space="preserve"> individual </w:t>
      </w:r>
      <w:r w:rsidR="00F8216F">
        <w:t>capacity to consent to treatment.</w:t>
      </w:r>
    </w:p>
    <w:p w14:paraId="0C841C61" w14:textId="5FF708BA" w:rsidR="00947AB6" w:rsidRDefault="00925F34" w:rsidP="00AE0C1A">
      <w:pPr>
        <w:ind w:firstLine="360"/>
      </w:pPr>
      <w:r>
        <w:lastRenderedPageBreak/>
        <w:tab/>
        <w:t xml:space="preserve">Finally, </w:t>
      </w:r>
      <w:r w:rsidR="004C4CF0">
        <w:t xml:space="preserve">K.Y. concedes that </w:t>
      </w:r>
      <w:r w:rsidR="00DF5641">
        <w:t xml:space="preserve">whether the </w:t>
      </w:r>
      <w:r w:rsidR="009C7E96">
        <w:t xml:space="preserve">court </w:t>
      </w:r>
      <w:r w:rsidR="007F7EF2">
        <w:t xml:space="preserve">prejudicially erred by </w:t>
      </w:r>
      <w:r w:rsidR="009C7E96">
        <w:t>admitt</w:t>
      </w:r>
      <w:r w:rsidR="007F7EF2">
        <w:t xml:space="preserve">ing </w:t>
      </w:r>
      <w:r w:rsidR="00DF5641">
        <w:t>hearsay contained within psychiatric records</w:t>
      </w:r>
      <w:r w:rsidR="00961871">
        <w:t xml:space="preserve"> under the business records exception</w:t>
      </w:r>
      <w:r w:rsidR="00DF5641">
        <w:t xml:space="preserve"> is “a fact-specific inquiry that turns largely upon the</w:t>
      </w:r>
      <w:r w:rsidR="00424F13">
        <w:t xml:space="preserve"> </w:t>
      </w:r>
      <w:r w:rsidR="00DF5641">
        <w:t>specific statements at issue in this case</w:t>
      </w:r>
      <w:r w:rsidR="00CA661B">
        <w:t>,</w:t>
      </w:r>
      <w:r w:rsidR="00424F13">
        <w:t xml:space="preserve">” </w:t>
      </w:r>
      <w:r w:rsidR="00A459DE">
        <w:t xml:space="preserve">but </w:t>
      </w:r>
      <w:r w:rsidR="00CE179D">
        <w:t xml:space="preserve">argues </w:t>
      </w:r>
      <w:r w:rsidR="00A459DE">
        <w:t>that “</w:t>
      </w:r>
      <w:r w:rsidR="00DF5641">
        <w:t>the frequency with</w:t>
      </w:r>
      <w:r w:rsidR="00A459DE">
        <w:t xml:space="preserve"> </w:t>
      </w:r>
      <w:r w:rsidR="00DF5641">
        <w:t>which this issue is litigated shows that it is an issue of great public</w:t>
      </w:r>
      <w:r w:rsidR="00A459DE">
        <w:t xml:space="preserve"> </w:t>
      </w:r>
      <w:r w:rsidR="00DF5641">
        <w:t>importance.</w:t>
      </w:r>
      <w:r w:rsidR="00A459DE">
        <w:t xml:space="preserve">” </w:t>
      </w:r>
      <w:r w:rsidR="00DF5641">
        <w:t xml:space="preserve"> </w:t>
      </w:r>
      <w:r w:rsidR="00B90220">
        <w:t>It is well</w:t>
      </w:r>
      <w:r w:rsidR="002B78A4">
        <w:t xml:space="preserve"> </w:t>
      </w:r>
      <w:r w:rsidR="00B90220">
        <w:t>established</w:t>
      </w:r>
      <w:r w:rsidR="008138DA">
        <w:t>, however,</w:t>
      </w:r>
      <w:r w:rsidR="00B90220">
        <w:t xml:space="preserve"> that </w:t>
      </w:r>
      <w:r w:rsidR="00B90220" w:rsidRPr="0021317B">
        <w:t>medical records</w:t>
      </w:r>
      <w:r w:rsidR="00B90220">
        <w:t xml:space="preserve"> are</w:t>
      </w:r>
      <w:r w:rsidR="00B90220" w:rsidRPr="0021317B">
        <w:t xml:space="preserve"> admissible</w:t>
      </w:r>
      <w:r w:rsidR="00B90220">
        <w:t xml:space="preserve"> in conservatorship proceedings</w:t>
      </w:r>
      <w:r w:rsidR="00B90220" w:rsidRPr="0021317B">
        <w:t xml:space="preserve"> under the business records exception</w:t>
      </w:r>
      <w:r w:rsidR="00046B0C">
        <w:t xml:space="preserve"> to the hearsay rule</w:t>
      </w:r>
      <w:r w:rsidR="00B90220" w:rsidRPr="0021317B">
        <w:t xml:space="preserve"> to prove </w:t>
      </w:r>
      <w:r w:rsidR="00B90220">
        <w:t>“</w:t>
      </w:r>
      <w:r w:rsidR="00B90220" w:rsidRPr="0021317B">
        <w:t>the acts, conditions, and events recorded therein</w:t>
      </w:r>
      <w:r w:rsidR="00AE0C1A">
        <w:t>.</w:t>
      </w:r>
      <w:r w:rsidR="00FB434F">
        <w:t>”</w:t>
      </w:r>
      <w:r w:rsidR="00DF37D9">
        <w:t xml:space="preserve"> </w:t>
      </w:r>
      <w:r w:rsidR="000822AB">
        <w:t xml:space="preserve"> </w:t>
      </w:r>
      <w:r w:rsidR="00DF37D9">
        <w:t>(</w:t>
      </w:r>
      <w:r w:rsidR="00DF37D9" w:rsidRPr="00DF37D9">
        <w:rPr>
          <w:i/>
          <w:iCs/>
        </w:rPr>
        <w:t>Conservatorship of</w:t>
      </w:r>
      <w:r w:rsidR="008014B0">
        <w:rPr>
          <w:i/>
          <w:iCs/>
        </w:rPr>
        <w:t> </w:t>
      </w:r>
      <w:r w:rsidR="00DF37D9" w:rsidRPr="00DF37D9">
        <w:rPr>
          <w:i/>
          <w:iCs/>
        </w:rPr>
        <w:t>S.A.</w:t>
      </w:r>
      <w:r w:rsidR="00DF37D9" w:rsidRPr="00DF37D9">
        <w:t xml:space="preserve"> (2018) 25</w:t>
      </w:r>
      <w:r w:rsidR="008014B0">
        <w:t> </w:t>
      </w:r>
      <w:r w:rsidR="00DF37D9" w:rsidRPr="00DF37D9">
        <w:t>Cal.App.5th 438</w:t>
      </w:r>
      <w:r w:rsidR="00726E2C">
        <w:t>, 447</w:t>
      </w:r>
      <w:r w:rsidR="00FB434F">
        <w:t xml:space="preserve">; see also </w:t>
      </w:r>
      <w:r w:rsidR="00AE0C1A" w:rsidRPr="00AE0C1A">
        <w:rPr>
          <w:i/>
          <w:iCs/>
        </w:rPr>
        <w:t>People v. Beeler</w:t>
      </w:r>
      <w:r w:rsidR="00AE0C1A" w:rsidRPr="00E9137D">
        <w:t xml:space="preserve"> (1995)</w:t>
      </w:r>
      <w:r w:rsidR="00AE0C1A" w:rsidRPr="00AE0C1A">
        <w:rPr>
          <w:i/>
          <w:iCs/>
        </w:rPr>
        <w:t xml:space="preserve"> </w:t>
      </w:r>
      <w:r w:rsidR="00AE0C1A" w:rsidRPr="00AE0C1A">
        <w:t>9</w:t>
      </w:r>
      <w:r w:rsidR="008014B0">
        <w:t> </w:t>
      </w:r>
      <w:r w:rsidR="00AE0C1A" w:rsidRPr="00AE0C1A">
        <w:t>Cal. 4th 953, 980</w:t>
      </w:r>
      <w:r w:rsidR="00546A93">
        <w:t>–</w:t>
      </w:r>
      <w:r w:rsidR="00AE0C1A" w:rsidRPr="00AE0C1A">
        <w:t>981</w:t>
      </w:r>
      <w:r w:rsidR="00AE0C1A">
        <w:t xml:space="preserve"> [</w:t>
      </w:r>
      <w:r w:rsidR="00D35BC1">
        <w:t>“</w:t>
      </w:r>
      <w:r w:rsidR="00BE5DE3">
        <w:t>[</w:t>
      </w:r>
      <w:r w:rsidR="00AE0C1A" w:rsidRPr="00AE0C1A">
        <w:t>T</w:t>
      </w:r>
      <w:r w:rsidR="00BE5DE3">
        <w:t>]</w:t>
      </w:r>
      <w:r w:rsidR="00AE0C1A" w:rsidRPr="00AE0C1A">
        <w:t>o be admissible</w:t>
      </w:r>
      <w:r w:rsidR="00AE0C1A">
        <w:t xml:space="preserve"> </w:t>
      </w:r>
      <w:r w:rsidR="00AE0C1A" w:rsidRPr="00AE0C1A">
        <w:t>under the business records exception, the evidence ‘.</w:t>
      </w:r>
      <w:r w:rsidR="007C3F7F">
        <w:t> </w:t>
      </w:r>
      <w:r w:rsidR="00AE0C1A" w:rsidRPr="00AE0C1A">
        <w:t>.</w:t>
      </w:r>
      <w:r w:rsidR="00B81D04">
        <w:t> </w:t>
      </w:r>
      <w:r w:rsidR="00AE0C1A" w:rsidRPr="00AE0C1A">
        <w:t>.</w:t>
      </w:r>
      <w:r w:rsidR="00B81D04">
        <w:t xml:space="preserve"> </w:t>
      </w:r>
      <w:r w:rsidR="00AE0C1A" w:rsidRPr="00AE0C1A">
        <w:t>must be a record of an act, condition, or event; a conclusion is neither an act, condition or event’</w:t>
      </w:r>
      <w:r w:rsidR="00B81D04">
        <w:t> </w:t>
      </w:r>
      <w:r w:rsidR="00AE0C1A" w:rsidRPr="00AE0C1A">
        <w:t>”</w:t>
      </w:r>
      <w:r w:rsidR="00AE0C1A">
        <w:t xml:space="preserve">]; </w:t>
      </w:r>
      <w:r w:rsidR="00905047" w:rsidRPr="00FB434F">
        <w:rPr>
          <w:i/>
          <w:iCs/>
        </w:rPr>
        <w:t>People v. Reyes</w:t>
      </w:r>
      <w:r w:rsidR="00905047">
        <w:t xml:space="preserve"> (</w:t>
      </w:r>
      <w:r w:rsidR="00905047" w:rsidRPr="00905047">
        <w:t>1974</w:t>
      </w:r>
      <w:r w:rsidR="00905047">
        <w:t>)</w:t>
      </w:r>
      <w:r w:rsidR="00905047" w:rsidRPr="00905047">
        <w:t xml:space="preserve"> 12</w:t>
      </w:r>
      <w:r w:rsidR="00B81D04">
        <w:t> </w:t>
      </w:r>
      <w:r w:rsidR="00905047" w:rsidRPr="00905047">
        <w:t>Cal.3d 486</w:t>
      </w:r>
      <w:r w:rsidR="00320B3B">
        <w:t>, 503</w:t>
      </w:r>
      <w:r w:rsidR="00FB434F">
        <w:t xml:space="preserve"> [</w:t>
      </w:r>
      <w:r w:rsidR="00320B3B" w:rsidRPr="00320B3B">
        <w:t>psychiatric diagnosis</w:t>
      </w:r>
      <w:r w:rsidR="00046B0C">
        <w:t xml:space="preserve"> is an opinion, not an act, condition or event within the meaning of the business records exception]</w:t>
      </w:r>
      <w:r w:rsidR="00AE0C1A">
        <w:t>.</w:t>
      </w:r>
      <w:r w:rsidR="00DF37D9" w:rsidRPr="00DF37D9">
        <w:t>)</w:t>
      </w:r>
      <w:r w:rsidR="00AE0C1A">
        <w:t xml:space="preserve"> </w:t>
      </w:r>
      <w:r w:rsidR="000822AB">
        <w:t xml:space="preserve"> </w:t>
      </w:r>
      <w:r w:rsidR="00AE0C1A">
        <w:t>W</w:t>
      </w:r>
      <w:r w:rsidR="00921E87">
        <w:t xml:space="preserve">e disagree </w:t>
      </w:r>
      <w:r w:rsidR="00877FE2">
        <w:t>with</w:t>
      </w:r>
      <w:r w:rsidR="00921E87">
        <w:t xml:space="preserve"> </w:t>
      </w:r>
      <w:r w:rsidR="00AB792D">
        <w:t xml:space="preserve">K.Y.’s contention that </w:t>
      </w:r>
      <w:r w:rsidR="00921E87">
        <w:t>th</w:t>
      </w:r>
      <w:r w:rsidR="00B028CE">
        <w:t xml:space="preserve">e application of existing authority to </w:t>
      </w:r>
      <w:r w:rsidR="00921E87">
        <w:t xml:space="preserve">the specific terms </w:t>
      </w:r>
      <w:r w:rsidR="00B028CE">
        <w:t xml:space="preserve">at issue in </w:t>
      </w:r>
      <w:r w:rsidR="00AB792D">
        <w:t>her</w:t>
      </w:r>
      <w:r w:rsidR="00B028CE">
        <w:t xml:space="preserve"> records “</w:t>
      </w:r>
      <w:r w:rsidR="00921E87">
        <w:t xml:space="preserve">has the capacity to affect a great number of future cases and shape how second-layer hearsay is treated within the </w:t>
      </w:r>
      <w:r w:rsidR="00625A02">
        <w:t>LPS</w:t>
      </w:r>
      <w:r w:rsidR="00921E87">
        <w:t xml:space="preserve"> Act body</w:t>
      </w:r>
      <w:r w:rsidR="00B028CE">
        <w:t xml:space="preserve"> </w:t>
      </w:r>
      <w:r w:rsidR="00921E87">
        <w:t>of law generally.</w:t>
      </w:r>
      <w:r w:rsidR="00B028CE">
        <w:t xml:space="preserve">” </w:t>
      </w:r>
      <w:r w:rsidR="002E4C41">
        <w:t xml:space="preserve"> </w:t>
      </w:r>
    </w:p>
    <w:p w14:paraId="7160751C" w14:textId="5DA6E8F3" w:rsidR="00C65B6A" w:rsidRDefault="00C65B6A" w:rsidP="005F6285">
      <w:pPr>
        <w:pStyle w:val="Heading2"/>
        <w:ind w:left="720" w:hanging="446"/>
      </w:pPr>
      <w:r>
        <w:t>Issues Likely to Recur but Evade Review</w:t>
      </w:r>
    </w:p>
    <w:p w14:paraId="16125D0A" w14:textId="2316C261" w:rsidR="00D426D5" w:rsidRDefault="00C8411F" w:rsidP="0060272C">
      <w:pPr>
        <w:ind w:firstLine="720"/>
      </w:pPr>
      <w:r>
        <w:t xml:space="preserve">K.Y. </w:t>
      </w:r>
      <w:r w:rsidR="00542F1D">
        <w:t xml:space="preserve">also contends </w:t>
      </w:r>
      <w:r>
        <w:t xml:space="preserve">that we should consider each of her arguments because </w:t>
      </w:r>
      <w:r w:rsidR="00DA447E">
        <w:t>they are likely to recur in future conservatorship proceedings in which she is a party</w:t>
      </w:r>
      <w:r w:rsidR="00877FE2">
        <w:t>,</w:t>
      </w:r>
      <w:r w:rsidR="007A5888">
        <w:t xml:space="preserve"> </w:t>
      </w:r>
      <w:r w:rsidR="006B2AB5">
        <w:t xml:space="preserve">and </w:t>
      </w:r>
      <w:r w:rsidR="007A5888">
        <w:t>that</w:t>
      </w:r>
      <w:r w:rsidR="00FC0090">
        <w:t>,</w:t>
      </w:r>
      <w:r w:rsidR="00BA0C97">
        <w:t xml:space="preserve"> due to the short duration of the order appointing the Public Guardian and the normal time required to obtain relief on appeal, the errors would tend to evade review.</w:t>
      </w:r>
      <w:r w:rsidR="005867D1">
        <w:t xml:space="preserve"> </w:t>
      </w:r>
      <w:r w:rsidR="00F37198">
        <w:t xml:space="preserve"> </w:t>
      </w:r>
      <w:r w:rsidR="005E4E0C">
        <w:t>We disagree</w:t>
      </w:r>
      <w:r w:rsidR="008B7BC0">
        <w:t xml:space="preserve">. </w:t>
      </w:r>
      <w:r w:rsidR="005867D1">
        <w:t xml:space="preserve"> </w:t>
      </w:r>
      <w:r w:rsidR="00685F09">
        <w:t>E</w:t>
      </w:r>
      <w:r w:rsidR="00685F09" w:rsidRPr="00803E6E">
        <w:t>ach subsequent petition for reappointment of a</w:t>
      </w:r>
      <w:r w:rsidR="005867D1">
        <w:t xml:space="preserve"> </w:t>
      </w:r>
      <w:r w:rsidR="00685F09" w:rsidRPr="00803E6E">
        <w:t xml:space="preserve">conservator </w:t>
      </w:r>
      <w:r w:rsidR="005867D1">
        <w:t xml:space="preserve">under the LPS Act </w:t>
      </w:r>
      <w:r w:rsidR="00685F09" w:rsidRPr="00803E6E">
        <w:t>is resolved independently of any conservatorship that preceded it.</w:t>
      </w:r>
      <w:r w:rsidR="005867D1">
        <w:t xml:space="preserve"> </w:t>
      </w:r>
      <w:r w:rsidR="00685F09" w:rsidRPr="00803E6E">
        <w:t xml:space="preserve"> (See §</w:t>
      </w:r>
      <w:r w:rsidR="00B81D04">
        <w:t> </w:t>
      </w:r>
      <w:r w:rsidR="00685F09" w:rsidRPr="00803E6E">
        <w:t xml:space="preserve">5361; </w:t>
      </w:r>
      <w:r w:rsidR="00685F09" w:rsidRPr="00CF77EF">
        <w:rPr>
          <w:i/>
          <w:iCs/>
        </w:rPr>
        <w:t>Conservatorship of Ben</w:t>
      </w:r>
      <w:r w:rsidR="00B81D04">
        <w:rPr>
          <w:i/>
          <w:iCs/>
        </w:rPr>
        <w:t> </w:t>
      </w:r>
      <w:r w:rsidR="00685F09" w:rsidRPr="00CF77EF">
        <w:rPr>
          <w:i/>
          <w:iCs/>
        </w:rPr>
        <w:t>C</w:t>
      </w:r>
      <w:r w:rsidR="00685F09" w:rsidRPr="00803E6E">
        <w:t>. (2007) 40</w:t>
      </w:r>
      <w:r w:rsidR="00B81D04">
        <w:t> </w:t>
      </w:r>
      <w:r w:rsidR="00685F09" w:rsidRPr="00803E6E">
        <w:t xml:space="preserve">Cal.4th 529, 543 [“focus [is] primarily on </w:t>
      </w:r>
      <w:r w:rsidR="00685F09" w:rsidRPr="00803E6E">
        <w:lastRenderedPageBreak/>
        <w:t>the conservatee</w:t>
      </w:r>
      <w:r w:rsidR="00B62956">
        <w:t>’</w:t>
      </w:r>
      <w:r w:rsidR="00685F09" w:rsidRPr="00803E6E">
        <w:t>s current needs and progress, rather than on a retrospective consideration of conditions that may no longer exist”].)</w:t>
      </w:r>
      <w:r w:rsidR="00685F09">
        <w:t xml:space="preserve">  </w:t>
      </w:r>
      <w:r w:rsidR="008B7BC0">
        <w:t>T</w:t>
      </w:r>
      <w:r w:rsidR="0089582F">
        <w:t xml:space="preserve">he sufficiency of the evidence in support of the jury’s </w:t>
      </w:r>
      <w:r w:rsidR="00623801">
        <w:t xml:space="preserve">finding under the prior version of the statute </w:t>
      </w:r>
      <w:r w:rsidR="0089582F">
        <w:t>and the trial court’s finding</w:t>
      </w:r>
      <w:r w:rsidR="00623801">
        <w:t xml:space="preserve"> as to her </w:t>
      </w:r>
      <w:r w:rsidR="007815F3">
        <w:t xml:space="preserve">ability to consent to medical treatment </w:t>
      </w:r>
      <w:r w:rsidR="00032B78">
        <w:t>at</w:t>
      </w:r>
      <w:r w:rsidR="007815F3">
        <w:t xml:space="preserve"> the </w:t>
      </w:r>
      <w:r w:rsidR="00032B78">
        <w:t>time</w:t>
      </w:r>
      <w:r w:rsidR="007815F3">
        <w:t xml:space="preserve"> of trial</w:t>
      </w:r>
      <w:r w:rsidR="0089582F">
        <w:t xml:space="preserve"> </w:t>
      </w:r>
      <w:r w:rsidR="00D804E7">
        <w:t>are</w:t>
      </w:r>
      <w:r w:rsidR="00A41790">
        <w:t xml:space="preserve"> of no </w:t>
      </w:r>
      <w:r w:rsidR="00D426D5">
        <w:t xml:space="preserve">relevance to </w:t>
      </w:r>
      <w:r w:rsidR="004C7F45">
        <w:t xml:space="preserve">a </w:t>
      </w:r>
      <w:r w:rsidR="00D426D5">
        <w:t>later proceeding</w:t>
      </w:r>
      <w:r w:rsidR="000B25C6">
        <w:t xml:space="preserve">, which will necessarily rely on different and </w:t>
      </w:r>
      <w:r w:rsidR="009E23E5">
        <w:t xml:space="preserve">likely </w:t>
      </w:r>
      <w:r w:rsidR="000B25C6">
        <w:t xml:space="preserve">more </w:t>
      </w:r>
      <w:r w:rsidR="009E23E5">
        <w:t>recent evidence as to her mental condition.</w:t>
      </w:r>
      <w:r w:rsidR="004C7F45">
        <w:t xml:space="preserve"> </w:t>
      </w:r>
      <w:r w:rsidR="005867D1">
        <w:t xml:space="preserve"> </w:t>
      </w:r>
      <w:r w:rsidR="00D426D5">
        <w:t xml:space="preserve">While </w:t>
      </w:r>
      <w:r w:rsidR="009D3B05">
        <w:t xml:space="preserve">it is </w:t>
      </w:r>
      <w:r w:rsidR="00DF46BF">
        <w:t xml:space="preserve">arguably </w:t>
      </w:r>
      <w:r w:rsidR="009D3B05">
        <w:t xml:space="preserve">possible that some of the medical records introduced in the underlying trial might be </w:t>
      </w:r>
      <w:r w:rsidR="00DF46BF">
        <w:t>introduced in future proceedings</w:t>
      </w:r>
      <w:r w:rsidR="00D426D5">
        <w:t xml:space="preserve">, the length of time between the </w:t>
      </w:r>
      <w:r w:rsidR="00993450">
        <w:t>creation of the records</w:t>
      </w:r>
      <w:r w:rsidR="00032B78">
        <w:t xml:space="preserve"> (between </w:t>
      </w:r>
      <w:r w:rsidR="004567A2">
        <w:t>September</w:t>
      </w:r>
      <w:r w:rsidR="008F6E84">
        <w:t> </w:t>
      </w:r>
      <w:r w:rsidR="004567A2">
        <w:t xml:space="preserve">2021 and </w:t>
      </w:r>
      <w:r w:rsidR="002C7418">
        <w:t>June</w:t>
      </w:r>
      <w:r w:rsidR="008F6E84">
        <w:t> </w:t>
      </w:r>
      <w:r w:rsidR="004567A2">
        <w:t>2022)</w:t>
      </w:r>
      <w:r w:rsidR="00993450">
        <w:t xml:space="preserve"> and the date of any future trial</w:t>
      </w:r>
      <w:r w:rsidR="00AF0047">
        <w:t xml:space="preserve"> </w:t>
      </w:r>
      <w:r w:rsidR="00993450">
        <w:t>make</w:t>
      </w:r>
      <w:r w:rsidR="00FF4267">
        <w:t>s</w:t>
      </w:r>
      <w:r w:rsidR="00993450">
        <w:t xml:space="preserve"> it less likely that the same documents will be </w:t>
      </w:r>
      <w:r w:rsidR="008F2812">
        <w:t xml:space="preserve">relied on again. </w:t>
      </w:r>
      <w:r w:rsidR="00FF4267">
        <w:t xml:space="preserve"> </w:t>
      </w:r>
      <w:r w:rsidR="008824A0">
        <w:t xml:space="preserve">Moreover, </w:t>
      </w:r>
      <w:r w:rsidR="004458D7">
        <w:t>for the reasons</w:t>
      </w:r>
      <w:r w:rsidR="008824A0">
        <w:t xml:space="preserve"> we discuss in the next section, </w:t>
      </w:r>
      <w:r w:rsidR="00B608DA">
        <w:t xml:space="preserve">we decline to assume that the matter </w:t>
      </w:r>
      <w:r w:rsidR="004458D7">
        <w:t>would</w:t>
      </w:r>
      <w:r w:rsidR="008F2812">
        <w:t xml:space="preserve"> evade review.</w:t>
      </w:r>
    </w:p>
    <w:p w14:paraId="38D9D1C2" w14:textId="7396A428" w:rsidR="004458D7" w:rsidRDefault="00871B5C" w:rsidP="005F6285">
      <w:pPr>
        <w:pStyle w:val="Heading2"/>
        <w:ind w:firstLine="90"/>
      </w:pPr>
      <w:r>
        <w:t xml:space="preserve">Appeals in Cases Involving Inherent </w:t>
      </w:r>
      <w:r w:rsidR="009C2EA8">
        <w:t>Risk of</w:t>
      </w:r>
      <w:r>
        <w:t xml:space="preserve"> Mootness</w:t>
      </w:r>
    </w:p>
    <w:p w14:paraId="05656A68" w14:textId="3D608DA1" w:rsidR="00E9489F" w:rsidRDefault="006F0E95" w:rsidP="005F4DD6">
      <w:pPr>
        <w:ind w:firstLine="720"/>
      </w:pPr>
      <w:r>
        <w:t>D</w:t>
      </w:r>
      <w:r w:rsidR="00CE344F">
        <w:t xml:space="preserve">ismissal of appeals for mootness is not uncommon in </w:t>
      </w:r>
      <w:r w:rsidR="00C24A21">
        <w:t xml:space="preserve">LPS </w:t>
      </w:r>
      <w:r w:rsidR="00E72682">
        <w:t xml:space="preserve">conservatorship cases, as in </w:t>
      </w:r>
      <w:r w:rsidR="00185481">
        <w:t>other</w:t>
      </w:r>
      <w:r w:rsidR="007B5313">
        <w:t xml:space="preserve"> case</w:t>
      </w:r>
      <w:r w:rsidR="00185481">
        <w:t>s that</w:t>
      </w:r>
      <w:r w:rsidR="00E72682">
        <w:t xml:space="preserve"> involve</w:t>
      </w:r>
      <w:r w:rsidR="0092344E">
        <w:t xml:space="preserve"> challenges to</w:t>
      </w:r>
      <w:r w:rsidR="00E72682">
        <w:t xml:space="preserve"> one-year </w:t>
      </w:r>
      <w:r w:rsidR="00784E09">
        <w:t xml:space="preserve">civil </w:t>
      </w:r>
      <w:r w:rsidR="00E72682">
        <w:t>commitment orders</w:t>
      </w:r>
      <w:r w:rsidR="008F4888">
        <w:t>.</w:t>
      </w:r>
      <w:r w:rsidR="00996CA6">
        <w:t xml:space="preserve">  (See</w:t>
      </w:r>
      <w:r w:rsidR="00D42024">
        <w:t xml:space="preserve"> </w:t>
      </w:r>
      <w:r w:rsidR="008418D8" w:rsidRPr="0001785F">
        <w:rPr>
          <w:i/>
          <w:iCs/>
        </w:rPr>
        <w:t>Conservatorship o</w:t>
      </w:r>
      <w:r w:rsidR="008418D8">
        <w:t>f</w:t>
      </w:r>
      <w:r w:rsidR="00D42024" w:rsidRPr="00A84947">
        <w:rPr>
          <w:i/>
          <w:iCs/>
        </w:rPr>
        <w:t xml:space="preserve"> Eric</w:t>
      </w:r>
      <w:r w:rsidR="008F6E84">
        <w:rPr>
          <w:i/>
          <w:iCs/>
        </w:rPr>
        <w:t> </w:t>
      </w:r>
      <w:r w:rsidR="00D42024" w:rsidRPr="00A84947">
        <w:rPr>
          <w:i/>
          <w:iCs/>
        </w:rPr>
        <w:t xml:space="preserve">B. </w:t>
      </w:r>
      <w:r w:rsidR="00D42024">
        <w:t>(2022) 12</w:t>
      </w:r>
      <w:r w:rsidR="008F6E84">
        <w:t> </w:t>
      </w:r>
      <w:r w:rsidR="00D42024">
        <w:t>Cal.5th 1085, 1094</w:t>
      </w:r>
      <w:r w:rsidR="00D432A7">
        <w:t xml:space="preserve"> &amp; fn.</w:t>
      </w:r>
      <w:r w:rsidR="00392940">
        <w:t> </w:t>
      </w:r>
      <w:r w:rsidR="00D432A7">
        <w:t>2</w:t>
      </w:r>
      <w:r w:rsidR="006B3C4F">
        <w:t>–1</w:t>
      </w:r>
      <w:r w:rsidR="008F2CC0">
        <w:t>0</w:t>
      </w:r>
      <w:r w:rsidR="006B3C4F">
        <w:t>96</w:t>
      </w:r>
      <w:r w:rsidR="004E152B">
        <w:t xml:space="preserve">; </w:t>
      </w:r>
      <w:r w:rsidR="00996CA6" w:rsidRPr="00A44F13">
        <w:rPr>
          <w:i/>
          <w:iCs/>
        </w:rPr>
        <w:t>People v. McCray</w:t>
      </w:r>
      <w:r w:rsidR="00996CA6">
        <w:t xml:space="preserve"> (2023) 98</w:t>
      </w:r>
      <w:r w:rsidR="008F6E84">
        <w:t> </w:t>
      </w:r>
      <w:r w:rsidR="00996CA6">
        <w:t>Cal.App.5th 260</w:t>
      </w:r>
      <w:r w:rsidR="004E152B">
        <w:t>, 267</w:t>
      </w:r>
      <w:r w:rsidR="008F2CC0">
        <w:t xml:space="preserve"> [appeal of commitment order for offender with mental health disorder]</w:t>
      </w:r>
      <w:r w:rsidR="00A84947">
        <w:t>.)</w:t>
      </w:r>
      <w:r w:rsidR="009A5430">
        <w:t xml:space="preserve">  </w:t>
      </w:r>
      <w:r>
        <w:t>We recognize that there can be</w:t>
      </w:r>
      <w:r w:rsidR="00E900F5">
        <w:t xml:space="preserve"> unavoidable delays, s</w:t>
      </w:r>
      <w:r w:rsidR="00120592">
        <w:t xml:space="preserve">uch as </w:t>
      </w:r>
      <w:r w:rsidR="00E900F5">
        <w:t xml:space="preserve">with </w:t>
      </w:r>
      <w:r w:rsidR="0076360A">
        <w:t xml:space="preserve">appointment of counsel or </w:t>
      </w:r>
      <w:r w:rsidR="00E900F5">
        <w:t xml:space="preserve">preparation of the record, </w:t>
      </w:r>
      <w:r w:rsidR="00EA17BE">
        <w:t xml:space="preserve">that render it exceedingly difficult, if not impossible, for </w:t>
      </w:r>
      <w:r w:rsidR="009A69B1">
        <w:t>the</w:t>
      </w:r>
      <w:r w:rsidR="00EA17BE">
        <w:t xml:space="preserve"> </w:t>
      </w:r>
      <w:r w:rsidR="007C12F7">
        <w:t xml:space="preserve">parties to brief, and the court to adjudicate, an appeal before </w:t>
      </w:r>
      <w:r w:rsidR="001311A2">
        <w:t>the order expires</w:t>
      </w:r>
      <w:r>
        <w:t xml:space="preserve"> or a new commitment order is sought and obtained.</w:t>
      </w:r>
      <w:r w:rsidR="00663541">
        <w:t xml:space="preserve">  At the same time, </w:t>
      </w:r>
      <w:r w:rsidR="007A60A6">
        <w:t xml:space="preserve">there are doubtless cases in which </w:t>
      </w:r>
      <w:r w:rsidR="00311726">
        <w:t xml:space="preserve">mootness </w:t>
      </w:r>
      <w:r w:rsidR="00C52DA8">
        <w:t>can be</w:t>
      </w:r>
      <w:r w:rsidR="00311726">
        <w:t xml:space="preserve"> avoided by taking advantage of procedures available for expedition</w:t>
      </w:r>
      <w:r w:rsidR="004E6BF4">
        <w:t>.</w:t>
      </w:r>
      <w:r w:rsidR="00E9137D">
        <w:t xml:space="preserve"> </w:t>
      </w:r>
      <w:r w:rsidR="00FF4267">
        <w:t xml:space="preserve"> </w:t>
      </w:r>
      <w:r w:rsidR="00472F5D" w:rsidRPr="00472F5D">
        <w:t>(</w:t>
      </w:r>
      <w:r w:rsidR="00C03C32">
        <w:t xml:space="preserve">See </w:t>
      </w:r>
      <w:r w:rsidR="00472F5D" w:rsidRPr="00472F5D">
        <w:rPr>
          <w:i/>
          <w:iCs/>
        </w:rPr>
        <w:t>Conservatorship of Forsythe</w:t>
      </w:r>
      <w:r w:rsidR="00472F5D" w:rsidRPr="00472F5D">
        <w:t xml:space="preserve"> (1987) 192</w:t>
      </w:r>
      <w:r w:rsidR="008F6E84">
        <w:t> </w:t>
      </w:r>
      <w:r w:rsidR="00472F5D" w:rsidRPr="00472F5D">
        <w:t>Cal.App.3d 1406, 1409 [adopting policy to entertain such cases on “expedited appeal”];</w:t>
      </w:r>
      <w:r w:rsidR="005F4DD6">
        <w:t xml:space="preserve"> </w:t>
      </w:r>
      <w:r w:rsidR="005F4DD6">
        <w:rPr>
          <w:i/>
          <w:iCs/>
        </w:rPr>
        <w:t>McCray</w:t>
      </w:r>
      <w:r w:rsidR="005F4DD6">
        <w:t>, at p.</w:t>
      </w:r>
      <w:r w:rsidR="008F6E84">
        <w:t> </w:t>
      </w:r>
      <w:r w:rsidR="005F4DD6">
        <w:t xml:space="preserve">269 </w:t>
      </w:r>
      <w:r w:rsidR="005F4DD6">
        <w:lastRenderedPageBreak/>
        <w:t xml:space="preserve">[noting that “no effort was made to seek calendar preference in this appeal due to imminent mootness” and </w:t>
      </w:r>
      <w:r w:rsidR="001212DD">
        <w:t>that</w:t>
      </w:r>
      <w:r w:rsidR="00276AD1">
        <w:t xml:space="preserve"> the</w:t>
      </w:r>
      <w:r w:rsidR="001212DD">
        <w:t xml:space="preserve"> appellant</w:t>
      </w:r>
      <w:r w:rsidR="005F4DD6">
        <w:t xml:space="preserve"> </w:t>
      </w:r>
      <w:r w:rsidR="0076360A">
        <w:t>“</w:t>
      </w:r>
      <w:r w:rsidR="005F4DD6">
        <w:t>would be well</w:t>
      </w:r>
      <w:r w:rsidR="00EC3D51">
        <w:t xml:space="preserve"> </w:t>
      </w:r>
      <w:r w:rsidR="005F4DD6">
        <w:t>advised to proceed with greater urgency and seek calendar preference</w:t>
      </w:r>
      <w:r w:rsidR="0076360A">
        <w:t>” to avoid mootness in a subsequent appeal];</w:t>
      </w:r>
      <w:r w:rsidR="00472F5D" w:rsidRPr="00472F5D">
        <w:t xml:space="preserve"> California Rules of Court rule</w:t>
      </w:r>
      <w:r w:rsidR="008F6E84">
        <w:t> </w:t>
      </w:r>
      <w:r w:rsidR="00472F5D" w:rsidRPr="00472F5D">
        <w:t>8.240 [motion for calendar preference].)</w:t>
      </w:r>
      <w:r w:rsidR="00342F08">
        <w:t xml:space="preserve"> </w:t>
      </w:r>
      <w:r w:rsidR="00FF4267">
        <w:t xml:space="preserve"> </w:t>
      </w:r>
    </w:p>
    <w:p w14:paraId="2D62D426" w14:textId="2D6E1055" w:rsidR="00543F63" w:rsidRDefault="00C03C32" w:rsidP="00DE3639">
      <w:pPr>
        <w:ind w:firstLine="720"/>
      </w:pPr>
      <w:r>
        <w:t>In this case,</w:t>
      </w:r>
      <w:r w:rsidR="005561FB">
        <w:t xml:space="preserve"> the record was filed and counsel was appointed in a timely manner.</w:t>
      </w:r>
      <w:r w:rsidR="00FF4267">
        <w:t xml:space="preserve"> </w:t>
      </w:r>
      <w:r w:rsidR="005561FB">
        <w:t xml:space="preserve"> </w:t>
      </w:r>
      <w:r w:rsidR="002511E7">
        <w:t>B</w:t>
      </w:r>
      <w:r w:rsidR="00ED1B3D">
        <w:t>etween the parties there were</w:t>
      </w:r>
      <w:r w:rsidR="005561FB">
        <w:t xml:space="preserve"> </w:t>
      </w:r>
      <w:r w:rsidR="00F94EFB">
        <w:t>six extensions of time</w:t>
      </w:r>
      <w:r w:rsidR="00ED1B3D">
        <w:t>, most</w:t>
      </w:r>
      <w:r w:rsidR="007E30CF">
        <w:t xml:space="preserve"> </w:t>
      </w:r>
      <w:r w:rsidR="003A7204">
        <w:t xml:space="preserve">sought </w:t>
      </w:r>
      <w:r w:rsidR="007E30CF">
        <w:t xml:space="preserve">by </w:t>
      </w:r>
      <w:r w:rsidR="00B07BF8">
        <w:t>K.Y.</w:t>
      </w:r>
      <w:r w:rsidR="007E30CF">
        <w:t>,</w:t>
      </w:r>
      <w:r w:rsidR="00F94EFB">
        <w:t xml:space="preserve"> </w:t>
      </w:r>
      <w:r w:rsidR="00D24CEB">
        <w:t xml:space="preserve">which extended the briefing schedule by </w:t>
      </w:r>
      <w:r w:rsidR="008A51EA">
        <w:t xml:space="preserve">approximately </w:t>
      </w:r>
      <w:r w:rsidR="00B248D0">
        <w:t xml:space="preserve">five </w:t>
      </w:r>
      <w:r w:rsidR="008A51EA">
        <w:t>months</w:t>
      </w:r>
      <w:r w:rsidR="00C85B12">
        <w:t>.</w:t>
      </w:r>
      <w:r w:rsidR="00FF4267">
        <w:t xml:space="preserve"> </w:t>
      </w:r>
      <w:r w:rsidR="00F94EFB">
        <w:t xml:space="preserve"> </w:t>
      </w:r>
      <w:r w:rsidR="002D39EC">
        <w:t>Without this additional</w:t>
      </w:r>
      <w:r w:rsidR="00095995">
        <w:t xml:space="preserve"> time in preparing the briefs</w:t>
      </w:r>
      <w:r w:rsidR="002D39EC">
        <w:t>, the appeal could likely have been decided before the expiration of the commitment order e</w:t>
      </w:r>
      <w:r w:rsidR="002511E7">
        <w:t>ven without a motion for calendar preference</w:t>
      </w:r>
      <w:r w:rsidR="00C73C77">
        <w:t>.</w:t>
      </w:r>
      <w:r w:rsidR="00280F42">
        <w:t xml:space="preserve"> </w:t>
      </w:r>
      <w:r w:rsidR="002511E7">
        <w:t xml:space="preserve"> </w:t>
      </w:r>
      <w:r w:rsidR="00280F42">
        <w:t>Our intent here is not to assign blame; w</w:t>
      </w:r>
      <w:r w:rsidR="006C622D">
        <w:t xml:space="preserve">e </w:t>
      </w:r>
      <w:r w:rsidR="00431F21">
        <w:t>acknowledge</w:t>
      </w:r>
      <w:r w:rsidR="006C622D">
        <w:t xml:space="preserve"> that </w:t>
      </w:r>
      <w:r w:rsidR="00891494">
        <w:t>“[f]</w:t>
      </w:r>
      <w:r w:rsidR="00891494" w:rsidRPr="00891494">
        <w:t>or a variety of legitimate reasons, counsel may not always be able to prepare briefs or other documents within the time specified in the rules of court</w:t>
      </w:r>
      <w:r w:rsidR="00891494">
        <w:t>”</w:t>
      </w:r>
      <w:r w:rsidR="00990527">
        <w:t xml:space="preserve"> and that “[i]</w:t>
      </w:r>
      <w:r w:rsidR="00891494" w:rsidRPr="00891494">
        <w:t>f good cause is shown, the court must extend the time.</w:t>
      </w:r>
      <w:r w:rsidR="00990527">
        <w:t>”</w:t>
      </w:r>
      <w:r w:rsidR="00FF4267">
        <w:t xml:space="preserve"> </w:t>
      </w:r>
      <w:r w:rsidR="00990527">
        <w:t xml:space="preserve"> (</w:t>
      </w:r>
      <w:r w:rsidR="008C571A">
        <w:t>Cal. Rules of Court r</w:t>
      </w:r>
      <w:r w:rsidR="00990527">
        <w:t>ule</w:t>
      </w:r>
      <w:r w:rsidR="008F6E84">
        <w:t> </w:t>
      </w:r>
      <w:r w:rsidR="00990527">
        <w:t>8.63, subd.</w:t>
      </w:r>
      <w:r w:rsidR="008F6E84">
        <w:t> </w:t>
      </w:r>
      <w:r w:rsidR="00990527">
        <w:t>(a)(</w:t>
      </w:r>
      <w:r w:rsidR="006104A3">
        <w:t xml:space="preserve">3).) </w:t>
      </w:r>
      <w:r w:rsidR="00FF4267">
        <w:t xml:space="preserve"> </w:t>
      </w:r>
      <w:r w:rsidR="006C622D">
        <w:t xml:space="preserve">Nonetheless, </w:t>
      </w:r>
      <w:r w:rsidR="00431F21">
        <w:t>when requesting an extension of time</w:t>
      </w:r>
      <w:r w:rsidR="00233962">
        <w:t>,</w:t>
      </w:r>
      <w:r w:rsidR="00431F21">
        <w:t xml:space="preserve"> </w:t>
      </w:r>
      <w:r w:rsidR="00E364A3">
        <w:t xml:space="preserve">counsel </w:t>
      </w:r>
      <w:r w:rsidR="003C419B">
        <w:t xml:space="preserve">should be mindful </w:t>
      </w:r>
      <w:r w:rsidR="00346F6B">
        <w:t xml:space="preserve">of </w:t>
      </w:r>
      <w:r w:rsidR="00A20700">
        <w:t xml:space="preserve">the expiration date of the conservatorship order </w:t>
      </w:r>
      <w:r w:rsidR="0094746E">
        <w:t>and</w:t>
      </w:r>
      <w:r w:rsidR="00346F6B">
        <w:t xml:space="preserve"> should </w:t>
      </w:r>
      <w:r w:rsidR="00E364A3">
        <w:t>inform</w:t>
      </w:r>
      <w:r w:rsidR="0094746E">
        <w:t xml:space="preserve"> the court</w:t>
      </w:r>
      <w:r w:rsidR="00E364A3">
        <w:t xml:space="preserve"> </w:t>
      </w:r>
      <w:r w:rsidR="00BD5C96">
        <w:t>of</w:t>
      </w:r>
      <w:r w:rsidR="007A2C1B">
        <w:t xml:space="preserve"> that date</w:t>
      </w:r>
      <w:r w:rsidR="00816B06">
        <w:t xml:space="preserve"> </w:t>
      </w:r>
      <w:r w:rsidR="00690258">
        <w:t xml:space="preserve">so that </w:t>
      </w:r>
      <w:r w:rsidR="00FC765A">
        <w:t>good cause may be evaluated</w:t>
      </w:r>
      <w:r w:rsidR="00816B06">
        <w:t xml:space="preserve"> properly</w:t>
      </w:r>
      <w:r w:rsidR="002053BB">
        <w:t>.</w:t>
      </w:r>
      <w:r w:rsidR="00BD5C96">
        <w:rPr>
          <w:rStyle w:val="FootnoteReference"/>
        </w:rPr>
        <w:footnoteReference w:id="6"/>
      </w:r>
      <w:r w:rsidR="002053BB">
        <w:t xml:space="preserve"> </w:t>
      </w:r>
      <w:r w:rsidR="00667457">
        <w:t xml:space="preserve"> </w:t>
      </w:r>
      <w:r w:rsidR="0031523C">
        <w:t xml:space="preserve">(See </w:t>
      </w:r>
      <w:r w:rsidR="00410EC8" w:rsidRPr="00645737">
        <w:rPr>
          <w:i/>
          <w:iCs/>
        </w:rPr>
        <w:lastRenderedPageBreak/>
        <w:t>id.</w:t>
      </w:r>
      <w:r w:rsidR="0031523C">
        <w:t>, subd.</w:t>
      </w:r>
      <w:r w:rsidR="008F6E84">
        <w:t> </w:t>
      </w:r>
      <w:r w:rsidR="0031523C">
        <w:t>(a) [</w:t>
      </w:r>
      <w:r w:rsidR="00FF4267">
        <w:t xml:space="preserve">the </w:t>
      </w:r>
      <w:r w:rsidR="006104A3">
        <w:t>good cause requirement is intended to balance the following competing polic</w:t>
      </w:r>
      <w:r w:rsidR="00200B7A">
        <w:t>ies:</w:t>
      </w:r>
      <w:r w:rsidR="008F6E84">
        <w:t xml:space="preserve"> </w:t>
      </w:r>
      <w:r w:rsidR="00200B7A">
        <w:t xml:space="preserve"> “(1)</w:t>
      </w:r>
      <w:r w:rsidR="008F6E84">
        <w:t> </w:t>
      </w:r>
      <w:r w:rsidR="00200B7A">
        <w:t>The time limits prescribed by these rules should generally be met to ensure expeditious conduct of appellate business and public confidence in the efficient administration of appellate justice.</w:t>
      </w:r>
      <w:r w:rsidR="00A83209">
        <w:t xml:space="preserve"> [¶] </w:t>
      </w:r>
      <w:r w:rsidR="00200B7A">
        <w:t>(2)</w:t>
      </w:r>
      <w:r w:rsidR="008F6E84">
        <w:t> </w:t>
      </w:r>
      <w:r w:rsidR="00200B7A">
        <w:t>The effective assistance of counsel to which a party is entitled includes adequate time for counsel to prepare briefs or other documents that fully advance the party</w:t>
      </w:r>
      <w:r w:rsidR="005F27FE">
        <w:t>’</w:t>
      </w:r>
      <w:r w:rsidR="00200B7A">
        <w:t xml:space="preserve">s interests. </w:t>
      </w:r>
      <w:r w:rsidR="00B27991">
        <w:t xml:space="preserve"> </w:t>
      </w:r>
      <w:r w:rsidR="00200B7A">
        <w:t>Adequate time also allows the preparation of accurate, clear, concise, and complete submissions that assist the courts</w:t>
      </w:r>
      <w:r w:rsidR="00A83209">
        <w:t>”</w:t>
      </w:r>
      <w:r w:rsidR="0031523C">
        <w:t>].)</w:t>
      </w:r>
      <w:r w:rsidR="00400C69">
        <w:t xml:space="preserve"> </w:t>
      </w:r>
      <w:r w:rsidR="003F41E5">
        <w:t xml:space="preserve"> </w:t>
      </w:r>
      <w:r w:rsidR="00A607DD">
        <w:t>C</w:t>
      </w:r>
      <w:r w:rsidR="003F41E5">
        <w:t>ounsel</w:t>
      </w:r>
      <w:r w:rsidR="00A607DD">
        <w:t xml:space="preserve"> (whether for the appellant or the respondent)</w:t>
      </w:r>
      <w:r w:rsidR="00EF18ED">
        <w:t xml:space="preserve"> </w:t>
      </w:r>
      <w:r w:rsidR="0002285E">
        <w:t>may wish to address</w:t>
      </w:r>
      <w:r w:rsidR="003F41E5">
        <w:t xml:space="preserve"> whether the requested extension</w:t>
      </w:r>
      <w:r w:rsidR="00F21826">
        <w:t xml:space="preserve"> </w:t>
      </w:r>
      <w:r w:rsidR="008F1784">
        <w:t>would significantly</w:t>
      </w:r>
      <w:r w:rsidR="00F21826">
        <w:t xml:space="preserve"> compromise the court’s ability to adjudicate the appeal before the expiration</w:t>
      </w:r>
      <w:r w:rsidR="0036684C">
        <w:t xml:space="preserve"> of the civil commitment order</w:t>
      </w:r>
      <w:r w:rsidR="008F1784">
        <w:t xml:space="preserve"> if no exception to mootness applies</w:t>
      </w:r>
      <w:r w:rsidR="001B0E00">
        <w:t xml:space="preserve">, </w:t>
      </w:r>
      <w:r w:rsidR="00E9438D">
        <w:t xml:space="preserve">or whether the appellant contends that </w:t>
      </w:r>
      <w:r w:rsidR="00234E04">
        <w:t xml:space="preserve">the appeal is one that </w:t>
      </w:r>
      <w:r w:rsidR="00843EA5">
        <w:t>warrants</w:t>
      </w:r>
      <w:r w:rsidR="00234E04">
        <w:t xml:space="preserve"> the court’s discretionary review </w:t>
      </w:r>
      <w:r w:rsidR="00D33794">
        <w:t>if it is likely to be moot before a decision can be rendered</w:t>
      </w:r>
      <w:r w:rsidR="008F1784">
        <w:t>.</w:t>
      </w:r>
      <w:r w:rsidR="00F21826">
        <w:t xml:space="preserve"> </w:t>
      </w:r>
    </w:p>
    <w:bookmarkEnd w:id="0"/>
    <w:p w14:paraId="7E78188C" w14:textId="020DBAE0" w:rsidR="00714EDA" w:rsidRDefault="006E282E" w:rsidP="006E282E">
      <w:pPr>
        <w:pStyle w:val="Heading1"/>
        <w:rPr>
          <w:rFonts w:eastAsia="Times New Roman" w:cs="Times New Roman"/>
          <w:kern w:val="0"/>
          <w14:ligatures w14:val="none"/>
        </w:rPr>
      </w:pPr>
      <w:r>
        <w:t>D</w:t>
      </w:r>
      <w:r w:rsidR="00714EDA">
        <w:t>isposition</w:t>
      </w:r>
    </w:p>
    <w:p w14:paraId="06CCB0CC" w14:textId="77777777" w:rsidR="002E450A" w:rsidRDefault="004666EF" w:rsidP="006E282E">
      <w:r>
        <w:tab/>
        <w:t>The appeal is dismissed as moot.</w:t>
      </w:r>
    </w:p>
    <w:p w14:paraId="487118AD" w14:textId="77777777" w:rsidR="009815F9" w:rsidRPr="00490764" w:rsidRDefault="009815F9" w:rsidP="00490764">
      <w:pPr>
        <w:spacing w:line="240" w:lineRule="auto"/>
      </w:pPr>
      <w:r w:rsidRPr="00490764">
        <w:tab/>
      </w:r>
      <w:r w:rsidRPr="00490764">
        <w:tab/>
      </w:r>
      <w:r w:rsidRPr="00490764">
        <w:tab/>
      </w:r>
      <w:r w:rsidRPr="00490764">
        <w:tab/>
      </w:r>
      <w:r w:rsidRPr="00490764">
        <w:tab/>
      </w:r>
      <w:r w:rsidRPr="00490764">
        <w:tab/>
      </w:r>
      <w:r w:rsidRPr="00490764">
        <w:tab/>
        <w:t>GOLDMAN, J.</w:t>
      </w:r>
    </w:p>
    <w:p w14:paraId="35CC867B" w14:textId="77777777" w:rsidR="009815F9" w:rsidRPr="00490764" w:rsidRDefault="009815F9" w:rsidP="00490764">
      <w:pPr>
        <w:spacing w:line="240" w:lineRule="auto"/>
      </w:pPr>
    </w:p>
    <w:p w14:paraId="024FEA2A" w14:textId="77777777" w:rsidR="009815F9" w:rsidRPr="00490764" w:rsidRDefault="009815F9" w:rsidP="00490764">
      <w:pPr>
        <w:spacing w:line="240" w:lineRule="auto"/>
      </w:pPr>
      <w:r w:rsidRPr="00490764">
        <w:t>WE CONCUR:</w:t>
      </w:r>
    </w:p>
    <w:p w14:paraId="2835CA21" w14:textId="5CF37D0F" w:rsidR="009815F9" w:rsidRPr="00490764" w:rsidRDefault="009815F9" w:rsidP="00490764">
      <w:pPr>
        <w:spacing w:line="240" w:lineRule="auto"/>
      </w:pPr>
    </w:p>
    <w:p w14:paraId="329821C4" w14:textId="1037DBB7" w:rsidR="009815F9" w:rsidRDefault="009815F9" w:rsidP="00490764">
      <w:pPr>
        <w:spacing w:line="240" w:lineRule="auto"/>
      </w:pPr>
      <w:r w:rsidRPr="00490764">
        <w:t xml:space="preserve">BROWN, </w:t>
      </w:r>
      <w:r w:rsidR="007808F6">
        <w:t xml:space="preserve">P. </w:t>
      </w:r>
      <w:r w:rsidRPr="00490764">
        <w:t>J.</w:t>
      </w:r>
    </w:p>
    <w:p w14:paraId="173D97F4" w14:textId="044858EE" w:rsidR="009815F9" w:rsidRPr="00490764" w:rsidRDefault="008F7932" w:rsidP="00490764">
      <w:pPr>
        <w:spacing w:line="240" w:lineRule="auto"/>
      </w:pPr>
      <w:r>
        <w:t>SMILEY, J.</w:t>
      </w:r>
      <w:r w:rsidR="00351736" w:rsidRPr="00351736">
        <w:rPr>
          <w:rFonts w:eastAsia="Calibri" w:cs="Times New Roman"/>
          <w:kern w:val="0"/>
          <w:vertAlign w:val="superscript"/>
          <w14:ligatures w14:val="none"/>
        </w:rPr>
        <w:t xml:space="preserve"> </w:t>
      </w:r>
      <w:r w:rsidR="00351736" w:rsidRPr="00351736">
        <w:rPr>
          <w:rFonts w:eastAsia="Calibri" w:cs="Times New Roman"/>
          <w:kern w:val="0"/>
          <w:vertAlign w:val="superscript"/>
          <w14:ligatures w14:val="none"/>
        </w:rPr>
        <w:footnoteReference w:customMarkFollows="1" w:id="7"/>
        <w:t>*</w:t>
      </w:r>
    </w:p>
    <w:p w14:paraId="085E1C8E" w14:textId="69120132" w:rsidR="00F5058C" w:rsidRDefault="009815F9" w:rsidP="006E282E">
      <w:r>
        <w:t xml:space="preserve"> </w:t>
      </w:r>
    </w:p>
    <w:p w14:paraId="747CDB60" w14:textId="4FC5CAD1" w:rsidR="00F5058C" w:rsidRDefault="00F5058C">
      <w:r>
        <w:br w:type="page"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05"/>
        <w:gridCol w:w="5130"/>
      </w:tblGrid>
      <w:tr w:rsidR="00F5058C" w:rsidRPr="00F5058C" w14:paraId="0DCDD8FB" w14:textId="77777777" w:rsidTr="00F9456C">
        <w:tc>
          <w:tcPr>
            <w:tcW w:w="4405" w:type="dxa"/>
          </w:tcPr>
          <w:p w14:paraId="482600B7" w14:textId="77777777" w:rsidR="00F5058C" w:rsidRPr="001E14A1" w:rsidRDefault="00F5058C" w:rsidP="00F5058C">
            <w:pPr>
              <w:tabs>
                <w:tab w:val="left" w:pos="720"/>
              </w:tabs>
              <w:suppressAutoHyphens/>
              <w:rPr>
                <w:rFonts w:ascii="Century Schoolbook" w:hAnsi="Century Schoolbook"/>
              </w:rPr>
            </w:pPr>
            <w:r w:rsidRPr="001E14A1">
              <w:rPr>
                <w:rFonts w:ascii="Century Schoolbook" w:hAnsi="Century Schoolbook"/>
              </w:rPr>
              <w:lastRenderedPageBreak/>
              <w:t>Trial Court:</w:t>
            </w:r>
          </w:p>
        </w:tc>
        <w:tc>
          <w:tcPr>
            <w:tcW w:w="5130" w:type="dxa"/>
          </w:tcPr>
          <w:p w14:paraId="74F659CC" w14:textId="77777777" w:rsidR="00F5058C" w:rsidRPr="001E14A1" w:rsidRDefault="00F5058C" w:rsidP="00F5058C">
            <w:pPr>
              <w:tabs>
                <w:tab w:val="left" w:pos="720"/>
              </w:tabs>
              <w:suppressAutoHyphens/>
              <w:rPr>
                <w:rFonts w:ascii="Century Schoolbook" w:hAnsi="Century Schoolbook"/>
              </w:rPr>
            </w:pPr>
            <w:r w:rsidRPr="001E14A1">
              <w:rPr>
                <w:rFonts w:ascii="Century Schoolbook" w:hAnsi="Century Schoolbook"/>
              </w:rPr>
              <w:t>Contra Costa County Superior Court</w:t>
            </w:r>
          </w:p>
          <w:p w14:paraId="29DFE7D6" w14:textId="77777777" w:rsidR="00F5058C" w:rsidRPr="001E14A1" w:rsidRDefault="00F5058C" w:rsidP="00F5058C">
            <w:pPr>
              <w:tabs>
                <w:tab w:val="left" w:pos="720"/>
              </w:tabs>
              <w:suppressAutoHyphens/>
              <w:rPr>
                <w:rFonts w:ascii="Century Schoolbook" w:hAnsi="Century Schoolbook"/>
              </w:rPr>
            </w:pPr>
          </w:p>
        </w:tc>
      </w:tr>
      <w:tr w:rsidR="00F5058C" w:rsidRPr="00F5058C" w14:paraId="1FF15D27" w14:textId="77777777" w:rsidTr="00F9456C">
        <w:tc>
          <w:tcPr>
            <w:tcW w:w="4405" w:type="dxa"/>
          </w:tcPr>
          <w:p w14:paraId="2D09DFAA" w14:textId="77777777" w:rsidR="00F5058C" w:rsidRPr="001E14A1" w:rsidRDefault="00F5058C" w:rsidP="00F5058C">
            <w:pPr>
              <w:tabs>
                <w:tab w:val="left" w:pos="720"/>
              </w:tabs>
              <w:suppressAutoHyphens/>
              <w:rPr>
                <w:rFonts w:ascii="Century Schoolbook" w:hAnsi="Century Schoolbook"/>
              </w:rPr>
            </w:pPr>
            <w:r w:rsidRPr="001E14A1">
              <w:rPr>
                <w:rFonts w:ascii="Century Schoolbook" w:hAnsi="Century Schoolbook"/>
              </w:rPr>
              <w:t>Trial Judge:</w:t>
            </w:r>
          </w:p>
        </w:tc>
        <w:tc>
          <w:tcPr>
            <w:tcW w:w="5130" w:type="dxa"/>
          </w:tcPr>
          <w:p w14:paraId="6ED6455C" w14:textId="77777777" w:rsidR="00F5058C" w:rsidRPr="001E14A1" w:rsidRDefault="00F5058C" w:rsidP="00F5058C">
            <w:pPr>
              <w:tabs>
                <w:tab w:val="left" w:pos="720"/>
              </w:tabs>
              <w:suppressAutoHyphens/>
              <w:rPr>
                <w:rFonts w:ascii="Century Schoolbook" w:hAnsi="Century Schoolbook"/>
              </w:rPr>
            </w:pPr>
            <w:r w:rsidRPr="001E14A1">
              <w:rPr>
                <w:rFonts w:ascii="Century Schoolbook" w:hAnsi="Century Schoolbook"/>
              </w:rPr>
              <w:t>Honorable Julia Campins</w:t>
            </w:r>
          </w:p>
          <w:p w14:paraId="2D2FDB00" w14:textId="77777777" w:rsidR="00F5058C" w:rsidRPr="001E14A1" w:rsidRDefault="00F5058C" w:rsidP="00F5058C">
            <w:pPr>
              <w:tabs>
                <w:tab w:val="left" w:pos="720"/>
              </w:tabs>
              <w:suppressAutoHyphens/>
              <w:rPr>
                <w:rFonts w:ascii="Century Schoolbook" w:hAnsi="Century Schoolbook"/>
              </w:rPr>
            </w:pPr>
          </w:p>
        </w:tc>
      </w:tr>
      <w:tr w:rsidR="00F5058C" w:rsidRPr="00F5058C" w14:paraId="79F629A9" w14:textId="77777777" w:rsidTr="00F9456C">
        <w:tc>
          <w:tcPr>
            <w:tcW w:w="4405" w:type="dxa"/>
          </w:tcPr>
          <w:p w14:paraId="098F65F5" w14:textId="4FF5ED0C" w:rsidR="00F5058C" w:rsidRPr="001E14A1" w:rsidRDefault="00F5058C" w:rsidP="00F5058C">
            <w:pPr>
              <w:tabs>
                <w:tab w:val="left" w:pos="720"/>
              </w:tabs>
              <w:suppressAutoHyphens/>
              <w:rPr>
                <w:rFonts w:ascii="Century Schoolbook" w:hAnsi="Century Schoolbook"/>
              </w:rPr>
            </w:pPr>
            <w:r w:rsidRPr="001E14A1">
              <w:rPr>
                <w:rFonts w:ascii="Century Schoolbook" w:hAnsi="Century Schoolbook"/>
              </w:rPr>
              <w:t xml:space="preserve">Counsel for </w:t>
            </w:r>
            <w:r w:rsidR="00E10FF0">
              <w:rPr>
                <w:rFonts w:ascii="Century Schoolbook" w:hAnsi="Century Schoolbook"/>
              </w:rPr>
              <w:t>Objector</w:t>
            </w:r>
            <w:r w:rsidRPr="001E14A1">
              <w:rPr>
                <w:rFonts w:ascii="Century Schoolbook" w:hAnsi="Century Schoolbook"/>
              </w:rPr>
              <w:t xml:space="preserve"> and Appellant: </w:t>
            </w:r>
          </w:p>
        </w:tc>
        <w:tc>
          <w:tcPr>
            <w:tcW w:w="5130" w:type="dxa"/>
          </w:tcPr>
          <w:p w14:paraId="5D4711BD" w14:textId="77777777" w:rsidR="00F5058C" w:rsidRPr="001E14A1" w:rsidRDefault="00F5058C" w:rsidP="00F5058C">
            <w:pPr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1E14A1">
              <w:rPr>
                <w:rFonts w:ascii="Century Schoolbook" w:hAnsi="Century Schoolbook"/>
              </w:rPr>
              <w:t>Matthew J. Watts, under appointment by the Court of Appeal</w:t>
            </w:r>
          </w:p>
          <w:p w14:paraId="0A80602C" w14:textId="77777777" w:rsidR="00F5058C" w:rsidRPr="001E14A1" w:rsidRDefault="00F5058C" w:rsidP="00F5058C">
            <w:pPr>
              <w:suppressAutoHyphens/>
              <w:autoSpaceDE w:val="0"/>
              <w:adjustRightInd w:val="0"/>
              <w:rPr>
                <w:rFonts w:ascii="Century Schoolbook" w:hAnsi="Century Schoolbook"/>
              </w:rPr>
            </w:pPr>
          </w:p>
        </w:tc>
      </w:tr>
      <w:tr w:rsidR="00F5058C" w:rsidRPr="00F5058C" w14:paraId="15107FDC" w14:textId="77777777" w:rsidTr="00F9456C">
        <w:tc>
          <w:tcPr>
            <w:tcW w:w="4405" w:type="dxa"/>
          </w:tcPr>
          <w:p w14:paraId="73A922A4" w14:textId="3A3B0E6A" w:rsidR="00F5058C" w:rsidRPr="001E14A1" w:rsidRDefault="00F5058C" w:rsidP="00F5058C">
            <w:pPr>
              <w:tabs>
                <w:tab w:val="left" w:pos="720"/>
              </w:tabs>
              <w:suppressAutoHyphens/>
              <w:spacing w:after="120"/>
              <w:rPr>
                <w:rFonts w:ascii="Century Schoolbook" w:hAnsi="Century Schoolbook"/>
              </w:rPr>
            </w:pPr>
            <w:r w:rsidRPr="001E14A1">
              <w:rPr>
                <w:rFonts w:ascii="Century Schoolbook" w:hAnsi="Century Schoolbook"/>
              </w:rPr>
              <w:t xml:space="preserve">Counsel for </w:t>
            </w:r>
            <w:r w:rsidR="00E10FF0">
              <w:rPr>
                <w:rFonts w:ascii="Century Schoolbook" w:hAnsi="Century Schoolbook"/>
              </w:rPr>
              <w:t>Petitioner</w:t>
            </w:r>
            <w:r w:rsidRPr="001E14A1">
              <w:rPr>
                <w:rFonts w:ascii="Century Schoolbook" w:hAnsi="Century Schoolbook"/>
              </w:rPr>
              <w:t xml:space="preserve"> and Respondent: </w:t>
            </w:r>
          </w:p>
        </w:tc>
        <w:tc>
          <w:tcPr>
            <w:tcW w:w="5130" w:type="dxa"/>
          </w:tcPr>
          <w:p w14:paraId="3AA2DD4C" w14:textId="77777777" w:rsidR="00F5058C" w:rsidRPr="001E14A1" w:rsidRDefault="00F5058C" w:rsidP="00F5058C">
            <w:pPr>
              <w:suppressAutoHyphens/>
              <w:autoSpaceDE w:val="0"/>
              <w:adjustRightInd w:val="0"/>
              <w:rPr>
                <w:rFonts w:ascii="Century Schoolbook" w:hAnsi="Century Schoolbook"/>
              </w:rPr>
            </w:pPr>
            <w:r w:rsidRPr="001E14A1">
              <w:rPr>
                <w:rFonts w:ascii="Century Schoolbook" w:hAnsi="Century Schoolbook"/>
              </w:rPr>
              <w:t>Thomas L. Geiger, County Counsel, Steven P. Rettig, Assistant County Counsel, Patricia Lowe, Deputy County Counsel</w:t>
            </w:r>
          </w:p>
        </w:tc>
      </w:tr>
    </w:tbl>
    <w:p w14:paraId="72029DF2" w14:textId="77777777" w:rsidR="00F5058C" w:rsidRPr="000B7969" w:rsidRDefault="00F5058C" w:rsidP="006E282E"/>
    <w:sectPr w:rsidR="00F5058C" w:rsidRPr="000B7969" w:rsidSect="008B1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2965" w14:textId="77777777" w:rsidR="00DB07D4" w:rsidRDefault="00DB07D4" w:rsidP="00720B9E">
      <w:pPr>
        <w:spacing w:line="240" w:lineRule="auto"/>
      </w:pPr>
      <w:r>
        <w:separator/>
      </w:r>
    </w:p>
  </w:endnote>
  <w:endnote w:type="continuationSeparator" w:id="0">
    <w:p w14:paraId="0F105F03" w14:textId="77777777" w:rsidR="00DB07D4" w:rsidRDefault="00DB07D4" w:rsidP="00720B9E">
      <w:pPr>
        <w:spacing w:line="240" w:lineRule="auto"/>
      </w:pPr>
      <w:r>
        <w:continuationSeparator/>
      </w:r>
    </w:p>
  </w:endnote>
  <w:endnote w:type="continuationNotice" w:id="1">
    <w:p w14:paraId="2C713E06" w14:textId="77777777" w:rsidR="00DB07D4" w:rsidRDefault="00DB07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4F5B" w14:textId="77777777" w:rsidR="00B50F2F" w:rsidRDefault="00B50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095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7E296" w14:textId="7B65D3C1" w:rsidR="001E5D59" w:rsidRDefault="001E5D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4F1494" w14:textId="77777777" w:rsidR="001E5D59" w:rsidRDefault="001E5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226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86E63" w14:textId="43A66681" w:rsidR="002B6B39" w:rsidRDefault="002B6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0444E3" w14:textId="77777777" w:rsidR="006024DF" w:rsidRDefault="00602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F642" w14:textId="77777777" w:rsidR="00DB07D4" w:rsidRDefault="00DB07D4" w:rsidP="00720B9E">
      <w:pPr>
        <w:spacing w:line="240" w:lineRule="auto"/>
      </w:pPr>
      <w:r>
        <w:separator/>
      </w:r>
    </w:p>
  </w:footnote>
  <w:footnote w:type="continuationSeparator" w:id="0">
    <w:p w14:paraId="4D29BBD7" w14:textId="77777777" w:rsidR="00DB07D4" w:rsidRDefault="00DB07D4" w:rsidP="00720B9E">
      <w:pPr>
        <w:spacing w:line="240" w:lineRule="auto"/>
      </w:pPr>
      <w:r>
        <w:continuationSeparator/>
      </w:r>
    </w:p>
  </w:footnote>
  <w:footnote w:type="continuationNotice" w:id="1">
    <w:p w14:paraId="12C12E6B" w14:textId="77777777" w:rsidR="00DB07D4" w:rsidRDefault="00DB07D4">
      <w:pPr>
        <w:spacing w:line="240" w:lineRule="auto"/>
      </w:pPr>
    </w:p>
  </w:footnote>
  <w:footnote w:id="2">
    <w:p w14:paraId="0AC16AFD" w14:textId="113EDE33" w:rsidR="00E465D5" w:rsidRPr="006604E8" w:rsidRDefault="00E465D5" w:rsidP="005B39D5">
      <w:pPr>
        <w:pStyle w:val="FootnoteText"/>
        <w:spacing w:after="120"/>
        <w:rPr>
          <w:rFonts w:ascii="Century Schoolbook" w:hAnsi="Century Schoolbook"/>
          <w:sz w:val="26"/>
          <w:szCs w:val="26"/>
        </w:rPr>
      </w:pPr>
      <w:r w:rsidRPr="006604E8">
        <w:rPr>
          <w:rStyle w:val="FootnoteReference"/>
          <w:rFonts w:ascii="Century Schoolbook" w:hAnsi="Century Schoolbook"/>
          <w:sz w:val="26"/>
          <w:szCs w:val="26"/>
        </w:rPr>
        <w:t>*</w:t>
      </w:r>
      <w:r w:rsidRPr="006604E8">
        <w:rPr>
          <w:rFonts w:ascii="Century Schoolbook" w:hAnsi="Century Schoolbook"/>
          <w:sz w:val="26"/>
          <w:szCs w:val="26"/>
        </w:rPr>
        <w:t xml:space="preserve"> Pursuant to California Rules of Court, rules 8.1105(b) and 8.1110, this opinion is certified for publication with the exception of part</w:t>
      </w:r>
      <w:r w:rsidR="006604E8" w:rsidRPr="006604E8">
        <w:rPr>
          <w:rFonts w:ascii="Century Schoolbook" w:hAnsi="Century Schoolbook"/>
          <w:sz w:val="26"/>
          <w:szCs w:val="26"/>
        </w:rPr>
        <w:t>s I and II.</w:t>
      </w:r>
      <w:r w:rsidRPr="006604E8">
        <w:rPr>
          <w:rFonts w:ascii="Century Schoolbook" w:hAnsi="Century Schoolbook"/>
          <w:sz w:val="26"/>
          <w:szCs w:val="26"/>
        </w:rPr>
        <w:t xml:space="preserve"> </w:t>
      </w:r>
    </w:p>
  </w:footnote>
  <w:footnote w:id="3">
    <w:p w14:paraId="7222AB23" w14:textId="77777777" w:rsidR="00E56ECC" w:rsidRPr="00AB1124" w:rsidRDefault="00E56ECC" w:rsidP="00E56ECC">
      <w:pPr>
        <w:pStyle w:val="FootnoteText"/>
        <w:spacing w:after="120"/>
        <w:ind w:firstLine="720"/>
        <w:rPr>
          <w:rFonts w:ascii="Century Schoolbook" w:hAnsi="Century Schoolbook"/>
          <w:sz w:val="26"/>
          <w:szCs w:val="26"/>
        </w:rPr>
      </w:pPr>
      <w:r w:rsidRPr="00A53872">
        <w:rPr>
          <w:rStyle w:val="FootnoteReference"/>
          <w:rFonts w:ascii="Century Schoolbook" w:hAnsi="Century Schoolbook"/>
          <w:sz w:val="26"/>
          <w:szCs w:val="26"/>
        </w:rPr>
        <w:footnoteRef/>
      </w:r>
      <w:r>
        <w:t xml:space="preserve"> </w:t>
      </w:r>
      <w:r w:rsidRPr="00FE7792">
        <w:rPr>
          <w:rFonts w:ascii="Century Schoolbook" w:hAnsi="Century Schoolbook"/>
          <w:sz w:val="26"/>
          <w:szCs w:val="26"/>
        </w:rPr>
        <w:t xml:space="preserve">Undesignated statutory references are to the </w:t>
      </w:r>
      <w:r w:rsidRPr="00E56ECC">
        <w:rPr>
          <w:rFonts w:ascii="Century Schoolbook" w:hAnsi="Century Schoolbook"/>
          <w:sz w:val="26"/>
          <w:szCs w:val="26"/>
        </w:rPr>
        <w:t>Welfare and Institutions Code</w:t>
      </w:r>
      <w:r w:rsidRPr="00FE7792">
        <w:rPr>
          <w:rFonts w:ascii="Century Schoolbook" w:hAnsi="Century Schoolbook"/>
          <w:sz w:val="26"/>
          <w:szCs w:val="26"/>
        </w:rPr>
        <w:t>.</w:t>
      </w:r>
    </w:p>
  </w:footnote>
  <w:footnote w:id="4">
    <w:p w14:paraId="52213A89" w14:textId="72754705" w:rsidR="00A70DDD" w:rsidRPr="003B0C77" w:rsidRDefault="00A70DDD" w:rsidP="00A70DDD">
      <w:pPr>
        <w:pStyle w:val="FootnoteText"/>
        <w:ind w:firstLine="720"/>
        <w:rPr>
          <w:rFonts w:ascii="Century Schoolbook" w:hAnsi="Century Schoolbook"/>
          <w:sz w:val="26"/>
          <w:szCs w:val="26"/>
        </w:rPr>
      </w:pPr>
      <w:r w:rsidRPr="003B0C77">
        <w:rPr>
          <w:rStyle w:val="FootnoteReference"/>
          <w:rFonts w:ascii="Century Schoolbook" w:hAnsi="Century Schoolbook"/>
          <w:sz w:val="26"/>
          <w:szCs w:val="26"/>
        </w:rPr>
        <w:footnoteRef/>
      </w:r>
      <w:r w:rsidRPr="003B0C77">
        <w:rPr>
          <w:rFonts w:ascii="Century Schoolbook" w:hAnsi="Century Schoolbook"/>
          <w:sz w:val="26"/>
          <w:szCs w:val="26"/>
        </w:rPr>
        <w:t xml:space="preserve"> At the time of K.Y.’s trial, section</w:t>
      </w:r>
      <w:r w:rsidR="00491A38">
        <w:rPr>
          <w:rFonts w:ascii="Century Schoolbook" w:hAnsi="Century Schoolbook"/>
          <w:sz w:val="26"/>
          <w:szCs w:val="26"/>
        </w:rPr>
        <w:t> </w:t>
      </w:r>
      <w:r w:rsidRPr="003B0C77">
        <w:rPr>
          <w:rFonts w:ascii="Century Schoolbook" w:hAnsi="Century Schoolbook"/>
          <w:sz w:val="26"/>
          <w:szCs w:val="26"/>
        </w:rPr>
        <w:t>5008, subdivision</w:t>
      </w:r>
      <w:r w:rsidR="00491A38">
        <w:rPr>
          <w:rFonts w:ascii="Century Schoolbook" w:hAnsi="Century Schoolbook"/>
          <w:sz w:val="26"/>
          <w:szCs w:val="26"/>
        </w:rPr>
        <w:t> </w:t>
      </w:r>
      <w:r w:rsidRPr="003B0C77">
        <w:rPr>
          <w:rFonts w:ascii="Century Schoolbook" w:hAnsi="Century Schoolbook"/>
          <w:sz w:val="26"/>
          <w:szCs w:val="26"/>
        </w:rPr>
        <w:t>(h)(1)(A) defined gravely disabled as “</w:t>
      </w:r>
      <w:r w:rsidR="00550414">
        <w:rPr>
          <w:rFonts w:ascii="Century Schoolbook" w:hAnsi="Century Schoolbook"/>
          <w:sz w:val="26"/>
          <w:szCs w:val="26"/>
        </w:rPr>
        <w:t>[a]</w:t>
      </w:r>
      <w:r w:rsidRPr="003B0C77">
        <w:rPr>
          <w:rFonts w:ascii="Century Schoolbook" w:hAnsi="Century Schoolbook"/>
          <w:sz w:val="26"/>
          <w:szCs w:val="26"/>
        </w:rPr>
        <w:t xml:space="preserve"> condition in which a person, as a result of a mental health disorder, is unable to provide for his or her basic personal needs for food, clothing, or shelter.” </w:t>
      </w:r>
      <w:r>
        <w:rPr>
          <w:rFonts w:ascii="Century Schoolbook" w:hAnsi="Century Schoolbook"/>
          <w:sz w:val="26"/>
          <w:szCs w:val="26"/>
        </w:rPr>
        <w:t xml:space="preserve"> (</w:t>
      </w:r>
      <w:r w:rsidRPr="00F57265">
        <w:rPr>
          <w:rFonts w:ascii="Century Schoolbook" w:hAnsi="Century Schoolbook"/>
          <w:sz w:val="26"/>
          <w:szCs w:val="26"/>
        </w:rPr>
        <w:t>Stats.2017, c</w:t>
      </w:r>
      <w:r w:rsidR="00FF1ED3">
        <w:rPr>
          <w:rFonts w:ascii="Century Schoolbook" w:hAnsi="Century Schoolbook"/>
          <w:sz w:val="26"/>
          <w:szCs w:val="26"/>
        </w:rPr>
        <w:t>h</w:t>
      </w:r>
      <w:r w:rsidRPr="00F57265">
        <w:rPr>
          <w:rFonts w:ascii="Century Schoolbook" w:hAnsi="Century Schoolbook"/>
          <w:sz w:val="26"/>
          <w:szCs w:val="26"/>
        </w:rPr>
        <w:t>.</w:t>
      </w:r>
      <w:r w:rsidR="00491A38">
        <w:rPr>
          <w:rFonts w:ascii="Century Schoolbook" w:hAnsi="Century Schoolbook"/>
          <w:sz w:val="26"/>
          <w:szCs w:val="26"/>
        </w:rPr>
        <w:t> </w:t>
      </w:r>
      <w:r w:rsidRPr="00F57265">
        <w:rPr>
          <w:rFonts w:ascii="Century Schoolbook" w:hAnsi="Century Schoolbook"/>
          <w:sz w:val="26"/>
          <w:szCs w:val="26"/>
        </w:rPr>
        <w:t>246, § 3, eff. Jan.</w:t>
      </w:r>
      <w:r w:rsidR="00491A38">
        <w:rPr>
          <w:rFonts w:ascii="Century Schoolbook" w:hAnsi="Century Schoolbook"/>
          <w:sz w:val="26"/>
          <w:szCs w:val="26"/>
        </w:rPr>
        <w:t> </w:t>
      </w:r>
      <w:r w:rsidRPr="00F57265">
        <w:rPr>
          <w:rFonts w:ascii="Century Schoolbook" w:hAnsi="Century Schoolbook"/>
          <w:sz w:val="26"/>
          <w:szCs w:val="26"/>
        </w:rPr>
        <w:t>1, 2018</w:t>
      </w:r>
      <w:r>
        <w:rPr>
          <w:rFonts w:ascii="Century Schoolbook" w:hAnsi="Century Schoolbook"/>
          <w:sz w:val="26"/>
          <w:szCs w:val="26"/>
        </w:rPr>
        <w:t xml:space="preserve">.)  </w:t>
      </w:r>
      <w:r w:rsidRPr="003B0C77">
        <w:rPr>
          <w:rFonts w:ascii="Century Schoolbook" w:hAnsi="Century Schoolbook"/>
          <w:sz w:val="26"/>
          <w:szCs w:val="26"/>
        </w:rPr>
        <w:t>Effective January</w:t>
      </w:r>
      <w:r w:rsidR="00491A38">
        <w:rPr>
          <w:rFonts w:ascii="Century Schoolbook" w:hAnsi="Century Schoolbook"/>
          <w:sz w:val="26"/>
          <w:szCs w:val="26"/>
        </w:rPr>
        <w:t> </w:t>
      </w:r>
      <w:r w:rsidRPr="003B0C77">
        <w:rPr>
          <w:rFonts w:ascii="Century Schoolbook" w:hAnsi="Century Schoolbook"/>
          <w:sz w:val="26"/>
          <w:szCs w:val="26"/>
        </w:rPr>
        <w:t>1, 2024, this provision was amended and currently defines gravely disabled as “</w:t>
      </w:r>
      <w:r w:rsidR="00550414">
        <w:rPr>
          <w:rFonts w:ascii="Century Schoolbook" w:hAnsi="Century Schoolbook"/>
          <w:sz w:val="26"/>
          <w:szCs w:val="26"/>
        </w:rPr>
        <w:t>[a]</w:t>
      </w:r>
      <w:r w:rsidRPr="003B0C77">
        <w:rPr>
          <w:rFonts w:ascii="Century Schoolbook" w:hAnsi="Century Schoolbook"/>
          <w:sz w:val="26"/>
          <w:szCs w:val="26"/>
        </w:rPr>
        <w:t xml:space="preserve"> condition in which a person, as a result of a mental health disorder, a severe substance use disorder, or a co-occurring mental health disorder and a severe substance use disorder, is unable to provide for their basic personal needs for food, clothing, shelter, personal safety, or necessary medical care.</w:t>
      </w:r>
      <w:r>
        <w:rPr>
          <w:rFonts w:ascii="Century Schoolbook" w:hAnsi="Century Schoolbook"/>
          <w:sz w:val="26"/>
          <w:szCs w:val="26"/>
        </w:rPr>
        <w:t>”</w:t>
      </w:r>
      <w:r w:rsidR="009D532A">
        <w:rPr>
          <w:rFonts w:ascii="Century Schoolbook" w:hAnsi="Century Schoolbook"/>
          <w:sz w:val="26"/>
          <w:szCs w:val="26"/>
        </w:rPr>
        <w:t xml:space="preserve"> </w:t>
      </w:r>
      <w:r w:rsidR="00234E29">
        <w:rPr>
          <w:rFonts w:ascii="Century Schoolbook" w:hAnsi="Century Schoolbook"/>
          <w:sz w:val="26"/>
          <w:szCs w:val="26"/>
        </w:rPr>
        <w:t xml:space="preserve"> </w:t>
      </w:r>
      <w:r w:rsidR="009D532A">
        <w:rPr>
          <w:rFonts w:ascii="Century Schoolbook" w:hAnsi="Century Schoolbook"/>
          <w:sz w:val="26"/>
          <w:szCs w:val="26"/>
        </w:rPr>
        <w:t>Section</w:t>
      </w:r>
      <w:r w:rsidR="00491A38">
        <w:rPr>
          <w:rFonts w:ascii="Century Schoolbook" w:hAnsi="Century Schoolbook"/>
          <w:sz w:val="26"/>
          <w:szCs w:val="26"/>
        </w:rPr>
        <w:t> </w:t>
      </w:r>
      <w:r w:rsidR="009D532A">
        <w:rPr>
          <w:rFonts w:ascii="Century Schoolbook" w:hAnsi="Century Schoolbook"/>
          <w:sz w:val="26"/>
          <w:szCs w:val="26"/>
        </w:rPr>
        <w:t>5357, subdivision</w:t>
      </w:r>
      <w:r w:rsidR="00491A38">
        <w:rPr>
          <w:rFonts w:ascii="Century Schoolbook" w:hAnsi="Century Schoolbook"/>
          <w:sz w:val="26"/>
          <w:szCs w:val="26"/>
        </w:rPr>
        <w:t> </w:t>
      </w:r>
      <w:r w:rsidR="009D532A" w:rsidRPr="00885BB1">
        <w:rPr>
          <w:rFonts w:ascii="Century Schoolbook" w:hAnsi="Century Schoolbook"/>
          <w:sz w:val="26"/>
          <w:szCs w:val="26"/>
        </w:rPr>
        <w:t xml:space="preserve">(d) </w:t>
      </w:r>
      <w:r w:rsidR="009D532A">
        <w:rPr>
          <w:rFonts w:ascii="Century Schoolbook" w:hAnsi="Century Schoolbook"/>
          <w:sz w:val="26"/>
          <w:szCs w:val="26"/>
        </w:rPr>
        <w:t xml:space="preserve">at all times authorized the court to </w:t>
      </w:r>
      <w:r w:rsidR="006342AB">
        <w:rPr>
          <w:rFonts w:ascii="Century Schoolbook" w:hAnsi="Century Schoolbook"/>
          <w:sz w:val="26"/>
          <w:szCs w:val="26"/>
        </w:rPr>
        <w:t xml:space="preserve">impose a “disability” </w:t>
      </w:r>
      <w:r w:rsidR="002B2AD6">
        <w:rPr>
          <w:rFonts w:ascii="Century Schoolbook" w:hAnsi="Century Schoolbook"/>
          <w:sz w:val="26"/>
          <w:szCs w:val="26"/>
        </w:rPr>
        <w:t>that restricts the</w:t>
      </w:r>
      <w:r w:rsidR="006342AB">
        <w:rPr>
          <w:rFonts w:ascii="Century Schoolbook" w:hAnsi="Century Schoolbook"/>
          <w:sz w:val="26"/>
          <w:szCs w:val="26"/>
        </w:rPr>
        <w:t xml:space="preserve"> conservatee</w:t>
      </w:r>
      <w:r w:rsidR="006B0129">
        <w:rPr>
          <w:rFonts w:ascii="Century Schoolbook" w:hAnsi="Century Schoolbook"/>
          <w:sz w:val="26"/>
          <w:szCs w:val="26"/>
        </w:rPr>
        <w:t>’s</w:t>
      </w:r>
      <w:r w:rsidR="006342AB">
        <w:rPr>
          <w:rFonts w:ascii="Century Schoolbook" w:hAnsi="Century Schoolbook"/>
          <w:sz w:val="26"/>
          <w:szCs w:val="26"/>
        </w:rPr>
        <w:t xml:space="preserve"> </w:t>
      </w:r>
      <w:r w:rsidR="00E258D4">
        <w:rPr>
          <w:rFonts w:ascii="Century Schoolbook" w:hAnsi="Century Schoolbook"/>
          <w:sz w:val="26"/>
          <w:szCs w:val="26"/>
        </w:rPr>
        <w:t>“</w:t>
      </w:r>
      <w:r w:rsidR="009D532A" w:rsidRPr="00885BB1">
        <w:rPr>
          <w:rFonts w:ascii="Century Schoolbook" w:hAnsi="Century Schoolbook"/>
          <w:sz w:val="26"/>
          <w:szCs w:val="26"/>
        </w:rPr>
        <w:t>right to refuse or consent to treatment related specifically to the conservatee</w:t>
      </w:r>
      <w:r w:rsidR="00E258D4">
        <w:rPr>
          <w:rFonts w:ascii="Century Schoolbook" w:hAnsi="Century Schoolbook"/>
          <w:sz w:val="26"/>
          <w:szCs w:val="26"/>
        </w:rPr>
        <w:t>’</w:t>
      </w:r>
      <w:r w:rsidR="009D532A" w:rsidRPr="00885BB1">
        <w:rPr>
          <w:rFonts w:ascii="Century Schoolbook" w:hAnsi="Century Schoolbook"/>
          <w:sz w:val="26"/>
          <w:szCs w:val="26"/>
        </w:rPr>
        <w:t>s being gravely disabled.</w:t>
      </w:r>
      <w:r w:rsidR="009D532A">
        <w:rPr>
          <w:rFonts w:ascii="Century Schoolbook" w:hAnsi="Century Schoolbook"/>
          <w:sz w:val="26"/>
          <w:szCs w:val="26"/>
        </w:rPr>
        <w:t>”</w:t>
      </w:r>
      <w:r>
        <w:rPr>
          <w:rFonts w:ascii="Century Schoolbook" w:hAnsi="Century Schoolbook"/>
          <w:sz w:val="26"/>
          <w:szCs w:val="26"/>
        </w:rPr>
        <w:t xml:space="preserve"> </w:t>
      </w:r>
    </w:p>
  </w:footnote>
  <w:footnote w:id="5">
    <w:p w14:paraId="44BEB40D" w14:textId="6C26D47A" w:rsidR="00B51B83" w:rsidRPr="00B51B83" w:rsidRDefault="00B51B83" w:rsidP="00CA1D9E">
      <w:pPr>
        <w:pStyle w:val="FootnoteText"/>
        <w:ind w:firstLine="720"/>
        <w:rPr>
          <w:rFonts w:ascii="Century Schoolbook" w:hAnsi="Century Schoolbook"/>
          <w:sz w:val="26"/>
          <w:szCs w:val="26"/>
        </w:rPr>
      </w:pPr>
      <w:r w:rsidRPr="00B51B83">
        <w:rPr>
          <w:rStyle w:val="FootnoteReference"/>
          <w:rFonts w:ascii="Century Schoolbook" w:hAnsi="Century Schoolbook"/>
          <w:sz w:val="26"/>
          <w:szCs w:val="26"/>
        </w:rPr>
        <w:footnoteRef/>
      </w:r>
      <w:r w:rsidRPr="00B51B83">
        <w:rPr>
          <w:rFonts w:ascii="Century Schoolbook" w:hAnsi="Century Schoolbook"/>
          <w:sz w:val="26"/>
          <w:szCs w:val="26"/>
        </w:rPr>
        <w:t xml:space="preserve"> The Public Guardian’s request </w:t>
      </w:r>
      <w:r w:rsidR="00C64881">
        <w:rPr>
          <w:rFonts w:ascii="Century Schoolbook" w:hAnsi="Century Schoolbook"/>
          <w:sz w:val="26"/>
          <w:szCs w:val="26"/>
        </w:rPr>
        <w:t xml:space="preserve">that this court take </w:t>
      </w:r>
      <w:r w:rsidRPr="00B51B83">
        <w:rPr>
          <w:rFonts w:ascii="Century Schoolbook" w:hAnsi="Century Schoolbook"/>
          <w:sz w:val="26"/>
          <w:szCs w:val="26"/>
        </w:rPr>
        <w:t xml:space="preserve">judicial notice of </w:t>
      </w:r>
      <w:r w:rsidR="0075100E">
        <w:rPr>
          <w:rFonts w:ascii="Century Schoolbook" w:hAnsi="Century Schoolbook"/>
          <w:sz w:val="26"/>
          <w:szCs w:val="26"/>
        </w:rPr>
        <w:t xml:space="preserve">Superior Court </w:t>
      </w:r>
      <w:r w:rsidR="00217290">
        <w:rPr>
          <w:rFonts w:ascii="Century Schoolbook" w:hAnsi="Century Schoolbook"/>
          <w:sz w:val="26"/>
          <w:szCs w:val="26"/>
        </w:rPr>
        <w:t xml:space="preserve">minute orders </w:t>
      </w:r>
      <w:r w:rsidR="00C64881" w:rsidRPr="00C64881">
        <w:rPr>
          <w:rFonts w:ascii="Century Schoolbook" w:hAnsi="Century Schoolbook"/>
          <w:sz w:val="26"/>
          <w:szCs w:val="26"/>
        </w:rPr>
        <w:t>dated December</w:t>
      </w:r>
      <w:r w:rsidR="00B23418">
        <w:rPr>
          <w:rFonts w:ascii="Century Schoolbook" w:hAnsi="Century Schoolbook"/>
          <w:sz w:val="26"/>
          <w:szCs w:val="26"/>
        </w:rPr>
        <w:t> </w:t>
      </w:r>
      <w:r w:rsidR="00C64881" w:rsidRPr="00C64881">
        <w:rPr>
          <w:rFonts w:ascii="Century Schoolbook" w:hAnsi="Century Schoolbook"/>
          <w:sz w:val="26"/>
          <w:szCs w:val="26"/>
        </w:rPr>
        <w:t>6,</w:t>
      </w:r>
      <w:r w:rsidR="00C64881">
        <w:rPr>
          <w:rFonts w:ascii="Century Schoolbook" w:hAnsi="Century Schoolbook"/>
          <w:sz w:val="26"/>
          <w:szCs w:val="26"/>
        </w:rPr>
        <w:t xml:space="preserve"> </w:t>
      </w:r>
      <w:r w:rsidR="00C64881" w:rsidRPr="00C64881">
        <w:rPr>
          <w:rFonts w:ascii="Century Schoolbook" w:hAnsi="Century Schoolbook"/>
          <w:sz w:val="26"/>
          <w:szCs w:val="26"/>
        </w:rPr>
        <w:t>2023, January</w:t>
      </w:r>
      <w:r w:rsidR="00B23418">
        <w:rPr>
          <w:rFonts w:ascii="Century Schoolbook" w:hAnsi="Century Schoolbook"/>
          <w:sz w:val="26"/>
          <w:szCs w:val="26"/>
        </w:rPr>
        <w:t> </w:t>
      </w:r>
      <w:r w:rsidR="00C64881" w:rsidRPr="00C64881">
        <w:rPr>
          <w:rFonts w:ascii="Century Schoolbook" w:hAnsi="Century Schoolbook"/>
          <w:sz w:val="26"/>
          <w:szCs w:val="26"/>
        </w:rPr>
        <w:t>10, 2024, January</w:t>
      </w:r>
      <w:r w:rsidR="00B23418">
        <w:rPr>
          <w:rFonts w:ascii="Century Schoolbook" w:hAnsi="Century Schoolbook"/>
          <w:sz w:val="26"/>
          <w:szCs w:val="26"/>
        </w:rPr>
        <w:t> </w:t>
      </w:r>
      <w:r w:rsidR="00C64881" w:rsidRPr="00C64881">
        <w:rPr>
          <w:rFonts w:ascii="Century Schoolbook" w:hAnsi="Century Schoolbook"/>
          <w:sz w:val="26"/>
          <w:szCs w:val="26"/>
        </w:rPr>
        <w:t>24, 2024, and January</w:t>
      </w:r>
      <w:r w:rsidR="00B23418">
        <w:rPr>
          <w:rFonts w:ascii="Century Schoolbook" w:hAnsi="Century Schoolbook"/>
          <w:sz w:val="26"/>
          <w:szCs w:val="26"/>
        </w:rPr>
        <w:t> </w:t>
      </w:r>
      <w:r w:rsidR="00C64881" w:rsidRPr="00C64881">
        <w:rPr>
          <w:rFonts w:ascii="Century Schoolbook" w:hAnsi="Century Schoolbook"/>
          <w:sz w:val="26"/>
          <w:szCs w:val="26"/>
        </w:rPr>
        <w:t>29, 2024</w:t>
      </w:r>
      <w:r w:rsidR="007A5317">
        <w:rPr>
          <w:rFonts w:ascii="Century Schoolbook" w:hAnsi="Century Schoolbook"/>
          <w:sz w:val="26"/>
          <w:szCs w:val="26"/>
        </w:rPr>
        <w:t>,</w:t>
      </w:r>
      <w:r w:rsidRPr="00B51B83">
        <w:rPr>
          <w:rFonts w:ascii="Century Schoolbook" w:hAnsi="Century Schoolbook"/>
          <w:sz w:val="26"/>
          <w:szCs w:val="26"/>
        </w:rPr>
        <w:t xml:space="preserve"> is granted. </w:t>
      </w:r>
    </w:p>
  </w:footnote>
  <w:footnote w:id="6">
    <w:p w14:paraId="770CD5DC" w14:textId="1F06BC9F" w:rsidR="00BD5C96" w:rsidRPr="0036684C" w:rsidRDefault="00BD5C96" w:rsidP="00DB7D7F">
      <w:pPr>
        <w:pStyle w:val="FootnoteText"/>
        <w:spacing w:after="120"/>
        <w:ind w:firstLine="720"/>
        <w:rPr>
          <w:rFonts w:ascii="Century Schoolbook" w:hAnsi="Century Schoolbook"/>
          <w:sz w:val="26"/>
          <w:szCs w:val="26"/>
        </w:rPr>
      </w:pPr>
      <w:r w:rsidRPr="0036684C">
        <w:rPr>
          <w:rStyle w:val="FootnoteReference"/>
          <w:rFonts w:ascii="Century Schoolbook" w:hAnsi="Century Schoolbook"/>
          <w:sz w:val="26"/>
          <w:szCs w:val="26"/>
        </w:rPr>
        <w:footnoteRef/>
      </w:r>
      <w:r w:rsidRPr="0036684C">
        <w:rPr>
          <w:rFonts w:ascii="Century Schoolbook" w:hAnsi="Century Schoolbook"/>
          <w:sz w:val="26"/>
          <w:szCs w:val="26"/>
        </w:rPr>
        <w:t xml:space="preserve"> </w:t>
      </w:r>
      <w:r w:rsidR="000C2ADE" w:rsidRPr="000C2ADE">
        <w:rPr>
          <w:rFonts w:ascii="Century Schoolbook" w:hAnsi="Century Schoolbook"/>
          <w:sz w:val="26"/>
          <w:szCs w:val="26"/>
        </w:rPr>
        <w:t>The current Judicial Council forms to request an extension of time do not call for this information</w:t>
      </w:r>
      <w:r w:rsidR="000C2ADE">
        <w:rPr>
          <w:rFonts w:ascii="Century Schoolbook" w:hAnsi="Century Schoolbook"/>
          <w:sz w:val="26"/>
          <w:szCs w:val="26"/>
        </w:rPr>
        <w:t xml:space="preserve">. </w:t>
      </w:r>
      <w:r w:rsidRPr="0036684C">
        <w:rPr>
          <w:rFonts w:ascii="Century Schoolbook" w:hAnsi="Century Schoolbook"/>
          <w:sz w:val="26"/>
          <w:szCs w:val="26"/>
        </w:rPr>
        <w:t xml:space="preserve"> </w:t>
      </w:r>
      <w:r w:rsidR="00AB23BB">
        <w:rPr>
          <w:rFonts w:ascii="Century Schoolbook" w:hAnsi="Century Schoolbook"/>
          <w:sz w:val="26"/>
          <w:szCs w:val="26"/>
        </w:rPr>
        <w:t xml:space="preserve">California </w:t>
      </w:r>
      <w:r w:rsidR="00FC5FC1">
        <w:rPr>
          <w:rFonts w:ascii="Century Schoolbook" w:hAnsi="Century Schoolbook"/>
          <w:sz w:val="26"/>
          <w:szCs w:val="26"/>
        </w:rPr>
        <w:t>Rules of Court r</w:t>
      </w:r>
      <w:r w:rsidR="00FF02D6">
        <w:rPr>
          <w:rFonts w:ascii="Century Schoolbook" w:hAnsi="Century Schoolbook"/>
          <w:sz w:val="26"/>
          <w:szCs w:val="26"/>
        </w:rPr>
        <w:t xml:space="preserve">ule </w:t>
      </w:r>
      <w:r w:rsidR="001B148B">
        <w:rPr>
          <w:rFonts w:ascii="Century Schoolbook" w:hAnsi="Century Schoolbook"/>
          <w:sz w:val="26"/>
          <w:szCs w:val="26"/>
        </w:rPr>
        <w:t xml:space="preserve">8.480 </w:t>
      </w:r>
      <w:r w:rsidR="00C6076A">
        <w:rPr>
          <w:rFonts w:ascii="Century Schoolbook" w:hAnsi="Century Schoolbook"/>
          <w:sz w:val="26"/>
          <w:szCs w:val="26"/>
        </w:rPr>
        <w:t>provides</w:t>
      </w:r>
      <w:r w:rsidR="001B148B">
        <w:rPr>
          <w:rFonts w:ascii="Century Schoolbook" w:hAnsi="Century Schoolbook"/>
          <w:sz w:val="26"/>
          <w:szCs w:val="26"/>
        </w:rPr>
        <w:t xml:space="preserve"> </w:t>
      </w:r>
      <w:r w:rsidR="00C6076A">
        <w:rPr>
          <w:rFonts w:ascii="Century Schoolbook" w:hAnsi="Century Schoolbook"/>
          <w:sz w:val="26"/>
          <w:szCs w:val="26"/>
        </w:rPr>
        <w:t xml:space="preserve">generally </w:t>
      </w:r>
      <w:r w:rsidR="003B4E7B">
        <w:rPr>
          <w:rFonts w:ascii="Century Schoolbook" w:hAnsi="Century Schoolbook"/>
          <w:sz w:val="26"/>
          <w:szCs w:val="26"/>
        </w:rPr>
        <w:t>that</w:t>
      </w:r>
      <w:r w:rsidR="00C6076A">
        <w:rPr>
          <w:rFonts w:ascii="Century Schoolbook" w:hAnsi="Century Schoolbook"/>
          <w:sz w:val="26"/>
          <w:szCs w:val="26"/>
        </w:rPr>
        <w:t xml:space="preserve"> </w:t>
      </w:r>
      <w:r w:rsidR="00401C23">
        <w:rPr>
          <w:rFonts w:ascii="Century Schoolbook" w:hAnsi="Century Schoolbook"/>
          <w:sz w:val="26"/>
          <w:szCs w:val="26"/>
        </w:rPr>
        <w:t xml:space="preserve">criminal </w:t>
      </w:r>
      <w:r w:rsidR="00F10638">
        <w:rPr>
          <w:rFonts w:ascii="Century Schoolbook" w:hAnsi="Century Schoolbook"/>
          <w:sz w:val="26"/>
          <w:szCs w:val="26"/>
        </w:rPr>
        <w:t xml:space="preserve">rules </w:t>
      </w:r>
      <w:r w:rsidR="001760F9">
        <w:rPr>
          <w:rFonts w:ascii="Century Schoolbook" w:hAnsi="Century Schoolbook"/>
          <w:sz w:val="26"/>
          <w:szCs w:val="26"/>
        </w:rPr>
        <w:t>8.30</w:t>
      </w:r>
      <w:r w:rsidR="00D5699C">
        <w:rPr>
          <w:rFonts w:ascii="Century Schoolbook" w:hAnsi="Century Schoolbook"/>
          <w:sz w:val="26"/>
          <w:szCs w:val="26"/>
        </w:rPr>
        <w:t>4</w:t>
      </w:r>
      <w:r w:rsidR="00401C23">
        <w:rPr>
          <w:rFonts w:ascii="Century Schoolbook" w:hAnsi="Century Schoolbook"/>
          <w:sz w:val="26"/>
          <w:szCs w:val="26"/>
        </w:rPr>
        <w:t>–</w:t>
      </w:r>
      <w:r w:rsidR="001760F9">
        <w:rPr>
          <w:rFonts w:ascii="Century Schoolbook" w:hAnsi="Century Schoolbook"/>
          <w:sz w:val="26"/>
          <w:szCs w:val="26"/>
        </w:rPr>
        <w:t>8.368 and 8.508</w:t>
      </w:r>
      <w:r w:rsidR="00401C23">
        <w:rPr>
          <w:rFonts w:ascii="Century Schoolbook" w:hAnsi="Century Schoolbook"/>
          <w:sz w:val="26"/>
          <w:szCs w:val="26"/>
        </w:rPr>
        <w:t xml:space="preserve"> </w:t>
      </w:r>
      <w:r w:rsidR="009E6396">
        <w:rPr>
          <w:rFonts w:ascii="Century Schoolbook" w:hAnsi="Century Schoolbook"/>
          <w:sz w:val="26"/>
          <w:szCs w:val="26"/>
        </w:rPr>
        <w:t>govern appeals from</w:t>
      </w:r>
      <w:r w:rsidR="00AD2E17">
        <w:rPr>
          <w:rFonts w:ascii="Century Schoolbook" w:hAnsi="Century Schoolbook"/>
          <w:sz w:val="26"/>
          <w:szCs w:val="26"/>
        </w:rPr>
        <w:t xml:space="preserve"> </w:t>
      </w:r>
      <w:r w:rsidR="009A2B80">
        <w:rPr>
          <w:rFonts w:ascii="Century Schoolbook" w:hAnsi="Century Schoolbook"/>
          <w:sz w:val="26"/>
          <w:szCs w:val="26"/>
        </w:rPr>
        <w:t xml:space="preserve">orders </w:t>
      </w:r>
      <w:r w:rsidR="00124FE1">
        <w:rPr>
          <w:rFonts w:ascii="Century Schoolbook" w:hAnsi="Century Schoolbook"/>
          <w:sz w:val="26"/>
          <w:szCs w:val="26"/>
        </w:rPr>
        <w:t xml:space="preserve">establishing conservatorships under </w:t>
      </w:r>
      <w:r w:rsidR="004C7CE7">
        <w:rPr>
          <w:rFonts w:ascii="Century Schoolbook" w:hAnsi="Century Schoolbook"/>
          <w:sz w:val="26"/>
          <w:szCs w:val="26"/>
        </w:rPr>
        <w:t xml:space="preserve">Welfare and Institutions </w:t>
      </w:r>
      <w:r w:rsidR="00D0654E">
        <w:rPr>
          <w:rFonts w:ascii="Century Schoolbook" w:hAnsi="Century Schoolbook"/>
          <w:sz w:val="26"/>
          <w:szCs w:val="26"/>
        </w:rPr>
        <w:t xml:space="preserve">Code section 5350 et seq. </w:t>
      </w:r>
      <w:r w:rsidR="00F2185F">
        <w:rPr>
          <w:rFonts w:ascii="Century Schoolbook" w:hAnsi="Century Schoolbook"/>
          <w:sz w:val="26"/>
          <w:szCs w:val="26"/>
        </w:rPr>
        <w:t xml:space="preserve"> </w:t>
      </w:r>
      <w:r w:rsidR="0074203A">
        <w:rPr>
          <w:rFonts w:ascii="Century Schoolbook" w:hAnsi="Century Schoolbook"/>
          <w:sz w:val="26"/>
          <w:szCs w:val="26"/>
        </w:rPr>
        <w:t>Here,</w:t>
      </w:r>
      <w:r w:rsidR="009B591E">
        <w:rPr>
          <w:rFonts w:ascii="Century Schoolbook" w:hAnsi="Century Schoolbook"/>
          <w:sz w:val="26"/>
          <w:szCs w:val="26"/>
        </w:rPr>
        <w:t xml:space="preserve"> </w:t>
      </w:r>
      <w:r w:rsidR="007B37F2">
        <w:rPr>
          <w:rFonts w:ascii="Century Schoolbook" w:hAnsi="Century Schoolbook"/>
          <w:sz w:val="26"/>
          <w:szCs w:val="26"/>
        </w:rPr>
        <w:t xml:space="preserve">K.Y.’s counsel </w:t>
      </w:r>
      <w:r w:rsidR="00D222AE">
        <w:rPr>
          <w:rFonts w:ascii="Century Schoolbook" w:hAnsi="Century Schoolbook"/>
          <w:sz w:val="26"/>
          <w:szCs w:val="26"/>
        </w:rPr>
        <w:t xml:space="preserve">submitted her requests for </w:t>
      </w:r>
      <w:r w:rsidR="00FB72A7">
        <w:rPr>
          <w:rFonts w:ascii="Century Schoolbook" w:hAnsi="Century Schoolbook"/>
          <w:sz w:val="26"/>
          <w:szCs w:val="26"/>
        </w:rPr>
        <w:t>an</w:t>
      </w:r>
      <w:r w:rsidR="00D222AE">
        <w:rPr>
          <w:rFonts w:ascii="Century Schoolbook" w:hAnsi="Century Schoolbook"/>
          <w:sz w:val="26"/>
          <w:szCs w:val="26"/>
        </w:rPr>
        <w:t xml:space="preserve"> extension of time on</w:t>
      </w:r>
      <w:r w:rsidR="007B37F2">
        <w:rPr>
          <w:rFonts w:ascii="Century Schoolbook" w:hAnsi="Century Schoolbook"/>
          <w:sz w:val="26"/>
          <w:szCs w:val="26"/>
        </w:rPr>
        <w:t xml:space="preserve"> </w:t>
      </w:r>
      <w:r w:rsidR="00F11874">
        <w:rPr>
          <w:rFonts w:ascii="Century Schoolbook" w:hAnsi="Century Schoolbook"/>
          <w:sz w:val="26"/>
          <w:szCs w:val="26"/>
        </w:rPr>
        <w:t xml:space="preserve">Judicial Council </w:t>
      </w:r>
      <w:r w:rsidR="004B52D7">
        <w:rPr>
          <w:rFonts w:ascii="Century Schoolbook" w:hAnsi="Century Schoolbook"/>
          <w:sz w:val="26"/>
          <w:szCs w:val="26"/>
        </w:rPr>
        <w:t xml:space="preserve">form </w:t>
      </w:r>
      <w:r w:rsidR="00C35DD8">
        <w:rPr>
          <w:rFonts w:ascii="Century Schoolbook" w:hAnsi="Century Schoolbook"/>
          <w:sz w:val="26"/>
          <w:szCs w:val="26"/>
        </w:rPr>
        <w:t>CR-126</w:t>
      </w:r>
      <w:r w:rsidR="00684CDA">
        <w:rPr>
          <w:rFonts w:ascii="Century Schoolbook" w:hAnsi="Century Schoolbook"/>
          <w:sz w:val="26"/>
          <w:szCs w:val="26"/>
        </w:rPr>
        <w:t xml:space="preserve">, which </w:t>
      </w:r>
      <w:r w:rsidR="005A08A4">
        <w:rPr>
          <w:rFonts w:ascii="Century Schoolbook" w:hAnsi="Century Schoolbook"/>
          <w:sz w:val="26"/>
          <w:szCs w:val="26"/>
        </w:rPr>
        <w:t>is for use in</w:t>
      </w:r>
      <w:r w:rsidR="00EF7177">
        <w:rPr>
          <w:rFonts w:ascii="Century Schoolbook" w:hAnsi="Century Schoolbook"/>
          <w:sz w:val="26"/>
          <w:szCs w:val="26"/>
        </w:rPr>
        <w:t xml:space="preserve"> criminal cases</w:t>
      </w:r>
      <w:r w:rsidR="002A2487">
        <w:rPr>
          <w:rFonts w:ascii="Century Schoolbook" w:hAnsi="Century Schoolbook"/>
          <w:sz w:val="26"/>
          <w:szCs w:val="26"/>
        </w:rPr>
        <w:t xml:space="preserve">.  </w:t>
      </w:r>
      <w:r w:rsidR="00AA27E7">
        <w:rPr>
          <w:rFonts w:ascii="Century Schoolbook" w:hAnsi="Century Schoolbook"/>
          <w:sz w:val="26"/>
          <w:szCs w:val="26"/>
        </w:rPr>
        <w:t xml:space="preserve">That form, however, </w:t>
      </w:r>
      <w:r>
        <w:rPr>
          <w:rFonts w:ascii="Century Schoolbook" w:hAnsi="Century Schoolbook"/>
          <w:sz w:val="26"/>
          <w:szCs w:val="26"/>
        </w:rPr>
        <w:t xml:space="preserve">does not ask </w:t>
      </w:r>
      <w:r w:rsidR="00E97A2E">
        <w:rPr>
          <w:rFonts w:ascii="Century Schoolbook" w:hAnsi="Century Schoolbook"/>
          <w:sz w:val="26"/>
          <w:szCs w:val="26"/>
        </w:rPr>
        <w:t>about calendar preference</w:t>
      </w:r>
      <w:r w:rsidR="00344DC5">
        <w:rPr>
          <w:rFonts w:ascii="Century Schoolbook" w:hAnsi="Century Schoolbook"/>
          <w:sz w:val="26"/>
          <w:szCs w:val="26"/>
        </w:rPr>
        <w:t>/priority</w:t>
      </w:r>
      <w:r w:rsidR="00A720E7">
        <w:rPr>
          <w:rFonts w:ascii="Century Schoolbook" w:hAnsi="Century Schoolbook"/>
          <w:sz w:val="26"/>
          <w:szCs w:val="26"/>
        </w:rPr>
        <w:t xml:space="preserve">, nor does it </w:t>
      </w:r>
      <w:r w:rsidR="003C2753">
        <w:rPr>
          <w:rFonts w:ascii="Century Schoolbook" w:hAnsi="Century Schoolbook"/>
          <w:sz w:val="26"/>
          <w:szCs w:val="26"/>
        </w:rPr>
        <w:t xml:space="preserve">ask about </w:t>
      </w:r>
      <w:r>
        <w:rPr>
          <w:rFonts w:ascii="Century Schoolbook" w:hAnsi="Century Schoolbook"/>
          <w:sz w:val="26"/>
          <w:szCs w:val="26"/>
        </w:rPr>
        <w:t xml:space="preserve">the date on which </w:t>
      </w:r>
      <w:r w:rsidR="003F4617">
        <w:rPr>
          <w:rFonts w:ascii="Century Schoolbook" w:hAnsi="Century Schoolbook"/>
          <w:sz w:val="26"/>
          <w:szCs w:val="26"/>
        </w:rPr>
        <w:t xml:space="preserve">any challenged </w:t>
      </w:r>
      <w:r w:rsidR="00F1010B">
        <w:rPr>
          <w:rFonts w:ascii="Century Schoolbook" w:hAnsi="Century Schoolbook"/>
          <w:sz w:val="26"/>
          <w:szCs w:val="26"/>
        </w:rPr>
        <w:t>conservatorship or civil commitment</w:t>
      </w:r>
      <w:r w:rsidR="003F4617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order expires.</w:t>
      </w:r>
      <w:r w:rsidR="0031495D">
        <w:rPr>
          <w:rFonts w:ascii="Century Schoolbook" w:hAnsi="Century Schoolbook"/>
          <w:sz w:val="26"/>
          <w:szCs w:val="26"/>
        </w:rPr>
        <w:t xml:space="preserve">  The </w:t>
      </w:r>
      <w:r w:rsidR="0087702D">
        <w:rPr>
          <w:rFonts w:ascii="Century Schoolbook" w:hAnsi="Century Schoolbook"/>
          <w:sz w:val="26"/>
          <w:szCs w:val="26"/>
        </w:rPr>
        <w:t xml:space="preserve">current version of the </w:t>
      </w:r>
      <w:r w:rsidR="0031495D">
        <w:rPr>
          <w:rFonts w:ascii="Century Schoolbook" w:hAnsi="Century Schoolbook"/>
          <w:sz w:val="26"/>
          <w:szCs w:val="26"/>
        </w:rPr>
        <w:t>civil form, APP-006,</w:t>
      </w:r>
      <w:r w:rsidR="0087702D">
        <w:rPr>
          <w:rFonts w:ascii="Century Schoolbook" w:hAnsi="Century Schoolbook"/>
          <w:sz w:val="26"/>
          <w:szCs w:val="26"/>
        </w:rPr>
        <w:t xml:space="preserve"> </w:t>
      </w:r>
      <w:r w:rsidR="00F754B4">
        <w:rPr>
          <w:rFonts w:ascii="Century Schoolbook" w:hAnsi="Century Schoolbook"/>
          <w:sz w:val="26"/>
          <w:szCs w:val="26"/>
        </w:rPr>
        <w:t xml:space="preserve">does ask </w:t>
      </w:r>
      <w:r w:rsidR="00335B39">
        <w:rPr>
          <w:rFonts w:ascii="Century Schoolbook" w:hAnsi="Century Schoolbook"/>
          <w:sz w:val="26"/>
          <w:szCs w:val="26"/>
        </w:rPr>
        <w:t>the applicant</w:t>
      </w:r>
      <w:r w:rsidR="00F754B4">
        <w:rPr>
          <w:rFonts w:ascii="Century Schoolbook" w:hAnsi="Century Schoolbook"/>
          <w:sz w:val="26"/>
          <w:szCs w:val="26"/>
        </w:rPr>
        <w:t xml:space="preserve"> to indicate whether the “appeal is eligible for, or has been granted, calendar</w:t>
      </w:r>
      <w:r w:rsidR="0011337B">
        <w:rPr>
          <w:rFonts w:ascii="Century Schoolbook" w:hAnsi="Century Schoolbook"/>
          <w:sz w:val="26"/>
          <w:szCs w:val="26"/>
        </w:rPr>
        <w:t xml:space="preserve"> preference/priority</w:t>
      </w:r>
      <w:r w:rsidR="005C2321">
        <w:rPr>
          <w:rFonts w:ascii="Century Schoolbook" w:hAnsi="Century Schoolbook"/>
          <w:sz w:val="26"/>
          <w:szCs w:val="26"/>
        </w:rPr>
        <w:t>,</w:t>
      </w:r>
      <w:r w:rsidR="0011337B">
        <w:rPr>
          <w:rFonts w:ascii="Century Schoolbook" w:hAnsi="Century Schoolbook"/>
          <w:sz w:val="26"/>
          <w:szCs w:val="26"/>
        </w:rPr>
        <w:t>”</w:t>
      </w:r>
      <w:r w:rsidR="005C2321">
        <w:rPr>
          <w:rFonts w:ascii="Century Schoolbook" w:hAnsi="Century Schoolbook"/>
          <w:sz w:val="26"/>
          <w:szCs w:val="26"/>
        </w:rPr>
        <w:t xml:space="preserve"> but does not </w:t>
      </w:r>
      <w:r w:rsidR="00662FD2">
        <w:rPr>
          <w:rFonts w:ascii="Century Schoolbook" w:hAnsi="Century Schoolbook"/>
          <w:sz w:val="26"/>
          <w:szCs w:val="26"/>
        </w:rPr>
        <w:t xml:space="preserve">expressly </w:t>
      </w:r>
      <w:r w:rsidR="00830227">
        <w:rPr>
          <w:rFonts w:ascii="Century Schoolbook" w:hAnsi="Century Schoolbook"/>
          <w:sz w:val="26"/>
          <w:szCs w:val="26"/>
        </w:rPr>
        <w:t xml:space="preserve">address </w:t>
      </w:r>
      <w:r w:rsidR="0027733C">
        <w:rPr>
          <w:rFonts w:ascii="Century Schoolbook" w:hAnsi="Century Schoolbook"/>
          <w:sz w:val="26"/>
          <w:szCs w:val="26"/>
        </w:rPr>
        <w:t xml:space="preserve">conservatorships or </w:t>
      </w:r>
      <w:r w:rsidR="00830227">
        <w:rPr>
          <w:rFonts w:ascii="Century Schoolbook" w:hAnsi="Century Schoolbook"/>
          <w:sz w:val="26"/>
          <w:szCs w:val="26"/>
        </w:rPr>
        <w:t>civil commitment orders.</w:t>
      </w:r>
      <w:r>
        <w:rPr>
          <w:rFonts w:ascii="Century Schoolbook" w:hAnsi="Century Schoolbook"/>
          <w:sz w:val="26"/>
          <w:szCs w:val="26"/>
        </w:rPr>
        <w:t xml:space="preserve"> </w:t>
      </w:r>
      <w:r w:rsidR="00126039">
        <w:rPr>
          <w:rFonts w:ascii="Century Schoolbook" w:hAnsi="Century Schoolbook"/>
          <w:sz w:val="26"/>
          <w:szCs w:val="26"/>
        </w:rPr>
        <w:t xml:space="preserve"> </w:t>
      </w:r>
      <w:r w:rsidR="000B13A7">
        <w:rPr>
          <w:rFonts w:ascii="Century Schoolbook" w:hAnsi="Century Schoolbook"/>
          <w:sz w:val="26"/>
          <w:szCs w:val="26"/>
        </w:rPr>
        <w:t xml:space="preserve">The Judicial Council may wish to </w:t>
      </w:r>
      <w:r w:rsidR="004023F0">
        <w:rPr>
          <w:rFonts w:ascii="Century Schoolbook" w:hAnsi="Century Schoolbook"/>
          <w:sz w:val="26"/>
          <w:szCs w:val="26"/>
        </w:rPr>
        <w:t>clarify which</w:t>
      </w:r>
      <w:r w:rsidR="00126039">
        <w:rPr>
          <w:rFonts w:ascii="Century Schoolbook" w:hAnsi="Century Schoolbook"/>
          <w:sz w:val="26"/>
          <w:szCs w:val="26"/>
        </w:rPr>
        <w:t xml:space="preserve"> form</w:t>
      </w:r>
      <w:r w:rsidR="004023F0">
        <w:rPr>
          <w:rFonts w:ascii="Century Schoolbook" w:hAnsi="Century Schoolbook"/>
          <w:sz w:val="26"/>
          <w:szCs w:val="26"/>
        </w:rPr>
        <w:t xml:space="preserve"> should be used </w:t>
      </w:r>
      <w:r w:rsidR="00E26C86">
        <w:rPr>
          <w:rFonts w:ascii="Century Schoolbook" w:hAnsi="Century Schoolbook"/>
          <w:sz w:val="26"/>
          <w:szCs w:val="26"/>
        </w:rPr>
        <w:t xml:space="preserve">for conservatorship and </w:t>
      </w:r>
      <w:r w:rsidR="00B90044">
        <w:rPr>
          <w:rFonts w:ascii="Century Schoolbook" w:hAnsi="Century Schoolbook"/>
          <w:sz w:val="26"/>
          <w:szCs w:val="26"/>
        </w:rPr>
        <w:t xml:space="preserve">other </w:t>
      </w:r>
      <w:r w:rsidR="00E26C86">
        <w:rPr>
          <w:rFonts w:ascii="Century Schoolbook" w:hAnsi="Century Schoolbook"/>
          <w:sz w:val="26"/>
          <w:szCs w:val="26"/>
        </w:rPr>
        <w:t>civil commitment cases</w:t>
      </w:r>
      <w:r w:rsidR="00251781">
        <w:rPr>
          <w:rFonts w:ascii="Century Schoolbook" w:hAnsi="Century Schoolbook"/>
          <w:sz w:val="26"/>
          <w:szCs w:val="26"/>
        </w:rPr>
        <w:t xml:space="preserve">, and </w:t>
      </w:r>
      <w:r w:rsidR="00AB71DD">
        <w:rPr>
          <w:rFonts w:ascii="Century Schoolbook" w:hAnsi="Century Schoolbook"/>
          <w:sz w:val="26"/>
          <w:szCs w:val="26"/>
        </w:rPr>
        <w:t>prompt</w:t>
      </w:r>
      <w:r w:rsidR="002A4672">
        <w:rPr>
          <w:rFonts w:ascii="Century Schoolbook" w:hAnsi="Century Schoolbook"/>
          <w:sz w:val="26"/>
          <w:szCs w:val="26"/>
        </w:rPr>
        <w:t xml:space="preserve"> </w:t>
      </w:r>
      <w:r w:rsidR="00140AF2">
        <w:rPr>
          <w:rFonts w:ascii="Century Schoolbook" w:hAnsi="Century Schoolbook"/>
          <w:sz w:val="26"/>
          <w:szCs w:val="26"/>
        </w:rPr>
        <w:t xml:space="preserve">parties </w:t>
      </w:r>
      <w:r w:rsidR="00D94A9E">
        <w:rPr>
          <w:rFonts w:ascii="Century Schoolbook" w:hAnsi="Century Schoolbook"/>
          <w:sz w:val="26"/>
          <w:szCs w:val="26"/>
        </w:rPr>
        <w:t>to indicate the date on which the challenged order expires</w:t>
      </w:r>
      <w:r w:rsidR="003555DE">
        <w:rPr>
          <w:rFonts w:ascii="Century Schoolbook" w:hAnsi="Century Schoolbook"/>
          <w:sz w:val="26"/>
          <w:szCs w:val="26"/>
        </w:rPr>
        <w:t>.</w:t>
      </w:r>
    </w:p>
  </w:footnote>
  <w:footnote w:id="7">
    <w:p w14:paraId="28EA0D72" w14:textId="77777777" w:rsidR="00351736" w:rsidRPr="00A9034E" w:rsidRDefault="00351736" w:rsidP="00351736">
      <w:pPr>
        <w:pStyle w:val="FootnoteText"/>
        <w:spacing w:before="2" w:after="2"/>
        <w:rPr>
          <w:rFonts w:ascii="Century Schoolbook" w:hAnsi="Century Schoolbook"/>
          <w:sz w:val="26"/>
          <w:szCs w:val="26"/>
        </w:rPr>
      </w:pPr>
      <w:r w:rsidRPr="00A9034E">
        <w:rPr>
          <w:rStyle w:val="FootnoteReference"/>
          <w:rFonts w:ascii="Century Schoolbook" w:hAnsi="Century Schoolbook"/>
          <w:sz w:val="26"/>
          <w:szCs w:val="26"/>
        </w:rPr>
        <w:t>*</w:t>
      </w:r>
      <w:r w:rsidRPr="00A9034E">
        <w:rPr>
          <w:rFonts w:ascii="Century Schoolbook" w:hAnsi="Century Schoolbook"/>
          <w:sz w:val="26"/>
          <w:szCs w:val="26"/>
        </w:rPr>
        <w:t xml:space="preserve"> Judge of the Superior Court of California, Alameda County, assigned by the Chief Justice pursuant to article VI, section 6 of the California Constitution.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2568" w14:textId="77777777" w:rsidR="00B50F2F" w:rsidRDefault="00B50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48BD" w14:textId="77777777" w:rsidR="00B50F2F" w:rsidRDefault="00B50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0917" w14:textId="7C78E327" w:rsidR="00942A40" w:rsidRDefault="00942A40" w:rsidP="0045767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E1C"/>
    <w:multiLevelType w:val="hybridMultilevel"/>
    <w:tmpl w:val="C7467578"/>
    <w:lvl w:ilvl="0" w:tplc="2A92A72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29E"/>
    <w:multiLevelType w:val="hybridMultilevel"/>
    <w:tmpl w:val="31888576"/>
    <w:lvl w:ilvl="0" w:tplc="84BECF2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F4917"/>
    <w:multiLevelType w:val="hybridMultilevel"/>
    <w:tmpl w:val="7EAC3438"/>
    <w:lvl w:ilvl="0" w:tplc="EA50B82C">
      <w:start w:val="1"/>
      <w:numFmt w:val="upperRoman"/>
      <w:pStyle w:val="Heading2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14AF6"/>
    <w:multiLevelType w:val="hybridMultilevel"/>
    <w:tmpl w:val="36B2AAB2"/>
    <w:lvl w:ilvl="0" w:tplc="F2EAC5C6">
      <w:start w:val="9"/>
      <w:numFmt w:val="lowerLetter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3116AD"/>
    <w:multiLevelType w:val="hybridMultilevel"/>
    <w:tmpl w:val="5D2CF1D6"/>
    <w:lvl w:ilvl="0" w:tplc="F306B5E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E78457C"/>
    <w:multiLevelType w:val="hybridMultilevel"/>
    <w:tmpl w:val="DB98151C"/>
    <w:lvl w:ilvl="0" w:tplc="DFC8A8F2">
      <w:start w:val="1"/>
      <w:numFmt w:val="upperLetter"/>
      <w:pStyle w:val="Heading4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100740"/>
    <w:multiLevelType w:val="hybridMultilevel"/>
    <w:tmpl w:val="C64CCA44"/>
    <w:lvl w:ilvl="0" w:tplc="7A3A8168">
      <w:start w:val="1"/>
      <w:numFmt w:val="lowerRoman"/>
      <w:pStyle w:val="Heading5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3617CA7"/>
    <w:multiLevelType w:val="hybridMultilevel"/>
    <w:tmpl w:val="1AD48FA8"/>
    <w:lvl w:ilvl="0" w:tplc="5AF842EA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311036"/>
    <w:multiLevelType w:val="hybridMultilevel"/>
    <w:tmpl w:val="2A683CA8"/>
    <w:lvl w:ilvl="0" w:tplc="ABBE4D5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278A8"/>
    <w:multiLevelType w:val="hybridMultilevel"/>
    <w:tmpl w:val="6630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82949">
    <w:abstractNumId w:val="8"/>
  </w:num>
  <w:num w:numId="2" w16cid:durableId="117067873">
    <w:abstractNumId w:val="4"/>
  </w:num>
  <w:num w:numId="3" w16cid:durableId="558832442">
    <w:abstractNumId w:val="0"/>
  </w:num>
  <w:num w:numId="4" w16cid:durableId="1400516449">
    <w:abstractNumId w:val="0"/>
  </w:num>
  <w:num w:numId="5" w16cid:durableId="1071973591">
    <w:abstractNumId w:val="1"/>
  </w:num>
  <w:num w:numId="6" w16cid:durableId="2078283283">
    <w:abstractNumId w:val="4"/>
  </w:num>
  <w:num w:numId="7" w16cid:durableId="1591430391">
    <w:abstractNumId w:val="0"/>
  </w:num>
  <w:num w:numId="8" w16cid:durableId="209537209">
    <w:abstractNumId w:val="2"/>
  </w:num>
  <w:num w:numId="9" w16cid:durableId="1896312364">
    <w:abstractNumId w:val="7"/>
  </w:num>
  <w:num w:numId="10" w16cid:durableId="1378968123">
    <w:abstractNumId w:val="5"/>
  </w:num>
  <w:num w:numId="11" w16cid:durableId="1790590061">
    <w:abstractNumId w:val="3"/>
  </w:num>
  <w:num w:numId="12" w16cid:durableId="897320851">
    <w:abstractNumId w:val="6"/>
  </w:num>
  <w:num w:numId="13" w16cid:durableId="1253590289">
    <w:abstractNumId w:val="5"/>
    <w:lvlOverride w:ilvl="0">
      <w:startOverride w:val="1"/>
    </w:lvlOverride>
  </w:num>
  <w:num w:numId="14" w16cid:durableId="129057172">
    <w:abstractNumId w:val="2"/>
    <w:lvlOverride w:ilvl="0">
      <w:startOverride w:val="1"/>
    </w:lvlOverride>
  </w:num>
  <w:num w:numId="15" w16cid:durableId="1577323320">
    <w:abstractNumId w:val="7"/>
    <w:lvlOverride w:ilvl="0">
      <w:startOverride w:val="1"/>
    </w:lvlOverride>
  </w:num>
  <w:num w:numId="16" w16cid:durableId="1876695141">
    <w:abstractNumId w:val="5"/>
    <w:lvlOverride w:ilvl="0">
      <w:startOverride w:val="1"/>
    </w:lvlOverride>
  </w:num>
  <w:num w:numId="17" w16cid:durableId="602806838">
    <w:abstractNumId w:val="6"/>
    <w:lvlOverride w:ilvl="0">
      <w:startOverride w:val="1"/>
    </w:lvlOverride>
  </w:num>
  <w:num w:numId="18" w16cid:durableId="1154300323">
    <w:abstractNumId w:val="6"/>
    <w:lvlOverride w:ilvl="0">
      <w:startOverride w:val="1"/>
    </w:lvlOverride>
  </w:num>
  <w:num w:numId="19" w16cid:durableId="1027724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3E"/>
    <w:rsid w:val="00000CAB"/>
    <w:rsid w:val="00005232"/>
    <w:rsid w:val="000159E5"/>
    <w:rsid w:val="000162E5"/>
    <w:rsid w:val="0001785F"/>
    <w:rsid w:val="00020481"/>
    <w:rsid w:val="00020DF3"/>
    <w:rsid w:val="0002285E"/>
    <w:rsid w:val="000309DD"/>
    <w:rsid w:val="00031A50"/>
    <w:rsid w:val="00032B78"/>
    <w:rsid w:val="00036990"/>
    <w:rsid w:val="00037C1A"/>
    <w:rsid w:val="00046358"/>
    <w:rsid w:val="00046B0C"/>
    <w:rsid w:val="000476B0"/>
    <w:rsid w:val="000535A9"/>
    <w:rsid w:val="000539FE"/>
    <w:rsid w:val="00053C89"/>
    <w:rsid w:val="00065167"/>
    <w:rsid w:val="00065F2B"/>
    <w:rsid w:val="000666E7"/>
    <w:rsid w:val="00071890"/>
    <w:rsid w:val="00080807"/>
    <w:rsid w:val="00080EC5"/>
    <w:rsid w:val="000822AB"/>
    <w:rsid w:val="000839CE"/>
    <w:rsid w:val="00092667"/>
    <w:rsid w:val="000928E4"/>
    <w:rsid w:val="00095995"/>
    <w:rsid w:val="000A22B7"/>
    <w:rsid w:val="000A2A96"/>
    <w:rsid w:val="000A72A5"/>
    <w:rsid w:val="000B01C6"/>
    <w:rsid w:val="000B13A7"/>
    <w:rsid w:val="000B25C6"/>
    <w:rsid w:val="000B4CE3"/>
    <w:rsid w:val="000B4FC0"/>
    <w:rsid w:val="000B6D5C"/>
    <w:rsid w:val="000B7969"/>
    <w:rsid w:val="000C0AA7"/>
    <w:rsid w:val="000C2ADE"/>
    <w:rsid w:val="000C5504"/>
    <w:rsid w:val="000C77C3"/>
    <w:rsid w:val="000E11FB"/>
    <w:rsid w:val="000E6129"/>
    <w:rsid w:val="000F1A7A"/>
    <w:rsid w:val="000F710E"/>
    <w:rsid w:val="00101E05"/>
    <w:rsid w:val="00111940"/>
    <w:rsid w:val="0011337B"/>
    <w:rsid w:val="00120527"/>
    <w:rsid w:val="00120592"/>
    <w:rsid w:val="001212DD"/>
    <w:rsid w:val="001222F1"/>
    <w:rsid w:val="00122A48"/>
    <w:rsid w:val="00124FE1"/>
    <w:rsid w:val="00125F70"/>
    <w:rsid w:val="00126039"/>
    <w:rsid w:val="00126757"/>
    <w:rsid w:val="00130E40"/>
    <w:rsid w:val="001311A2"/>
    <w:rsid w:val="00131687"/>
    <w:rsid w:val="00131A3F"/>
    <w:rsid w:val="00134D08"/>
    <w:rsid w:val="00135965"/>
    <w:rsid w:val="00140AF2"/>
    <w:rsid w:val="001414A2"/>
    <w:rsid w:val="001427B4"/>
    <w:rsid w:val="001475B3"/>
    <w:rsid w:val="00152F76"/>
    <w:rsid w:val="001569F4"/>
    <w:rsid w:val="001576D3"/>
    <w:rsid w:val="0016068F"/>
    <w:rsid w:val="0016170B"/>
    <w:rsid w:val="001631FD"/>
    <w:rsid w:val="0016428B"/>
    <w:rsid w:val="001729C6"/>
    <w:rsid w:val="001760F9"/>
    <w:rsid w:val="001809E1"/>
    <w:rsid w:val="00185481"/>
    <w:rsid w:val="0018568B"/>
    <w:rsid w:val="00190A42"/>
    <w:rsid w:val="00192E1C"/>
    <w:rsid w:val="00197479"/>
    <w:rsid w:val="001A3AF3"/>
    <w:rsid w:val="001A67BF"/>
    <w:rsid w:val="001A791E"/>
    <w:rsid w:val="001B0E00"/>
    <w:rsid w:val="001B148B"/>
    <w:rsid w:val="001C6069"/>
    <w:rsid w:val="001D000B"/>
    <w:rsid w:val="001D0C05"/>
    <w:rsid w:val="001D1583"/>
    <w:rsid w:val="001D257E"/>
    <w:rsid w:val="001D356F"/>
    <w:rsid w:val="001D4ABE"/>
    <w:rsid w:val="001E14A1"/>
    <w:rsid w:val="001E51B8"/>
    <w:rsid w:val="001E5D59"/>
    <w:rsid w:val="001E76E7"/>
    <w:rsid w:val="001F0152"/>
    <w:rsid w:val="001F37A4"/>
    <w:rsid w:val="001F3D0B"/>
    <w:rsid w:val="00200B7A"/>
    <w:rsid w:val="00202965"/>
    <w:rsid w:val="002053BB"/>
    <w:rsid w:val="0020653A"/>
    <w:rsid w:val="00210139"/>
    <w:rsid w:val="0021317B"/>
    <w:rsid w:val="00214C59"/>
    <w:rsid w:val="00217290"/>
    <w:rsid w:val="00225E84"/>
    <w:rsid w:val="00233154"/>
    <w:rsid w:val="00233962"/>
    <w:rsid w:val="00234E04"/>
    <w:rsid w:val="00234E29"/>
    <w:rsid w:val="0023521A"/>
    <w:rsid w:val="002366C1"/>
    <w:rsid w:val="00237D00"/>
    <w:rsid w:val="002449E7"/>
    <w:rsid w:val="002511E7"/>
    <w:rsid w:val="00251781"/>
    <w:rsid w:val="0025202C"/>
    <w:rsid w:val="00252714"/>
    <w:rsid w:val="0025567B"/>
    <w:rsid w:val="00260303"/>
    <w:rsid w:val="00261C56"/>
    <w:rsid w:val="0026387F"/>
    <w:rsid w:val="00265211"/>
    <w:rsid w:val="002678AD"/>
    <w:rsid w:val="00270A68"/>
    <w:rsid w:val="00271B01"/>
    <w:rsid w:val="002722A1"/>
    <w:rsid w:val="00276552"/>
    <w:rsid w:val="00276AD1"/>
    <w:rsid w:val="0027733C"/>
    <w:rsid w:val="00280F42"/>
    <w:rsid w:val="00281A37"/>
    <w:rsid w:val="002875BB"/>
    <w:rsid w:val="00293381"/>
    <w:rsid w:val="002A2487"/>
    <w:rsid w:val="002A4672"/>
    <w:rsid w:val="002A6921"/>
    <w:rsid w:val="002B2AD6"/>
    <w:rsid w:val="002B2EC8"/>
    <w:rsid w:val="002B6B39"/>
    <w:rsid w:val="002B78A4"/>
    <w:rsid w:val="002C1298"/>
    <w:rsid w:val="002C485D"/>
    <w:rsid w:val="002C7418"/>
    <w:rsid w:val="002C7E83"/>
    <w:rsid w:val="002D02B2"/>
    <w:rsid w:val="002D210D"/>
    <w:rsid w:val="002D39EC"/>
    <w:rsid w:val="002D51D5"/>
    <w:rsid w:val="002D7D30"/>
    <w:rsid w:val="002E450A"/>
    <w:rsid w:val="002E4C41"/>
    <w:rsid w:val="002F1853"/>
    <w:rsid w:val="002F1EFE"/>
    <w:rsid w:val="002F713D"/>
    <w:rsid w:val="002F7ACC"/>
    <w:rsid w:val="00305993"/>
    <w:rsid w:val="00306EA3"/>
    <w:rsid w:val="0031158A"/>
    <w:rsid w:val="003116AC"/>
    <w:rsid w:val="00311726"/>
    <w:rsid w:val="0031495D"/>
    <w:rsid w:val="0031523C"/>
    <w:rsid w:val="0031711E"/>
    <w:rsid w:val="00320B3B"/>
    <w:rsid w:val="00324586"/>
    <w:rsid w:val="00334335"/>
    <w:rsid w:val="00335B39"/>
    <w:rsid w:val="00340551"/>
    <w:rsid w:val="00342F08"/>
    <w:rsid w:val="00344DC5"/>
    <w:rsid w:val="00346F6B"/>
    <w:rsid w:val="00351485"/>
    <w:rsid w:val="00351736"/>
    <w:rsid w:val="003555DE"/>
    <w:rsid w:val="00356053"/>
    <w:rsid w:val="00362E45"/>
    <w:rsid w:val="0036684C"/>
    <w:rsid w:val="003670EF"/>
    <w:rsid w:val="00371627"/>
    <w:rsid w:val="0037404D"/>
    <w:rsid w:val="00377FD8"/>
    <w:rsid w:val="00386D69"/>
    <w:rsid w:val="0038775F"/>
    <w:rsid w:val="00387CB0"/>
    <w:rsid w:val="00392940"/>
    <w:rsid w:val="00392E3A"/>
    <w:rsid w:val="00394ABC"/>
    <w:rsid w:val="00396F6C"/>
    <w:rsid w:val="003A1847"/>
    <w:rsid w:val="003A54CE"/>
    <w:rsid w:val="003A6E45"/>
    <w:rsid w:val="003A7204"/>
    <w:rsid w:val="003A7217"/>
    <w:rsid w:val="003B0C77"/>
    <w:rsid w:val="003B3423"/>
    <w:rsid w:val="003B44D7"/>
    <w:rsid w:val="003B4E7B"/>
    <w:rsid w:val="003B7AB1"/>
    <w:rsid w:val="003C0AD8"/>
    <w:rsid w:val="003C2753"/>
    <w:rsid w:val="003C419B"/>
    <w:rsid w:val="003C5A0D"/>
    <w:rsid w:val="003D1B73"/>
    <w:rsid w:val="003D4BBF"/>
    <w:rsid w:val="003D787C"/>
    <w:rsid w:val="003E70F4"/>
    <w:rsid w:val="003F41E5"/>
    <w:rsid w:val="003F4617"/>
    <w:rsid w:val="00400C69"/>
    <w:rsid w:val="00401C23"/>
    <w:rsid w:val="004023F0"/>
    <w:rsid w:val="00406A25"/>
    <w:rsid w:val="004105E7"/>
    <w:rsid w:val="00410EC8"/>
    <w:rsid w:val="00415C27"/>
    <w:rsid w:val="00415C90"/>
    <w:rsid w:val="0042340E"/>
    <w:rsid w:val="0042465C"/>
    <w:rsid w:val="00424F13"/>
    <w:rsid w:val="00431F21"/>
    <w:rsid w:val="004342F5"/>
    <w:rsid w:val="004360D7"/>
    <w:rsid w:val="00441FB7"/>
    <w:rsid w:val="004449AA"/>
    <w:rsid w:val="004458D7"/>
    <w:rsid w:val="004458E4"/>
    <w:rsid w:val="00445A95"/>
    <w:rsid w:val="004470CD"/>
    <w:rsid w:val="004474AD"/>
    <w:rsid w:val="00450FEC"/>
    <w:rsid w:val="00451784"/>
    <w:rsid w:val="00451EFA"/>
    <w:rsid w:val="004564DF"/>
    <w:rsid w:val="004567A2"/>
    <w:rsid w:val="0045767D"/>
    <w:rsid w:val="00457B78"/>
    <w:rsid w:val="00460506"/>
    <w:rsid w:val="00461575"/>
    <w:rsid w:val="0046474B"/>
    <w:rsid w:val="004666EF"/>
    <w:rsid w:val="00472F5D"/>
    <w:rsid w:val="00473E81"/>
    <w:rsid w:val="00475BE5"/>
    <w:rsid w:val="00476A71"/>
    <w:rsid w:val="0047743B"/>
    <w:rsid w:val="004802CB"/>
    <w:rsid w:val="00480CF4"/>
    <w:rsid w:val="004815E3"/>
    <w:rsid w:val="004833C4"/>
    <w:rsid w:val="004841FB"/>
    <w:rsid w:val="00491A38"/>
    <w:rsid w:val="00495095"/>
    <w:rsid w:val="00496BF4"/>
    <w:rsid w:val="00496D61"/>
    <w:rsid w:val="004A0F3C"/>
    <w:rsid w:val="004A210F"/>
    <w:rsid w:val="004A2B20"/>
    <w:rsid w:val="004A2F1A"/>
    <w:rsid w:val="004A63AA"/>
    <w:rsid w:val="004A6C07"/>
    <w:rsid w:val="004A7D19"/>
    <w:rsid w:val="004B0E5C"/>
    <w:rsid w:val="004B461D"/>
    <w:rsid w:val="004B519E"/>
    <w:rsid w:val="004B5222"/>
    <w:rsid w:val="004B52D7"/>
    <w:rsid w:val="004C20DD"/>
    <w:rsid w:val="004C2ECC"/>
    <w:rsid w:val="004C4CF0"/>
    <w:rsid w:val="004C56F4"/>
    <w:rsid w:val="004C7CE7"/>
    <w:rsid w:val="004C7F45"/>
    <w:rsid w:val="004D14AE"/>
    <w:rsid w:val="004D1D3B"/>
    <w:rsid w:val="004E0995"/>
    <w:rsid w:val="004E152B"/>
    <w:rsid w:val="004E1E58"/>
    <w:rsid w:val="004E38D0"/>
    <w:rsid w:val="004E6BF4"/>
    <w:rsid w:val="004F2B34"/>
    <w:rsid w:val="004F55A1"/>
    <w:rsid w:val="004F7432"/>
    <w:rsid w:val="0050052E"/>
    <w:rsid w:val="0050312D"/>
    <w:rsid w:val="0050443E"/>
    <w:rsid w:val="00505D7F"/>
    <w:rsid w:val="00510426"/>
    <w:rsid w:val="00510FCE"/>
    <w:rsid w:val="005126AD"/>
    <w:rsid w:val="0053078B"/>
    <w:rsid w:val="00537885"/>
    <w:rsid w:val="00542F1D"/>
    <w:rsid w:val="00543F63"/>
    <w:rsid w:val="00546A93"/>
    <w:rsid w:val="00550414"/>
    <w:rsid w:val="00550546"/>
    <w:rsid w:val="005561FB"/>
    <w:rsid w:val="00562FFC"/>
    <w:rsid w:val="005704D5"/>
    <w:rsid w:val="00570FFE"/>
    <w:rsid w:val="00571712"/>
    <w:rsid w:val="00572E88"/>
    <w:rsid w:val="00582CDA"/>
    <w:rsid w:val="0058591F"/>
    <w:rsid w:val="005867D1"/>
    <w:rsid w:val="00591A1C"/>
    <w:rsid w:val="005972B8"/>
    <w:rsid w:val="005A08A4"/>
    <w:rsid w:val="005B39D5"/>
    <w:rsid w:val="005B53EB"/>
    <w:rsid w:val="005B7955"/>
    <w:rsid w:val="005C2321"/>
    <w:rsid w:val="005D0254"/>
    <w:rsid w:val="005D1F2D"/>
    <w:rsid w:val="005E1992"/>
    <w:rsid w:val="005E4E0C"/>
    <w:rsid w:val="005E68D7"/>
    <w:rsid w:val="005E7152"/>
    <w:rsid w:val="005F2206"/>
    <w:rsid w:val="005F27FE"/>
    <w:rsid w:val="005F3DB6"/>
    <w:rsid w:val="005F4AFB"/>
    <w:rsid w:val="005F4DD6"/>
    <w:rsid w:val="005F6285"/>
    <w:rsid w:val="006024DF"/>
    <w:rsid w:val="0060272C"/>
    <w:rsid w:val="00603E54"/>
    <w:rsid w:val="006104A3"/>
    <w:rsid w:val="0061142D"/>
    <w:rsid w:val="006176AD"/>
    <w:rsid w:val="00623801"/>
    <w:rsid w:val="00625A02"/>
    <w:rsid w:val="00630000"/>
    <w:rsid w:val="00632669"/>
    <w:rsid w:val="006342AB"/>
    <w:rsid w:val="00640337"/>
    <w:rsid w:val="00640A7D"/>
    <w:rsid w:val="006419C7"/>
    <w:rsid w:val="006455FB"/>
    <w:rsid w:val="00645737"/>
    <w:rsid w:val="00645D9A"/>
    <w:rsid w:val="006535E9"/>
    <w:rsid w:val="006604E8"/>
    <w:rsid w:val="00662FD2"/>
    <w:rsid w:val="00663541"/>
    <w:rsid w:val="006642BA"/>
    <w:rsid w:val="00666CB5"/>
    <w:rsid w:val="00667457"/>
    <w:rsid w:val="006725A0"/>
    <w:rsid w:val="00673BE0"/>
    <w:rsid w:val="00675E14"/>
    <w:rsid w:val="0068189A"/>
    <w:rsid w:val="00681F83"/>
    <w:rsid w:val="00682EB7"/>
    <w:rsid w:val="00684CDA"/>
    <w:rsid w:val="00685F09"/>
    <w:rsid w:val="00690258"/>
    <w:rsid w:val="006913A9"/>
    <w:rsid w:val="00694326"/>
    <w:rsid w:val="006955A1"/>
    <w:rsid w:val="0069765F"/>
    <w:rsid w:val="006A1762"/>
    <w:rsid w:val="006A631C"/>
    <w:rsid w:val="006A69C5"/>
    <w:rsid w:val="006A78AE"/>
    <w:rsid w:val="006B0129"/>
    <w:rsid w:val="006B2AB5"/>
    <w:rsid w:val="006B3C4F"/>
    <w:rsid w:val="006B646B"/>
    <w:rsid w:val="006B6EE9"/>
    <w:rsid w:val="006C1101"/>
    <w:rsid w:val="006C3944"/>
    <w:rsid w:val="006C5383"/>
    <w:rsid w:val="006C622D"/>
    <w:rsid w:val="006C7D28"/>
    <w:rsid w:val="006D1136"/>
    <w:rsid w:val="006D45D0"/>
    <w:rsid w:val="006E282E"/>
    <w:rsid w:val="006F0E95"/>
    <w:rsid w:val="006F18D3"/>
    <w:rsid w:val="00700A4B"/>
    <w:rsid w:val="00700ADD"/>
    <w:rsid w:val="00704FEC"/>
    <w:rsid w:val="00714625"/>
    <w:rsid w:val="00714EDA"/>
    <w:rsid w:val="007152D9"/>
    <w:rsid w:val="00720B9E"/>
    <w:rsid w:val="00726E2C"/>
    <w:rsid w:val="00727CA3"/>
    <w:rsid w:val="00731AE4"/>
    <w:rsid w:val="00732EF6"/>
    <w:rsid w:val="00734379"/>
    <w:rsid w:val="0073672C"/>
    <w:rsid w:val="00736C57"/>
    <w:rsid w:val="00741654"/>
    <w:rsid w:val="0074203A"/>
    <w:rsid w:val="00745ECF"/>
    <w:rsid w:val="0074661A"/>
    <w:rsid w:val="0075100E"/>
    <w:rsid w:val="00751FE5"/>
    <w:rsid w:val="00752DE1"/>
    <w:rsid w:val="007533B3"/>
    <w:rsid w:val="007554BD"/>
    <w:rsid w:val="0075641F"/>
    <w:rsid w:val="0076360A"/>
    <w:rsid w:val="00764EB0"/>
    <w:rsid w:val="00767485"/>
    <w:rsid w:val="007767D2"/>
    <w:rsid w:val="007808F6"/>
    <w:rsid w:val="007813D1"/>
    <w:rsid w:val="007815F3"/>
    <w:rsid w:val="00784E09"/>
    <w:rsid w:val="007860D6"/>
    <w:rsid w:val="007871D3"/>
    <w:rsid w:val="0078766E"/>
    <w:rsid w:val="007921BE"/>
    <w:rsid w:val="007927DD"/>
    <w:rsid w:val="0079308F"/>
    <w:rsid w:val="0079472B"/>
    <w:rsid w:val="007A09EB"/>
    <w:rsid w:val="007A2C1B"/>
    <w:rsid w:val="007A49DD"/>
    <w:rsid w:val="007A5317"/>
    <w:rsid w:val="007A5888"/>
    <w:rsid w:val="007A60A6"/>
    <w:rsid w:val="007B37F2"/>
    <w:rsid w:val="007B5313"/>
    <w:rsid w:val="007B69E5"/>
    <w:rsid w:val="007B7530"/>
    <w:rsid w:val="007C12F7"/>
    <w:rsid w:val="007C26DE"/>
    <w:rsid w:val="007C2F6A"/>
    <w:rsid w:val="007C3F7F"/>
    <w:rsid w:val="007E30CF"/>
    <w:rsid w:val="007E7D90"/>
    <w:rsid w:val="007F273C"/>
    <w:rsid w:val="007F7EF2"/>
    <w:rsid w:val="008014B0"/>
    <w:rsid w:val="008023F6"/>
    <w:rsid w:val="00803701"/>
    <w:rsid w:val="00803E1C"/>
    <w:rsid w:val="00803E6E"/>
    <w:rsid w:val="00804DB0"/>
    <w:rsid w:val="00807BCF"/>
    <w:rsid w:val="008131AD"/>
    <w:rsid w:val="008138DA"/>
    <w:rsid w:val="008143D5"/>
    <w:rsid w:val="00815CE8"/>
    <w:rsid w:val="00815ED7"/>
    <w:rsid w:val="00816B06"/>
    <w:rsid w:val="00820396"/>
    <w:rsid w:val="00824F14"/>
    <w:rsid w:val="00827FA2"/>
    <w:rsid w:val="00830227"/>
    <w:rsid w:val="00836CD0"/>
    <w:rsid w:val="0083738B"/>
    <w:rsid w:val="008404A9"/>
    <w:rsid w:val="008418D8"/>
    <w:rsid w:val="00843EA5"/>
    <w:rsid w:val="00847638"/>
    <w:rsid w:val="00853131"/>
    <w:rsid w:val="00856847"/>
    <w:rsid w:val="00856A0F"/>
    <w:rsid w:val="00862C79"/>
    <w:rsid w:val="00864A79"/>
    <w:rsid w:val="0086569A"/>
    <w:rsid w:val="00871B5C"/>
    <w:rsid w:val="0087702D"/>
    <w:rsid w:val="00877FE2"/>
    <w:rsid w:val="008803A2"/>
    <w:rsid w:val="00880769"/>
    <w:rsid w:val="008824A0"/>
    <w:rsid w:val="00885BB1"/>
    <w:rsid w:val="00890D3E"/>
    <w:rsid w:val="00891494"/>
    <w:rsid w:val="0089582F"/>
    <w:rsid w:val="00895FE9"/>
    <w:rsid w:val="0089747C"/>
    <w:rsid w:val="008A28F6"/>
    <w:rsid w:val="008A51EA"/>
    <w:rsid w:val="008B12C3"/>
    <w:rsid w:val="008B5C68"/>
    <w:rsid w:val="008B7BC0"/>
    <w:rsid w:val="008C571A"/>
    <w:rsid w:val="008C69C3"/>
    <w:rsid w:val="008D3EC1"/>
    <w:rsid w:val="008D6327"/>
    <w:rsid w:val="008D74B9"/>
    <w:rsid w:val="008F1784"/>
    <w:rsid w:val="008F2812"/>
    <w:rsid w:val="008F2CC0"/>
    <w:rsid w:val="008F4888"/>
    <w:rsid w:val="008F6E84"/>
    <w:rsid w:val="008F7932"/>
    <w:rsid w:val="00905047"/>
    <w:rsid w:val="009054A4"/>
    <w:rsid w:val="00905D90"/>
    <w:rsid w:val="00910732"/>
    <w:rsid w:val="00916894"/>
    <w:rsid w:val="009216C9"/>
    <w:rsid w:val="00921E87"/>
    <w:rsid w:val="0092344E"/>
    <w:rsid w:val="00923E07"/>
    <w:rsid w:val="009242C6"/>
    <w:rsid w:val="00925F34"/>
    <w:rsid w:val="0093215B"/>
    <w:rsid w:val="00932F56"/>
    <w:rsid w:val="00941430"/>
    <w:rsid w:val="00942A40"/>
    <w:rsid w:val="00944E00"/>
    <w:rsid w:val="009472B5"/>
    <w:rsid w:val="0094746E"/>
    <w:rsid w:val="00947AB6"/>
    <w:rsid w:val="0095376A"/>
    <w:rsid w:val="009615F9"/>
    <w:rsid w:val="00961871"/>
    <w:rsid w:val="00967E5C"/>
    <w:rsid w:val="00970E36"/>
    <w:rsid w:val="00971AD8"/>
    <w:rsid w:val="00972836"/>
    <w:rsid w:val="009732B1"/>
    <w:rsid w:val="009815F9"/>
    <w:rsid w:val="00990527"/>
    <w:rsid w:val="00992D4E"/>
    <w:rsid w:val="00993450"/>
    <w:rsid w:val="00994172"/>
    <w:rsid w:val="0099448A"/>
    <w:rsid w:val="00996CA6"/>
    <w:rsid w:val="00997B18"/>
    <w:rsid w:val="009A1161"/>
    <w:rsid w:val="009A2B80"/>
    <w:rsid w:val="009A5430"/>
    <w:rsid w:val="009A66C5"/>
    <w:rsid w:val="009A69B1"/>
    <w:rsid w:val="009B21A5"/>
    <w:rsid w:val="009B591E"/>
    <w:rsid w:val="009B6D27"/>
    <w:rsid w:val="009C140E"/>
    <w:rsid w:val="009C1C0B"/>
    <w:rsid w:val="009C2EA8"/>
    <w:rsid w:val="009C609D"/>
    <w:rsid w:val="009C7830"/>
    <w:rsid w:val="009C7E96"/>
    <w:rsid w:val="009D29B0"/>
    <w:rsid w:val="009D3B05"/>
    <w:rsid w:val="009D46CB"/>
    <w:rsid w:val="009D532A"/>
    <w:rsid w:val="009D6215"/>
    <w:rsid w:val="009D787A"/>
    <w:rsid w:val="009E1792"/>
    <w:rsid w:val="009E23E5"/>
    <w:rsid w:val="009E24DC"/>
    <w:rsid w:val="009E47B5"/>
    <w:rsid w:val="009E6396"/>
    <w:rsid w:val="009F3430"/>
    <w:rsid w:val="009F3F7C"/>
    <w:rsid w:val="009F6C98"/>
    <w:rsid w:val="00A0297A"/>
    <w:rsid w:val="00A02C4E"/>
    <w:rsid w:val="00A20700"/>
    <w:rsid w:val="00A21079"/>
    <w:rsid w:val="00A24080"/>
    <w:rsid w:val="00A3455D"/>
    <w:rsid w:val="00A347AB"/>
    <w:rsid w:val="00A3519C"/>
    <w:rsid w:val="00A35521"/>
    <w:rsid w:val="00A362D7"/>
    <w:rsid w:val="00A375C9"/>
    <w:rsid w:val="00A4098C"/>
    <w:rsid w:val="00A41790"/>
    <w:rsid w:val="00A41F7F"/>
    <w:rsid w:val="00A4366A"/>
    <w:rsid w:val="00A442D6"/>
    <w:rsid w:val="00A44F13"/>
    <w:rsid w:val="00A459DE"/>
    <w:rsid w:val="00A52EA0"/>
    <w:rsid w:val="00A53872"/>
    <w:rsid w:val="00A607DD"/>
    <w:rsid w:val="00A63497"/>
    <w:rsid w:val="00A63FB8"/>
    <w:rsid w:val="00A66D16"/>
    <w:rsid w:val="00A70DDD"/>
    <w:rsid w:val="00A7170E"/>
    <w:rsid w:val="00A720E7"/>
    <w:rsid w:val="00A766B7"/>
    <w:rsid w:val="00A7788E"/>
    <w:rsid w:val="00A80317"/>
    <w:rsid w:val="00A83209"/>
    <w:rsid w:val="00A84723"/>
    <w:rsid w:val="00A84947"/>
    <w:rsid w:val="00A871D4"/>
    <w:rsid w:val="00A87360"/>
    <w:rsid w:val="00A9034E"/>
    <w:rsid w:val="00AA0EB2"/>
    <w:rsid w:val="00AA27E7"/>
    <w:rsid w:val="00AA709C"/>
    <w:rsid w:val="00AB1124"/>
    <w:rsid w:val="00AB23BB"/>
    <w:rsid w:val="00AB2948"/>
    <w:rsid w:val="00AB441E"/>
    <w:rsid w:val="00AB4546"/>
    <w:rsid w:val="00AB71DD"/>
    <w:rsid w:val="00AB792D"/>
    <w:rsid w:val="00AD0CA2"/>
    <w:rsid w:val="00AD125E"/>
    <w:rsid w:val="00AD1523"/>
    <w:rsid w:val="00AD18AB"/>
    <w:rsid w:val="00AD2D5F"/>
    <w:rsid w:val="00AD2E17"/>
    <w:rsid w:val="00AD3FAE"/>
    <w:rsid w:val="00AD635C"/>
    <w:rsid w:val="00AE0A2B"/>
    <w:rsid w:val="00AE0C1A"/>
    <w:rsid w:val="00AE2AE2"/>
    <w:rsid w:val="00AE4496"/>
    <w:rsid w:val="00AE7A19"/>
    <w:rsid w:val="00AF0047"/>
    <w:rsid w:val="00AF2219"/>
    <w:rsid w:val="00AF574F"/>
    <w:rsid w:val="00AF6C19"/>
    <w:rsid w:val="00AF6EA7"/>
    <w:rsid w:val="00B01C3B"/>
    <w:rsid w:val="00B028CE"/>
    <w:rsid w:val="00B07BF8"/>
    <w:rsid w:val="00B22FC3"/>
    <w:rsid w:val="00B23418"/>
    <w:rsid w:val="00B248D0"/>
    <w:rsid w:val="00B24AB4"/>
    <w:rsid w:val="00B270CF"/>
    <w:rsid w:val="00B276EF"/>
    <w:rsid w:val="00B27991"/>
    <w:rsid w:val="00B41C1C"/>
    <w:rsid w:val="00B5016C"/>
    <w:rsid w:val="00B50470"/>
    <w:rsid w:val="00B50F2F"/>
    <w:rsid w:val="00B51B83"/>
    <w:rsid w:val="00B55650"/>
    <w:rsid w:val="00B608DA"/>
    <w:rsid w:val="00B62379"/>
    <w:rsid w:val="00B62956"/>
    <w:rsid w:val="00B63009"/>
    <w:rsid w:val="00B63CBE"/>
    <w:rsid w:val="00B6437F"/>
    <w:rsid w:val="00B70287"/>
    <w:rsid w:val="00B717E9"/>
    <w:rsid w:val="00B731CA"/>
    <w:rsid w:val="00B73EC4"/>
    <w:rsid w:val="00B81D04"/>
    <w:rsid w:val="00B835C9"/>
    <w:rsid w:val="00B83D4C"/>
    <w:rsid w:val="00B84491"/>
    <w:rsid w:val="00B86738"/>
    <w:rsid w:val="00B90044"/>
    <w:rsid w:val="00B90220"/>
    <w:rsid w:val="00B9326B"/>
    <w:rsid w:val="00B93669"/>
    <w:rsid w:val="00B954B8"/>
    <w:rsid w:val="00B96412"/>
    <w:rsid w:val="00BA0C97"/>
    <w:rsid w:val="00BA31BA"/>
    <w:rsid w:val="00BA6555"/>
    <w:rsid w:val="00BA6EEA"/>
    <w:rsid w:val="00BB1B25"/>
    <w:rsid w:val="00BC3FEB"/>
    <w:rsid w:val="00BC531F"/>
    <w:rsid w:val="00BC620E"/>
    <w:rsid w:val="00BD4D36"/>
    <w:rsid w:val="00BD5C96"/>
    <w:rsid w:val="00BD74A9"/>
    <w:rsid w:val="00BD7E46"/>
    <w:rsid w:val="00BE121B"/>
    <w:rsid w:val="00BE5DE3"/>
    <w:rsid w:val="00BF0A02"/>
    <w:rsid w:val="00BF33D2"/>
    <w:rsid w:val="00BF4B9B"/>
    <w:rsid w:val="00BF7E63"/>
    <w:rsid w:val="00C03C32"/>
    <w:rsid w:val="00C05344"/>
    <w:rsid w:val="00C06C3E"/>
    <w:rsid w:val="00C12DFA"/>
    <w:rsid w:val="00C13489"/>
    <w:rsid w:val="00C15C38"/>
    <w:rsid w:val="00C171D3"/>
    <w:rsid w:val="00C17531"/>
    <w:rsid w:val="00C24A21"/>
    <w:rsid w:val="00C24D14"/>
    <w:rsid w:val="00C310D4"/>
    <w:rsid w:val="00C3459D"/>
    <w:rsid w:val="00C34E61"/>
    <w:rsid w:val="00C35DD8"/>
    <w:rsid w:val="00C379D7"/>
    <w:rsid w:val="00C4227B"/>
    <w:rsid w:val="00C42BCE"/>
    <w:rsid w:val="00C45C64"/>
    <w:rsid w:val="00C522D8"/>
    <w:rsid w:val="00C52DA8"/>
    <w:rsid w:val="00C53934"/>
    <w:rsid w:val="00C6076A"/>
    <w:rsid w:val="00C616CC"/>
    <w:rsid w:val="00C62331"/>
    <w:rsid w:val="00C64881"/>
    <w:rsid w:val="00C64E21"/>
    <w:rsid w:val="00C65B6A"/>
    <w:rsid w:val="00C73C77"/>
    <w:rsid w:val="00C76D53"/>
    <w:rsid w:val="00C8411F"/>
    <w:rsid w:val="00C85B12"/>
    <w:rsid w:val="00C92172"/>
    <w:rsid w:val="00C977E2"/>
    <w:rsid w:val="00CA1D9E"/>
    <w:rsid w:val="00CA2127"/>
    <w:rsid w:val="00CA4C2C"/>
    <w:rsid w:val="00CA661B"/>
    <w:rsid w:val="00CB04D1"/>
    <w:rsid w:val="00CB14F3"/>
    <w:rsid w:val="00CB1772"/>
    <w:rsid w:val="00CB3540"/>
    <w:rsid w:val="00CB4E0D"/>
    <w:rsid w:val="00CD03E8"/>
    <w:rsid w:val="00CD5AA5"/>
    <w:rsid w:val="00CE158D"/>
    <w:rsid w:val="00CE179D"/>
    <w:rsid w:val="00CE21DF"/>
    <w:rsid w:val="00CE344F"/>
    <w:rsid w:val="00CF6440"/>
    <w:rsid w:val="00CF651A"/>
    <w:rsid w:val="00CF77EF"/>
    <w:rsid w:val="00D04344"/>
    <w:rsid w:val="00D0654E"/>
    <w:rsid w:val="00D07E03"/>
    <w:rsid w:val="00D10E49"/>
    <w:rsid w:val="00D15832"/>
    <w:rsid w:val="00D222AE"/>
    <w:rsid w:val="00D24CEB"/>
    <w:rsid w:val="00D27CC6"/>
    <w:rsid w:val="00D3036E"/>
    <w:rsid w:val="00D317E1"/>
    <w:rsid w:val="00D327AE"/>
    <w:rsid w:val="00D32901"/>
    <w:rsid w:val="00D32BB2"/>
    <w:rsid w:val="00D33794"/>
    <w:rsid w:val="00D345B6"/>
    <w:rsid w:val="00D34CE3"/>
    <w:rsid w:val="00D35BC1"/>
    <w:rsid w:val="00D36FA1"/>
    <w:rsid w:val="00D42024"/>
    <w:rsid w:val="00D426D5"/>
    <w:rsid w:val="00D432A7"/>
    <w:rsid w:val="00D45497"/>
    <w:rsid w:val="00D47BA7"/>
    <w:rsid w:val="00D5596C"/>
    <w:rsid w:val="00D5699C"/>
    <w:rsid w:val="00D61CA5"/>
    <w:rsid w:val="00D65E84"/>
    <w:rsid w:val="00D713B5"/>
    <w:rsid w:val="00D763BF"/>
    <w:rsid w:val="00D804E7"/>
    <w:rsid w:val="00D81BC3"/>
    <w:rsid w:val="00D83CCE"/>
    <w:rsid w:val="00D83F3A"/>
    <w:rsid w:val="00D91A5B"/>
    <w:rsid w:val="00D920AB"/>
    <w:rsid w:val="00D94A9E"/>
    <w:rsid w:val="00D97338"/>
    <w:rsid w:val="00DA3C38"/>
    <w:rsid w:val="00DA447E"/>
    <w:rsid w:val="00DB07D4"/>
    <w:rsid w:val="00DB5931"/>
    <w:rsid w:val="00DB7D7F"/>
    <w:rsid w:val="00DC3BE8"/>
    <w:rsid w:val="00DC55F4"/>
    <w:rsid w:val="00DC64D4"/>
    <w:rsid w:val="00DD0276"/>
    <w:rsid w:val="00DD02D0"/>
    <w:rsid w:val="00DD0897"/>
    <w:rsid w:val="00DD1F50"/>
    <w:rsid w:val="00DD22EB"/>
    <w:rsid w:val="00DE3639"/>
    <w:rsid w:val="00DE3EA5"/>
    <w:rsid w:val="00DE7D83"/>
    <w:rsid w:val="00DF0020"/>
    <w:rsid w:val="00DF14D9"/>
    <w:rsid w:val="00DF2FA9"/>
    <w:rsid w:val="00DF37D9"/>
    <w:rsid w:val="00DF417B"/>
    <w:rsid w:val="00DF46BF"/>
    <w:rsid w:val="00DF5641"/>
    <w:rsid w:val="00DF659F"/>
    <w:rsid w:val="00E03C5C"/>
    <w:rsid w:val="00E059D4"/>
    <w:rsid w:val="00E0793B"/>
    <w:rsid w:val="00E10FF0"/>
    <w:rsid w:val="00E1413D"/>
    <w:rsid w:val="00E14481"/>
    <w:rsid w:val="00E148B3"/>
    <w:rsid w:val="00E14ACE"/>
    <w:rsid w:val="00E16DF2"/>
    <w:rsid w:val="00E177AC"/>
    <w:rsid w:val="00E23A03"/>
    <w:rsid w:val="00E258D4"/>
    <w:rsid w:val="00E26C86"/>
    <w:rsid w:val="00E341E9"/>
    <w:rsid w:val="00E364A3"/>
    <w:rsid w:val="00E413A9"/>
    <w:rsid w:val="00E43651"/>
    <w:rsid w:val="00E451B3"/>
    <w:rsid w:val="00E453D4"/>
    <w:rsid w:val="00E465D5"/>
    <w:rsid w:val="00E46CC6"/>
    <w:rsid w:val="00E50C37"/>
    <w:rsid w:val="00E52C78"/>
    <w:rsid w:val="00E56ECC"/>
    <w:rsid w:val="00E643DD"/>
    <w:rsid w:val="00E669E1"/>
    <w:rsid w:val="00E72682"/>
    <w:rsid w:val="00E80B34"/>
    <w:rsid w:val="00E843CC"/>
    <w:rsid w:val="00E8535C"/>
    <w:rsid w:val="00E86259"/>
    <w:rsid w:val="00E90070"/>
    <w:rsid w:val="00E900F5"/>
    <w:rsid w:val="00E90363"/>
    <w:rsid w:val="00E9137D"/>
    <w:rsid w:val="00E9438D"/>
    <w:rsid w:val="00E9489F"/>
    <w:rsid w:val="00E973B7"/>
    <w:rsid w:val="00E97A2E"/>
    <w:rsid w:val="00EA17BE"/>
    <w:rsid w:val="00EA2C68"/>
    <w:rsid w:val="00EA46D4"/>
    <w:rsid w:val="00EA4C67"/>
    <w:rsid w:val="00EA6888"/>
    <w:rsid w:val="00EB20D2"/>
    <w:rsid w:val="00EB3EE6"/>
    <w:rsid w:val="00EB5830"/>
    <w:rsid w:val="00EC3216"/>
    <w:rsid w:val="00EC3D51"/>
    <w:rsid w:val="00ED1B3D"/>
    <w:rsid w:val="00ED3356"/>
    <w:rsid w:val="00ED3A8F"/>
    <w:rsid w:val="00ED3B79"/>
    <w:rsid w:val="00EE0AEF"/>
    <w:rsid w:val="00EE27C9"/>
    <w:rsid w:val="00EF18ED"/>
    <w:rsid w:val="00EF7177"/>
    <w:rsid w:val="00F039CF"/>
    <w:rsid w:val="00F1010B"/>
    <w:rsid w:val="00F10505"/>
    <w:rsid w:val="00F10638"/>
    <w:rsid w:val="00F11874"/>
    <w:rsid w:val="00F11B5B"/>
    <w:rsid w:val="00F1264D"/>
    <w:rsid w:val="00F126EC"/>
    <w:rsid w:val="00F1335E"/>
    <w:rsid w:val="00F14C30"/>
    <w:rsid w:val="00F21826"/>
    <w:rsid w:val="00F2185F"/>
    <w:rsid w:val="00F2468F"/>
    <w:rsid w:val="00F25CA8"/>
    <w:rsid w:val="00F263AD"/>
    <w:rsid w:val="00F300DE"/>
    <w:rsid w:val="00F30500"/>
    <w:rsid w:val="00F3449F"/>
    <w:rsid w:val="00F35A2E"/>
    <w:rsid w:val="00F37198"/>
    <w:rsid w:val="00F457A9"/>
    <w:rsid w:val="00F5058C"/>
    <w:rsid w:val="00F56E49"/>
    <w:rsid w:val="00F57265"/>
    <w:rsid w:val="00F57B0C"/>
    <w:rsid w:val="00F60F70"/>
    <w:rsid w:val="00F620C5"/>
    <w:rsid w:val="00F663E0"/>
    <w:rsid w:val="00F66C2D"/>
    <w:rsid w:val="00F67013"/>
    <w:rsid w:val="00F67952"/>
    <w:rsid w:val="00F67B7A"/>
    <w:rsid w:val="00F70679"/>
    <w:rsid w:val="00F754B4"/>
    <w:rsid w:val="00F76EF5"/>
    <w:rsid w:val="00F8216F"/>
    <w:rsid w:val="00F90D02"/>
    <w:rsid w:val="00F91479"/>
    <w:rsid w:val="00F93030"/>
    <w:rsid w:val="00F94AFF"/>
    <w:rsid w:val="00F94EFB"/>
    <w:rsid w:val="00F97AE9"/>
    <w:rsid w:val="00FA3A6B"/>
    <w:rsid w:val="00FA5176"/>
    <w:rsid w:val="00FB0CE6"/>
    <w:rsid w:val="00FB434F"/>
    <w:rsid w:val="00FB48EE"/>
    <w:rsid w:val="00FB72A7"/>
    <w:rsid w:val="00FC0090"/>
    <w:rsid w:val="00FC135A"/>
    <w:rsid w:val="00FC210D"/>
    <w:rsid w:val="00FC2FD9"/>
    <w:rsid w:val="00FC5FC1"/>
    <w:rsid w:val="00FC6116"/>
    <w:rsid w:val="00FC62A9"/>
    <w:rsid w:val="00FC765A"/>
    <w:rsid w:val="00FD5E4A"/>
    <w:rsid w:val="00FE09CA"/>
    <w:rsid w:val="00FE50E4"/>
    <w:rsid w:val="00FF02D6"/>
    <w:rsid w:val="00FF1ED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D0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kern w:val="2"/>
        <w:sz w:val="26"/>
        <w:szCs w:val="26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625"/>
  </w:style>
  <w:style w:type="paragraph" w:styleId="Heading1">
    <w:name w:val="heading 1"/>
    <w:basedOn w:val="Normal"/>
    <w:next w:val="Normal"/>
    <w:link w:val="Heading1Char"/>
    <w:uiPriority w:val="9"/>
    <w:qFormat/>
    <w:rsid w:val="00CA4C2C"/>
    <w:pPr>
      <w:keepNext/>
      <w:keepLines/>
      <w:jc w:val="center"/>
      <w:outlineLvl w:val="0"/>
    </w:pPr>
    <w:rPr>
      <w:rFonts w:eastAsiaTheme="majorEastAsia" w:cstheme="majorBidi"/>
      <w:b/>
      <w:small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32"/>
    <w:pPr>
      <w:keepNext/>
      <w:keepLines/>
      <w:numPr>
        <w:numId w:val="8"/>
      </w:numPr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360"/>
    <w:pPr>
      <w:keepNext/>
      <w:keepLines/>
      <w:numPr>
        <w:numId w:val="9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360"/>
    <w:pPr>
      <w:keepNext/>
      <w:keepLines/>
      <w:numPr>
        <w:numId w:val="10"/>
      </w:numPr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D5AA5"/>
    <w:pPr>
      <w:numPr>
        <w:numId w:val="12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EC1"/>
    <w:pPr>
      <w:contextualSpacing/>
      <w:jc w:val="center"/>
    </w:pPr>
    <w:rPr>
      <w:rFonts w:eastAsiaTheme="majorEastAsia" w:cstheme="majorBidi"/>
      <w:b/>
      <w:smallCaps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EC1"/>
    <w:rPr>
      <w:rFonts w:eastAsiaTheme="majorEastAsia" w:cstheme="majorBidi"/>
      <w:b/>
      <w:smallCaps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4C2C"/>
    <w:rPr>
      <w:rFonts w:eastAsiaTheme="majorEastAsia" w:cstheme="majorBidi"/>
      <w:b/>
      <w:smallCaps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87360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7360"/>
    <w:rPr>
      <w:rFonts w:eastAsiaTheme="majorEastAsia" w:cstheme="majorBidi"/>
      <w:b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05232"/>
    <w:rPr>
      <w:rFonts w:eastAsiaTheme="majorEastAsia" w:cstheme="majorBidi"/>
      <w:b/>
    </w:rPr>
  </w:style>
  <w:style w:type="paragraph" w:styleId="NoSpacing">
    <w:name w:val="No Spacing"/>
    <w:uiPriority w:val="1"/>
    <w:qFormat/>
    <w:rsid w:val="00C06C3E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720B9E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0B9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semiHidden/>
    <w:unhideWhenUsed/>
    <w:rsid w:val="00720B9E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E14ACE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942A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40"/>
  </w:style>
  <w:style w:type="paragraph" w:styleId="Footer">
    <w:name w:val="footer"/>
    <w:basedOn w:val="Normal"/>
    <w:link w:val="FooterChar"/>
    <w:uiPriority w:val="99"/>
    <w:unhideWhenUsed/>
    <w:rsid w:val="00942A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40"/>
  </w:style>
  <w:style w:type="paragraph" w:styleId="ListParagraph">
    <w:name w:val="List Paragraph"/>
    <w:basedOn w:val="Normal"/>
    <w:uiPriority w:val="34"/>
    <w:qFormat/>
    <w:rsid w:val="004360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65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6555"/>
    <w:rPr>
      <w:i/>
      <w:iCs/>
    </w:rPr>
  </w:style>
  <w:style w:type="paragraph" w:styleId="Revision">
    <w:name w:val="Revision"/>
    <w:hidden/>
    <w:uiPriority w:val="99"/>
    <w:semiHidden/>
    <w:rsid w:val="0026521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6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25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5058C"/>
    <w:pPr>
      <w:spacing w:line="240" w:lineRule="auto"/>
    </w:pPr>
    <w:rPr>
      <w:rFonts w:ascii="Times New Roman" w:hAnsi="Times New Roman"/>
      <w:kern w:val="0"/>
      <w:szCs w:val="22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1681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948807430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596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793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844591184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61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2307</Words>
  <Characters>12164</Characters>
  <Application>Microsoft Office Word</Application>
  <DocSecurity>0</DocSecurity>
  <Lines>243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2024-03-20T22:33:00Z</dcterms:created>
  <dcterms:modified xsi:type="dcterms:W3CDTF">2024-03-20T22:37:00Z</dcterms:modified>
  <cp:category/>
</cp:coreProperties>
</file>