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8C20" w14:textId="7884B634" w:rsidR="00A70F41" w:rsidRPr="00784FB0" w:rsidRDefault="00A70F41" w:rsidP="00A70F41">
      <w:pPr>
        <w:spacing w:line="240" w:lineRule="auto"/>
        <w:rPr>
          <w:sz w:val="20"/>
        </w:rPr>
      </w:pPr>
      <w:r w:rsidRPr="00784FB0">
        <w:rPr>
          <w:sz w:val="20"/>
        </w:rPr>
        <w:t>Filed</w:t>
      </w:r>
      <w:r w:rsidR="00F564C6" w:rsidRPr="00784FB0">
        <w:rPr>
          <w:sz w:val="20"/>
        </w:rPr>
        <w:t xml:space="preserve"> 2/2</w:t>
      </w:r>
      <w:r w:rsidR="00026073" w:rsidRPr="00784FB0">
        <w:rPr>
          <w:sz w:val="20"/>
        </w:rPr>
        <w:t>8</w:t>
      </w:r>
      <w:r w:rsidR="00F564C6" w:rsidRPr="00784FB0">
        <w:rPr>
          <w:sz w:val="20"/>
        </w:rPr>
        <w:t>/24</w:t>
      </w:r>
    </w:p>
    <w:p w14:paraId="7F0F57B4" w14:textId="1097BDAC" w:rsidR="00A70F41" w:rsidRPr="00075FAD" w:rsidRDefault="00A70F41" w:rsidP="006C725A">
      <w:pPr>
        <w:spacing w:line="240" w:lineRule="auto"/>
        <w:jc w:val="center"/>
        <w:rPr>
          <w:bCs/>
        </w:rPr>
      </w:pPr>
      <w:r w:rsidRPr="00075FAD">
        <w:rPr>
          <w:b/>
          <w:bCs/>
        </w:rPr>
        <w:t>CERTIFIED FOR PARTIAL PUBLICATION</w:t>
      </w:r>
      <w:r w:rsidRPr="00075FAD">
        <w:rPr>
          <w:rStyle w:val="FootnoteReference"/>
          <w:b/>
          <w:bCs/>
        </w:rPr>
        <w:footnoteReference w:customMarkFollows="1" w:id="1"/>
        <w:t>*</w:t>
      </w:r>
    </w:p>
    <w:p w14:paraId="57B46052" w14:textId="77777777" w:rsidR="00EA64A0" w:rsidRPr="00075FAD" w:rsidRDefault="00EA64A0" w:rsidP="006C725A">
      <w:pPr>
        <w:spacing w:line="240" w:lineRule="auto"/>
        <w:rPr>
          <w:b/>
          <w:bCs/>
        </w:rPr>
      </w:pPr>
    </w:p>
    <w:p w14:paraId="218991AD" w14:textId="3AA65B4E" w:rsidR="008C69C3" w:rsidRPr="00075FAD" w:rsidRDefault="00A43D0D" w:rsidP="00A43D0D">
      <w:pPr>
        <w:spacing w:line="240" w:lineRule="auto"/>
        <w:jc w:val="center"/>
      </w:pPr>
      <w:r w:rsidRPr="00075FAD">
        <w:t>IN THE COURT OF APPEAL OF THE STATE OF CALIFORNIA</w:t>
      </w:r>
    </w:p>
    <w:p w14:paraId="014B9B7B" w14:textId="4C986E76" w:rsidR="00A43D0D" w:rsidRPr="00075FAD" w:rsidRDefault="00A43D0D" w:rsidP="00A43D0D">
      <w:pPr>
        <w:spacing w:line="240" w:lineRule="auto"/>
        <w:jc w:val="center"/>
      </w:pPr>
    </w:p>
    <w:p w14:paraId="0ED2883A" w14:textId="2956FE51" w:rsidR="00A43D0D" w:rsidRPr="00075FAD" w:rsidRDefault="00A43D0D" w:rsidP="00A43D0D">
      <w:pPr>
        <w:spacing w:line="240" w:lineRule="auto"/>
        <w:jc w:val="center"/>
      </w:pPr>
      <w:r w:rsidRPr="00075FAD">
        <w:t>FIRST APPELLATE DISTRICT</w:t>
      </w:r>
    </w:p>
    <w:p w14:paraId="09673029" w14:textId="56AF5A5A" w:rsidR="00A43D0D" w:rsidRPr="00075FAD" w:rsidRDefault="00A43D0D" w:rsidP="00A43D0D">
      <w:pPr>
        <w:spacing w:line="240" w:lineRule="auto"/>
        <w:jc w:val="center"/>
      </w:pPr>
    </w:p>
    <w:p w14:paraId="45B685D1" w14:textId="7C3E7262" w:rsidR="00A43D0D" w:rsidRPr="00075FAD" w:rsidRDefault="00A43D0D" w:rsidP="006C725A">
      <w:pPr>
        <w:spacing w:line="240" w:lineRule="auto"/>
        <w:jc w:val="center"/>
      </w:pPr>
      <w:r w:rsidRPr="00075FAD">
        <w:t>DIVISION FIVE</w:t>
      </w:r>
    </w:p>
    <w:p w14:paraId="3E8D6E98" w14:textId="52D88BBE" w:rsidR="00A43D0D" w:rsidRPr="00075FAD" w:rsidRDefault="00A43D0D" w:rsidP="00A43D0D">
      <w:pPr>
        <w:spacing w:line="240" w:lineRule="auto"/>
        <w:jc w:val="center"/>
      </w:pPr>
    </w:p>
    <w:tbl>
      <w:tblPr>
        <w:tblW w:w="0" w:type="auto"/>
        <w:tblLayout w:type="fixed"/>
        <w:tblLook w:val="0000" w:firstRow="0" w:lastRow="0" w:firstColumn="0" w:lastColumn="0" w:noHBand="0" w:noVBand="0"/>
      </w:tblPr>
      <w:tblGrid>
        <w:gridCol w:w="4410"/>
        <w:gridCol w:w="3510"/>
      </w:tblGrid>
      <w:tr w:rsidR="00A43D0D" w:rsidRPr="00075FAD" w14:paraId="1343A164" w14:textId="77777777" w:rsidTr="00D637E2">
        <w:tc>
          <w:tcPr>
            <w:tcW w:w="4410" w:type="dxa"/>
            <w:tcBorders>
              <w:bottom w:val="single" w:sz="4" w:space="0" w:color="auto"/>
              <w:right w:val="single" w:sz="4" w:space="0" w:color="auto"/>
            </w:tcBorders>
            <w:shd w:val="clear" w:color="auto" w:fill="auto"/>
          </w:tcPr>
          <w:p w14:paraId="34D06337" w14:textId="252398C2" w:rsidR="00A43D0D" w:rsidRPr="00075FAD" w:rsidRDefault="00A43D0D" w:rsidP="00A43D0D">
            <w:pPr>
              <w:spacing w:after="120" w:line="240" w:lineRule="auto"/>
            </w:pPr>
            <w:r w:rsidRPr="00075FAD">
              <w:t>W. BRADLEY ELECTRIC, INC.,</w:t>
            </w:r>
            <w:r w:rsidR="007228E4" w:rsidRPr="00075FAD">
              <w:t xml:space="preserve"> et al.,</w:t>
            </w:r>
          </w:p>
          <w:p w14:paraId="62E231AB" w14:textId="49D13DFD" w:rsidR="00A43D0D" w:rsidRPr="00075FAD" w:rsidRDefault="00A43D0D" w:rsidP="00A43D0D">
            <w:pPr>
              <w:spacing w:after="120" w:line="240" w:lineRule="auto"/>
            </w:pPr>
            <w:r w:rsidRPr="00075FAD">
              <w:tab/>
            </w:r>
            <w:r w:rsidR="00C51BCD" w:rsidRPr="00075FAD">
              <w:t>Cross-</w:t>
            </w:r>
            <w:r w:rsidR="00784FB0">
              <w:t>d</w:t>
            </w:r>
            <w:r w:rsidRPr="00075FAD">
              <w:t>efendant</w:t>
            </w:r>
            <w:r w:rsidR="007228E4" w:rsidRPr="00075FAD">
              <w:t>s</w:t>
            </w:r>
            <w:r w:rsidRPr="00075FAD">
              <w:t xml:space="preserve"> and Respondent</w:t>
            </w:r>
            <w:r w:rsidR="007228E4" w:rsidRPr="00075FAD">
              <w:t>s</w:t>
            </w:r>
            <w:r w:rsidRPr="00075FAD">
              <w:t>,</w:t>
            </w:r>
          </w:p>
          <w:p w14:paraId="513AF497" w14:textId="77777777" w:rsidR="00A43D0D" w:rsidRPr="00075FAD" w:rsidRDefault="00A43D0D" w:rsidP="00A43D0D">
            <w:pPr>
              <w:spacing w:after="120" w:line="240" w:lineRule="auto"/>
            </w:pPr>
            <w:r w:rsidRPr="00075FAD">
              <w:t>v.</w:t>
            </w:r>
          </w:p>
          <w:p w14:paraId="6FF18868" w14:textId="77777777" w:rsidR="00A43D0D" w:rsidRPr="00075FAD" w:rsidRDefault="00A43D0D" w:rsidP="00A43D0D">
            <w:pPr>
              <w:spacing w:after="120" w:line="240" w:lineRule="auto"/>
            </w:pPr>
            <w:r w:rsidRPr="00075FAD">
              <w:t>MITCHELL ENGINEERING,</w:t>
            </w:r>
          </w:p>
          <w:p w14:paraId="506FA23A" w14:textId="1E362D61" w:rsidR="00A43D0D" w:rsidRPr="00075FAD" w:rsidRDefault="00A43D0D" w:rsidP="00A43D0D">
            <w:pPr>
              <w:spacing w:after="120" w:line="240" w:lineRule="auto"/>
            </w:pPr>
            <w:r w:rsidRPr="00075FAD">
              <w:tab/>
            </w:r>
            <w:r w:rsidR="00784FB0">
              <w:t>Cross-complainant</w:t>
            </w:r>
            <w:r w:rsidRPr="00075FAD">
              <w:t xml:space="preserve"> and Appellant.</w:t>
            </w:r>
          </w:p>
        </w:tc>
        <w:tc>
          <w:tcPr>
            <w:tcW w:w="3510" w:type="dxa"/>
            <w:tcBorders>
              <w:left w:val="single" w:sz="4" w:space="0" w:color="auto"/>
            </w:tcBorders>
            <w:shd w:val="clear" w:color="auto" w:fill="auto"/>
          </w:tcPr>
          <w:p w14:paraId="4057C561" w14:textId="77777777" w:rsidR="00A43D0D" w:rsidRPr="00075FAD" w:rsidRDefault="00A43D0D" w:rsidP="00A43D0D">
            <w:pPr>
              <w:spacing w:line="240" w:lineRule="auto"/>
            </w:pPr>
          </w:p>
          <w:p w14:paraId="53205D24" w14:textId="77777777" w:rsidR="00A43D0D" w:rsidRPr="00075FAD" w:rsidRDefault="00A43D0D" w:rsidP="00A43D0D">
            <w:pPr>
              <w:spacing w:line="240" w:lineRule="auto"/>
            </w:pPr>
          </w:p>
          <w:p w14:paraId="4607E338" w14:textId="77777777" w:rsidR="00A43D0D" w:rsidRPr="00075FAD" w:rsidRDefault="00A43D0D" w:rsidP="00A43D0D">
            <w:pPr>
              <w:spacing w:line="240" w:lineRule="auto"/>
            </w:pPr>
            <w:r w:rsidRPr="00075FAD">
              <w:t xml:space="preserve">      A167137</w:t>
            </w:r>
          </w:p>
          <w:p w14:paraId="43D068DE" w14:textId="77777777" w:rsidR="00A43D0D" w:rsidRPr="00075FAD" w:rsidRDefault="00A43D0D" w:rsidP="00A43D0D">
            <w:pPr>
              <w:spacing w:line="240" w:lineRule="auto"/>
            </w:pPr>
          </w:p>
          <w:p w14:paraId="259873E0" w14:textId="0D2CD693" w:rsidR="00A43D0D" w:rsidRPr="00075FAD" w:rsidRDefault="00A43D0D" w:rsidP="003C1195">
            <w:pPr>
              <w:spacing w:line="240" w:lineRule="auto"/>
              <w:ind w:left="436"/>
            </w:pPr>
            <w:r w:rsidRPr="00075FAD">
              <w:t>(</w:t>
            </w:r>
            <w:r w:rsidR="003C1195" w:rsidRPr="00075FAD">
              <w:t xml:space="preserve">City &amp; County of </w:t>
            </w:r>
            <w:r w:rsidRPr="00075FAD">
              <w:t>San Francisco Super. Ct. No</w:t>
            </w:r>
            <w:r w:rsidR="003C1195" w:rsidRPr="00075FAD">
              <w:t>s</w:t>
            </w:r>
            <w:r w:rsidRPr="00075FAD">
              <w:t>. CGC19575663, CGC20583018)</w:t>
            </w:r>
          </w:p>
          <w:p w14:paraId="65AF5B04" w14:textId="2A915C8E" w:rsidR="00A43D0D" w:rsidRPr="00075FAD" w:rsidRDefault="00A43D0D" w:rsidP="00A43D0D">
            <w:pPr>
              <w:spacing w:line="240" w:lineRule="auto"/>
            </w:pPr>
          </w:p>
        </w:tc>
      </w:tr>
    </w:tbl>
    <w:p w14:paraId="5875DFA6" w14:textId="64A22C5E" w:rsidR="00A43D0D" w:rsidRPr="00075FAD" w:rsidRDefault="00A43D0D" w:rsidP="00A43D0D">
      <w:pPr>
        <w:spacing w:line="360" w:lineRule="auto"/>
      </w:pPr>
    </w:p>
    <w:p w14:paraId="7CD5F9BB" w14:textId="77777777" w:rsidR="00492B0D" w:rsidRDefault="00A43D0D" w:rsidP="00C51BCD">
      <w:pPr>
        <w:tabs>
          <w:tab w:val="clear" w:pos="720"/>
          <w:tab w:val="left" w:pos="0"/>
        </w:tabs>
        <w:spacing w:line="360" w:lineRule="auto"/>
      </w:pPr>
      <w:r w:rsidRPr="00075FAD">
        <w:tab/>
      </w:r>
      <w:r w:rsidR="004722CE" w:rsidRPr="00075FAD">
        <w:t xml:space="preserve">Defendant </w:t>
      </w:r>
      <w:r w:rsidR="000442DB" w:rsidRPr="00075FAD">
        <w:t xml:space="preserve">and cross-complainant </w:t>
      </w:r>
      <w:r w:rsidR="004722CE" w:rsidRPr="00075FAD">
        <w:t xml:space="preserve">(and appellant) </w:t>
      </w:r>
      <w:r w:rsidRPr="00075FAD">
        <w:t xml:space="preserve">Mitchell Engineering </w:t>
      </w:r>
      <w:r w:rsidR="008740CB" w:rsidRPr="00075FAD">
        <w:t xml:space="preserve">(Mitchell) </w:t>
      </w:r>
      <w:r w:rsidRPr="00075FAD">
        <w:t xml:space="preserve">appeals from an order denying its motion </w:t>
      </w:r>
      <w:r w:rsidR="00C51BCD" w:rsidRPr="00075FAD">
        <w:t>under Code of Civil Procedure section 473</w:t>
      </w:r>
      <w:r w:rsidR="00C51BCD" w:rsidRPr="00075FAD">
        <w:rPr>
          <w:rStyle w:val="FootnoteReference"/>
        </w:rPr>
        <w:footnoteReference w:id="2"/>
      </w:r>
      <w:r w:rsidR="00C51BCD" w:rsidRPr="00075FAD">
        <w:t xml:space="preserve"> </w:t>
      </w:r>
      <w:r w:rsidRPr="00075FAD">
        <w:t xml:space="preserve">to set aside a judgment </w:t>
      </w:r>
      <w:r w:rsidR="00C51BCD" w:rsidRPr="00075FAD">
        <w:t xml:space="preserve">dismissing its cross-complaint against cross-defendants </w:t>
      </w:r>
      <w:r w:rsidR="00990F16" w:rsidRPr="00075FAD">
        <w:t xml:space="preserve">(and respondents) </w:t>
      </w:r>
      <w:r w:rsidR="00C51BCD" w:rsidRPr="00075FAD">
        <w:t xml:space="preserve">W. Bradley Electric, Inc. (Bradley) and </w:t>
      </w:r>
      <w:r w:rsidR="00720369" w:rsidRPr="00075FAD">
        <w:t>DeHaro Ramirez Group (DeHaro)</w:t>
      </w:r>
      <w:r w:rsidRPr="00075FAD">
        <w:t xml:space="preserve">.  </w:t>
      </w:r>
      <w:r w:rsidR="00C51BCD" w:rsidRPr="00075FAD">
        <w:t xml:space="preserve">Mitchell </w:t>
      </w:r>
      <w:r w:rsidRPr="00075FAD">
        <w:t xml:space="preserve">contends the </w:t>
      </w:r>
      <w:r w:rsidR="007228E4" w:rsidRPr="00075FAD">
        <w:t xml:space="preserve">dismissal should have been vacated </w:t>
      </w:r>
      <w:r w:rsidRPr="00075FAD">
        <w:t xml:space="preserve">under section 473, subdivision (d), </w:t>
      </w:r>
      <w:r w:rsidR="007228E4" w:rsidRPr="00075FAD">
        <w:t xml:space="preserve">because </w:t>
      </w:r>
      <w:r w:rsidRPr="00075FAD">
        <w:t xml:space="preserve">its attorney entered into a settlement agreement </w:t>
      </w:r>
      <w:r w:rsidR="00C51BCD" w:rsidRPr="00075FAD">
        <w:t xml:space="preserve">and dismissed the cross-complaint </w:t>
      </w:r>
      <w:r w:rsidRPr="00075FAD">
        <w:t xml:space="preserve">without </w:t>
      </w:r>
      <w:r w:rsidR="003C1195" w:rsidRPr="00075FAD">
        <w:t xml:space="preserve">Mitchell’s </w:t>
      </w:r>
      <w:r w:rsidR="00C51BCD" w:rsidRPr="00075FAD">
        <w:t xml:space="preserve">express </w:t>
      </w:r>
      <w:r w:rsidRPr="00075FAD">
        <w:t xml:space="preserve">authorization.  </w:t>
      </w:r>
      <w:r w:rsidR="000D2DE6" w:rsidRPr="00075FAD">
        <w:t>Mitchell also contends in its reply brief that the court should have granted relief under section 473, subdivision (b), on the grounds of surprise or excusable neglect.</w:t>
      </w:r>
    </w:p>
    <w:p w14:paraId="634EF26D" w14:textId="660DE1F1" w:rsidR="000D2DE6" w:rsidRPr="00075FAD" w:rsidRDefault="00492B0D" w:rsidP="00C51BCD">
      <w:pPr>
        <w:tabs>
          <w:tab w:val="clear" w:pos="720"/>
          <w:tab w:val="left" w:pos="0"/>
        </w:tabs>
        <w:spacing w:line="360" w:lineRule="auto"/>
      </w:pPr>
      <w:r>
        <w:lastRenderedPageBreak/>
        <w:tab/>
      </w:r>
      <w:r w:rsidR="00A70F41" w:rsidRPr="00075FAD">
        <w:t>We will affirm the order.  In the published portion of this opinion, we conclude that, even if the dismissal could be deemed void rather than voidable for purposes of section 473, subdivision (d), substantial evidence supports the conclusion that Mitchell ratified the unauthorized actions of its attorney, and Mitchell fails to establish that the trial court abused its discretion in denying the motion to set the dismissal aside.  In the unpublished portion of the opinion, we conclude that Mitchell’s argument under section 473, subdivision (b), is forfeited and meritless.</w:t>
      </w:r>
    </w:p>
    <w:p w14:paraId="54DAA9B4" w14:textId="32099068" w:rsidR="00A43D0D" w:rsidRPr="00075FAD" w:rsidRDefault="00A43D0D" w:rsidP="00403684">
      <w:pPr>
        <w:tabs>
          <w:tab w:val="clear" w:pos="720"/>
          <w:tab w:val="left" w:pos="0"/>
        </w:tabs>
        <w:spacing w:line="360" w:lineRule="auto"/>
        <w:ind w:right="720"/>
        <w:jc w:val="center"/>
      </w:pPr>
      <w:r w:rsidRPr="00075FAD">
        <w:t xml:space="preserve">I.  </w:t>
      </w:r>
      <w:r w:rsidRPr="00075FAD">
        <w:rPr>
          <w:u w:val="single"/>
        </w:rPr>
        <w:t>FACTS AND PROCEDURAL HISTORY</w:t>
      </w:r>
    </w:p>
    <w:p w14:paraId="10976F72" w14:textId="3ED1B037" w:rsidR="00A43D0D" w:rsidRPr="00075FAD" w:rsidRDefault="0058638E" w:rsidP="0058638E">
      <w:pPr>
        <w:tabs>
          <w:tab w:val="clear" w:pos="720"/>
          <w:tab w:val="left" w:pos="0"/>
        </w:tabs>
        <w:spacing w:line="360" w:lineRule="auto"/>
      </w:pPr>
      <w:r w:rsidRPr="00075FAD">
        <w:tab/>
        <w:t xml:space="preserve">In </w:t>
      </w:r>
      <w:r w:rsidR="00A43D0D" w:rsidRPr="00075FAD">
        <w:t xml:space="preserve">May 2019, </w:t>
      </w:r>
      <w:r w:rsidRPr="00075FAD">
        <w:t>p</w:t>
      </w:r>
      <w:r w:rsidR="00A43D0D" w:rsidRPr="00075FAD">
        <w:t xml:space="preserve">laintiffs Mary Wong (individually and as the personal representative </w:t>
      </w:r>
      <w:r w:rsidR="000442DB" w:rsidRPr="00075FAD">
        <w:t xml:space="preserve">of </w:t>
      </w:r>
      <w:r w:rsidR="00A43D0D" w:rsidRPr="00075FAD">
        <w:t xml:space="preserve">the Estate of Lai Lee Wong), Thomas Wong, Felix Wong, and Jerry Wong </w:t>
      </w:r>
      <w:r w:rsidR="00990F16" w:rsidRPr="00075FAD">
        <w:t xml:space="preserve">(collectively, Plaintiffs) </w:t>
      </w:r>
      <w:r w:rsidR="000442DB" w:rsidRPr="00075FAD">
        <w:t>sued</w:t>
      </w:r>
      <w:r w:rsidR="00A43D0D" w:rsidRPr="00075FAD">
        <w:t xml:space="preserve"> Mebrhatu Behre Br</w:t>
      </w:r>
      <w:r w:rsidR="00AC7A20" w:rsidRPr="00075FAD">
        <w:t>h</w:t>
      </w:r>
      <w:r w:rsidR="00A43D0D" w:rsidRPr="00075FAD">
        <w:t>ane and Doe</w:t>
      </w:r>
      <w:r w:rsidR="004722CE" w:rsidRPr="00075FAD">
        <w:t xml:space="preserve"> defendants</w:t>
      </w:r>
      <w:r w:rsidR="00990F16" w:rsidRPr="00075FAD">
        <w:t xml:space="preserve"> (</w:t>
      </w:r>
      <w:r w:rsidR="00A43D0D" w:rsidRPr="00075FAD">
        <w:t>Case No. CGC-19-575663</w:t>
      </w:r>
      <w:r w:rsidR="00990F16" w:rsidRPr="00075FAD">
        <w:t>)</w:t>
      </w:r>
      <w:r w:rsidR="00A43D0D" w:rsidRPr="00075FAD">
        <w:t xml:space="preserve">.  Plaintiffs alleged that, on March 16, 2018, </w:t>
      </w:r>
      <w:r w:rsidR="000442DB" w:rsidRPr="00075FAD">
        <w:t xml:space="preserve">Lai Lee </w:t>
      </w:r>
      <w:r w:rsidR="00A43D0D" w:rsidRPr="00075FAD">
        <w:t xml:space="preserve">Wong was crossing the street near Broadway </w:t>
      </w:r>
      <w:r w:rsidR="004722CE" w:rsidRPr="00075FAD">
        <w:t xml:space="preserve">and </w:t>
      </w:r>
      <w:r w:rsidR="00A43D0D" w:rsidRPr="00075FAD">
        <w:t xml:space="preserve">Stockton </w:t>
      </w:r>
      <w:r w:rsidR="00C67389" w:rsidRPr="00075FAD">
        <w:t xml:space="preserve">Streets </w:t>
      </w:r>
      <w:r w:rsidR="00A43D0D" w:rsidRPr="00075FAD">
        <w:t>in San</w:t>
      </w:r>
      <w:r w:rsidRPr="00075FAD">
        <w:t xml:space="preserve"> </w:t>
      </w:r>
      <w:r w:rsidR="00A43D0D" w:rsidRPr="00075FAD">
        <w:t xml:space="preserve">Francisco, when a vehicle driven by </w:t>
      </w:r>
      <w:r w:rsidR="00EA13D5" w:rsidRPr="00075FAD">
        <w:t>B</w:t>
      </w:r>
      <w:r w:rsidR="00EA13D5">
        <w:t>rh</w:t>
      </w:r>
      <w:r w:rsidR="00EA13D5" w:rsidRPr="00075FAD">
        <w:t>ane</w:t>
      </w:r>
      <w:r w:rsidR="00990F16" w:rsidRPr="00075FAD">
        <w:t xml:space="preserve">, </w:t>
      </w:r>
      <w:r w:rsidR="00A43D0D" w:rsidRPr="00075FAD">
        <w:t xml:space="preserve">while working as a </w:t>
      </w:r>
      <w:r w:rsidR="00FF75DF" w:rsidRPr="00075FAD">
        <w:t xml:space="preserve">rideshare </w:t>
      </w:r>
      <w:r w:rsidR="00A43D0D" w:rsidRPr="00075FAD">
        <w:t>driver</w:t>
      </w:r>
      <w:r w:rsidR="000442DB" w:rsidRPr="00075FAD">
        <w:t xml:space="preserve"> for Uber Technologies Inc. (Uber)</w:t>
      </w:r>
      <w:r w:rsidR="00990F16" w:rsidRPr="00075FAD">
        <w:t>,</w:t>
      </w:r>
      <w:r w:rsidR="00A43D0D" w:rsidRPr="00075FAD">
        <w:t xml:space="preserve"> </w:t>
      </w:r>
      <w:r w:rsidRPr="00075FAD">
        <w:t xml:space="preserve">struck </w:t>
      </w:r>
      <w:r w:rsidR="004722CE" w:rsidRPr="00075FAD">
        <w:t xml:space="preserve">her </w:t>
      </w:r>
      <w:r w:rsidRPr="00075FAD">
        <w:t xml:space="preserve">in the crosswalk and caused </w:t>
      </w:r>
      <w:r w:rsidR="00A43D0D" w:rsidRPr="00075FAD">
        <w:t xml:space="preserve">injuries that led to her death.  </w:t>
      </w:r>
      <w:r w:rsidR="004722CE" w:rsidRPr="00075FAD">
        <w:t xml:space="preserve">Uber was </w:t>
      </w:r>
      <w:r w:rsidR="00990F16" w:rsidRPr="00075FAD">
        <w:t xml:space="preserve">later </w:t>
      </w:r>
      <w:r w:rsidR="004722CE" w:rsidRPr="00075FAD">
        <w:t>substituted for Doe 1</w:t>
      </w:r>
      <w:r w:rsidR="00C51BCD" w:rsidRPr="00075FAD">
        <w:t xml:space="preserve"> and added as a defendant</w:t>
      </w:r>
      <w:r w:rsidR="004722CE" w:rsidRPr="00075FAD">
        <w:t xml:space="preserve">. </w:t>
      </w:r>
    </w:p>
    <w:p w14:paraId="1C9B3119" w14:textId="61227AD7" w:rsidR="00A43D0D" w:rsidRPr="00075FAD" w:rsidRDefault="0058638E" w:rsidP="0058638E">
      <w:pPr>
        <w:pStyle w:val="BodyText"/>
        <w:widowControl/>
        <w:tabs>
          <w:tab w:val="left" w:pos="0"/>
        </w:tabs>
        <w:spacing w:line="360" w:lineRule="auto"/>
        <w:rPr>
          <w:rFonts w:ascii="Century Schoolbook" w:hAnsi="Century Schoolbook"/>
        </w:rPr>
      </w:pPr>
      <w:r w:rsidRPr="00075FAD">
        <w:rPr>
          <w:rFonts w:ascii="Century Schoolbook" w:hAnsi="Century Schoolbook"/>
        </w:rPr>
        <w:tab/>
        <w:t xml:space="preserve">In February </w:t>
      </w:r>
      <w:r w:rsidR="00A43D0D" w:rsidRPr="00075FAD">
        <w:rPr>
          <w:rFonts w:ascii="Century Schoolbook" w:hAnsi="Century Schoolbook"/>
        </w:rPr>
        <w:t xml:space="preserve">2020, </w:t>
      </w:r>
      <w:r w:rsidR="00990F16" w:rsidRPr="00075FAD">
        <w:rPr>
          <w:rFonts w:ascii="Century Schoolbook" w:hAnsi="Century Schoolbook"/>
        </w:rPr>
        <w:t>P</w:t>
      </w:r>
      <w:r w:rsidR="00A43D0D" w:rsidRPr="00075FAD">
        <w:rPr>
          <w:rFonts w:ascii="Century Schoolbook" w:hAnsi="Century Schoolbook"/>
        </w:rPr>
        <w:t xml:space="preserve">laintiffs filed a separate </w:t>
      </w:r>
      <w:r w:rsidR="00990F16" w:rsidRPr="00075FAD">
        <w:rPr>
          <w:rFonts w:ascii="Century Schoolbook" w:hAnsi="Century Schoolbook"/>
        </w:rPr>
        <w:t>c</w:t>
      </w:r>
      <w:r w:rsidR="00A43D0D" w:rsidRPr="00075FAD">
        <w:rPr>
          <w:rFonts w:ascii="Century Schoolbook" w:hAnsi="Century Schoolbook"/>
        </w:rPr>
        <w:t xml:space="preserve">omplaint against Mitchell </w:t>
      </w:r>
      <w:r w:rsidR="00990F16" w:rsidRPr="00075FAD">
        <w:rPr>
          <w:rFonts w:ascii="Century Schoolbook" w:hAnsi="Century Schoolbook"/>
        </w:rPr>
        <w:t>(</w:t>
      </w:r>
      <w:r w:rsidR="00A43D0D" w:rsidRPr="00075FAD">
        <w:rPr>
          <w:rFonts w:ascii="Century Schoolbook" w:hAnsi="Century Schoolbook"/>
        </w:rPr>
        <w:t>Case No. CGC-20-583018</w:t>
      </w:r>
      <w:r w:rsidR="00990F16" w:rsidRPr="00075FAD">
        <w:rPr>
          <w:rFonts w:ascii="Century Schoolbook" w:hAnsi="Century Schoolbook"/>
        </w:rPr>
        <w:t>)</w:t>
      </w:r>
      <w:r w:rsidR="00A43D0D" w:rsidRPr="00075FAD">
        <w:rPr>
          <w:rFonts w:ascii="Century Schoolbook" w:hAnsi="Century Schoolbook"/>
        </w:rPr>
        <w:t xml:space="preserve">.  </w:t>
      </w:r>
      <w:r w:rsidRPr="00075FAD">
        <w:rPr>
          <w:rFonts w:ascii="Century Schoolbook" w:hAnsi="Century Schoolbook"/>
        </w:rPr>
        <w:t xml:space="preserve">Plaintiffs alleged that </w:t>
      </w:r>
      <w:r w:rsidR="00A43D0D" w:rsidRPr="00075FAD">
        <w:rPr>
          <w:rFonts w:ascii="Century Schoolbook" w:hAnsi="Century Schoolbook"/>
        </w:rPr>
        <w:t>the condition</w:t>
      </w:r>
      <w:r w:rsidRPr="00075FAD">
        <w:rPr>
          <w:rFonts w:ascii="Century Schoolbook" w:hAnsi="Century Schoolbook"/>
        </w:rPr>
        <w:t xml:space="preserve"> </w:t>
      </w:r>
      <w:r w:rsidR="00A43D0D" w:rsidRPr="00075FAD">
        <w:rPr>
          <w:rFonts w:ascii="Century Schoolbook" w:hAnsi="Century Schoolbook"/>
        </w:rPr>
        <w:t xml:space="preserve">of the sidewalk and crosswalk entrance near the intersection of the accident, which was under construction </w:t>
      </w:r>
      <w:r w:rsidR="004722CE" w:rsidRPr="00075FAD">
        <w:rPr>
          <w:rFonts w:ascii="Century Schoolbook" w:hAnsi="Century Schoolbook"/>
        </w:rPr>
        <w:t xml:space="preserve">as part of </w:t>
      </w:r>
      <w:r w:rsidR="00A43D0D" w:rsidRPr="00075FAD">
        <w:rPr>
          <w:rFonts w:ascii="Century Schoolbook" w:hAnsi="Century Schoolbook"/>
        </w:rPr>
        <w:t xml:space="preserve">a project </w:t>
      </w:r>
      <w:r w:rsidRPr="00075FAD">
        <w:rPr>
          <w:rFonts w:ascii="Century Schoolbook" w:hAnsi="Century Schoolbook"/>
        </w:rPr>
        <w:t xml:space="preserve">involving </w:t>
      </w:r>
      <w:r w:rsidR="00A43D0D" w:rsidRPr="00075FAD">
        <w:rPr>
          <w:rFonts w:ascii="Century Schoolbook" w:hAnsi="Century Schoolbook"/>
        </w:rPr>
        <w:t xml:space="preserve">Mitchell, was a contributing cause of the fatal accident. </w:t>
      </w:r>
      <w:r w:rsidRPr="00075FAD">
        <w:rPr>
          <w:rFonts w:ascii="Century Schoolbook" w:hAnsi="Century Schoolbook"/>
        </w:rPr>
        <w:t xml:space="preserve"> </w:t>
      </w:r>
      <w:r w:rsidR="00990F16" w:rsidRPr="00075FAD">
        <w:rPr>
          <w:rFonts w:ascii="Century Schoolbook" w:hAnsi="Century Schoolbook"/>
        </w:rPr>
        <w:t xml:space="preserve">According to the complaint, </w:t>
      </w:r>
      <w:r w:rsidR="00A43D0D" w:rsidRPr="00075FAD">
        <w:rPr>
          <w:rFonts w:ascii="Century Schoolbook" w:hAnsi="Century Schoolbook"/>
        </w:rPr>
        <w:t xml:space="preserve">Mitchell “negligently controlled, designed, constructed, maintained, </w:t>
      </w:r>
      <w:r w:rsidR="00FD4CE0" w:rsidRPr="00075FAD">
        <w:rPr>
          <w:rFonts w:ascii="Century Schoolbook" w:hAnsi="Century Schoolbook"/>
        </w:rPr>
        <w:t xml:space="preserve">operated, </w:t>
      </w:r>
      <w:r w:rsidR="00A43D0D" w:rsidRPr="00075FAD">
        <w:rPr>
          <w:rFonts w:ascii="Century Schoolbook" w:hAnsi="Century Schoolbook"/>
        </w:rPr>
        <w:t xml:space="preserve">and inspected the accident intersection so as to </w:t>
      </w:r>
      <w:r w:rsidR="007228E4" w:rsidRPr="00075FAD">
        <w:rPr>
          <w:rFonts w:ascii="Century Schoolbook" w:hAnsi="Century Schoolbook"/>
        </w:rPr>
        <w:t xml:space="preserve">create </w:t>
      </w:r>
      <w:r w:rsidR="00A43D0D" w:rsidRPr="00075FAD">
        <w:rPr>
          <w:rFonts w:ascii="Century Schoolbook" w:hAnsi="Century Schoolbook"/>
        </w:rPr>
        <w:t>a dangerous condition</w:t>
      </w:r>
      <w:r w:rsidR="004722CE" w:rsidRPr="00075FAD">
        <w:rPr>
          <w:rFonts w:ascii="Century Schoolbook" w:hAnsi="Century Schoolbook"/>
        </w:rPr>
        <w:t xml:space="preserve"> . . . </w:t>
      </w:r>
      <w:r w:rsidR="00A43D0D" w:rsidRPr="00075FAD">
        <w:rPr>
          <w:rFonts w:ascii="Century Schoolbook" w:hAnsi="Century Schoolbook"/>
        </w:rPr>
        <w:t xml:space="preserve">that created a substantial risk of injury to the members of the general public.” </w:t>
      </w:r>
    </w:p>
    <w:p w14:paraId="6D83BE7C" w14:textId="00706F45" w:rsidR="00FD48C6" w:rsidRPr="00075FAD" w:rsidRDefault="00B878EB" w:rsidP="0083130D">
      <w:pPr>
        <w:pStyle w:val="BodyText"/>
        <w:widowControl/>
        <w:tabs>
          <w:tab w:val="left" w:pos="0"/>
        </w:tabs>
        <w:spacing w:line="360" w:lineRule="auto"/>
        <w:rPr>
          <w:rFonts w:ascii="Century Schoolbook" w:hAnsi="Century Schoolbook"/>
        </w:rPr>
      </w:pPr>
      <w:r w:rsidRPr="00075FAD">
        <w:rPr>
          <w:rFonts w:ascii="Century Schoolbook" w:hAnsi="Century Schoolbook"/>
        </w:rPr>
        <w:lastRenderedPageBreak/>
        <w:tab/>
      </w:r>
      <w:r w:rsidR="00FD48C6" w:rsidRPr="00075FAD">
        <w:rPr>
          <w:rFonts w:ascii="Century Schoolbook" w:hAnsi="Century Schoolbook"/>
        </w:rPr>
        <w:t xml:space="preserve">Mitchell initially tendered its defense and indemnification to its insurer, The Hartford.  After The Hartford appointed John Hauser as Mitchell’s lawyer, </w:t>
      </w:r>
      <w:r w:rsidR="00A43D0D" w:rsidRPr="00075FAD">
        <w:rPr>
          <w:rFonts w:ascii="Century Schoolbook" w:hAnsi="Century Schoolbook"/>
        </w:rPr>
        <w:t xml:space="preserve">Mitchell </w:t>
      </w:r>
      <w:r w:rsidR="00403684" w:rsidRPr="00075FAD">
        <w:rPr>
          <w:rFonts w:ascii="Century Schoolbook" w:hAnsi="Century Schoolbook"/>
        </w:rPr>
        <w:t>answered the complaint and filed</w:t>
      </w:r>
      <w:r w:rsidR="00403684" w:rsidRPr="00075FAD">
        <w:rPr>
          <w:rFonts w:ascii="Century Schoolbook" w:hAnsi="Century Schoolbook"/>
          <w:b/>
          <w:bCs/>
        </w:rPr>
        <w:t xml:space="preserve"> </w:t>
      </w:r>
      <w:r w:rsidR="004722CE" w:rsidRPr="00075FAD">
        <w:rPr>
          <w:rFonts w:ascii="Century Schoolbook" w:hAnsi="Century Schoolbook"/>
        </w:rPr>
        <w:t xml:space="preserve">a </w:t>
      </w:r>
      <w:r w:rsidR="0058638E" w:rsidRPr="00075FAD">
        <w:rPr>
          <w:rFonts w:ascii="Century Schoolbook" w:hAnsi="Century Schoolbook"/>
        </w:rPr>
        <w:t xml:space="preserve">cross-complaint against </w:t>
      </w:r>
      <w:r w:rsidR="006E1C07" w:rsidRPr="00075FAD">
        <w:rPr>
          <w:rFonts w:ascii="Century Schoolbook" w:hAnsi="Century Schoolbook"/>
        </w:rPr>
        <w:t>B</w:t>
      </w:r>
      <w:r w:rsidR="006E1C07">
        <w:rPr>
          <w:rFonts w:ascii="Century Schoolbook" w:hAnsi="Century Schoolbook"/>
        </w:rPr>
        <w:t>rh</w:t>
      </w:r>
      <w:r w:rsidR="006E1C07" w:rsidRPr="00075FAD">
        <w:rPr>
          <w:rFonts w:ascii="Century Schoolbook" w:hAnsi="Century Schoolbook"/>
        </w:rPr>
        <w:t>ane</w:t>
      </w:r>
      <w:r w:rsidR="00A43D0D" w:rsidRPr="00075FAD">
        <w:rPr>
          <w:rFonts w:ascii="Century Schoolbook" w:hAnsi="Century Schoolbook"/>
        </w:rPr>
        <w:t xml:space="preserve">.  </w:t>
      </w:r>
    </w:p>
    <w:p w14:paraId="41A51BA4" w14:textId="62794369" w:rsidR="004968A7" w:rsidRPr="00075FAD" w:rsidRDefault="00FD48C6" w:rsidP="00FD48C6">
      <w:pPr>
        <w:pStyle w:val="BodyText"/>
        <w:widowControl/>
        <w:tabs>
          <w:tab w:val="left" w:pos="0"/>
        </w:tabs>
        <w:spacing w:line="360" w:lineRule="auto"/>
        <w:rPr>
          <w:rFonts w:ascii="Century Schoolbook" w:hAnsi="Century Schoolbook"/>
        </w:rPr>
      </w:pPr>
      <w:r w:rsidRPr="00075FAD">
        <w:rPr>
          <w:rFonts w:ascii="Century Schoolbook" w:hAnsi="Century Schoolbook"/>
        </w:rPr>
        <w:tab/>
        <w:t xml:space="preserve">Mitchell later tendered the matter to Bradley’s insurer, The Travelers Indemnity Company of Connecticut (Travelers), as an additional insured under Bradley’s policy.  Travelers agreed to defend Mitchell subject to a reservation of rights and retained the law firm of Thomas | Lucas to represent Mitchell. </w:t>
      </w:r>
    </w:p>
    <w:p w14:paraId="6547906F" w14:textId="474B9AF2" w:rsidR="00A43D0D" w:rsidRPr="00075FAD" w:rsidRDefault="004968A7" w:rsidP="00FD48C6">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990F16" w:rsidRPr="00075FAD">
        <w:rPr>
          <w:rFonts w:ascii="Century Schoolbook" w:hAnsi="Century Schoolbook"/>
        </w:rPr>
        <w:t xml:space="preserve">After the </w:t>
      </w:r>
      <w:r w:rsidR="00A43D0D" w:rsidRPr="00075FAD">
        <w:rPr>
          <w:rFonts w:ascii="Century Schoolbook" w:hAnsi="Century Schoolbook"/>
        </w:rPr>
        <w:t>Thomas | Lucas firm joined</w:t>
      </w:r>
      <w:r w:rsidR="00096F30" w:rsidRPr="00075FAD">
        <w:rPr>
          <w:rFonts w:ascii="Century Schoolbook" w:hAnsi="Century Schoolbook"/>
        </w:rPr>
        <w:t xml:space="preserve"> </w:t>
      </w:r>
      <w:r w:rsidR="00A43D0D" w:rsidRPr="00075FAD">
        <w:rPr>
          <w:rFonts w:ascii="Century Schoolbook" w:hAnsi="Century Schoolbook"/>
        </w:rPr>
        <w:t>Mitchell’s defense</w:t>
      </w:r>
      <w:r w:rsidR="00990F16" w:rsidRPr="00075FAD">
        <w:rPr>
          <w:rFonts w:ascii="Century Schoolbook" w:hAnsi="Century Schoolbook"/>
        </w:rPr>
        <w:t xml:space="preserve">, </w:t>
      </w:r>
      <w:r w:rsidR="00A43D0D" w:rsidRPr="00075FAD">
        <w:rPr>
          <w:rFonts w:ascii="Century Schoolbook" w:hAnsi="Century Schoolbook"/>
        </w:rPr>
        <w:t>Mitchell filed an amended cross</w:t>
      </w:r>
      <w:r w:rsidR="004722CE" w:rsidRPr="00075FAD">
        <w:rPr>
          <w:rFonts w:ascii="Century Schoolbook" w:hAnsi="Century Schoolbook"/>
        </w:rPr>
        <w:t>-</w:t>
      </w:r>
      <w:r w:rsidR="00A43D0D" w:rsidRPr="00075FAD">
        <w:rPr>
          <w:rFonts w:ascii="Century Schoolbook" w:hAnsi="Century Schoolbook"/>
        </w:rPr>
        <w:t xml:space="preserve">complaint </w:t>
      </w:r>
      <w:r w:rsidR="00403684" w:rsidRPr="00075FAD">
        <w:rPr>
          <w:rFonts w:ascii="Century Schoolbook" w:hAnsi="Century Schoolbook"/>
        </w:rPr>
        <w:t xml:space="preserve">against </w:t>
      </w:r>
      <w:r w:rsidR="006E1C07" w:rsidRPr="00075FAD">
        <w:rPr>
          <w:rFonts w:ascii="Century Schoolbook" w:hAnsi="Century Schoolbook"/>
        </w:rPr>
        <w:t>B</w:t>
      </w:r>
      <w:r w:rsidR="006E1C07">
        <w:rPr>
          <w:rFonts w:ascii="Century Schoolbook" w:hAnsi="Century Schoolbook"/>
        </w:rPr>
        <w:t>rh</w:t>
      </w:r>
      <w:r w:rsidR="006E1C07" w:rsidRPr="00075FAD">
        <w:rPr>
          <w:rFonts w:ascii="Century Schoolbook" w:hAnsi="Century Schoolbook"/>
        </w:rPr>
        <w:t xml:space="preserve">ane </w:t>
      </w:r>
      <w:r w:rsidR="00A43D0D" w:rsidRPr="00075FAD">
        <w:rPr>
          <w:rFonts w:ascii="Century Schoolbook" w:hAnsi="Century Schoolbook"/>
        </w:rPr>
        <w:t xml:space="preserve">for indemnity, partial indemnification, and declaratory relief </w:t>
      </w:r>
      <w:r w:rsidR="0058638E" w:rsidRPr="00075FAD">
        <w:rPr>
          <w:rFonts w:ascii="Century Schoolbook" w:hAnsi="Century Schoolbook"/>
        </w:rPr>
        <w:t xml:space="preserve">in </w:t>
      </w:r>
      <w:r w:rsidR="00A43D0D" w:rsidRPr="00075FAD">
        <w:rPr>
          <w:rFonts w:ascii="Century Schoolbook" w:hAnsi="Century Schoolbook"/>
        </w:rPr>
        <w:t xml:space="preserve">August 2020. </w:t>
      </w:r>
      <w:r w:rsidR="00FD48C6" w:rsidRPr="00075FAD">
        <w:rPr>
          <w:rFonts w:ascii="Century Schoolbook" w:hAnsi="Century Schoolbook"/>
        </w:rPr>
        <w:t xml:space="preserve"> That same month, the </w:t>
      </w:r>
      <w:r w:rsidR="00A43D0D" w:rsidRPr="00075FAD">
        <w:rPr>
          <w:rFonts w:ascii="Century Schoolbook" w:hAnsi="Century Schoolbook"/>
        </w:rPr>
        <w:t xml:space="preserve">trial court consolidated </w:t>
      </w:r>
      <w:r w:rsidR="00FD48C6" w:rsidRPr="00075FAD">
        <w:rPr>
          <w:rFonts w:ascii="Century Schoolbook" w:hAnsi="Century Schoolbook"/>
        </w:rPr>
        <w:t xml:space="preserve">Plaintiffs’ </w:t>
      </w:r>
      <w:r w:rsidR="00A43D0D" w:rsidRPr="00075FAD">
        <w:rPr>
          <w:rFonts w:ascii="Century Schoolbook" w:hAnsi="Century Schoolbook"/>
        </w:rPr>
        <w:t xml:space="preserve">two </w:t>
      </w:r>
      <w:r w:rsidR="00C522C2" w:rsidRPr="00075FAD">
        <w:rPr>
          <w:rFonts w:ascii="Century Schoolbook" w:hAnsi="Century Schoolbook"/>
        </w:rPr>
        <w:t xml:space="preserve">cases under Case No. </w:t>
      </w:r>
      <w:r w:rsidR="00A43D0D" w:rsidRPr="00075FAD">
        <w:rPr>
          <w:rFonts w:ascii="Century Schoolbook" w:hAnsi="Century Schoolbook"/>
        </w:rPr>
        <w:t xml:space="preserve">CGC19575663. </w:t>
      </w:r>
    </w:p>
    <w:p w14:paraId="3139AD9C" w14:textId="277E3E97" w:rsidR="00C522C2" w:rsidRPr="00075FAD" w:rsidRDefault="0058638E" w:rsidP="0058638E">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4968A7" w:rsidRPr="00075FAD">
        <w:rPr>
          <w:rFonts w:ascii="Century Schoolbook" w:hAnsi="Century Schoolbook"/>
        </w:rPr>
        <w:t xml:space="preserve">In May 2021, </w:t>
      </w:r>
      <w:r w:rsidR="00A43D0D" w:rsidRPr="00075FAD">
        <w:rPr>
          <w:rFonts w:ascii="Century Schoolbook" w:hAnsi="Century Schoolbook"/>
        </w:rPr>
        <w:t xml:space="preserve">Mitchell filed </w:t>
      </w:r>
      <w:r w:rsidR="00C522C2" w:rsidRPr="00075FAD">
        <w:rPr>
          <w:rFonts w:ascii="Century Schoolbook" w:hAnsi="Century Schoolbook"/>
        </w:rPr>
        <w:t xml:space="preserve">a </w:t>
      </w:r>
      <w:r w:rsidR="004968A7" w:rsidRPr="00075FAD">
        <w:rPr>
          <w:rFonts w:ascii="Century Schoolbook" w:hAnsi="Century Schoolbook"/>
        </w:rPr>
        <w:t xml:space="preserve">second amended cross-complaint </w:t>
      </w:r>
      <w:r w:rsidR="00851D80" w:rsidRPr="00075FAD">
        <w:rPr>
          <w:rFonts w:ascii="Century Schoolbook" w:hAnsi="Century Schoolbook"/>
        </w:rPr>
        <w:t xml:space="preserve">against </w:t>
      </w:r>
      <w:r w:rsidR="00724A4B" w:rsidRPr="00075FAD">
        <w:rPr>
          <w:rFonts w:ascii="Century Schoolbook" w:hAnsi="Century Schoolbook"/>
        </w:rPr>
        <w:t>B</w:t>
      </w:r>
      <w:r w:rsidR="00724A4B">
        <w:rPr>
          <w:rFonts w:ascii="Century Schoolbook" w:hAnsi="Century Schoolbook"/>
        </w:rPr>
        <w:t>rh</w:t>
      </w:r>
      <w:r w:rsidR="00724A4B" w:rsidRPr="00075FAD">
        <w:rPr>
          <w:rFonts w:ascii="Century Schoolbook" w:hAnsi="Century Schoolbook"/>
        </w:rPr>
        <w:t>ane</w:t>
      </w:r>
      <w:r w:rsidR="00851D80" w:rsidRPr="00075FAD">
        <w:rPr>
          <w:rFonts w:ascii="Century Schoolbook" w:hAnsi="Century Schoolbook"/>
        </w:rPr>
        <w:t>, Uber</w:t>
      </w:r>
      <w:r w:rsidR="004968A7" w:rsidRPr="00075FAD">
        <w:rPr>
          <w:rFonts w:ascii="Century Schoolbook" w:hAnsi="Century Schoolbook"/>
        </w:rPr>
        <w:t xml:space="preserve">, </w:t>
      </w:r>
      <w:r w:rsidR="00851D80" w:rsidRPr="00075FAD">
        <w:rPr>
          <w:rFonts w:ascii="Century Schoolbook" w:hAnsi="Century Schoolbook"/>
        </w:rPr>
        <w:t>DeHaro</w:t>
      </w:r>
      <w:r w:rsidR="004968A7" w:rsidRPr="00075FAD">
        <w:rPr>
          <w:rFonts w:ascii="Century Schoolbook" w:hAnsi="Century Schoolbook"/>
        </w:rPr>
        <w:t xml:space="preserve">, </w:t>
      </w:r>
      <w:r w:rsidR="00851D80" w:rsidRPr="00075FAD">
        <w:rPr>
          <w:rFonts w:ascii="Century Schoolbook" w:hAnsi="Century Schoolbook"/>
        </w:rPr>
        <w:t>and Bradley</w:t>
      </w:r>
      <w:r w:rsidR="004968A7" w:rsidRPr="00075FAD">
        <w:rPr>
          <w:rFonts w:ascii="Century Schoolbook" w:hAnsi="Century Schoolbook"/>
        </w:rPr>
        <w:t xml:space="preserve"> (hereafter, cross-complaint).  The cross-complaint asserted causes of </w:t>
      </w:r>
      <w:r w:rsidR="00A43D0D" w:rsidRPr="00075FAD">
        <w:rPr>
          <w:rFonts w:ascii="Century Schoolbook" w:hAnsi="Century Schoolbook"/>
        </w:rPr>
        <w:t xml:space="preserve">action for </w:t>
      </w:r>
      <w:r w:rsidR="00851D80" w:rsidRPr="00075FAD">
        <w:rPr>
          <w:rFonts w:ascii="Century Schoolbook" w:hAnsi="Century Schoolbook"/>
        </w:rPr>
        <w:t xml:space="preserve">equitable </w:t>
      </w:r>
      <w:r w:rsidR="00A43D0D" w:rsidRPr="00075FAD">
        <w:rPr>
          <w:rFonts w:ascii="Century Schoolbook" w:hAnsi="Century Schoolbook"/>
        </w:rPr>
        <w:t xml:space="preserve">indemnity </w:t>
      </w:r>
      <w:r w:rsidR="00E36A4A" w:rsidRPr="00075FAD">
        <w:rPr>
          <w:rFonts w:ascii="Century Schoolbook" w:hAnsi="Century Schoolbook"/>
        </w:rPr>
        <w:t xml:space="preserve">and contribution against all </w:t>
      </w:r>
      <w:r w:rsidR="004968A7" w:rsidRPr="00075FAD">
        <w:rPr>
          <w:rFonts w:ascii="Century Schoolbook" w:hAnsi="Century Schoolbook"/>
        </w:rPr>
        <w:t>cross-</w:t>
      </w:r>
      <w:r w:rsidR="00E36A4A" w:rsidRPr="00075FAD">
        <w:rPr>
          <w:rFonts w:ascii="Century Schoolbook" w:hAnsi="Century Schoolbook"/>
        </w:rPr>
        <w:t xml:space="preserve">defendants, </w:t>
      </w:r>
      <w:r w:rsidR="00851D80" w:rsidRPr="00075FAD">
        <w:rPr>
          <w:rFonts w:ascii="Century Schoolbook" w:hAnsi="Century Schoolbook"/>
        </w:rPr>
        <w:t xml:space="preserve">express indemnity </w:t>
      </w:r>
      <w:r w:rsidR="00A43D0D" w:rsidRPr="00075FAD">
        <w:rPr>
          <w:rFonts w:ascii="Century Schoolbook" w:hAnsi="Century Schoolbook"/>
        </w:rPr>
        <w:t xml:space="preserve">against </w:t>
      </w:r>
      <w:r w:rsidR="00851D80" w:rsidRPr="00075FAD">
        <w:rPr>
          <w:rFonts w:ascii="Century Schoolbook" w:hAnsi="Century Schoolbook"/>
        </w:rPr>
        <w:t xml:space="preserve">DeHaro </w:t>
      </w:r>
      <w:r w:rsidR="00A43D0D" w:rsidRPr="00075FAD">
        <w:rPr>
          <w:rFonts w:ascii="Century Schoolbook" w:hAnsi="Century Schoolbook"/>
        </w:rPr>
        <w:t xml:space="preserve">and </w:t>
      </w:r>
      <w:r w:rsidR="00C522C2" w:rsidRPr="00075FAD">
        <w:rPr>
          <w:rFonts w:ascii="Century Schoolbook" w:hAnsi="Century Schoolbook"/>
        </w:rPr>
        <w:t xml:space="preserve">Bradley </w:t>
      </w:r>
      <w:r w:rsidRPr="00075FAD">
        <w:rPr>
          <w:rFonts w:ascii="Century Schoolbook" w:hAnsi="Century Schoolbook"/>
        </w:rPr>
        <w:t>based on indemnity provisions in their subcontracts</w:t>
      </w:r>
      <w:r w:rsidR="00851D80" w:rsidRPr="00075FAD">
        <w:rPr>
          <w:rFonts w:ascii="Century Schoolbook" w:hAnsi="Century Schoolbook"/>
        </w:rPr>
        <w:t>, breach of contract against DeHaro, and declaratory relief</w:t>
      </w:r>
      <w:r w:rsidR="00A43D0D" w:rsidRPr="00075FAD">
        <w:rPr>
          <w:rFonts w:ascii="Century Schoolbook" w:hAnsi="Century Schoolbook"/>
        </w:rPr>
        <w:t xml:space="preserve">. </w:t>
      </w:r>
    </w:p>
    <w:p w14:paraId="3A250366" w14:textId="7B6C516D" w:rsidR="004968A7" w:rsidRPr="00075FAD" w:rsidRDefault="00C522C2" w:rsidP="00C522C2">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403684" w:rsidRPr="00075FAD">
        <w:rPr>
          <w:rFonts w:ascii="Century Schoolbook" w:hAnsi="Century Schoolbook"/>
        </w:rPr>
        <w:t xml:space="preserve">DeHaro </w:t>
      </w:r>
      <w:r w:rsidR="004968A7" w:rsidRPr="00075FAD">
        <w:rPr>
          <w:rFonts w:ascii="Century Schoolbook" w:hAnsi="Century Schoolbook"/>
        </w:rPr>
        <w:t xml:space="preserve">then </w:t>
      </w:r>
      <w:r w:rsidR="00A43D0D" w:rsidRPr="00075FAD">
        <w:rPr>
          <w:rFonts w:ascii="Century Schoolbook" w:hAnsi="Century Schoolbook"/>
        </w:rPr>
        <w:t xml:space="preserve">filed a cross-complaint against Mitchell, Bradley, </w:t>
      </w:r>
      <w:r w:rsidR="00EB5034" w:rsidRPr="00075FAD">
        <w:rPr>
          <w:rFonts w:ascii="Century Schoolbook" w:hAnsi="Century Schoolbook"/>
        </w:rPr>
        <w:t>B</w:t>
      </w:r>
      <w:r w:rsidR="00EB5034">
        <w:rPr>
          <w:rFonts w:ascii="Century Schoolbook" w:hAnsi="Century Schoolbook"/>
        </w:rPr>
        <w:t>rh</w:t>
      </w:r>
      <w:r w:rsidR="00EB5034" w:rsidRPr="00075FAD">
        <w:rPr>
          <w:rFonts w:ascii="Century Schoolbook" w:hAnsi="Century Schoolbook"/>
        </w:rPr>
        <w:t>ane</w:t>
      </w:r>
      <w:r w:rsidR="00A43D0D" w:rsidRPr="00075FAD">
        <w:rPr>
          <w:rFonts w:ascii="Century Schoolbook" w:hAnsi="Century Schoolbook"/>
        </w:rPr>
        <w:t xml:space="preserve">, and Uber, </w:t>
      </w:r>
      <w:r w:rsidR="00041477" w:rsidRPr="00075FAD">
        <w:rPr>
          <w:rFonts w:ascii="Century Schoolbook" w:hAnsi="Century Schoolbook"/>
        </w:rPr>
        <w:t xml:space="preserve">seeking </w:t>
      </w:r>
      <w:r w:rsidR="00A43D0D" w:rsidRPr="00075FAD">
        <w:rPr>
          <w:rFonts w:ascii="Century Schoolbook" w:hAnsi="Century Schoolbook"/>
        </w:rPr>
        <w:t>equitable indemnity</w:t>
      </w:r>
      <w:r w:rsidR="00041477" w:rsidRPr="00075FAD">
        <w:rPr>
          <w:rFonts w:ascii="Century Schoolbook" w:hAnsi="Century Schoolbook"/>
        </w:rPr>
        <w:t xml:space="preserve">, </w:t>
      </w:r>
      <w:r w:rsidR="00A43D0D" w:rsidRPr="00075FAD">
        <w:rPr>
          <w:rFonts w:ascii="Century Schoolbook" w:hAnsi="Century Schoolbook"/>
        </w:rPr>
        <w:t>equitable contribution</w:t>
      </w:r>
      <w:r w:rsidR="009359A8" w:rsidRPr="00075FAD">
        <w:rPr>
          <w:rFonts w:ascii="Century Schoolbook" w:hAnsi="Century Schoolbook"/>
        </w:rPr>
        <w:t>,</w:t>
      </w:r>
      <w:r w:rsidR="00A43D0D" w:rsidRPr="00075FAD">
        <w:rPr>
          <w:rFonts w:ascii="Century Schoolbook" w:hAnsi="Century Schoolbook"/>
        </w:rPr>
        <w:t xml:space="preserve"> and declaratory relief. </w:t>
      </w:r>
    </w:p>
    <w:p w14:paraId="2FB5D8CB" w14:textId="575E8319" w:rsidR="007F152E" w:rsidRPr="00075FAD" w:rsidRDefault="007F152E" w:rsidP="007F152E">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4968A7" w:rsidRPr="00075FAD">
        <w:rPr>
          <w:rFonts w:ascii="Century Schoolbook" w:hAnsi="Century Schoolbook"/>
        </w:rPr>
        <w:t xml:space="preserve">In </w:t>
      </w:r>
      <w:r w:rsidRPr="00075FAD">
        <w:rPr>
          <w:rFonts w:ascii="Century Schoolbook" w:hAnsi="Century Schoolbook"/>
        </w:rPr>
        <w:t xml:space="preserve">November 2021, Bradley </w:t>
      </w:r>
      <w:r w:rsidR="004968A7" w:rsidRPr="00075FAD">
        <w:rPr>
          <w:rFonts w:ascii="Century Schoolbook" w:hAnsi="Century Schoolbook"/>
        </w:rPr>
        <w:t xml:space="preserve">moved for summary judgment against </w:t>
      </w:r>
      <w:r w:rsidRPr="00075FAD">
        <w:rPr>
          <w:rFonts w:ascii="Century Schoolbook" w:hAnsi="Century Schoolbook"/>
        </w:rPr>
        <w:t>Mitchell</w:t>
      </w:r>
      <w:r w:rsidR="004968A7" w:rsidRPr="00075FAD">
        <w:rPr>
          <w:rFonts w:ascii="Century Schoolbook" w:hAnsi="Century Schoolbook"/>
        </w:rPr>
        <w:t xml:space="preserve">, setting the hearing for </w:t>
      </w:r>
      <w:r w:rsidRPr="00075FAD">
        <w:rPr>
          <w:rFonts w:ascii="Century Schoolbook" w:hAnsi="Century Schoolbook"/>
        </w:rPr>
        <w:t xml:space="preserve">January 19, 2022.  </w:t>
      </w:r>
    </w:p>
    <w:p w14:paraId="0DFDB207" w14:textId="47136CD2" w:rsidR="00C522C2" w:rsidRPr="00075FAD" w:rsidRDefault="00C522C2" w:rsidP="00130E8E">
      <w:pPr>
        <w:pStyle w:val="BodyText"/>
        <w:keepNext/>
        <w:keepLines/>
        <w:widowControl/>
        <w:tabs>
          <w:tab w:val="left" w:pos="0"/>
        </w:tabs>
        <w:spacing w:line="360" w:lineRule="auto"/>
        <w:rPr>
          <w:rFonts w:ascii="Century Schoolbook" w:hAnsi="Century Schoolbook"/>
        </w:rPr>
      </w:pPr>
      <w:r w:rsidRPr="00075FAD">
        <w:rPr>
          <w:rFonts w:ascii="Century Schoolbook" w:hAnsi="Century Schoolbook"/>
        </w:rPr>
        <w:lastRenderedPageBreak/>
        <w:tab/>
        <w:t xml:space="preserve">A.  </w:t>
      </w:r>
      <w:r w:rsidRPr="00075FAD">
        <w:rPr>
          <w:rFonts w:ascii="Century Schoolbook" w:hAnsi="Century Schoolbook"/>
          <w:u w:val="single"/>
        </w:rPr>
        <w:t>Settlement</w:t>
      </w:r>
      <w:r w:rsidR="004968A7" w:rsidRPr="00075FAD">
        <w:rPr>
          <w:rFonts w:ascii="Century Schoolbook" w:hAnsi="Century Schoolbook"/>
          <w:u w:val="single"/>
        </w:rPr>
        <w:t>s</w:t>
      </w:r>
    </w:p>
    <w:p w14:paraId="52BBC062" w14:textId="6CF7AF55" w:rsidR="00720369" w:rsidRPr="00075FAD" w:rsidRDefault="00C522C2" w:rsidP="00130E8E">
      <w:pPr>
        <w:pStyle w:val="BodyText"/>
        <w:keepNext/>
        <w:keepLines/>
        <w:widowControl/>
        <w:tabs>
          <w:tab w:val="left" w:pos="0"/>
        </w:tabs>
        <w:spacing w:line="360" w:lineRule="auto"/>
        <w:rPr>
          <w:rFonts w:ascii="Century Schoolbook" w:hAnsi="Century Schoolbook"/>
        </w:rPr>
      </w:pPr>
      <w:r w:rsidRPr="00075FAD">
        <w:rPr>
          <w:rFonts w:ascii="Century Schoolbook" w:hAnsi="Century Schoolbook"/>
        </w:rPr>
        <w:tab/>
        <w:t xml:space="preserve">Plaintiffs </w:t>
      </w:r>
      <w:r w:rsidR="00A43D0D" w:rsidRPr="00075FAD">
        <w:rPr>
          <w:rFonts w:ascii="Century Schoolbook" w:hAnsi="Century Schoolbook"/>
        </w:rPr>
        <w:t xml:space="preserve">entered into a settlement agreement with </w:t>
      </w:r>
      <w:r w:rsidR="00EB5034" w:rsidRPr="00075FAD">
        <w:rPr>
          <w:rFonts w:ascii="Century Schoolbook" w:hAnsi="Century Schoolbook"/>
        </w:rPr>
        <w:t>B</w:t>
      </w:r>
      <w:r w:rsidR="00EB5034">
        <w:rPr>
          <w:rFonts w:ascii="Century Schoolbook" w:hAnsi="Century Schoolbook"/>
        </w:rPr>
        <w:t>rh</w:t>
      </w:r>
      <w:r w:rsidR="00EB5034" w:rsidRPr="00075FAD">
        <w:rPr>
          <w:rFonts w:ascii="Century Schoolbook" w:hAnsi="Century Schoolbook"/>
        </w:rPr>
        <w:t xml:space="preserve">ane </w:t>
      </w:r>
      <w:r w:rsidR="00A43D0D" w:rsidRPr="00075FAD">
        <w:rPr>
          <w:rFonts w:ascii="Century Schoolbook" w:hAnsi="Century Schoolbook"/>
        </w:rPr>
        <w:t>and Uber</w:t>
      </w:r>
      <w:r w:rsidR="004968A7" w:rsidRPr="00075FAD">
        <w:rPr>
          <w:rFonts w:ascii="Century Schoolbook" w:hAnsi="Century Schoolbook"/>
        </w:rPr>
        <w:t xml:space="preserve">.  The </w:t>
      </w:r>
      <w:r w:rsidRPr="00075FAD">
        <w:rPr>
          <w:rFonts w:ascii="Century Schoolbook" w:hAnsi="Century Schoolbook"/>
        </w:rPr>
        <w:t xml:space="preserve">trial court granted their motion for a determination that the settlement was in good faith in December 2021. </w:t>
      </w:r>
    </w:p>
    <w:p w14:paraId="0C97A074" w14:textId="32528B3E" w:rsidR="00A43D0D" w:rsidRPr="00075FAD" w:rsidRDefault="00720369" w:rsidP="00720369">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4968A7" w:rsidRPr="00075FAD">
        <w:rPr>
          <w:rFonts w:ascii="Century Schoolbook" w:hAnsi="Century Schoolbook"/>
        </w:rPr>
        <w:t xml:space="preserve">Around the same time, </w:t>
      </w:r>
      <w:r w:rsidR="00A43D0D" w:rsidRPr="00075FAD">
        <w:rPr>
          <w:rFonts w:ascii="Century Schoolbook" w:hAnsi="Century Schoolbook"/>
        </w:rPr>
        <w:t xml:space="preserve">Plaintiffs agreed to settle with DeHaro and Bradley for $10,000 </w:t>
      </w:r>
      <w:r w:rsidR="004968A7" w:rsidRPr="00075FAD">
        <w:rPr>
          <w:rFonts w:ascii="Century Schoolbook" w:hAnsi="Century Schoolbook"/>
        </w:rPr>
        <w:t>each, provided that the remaining parties</w:t>
      </w:r>
      <w:r w:rsidR="00532962" w:rsidRPr="00075FAD">
        <w:rPr>
          <w:rFonts w:ascii="Century Schoolbook" w:hAnsi="Century Schoolbook"/>
        </w:rPr>
        <w:t>—</w:t>
      </w:r>
      <w:r w:rsidR="004968A7" w:rsidRPr="00075FAD">
        <w:rPr>
          <w:rFonts w:ascii="Century Schoolbook" w:hAnsi="Century Schoolbook"/>
        </w:rPr>
        <w:t>including Mitchell</w:t>
      </w:r>
      <w:r w:rsidR="005A38EB" w:rsidRPr="00075FAD">
        <w:rPr>
          <w:rFonts w:ascii="Century Schoolbook" w:hAnsi="Century Schoolbook"/>
        </w:rPr>
        <w:t>—</w:t>
      </w:r>
      <w:r w:rsidR="004968A7" w:rsidRPr="00075FAD">
        <w:rPr>
          <w:rFonts w:ascii="Century Schoolbook" w:hAnsi="Century Schoolbook"/>
        </w:rPr>
        <w:t>stipulate</w:t>
      </w:r>
      <w:r w:rsidR="00C67389" w:rsidRPr="00075FAD">
        <w:rPr>
          <w:rFonts w:ascii="Century Schoolbook" w:hAnsi="Century Schoolbook"/>
        </w:rPr>
        <w:t>d</w:t>
      </w:r>
      <w:r w:rsidR="004968A7" w:rsidRPr="00075FAD">
        <w:rPr>
          <w:rFonts w:ascii="Century Schoolbook" w:hAnsi="Century Schoolbook"/>
        </w:rPr>
        <w:t xml:space="preserve"> that the settlement was in good faith or the trial court issued a good faith settlement determination. </w:t>
      </w:r>
    </w:p>
    <w:p w14:paraId="19EB9D77" w14:textId="7A93CF78" w:rsidR="009359A8" w:rsidRPr="00075FAD" w:rsidRDefault="00720369" w:rsidP="00720369">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FF75DF" w:rsidRPr="00075FAD">
        <w:rPr>
          <w:rFonts w:ascii="Century Schoolbook" w:hAnsi="Century Schoolbook"/>
        </w:rPr>
        <w:t xml:space="preserve">Lawyers </w:t>
      </w:r>
      <w:r w:rsidR="004968A7" w:rsidRPr="00075FAD">
        <w:rPr>
          <w:rFonts w:ascii="Century Schoolbook" w:hAnsi="Century Schoolbook"/>
        </w:rPr>
        <w:t xml:space="preserve">for Mitchell and DeHaro </w:t>
      </w:r>
      <w:r w:rsidR="00FF75DF" w:rsidRPr="00075FAD">
        <w:rPr>
          <w:rFonts w:ascii="Century Schoolbook" w:hAnsi="Century Schoolbook"/>
        </w:rPr>
        <w:t xml:space="preserve">began to negotiate </w:t>
      </w:r>
      <w:r w:rsidR="004968A7" w:rsidRPr="00075FAD">
        <w:rPr>
          <w:rFonts w:ascii="Century Schoolbook" w:hAnsi="Century Schoolbook"/>
        </w:rPr>
        <w:t xml:space="preserve">a potential resolution of the Mitchell and DeHaro cross-actions.  </w:t>
      </w:r>
      <w:r w:rsidR="00930C97" w:rsidRPr="00075FAD">
        <w:rPr>
          <w:rFonts w:ascii="Century Schoolbook" w:hAnsi="Century Schoolbook"/>
        </w:rPr>
        <w:t xml:space="preserve">Mitchell was represented by </w:t>
      </w:r>
      <w:r w:rsidR="00A43D0D" w:rsidRPr="00075FAD">
        <w:rPr>
          <w:rFonts w:ascii="Century Schoolbook" w:hAnsi="Century Schoolbook"/>
        </w:rPr>
        <w:t>Vanessa Whirl</w:t>
      </w:r>
      <w:r w:rsidR="0040604A" w:rsidRPr="00075FAD">
        <w:rPr>
          <w:rFonts w:ascii="Century Schoolbook" w:hAnsi="Century Schoolbook"/>
        </w:rPr>
        <w:t xml:space="preserve"> of </w:t>
      </w:r>
      <w:r w:rsidR="00C51BCD" w:rsidRPr="00075FAD">
        <w:rPr>
          <w:rFonts w:ascii="Century Schoolbook" w:hAnsi="Century Schoolbook"/>
        </w:rPr>
        <w:t>Thomas | Lucas</w:t>
      </w:r>
      <w:r w:rsidR="004968A7" w:rsidRPr="00075FAD">
        <w:rPr>
          <w:rFonts w:ascii="Century Schoolbook" w:hAnsi="Century Schoolbook"/>
        </w:rPr>
        <w:t>.  The</w:t>
      </w:r>
      <w:r w:rsidR="003C1195" w:rsidRPr="00075FAD">
        <w:rPr>
          <w:rFonts w:ascii="Century Schoolbook" w:hAnsi="Century Schoolbook"/>
        </w:rPr>
        <w:t xml:space="preserve"> lawyers </w:t>
      </w:r>
      <w:r w:rsidR="004968A7" w:rsidRPr="00075FAD">
        <w:rPr>
          <w:rFonts w:ascii="Century Schoolbook" w:hAnsi="Century Schoolbook"/>
        </w:rPr>
        <w:t xml:space="preserve">reached </w:t>
      </w:r>
      <w:r w:rsidR="00A43D0D" w:rsidRPr="00075FAD">
        <w:rPr>
          <w:rFonts w:ascii="Century Schoolbook" w:hAnsi="Century Schoolbook"/>
        </w:rPr>
        <w:t xml:space="preserve">a proposed stipulation </w:t>
      </w:r>
      <w:r w:rsidR="00563C21" w:rsidRPr="00075FAD">
        <w:rPr>
          <w:rFonts w:ascii="Century Schoolbook" w:hAnsi="Century Schoolbook"/>
        </w:rPr>
        <w:t xml:space="preserve">by which </w:t>
      </w:r>
      <w:r w:rsidR="00EC479B" w:rsidRPr="00075FAD">
        <w:rPr>
          <w:rFonts w:ascii="Century Schoolbook" w:hAnsi="Century Schoolbook"/>
        </w:rPr>
        <w:t xml:space="preserve">(1) </w:t>
      </w:r>
      <w:r w:rsidR="00563C21" w:rsidRPr="00075FAD">
        <w:rPr>
          <w:rFonts w:ascii="Century Schoolbook" w:hAnsi="Century Schoolbook"/>
        </w:rPr>
        <w:t xml:space="preserve">Mitchell would </w:t>
      </w:r>
      <w:r w:rsidR="004968A7" w:rsidRPr="00075FAD">
        <w:rPr>
          <w:rFonts w:ascii="Century Schoolbook" w:hAnsi="Century Schoolbook"/>
        </w:rPr>
        <w:t xml:space="preserve">concede </w:t>
      </w:r>
      <w:r w:rsidR="00A43D0D" w:rsidRPr="00075FAD">
        <w:rPr>
          <w:rFonts w:ascii="Century Schoolbook" w:hAnsi="Century Schoolbook"/>
        </w:rPr>
        <w:t xml:space="preserve">the good faith of DeHaro’s settlement with </w:t>
      </w:r>
      <w:r w:rsidR="00930C97" w:rsidRPr="00075FAD">
        <w:rPr>
          <w:rFonts w:ascii="Century Schoolbook" w:hAnsi="Century Schoolbook"/>
        </w:rPr>
        <w:t>P</w:t>
      </w:r>
      <w:r w:rsidR="00A43D0D" w:rsidRPr="00075FAD">
        <w:rPr>
          <w:rFonts w:ascii="Century Schoolbook" w:hAnsi="Century Schoolbook"/>
        </w:rPr>
        <w:t xml:space="preserve">laintiffs </w:t>
      </w:r>
      <w:r w:rsidR="00EC479B" w:rsidRPr="00075FAD">
        <w:rPr>
          <w:rFonts w:ascii="Century Schoolbook" w:hAnsi="Century Schoolbook"/>
        </w:rPr>
        <w:t xml:space="preserve">and (2) </w:t>
      </w:r>
      <w:r w:rsidR="00A43D0D" w:rsidRPr="00075FAD">
        <w:rPr>
          <w:rFonts w:ascii="Century Schoolbook" w:hAnsi="Century Schoolbook"/>
        </w:rPr>
        <w:t xml:space="preserve">Mitchell and DeHaro </w:t>
      </w:r>
      <w:r w:rsidR="00563C21" w:rsidRPr="00075FAD">
        <w:rPr>
          <w:rFonts w:ascii="Century Schoolbook" w:hAnsi="Century Schoolbook"/>
        </w:rPr>
        <w:t xml:space="preserve">would </w:t>
      </w:r>
      <w:r w:rsidR="00A43D0D" w:rsidRPr="00075FAD">
        <w:rPr>
          <w:rFonts w:ascii="Century Schoolbook" w:hAnsi="Century Schoolbook"/>
        </w:rPr>
        <w:t xml:space="preserve">dismiss their cross-complaints against each other in exchange for a waiver of </w:t>
      </w:r>
      <w:r w:rsidR="000442DB" w:rsidRPr="00075FAD">
        <w:rPr>
          <w:rFonts w:ascii="Century Schoolbook" w:hAnsi="Century Schoolbook"/>
        </w:rPr>
        <w:t xml:space="preserve">fees </w:t>
      </w:r>
      <w:r w:rsidR="00A43D0D" w:rsidRPr="00075FAD">
        <w:rPr>
          <w:rFonts w:ascii="Century Schoolbook" w:hAnsi="Century Schoolbook"/>
        </w:rPr>
        <w:t xml:space="preserve">and </w:t>
      </w:r>
      <w:r w:rsidR="000442DB" w:rsidRPr="00075FAD">
        <w:rPr>
          <w:rFonts w:ascii="Century Schoolbook" w:hAnsi="Century Schoolbook"/>
        </w:rPr>
        <w:t>costs</w:t>
      </w:r>
      <w:r w:rsidR="00A43D0D" w:rsidRPr="00075FAD">
        <w:rPr>
          <w:rFonts w:ascii="Century Schoolbook" w:hAnsi="Century Schoolbook"/>
        </w:rPr>
        <w:t xml:space="preserve">. </w:t>
      </w:r>
    </w:p>
    <w:p w14:paraId="516AC941" w14:textId="54A8EAA5" w:rsidR="00E26B27" w:rsidRPr="00075FAD" w:rsidRDefault="00720369" w:rsidP="00E26B27">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A43D0D" w:rsidRPr="00075FAD">
        <w:rPr>
          <w:rFonts w:ascii="Century Schoolbook" w:hAnsi="Century Schoolbook"/>
        </w:rPr>
        <w:t xml:space="preserve">In a December 14, 2021 email to </w:t>
      </w:r>
      <w:r w:rsidR="00563C21" w:rsidRPr="00075FAD">
        <w:rPr>
          <w:rFonts w:ascii="Century Schoolbook" w:hAnsi="Century Schoolbook"/>
        </w:rPr>
        <w:t>Mitchell’s president (</w:t>
      </w:r>
      <w:r w:rsidR="00A43D0D" w:rsidRPr="00075FAD">
        <w:rPr>
          <w:rFonts w:ascii="Century Schoolbook" w:hAnsi="Century Schoolbook"/>
        </w:rPr>
        <w:t>Curtis Mitchell</w:t>
      </w:r>
      <w:r w:rsidR="00563C21" w:rsidRPr="00075FAD">
        <w:rPr>
          <w:rFonts w:ascii="Century Schoolbook" w:hAnsi="Century Schoolbook"/>
        </w:rPr>
        <w:t xml:space="preserve">) and </w:t>
      </w:r>
      <w:r w:rsidR="00930C97" w:rsidRPr="00075FAD">
        <w:rPr>
          <w:rFonts w:ascii="Century Schoolbook" w:hAnsi="Century Schoolbook"/>
        </w:rPr>
        <w:t>other Mitchell personnel (</w:t>
      </w:r>
      <w:r w:rsidR="00A43D0D" w:rsidRPr="00075FAD">
        <w:rPr>
          <w:rFonts w:ascii="Century Schoolbook" w:hAnsi="Century Schoolbook"/>
        </w:rPr>
        <w:t>Kathy Streblow and Andy Noll)</w:t>
      </w:r>
      <w:r w:rsidR="00D727E8" w:rsidRPr="00075FAD">
        <w:rPr>
          <w:rFonts w:ascii="Century Schoolbook" w:hAnsi="Century Schoolbook"/>
        </w:rPr>
        <w:t xml:space="preserve">, Whirl </w:t>
      </w:r>
      <w:r w:rsidR="00563C21" w:rsidRPr="00075FAD">
        <w:rPr>
          <w:rFonts w:ascii="Century Schoolbook" w:hAnsi="Century Schoolbook"/>
        </w:rPr>
        <w:t xml:space="preserve">apprised </w:t>
      </w:r>
      <w:r w:rsidR="004A6FA9" w:rsidRPr="00075FAD">
        <w:rPr>
          <w:rFonts w:ascii="Century Schoolbook" w:hAnsi="Century Schoolbook"/>
        </w:rPr>
        <w:t>Mitchell</w:t>
      </w:r>
      <w:r w:rsidR="00D727E8" w:rsidRPr="00075FAD">
        <w:rPr>
          <w:rFonts w:ascii="Century Schoolbook" w:hAnsi="Century Schoolbook"/>
        </w:rPr>
        <w:t xml:space="preserve"> </w:t>
      </w:r>
      <w:r w:rsidR="004A6FA9" w:rsidRPr="00075FAD">
        <w:rPr>
          <w:rFonts w:ascii="Century Schoolbook" w:hAnsi="Century Schoolbook"/>
        </w:rPr>
        <w:t>that DeHaro and</w:t>
      </w:r>
      <w:r w:rsidR="00D727E8" w:rsidRPr="00075FAD">
        <w:rPr>
          <w:rFonts w:ascii="Century Schoolbook" w:hAnsi="Century Schoolbook"/>
        </w:rPr>
        <w:t xml:space="preserve"> </w:t>
      </w:r>
      <w:r w:rsidR="004A6FA9" w:rsidRPr="00075FAD">
        <w:rPr>
          <w:rFonts w:ascii="Century Schoolbook" w:hAnsi="Century Schoolbook"/>
        </w:rPr>
        <w:t xml:space="preserve">Bradley </w:t>
      </w:r>
      <w:r w:rsidR="00D727E8" w:rsidRPr="00075FAD">
        <w:rPr>
          <w:rFonts w:ascii="Century Schoolbook" w:hAnsi="Century Schoolbook"/>
        </w:rPr>
        <w:t xml:space="preserve">had </w:t>
      </w:r>
      <w:r w:rsidR="00563C21" w:rsidRPr="00075FAD">
        <w:rPr>
          <w:rFonts w:ascii="Century Schoolbook" w:hAnsi="Century Schoolbook"/>
        </w:rPr>
        <w:t xml:space="preserve">settled </w:t>
      </w:r>
      <w:r w:rsidR="004A6FA9" w:rsidRPr="00075FAD">
        <w:rPr>
          <w:rFonts w:ascii="Century Schoolbook" w:hAnsi="Century Schoolbook"/>
        </w:rPr>
        <w:t xml:space="preserve">with </w:t>
      </w:r>
      <w:r w:rsidR="00D727E8" w:rsidRPr="00075FAD">
        <w:rPr>
          <w:rFonts w:ascii="Century Schoolbook" w:hAnsi="Century Schoolbook"/>
        </w:rPr>
        <w:t xml:space="preserve">Plaintiffs, the trial court had </w:t>
      </w:r>
      <w:r w:rsidR="004A6FA9" w:rsidRPr="00075FAD">
        <w:rPr>
          <w:rFonts w:ascii="Century Schoolbook" w:hAnsi="Century Schoolbook"/>
        </w:rPr>
        <w:t xml:space="preserve">approved </w:t>
      </w:r>
      <w:r w:rsidR="00D727E8" w:rsidRPr="00075FAD">
        <w:rPr>
          <w:rFonts w:ascii="Century Schoolbook" w:hAnsi="Century Schoolbook"/>
        </w:rPr>
        <w:t xml:space="preserve">Uber’s and </w:t>
      </w:r>
      <w:r w:rsidR="00EB5034" w:rsidRPr="00075FAD">
        <w:rPr>
          <w:rFonts w:ascii="Century Schoolbook" w:hAnsi="Century Schoolbook"/>
        </w:rPr>
        <w:t>B</w:t>
      </w:r>
      <w:r w:rsidR="00EB5034">
        <w:rPr>
          <w:rFonts w:ascii="Century Schoolbook" w:hAnsi="Century Schoolbook"/>
        </w:rPr>
        <w:t>rh</w:t>
      </w:r>
      <w:r w:rsidR="00EB5034" w:rsidRPr="00075FAD">
        <w:rPr>
          <w:rFonts w:ascii="Century Schoolbook" w:hAnsi="Century Schoolbook"/>
        </w:rPr>
        <w:t xml:space="preserve">ane’s </w:t>
      </w:r>
      <w:r w:rsidR="004A6FA9" w:rsidRPr="00075FAD">
        <w:rPr>
          <w:rFonts w:ascii="Century Schoolbook" w:hAnsi="Century Schoolbook"/>
        </w:rPr>
        <w:t xml:space="preserve">settlement with </w:t>
      </w:r>
      <w:r w:rsidR="00D727E8" w:rsidRPr="00075FAD">
        <w:rPr>
          <w:rFonts w:ascii="Century Schoolbook" w:hAnsi="Century Schoolbook"/>
        </w:rPr>
        <w:t xml:space="preserve">Plaintiffs, </w:t>
      </w:r>
      <w:r w:rsidR="004A6FA9" w:rsidRPr="00075FAD">
        <w:rPr>
          <w:rFonts w:ascii="Century Schoolbook" w:hAnsi="Century Schoolbook"/>
        </w:rPr>
        <w:t>and Mitchell still had express indemnity claims again</w:t>
      </w:r>
      <w:r w:rsidR="00D727E8" w:rsidRPr="00075FAD">
        <w:rPr>
          <w:rFonts w:ascii="Century Schoolbook" w:hAnsi="Century Schoolbook"/>
        </w:rPr>
        <w:t>s</w:t>
      </w:r>
      <w:r w:rsidR="004A6FA9" w:rsidRPr="00075FAD">
        <w:rPr>
          <w:rFonts w:ascii="Century Schoolbook" w:hAnsi="Century Schoolbook"/>
        </w:rPr>
        <w:t xml:space="preserve">t Bradley and DeHaro.  </w:t>
      </w:r>
      <w:r w:rsidR="00563C21" w:rsidRPr="00075FAD">
        <w:rPr>
          <w:rFonts w:ascii="Century Schoolbook" w:hAnsi="Century Schoolbook"/>
        </w:rPr>
        <w:t xml:space="preserve">Whirl </w:t>
      </w:r>
      <w:r w:rsidR="00D727E8" w:rsidRPr="00075FAD">
        <w:rPr>
          <w:rFonts w:ascii="Century Schoolbook" w:hAnsi="Century Schoolbook"/>
        </w:rPr>
        <w:t xml:space="preserve">then explained the strategic benefit of the proposed </w:t>
      </w:r>
      <w:r w:rsidR="00563C21" w:rsidRPr="00075FAD">
        <w:rPr>
          <w:rFonts w:ascii="Century Schoolbook" w:hAnsi="Century Schoolbook"/>
        </w:rPr>
        <w:t xml:space="preserve">settlement </w:t>
      </w:r>
      <w:r w:rsidR="00D727E8" w:rsidRPr="00075FAD">
        <w:rPr>
          <w:rFonts w:ascii="Century Schoolbook" w:hAnsi="Century Schoolbook"/>
        </w:rPr>
        <w:t>with DeHaro</w:t>
      </w:r>
      <w:r w:rsidR="001136E0" w:rsidRPr="00075FAD">
        <w:rPr>
          <w:rFonts w:ascii="Century Schoolbook" w:hAnsi="Century Schoolbook"/>
        </w:rPr>
        <w:t xml:space="preserve"> (and Bradley)</w:t>
      </w:r>
      <w:r w:rsidR="00D727E8" w:rsidRPr="00075FAD">
        <w:rPr>
          <w:rFonts w:ascii="Century Schoolbook" w:hAnsi="Century Schoolbook"/>
        </w:rPr>
        <w:t xml:space="preserve">:  </w:t>
      </w:r>
      <w:r w:rsidR="004A6FA9" w:rsidRPr="00075FAD">
        <w:rPr>
          <w:rFonts w:ascii="Century Schoolbook" w:hAnsi="Century Schoolbook"/>
        </w:rPr>
        <w:t xml:space="preserve">“Now the question being posed is: </w:t>
      </w:r>
      <w:r w:rsidR="001136E0" w:rsidRPr="00075FAD">
        <w:rPr>
          <w:rFonts w:ascii="Century Schoolbook" w:hAnsi="Century Schoolbook"/>
        </w:rPr>
        <w:t xml:space="preserve"> </w:t>
      </w:r>
      <w:r w:rsidR="004A6FA9" w:rsidRPr="00075FAD">
        <w:rPr>
          <w:rFonts w:ascii="Century Schoolbook" w:hAnsi="Century Schoolbook"/>
          <w:i/>
          <w:iCs/>
        </w:rPr>
        <w:t>do we dismiss against Bradley and DeHaro, leaving just us against Plaintiffs?  My recommendation is yes, and here is why</w:t>
      </w:r>
      <w:r w:rsidR="004A6FA9" w:rsidRPr="00075FAD">
        <w:rPr>
          <w:rFonts w:ascii="Century Schoolbook" w:hAnsi="Century Schoolbook"/>
        </w:rPr>
        <w:t xml:space="preserve">. </w:t>
      </w:r>
      <w:r w:rsidR="004A6FA9" w:rsidRPr="00075FAD">
        <w:rPr>
          <w:rFonts w:ascii="Century Schoolbook" w:hAnsi="Century Schoolbook"/>
          <w:b/>
          <w:bCs/>
        </w:rPr>
        <w:t xml:space="preserve"> </w:t>
      </w:r>
      <w:r w:rsidR="004A6FA9" w:rsidRPr="00075FAD">
        <w:rPr>
          <w:rFonts w:ascii="Century Schoolbook" w:hAnsi="Century Schoolbook"/>
        </w:rPr>
        <w:t>[</w:t>
      </w:r>
      <w:bookmarkStart w:id="0" w:name="_Hlk64580662"/>
      <w:r w:rsidR="003B4F84" w:rsidRPr="00075FAD">
        <w:rPr>
          <w:rFonts w:ascii="Century Schoolbook" w:hAnsi="Century Schoolbook"/>
        </w:rPr>
        <w:t>¶</w:t>
      </w:r>
      <w:bookmarkEnd w:id="0"/>
      <w:r w:rsidR="004A6FA9" w:rsidRPr="00075FAD">
        <w:rPr>
          <w:rFonts w:ascii="Century Schoolbook" w:hAnsi="Century Schoolbook"/>
        </w:rPr>
        <w:t xml:space="preserve">]  1. </w:t>
      </w:r>
      <w:r w:rsidR="009D4DD6">
        <w:rPr>
          <w:rFonts w:ascii="Century Schoolbook" w:hAnsi="Century Schoolbook"/>
        </w:rPr>
        <w:t xml:space="preserve"> </w:t>
      </w:r>
      <w:r w:rsidR="004A6FA9" w:rsidRPr="00075FAD">
        <w:rPr>
          <w:rFonts w:ascii="Century Schoolbook" w:hAnsi="Century Schoolbook"/>
        </w:rPr>
        <w:t>I have always said it does not make sense for us three defendants to be throwing mud at each other.  It only strengthens Plaintiffs’ case for them.  [</w:t>
      </w:r>
      <w:r w:rsidR="003B4F84" w:rsidRPr="00075FAD">
        <w:rPr>
          <w:rFonts w:ascii="Century Schoolbook" w:hAnsi="Century Schoolbook"/>
        </w:rPr>
        <w:t>¶</w:t>
      </w:r>
      <w:r w:rsidR="004A6FA9" w:rsidRPr="00075FAD">
        <w:rPr>
          <w:rFonts w:ascii="Century Schoolbook" w:hAnsi="Century Schoolbook"/>
        </w:rPr>
        <w:t>]  2.</w:t>
      </w:r>
      <w:r w:rsidR="009D4DD6">
        <w:rPr>
          <w:rFonts w:ascii="Century Schoolbook" w:hAnsi="Century Schoolbook"/>
        </w:rPr>
        <w:t xml:space="preserve">  </w:t>
      </w:r>
      <w:r w:rsidR="004A6FA9" w:rsidRPr="00075FAD">
        <w:rPr>
          <w:rFonts w:ascii="Century Schoolbook" w:hAnsi="Century Schoolbook"/>
        </w:rPr>
        <w:t xml:space="preserve">Bradley has an MSJ pending before the Court.  If we oppose it and lose, we could be on the hook for </w:t>
      </w:r>
      <w:r w:rsidR="004A6FA9" w:rsidRPr="00075FAD">
        <w:rPr>
          <w:rFonts w:ascii="Century Schoolbook" w:hAnsi="Century Schoolbook"/>
        </w:rPr>
        <w:lastRenderedPageBreak/>
        <w:t>attorney fees to Bradley.  Not good.  [</w:t>
      </w:r>
      <w:r w:rsidR="003B4F84" w:rsidRPr="00075FAD">
        <w:rPr>
          <w:rFonts w:ascii="Century Schoolbook" w:hAnsi="Century Schoolbook"/>
        </w:rPr>
        <w:t>¶</w:t>
      </w:r>
      <w:r w:rsidR="004A6FA9" w:rsidRPr="00075FAD">
        <w:rPr>
          <w:rFonts w:ascii="Century Schoolbook" w:hAnsi="Century Schoolbook"/>
        </w:rPr>
        <w:t>]  3.</w:t>
      </w:r>
      <w:r w:rsidR="009D4DD6">
        <w:rPr>
          <w:rFonts w:ascii="Century Schoolbook" w:hAnsi="Century Schoolbook"/>
        </w:rPr>
        <w:t xml:space="preserve"> </w:t>
      </w:r>
      <w:r w:rsidR="004A6FA9" w:rsidRPr="00075FAD">
        <w:rPr>
          <w:rFonts w:ascii="Century Schoolbook" w:hAnsi="Century Schoolbook"/>
        </w:rPr>
        <w:t xml:space="preserve"> Bradley and DeHaro’s settlements of $10,000 a piece set an anchor.  Mitchell is no more culpable than they are.  So </w:t>
      </w:r>
      <w:r w:rsidR="004A6FA9" w:rsidRPr="00075FAD">
        <w:rPr>
          <w:rFonts w:ascii="Century Schoolbook" w:hAnsi="Century Schoolbook"/>
          <w:i/>
          <w:iCs/>
        </w:rPr>
        <w:t>I want to get authority for a $10k offer to them</w:t>
      </w:r>
      <w:r w:rsidR="004A6FA9" w:rsidRPr="00075FAD">
        <w:rPr>
          <w:rFonts w:ascii="Century Schoolbook" w:hAnsi="Century Schoolbook"/>
        </w:rPr>
        <w:t xml:space="preserve">.  If they don’t take it, we move forward with the MSJ I’ve been telling you about and see how it goes.”  </w:t>
      </w:r>
      <w:r w:rsidR="00563C21" w:rsidRPr="00075FAD">
        <w:rPr>
          <w:rFonts w:ascii="Century Schoolbook" w:hAnsi="Century Schoolbook"/>
        </w:rPr>
        <w:t xml:space="preserve">(Italics added.)  Whirl’s </w:t>
      </w:r>
      <w:r w:rsidR="004A6FA9" w:rsidRPr="00075FAD">
        <w:rPr>
          <w:rFonts w:ascii="Century Schoolbook" w:hAnsi="Century Schoolbook"/>
        </w:rPr>
        <w:t xml:space="preserve">email concluded:  “Travelers is already on board with my recommendation but </w:t>
      </w:r>
      <w:r w:rsidR="004A6FA9" w:rsidRPr="00075FAD">
        <w:rPr>
          <w:rFonts w:ascii="Century Schoolbook" w:hAnsi="Century Schoolbook"/>
          <w:i/>
          <w:iCs/>
        </w:rPr>
        <w:t>I wanted to discuss with you guys before I bless the settlements and dismiss our Cross-Complaints.</w:t>
      </w:r>
      <w:r w:rsidR="004A6FA9" w:rsidRPr="00075FAD">
        <w:rPr>
          <w:rFonts w:ascii="Century Schoolbook" w:hAnsi="Century Schoolbook"/>
        </w:rPr>
        <w:t xml:space="preserve">  Please let me </w:t>
      </w:r>
      <w:r w:rsidR="008227F0" w:rsidRPr="00075FAD">
        <w:rPr>
          <w:rFonts w:ascii="Century Schoolbook" w:hAnsi="Century Schoolbook"/>
        </w:rPr>
        <w:t xml:space="preserve">know </w:t>
      </w:r>
      <w:r w:rsidR="004A6FA9" w:rsidRPr="00075FAD">
        <w:rPr>
          <w:rFonts w:ascii="Century Schoolbook" w:hAnsi="Century Schoolbook"/>
        </w:rPr>
        <w:t xml:space="preserve">as soon as you can what your position is. </w:t>
      </w:r>
      <w:r w:rsidR="00563C21" w:rsidRPr="00075FAD">
        <w:rPr>
          <w:rFonts w:ascii="Century Schoolbook" w:hAnsi="Century Schoolbook"/>
        </w:rPr>
        <w:t xml:space="preserve"> </w:t>
      </w:r>
      <w:r w:rsidR="004A6FA9" w:rsidRPr="00075FAD">
        <w:rPr>
          <w:rFonts w:ascii="Century Schoolbook" w:hAnsi="Century Schoolbook"/>
        </w:rPr>
        <w:t>I am available for a call if need</w:t>
      </w:r>
      <w:r w:rsidR="00C953E3" w:rsidRPr="00075FAD">
        <w:rPr>
          <w:rFonts w:ascii="Century Schoolbook" w:hAnsi="Century Schoolbook"/>
        </w:rPr>
        <w:t>ed</w:t>
      </w:r>
      <w:r w:rsidR="004A6FA9" w:rsidRPr="00075FAD">
        <w:rPr>
          <w:rFonts w:ascii="Century Schoolbook" w:hAnsi="Century Schoolbook"/>
        </w:rPr>
        <w:t>, although my phone rings all day and I may be unavailable when you call.”  (Italics added.)</w:t>
      </w:r>
    </w:p>
    <w:p w14:paraId="387493C2" w14:textId="7A1B521B" w:rsidR="00DA2458" w:rsidRPr="00075FAD" w:rsidRDefault="00E26B27" w:rsidP="00E26B27">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4A6FA9" w:rsidRPr="00075FAD">
        <w:rPr>
          <w:rFonts w:ascii="Century Schoolbook" w:hAnsi="Century Schoolbook"/>
        </w:rPr>
        <w:t>T</w:t>
      </w:r>
      <w:r w:rsidR="003A2041" w:rsidRPr="00075FAD">
        <w:rPr>
          <w:rFonts w:ascii="Century Schoolbook" w:hAnsi="Century Schoolbook"/>
        </w:rPr>
        <w:t xml:space="preserve">he next day </w:t>
      </w:r>
      <w:r w:rsidR="00563C21" w:rsidRPr="00075FAD">
        <w:rPr>
          <w:rFonts w:ascii="Century Schoolbook" w:hAnsi="Century Schoolbook"/>
        </w:rPr>
        <w:t>(</w:t>
      </w:r>
      <w:r w:rsidR="003A2041" w:rsidRPr="00075FAD">
        <w:rPr>
          <w:rFonts w:ascii="Century Schoolbook" w:hAnsi="Century Schoolbook"/>
        </w:rPr>
        <w:t>December 15, 202</w:t>
      </w:r>
      <w:r w:rsidR="00563C21" w:rsidRPr="00075FAD">
        <w:rPr>
          <w:rFonts w:ascii="Century Schoolbook" w:hAnsi="Century Schoolbook"/>
        </w:rPr>
        <w:t>1)</w:t>
      </w:r>
      <w:r w:rsidR="003A2041" w:rsidRPr="00075FAD">
        <w:rPr>
          <w:rFonts w:ascii="Century Schoolbook" w:hAnsi="Century Schoolbook"/>
        </w:rPr>
        <w:t>, without receiving any response from Mitchell, Whirl sent an email to Bradley’s attorney, stating that “</w:t>
      </w:r>
      <w:r w:rsidR="00DA2458" w:rsidRPr="00075FAD">
        <w:rPr>
          <w:rFonts w:ascii="Century Schoolbook" w:hAnsi="Century Schoolbook"/>
        </w:rPr>
        <w:t>[</w:t>
      </w:r>
      <w:r w:rsidR="003A2041" w:rsidRPr="00075FAD">
        <w:rPr>
          <w:rFonts w:ascii="Century Schoolbook" w:hAnsi="Century Schoolbook"/>
        </w:rPr>
        <w:t>t</w:t>
      </w:r>
      <w:r w:rsidR="00DA2458" w:rsidRPr="00075FAD">
        <w:rPr>
          <w:rFonts w:ascii="Century Schoolbook" w:hAnsi="Century Schoolbook"/>
        </w:rPr>
        <w:t>]</w:t>
      </w:r>
      <w:r w:rsidR="003A2041" w:rsidRPr="00075FAD">
        <w:rPr>
          <w:rFonts w:ascii="Century Schoolbook" w:hAnsi="Century Schoolbook"/>
        </w:rPr>
        <w:t xml:space="preserve">his will confirm our conversation wherein I agreed that my client will stipulate to your client’s settlement with Plaintiff in the amount of $10,000.  We will further dismiss our express indemnity cause of action against your client </w:t>
      </w:r>
      <w:r w:rsidR="003A2041" w:rsidRPr="00075FAD">
        <w:rPr>
          <w:rFonts w:ascii="Century Schoolbook" w:hAnsi="Century Schoolbook"/>
          <w:b/>
          <w:bCs/>
        </w:rPr>
        <w:t>in exchange for a waiver of fees and costs</w:t>
      </w:r>
      <w:r w:rsidR="003A2041" w:rsidRPr="00075FAD">
        <w:rPr>
          <w:rFonts w:ascii="Century Schoolbook" w:hAnsi="Century Schoolbook"/>
        </w:rPr>
        <w:t>.”</w:t>
      </w:r>
      <w:r w:rsidR="0056336E" w:rsidRPr="00075FAD">
        <w:rPr>
          <w:rFonts w:ascii="Century Schoolbook" w:hAnsi="Century Schoolbook"/>
        </w:rPr>
        <w:t xml:space="preserve">  </w:t>
      </w:r>
      <w:r w:rsidR="00DA2458" w:rsidRPr="00075FAD">
        <w:rPr>
          <w:rFonts w:ascii="Century Schoolbook" w:hAnsi="Century Schoolbook"/>
        </w:rPr>
        <w:t xml:space="preserve">(Bolding in original.) </w:t>
      </w:r>
      <w:r w:rsidR="004E79C5" w:rsidRPr="00075FAD">
        <w:rPr>
          <w:rFonts w:ascii="Century Schoolbook" w:hAnsi="Century Schoolbook"/>
        </w:rPr>
        <w:t xml:space="preserve"> </w:t>
      </w:r>
      <w:r w:rsidR="00DA2458" w:rsidRPr="00075FAD">
        <w:rPr>
          <w:rFonts w:ascii="Century Schoolbook" w:hAnsi="Century Schoolbook"/>
        </w:rPr>
        <w:t xml:space="preserve">Whirl sent essentially the same email to DeHaro’s attorney, confirming that Mitchell would dismiss its indemnity cause of action against DeHaro for a waiver of fees and costs.  </w:t>
      </w:r>
    </w:p>
    <w:p w14:paraId="3EF98A4B" w14:textId="31827D26" w:rsidR="003D794E" w:rsidRPr="00075FAD" w:rsidRDefault="00E26B27" w:rsidP="00E26B27">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563C21" w:rsidRPr="00075FAD">
        <w:rPr>
          <w:rFonts w:ascii="Century Schoolbook" w:hAnsi="Century Schoolbook"/>
        </w:rPr>
        <w:t xml:space="preserve">On December 21, 2021, </w:t>
      </w:r>
      <w:r w:rsidRPr="00075FAD">
        <w:rPr>
          <w:rFonts w:ascii="Century Schoolbook" w:hAnsi="Century Schoolbook"/>
        </w:rPr>
        <w:t xml:space="preserve">Whirl sent a status report to the </w:t>
      </w:r>
      <w:r w:rsidR="00563C21" w:rsidRPr="00075FAD">
        <w:rPr>
          <w:rFonts w:ascii="Century Schoolbook" w:hAnsi="Century Schoolbook"/>
        </w:rPr>
        <w:t xml:space="preserve">claims adjuster for </w:t>
      </w:r>
      <w:r w:rsidRPr="00075FAD">
        <w:rPr>
          <w:rFonts w:ascii="Century Schoolbook" w:hAnsi="Century Schoolbook"/>
        </w:rPr>
        <w:t xml:space="preserve">Travelers, </w:t>
      </w:r>
      <w:r w:rsidR="00563C21" w:rsidRPr="00075FAD">
        <w:rPr>
          <w:rFonts w:ascii="Century Schoolbook" w:hAnsi="Century Schoolbook"/>
        </w:rPr>
        <w:t xml:space="preserve">with a copy to </w:t>
      </w:r>
      <w:r w:rsidRPr="00075FAD">
        <w:rPr>
          <w:rFonts w:ascii="Century Schoolbook" w:hAnsi="Century Schoolbook"/>
        </w:rPr>
        <w:t>Streblow</w:t>
      </w:r>
      <w:r w:rsidR="000442DB" w:rsidRPr="00075FAD">
        <w:rPr>
          <w:rFonts w:ascii="Century Schoolbook" w:hAnsi="Century Schoolbook"/>
        </w:rPr>
        <w:t>, a Mitchell employee</w:t>
      </w:r>
      <w:r w:rsidR="00563C21" w:rsidRPr="00075FAD">
        <w:rPr>
          <w:rFonts w:ascii="Century Schoolbook" w:hAnsi="Century Schoolbook"/>
        </w:rPr>
        <w:t xml:space="preserve">. </w:t>
      </w:r>
      <w:r w:rsidRPr="00075FAD">
        <w:rPr>
          <w:rFonts w:ascii="Century Schoolbook" w:hAnsi="Century Schoolbook"/>
        </w:rPr>
        <w:t xml:space="preserve"> </w:t>
      </w:r>
      <w:r w:rsidR="00563C21" w:rsidRPr="00075FAD">
        <w:rPr>
          <w:rFonts w:ascii="Century Schoolbook" w:hAnsi="Century Schoolbook"/>
        </w:rPr>
        <w:t xml:space="preserve">On page 12 of the 15-page report, Whirl </w:t>
      </w:r>
      <w:r w:rsidR="003D794E" w:rsidRPr="00075FAD">
        <w:rPr>
          <w:rFonts w:ascii="Century Schoolbook" w:hAnsi="Century Schoolbook"/>
        </w:rPr>
        <w:t xml:space="preserve">advised </w:t>
      </w:r>
      <w:r w:rsidR="00563C21" w:rsidRPr="00075FAD">
        <w:rPr>
          <w:rFonts w:ascii="Century Schoolbook" w:hAnsi="Century Schoolbook"/>
        </w:rPr>
        <w:t xml:space="preserve">that Bradley </w:t>
      </w:r>
      <w:r w:rsidR="003D794E" w:rsidRPr="00075FAD">
        <w:rPr>
          <w:rFonts w:ascii="Century Schoolbook" w:hAnsi="Century Schoolbook"/>
        </w:rPr>
        <w:t xml:space="preserve">had </w:t>
      </w:r>
      <w:r w:rsidR="00563C21" w:rsidRPr="00075FAD">
        <w:rPr>
          <w:rFonts w:ascii="Century Schoolbook" w:hAnsi="Century Schoolbook"/>
        </w:rPr>
        <w:t xml:space="preserve">moved for summary judgment </w:t>
      </w:r>
      <w:r w:rsidR="003D794E" w:rsidRPr="00075FAD">
        <w:rPr>
          <w:rFonts w:ascii="Century Schoolbook" w:hAnsi="Century Schoolbook"/>
        </w:rPr>
        <w:t xml:space="preserve">on </w:t>
      </w:r>
      <w:r w:rsidR="00563C21" w:rsidRPr="00075FAD">
        <w:rPr>
          <w:rFonts w:ascii="Century Schoolbook" w:hAnsi="Century Schoolbook"/>
        </w:rPr>
        <w:t>Mitchell’s cross-complaint</w:t>
      </w:r>
      <w:r w:rsidR="00FF75DF" w:rsidRPr="00075FAD">
        <w:rPr>
          <w:rFonts w:ascii="Century Schoolbook" w:hAnsi="Century Schoolbook"/>
        </w:rPr>
        <w:t xml:space="preserve">.  She also </w:t>
      </w:r>
      <w:r w:rsidR="003D794E" w:rsidRPr="00075FAD">
        <w:rPr>
          <w:rFonts w:ascii="Century Schoolbook" w:hAnsi="Century Schoolbook"/>
        </w:rPr>
        <w:t xml:space="preserve">reported </w:t>
      </w:r>
      <w:r w:rsidR="00FF75DF" w:rsidRPr="00075FAD">
        <w:rPr>
          <w:rFonts w:ascii="Century Schoolbook" w:hAnsi="Century Schoolbook"/>
        </w:rPr>
        <w:t xml:space="preserve">that </w:t>
      </w:r>
      <w:r w:rsidR="003D794E" w:rsidRPr="00075FAD">
        <w:rPr>
          <w:rFonts w:ascii="Century Schoolbook" w:hAnsi="Century Schoolbook"/>
        </w:rPr>
        <w:t xml:space="preserve">Bradley and </w:t>
      </w:r>
      <w:r w:rsidRPr="00075FAD">
        <w:rPr>
          <w:rFonts w:ascii="Century Schoolbook" w:hAnsi="Century Schoolbook"/>
        </w:rPr>
        <w:t xml:space="preserve">DeHaro </w:t>
      </w:r>
      <w:r w:rsidR="003C1195" w:rsidRPr="00075FAD">
        <w:rPr>
          <w:rFonts w:ascii="Century Schoolbook" w:hAnsi="Century Schoolbook"/>
        </w:rPr>
        <w:t xml:space="preserve">had </w:t>
      </w:r>
      <w:r w:rsidR="00FF75DF" w:rsidRPr="00075FAD">
        <w:rPr>
          <w:rFonts w:ascii="Century Schoolbook" w:hAnsi="Century Schoolbook"/>
        </w:rPr>
        <w:t xml:space="preserve">settled </w:t>
      </w:r>
      <w:r w:rsidRPr="00075FAD">
        <w:rPr>
          <w:rFonts w:ascii="Century Schoolbook" w:hAnsi="Century Schoolbook"/>
        </w:rPr>
        <w:t>with Plaintiffs for $10,000 each</w:t>
      </w:r>
      <w:r w:rsidR="003C1195" w:rsidRPr="00075FAD">
        <w:rPr>
          <w:rFonts w:ascii="Century Schoolbook" w:hAnsi="Century Schoolbook"/>
        </w:rPr>
        <w:t xml:space="preserve"> and recounted the following: </w:t>
      </w:r>
      <w:r w:rsidR="003D794E" w:rsidRPr="00075FAD">
        <w:rPr>
          <w:rFonts w:ascii="Century Schoolbook" w:hAnsi="Century Schoolbook"/>
        </w:rPr>
        <w:t xml:space="preserve"> “We were requested by their respective attorneys </w:t>
      </w:r>
      <w:r w:rsidRPr="00075FAD">
        <w:rPr>
          <w:rFonts w:ascii="Century Schoolbook" w:hAnsi="Century Schoolbook"/>
        </w:rPr>
        <w:t xml:space="preserve">to stipulate to the good faith nature of the settlements and drop our claims of express indemnity. </w:t>
      </w:r>
      <w:r w:rsidR="003D794E" w:rsidRPr="00075FAD">
        <w:rPr>
          <w:rFonts w:ascii="Century Schoolbook" w:hAnsi="Century Schoolbook"/>
        </w:rPr>
        <w:t xml:space="preserve"> </w:t>
      </w:r>
      <w:r w:rsidRPr="00075FAD">
        <w:rPr>
          <w:rFonts w:ascii="Century Schoolbook" w:hAnsi="Century Schoolbook"/>
        </w:rPr>
        <w:t>After discussion with you</w:t>
      </w:r>
      <w:r w:rsidR="003D794E" w:rsidRPr="00075FAD">
        <w:rPr>
          <w:rFonts w:ascii="Century Schoolbook" w:hAnsi="Century Schoolbook"/>
        </w:rPr>
        <w:t xml:space="preserve"> [Travelers]</w:t>
      </w:r>
      <w:r w:rsidRPr="00075FAD">
        <w:rPr>
          <w:rFonts w:ascii="Century Schoolbook" w:hAnsi="Century Schoolbook"/>
        </w:rPr>
        <w:t xml:space="preserve">, we determined it was best </w:t>
      </w:r>
      <w:r w:rsidRPr="00075FAD">
        <w:rPr>
          <w:rFonts w:ascii="Century Schoolbook" w:hAnsi="Century Schoolbook"/>
        </w:rPr>
        <w:lastRenderedPageBreak/>
        <w:t>to concede to the settlements and</w:t>
      </w:r>
      <w:r w:rsidRPr="00075FAD">
        <w:rPr>
          <w:rFonts w:ascii="Century Schoolbook" w:hAnsi="Century Schoolbook"/>
          <w:spacing w:val="-17"/>
        </w:rPr>
        <w:t xml:space="preserve"> </w:t>
      </w:r>
      <w:r w:rsidRPr="00075FAD">
        <w:rPr>
          <w:rFonts w:ascii="Century Schoolbook" w:hAnsi="Century Schoolbook"/>
        </w:rPr>
        <w:t>drop</w:t>
      </w:r>
      <w:r w:rsidRPr="00075FAD">
        <w:rPr>
          <w:rFonts w:ascii="Century Schoolbook" w:hAnsi="Century Schoolbook"/>
          <w:spacing w:val="-17"/>
        </w:rPr>
        <w:t xml:space="preserve"> </w:t>
      </w:r>
      <w:r w:rsidRPr="00075FAD">
        <w:rPr>
          <w:rFonts w:ascii="Century Schoolbook" w:hAnsi="Century Schoolbook"/>
        </w:rPr>
        <w:t>the</w:t>
      </w:r>
      <w:r w:rsidRPr="00075FAD">
        <w:rPr>
          <w:rFonts w:ascii="Century Schoolbook" w:hAnsi="Century Schoolbook"/>
          <w:spacing w:val="-17"/>
        </w:rPr>
        <w:t xml:space="preserve"> </w:t>
      </w:r>
      <w:r w:rsidRPr="00F84361">
        <w:rPr>
          <w:rFonts w:ascii="Century Schoolbook" w:hAnsi="Century Schoolbook"/>
        </w:rPr>
        <w:t>express</w:t>
      </w:r>
      <w:r w:rsidRPr="00854B0E">
        <w:rPr>
          <w:rFonts w:ascii="Century Schoolbook" w:hAnsi="Century Schoolbook"/>
        </w:rPr>
        <w:t xml:space="preserve"> </w:t>
      </w:r>
      <w:r w:rsidR="00EC2E04" w:rsidRPr="00854B0E">
        <w:rPr>
          <w:rFonts w:ascii="Century Schoolbook" w:hAnsi="Century Schoolbook"/>
        </w:rPr>
        <w:t xml:space="preserve">[indemnity] </w:t>
      </w:r>
      <w:r w:rsidRPr="00F84361">
        <w:rPr>
          <w:rFonts w:ascii="Century Schoolbook" w:hAnsi="Century Schoolbook"/>
        </w:rPr>
        <w:t>claims</w:t>
      </w:r>
      <w:r w:rsidR="00F54F2B" w:rsidRPr="00075FAD">
        <w:rPr>
          <w:rFonts w:ascii="Century Schoolbook" w:hAnsi="Century Schoolbook"/>
        </w:rPr>
        <w:t xml:space="preserve"> . . . .</w:t>
      </w:r>
      <w:r w:rsidR="008763C5" w:rsidRPr="00075FAD">
        <w:rPr>
          <w:rFonts w:ascii="Century Schoolbook" w:hAnsi="Century Schoolbook"/>
        </w:rPr>
        <w:t xml:space="preserve">  [</w:t>
      </w:r>
      <w:r w:rsidR="000E23C0" w:rsidRPr="00075FAD">
        <w:rPr>
          <w:rFonts w:ascii="Century Schoolbook" w:hAnsi="Century Schoolbook"/>
        </w:rPr>
        <w:t>¶]</w:t>
      </w:r>
      <w:r w:rsidR="00F54F2B" w:rsidRPr="00075FAD">
        <w:rPr>
          <w:rFonts w:ascii="Century Schoolbook" w:hAnsi="Century Schoolbook"/>
        </w:rPr>
        <w:t xml:space="preserve">  </w:t>
      </w:r>
      <w:r w:rsidRPr="00075FAD">
        <w:rPr>
          <w:rFonts w:ascii="Century Schoolbook" w:hAnsi="Century Schoolbook"/>
        </w:rPr>
        <w:t xml:space="preserve">Because we are stipulating to these settlements, we obtained a waiver of fees and costs from each of them and stopped work on the Opposition to the W. Bradley MSJ.”  </w:t>
      </w:r>
    </w:p>
    <w:p w14:paraId="69C47768" w14:textId="0CC8CD8C" w:rsidR="0080087A" w:rsidRPr="00075FAD" w:rsidRDefault="00E26B27" w:rsidP="00E26B27">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3D794E" w:rsidRPr="00075FAD">
        <w:rPr>
          <w:rFonts w:ascii="Century Schoolbook" w:hAnsi="Century Schoolbook"/>
        </w:rPr>
        <w:t xml:space="preserve">On </w:t>
      </w:r>
      <w:r w:rsidR="00B71475" w:rsidRPr="00075FAD">
        <w:rPr>
          <w:rFonts w:ascii="Century Schoolbook" w:hAnsi="Century Schoolbook"/>
        </w:rPr>
        <w:t>January 4, 2022, on Mitchell’s behalf</w:t>
      </w:r>
      <w:r w:rsidR="003C1195" w:rsidRPr="00075FAD">
        <w:rPr>
          <w:rFonts w:ascii="Century Schoolbook" w:hAnsi="Century Schoolbook"/>
        </w:rPr>
        <w:t xml:space="preserve"> but </w:t>
      </w:r>
      <w:r w:rsidR="003C1195" w:rsidRPr="00075FAD">
        <w:rPr>
          <w:rFonts w:ascii="Century Schoolbook" w:hAnsi="Century Schoolbook"/>
          <w:i/>
          <w:iCs/>
        </w:rPr>
        <w:t>without</w:t>
      </w:r>
      <w:r w:rsidR="003C1195" w:rsidRPr="00075FAD">
        <w:rPr>
          <w:rFonts w:ascii="Century Schoolbook" w:hAnsi="Century Schoolbook"/>
        </w:rPr>
        <w:t xml:space="preserve"> Mitchell’s express authorization</w:t>
      </w:r>
      <w:r w:rsidR="00B71475" w:rsidRPr="00075FAD">
        <w:rPr>
          <w:rFonts w:ascii="Century Schoolbook" w:hAnsi="Century Schoolbook"/>
        </w:rPr>
        <w:t xml:space="preserve">, </w:t>
      </w:r>
      <w:r w:rsidR="00FF75DF" w:rsidRPr="00075FAD">
        <w:rPr>
          <w:rFonts w:ascii="Century Schoolbook" w:hAnsi="Century Schoolbook"/>
        </w:rPr>
        <w:t xml:space="preserve">Whirl signed </w:t>
      </w:r>
      <w:r w:rsidR="00B71475" w:rsidRPr="00075FAD">
        <w:rPr>
          <w:rFonts w:ascii="Century Schoolbook" w:hAnsi="Century Schoolbook"/>
        </w:rPr>
        <w:t xml:space="preserve">a Stipulation </w:t>
      </w:r>
      <w:r w:rsidR="00A43D0D" w:rsidRPr="00075FAD">
        <w:rPr>
          <w:rFonts w:ascii="Century Schoolbook" w:hAnsi="Century Schoolbook"/>
        </w:rPr>
        <w:t>Regarding Good Faith of Settlement Between Plaintiffs and DeHaro-Ramirez Corporation</w:t>
      </w:r>
      <w:r w:rsidR="0080087A" w:rsidRPr="00075FAD">
        <w:rPr>
          <w:rFonts w:ascii="Century Schoolbook" w:hAnsi="Century Schoolbook"/>
        </w:rPr>
        <w:t xml:space="preserve"> (Stipulation)</w:t>
      </w:r>
      <w:r w:rsidR="00A43D0D" w:rsidRPr="00075FAD">
        <w:rPr>
          <w:rFonts w:ascii="Century Schoolbook" w:hAnsi="Century Schoolbook"/>
        </w:rPr>
        <w:t xml:space="preserve">.  The </w:t>
      </w:r>
      <w:r w:rsidR="0080087A" w:rsidRPr="00075FAD">
        <w:rPr>
          <w:rFonts w:ascii="Century Schoolbook" w:hAnsi="Century Schoolbook"/>
        </w:rPr>
        <w:t>S</w:t>
      </w:r>
      <w:r w:rsidR="00A43D0D" w:rsidRPr="00075FAD">
        <w:rPr>
          <w:rFonts w:ascii="Century Schoolbook" w:hAnsi="Century Schoolbook"/>
        </w:rPr>
        <w:t>tipulation states in relevant part:</w:t>
      </w:r>
      <w:r w:rsidR="009359A8" w:rsidRPr="00075FAD">
        <w:rPr>
          <w:rFonts w:ascii="Century Schoolbook" w:hAnsi="Century Schoolbook"/>
        </w:rPr>
        <w:t xml:space="preserve">  “</w:t>
      </w:r>
      <w:r w:rsidR="00A43D0D" w:rsidRPr="00075FAD">
        <w:rPr>
          <w:rFonts w:ascii="Century Schoolbook" w:hAnsi="Century Schoolbook"/>
        </w:rPr>
        <w:t xml:space="preserve">The undersigned parties hereby stipulate and agree that the settlement between DeHaro and Plaintiffs is in good faith pursuant to the provisions of </w:t>
      </w:r>
      <w:r w:rsidR="007B6AED" w:rsidRPr="00A216EA">
        <w:rPr>
          <w:rFonts w:ascii="Century Schoolbook" w:hAnsi="Century Schoolbook"/>
        </w:rPr>
        <w:t>[]</w:t>
      </w:r>
      <w:r w:rsidR="00A43D0D" w:rsidRPr="00075FAD">
        <w:rPr>
          <w:rFonts w:ascii="Century Schoolbook" w:hAnsi="Century Schoolbook"/>
        </w:rPr>
        <w:t xml:space="preserve"> section 877.6, as well as the factors set forth in </w:t>
      </w:r>
      <w:r w:rsidR="00A43D0D" w:rsidRPr="00075FAD">
        <w:rPr>
          <w:rFonts w:ascii="Century Schoolbook" w:hAnsi="Century Schoolbook"/>
          <w:i/>
        </w:rPr>
        <w:t xml:space="preserve">Tech-Bilt, Inc. v. Woodward-Clyde &amp; Assocs. </w:t>
      </w:r>
      <w:r w:rsidR="00A43D0D" w:rsidRPr="00075FAD">
        <w:rPr>
          <w:rFonts w:ascii="Century Schoolbook" w:hAnsi="Century Schoolbook"/>
        </w:rPr>
        <w:t>(1985) 38 Cal.3d 488.</w:t>
      </w:r>
      <w:r w:rsidR="009359A8" w:rsidRPr="00075FAD">
        <w:rPr>
          <w:rFonts w:ascii="Century Schoolbook" w:hAnsi="Century Schoolbook"/>
        </w:rPr>
        <w:t xml:space="preserve"> </w:t>
      </w:r>
      <w:r w:rsidR="004F1666" w:rsidRPr="00075FAD">
        <w:rPr>
          <w:rFonts w:ascii="Century Schoolbook" w:hAnsi="Century Schoolbook"/>
        </w:rPr>
        <w:t xml:space="preserve">. . .  </w:t>
      </w:r>
      <w:r w:rsidR="00A43D0D" w:rsidRPr="00075FAD">
        <w:rPr>
          <w:rFonts w:ascii="Century Schoolbook" w:hAnsi="Century Schoolbook"/>
        </w:rPr>
        <w:t xml:space="preserve">Rather than incur the burden, expense, and delay in seeking a judicial determination of good faith settlement pursuant </w:t>
      </w:r>
      <w:r w:rsidR="00A43D0D" w:rsidRPr="00A216EA">
        <w:rPr>
          <w:rFonts w:ascii="Century Schoolbook" w:hAnsi="Century Schoolbook"/>
        </w:rPr>
        <w:t xml:space="preserve">to </w:t>
      </w:r>
      <w:r w:rsidR="007B6AED" w:rsidRPr="00A216EA">
        <w:rPr>
          <w:rFonts w:ascii="Century Schoolbook" w:hAnsi="Century Schoolbook"/>
        </w:rPr>
        <w:t>[]</w:t>
      </w:r>
      <w:r w:rsidR="00A43D0D" w:rsidRPr="00075FAD">
        <w:rPr>
          <w:rFonts w:ascii="Century Schoolbook" w:hAnsi="Century Schoolbook"/>
        </w:rPr>
        <w:t xml:space="preserve"> sections 877(b) and 877.6, </w:t>
      </w:r>
      <w:r w:rsidR="00A43D0D" w:rsidRPr="00075FAD">
        <w:rPr>
          <w:rFonts w:ascii="Century Schoolbook" w:hAnsi="Century Schoolbook"/>
          <w:b/>
        </w:rPr>
        <w:t xml:space="preserve">and with the agreement to dismiss all cross-complaints pending between the parties hereto </w:t>
      </w:r>
      <w:r w:rsidR="00A43D0D" w:rsidRPr="00075FAD">
        <w:rPr>
          <w:rFonts w:ascii="Century Schoolbook" w:hAnsi="Century Schoolbook"/>
          <w:b/>
          <w:u w:val="thick"/>
        </w:rPr>
        <w:t>with prejudice</w:t>
      </w:r>
      <w:r w:rsidR="00A43D0D" w:rsidRPr="00075FAD">
        <w:rPr>
          <w:rFonts w:ascii="Century Schoolbook" w:hAnsi="Century Schoolbook"/>
          <w:b/>
        </w:rPr>
        <w:t xml:space="preserve">, in return for an agreement for each party to bear its own attorney’s fees and costs of suit herein, </w:t>
      </w:r>
      <w:r w:rsidR="00A43D0D" w:rsidRPr="00075FAD">
        <w:rPr>
          <w:rFonts w:ascii="Century Schoolbook" w:hAnsi="Century Schoolbook"/>
        </w:rPr>
        <w:t xml:space="preserve">the undersigned parties agree, and stipulate, that the settlement between Plaintiffs and DeHaro would properly be determined to be in good faith under these code sections as well as pursuant to the factors set forth in </w:t>
      </w:r>
      <w:r w:rsidR="00A43D0D" w:rsidRPr="00075FAD">
        <w:rPr>
          <w:rFonts w:ascii="Century Schoolbook" w:hAnsi="Century Schoolbook"/>
          <w:i/>
        </w:rPr>
        <w:t>TechBilt, Inc. v. Woodward-Clyde</w:t>
      </w:r>
      <w:r w:rsidR="009359A8" w:rsidRPr="00075FAD">
        <w:rPr>
          <w:rFonts w:ascii="Century Schoolbook" w:hAnsi="Century Schoolbook"/>
          <w:i/>
        </w:rPr>
        <w:t xml:space="preserve"> </w:t>
      </w:r>
      <w:r w:rsidR="00A43D0D" w:rsidRPr="00075FAD">
        <w:rPr>
          <w:rFonts w:ascii="Century Schoolbook" w:hAnsi="Century Schoolbook"/>
          <w:i/>
        </w:rPr>
        <w:t xml:space="preserve">&amp; Assocs. </w:t>
      </w:r>
      <w:r w:rsidR="00A43D0D" w:rsidRPr="00075FAD">
        <w:rPr>
          <w:rFonts w:ascii="Century Schoolbook" w:hAnsi="Century Schoolbook"/>
        </w:rPr>
        <w:t>(1985) 38 Cal.3d 488, if an application or motion were to be filed with the Court, and thus no such filing is required given this stipulation.</w:t>
      </w:r>
      <w:r w:rsidR="004F1666" w:rsidRPr="00075FAD">
        <w:rPr>
          <w:rFonts w:ascii="Century Schoolbook" w:hAnsi="Century Schoolbook"/>
        </w:rPr>
        <w:t>”  (Bolding in original.)  The Stipulation further provided:  “</w:t>
      </w:r>
      <w:r w:rsidR="00A43D0D" w:rsidRPr="00075FAD">
        <w:rPr>
          <w:rFonts w:ascii="Century Schoolbook" w:hAnsi="Century Schoolbook"/>
        </w:rPr>
        <w:t xml:space="preserve">This Stipulation </w:t>
      </w:r>
      <w:r w:rsidR="00A43D0D" w:rsidRPr="00075FAD">
        <w:rPr>
          <w:rFonts w:ascii="Century Schoolbook" w:hAnsi="Century Schoolbook"/>
          <w:i/>
          <w:iCs/>
        </w:rPr>
        <w:t>eliminates any further indemnification or contribution claim</w:t>
      </w:r>
      <w:r w:rsidR="00A43D0D" w:rsidRPr="00075FAD">
        <w:rPr>
          <w:rFonts w:ascii="Century Schoolbook" w:hAnsi="Century Schoolbook"/>
        </w:rPr>
        <w:t xml:space="preserve"> arising out of the Plaintiffs’ claimed injuries and damages, this lawsuit, or any settlements among the undersigned defendants. </w:t>
      </w:r>
      <w:r w:rsidR="00E04C7E" w:rsidRPr="00075FAD">
        <w:rPr>
          <w:rFonts w:ascii="Century Schoolbook" w:hAnsi="Century Schoolbook"/>
        </w:rPr>
        <w:t xml:space="preserve"> </w:t>
      </w:r>
      <w:r w:rsidR="00A43D0D" w:rsidRPr="00075FAD">
        <w:rPr>
          <w:rFonts w:ascii="Century Schoolbook" w:hAnsi="Century Schoolbook"/>
        </w:rPr>
        <w:t xml:space="preserve">Likewise, this Stipulation eliminates any claims which were or could have been presented in the pending cross-complaints of </w:t>
      </w:r>
      <w:r w:rsidR="00A43D0D" w:rsidRPr="00075FAD">
        <w:rPr>
          <w:rFonts w:ascii="Century Schoolbook" w:hAnsi="Century Schoolbook"/>
        </w:rPr>
        <w:lastRenderedPageBreak/>
        <w:t>DeHaro and Mitchell Engineering</w:t>
      </w:r>
      <w:r w:rsidR="00A43D0D" w:rsidRPr="00075FAD">
        <w:rPr>
          <w:rFonts w:ascii="Century Schoolbook" w:hAnsi="Century Schoolbook"/>
          <w:i/>
          <w:iCs/>
        </w:rPr>
        <w:t>,</w:t>
      </w:r>
      <w:r w:rsidR="00A43D0D" w:rsidRPr="00075FAD">
        <w:rPr>
          <w:rFonts w:ascii="Century Schoolbook" w:hAnsi="Century Schoolbook"/>
        </w:rPr>
        <w:t xml:space="preserve"> and any claims which could have been presented by way of a cross-complaint of W. Bradley Electric, Inc. against DeHaro in this matter.</w:t>
      </w:r>
      <w:r w:rsidR="009359A8" w:rsidRPr="00075FAD">
        <w:rPr>
          <w:rFonts w:ascii="Century Schoolbook" w:hAnsi="Century Schoolbook"/>
        </w:rPr>
        <w:t xml:space="preserve">” </w:t>
      </w:r>
      <w:r w:rsidR="00A43D0D" w:rsidRPr="00075FAD">
        <w:rPr>
          <w:rFonts w:ascii="Century Schoolbook" w:hAnsi="Century Schoolbook"/>
        </w:rPr>
        <w:t xml:space="preserve"> </w:t>
      </w:r>
      <w:r w:rsidR="004F1666" w:rsidRPr="00075FAD">
        <w:rPr>
          <w:rFonts w:ascii="Century Schoolbook" w:hAnsi="Century Schoolbook"/>
        </w:rPr>
        <w:t xml:space="preserve">(Italics added.)  Counsel for DeHaro, Bradley, and Plaintiffs also signed the Stipulation.  </w:t>
      </w:r>
      <w:r w:rsidR="00B71475" w:rsidRPr="00075FAD">
        <w:rPr>
          <w:rFonts w:ascii="Century Schoolbook" w:hAnsi="Century Schoolbook"/>
        </w:rPr>
        <w:t xml:space="preserve">In short, </w:t>
      </w:r>
      <w:r w:rsidR="00EC479B" w:rsidRPr="00075FAD">
        <w:rPr>
          <w:rFonts w:ascii="Century Schoolbook" w:hAnsi="Century Schoolbook"/>
        </w:rPr>
        <w:t xml:space="preserve">the Stipulation precluded </w:t>
      </w:r>
      <w:r w:rsidR="00B71475" w:rsidRPr="00075FAD">
        <w:rPr>
          <w:rFonts w:ascii="Century Schoolbook" w:hAnsi="Century Schoolbook"/>
        </w:rPr>
        <w:t xml:space="preserve">Mitchell </w:t>
      </w:r>
      <w:r w:rsidR="00EC479B" w:rsidRPr="00075FAD">
        <w:rPr>
          <w:rFonts w:ascii="Century Schoolbook" w:hAnsi="Century Schoolbook"/>
        </w:rPr>
        <w:t xml:space="preserve">from pursuing its cross-complaint, including any claims against </w:t>
      </w:r>
      <w:r w:rsidR="00B71475" w:rsidRPr="00075FAD">
        <w:rPr>
          <w:rFonts w:ascii="Century Schoolbook" w:hAnsi="Century Schoolbook"/>
        </w:rPr>
        <w:t>DeHaro</w:t>
      </w:r>
      <w:r w:rsidR="00EC479B" w:rsidRPr="00075FAD">
        <w:rPr>
          <w:rFonts w:ascii="Century Schoolbook" w:hAnsi="Century Schoolbook"/>
        </w:rPr>
        <w:t xml:space="preserve"> or </w:t>
      </w:r>
      <w:r w:rsidR="00B71475" w:rsidRPr="00075FAD">
        <w:rPr>
          <w:rFonts w:ascii="Century Schoolbook" w:hAnsi="Century Schoolbook"/>
        </w:rPr>
        <w:t>Bradley.</w:t>
      </w:r>
    </w:p>
    <w:p w14:paraId="055EE574" w14:textId="4EB6E1A3" w:rsidR="00A43D0D" w:rsidRPr="00075FAD" w:rsidRDefault="009359A8" w:rsidP="003D794E">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A43D0D" w:rsidRPr="00075FAD">
        <w:rPr>
          <w:rFonts w:ascii="Century Schoolbook" w:hAnsi="Century Schoolbook"/>
        </w:rPr>
        <w:t xml:space="preserve">Consistent with the </w:t>
      </w:r>
      <w:r w:rsidR="0080087A" w:rsidRPr="00075FAD">
        <w:rPr>
          <w:rFonts w:ascii="Century Schoolbook" w:hAnsi="Century Schoolbook"/>
        </w:rPr>
        <w:t xml:space="preserve">Stipulation, Whirl signed, on Mitchell’s behalf, a </w:t>
      </w:r>
      <w:r w:rsidR="00A43D0D" w:rsidRPr="00075FAD">
        <w:rPr>
          <w:rFonts w:ascii="Century Schoolbook" w:hAnsi="Century Schoolbook"/>
        </w:rPr>
        <w:t xml:space="preserve">voluntary Request for Dismissal with prejudice of </w:t>
      </w:r>
      <w:r w:rsidR="0080087A" w:rsidRPr="00075FAD">
        <w:rPr>
          <w:rFonts w:ascii="Century Schoolbook" w:hAnsi="Century Schoolbook"/>
        </w:rPr>
        <w:t xml:space="preserve">Mitchell’s </w:t>
      </w:r>
      <w:r w:rsidR="00A43D0D" w:rsidRPr="00075FAD">
        <w:rPr>
          <w:rFonts w:ascii="Century Schoolbook" w:hAnsi="Century Schoolbook"/>
        </w:rPr>
        <w:t xml:space="preserve">cross-complaint on January 5, 2022.  The </w:t>
      </w:r>
      <w:r w:rsidR="0080087A" w:rsidRPr="00075FAD">
        <w:rPr>
          <w:rFonts w:ascii="Century Schoolbook" w:hAnsi="Century Schoolbook"/>
        </w:rPr>
        <w:t xml:space="preserve">trial court entered the </w:t>
      </w:r>
      <w:r w:rsidR="00A43D0D" w:rsidRPr="00075FAD">
        <w:rPr>
          <w:rFonts w:ascii="Century Schoolbook" w:hAnsi="Century Schoolbook"/>
        </w:rPr>
        <w:t xml:space="preserve">dismissal the same day. </w:t>
      </w:r>
      <w:r w:rsidR="003D794E" w:rsidRPr="00075FAD">
        <w:rPr>
          <w:rFonts w:ascii="Century Schoolbook" w:hAnsi="Century Schoolbook"/>
        </w:rPr>
        <w:t xml:space="preserve"> Thereafter, Plaintiffs </w:t>
      </w:r>
      <w:r w:rsidR="005D06F6" w:rsidRPr="00075FAD">
        <w:rPr>
          <w:rFonts w:ascii="Century Schoolbook" w:hAnsi="Century Schoolbook"/>
        </w:rPr>
        <w:t xml:space="preserve">dismissed </w:t>
      </w:r>
      <w:r w:rsidR="00A43D0D" w:rsidRPr="00075FAD">
        <w:rPr>
          <w:rFonts w:ascii="Century Schoolbook" w:hAnsi="Century Schoolbook"/>
        </w:rPr>
        <w:t xml:space="preserve">their complaint as to </w:t>
      </w:r>
      <w:r w:rsidR="007B6AED" w:rsidRPr="00075FAD">
        <w:rPr>
          <w:rFonts w:ascii="Century Schoolbook" w:hAnsi="Century Schoolbook"/>
        </w:rPr>
        <w:t>B</w:t>
      </w:r>
      <w:r w:rsidR="007B6AED">
        <w:rPr>
          <w:rFonts w:ascii="Century Schoolbook" w:hAnsi="Century Schoolbook"/>
        </w:rPr>
        <w:t>rh</w:t>
      </w:r>
      <w:r w:rsidR="007B6AED" w:rsidRPr="00075FAD">
        <w:rPr>
          <w:rFonts w:ascii="Century Schoolbook" w:hAnsi="Century Schoolbook"/>
        </w:rPr>
        <w:t xml:space="preserve">ane </w:t>
      </w:r>
      <w:r w:rsidR="00A43D0D" w:rsidRPr="00075FAD">
        <w:rPr>
          <w:rFonts w:ascii="Century Schoolbook" w:hAnsi="Century Schoolbook"/>
        </w:rPr>
        <w:t>and Uber</w:t>
      </w:r>
      <w:r w:rsidR="003D794E" w:rsidRPr="00075FAD">
        <w:rPr>
          <w:rFonts w:ascii="Century Schoolbook" w:hAnsi="Century Schoolbook"/>
        </w:rPr>
        <w:t xml:space="preserve">, and </w:t>
      </w:r>
      <w:r w:rsidR="00A43D0D" w:rsidRPr="00075FAD">
        <w:rPr>
          <w:rFonts w:ascii="Century Schoolbook" w:hAnsi="Century Schoolbook"/>
        </w:rPr>
        <w:t xml:space="preserve">DeHaro </w:t>
      </w:r>
      <w:r w:rsidR="005D06F6" w:rsidRPr="00075FAD">
        <w:rPr>
          <w:rFonts w:ascii="Century Schoolbook" w:hAnsi="Century Schoolbook"/>
        </w:rPr>
        <w:t xml:space="preserve">dismissed </w:t>
      </w:r>
      <w:r w:rsidR="00A43D0D" w:rsidRPr="00075FAD">
        <w:rPr>
          <w:rFonts w:ascii="Century Schoolbook" w:hAnsi="Century Schoolbook"/>
        </w:rPr>
        <w:t>its cross</w:t>
      </w:r>
      <w:r w:rsidR="005D06F6" w:rsidRPr="00075FAD">
        <w:rPr>
          <w:rFonts w:ascii="Century Schoolbook" w:hAnsi="Century Schoolbook"/>
        </w:rPr>
        <w:t>-</w:t>
      </w:r>
      <w:r w:rsidR="00A43D0D" w:rsidRPr="00075FAD">
        <w:rPr>
          <w:rFonts w:ascii="Century Schoolbook" w:hAnsi="Century Schoolbook"/>
        </w:rPr>
        <w:t xml:space="preserve">complaint as to all cross-defendants including Mitchell, leaving </w:t>
      </w:r>
      <w:r w:rsidR="005D06F6" w:rsidRPr="00075FAD">
        <w:rPr>
          <w:rFonts w:ascii="Century Schoolbook" w:hAnsi="Century Schoolbook"/>
        </w:rPr>
        <w:t xml:space="preserve">only </w:t>
      </w:r>
      <w:r w:rsidR="003D794E" w:rsidRPr="00075FAD">
        <w:rPr>
          <w:rFonts w:ascii="Century Schoolbook" w:hAnsi="Century Schoolbook"/>
        </w:rPr>
        <w:t xml:space="preserve">Plaintiffs’ claim against Mitchell. </w:t>
      </w:r>
    </w:p>
    <w:p w14:paraId="7172BE60" w14:textId="60F2E4E9" w:rsidR="00385EBC" w:rsidRPr="00075FAD" w:rsidRDefault="009359A8" w:rsidP="009359A8">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DA29A8" w:rsidRPr="00075FAD">
        <w:rPr>
          <w:rFonts w:ascii="Century Schoolbook" w:hAnsi="Century Schoolbook"/>
        </w:rPr>
        <w:t xml:space="preserve">What occurred after January 5, 2022 is largely disputed (as discussed later), but it is certain that on </w:t>
      </w:r>
      <w:r w:rsidR="00124EDF" w:rsidRPr="00075FAD">
        <w:rPr>
          <w:rFonts w:ascii="Century Schoolbook" w:hAnsi="Century Schoolbook"/>
        </w:rPr>
        <w:t>June 2, 2022</w:t>
      </w:r>
      <w:r w:rsidR="00735D1C" w:rsidRPr="00075FAD">
        <w:rPr>
          <w:rFonts w:ascii="Century Schoolbook" w:hAnsi="Century Schoolbook"/>
        </w:rPr>
        <w:t>—</w:t>
      </w:r>
      <w:r w:rsidR="004F1666" w:rsidRPr="00075FAD">
        <w:rPr>
          <w:rFonts w:ascii="Century Schoolbook" w:hAnsi="Century Schoolbook"/>
        </w:rPr>
        <w:t xml:space="preserve">nearly </w:t>
      </w:r>
      <w:r w:rsidR="003D794E" w:rsidRPr="00075FAD">
        <w:rPr>
          <w:rFonts w:ascii="Century Schoolbook" w:hAnsi="Century Schoolbook"/>
        </w:rPr>
        <w:t>five months after Mitchell’s cross-complaint was dismissed</w:t>
      </w:r>
      <w:r w:rsidR="00735D1C" w:rsidRPr="00075FAD">
        <w:rPr>
          <w:rFonts w:ascii="Century Schoolbook" w:hAnsi="Century Schoolbook"/>
        </w:rPr>
        <w:t>—</w:t>
      </w:r>
      <w:r w:rsidR="003D794E" w:rsidRPr="00075FAD">
        <w:rPr>
          <w:rFonts w:ascii="Century Schoolbook" w:hAnsi="Century Schoolbook"/>
        </w:rPr>
        <w:t xml:space="preserve">Curtis </w:t>
      </w:r>
      <w:r w:rsidR="00124EDF" w:rsidRPr="00075FAD">
        <w:rPr>
          <w:rFonts w:ascii="Century Schoolbook" w:hAnsi="Century Schoolbook"/>
        </w:rPr>
        <w:t>Mitchell emailed Whirl and an insurance claims</w:t>
      </w:r>
      <w:r w:rsidR="007B7D2C" w:rsidRPr="00075FAD">
        <w:rPr>
          <w:rFonts w:ascii="Century Schoolbook" w:hAnsi="Century Schoolbook"/>
        </w:rPr>
        <w:t xml:space="preserve"> </w:t>
      </w:r>
      <w:r w:rsidR="00124EDF" w:rsidRPr="00075FAD">
        <w:rPr>
          <w:rFonts w:ascii="Century Schoolbook" w:hAnsi="Century Schoolbook"/>
        </w:rPr>
        <w:t>person and asked, “Could one of you let me know if we settled Mitchell[</w:t>
      </w:r>
      <w:r w:rsidR="00385EBC" w:rsidRPr="00075FAD">
        <w:rPr>
          <w:rFonts w:ascii="Century Schoolbook" w:hAnsi="Century Schoolbook"/>
        </w:rPr>
        <w:t>’</w:t>
      </w:r>
      <w:r w:rsidR="00124EDF" w:rsidRPr="00075FAD">
        <w:rPr>
          <w:rFonts w:ascii="Century Schoolbook" w:hAnsi="Century Schoolbook"/>
        </w:rPr>
        <w:t>]s cross complaint against Bradley in the Wong case?”  The next day, Whirl replied</w:t>
      </w:r>
      <w:r w:rsidR="003D794E" w:rsidRPr="00075FAD">
        <w:rPr>
          <w:rFonts w:ascii="Century Schoolbook" w:hAnsi="Century Schoolbook"/>
        </w:rPr>
        <w:t xml:space="preserve">:  </w:t>
      </w:r>
      <w:r w:rsidR="00124EDF" w:rsidRPr="00075FAD">
        <w:rPr>
          <w:rFonts w:ascii="Century Schoolbook" w:hAnsi="Century Schoolbook"/>
        </w:rPr>
        <w:t xml:space="preserve">“I’m unclear what you are asking.  We’ve discussed at length, several times, the dismissal of Bradley by Mitchell.  That dismissal terminated Mitchell’s claims against Bradley.  There is no settlement remaining to be made because that Cross-Complaint is done.”  Curtis Mitchell responded that he “was aware that Bradley settled with the plaintiff” but he “never gave anyone authority to dismiss Mitchell’s cross complaint against Bradley.”  He asked, “If the Mitchell-Bradley cross-complaint was dismissed[,] who gave authority to do that?”   </w:t>
      </w:r>
    </w:p>
    <w:p w14:paraId="71674BEA" w14:textId="6144AC6A" w:rsidR="00124EDF" w:rsidRPr="00075FAD" w:rsidRDefault="00385EBC" w:rsidP="009359A8">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124EDF" w:rsidRPr="00075FAD">
        <w:rPr>
          <w:rFonts w:ascii="Century Schoolbook" w:hAnsi="Century Schoolbook"/>
        </w:rPr>
        <w:t xml:space="preserve">Whirl replied:  “It’s concerning to me how many times we’ve discussed this and you still ask the same question. </w:t>
      </w:r>
      <w:r w:rsidRPr="00075FAD">
        <w:rPr>
          <w:rFonts w:ascii="Century Schoolbook" w:hAnsi="Century Schoolbook"/>
        </w:rPr>
        <w:t xml:space="preserve"> </w:t>
      </w:r>
      <w:r w:rsidR="00124EDF" w:rsidRPr="00075FAD">
        <w:rPr>
          <w:rFonts w:ascii="Century Schoolbook" w:hAnsi="Century Schoolbook"/>
        </w:rPr>
        <w:t xml:space="preserve">Attached is my email to your team </w:t>
      </w:r>
      <w:r w:rsidR="00124EDF" w:rsidRPr="00075FAD">
        <w:rPr>
          <w:rFonts w:ascii="Century Schoolbook" w:hAnsi="Century Schoolbook"/>
        </w:rPr>
        <w:lastRenderedPageBreak/>
        <w:t xml:space="preserve">on December 14, 2021 letting you know what was going on.  I had a timeline to make a call before the opposition to the GFS apps </w:t>
      </w:r>
      <w:r w:rsidR="00DA29A8" w:rsidRPr="00075FAD">
        <w:rPr>
          <w:rFonts w:ascii="Century Schoolbook" w:hAnsi="Century Schoolbook"/>
        </w:rPr>
        <w:t>[</w:t>
      </w:r>
      <w:r w:rsidR="000442DB" w:rsidRPr="00075FAD">
        <w:rPr>
          <w:rFonts w:ascii="Century Schoolbook" w:hAnsi="Century Schoolbook"/>
        </w:rPr>
        <w:t>(</w:t>
      </w:r>
      <w:r w:rsidR="00DA29A8" w:rsidRPr="00075FAD">
        <w:rPr>
          <w:rFonts w:ascii="Century Schoolbook" w:hAnsi="Century Schoolbook"/>
        </w:rPr>
        <w:t>good faith settlement applications</w:t>
      </w:r>
      <w:r w:rsidR="000442DB" w:rsidRPr="00075FAD">
        <w:rPr>
          <w:rFonts w:ascii="Century Schoolbook" w:hAnsi="Century Schoolbook"/>
        </w:rPr>
        <w:t>)</w:t>
      </w:r>
      <w:r w:rsidR="00DA29A8" w:rsidRPr="00075FAD">
        <w:rPr>
          <w:rFonts w:ascii="Century Schoolbook" w:hAnsi="Century Schoolbook"/>
        </w:rPr>
        <w:t xml:space="preserve">] </w:t>
      </w:r>
      <w:r w:rsidR="00124EDF" w:rsidRPr="00075FAD">
        <w:rPr>
          <w:rFonts w:ascii="Century Schoolbook" w:hAnsi="Century Schoolbook"/>
        </w:rPr>
        <w:t xml:space="preserve">and MSJ </w:t>
      </w:r>
      <w:r w:rsidR="00DA29A8" w:rsidRPr="00075FAD">
        <w:rPr>
          <w:rFonts w:ascii="Century Schoolbook" w:hAnsi="Century Schoolbook"/>
        </w:rPr>
        <w:t>[</w:t>
      </w:r>
      <w:r w:rsidR="000442DB" w:rsidRPr="00075FAD">
        <w:rPr>
          <w:rFonts w:ascii="Century Schoolbook" w:hAnsi="Century Schoolbook"/>
        </w:rPr>
        <w:t>(</w:t>
      </w:r>
      <w:r w:rsidR="00DA29A8" w:rsidRPr="00075FAD">
        <w:rPr>
          <w:rFonts w:ascii="Century Schoolbook" w:hAnsi="Century Schoolbook"/>
        </w:rPr>
        <w:t>motion for summary judgment</w:t>
      </w:r>
      <w:r w:rsidR="000442DB" w:rsidRPr="00075FAD">
        <w:rPr>
          <w:rFonts w:ascii="Century Schoolbook" w:hAnsi="Century Schoolbook"/>
        </w:rPr>
        <w:t>)</w:t>
      </w:r>
      <w:r w:rsidR="00DA29A8" w:rsidRPr="00075FAD">
        <w:rPr>
          <w:rFonts w:ascii="Century Schoolbook" w:hAnsi="Century Schoolbook"/>
        </w:rPr>
        <w:t xml:space="preserve">] </w:t>
      </w:r>
      <w:r w:rsidR="00124EDF" w:rsidRPr="00075FAD">
        <w:rPr>
          <w:rFonts w:ascii="Century Schoolbook" w:hAnsi="Century Schoolbook"/>
        </w:rPr>
        <w:t>were due.  No one from your office responded to my email.  I signed and filed the dismissal on January 4, 2022, three full weeks later.  [</w:t>
      </w:r>
      <w:r w:rsidR="003B4F84" w:rsidRPr="00075FAD">
        <w:rPr>
          <w:rFonts w:ascii="Century Schoolbook" w:hAnsi="Century Schoolbook"/>
        </w:rPr>
        <w:t>¶</w:t>
      </w:r>
      <w:r w:rsidR="00124EDF" w:rsidRPr="00075FAD">
        <w:rPr>
          <w:rFonts w:ascii="Century Schoolbook" w:hAnsi="Century Schoolbook"/>
        </w:rPr>
        <w:t>]  The insurance carriers</w:t>
      </w:r>
      <w:r w:rsidR="00C56EA0" w:rsidRPr="00075FAD">
        <w:rPr>
          <w:rFonts w:ascii="Century Schoolbook" w:hAnsi="Century Schoolbook"/>
        </w:rPr>
        <w:t xml:space="preserve"> do</w:t>
      </w:r>
      <w:r w:rsidR="00124EDF" w:rsidRPr="00075FAD">
        <w:rPr>
          <w:rFonts w:ascii="Century Schoolbook" w:hAnsi="Century Schoolbook"/>
        </w:rPr>
        <w:t xml:space="preserve"> have the right to make calls like this when providing a defense to insureds.</w:t>
      </w:r>
      <w:r w:rsidR="00C56EA0" w:rsidRPr="00075FAD">
        <w:rPr>
          <w:rFonts w:ascii="Century Schoolbook" w:hAnsi="Century Schoolbook"/>
        </w:rPr>
        <w:t xml:space="preserve">  </w:t>
      </w:r>
      <w:r w:rsidR="00124EDF" w:rsidRPr="00075FAD">
        <w:rPr>
          <w:rFonts w:ascii="Century Schoolbook" w:hAnsi="Century Schoolbook"/>
        </w:rPr>
        <w:t>Insurance carriers and attorneys such as myself do this day in and day out.  When we have to make tough calls, the clients don’t always understand.  That is why they are giving the authority to make those calls without you if necessary.  Notwithstanding the same, you didn’t give me any input when I ran it by you.  My adjuster at Travelers gave me authority for the dismissal as she was authorized to do.  [</w:t>
      </w:r>
      <w:r w:rsidR="003B4F84" w:rsidRPr="00075FAD">
        <w:rPr>
          <w:rFonts w:ascii="Century Schoolbook" w:hAnsi="Century Schoolbook"/>
        </w:rPr>
        <w:t>¶</w:t>
      </w:r>
      <w:r w:rsidR="00124EDF" w:rsidRPr="00075FAD">
        <w:rPr>
          <w:rFonts w:ascii="Century Schoolbook" w:hAnsi="Century Schoolbook"/>
        </w:rPr>
        <w:t>]  Keeping Bradley in the case so you can tell the jury that Bradley screwed up when not a single professional in this investigation believes lighting to be an issue is a horrible mistake.  We would not have the strength we currently have in our defense if I opposed Bradley’s MSJ and built a case for Plaintiff</w:t>
      </w:r>
      <w:r w:rsidR="000442DB" w:rsidRPr="00075FAD">
        <w:rPr>
          <w:rFonts w:ascii="Century Schoolbook" w:hAnsi="Century Schoolbook"/>
        </w:rPr>
        <w:t>[s]</w:t>
      </w:r>
      <w:r w:rsidR="00124EDF" w:rsidRPr="00075FAD">
        <w:rPr>
          <w:rFonts w:ascii="Century Schoolbook" w:hAnsi="Century Schoolbook"/>
        </w:rPr>
        <w:t xml:space="preserve"> against it.  Plaintiffs did not even sue Bradley; even that attorney knows he doesn’t have a case for insufficient lighting.  It’s an argument he’s throwing at the wall after the fact to see if it sticks.</w:t>
      </w:r>
      <w:r w:rsidRPr="00075FAD">
        <w:rPr>
          <w:rFonts w:ascii="Century Schoolbook" w:hAnsi="Century Schoolbook"/>
        </w:rPr>
        <w:t xml:space="preserve">  [</w:t>
      </w:r>
      <w:r w:rsidR="003B4F84" w:rsidRPr="00075FAD">
        <w:rPr>
          <w:rFonts w:ascii="Century Schoolbook" w:hAnsi="Century Schoolbook"/>
        </w:rPr>
        <w:t>¶</w:t>
      </w:r>
      <w:r w:rsidRPr="00075FAD">
        <w:rPr>
          <w:rFonts w:ascii="Century Schoolbook" w:hAnsi="Century Schoolbook"/>
        </w:rPr>
        <w:t xml:space="preserve">]  Let me know if you need me to forward my prior responses to this inquiry as well.” </w:t>
      </w:r>
    </w:p>
    <w:p w14:paraId="7AAD7A13" w14:textId="22973C52" w:rsidR="00385EBC" w:rsidRPr="00075FAD" w:rsidRDefault="00385EBC" w:rsidP="009359A8">
      <w:pPr>
        <w:pStyle w:val="BodyText"/>
        <w:widowControl/>
        <w:tabs>
          <w:tab w:val="left" w:pos="0"/>
        </w:tabs>
        <w:spacing w:line="360" w:lineRule="auto"/>
        <w:rPr>
          <w:rFonts w:ascii="Century Schoolbook" w:hAnsi="Century Schoolbook"/>
        </w:rPr>
      </w:pPr>
      <w:r w:rsidRPr="00075FAD">
        <w:rPr>
          <w:rFonts w:ascii="Century Schoolbook" w:hAnsi="Century Schoolbook"/>
        </w:rPr>
        <w:tab/>
        <w:t xml:space="preserve">In a return email, Curtis Mitchell wrote:  “Thanks Vanessa </w:t>
      </w:r>
      <w:r w:rsidR="004E79C5" w:rsidRPr="00075FAD">
        <w:rPr>
          <w:rFonts w:ascii="Century Schoolbook" w:hAnsi="Century Schoolbook"/>
        </w:rPr>
        <w:t xml:space="preserve"> [¶]  </w:t>
      </w:r>
      <w:r w:rsidRPr="00075FAD">
        <w:rPr>
          <w:rFonts w:ascii="Century Schoolbook" w:hAnsi="Century Schoolbook"/>
        </w:rPr>
        <w:t xml:space="preserve">I just wanted to confirm you dismissed Bradley from the cross complaint without Mitchell’s approval while being paid by Travelers. </w:t>
      </w:r>
      <w:r w:rsidR="004E79C5" w:rsidRPr="00075FAD">
        <w:rPr>
          <w:rFonts w:ascii="Century Schoolbook" w:hAnsi="Century Schoolbook"/>
        </w:rPr>
        <w:t xml:space="preserve"> </w:t>
      </w:r>
      <w:r w:rsidRPr="00075FAD">
        <w:rPr>
          <w:rFonts w:ascii="Century Schoolbook" w:hAnsi="Century Schoolbook"/>
        </w:rPr>
        <w:t>[</w:t>
      </w:r>
      <w:r w:rsidR="003B4F84" w:rsidRPr="00075FAD">
        <w:rPr>
          <w:rFonts w:ascii="Century Schoolbook" w:hAnsi="Century Schoolbook"/>
        </w:rPr>
        <w:t>¶</w:t>
      </w:r>
      <w:r w:rsidRPr="00075FAD">
        <w:rPr>
          <w:rFonts w:ascii="Century Schoolbook" w:hAnsi="Century Schoolbook"/>
        </w:rPr>
        <w:t xml:space="preserve">] </w:t>
      </w:r>
      <w:r w:rsidR="004E79C5" w:rsidRPr="00075FAD">
        <w:rPr>
          <w:rFonts w:ascii="Century Schoolbook" w:hAnsi="Century Schoolbook"/>
        </w:rPr>
        <w:t xml:space="preserve"> </w:t>
      </w:r>
      <w:r w:rsidRPr="00075FAD">
        <w:rPr>
          <w:rFonts w:ascii="Century Schoolbook" w:hAnsi="Century Schoolbook"/>
        </w:rPr>
        <w:t>Thanks</w:t>
      </w:r>
      <w:r w:rsidR="009A4DDA" w:rsidRPr="00075FAD">
        <w:rPr>
          <w:rFonts w:ascii="Century Schoolbook" w:hAnsi="Century Schoolbook"/>
        </w:rPr>
        <w:t>.</w:t>
      </w:r>
      <w:r w:rsidRPr="00075FAD">
        <w:rPr>
          <w:rFonts w:ascii="Century Schoolbook" w:hAnsi="Century Schoolbook"/>
        </w:rPr>
        <w:t xml:space="preserve">” </w:t>
      </w:r>
    </w:p>
    <w:p w14:paraId="0B8CA68D" w14:textId="489F4FAA" w:rsidR="00A43D0D" w:rsidRPr="00075FAD" w:rsidRDefault="00124EDF" w:rsidP="009359A8">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A43D0D" w:rsidRPr="00075FAD">
        <w:rPr>
          <w:rFonts w:ascii="Century Schoolbook" w:hAnsi="Century Schoolbook"/>
        </w:rPr>
        <w:t xml:space="preserve">On June 13, 2022, </w:t>
      </w:r>
      <w:r w:rsidR="001038BB" w:rsidRPr="00075FAD">
        <w:rPr>
          <w:rFonts w:ascii="Century Schoolbook" w:hAnsi="Century Schoolbook"/>
        </w:rPr>
        <w:t xml:space="preserve">Mitchell added </w:t>
      </w:r>
      <w:r w:rsidR="00A43D0D" w:rsidRPr="00075FAD">
        <w:rPr>
          <w:rFonts w:ascii="Century Schoolbook" w:hAnsi="Century Schoolbook"/>
        </w:rPr>
        <w:t xml:space="preserve">Sellar Hazard &amp; Lucia </w:t>
      </w:r>
      <w:r w:rsidR="00041477" w:rsidRPr="00075FAD">
        <w:rPr>
          <w:rFonts w:ascii="Century Schoolbook" w:hAnsi="Century Schoolbook"/>
        </w:rPr>
        <w:t xml:space="preserve">as </w:t>
      </w:r>
      <w:r w:rsidR="009A4DDA" w:rsidRPr="00075FAD">
        <w:rPr>
          <w:rFonts w:ascii="Century Schoolbook" w:hAnsi="Century Schoolbook"/>
        </w:rPr>
        <w:t xml:space="preserve">its </w:t>
      </w:r>
      <w:r w:rsidR="00041477" w:rsidRPr="00075FAD">
        <w:rPr>
          <w:rFonts w:ascii="Century Schoolbook" w:hAnsi="Century Schoolbook"/>
        </w:rPr>
        <w:t xml:space="preserve">counsel. </w:t>
      </w:r>
      <w:r w:rsidR="005D06F6" w:rsidRPr="00075FAD">
        <w:rPr>
          <w:rFonts w:ascii="Century Schoolbook" w:hAnsi="Century Schoolbook"/>
        </w:rPr>
        <w:t xml:space="preserve"> </w:t>
      </w:r>
      <w:r w:rsidR="00161E34" w:rsidRPr="00075FAD">
        <w:rPr>
          <w:rFonts w:ascii="Century Schoolbook" w:hAnsi="Century Schoolbook"/>
        </w:rPr>
        <w:t xml:space="preserve">Within days, </w:t>
      </w:r>
      <w:r w:rsidR="005D06F6" w:rsidRPr="00075FAD">
        <w:rPr>
          <w:rFonts w:ascii="Century Schoolbook" w:hAnsi="Century Schoolbook"/>
        </w:rPr>
        <w:t>Mitchell settled with Plaintiffs</w:t>
      </w:r>
      <w:r w:rsidR="003D794E" w:rsidRPr="00075FAD">
        <w:rPr>
          <w:rFonts w:ascii="Century Schoolbook" w:hAnsi="Century Schoolbook"/>
        </w:rPr>
        <w:t xml:space="preserve">. </w:t>
      </w:r>
    </w:p>
    <w:p w14:paraId="22229145" w14:textId="1D5A89CF" w:rsidR="005D06F6" w:rsidRPr="00075FAD" w:rsidRDefault="00517EEB" w:rsidP="00F57F82">
      <w:pPr>
        <w:pStyle w:val="BodyText"/>
        <w:keepNext/>
        <w:keepLines/>
        <w:widowControl/>
        <w:tabs>
          <w:tab w:val="left" w:pos="0"/>
        </w:tabs>
        <w:spacing w:line="360" w:lineRule="auto"/>
        <w:rPr>
          <w:rFonts w:ascii="Century Schoolbook" w:hAnsi="Century Schoolbook"/>
        </w:rPr>
      </w:pPr>
      <w:r w:rsidRPr="00075FAD">
        <w:rPr>
          <w:rFonts w:ascii="Century Schoolbook" w:hAnsi="Century Schoolbook"/>
        </w:rPr>
        <w:lastRenderedPageBreak/>
        <w:tab/>
      </w:r>
      <w:r w:rsidR="009D0583" w:rsidRPr="00075FAD">
        <w:rPr>
          <w:rFonts w:ascii="Century Schoolbook" w:hAnsi="Century Schoolbook"/>
        </w:rPr>
        <w:t>B</w:t>
      </w:r>
      <w:r w:rsidR="005D06F6" w:rsidRPr="00075FAD">
        <w:rPr>
          <w:rFonts w:ascii="Century Schoolbook" w:hAnsi="Century Schoolbook"/>
        </w:rPr>
        <w:t xml:space="preserve">.  </w:t>
      </w:r>
      <w:r w:rsidR="005D06F6" w:rsidRPr="00075FAD">
        <w:rPr>
          <w:rFonts w:ascii="Century Schoolbook" w:hAnsi="Century Schoolbook"/>
          <w:u w:val="single"/>
        </w:rPr>
        <w:t>Mitchell</w:t>
      </w:r>
      <w:r w:rsidR="00807C30" w:rsidRPr="00075FAD">
        <w:rPr>
          <w:rFonts w:ascii="Century Schoolbook" w:hAnsi="Century Schoolbook"/>
          <w:u w:val="single"/>
        </w:rPr>
        <w:t xml:space="preserve">’s Attempt </w:t>
      </w:r>
      <w:r w:rsidR="005D06F6" w:rsidRPr="00075FAD">
        <w:rPr>
          <w:rFonts w:ascii="Century Schoolbook" w:hAnsi="Century Schoolbook"/>
          <w:u w:val="single"/>
        </w:rPr>
        <w:t>to Re</w:t>
      </w:r>
      <w:r w:rsidR="001136E0" w:rsidRPr="00075FAD">
        <w:rPr>
          <w:rFonts w:ascii="Century Schoolbook" w:hAnsi="Century Schoolbook"/>
          <w:u w:val="single"/>
        </w:rPr>
        <w:t xml:space="preserve">instate </w:t>
      </w:r>
      <w:r w:rsidR="005D06F6" w:rsidRPr="00075FAD">
        <w:rPr>
          <w:rFonts w:ascii="Century Schoolbook" w:hAnsi="Century Schoolbook"/>
          <w:u w:val="single"/>
        </w:rPr>
        <w:t>Its Cross-Complaint</w:t>
      </w:r>
    </w:p>
    <w:p w14:paraId="4C899971" w14:textId="22C01908" w:rsidR="00D637E2" w:rsidRPr="00075FAD" w:rsidRDefault="00D637E2" w:rsidP="00F57F82">
      <w:pPr>
        <w:pStyle w:val="BodyText"/>
        <w:keepNext/>
        <w:keepLines/>
        <w:widowControl/>
        <w:tabs>
          <w:tab w:val="left" w:pos="0"/>
        </w:tabs>
        <w:spacing w:line="360" w:lineRule="auto"/>
        <w:rPr>
          <w:rFonts w:ascii="Century Schoolbook" w:hAnsi="Century Schoolbook"/>
        </w:rPr>
      </w:pPr>
      <w:r w:rsidRPr="00075FAD">
        <w:rPr>
          <w:rFonts w:ascii="Century Schoolbook" w:hAnsi="Century Schoolbook"/>
        </w:rPr>
        <w:tab/>
        <w:t>On July 1, 2022</w:t>
      </w:r>
      <w:r w:rsidR="00B014F6" w:rsidRPr="00075FAD">
        <w:rPr>
          <w:rFonts w:ascii="Century Schoolbook" w:hAnsi="Century Schoolbook"/>
        </w:rPr>
        <w:t>—</w:t>
      </w:r>
      <w:r w:rsidRPr="00075FAD">
        <w:rPr>
          <w:rFonts w:ascii="Century Schoolbook" w:hAnsi="Century Schoolbook"/>
        </w:rPr>
        <w:t>after it had settled with Plaintiffs and nearly six months after the dismissal of Mitchell’s cross-complaint against DeHaro and Bradley</w:t>
      </w:r>
      <w:r w:rsidR="00B014F6" w:rsidRPr="00075FAD">
        <w:rPr>
          <w:rFonts w:ascii="Century Schoolbook" w:hAnsi="Century Schoolbook"/>
        </w:rPr>
        <w:t>—</w:t>
      </w:r>
      <w:r w:rsidRPr="00075FAD">
        <w:rPr>
          <w:rFonts w:ascii="Century Schoolbook" w:hAnsi="Century Schoolbook"/>
        </w:rPr>
        <w:t xml:space="preserve">Mitchell filed a motion to set aside the dismissal of its cross-complaint pursuant to section 473, subdivision (b), arguing that the dismissal was caused by a party or legal representative’s “mistake, surprise, and/or excusable neglect.”  Mitchell’s notice of motion also apprised that Mitchell sought relief under the </w:t>
      </w:r>
      <w:r w:rsidR="00F66D80" w:rsidRPr="00075FAD">
        <w:rPr>
          <w:rFonts w:ascii="Century Schoolbook" w:hAnsi="Century Schoolbook"/>
        </w:rPr>
        <w:t xml:space="preserve">trial </w:t>
      </w:r>
      <w:r w:rsidRPr="00075FAD">
        <w:rPr>
          <w:rFonts w:ascii="Century Schoolbook" w:hAnsi="Century Schoolbook"/>
        </w:rPr>
        <w:t>court’s equitable powers.</w:t>
      </w:r>
      <w:r w:rsidRPr="00075FAD">
        <w:rPr>
          <w:rStyle w:val="FootnoteReference"/>
          <w:rFonts w:ascii="Century Schoolbook" w:hAnsi="Century Schoolbook"/>
        </w:rPr>
        <w:footnoteReference w:id="3"/>
      </w:r>
      <w:r w:rsidRPr="00075FAD">
        <w:rPr>
          <w:rFonts w:ascii="Century Schoolbook" w:hAnsi="Century Schoolbook"/>
        </w:rPr>
        <w:t xml:space="preserve"> </w:t>
      </w:r>
      <w:r w:rsidR="00324CCC" w:rsidRPr="00075FAD">
        <w:rPr>
          <w:rFonts w:ascii="Century Schoolbook" w:hAnsi="Century Schoolbook"/>
        </w:rPr>
        <w:t xml:space="preserve"> It did not, however, mention section 473, subdivision (d).</w:t>
      </w:r>
    </w:p>
    <w:p w14:paraId="0048231F" w14:textId="153C0DE2" w:rsidR="007B157F" w:rsidRPr="00075FAD" w:rsidRDefault="005D06F6" w:rsidP="00517EEB">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A43D0D" w:rsidRPr="00075FAD">
        <w:rPr>
          <w:rFonts w:ascii="Century Schoolbook" w:hAnsi="Century Schoolbook"/>
        </w:rPr>
        <w:t xml:space="preserve">Mitchell’s motion was supported in part by </w:t>
      </w:r>
      <w:r w:rsidR="00D637E2" w:rsidRPr="00075FAD">
        <w:rPr>
          <w:rFonts w:ascii="Century Schoolbook" w:hAnsi="Century Schoolbook"/>
        </w:rPr>
        <w:t xml:space="preserve">a </w:t>
      </w:r>
      <w:r w:rsidR="00A43D0D" w:rsidRPr="00075FAD">
        <w:rPr>
          <w:rFonts w:ascii="Century Schoolbook" w:hAnsi="Century Schoolbook"/>
        </w:rPr>
        <w:t xml:space="preserve">declaration </w:t>
      </w:r>
      <w:r w:rsidR="00D637E2" w:rsidRPr="00075FAD">
        <w:rPr>
          <w:rFonts w:ascii="Century Schoolbook" w:hAnsi="Century Schoolbook"/>
        </w:rPr>
        <w:t xml:space="preserve">from </w:t>
      </w:r>
      <w:r w:rsidR="00A43D0D" w:rsidRPr="00075FAD">
        <w:rPr>
          <w:rFonts w:ascii="Century Schoolbook" w:hAnsi="Century Schoolbook"/>
        </w:rPr>
        <w:t>Curtis Mitchell</w:t>
      </w:r>
      <w:r w:rsidR="00385EBC" w:rsidRPr="00075FAD">
        <w:rPr>
          <w:rFonts w:ascii="Century Schoolbook" w:hAnsi="Century Schoolbook"/>
        </w:rPr>
        <w:t xml:space="preserve">, who </w:t>
      </w:r>
      <w:r w:rsidR="00D637E2" w:rsidRPr="00075FAD">
        <w:rPr>
          <w:rFonts w:ascii="Century Schoolbook" w:hAnsi="Century Schoolbook"/>
        </w:rPr>
        <w:t xml:space="preserve">averred </w:t>
      </w:r>
      <w:r w:rsidR="00A43D0D" w:rsidRPr="00075FAD">
        <w:rPr>
          <w:rFonts w:ascii="Century Schoolbook" w:hAnsi="Century Schoolbook"/>
        </w:rPr>
        <w:t xml:space="preserve">that “the entry of the dismissal was a complete surprise and shock to </w:t>
      </w:r>
      <w:r w:rsidR="00D637E2" w:rsidRPr="00075FAD">
        <w:rPr>
          <w:rFonts w:ascii="Century Schoolbook" w:hAnsi="Century Schoolbook"/>
        </w:rPr>
        <w:t xml:space="preserve">[him] </w:t>
      </w:r>
      <w:r w:rsidR="00A43D0D" w:rsidRPr="00075FAD">
        <w:rPr>
          <w:rFonts w:ascii="Century Schoolbook" w:hAnsi="Century Schoolbook"/>
        </w:rPr>
        <w:t xml:space="preserve">and hence Mitchell Engineering, and was action taken unilaterally by Thomas | Lucas by mistake or excusable neglect or some other reason disconnected from </w:t>
      </w:r>
      <w:r w:rsidR="006D7A01" w:rsidRPr="00075FAD">
        <w:rPr>
          <w:rFonts w:ascii="Century Schoolbook" w:hAnsi="Century Schoolbook"/>
        </w:rPr>
        <w:t>[</w:t>
      </w:r>
      <w:r w:rsidR="00A43D0D" w:rsidRPr="00075FAD">
        <w:rPr>
          <w:rFonts w:ascii="Century Schoolbook" w:hAnsi="Century Schoolbook"/>
        </w:rPr>
        <w:t>Mitchell’s</w:t>
      </w:r>
      <w:r w:rsidR="006D7A01" w:rsidRPr="00075FAD">
        <w:rPr>
          <w:rFonts w:ascii="Century Schoolbook" w:hAnsi="Century Schoolbook"/>
        </w:rPr>
        <w:t>]</w:t>
      </w:r>
      <w:r w:rsidR="00A43D0D" w:rsidRPr="00075FAD">
        <w:rPr>
          <w:rFonts w:ascii="Century Schoolbook" w:hAnsi="Century Schoolbook"/>
        </w:rPr>
        <w:t xml:space="preserve"> interests, or all or any combination.” </w:t>
      </w:r>
      <w:r w:rsidR="00EA4778" w:rsidRPr="00075FAD">
        <w:rPr>
          <w:rFonts w:ascii="Century Schoolbook" w:hAnsi="Century Schoolbook"/>
        </w:rPr>
        <w:t xml:space="preserve"> He </w:t>
      </w:r>
      <w:r w:rsidR="00A43D0D" w:rsidRPr="00075FAD">
        <w:rPr>
          <w:rFonts w:ascii="Century Schoolbook" w:hAnsi="Century Schoolbook"/>
        </w:rPr>
        <w:t xml:space="preserve">claimed </w:t>
      </w:r>
      <w:r w:rsidR="00385EBC" w:rsidRPr="00075FAD">
        <w:rPr>
          <w:rFonts w:ascii="Century Schoolbook" w:hAnsi="Century Schoolbook"/>
        </w:rPr>
        <w:t xml:space="preserve">he was unaware </w:t>
      </w:r>
      <w:r w:rsidR="007C3215" w:rsidRPr="00075FAD">
        <w:rPr>
          <w:rFonts w:ascii="Century Schoolbook" w:hAnsi="Century Schoolbook"/>
        </w:rPr>
        <w:t xml:space="preserve">of </w:t>
      </w:r>
      <w:r w:rsidR="00A43D0D" w:rsidRPr="00075FAD">
        <w:rPr>
          <w:rFonts w:ascii="Century Schoolbook" w:hAnsi="Century Schoolbook"/>
        </w:rPr>
        <w:t xml:space="preserve">either dismissal until June 3, 2022, when trial preparations were underway. </w:t>
      </w:r>
      <w:r w:rsidR="007B157F" w:rsidRPr="00075FAD">
        <w:rPr>
          <w:rFonts w:ascii="Century Schoolbook" w:hAnsi="Century Schoolbook"/>
        </w:rPr>
        <w:t xml:space="preserve"> </w:t>
      </w:r>
    </w:p>
    <w:p w14:paraId="6D51C85C" w14:textId="624D13ED" w:rsidR="007C3215" w:rsidRPr="00075FAD" w:rsidRDefault="00517EEB" w:rsidP="007C3215">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A43D0D" w:rsidRPr="00075FAD">
        <w:rPr>
          <w:rFonts w:ascii="Century Schoolbook" w:hAnsi="Century Schoolbook"/>
        </w:rPr>
        <w:t xml:space="preserve">Bradley </w:t>
      </w:r>
      <w:r w:rsidR="00A916DE" w:rsidRPr="00075FAD">
        <w:rPr>
          <w:rFonts w:ascii="Century Schoolbook" w:hAnsi="Century Schoolbook"/>
        </w:rPr>
        <w:t xml:space="preserve">and DeHaro </w:t>
      </w:r>
      <w:r w:rsidR="007C3215" w:rsidRPr="00075FAD">
        <w:rPr>
          <w:rFonts w:ascii="Century Schoolbook" w:hAnsi="Century Schoolbook"/>
        </w:rPr>
        <w:t xml:space="preserve">opposed </w:t>
      </w:r>
      <w:r w:rsidR="00A43D0D" w:rsidRPr="00075FAD">
        <w:rPr>
          <w:rFonts w:ascii="Century Schoolbook" w:hAnsi="Century Schoolbook"/>
        </w:rPr>
        <w:t>Mitchell’s motion</w:t>
      </w:r>
      <w:r w:rsidR="007C3215" w:rsidRPr="00075FAD">
        <w:rPr>
          <w:rFonts w:ascii="Century Schoolbook" w:hAnsi="Century Schoolbook"/>
        </w:rPr>
        <w:t xml:space="preserve">, contending </w:t>
      </w:r>
      <w:r w:rsidR="00A916DE" w:rsidRPr="00075FAD">
        <w:rPr>
          <w:rFonts w:ascii="Century Schoolbook" w:hAnsi="Century Schoolbook"/>
        </w:rPr>
        <w:t xml:space="preserve">the requirements of section 473, subdivision (b) were not met and the motion was untimely. </w:t>
      </w:r>
      <w:r w:rsidR="00A43D0D" w:rsidRPr="00075FAD">
        <w:rPr>
          <w:rFonts w:ascii="Century Schoolbook" w:hAnsi="Century Schoolbook"/>
        </w:rPr>
        <w:t xml:space="preserve"> Mitchell filed </w:t>
      </w:r>
      <w:r w:rsidR="007C3215" w:rsidRPr="00075FAD">
        <w:rPr>
          <w:rFonts w:ascii="Century Schoolbook" w:hAnsi="Century Schoolbook"/>
        </w:rPr>
        <w:t xml:space="preserve">a </w:t>
      </w:r>
      <w:r w:rsidR="00A43D0D" w:rsidRPr="00075FAD">
        <w:rPr>
          <w:rFonts w:ascii="Century Schoolbook" w:hAnsi="Century Schoolbook"/>
        </w:rPr>
        <w:t xml:space="preserve">reply </w:t>
      </w:r>
      <w:r w:rsidR="007C3215" w:rsidRPr="00075FAD">
        <w:rPr>
          <w:rFonts w:ascii="Century Schoolbook" w:hAnsi="Century Schoolbook"/>
        </w:rPr>
        <w:t xml:space="preserve">brief, along with another declaration from Curtis Mitchell, who claimed </w:t>
      </w:r>
      <w:r w:rsidR="00A43D0D" w:rsidRPr="00075FAD">
        <w:rPr>
          <w:rFonts w:ascii="Century Schoolbook" w:hAnsi="Century Schoolbook"/>
        </w:rPr>
        <w:t xml:space="preserve">he did not know about the settlements with DeHaro and Bradley until July 2022, after they filed their oppositions to Mitchell’s motion. </w:t>
      </w:r>
    </w:p>
    <w:p w14:paraId="413A6617" w14:textId="50ED2AF7" w:rsidR="000D2DE6" w:rsidRPr="00075FAD" w:rsidRDefault="00517EEB" w:rsidP="007E65D2">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7E65D2" w:rsidRPr="00075FAD">
        <w:rPr>
          <w:rFonts w:ascii="Century Schoolbook" w:hAnsi="Century Schoolbook"/>
        </w:rPr>
        <w:t xml:space="preserve">A hearing on </w:t>
      </w:r>
      <w:r w:rsidR="00A43D0D" w:rsidRPr="00075FAD">
        <w:rPr>
          <w:rFonts w:ascii="Century Schoolbook" w:hAnsi="Century Schoolbook"/>
        </w:rPr>
        <w:t xml:space="preserve">Mitchell’s motion was </w:t>
      </w:r>
      <w:r w:rsidR="007E65D2" w:rsidRPr="00075FAD">
        <w:rPr>
          <w:rFonts w:ascii="Century Schoolbook" w:hAnsi="Century Schoolbook"/>
        </w:rPr>
        <w:t xml:space="preserve">held </w:t>
      </w:r>
      <w:r w:rsidR="00A43D0D" w:rsidRPr="00075FAD">
        <w:rPr>
          <w:rFonts w:ascii="Century Schoolbook" w:hAnsi="Century Schoolbook"/>
        </w:rPr>
        <w:t xml:space="preserve">on August 8, 2022.  </w:t>
      </w:r>
      <w:r w:rsidR="00E44970" w:rsidRPr="00075FAD">
        <w:rPr>
          <w:rFonts w:ascii="Century Schoolbook" w:hAnsi="Century Schoolbook"/>
        </w:rPr>
        <w:t xml:space="preserve">At the request of </w:t>
      </w:r>
      <w:r w:rsidR="00A43D0D" w:rsidRPr="00075FAD">
        <w:rPr>
          <w:rFonts w:ascii="Century Schoolbook" w:hAnsi="Century Schoolbook"/>
        </w:rPr>
        <w:t>Bradley and DeHaro</w:t>
      </w:r>
      <w:r w:rsidR="00EA4778" w:rsidRPr="00075FAD">
        <w:rPr>
          <w:rFonts w:ascii="Century Schoolbook" w:hAnsi="Century Schoolbook"/>
        </w:rPr>
        <w:t xml:space="preserve">, </w:t>
      </w:r>
      <w:r w:rsidR="00E44970" w:rsidRPr="00075FAD">
        <w:rPr>
          <w:rFonts w:ascii="Century Schoolbook" w:hAnsi="Century Schoolbook"/>
        </w:rPr>
        <w:t xml:space="preserve">the </w:t>
      </w:r>
      <w:r w:rsidR="00A43D0D" w:rsidRPr="00075FAD">
        <w:rPr>
          <w:rFonts w:ascii="Century Schoolbook" w:hAnsi="Century Schoolbook"/>
        </w:rPr>
        <w:t xml:space="preserve">trial court continued the hearing for 60 days “to allow discovery on the points that the parties have raised and </w:t>
      </w:r>
      <w:r w:rsidR="00A43D0D" w:rsidRPr="00075FAD">
        <w:rPr>
          <w:rFonts w:ascii="Century Schoolbook" w:hAnsi="Century Schoolbook"/>
        </w:rPr>
        <w:lastRenderedPageBreak/>
        <w:t>basically any point that’s raised by these papers or the tentative</w:t>
      </w:r>
      <w:r w:rsidR="00D637E2" w:rsidRPr="00075FAD">
        <w:rPr>
          <w:rFonts w:ascii="Century Schoolbook" w:hAnsi="Century Schoolbook"/>
        </w:rPr>
        <w:t xml:space="preserve"> [ruling]</w:t>
      </w:r>
      <w:r w:rsidR="00A43D0D" w:rsidRPr="00075FAD">
        <w:rPr>
          <w:rFonts w:ascii="Century Schoolbook" w:hAnsi="Century Schoolbook"/>
        </w:rPr>
        <w:t xml:space="preserve">, period, full stop.”  The court also </w:t>
      </w:r>
      <w:r w:rsidR="00324CCC" w:rsidRPr="00075FAD">
        <w:rPr>
          <w:rFonts w:ascii="Century Schoolbook" w:hAnsi="Century Schoolbook"/>
        </w:rPr>
        <w:t>allowed</w:t>
      </w:r>
      <w:r w:rsidR="00A43D0D" w:rsidRPr="00075FAD">
        <w:rPr>
          <w:rFonts w:ascii="Century Schoolbook" w:hAnsi="Century Schoolbook"/>
        </w:rPr>
        <w:t xml:space="preserve"> the parties </w:t>
      </w:r>
      <w:r w:rsidR="00324CCC" w:rsidRPr="00075FAD">
        <w:rPr>
          <w:rFonts w:ascii="Century Schoolbook" w:hAnsi="Century Schoolbook"/>
        </w:rPr>
        <w:t xml:space="preserve">to </w:t>
      </w:r>
      <w:r w:rsidR="00A43D0D" w:rsidRPr="00075FAD">
        <w:rPr>
          <w:rFonts w:ascii="Century Schoolbook" w:hAnsi="Century Schoolbook"/>
        </w:rPr>
        <w:t xml:space="preserve">file supplemental briefs. </w:t>
      </w:r>
    </w:p>
    <w:p w14:paraId="28D58587" w14:textId="6FABA576" w:rsidR="00B878EB" w:rsidRPr="00075FAD" w:rsidRDefault="00517EEB" w:rsidP="00A43D0D">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A43D0D" w:rsidRPr="00075FAD">
        <w:rPr>
          <w:rFonts w:ascii="Century Schoolbook" w:hAnsi="Century Schoolbook"/>
        </w:rPr>
        <w:t xml:space="preserve">DeHaro and Bradley </w:t>
      </w:r>
      <w:r w:rsidR="00EA4778" w:rsidRPr="00075FAD">
        <w:rPr>
          <w:rFonts w:ascii="Century Schoolbook" w:hAnsi="Century Schoolbook"/>
        </w:rPr>
        <w:t xml:space="preserve">deposed </w:t>
      </w:r>
      <w:r w:rsidR="00A43D0D" w:rsidRPr="00075FAD">
        <w:rPr>
          <w:rFonts w:ascii="Century Schoolbook" w:hAnsi="Century Schoolbook"/>
        </w:rPr>
        <w:t xml:space="preserve">Curtis Mitchell </w:t>
      </w:r>
      <w:r w:rsidR="00EA4778" w:rsidRPr="00075FAD">
        <w:rPr>
          <w:rFonts w:ascii="Century Schoolbook" w:hAnsi="Century Schoolbook"/>
        </w:rPr>
        <w:t xml:space="preserve">on </w:t>
      </w:r>
      <w:r w:rsidR="00A43D0D" w:rsidRPr="00075FAD">
        <w:rPr>
          <w:rFonts w:ascii="Century Schoolbook" w:hAnsi="Century Schoolbook"/>
        </w:rPr>
        <w:t xml:space="preserve">September 9, 2022.  </w:t>
      </w:r>
      <w:r w:rsidR="00EA4778" w:rsidRPr="00075FAD">
        <w:rPr>
          <w:rFonts w:ascii="Century Schoolbook" w:hAnsi="Century Schoolbook"/>
        </w:rPr>
        <w:t xml:space="preserve">He </w:t>
      </w:r>
      <w:r w:rsidR="007E65D2" w:rsidRPr="00075FAD">
        <w:rPr>
          <w:rFonts w:ascii="Century Schoolbook" w:hAnsi="Century Schoolbook"/>
        </w:rPr>
        <w:t xml:space="preserve">maintained that </w:t>
      </w:r>
      <w:r w:rsidR="00EA4778" w:rsidRPr="00075FAD">
        <w:rPr>
          <w:rFonts w:ascii="Century Schoolbook" w:hAnsi="Century Schoolbook"/>
        </w:rPr>
        <w:t xml:space="preserve">he </w:t>
      </w:r>
      <w:r w:rsidR="00435950" w:rsidRPr="00075FAD">
        <w:rPr>
          <w:rFonts w:ascii="Century Schoolbook" w:hAnsi="Century Schoolbook"/>
        </w:rPr>
        <w:t>had not understood</w:t>
      </w:r>
      <w:r w:rsidR="0092514A" w:rsidRPr="00075FAD">
        <w:rPr>
          <w:rFonts w:ascii="Century Schoolbook" w:hAnsi="Century Schoolbook"/>
        </w:rPr>
        <w:t xml:space="preserve"> that the cross-complaint was dismissed before June 3, 2022. </w:t>
      </w:r>
      <w:r w:rsidR="00B878EB" w:rsidRPr="00075FAD">
        <w:rPr>
          <w:rFonts w:ascii="Century Schoolbook" w:hAnsi="Century Schoolbook"/>
        </w:rPr>
        <w:t xml:space="preserve">  </w:t>
      </w:r>
    </w:p>
    <w:p w14:paraId="7897C896" w14:textId="1A57C8C9" w:rsidR="00A43D0D" w:rsidRPr="00075FAD" w:rsidRDefault="00517EEB" w:rsidP="00517EEB">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A43D0D" w:rsidRPr="00075FAD">
        <w:rPr>
          <w:rFonts w:ascii="Century Schoolbook" w:hAnsi="Century Schoolbook"/>
        </w:rPr>
        <w:t xml:space="preserve">DeHaro noticed </w:t>
      </w:r>
      <w:r w:rsidR="00E44970" w:rsidRPr="00075FAD">
        <w:rPr>
          <w:rFonts w:ascii="Century Schoolbook" w:hAnsi="Century Schoolbook"/>
        </w:rPr>
        <w:t xml:space="preserve">Whirl’s </w:t>
      </w:r>
      <w:r w:rsidR="00A43D0D" w:rsidRPr="00075FAD">
        <w:rPr>
          <w:rFonts w:ascii="Century Schoolbook" w:hAnsi="Century Schoolbook"/>
        </w:rPr>
        <w:t>deposition</w:t>
      </w:r>
      <w:r w:rsidR="00E84BE6" w:rsidRPr="00075FAD">
        <w:rPr>
          <w:rFonts w:ascii="Century Schoolbook" w:hAnsi="Century Schoolbook"/>
        </w:rPr>
        <w:t xml:space="preserve">, but Whirl advised </w:t>
      </w:r>
      <w:r w:rsidR="00A43D0D" w:rsidRPr="00075FAD">
        <w:rPr>
          <w:rFonts w:ascii="Century Schoolbook" w:hAnsi="Century Schoolbook"/>
        </w:rPr>
        <w:t xml:space="preserve">that Mitchell </w:t>
      </w:r>
      <w:r w:rsidR="00E84BE6" w:rsidRPr="00075FAD">
        <w:rPr>
          <w:rFonts w:ascii="Century Schoolbook" w:hAnsi="Century Schoolbook"/>
        </w:rPr>
        <w:t xml:space="preserve">had </w:t>
      </w:r>
      <w:r w:rsidR="00A43D0D" w:rsidRPr="00075FAD">
        <w:rPr>
          <w:rFonts w:ascii="Century Schoolbook" w:hAnsi="Century Schoolbook"/>
        </w:rPr>
        <w:t xml:space="preserve">instructed her not to </w:t>
      </w:r>
      <w:r w:rsidR="00385EBC" w:rsidRPr="00075FAD">
        <w:rPr>
          <w:rFonts w:ascii="Century Schoolbook" w:hAnsi="Century Schoolbook"/>
        </w:rPr>
        <w:t xml:space="preserve">give testimony or produce </w:t>
      </w:r>
      <w:r w:rsidR="00A43D0D" w:rsidRPr="00075FAD">
        <w:rPr>
          <w:rFonts w:ascii="Century Schoolbook" w:hAnsi="Century Schoolbook"/>
        </w:rPr>
        <w:t xml:space="preserve">documents reflecting privileged communications.  </w:t>
      </w:r>
      <w:r w:rsidR="001F338E" w:rsidRPr="00075FAD">
        <w:rPr>
          <w:rFonts w:ascii="Century Schoolbook" w:hAnsi="Century Schoolbook"/>
        </w:rPr>
        <w:t xml:space="preserve">Mitchell </w:t>
      </w:r>
      <w:r w:rsidR="00E84BE6" w:rsidRPr="00075FAD">
        <w:rPr>
          <w:rFonts w:ascii="Century Schoolbook" w:hAnsi="Century Schoolbook"/>
        </w:rPr>
        <w:t xml:space="preserve">also </w:t>
      </w:r>
      <w:r w:rsidR="00385EBC" w:rsidRPr="00075FAD">
        <w:rPr>
          <w:rFonts w:ascii="Century Schoolbook" w:hAnsi="Century Schoolbook"/>
        </w:rPr>
        <w:t xml:space="preserve">served an objection </w:t>
      </w:r>
      <w:r w:rsidR="00A43D0D" w:rsidRPr="00075FAD">
        <w:rPr>
          <w:rFonts w:ascii="Century Schoolbook" w:hAnsi="Century Schoolbook"/>
        </w:rPr>
        <w:t xml:space="preserve">to </w:t>
      </w:r>
      <w:r w:rsidR="00E84BE6" w:rsidRPr="00075FAD">
        <w:rPr>
          <w:rFonts w:ascii="Century Schoolbook" w:hAnsi="Century Schoolbook"/>
        </w:rPr>
        <w:t xml:space="preserve">the </w:t>
      </w:r>
      <w:r w:rsidR="00A43D0D" w:rsidRPr="00075FAD">
        <w:rPr>
          <w:rFonts w:ascii="Century Schoolbook" w:hAnsi="Century Schoolbook"/>
        </w:rPr>
        <w:t>deposition, asserting it would not allow Whirl to testify as to communications with Mitchell regarding the settlement and dismissal</w:t>
      </w:r>
      <w:r w:rsidR="001F338E" w:rsidRPr="00075FAD">
        <w:rPr>
          <w:rFonts w:ascii="Century Schoolbook" w:hAnsi="Century Schoolbook"/>
        </w:rPr>
        <w:t xml:space="preserve"> and </w:t>
      </w:r>
      <w:r w:rsidR="00E84BE6" w:rsidRPr="00075FAD">
        <w:rPr>
          <w:rFonts w:ascii="Century Schoolbook" w:hAnsi="Century Schoolbook"/>
        </w:rPr>
        <w:t xml:space="preserve">refusing </w:t>
      </w:r>
      <w:r w:rsidR="001F338E" w:rsidRPr="00075FAD">
        <w:rPr>
          <w:rFonts w:ascii="Century Schoolbook" w:hAnsi="Century Schoolbook"/>
        </w:rPr>
        <w:t xml:space="preserve">to produce </w:t>
      </w:r>
      <w:r w:rsidR="00A43D0D" w:rsidRPr="00075FAD">
        <w:rPr>
          <w:rFonts w:ascii="Century Schoolbook" w:hAnsi="Century Schoolbook"/>
        </w:rPr>
        <w:t xml:space="preserve">documents. </w:t>
      </w:r>
    </w:p>
    <w:p w14:paraId="3BA12DC8" w14:textId="30287F43" w:rsidR="00A9596A" w:rsidRPr="00075FAD" w:rsidRDefault="00517EEB" w:rsidP="00517EEB">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A43D0D" w:rsidRPr="00075FAD">
        <w:rPr>
          <w:rFonts w:ascii="Century Schoolbook" w:hAnsi="Century Schoolbook"/>
        </w:rPr>
        <w:t xml:space="preserve">Bradley </w:t>
      </w:r>
      <w:r w:rsidR="00E44970" w:rsidRPr="00075FAD">
        <w:rPr>
          <w:rFonts w:ascii="Century Schoolbook" w:hAnsi="Century Schoolbook"/>
        </w:rPr>
        <w:t xml:space="preserve">moved </w:t>
      </w:r>
      <w:r w:rsidR="00A43D0D" w:rsidRPr="00075FAD">
        <w:rPr>
          <w:rFonts w:ascii="Century Schoolbook" w:hAnsi="Century Schoolbook"/>
        </w:rPr>
        <w:t xml:space="preserve">to compel Whirl’s deposition and to </w:t>
      </w:r>
      <w:r w:rsidR="001F338E" w:rsidRPr="00075FAD">
        <w:rPr>
          <w:rFonts w:ascii="Century Schoolbook" w:hAnsi="Century Schoolbook"/>
        </w:rPr>
        <w:t xml:space="preserve">order Mitchell to </w:t>
      </w:r>
      <w:r w:rsidR="00A43D0D" w:rsidRPr="00075FAD">
        <w:rPr>
          <w:rFonts w:ascii="Century Schoolbook" w:hAnsi="Century Schoolbook"/>
        </w:rPr>
        <w:t xml:space="preserve">produce documents.  Mitchell </w:t>
      </w:r>
      <w:r w:rsidR="001F338E" w:rsidRPr="00075FAD">
        <w:rPr>
          <w:rFonts w:ascii="Century Schoolbook" w:hAnsi="Century Schoolbook"/>
        </w:rPr>
        <w:t>opposed</w:t>
      </w:r>
      <w:r w:rsidR="00E84BE6" w:rsidRPr="00075FAD">
        <w:rPr>
          <w:rFonts w:ascii="Century Schoolbook" w:hAnsi="Century Schoolbook"/>
        </w:rPr>
        <w:t xml:space="preserve"> the motion</w:t>
      </w:r>
      <w:r w:rsidR="001F338E" w:rsidRPr="00075FAD">
        <w:rPr>
          <w:rFonts w:ascii="Century Schoolbook" w:hAnsi="Century Schoolbook"/>
        </w:rPr>
        <w:t xml:space="preserve">. </w:t>
      </w:r>
      <w:r w:rsidR="00435950" w:rsidRPr="00075FAD">
        <w:rPr>
          <w:rFonts w:ascii="Century Schoolbook" w:hAnsi="Century Schoolbook"/>
        </w:rPr>
        <w:t xml:space="preserve"> </w:t>
      </w:r>
      <w:r w:rsidR="00A9596A" w:rsidRPr="00075FAD">
        <w:rPr>
          <w:rFonts w:ascii="Century Schoolbook" w:hAnsi="Century Schoolbook"/>
        </w:rPr>
        <w:t xml:space="preserve">The </w:t>
      </w:r>
      <w:r w:rsidR="00A43D0D" w:rsidRPr="00075FAD">
        <w:rPr>
          <w:rFonts w:ascii="Century Schoolbook" w:hAnsi="Century Schoolbook"/>
        </w:rPr>
        <w:t xml:space="preserve">trial court </w:t>
      </w:r>
      <w:r w:rsidR="007E65D2" w:rsidRPr="00075FAD">
        <w:rPr>
          <w:rFonts w:ascii="Century Schoolbook" w:hAnsi="Century Schoolbook"/>
        </w:rPr>
        <w:t xml:space="preserve">granted </w:t>
      </w:r>
      <w:r w:rsidR="00E84BE6" w:rsidRPr="00075FAD">
        <w:rPr>
          <w:rFonts w:ascii="Century Schoolbook" w:hAnsi="Century Schoolbook"/>
        </w:rPr>
        <w:t xml:space="preserve">it, </w:t>
      </w:r>
      <w:r w:rsidR="007E65D2" w:rsidRPr="00075FAD">
        <w:rPr>
          <w:rFonts w:ascii="Century Schoolbook" w:hAnsi="Century Schoolbook"/>
        </w:rPr>
        <w:t xml:space="preserve">finding </w:t>
      </w:r>
      <w:r w:rsidR="00A43D0D" w:rsidRPr="00075FAD">
        <w:rPr>
          <w:rFonts w:ascii="Century Schoolbook" w:hAnsi="Century Schoolbook"/>
        </w:rPr>
        <w:t xml:space="preserve">that Mitchell waived the attorney-client privilege as to communications </w:t>
      </w:r>
      <w:r w:rsidR="001F338E" w:rsidRPr="00075FAD">
        <w:rPr>
          <w:rFonts w:ascii="Century Schoolbook" w:hAnsi="Century Schoolbook"/>
        </w:rPr>
        <w:t xml:space="preserve">with </w:t>
      </w:r>
      <w:r w:rsidR="00A43D0D" w:rsidRPr="00075FAD">
        <w:rPr>
          <w:rFonts w:ascii="Century Schoolbook" w:hAnsi="Century Schoolbook"/>
        </w:rPr>
        <w:t>Whirl</w:t>
      </w:r>
      <w:r w:rsidR="001F338E" w:rsidRPr="00075FAD">
        <w:rPr>
          <w:rFonts w:ascii="Century Schoolbook" w:hAnsi="Century Schoolbook"/>
        </w:rPr>
        <w:t xml:space="preserve"> about </w:t>
      </w:r>
      <w:r w:rsidR="00A43D0D" w:rsidRPr="00075FAD">
        <w:rPr>
          <w:rFonts w:ascii="Century Schoolbook" w:hAnsi="Century Schoolbook"/>
        </w:rPr>
        <w:t>the settlement and dismissal of Mitchell’s cross-complaint</w:t>
      </w:r>
      <w:r w:rsidR="001F338E" w:rsidRPr="00075FAD">
        <w:rPr>
          <w:rFonts w:ascii="Century Schoolbook" w:hAnsi="Century Schoolbook"/>
        </w:rPr>
        <w:t xml:space="preserve">. </w:t>
      </w:r>
    </w:p>
    <w:p w14:paraId="5F89B7A1" w14:textId="7045159D" w:rsidR="007C4FA7" w:rsidRPr="00075FAD" w:rsidRDefault="00517EEB" w:rsidP="007C4FA7">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1F338E" w:rsidRPr="00075FAD">
        <w:rPr>
          <w:rFonts w:ascii="Century Schoolbook" w:hAnsi="Century Schoolbook"/>
        </w:rPr>
        <w:t xml:space="preserve">Bradley and DeHaro deposed </w:t>
      </w:r>
      <w:r w:rsidR="00A43D0D" w:rsidRPr="00075FAD">
        <w:rPr>
          <w:rFonts w:ascii="Century Schoolbook" w:hAnsi="Century Schoolbook"/>
        </w:rPr>
        <w:t>Whirl</w:t>
      </w:r>
      <w:r w:rsidR="00C868D2">
        <w:rPr>
          <w:rFonts w:ascii="Century Schoolbook" w:hAnsi="Century Schoolbook"/>
        </w:rPr>
        <w:t xml:space="preserve">.  She </w:t>
      </w:r>
      <w:r w:rsidR="001F338E" w:rsidRPr="00075FAD">
        <w:rPr>
          <w:rFonts w:ascii="Century Schoolbook" w:hAnsi="Century Schoolbook"/>
        </w:rPr>
        <w:t xml:space="preserve">testified </w:t>
      </w:r>
      <w:r w:rsidR="007C4FA7" w:rsidRPr="00075FAD">
        <w:rPr>
          <w:rFonts w:ascii="Century Schoolbook" w:hAnsi="Century Schoolbook"/>
        </w:rPr>
        <w:t xml:space="preserve">that she repeatedly notified Mitchell, and specifically Curtis Mitchell, of </w:t>
      </w:r>
      <w:r w:rsidR="001D28EF" w:rsidRPr="00075FAD">
        <w:rPr>
          <w:rFonts w:ascii="Century Schoolbook" w:hAnsi="Century Schoolbook"/>
        </w:rPr>
        <w:t xml:space="preserve">the dismissal of the </w:t>
      </w:r>
      <w:r w:rsidR="007C4FA7" w:rsidRPr="00075FAD">
        <w:rPr>
          <w:rFonts w:ascii="Century Schoolbook" w:hAnsi="Century Schoolbook"/>
        </w:rPr>
        <w:t>cross-complaint</w:t>
      </w:r>
      <w:r w:rsidR="001D28EF" w:rsidRPr="00075FAD">
        <w:rPr>
          <w:rFonts w:ascii="Century Schoolbook" w:hAnsi="Century Schoolbook"/>
        </w:rPr>
        <w:t xml:space="preserve">. </w:t>
      </w:r>
      <w:r w:rsidR="0056336E" w:rsidRPr="00075FAD">
        <w:rPr>
          <w:rFonts w:ascii="Century Schoolbook" w:hAnsi="Century Schoolbook"/>
        </w:rPr>
        <w:t xml:space="preserve"> </w:t>
      </w:r>
      <w:r w:rsidR="001D28EF" w:rsidRPr="00075FAD">
        <w:rPr>
          <w:rFonts w:ascii="Century Schoolbook" w:hAnsi="Century Schoolbook"/>
        </w:rPr>
        <w:t xml:space="preserve">In particular, she </w:t>
      </w:r>
      <w:r w:rsidR="00E84BE6" w:rsidRPr="00075FAD">
        <w:rPr>
          <w:rFonts w:ascii="Century Schoolbook" w:hAnsi="Century Schoolbook"/>
        </w:rPr>
        <w:t xml:space="preserve">referenced her </w:t>
      </w:r>
      <w:r w:rsidR="00A43D0D" w:rsidRPr="00075FAD">
        <w:rPr>
          <w:rFonts w:ascii="Century Schoolbook" w:hAnsi="Century Schoolbook"/>
        </w:rPr>
        <w:t>December 14, 2021</w:t>
      </w:r>
      <w:r w:rsidR="00E84BE6" w:rsidRPr="00075FAD">
        <w:rPr>
          <w:rFonts w:ascii="Century Schoolbook" w:hAnsi="Century Schoolbook"/>
        </w:rPr>
        <w:t xml:space="preserve"> email to Curtis </w:t>
      </w:r>
      <w:r w:rsidR="00A43D0D" w:rsidRPr="00075FAD">
        <w:rPr>
          <w:rFonts w:ascii="Century Schoolbook" w:hAnsi="Century Schoolbook"/>
        </w:rPr>
        <w:t>Mitchell, Streblow</w:t>
      </w:r>
      <w:r w:rsidR="006A0F17">
        <w:rPr>
          <w:rFonts w:ascii="Century Schoolbook" w:hAnsi="Century Schoolbook"/>
        </w:rPr>
        <w:t>,</w:t>
      </w:r>
      <w:r w:rsidR="00A43D0D" w:rsidRPr="00075FAD">
        <w:rPr>
          <w:rFonts w:ascii="Century Schoolbook" w:hAnsi="Century Schoolbook"/>
        </w:rPr>
        <w:t xml:space="preserve"> and Noll</w:t>
      </w:r>
      <w:r w:rsidR="0056336E" w:rsidRPr="00075FAD">
        <w:rPr>
          <w:rFonts w:ascii="Century Schoolbook" w:hAnsi="Century Schoolbook"/>
        </w:rPr>
        <w:t>,</w:t>
      </w:r>
      <w:r w:rsidR="00A43D0D" w:rsidRPr="00075FAD">
        <w:rPr>
          <w:rFonts w:ascii="Century Schoolbook" w:hAnsi="Century Schoolbook"/>
        </w:rPr>
        <w:t xml:space="preserve"> recommending the dismissal of the cross-complaint, asking their position</w:t>
      </w:r>
      <w:r w:rsidR="0056336E" w:rsidRPr="00075FAD">
        <w:rPr>
          <w:rFonts w:ascii="Century Schoolbook" w:hAnsi="Century Schoolbook"/>
        </w:rPr>
        <w:t>,</w:t>
      </w:r>
      <w:r w:rsidR="00A43D0D" w:rsidRPr="00075FAD">
        <w:rPr>
          <w:rFonts w:ascii="Century Schoolbook" w:hAnsi="Century Schoolbook"/>
        </w:rPr>
        <w:t xml:space="preserve"> and inviting a call</w:t>
      </w:r>
      <w:r w:rsidR="00E84BE6" w:rsidRPr="00075FAD">
        <w:rPr>
          <w:rFonts w:ascii="Century Schoolbook" w:hAnsi="Century Schoolbook"/>
        </w:rPr>
        <w:t xml:space="preserve"> if they wanted</w:t>
      </w:r>
      <w:r w:rsidR="0025673F" w:rsidRPr="00075FAD">
        <w:rPr>
          <w:rFonts w:ascii="Century Schoolbook" w:hAnsi="Century Schoolbook"/>
        </w:rPr>
        <w:t xml:space="preserve"> to discuss her recommendation</w:t>
      </w:r>
      <w:r w:rsidR="00A43D0D" w:rsidRPr="00075FAD">
        <w:rPr>
          <w:rFonts w:ascii="Century Schoolbook" w:hAnsi="Century Schoolbook"/>
        </w:rPr>
        <w:t xml:space="preserve">. </w:t>
      </w:r>
      <w:r w:rsidR="00E84BE6" w:rsidRPr="00075FAD">
        <w:rPr>
          <w:rFonts w:ascii="Century Schoolbook" w:hAnsi="Century Schoolbook"/>
        </w:rPr>
        <w:t xml:space="preserve"> </w:t>
      </w:r>
      <w:r w:rsidR="00A43D0D" w:rsidRPr="00075FAD">
        <w:rPr>
          <w:rFonts w:ascii="Century Schoolbook" w:hAnsi="Century Schoolbook"/>
        </w:rPr>
        <w:t xml:space="preserve">Whirl did not receive a response, and </w:t>
      </w:r>
      <w:r w:rsidR="001D28EF" w:rsidRPr="00075FAD">
        <w:rPr>
          <w:rFonts w:ascii="Century Schoolbook" w:hAnsi="Century Schoolbook"/>
        </w:rPr>
        <w:t xml:space="preserve">“[t]he lack of response from the client, considering that they would immediately respond to me if they had input on an issue, indicated to me that there was no issue.” </w:t>
      </w:r>
      <w:r w:rsidR="0056336E" w:rsidRPr="00075FAD">
        <w:rPr>
          <w:rFonts w:ascii="Century Schoolbook" w:hAnsi="Century Schoolbook"/>
        </w:rPr>
        <w:t xml:space="preserve"> </w:t>
      </w:r>
      <w:r w:rsidR="00385EBC" w:rsidRPr="00075FAD">
        <w:rPr>
          <w:rFonts w:ascii="Century Schoolbook" w:hAnsi="Century Schoolbook"/>
        </w:rPr>
        <w:t xml:space="preserve">In addition, Whirl testified she </w:t>
      </w:r>
      <w:r w:rsidR="00E84BE6" w:rsidRPr="00075FAD">
        <w:rPr>
          <w:rFonts w:ascii="Century Schoolbook" w:hAnsi="Century Schoolbook"/>
        </w:rPr>
        <w:t xml:space="preserve">received no communication from Mitchell regarding her </w:t>
      </w:r>
      <w:r w:rsidR="00A43D0D" w:rsidRPr="00075FAD">
        <w:rPr>
          <w:rFonts w:ascii="Century Schoolbook" w:hAnsi="Century Schoolbook"/>
        </w:rPr>
        <w:t>December 21, 2021</w:t>
      </w:r>
      <w:r w:rsidR="00385EBC" w:rsidRPr="00075FAD">
        <w:rPr>
          <w:rFonts w:ascii="Century Schoolbook" w:hAnsi="Century Schoolbook"/>
        </w:rPr>
        <w:t xml:space="preserve"> </w:t>
      </w:r>
      <w:r w:rsidR="00E84BE6" w:rsidRPr="00075FAD">
        <w:rPr>
          <w:rFonts w:ascii="Century Schoolbook" w:hAnsi="Century Schoolbook"/>
        </w:rPr>
        <w:t xml:space="preserve">status report </w:t>
      </w:r>
      <w:r w:rsidR="00A43D0D" w:rsidRPr="00075FAD">
        <w:rPr>
          <w:rFonts w:ascii="Century Schoolbook" w:hAnsi="Century Schoolbook"/>
        </w:rPr>
        <w:t>to Travelers</w:t>
      </w:r>
      <w:r w:rsidR="00385EBC" w:rsidRPr="00075FAD">
        <w:rPr>
          <w:rFonts w:ascii="Century Schoolbook" w:hAnsi="Century Schoolbook"/>
        </w:rPr>
        <w:t>,</w:t>
      </w:r>
      <w:r w:rsidR="00A43D0D" w:rsidRPr="00075FAD">
        <w:rPr>
          <w:rFonts w:ascii="Century Schoolbook" w:hAnsi="Century Schoolbook"/>
        </w:rPr>
        <w:t xml:space="preserve"> </w:t>
      </w:r>
      <w:r w:rsidR="00E84BE6" w:rsidRPr="00075FAD">
        <w:rPr>
          <w:rFonts w:ascii="Century Schoolbook" w:hAnsi="Century Schoolbook"/>
        </w:rPr>
        <w:t xml:space="preserve">which </w:t>
      </w:r>
      <w:r w:rsidR="00E84BE6" w:rsidRPr="00075FAD">
        <w:rPr>
          <w:rFonts w:ascii="Century Schoolbook" w:hAnsi="Century Schoolbook"/>
        </w:rPr>
        <w:lastRenderedPageBreak/>
        <w:t xml:space="preserve">confirmed </w:t>
      </w:r>
      <w:r w:rsidR="00A43D0D" w:rsidRPr="00075FAD">
        <w:rPr>
          <w:rFonts w:ascii="Century Schoolbook" w:hAnsi="Century Schoolbook"/>
        </w:rPr>
        <w:t xml:space="preserve">the stipulation to </w:t>
      </w:r>
      <w:r w:rsidR="00385EBC" w:rsidRPr="00075FAD">
        <w:rPr>
          <w:rFonts w:ascii="Century Schoolbook" w:hAnsi="Century Schoolbook"/>
        </w:rPr>
        <w:t xml:space="preserve">Plaintiffs’ </w:t>
      </w:r>
      <w:r w:rsidR="00A43D0D" w:rsidRPr="00075FAD">
        <w:rPr>
          <w:rFonts w:ascii="Century Schoolbook" w:hAnsi="Century Schoolbook"/>
        </w:rPr>
        <w:t xml:space="preserve">settlements </w:t>
      </w:r>
      <w:r w:rsidR="00385EBC" w:rsidRPr="00075FAD">
        <w:rPr>
          <w:rFonts w:ascii="Century Schoolbook" w:hAnsi="Century Schoolbook"/>
        </w:rPr>
        <w:t xml:space="preserve">with </w:t>
      </w:r>
      <w:r w:rsidR="00A43D0D" w:rsidRPr="00075FAD">
        <w:rPr>
          <w:rFonts w:ascii="Century Schoolbook" w:hAnsi="Century Schoolbook"/>
        </w:rPr>
        <w:t>Bradley and DeHaro</w:t>
      </w:r>
      <w:r w:rsidR="00E84BE6" w:rsidRPr="00075FAD">
        <w:rPr>
          <w:rFonts w:ascii="Century Schoolbook" w:hAnsi="Century Schoolbook"/>
        </w:rPr>
        <w:t>.</w:t>
      </w:r>
      <w:r w:rsidR="00A43D0D" w:rsidRPr="00075FAD">
        <w:rPr>
          <w:rFonts w:ascii="Century Schoolbook" w:hAnsi="Century Schoolbook"/>
        </w:rPr>
        <w:t xml:space="preserve"> </w:t>
      </w:r>
      <w:r w:rsidR="00A9596A" w:rsidRPr="00075FAD">
        <w:rPr>
          <w:rFonts w:ascii="Century Schoolbook" w:hAnsi="Century Schoolbook"/>
        </w:rPr>
        <w:t xml:space="preserve"> </w:t>
      </w:r>
      <w:r w:rsidR="00E84BE6" w:rsidRPr="00075FAD">
        <w:rPr>
          <w:rFonts w:ascii="Century Schoolbook" w:hAnsi="Century Schoolbook"/>
        </w:rPr>
        <w:t xml:space="preserve">According to Whirl, </w:t>
      </w:r>
      <w:r w:rsidR="00385EBC" w:rsidRPr="00075FAD">
        <w:rPr>
          <w:rFonts w:ascii="Century Schoolbook" w:hAnsi="Century Schoolbook"/>
        </w:rPr>
        <w:t xml:space="preserve">Curtis Mitchell </w:t>
      </w:r>
      <w:r w:rsidR="007C4FA7" w:rsidRPr="00075FAD">
        <w:rPr>
          <w:rFonts w:ascii="Century Schoolbook" w:hAnsi="Century Schoolbook"/>
        </w:rPr>
        <w:t xml:space="preserve">never told </w:t>
      </w:r>
      <w:r w:rsidR="00385EBC" w:rsidRPr="00075FAD">
        <w:rPr>
          <w:rFonts w:ascii="Century Schoolbook" w:hAnsi="Century Schoolbook"/>
        </w:rPr>
        <w:t xml:space="preserve">her </w:t>
      </w:r>
      <w:r w:rsidR="007C4FA7" w:rsidRPr="00075FAD">
        <w:rPr>
          <w:rFonts w:ascii="Century Schoolbook" w:hAnsi="Century Schoolbook"/>
        </w:rPr>
        <w:t xml:space="preserve">not to </w:t>
      </w:r>
      <w:r w:rsidR="0056336E" w:rsidRPr="00075FAD">
        <w:rPr>
          <w:rFonts w:ascii="Century Schoolbook" w:hAnsi="Century Schoolbook"/>
        </w:rPr>
        <w:t xml:space="preserve">dismiss the </w:t>
      </w:r>
      <w:r w:rsidR="007C4FA7" w:rsidRPr="00075FAD">
        <w:rPr>
          <w:rFonts w:ascii="Century Schoolbook" w:hAnsi="Century Schoolbook"/>
        </w:rPr>
        <w:t>cross-complaint</w:t>
      </w:r>
      <w:r w:rsidR="00385EBC" w:rsidRPr="00075FAD">
        <w:rPr>
          <w:rFonts w:ascii="Century Schoolbook" w:hAnsi="Century Schoolbook"/>
        </w:rPr>
        <w:t xml:space="preserve">, and no </w:t>
      </w:r>
      <w:r w:rsidR="00E84BE6" w:rsidRPr="00075FAD">
        <w:rPr>
          <w:rFonts w:ascii="Century Schoolbook" w:hAnsi="Century Schoolbook"/>
        </w:rPr>
        <w:t xml:space="preserve">one </w:t>
      </w:r>
      <w:r w:rsidR="007C4FA7" w:rsidRPr="00075FAD">
        <w:rPr>
          <w:rFonts w:ascii="Century Schoolbook" w:hAnsi="Century Schoolbook"/>
        </w:rPr>
        <w:t xml:space="preserve">from Mitchell told </w:t>
      </w:r>
      <w:r w:rsidR="0056336E" w:rsidRPr="00075FAD">
        <w:rPr>
          <w:rFonts w:ascii="Century Schoolbook" w:hAnsi="Century Schoolbook"/>
        </w:rPr>
        <w:t xml:space="preserve">her </w:t>
      </w:r>
      <w:r w:rsidR="007C4FA7" w:rsidRPr="00075FAD">
        <w:rPr>
          <w:rFonts w:ascii="Century Schoolbook" w:hAnsi="Century Schoolbook"/>
        </w:rPr>
        <w:t xml:space="preserve">she </w:t>
      </w:r>
      <w:r w:rsidR="00E84BE6" w:rsidRPr="00075FAD">
        <w:rPr>
          <w:rFonts w:ascii="Century Schoolbook" w:hAnsi="Century Schoolbook"/>
        </w:rPr>
        <w:t xml:space="preserve">lacked </w:t>
      </w:r>
      <w:r w:rsidR="007C4FA7" w:rsidRPr="00075FAD">
        <w:rPr>
          <w:rFonts w:ascii="Century Schoolbook" w:hAnsi="Century Schoolbook"/>
        </w:rPr>
        <w:t xml:space="preserve">authority to dismiss </w:t>
      </w:r>
      <w:r w:rsidR="00385EBC" w:rsidRPr="00075FAD">
        <w:rPr>
          <w:rFonts w:ascii="Century Schoolbook" w:hAnsi="Century Schoolbook"/>
        </w:rPr>
        <w:t xml:space="preserve">it. </w:t>
      </w:r>
      <w:r w:rsidR="007C4FA7" w:rsidRPr="00075FAD">
        <w:rPr>
          <w:rFonts w:ascii="Century Schoolbook" w:hAnsi="Century Schoolbook"/>
        </w:rPr>
        <w:t xml:space="preserve"> When </w:t>
      </w:r>
      <w:r w:rsidR="00385EBC" w:rsidRPr="00075FAD">
        <w:rPr>
          <w:rFonts w:ascii="Century Schoolbook" w:hAnsi="Century Schoolbook"/>
        </w:rPr>
        <w:t xml:space="preserve">signing Mitchell’s settlement agreements with DeHaro and Bradley and </w:t>
      </w:r>
      <w:r w:rsidR="007C4FA7" w:rsidRPr="00075FAD">
        <w:rPr>
          <w:rFonts w:ascii="Century Schoolbook" w:hAnsi="Century Schoolbook"/>
        </w:rPr>
        <w:t xml:space="preserve">dismissing the cross-complaint, </w:t>
      </w:r>
      <w:r w:rsidR="00E84BE6" w:rsidRPr="00075FAD">
        <w:rPr>
          <w:rFonts w:ascii="Century Schoolbook" w:hAnsi="Century Schoolbook"/>
        </w:rPr>
        <w:t xml:space="preserve">she </w:t>
      </w:r>
      <w:r w:rsidR="00385EBC" w:rsidRPr="00075FAD">
        <w:rPr>
          <w:rFonts w:ascii="Century Schoolbook" w:hAnsi="Century Schoolbook"/>
        </w:rPr>
        <w:t xml:space="preserve">believed </w:t>
      </w:r>
      <w:r w:rsidR="007C4FA7" w:rsidRPr="00075FAD">
        <w:rPr>
          <w:rFonts w:ascii="Century Schoolbook" w:hAnsi="Century Schoolbook"/>
        </w:rPr>
        <w:t xml:space="preserve">she had the right and authority to do so and it was in Mitchell’s best interest. </w:t>
      </w:r>
    </w:p>
    <w:p w14:paraId="79D6C562" w14:textId="3763B238" w:rsidR="007C4FA7" w:rsidRPr="00075FAD" w:rsidRDefault="007C4FA7" w:rsidP="00517EEB">
      <w:pPr>
        <w:pStyle w:val="BodyText"/>
        <w:widowControl/>
        <w:tabs>
          <w:tab w:val="left" w:pos="0"/>
        </w:tabs>
        <w:spacing w:line="360" w:lineRule="auto"/>
        <w:rPr>
          <w:rFonts w:ascii="Century Schoolbook" w:hAnsi="Century Schoolbook"/>
        </w:rPr>
      </w:pPr>
      <w:r w:rsidRPr="00075FAD">
        <w:rPr>
          <w:rFonts w:ascii="Century Schoolbook" w:hAnsi="Century Schoolbook"/>
        </w:rPr>
        <w:tab/>
        <w:t xml:space="preserve">Whirl also testified </w:t>
      </w:r>
      <w:r w:rsidR="00DA29A8" w:rsidRPr="00075FAD">
        <w:rPr>
          <w:rFonts w:ascii="Century Schoolbook" w:hAnsi="Century Schoolbook"/>
        </w:rPr>
        <w:t xml:space="preserve">about </w:t>
      </w:r>
      <w:r w:rsidR="0085732A" w:rsidRPr="00075FAD">
        <w:rPr>
          <w:rFonts w:ascii="Century Schoolbook" w:hAnsi="Century Schoolbook"/>
        </w:rPr>
        <w:t xml:space="preserve">discussions with Curtis Mitchell </w:t>
      </w:r>
      <w:r w:rsidR="00DA29A8" w:rsidRPr="00075FAD">
        <w:rPr>
          <w:rFonts w:ascii="Century Schoolbook" w:hAnsi="Century Schoolbook"/>
        </w:rPr>
        <w:t xml:space="preserve">concerning </w:t>
      </w:r>
      <w:r w:rsidR="0085732A" w:rsidRPr="00075FAD">
        <w:rPr>
          <w:rFonts w:ascii="Century Schoolbook" w:hAnsi="Century Schoolbook"/>
        </w:rPr>
        <w:t xml:space="preserve">the </w:t>
      </w:r>
      <w:r w:rsidRPr="00075FAD">
        <w:rPr>
          <w:rFonts w:ascii="Century Schoolbook" w:hAnsi="Century Schoolbook"/>
        </w:rPr>
        <w:t xml:space="preserve">cross-complaint after it was </w:t>
      </w:r>
      <w:r w:rsidR="0085732A" w:rsidRPr="00075FAD">
        <w:rPr>
          <w:rFonts w:ascii="Century Schoolbook" w:hAnsi="Century Schoolbook"/>
        </w:rPr>
        <w:t xml:space="preserve">dismissed.  </w:t>
      </w:r>
      <w:r w:rsidR="00D04F05" w:rsidRPr="00075FAD">
        <w:rPr>
          <w:rFonts w:ascii="Century Schoolbook" w:hAnsi="Century Schoolbook"/>
        </w:rPr>
        <w:t xml:space="preserve">At least twice between </w:t>
      </w:r>
      <w:r w:rsidR="00A43D0D" w:rsidRPr="00075FAD">
        <w:rPr>
          <w:rFonts w:ascii="Century Schoolbook" w:hAnsi="Century Schoolbook"/>
        </w:rPr>
        <w:t xml:space="preserve">March 30 and May 6, 2022, </w:t>
      </w:r>
      <w:r w:rsidR="00610DFF" w:rsidRPr="00075FAD">
        <w:rPr>
          <w:rFonts w:ascii="Century Schoolbook" w:hAnsi="Century Schoolbook"/>
        </w:rPr>
        <w:t xml:space="preserve">she explained </w:t>
      </w:r>
      <w:r w:rsidR="00DA29A8" w:rsidRPr="00075FAD">
        <w:rPr>
          <w:rFonts w:ascii="Century Schoolbook" w:hAnsi="Century Schoolbook"/>
        </w:rPr>
        <w:t xml:space="preserve">the reasons for the dismissal, </w:t>
      </w:r>
      <w:r w:rsidR="00D04F05" w:rsidRPr="00075FAD">
        <w:rPr>
          <w:rFonts w:ascii="Century Schoolbook" w:hAnsi="Century Schoolbook"/>
        </w:rPr>
        <w:t xml:space="preserve">including in </w:t>
      </w:r>
      <w:r w:rsidR="00610DFF" w:rsidRPr="00075FAD">
        <w:rPr>
          <w:rFonts w:ascii="Century Schoolbook" w:hAnsi="Century Schoolbook"/>
        </w:rPr>
        <w:t xml:space="preserve">a </w:t>
      </w:r>
      <w:r w:rsidR="00D04F05" w:rsidRPr="00075FAD">
        <w:rPr>
          <w:rFonts w:ascii="Century Schoolbook" w:hAnsi="Century Schoolbook"/>
        </w:rPr>
        <w:t xml:space="preserve">telephone call </w:t>
      </w:r>
      <w:r w:rsidR="00DA29A8" w:rsidRPr="00075FAD">
        <w:rPr>
          <w:rFonts w:ascii="Century Schoolbook" w:hAnsi="Century Schoolbook"/>
        </w:rPr>
        <w:t xml:space="preserve">(or two) </w:t>
      </w:r>
      <w:r w:rsidR="00D04F05" w:rsidRPr="00075FAD">
        <w:rPr>
          <w:rFonts w:ascii="Century Schoolbook" w:hAnsi="Century Schoolbook"/>
        </w:rPr>
        <w:t xml:space="preserve">and </w:t>
      </w:r>
      <w:r w:rsidR="00DA29A8" w:rsidRPr="00075FAD">
        <w:rPr>
          <w:rFonts w:ascii="Century Schoolbook" w:hAnsi="Century Schoolbook"/>
        </w:rPr>
        <w:t xml:space="preserve">a </w:t>
      </w:r>
      <w:r w:rsidR="00A9596A" w:rsidRPr="00075FAD">
        <w:rPr>
          <w:rFonts w:ascii="Century Schoolbook" w:hAnsi="Century Schoolbook"/>
        </w:rPr>
        <w:t xml:space="preserve">video conference </w:t>
      </w:r>
      <w:r w:rsidR="00D04F05" w:rsidRPr="00075FAD">
        <w:rPr>
          <w:rFonts w:ascii="Century Schoolbook" w:hAnsi="Century Schoolbook"/>
        </w:rPr>
        <w:t xml:space="preserve">preparing him for a </w:t>
      </w:r>
      <w:r w:rsidR="00A43D0D" w:rsidRPr="00075FAD">
        <w:rPr>
          <w:rFonts w:ascii="Century Schoolbook" w:hAnsi="Century Schoolbook"/>
        </w:rPr>
        <w:t xml:space="preserve">deposition in </w:t>
      </w:r>
      <w:r w:rsidR="00324CCC" w:rsidRPr="00075FAD">
        <w:rPr>
          <w:rFonts w:ascii="Century Schoolbook" w:hAnsi="Century Schoolbook"/>
        </w:rPr>
        <w:t>Plaintiffs’ case</w:t>
      </w:r>
      <w:r w:rsidR="00610DFF" w:rsidRPr="00075FAD">
        <w:rPr>
          <w:rFonts w:ascii="Century Schoolbook" w:hAnsi="Century Schoolbook"/>
        </w:rPr>
        <w:t xml:space="preserve">. </w:t>
      </w:r>
      <w:r w:rsidR="0056336E" w:rsidRPr="00075FAD">
        <w:rPr>
          <w:rFonts w:ascii="Century Schoolbook" w:hAnsi="Century Schoolbook"/>
        </w:rPr>
        <w:t xml:space="preserve"> </w:t>
      </w:r>
      <w:r w:rsidR="00A43D0D" w:rsidRPr="00075FAD">
        <w:rPr>
          <w:rFonts w:ascii="Century Schoolbook" w:hAnsi="Century Schoolbook"/>
        </w:rPr>
        <w:t xml:space="preserve">Immediately </w:t>
      </w:r>
      <w:r w:rsidR="00610DFF" w:rsidRPr="00075FAD">
        <w:rPr>
          <w:rFonts w:ascii="Century Schoolbook" w:hAnsi="Century Schoolbook"/>
        </w:rPr>
        <w:t xml:space="preserve">after </w:t>
      </w:r>
      <w:r w:rsidR="00A43D0D" w:rsidRPr="00075FAD">
        <w:rPr>
          <w:rFonts w:ascii="Century Schoolbook" w:hAnsi="Century Schoolbook"/>
        </w:rPr>
        <w:t>Curtis Mitchell</w:t>
      </w:r>
      <w:r w:rsidR="006A0F17">
        <w:rPr>
          <w:rFonts w:ascii="Century Schoolbook" w:hAnsi="Century Schoolbook"/>
        </w:rPr>
        <w:t>’</w:t>
      </w:r>
      <w:r w:rsidR="00A43D0D" w:rsidRPr="00075FAD">
        <w:rPr>
          <w:rFonts w:ascii="Century Schoolbook" w:hAnsi="Century Schoolbook"/>
        </w:rPr>
        <w:t xml:space="preserve">s deposition in May 2022, </w:t>
      </w:r>
      <w:r w:rsidR="00A9596A" w:rsidRPr="00075FAD">
        <w:rPr>
          <w:rFonts w:ascii="Century Schoolbook" w:hAnsi="Century Schoolbook"/>
        </w:rPr>
        <w:t xml:space="preserve">he and </w:t>
      </w:r>
      <w:r w:rsidR="00A43D0D" w:rsidRPr="00075FAD">
        <w:rPr>
          <w:rFonts w:ascii="Century Schoolbook" w:hAnsi="Century Schoolbook"/>
        </w:rPr>
        <w:t xml:space="preserve">Whirl </w:t>
      </w:r>
      <w:r w:rsidR="0085732A" w:rsidRPr="00075FAD">
        <w:rPr>
          <w:rFonts w:ascii="Century Schoolbook" w:hAnsi="Century Schoolbook"/>
        </w:rPr>
        <w:t xml:space="preserve">again discussed </w:t>
      </w:r>
      <w:r w:rsidR="00A43D0D" w:rsidRPr="00075FAD">
        <w:rPr>
          <w:rFonts w:ascii="Century Schoolbook" w:hAnsi="Century Schoolbook"/>
        </w:rPr>
        <w:t xml:space="preserve">the dismissal of the cross-complaint. </w:t>
      </w:r>
      <w:r w:rsidR="0056336E" w:rsidRPr="00075FAD">
        <w:rPr>
          <w:rFonts w:ascii="Century Schoolbook" w:hAnsi="Century Schoolbook"/>
        </w:rPr>
        <w:t xml:space="preserve"> </w:t>
      </w:r>
      <w:r w:rsidR="00A43D0D" w:rsidRPr="00075FAD">
        <w:rPr>
          <w:rFonts w:ascii="Century Schoolbook" w:hAnsi="Century Schoolbook"/>
        </w:rPr>
        <w:t xml:space="preserve">On May 6, 2022, Whirl sent </w:t>
      </w:r>
      <w:r w:rsidR="00610DFF" w:rsidRPr="00075FAD">
        <w:rPr>
          <w:rFonts w:ascii="Century Schoolbook" w:hAnsi="Century Schoolbook"/>
        </w:rPr>
        <w:t xml:space="preserve">a pre-trial report </w:t>
      </w:r>
      <w:r w:rsidR="00A9596A" w:rsidRPr="00075FAD">
        <w:rPr>
          <w:rFonts w:ascii="Century Schoolbook" w:hAnsi="Century Schoolbook"/>
        </w:rPr>
        <w:t xml:space="preserve">to </w:t>
      </w:r>
      <w:r w:rsidR="003A2041" w:rsidRPr="00075FAD">
        <w:rPr>
          <w:rFonts w:ascii="Century Schoolbook" w:hAnsi="Century Schoolbook"/>
        </w:rPr>
        <w:t xml:space="preserve">a claims consultant at </w:t>
      </w:r>
      <w:r w:rsidR="00610DFF" w:rsidRPr="00075FAD">
        <w:rPr>
          <w:rFonts w:ascii="Century Schoolbook" w:hAnsi="Century Schoolbook"/>
        </w:rPr>
        <w:t xml:space="preserve">The Hartford, with a copy </w:t>
      </w:r>
      <w:r w:rsidR="00A9596A" w:rsidRPr="00075FAD">
        <w:rPr>
          <w:rFonts w:ascii="Century Schoolbook" w:hAnsi="Century Schoolbook"/>
        </w:rPr>
        <w:t>to Curtis Mitchell, Noll</w:t>
      </w:r>
      <w:r w:rsidR="00767AC1">
        <w:rPr>
          <w:rFonts w:ascii="Century Schoolbook" w:hAnsi="Century Schoolbook"/>
        </w:rPr>
        <w:t>,</w:t>
      </w:r>
      <w:r w:rsidR="00A9596A" w:rsidRPr="00075FAD">
        <w:rPr>
          <w:rFonts w:ascii="Century Schoolbook" w:hAnsi="Century Schoolbook"/>
        </w:rPr>
        <w:t xml:space="preserve"> and Streblow, confirming </w:t>
      </w:r>
      <w:r w:rsidR="00A43D0D" w:rsidRPr="00075FAD">
        <w:rPr>
          <w:rFonts w:ascii="Century Schoolbook" w:hAnsi="Century Schoolbook"/>
        </w:rPr>
        <w:t>the agreements to dismiss Bradley and DeHaro</w:t>
      </w:r>
      <w:r w:rsidR="00A9596A" w:rsidRPr="00075FAD">
        <w:rPr>
          <w:rFonts w:ascii="Century Schoolbook" w:hAnsi="Century Schoolbook"/>
        </w:rPr>
        <w:t>.</w:t>
      </w:r>
      <w:r w:rsidR="00A43D0D" w:rsidRPr="00075FAD">
        <w:rPr>
          <w:rFonts w:ascii="Century Schoolbook" w:hAnsi="Century Schoolbook"/>
        </w:rPr>
        <w:t xml:space="preserve"> </w:t>
      </w:r>
      <w:r w:rsidR="0056336E" w:rsidRPr="00075FAD">
        <w:rPr>
          <w:rFonts w:ascii="Century Schoolbook" w:hAnsi="Century Schoolbook"/>
        </w:rPr>
        <w:t xml:space="preserve"> </w:t>
      </w:r>
      <w:r w:rsidR="00A43D0D" w:rsidRPr="00075FAD">
        <w:rPr>
          <w:rFonts w:ascii="Century Schoolbook" w:hAnsi="Century Schoolbook"/>
        </w:rPr>
        <w:t xml:space="preserve">On May 25, 2022, Whirl and Curtis Mitchell </w:t>
      </w:r>
      <w:r w:rsidR="0085732A" w:rsidRPr="00075FAD">
        <w:rPr>
          <w:rFonts w:ascii="Century Schoolbook" w:hAnsi="Century Schoolbook"/>
        </w:rPr>
        <w:t xml:space="preserve">exchanged emails </w:t>
      </w:r>
      <w:r w:rsidR="00A43D0D" w:rsidRPr="00075FAD">
        <w:rPr>
          <w:rFonts w:ascii="Century Schoolbook" w:hAnsi="Century Schoolbook"/>
        </w:rPr>
        <w:t xml:space="preserve">regarding her discussion with </w:t>
      </w:r>
      <w:r w:rsidR="00324CCC" w:rsidRPr="00075FAD">
        <w:rPr>
          <w:rFonts w:ascii="Century Schoolbook" w:hAnsi="Century Schoolbook"/>
        </w:rPr>
        <w:t xml:space="preserve">an </w:t>
      </w:r>
      <w:r w:rsidR="00610DFF" w:rsidRPr="00075FAD">
        <w:rPr>
          <w:rFonts w:ascii="Century Schoolbook" w:hAnsi="Century Schoolbook"/>
        </w:rPr>
        <w:t xml:space="preserve">insurance </w:t>
      </w:r>
      <w:r w:rsidR="00A43D0D" w:rsidRPr="00075FAD">
        <w:rPr>
          <w:rFonts w:ascii="Century Schoolbook" w:hAnsi="Century Schoolbook"/>
        </w:rPr>
        <w:t xml:space="preserve">broker, who confirmed </w:t>
      </w:r>
      <w:r w:rsidR="00610DFF" w:rsidRPr="00075FAD">
        <w:rPr>
          <w:rFonts w:ascii="Century Schoolbook" w:hAnsi="Century Schoolbook"/>
        </w:rPr>
        <w:t xml:space="preserve">that </w:t>
      </w:r>
      <w:r w:rsidR="00A43D0D" w:rsidRPr="00075FAD">
        <w:rPr>
          <w:rFonts w:ascii="Century Schoolbook" w:hAnsi="Century Schoolbook"/>
        </w:rPr>
        <w:t xml:space="preserve">the dismissal “made perfect sense to her.” </w:t>
      </w:r>
      <w:r w:rsidR="0056336E" w:rsidRPr="00075FAD">
        <w:rPr>
          <w:rFonts w:ascii="Century Schoolbook" w:hAnsi="Century Schoolbook"/>
        </w:rPr>
        <w:t xml:space="preserve"> </w:t>
      </w:r>
      <w:r w:rsidR="00A43D0D" w:rsidRPr="00075FAD">
        <w:rPr>
          <w:rFonts w:ascii="Century Schoolbook" w:hAnsi="Century Schoolbook"/>
        </w:rPr>
        <w:t xml:space="preserve">Between June 3 and 7, 2022, Whirl and Curtis Mitchell had an email exchange </w:t>
      </w:r>
      <w:r w:rsidR="00610DFF" w:rsidRPr="00075FAD">
        <w:rPr>
          <w:rFonts w:ascii="Century Schoolbook" w:hAnsi="Century Schoolbook"/>
        </w:rPr>
        <w:t>(described above)</w:t>
      </w:r>
      <w:r w:rsidR="008D06D3" w:rsidRPr="00075FAD">
        <w:rPr>
          <w:rFonts w:ascii="Century Schoolbook" w:hAnsi="Century Schoolbook"/>
        </w:rPr>
        <w:t xml:space="preserve">, in which </w:t>
      </w:r>
      <w:r w:rsidR="00A43D0D" w:rsidRPr="00075FAD">
        <w:rPr>
          <w:rFonts w:ascii="Century Schoolbook" w:hAnsi="Century Schoolbook"/>
        </w:rPr>
        <w:t xml:space="preserve">Whirl </w:t>
      </w:r>
      <w:r w:rsidR="0085732A" w:rsidRPr="00075FAD">
        <w:rPr>
          <w:rFonts w:ascii="Century Schoolbook" w:hAnsi="Century Schoolbook"/>
        </w:rPr>
        <w:t xml:space="preserve">asserted </w:t>
      </w:r>
      <w:r w:rsidR="00A43D0D" w:rsidRPr="00075FAD">
        <w:rPr>
          <w:rFonts w:ascii="Century Schoolbook" w:hAnsi="Century Schoolbook"/>
        </w:rPr>
        <w:t xml:space="preserve">they had discussed the dismissal of the cross-complaint many times. </w:t>
      </w:r>
      <w:r w:rsidR="0056336E" w:rsidRPr="00075FAD">
        <w:rPr>
          <w:rFonts w:ascii="Century Schoolbook" w:hAnsi="Century Schoolbook"/>
        </w:rPr>
        <w:t xml:space="preserve"> </w:t>
      </w:r>
      <w:r w:rsidRPr="00075FAD">
        <w:rPr>
          <w:rFonts w:ascii="Century Schoolbook" w:hAnsi="Century Schoolbook"/>
        </w:rPr>
        <w:t xml:space="preserve">Whirl testified that Curtis </w:t>
      </w:r>
      <w:r w:rsidR="00A43D0D" w:rsidRPr="00075FAD">
        <w:rPr>
          <w:rFonts w:ascii="Century Schoolbook" w:hAnsi="Century Schoolbook"/>
        </w:rPr>
        <w:t xml:space="preserve">Mitchell </w:t>
      </w:r>
      <w:r w:rsidR="0085732A" w:rsidRPr="00075FAD">
        <w:rPr>
          <w:rFonts w:ascii="Century Schoolbook" w:hAnsi="Century Schoolbook"/>
        </w:rPr>
        <w:t>claimed “</w:t>
      </w:r>
      <w:r w:rsidR="00A43D0D" w:rsidRPr="00075FAD">
        <w:rPr>
          <w:rFonts w:ascii="Century Schoolbook" w:hAnsi="Century Schoolbook"/>
        </w:rPr>
        <w:t>surprise</w:t>
      </w:r>
      <w:r w:rsidR="0085732A" w:rsidRPr="00075FAD">
        <w:rPr>
          <w:rFonts w:ascii="Century Schoolbook" w:hAnsi="Century Schoolbook"/>
        </w:rPr>
        <w:t>”</w:t>
      </w:r>
      <w:r w:rsidR="00A43D0D" w:rsidRPr="00075FAD">
        <w:rPr>
          <w:rFonts w:ascii="Century Schoolbook" w:hAnsi="Century Schoolbook"/>
        </w:rPr>
        <w:t xml:space="preserve"> only after Travelers withdrew </w:t>
      </w:r>
      <w:r w:rsidRPr="00075FAD">
        <w:rPr>
          <w:rFonts w:ascii="Century Schoolbook" w:hAnsi="Century Schoolbook"/>
        </w:rPr>
        <w:t xml:space="preserve">its </w:t>
      </w:r>
      <w:r w:rsidR="00A43D0D" w:rsidRPr="00075FAD">
        <w:rPr>
          <w:rFonts w:ascii="Century Schoolbook" w:hAnsi="Century Schoolbook"/>
        </w:rPr>
        <w:t>defense of Mitchell</w:t>
      </w:r>
      <w:r w:rsidRPr="00075FAD">
        <w:rPr>
          <w:rFonts w:ascii="Century Schoolbook" w:hAnsi="Century Schoolbook"/>
        </w:rPr>
        <w:t xml:space="preserve">. </w:t>
      </w:r>
    </w:p>
    <w:p w14:paraId="6D673CEE" w14:textId="550DC6A7" w:rsidR="00610DFF" w:rsidRPr="00075FAD" w:rsidRDefault="00A9565E" w:rsidP="00610DFF">
      <w:pPr>
        <w:pStyle w:val="BodyText"/>
        <w:widowControl/>
        <w:tabs>
          <w:tab w:val="left" w:pos="0"/>
        </w:tabs>
        <w:spacing w:line="360" w:lineRule="auto"/>
        <w:rPr>
          <w:rFonts w:ascii="Century Schoolbook" w:hAnsi="Century Schoolbook"/>
        </w:rPr>
      </w:pPr>
      <w:r w:rsidRPr="00075FAD">
        <w:tab/>
      </w:r>
      <w:r w:rsidR="00A43D0D" w:rsidRPr="00075FAD">
        <w:rPr>
          <w:rFonts w:ascii="Century Schoolbook" w:hAnsi="Century Schoolbook"/>
        </w:rPr>
        <w:t xml:space="preserve">Mitchell filed </w:t>
      </w:r>
      <w:r w:rsidR="001570A6" w:rsidRPr="00075FAD">
        <w:rPr>
          <w:rFonts w:ascii="Century Schoolbook" w:hAnsi="Century Schoolbook"/>
        </w:rPr>
        <w:t xml:space="preserve">a </w:t>
      </w:r>
      <w:r w:rsidR="00A43D0D" w:rsidRPr="00075FAD">
        <w:rPr>
          <w:rFonts w:ascii="Century Schoolbook" w:hAnsi="Century Schoolbook"/>
        </w:rPr>
        <w:t>supplemental brief on December 5, 2022</w:t>
      </w:r>
      <w:r w:rsidR="00E84BE6" w:rsidRPr="00075FAD">
        <w:rPr>
          <w:rFonts w:ascii="Century Schoolbook" w:hAnsi="Century Schoolbook"/>
        </w:rPr>
        <w:t xml:space="preserve">, claiming its </w:t>
      </w:r>
      <w:r w:rsidR="007E65D2" w:rsidRPr="00075FAD">
        <w:rPr>
          <w:rFonts w:ascii="Century Schoolbook" w:hAnsi="Century Schoolbook"/>
        </w:rPr>
        <w:t xml:space="preserve">motion was based on </w:t>
      </w:r>
      <w:r w:rsidR="0085732A" w:rsidRPr="00075FAD">
        <w:rPr>
          <w:rFonts w:ascii="Century Schoolbook" w:hAnsi="Century Schoolbook"/>
        </w:rPr>
        <w:t xml:space="preserve">Mitchell </w:t>
      </w:r>
      <w:r w:rsidR="007E65D2" w:rsidRPr="00075FAD">
        <w:rPr>
          <w:rFonts w:ascii="Century Schoolbook" w:hAnsi="Century Schoolbook"/>
        </w:rPr>
        <w:t xml:space="preserve">not authorizing </w:t>
      </w:r>
      <w:r w:rsidR="0085732A" w:rsidRPr="00075FAD">
        <w:rPr>
          <w:rFonts w:ascii="Century Schoolbook" w:hAnsi="Century Schoolbook"/>
        </w:rPr>
        <w:t xml:space="preserve">the dismissal of the cross-complaint.  </w:t>
      </w:r>
      <w:r w:rsidR="00DA29A8" w:rsidRPr="00075FAD">
        <w:rPr>
          <w:rFonts w:ascii="Century Schoolbook" w:hAnsi="Century Schoolbook"/>
        </w:rPr>
        <w:t xml:space="preserve">The </w:t>
      </w:r>
      <w:r w:rsidR="007E65D2" w:rsidRPr="00075FAD">
        <w:rPr>
          <w:rFonts w:ascii="Century Schoolbook" w:hAnsi="Century Schoolbook"/>
        </w:rPr>
        <w:t xml:space="preserve">brief </w:t>
      </w:r>
      <w:r w:rsidR="0085732A" w:rsidRPr="00075FAD">
        <w:rPr>
          <w:rFonts w:ascii="Century Schoolbook" w:hAnsi="Century Schoolbook"/>
        </w:rPr>
        <w:t xml:space="preserve">did not mention section 473, subdivision (d) or contend that the judgment was “void.” </w:t>
      </w:r>
    </w:p>
    <w:p w14:paraId="06AD56BC" w14:textId="24D536DB" w:rsidR="00C26CA8" w:rsidRPr="00075FAD" w:rsidRDefault="001570A6" w:rsidP="00517EEB">
      <w:pPr>
        <w:pStyle w:val="BodyText"/>
        <w:widowControl/>
        <w:tabs>
          <w:tab w:val="left" w:pos="0"/>
        </w:tabs>
        <w:spacing w:line="360" w:lineRule="auto"/>
        <w:rPr>
          <w:rFonts w:ascii="Century Schoolbook" w:hAnsi="Century Schoolbook"/>
        </w:rPr>
      </w:pPr>
      <w:r w:rsidRPr="00075FAD">
        <w:rPr>
          <w:rFonts w:ascii="Century Schoolbook" w:hAnsi="Century Schoolbook"/>
        </w:rPr>
        <w:lastRenderedPageBreak/>
        <w:tab/>
      </w:r>
      <w:r w:rsidR="00A43D0D" w:rsidRPr="00075FAD">
        <w:rPr>
          <w:rFonts w:ascii="Century Schoolbook" w:hAnsi="Century Schoolbook"/>
        </w:rPr>
        <w:t>DeHaro and Bradley filed supplemental brief</w:t>
      </w:r>
      <w:r w:rsidR="007E65D2" w:rsidRPr="00075FAD">
        <w:rPr>
          <w:rFonts w:ascii="Century Schoolbook" w:hAnsi="Century Schoolbook"/>
        </w:rPr>
        <w:t>s</w:t>
      </w:r>
      <w:r w:rsidR="00A43D0D" w:rsidRPr="00075FAD">
        <w:rPr>
          <w:rFonts w:ascii="Century Schoolbook" w:hAnsi="Century Schoolbook"/>
        </w:rPr>
        <w:t xml:space="preserve"> opposing Mitchell’s motion. </w:t>
      </w:r>
      <w:r w:rsidRPr="00075FAD">
        <w:rPr>
          <w:rFonts w:ascii="Century Schoolbook" w:hAnsi="Century Schoolbook"/>
        </w:rPr>
        <w:t xml:space="preserve"> </w:t>
      </w:r>
      <w:r w:rsidR="00A43D0D" w:rsidRPr="00075FAD">
        <w:rPr>
          <w:rFonts w:ascii="Century Schoolbook" w:hAnsi="Century Schoolbook"/>
        </w:rPr>
        <w:t xml:space="preserve">Bradley </w:t>
      </w:r>
      <w:r w:rsidR="00610DFF" w:rsidRPr="00075FAD">
        <w:rPr>
          <w:rFonts w:ascii="Century Schoolbook" w:hAnsi="Century Schoolbook"/>
        </w:rPr>
        <w:t xml:space="preserve">also sought </w:t>
      </w:r>
      <w:r w:rsidR="00A43D0D" w:rsidRPr="00075FAD">
        <w:rPr>
          <w:rFonts w:ascii="Century Schoolbook" w:hAnsi="Century Schoolbook"/>
        </w:rPr>
        <w:t xml:space="preserve">judicial notice of </w:t>
      </w:r>
      <w:r w:rsidR="00C26CA8" w:rsidRPr="00075FAD">
        <w:rPr>
          <w:rFonts w:ascii="Century Schoolbook" w:hAnsi="Century Schoolbook"/>
        </w:rPr>
        <w:t xml:space="preserve">a </w:t>
      </w:r>
      <w:r w:rsidR="00A43D0D" w:rsidRPr="00075FAD">
        <w:rPr>
          <w:rFonts w:ascii="Century Schoolbook" w:hAnsi="Century Schoolbook"/>
        </w:rPr>
        <w:t xml:space="preserve">May 2020 report of the California Senate Judiciary Committee regarding Assembly Bill 2723, which amended </w:t>
      </w:r>
      <w:r w:rsidR="00C26CA8" w:rsidRPr="00075FAD">
        <w:rPr>
          <w:rFonts w:ascii="Century Schoolbook" w:hAnsi="Century Schoolbook"/>
        </w:rPr>
        <w:t xml:space="preserve">section </w:t>
      </w:r>
      <w:r w:rsidR="00A43D0D" w:rsidRPr="00075FAD">
        <w:rPr>
          <w:rFonts w:ascii="Century Schoolbook" w:hAnsi="Century Schoolbook"/>
        </w:rPr>
        <w:t xml:space="preserve">664.6 to provide that a writing agreeing to a settlement </w:t>
      </w:r>
      <w:r w:rsidR="00610DFF" w:rsidRPr="00075FAD">
        <w:rPr>
          <w:rFonts w:ascii="Century Schoolbook" w:hAnsi="Century Schoolbook"/>
        </w:rPr>
        <w:t xml:space="preserve">may be enforced </w:t>
      </w:r>
      <w:r w:rsidR="00DA29A8" w:rsidRPr="00075FAD">
        <w:rPr>
          <w:rFonts w:ascii="Century Schoolbook" w:hAnsi="Century Schoolbook"/>
        </w:rPr>
        <w:t xml:space="preserve">under that section </w:t>
      </w:r>
      <w:r w:rsidR="00610DFF" w:rsidRPr="00075FAD">
        <w:rPr>
          <w:rFonts w:ascii="Century Schoolbook" w:hAnsi="Century Schoolbook"/>
        </w:rPr>
        <w:t xml:space="preserve">if </w:t>
      </w:r>
      <w:r w:rsidR="008D06D3" w:rsidRPr="00075FAD">
        <w:rPr>
          <w:rFonts w:ascii="Century Schoolbook" w:hAnsi="Century Schoolbook"/>
        </w:rPr>
        <w:t xml:space="preserve">the writing is </w:t>
      </w:r>
      <w:r w:rsidR="00A43D0D" w:rsidRPr="00075FAD">
        <w:rPr>
          <w:rFonts w:ascii="Century Schoolbook" w:hAnsi="Century Schoolbook"/>
        </w:rPr>
        <w:t>signed by the attorney</w:t>
      </w:r>
      <w:r w:rsidR="00CB6BA0" w:rsidRPr="00075FAD">
        <w:rPr>
          <w:rFonts w:ascii="Century Schoolbook" w:hAnsi="Century Schoolbook"/>
        </w:rPr>
        <w:t xml:space="preserve">, even if </w:t>
      </w:r>
      <w:r w:rsidR="008D06D3" w:rsidRPr="00075FAD">
        <w:rPr>
          <w:rFonts w:ascii="Century Schoolbook" w:hAnsi="Century Schoolbook"/>
        </w:rPr>
        <w:t xml:space="preserve">it is </w:t>
      </w:r>
      <w:r w:rsidR="00CB6BA0" w:rsidRPr="00075FAD">
        <w:rPr>
          <w:rFonts w:ascii="Century Schoolbook" w:hAnsi="Century Schoolbook"/>
        </w:rPr>
        <w:t xml:space="preserve">not signed by </w:t>
      </w:r>
      <w:r w:rsidR="007E65D2" w:rsidRPr="00075FAD">
        <w:rPr>
          <w:rFonts w:ascii="Century Schoolbook" w:hAnsi="Century Schoolbook"/>
        </w:rPr>
        <w:t>the client.  Bradley and DeHaro contended that section 664.6 provided a</w:t>
      </w:r>
      <w:r w:rsidR="0025673F" w:rsidRPr="00075FAD">
        <w:rPr>
          <w:rFonts w:ascii="Century Schoolbook" w:hAnsi="Century Schoolbook"/>
        </w:rPr>
        <w:t>n</w:t>
      </w:r>
      <w:r w:rsidR="007E65D2" w:rsidRPr="00075FAD">
        <w:rPr>
          <w:rFonts w:ascii="Century Schoolbook" w:hAnsi="Century Schoolbook"/>
        </w:rPr>
        <w:t xml:space="preserve"> </w:t>
      </w:r>
      <w:r w:rsidR="0025673F" w:rsidRPr="00075FAD">
        <w:rPr>
          <w:rFonts w:ascii="Century Schoolbook" w:hAnsi="Century Schoolbook"/>
        </w:rPr>
        <w:t xml:space="preserve">independent </w:t>
      </w:r>
      <w:r w:rsidR="007E65D2" w:rsidRPr="00075FAD">
        <w:rPr>
          <w:rFonts w:ascii="Century Schoolbook" w:hAnsi="Century Schoolbook"/>
        </w:rPr>
        <w:t>reason to deny Mitchell’s motion.</w:t>
      </w:r>
      <w:r w:rsidR="002A234C" w:rsidRPr="00075FAD">
        <w:rPr>
          <w:rFonts w:ascii="Century Schoolbook" w:hAnsi="Century Schoolbook"/>
        </w:rPr>
        <w:t xml:space="preserve"> </w:t>
      </w:r>
      <w:r w:rsidR="00610DFF" w:rsidRPr="00075FAD">
        <w:rPr>
          <w:rFonts w:ascii="Century Schoolbook" w:hAnsi="Century Schoolbook"/>
        </w:rPr>
        <w:t xml:space="preserve"> </w:t>
      </w:r>
    </w:p>
    <w:p w14:paraId="3F3EEBCF" w14:textId="0808EDE8" w:rsidR="00610DFF" w:rsidRPr="00075FAD" w:rsidRDefault="00517EEB" w:rsidP="00610DFF">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7E65D2" w:rsidRPr="00075FAD">
        <w:rPr>
          <w:rFonts w:ascii="Century Schoolbook" w:hAnsi="Century Schoolbook"/>
        </w:rPr>
        <w:t xml:space="preserve">Mitchell’s motion </w:t>
      </w:r>
      <w:r w:rsidR="004F217E" w:rsidRPr="00075FAD">
        <w:rPr>
          <w:rFonts w:ascii="Century Schoolbook" w:hAnsi="Century Schoolbook"/>
        </w:rPr>
        <w:t xml:space="preserve">to vacate </w:t>
      </w:r>
      <w:r w:rsidR="007E65D2" w:rsidRPr="00075FAD">
        <w:rPr>
          <w:rFonts w:ascii="Century Schoolbook" w:hAnsi="Century Schoolbook"/>
        </w:rPr>
        <w:t xml:space="preserve">was heard on </w:t>
      </w:r>
      <w:r w:rsidR="00A43D0D" w:rsidRPr="00075FAD">
        <w:rPr>
          <w:rFonts w:ascii="Century Schoolbook" w:hAnsi="Century Schoolbook"/>
        </w:rPr>
        <w:t>December 12, 2022</w:t>
      </w:r>
      <w:r w:rsidR="007E65D2" w:rsidRPr="00075FAD">
        <w:rPr>
          <w:rFonts w:ascii="Century Schoolbook" w:hAnsi="Century Schoolbook"/>
        </w:rPr>
        <w:t xml:space="preserve">. </w:t>
      </w:r>
      <w:r w:rsidR="00A43D0D" w:rsidRPr="00075FAD">
        <w:rPr>
          <w:rFonts w:ascii="Century Schoolbook" w:hAnsi="Century Schoolbook"/>
        </w:rPr>
        <w:t xml:space="preserve"> </w:t>
      </w:r>
      <w:r w:rsidR="007E65D2" w:rsidRPr="00075FAD">
        <w:rPr>
          <w:rFonts w:ascii="Century Schoolbook" w:hAnsi="Century Schoolbook"/>
        </w:rPr>
        <w:t xml:space="preserve">The trial </w:t>
      </w:r>
      <w:r w:rsidR="001570A6" w:rsidRPr="00075FAD">
        <w:rPr>
          <w:rFonts w:ascii="Century Schoolbook" w:hAnsi="Century Schoolbook"/>
        </w:rPr>
        <w:t xml:space="preserve">court </w:t>
      </w:r>
      <w:r w:rsidR="004834F3" w:rsidRPr="00075FAD">
        <w:rPr>
          <w:rFonts w:ascii="Century Schoolbook" w:hAnsi="Century Schoolbook"/>
        </w:rPr>
        <w:t>stated that Mitchell</w:t>
      </w:r>
      <w:r w:rsidR="00DA29A8" w:rsidRPr="00075FAD">
        <w:rPr>
          <w:rFonts w:ascii="Century Schoolbook" w:hAnsi="Century Schoolbook"/>
        </w:rPr>
        <w:t>’s</w:t>
      </w:r>
      <w:r w:rsidR="004834F3" w:rsidRPr="00075FAD">
        <w:rPr>
          <w:rFonts w:ascii="Century Schoolbook" w:hAnsi="Century Schoolbook"/>
        </w:rPr>
        <w:t xml:space="preserve"> “</w:t>
      </w:r>
      <w:r w:rsidR="00502663">
        <w:rPr>
          <w:rFonts w:ascii="Century Schoolbook" w:hAnsi="Century Schoolbook"/>
        </w:rPr>
        <w:t xml:space="preserve">stretch[ing] the [motion] </w:t>
      </w:r>
      <w:r w:rsidR="001570A6" w:rsidRPr="00075FAD">
        <w:rPr>
          <w:rFonts w:ascii="Century Schoolbook" w:hAnsi="Century Schoolbook"/>
        </w:rPr>
        <w:t>out this long,” despite knowing “what was going to happen in the deposition of Ms. Whirl</w:t>
      </w:r>
      <w:r w:rsidR="00494632">
        <w:rPr>
          <w:rFonts w:ascii="Century Schoolbook" w:hAnsi="Century Schoolbook"/>
        </w:rPr>
        <w:t>,</w:t>
      </w:r>
      <w:r w:rsidR="001570A6" w:rsidRPr="00075FAD">
        <w:rPr>
          <w:rFonts w:ascii="Century Schoolbook" w:hAnsi="Century Schoolbook"/>
        </w:rPr>
        <w:t xml:space="preserve">” was “close to sanctionable.” </w:t>
      </w:r>
      <w:r w:rsidR="00F0353B" w:rsidRPr="00075FAD">
        <w:rPr>
          <w:rFonts w:ascii="Century Schoolbook" w:hAnsi="Century Schoolbook"/>
        </w:rPr>
        <w:t xml:space="preserve"> </w:t>
      </w:r>
    </w:p>
    <w:p w14:paraId="0E0D0A9B" w14:textId="6066879E" w:rsidR="00A43D0D" w:rsidRPr="00075FAD" w:rsidRDefault="00F0353B" w:rsidP="00517EEB">
      <w:pPr>
        <w:pStyle w:val="BodyText"/>
        <w:widowControl/>
        <w:tabs>
          <w:tab w:val="left" w:pos="0"/>
        </w:tabs>
        <w:spacing w:line="360" w:lineRule="auto"/>
        <w:rPr>
          <w:rFonts w:ascii="Century Schoolbook" w:hAnsi="Century Schoolbook"/>
        </w:rPr>
      </w:pPr>
      <w:r w:rsidRPr="00075FAD">
        <w:rPr>
          <w:rFonts w:ascii="Century Schoolbook" w:hAnsi="Century Schoolbook"/>
        </w:rPr>
        <w:t xml:space="preserve"> </w:t>
      </w:r>
      <w:r w:rsidR="001570A6" w:rsidRPr="00075FAD">
        <w:rPr>
          <w:rFonts w:ascii="Century Schoolbook" w:hAnsi="Century Schoolbook"/>
        </w:rPr>
        <w:tab/>
      </w:r>
      <w:r w:rsidRPr="00075FAD">
        <w:rPr>
          <w:rFonts w:ascii="Century Schoolbook" w:hAnsi="Century Schoolbook"/>
        </w:rPr>
        <w:t xml:space="preserve">By written order, the </w:t>
      </w:r>
      <w:r w:rsidR="00A43D0D" w:rsidRPr="00075FAD">
        <w:rPr>
          <w:rFonts w:ascii="Century Schoolbook" w:hAnsi="Century Schoolbook"/>
        </w:rPr>
        <w:t>trial court denied Mitchell’s motion to vacate.  The</w:t>
      </w:r>
      <w:r w:rsidR="00517EEB" w:rsidRPr="00075FAD">
        <w:rPr>
          <w:rFonts w:ascii="Century Schoolbook" w:hAnsi="Century Schoolbook"/>
        </w:rPr>
        <w:t xml:space="preserve"> </w:t>
      </w:r>
      <w:r w:rsidRPr="00075FAD">
        <w:rPr>
          <w:rFonts w:ascii="Century Schoolbook" w:hAnsi="Century Schoolbook"/>
        </w:rPr>
        <w:t xml:space="preserve">court </w:t>
      </w:r>
      <w:r w:rsidR="004834F3" w:rsidRPr="00075FAD">
        <w:rPr>
          <w:rFonts w:ascii="Century Schoolbook" w:hAnsi="Century Schoolbook"/>
        </w:rPr>
        <w:t>explained:  “</w:t>
      </w:r>
      <w:r w:rsidR="00A43D0D" w:rsidRPr="00075FAD">
        <w:rPr>
          <w:rFonts w:ascii="Century Schoolbook" w:hAnsi="Century Schoolbook"/>
        </w:rPr>
        <w:t xml:space="preserve">The motion is based on the claim that Mitchell president Curtis Mitchell was </w:t>
      </w:r>
      <w:r w:rsidR="00517EEB" w:rsidRPr="00075FAD">
        <w:rPr>
          <w:rFonts w:ascii="Century Schoolbook" w:hAnsi="Century Schoolbook"/>
        </w:rPr>
        <w:t>‘</w:t>
      </w:r>
      <w:r w:rsidR="00A43D0D" w:rsidRPr="00075FAD">
        <w:rPr>
          <w:rFonts w:ascii="Century Schoolbook" w:hAnsi="Century Schoolbook"/>
        </w:rPr>
        <w:t>surprised by the dismissal.</w:t>
      </w:r>
      <w:r w:rsidR="00517EEB" w:rsidRPr="00075FAD">
        <w:rPr>
          <w:rFonts w:ascii="Century Schoolbook" w:hAnsi="Century Schoolbook"/>
        </w:rPr>
        <w:t>’</w:t>
      </w:r>
      <w:r w:rsidR="00A43D0D" w:rsidRPr="00075FAD">
        <w:rPr>
          <w:rFonts w:ascii="Century Schoolbook" w:hAnsi="Century Schoolbook"/>
        </w:rPr>
        <w:t xml:space="preserve"> </w:t>
      </w:r>
      <w:r w:rsidR="00B62E4F" w:rsidRPr="00075FAD">
        <w:rPr>
          <w:rFonts w:ascii="Century Schoolbook" w:hAnsi="Century Schoolbook"/>
        </w:rPr>
        <w:t xml:space="preserve"> </w:t>
      </w:r>
      <w:r w:rsidR="00A25861" w:rsidRPr="00075FAD">
        <w:rPr>
          <w:rFonts w:ascii="Century Schoolbook" w:hAnsi="Century Schoolbook"/>
        </w:rPr>
        <w:t>[Citations.]</w:t>
      </w:r>
      <w:r w:rsidR="00A43D0D" w:rsidRPr="00075FAD">
        <w:rPr>
          <w:rFonts w:ascii="Century Schoolbook" w:hAnsi="Century Schoolbook"/>
        </w:rPr>
        <w:t xml:space="preserve"> </w:t>
      </w:r>
      <w:r w:rsidR="00B62E4F" w:rsidRPr="00075FAD">
        <w:rPr>
          <w:rFonts w:ascii="Century Schoolbook" w:hAnsi="Century Schoolbook"/>
        </w:rPr>
        <w:t xml:space="preserve"> </w:t>
      </w:r>
      <w:r w:rsidR="00A43D0D" w:rsidRPr="00075FAD">
        <w:rPr>
          <w:rFonts w:ascii="Century Schoolbook" w:hAnsi="Century Schoolbook"/>
        </w:rPr>
        <w:t xml:space="preserve">However, the deposition of Mitchell’s lawyer has now been taken and it establishes that she addressed the cross-complaint’s dismissal with Mr. Mitchell and his company on several occasions, so no surprise was warranted. </w:t>
      </w:r>
      <w:r w:rsidR="00B62E4F" w:rsidRPr="00075FAD">
        <w:rPr>
          <w:rFonts w:ascii="Century Schoolbook" w:hAnsi="Century Schoolbook"/>
        </w:rPr>
        <w:t xml:space="preserve"> </w:t>
      </w:r>
      <w:r w:rsidR="00A25861" w:rsidRPr="00075FAD">
        <w:rPr>
          <w:rFonts w:ascii="Century Schoolbook" w:hAnsi="Century Schoolbook"/>
        </w:rPr>
        <w:t>[Citations.]</w:t>
      </w:r>
      <w:r w:rsidR="00A43D0D" w:rsidRPr="00075FAD">
        <w:rPr>
          <w:rFonts w:ascii="Century Schoolbook" w:hAnsi="Century Schoolbook"/>
        </w:rPr>
        <w:t xml:space="preserve"> </w:t>
      </w:r>
      <w:r w:rsidR="00B62E4F" w:rsidRPr="00075FAD">
        <w:rPr>
          <w:rFonts w:ascii="Century Schoolbook" w:hAnsi="Century Schoolbook"/>
        </w:rPr>
        <w:t xml:space="preserve"> </w:t>
      </w:r>
      <w:r w:rsidR="00A43D0D" w:rsidRPr="00075FAD">
        <w:rPr>
          <w:rFonts w:ascii="Century Schoolbook" w:hAnsi="Century Schoolbook"/>
        </w:rPr>
        <w:t>In its</w:t>
      </w:r>
      <w:r w:rsidR="001570A6" w:rsidRPr="00075FAD">
        <w:rPr>
          <w:rFonts w:ascii="Century Schoolbook" w:hAnsi="Century Schoolbook"/>
        </w:rPr>
        <w:t xml:space="preserve"> </w:t>
      </w:r>
      <w:r w:rsidR="00A43D0D" w:rsidRPr="00075FAD">
        <w:rPr>
          <w:rFonts w:ascii="Century Schoolbook" w:hAnsi="Century Schoolbook"/>
        </w:rPr>
        <w:t xml:space="preserve">December 5, 2022, supplemental brief, Mitchell Engineering shifts focus to a notion that its lawyer was not authorized to dismiss the cross-complaint. </w:t>
      </w:r>
      <w:r w:rsidR="00B62E4F" w:rsidRPr="00075FAD">
        <w:rPr>
          <w:rFonts w:ascii="Century Schoolbook" w:hAnsi="Century Schoolbook"/>
        </w:rPr>
        <w:t xml:space="preserve"> </w:t>
      </w:r>
      <w:r w:rsidR="00A43D0D" w:rsidRPr="00075FAD">
        <w:rPr>
          <w:rFonts w:ascii="Century Schoolbook" w:hAnsi="Century Schoolbook"/>
        </w:rPr>
        <w:t>This argument would have more force had Mr.</w:t>
      </w:r>
      <w:r w:rsidR="00517EEB" w:rsidRPr="00075FAD">
        <w:rPr>
          <w:rFonts w:ascii="Century Schoolbook" w:hAnsi="Century Schoolbook"/>
        </w:rPr>
        <w:t xml:space="preserve"> </w:t>
      </w:r>
      <w:r w:rsidR="00A43D0D" w:rsidRPr="00075FAD">
        <w:rPr>
          <w:rFonts w:ascii="Century Schoolbook" w:hAnsi="Century Schoolbook"/>
        </w:rPr>
        <w:t xml:space="preserve">Mitchell not sat silent while knowing the cross-complaint would be (and then was) dismissed. </w:t>
      </w:r>
      <w:r w:rsidR="00B62E4F" w:rsidRPr="00075FAD">
        <w:rPr>
          <w:rFonts w:ascii="Century Schoolbook" w:hAnsi="Century Schoolbook"/>
        </w:rPr>
        <w:t xml:space="preserve"> </w:t>
      </w:r>
      <w:r w:rsidR="009434D5" w:rsidRPr="00075FAD">
        <w:rPr>
          <w:rFonts w:ascii="Century Schoolbook" w:hAnsi="Century Schoolbook"/>
        </w:rPr>
        <w:t>[Citations.]</w:t>
      </w:r>
      <w:r w:rsidR="00A43D0D" w:rsidRPr="00075FAD">
        <w:rPr>
          <w:rFonts w:ascii="Century Schoolbook" w:hAnsi="Century Schoolbook"/>
        </w:rPr>
        <w:t xml:space="preserve"> </w:t>
      </w:r>
      <w:r w:rsidR="00B62E4F" w:rsidRPr="00075FAD">
        <w:rPr>
          <w:rFonts w:ascii="Century Schoolbook" w:hAnsi="Century Schoolbook"/>
        </w:rPr>
        <w:t xml:space="preserve"> </w:t>
      </w:r>
      <w:r w:rsidR="00A43D0D" w:rsidRPr="00075FAD">
        <w:rPr>
          <w:rFonts w:ascii="Century Schoolbook" w:hAnsi="Century Schoolbook"/>
        </w:rPr>
        <w:t>Moreover, the</w:t>
      </w:r>
      <w:r w:rsidR="00517EEB" w:rsidRPr="00075FAD">
        <w:rPr>
          <w:rFonts w:ascii="Century Schoolbook" w:hAnsi="Century Schoolbook"/>
        </w:rPr>
        <w:t xml:space="preserve"> </w:t>
      </w:r>
      <w:r w:rsidR="00A43D0D" w:rsidRPr="00075FAD">
        <w:rPr>
          <w:rFonts w:ascii="Century Schoolbook" w:hAnsi="Century Schoolbook"/>
        </w:rPr>
        <w:t>dismissal is enforceable under CCP 664.6.”</w:t>
      </w:r>
      <w:bookmarkStart w:id="1" w:name="STANDARD_OF_REVIEW"/>
      <w:bookmarkEnd w:id="1"/>
      <w:r w:rsidR="00A43D0D" w:rsidRPr="00075FAD">
        <w:rPr>
          <w:rFonts w:ascii="Century Schoolbook" w:hAnsi="Century Schoolbook"/>
        </w:rPr>
        <w:t xml:space="preserve"> </w:t>
      </w:r>
    </w:p>
    <w:p w14:paraId="0AD4B5AE" w14:textId="490D3303" w:rsidR="004E79C5" w:rsidRPr="00075FAD" w:rsidRDefault="001570A6" w:rsidP="00547672">
      <w:pPr>
        <w:pStyle w:val="BodyText"/>
        <w:widowControl/>
        <w:tabs>
          <w:tab w:val="left" w:pos="0"/>
        </w:tabs>
        <w:spacing w:line="360" w:lineRule="auto"/>
      </w:pPr>
      <w:r w:rsidRPr="00075FAD">
        <w:rPr>
          <w:rFonts w:ascii="Century Schoolbook" w:hAnsi="Century Schoolbook"/>
        </w:rPr>
        <w:tab/>
      </w:r>
      <w:r w:rsidR="00A43D0D" w:rsidRPr="00075FAD">
        <w:rPr>
          <w:rFonts w:ascii="Century Schoolbook" w:hAnsi="Century Schoolbook"/>
        </w:rPr>
        <w:t xml:space="preserve">Mitchell filed </w:t>
      </w:r>
      <w:r w:rsidR="00B62E4F" w:rsidRPr="00075FAD">
        <w:rPr>
          <w:rFonts w:ascii="Century Schoolbook" w:hAnsi="Century Schoolbook"/>
        </w:rPr>
        <w:t xml:space="preserve">a timely </w:t>
      </w:r>
      <w:r w:rsidR="00A43D0D" w:rsidRPr="00075FAD">
        <w:rPr>
          <w:rFonts w:ascii="Century Schoolbook" w:hAnsi="Century Schoolbook"/>
        </w:rPr>
        <w:t>notice of appeal</w:t>
      </w:r>
      <w:r w:rsidR="00B62E4F" w:rsidRPr="00075FAD">
        <w:rPr>
          <w:rFonts w:ascii="Century Schoolbook" w:hAnsi="Century Schoolbook"/>
        </w:rPr>
        <w:t xml:space="preserve">. </w:t>
      </w:r>
    </w:p>
    <w:p w14:paraId="36DC14F7" w14:textId="3828A87E" w:rsidR="001570A6" w:rsidRPr="00075FAD" w:rsidRDefault="001570A6" w:rsidP="00854B0E">
      <w:pPr>
        <w:pStyle w:val="BodyText"/>
        <w:keepNext/>
        <w:widowControl/>
        <w:tabs>
          <w:tab w:val="left" w:pos="0"/>
        </w:tabs>
        <w:spacing w:line="360" w:lineRule="auto"/>
        <w:jc w:val="center"/>
        <w:rPr>
          <w:rFonts w:ascii="Century Schoolbook" w:hAnsi="Century Schoolbook"/>
        </w:rPr>
      </w:pPr>
      <w:r w:rsidRPr="00075FAD">
        <w:rPr>
          <w:rFonts w:ascii="Century Schoolbook" w:hAnsi="Century Schoolbook"/>
        </w:rPr>
        <w:lastRenderedPageBreak/>
        <w:t xml:space="preserve">II.  </w:t>
      </w:r>
      <w:r w:rsidRPr="00075FAD">
        <w:rPr>
          <w:rFonts w:ascii="Century Schoolbook" w:hAnsi="Century Schoolbook"/>
          <w:u w:val="single"/>
        </w:rPr>
        <w:t>DISCUSSION</w:t>
      </w:r>
    </w:p>
    <w:p w14:paraId="79CD2099" w14:textId="77777777" w:rsidR="001570A6" w:rsidRPr="00075FAD" w:rsidRDefault="001570A6" w:rsidP="00854B0E">
      <w:pPr>
        <w:pStyle w:val="BodyText"/>
        <w:keepNext/>
        <w:widowControl/>
        <w:tabs>
          <w:tab w:val="left" w:pos="0"/>
        </w:tabs>
        <w:spacing w:line="360" w:lineRule="auto"/>
        <w:rPr>
          <w:rFonts w:ascii="Century Schoolbook" w:hAnsi="Century Schoolbook"/>
        </w:rPr>
      </w:pPr>
      <w:r w:rsidRPr="00075FAD">
        <w:rPr>
          <w:rFonts w:ascii="Century Schoolbook" w:hAnsi="Century Schoolbook"/>
        </w:rPr>
        <w:tab/>
        <w:t xml:space="preserve">A.  </w:t>
      </w:r>
      <w:r w:rsidRPr="00075FAD">
        <w:rPr>
          <w:rFonts w:ascii="Century Schoolbook" w:hAnsi="Century Schoolbook"/>
          <w:u w:val="single"/>
        </w:rPr>
        <w:t>Section 473, Subdivision (b)</w:t>
      </w:r>
    </w:p>
    <w:p w14:paraId="00B7FC12" w14:textId="6078415A" w:rsidR="00D40805" w:rsidRPr="00075FAD" w:rsidRDefault="001570A6" w:rsidP="00D40805">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264EC3" w:rsidRPr="00075FAD">
        <w:rPr>
          <w:rFonts w:ascii="Century Schoolbook" w:hAnsi="Century Schoolbook"/>
        </w:rPr>
        <w:t xml:space="preserve">In the trial court, Mitchell’s </w:t>
      </w:r>
      <w:r w:rsidR="00945674" w:rsidRPr="00075FAD">
        <w:rPr>
          <w:rFonts w:ascii="Century Schoolbook" w:hAnsi="Century Schoolbook"/>
        </w:rPr>
        <w:t xml:space="preserve">briefs relied on </w:t>
      </w:r>
      <w:r w:rsidR="008A554F" w:rsidRPr="00075FAD">
        <w:rPr>
          <w:rFonts w:ascii="Century Schoolbook" w:hAnsi="Century Schoolbook"/>
        </w:rPr>
        <w:t xml:space="preserve">section 473, subdivision (b), and the court ruled that </w:t>
      </w:r>
      <w:r w:rsidR="00B62E4F" w:rsidRPr="00075FAD">
        <w:rPr>
          <w:rFonts w:ascii="Century Schoolbook" w:hAnsi="Century Schoolbook"/>
        </w:rPr>
        <w:t xml:space="preserve">Mitchell </w:t>
      </w:r>
      <w:r w:rsidR="00945674" w:rsidRPr="00075FAD">
        <w:rPr>
          <w:rFonts w:ascii="Century Schoolbook" w:hAnsi="Century Schoolbook"/>
        </w:rPr>
        <w:t xml:space="preserve">was not entitled to </w:t>
      </w:r>
      <w:r w:rsidR="008A554F" w:rsidRPr="00075FAD">
        <w:rPr>
          <w:rFonts w:ascii="Century Schoolbook" w:hAnsi="Century Schoolbook"/>
        </w:rPr>
        <w:t xml:space="preserve">relief under </w:t>
      </w:r>
      <w:r w:rsidR="002A234C" w:rsidRPr="00075FAD">
        <w:rPr>
          <w:rFonts w:ascii="Century Schoolbook" w:hAnsi="Century Schoolbook"/>
        </w:rPr>
        <w:t>that subdivision.  Mitchell’s opening brief</w:t>
      </w:r>
      <w:r w:rsidR="00B62E4F" w:rsidRPr="00075FAD">
        <w:rPr>
          <w:rFonts w:ascii="Century Schoolbook" w:hAnsi="Century Schoolbook"/>
        </w:rPr>
        <w:t xml:space="preserve"> in </w:t>
      </w:r>
      <w:r w:rsidR="00264EC3" w:rsidRPr="00075FAD">
        <w:rPr>
          <w:rFonts w:ascii="Century Schoolbook" w:hAnsi="Century Schoolbook"/>
        </w:rPr>
        <w:t xml:space="preserve">this </w:t>
      </w:r>
      <w:r w:rsidR="00B62E4F" w:rsidRPr="00075FAD">
        <w:rPr>
          <w:rFonts w:ascii="Century Schoolbook" w:hAnsi="Century Schoolbook"/>
        </w:rPr>
        <w:t>appeal</w:t>
      </w:r>
      <w:r w:rsidR="002A234C" w:rsidRPr="00075FAD">
        <w:rPr>
          <w:rFonts w:ascii="Century Schoolbook" w:hAnsi="Century Schoolbook"/>
        </w:rPr>
        <w:t xml:space="preserve">, however, </w:t>
      </w:r>
      <w:r w:rsidRPr="00075FAD">
        <w:rPr>
          <w:rFonts w:ascii="Century Schoolbook" w:hAnsi="Century Schoolbook"/>
        </w:rPr>
        <w:t xml:space="preserve">does not challenge the court’s </w:t>
      </w:r>
      <w:r w:rsidR="008A554F" w:rsidRPr="00075FAD">
        <w:rPr>
          <w:rFonts w:ascii="Century Schoolbook" w:hAnsi="Century Schoolbook"/>
        </w:rPr>
        <w:t xml:space="preserve">ruling as to </w:t>
      </w:r>
      <w:r w:rsidRPr="00075FAD">
        <w:rPr>
          <w:rFonts w:ascii="Century Schoolbook" w:hAnsi="Century Schoolbook"/>
        </w:rPr>
        <w:t xml:space="preserve">subdivision (b).  </w:t>
      </w:r>
      <w:r w:rsidR="00D40805" w:rsidRPr="00075FAD">
        <w:rPr>
          <w:rFonts w:ascii="Century Schoolbook" w:hAnsi="Century Schoolbook"/>
        </w:rPr>
        <w:t xml:space="preserve">Although Mitchell’s reply brief discusses subdivision (b), </w:t>
      </w:r>
      <w:r w:rsidR="00041477" w:rsidRPr="00075FAD">
        <w:rPr>
          <w:rFonts w:ascii="Century Schoolbook" w:hAnsi="Century Schoolbook"/>
        </w:rPr>
        <w:t xml:space="preserve">Mitchell </w:t>
      </w:r>
      <w:r w:rsidR="008A554F" w:rsidRPr="00075FAD">
        <w:rPr>
          <w:rFonts w:ascii="Century Schoolbook" w:hAnsi="Century Schoolbook"/>
        </w:rPr>
        <w:t xml:space="preserve">waived </w:t>
      </w:r>
      <w:r w:rsidR="00264EC3" w:rsidRPr="00075FAD">
        <w:rPr>
          <w:rFonts w:ascii="Century Schoolbook" w:hAnsi="Century Schoolbook"/>
        </w:rPr>
        <w:t xml:space="preserve">its challenge to </w:t>
      </w:r>
      <w:r w:rsidR="00F76E0F" w:rsidRPr="00075FAD">
        <w:rPr>
          <w:rFonts w:ascii="Century Schoolbook" w:hAnsi="Century Schoolbook"/>
        </w:rPr>
        <w:t xml:space="preserve">the court’s </w:t>
      </w:r>
      <w:r w:rsidR="00405217" w:rsidRPr="00075FAD">
        <w:rPr>
          <w:rFonts w:ascii="Century Schoolbook" w:hAnsi="Century Schoolbook"/>
        </w:rPr>
        <w:t>ruling</w:t>
      </w:r>
      <w:r w:rsidR="00D04F05" w:rsidRPr="00075FAD">
        <w:rPr>
          <w:rFonts w:ascii="Century Schoolbook" w:hAnsi="Century Schoolbook"/>
        </w:rPr>
        <w:t xml:space="preserve"> by not raising </w:t>
      </w:r>
      <w:r w:rsidR="00CF656B" w:rsidRPr="00075FAD">
        <w:rPr>
          <w:rFonts w:ascii="Century Schoolbook" w:hAnsi="Century Schoolbook"/>
        </w:rPr>
        <w:t xml:space="preserve">the issue </w:t>
      </w:r>
      <w:r w:rsidR="00D04F05" w:rsidRPr="00075FAD">
        <w:rPr>
          <w:rFonts w:ascii="Century Schoolbook" w:hAnsi="Century Schoolbook"/>
        </w:rPr>
        <w:t>in the opening brief</w:t>
      </w:r>
      <w:r w:rsidR="00041477" w:rsidRPr="00075FAD">
        <w:rPr>
          <w:rFonts w:ascii="Century Schoolbook" w:hAnsi="Century Schoolbook"/>
        </w:rPr>
        <w:t xml:space="preserve">.  </w:t>
      </w:r>
      <w:r w:rsidR="000B65E3" w:rsidRPr="00075FAD">
        <w:rPr>
          <w:rFonts w:ascii="Century Schoolbook" w:hAnsi="Century Schoolbook"/>
        </w:rPr>
        <w:t>(</w:t>
      </w:r>
      <w:r w:rsidR="000B65E3" w:rsidRPr="00075FAD">
        <w:rPr>
          <w:rFonts w:ascii="Century Schoolbook" w:hAnsi="Century Schoolbook"/>
          <w:i/>
          <w:iCs/>
        </w:rPr>
        <w:t>Tisher v. California Horse Racing Board</w:t>
      </w:r>
      <w:r w:rsidR="000B65E3" w:rsidRPr="00075FAD">
        <w:rPr>
          <w:rFonts w:ascii="Century Schoolbook" w:hAnsi="Century Schoolbook"/>
        </w:rPr>
        <w:t xml:space="preserve"> (1991) 231 Cal.App.3d 349, 361</w:t>
      </w:r>
      <w:r w:rsidR="00D40805" w:rsidRPr="00075FAD">
        <w:rPr>
          <w:rFonts w:ascii="Century Schoolbook" w:hAnsi="Century Schoolbook"/>
        </w:rPr>
        <w:t xml:space="preserve">.)  </w:t>
      </w:r>
    </w:p>
    <w:p w14:paraId="763398C8" w14:textId="7EB410AA" w:rsidR="00F603A2" w:rsidRPr="00075FAD" w:rsidRDefault="00D40805" w:rsidP="00F543F4">
      <w:pPr>
        <w:pStyle w:val="BodyText"/>
        <w:widowControl/>
        <w:tabs>
          <w:tab w:val="left" w:pos="0"/>
        </w:tabs>
        <w:spacing w:line="360" w:lineRule="auto"/>
        <w:rPr>
          <w:rFonts w:ascii="Century Schoolbook" w:hAnsi="Century Schoolbook"/>
        </w:rPr>
      </w:pPr>
      <w:r w:rsidRPr="00075FAD">
        <w:rPr>
          <w:rFonts w:ascii="Century Schoolbook" w:hAnsi="Century Schoolbook"/>
        </w:rPr>
        <w:tab/>
      </w:r>
      <w:r w:rsidR="009F69C6" w:rsidRPr="00075FAD">
        <w:rPr>
          <w:rFonts w:ascii="Century Schoolbook" w:hAnsi="Century Schoolbook"/>
        </w:rPr>
        <w:t xml:space="preserve">Even </w:t>
      </w:r>
      <w:r w:rsidRPr="00075FAD">
        <w:rPr>
          <w:rFonts w:ascii="Century Schoolbook" w:hAnsi="Century Schoolbook"/>
        </w:rPr>
        <w:t xml:space="preserve">if we </w:t>
      </w:r>
      <w:r w:rsidR="001570A6" w:rsidRPr="00075FAD">
        <w:rPr>
          <w:rFonts w:ascii="Century Schoolbook" w:hAnsi="Century Schoolbook"/>
        </w:rPr>
        <w:t xml:space="preserve">were to </w:t>
      </w:r>
      <w:r w:rsidR="00041477" w:rsidRPr="00075FAD">
        <w:rPr>
          <w:rFonts w:ascii="Century Schoolbook" w:hAnsi="Century Schoolbook"/>
        </w:rPr>
        <w:t xml:space="preserve">consider </w:t>
      </w:r>
      <w:r w:rsidRPr="00075FAD">
        <w:rPr>
          <w:rFonts w:ascii="Century Schoolbook" w:hAnsi="Century Schoolbook"/>
        </w:rPr>
        <w:t xml:space="preserve">Mitchell’s arguments under </w:t>
      </w:r>
      <w:r w:rsidR="00CF656B" w:rsidRPr="00075FAD">
        <w:rPr>
          <w:rFonts w:ascii="Century Schoolbook" w:hAnsi="Century Schoolbook"/>
        </w:rPr>
        <w:t xml:space="preserve">section 473, </w:t>
      </w:r>
      <w:r w:rsidRPr="00075FAD">
        <w:rPr>
          <w:rFonts w:ascii="Century Schoolbook" w:hAnsi="Century Schoolbook"/>
        </w:rPr>
        <w:t>subdivision (b)</w:t>
      </w:r>
      <w:r w:rsidR="00CF656B" w:rsidRPr="00075FAD">
        <w:rPr>
          <w:rFonts w:ascii="Century Schoolbook" w:hAnsi="Century Schoolbook"/>
        </w:rPr>
        <w:t xml:space="preserve">, </w:t>
      </w:r>
      <w:r w:rsidR="001570A6" w:rsidRPr="00075FAD">
        <w:rPr>
          <w:rFonts w:ascii="Century Schoolbook" w:hAnsi="Century Schoolbook"/>
        </w:rPr>
        <w:t>Mitchell</w:t>
      </w:r>
      <w:r w:rsidR="00945674" w:rsidRPr="00075FAD">
        <w:rPr>
          <w:rFonts w:ascii="Century Schoolbook" w:hAnsi="Century Schoolbook"/>
        </w:rPr>
        <w:t xml:space="preserve"> </w:t>
      </w:r>
      <w:r w:rsidRPr="00075FAD">
        <w:rPr>
          <w:rFonts w:ascii="Century Schoolbook" w:hAnsi="Century Schoolbook"/>
        </w:rPr>
        <w:t xml:space="preserve">has not established error.  As relevant here, the subdivision </w:t>
      </w:r>
      <w:r w:rsidR="00041477" w:rsidRPr="00075FAD">
        <w:rPr>
          <w:rFonts w:ascii="Century Schoolbook" w:hAnsi="Century Schoolbook"/>
        </w:rPr>
        <w:t>states:</w:t>
      </w:r>
      <w:r w:rsidR="00F603A2" w:rsidRPr="00075FAD">
        <w:rPr>
          <w:rFonts w:ascii="Century Schoolbook" w:hAnsi="Century Schoolbook"/>
        </w:rPr>
        <w:t xml:space="preserve">  “The court may, upon any terms as may be just, relieve a party or his or her legal representative from a judgment, dismissal, order, or other proceeding taken against him or her through his or her mistake, inadvertence, surprise, or excusable neglect.”</w:t>
      </w:r>
      <w:r w:rsidR="001C4507" w:rsidRPr="00075FAD">
        <w:rPr>
          <w:rFonts w:ascii="Century Schoolbook" w:hAnsi="Century Schoolbook"/>
        </w:rPr>
        <w:t xml:space="preserve">  </w:t>
      </w:r>
      <w:r w:rsidRPr="00075FAD">
        <w:rPr>
          <w:rFonts w:ascii="Century Schoolbook" w:hAnsi="Century Schoolbook"/>
        </w:rPr>
        <w:t xml:space="preserve">Although </w:t>
      </w:r>
      <w:r w:rsidR="001C4507" w:rsidRPr="00075FAD">
        <w:rPr>
          <w:rFonts w:ascii="Century Schoolbook" w:hAnsi="Century Schoolbook"/>
        </w:rPr>
        <w:t>Mitchell claim</w:t>
      </w:r>
      <w:r w:rsidR="00264EC3" w:rsidRPr="00075FAD">
        <w:rPr>
          <w:rFonts w:ascii="Century Schoolbook" w:hAnsi="Century Schoolbook"/>
        </w:rPr>
        <w:t>s</w:t>
      </w:r>
      <w:r w:rsidR="001C4507" w:rsidRPr="00075FAD">
        <w:rPr>
          <w:rFonts w:ascii="Century Schoolbook" w:hAnsi="Century Schoolbook"/>
        </w:rPr>
        <w:t xml:space="preserve"> </w:t>
      </w:r>
      <w:r w:rsidR="00C15292" w:rsidRPr="00075FAD">
        <w:rPr>
          <w:rFonts w:ascii="Century Schoolbook" w:hAnsi="Century Schoolbook"/>
        </w:rPr>
        <w:t xml:space="preserve">the dismissal was taken by </w:t>
      </w:r>
      <w:r w:rsidR="001C4507" w:rsidRPr="00075FAD">
        <w:rPr>
          <w:rFonts w:ascii="Century Schoolbook" w:hAnsi="Century Schoolbook"/>
        </w:rPr>
        <w:t>surprise and excusable neglect</w:t>
      </w:r>
      <w:r w:rsidR="00405217" w:rsidRPr="00075FAD">
        <w:rPr>
          <w:rFonts w:ascii="Century Schoolbook" w:hAnsi="Century Schoolbook"/>
        </w:rPr>
        <w:t xml:space="preserve">, it fails to show that the trial court’s rejection of </w:t>
      </w:r>
      <w:r w:rsidR="00E465CA" w:rsidRPr="00075FAD">
        <w:rPr>
          <w:rFonts w:ascii="Century Schoolbook" w:hAnsi="Century Schoolbook"/>
        </w:rPr>
        <w:t xml:space="preserve">its </w:t>
      </w:r>
      <w:r w:rsidR="00E975BD" w:rsidRPr="00075FAD">
        <w:rPr>
          <w:rFonts w:ascii="Century Schoolbook" w:hAnsi="Century Schoolbook"/>
        </w:rPr>
        <w:t xml:space="preserve">claims </w:t>
      </w:r>
      <w:r w:rsidR="00405217" w:rsidRPr="00075FAD">
        <w:rPr>
          <w:rFonts w:ascii="Century Schoolbook" w:hAnsi="Century Schoolbook"/>
        </w:rPr>
        <w:t>was an abuse of discretion</w:t>
      </w:r>
      <w:r w:rsidR="001C4507" w:rsidRPr="00075FAD">
        <w:rPr>
          <w:rFonts w:ascii="Century Schoolbook" w:hAnsi="Century Schoolbook"/>
        </w:rPr>
        <w:t>.</w:t>
      </w:r>
      <w:r w:rsidR="00405217" w:rsidRPr="00075FAD">
        <w:rPr>
          <w:rFonts w:ascii="Century Schoolbook" w:hAnsi="Century Schoolbook"/>
        </w:rPr>
        <w:t xml:space="preserve">  (</w:t>
      </w:r>
      <w:r w:rsidR="00405217" w:rsidRPr="00075FAD">
        <w:rPr>
          <w:rFonts w:ascii="Century Schoolbook" w:hAnsi="Century Schoolbook"/>
          <w:i/>
        </w:rPr>
        <w:t xml:space="preserve">Sprague v. County of San Diego </w:t>
      </w:r>
      <w:r w:rsidR="00405217" w:rsidRPr="00075FAD">
        <w:rPr>
          <w:rFonts w:ascii="Century Schoolbook" w:hAnsi="Century Schoolbook"/>
        </w:rPr>
        <w:t xml:space="preserve">(2003) 106 Cal.App.4th 119, 127 [abuse of discretion review for rulings under </w:t>
      </w:r>
      <w:r w:rsidR="00E4489E" w:rsidRPr="00075FAD">
        <w:rPr>
          <w:rFonts w:ascii="Century Schoolbook" w:hAnsi="Century Schoolbook"/>
        </w:rPr>
        <w:t xml:space="preserve">section </w:t>
      </w:r>
      <w:r w:rsidR="00405217" w:rsidRPr="00075FAD">
        <w:rPr>
          <w:rFonts w:ascii="Century Schoolbook" w:hAnsi="Century Schoolbook"/>
        </w:rPr>
        <w:t>473</w:t>
      </w:r>
      <w:r w:rsidR="00CF656B" w:rsidRPr="00075FAD">
        <w:rPr>
          <w:rFonts w:ascii="Century Schoolbook" w:hAnsi="Century Schoolbook"/>
        </w:rPr>
        <w:t>, subd</w:t>
      </w:r>
      <w:r w:rsidR="00E975BD" w:rsidRPr="00075FAD">
        <w:rPr>
          <w:rFonts w:ascii="Century Schoolbook" w:hAnsi="Century Schoolbook"/>
        </w:rPr>
        <w:t xml:space="preserve">ivision </w:t>
      </w:r>
      <w:r w:rsidR="00405217" w:rsidRPr="00075FAD">
        <w:rPr>
          <w:rFonts w:ascii="Century Schoolbook" w:hAnsi="Century Schoolbook"/>
        </w:rPr>
        <w:t xml:space="preserve">(b)].)  </w:t>
      </w:r>
    </w:p>
    <w:p w14:paraId="4F97B7B0" w14:textId="119341F9" w:rsidR="00720369" w:rsidRPr="00075FAD" w:rsidRDefault="00720369" w:rsidP="00720369">
      <w:pPr>
        <w:pStyle w:val="BodyText"/>
        <w:widowControl/>
        <w:spacing w:line="360" w:lineRule="auto"/>
        <w:rPr>
          <w:rFonts w:ascii="Century Schoolbook" w:hAnsi="Century Schoolbook"/>
        </w:rPr>
      </w:pPr>
      <w:r w:rsidRPr="00075FAD">
        <w:rPr>
          <w:rFonts w:ascii="Century Schoolbook" w:hAnsi="Century Schoolbook"/>
        </w:rPr>
        <w:tab/>
      </w:r>
      <w:r w:rsidRPr="00075FAD">
        <w:rPr>
          <w:rFonts w:ascii="Century Schoolbook" w:hAnsi="Century Schoolbook"/>
        </w:rPr>
        <w:tab/>
      </w:r>
      <w:r w:rsidR="009D0583" w:rsidRPr="00075FAD">
        <w:rPr>
          <w:rFonts w:ascii="Century Schoolbook" w:hAnsi="Century Schoolbook"/>
        </w:rPr>
        <w:t xml:space="preserve">1.  </w:t>
      </w:r>
      <w:r w:rsidRPr="00075FAD">
        <w:rPr>
          <w:rFonts w:ascii="Century Schoolbook" w:hAnsi="Century Schoolbook"/>
          <w:u w:val="single"/>
        </w:rPr>
        <w:t>Surprise</w:t>
      </w:r>
      <w:r w:rsidRPr="00075FAD">
        <w:rPr>
          <w:rFonts w:ascii="Century Schoolbook" w:hAnsi="Century Schoolbook"/>
        </w:rPr>
        <w:t xml:space="preserve"> </w:t>
      </w:r>
    </w:p>
    <w:p w14:paraId="0A6EAAD1" w14:textId="0D384800" w:rsidR="00720369" w:rsidRPr="00075FAD" w:rsidRDefault="00720369" w:rsidP="00720369">
      <w:pPr>
        <w:pStyle w:val="BodyText"/>
        <w:widowControl/>
        <w:spacing w:line="360" w:lineRule="auto"/>
        <w:rPr>
          <w:rFonts w:ascii="Century Schoolbook" w:hAnsi="Century Schoolbook"/>
        </w:rPr>
      </w:pPr>
      <w:r w:rsidRPr="00075FAD">
        <w:rPr>
          <w:rFonts w:ascii="Century Schoolbook" w:hAnsi="Century Schoolbook"/>
        </w:rPr>
        <w:tab/>
      </w:r>
      <w:r w:rsidR="00643CA6" w:rsidRPr="00075FAD">
        <w:rPr>
          <w:rFonts w:ascii="Century Schoolbook" w:hAnsi="Century Schoolbook"/>
        </w:rPr>
        <w:t xml:space="preserve">Mitchell claimed below that the dismissal of its cross-complaint was a surprise that it did not learn about until July 2022.  </w:t>
      </w:r>
      <w:r w:rsidR="001C4507" w:rsidRPr="00075FAD">
        <w:rPr>
          <w:rFonts w:ascii="Century Schoolbook" w:hAnsi="Century Schoolbook"/>
        </w:rPr>
        <w:t xml:space="preserve">In this context, surprise </w:t>
      </w:r>
      <w:r w:rsidRPr="00075FAD">
        <w:rPr>
          <w:rFonts w:ascii="Century Schoolbook" w:hAnsi="Century Schoolbook"/>
        </w:rPr>
        <w:t xml:space="preserve">means </w:t>
      </w:r>
      <w:r w:rsidR="001C4507" w:rsidRPr="00075FAD">
        <w:rPr>
          <w:rFonts w:ascii="Century Schoolbook" w:hAnsi="Century Schoolbook"/>
        </w:rPr>
        <w:t>a “</w:t>
      </w:r>
      <w:r w:rsidRPr="00075FAD">
        <w:rPr>
          <w:rFonts w:ascii="Century Schoolbook" w:hAnsi="Century Schoolbook"/>
        </w:rPr>
        <w:t>condition or situation in which a party</w:t>
      </w:r>
      <w:r w:rsidR="001C4507" w:rsidRPr="00075FAD">
        <w:rPr>
          <w:rFonts w:ascii="Century Schoolbook" w:hAnsi="Century Schoolbook"/>
        </w:rPr>
        <w:t xml:space="preserve"> . . . </w:t>
      </w:r>
      <w:r w:rsidRPr="00075FAD">
        <w:rPr>
          <w:rFonts w:ascii="Century Schoolbook" w:hAnsi="Century Schoolbook"/>
        </w:rPr>
        <w:t>is unexpectedly placed to his injury, without any default or negligence of his own, which ordinary prudence could not have guarded against.</w:t>
      </w:r>
      <w:r w:rsidR="001C4507" w:rsidRPr="00075FAD">
        <w:rPr>
          <w:rFonts w:ascii="Century Schoolbook" w:hAnsi="Century Schoolbook"/>
        </w:rPr>
        <w:t>”</w:t>
      </w:r>
      <w:r w:rsidRPr="00075FAD">
        <w:rPr>
          <w:rFonts w:ascii="Century Schoolbook" w:hAnsi="Century Schoolbook"/>
        </w:rPr>
        <w:t xml:space="preserve">  (</w:t>
      </w:r>
      <w:r w:rsidRPr="00075FAD">
        <w:rPr>
          <w:rFonts w:ascii="Century Schoolbook" w:hAnsi="Century Schoolbook"/>
          <w:i/>
        </w:rPr>
        <w:t>Credit Managers Assn</w:t>
      </w:r>
      <w:r w:rsidR="00626B6A" w:rsidRPr="00075FAD">
        <w:rPr>
          <w:rFonts w:ascii="Century Schoolbook" w:hAnsi="Century Schoolbook"/>
          <w:i/>
        </w:rPr>
        <w:t>.</w:t>
      </w:r>
      <w:r w:rsidRPr="00075FAD">
        <w:rPr>
          <w:rFonts w:ascii="Century Schoolbook" w:hAnsi="Century Schoolbook"/>
          <w:i/>
        </w:rPr>
        <w:t xml:space="preserve"> v. Nat</w:t>
      </w:r>
      <w:r w:rsidR="00626B6A" w:rsidRPr="00075FAD">
        <w:rPr>
          <w:rFonts w:ascii="Century Schoolbook" w:hAnsi="Century Schoolbook"/>
          <w:i/>
        </w:rPr>
        <w:t>iona</w:t>
      </w:r>
      <w:r w:rsidRPr="00075FAD">
        <w:rPr>
          <w:rFonts w:ascii="Century Schoolbook" w:hAnsi="Century Schoolbook"/>
          <w:i/>
        </w:rPr>
        <w:t xml:space="preserve">l Independent Business Alliance </w:t>
      </w:r>
      <w:r w:rsidRPr="00075FAD">
        <w:rPr>
          <w:rFonts w:ascii="Century Schoolbook" w:hAnsi="Century Schoolbook"/>
        </w:rPr>
        <w:t>(1984) 162 Cal.App.3d 1166, 1173;</w:t>
      </w:r>
      <w:r w:rsidRPr="00075FAD">
        <w:rPr>
          <w:rFonts w:ascii="Century Schoolbook" w:hAnsi="Century Schoolbook"/>
          <w:b/>
          <w:bCs/>
        </w:rPr>
        <w:t xml:space="preserve"> </w:t>
      </w:r>
      <w:r w:rsidR="00A90972">
        <w:rPr>
          <w:rFonts w:ascii="Century Schoolbook" w:hAnsi="Century Schoolbook"/>
        </w:rPr>
        <w:t xml:space="preserve">see </w:t>
      </w:r>
      <w:r w:rsidRPr="00075FAD">
        <w:rPr>
          <w:rFonts w:ascii="Century Schoolbook" w:hAnsi="Century Schoolbook"/>
          <w:i/>
        </w:rPr>
        <w:t xml:space="preserve">State Farm Fire &amp; Casualty Co. v. Pietak </w:t>
      </w:r>
      <w:r w:rsidRPr="00075FAD">
        <w:rPr>
          <w:rFonts w:ascii="Century Schoolbook" w:hAnsi="Century Schoolbook"/>
        </w:rPr>
        <w:t>(2001) 90 Cal.App.4th 600, 611</w:t>
      </w:r>
      <w:r w:rsidR="00411E6F" w:rsidRPr="00075FAD">
        <w:rPr>
          <w:rFonts w:ascii="Century Schoolbook" w:hAnsi="Century Schoolbook"/>
        </w:rPr>
        <w:t>–</w:t>
      </w:r>
      <w:r w:rsidRPr="00075FAD">
        <w:rPr>
          <w:rFonts w:ascii="Century Schoolbook" w:hAnsi="Century Schoolbook"/>
        </w:rPr>
        <w:lastRenderedPageBreak/>
        <w:t>612.)</w:t>
      </w:r>
      <w:r w:rsidR="00643CA6" w:rsidRPr="00075FAD">
        <w:rPr>
          <w:rFonts w:ascii="Century Schoolbook" w:hAnsi="Century Schoolbook"/>
        </w:rPr>
        <w:t xml:space="preserve">  As explained below, the trial court did not abuse its discretion in rejecting Mitchell’s claim of surprise.</w:t>
      </w:r>
    </w:p>
    <w:p w14:paraId="6DD416C3" w14:textId="2EDC6A87" w:rsidR="001C4507" w:rsidRPr="00075FAD" w:rsidRDefault="00720369" w:rsidP="00720369">
      <w:pPr>
        <w:pStyle w:val="BodyText"/>
        <w:widowControl/>
        <w:spacing w:line="360" w:lineRule="auto"/>
        <w:rPr>
          <w:rFonts w:ascii="Century Schoolbook" w:hAnsi="Century Schoolbook"/>
        </w:rPr>
      </w:pPr>
      <w:r w:rsidRPr="00075FAD">
        <w:rPr>
          <w:rFonts w:ascii="Century Schoolbook" w:hAnsi="Century Schoolbook"/>
        </w:rPr>
        <w:tab/>
        <w:t xml:space="preserve">Despite Curtis Mitchell’s claim, </w:t>
      </w:r>
      <w:r w:rsidR="00206CD1" w:rsidRPr="00075FAD">
        <w:rPr>
          <w:rFonts w:ascii="Century Schoolbook" w:hAnsi="Century Schoolbook"/>
        </w:rPr>
        <w:t xml:space="preserve">ample </w:t>
      </w:r>
      <w:r w:rsidRPr="00075FAD">
        <w:rPr>
          <w:rFonts w:ascii="Century Schoolbook" w:hAnsi="Century Schoolbook"/>
        </w:rPr>
        <w:t xml:space="preserve">evidence supported the trial court’s conclusion that </w:t>
      </w:r>
      <w:r w:rsidR="00E465CA" w:rsidRPr="00075FAD">
        <w:rPr>
          <w:rFonts w:ascii="Century Schoolbook" w:hAnsi="Century Schoolbook"/>
        </w:rPr>
        <w:t xml:space="preserve">Whirl “addressed the cross-complaint’s dismissal with Mr. Mitchell and his company on several occasions, so no </w:t>
      </w:r>
      <w:r w:rsidRPr="00075FAD">
        <w:rPr>
          <w:rFonts w:ascii="Century Schoolbook" w:hAnsi="Century Schoolbook"/>
        </w:rPr>
        <w:t xml:space="preserve">surprise was warranted.”  </w:t>
      </w:r>
      <w:r w:rsidR="00206CD1" w:rsidRPr="00075FAD">
        <w:rPr>
          <w:rFonts w:ascii="Century Schoolbook" w:hAnsi="Century Schoolbook"/>
        </w:rPr>
        <w:t xml:space="preserve">As shown by documentary evidence </w:t>
      </w:r>
      <w:r w:rsidRPr="00075FAD">
        <w:rPr>
          <w:rFonts w:ascii="Century Schoolbook" w:hAnsi="Century Schoolbook"/>
        </w:rPr>
        <w:t xml:space="preserve">and Whirl’s </w:t>
      </w:r>
      <w:r w:rsidR="003D6017" w:rsidRPr="00075FAD">
        <w:rPr>
          <w:rFonts w:ascii="Century Schoolbook" w:hAnsi="Century Schoolbook"/>
        </w:rPr>
        <w:t xml:space="preserve">deposition </w:t>
      </w:r>
      <w:r w:rsidRPr="00075FAD">
        <w:rPr>
          <w:rFonts w:ascii="Century Schoolbook" w:hAnsi="Century Schoolbook"/>
        </w:rPr>
        <w:t>testimony</w:t>
      </w:r>
      <w:r w:rsidR="00206CD1" w:rsidRPr="00075FAD">
        <w:rPr>
          <w:rFonts w:ascii="Century Schoolbook" w:hAnsi="Century Schoolbook"/>
        </w:rPr>
        <w:t xml:space="preserve">, </w:t>
      </w:r>
      <w:r w:rsidR="001C4507" w:rsidRPr="00075FAD">
        <w:rPr>
          <w:rFonts w:ascii="Century Schoolbook" w:hAnsi="Century Schoolbook"/>
        </w:rPr>
        <w:t xml:space="preserve">Mitchell was </w:t>
      </w:r>
      <w:r w:rsidR="004B7201" w:rsidRPr="00075FAD">
        <w:rPr>
          <w:rFonts w:ascii="Century Schoolbook" w:hAnsi="Century Schoolbook"/>
        </w:rPr>
        <w:t xml:space="preserve">informed </w:t>
      </w:r>
      <w:r w:rsidR="001C4507" w:rsidRPr="00075FAD">
        <w:rPr>
          <w:rFonts w:ascii="Century Schoolbook" w:hAnsi="Century Schoolbook"/>
        </w:rPr>
        <w:t xml:space="preserve">of Whirl’s proposal to dismiss the cross-complaint against Bradley and DeHaro in </w:t>
      </w:r>
      <w:r w:rsidR="003D6017" w:rsidRPr="00075FAD">
        <w:rPr>
          <w:rFonts w:ascii="Century Schoolbook" w:hAnsi="Century Schoolbook"/>
        </w:rPr>
        <w:t xml:space="preserve">her </w:t>
      </w:r>
      <w:r w:rsidR="001C4507" w:rsidRPr="00075FAD">
        <w:rPr>
          <w:rFonts w:ascii="Century Schoolbook" w:hAnsi="Century Schoolbook"/>
        </w:rPr>
        <w:t>December 14</w:t>
      </w:r>
      <w:r w:rsidR="0056476C" w:rsidRPr="00075FAD">
        <w:rPr>
          <w:rFonts w:ascii="Century Schoolbook" w:hAnsi="Century Schoolbook"/>
        </w:rPr>
        <w:t>, 2021</w:t>
      </w:r>
      <w:r w:rsidR="001C4507" w:rsidRPr="00075FAD">
        <w:rPr>
          <w:rFonts w:ascii="Century Schoolbook" w:hAnsi="Century Schoolbook"/>
        </w:rPr>
        <w:t xml:space="preserve"> email, and </w:t>
      </w:r>
      <w:r w:rsidR="00E465CA" w:rsidRPr="00075FAD">
        <w:rPr>
          <w:rFonts w:ascii="Century Schoolbook" w:hAnsi="Century Schoolbook"/>
        </w:rPr>
        <w:t xml:space="preserve">her </w:t>
      </w:r>
      <w:r w:rsidR="001C4507" w:rsidRPr="00075FAD">
        <w:rPr>
          <w:rFonts w:ascii="Century Schoolbook" w:hAnsi="Century Schoolbook"/>
        </w:rPr>
        <w:t>December 21</w:t>
      </w:r>
      <w:r w:rsidR="0056476C" w:rsidRPr="00075FAD">
        <w:rPr>
          <w:rFonts w:ascii="Century Schoolbook" w:hAnsi="Century Schoolbook"/>
        </w:rPr>
        <w:t>, 2021</w:t>
      </w:r>
      <w:r w:rsidR="001C4507" w:rsidRPr="00075FAD">
        <w:rPr>
          <w:rFonts w:ascii="Century Schoolbook" w:hAnsi="Century Schoolbook"/>
        </w:rPr>
        <w:t xml:space="preserve"> status report </w:t>
      </w:r>
      <w:r w:rsidR="00206CD1" w:rsidRPr="00075FAD">
        <w:rPr>
          <w:rFonts w:ascii="Century Schoolbook" w:hAnsi="Century Schoolbook"/>
        </w:rPr>
        <w:t xml:space="preserve">indicated </w:t>
      </w:r>
      <w:r w:rsidR="001C4507" w:rsidRPr="00075FAD">
        <w:rPr>
          <w:rFonts w:ascii="Century Schoolbook" w:hAnsi="Century Schoolbook"/>
        </w:rPr>
        <w:t xml:space="preserve">that </w:t>
      </w:r>
      <w:r w:rsidR="00E465CA" w:rsidRPr="00075FAD">
        <w:rPr>
          <w:rFonts w:ascii="Century Schoolbook" w:hAnsi="Century Schoolbook"/>
        </w:rPr>
        <w:t xml:space="preserve">she </w:t>
      </w:r>
      <w:r w:rsidR="001C4507" w:rsidRPr="00075FAD">
        <w:rPr>
          <w:rFonts w:ascii="Century Schoolbook" w:hAnsi="Century Schoolbook"/>
        </w:rPr>
        <w:t xml:space="preserve">was stipulating to the settlement and </w:t>
      </w:r>
      <w:r w:rsidR="007A05EB" w:rsidRPr="00075FAD">
        <w:rPr>
          <w:rFonts w:ascii="Century Schoolbook" w:hAnsi="Century Schoolbook"/>
        </w:rPr>
        <w:t>“</w:t>
      </w:r>
      <w:r w:rsidR="001C4507" w:rsidRPr="00075FAD">
        <w:rPr>
          <w:rFonts w:ascii="Century Schoolbook" w:hAnsi="Century Schoolbook"/>
        </w:rPr>
        <w:t>drop</w:t>
      </w:r>
      <w:r w:rsidR="008E0469" w:rsidRPr="00075FAD">
        <w:rPr>
          <w:rFonts w:ascii="Century Schoolbook" w:hAnsi="Century Schoolbook"/>
        </w:rPr>
        <w:t>[</w:t>
      </w:r>
      <w:r w:rsidR="001C4507" w:rsidRPr="00075FAD">
        <w:rPr>
          <w:rFonts w:ascii="Century Schoolbook" w:hAnsi="Century Schoolbook"/>
        </w:rPr>
        <w:t>ping</w:t>
      </w:r>
      <w:r w:rsidR="008E0469" w:rsidRPr="00075FAD">
        <w:rPr>
          <w:rFonts w:ascii="Century Schoolbook" w:hAnsi="Century Schoolbook"/>
        </w:rPr>
        <w:t>]</w:t>
      </w:r>
      <w:r w:rsidR="007A05EB" w:rsidRPr="00075FAD">
        <w:rPr>
          <w:rFonts w:ascii="Century Schoolbook" w:hAnsi="Century Schoolbook"/>
        </w:rPr>
        <w:t>”</w:t>
      </w:r>
      <w:r w:rsidR="001C4507" w:rsidRPr="00075FAD">
        <w:rPr>
          <w:rFonts w:ascii="Century Schoolbook" w:hAnsi="Century Schoolbook"/>
        </w:rPr>
        <w:t xml:space="preserve"> Mitchell’s </w:t>
      </w:r>
      <w:r w:rsidR="0056476C" w:rsidRPr="00075FAD">
        <w:rPr>
          <w:rFonts w:ascii="Century Schoolbook" w:hAnsi="Century Schoolbook"/>
        </w:rPr>
        <w:t>cross-</w:t>
      </w:r>
      <w:r w:rsidR="001C4507" w:rsidRPr="00075FAD">
        <w:rPr>
          <w:rFonts w:ascii="Century Schoolbook" w:hAnsi="Century Schoolbook"/>
        </w:rPr>
        <w:t>claims</w:t>
      </w:r>
      <w:r w:rsidR="00206CD1" w:rsidRPr="00075FAD">
        <w:rPr>
          <w:rFonts w:ascii="Century Schoolbook" w:hAnsi="Century Schoolbook"/>
        </w:rPr>
        <w:t xml:space="preserve">. </w:t>
      </w:r>
      <w:r w:rsidR="007A05EB" w:rsidRPr="00075FAD">
        <w:rPr>
          <w:rFonts w:ascii="Century Schoolbook" w:hAnsi="Century Schoolbook"/>
        </w:rPr>
        <w:t xml:space="preserve"> </w:t>
      </w:r>
      <w:r w:rsidRPr="00075FAD">
        <w:rPr>
          <w:rFonts w:ascii="Century Schoolbook" w:hAnsi="Century Schoolbook"/>
        </w:rPr>
        <w:t>The dismissal</w:t>
      </w:r>
      <w:r w:rsidR="00206CD1" w:rsidRPr="00075FAD">
        <w:rPr>
          <w:rFonts w:ascii="Century Schoolbook" w:hAnsi="Century Schoolbook"/>
        </w:rPr>
        <w:t>, two weeks later,</w:t>
      </w:r>
      <w:r w:rsidRPr="00075FAD">
        <w:rPr>
          <w:rFonts w:ascii="Century Schoolbook" w:hAnsi="Century Schoolbook"/>
        </w:rPr>
        <w:t xml:space="preserve"> was therefore not due to a circumstance </w:t>
      </w:r>
      <w:r w:rsidR="004B7201" w:rsidRPr="00075FAD">
        <w:rPr>
          <w:rFonts w:ascii="Century Schoolbook" w:hAnsi="Century Schoolbook"/>
        </w:rPr>
        <w:t xml:space="preserve">in which </w:t>
      </w:r>
      <w:r w:rsidRPr="00075FAD">
        <w:rPr>
          <w:rFonts w:ascii="Century Schoolbook" w:hAnsi="Century Schoolbook"/>
        </w:rPr>
        <w:t xml:space="preserve">Mitchell was </w:t>
      </w:r>
      <w:r w:rsidRPr="00075FAD">
        <w:rPr>
          <w:rFonts w:ascii="Century Schoolbook" w:hAnsi="Century Schoolbook"/>
          <w:i/>
          <w:iCs/>
        </w:rPr>
        <w:t>unexpectedly</w:t>
      </w:r>
      <w:r w:rsidRPr="00075FAD">
        <w:rPr>
          <w:rFonts w:ascii="Century Schoolbook" w:hAnsi="Century Schoolbook"/>
        </w:rPr>
        <w:t xml:space="preserve"> placed, </w:t>
      </w:r>
      <w:r w:rsidR="004B7201" w:rsidRPr="00075FAD">
        <w:rPr>
          <w:rFonts w:ascii="Century Schoolbook" w:hAnsi="Century Schoolbook"/>
        </w:rPr>
        <w:t xml:space="preserve">and </w:t>
      </w:r>
      <w:r w:rsidRPr="00075FAD">
        <w:rPr>
          <w:rFonts w:ascii="Century Schoolbook" w:hAnsi="Century Schoolbook"/>
        </w:rPr>
        <w:t>which ordinary prudence could not have guarded against</w:t>
      </w:r>
      <w:r w:rsidR="001C4507" w:rsidRPr="00075FAD">
        <w:rPr>
          <w:rFonts w:ascii="Century Schoolbook" w:hAnsi="Century Schoolbook"/>
        </w:rPr>
        <w:t>.</w:t>
      </w:r>
    </w:p>
    <w:p w14:paraId="11B91FD4" w14:textId="1685AE3A" w:rsidR="00206CD1" w:rsidRPr="00075FAD" w:rsidRDefault="00720369" w:rsidP="00720369">
      <w:pPr>
        <w:pStyle w:val="BodyText"/>
        <w:widowControl/>
        <w:spacing w:line="360" w:lineRule="auto"/>
        <w:rPr>
          <w:rFonts w:ascii="Century Schoolbook" w:hAnsi="Century Schoolbook"/>
        </w:rPr>
      </w:pPr>
      <w:r w:rsidRPr="00075FAD">
        <w:rPr>
          <w:rFonts w:ascii="Century Schoolbook" w:hAnsi="Century Schoolbook"/>
        </w:rPr>
        <w:tab/>
        <w:t xml:space="preserve">Mitchell argues in </w:t>
      </w:r>
      <w:r w:rsidR="001C4507" w:rsidRPr="00075FAD">
        <w:rPr>
          <w:rFonts w:ascii="Century Schoolbook" w:hAnsi="Century Schoolbook"/>
        </w:rPr>
        <w:t xml:space="preserve">its </w:t>
      </w:r>
      <w:r w:rsidRPr="00075FAD">
        <w:rPr>
          <w:rFonts w:ascii="Century Schoolbook" w:hAnsi="Century Schoolbook"/>
        </w:rPr>
        <w:t xml:space="preserve">reply brief that Curtis Mitchell was surprised in the sense that he did not think a dismissal would be entered without </w:t>
      </w:r>
      <w:r w:rsidR="001C4507" w:rsidRPr="00075FAD">
        <w:rPr>
          <w:rFonts w:ascii="Century Schoolbook" w:hAnsi="Century Schoolbook"/>
        </w:rPr>
        <w:t xml:space="preserve">his </w:t>
      </w:r>
      <w:r w:rsidRPr="00075FAD">
        <w:rPr>
          <w:rFonts w:ascii="Century Schoolbook" w:hAnsi="Century Schoolbook"/>
        </w:rPr>
        <w:t xml:space="preserve">express </w:t>
      </w:r>
      <w:r w:rsidR="00E35FE5" w:rsidRPr="00075FAD">
        <w:rPr>
          <w:rFonts w:ascii="Century Schoolbook" w:hAnsi="Century Schoolbook"/>
        </w:rPr>
        <w:t>consent</w:t>
      </w:r>
      <w:r w:rsidRPr="00026073">
        <w:rPr>
          <w:rFonts w:ascii="Century Schoolbook" w:hAnsi="Century Schoolbook"/>
        </w:rPr>
        <w:t xml:space="preserve">. </w:t>
      </w:r>
      <w:r w:rsidR="001C4507" w:rsidRPr="00026073">
        <w:rPr>
          <w:rFonts w:ascii="Century Schoolbook" w:hAnsi="Century Schoolbook"/>
          <w:b/>
          <w:bCs/>
        </w:rPr>
        <w:t xml:space="preserve"> </w:t>
      </w:r>
      <w:r w:rsidR="00C57DB5" w:rsidRPr="00026073">
        <w:rPr>
          <w:rFonts w:ascii="Century Schoolbook" w:hAnsi="Century Schoolbook"/>
        </w:rPr>
        <w:t xml:space="preserve">However, </w:t>
      </w:r>
      <w:r w:rsidR="00264EC3" w:rsidRPr="00026073">
        <w:rPr>
          <w:rFonts w:ascii="Century Schoolbook" w:hAnsi="Century Schoolbook"/>
        </w:rPr>
        <w:t>Whirl’s</w:t>
      </w:r>
      <w:r w:rsidR="00264EC3" w:rsidRPr="00075FAD">
        <w:rPr>
          <w:rFonts w:ascii="Century Schoolbook" w:hAnsi="Century Schoolbook"/>
        </w:rPr>
        <w:t xml:space="preserve"> </w:t>
      </w:r>
      <w:r w:rsidR="00206CD1" w:rsidRPr="00075FAD">
        <w:rPr>
          <w:rFonts w:ascii="Century Schoolbook" w:hAnsi="Century Schoolbook"/>
        </w:rPr>
        <w:t xml:space="preserve">report </w:t>
      </w:r>
      <w:r w:rsidR="004B7201" w:rsidRPr="00075FAD">
        <w:rPr>
          <w:rFonts w:ascii="Century Schoolbook" w:hAnsi="Century Schoolbook"/>
        </w:rPr>
        <w:t>on December 21 gave notice to Mitchell that Whirl was</w:t>
      </w:r>
      <w:r w:rsidR="00E35FE5" w:rsidRPr="00075FAD">
        <w:rPr>
          <w:rFonts w:ascii="Century Schoolbook" w:hAnsi="Century Schoolbook"/>
        </w:rPr>
        <w:t xml:space="preserve">, in fact, dismissing the cross-complaint without </w:t>
      </w:r>
      <w:r w:rsidR="00786D03" w:rsidRPr="00075FAD">
        <w:rPr>
          <w:rFonts w:ascii="Century Schoolbook" w:hAnsi="Century Schoolbook"/>
        </w:rPr>
        <w:t>its</w:t>
      </w:r>
      <w:r w:rsidR="0056476C" w:rsidRPr="00075FAD">
        <w:rPr>
          <w:rFonts w:ascii="Century Schoolbook" w:hAnsi="Century Schoolbook"/>
        </w:rPr>
        <w:t xml:space="preserve"> express consent</w:t>
      </w:r>
      <w:r w:rsidR="00E35FE5" w:rsidRPr="00075FAD">
        <w:rPr>
          <w:rFonts w:ascii="Century Schoolbook" w:hAnsi="Century Schoolbook"/>
        </w:rPr>
        <w:t xml:space="preserve">.  </w:t>
      </w:r>
      <w:r w:rsidR="00206CD1" w:rsidRPr="00075FAD">
        <w:rPr>
          <w:rFonts w:ascii="Century Schoolbook" w:hAnsi="Century Schoolbook"/>
        </w:rPr>
        <w:t>Mitchell fails to demonstrate an abuse of discretion.</w:t>
      </w:r>
    </w:p>
    <w:p w14:paraId="411D4192" w14:textId="26489E17" w:rsidR="00F50E32" w:rsidRPr="00075FAD" w:rsidRDefault="004B7201" w:rsidP="00F543F4">
      <w:pPr>
        <w:pStyle w:val="BodyText"/>
        <w:widowControl/>
        <w:spacing w:line="360" w:lineRule="auto"/>
        <w:rPr>
          <w:rFonts w:ascii="Century Schoolbook" w:hAnsi="Century Schoolbook"/>
          <w:i/>
          <w:iCs/>
        </w:rPr>
      </w:pPr>
      <w:r w:rsidRPr="00075FAD">
        <w:rPr>
          <w:rFonts w:ascii="Century Schoolbook" w:hAnsi="Century Schoolbook"/>
        </w:rPr>
        <w:tab/>
      </w:r>
      <w:r w:rsidR="00F50E32" w:rsidRPr="00075FAD">
        <w:rPr>
          <w:rFonts w:ascii="Century Schoolbook" w:hAnsi="Century Schoolbook"/>
        </w:rPr>
        <w:tab/>
      </w:r>
      <w:r w:rsidR="009D0583" w:rsidRPr="00075FAD">
        <w:rPr>
          <w:rFonts w:ascii="Century Schoolbook" w:hAnsi="Century Schoolbook"/>
        </w:rPr>
        <w:t xml:space="preserve">2.  </w:t>
      </w:r>
      <w:r w:rsidR="009D0583" w:rsidRPr="00075FAD">
        <w:rPr>
          <w:rFonts w:ascii="Century Schoolbook" w:hAnsi="Century Schoolbook"/>
          <w:u w:val="single"/>
        </w:rPr>
        <w:t xml:space="preserve">Excusable </w:t>
      </w:r>
      <w:r w:rsidR="00F50E32" w:rsidRPr="00075FAD">
        <w:rPr>
          <w:rFonts w:ascii="Century Schoolbook" w:hAnsi="Century Schoolbook"/>
          <w:u w:val="single"/>
        </w:rPr>
        <w:t>Neglect</w:t>
      </w:r>
    </w:p>
    <w:p w14:paraId="17E4E119" w14:textId="1D221D69" w:rsidR="00264EC3" w:rsidRPr="00075FAD" w:rsidRDefault="00D920B1" w:rsidP="00F543F4">
      <w:pPr>
        <w:spacing w:line="360" w:lineRule="auto"/>
        <w:rPr>
          <w:bCs/>
        </w:rPr>
      </w:pPr>
      <w:r w:rsidRPr="00075FAD">
        <w:tab/>
      </w:r>
      <w:r w:rsidR="001570A6" w:rsidRPr="00075FAD">
        <w:t xml:space="preserve">Mitchell </w:t>
      </w:r>
      <w:r w:rsidR="00041477" w:rsidRPr="00075FAD">
        <w:t xml:space="preserve">claimed in the trial court </w:t>
      </w:r>
      <w:r w:rsidR="001570A6" w:rsidRPr="00075FAD">
        <w:t xml:space="preserve">that </w:t>
      </w:r>
      <w:r w:rsidR="003D6017" w:rsidRPr="00075FAD">
        <w:t xml:space="preserve">Whirl’s dismissal of the </w:t>
      </w:r>
      <w:r w:rsidR="00DE713F" w:rsidRPr="00075FAD">
        <w:t xml:space="preserve">cross-complaint </w:t>
      </w:r>
      <w:r w:rsidR="004B7201" w:rsidRPr="00075FAD">
        <w:t xml:space="preserve">without </w:t>
      </w:r>
      <w:r w:rsidR="003D6017" w:rsidRPr="00075FAD">
        <w:t xml:space="preserve">its </w:t>
      </w:r>
      <w:r w:rsidR="004B7201" w:rsidRPr="00075FAD">
        <w:t>express consent</w:t>
      </w:r>
      <w:r w:rsidR="003D6017" w:rsidRPr="00075FAD">
        <w:t xml:space="preserve"> was excusable neglect</w:t>
      </w:r>
      <w:r w:rsidR="004B7201" w:rsidRPr="00075FAD">
        <w:t xml:space="preserve">.  </w:t>
      </w:r>
      <w:r w:rsidR="00A9565E" w:rsidRPr="00075FAD">
        <w:rPr>
          <w:bCs/>
        </w:rPr>
        <w:t xml:space="preserve">“Excusable neglect” </w:t>
      </w:r>
      <w:r w:rsidR="005231C7" w:rsidRPr="00075FAD">
        <w:rPr>
          <w:bCs/>
        </w:rPr>
        <w:t xml:space="preserve">exists </w:t>
      </w:r>
      <w:r w:rsidR="00A9565E" w:rsidRPr="00075FAD">
        <w:rPr>
          <w:bCs/>
        </w:rPr>
        <w:t>if “</w:t>
      </w:r>
      <w:r w:rsidR="0043558B" w:rsidRPr="00075FAD">
        <w:rPr>
          <w:bCs/>
        </w:rPr>
        <w:t xml:space="preserve"> ‘ “</w:t>
      </w:r>
      <w:r w:rsidR="00A9565E" w:rsidRPr="00075FAD">
        <w:rPr>
          <w:bCs/>
        </w:rPr>
        <w:t>a reasonably prudent person under the same or similar circumstances</w:t>
      </w:r>
      <w:r w:rsidR="0043558B" w:rsidRPr="00075FAD">
        <w:rPr>
          <w:bCs/>
        </w:rPr>
        <w:t>”</w:t>
      </w:r>
      <w:r w:rsidR="00A9565E" w:rsidRPr="00075FAD">
        <w:rPr>
          <w:bCs/>
        </w:rPr>
        <w:t xml:space="preserve"> might have made the same error.</w:t>
      </w:r>
      <w:r w:rsidR="0043558B" w:rsidRPr="00075FAD">
        <w:rPr>
          <w:bCs/>
        </w:rPr>
        <w:t xml:space="preserve">’ </w:t>
      </w:r>
      <w:r w:rsidR="00A9565E" w:rsidRPr="00075FAD">
        <w:rPr>
          <w:bCs/>
        </w:rPr>
        <w:t xml:space="preserve">” </w:t>
      </w:r>
      <w:r w:rsidR="00BF796F" w:rsidRPr="00075FAD">
        <w:rPr>
          <w:bCs/>
        </w:rPr>
        <w:t xml:space="preserve"> </w:t>
      </w:r>
      <w:r w:rsidR="00A9565E" w:rsidRPr="00075FAD">
        <w:rPr>
          <w:bCs/>
        </w:rPr>
        <w:t>(</w:t>
      </w:r>
      <w:r w:rsidR="00A9565E" w:rsidRPr="00075FAD">
        <w:rPr>
          <w:bCs/>
          <w:i/>
          <w:iCs/>
        </w:rPr>
        <w:t xml:space="preserve">Solv-All v. Superior Court </w:t>
      </w:r>
      <w:r w:rsidR="00A9565E" w:rsidRPr="00075FAD">
        <w:rPr>
          <w:bCs/>
        </w:rPr>
        <w:t>(2005) 131 Cal.App.4th 1003</w:t>
      </w:r>
      <w:r w:rsidR="00A9565E" w:rsidRPr="00075FAD">
        <w:rPr>
          <w:bCs/>
          <w:i/>
          <w:iCs/>
        </w:rPr>
        <w:t xml:space="preserve">, </w:t>
      </w:r>
      <w:r w:rsidR="00A9565E" w:rsidRPr="00075FAD">
        <w:rPr>
          <w:bCs/>
        </w:rPr>
        <w:t>1007</w:t>
      </w:r>
      <w:r w:rsidR="00D91A2F" w:rsidRPr="00075FAD">
        <w:rPr>
          <w:bCs/>
        </w:rPr>
        <w:t xml:space="preserve">.)  </w:t>
      </w:r>
      <w:r w:rsidR="004B7201" w:rsidRPr="00075FAD">
        <w:rPr>
          <w:bCs/>
        </w:rPr>
        <w:t xml:space="preserve">Mitchell fails to show that a reasonably prudent attorney would have dismissed the cross-complaint without Mitchell’s </w:t>
      </w:r>
      <w:r w:rsidR="00BB65B5" w:rsidRPr="00075FAD">
        <w:rPr>
          <w:bCs/>
        </w:rPr>
        <w:t>express consent</w:t>
      </w:r>
      <w:r w:rsidR="00264EC3" w:rsidRPr="00075FAD">
        <w:rPr>
          <w:bCs/>
        </w:rPr>
        <w:t>.</w:t>
      </w:r>
    </w:p>
    <w:p w14:paraId="55565D70" w14:textId="28C62C36" w:rsidR="00405217" w:rsidRPr="00075FAD" w:rsidRDefault="00D920B1" w:rsidP="00F543F4">
      <w:pPr>
        <w:pStyle w:val="BodyText"/>
        <w:widowControl/>
        <w:spacing w:line="360" w:lineRule="auto"/>
        <w:rPr>
          <w:rFonts w:ascii="Century Schoolbook" w:hAnsi="Century Schoolbook"/>
        </w:rPr>
      </w:pPr>
      <w:r w:rsidRPr="00075FAD">
        <w:rPr>
          <w:rFonts w:ascii="Century Schoolbook" w:hAnsi="Century Schoolbook"/>
        </w:rPr>
        <w:lastRenderedPageBreak/>
        <w:tab/>
      </w:r>
      <w:r w:rsidR="00BF796F" w:rsidRPr="00075FAD">
        <w:rPr>
          <w:rFonts w:ascii="Century Schoolbook" w:hAnsi="Century Schoolbook"/>
        </w:rPr>
        <w:t>As Mitchell points out elsewhere in its brief</w:t>
      </w:r>
      <w:r w:rsidR="003D6017" w:rsidRPr="00075FAD">
        <w:rPr>
          <w:rFonts w:ascii="Century Schoolbook" w:hAnsi="Century Schoolbook"/>
        </w:rPr>
        <w:t xml:space="preserve">s, </w:t>
      </w:r>
      <w:r w:rsidR="00BF796F" w:rsidRPr="00075FAD">
        <w:rPr>
          <w:rFonts w:ascii="Century Schoolbook" w:hAnsi="Century Schoolbook"/>
        </w:rPr>
        <w:t xml:space="preserve">an attorney’s act that impairs </w:t>
      </w:r>
      <w:r w:rsidRPr="00075FAD">
        <w:rPr>
          <w:rFonts w:ascii="Century Schoolbook" w:hAnsi="Century Schoolbook"/>
        </w:rPr>
        <w:t>a client’s substantial rights</w:t>
      </w:r>
      <w:r w:rsidR="0043558B" w:rsidRPr="00075FAD">
        <w:rPr>
          <w:rFonts w:ascii="Century Schoolbook" w:hAnsi="Century Schoolbook"/>
        </w:rPr>
        <w:t>—</w:t>
      </w:r>
      <w:r w:rsidR="00807C30" w:rsidRPr="00075FAD">
        <w:rPr>
          <w:rFonts w:ascii="Century Schoolbook" w:hAnsi="Century Schoolbook"/>
        </w:rPr>
        <w:t xml:space="preserve">such </w:t>
      </w:r>
      <w:r w:rsidR="005231C7" w:rsidRPr="00075FAD">
        <w:rPr>
          <w:rFonts w:ascii="Century Schoolbook" w:hAnsi="Century Schoolbook"/>
        </w:rPr>
        <w:t xml:space="preserve">as dismissing </w:t>
      </w:r>
      <w:r w:rsidR="00206CD1" w:rsidRPr="00075FAD">
        <w:rPr>
          <w:rFonts w:ascii="Century Schoolbook" w:hAnsi="Century Schoolbook"/>
        </w:rPr>
        <w:t xml:space="preserve">a </w:t>
      </w:r>
      <w:r w:rsidR="005231C7" w:rsidRPr="00075FAD">
        <w:rPr>
          <w:rFonts w:ascii="Century Schoolbook" w:hAnsi="Century Schoolbook"/>
        </w:rPr>
        <w:t xml:space="preserve">client’s </w:t>
      </w:r>
      <w:r w:rsidR="00206CD1" w:rsidRPr="00075FAD">
        <w:rPr>
          <w:rFonts w:ascii="Century Schoolbook" w:hAnsi="Century Schoolbook"/>
        </w:rPr>
        <w:t>cross-complaint</w:t>
      </w:r>
      <w:r w:rsidR="0043558B" w:rsidRPr="00075FAD">
        <w:rPr>
          <w:rFonts w:ascii="Century Schoolbook" w:hAnsi="Century Schoolbook"/>
        </w:rPr>
        <w:t>—</w:t>
      </w:r>
      <w:r w:rsidR="00807C30" w:rsidRPr="00075FAD">
        <w:rPr>
          <w:rFonts w:ascii="Century Schoolbook" w:hAnsi="Century Schoolbook"/>
        </w:rPr>
        <w:t xml:space="preserve">is </w:t>
      </w:r>
      <w:r w:rsidRPr="00075FAD">
        <w:rPr>
          <w:rFonts w:ascii="Century Schoolbook" w:hAnsi="Century Schoolbook"/>
        </w:rPr>
        <w:t xml:space="preserve">generally </w:t>
      </w:r>
      <w:r w:rsidR="0043558B" w:rsidRPr="00075FAD">
        <w:rPr>
          <w:rFonts w:ascii="Century Schoolbook" w:hAnsi="Century Schoolbook"/>
        </w:rPr>
        <w:t>“</w:t>
      </w:r>
      <w:r w:rsidRPr="00075FAD">
        <w:rPr>
          <w:rFonts w:ascii="Century Schoolbook" w:hAnsi="Century Schoolbook"/>
        </w:rPr>
        <w:t xml:space="preserve">valid only with </w:t>
      </w:r>
      <w:r w:rsidR="0043558B" w:rsidRPr="00075FAD">
        <w:rPr>
          <w:rFonts w:ascii="Century Schoolbook" w:hAnsi="Century Schoolbook"/>
        </w:rPr>
        <w:t>[</w:t>
      </w:r>
      <w:r w:rsidRPr="00075FAD">
        <w:rPr>
          <w:rFonts w:ascii="Century Schoolbook" w:hAnsi="Century Schoolbook"/>
        </w:rPr>
        <w:t>the</w:t>
      </w:r>
      <w:r w:rsidR="0043558B" w:rsidRPr="00075FAD">
        <w:rPr>
          <w:rFonts w:ascii="Century Schoolbook" w:hAnsi="Century Schoolbook"/>
        </w:rPr>
        <w:t>]</w:t>
      </w:r>
      <w:r w:rsidRPr="00075FAD">
        <w:rPr>
          <w:rFonts w:ascii="Century Schoolbook" w:hAnsi="Century Schoolbook"/>
        </w:rPr>
        <w:t xml:space="preserve"> client’s </w:t>
      </w:r>
      <w:r w:rsidRPr="00075FAD">
        <w:rPr>
          <w:rFonts w:ascii="Century Schoolbook" w:hAnsi="Century Schoolbook"/>
          <w:i/>
          <w:iCs/>
        </w:rPr>
        <w:t>express</w:t>
      </w:r>
      <w:r w:rsidRPr="00075FAD">
        <w:rPr>
          <w:rFonts w:ascii="Century Schoolbook" w:hAnsi="Century Schoolbook"/>
        </w:rPr>
        <w:t xml:space="preserve"> authorization.”</w:t>
      </w:r>
      <w:r w:rsidR="00CD54CF" w:rsidRPr="00075FAD">
        <w:rPr>
          <w:rFonts w:ascii="Century Schoolbook" w:hAnsi="Century Schoolbook"/>
        </w:rPr>
        <w:t xml:space="preserve"> </w:t>
      </w:r>
      <w:r w:rsidRPr="00075FAD">
        <w:rPr>
          <w:rFonts w:ascii="Century Schoolbook" w:hAnsi="Century Schoolbook"/>
        </w:rPr>
        <w:t xml:space="preserve"> (</w:t>
      </w:r>
      <w:r w:rsidRPr="00075FAD">
        <w:rPr>
          <w:rFonts w:ascii="Century Schoolbook" w:hAnsi="Century Schoolbook"/>
          <w:i/>
        </w:rPr>
        <w:t xml:space="preserve">Stewart v. Preston Pipeline Inc. </w:t>
      </w:r>
      <w:r w:rsidRPr="00075FAD">
        <w:rPr>
          <w:rFonts w:ascii="Century Schoolbook" w:hAnsi="Century Schoolbook"/>
        </w:rPr>
        <w:t>(2005) 134 Cal.App.4th 1565</w:t>
      </w:r>
      <w:r w:rsidR="005231C7" w:rsidRPr="00075FAD">
        <w:rPr>
          <w:rFonts w:ascii="Century Schoolbook" w:hAnsi="Century Schoolbook"/>
        </w:rPr>
        <w:t>, 1582</w:t>
      </w:r>
      <w:r w:rsidR="009F3065" w:rsidRPr="00075FAD">
        <w:rPr>
          <w:rFonts w:ascii="Century Schoolbook" w:hAnsi="Century Schoolbook"/>
        </w:rPr>
        <w:t xml:space="preserve">, italics </w:t>
      </w:r>
      <w:r w:rsidR="005231C7" w:rsidRPr="00075FAD">
        <w:rPr>
          <w:rFonts w:ascii="Century Schoolbook" w:hAnsi="Century Schoolbook"/>
        </w:rPr>
        <w:t xml:space="preserve">added; see </w:t>
      </w:r>
      <w:r w:rsidR="00B73F2A" w:rsidRPr="00075FAD">
        <w:rPr>
          <w:rFonts w:ascii="Century Schoolbook" w:hAnsi="Century Schoolbook"/>
          <w:i/>
          <w:iCs/>
        </w:rPr>
        <w:t>Blanton v. Womancare, Inc.</w:t>
      </w:r>
      <w:r w:rsidR="00B73F2A" w:rsidRPr="00075FAD">
        <w:rPr>
          <w:rFonts w:ascii="Century Schoolbook" w:hAnsi="Century Schoolbook"/>
        </w:rPr>
        <w:t xml:space="preserve"> (1985) 38 Cal.3d 396, 40</w:t>
      </w:r>
      <w:r w:rsidR="00EA7158">
        <w:rPr>
          <w:rFonts w:ascii="Century Schoolbook" w:hAnsi="Century Schoolbook"/>
        </w:rPr>
        <w:t>7</w:t>
      </w:r>
      <w:r w:rsidR="00DE46C3" w:rsidRPr="00075FAD">
        <w:rPr>
          <w:rFonts w:ascii="Century Schoolbook" w:hAnsi="Century Schoolbook"/>
        </w:rPr>
        <w:t>;</w:t>
      </w:r>
      <w:r w:rsidR="00DE46C3" w:rsidRPr="00075FAD">
        <w:rPr>
          <w:rFonts w:ascii="Century Schoolbook" w:hAnsi="Century Schoolbook"/>
          <w:b/>
          <w:bCs/>
        </w:rPr>
        <w:t xml:space="preserve"> </w:t>
      </w:r>
      <w:r w:rsidR="00B73F2A" w:rsidRPr="00075FAD">
        <w:rPr>
          <w:rFonts w:ascii="Century Schoolbook" w:hAnsi="Century Schoolbook"/>
        </w:rPr>
        <w:t>Cal. Rules Prof. Conduct, rule</w:t>
      </w:r>
      <w:r w:rsidR="00B73F2A" w:rsidRPr="00075FAD">
        <w:rPr>
          <w:rFonts w:ascii="Century Schoolbook" w:hAnsi="Century Schoolbook"/>
          <w:b/>
          <w:bCs/>
        </w:rPr>
        <w:t xml:space="preserve"> </w:t>
      </w:r>
      <w:r w:rsidR="00B73F2A" w:rsidRPr="00075FAD">
        <w:rPr>
          <w:rFonts w:ascii="Century Schoolbook" w:hAnsi="Century Schoolbook"/>
        </w:rPr>
        <w:t>1.2(a)</w:t>
      </w:r>
      <w:r w:rsidR="00A3306D" w:rsidRPr="00075FAD">
        <w:rPr>
          <w:rFonts w:ascii="Century Schoolbook" w:hAnsi="Century Schoolbook"/>
        </w:rPr>
        <w:t xml:space="preserve">.) </w:t>
      </w:r>
      <w:r w:rsidR="00CF656B" w:rsidRPr="00075FAD">
        <w:rPr>
          <w:rFonts w:ascii="Century Schoolbook" w:hAnsi="Century Schoolbook"/>
        </w:rPr>
        <w:t xml:space="preserve"> </w:t>
      </w:r>
      <w:r w:rsidR="00DE46C3" w:rsidRPr="00075FAD">
        <w:rPr>
          <w:rFonts w:ascii="Century Schoolbook" w:hAnsi="Century Schoolbook"/>
        </w:rPr>
        <w:t xml:space="preserve">In obtaining this </w:t>
      </w:r>
      <w:r w:rsidR="00E107F9" w:rsidRPr="00075FAD">
        <w:rPr>
          <w:rFonts w:ascii="Century Schoolbook" w:hAnsi="Century Schoolbook"/>
        </w:rPr>
        <w:t>authorization</w:t>
      </w:r>
      <w:r w:rsidR="00DE46C3" w:rsidRPr="00075FAD">
        <w:rPr>
          <w:rFonts w:ascii="Century Schoolbook" w:hAnsi="Century Schoolbook"/>
        </w:rPr>
        <w:t xml:space="preserve">, the lawyer must </w:t>
      </w:r>
      <w:r w:rsidR="005231C7" w:rsidRPr="00075FAD">
        <w:rPr>
          <w:rFonts w:ascii="Century Schoolbook" w:hAnsi="Century Schoolbook"/>
        </w:rPr>
        <w:t xml:space="preserve">adequately </w:t>
      </w:r>
      <w:r w:rsidR="009F3065" w:rsidRPr="00075FAD">
        <w:rPr>
          <w:rFonts w:ascii="Century Schoolbook" w:hAnsi="Century Schoolbook"/>
        </w:rPr>
        <w:t xml:space="preserve">apprise </w:t>
      </w:r>
      <w:r w:rsidR="005231C7" w:rsidRPr="00075FAD">
        <w:rPr>
          <w:rFonts w:ascii="Century Schoolbook" w:hAnsi="Century Schoolbook"/>
        </w:rPr>
        <w:t xml:space="preserve">the client of the </w:t>
      </w:r>
      <w:r w:rsidR="00DE46C3" w:rsidRPr="00075FAD">
        <w:rPr>
          <w:rFonts w:ascii="Century Schoolbook" w:hAnsi="Century Schoolbook"/>
        </w:rPr>
        <w:t xml:space="preserve">advantages and disadvantages </w:t>
      </w:r>
      <w:r w:rsidR="005231C7" w:rsidRPr="00075FAD">
        <w:rPr>
          <w:rFonts w:ascii="Century Schoolbook" w:hAnsi="Century Schoolbook"/>
        </w:rPr>
        <w:t xml:space="preserve">of the </w:t>
      </w:r>
      <w:r w:rsidR="00DE46C3" w:rsidRPr="00075FAD">
        <w:rPr>
          <w:rFonts w:ascii="Century Schoolbook" w:hAnsi="Century Schoolbook"/>
        </w:rPr>
        <w:t xml:space="preserve">proposed </w:t>
      </w:r>
      <w:r w:rsidR="005231C7" w:rsidRPr="00075FAD">
        <w:rPr>
          <w:rFonts w:ascii="Century Schoolbook" w:hAnsi="Century Schoolbook"/>
        </w:rPr>
        <w:t xml:space="preserve">settlement and dismissal of </w:t>
      </w:r>
      <w:r w:rsidR="00807C30" w:rsidRPr="00075FAD">
        <w:rPr>
          <w:rFonts w:ascii="Century Schoolbook" w:hAnsi="Century Schoolbook"/>
        </w:rPr>
        <w:t xml:space="preserve">the </w:t>
      </w:r>
      <w:r w:rsidR="005231C7" w:rsidRPr="00075FAD">
        <w:rPr>
          <w:rFonts w:ascii="Century Schoolbook" w:hAnsi="Century Schoolbook"/>
        </w:rPr>
        <w:t>claims.  (</w:t>
      </w:r>
      <w:r w:rsidR="00B73F2A" w:rsidRPr="00075FAD">
        <w:rPr>
          <w:rFonts w:ascii="Century Schoolbook" w:hAnsi="Century Schoolbook"/>
          <w:i/>
        </w:rPr>
        <w:t xml:space="preserve">Bice v. Stevens </w:t>
      </w:r>
      <w:r w:rsidR="00B73F2A" w:rsidRPr="00075FAD">
        <w:rPr>
          <w:rFonts w:ascii="Century Schoolbook" w:hAnsi="Century Schoolbook"/>
        </w:rPr>
        <w:t>(19</w:t>
      </w:r>
      <w:r w:rsidR="00717E12" w:rsidRPr="00075FAD">
        <w:rPr>
          <w:rFonts w:ascii="Century Schoolbook" w:hAnsi="Century Schoolbook"/>
        </w:rPr>
        <w:t>58</w:t>
      </w:r>
      <w:r w:rsidR="00B73F2A" w:rsidRPr="00075FAD">
        <w:rPr>
          <w:rFonts w:ascii="Century Schoolbook" w:hAnsi="Century Schoolbook"/>
        </w:rPr>
        <w:t>) 160 Cal.App.2d 222, 232 [“[w]ithout his client</w:t>
      </w:r>
      <w:r w:rsidR="00E107F9" w:rsidRPr="00075FAD">
        <w:rPr>
          <w:rFonts w:ascii="Century Schoolbook" w:hAnsi="Century Schoolbook"/>
        </w:rPr>
        <w:t>’</w:t>
      </w:r>
      <w:r w:rsidR="00B73F2A" w:rsidRPr="00075FAD">
        <w:rPr>
          <w:rFonts w:ascii="Century Schoolbook" w:hAnsi="Century Schoolbook"/>
        </w:rPr>
        <w:t>s free and intelligent consent, after full knowledge of all the facts and circumstances, an attorney may not surrender any substantial right of his client; nor may he impair, compromise, or destroy his client</w:t>
      </w:r>
      <w:r w:rsidR="00E107F9" w:rsidRPr="00075FAD">
        <w:rPr>
          <w:rFonts w:ascii="Century Schoolbook" w:hAnsi="Century Schoolbook"/>
        </w:rPr>
        <w:t>’</w:t>
      </w:r>
      <w:r w:rsidR="00B73F2A" w:rsidRPr="00075FAD">
        <w:rPr>
          <w:rFonts w:ascii="Century Schoolbook" w:hAnsi="Century Schoolbook"/>
        </w:rPr>
        <w:t>s cause of action”]</w:t>
      </w:r>
      <w:r w:rsidR="005231C7" w:rsidRPr="00075FAD">
        <w:rPr>
          <w:rFonts w:ascii="Century Schoolbook" w:hAnsi="Century Schoolbook"/>
        </w:rPr>
        <w:t>; Cal. Rules Prof. Conduct, rule</w:t>
      </w:r>
      <w:r w:rsidR="00A3306D" w:rsidRPr="00075FAD">
        <w:rPr>
          <w:rFonts w:ascii="Century Schoolbook" w:hAnsi="Century Schoolbook"/>
        </w:rPr>
        <w:t>s</w:t>
      </w:r>
      <w:r w:rsidR="005231C7" w:rsidRPr="00075FAD">
        <w:rPr>
          <w:rFonts w:ascii="Century Schoolbook" w:hAnsi="Century Schoolbook"/>
        </w:rPr>
        <w:t xml:space="preserve"> 1.01(e)</w:t>
      </w:r>
      <w:r w:rsidR="00A3306D" w:rsidRPr="00075FAD">
        <w:rPr>
          <w:rFonts w:ascii="Century Schoolbook" w:hAnsi="Century Schoolbook"/>
        </w:rPr>
        <w:t xml:space="preserve">, 1.4(b), </w:t>
      </w:r>
      <w:r w:rsidR="005231C7" w:rsidRPr="00075FAD">
        <w:rPr>
          <w:rFonts w:ascii="Century Schoolbook" w:hAnsi="Century Schoolbook"/>
        </w:rPr>
        <w:t>1.4.1(a)(2)</w:t>
      </w:r>
      <w:r w:rsidR="00B73F2A" w:rsidRPr="00075FAD">
        <w:rPr>
          <w:rFonts w:ascii="Century Schoolbook" w:hAnsi="Century Schoolbook"/>
        </w:rPr>
        <w:t>.</w:t>
      </w:r>
      <w:r w:rsidR="005231C7" w:rsidRPr="00075FAD">
        <w:rPr>
          <w:rFonts w:ascii="Century Schoolbook" w:hAnsi="Century Schoolbook"/>
        </w:rPr>
        <w:t>)</w:t>
      </w:r>
      <w:r w:rsidR="00405217" w:rsidRPr="00075FAD">
        <w:rPr>
          <w:rFonts w:ascii="Century Schoolbook" w:hAnsi="Century Schoolbook"/>
        </w:rPr>
        <w:t xml:space="preserve">  </w:t>
      </w:r>
      <w:r w:rsidR="00264EC3" w:rsidRPr="00075FAD">
        <w:rPr>
          <w:rFonts w:ascii="Century Schoolbook" w:hAnsi="Century Schoolbook"/>
        </w:rPr>
        <w:t xml:space="preserve">Here, it </w:t>
      </w:r>
      <w:r w:rsidR="002E7D98" w:rsidRPr="00075FAD">
        <w:rPr>
          <w:rFonts w:ascii="Century Schoolbook" w:hAnsi="Century Schoolbook"/>
        </w:rPr>
        <w:t xml:space="preserve">is undisputed that Whirl did not obtain </w:t>
      </w:r>
      <w:r w:rsidR="00B17879" w:rsidRPr="00075FAD">
        <w:rPr>
          <w:rFonts w:ascii="Century Schoolbook" w:hAnsi="Century Schoolbook"/>
        </w:rPr>
        <w:t xml:space="preserve">Mitchell’s express </w:t>
      </w:r>
      <w:r w:rsidR="00E107F9" w:rsidRPr="00075FAD">
        <w:rPr>
          <w:rFonts w:ascii="Century Schoolbook" w:hAnsi="Century Schoolbook"/>
        </w:rPr>
        <w:t xml:space="preserve">authorization </w:t>
      </w:r>
      <w:r w:rsidR="00B17879" w:rsidRPr="00075FAD">
        <w:rPr>
          <w:rFonts w:ascii="Century Schoolbook" w:hAnsi="Century Schoolbook"/>
        </w:rPr>
        <w:t xml:space="preserve">to </w:t>
      </w:r>
      <w:r w:rsidR="00807C30" w:rsidRPr="00075FAD">
        <w:rPr>
          <w:rFonts w:ascii="Century Schoolbook" w:hAnsi="Century Schoolbook"/>
        </w:rPr>
        <w:t xml:space="preserve">sign </w:t>
      </w:r>
      <w:r w:rsidR="00B17879" w:rsidRPr="00075FAD">
        <w:rPr>
          <w:rFonts w:ascii="Century Schoolbook" w:hAnsi="Century Schoolbook"/>
        </w:rPr>
        <w:t xml:space="preserve">the </w:t>
      </w:r>
      <w:r w:rsidR="002E7D98" w:rsidRPr="00075FAD">
        <w:rPr>
          <w:rFonts w:ascii="Century Schoolbook" w:hAnsi="Century Schoolbook"/>
        </w:rPr>
        <w:t xml:space="preserve">Stipulation or file the request for </w:t>
      </w:r>
      <w:r w:rsidR="00B17879" w:rsidRPr="00075FAD">
        <w:rPr>
          <w:rFonts w:ascii="Century Schoolbook" w:hAnsi="Century Schoolbook"/>
        </w:rPr>
        <w:t>dismissal</w:t>
      </w:r>
      <w:r w:rsidR="00405217" w:rsidRPr="00075FAD">
        <w:rPr>
          <w:rFonts w:ascii="Century Schoolbook" w:hAnsi="Century Schoolbook"/>
        </w:rPr>
        <w:t xml:space="preserve">, and </w:t>
      </w:r>
      <w:r w:rsidR="00F60038" w:rsidRPr="00075FAD">
        <w:rPr>
          <w:rFonts w:ascii="Century Schoolbook" w:hAnsi="Century Schoolbook"/>
        </w:rPr>
        <w:t xml:space="preserve">Mitchell’s </w:t>
      </w:r>
      <w:r w:rsidR="00807C30" w:rsidRPr="00075FAD">
        <w:rPr>
          <w:rFonts w:ascii="Century Schoolbook" w:hAnsi="Century Schoolbook"/>
        </w:rPr>
        <w:t xml:space="preserve">mere </w:t>
      </w:r>
      <w:r w:rsidR="00F60038" w:rsidRPr="00075FAD">
        <w:rPr>
          <w:rFonts w:ascii="Century Schoolbook" w:hAnsi="Century Schoolbook"/>
        </w:rPr>
        <w:t xml:space="preserve">silence in the face of </w:t>
      </w:r>
      <w:r w:rsidR="00B87C2B" w:rsidRPr="00075FAD">
        <w:rPr>
          <w:rFonts w:ascii="Century Schoolbook" w:hAnsi="Century Schoolbook"/>
        </w:rPr>
        <w:t xml:space="preserve">Whirl’s </w:t>
      </w:r>
      <w:r w:rsidR="00B17879" w:rsidRPr="00075FAD">
        <w:rPr>
          <w:rFonts w:ascii="Century Schoolbook" w:hAnsi="Century Schoolbook"/>
        </w:rPr>
        <w:t xml:space="preserve">December 14 and December 21 </w:t>
      </w:r>
      <w:r w:rsidR="00F60038" w:rsidRPr="00075FAD">
        <w:rPr>
          <w:rFonts w:ascii="Century Schoolbook" w:hAnsi="Century Schoolbook"/>
        </w:rPr>
        <w:t xml:space="preserve">communications </w:t>
      </w:r>
      <w:r w:rsidR="00617086" w:rsidRPr="00075FAD">
        <w:rPr>
          <w:rFonts w:ascii="Century Schoolbook" w:hAnsi="Century Schoolbook"/>
        </w:rPr>
        <w:t xml:space="preserve">did not constitute express </w:t>
      </w:r>
      <w:r w:rsidR="00E107F9" w:rsidRPr="00075FAD">
        <w:rPr>
          <w:rFonts w:ascii="Century Schoolbook" w:hAnsi="Century Schoolbook"/>
        </w:rPr>
        <w:t>authorization</w:t>
      </w:r>
      <w:r w:rsidR="00617086" w:rsidRPr="00075FAD">
        <w:rPr>
          <w:rFonts w:ascii="Century Schoolbook" w:hAnsi="Century Schoolbook"/>
        </w:rPr>
        <w:t>.</w:t>
      </w:r>
      <w:r w:rsidR="00A3306D" w:rsidRPr="00075FAD">
        <w:rPr>
          <w:rStyle w:val="FootnoteReference"/>
          <w:rFonts w:ascii="Century Schoolbook" w:hAnsi="Century Schoolbook"/>
        </w:rPr>
        <w:footnoteReference w:id="4"/>
      </w:r>
    </w:p>
    <w:p w14:paraId="38EF1A6A" w14:textId="6D94BD14" w:rsidR="00CF656B" w:rsidRPr="00075FAD" w:rsidRDefault="005231C7" w:rsidP="00CF656B">
      <w:pPr>
        <w:pStyle w:val="BodyText"/>
        <w:widowControl/>
        <w:spacing w:line="360" w:lineRule="auto"/>
        <w:rPr>
          <w:rFonts w:ascii="Century Schoolbook" w:hAnsi="Century Schoolbook"/>
        </w:rPr>
      </w:pPr>
      <w:r w:rsidRPr="00075FAD">
        <w:rPr>
          <w:rFonts w:ascii="Century Schoolbook" w:hAnsi="Century Schoolbook"/>
        </w:rPr>
        <w:lastRenderedPageBreak/>
        <w:tab/>
        <w:t xml:space="preserve">In </w:t>
      </w:r>
      <w:r w:rsidR="00DE46C3" w:rsidRPr="00075FAD">
        <w:rPr>
          <w:rFonts w:ascii="Century Schoolbook" w:hAnsi="Century Schoolbook"/>
        </w:rPr>
        <w:t xml:space="preserve">its </w:t>
      </w:r>
      <w:r w:rsidRPr="00075FAD">
        <w:rPr>
          <w:rFonts w:ascii="Century Schoolbook" w:hAnsi="Century Schoolbook"/>
        </w:rPr>
        <w:t xml:space="preserve">reply brief, Mitchell </w:t>
      </w:r>
      <w:r w:rsidR="00F62811" w:rsidRPr="00075FAD">
        <w:rPr>
          <w:rFonts w:ascii="Century Schoolbook" w:hAnsi="Century Schoolbook"/>
        </w:rPr>
        <w:t>contends</w:t>
      </w:r>
      <w:r w:rsidR="009F3065" w:rsidRPr="00075FAD">
        <w:rPr>
          <w:rFonts w:ascii="Century Schoolbook" w:hAnsi="Century Schoolbook"/>
        </w:rPr>
        <w:t xml:space="preserve"> Whirl’s</w:t>
      </w:r>
      <w:r w:rsidR="00885D5D" w:rsidRPr="00075FAD">
        <w:rPr>
          <w:rFonts w:ascii="Century Schoolbook" w:hAnsi="Century Schoolbook"/>
        </w:rPr>
        <w:t xml:space="preserve"> neglect was </w:t>
      </w:r>
      <w:r w:rsidR="009F3065" w:rsidRPr="00075FAD">
        <w:rPr>
          <w:rFonts w:ascii="Century Schoolbook" w:hAnsi="Century Schoolbook"/>
        </w:rPr>
        <w:t xml:space="preserve">excusable because her </w:t>
      </w:r>
      <w:r w:rsidRPr="00075FAD">
        <w:rPr>
          <w:rFonts w:ascii="Century Schoolbook" w:hAnsi="Century Schoolbook"/>
        </w:rPr>
        <w:t>“pattern of interactions with her client falsely but reasonably gave her the impression that she had authority to sign the Dismissal</w:t>
      </w:r>
      <w:r w:rsidR="005A7ED6" w:rsidRPr="00075FAD">
        <w:rPr>
          <w:rFonts w:ascii="Century Schoolbook" w:hAnsi="Century Schoolbook"/>
        </w:rPr>
        <w:t>.</w:t>
      </w:r>
      <w:r w:rsidRPr="00075FAD">
        <w:rPr>
          <w:rFonts w:ascii="Century Schoolbook" w:hAnsi="Century Schoolbook"/>
        </w:rPr>
        <w:t xml:space="preserve">” </w:t>
      </w:r>
      <w:r w:rsidR="005A7ED6" w:rsidRPr="00075FAD">
        <w:rPr>
          <w:rFonts w:ascii="Century Schoolbook" w:hAnsi="Century Schoolbook"/>
        </w:rPr>
        <w:t xml:space="preserve"> According</w:t>
      </w:r>
      <w:r w:rsidR="006534D9" w:rsidRPr="00075FAD">
        <w:rPr>
          <w:rFonts w:ascii="Century Schoolbook" w:hAnsi="Century Schoolbook"/>
        </w:rPr>
        <w:t xml:space="preserve"> to Mitchell</w:t>
      </w:r>
      <w:r w:rsidR="005A7ED6" w:rsidRPr="00075FAD">
        <w:rPr>
          <w:rFonts w:ascii="Century Schoolbook" w:hAnsi="Century Schoolbook"/>
        </w:rPr>
        <w:t xml:space="preserve">, </w:t>
      </w:r>
      <w:r w:rsidR="00F62811" w:rsidRPr="00075FAD">
        <w:rPr>
          <w:rFonts w:ascii="Century Schoolbook" w:hAnsi="Century Schoolbook"/>
        </w:rPr>
        <w:t xml:space="preserve">it </w:t>
      </w:r>
      <w:r w:rsidRPr="00075FAD">
        <w:rPr>
          <w:rFonts w:ascii="Century Schoolbook" w:hAnsi="Century Schoolbook"/>
        </w:rPr>
        <w:t xml:space="preserve">would regularly respond to </w:t>
      </w:r>
      <w:r w:rsidR="00F62811" w:rsidRPr="00075FAD">
        <w:rPr>
          <w:rFonts w:ascii="Century Schoolbook" w:hAnsi="Century Schoolbook"/>
        </w:rPr>
        <w:t xml:space="preserve">Whirl’s </w:t>
      </w:r>
      <w:r w:rsidRPr="00075FAD">
        <w:rPr>
          <w:rFonts w:ascii="Century Schoolbook" w:hAnsi="Century Schoolbook"/>
        </w:rPr>
        <w:t xml:space="preserve">emails but gave no response to her email about the </w:t>
      </w:r>
      <w:r w:rsidR="00F62811" w:rsidRPr="00075FAD">
        <w:rPr>
          <w:rFonts w:ascii="Century Schoolbook" w:hAnsi="Century Schoolbook"/>
        </w:rPr>
        <w:t xml:space="preserve">proposed </w:t>
      </w:r>
      <w:r w:rsidRPr="00075FAD">
        <w:rPr>
          <w:rFonts w:ascii="Century Schoolbook" w:hAnsi="Century Schoolbook"/>
        </w:rPr>
        <w:t xml:space="preserve">dismissal.  In stark contrast to its argument </w:t>
      </w:r>
      <w:r w:rsidR="009F3065" w:rsidRPr="00075FAD">
        <w:rPr>
          <w:rFonts w:ascii="Century Schoolbook" w:hAnsi="Century Schoolbook"/>
        </w:rPr>
        <w:t xml:space="preserve">elsewhere </w:t>
      </w:r>
      <w:r w:rsidRPr="00075FAD">
        <w:rPr>
          <w:rFonts w:ascii="Century Schoolbook" w:hAnsi="Century Schoolbook"/>
        </w:rPr>
        <w:t>that a lawyer must obtain express authorization from the client to compromise the client’s substantial rights, Mitchell urges that</w:t>
      </w:r>
      <w:r w:rsidR="00F62811" w:rsidRPr="00075FAD">
        <w:rPr>
          <w:rFonts w:ascii="Century Schoolbook" w:hAnsi="Century Schoolbook"/>
        </w:rPr>
        <w:t>, as a result,</w:t>
      </w:r>
      <w:r w:rsidRPr="00075FAD">
        <w:rPr>
          <w:rFonts w:ascii="Century Schoolbook" w:hAnsi="Century Schoolbook"/>
        </w:rPr>
        <w:t xml:space="preserve"> “Whirl reasonably believed that Mr. Mitchell’s silence represented his approval of her dismissal of the cross-complaint.” </w:t>
      </w:r>
      <w:r w:rsidR="00807C30" w:rsidRPr="00075FAD">
        <w:rPr>
          <w:rFonts w:ascii="Century Schoolbook" w:hAnsi="Century Schoolbook"/>
        </w:rPr>
        <w:t xml:space="preserve"> </w:t>
      </w:r>
      <w:r w:rsidRPr="00075FAD">
        <w:rPr>
          <w:rFonts w:ascii="Century Schoolbook" w:hAnsi="Century Schoolbook"/>
        </w:rPr>
        <w:t xml:space="preserve">Mitchell provides no authority that a </w:t>
      </w:r>
      <w:r w:rsidR="009F3065" w:rsidRPr="00075FAD">
        <w:rPr>
          <w:rFonts w:ascii="Century Schoolbook" w:hAnsi="Century Schoolbook"/>
        </w:rPr>
        <w:t>lawyer’s f</w:t>
      </w:r>
      <w:r w:rsidRPr="00075FAD">
        <w:rPr>
          <w:rFonts w:ascii="Century Schoolbook" w:hAnsi="Century Schoolbook"/>
        </w:rPr>
        <w:t>ailure to obtain express authorization to dismiss a claim is excusable as long as the lawyer thought authorization-by-silence was sufficient.</w:t>
      </w:r>
      <w:r w:rsidR="00C94244" w:rsidRPr="00075FAD">
        <w:rPr>
          <w:rFonts w:ascii="Century Schoolbook" w:hAnsi="Century Schoolbook"/>
        </w:rPr>
        <w:t xml:space="preserve">  </w:t>
      </w:r>
      <w:r w:rsidR="00F62811" w:rsidRPr="00075FAD">
        <w:rPr>
          <w:rFonts w:ascii="Century Schoolbook" w:hAnsi="Century Schoolbook"/>
        </w:rPr>
        <w:t xml:space="preserve">In any event, he </w:t>
      </w:r>
      <w:r w:rsidR="00C94244" w:rsidRPr="00075FAD">
        <w:rPr>
          <w:rFonts w:ascii="Century Schoolbook" w:hAnsi="Century Schoolbook"/>
        </w:rPr>
        <w:t>fails to establish error.</w:t>
      </w:r>
      <w:r w:rsidR="00264EC3" w:rsidRPr="00075FAD">
        <w:rPr>
          <w:rFonts w:ascii="Century Schoolbook" w:hAnsi="Century Schoolbook"/>
        </w:rPr>
        <w:t xml:space="preserve">  </w:t>
      </w:r>
      <w:r w:rsidR="00CF656B" w:rsidRPr="00075FAD">
        <w:rPr>
          <w:rFonts w:ascii="Century Schoolbook" w:hAnsi="Century Schoolbook"/>
        </w:rPr>
        <w:t xml:space="preserve">(See </w:t>
      </w:r>
      <w:r w:rsidR="00CF656B" w:rsidRPr="00075FAD">
        <w:rPr>
          <w:rFonts w:ascii="Century Schoolbook" w:hAnsi="Century Schoolbook"/>
          <w:i/>
        </w:rPr>
        <w:t xml:space="preserve">Huh v. Wang </w:t>
      </w:r>
      <w:r w:rsidR="00CF656B" w:rsidRPr="00075FAD">
        <w:rPr>
          <w:rFonts w:ascii="Century Schoolbook" w:hAnsi="Century Schoolbook"/>
        </w:rPr>
        <w:t xml:space="preserve">(2007) 158 Cal.App.4th 1406, 1419 [“The inexcusable neglect of an attorney is usually not a proper basis for granting the client's motion under section 473.”]; </w:t>
      </w:r>
      <w:r w:rsidR="00CF656B" w:rsidRPr="00075FAD">
        <w:rPr>
          <w:rFonts w:ascii="Century Schoolbook" w:hAnsi="Century Schoolbook"/>
          <w:i/>
        </w:rPr>
        <w:t xml:space="preserve">Zamora v. Clayborn Contracting Group, Inc </w:t>
      </w:r>
      <w:r w:rsidR="00CF656B" w:rsidRPr="00075FAD">
        <w:rPr>
          <w:rFonts w:ascii="Century Schoolbook" w:hAnsi="Century Schoolbook"/>
        </w:rPr>
        <w:t xml:space="preserve">(2002) 28 Cal.4th 249, 258 </w:t>
      </w:r>
      <w:r w:rsidR="00903D99" w:rsidRPr="00075FAD">
        <w:rPr>
          <w:rFonts w:ascii="Century Schoolbook" w:hAnsi="Century Schoolbook"/>
        </w:rPr>
        <w:t>(</w:t>
      </w:r>
      <w:r w:rsidR="00903D99" w:rsidRPr="00075FAD">
        <w:rPr>
          <w:rFonts w:ascii="Century Schoolbook" w:hAnsi="Century Schoolbook"/>
          <w:i/>
          <w:iCs/>
        </w:rPr>
        <w:t>Zamora</w:t>
      </w:r>
      <w:r w:rsidR="00903D99" w:rsidRPr="00075FAD">
        <w:rPr>
          <w:rFonts w:ascii="Century Schoolbook" w:hAnsi="Century Schoolbook"/>
        </w:rPr>
        <w:t>)</w:t>
      </w:r>
      <w:r w:rsidR="00903D99" w:rsidRPr="00075FAD">
        <w:rPr>
          <w:rFonts w:ascii="Century Schoolbook" w:hAnsi="Century Schoolbook"/>
          <w:i/>
          <w:iCs/>
        </w:rPr>
        <w:t xml:space="preserve"> </w:t>
      </w:r>
      <w:r w:rsidR="00CF656B" w:rsidRPr="00075FAD">
        <w:rPr>
          <w:rFonts w:ascii="Century Schoolbook" w:hAnsi="Century Schoolbook"/>
        </w:rPr>
        <w:t>[“the discretionary relief provision of section 473 only permits relief from attorney error ‘fairly imputable to the client, i.e., mistakes anyone could have made,’</w:t>
      </w:r>
      <w:r w:rsidR="00570EE1" w:rsidRPr="00075FAD">
        <w:rPr>
          <w:rFonts w:ascii="Century Schoolbook" w:hAnsi="Century Schoolbook"/>
        </w:rPr>
        <w:t xml:space="preserve"> </w:t>
      </w:r>
      <w:r w:rsidR="00CF656B" w:rsidRPr="00075FAD">
        <w:rPr>
          <w:rFonts w:ascii="Century Schoolbook" w:hAnsi="Century Schoolbook"/>
        </w:rPr>
        <w:t>” and “ ‘[c]onduct falling below the professional standard of care, such as failure to timely object or to properly advance an argument, is not therefore excusable”].)</w:t>
      </w:r>
    </w:p>
    <w:p w14:paraId="5F25B505" w14:textId="5AE9F1C2" w:rsidR="00F50E32" w:rsidRPr="00075FAD" w:rsidRDefault="00F50E32" w:rsidP="006444C5">
      <w:pPr>
        <w:pStyle w:val="BodyText"/>
        <w:keepNext/>
        <w:widowControl/>
        <w:spacing w:line="360" w:lineRule="auto"/>
        <w:rPr>
          <w:rFonts w:ascii="Century Schoolbook" w:hAnsi="Century Schoolbook"/>
          <w:i/>
          <w:iCs/>
        </w:rPr>
      </w:pPr>
      <w:r w:rsidRPr="00075FAD">
        <w:rPr>
          <w:rFonts w:ascii="Century Schoolbook" w:hAnsi="Century Schoolbook"/>
        </w:rPr>
        <w:tab/>
      </w:r>
      <w:r w:rsidRPr="00075FAD">
        <w:rPr>
          <w:rFonts w:ascii="Century Schoolbook" w:hAnsi="Century Schoolbook"/>
        </w:rPr>
        <w:tab/>
      </w:r>
      <w:r w:rsidR="009D0583" w:rsidRPr="00075FAD">
        <w:rPr>
          <w:rFonts w:ascii="Century Schoolbook" w:hAnsi="Century Schoolbook"/>
        </w:rPr>
        <w:t xml:space="preserve">3.  </w:t>
      </w:r>
      <w:r w:rsidRPr="00075FAD">
        <w:rPr>
          <w:rFonts w:ascii="Century Schoolbook" w:hAnsi="Century Schoolbook"/>
          <w:u w:val="single"/>
        </w:rPr>
        <w:t>Untimeliness</w:t>
      </w:r>
    </w:p>
    <w:p w14:paraId="332480A6" w14:textId="2B221390" w:rsidR="001F3D27" w:rsidRPr="00075FAD" w:rsidRDefault="00676AC2" w:rsidP="00F543F4">
      <w:pPr>
        <w:pStyle w:val="BodyText"/>
        <w:widowControl/>
        <w:spacing w:line="360" w:lineRule="auto"/>
        <w:rPr>
          <w:rFonts w:ascii="Century Schoolbook" w:hAnsi="Century Schoolbook"/>
        </w:rPr>
      </w:pPr>
      <w:r w:rsidRPr="00075FAD">
        <w:rPr>
          <w:rFonts w:ascii="Century Schoolbook" w:hAnsi="Century Schoolbook"/>
        </w:rPr>
        <w:tab/>
      </w:r>
      <w:r w:rsidR="000F4659" w:rsidRPr="00075FAD">
        <w:rPr>
          <w:rFonts w:ascii="Century Schoolbook" w:hAnsi="Century Schoolbook"/>
        </w:rPr>
        <w:t xml:space="preserve">Even if there was surprise or excusable neglect, </w:t>
      </w:r>
      <w:r w:rsidR="00733DE6" w:rsidRPr="00075FAD">
        <w:rPr>
          <w:rFonts w:ascii="Century Schoolbook" w:hAnsi="Century Schoolbook"/>
        </w:rPr>
        <w:t>application for relief under section 473, subdivision (b)</w:t>
      </w:r>
      <w:r w:rsidR="00DD4869" w:rsidRPr="00075FAD">
        <w:rPr>
          <w:rFonts w:ascii="Century Schoolbook" w:hAnsi="Century Schoolbook"/>
        </w:rPr>
        <w:t xml:space="preserve"> </w:t>
      </w:r>
      <w:r w:rsidR="000B46C6" w:rsidRPr="00075FAD">
        <w:rPr>
          <w:rFonts w:ascii="Century Schoolbook" w:hAnsi="Century Schoolbook"/>
        </w:rPr>
        <w:t xml:space="preserve">must be “made </w:t>
      </w:r>
      <w:r w:rsidR="00733DE6" w:rsidRPr="00075FAD">
        <w:rPr>
          <w:rFonts w:ascii="Century Schoolbook" w:hAnsi="Century Schoolbook"/>
          <w:i/>
          <w:iCs/>
        </w:rPr>
        <w:t>within a reasonable time</w:t>
      </w:r>
      <w:r w:rsidR="00733DE6" w:rsidRPr="00075FAD">
        <w:rPr>
          <w:rFonts w:ascii="Century Schoolbook" w:hAnsi="Century Schoolbook"/>
        </w:rPr>
        <w:t xml:space="preserve">, in no case exceeding six months, after the judgment, dismissal, order, or proceeding was taken.”  </w:t>
      </w:r>
      <w:r w:rsidR="00DD4869" w:rsidRPr="00075FAD">
        <w:rPr>
          <w:rFonts w:ascii="Century Schoolbook" w:hAnsi="Century Schoolbook"/>
        </w:rPr>
        <w:t>(</w:t>
      </w:r>
      <w:r w:rsidR="00A3306D" w:rsidRPr="00075FAD">
        <w:rPr>
          <w:rFonts w:ascii="Century Schoolbook" w:hAnsi="Century Schoolbook"/>
        </w:rPr>
        <w:t xml:space="preserve">§ </w:t>
      </w:r>
      <w:r w:rsidR="00DD4869" w:rsidRPr="00075FAD">
        <w:rPr>
          <w:rFonts w:ascii="Century Schoolbook" w:hAnsi="Century Schoolbook"/>
        </w:rPr>
        <w:t>473, subd. (b)</w:t>
      </w:r>
      <w:r w:rsidR="00DE46C3" w:rsidRPr="00075FAD">
        <w:rPr>
          <w:rFonts w:ascii="Century Schoolbook" w:hAnsi="Century Schoolbook"/>
        </w:rPr>
        <w:t xml:space="preserve">; italics </w:t>
      </w:r>
      <w:r w:rsidR="00EF7AAD" w:rsidRPr="00075FAD">
        <w:rPr>
          <w:rFonts w:ascii="Century Schoolbook" w:hAnsi="Century Schoolbook"/>
        </w:rPr>
        <w:t>added.)</w:t>
      </w:r>
      <w:r w:rsidR="001F3D27" w:rsidRPr="00075FAD">
        <w:rPr>
          <w:rFonts w:ascii="Century Schoolbook" w:hAnsi="Century Schoolbook"/>
        </w:rPr>
        <w:t xml:space="preserve">  Although the trial court did not rule whether the motion was timely, DeHaro and Bradley argued </w:t>
      </w:r>
      <w:r w:rsidR="001F3D27" w:rsidRPr="00026073">
        <w:rPr>
          <w:rFonts w:ascii="Century Schoolbook" w:hAnsi="Century Schoolbook"/>
        </w:rPr>
        <w:t xml:space="preserve">untimeliness in their opposition, and we may uphold the court’s </w:t>
      </w:r>
      <w:r w:rsidR="001F3D27" w:rsidRPr="00026073">
        <w:rPr>
          <w:rFonts w:ascii="Century Schoolbook" w:hAnsi="Century Schoolbook"/>
        </w:rPr>
        <w:lastRenderedPageBreak/>
        <w:t xml:space="preserve">ruling on any </w:t>
      </w:r>
      <w:r w:rsidR="00CB3F3A" w:rsidRPr="00026073">
        <w:rPr>
          <w:rFonts w:ascii="Century Schoolbook" w:hAnsi="Century Schoolbook"/>
        </w:rPr>
        <w:t xml:space="preserve">correct </w:t>
      </w:r>
      <w:r w:rsidR="001F3D27" w:rsidRPr="00026073">
        <w:rPr>
          <w:rFonts w:ascii="Century Schoolbook" w:hAnsi="Century Schoolbook"/>
        </w:rPr>
        <w:t>ground</w:t>
      </w:r>
      <w:r w:rsidR="00CB3F3A" w:rsidRPr="00026073">
        <w:rPr>
          <w:rFonts w:ascii="Century Schoolbook" w:hAnsi="Century Schoolbook"/>
        </w:rPr>
        <w:t xml:space="preserve"> supported by the record</w:t>
      </w:r>
      <w:r w:rsidR="00903D99" w:rsidRPr="00026073">
        <w:rPr>
          <w:rFonts w:ascii="Century Schoolbook" w:hAnsi="Century Schoolbook"/>
        </w:rPr>
        <w:t xml:space="preserve">. </w:t>
      </w:r>
      <w:r w:rsidR="001F3D27" w:rsidRPr="00026073">
        <w:rPr>
          <w:rFonts w:ascii="Century Schoolbook" w:hAnsi="Century Schoolbook"/>
        </w:rPr>
        <w:t xml:space="preserve"> (</w:t>
      </w:r>
      <w:r w:rsidR="001F3D27" w:rsidRPr="00075FAD">
        <w:rPr>
          <w:rFonts w:ascii="Century Schoolbook" w:hAnsi="Century Schoolbook"/>
          <w:i/>
          <w:iCs/>
        </w:rPr>
        <w:t>ASP Properties Group, L.P. v. Fard, Inc</w:t>
      </w:r>
      <w:r w:rsidR="001F3D27" w:rsidRPr="00075FAD">
        <w:rPr>
          <w:rFonts w:ascii="Century Schoolbook" w:hAnsi="Century Schoolbook"/>
        </w:rPr>
        <w:t>. (2005) 133 Cal.App.4th 1257, 1268</w:t>
      </w:r>
      <w:r w:rsidR="00903D99" w:rsidRPr="00075FAD">
        <w:rPr>
          <w:rFonts w:ascii="Century Schoolbook" w:hAnsi="Century Schoolbook"/>
        </w:rPr>
        <w:t>.</w:t>
      </w:r>
      <w:r w:rsidR="001F3D27" w:rsidRPr="00075FAD">
        <w:rPr>
          <w:rFonts w:ascii="Century Schoolbook" w:hAnsi="Century Schoolbook"/>
        </w:rPr>
        <w:t xml:space="preserve">)  </w:t>
      </w:r>
      <w:r w:rsidR="00CE7FB7" w:rsidRPr="00075FAD">
        <w:rPr>
          <w:rFonts w:ascii="Century Schoolbook" w:hAnsi="Century Schoolbook"/>
        </w:rPr>
        <w:t>Thus, we independently uphold the denial of Mitchell’s motion under subdivision (b) for untimeliness.</w:t>
      </w:r>
    </w:p>
    <w:p w14:paraId="693DB784" w14:textId="1D29AC56" w:rsidR="00F3310E" w:rsidRPr="00075FAD" w:rsidRDefault="001F3D27" w:rsidP="00F543F4">
      <w:pPr>
        <w:pStyle w:val="BodyText"/>
        <w:widowControl/>
        <w:spacing w:line="360" w:lineRule="auto"/>
        <w:rPr>
          <w:rFonts w:ascii="Century Schoolbook" w:hAnsi="Century Schoolbook"/>
        </w:rPr>
      </w:pPr>
      <w:r w:rsidRPr="00075FAD">
        <w:rPr>
          <w:rFonts w:ascii="Century Schoolbook" w:hAnsi="Century Schoolbook"/>
        </w:rPr>
        <w:tab/>
      </w:r>
      <w:r w:rsidR="00CC01D6" w:rsidRPr="00075FAD">
        <w:rPr>
          <w:rFonts w:ascii="Century Schoolbook" w:hAnsi="Century Schoolbook"/>
        </w:rPr>
        <w:t xml:space="preserve">Here, the dismissal was entered </w:t>
      </w:r>
      <w:r w:rsidR="00E65865" w:rsidRPr="00075FAD">
        <w:rPr>
          <w:rFonts w:ascii="Century Schoolbook" w:hAnsi="Century Schoolbook"/>
        </w:rPr>
        <w:t xml:space="preserve">on </w:t>
      </w:r>
      <w:r w:rsidR="003F25D4" w:rsidRPr="00075FAD">
        <w:rPr>
          <w:rFonts w:ascii="Century Schoolbook" w:hAnsi="Century Schoolbook"/>
        </w:rPr>
        <w:t>January 5, 2022</w:t>
      </w:r>
      <w:r w:rsidRPr="00075FAD">
        <w:rPr>
          <w:rFonts w:ascii="Century Schoolbook" w:hAnsi="Century Schoolbook"/>
        </w:rPr>
        <w:t xml:space="preserve">.  </w:t>
      </w:r>
      <w:r w:rsidR="000F4659" w:rsidRPr="00075FAD">
        <w:rPr>
          <w:rFonts w:ascii="Century Schoolbook" w:hAnsi="Century Schoolbook"/>
        </w:rPr>
        <w:t xml:space="preserve">Mitchell did not apply for relief </w:t>
      </w:r>
      <w:r w:rsidR="00CC01D6" w:rsidRPr="00075FAD">
        <w:rPr>
          <w:rFonts w:ascii="Century Schoolbook" w:hAnsi="Century Schoolbook"/>
        </w:rPr>
        <w:t xml:space="preserve">until </w:t>
      </w:r>
      <w:r w:rsidR="003F25D4" w:rsidRPr="00075FAD">
        <w:rPr>
          <w:rFonts w:ascii="Century Schoolbook" w:hAnsi="Century Schoolbook"/>
        </w:rPr>
        <w:t>nearly six months later</w:t>
      </w:r>
      <w:r w:rsidR="00E65865" w:rsidRPr="00075FAD">
        <w:rPr>
          <w:rFonts w:ascii="Century Schoolbook" w:hAnsi="Century Schoolbook"/>
        </w:rPr>
        <w:t>,</w:t>
      </w:r>
      <w:r w:rsidR="003F25D4" w:rsidRPr="00075FAD">
        <w:rPr>
          <w:rFonts w:ascii="Century Schoolbook" w:hAnsi="Century Schoolbook"/>
        </w:rPr>
        <w:t xml:space="preserve"> </w:t>
      </w:r>
      <w:r w:rsidR="00E65865" w:rsidRPr="00075FAD">
        <w:rPr>
          <w:rFonts w:ascii="Century Schoolbook" w:hAnsi="Century Schoolbook"/>
        </w:rPr>
        <w:t xml:space="preserve">by ex parte application </w:t>
      </w:r>
      <w:r w:rsidR="00F920E7" w:rsidRPr="00075FAD">
        <w:rPr>
          <w:rFonts w:ascii="Century Schoolbook" w:hAnsi="Century Schoolbook"/>
        </w:rPr>
        <w:t xml:space="preserve">on </w:t>
      </w:r>
      <w:r w:rsidR="003F25D4" w:rsidRPr="00075FAD">
        <w:rPr>
          <w:rFonts w:ascii="Century Schoolbook" w:hAnsi="Century Schoolbook"/>
        </w:rPr>
        <w:t>June 29, 2022</w:t>
      </w:r>
      <w:r w:rsidR="00E65865" w:rsidRPr="00075FAD">
        <w:rPr>
          <w:rFonts w:ascii="Century Schoolbook" w:hAnsi="Century Schoolbook"/>
        </w:rPr>
        <w:t>, and</w:t>
      </w:r>
      <w:r w:rsidR="000F4659" w:rsidRPr="00075FAD">
        <w:rPr>
          <w:rFonts w:ascii="Century Schoolbook" w:hAnsi="Century Schoolbook"/>
        </w:rPr>
        <w:t xml:space="preserve"> by </w:t>
      </w:r>
      <w:r w:rsidR="00E65865" w:rsidRPr="00075FAD">
        <w:rPr>
          <w:rFonts w:ascii="Century Schoolbook" w:hAnsi="Century Schoolbook"/>
        </w:rPr>
        <w:t xml:space="preserve">noticed motion on </w:t>
      </w:r>
      <w:r w:rsidR="00F920E7" w:rsidRPr="00075FAD">
        <w:rPr>
          <w:rFonts w:ascii="Century Schoolbook" w:hAnsi="Century Schoolbook"/>
        </w:rPr>
        <w:t>July 1, 2022</w:t>
      </w:r>
      <w:r w:rsidR="003F25D4" w:rsidRPr="00075FAD">
        <w:rPr>
          <w:rFonts w:ascii="Century Schoolbook" w:hAnsi="Century Schoolbook"/>
        </w:rPr>
        <w:t>.</w:t>
      </w:r>
      <w:r w:rsidRPr="00075FAD">
        <w:rPr>
          <w:rFonts w:ascii="Century Schoolbook" w:hAnsi="Century Schoolbook"/>
        </w:rPr>
        <w:t xml:space="preserve">  </w:t>
      </w:r>
      <w:r w:rsidR="0030225B" w:rsidRPr="00075FAD">
        <w:rPr>
          <w:rFonts w:ascii="Century Schoolbook" w:hAnsi="Century Schoolbook"/>
        </w:rPr>
        <w:t xml:space="preserve">Even though Mitchell filed </w:t>
      </w:r>
      <w:r w:rsidR="00CE7FB7" w:rsidRPr="00075FAD">
        <w:rPr>
          <w:rFonts w:ascii="Century Schoolbook" w:hAnsi="Century Schoolbook"/>
        </w:rPr>
        <w:t xml:space="preserve">its motion </w:t>
      </w:r>
      <w:r w:rsidR="0030225B" w:rsidRPr="00075FAD">
        <w:rPr>
          <w:rFonts w:ascii="Century Schoolbook" w:hAnsi="Century Schoolbook"/>
        </w:rPr>
        <w:t xml:space="preserve">within </w:t>
      </w:r>
      <w:r w:rsidR="00E163D7" w:rsidRPr="00075FAD">
        <w:rPr>
          <w:rFonts w:ascii="Century Schoolbook" w:hAnsi="Century Schoolbook"/>
        </w:rPr>
        <w:t xml:space="preserve">the </w:t>
      </w:r>
      <w:r w:rsidR="0030225B" w:rsidRPr="00075FAD">
        <w:rPr>
          <w:rFonts w:ascii="Century Schoolbook" w:hAnsi="Century Schoolbook"/>
        </w:rPr>
        <w:t>six month</w:t>
      </w:r>
      <w:r w:rsidR="00CE7FB7" w:rsidRPr="00075FAD">
        <w:rPr>
          <w:rFonts w:ascii="Century Schoolbook" w:hAnsi="Century Schoolbook"/>
        </w:rPr>
        <w:t xml:space="preserve"> limit established by section 473, subdivision (b)</w:t>
      </w:r>
      <w:r w:rsidR="0030225B" w:rsidRPr="00075FAD">
        <w:rPr>
          <w:rFonts w:ascii="Century Schoolbook" w:hAnsi="Century Schoolbook"/>
        </w:rPr>
        <w:t xml:space="preserve">, it </w:t>
      </w:r>
      <w:r w:rsidR="00CE7FB7" w:rsidRPr="00075FAD">
        <w:rPr>
          <w:rFonts w:ascii="Century Schoolbook" w:hAnsi="Century Schoolbook"/>
        </w:rPr>
        <w:t xml:space="preserve">still </w:t>
      </w:r>
      <w:r w:rsidR="0030225B" w:rsidRPr="00075FAD">
        <w:rPr>
          <w:rFonts w:ascii="Century Schoolbook" w:hAnsi="Century Schoolbook"/>
        </w:rPr>
        <w:t>must show reasonable diligence.  (</w:t>
      </w:r>
      <w:r w:rsidR="0030225B" w:rsidRPr="00075FAD">
        <w:rPr>
          <w:rFonts w:ascii="Century Schoolbook" w:hAnsi="Century Schoolbook"/>
          <w:i/>
          <w:iCs/>
        </w:rPr>
        <w:t xml:space="preserve">Arega v. Bay Area Rapid Transit Dist. </w:t>
      </w:r>
      <w:r w:rsidR="0030225B" w:rsidRPr="00075FAD">
        <w:rPr>
          <w:rFonts w:ascii="Century Schoolbook" w:hAnsi="Century Schoolbook"/>
        </w:rPr>
        <w:t xml:space="preserve">(2022) 83 Cal.App.5th 308, 316 [“What constitutes a ‘reasonable time’ depends on the circumstances of each case ‘but definitely requires a showing of diligence in making the motion after the discovery of the default’ ”]; </w:t>
      </w:r>
      <w:r w:rsidR="0030225B" w:rsidRPr="00075FAD">
        <w:rPr>
          <w:rFonts w:ascii="Century Schoolbook" w:hAnsi="Century Schoolbook"/>
          <w:i/>
          <w:iCs/>
        </w:rPr>
        <w:t>Younessi v. Woolf</w:t>
      </w:r>
      <w:r w:rsidR="0030225B" w:rsidRPr="00075FAD">
        <w:rPr>
          <w:rFonts w:ascii="Century Schoolbook" w:hAnsi="Century Schoolbook"/>
        </w:rPr>
        <w:t xml:space="preserve"> (2016) 244 Cal.App.4th 1137, 1145 [diligence requirement not satisfied without evidence explaining seven week delay in moving to set aside dismissal].)  </w:t>
      </w:r>
      <w:r w:rsidR="00537E04" w:rsidRPr="00075FAD">
        <w:rPr>
          <w:rFonts w:ascii="Century Schoolbook" w:hAnsi="Century Schoolbook"/>
        </w:rPr>
        <w:t xml:space="preserve">Mitchell </w:t>
      </w:r>
      <w:r w:rsidR="00C94244" w:rsidRPr="00075FAD">
        <w:rPr>
          <w:rFonts w:ascii="Century Schoolbook" w:hAnsi="Century Schoolbook"/>
        </w:rPr>
        <w:t xml:space="preserve">does not show </w:t>
      </w:r>
      <w:r w:rsidR="00537E04" w:rsidRPr="00075FAD">
        <w:rPr>
          <w:rFonts w:ascii="Century Schoolbook" w:hAnsi="Century Schoolbook"/>
        </w:rPr>
        <w:t xml:space="preserve">that </w:t>
      </w:r>
      <w:r w:rsidR="00E65865" w:rsidRPr="00075FAD">
        <w:rPr>
          <w:rFonts w:ascii="Century Schoolbook" w:hAnsi="Century Schoolbook"/>
        </w:rPr>
        <w:t xml:space="preserve">it filed its motion to vacate </w:t>
      </w:r>
      <w:r w:rsidR="00537E04" w:rsidRPr="00075FAD">
        <w:rPr>
          <w:rFonts w:ascii="Century Schoolbook" w:hAnsi="Century Schoolbook"/>
        </w:rPr>
        <w:t>within a reasonable time.</w:t>
      </w:r>
      <w:r w:rsidRPr="00075FAD">
        <w:rPr>
          <w:rFonts w:ascii="Century Schoolbook" w:hAnsi="Century Schoolbook"/>
        </w:rPr>
        <w:t xml:space="preserve">  </w:t>
      </w:r>
    </w:p>
    <w:p w14:paraId="3717A11E" w14:textId="6D206262" w:rsidR="00A3306D" w:rsidRPr="00075FAD" w:rsidRDefault="00CF0195" w:rsidP="00F543F4">
      <w:pPr>
        <w:pStyle w:val="BodyText"/>
        <w:widowControl/>
        <w:spacing w:line="360" w:lineRule="auto"/>
        <w:rPr>
          <w:rFonts w:ascii="Century Schoolbook" w:hAnsi="Century Schoolbook"/>
        </w:rPr>
      </w:pPr>
      <w:r w:rsidRPr="00075FAD">
        <w:rPr>
          <w:rFonts w:ascii="Century Schoolbook" w:hAnsi="Century Schoolbook"/>
        </w:rPr>
        <w:tab/>
      </w:r>
      <w:r w:rsidR="00C61B0D" w:rsidRPr="00075FAD">
        <w:rPr>
          <w:rFonts w:ascii="Century Schoolbook" w:hAnsi="Century Schoolbook"/>
        </w:rPr>
        <w:t>In its reply brief, Mitchell argue</w:t>
      </w:r>
      <w:r w:rsidR="00A3306D" w:rsidRPr="00075FAD">
        <w:rPr>
          <w:rFonts w:ascii="Century Schoolbook" w:hAnsi="Century Schoolbook"/>
        </w:rPr>
        <w:t>s</w:t>
      </w:r>
      <w:r w:rsidR="00C61B0D" w:rsidRPr="00075FAD">
        <w:rPr>
          <w:rFonts w:ascii="Century Schoolbook" w:hAnsi="Century Schoolbook"/>
        </w:rPr>
        <w:t xml:space="preserve"> that </w:t>
      </w:r>
      <w:r w:rsidR="00CF656B" w:rsidRPr="00075FAD">
        <w:rPr>
          <w:rFonts w:ascii="Century Schoolbook" w:hAnsi="Century Schoolbook"/>
        </w:rPr>
        <w:t xml:space="preserve">its </w:t>
      </w:r>
      <w:r w:rsidR="00C61B0D" w:rsidRPr="00075FAD">
        <w:rPr>
          <w:rFonts w:ascii="Century Schoolbook" w:hAnsi="Century Schoolbook"/>
        </w:rPr>
        <w:t>motion was timely because</w:t>
      </w:r>
      <w:r w:rsidRPr="00075FAD">
        <w:rPr>
          <w:rFonts w:ascii="Century Schoolbook" w:hAnsi="Century Schoolbook"/>
        </w:rPr>
        <w:t xml:space="preserve"> </w:t>
      </w:r>
      <w:r w:rsidR="00A3306D" w:rsidRPr="00075FAD">
        <w:rPr>
          <w:rFonts w:ascii="Century Schoolbook" w:hAnsi="Century Schoolbook"/>
        </w:rPr>
        <w:t>it</w:t>
      </w:r>
      <w:r w:rsidR="00250E5A" w:rsidRPr="00075FAD">
        <w:rPr>
          <w:rFonts w:ascii="Century Schoolbook" w:hAnsi="Century Schoolbook"/>
        </w:rPr>
        <w:t xml:space="preserve"> </w:t>
      </w:r>
      <w:r w:rsidRPr="00075FAD">
        <w:rPr>
          <w:rFonts w:ascii="Century Schoolbook" w:hAnsi="Century Schoolbook"/>
        </w:rPr>
        <w:t>was “not fully informed that the Dismissal was executed and filed until June 3, 2022.</w:t>
      </w:r>
      <w:r w:rsidR="00DE46C3" w:rsidRPr="00075FAD">
        <w:rPr>
          <w:rFonts w:ascii="Century Schoolbook" w:hAnsi="Century Schoolbook"/>
        </w:rPr>
        <w:t>”</w:t>
      </w:r>
      <w:r w:rsidRPr="00075FAD">
        <w:rPr>
          <w:rFonts w:ascii="Century Schoolbook" w:hAnsi="Century Schoolbook"/>
        </w:rPr>
        <w:t xml:space="preserve">  </w:t>
      </w:r>
      <w:r w:rsidR="001F3D27" w:rsidRPr="00075FAD">
        <w:rPr>
          <w:rFonts w:ascii="Century Schoolbook" w:hAnsi="Century Schoolbook"/>
        </w:rPr>
        <w:t xml:space="preserve">Substantial </w:t>
      </w:r>
      <w:r w:rsidR="00A3306D" w:rsidRPr="00075FAD">
        <w:rPr>
          <w:rFonts w:ascii="Century Schoolbook" w:hAnsi="Century Schoolbook"/>
        </w:rPr>
        <w:t xml:space="preserve">evidence supports a contrary conclusion.  </w:t>
      </w:r>
      <w:r w:rsidR="00F50E32" w:rsidRPr="00075FAD">
        <w:rPr>
          <w:rFonts w:ascii="Century Schoolbook" w:hAnsi="Century Schoolbook"/>
        </w:rPr>
        <w:t xml:space="preserve">Mitchell’s counsel knew of the </w:t>
      </w:r>
      <w:r w:rsidR="002B6FF6" w:rsidRPr="00075FAD">
        <w:rPr>
          <w:rFonts w:ascii="Century Schoolbook" w:hAnsi="Century Schoolbook"/>
        </w:rPr>
        <w:t xml:space="preserve">judgment of </w:t>
      </w:r>
      <w:r w:rsidR="00F50E32" w:rsidRPr="00075FAD">
        <w:rPr>
          <w:rFonts w:ascii="Century Schoolbook" w:hAnsi="Century Schoolbook"/>
        </w:rPr>
        <w:t xml:space="preserve">dismissal </w:t>
      </w:r>
      <w:r w:rsidR="002B6FF6" w:rsidRPr="00075FAD">
        <w:rPr>
          <w:rFonts w:ascii="Century Schoolbook" w:hAnsi="Century Schoolbook"/>
        </w:rPr>
        <w:t xml:space="preserve">on </w:t>
      </w:r>
      <w:r w:rsidR="00F50E32" w:rsidRPr="00075FAD">
        <w:rPr>
          <w:rFonts w:ascii="Century Schoolbook" w:hAnsi="Century Schoolbook"/>
        </w:rPr>
        <w:t xml:space="preserve">the day it was filed, </w:t>
      </w:r>
      <w:r w:rsidR="002B6FF6" w:rsidRPr="00075FAD">
        <w:rPr>
          <w:rFonts w:ascii="Century Schoolbook" w:hAnsi="Century Schoolbook"/>
        </w:rPr>
        <w:t xml:space="preserve">since </w:t>
      </w:r>
      <w:r w:rsidR="000F4659" w:rsidRPr="00075FAD">
        <w:rPr>
          <w:rFonts w:ascii="Century Schoolbook" w:hAnsi="Century Schoolbook"/>
        </w:rPr>
        <w:t xml:space="preserve">she </w:t>
      </w:r>
      <w:r w:rsidR="00F50E32" w:rsidRPr="00075FAD">
        <w:rPr>
          <w:rFonts w:ascii="Century Schoolbook" w:hAnsi="Century Schoolbook"/>
        </w:rPr>
        <w:t xml:space="preserve">filed the request for dismissal. </w:t>
      </w:r>
      <w:r w:rsidR="002B6FF6" w:rsidRPr="00075FAD">
        <w:rPr>
          <w:rFonts w:ascii="Century Schoolbook" w:hAnsi="Century Schoolbook"/>
        </w:rPr>
        <w:t xml:space="preserve"> </w:t>
      </w:r>
      <w:r w:rsidR="000F4659" w:rsidRPr="00075FAD">
        <w:rPr>
          <w:rFonts w:ascii="Century Schoolbook" w:hAnsi="Century Schoolbook"/>
        </w:rPr>
        <w:t xml:space="preserve">Even if this knowledge </w:t>
      </w:r>
      <w:r w:rsidR="00A3306D" w:rsidRPr="00075FAD">
        <w:rPr>
          <w:rFonts w:ascii="Century Schoolbook" w:hAnsi="Century Schoolbook"/>
        </w:rPr>
        <w:t xml:space="preserve">is </w:t>
      </w:r>
      <w:r w:rsidR="000F4659" w:rsidRPr="00075FAD">
        <w:rPr>
          <w:rFonts w:ascii="Century Schoolbook" w:hAnsi="Century Schoolbook"/>
        </w:rPr>
        <w:t xml:space="preserve">not </w:t>
      </w:r>
      <w:r w:rsidR="00F50E32" w:rsidRPr="00075FAD">
        <w:rPr>
          <w:rFonts w:ascii="Century Schoolbook" w:hAnsi="Century Schoolbook"/>
        </w:rPr>
        <w:t>imputed to Mitchell</w:t>
      </w:r>
      <w:r w:rsidR="000F4659" w:rsidRPr="00075FAD">
        <w:rPr>
          <w:rFonts w:ascii="Century Schoolbook" w:hAnsi="Century Schoolbook"/>
        </w:rPr>
        <w:t xml:space="preserve">, </w:t>
      </w:r>
      <w:r w:rsidR="00A3306D" w:rsidRPr="00075FAD">
        <w:rPr>
          <w:rFonts w:ascii="Century Schoolbook" w:hAnsi="Century Schoolbook"/>
        </w:rPr>
        <w:t xml:space="preserve">the evidence indicated that </w:t>
      </w:r>
      <w:r w:rsidR="00903D99" w:rsidRPr="00075FAD">
        <w:rPr>
          <w:rFonts w:ascii="Century Schoolbook" w:hAnsi="Century Schoolbook"/>
        </w:rPr>
        <w:t xml:space="preserve">Whirl informed </w:t>
      </w:r>
      <w:r w:rsidR="00A3306D" w:rsidRPr="00075FAD">
        <w:rPr>
          <w:rFonts w:ascii="Century Schoolbook" w:hAnsi="Century Schoolbook"/>
        </w:rPr>
        <w:t xml:space="preserve">Curtis Mitchell </w:t>
      </w:r>
      <w:r w:rsidR="00903D99" w:rsidRPr="00075FAD">
        <w:rPr>
          <w:rFonts w:ascii="Century Schoolbook" w:hAnsi="Century Schoolbook"/>
        </w:rPr>
        <w:t xml:space="preserve">that she </w:t>
      </w:r>
      <w:r w:rsidR="00903D99" w:rsidRPr="00026073">
        <w:rPr>
          <w:rFonts w:ascii="Century Schoolbook" w:hAnsi="Century Schoolbook"/>
        </w:rPr>
        <w:t xml:space="preserve">was going to dismiss the cross-complaint several weeks before she did so and </w:t>
      </w:r>
      <w:r w:rsidR="00C57DB5" w:rsidRPr="00026073">
        <w:rPr>
          <w:rFonts w:ascii="Century Schoolbook" w:hAnsi="Century Schoolbook"/>
        </w:rPr>
        <w:t xml:space="preserve">informed him </w:t>
      </w:r>
      <w:r w:rsidR="002B6FF6" w:rsidRPr="00026073">
        <w:rPr>
          <w:rFonts w:ascii="Century Schoolbook" w:hAnsi="Century Schoolbook"/>
        </w:rPr>
        <w:t>of</w:t>
      </w:r>
      <w:r w:rsidR="002B6FF6" w:rsidRPr="00075FAD">
        <w:rPr>
          <w:rFonts w:ascii="Century Schoolbook" w:hAnsi="Century Schoolbook"/>
        </w:rPr>
        <w:t xml:space="preserve"> the dismissal </w:t>
      </w:r>
      <w:r w:rsidR="00F50E32" w:rsidRPr="00075FAD">
        <w:rPr>
          <w:rFonts w:ascii="Century Schoolbook" w:hAnsi="Century Schoolbook"/>
        </w:rPr>
        <w:t>multiple times thereafter</w:t>
      </w:r>
      <w:r w:rsidR="00C61B0D" w:rsidRPr="00075FAD">
        <w:rPr>
          <w:rFonts w:ascii="Century Schoolbook" w:hAnsi="Century Schoolbook"/>
        </w:rPr>
        <w:t xml:space="preserve">, including </w:t>
      </w:r>
      <w:r w:rsidR="00F50E32" w:rsidRPr="00075FAD">
        <w:rPr>
          <w:rFonts w:ascii="Century Schoolbook" w:hAnsi="Century Schoolbook"/>
        </w:rPr>
        <w:t xml:space="preserve">in at least two conversations </w:t>
      </w:r>
      <w:r w:rsidR="00903139" w:rsidRPr="00075FAD">
        <w:rPr>
          <w:rFonts w:ascii="Century Schoolbook" w:hAnsi="Century Schoolbook"/>
        </w:rPr>
        <w:t>s</w:t>
      </w:r>
      <w:r w:rsidR="002B6FF6" w:rsidRPr="00075FAD">
        <w:rPr>
          <w:rFonts w:ascii="Century Schoolbook" w:hAnsi="Century Schoolbook"/>
        </w:rPr>
        <w:t xml:space="preserve">he had with </w:t>
      </w:r>
      <w:r w:rsidR="00736485" w:rsidRPr="00075FAD">
        <w:rPr>
          <w:rFonts w:ascii="Century Schoolbook" w:hAnsi="Century Schoolbook"/>
        </w:rPr>
        <w:t xml:space="preserve">him </w:t>
      </w:r>
      <w:r w:rsidR="002B6FF6" w:rsidRPr="00075FAD">
        <w:rPr>
          <w:rFonts w:ascii="Century Schoolbook" w:hAnsi="Century Schoolbook"/>
        </w:rPr>
        <w:t xml:space="preserve">when preparing for his </w:t>
      </w:r>
      <w:r w:rsidR="00E65865" w:rsidRPr="00075FAD">
        <w:rPr>
          <w:rFonts w:ascii="Century Schoolbook" w:hAnsi="Century Schoolbook"/>
        </w:rPr>
        <w:t xml:space="preserve">deposition. </w:t>
      </w:r>
      <w:r w:rsidR="00F50E32" w:rsidRPr="00075FAD">
        <w:rPr>
          <w:rFonts w:ascii="Century Schoolbook" w:hAnsi="Century Schoolbook"/>
        </w:rPr>
        <w:t xml:space="preserve"> </w:t>
      </w:r>
      <w:r w:rsidR="00C61B0D" w:rsidRPr="00075FAD">
        <w:rPr>
          <w:rFonts w:ascii="Century Schoolbook" w:hAnsi="Century Schoolbook"/>
        </w:rPr>
        <w:t xml:space="preserve">In </w:t>
      </w:r>
      <w:r w:rsidR="002B6FF6" w:rsidRPr="00075FAD">
        <w:rPr>
          <w:rFonts w:ascii="Century Schoolbook" w:hAnsi="Century Schoolbook"/>
        </w:rPr>
        <w:t xml:space="preserve">April </w:t>
      </w:r>
      <w:r w:rsidR="00F50E32" w:rsidRPr="00075FAD">
        <w:rPr>
          <w:rFonts w:ascii="Century Schoolbook" w:hAnsi="Century Schoolbook"/>
        </w:rPr>
        <w:t xml:space="preserve">2022, </w:t>
      </w:r>
      <w:r w:rsidR="00C61B0D" w:rsidRPr="00075FAD">
        <w:rPr>
          <w:rFonts w:ascii="Century Schoolbook" w:hAnsi="Century Schoolbook"/>
        </w:rPr>
        <w:t xml:space="preserve">for example, </w:t>
      </w:r>
      <w:r w:rsidR="00F50E32" w:rsidRPr="00075FAD">
        <w:rPr>
          <w:rFonts w:ascii="Century Schoolbook" w:hAnsi="Century Schoolbook"/>
        </w:rPr>
        <w:t xml:space="preserve">Mitchell </w:t>
      </w:r>
      <w:r w:rsidR="002B6FF6" w:rsidRPr="00075FAD">
        <w:rPr>
          <w:rFonts w:ascii="Century Schoolbook" w:hAnsi="Century Schoolbook"/>
        </w:rPr>
        <w:t xml:space="preserve">questioned why </w:t>
      </w:r>
      <w:r w:rsidR="00F50E32" w:rsidRPr="00075FAD">
        <w:rPr>
          <w:rFonts w:ascii="Century Schoolbook" w:hAnsi="Century Schoolbook"/>
        </w:rPr>
        <w:t xml:space="preserve">Bradley </w:t>
      </w:r>
      <w:r w:rsidR="002B6FF6" w:rsidRPr="00075FAD">
        <w:rPr>
          <w:rFonts w:ascii="Century Schoolbook" w:hAnsi="Century Schoolbook"/>
        </w:rPr>
        <w:t xml:space="preserve">was no longer in </w:t>
      </w:r>
      <w:r w:rsidR="002B6FF6" w:rsidRPr="00075FAD">
        <w:rPr>
          <w:rFonts w:ascii="Century Schoolbook" w:hAnsi="Century Schoolbook"/>
        </w:rPr>
        <w:lastRenderedPageBreak/>
        <w:t xml:space="preserve">the case, and Whirl explained the reasons for the dismissal. </w:t>
      </w:r>
      <w:r w:rsidR="00F50E32" w:rsidRPr="00075FAD">
        <w:rPr>
          <w:rFonts w:ascii="Century Schoolbook" w:hAnsi="Century Schoolbook"/>
        </w:rPr>
        <w:t xml:space="preserve"> </w:t>
      </w:r>
      <w:r w:rsidR="00C61B0D" w:rsidRPr="00075FAD">
        <w:rPr>
          <w:rFonts w:ascii="Century Schoolbook" w:hAnsi="Century Schoolbook"/>
        </w:rPr>
        <w:t xml:space="preserve">Mitchell does not explain why it </w:t>
      </w:r>
      <w:r w:rsidR="002B6FF6" w:rsidRPr="00075FAD">
        <w:rPr>
          <w:rFonts w:ascii="Century Schoolbook" w:hAnsi="Century Schoolbook"/>
        </w:rPr>
        <w:t xml:space="preserve">took until July 2022 to file </w:t>
      </w:r>
      <w:r w:rsidR="00161E34" w:rsidRPr="00075FAD">
        <w:rPr>
          <w:rFonts w:ascii="Century Schoolbook" w:hAnsi="Century Schoolbook"/>
        </w:rPr>
        <w:t xml:space="preserve">a noticed </w:t>
      </w:r>
      <w:r w:rsidR="00A3306D" w:rsidRPr="00075FAD">
        <w:rPr>
          <w:rFonts w:ascii="Century Schoolbook" w:hAnsi="Century Schoolbook"/>
        </w:rPr>
        <w:t>motion.</w:t>
      </w:r>
    </w:p>
    <w:p w14:paraId="5560C109" w14:textId="1D0DED4A" w:rsidR="005F3E3D" w:rsidRPr="00075FAD" w:rsidRDefault="00DE46C3" w:rsidP="00DE46C3">
      <w:pPr>
        <w:tabs>
          <w:tab w:val="clear" w:pos="720"/>
        </w:tabs>
        <w:spacing w:line="360" w:lineRule="auto"/>
      </w:pPr>
      <w:r w:rsidRPr="00075FAD">
        <w:tab/>
      </w:r>
      <w:r w:rsidR="00D04F05" w:rsidRPr="00075FAD">
        <w:t xml:space="preserve">Nor does Mitchell </w:t>
      </w:r>
      <w:r w:rsidR="00A3306D" w:rsidRPr="00075FAD">
        <w:t xml:space="preserve">address the fact that, by </w:t>
      </w:r>
      <w:r w:rsidRPr="00075FAD">
        <w:t xml:space="preserve">the time </w:t>
      </w:r>
      <w:r w:rsidR="00A3306D" w:rsidRPr="00075FAD">
        <w:t xml:space="preserve">it </w:t>
      </w:r>
      <w:r w:rsidRPr="00075FAD">
        <w:t xml:space="preserve">got around to claiming the dismissal was entered without </w:t>
      </w:r>
      <w:r w:rsidR="00A3306D" w:rsidRPr="00075FAD">
        <w:t xml:space="preserve">its </w:t>
      </w:r>
      <w:r w:rsidRPr="00075FAD">
        <w:t xml:space="preserve">authorization, </w:t>
      </w:r>
      <w:r w:rsidR="002B6FF6" w:rsidRPr="00075FAD">
        <w:t xml:space="preserve">Plaintiffs’ litigation </w:t>
      </w:r>
      <w:r w:rsidRPr="00075FAD">
        <w:t>was over</w:t>
      </w:r>
      <w:r w:rsidR="00C94244" w:rsidRPr="00075FAD">
        <w:t xml:space="preserve">:  </w:t>
      </w:r>
      <w:r w:rsidR="002B6FF6" w:rsidRPr="00075FAD">
        <w:t xml:space="preserve">Mitchell </w:t>
      </w:r>
      <w:r w:rsidRPr="00075FAD">
        <w:t>had already settled with Plaintiffs</w:t>
      </w:r>
      <w:r w:rsidR="002B6FF6" w:rsidRPr="00075FAD">
        <w:t xml:space="preserve">, and </w:t>
      </w:r>
      <w:r w:rsidR="00D04F05" w:rsidRPr="00075FAD">
        <w:t>DeHaro and Bradley</w:t>
      </w:r>
      <w:r w:rsidR="00A76166" w:rsidRPr="00075FAD">
        <w:t>—</w:t>
      </w:r>
      <w:r w:rsidR="00D04F05" w:rsidRPr="00075FAD">
        <w:t>who were given no clue that Mitchell might later protest the dismissal</w:t>
      </w:r>
      <w:r w:rsidR="00A76166" w:rsidRPr="00075FAD">
        <w:t>—</w:t>
      </w:r>
      <w:r w:rsidR="00D04F05" w:rsidRPr="00075FAD">
        <w:t xml:space="preserve">had long believed their participation in the case was over.  </w:t>
      </w:r>
      <w:r w:rsidR="001F3D27" w:rsidRPr="00075FAD">
        <w:t xml:space="preserve">A reasonable inference is that Mitchell was not sufficiently diligent in seeking relief.  </w:t>
      </w:r>
      <w:r w:rsidR="00570EE1" w:rsidRPr="00075FAD">
        <w:t xml:space="preserve">The trial </w:t>
      </w:r>
      <w:r w:rsidR="005F3E3D" w:rsidRPr="00075FAD">
        <w:t xml:space="preserve">court </w:t>
      </w:r>
      <w:r w:rsidR="00570EE1" w:rsidRPr="00075FAD">
        <w:t xml:space="preserve">did not abuse </w:t>
      </w:r>
      <w:r w:rsidR="005F3E3D" w:rsidRPr="00075FAD">
        <w:t>its discretion in declining t</w:t>
      </w:r>
      <w:r w:rsidR="007A05EB" w:rsidRPr="00075FAD">
        <w:t>o</w:t>
      </w:r>
      <w:r w:rsidR="005F3E3D" w:rsidRPr="00075FAD">
        <w:t xml:space="preserve"> vacate the dismissal </w:t>
      </w:r>
      <w:r w:rsidR="007A05EB" w:rsidRPr="00075FAD">
        <w:t>under section 473, subdivision (b).</w:t>
      </w:r>
    </w:p>
    <w:p w14:paraId="30F666B8" w14:textId="347C8897" w:rsidR="00C03131" w:rsidRPr="00075FAD" w:rsidRDefault="006E1881" w:rsidP="00F543F4">
      <w:pPr>
        <w:pStyle w:val="BodyText"/>
        <w:widowControl/>
        <w:spacing w:line="360" w:lineRule="auto"/>
        <w:rPr>
          <w:rFonts w:ascii="Century Schoolbook" w:hAnsi="Century Schoolbook"/>
        </w:rPr>
      </w:pPr>
      <w:r w:rsidRPr="00075FAD">
        <w:rPr>
          <w:rFonts w:ascii="Century Schoolbook" w:hAnsi="Century Schoolbook"/>
        </w:rPr>
        <w:tab/>
      </w:r>
      <w:r w:rsidR="00C03131" w:rsidRPr="00075FAD">
        <w:rPr>
          <w:rFonts w:ascii="Century Schoolbook" w:hAnsi="Century Schoolbook"/>
        </w:rPr>
        <w:t xml:space="preserve">B.  </w:t>
      </w:r>
      <w:r w:rsidR="00C03131" w:rsidRPr="00075FAD">
        <w:rPr>
          <w:rFonts w:ascii="Century Schoolbook" w:hAnsi="Century Schoolbook"/>
          <w:u w:val="single"/>
        </w:rPr>
        <w:t>Section 473, Subdivision (d</w:t>
      </w:r>
      <w:r w:rsidR="00C03131" w:rsidRPr="00075FAD">
        <w:rPr>
          <w:rFonts w:ascii="Century Schoolbook" w:hAnsi="Century Schoolbook"/>
        </w:rPr>
        <w:t>)</w:t>
      </w:r>
    </w:p>
    <w:p w14:paraId="1A6FE776" w14:textId="6BEBFAF0" w:rsidR="009F69C6" w:rsidRPr="00075FAD" w:rsidRDefault="002304BF" w:rsidP="009F69C6">
      <w:pPr>
        <w:pStyle w:val="BodyText"/>
        <w:widowControl/>
        <w:spacing w:line="360" w:lineRule="auto"/>
        <w:rPr>
          <w:rFonts w:ascii="Century Schoolbook" w:hAnsi="Century Schoolbook"/>
        </w:rPr>
      </w:pPr>
      <w:r w:rsidRPr="00075FAD">
        <w:rPr>
          <w:rFonts w:ascii="Century Schoolbook" w:hAnsi="Century Schoolbook"/>
        </w:rPr>
        <w:tab/>
        <w:t xml:space="preserve">Mitchell </w:t>
      </w:r>
      <w:r w:rsidR="00C953E3" w:rsidRPr="00075FAD">
        <w:rPr>
          <w:rFonts w:ascii="Century Schoolbook" w:hAnsi="Century Schoolbook"/>
        </w:rPr>
        <w:t xml:space="preserve">contends </w:t>
      </w:r>
      <w:r w:rsidRPr="00075FAD">
        <w:rPr>
          <w:rFonts w:ascii="Century Schoolbook" w:hAnsi="Century Schoolbook"/>
        </w:rPr>
        <w:t xml:space="preserve">the trial court erred by </w:t>
      </w:r>
      <w:r w:rsidR="00C953E3" w:rsidRPr="00075FAD">
        <w:rPr>
          <w:rFonts w:ascii="Century Schoolbook" w:hAnsi="Century Schoolbook"/>
        </w:rPr>
        <w:t xml:space="preserve">denying </w:t>
      </w:r>
      <w:r w:rsidRPr="00075FAD">
        <w:rPr>
          <w:rFonts w:ascii="Century Schoolbook" w:hAnsi="Century Schoolbook"/>
        </w:rPr>
        <w:t xml:space="preserve">relief under section 473, subdivision (d), because Whirl was not authorized to dismiss the cross-complaint.  </w:t>
      </w:r>
      <w:r w:rsidR="00C953E3" w:rsidRPr="00075FAD">
        <w:rPr>
          <w:rFonts w:ascii="Century Schoolbook" w:hAnsi="Century Schoolbook"/>
        </w:rPr>
        <w:t xml:space="preserve">The </w:t>
      </w:r>
      <w:r w:rsidRPr="00075FAD">
        <w:rPr>
          <w:rFonts w:ascii="Century Schoolbook" w:hAnsi="Century Schoolbook"/>
        </w:rPr>
        <w:t>argument is unavailing.</w:t>
      </w:r>
    </w:p>
    <w:p w14:paraId="55F56EBF" w14:textId="520F64D5" w:rsidR="009F69C6" w:rsidRPr="00075FAD" w:rsidRDefault="009F69C6" w:rsidP="009F69C6">
      <w:pPr>
        <w:pStyle w:val="BodyText"/>
        <w:widowControl/>
        <w:spacing w:line="360" w:lineRule="auto"/>
        <w:rPr>
          <w:rFonts w:ascii="Century Schoolbook" w:hAnsi="Century Schoolbook"/>
        </w:rPr>
      </w:pPr>
      <w:r w:rsidRPr="00075FAD">
        <w:rPr>
          <w:rFonts w:ascii="Century Schoolbook" w:hAnsi="Century Schoolbook"/>
        </w:rPr>
        <w:tab/>
      </w:r>
      <w:r w:rsidRPr="00075FAD">
        <w:rPr>
          <w:rFonts w:ascii="Century Schoolbook" w:hAnsi="Century Schoolbook"/>
        </w:rPr>
        <w:tab/>
        <w:t xml:space="preserve">1.  </w:t>
      </w:r>
      <w:r w:rsidRPr="00075FAD">
        <w:rPr>
          <w:rFonts w:ascii="Century Schoolbook" w:hAnsi="Century Schoolbook"/>
          <w:u w:val="single"/>
        </w:rPr>
        <w:t>Forfeiture</w:t>
      </w:r>
    </w:p>
    <w:p w14:paraId="4F09E6AE" w14:textId="77777777" w:rsidR="00C953E3" w:rsidRPr="00075FAD" w:rsidRDefault="000131A6" w:rsidP="009F69C6">
      <w:pPr>
        <w:pStyle w:val="BodyText"/>
        <w:widowControl/>
        <w:spacing w:line="360" w:lineRule="auto"/>
        <w:rPr>
          <w:rFonts w:ascii="Century Schoolbook" w:hAnsi="Century Schoolbook"/>
        </w:rPr>
      </w:pPr>
      <w:r w:rsidRPr="00075FAD">
        <w:rPr>
          <w:rFonts w:ascii="Century Schoolbook" w:hAnsi="Century Schoolbook"/>
        </w:rPr>
        <w:tab/>
      </w:r>
      <w:r w:rsidR="002E6B55" w:rsidRPr="00075FAD">
        <w:rPr>
          <w:rFonts w:ascii="Century Schoolbook" w:hAnsi="Century Schoolbook"/>
        </w:rPr>
        <w:t xml:space="preserve">Issues not raised in the trial court generally cannot be </w:t>
      </w:r>
      <w:r w:rsidRPr="00075FAD">
        <w:rPr>
          <w:rFonts w:ascii="Century Schoolbook" w:hAnsi="Century Schoolbook"/>
        </w:rPr>
        <w:t>raised for the first time on appeal</w:t>
      </w:r>
      <w:r w:rsidR="006E1881" w:rsidRPr="00075FAD">
        <w:rPr>
          <w:rFonts w:ascii="Century Schoolbook" w:hAnsi="Century Schoolbook"/>
        </w:rPr>
        <w:t>, although we may consider “</w:t>
      </w:r>
      <w:r w:rsidR="00C953E3" w:rsidRPr="00075FAD">
        <w:rPr>
          <w:rFonts w:ascii="Century Schoolbook" w:hAnsi="Century Schoolbook"/>
        </w:rPr>
        <w:t xml:space="preserve"> ‘</w:t>
      </w:r>
      <w:r w:rsidR="006E1881" w:rsidRPr="00075FAD">
        <w:rPr>
          <w:rFonts w:ascii="Century Schoolbook" w:hAnsi="Century Schoolbook"/>
        </w:rPr>
        <w:t>a pure question of law which is presented on undisputed facts.</w:t>
      </w:r>
      <w:r w:rsidR="00C953E3" w:rsidRPr="00075FAD">
        <w:rPr>
          <w:rFonts w:ascii="Century Schoolbook" w:hAnsi="Century Schoolbook"/>
        </w:rPr>
        <w:t xml:space="preserve">’ </w:t>
      </w:r>
      <w:r w:rsidR="006E1881" w:rsidRPr="00075FAD">
        <w:rPr>
          <w:rFonts w:ascii="Century Schoolbook" w:hAnsi="Century Schoolbook"/>
        </w:rPr>
        <w:t>”</w:t>
      </w:r>
      <w:r w:rsidR="002E6B55" w:rsidRPr="00075FAD">
        <w:rPr>
          <w:rFonts w:ascii="Century Schoolbook" w:hAnsi="Century Schoolbook"/>
        </w:rPr>
        <w:t xml:space="preserve"> </w:t>
      </w:r>
      <w:r w:rsidRPr="00075FAD">
        <w:rPr>
          <w:rFonts w:ascii="Century Schoolbook" w:hAnsi="Century Schoolbook"/>
        </w:rPr>
        <w:t xml:space="preserve"> </w:t>
      </w:r>
      <w:r w:rsidR="002E6B55" w:rsidRPr="00075FAD">
        <w:rPr>
          <w:rFonts w:ascii="Century Schoolbook" w:hAnsi="Century Schoolbook"/>
        </w:rPr>
        <w:t>(</w:t>
      </w:r>
      <w:r w:rsidRPr="00075FAD">
        <w:rPr>
          <w:rFonts w:ascii="Century Schoolbook" w:hAnsi="Century Schoolbook"/>
          <w:i/>
        </w:rPr>
        <w:t xml:space="preserve">In re Marriage of Hinds </w:t>
      </w:r>
      <w:r w:rsidRPr="00075FAD">
        <w:rPr>
          <w:rFonts w:ascii="Century Schoolbook" w:hAnsi="Century Schoolbook"/>
        </w:rPr>
        <w:t>(1988) 205 Cal.App.3d 1398, 1403</w:t>
      </w:r>
      <w:r w:rsidR="002E6B55" w:rsidRPr="00075FAD">
        <w:rPr>
          <w:rFonts w:ascii="Century Schoolbook" w:hAnsi="Century Schoolbook"/>
        </w:rPr>
        <w:t>.)</w:t>
      </w:r>
    </w:p>
    <w:p w14:paraId="4B799373" w14:textId="28EF612C" w:rsidR="00AE1D7C" w:rsidRPr="00075FAD" w:rsidRDefault="000131A6" w:rsidP="00F543F4">
      <w:pPr>
        <w:pStyle w:val="BodyText"/>
        <w:widowControl/>
        <w:spacing w:line="360" w:lineRule="auto"/>
        <w:rPr>
          <w:rFonts w:ascii="Century Schoolbook" w:hAnsi="Century Schoolbook"/>
        </w:rPr>
      </w:pPr>
      <w:r w:rsidRPr="00075FAD">
        <w:rPr>
          <w:rFonts w:ascii="Century Schoolbook" w:hAnsi="Century Schoolbook"/>
        </w:rPr>
        <w:tab/>
      </w:r>
      <w:r w:rsidR="006E1881" w:rsidRPr="00075FAD">
        <w:rPr>
          <w:rFonts w:ascii="Century Schoolbook" w:hAnsi="Century Schoolbook"/>
        </w:rPr>
        <w:t xml:space="preserve">Here, Mitchell’s notice of motion and memorandum of points and authorities </w:t>
      </w:r>
      <w:r w:rsidR="002304BF" w:rsidRPr="00075FAD">
        <w:rPr>
          <w:rFonts w:ascii="Century Schoolbook" w:hAnsi="Century Schoolbook"/>
        </w:rPr>
        <w:t xml:space="preserve">in the trial court did not </w:t>
      </w:r>
      <w:r w:rsidR="00CF656B" w:rsidRPr="00075FAD">
        <w:rPr>
          <w:rFonts w:ascii="Century Schoolbook" w:hAnsi="Century Schoolbook"/>
        </w:rPr>
        <w:t xml:space="preserve">refer to </w:t>
      </w:r>
      <w:r w:rsidR="006E1881" w:rsidRPr="00075FAD">
        <w:rPr>
          <w:rFonts w:ascii="Century Schoolbook" w:hAnsi="Century Schoolbook"/>
        </w:rPr>
        <w:t xml:space="preserve">subdivision (d) of section 473.  </w:t>
      </w:r>
      <w:r w:rsidRPr="00075FAD">
        <w:rPr>
          <w:rFonts w:ascii="Century Schoolbook" w:hAnsi="Century Schoolbook"/>
        </w:rPr>
        <w:t xml:space="preserve">Mitchell’s </w:t>
      </w:r>
      <w:r w:rsidR="006E1881" w:rsidRPr="00075FAD">
        <w:rPr>
          <w:rFonts w:ascii="Century Schoolbook" w:hAnsi="Century Schoolbook"/>
        </w:rPr>
        <w:t xml:space="preserve">second amended notice of the motion, </w:t>
      </w:r>
      <w:r w:rsidRPr="00075FAD">
        <w:rPr>
          <w:rFonts w:ascii="Century Schoolbook" w:hAnsi="Century Schoolbook"/>
        </w:rPr>
        <w:t xml:space="preserve">filed </w:t>
      </w:r>
      <w:r w:rsidR="002304BF" w:rsidRPr="00075FAD">
        <w:rPr>
          <w:rFonts w:ascii="Century Schoolbook" w:hAnsi="Century Schoolbook"/>
        </w:rPr>
        <w:t xml:space="preserve">over two months later, did add </w:t>
      </w:r>
      <w:r w:rsidR="009E49C2" w:rsidRPr="00075FAD">
        <w:rPr>
          <w:rFonts w:ascii="Century Schoolbook" w:hAnsi="Century Schoolbook"/>
        </w:rPr>
        <w:t>subdivision (d)</w:t>
      </w:r>
      <w:r w:rsidR="006E1881" w:rsidRPr="00075FAD">
        <w:rPr>
          <w:rFonts w:ascii="Century Schoolbook" w:hAnsi="Century Schoolbook"/>
        </w:rPr>
        <w:t xml:space="preserve"> as a ground for the motion</w:t>
      </w:r>
      <w:r w:rsidR="009E49C2" w:rsidRPr="00075FAD">
        <w:rPr>
          <w:rFonts w:ascii="Century Schoolbook" w:hAnsi="Century Schoolbook"/>
        </w:rPr>
        <w:t xml:space="preserve">, noting relief under </w:t>
      </w:r>
      <w:r w:rsidR="00983BD1" w:rsidRPr="00075FAD">
        <w:rPr>
          <w:rFonts w:ascii="Century Schoolbook" w:hAnsi="Century Schoolbook"/>
        </w:rPr>
        <w:t xml:space="preserve">that </w:t>
      </w:r>
      <w:r w:rsidR="009E49C2" w:rsidRPr="00075FAD">
        <w:rPr>
          <w:rFonts w:ascii="Century Schoolbook" w:hAnsi="Century Schoolbook"/>
        </w:rPr>
        <w:t xml:space="preserve">subdivision may be granted to set aside a void judgment or order.  </w:t>
      </w:r>
      <w:r w:rsidR="002304BF" w:rsidRPr="00075FAD">
        <w:rPr>
          <w:rFonts w:ascii="Century Schoolbook" w:hAnsi="Century Schoolbook"/>
        </w:rPr>
        <w:t xml:space="preserve">The second amended notice, however, </w:t>
      </w:r>
      <w:r w:rsidRPr="00075FAD">
        <w:rPr>
          <w:rFonts w:ascii="Century Schoolbook" w:hAnsi="Century Schoolbook"/>
        </w:rPr>
        <w:t xml:space="preserve">was served </w:t>
      </w:r>
      <w:r w:rsidRPr="00075FAD">
        <w:rPr>
          <w:rFonts w:ascii="Century Schoolbook" w:hAnsi="Century Schoolbook"/>
          <w:iCs/>
        </w:rPr>
        <w:t>after</w:t>
      </w:r>
      <w:r w:rsidRPr="00075FAD">
        <w:rPr>
          <w:rFonts w:ascii="Century Schoolbook" w:hAnsi="Century Schoolbook"/>
          <w:i/>
        </w:rPr>
        <w:t xml:space="preserve"> </w:t>
      </w:r>
      <w:r w:rsidR="009E49C2" w:rsidRPr="00075FAD">
        <w:rPr>
          <w:rFonts w:ascii="Century Schoolbook" w:hAnsi="Century Schoolbook"/>
          <w:iCs/>
        </w:rPr>
        <w:t xml:space="preserve">DeHaro and Bradley </w:t>
      </w:r>
      <w:r w:rsidR="006E1881" w:rsidRPr="00075FAD">
        <w:rPr>
          <w:rFonts w:ascii="Century Schoolbook" w:hAnsi="Century Schoolbook"/>
          <w:iCs/>
        </w:rPr>
        <w:t xml:space="preserve">filed their </w:t>
      </w:r>
      <w:r w:rsidR="002304BF" w:rsidRPr="00075FAD">
        <w:rPr>
          <w:rFonts w:ascii="Century Schoolbook" w:hAnsi="Century Schoolbook"/>
          <w:iCs/>
        </w:rPr>
        <w:t xml:space="preserve">initial </w:t>
      </w:r>
      <w:r w:rsidR="009E49C2" w:rsidRPr="00075FAD">
        <w:rPr>
          <w:rFonts w:ascii="Century Schoolbook" w:hAnsi="Century Schoolbook"/>
          <w:iCs/>
        </w:rPr>
        <w:t xml:space="preserve">oppositions to the </w:t>
      </w:r>
      <w:r w:rsidR="009E49C2" w:rsidRPr="00075FAD">
        <w:rPr>
          <w:rFonts w:ascii="Century Schoolbook" w:hAnsi="Century Schoolbook"/>
        </w:rPr>
        <w:t>motion and was ostensibly providing notice of a new hearing date</w:t>
      </w:r>
      <w:r w:rsidRPr="00075FAD">
        <w:rPr>
          <w:rFonts w:ascii="Century Schoolbook" w:hAnsi="Century Schoolbook"/>
        </w:rPr>
        <w:t xml:space="preserve">.  Moreover, </w:t>
      </w:r>
      <w:r w:rsidR="009E49C2" w:rsidRPr="00075FAD">
        <w:rPr>
          <w:rFonts w:ascii="Century Schoolbook" w:hAnsi="Century Schoolbook"/>
        </w:rPr>
        <w:t xml:space="preserve">Mitchell’s </w:t>
      </w:r>
      <w:r w:rsidR="002304BF" w:rsidRPr="00075FAD">
        <w:rPr>
          <w:rFonts w:ascii="Century Schoolbook" w:hAnsi="Century Schoolbook"/>
        </w:rPr>
        <w:t xml:space="preserve">supplemental brief, filed </w:t>
      </w:r>
      <w:r w:rsidRPr="00075FAD">
        <w:rPr>
          <w:rFonts w:ascii="Century Schoolbook" w:hAnsi="Century Schoolbook"/>
        </w:rPr>
        <w:t xml:space="preserve">after </w:t>
      </w:r>
      <w:r w:rsidR="006E1881" w:rsidRPr="00075FAD">
        <w:rPr>
          <w:rFonts w:ascii="Century Schoolbook" w:hAnsi="Century Schoolbook"/>
        </w:rPr>
        <w:t xml:space="preserve">the second </w:t>
      </w:r>
      <w:r w:rsidR="006E1881" w:rsidRPr="00075FAD">
        <w:rPr>
          <w:rFonts w:ascii="Century Schoolbook" w:hAnsi="Century Schoolbook"/>
        </w:rPr>
        <w:lastRenderedPageBreak/>
        <w:t xml:space="preserve">amended notice, </w:t>
      </w:r>
      <w:r w:rsidR="009E49C2" w:rsidRPr="00075FAD">
        <w:rPr>
          <w:rFonts w:ascii="Century Schoolbook" w:hAnsi="Century Schoolbook"/>
        </w:rPr>
        <w:t xml:space="preserve">did not </w:t>
      </w:r>
      <w:r w:rsidRPr="00075FAD">
        <w:rPr>
          <w:rFonts w:ascii="Century Schoolbook" w:hAnsi="Century Schoolbook"/>
        </w:rPr>
        <w:t>mention section 473</w:t>
      </w:r>
      <w:r w:rsidR="002E6B55" w:rsidRPr="00075FAD">
        <w:rPr>
          <w:rFonts w:ascii="Century Schoolbook" w:hAnsi="Century Schoolbook"/>
        </w:rPr>
        <w:t xml:space="preserve">, subdivision </w:t>
      </w:r>
      <w:r w:rsidRPr="00075FAD">
        <w:rPr>
          <w:rFonts w:ascii="Century Schoolbook" w:hAnsi="Century Schoolbook"/>
        </w:rPr>
        <w:t>(d)</w:t>
      </w:r>
      <w:r w:rsidR="002E6B55" w:rsidRPr="00075FAD">
        <w:rPr>
          <w:rFonts w:ascii="Century Schoolbook" w:hAnsi="Century Schoolbook"/>
        </w:rPr>
        <w:t xml:space="preserve"> or include </w:t>
      </w:r>
      <w:r w:rsidR="00717094" w:rsidRPr="00075FAD">
        <w:rPr>
          <w:rFonts w:ascii="Century Schoolbook" w:hAnsi="Century Schoolbook"/>
        </w:rPr>
        <w:t xml:space="preserve">any argument that </w:t>
      </w:r>
      <w:r w:rsidR="006E1881" w:rsidRPr="00075FAD">
        <w:rPr>
          <w:rFonts w:ascii="Century Schoolbook" w:hAnsi="Century Schoolbook"/>
        </w:rPr>
        <w:t xml:space="preserve">subdivision (d) </w:t>
      </w:r>
      <w:r w:rsidR="00717094" w:rsidRPr="00075FAD">
        <w:rPr>
          <w:rFonts w:ascii="Century Schoolbook" w:hAnsi="Century Schoolbook"/>
        </w:rPr>
        <w:t>applied</w:t>
      </w:r>
      <w:r w:rsidR="006E1881" w:rsidRPr="00075FAD">
        <w:rPr>
          <w:rFonts w:ascii="Century Schoolbook" w:hAnsi="Century Schoolbook"/>
        </w:rPr>
        <w:t xml:space="preserve"> or that the dismissal was </w:t>
      </w:r>
      <w:r w:rsidR="00570EE1" w:rsidRPr="00075FAD">
        <w:rPr>
          <w:rFonts w:ascii="Century Schoolbook" w:hAnsi="Century Schoolbook"/>
        </w:rPr>
        <w:t>“</w:t>
      </w:r>
      <w:r w:rsidR="006E1881" w:rsidRPr="00075FAD">
        <w:rPr>
          <w:rFonts w:ascii="Century Schoolbook" w:hAnsi="Century Schoolbook"/>
        </w:rPr>
        <w:t>void</w:t>
      </w:r>
      <w:r w:rsidR="002E6B55" w:rsidRPr="00075FAD">
        <w:rPr>
          <w:rFonts w:ascii="Century Schoolbook" w:hAnsi="Century Schoolbook"/>
        </w:rPr>
        <w:t>.</w:t>
      </w:r>
      <w:r w:rsidR="00570EE1" w:rsidRPr="00075FAD">
        <w:rPr>
          <w:rFonts w:ascii="Century Schoolbook" w:hAnsi="Century Schoolbook"/>
        </w:rPr>
        <w:t>”</w:t>
      </w:r>
      <w:r w:rsidR="002E6B55" w:rsidRPr="00075FAD">
        <w:rPr>
          <w:rFonts w:ascii="Century Schoolbook" w:hAnsi="Century Schoolbook"/>
        </w:rPr>
        <w:t xml:space="preserve">  </w:t>
      </w:r>
    </w:p>
    <w:p w14:paraId="5D0E4EE3" w14:textId="62A85BDA" w:rsidR="002304BF" w:rsidRPr="00075FAD" w:rsidRDefault="00AE1D7C" w:rsidP="00F543F4">
      <w:pPr>
        <w:pStyle w:val="BodyText"/>
        <w:widowControl/>
        <w:spacing w:line="360" w:lineRule="auto"/>
        <w:rPr>
          <w:rFonts w:ascii="Century Schoolbook" w:hAnsi="Century Schoolbook"/>
        </w:rPr>
      </w:pPr>
      <w:r w:rsidRPr="00075FAD">
        <w:rPr>
          <w:rFonts w:ascii="Century Schoolbook" w:hAnsi="Century Schoolbook"/>
        </w:rPr>
        <w:tab/>
        <w:t xml:space="preserve">In most cases, an appellant </w:t>
      </w:r>
      <w:r w:rsidR="006E1881" w:rsidRPr="00075FAD">
        <w:rPr>
          <w:rFonts w:ascii="Century Schoolbook" w:hAnsi="Century Schoolbook"/>
        </w:rPr>
        <w:t xml:space="preserve">cannot </w:t>
      </w:r>
      <w:r w:rsidR="002304BF" w:rsidRPr="00075FAD">
        <w:rPr>
          <w:rFonts w:ascii="Century Schoolbook" w:hAnsi="Century Schoolbook"/>
        </w:rPr>
        <w:t xml:space="preserve">contend </w:t>
      </w:r>
      <w:r w:rsidR="006E1881" w:rsidRPr="00075FAD">
        <w:rPr>
          <w:rFonts w:ascii="Century Schoolbook" w:hAnsi="Century Schoolbook"/>
        </w:rPr>
        <w:t>that the trial court erred</w:t>
      </w:r>
      <w:r w:rsidR="00FA49DE" w:rsidRPr="00075FAD">
        <w:rPr>
          <w:rFonts w:ascii="Century Schoolbook" w:hAnsi="Century Schoolbook"/>
        </w:rPr>
        <w:t xml:space="preserve"> </w:t>
      </w:r>
      <w:r w:rsidR="004C6009" w:rsidRPr="00075FAD">
        <w:rPr>
          <w:rFonts w:ascii="Century Schoolbook" w:hAnsi="Century Schoolbook"/>
        </w:rPr>
        <w:t xml:space="preserve">by rejecting </w:t>
      </w:r>
      <w:r w:rsidR="006E1881" w:rsidRPr="00075FAD">
        <w:rPr>
          <w:rFonts w:ascii="Century Schoolbook" w:hAnsi="Century Schoolbook"/>
        </w:rPr>
        <w:t xml:space="preserve">an argument </w:t>
      </w:r>
      <w:r w:rsidR="00F810DD" w:rsidRPr="00075FAD">
        <w:rPr>
          <w:rFonts w:ascii="Century Schoolbook" w:hAnsi="Century Schoolbook"/>
        </w:rPr>
        <w:t xml:space="preserve">the appellant had not </w:t>
      </w:r>
      <w:r w:rsidR="00011B23" w:rsidRPr="00075FAD">
        <w:rPr>
          <w:rFonts w:ascii="Century Schoolbook" w:hAnsi="Century Schoolbook"/>
        </w:rPr>
        <w:t xml:space="preserve">raised </w:t>
      </w:r>
      <w:r w:rsidR="00F810DD" w:rsidRPr="00075FAD">
        <w:rPr>
          <w:rFonts w:ascii="Century Schoolbook" w:hAnsi="Century Schoolbook"/>
        </w:rPr>
        <w:t xml:space="preserve">in its briefing to that court.  We will </w:t>
      </w:r>
      <w:r w:rsidR="00D8361D" w:rsidRPr="00075FAD">
        <w:rPr>
          <w:rFonts w:ascii="Century Schoolbook" w:hAnsi="Century Schoolbook"/>
        </w:rPr>
        <w:t xml:space="preserve">proceed to </w:t>
      </w:r>
      <w:r w:rsidR="00F810DD" w:rsidRPr="00075FAD">
        <w:rPr>
          <w:rFonts w:ascii="Century Schoolbook" w:hAnsi="Century Schoolbook"/>
        </w:rPr>
        <w:t xml:space="preserve">the merits here, </w:t>
      </w:r>
      <w:r w:rsidR="00D8361D" w:rsidRPr="00075FAD">
        <w:rPr>
          <w:rFonts w:ascii="Century Schoolbook" w:hAnsi="Century Schoolbook"/>
        </w:rPr>
        <w:t xml:space="preserve">however, </w:t>
      </w:r>
      <w:r w:rsidR="00011B23" w:rsidRPr="00075FAD">
        <w:rPr>
          <w:rFonts w:ascii="Century Schoolbook" w:hAnsi="Century Schoolbook"/>
        </w:rPr>
        <w:t>because a party may raise a new legal theory on appeal based on facts considered by the trial court (</w:t>
      </w:r>
      <w:r w:rsidR="00011B23" w:rsidRPr="00075FAD">
        <w:rPr>
          <w:rFonts w:ascii="Century Schoolbook" w:hAnsi="Century Schoolbook"/>
          <w:i/>
          <w:iCs/>
        </w:rPr>
        <w:t>Ward v. Taggert</w:t>
      </w:r>
      <w:r w:rsidR="00011B23" w:rsidRPr="00075FAD">
        <w:rPr>
          <w:rFonts w:ascii="Century Schoolbook" w:hAnsi="Century Schoolbook"/>
        </w:rPr>
        <w:t xml:space="preserve"> (1959) </w:t>
      </w:r>
      <w:r w:rsidR="00D8361D" w:rsidRPr="00075FAD">
        <w:rPr>
          <w:rFonts w:ascii="Century Schoolbook" w:hAnsi="Century Schoolbook"/>
        </w:rPr>
        <w:t>51 Cal.2d 736, 742)</w:t>
      </w:r>
      <w:r w:rsidR="00011B23" w:rsidRPr="00075FAD">
        <w:rPr>
          <w:rFonts w:ascii="Century Schoolbook" w:hAnsi="Century Schoolbook"/>
        </w:rPr>
        <w:t xml:space="preserve">, </w:t>
      </w:r>
      <w:r w:rsidR="00FA49DE" w:rsidRPr="00075FAD">
        <w:rPr>
          <w:rFonts w:ascii="Century Schoolbook" w:hAnsi="Century Schoolbook"/>
        </w:rPr>
        <w:t xml:space="preserve">Mitchell’s attorney made a passing reference to subdivision (d) at the hearing, </w:t>
      </w:r>
      <w:r w:rsidR="00011B23" w:rsidRPr="00075FAD">
        <w:rPr>
          <w:rFonts w:ascii="Century Schoolbook" w:hAnsi="Century Schoolbook"/>
        </w:rPr>
        <w:t xml:space="preserve">and </w:t>
      </w:r>
      <w:r w:rsidR="00D8361D" w:rsidRPr="00075FAD">
        <w:rPr>
          <w:rFonts w:ascii="Century Schoolbook" w:hAnsi="Century Schoolbook"/>
        </w:rPr>
        <w:t xml:space="preserve">(as shown below) </w:t>
      </w:r>
      <w:r w:rsidR="00011B23" w:rsidRPr="00075FAD">
        <w:rPr>
          <w:rFonts w:ascii="Century Schoolbook" w:hAnsi="Century Schoolbook"/>
        </w:rPr>
        <w:t xml:space="preserve">the case law on </w:t>
      </w:r>
      <w:r w:rsidR="00D8361D" w:rsidRPr="00075FAD">
        <w:rPr>
          <w:rFonts w:ascii="Century Schoolbook" w:hAnsi="Century Schoolbook"/>
        </w:rPr>
        <w:t xml:space="preserve">vacating </w:t>
      </w:r>
      <w:r w:rsidR="00011B23" w:rsidRPr="00075FAD">
        <w:rPr>
          <w:rFonts w:ascii="Century Schoolbook" w:hAnsi="Century Schoolbook"/>
        </w:rPr>
        <w:t xml:space="preserve">an order or judgment for lack of client </w:t>
      </w:r>
      <w:r w:rsidR="00D8361D" w:rsidRPr="00075FAD">
        <w:rPr>
          <w:rFonts w:ascii="Century Schoolbook" w:hAnsi="Century Schoolbook"/>
        </w:rPr>
        <w:t xml:space="preserve">authorization </w:t>
      </w:r>
      <w:r w:rsidR="00011B23" w:rsidRPr="00075FAD">
        <w:rPr>
          <w:rFonts w:ascii="Century Schoolbook" w:hAnsi="Century Schoolbook"/>
        </w:rPr>
        <w:t xml:space="preserve">is not always clear on the statutory </w:t>
      </w:r>
      <w:r w:rsidR="003D58A6" w:rsidRPr="00075FAD">
        <w:rPr>
          <w:rFonts w:ascii="Century Schoolbook" w:hAnsi="Century Schoolbook"/>
        </w:rPr>
        <w:t>basis</w:t>
      </w:r>
      <w:r w:rsidR="00011B23" w:rsidRPr="00075FAD">
        <w:rPr>
          <w:rFonts w:ascii="Century Schoolbook" w:hAnsi="Century Schoolbook"/>
        </w:rPr>
        <w:t xml:space="preserve"> or theory justifying relief.</w:t>
      </w:r>
      <w:r w:rsidR="00011B23" w:rsidRPr="00075FAD">
        <w:rPr>
          <w:rFonts w:ascii="Century Schoolbook" w:hAnsi="Century Schoolbook"/>
          <w:b/>
          <w:bCs/>
        </w:rPr>
        <w:t xml:space="preserve"> </w:t>
      </w:r>
    </w:p>
    <w:p w14:paraId="73AA2958" w14:textId="1D4A87C4" w:rsidR="006E1881" w:rsidRPr="00075FAD" w:rsidRDefault="009F69C6" w:rsidP="004E79C5">
      <w:pPr>
        <w:pStyle w:val="BodyText"/>
        <w:keepNext/>
        <w:widowControl/>
        <w:spacing w:line="360" w:lineRule="auto"/>
        <w:rPr>
          <w:rFonts w:ascii="Century Schoolbook" w:hAnsi="Century Schoolbook"/>
        </w:rPr>
      </w:pPr>
      <w:r w:rsidRPr="00075FAD">
        <w:rPr>
          <w:rFonts w:ascii="Century Schoolbook" w:hAnsi="Century Schoolbook"/>
        </w:rPr>
        <w:tab/>
      </w:r>
      <w:r w:rsidRPr="00075FAD">
        <w:rPr>
          <w:rFonts w:ascii="Century Schoolbook" w:hAnsi="Century Schoolbook"/>
        </w:rPr>
        <w:tab/>
        <w:t xml:space="preserve">2.  </w:t>
      </w:r>
      <w:r w:rsidRPr="00075FAD">
        <w:rPr>
          <w:rFonts w:ascii="Century Schoolbook" w:hAnsi="Century Schoolbook"/>
          <w:u w:val="single"/>
        </w:rPr>
        <w:t>Merits</w:t>
      </w:r>
      <w:r w:rsidR="006E1881" w:rsidRPr="00075FAD">
        <w:rPr>
          <w:rFonts w:ascii="Century Schoolbook" w:hAnsi="Century Schoolbook"/>
        </w:rPr>
        <w:t xml:space="preserve">  </w:t>
      </w:r>
    </w:p>
    <w:p w14:paraId="6955F23B" w14:textId="4B107AA0" w:rsidR="00927859" w:rsidRPr="00075FAD" w:rsidRDefault="000131A6" w:rsidP="00D30477">
      <w:pPr>
        <w:pStyle w:val="BodyText"/>
        <w:widowControl/>
        <w:spacing w:line="360" w:lineRule="auto"/>
        <w:rPr>
          <w:rStyle w:val="ssrfcpassagedeactivated"/>
          <w:rFonts w:ascii="Century Schoolbook" w:hAnsi="Century Schoolbook"/>
          <w:color w:val="212121"/>
          <w:bdr w:val="none" w:sz="0" w:space="0" w:color="auto" w:frame="1"/>
        </w:rPr>
      </w:pPr>
      <w:r w:rsidRPr="00075FAD">
        <w:rPr>
          <w:rFonts w:ascii="Century Schoolbook" w:hAnsi="Century Schoolbook"/>
        </w:rPr>
        <w:tab/>
      </w:r>
      <w:r w:rsidR="00F810DD" w:rsidRPr="00075FAD">
        <w:rPr>
          <w:rFonts w:ascii="Century Schoolbook" w:hAnsi="Century Schoolbook"/>
        </w:rPr>
        <w:t>Section 473,</w:t>
      </w:r>
      <w:r w:rsidR="00570A96" w:rsidRPr="00075FAD">
        <w:rPr>
          <w:rFonts w:ascii="Century Schoolbook" w:hAnsi="Century Schoolbook"/>
        </w:rPr>
        <w:t xml:space="preserve"> </w:t>
      </w:r>
      <w:r w:rsidR="00F810DD" w:rsidRPr="00075FAD">
        <w:rPr>
          <w:rFonts w:ascii="Century Schoolbook" w:hAnsi="Century Schoolbook"/>
        </w:rPr>
        <w:t>s</w:t>
      </w:r>
      <w:r w:rsidR="00344C9F" w:rsidRPr="00075FAD">
        <w:rPr>
          <w:rFonts w:ascii="Century Schoolbook" w:hAnsi="Century Schoolbook"/>
        </w:rPr>
        <w:t>ubdivision (d)</w:t>
      </w:r>
      <w:r w:rsidR="00F810DD" w:rsidRPr="00075FAD">
        <w:rPr>
          <w:rFonts w:ascii="Century Schoolbook" w:hAnsi="Century Schoolbook"/>
        </w:rPr>
        <w:t>,</w:t>
      </w:r>
      <w:r w:rsidR="00344C9F" w:rsidRPr="00075FAD">
        <w:rPr>
          <w:rFonts w:ascii="Century Schoolbook" w:hAnsi="Century Schoolbook"/>
        </w:rPr>
        <w:t xml:space="preserve"> </w:t>
      </w:r>
      <w:r w:rsidR="00C03131" w:rsidRPr="00075FAD">
        <w:rPr>
          <w:rFonts w:ascii="Century Schoolbook" w:hAnsi="Century Schoolbook"/>
        </w:rPr>
        <w:t>states:</w:t>
      </w:r>
      <w:r w:rsidRPr="00075FAD">
        <w:rPr>
          <w:rFonts w:ascii="Century Schoolbook" w:hAnsi="Century Schoolbook"/>
        </w:rPr>
        <w:t xml:space="preserve">  </w:t>
      </w:r>
      <w:r w:rsidR="00C03131" w:rsidRPr="00075FAD">
        <w:rPr>
          <w:rFonts w:ascii="Century Schoolbook" w:hAnsi="Century Schoolbook"/>
          <w:color w:val="333333"/>
          <w:shd w:val="clear" w:color="auto" w:fill="FFFFFF"/>
        </w:rPr>
        <w:t xml:space="preserve">“The court may, upon motion of the injured party, or its own motion, correct clerical mistakes in its judgment or orders as entered, so as to conform to the judgment or order directed, and </w:t>
      </w:r>
      <w:r w:rsidR="00C03131" w:rsidRPr="00075FAD">
        <w:rPr>
          <w:rFonts w:ascii="Century Schoolbook" w:hAnsi="Century Schoolbook"/>
          <w:i/>
          <w:iCs/>
          <w:color w:val="333333"/>
          <w:shd w:val="clear" w:color="auto" w:fill="FFFFFF"/>
        </w:rPr>
        <w:t>may</w:t>
      </w:r>
      <w:r w:rsidR="00C03131" w:rsidRPr="00075FAD">
        <w:rPr>
          <w:rFonts w:ascii="Century Schoolbook" w:hAnsi="Century Schoolbook"/>
          <w:color w:val="333333"/>
          <w:shd w:val="clear" w:color="auto" w:fill="FFFFFF"/>
        </w:rPr>
        <w:t xml:space="preserve">, </w:t>
      </w:r>
      <w:r w:rsidR="00C03131" w:rsidRPr="00075FAD">
        <w:rPr>
          <w:rFonts w:ascii="Century Schoolbook" w:hAnsi="Century Schoolbook"/>
          <w:i/>
          <w:iCs/>
          <w:color w:val="333333"/>
          <w:shd w:val="clear" w:color="auto" w:fill="FFFFFF"/>
        </w:rPr>
        <w:t>on motion of either party after notice to the other party, set aside any</w:t>
      </w:r>
      <w:r w:rsidR="00C03131" w:rsidRPr="00075FAD">
        <w:rPr>
          <w:rFonts w:ascii="Century Schoolbook" w:hAnsi="Century Schoolbook"/>
          <w:color w:val="333333"/>
          <w:shd w:val="clear" w:color="auto" w:fill="FFFFFF"/>
        </w:rPr>
        <w:t xml:space="preserve"> </w:t>
      </w:r>
      <w:r w:rsidR="00C03131" w:rsidRPr="00075FAD">
        <w:rPr>
          <w:rFonts w:ascii="Century Schoolbook" w:hAnsi="Century Schoolbook"/>
          <w:i/>
          <w:iCs/>
          <w:color w:val="333333"/>
          <w:shd w:val="clear" w:color="auto" w:fill="FFFFFF"/>
        </w:rPr>
        <w:t>void judgment</w:t>
      </w:r>
      <w:r w:rsidR="00C03131" w:rsidRPr="00075FAD">
        <w:rPr>
          <w:rFonts w:ascii="Century Schoolbook" w:hAnsi="Century Schoolbook"/>
          <w:color w:val="333333"/>
          <w:shd w:val="clear" w:color="auto" w:fill="FFFFFF"/>
        </w:rPr>
        <w:t xml:space="preserve"> or order.”</w:t>
      </w:r>
      <w:r w:rsidR="002E79F7" w:rsidRPr="00075FAD">
        <w:rPr>
          <w:rFonts w:ascii="Century Schoolbook" w:hAnsi="Century Schoolbook"/>
          <w:color w:val="333333"/>
          <w:shd w:val="clear" w:color="auto" w:fill="FFFFFF"/>
        </w:rPr>
        <w:t xml:space="preserve">  (Italics added.)</w:t>
      </w:r>
      <w:r w:rsidR="00D30477" w:rsidRPr="00075FAD">
        <w:rPr>
          <w:rFonts w:ascii="Century Schoolbook" w:hAnsi="Century Schoolbook"/>
          <w:color w:val="333333"/>
          <w:shd w:val="clear" w:color="auto" w:fill="FFFFFF"/>
        </w:rPr>
        <w:t xml:space="preserve">  </w:t>
      </w:r>
      <w:r w:rsidR="001C4507" w:rsidRPr="00075FAD">
        <w:rPr>
          <w:rFonts w:ascii="Century Schoolbook" w:hAnsi="Century Schoolbook"/>
        </w:rPr>
        <w:tab/>
      </w:r>
      <w:r w:rsidR="002304BF" w:rsidRPr="00075FAD">
        <w:rPr>
          <w:rStyle w:val="ssrfcsection"/>
          <w:rFonts w:ascii="Century Schoolbook" w:hAnsi="Century Schoolbook"/>
          <w:color w:val="212121"/>
          <w:bdr w:val="none" w:sz="0" w:space="0" w:color="auto" w:frame="1"/>
        </w:rPr>
        <w:t xml:space="preserve">When </w:t>
      </w:r>
      <w:r w:rsidR="00103D03" w:rsidRPr="00075FAD">
        <w:rPr>
          <w:rStyle w:val="ssrfcsection"/>
          <w:rFonts w:ascii="Century Schoolbook" w:hAnsi="Century Schoolbook"/>
          <w:color w:val="212121"/>
          <w:bdr w:val="none" w:sz="0" w:space="0" w:color="auto" w:frame="1"/>
        </w:rPr>
        <w:t xml:space="preserve">reviewing an order </w:t>
      </w:r>
      <w:r w:rsidR="00344C9F" w:rsidRPr="00075FAD">
        <w:rPr>
          <w:rStyle w:val="ssrfcsection"/>
          <w:rFonts w:ascii="Century Schoolbook" w:hAnsi="Century Schoolbook"/>
          <w:color w:val="212121"/>
          <w:bdr w:val="none" w:sz="0" w:space="0" w:color="auto" w:frame="1"/>
        </w:rPr>
        <w:t xml:space="preserve">denying relief </w:t>
      </w:r>
      <w:r w:rsidR="002304BF" w:rsidRPr="00075FAD">
        <w:rPr>
          <w:rStyle w:val="ssrfcsection"/>
          <w:rFonts w:ascii="Century Schoolbook" w:hAnsi="Century Schoolbook"/>
          <w:color w:val="212121"/>
          <w:bdr w:val="none" w:sz="0" w:space="0" w:color="auto" w:frame="1"/>
        </w:rPr>
        <w:t xml:space="preserve">under </w:t>
      </w:r>
      <w:r w:rsidR="00546F17" w:rsidRPr="00075FAD">
        <w:rPr>
          <w:rStyle w:val="ssrfcsection"/>
          <w:rFonts w:ascii="Century Schoolbook" w:hAnsi="Century Schoolbook"/>
          <w:color w:val="212121"/>
          <w:bdr w:val="none" w:sz="0" w:space="0" w:color="auto" w:frame="1"/>
        </w:rPr>
        <w:t>section 473, subdivision (d)</w:t>
      </w:r>
      <w:r w:rsidR="00103D03" w:rsidRPr="00075FAD">
        <w:rPr>
          <w:rStyle w:val="ssrfcsection"/>
          <w:rFonts w:ascii="Century Schoolbook" w:hAnsi="Century Schoolbook"/>
          <w:color w:val="212121"/>
          <w:bdr w:val="none" w:sz="0" w:space="0" w:color="auto" w:frame="1"/>
        </w:rPr>
        <w:t xml:space="preserve">, we consider </w:t>
      </w:r>
      <w:r w:rsidR="002304BF" w:rsidRPr="00075FAD">
        <w:rPr>
          <w:rStyle w:val="ssrfcsection"/>
          <w:rFonts w:ascii="Century Schoolbook" w:hAnsi="Century Schoolbook"/>
          <w:color w:val="212121"/>
          <w:bdr w:val="none" w:sz="0" w:space="0" w:color="auto" w:frame="1"/>
        </w:rPr>
        <w:t xml:space="preserve">de novo </w:t>
      </w:r>
      <w:r w:rsidR="00546F17" w:rsidRPr="00075FAD">
        <w:rPr>
          <w:rStyle w:val="ssrfcsection"/>
          <w:rFonts w:ascii="Century Schoolbook" w:hAnsi="Century Schoolbook"/>
          <w:color w:val="212121"/>
          <w:bdr w:val="none" w:sz="0" w:space="0" w:color="auto" w:frame="1"/>
        </w:rPr>
        <w:t>whether the judgment is </w:t>
      </w:r>
      <w:r w:rsidR="00546F17" w:rsidRPr="00075FAD">
        <w:rPr>
          <w:rStyle w:val="sssh"/>
          <w:rFonts w:ascii="Century Schoolbook" w:hAnsi="Century Schoolbook"/>
          <w:color w:val="212121"/>
          <w:bdr w:val="none" w:sz="0" w:space="0" w:color="auto" w:frame="1"/>
        </w:rPr>
        <w:t>void</w:t>
      </w:r>
      <w:r w:rsidR="00546F17" w:rsidRPr="00075FAD">
        <w:rPr>
          <w:rStyle w:val="ssrfcsection"/>
          <w:rFonts w:ascii="Century Schoolbook" w:hAnsi="Century Schoolbook"/>
          <w:color w:val="212121"/>
          <w:bdr w:val="none" w:sz="0" w:space="0" w:color="auto" w:frame="1"/>
        </w:rPr>
        <w:t xml:space="preserve"> and, if </w:t>
      </w:r>
      <w:r w:rsidR="002304BF" w:rsidRPr="00075FAD">
        <w:rPr>
          <w:rStyle w:val="ssrfcsection"/>
          <w:rFonts w:ascii="Century Schoolbook" w:hAnsi="Century Schoolbook"/>
          <w:color w:val="212121"/>
          <w:bdr w:val="none" w:sz="0" w:space="0" w:color="auto" w:frame="1"/>
        </w:rPr>
        <w:t>it is, determine</w:t>
      </w:r>
      <w:r w:rsidR="00546F17" w:rsidRPr="00075FAD">
        <w:rPr>
          <w:rStyle w:val="ssrfcsection"/>
          <w:rFonts w:ascii="Century Schoolbook" w:hAnsi="Century Schoolbook"/>
          <w:color w:val="212121"/>
          <w:bdr w:val="none" w:sz="0" w:space="0" w:color="auto" w:frame="1"/>
        </w:rPr>
        <w:t xml:space="preserve"> </w:t>
      </w:r>
      <w:r w:rsidR="00344C9F" w:rsidRPr="00075FAD">
        <w:rPr>
          <w:rStyle w:val="ssrfcsection"/>
          <w:rFonts w:ascii="Century Schoolbook" w:hAnsi="Century Schoolbook"/>
          <w:color w:val="212121"/>
          <w:bdr w:val="none" w:sz="0" w:space="0" w:color="auto" w:frame="1"/>
        </w:rPr>
        <w:t xml:space="preserve">whether </w:t>
      </w:r>
      <w:r w:rsidR="00546F17" w:rsidRPr="00075FAD">
        <w:rPr>
          <w:rStyle w:val="ssrfcsection"/>
          <w:rFonts w:ascii="Century Schoolbook" w:hAnsi="Century Schoolbook"/>
          <w:color w:val="212121"/>
          <w:bdr w:val="none" w:sz="0" w:space="0" w:color="auto" w:frame="1"/>
        </w:rPr>
        <w:t xml:space="preserve">the trial court </w:t>
      </w:r>
      <w:r w:rsidR="002304BF" w:rsidRPr="00075FAD">
        <w:rPr>
          <w:rStyle w:val="ssrfcsection"/>
          <w:rFonts w:ascii="Century Schoolbook" w:hAnsi="Century Schoolbook"/>
          <w:color w:val="212121"/>
          <w:bdr w:val="none" w:sz="0" w:space="0" w:color="auto" w:frame="1"/>
        </w:rPr>
        <w:t xml:space="preserve">abused its discretion in deciding </w:t>
      </w:r>
      <w:r w:rsidR="00344C9F" w:rsidRPr="00075FAD">
        <w:rPr>
          <w:rStyle w:val="ssrfcsection"/>
          <w:rFonts w:ascii="Century Schoolbook" w:hAnsi="Century Schoolbook"/>
          <w:color w:val="212121"/>
          <w:bdr w:val="none" w:sz="0" w:space="0" w:color="auto" w:frame="1"/>
        </w:rPr>
        <w:t xml:space="preserve">not </w:t>
      </w:r>
      <w:r w:rsidR="002304BF" w:rsidRPr="00075FAD">
        <w:rPr>
          <w:rStyle w:val="ssrfcsection"/>
          <w:rFonts w:ascii="Century Schoolbook" w:hAnsi="Century Schoolbook"/>
          <w:color w:val="212121"/>
          <w:bdr w:val="none" w:sz="0" w:space="0" w:color="auto" w:frame="1"/>
        </w:rPr>
        <w:t xml:space="preserve">to set it aside. </w:t>
      </w:r>
      <w:r w:rsidR="005E4525">
        <w:rPr>
          <w:rStyle w:val="ssrfcsection"/>
          <w:rFonts w:ascii="Century Schoolbook" w:hAnsi="Century Schoolbook"/>
          <w:color w:val="212121"/>
          <w:bdr w:val="none" w:sz="0" w:space="0" w:color="auto" w:frame="1"/>
        </w:rPr>
        <w:t xml:space="preserve"> </w:t>
      </w:r>
      <w:r w:rsidR="002304BF" w:rsidRPr="00075FAD">
        <w:rPr>
          <w:rStyle w:val="ssrfcsection"/>
          <w:rFonts w:ascii="Century Schoolbook" w:hAnsi="Century Schoolbook"/>
          <w:color w:val="212121"/>
          <w:bdr w:val="none" w:sz="0" w:space="0" w:color="auto" w:frame="1"/>
        </w:rPr>
        <w:t>(</w:t>
      </w:r>
      <w:r w:rsidR="002304BF" w:rsidRPr="00075FAD">
        <w:rPr>
          <w:rStyle w:val="ssit"/>
          <w:rFonts w:ascii="Century Schoolbook" w:hAnsi="Century Schoolbook"/>
          <w:i/>
          <w:iCs/>
          <w:color w:val="212121"/>
          <w:bdr w:val="none" w:sz="0" w:space="0" w:color="auto" w:frame="1"/>
        </w:rPr>
        <w:t>Nixon Peabody LLP v. Superior Court</w:t>
      </w:r>
      <w:r w:rsidR="002304BF" w:rsidRPr="00075FAD">
        <w:rPr>
          <w:rStyle w:val="ssrfcsection"/>
          <w:rFonts w:ascii="Century Schoolbook" w:hAnsi="Century Schoolbook"/>
          <w:color w:val="212121"/>
          <w:bdr w:val="none" w:sz="0" w:space="0" w:color="auto" w:frame="1"/>
        </w:rPr>
        <w:t> </w:t>
      </w:r>
      <w:r w:rsidR="006B7056" w:rsidRPr="00075FAD">
        <w:rPr>
          <w:rStyle w:val="ssrfcpassagedeactivated"/>
          <w:rFonts w:ascii="Century Schoolbook" w:hAnsi="Century Schoolbook"/>
          <w:color w:val="212121"/>
          <w:bdr w:val="none" w:sz="0" w:space="0" w:color="auto" w:frame="1"/>
        </w:rPr>
        <w:t xml:space="preserve"> </w:t>
      </w:r>
      <w:r w:rsidR="002304BF" w:rsidRPr="00075FAD">
        <w:rPr>
          <w:rStyle w:val="ssrfcsection"/>
          <w:rFonts w:ascii="Century Schoolbook" w:hAnsi="Century Schoolbook"/>
          <w:color w:val="212121"/>
          <w:bdr w:val="none" w:sz="0" w:space="0" w:color="auto" w:frame="1"/>
        </w:rPr>
        <w:t>(2014) 230 Cal.App.4</w:t>
      </w:r>
      <w:r w:rsidR="00F64E3B" w:rsidRPr="00075FAD">
        <w:rPr>
          <w:rStyle w:val="ssrfcsection"/>
          <w:rFonts w:ascii="Century Schoolbook" w:hAnsi="Century Schoolbook"/>
          <w:color w:val="212121"/>
          <w:bdr w:val="none" w:sz="0" w:space="0" w:color="auto" w:frame="1"/>
        </w:rPr>
        <w:t>th</w:t>
      </w:r>
      <w:r w:rsidR="002304BF" w:rsidRPr="00075FAD">
        <w:rPr>
          <w:rStyle w:val="ssrfcsection"/>
          <w:rFonts w:ascii="Century Schoolbook" w:hAnsi="Century Schoolbook"/>
          <w:color w:val="212121"/>
          <w:bdr w:val="none" w:sz="0" w:space="0" w:color="auto" w:frame="1"/>
        </w:rPr>
        <w:t xml:space="preserve"> 818, 822</w:t>
      </w:r>
      <w:r w:rsidR="006B7056" w:rsidRPr="00075FAD">
        <w:rPr>
          <w:rStyle w:val="ssrfcsection"/>
          <w:rFonts w:ascii="Century Schoolbook" w:hAnsi="Century Schoolbook"/>
          <w:color w:val="212121"/>
          <w:bdr w:val="none" w:sz="0" w:space="0" w:color="auto" w:frame="1"/>
        </w:rPr>
        <w:t xml:space="preserve"> (</w:t>
      </w:r>
      <w:r w:rsidR="006B7056" w:rsidRPr="00075FAD">
        <w:rPr>
          <w:rStyle w:val="ssrfcsection"/>
          <w:rFonts w:ascii="Century Schoolbook" w:hAnsi="Century Schoolbook"/>
          <w:i/>
          <w:iCs/>
          <w:color w:val="212121"/>
          <w:bdr w:val="none" w:sz="0" w:space="0" w:color="auto" w:frame="1"/>
        </w:rPr>
        <w:t>Nixon Peabody</w:t>
      </w:r>
      <w:r w:rsidR="006B7056" w:rsidRPr="00075FAD">
        <w:rPr>
          <w:rStyle w:val="ssrfcsection"/>
          <w:rFonts w:ascii="Century Schoolbook" w:hAnsi="Century Schoolbook"/>
          <w:color w:val="212121"/>
          <w:bdr w:val="none" w:sz="0" w:space="0" w:color="auto" w:frame="1"/>
        </w:rPr>
        <w:t>)</w:t>
      </w:r>
      <w:r w:rsidR="002304BF" w:rsidRPr="00075FAD">
        <w:rPr>
          <w:rStyle w:val="ssrfcsection"/>
          <w:rFonts w:ascii="Century Schoolbook" w:hAnsi="Century Schoolbook"/>
          <w:color w:val="212121"/>
          <w:bdr w:val="none" w:sz="0" w:space="0" w:color="auto" w:frame="1"/>
        </w:rPr>
        <w:t xml:space="preserve">; </w:t>
      </w:r>
      <w:r w:rsidR="002304BF" w:rsidRPr="00075FAD">
        <w:rPr>
          <w:rStyle w:val="ssrfcsection"/>
          <w:rFonts w:ascii="Century Schoolbook" w:hAnsi="Century Schoolbook"/>
          <w:i/>
          <w:iCs/>
          <w:color w:val="212121"/>
          <w:bdr w:val="none" w:sz="0" w:space="0" w:color="auto" w:frame="1"/>
        </w:rPr>
        <w:t>Cruz v. Fagor America, Inc.</w:t>
      </w:r>
      <w:r w:rsidR="002304BF" w:rsidRPr="00075FAD">
        <w:rPr>
          <w:rStyle w:val="ssrfcsection"/>
          <w:rFonts w:ascii="Century Schoolbook" w:hAnsi="Century Schoolbook"/>
          <w:color w:val="212121"/>
          <w:bdr w:val="none" w:sz="0" w:space="0" w:color="auto" w:frame="1"/>
        </w:rPr>
        <w:t xml:space="preserve"> (2007) 146 Cal.App.4</w:t>
      </w:r>
      <w:r w:rsidR="00F64E3B" w:rsidRPr="00075FAD">
        <w:rPr>
          <w:rStyle w:val="ssrfcsection"/>
          <w:rFonts w:ascii="Century Schoolbook" w:hAnsi="Century Schoolbook"/>
          <w:color w:val="212121"/>
          <w:bdr w:val="none" w:sz="0" w:space="0" w:color="auto" w:frame="1"/>
        </w:rPr>
        <w:t>th</w:t>
      </w:r>
      <w:r w:rsidR="002304BF" w:rsidRPr="00075FAD">
        <w:rPr>
          <w:rStyle w:val="ssrfcsection"/>
          <w:rFonts w:ascii="Century Schoolbook" w:hAnsi="Century Schoolbook"/>
          <w:color w:val="212121"/>
          <w:bdr w:val="none" w:sz="0" w:space="0" w:color="auto" w:frame="1"/>
        </w:rPr>
        <w:t xml:space="preserve"> 488, 495</w:t>
      </w:r>
      <w:r w:rsidR="00174CF6" w:rsidRPr="00075FAD">
        <w:rPr>
          <w:rStyle w:val="ssrfcsection"/>
          <w:rFonts w:ascii="Century Schoolbook" w:hAnsi="Century Schoolbook"/>
          <w:color w:val="212121"/>
          <w:bdr w:val="none" w:sz="0" w:space="0" w:color="auto" w:frame="1"/>
        </w:rPr>
        <w:t>–</w:t>
      </w:r>
      <w:r w:rsidR="002304BF" w:rsidRPr="00075FAD">
        <w:rPr>
          <w:rStyle w:val="ssrfcsection"/>
          <w:rFonts w:ascii="Century Schoolbook" w:hAnsi="Century Schoolbook"/>
          <w:color w:val="212121"/>
          <w:bdr w:val="none" w:sz="0" w:space="0" w:color="auto" w:frame="1"/>
        </w:rPr>
        <w:t>496</w:t>
      </w:r>
      <w:r w:rsidR="00CB6189" w:rsidRPr="00075FAD">
        <w:rPr>
          <w:rStyle w:val="ssrfcsection"/>
          <w:rFonts w:ascii="Century Schoolbook" w:hAnsi="Century Schoolbook"/>
          <w:color w:val="212121"/>
          <w:bdr w:val="none" w:sz="0" w:space="0" w:color="auto" w:frame="1"/>
        </w:rPr>
        <w:t xml:space="preserve"> (</w:t>
      </w:r>
      <w:r w:rsidR="00CB6189" w:rsidRPr="00075FAD">
        <w:rPr>
          <w:rStyle w:val="ssrfcsection"/>
          <w:rFonts w:ascii="Century Schoolbook" w:hAnsi="Century Schoolbook"/>
          <w:i/>
          <w:iCs/>
          <w:color w:val="212121"/>
          <w:bdr w:val="none" w:sz="0" w:space="0" w:color="auto" w:frame="1"/>
        </w:rPr>
        <w:t>Cruz</w:t>
      </w:r>
      <w:r w:rsidR="00CB6189" w:rsidRPr="00075FAD">
        <w:rPr>
          <w:rStyle w:val="ssrfcsection"/>
          <w:rFonts w:ascii="Century Schoolbook" w:hAnsi="Century Schoolbook"/>
          <w:color w:val="212121"/>
          <w:bdr w:val="none" w:sz="0" w:space="0" w:color="auto" w:frame="1"/>
        </w:rPr>
        <w:t>)</w:t>
      </w:r>
      <w:r w:rsidR="002304BF" w:rsidRPr="00075FAD">
        <w:rPr>
          <w:rStyle w:val="ssrfcsection"/>
          <w:rFonts w:ascii="Century Schoolbook" w:hAnsi="Century Schoolbook"/>
          <w:color w:val="212121"/>
          <w:bdr w:val="none" w:sz="0" w:space="0" w:color="auto" w:frame="1"/>
        </w:rPr>
        <w:t xml:space="preserve">; </w:t>
      </w:r>
      <w:r w:rsidR="00546F17" w:rsidRPr="00075FAD">
        <w:rPr>
          <w:rStyle w:val="ssrfcpassagedeactivated"/>
          <w:rFonts w:ascii="Century Schoolbook" w:hAnsi="Century Schoolbook"/>
          <w:i/>
          <w:iCs/>
          <w:color w:val="212121"/>
          <w:bdr w:val="none" w:sz="0" w:space="0" w:color="auto" w:frame="1"/>
        </w:rPr>
        <w:t>Pittman v. Beck Park Apartments Ltd</w:t>
      </w:r>
      <w:r w:rsidR="00546F17" w:rsidRPr="00075FAD">
        <w:rPr>
          <w:rStyle w:val="ssrfcpassagedeactivated"/>
          <w:rFonts w:ascii="Century Schoolbook" w:hAnsi="Century Schoolbook"/>
          <w:color w:val="212121"/>
          <w:bdr w:val="none" w:sz="0" w:space="0" w:color="auto" w:frame="1"/>
        </w:rPr>
        <w:t>.</w:t>
      </w:r>
      <w:r w:rsidR="002304BF" w:rsidRPr="00075FAD">
        <w:rPr>
          <w:rStyle w:val="ssrfcpassagedeactivated"/>
          <w:rFonts w:ascii="Century Schoolbook" w:hAnsi="Century Schoolbook"/>
          <w:color w:val="212121"/>
          <w:bdr w:val="none" w:sz="0" w:space="0" w:color="auto" w:frame="1"/>
        </w:rPr>
        <w:t xml:space="preserve"> (</w:t>
      </w:r>
      <w:r w:rsidR="00927859" w:rsidRPr="00075FAD">
        <w:rPr>
          <w:rStyle w:val="ssrfcpassagedeactivated"/>
          <w:rFonts w:ascii="Century Schoolbook" w:hAnsi="Century Schoolbook"/>
          <w:color w:val="212121"/>
          <w:bdr w:val="none" w:sz="0" w:space="0" w:color="auto" w:frame="1"/>
        </w:rPr>
        <w:t>2018</w:t>
      </w:r>
      <w:r w:rsidR="002304BF" w:rsidRPr="00075FAD">
        <w:rPr>
          <w:rStyle w:val="ssrfcpassagedeactivated"/>
          <w:rFonts w:ascii="Century Schoolbook" w:hAnsi="Century Schoolbook"/>
          <w:color w:val="212121"/>
          <w:bdr w:val="none" w:sz="0" w:space="0" w:color="auto" w:frame="1"/>
        </w:rPr>
        <w:t xml:space="preserve">) </w:t>
      </w:r>
      <w:r w:rsidR="00546F17" w:rsidRPr="00075FAD">
        <w:rPr>
          <w:rStyle w:val="ssrfcpassagedeactivated"/>
          <w:rFonts w:ascii="Century Schoolbook" w:hAnsi="Century Schoolbook"/>
          <w:color w:val="212121"/>
          <w:bdr w:val="none" w:sz="0" w:space="0" w:color="auto" w:frame="1"/>
        </w:rPr>
        <w:t>20 Cal.App.5</w:t>
      </w:r>
      <w:r w:rsidR="00F64E3B" w:rsidRPr="00075FAD">
        <w:rPr>
          <w:rStyle w:val="ssrfcpassagedeactivated"/>
          <w:rFonts w:ascii="Century Schoolbook" w:hAnsi="Century Schoolbook"/>
          <w:color w:val="212121"/>
          <w:bdr w:val="none" w:sz="0" w:space="0" w:color="auto" w:frame="1"/>
        </w:rPr>
        <w:t>th</w:t>
      </w:r>
      <w:r w:rsidR="00546F17" w:rsidRPr="00075FAD">
        <w:rPr>
          <w:rStyle w:val="ssrfcpassagedeactivated"/>
          <w:rFonts w:ascii="Century Schoolbook" w:hAnsi="Century Schoolbook"/>
          <w:color w:val="212121"/>
          <w:bdr w:val="none" w:sz="0" w:space="0" w:color="auto" w:frame="1"/>
        </w:rPr>
        <w:t xml:space="preserve"> 1009, 1020</w:t>
      </w:r>
      <w:r w:rsidR="00174CF6" w:rsidRPr="00075FAD">
        <w:rPr>
          <w:rStyle w:val="ssrfcpassagedeactivated"/>
          <w:rFonts w:ascii="Century Schoolbook" w:hAnsi="Century Schoolbook"/>
          <w:color w:val="212121"/>
          <w:bdr w:val="none" w:sz="0" w:space="0" w:color="auto" w:frame="1"/>
        </w:rPr>
        <w:t>–</w:t>
      </w:r>
      <w:r w:rsidR="00546F17" w:rsidRPr="00075FAD">
        <w:rPr>
          <w:rStyle w:val="ssrfcpassagedeactivated"/>
          <w:rFonts w:ascii="Century Schoolbook" w:hAnsi="Century Schoolbook"/>
          <w:color w:val="212121"/>
          <w:bdr w:val="none" w:sz="0" w:space="0" w:color="auto" w:frame="1"/>
        </w:rPr>
        <w:t>1021</w:t>
      </w:r>
      <w:r w:rsidR="006B7056" w:rsidRPr="00075FAD">
        <w:rPr>
          <w:rStyle w:val="ssrfcpassagedeactivated"/>
          <w:rFonts w:ascii="Century Schoolbook" w:hAnsi="Century Schoolbook"/>
          <w:color w:val="212121"/>
          <w:bdr w:val="none" w:sz="0" w:space="0" w:color="auto" w:frame="1"/>
        </w:rPr>
        <w:t xml:space="preserve"> (</w:t>
      </w:r>
      <w:r w:rsidR="006B7056" w:rsidRPr="00026073">
        <w:rPr>
          <w:rStyle w:val="ssrfcpassagedeactivated"/>
          <w:rFonts w:ascii="Century Schoolbook" w:hAnsi="Century Schoolbook"/>
          <w:i/>
          <w:iCs/>
          <w:color w:val="212121"/>
          <w:bdr w:val="none" w:sz="0" w:space="0" w:color="auto" w:frame="1"/>
        </w:rPr>
        <w:t>Pittman</w:t>
      </w:r>
      <w:r w:rsidR="006B7056" w:rsidRPr="00026073">
        <w:rPr>
          <w:rStyle w:val="ssrfcpassagedeactivated"/>
          <w:rFonts w:ascii="Century Schoolbook" w:hAnsi="Century Schoolbook"/>
          <w:color w:val="212121"/>
          <w:bdr w:val="none" w:sz="0" w:space="0" w:color="auto" w:frame="1"/>
        </w:rPr>
        <w:t>)</w:t>
      </w:r>
      <w:r w:rsidR="00CB3F3A" w:rsidRPr="00026073">
        <w:rPr>
          <w:rStyle w:val="ssrfcpassagedeactivated"/>
          <w:rFonts w:ascii="Century Schoolbook" w:hAnsi="Century Schoolbook"/>
          <w:color w:val="212121"/>
          <w:bdr w:val="none" w:sz="0" w:space="0" w:color="auto" w:frame="1"/>
        </w:rPr>
        <w:t xml:space="preserve">; </w:t>
      </w:r>
      <w:r w:rsidR="00153C90" w:rsidRPr="00026073">
        <w:rPr>
          <w:rStyle w:val="ssrfcpassagedeactivated"/>
          <w:rFonts w:ascii="Century Schoolbook" w:hAnsi="Century Schoolbook"/>
          <w:color w:val="212121"/>
          <w:bdr w:val="none" w:sz="0" w:space="0" w:color="auto" w:frame="1"/>
        </w:rPr>
        <w:t xml:space="preserve">but </w:t>
      </w:r>
      <w:r w:rsidR="00CB3F3A" w:rsidRPr="00026073">
        <w:rPr>
          <w:rStyle w:val="ssrfcpassagedeactivated"/>
          <w:rFonts w:ascii="Century Schoolbook" w:hAnsi="Century Schoolbook"/>
          <w:color w:val="212121"/>
          <w:bdr w:val="none" w:sz="0" w:space="0" w:color="auto" w:frame="1"/>
        </w:rPr>
        <w:t xml:space="preserve">cf. </w:t>
      </w:r>
      <w:r w:rsidR="00CB3F3A" w:rsidRPr="00026073">
        <w:rPr>
          <w:rStyle w:val="ssrfcpassagedeactivated"/>
          <w:rFonts w:ascii="Century Schoolbook" w:hAnsi="Century Schoolbook"/>
          <w:i/>
          <w:iCs/>
          <w:color w:val="212121"/>
          <w:bdr w:val="none" w:sz="0" w:space="0" w:color="auto" w:frame="1"/>
        </w:rPr>
        <w:t>Air</w:t>
      </w:r>
      <w:r w:rsidR="00854B0E" w:rsidRPr="00026073">
        <w:rPr>
          <w:rStyle w:val="ssrfcpassagedeactivated"/>
          <w:rFonts w:ascii="Century Schoolbook" w:hAnsi="Century Schoolbook"/>
          <w:i/>
          <w:iCs/>
          <w:color w:val="212121"/>
          <w:bdr w:val="none" w:sz="0" w:space="0" w:color="auto" w:frame="1"/>
        </w:rPr>
        <w:t>s</w:t>
      </w:r>
      <w:r w:rsidR="00CB3F3A" w:rsidRPr="00026073">
        <w:rPr>
          <w:rStyle w:val="ssrfcpassagedeactivated"/>
          <w:rFonts w:ascii="Century Schoolbook" w:hAnsi="Century Schoolbook"/>
          <w:i/>
          <w:iCs/>
          <w:color w:val="212121"/>
          <w:bdr w:val="none" w:sz="0" w:space="0" w:color="auto" w:frame="1"/>
        </w:rPr>
        <w:t xml:space="preserve"> Aromatics, LLC v. CBL Data Recovery Technologies, Inc.</w:t>
      </w:r>
      <w:r w:rsidR="00CB3F3A" w:rsidRPr="00026073">
        <w:rPr>
          <w:rStyle w:val="ssrfcpassagedeactivated"/>
          <w:rFonts w:ascii="Century Schoolbook" w:hAnsi="Century Schoolbook"/>
          <w:color w:val="212121"/>
          <w:bdr w:val="none" w:sz="0" w:space="0" w:color="auto" w:frame="1"/>
        </w:rPr>
        <w:t xml:space="preserve"> (2018) 23 Cal.App.5th 1013, 1021</w:t>
      </w:r>
      <w:r w:rsidR="00854B0E" w:rsidRPr="00026073">
        <w:rPr>
          <w:rStyle w:val="ssrfcpassagedeactivated"/>
          <w:rFonts w:ascii="Century Schoolbook" w:hAnsi="Century Schoolbook"/>
          <w:color w:val="212121"/>
          <w:bdr w:val="none" w:sz="0" w:space="0" w:color="auto" w:frame="1"/>
        </w:rPr>
        <w:t>–</w:t>
      </w:r>
      <w:r w:rsidR="00CB3F3A" w:rsidRPr="00026073">
        <w:rPr>
          <w:rStyle w:val="ssrfcpassagedeactivated"/>
          <w:rFonts w:ascii="Century Schoolbook" w:hAnsi="Century Schoolbook"/>
          <w:color w:val="212121"/>
          <w:bdr w:val="none" w:sz="0" w:space="0" w:color="auto" w:frame="1"/>
        </w:rPr>
        <w:t>1024 [questioning whether discretion exists where</w:t>
      </w:r>
      <w:r w:rsidR="000B2AC5" w:rsidRPr="00026073">
        <w:rPr>
          <w:rStyle w:val="ssrfcpassagedeactivated"/>
          <w:rFonts w:ascii="Century Schoolbook" w:hAnsi="Century Schoolbook"/>
          <w:color w:val="212121"/>
          <w:bdr w:val="none" w:sz="0" w:space="0" w:color="auto" w:frame="1"/>
        </w:rPr>
        <w:t xml:space="preserve"> </w:t>
      </w:r>
      <w:r w:rsidR="00494632" w:rsidRPr="00026073">
        <w:rPr>
          <w:rStyle w:val="ssrfcpassagedeactivated"/>
          <w:rFonts w:ascii="Century Schoolbook" w:hAnsi="Century Schoolbook"/>
          <w:color w:val="212121"/>
          <w:bdr w:val="none" w:sz="0" w:space="0" w:color="auto" w:frame="1"/>
        </w:rPr>
        <w:t>a</w:t>
      </w:r>
      <w:r w:rsidR="00CB3F3A" w:rsidRPr="00026073">
        <w:rPr>
          <w:rStyle w:val="ssrfcpassagedeactivated"/>
          <w:rFonts w:ascii="Century Schoolbook" w:hAnsi="Century Schoolbook"/>
          <w:color w:val="212121"/>
          <w:bdr w:val="none" w:sz="0" w:space="0" w:color="auto" w:frame="1"/>
        </w:rPr>
        <w:t xml:space="preserve"> default judgment was entered in violation of </w:t>
      </w:r>
      <w:r w:rsidR="00494632" w:rsidRPr="00026073">
        <w:rPr>
          <w:rStyle w:val="ssrfcpassagedeactivated"/>
          <w:rFonts w:ascii="Century Schoolbook" w:hAnsi="Century Schoolbook"/>
          <w:color w:val="212121"/>
          <w:bdr w:val="none" w:sz="0" w:space="0" w:color="auto" w:frame="1"/>
        </w:rPr>
        <w:t xml:space="preserve">the </w:t>
      </w:r>
      <w:r w:rsidR="00CB3F3A" w:rsidRPr="00026073">
        <w:rPr>
          <w:rStyle w:val="ssrfcpassagedeactivated"/>
          <w:rFonts w:ascii="Century Schoolbook" w:hAnsi="Century Schoolbook"/>
          <w:color w:val="212121"/>
          <w:bdr w:val="none" w:sz="0" w:space="0" w:color="auto" w:frame="1"/>
        </w:rPr>
        <w:t>trial court’s fundamental jurisdiction].</w:t>
      </w:r>
      <w:r w:rsidR="00927859" w:rsidRPr="00026073">
        <w:rPr>
          <w:rStyle w:val="ssrfcpassagedeactivated"/>
          <w:rFonts w:ascii="Century Schoolbook" w:hAnsi="Century Schoolbook"/>
          <w:color w:val="212121"/>
          <w:bdr w:val="none" w:sz="0" w:space="0" w:color="auto" w:frame="1"/>
        </w:rPr>
        <w:t>)</w:t>
      </w:r>
    </w:p>
    <w:p w14:paraId="0CE3B8A5" w14:textId="4327F490" w:rsidR="00D30477" w:rsidRPr="00075FAD" w:rsidRDefault="00D30477" w:rsidP="00551C9D">
      <w:pPr>
        <w:pStyle w:val="BodyText"/>
        <w:widowControl/>
        <w:spacing w:line="360" w:lineRule="auto"/>
        <w:ind w:firstLine="720"/>
        <w:rPr>
          <w:rFonts w:ascii="Century Schoolbook" w:hAnsi="Century Schoolbook"/>
        </w:rPr>
      </w:pPr>
      <w:r w:rsidRPr="00075FAD">
        <w:rPr>
          <w:rFonts w:ascii="Century Schoolbook" w:hAnsi="Century Schoolbook"/>
        </w:rPr>
        <w:lastRenderedPageBreak/>
        <w:t xml:space="preserve">Mitchell contends he is entitled to relief under section 473, subdivision (d) because the dismissal of its cross-claims by its attorney without its express consent was void.  </w:t>
      </w:r>
      <w:r w:rsidR="004727D5" w:rsidRPr="00075FAD">
        <w:rPr>
          <w:rFonts w:ascii="Century Schoolbook" w:hAnsi="Century Schoolbook"/>
        </w:rPr>
        <w:t>But</w:t>
      </w:r>
      <w:r w:rsidRPr="00075FAD">
        <w:rPr>
          <w:rFonts w:ascii="Century Schoolbook" w:hAnsi="Century Schoolbook"/>
        </w:rPr>
        <w:t xml:space="preserve"> the dismissal </w:t>
      </w:r>
      <w:r w:rsidR="006D14C9" w:rsidRPr="00075FAD">
        <w:rPr>
          <w:rFonts w:ascii="Century Schoolbook" w:hAnsi="Century Schoolbook"/>
        </w:rPr>
        <w:t>appears to be</w:t>
      </w:r>
      <w:r w:rsidR="004727D5" w:rsidRPr="00075FAD">
        <w:rPr>
          <w:rFonts w:ascii="Century Schoolbook" w:hAnsi="Century Schoolbook"/>
        </w:rPr>
        <w:t xml:space="preserve"> </w:t>
      </w:r>
      <w:r w:rsidRPr="00075FAD">
        <w:rPr>
          <w:rFonts w:ascii="Century Schoolbook" w:hAnsi="Century Schoolbook"/>
        </w:rPr>
        <w:t>voidable, rather than void</w:t>
      </w:r>
      <w:r w:rsidR="004727D5" w:rsidRPr="00075FAD">
        <w:rPr>
          <w:rFonts w:ascii="Century Schoolbook" w:hAnsi="Century Schoolbook"/>
        </w:rPr>
        <w:t>.  As a result,</w:t>
      </w:r>
      <w:r w:rsidRPr="00075FAD">
        <w:rPr>
          <w:rFonts w:ascii="Century Schoolbook" w:hAnsi="Century Schoolbook"/>
        </w:rPr>
        <w:t xml:space="preserve"> it is not clear </w:t>
      </w:r>
      <w:r w:rsidR="004727D5" w:rsidRPr="00075FAD">
        <w:rPr>
          <w:rFonts w:ascii="Century Schoolbook" w:hAnsi="Century Schoolbook"/>
        </w:rPr>
        <w:t>that</w:t>
      </w:r>
      <w:r w:rsidRPr="00075FAD">
        <w:rPr>
          <w:rFonts w:ascii="Century Schoolbook" w:hAnsi="Century Schoolbook"/>
        </w:rPr>
        <w:t xml:space="preserve"> Mitchell may obtain relief under subdivision (d).  It is, however, clear that the trial court did not abuse its discretion by declining to set aside </w:t>
      </w:r>
      <w:r w:rsidR="00E163D7" w:rsidRPr="00075FAD">
        <w:rPr>
          <w:rFonts w:ascii="Century Schoolbook" w:hAnsi="Century Schoolbook"/>
        </w:rPr>
        <w:t xml:space="preserve">the </w:t>
      </w:r>
      <w:r w:rsidRPr="00075FAD">
        <w:rPr>
          <w:rFonts w:ascii="Century Schoolbook" w:hAnsi="Century Schoolbook"/>
        </w:rPr>
        <w:t>dismissal.</w:t>
      </w:r>
      <w:r w:rsidR="004727D5" w:rsidRPr="00075FAD">
        <w:rPr>
          <w:rFonts w:ascii="Century Schoolbook" w:hAnsi="Century Schoolbook"/>
        </w:rPr>
        <w:t xml:space="preserve">  We therefore reject Mitchell’s contention regardless of whether the dismissal was void for purposes of section 473, subdivision (d)</w:t>
      </w:r>
      <w:r w:rsidR="00551C9D" w:rsidRPr="00075FAD">
        <w:rPr>
          <w:rFonts w:ascii="Century Schoolbook" w:hAnsi="Century Schoolbook"/>
        </w:rPr>
        <w:t>.</w:t>
      </w:r>
    </w:p>
    <w:p w14:paraId="06A922B3" w14:textId="33A5A2D0" w:rsidR="00F3310E" w:rsidRPr="00075FAD" w:rsidRDefault="00F3310E" w:rsidP="006B7056">
      <w:pPr>
        <w:pStyle w:val="BodyText"/>
        <w:widowControl/>
        <w:tabs>
          <w:tab w:val="left" w:pos="0"/>
        </w:tabs>
        <w:spacing w:line="360" w:lineRule="auto"/>
        <w:rPr>
          <w:rStyle w:val="ssrfcpassagedeactivated"/>
          <w:rFonts w:ascii="Century Schoolbook" w:hAnsi="Century Schoolbook"/>
          <w:i/>
          <w:iCs/>
          <w:color w:val="212121"/>
          <w:bdr w:val="none" w:sz="0" w:space="0" w:color="auto" w:frame="1"/>
        </w:rPr>
      </w:pPr>
      <w:r w:rsidRPr="00075FAD">
        <w:rPr>
          <w:rStyle w:val="ssrfcpassagedeactivated"/>
          <w:rFonts w:ascii="Century Schoolbook" w:hAnsi="Century Schoolbook"/>
          <w:b/>
          <w:bCs/>
          <w:color w:val="212121"/>
          <w:bdr w:val="none" w:sz="0" w:space="0" w:color="auto" w:frame="1"/>
        </w:rPr>
        <w:tab/>
      </w:r>
      <w:r w:rsidR="00513E90" w:rsidRPr="00075FAD">
        <w:rPr>
          <w:rStyle w:val="ssrfcpassagedeactivated"/>
          <w:rFonts w:ascii="Century Schoolbook" w:hAnsi="Century Schoolbook"/>
          <w:b/>
          <w:bCs/>
          <w:color w:val="212121"/>
          <w:bdr w:val="none" w:sz="0" w:space="0" w:color="auto" w:frame="1"/>
        </w:rPr>
        <w:tab/>
      </w:r>
      <w:r w:rsidR="00513E90" w:rsidRPr="00075FAD">
        <w:rPr>
          <w:rStyle w:val="ssrfcpassagedeactivated"/>
          <w:rFonts w:ascii="Century Schoolbook" w:hAnsi="Century Schoolbook"/>
          <w:b/>
          <w:bCs/>
          <w:color w:val="212121"/>
          <w:bdr w:val="none" w:sz="0" w:space="0" w:color="auto" w:frame="1"/>
        </w:rPr>
        <w:tab/>
      </w:r>
      <w:r w:rsidR="00513E90" w:rsidRPr="00075FAD">
        <w:rPr>
          <w:rStyle w:val="ssrfcpassagedeactivated"/>
          <w:rFonts w:ascii="Century Schoolbook" w:hAnsi="Century Schoolbook"/>
          <w:i/>
          <w:iCs/>
          <w:color w:val="212121"/>
          <w:bdr w:val="none" w:sz="0" w:space="0" w:color="auto" w:frame="1"/>
        </w:rPr>
        <w:t xml:space="preserve">a.  </w:t>
      </w:r>
      <w:r w:rsidR="00574EDF" w:rsidRPr="00075FAD">
        <w:rPr>
          <w:rStyle w:val="ssrfcpassagedeactivated"/>
          <w:rFonts w:ascii="Century Schoolbook" w:hAnsi="Century Schoolbook"/>
          <w:i/>
          <w:iCs/>
          <w:color w:val="212121"/>
          <w:bdr w:val="none" w:sz="0" w:space="0" w:color="auto" w:frame="1"/>
        </w:rPr>
        <w:t>Void</w:t>
      </w:r>
      <w:r w:rsidR="00F64D01" w:rsidRPr="00075FAD">
        <w:rPr>
          <w:rStyle w:val="ssrfcpassagedeactivated"/>
          <w:rFonts w:ascii="Century Schoolbook" w:hAnsi="Century Schoolbook"/>
          <w:i/>
          <w:iCs/>
          <w:color w:val="212121"/>
          <w:bdr w:val="none" w:sz="0" w:space="0" w:color="auto" w:frame="1"/>
        </w:rPr>
        <w:t>able, Not Void</w:t>
      </w:r>
    </w:p>
    <w:p w14:paraId="49614C63" w14:textId="030256DD" w:rsidR="004727D5" w:rsidRPr="00075FAD" w:rsidRDefault="004727D5" w:rsidP="00250E5A">
      <w:pPr>
        <w:spacing w:line="360" w:lineRule="auto"/>
        <w:rPr>
          <w:rStyle w:val="ssrfcpassagedeactivated"/>
          <w:color w:val="212121"/>
          <w:bdr w:val="none" w:sz="0" w:space="0" w:color="auto" w:frame="1"/>
        </w:rPr>
      </w:pPr>
      <w:r w:rsidRPr="00075FAD">
        <w:rPr>
          <w:color w:val="333333"/>
          <w:shd w:val="clear" w:color="auto" w:fill="FFFFFF"/>
        </w:rPr>
        <w:tab/>
        <w:t xml:space="preserve">A judgment is void if the trial court lacks jurisdiction in a fundamental sense, as where it lacked subject matter jurisdiction, lacked personal jurisdiction over the defendant, or granted relief the court had no power to grant.  </w:t>
      </w:r>
      <w:r w:rsidRPr="00075FAD">
        <w:rPr>
          <w:rStyle w:val="ssrfcsection"/>
          <w:color w:val="212121"/>
          <w:bdr w:val="none" w:sz="0" w:space="0" w:color="auto" w:frame="1"/>
        </w:rPr>
        <w:t>(</w:t>
      </w:r>
      <w:r w:rsidRPr="00075FAD">
        <w:rPr>
          <w:rStyle w:val="ssit"/>
          <w:i/>
          <w:iCs/>
          <w:color w:val="212121"/>
          <w:bdr w:val="none" w:sz="0" w:space="0" w:color="auto" w:frame="1"/>
        </w:rPr>
        <w:t>People v. American Contractors Indemnity Co.</w:t>
      </w:r>
      <w:r w:rsidRPr="00075FAD">
        <w:rPr>
          <w:rStyle w:val="ssrfcsection"/>
          <w:color w:val="212121"/>
          <w:bdr w:val="none" w:sz="0" w:space="0" w:color="auto" w:frame="1"/>
        </w:rPr>
        <w:t> (2004) 33 Cal.4th 653, 660 (</w:t>
      </w:r>
      <w:r w:rsidRPr="00075FAD">
        <w:rPr>
          <w:rStyle w:val="ssrfcsection"/>
          <w:i/>
          <w:iCs/>
          <w:color w:val="212121"/>
          <w:bdr w:val="none" w:sz="0" w:space="0" w:color="auto" w:frame="1"/>
        </w:rPr>
        <w:t>American Contractors</w:t>
      </w:r>
      <w:r w:rsidRPr="00075FAD">
        <w:rPr>
          <w:rStyle w:val="ssrfcsection"/>
          <w:color w:val="212121"/>
          <w:bdr w:val="none" w:sz="0" w:space="0" w:color="auto" w:frame="1"/>
        </w:rPr>
        <w:t xml:space="preserve">); </w:t>
      </w:r>
      <w:r w:rsidRPr="00075FAD">
        <w:rPr>
          <w:rStyle w:val="ssit"/>
          <w:i/>
          <w:iCs/>
          <w:color w:val="212121"/>
          <w:bdr w:val="none" w:sz="0" w:space="0" w:color="auto" w:frame="1"/>
        </w:rPr>
        <w:t>Estate of Buck</w:t>
      </w:r>
      <w:r w:rsidRPr="00075FAD">
        <w:rPr>
          <w:rStyle w:val="ssrfcsection"/>
          <w:color w:val="212121"/>
          <w:bdr w:val="none" w:sz="0" w:space="0" w:color="auto" w:frame="1"/>
        </w:rPr>
        <w:t xml:space="preserve"> (1994) 29 Cal.App.4th 1846, 1854; </w:t>
      </w:r>
      <w:r w:rsidRPr="00075FAD">
        <w:rPr>
          <w:rStyle w:val="ssrfcsection"/>
          <w:i/>
          <w:iCs/>
          <w:color w:val="212121"/>
          <w:bdr w:val="none" w:sz="0" w:space="0" w:color="auto" w:frame="1"/>
        </w:rPr>
        <w:t>Neumann v. Melgar</w:t>
      </w:r>
      <w:r w:rsidRPr="00075FAD">
        <w:rPr>
          <w:rStyle w:val="ssrfcsection"/>
          <w:color w:val="212121"/>
          <w:bdr w:val="none" w:sz="0" w:space="0" w:color="auto" w:frame="1"/>
        </w:rPr>
        <w:t xml:space="preserve"> (2004) 121 Cal.App.4th 152, 164.)  If the court has fundamental jurisdiction but exceeds its jurisdiction by acting contrary to its statutory duties, the judgment is merely voidable, not void.  (</w:t>
      </w:r>
      <w:r w:rsidRPr="00075FAD">
        <w:rPr>
          <w:rStyle w:val="ssrfcsection"/>
          <w:i/>
          <w:iCs/>
          <w:color w:val="212121"/>
          <w:bdr w:val="none" w:sz="0" w:space="0" w:color="auto" w:frame="1"/>
        </w:rPr>
        <w:t>American Contractors</w:t>
      </w:r>
      <w:r w:rsidRPr="00075FAD">
        <w:rPr>
          <w:rStyle w:val="ssrfcsection"/>
          <w:color w:val="212121"/>
          <w:bdr w:val="none" w:sz="0" w:space="0" w:color="auto" w:frame="1"/>
        </w:rPr>
        <w:t xml:space="preserve">, at p. 660; </w:t>
      </w:r>
      <w:r w:rsidRPr="00075FAD">
        <w:rPr>
          <w:rStyle w:val="ssrfcsection"/>
          <w:i/>
          <w:iCs/>
          <w:color w:val="212121"/>
          <w:bdr w:val="none" w:sz="0" w:space="0" w:color="auto" w:frame="1"/>
        </w:rPr>
        <w:t>In re Marriage of Goddard</w:t>
      </w:r>
      <w:r w:rsidRPr="00075FAD">
        <w:rPr>
          <w:rStyle w:val="ssrfcsection"/>
          <w:color w:val="212121"/>
          <w:bdr w:val="none" w:sz="0" w:space="0" w:color="auto" w:frame="1"/>
        </w:rPr>
        <w:t xml:space="preserve"> (2004) 33 Cal.4th 49, 56.)  </w:t>
      </w:r>
      <w:r w:rsidR="006D14C9" w:rsidRPr="00075FAD">
        <w:rPr>
          <w:rStyle w:val="ssrfcsection"/>
          <w:color w:val="212121"/>
          <w:bdr w:val="none" w:sz="0" w:space="0" w:color="auto" w:frame="1"/>
        </w:rPr>
        <w:t>And a judgment that is merely voidable is not subject to section 473, subdivision (d).  (</w:t>
      </w:r>
      <w:r w:rsidR="006D14C9" w:rsidRPr="00075FAD">
        <w:rPr>
          <w:rStyle w:val="ssrfcsection"/>
          <w:i/>
          <w:iCs/>
          <w:color w:val="212121"/>
          <w:bdr w:val="none" w:sz="0" w:space="0" w:color="auto" w:frame="1"/>
        </w:rPr>
        <w:t>Cruz, supra</w:t>
      </w:r>
      <w:r w:rsidR="006D14C9" w:rsidRPr="00075FAD">
        <w:rPr>
          <w:rStyle w:val="ssrfcsection"/>
          <w:color w:val="212121"/>
          <w:bdr w:val="none" w:sz="0" w:space="0" w:color="auto" w:frame="1"/>
        </w:rPr>
        <w:t xml:space="preserve">, 146 Cal.App.4th at p. 495; </w:t>
      </w:r>
      <w:r w:rsidR="006D14C9" w:rsidRPr="00075FAD">
        <w:rPr>
          <w:rStyle w:val="ssrfcpassagedeactivated"/>
          <w:i/>
          <w:iCs/>
          <w:color w:val="212121"/>
          <w:bdr w:val="none" w:sz="0" w:space="0" w:color="auto" w:frame="1"/>
        </w:rPr>
        <w:t>Johnson v. E-Z Ins. Brokerage, Inc</w:t>
      </w:r>
      <w:r w:rsidR="006D14C9" w:rsidRPr="00075FAD">
        <w:rPr>
          <w:rStyle w:val="ssrfcpassagedeactivated"/>
          <w:color w:val="212121"/>
          <w:bdr w:val="none" w:sz="0" w:space="0" w:color="auto" w:frame="1"/>
        </w:rPr>
        <w:t>. (2009) 175 Cal.App.4th 86, 99 (</w:t>
      </w:r>
      <w:r w:rsidR="006D14C9" w:rsidRPr="00075FAD">
        <w:rPr>
          <w:rStyle w:val="ssrfcpassagedeactivated"/>
          <w:i/>
          <w:iCs/>
          <w:color w:val="212121"/>
          <w:bdr w:val="none" w:sz="0" w:space="0" w:color="auto" w:frame="1"/>
        </w:rPr>
        <w:t>Johnson</w:t>
      </w:r>
      <w:r w:rsidR="006D14C9" w:rsidRPr="00075FAD">
        <w:rPr>
          <w:rStyle w:val="ssrfcpassagedeactivated"/>
          <w:color w:val="212121"/>
          <w:bdr w:val="none" w:sz="0" w:space="0" w:color="auto" w:frame="1"/>
        </w:rPr>
        <w:t>) [</w:t>
      </w:r>
      <w:r w:rsidR="006D14C9" w:rsidRPr="00075FAD">
        <w:t xml:space="preserve">section </w:t>
      </w:r>
      <w:r w:rsidR="006D14C9" w:rsidRPr="00075FAD">
        <w:rPr>
          <w:rStyle w:val="ssrfcpassagedeactivated"/>
          <w:color w:val="212121"/>
          <w:bdr w:val="none" w:sz="0" w:space="0" w:color="auto" w:frame="1"/>
        </w:rPr>
        <w:t xml:space="preserve">473, subdivision (d) did not apply because the judgment, entered due to the court erroneously awarding terminating sanctions ex parte, was voidable, rather than void]; </w:t>
      </w:r>
      <w:r w:rsidR="006D14C9" w:rsidRPr="00075FAD">
        <w:rPr>
          <w:rStyle w:val="ssrfcpassagedeactivated"/>
          <w:i/>
          <w:iCs/>
          <w:color w:val="212121"/>
          <w:bdr w:val="none" w:sz="0" w:space="0" w:color="auto" w:frame="1"/>
        </w:rPr>
        <w:t>Lee v. An</w:t>
      </w:r>
      <w:r w:rsidR="006D14C9" w:rsidRPr="00075FAD">
        <w:rPr>
          <w:rStyle w:val="ssrfcpassagedeactivated"/>
          <w:color w:val="212121"/>
          <w:bdr w:val="none" w:sz="0" w:space="0" w:color="auto" w:frame="1"/>
        </w:rPr>
        <w:t xml:space="preserve"> (2008) 168 Cal.App.4th 558, 565 (</w:t>
      </w:r>
      <w:r w:rsidR="006D14C9" w:rsidRPr="00075FAD">
        <w:rPr>
          <w:rStyle w:val="ssrfcpassagedeactivated"/>
          <w:i/>
          <w:iCs/>
          <w:color w:val="212121"/>
          <w:bdr w:val="none" w:sz="0" w:space="0" w:color="auto" w:frame="1"/>
        </w:rPr>
        <w:t>Lee</w:t>
      </w:r>
      <w:r w:rsidR="006D14C9" w:rsidRPr="00075FAD">
        <w:rPr>
          <w:rStyle w:val="ssrfcpassagedeactivated"/>
          <w:color w:val="212121"/>
          <w:bdr w:val="none" w:sz="0" w:space="0" w:color="auto" w:frame="1"/>
        </w:rPr>
        <w:t xml:space="preserve">) [no relief under </w:t>
      </w:r>
      <w:r w:rsidR="006D14C9" w:rsidRPr="00075FAD">
        <w:t xml:space="preserve">section </w:t>
      </w:r>
      <w:r w:rsidR="006D14C9" w:rsidRPr="00075FAD">
        <w:rPr>
          <w:rStyle w:val="ssrfcpassagedeactivated"/>
          <w:color w:val="212121"/>
          <w:bdr w:val="none" w:sz="0" w:space="0" w:color="auto" w:frame="1"/>
        </w:rPr>
        <w:t>473, subdivision (d), because a default and default judgment were voidable rather than void].)</w:t>
      </w:r>
    </w:p>
    <w:p w14:paraId="5537F419" w14:textId="5D0FBFC9" w:rsidR="00F810DD" w:rsidRPr="00075FAD" w:rsidRDefault="006D14C9" w:rsidP="00250E5A">
      <w:pPr>
        <w:spacing w:line="360" w:lineRule="auto"/>
      </w:pPr>
      <w:r w:rsidRPr="00075FAD">
        <w:rPr>
          <w:rStyle w:val="ssrfcpassagedeactivated"/>
          <w:color w:val="212121"/>
          <w:bdr w:val="none" w:sz="0" w:space="0" w:color="auto" w:frame="1"/>
        </w:rPr>
        <w:lastRenderedPageBreak/>
        <w:tab/>
        <w:t xml:space="preserve">Here, </w:t>
      </w:r>
      <w:r w:rsidR="002553CB" w:rsidRPr="00075FAD">
        <w:rPr>
          <w:rStyle w:val="ssrfcpassagedeactivated"/>
          <w:color w:val="212121"/>
          <w:bdr w:val="none" w:sz="0" w:space="0" w:color="auto" w:frame="1"/>
        </w:rPr>
        <w:t xml:space="preserve">Mitchell </w:t>
      </w:r>
      <w:r w:rsidR="00500DEF" w:rsidRPr="00075FAD">
        <w:rPr>
          <w:color w:val="212121"/>
        </w:rPr>
        <w:t xml:space="preserve">does not contend the </w:t>
      </w:r>
      <w:r w:rsidR="00EB30A0" w:rsidRPr="00075FAD">
        <w:rPr>
          <w:color w:val="212121"/>
        </w:rPr>
        <w:t xml:space="preserve">trial </w:t>
      </w:r>
      <w:r w:rsidR="00500DEF" w:rsidRPr="00075FAD">
        <w:rPr>
          <w:color w:val="212121"/>
        </w:rPr>
        <w:t xml:space="preserve">court lacked fundamental jurisdiction over the parties or </w:t>
      </w:r>
      <w:r w:rsidR="00EB30A0" w:rsidRPr="00075FAD">
        <w:rPr>
          <w:color w:val="212121"/>
        </w:rPr>
        <w:t xml:space="preserve">the </w:t>
      </w:r>
      <w:r w:rsidR="00500DEF" w:rsidRPr="00075FAD">
        <w:rPr>
          <w:color w:val="212121"/>
        </w:rPr>
        <w:t>subject matter</w:t>
      </w:r>
      <w:r w:rsidR="00432FB4" w:rsidRPr="00075FAD">
        <w:rPr>
          <w:color w:val="212121"/>
        </w:rPr>
        <w:t xml:space="preserve">.  </w:t>
      </w:r>
      <w:r w:rsidR="00F54F2B" w:rsidRPr="00075FAD">
        <w:rPr>
          <w:color w:val="212121"/>
        </w:rPr>
        <w:t xml:space="preserve">Nor does it dispute </w:t>
      </w:r>
      <w:r w:rsidR="00EB30A0" w:rsidRPr="00075FAD">
        <w:rPr>
          <w:color w:val="212121"/>
        </w:rPr>
        <w:t xml:space="preserve">that </w:t>
      </w:r>
      <w:r w:rsidRPr="00075FAD">
        <w:rPr>
          <w:color w:val="212121"/>
        </w:rPr>
        <w:t>the court had</w:t>
      </w:r>
      <w:r w:rsidR="00AE1841" w:rsidRPr="00075FAD">
        <w:rPr>
          <w:color w:val="212121"/>
        </w:rPr>
        <w:t xml:space="preserve"> the power to enter a dismissal pursuant to a request for dismissal that appear</w:t>
      </w:r>
      <w:r w:rsidRPr="00075FAD">
        <w:rPr>
          <w:color w:val="212121"/>
        </w:rPr>
        <w:t>ed</w:t>
      </w:r>
      <w:r w:rsidR="00AE1841" w:rsidRPr="00075FAD">
        <w:rPr>
          <w:color w:val="212121"/>
        </w:rPr>
        <w:t xml:space="preserve"> </w:t>
      </w:r>
      <w:r w:rsidR="00EB30A0" w:rsidRPr="00075FAD">
        <w:rPr>
          <w:color w:val="212121"/>
        </w:rPr>
        <w:t>valid</w:t>
      </w:r>
      <w:r w:rsidR="00F54F2B" w:rsidRPr="00075FAD">
        <w:rPr>
          <w:color w:val="212121"/>
        </w:rPr>
        <w:t xml:space="preserve"> on </w:t>
      </w:r>
      <w:r w:rsidR="00AE1841" w:rsidRPr="00075FAD">
        <w:rPr>
          <w:color w:val="212121"/>
        </w:rPr>
        <w:t xml:space="preserve">its </w:t>
      </w:r>
      <w:r w:rsidR="00F54F2B" w:rsidRPr="00075FAD">
        <w:rPr>
          <w:color w:val="212121"/>
        </w:rPr>
        <w:t>face</w:t>
      </w:r>
      <w:r w:rsidR="00EB30A0" w:rsidRPr="00075FAD">
        <w:rPr>
          <w:color w:val="212121"/>
        </w:rPr>
        <w:t xml:space="preserve">.  </w:t>
      </w:r>
      <w:r w:rsidR="00574EDF" w:rsidRPr="00075FAD">
        <w:rPr>
          <w:color w:val="212121"/>
        </w:rPr>
        <w:t xml:space="preserve">As such, </w:t>
      </w:r>
      <w:r w:rsidR="00513E90" w:rsidRPr="00075FAD">
        <w:rPr>
          <w:color w:val="212121"/>
        </w:rPr>
        <w:t xml:space="preserve">Mitchell </w:t>
      </w:r>
      <w:r w:rsidR="00574EDF" w:rsidRPr="00075FAD">
        <w:rPr>
          <w:color w:val="212121"/>
        </w:rPr>
        <w:t>has not demonstrate</w:t>
      </w:r>
      <w:r w:rsidR="00B55E39" w:rsidRPr="00075FAD">
        <w:rPr>
          <w:color w:val="212121"/>
        </w:rPr>
        <w:t>d</w:t>
      </w:r>
      <w:r w:rsidR="00574EDF" w:rsidRPr="00075FAD">
        <w:rPr>
          <w:color w:val="212121"/>
        </w:rPr>
        <w:t xml:space="preserve"> </w:t>
      </w:r>
      <w:r w:rsidR="00513E90" w:rsidRPr="00075FAD">
        <w:rPr>
          <w:color w:val="212121"/>
        </w:rPr>
        <w:t>that the dismissal</w:t>
      </w:r>
      <w:r w:rsidR="00B55E39" w:rsidRPr="00075FAD">
        <w:rPr>
          <w:color w:val="212121"/>
        </w:rPr>
        <w:t xml:space="preserve"> is void rather than voidable.  To the contrary, </w:t>
      </w:r>
      <w:r w:rsidR="003B1F69" w:rsidRPr="00075FAD">
        <w:rPr>
          <w:color w:val="212121"/>
        </w:rPr>
        <w:t xml:space="preserve">while at times urging that the dismissal is void, </w:t>
      </w:r>
      <w:r w:rsidR="00250E5A" w:rsidRPr="00075FAD">
        <w:rPr>
          <w:color w:val="212121"/>
        </w:rPr>
        <w:t xml:space="preserve">Mitchell </w:t>
      </w:r>
      <w:r w:rsidR="003B1F69" w:rsidRPr="00075FAD">
        <w:rPr>
          <w:color w:val="212121"/>
        </w:rPr>
        <w:t xml:space="preserve">also states </w:t>
      </w:r>
      <w:r w:rsidR="00250E5A" w:rsidRPr="00075FAD">
        <w:t xml:space="preserve">in </w:t>
      </w:r>
      <w:r w:rsidR="00513E90" w:rsidRPr="00075FAD">
        <w:t xml:space="preserve">its </w:t>
      </w:r>
      <w:r w:rsidR="00250E5A" w:rsidRPr="00075FAD">
        <w:t xml:space="preserve">opening brief that “dismissals based upon unauthorized settlements are </w:t>
      </w:r>
      <w:r w:rsidR="00250E5A" w:rsidRPr="00075FAD">
        <w:rPr>
          <w:i/>
          <w:iCs/>
        </w:rPr>
        <w:t>voidable</w:t>
      </w:r>
      <w:r w:rsidR="00250E5A" w:rsidRPr="00075FAD">
        <w:t xml:space="preserve"> and subject to being vacated.”  </w:t>
      </w:r>
      <w:r w:rsidR="00FF171B" w:rsidRPr="00075FAD">
        <w:t xml:space="preserve">(Italics added.) </w:t>
      </w:r>
    </w:p>
    <w:p w14:paraId="24131545" w14:textId="13EE4BBE" w:rsidR="00DA3F3D" w:rsidRPr="00075FAD" w:rsidRDefault="00F810DD" w:rsidP="00250E5A">
      <w:pPr>
        <w:spacing w:line="360" w:lineRule="auto"/>
        <w:rPr>
          <w:color w:val="212121"/>
        </w:rPr>
      </w:pPr>
      <w:r w:rsidRPr="00075FAD">
        <w:tab/>
      </w:r>
      <w:r w:rsidR="003B1F69" w:rsidRPr="00075FAD">
        <w:t xml:space="preserve">In our view, </w:t>
      </w:r>
      <w:r w:rsidRPr="00075FAD">
        <w:t xml:space="preserve">a judgment </w:t>
      </w:r>
      <w:r w:rsidR="00853F09" w:rsidRPr="00075FAD">
        <w:t xml:space="preserve">entered </w:t>
      </w:r>
      <w:r w:rsidRPr="00075FAD">
        <w:t xml:space="preserve">pursuant to a settlement </w:t>
      </w:r>
      <w:r w:rsidR="00732248" w:rsidRPr="00075FAD">
        <w:t xml:space="preserve">and </w:t>
      </w:r>
      <w:r w:rsidR="00BA349A" w:rsidRPr="00075FAD">
        <w:t xml:space="preserve">request for dismissal </w:t>
      </w:r>
      <w:r w:rsidR="00732248" w:rsidRPr="00075FAD">
        <w:t xml:space="preserve">that were not authorized by the client </w:t>
      </w:r>
      <w:r w:rsidR="003B1F69" w:rsidRPr="00075FAD">
        <w:t xml:space="preserve">would be </w:t>
      </w:r>
      <w:r w:rsidRPr="00075FAD">
        <w:t>v</w:t>
      </w:r>
      <w:r w:rsidR="00732248" w:rsidRPr="00075FAD">
        <w:t xml:space="preserve">oidable, not void.  </w:t>
      </w:r>
      <w:r w:rsidR="00513E90" w:rsidRPr="00075FAD">
        <w:t xml:space="preserve">This </w:t>
      </w:r>
      <w:r w:rsidRPr="00075FAD">
        <w:t>is consistent with the well-established</w:t>
      </w:r>
      <w:r w:rsidR="008D3BC8" w:rsidRPr="00075FAD">
        <w:t xml:space="preserve"> distinction between </w:t>
      </w:r>
      <w:r w:rsidR="00DA3F3D" w:rsidRPr="00075FAD">
        <w:t xml:space="preserve">matters that are “void” as opposed to “voidable,” </w:t>
      </w:r>
      <w:r w:rsidR="00853F09" w:rsidRPr="00075FAD">
        <w:t>which limits the term “void” to</w:t>
      </w:r>
      <w:r w:rsidR="00DA3F3D" w:rsidRPr="00075FAD">
        <w:t xml:space="preserve"> decrees </w:t>
      </w:r>
      <w:r w:rsidR="00853F09" w:rsidRPr="00075FAD">
        <w:t>for which the court lacked fundamental jurisdiction</w:t>
      </w:r>
      <w:r w:rsidR="008D3BC8" w:rsidRPr="00075FAD">
        <w:t xml:space="preserve">.  </w:t>
      </w:r>
      <w:r w:rsidR="00AE1841" w:rsidRPr="00075FAD">
        <w:t xml:space="preserve">(E.g., </w:t>
      </w:r>
      <w:r w:rsidR="00AE1841" w:rsidRPr="00075FAD">
        <w:rPr>
          <w:rStyle w:val="ssit"/>
          <w:i/>
          <w:iCs/>
          <w:color w:val="212121"/>
          <w:bdr w:val="none" w:sz="0" w:space="0" w:color="auto" w:frame="1"/>
        </w:rPr>
        <w:t xml:space="preserve">American Contractors, supra, </w:t>
      </w:r>
      <w:r w:rsidR="00AE1841" w:rsidRPr="00075FAD">
        <w:rPr>
          <w:rStyle w:val="ssrfcsection"/>
          <w:color w:val="212121"/>
          <w:bdr w:val="none" w:sz="0" w:space="0" w:color="auto" w:frame="1"/>
        </w:rPr>
        <w:t xml:space="preserve">33 Cal.4th at p. 660; </w:t>
      </w:r>
      <w:r w:rsidR="00AE1841" w:rsidRPr="00075FAD">
        <w:rPr>
          <w:rStyle w:val="ssrfcsection"/>
          <w:i/>
          <w:iCs/>
          <w:color w:val="212121"/>
          <w:bdr w:val="none" w:sz="0" w:space="0" w:color="auto" w:frame="1"/>
        </w:rPr>
        <w:t xml:space="preserve">In re Marriage of Goddard, supra, </w:t>
      </w:r>
      <w:r w:rsidR="00AE1841" w:rsidRPr="00075FAD">
        <w:rPr>
          <w:rStyle w:val="ssrfcsection"/>
          <w:color w:val="212121"/>
          <w:bdr w:val="none" w:sz="0" w:space="0" w:color="auto" w:frame="1"/>
        </w:rPr>
        <w:t xml:space="preserve">33 Cal.4th at p. 56; </w:t>
      </w:r>
      <w:bookmarkStart w:id="2" w:name="_Hlk155874462"/>
      <w:r w:rsidR="00AE1841" w:rsidRPr="00075FAD">
        <w:rPr>
          <w:rStyle w:val="ssrfcsection"/>
          <w:i/>
          <w:iCs/>
          <w:color w:val="212121"/>
          <w:bdr w:val="none" w:sz="0" w:space="0" w:color="auto" w:frame="1"/>
        </w:rPr>
        <w:t>Cruz, supra</w:t>
      </w:r>
      <w:r w:rsidR="00AE1841" w:rsidRPr="00075FAD">
        <w:rPr>
          <w:rStyle w:val="ssrfcsection"/>
          <w:color w:val="212121"/>
          <w:bdr w:val="none" w:sz="0" w:space="0" w:color="auto" w:frame="1"/>
        </w:rPr>
        <w:t xml:space="preserve">, 146 Cal.App.4th at p. 495; </w:t>
      </w:r>
      <w:r w:rsidR="00AE1841" w:rsidRPr="00075FAD">
        <w:rPr>
          <w:rStyle w:val="ssrfcpassagedeactivated"/>
          <w:i/>
          <w:iCs/>
          <w:color w:val="212121"/>
          <w:bdr w:val="none" w:sz="0" w:space="0" w:color="auto" w:frame="1"/>
        </w:rPr>
        <w:t>Johnson</w:t>
      </w:r>
      <w:r w:rsidR="00DA3F3D" w:rsidRPr="00075FAD">
        <w:rPr>
          <w:rStyle w:val="ssrfcpassagedeactivated"/>
          <w:i/>
          <w:iCs/>
          <w:color w:val="212121"/>
          <w:bdr w:val="none" w:sz="0" w:space="0" w:color="auto" w:frame="1"/>
        </w:rPr>
        <w:t xml:space="preserve">, supra, </w:t>
      </w:r>
      <w:r w:rsidR="00AE1841" w:rsidRPr="00075FAD">
        <w:rPr>
          <w:rStyle w:val="ssrfcpassagedeactivated"/>
          <w:color w:val="212121"/>
          <w:bdr w:val="none" w:sz="0" w:space="0" w:color="auto" w:frame="1"/>
        </w:rPr>
        <w:t xml:space="preserve">175 Cal.App.4th at p. 99; </w:t>
      </w:r>
      <w:r w:rsidR="00AE1841" w:rsidRPr="00075FAD">
        <w:rPr>
          <w:rStyle w:val="ssrfcpassagedeactivated"/>
          <w:i/>
          <w:iCs/>
          <w:color w:val="212121"/>
          <w:bdr w:val="none" w:sz="0" w:space="0" w:color="auto" w:frame="1"/>
        </w:rPr>
        <w:t>Lee</w:t>
      </w:r>
      <w:r w:rsidR="00DA3F3D" w:rsidRPr="00075FAD">
        <w:rPr>
          <w:rStyle w:val="ssrfcpassagedeactivated"/>
          <w:i/>
          <w:iCs/>
          <w:color w:val="212121"/>
          <w:bdr w:val="none" w:sz="0" w:space="0" w:color="auto" w:frame="1"/>
        </w:rPr>
        <w:t>, supra</w:t>
      </w:r>
      <w:r w:rsidR="00DA3F3D" w:rsidRPr="00075FAD">
        <w:rPr>
          <w:rStyle w:val="ssrfcpassagedeactivated"/>
          <w:color w:val="212121"/>
          <w:bdr w:val="none" w:sz="0" w:space="0" w:color="auto" w:frame="1"/>
        </w:rPr>
        <w:t xml:space="preserve">, </w:t>
      </w:r>
      <w:r w:rsidR="00AE1841" w:rsidRPr="00075FAD">
        <w:rPr>
          <w:rStyle w:val="ssrfcpassagedeactivated"/>
          <w:color w:val="212121"/>
          <w:bdr w:val="none" w:sz="0" w:space="0" w:color="auto" w:frame="1"/>
        </w:rPr>
        <w:t>168 Cal.App.4</w:t>
      </w:r>
      <w:r w:rsidR="00DA3F3D" w:rsidRPr="00075FAD">
        <w:rPr>
          <w:rStyle w:val="ssrfcpassagedeactivated"/>
          <w:color w:val="212121"/>
          <w:bdr w:val="none" w:sz="0" w:space="0" w:color="auto" w:frame="1"/>
        </w:rPr>
        <w:t>t</w:t>
      </w:r>
      <w:r w:rsidR="00AE1841" w:rsidRPr="00075FAD">
        <w:rPr>
          <w:rStyle w:val="ssrfcpassagedeactivated"/>
          <w:color w:val="212121"/>
          <w:bdr w:val="none" w:sz="0" w:space="0" w:color="auto" w:frame="1"/>
        </w:rPr>
        <w:t xml:space="preserve">h </w:t>
      </w:r>
      <w:r w:rsidR="00DA3F3D" w:rsidRPr="00075FAD">
        <w:rPr>
          <w:rStyle w:val="ssrfcpassagedeactivated"/>
          <w:color w:val="212121"/>
          <w:bdr w:val="none" w:sz="0" w:space="0" w:color="auto" w:frame="1"/>
        </w:rPr>
        <w:t xml:space="preserve">at p. </w:t>
      </w:r>
      <w:r w:rsidR="00AE1841" w:rsidRPr="00075FAD">
        <w:rPr>
          <w:rStyle w:val="ssrfcpassagedeactivated"/>
          <w:color w:val="212121"/>
          <w:bdr w:val="none" w:sz="0" w:space="0" w:color="auto" w:frame="1"/>
        </w:rPr>
        <w:t xml:space="preserve">565.)  </w:t>
      </w:r>
      <w:bookmarkEnd w:id="2"/>
      <w:r w:rsidR="00732248" w:rsidRPr="00075FAD">
        <w:t xml:space="preserve">It </w:t>
      </w:r>
      <w:r w:rsidRPr="00075FAD">
        <w:t xml:space="preserve">also comports with </w:t>
      </w:r>
      <w:r w:rsidR="00DA3F3D" w:rsidRPr="00075FAD">
        <w:t xml:space="preserve">common sense and the </w:t>
      </w:r>
      <w:r w:rsidRPr="00075FAD">
        <w:t xml:space="preserve">public </w:t>
      </w:r>
      <w:r w:rsidR="00DA3F3D" w:rsidRPr="00075FAD">
        <w:t xml:space="preserve">policies favoring settlement and </w:t>
      </w:r>
      <w:r w:rsidR="00922434" w:rsidRPr="00075FAD">
        <w:t xml:space="preserve">the </w:t>
      </w:r>
      <w:r w:rsidR="00DA3F3D" w:rsidRPr="00075FAD">
        <w:t>finality of judgments</w:t>
      </w:r>
      <w:r w:rsidRPr="00075FAD">
        <w:t xml:space="preserve">.  If an unauthorized </w:t>
      </w:r>
      <w:r w:rsidR="00853F09" w:rsidRPr="00075FAD">
        <w:t xml:space="preserve">judgment </w:t>
      </w:r>
      <w:r w:rsidRPr="00075FAD">
        <w:t xml:space="preserve">is voidable, </w:t>
      </w:r>
      <w:r w:rsidR="00853F09" w:rsidRPr="00075FAD">
        <w:t xml:space="preserve">the judgment </w:t>
      </w:r>
      <w:r w:rsidRPr="00075FAD">
        <w:t>c</w:t>
      </w:r>
      <w:r w:rsidR="00853F09" w:rsidRPr="00075FAD">
        <w:t xml:space="preserve">an </w:t>
      </w:r>
      <w:r w:rsidRPr="00075FAD">
        <w:t xml:space="preserve">be set aside at the client’s option, leaving it to the client to decide whether to </w:t>
      </w:r>
      <w:r w:rsidR="003B1F69" w:rsidRPr="00075FAD">
        <w:t xml:space="preserve">seek relief or to </w:t>
      </w:r>
      <w:r w:rsidR="00732248" w:rsidRPr="00075FAD">
        <w:t xml:space="preserve">ratify </w:t>
      </w:r>
      <w:r w:rsidRPr="00075FAD">
        <w:t xml:space="preserve">the </w:t>
      </w:r>
      <w:r w:rsidR="00853F09" w:rsidRPr="00075FAD">
        <w:t xml:space="preserve">unauthorized settlement agreement and accept the </w:t>
      </w:r>
      <w:r w:rsidRPr="00075FAD">
        <w:t>judgment</w:t>
      </w:r>
      <w:r w:rsidR="00732248" w:rsidRPr="00075FAD">
        <w:t xml:space="preserve">.  If an authorized </w:t>
      </w:r>
      <w:r w:rsidR="00853F09" w:rsidRPr="00075FAD">
        <w:t xml:space="preserve">judgment </w:t>
      </w:r>
      <w:r w:rsidR="00732248" w:rsidRPr="00075FAD">
        <w:t xml:space="preserve">were void, </w:t>
      </w:r>
      <w:r w:rsidR="006D14C9" w:rsidRPr="00075FAD">
        <w:t xml:space="preserve">then </w:t>
      </w:r>
      <w:r w:rsidR="00732248" w:rsidRPr="00075FAD">
        <w:t>it would be a nullity, subject to being set aside by an</w:t>
      </w:r>
      <w:r w:rsidR="00570A96" w:rsidRPr="00075FAD">
        <w:t>y party</w:t>
      </w:r>
      <w:r w:rsidR="00851156" w:rsidRPr="00075FAD">
        <w:t>—</w:t>
      </w:r>
      <w:r w:rsidR="00570A96" w:rsidRPr="00075FAD">
        <w:t xml:space="preserve">including an </w:t>
      </w:r>
      <w:r w:rsidR="00570A96" w:rsidRPr="00075FAD">
        <w:rPr>
          <w:i/>
          <w:iCs/>
        </w:rPr>
        <w:t>opposing</w:t>
      </w:r>
      <w:r w:rsidR="00570A96" w:rsidRPr="00075FAD">
        <w:t xml:space="preserve"> party with buyer’s remorse</w:t>
      </w:r>
      <w:r w:rsidR="00557AB9">
        <w:t xml:space="preserve"> </w:t>
      </w:r>
      <w:r w:rsidR="00570A96" w:rsidRPr="00075FAD">
        <w:t xml:space="preserve">regardless </w:t>
      </w:r>
      <w:r w:rsidR="00D07E57" w:rsidRPr="00075FAD">
        <w:t>of the client’s wishes and interests</w:t>
      </w:r>
      <w:r w:rsidR="00732248" w:rsidRPr="00075FAD">
        <w:t xml:space="preserve">. </w:t>
      </w:r>
      <w:r w:rsidR="00250E5A" w:rsidRPr="00075FAD">
        <w:rPr>
          <w:bCs/>
        </w:rPr>
        <w:t xml:space="preserve"> </w:t>
      </w:r>
      <w:r w:rsidR="00DA3F3D" w:rsidRPr="00075FAD">
        <w:rPr>
          <w:color w:val="212121"/>
        </w:rPr>
        <w:t>(</w:t>
      </w:r>
      <w:r w:rsidR="00983BD1" w:rsidRPr="00075FAD">
        <w:rPr>
          <w:color w:val="212121"/>
        </w:rPr>
        <w:t xml:space="preserve">Cf. </w:t>
      </w:r>
      <w:r w:rsidR="00DA3F3D" w:rsidRPr="00075FAD">
        <w:rPr>
          <w:i/>
          <w:iCs/>
          <w:color w:val="212121"/>
        </w:rPr>
        <w:t>Yvanova v. New Century Mortgage Corp</w:t>
      </w:r>
      <w:r w:rsidR="00DA3F3D" w:rsidRPr="00075FAD">
        <w:rPr>
          <w:color w:val="212121"/>
        </w:rPr>
        <w:t>. (2016) 62 Cal.4th 919, 929</w:t>
      </w:r>
      <w:r w:rsidR="003B6085" w:rsidRPr="00075FAD">
        <w:rPr>
          <w:color w:val="212121"/>
        </w:rPr>
        <w:t>–</w:t>
      </w:r>
      <w:r w:rsidR="00DA3F3D" w:rsidRPr="00075FAD">
        <w:rPr>
          <w:color w:val="212121"/>
        </w:rPr>
        <w:t>930 [void contract is without legal effect, is a nullity, binds no one, and can neither be validated nor ratified; a voidable contract is one where a party may elect to avoid the legal relations created by the contract or ratify it].)</w:t>
      </w:r>
    </w:p>
    <w:p w14:paraId="37307215" w14:textId="70977140" w:rsidR="003B1F69" w:rsidRPr="00075FAD" w:rsidRDefault="00DA3F3D" w:rsidP="00DA3F3D">
      <w:pPr>
        <w:spacing w:line="360" w:lineRule="auto"/>
      </w:pPr>
      <w:r w:rsidRPr="00075FAD">
        <w:rPr>
          <w:color w:val="212121"/>
        </w:rPr>
        <w:lastRenderedPageBreak/>
        <w:tab/>
        <w:t xml:space="preserve">That said, </w:t>
      </w:r>
      <w:r w:rsidR="006D14C9" w:rsidRPr="00075FAD">
        <w:rPr>
          <w:color w:val="212121"/>
        </w:rPr>
        <w:t>relevant</w:t>
      </w:r>
      <w:r w:rsidR="00922434" w:rsidRPr="00075FAD">
        <w:rPr>
          <w:color w:val="212121"/>
        </w:rPr>
        <w:t xml:space="preserve"> </w:t>
      </w:r>
      <w:r w:rsidRPr="00075FAD">
        <w:rPr>
          <w:color w:val="212121"/>
        </w:rPr>
        <w:t>c</w:t>
      </w:r>
      <w:r w:rsidR="00A73EBA" w:rsidRPr="00075FAD">
        <w:t xml:space="preserve">aselaw </w:t>
      </w:r>
      <w:r w:rsidR="00922434" w:rsidRPr="00075FAD">
        <w:t xml:space="preserve">has not clearly delineated </w:t>
      </w:r>
      <w:r w:rsidR="00513E90" w:rsidRPr="00075FAD">
        <w:t xml:space="preserve">whether a judgment entered pursuant to an unauthorized settlement is void or voidable, or whether it is section 473, subdivision (d) or some other source of authority that </w:t>
      </w:r>
      <w:r w:rsidR="00B55E39" w:rsidRPr="00075FAD">
        <w:t xml:space="preserve">may </w:t>
      </w:r>
      <w:r w:rsidR="00513E90" w:rsidRPr="00075FAD">
        <w:t>provide</w:t>
      </w:r>
      <w:r w:rsidR="00B55E39" w:rsidRPr="00075FAD">
        <w:t xml:space="preserve"> the client </w:t>
      </w:r>
      <w:r w:rsidR="00513E90" w:rsidRPr="00075FAD">
        <w:t>relief.</w:t>
      </w:r>
    </w:p>
    <w:p w14:paraId="64C7AE16" w14:textId="2D329D7D" w:rsidR="008D3BC8" w:rsidRPr="00075FAD" w:rsidRDefault="003B1F69" w:rsidP="00E31604">
      <w:pPr>
        <w:spacing w:line="360" w:lineRule="auto"/>
      </w:pPr>
      <w:r w:rsidRPr="00075FAD">
        <w:tab/>
      </w:r>
      <w:r w:rsidR="004C6009" w:rsidRPr="00075FAD">
        <w:t xml:space="preserve">For example, consistent </w:t>
      </w:r>
      <w:r w:rsidR="005E3B5E" w:rsidRPr="00075FAD">
        <w:t>with our view</w:t>
      </w:r>
      <w:r w:rsidR="00DA3F3D" w:rsidRPr="00075FAD">
        <w:t xml:space="preserve"> </w:t>
      </w:r>
      <w:r w:rsidR="005E3B5E" w:rsidRPr="00075FAD">
        <w:t xml:space="preserve">is the oft-cited </w:t>
      </w:r>
      <w:r w:rsidR="00577695" w:rsidRPr="00075FAD">
        <w:rPr>
          <w:i/>
        </w:rPr>
        <w:t>Whittier Union High Sch</w:t>
      </w:r>
      <w:r w:rsidR="00983BD1" w:rsidRPr="00075FAD">
        <w:rPr>
          <w:i/>
        </w:rPr>
        <w:t xml:space="preserve">ool </w:t>
      </w:r>
      <w:r w:rsidR="00577695" w:rsidRPr="00075FAD">
        <w:rPr>
          <w:i/>
        </w:rPr>
        <w:t xml:space="preserve">Dist. v. Superior Court </w:t>
      </w:r>
      <w:r w:rsidR="00577695" w:rsidRPr="00075FAD">
        <w:t>(1977) 66 Cal.App.3d 504</w:t>
      </w:r>
      <w:r w:rsidR="00A22DCD" w:rsidRPr="00075FAD">
        <w:t xml:space="preserve"> (</w:t>
      </w:r>
      <w:r w:rsidR="00A22DCD" w:rsidRPr="00075FAD">
        <w:rPr>
          <w:i/>
          <w:iCs/>
        </w:rPr>
        <w:t>Whittier Union</w:t>
      </w:r>
      <w:r w:rsidR="00A22DCD" w:rsidRPr="00075FAD">
        <w:t>)</w:t>
      </w:r>
      <w:r w:rsidR="005E3B5E" w:rsidRPr="00075FAD">
        <w:t xml:space="preserve">.  There, </w:t>
      </w:r>
      <w:r w:rsidR="00A764BF" w:rsidRPr="00075FAD">
        <w:t xml:space="preserve">an </w:t>
      </w:r>
      <w:r w:rsidR="00EB30A0" w:rsidRPr="00075FAD">
        <w:t xml:space="preserve">attorney settled </w:t>
      </w:r>
      <w:r w:rsidR="00E751E4" w:rsidRPr="00075FAD">
        <w:t xml:space="preserve">his </w:t>
      </w:r>
      <w:r w:rsidR="00EB30A0" w:rsidRPr="00075FAD">
        <w:t>client</w:t>
      </w:r>
      <w:r w:rsidR="00791F36" w:rsidRPr="00075FAD">
        <w:t>s</w:t>
      </w:r>
      <w:r w:rsidR="00EB30A0" w:rsidRPr="00075FAD">
        <w:t xml:space="preserve">’ case </w:t>
      </w:r>
      <w:r w:rsidR="00791F36" w:rsidRPr="00075FAD">
        <w:t xml:space="preserve">for $30,000 </w:t>
      </w:r>
      <w:r w:rsidR="00EB30A0" w:rsidRPr="00075FAD">
        <w:t xml:space="preserve">without </w:t>
      </w:r>
      <w:r w:rsidR="00791F36" w:rsidRPr="00075FAD">
        <w:t xml:space="preserve">their </w:t>
      </w:r>
      <w:r w:rsidR="00EB30A0" w:rsidRPr="00075FAD">
        <w:t>consent</w:t>
      </w:r>
      <w:r w:rsidR="00791F36" w:rsidRPr="00075FAD">
        <w:t>, forging their signatures, dismissing their claims, and pocketing the money</w:t>
      </w:r>
      <w:r w:rsidR="00EB30A0" w:rsidRPr="00075FAD">
        <w:t xml:space="preserve">.  </w:t>
      </w:r>
      <w:r w:rsidR="00E751E4" w:rsidRPr="00075FAD">
        <w:t xml:space="preserve">The trial court set </w:t>
      </w:r>
      <w:r w:rsidR="006D0D46" w:rsidRPr="00075FAD">
        <w:t xml:space="preserve">aside </w:t>
      </w:r>
      <w:r w:rsidR="00E751E4" w:rsidRPr="00075FAD">
        <w:t xml:space="preserve">the </w:t>
      </w:r>
      <w:r w:rsidR="00791F36" w:rsidRPr="00075FAD">
        <w:t>dismissal of their c</w:t>
      </w:r>
      <w:r w:rsidR="00570EE1" w:rsidRPr="00075FAD">
        <w:t xml:space="preserve">laims </w:t>
      </w:r>
      <w:r w:rsidR="00791F36" w:rsidRPr="00075FAD">
        <w:t>under section 473</w:t>
      </w:r>
      <w:r w:rsidR="00E751E4" w:rsidRPr="00075FAD">
        <w:t xml:space="preserve">.  </w:t>
      </w:r>
      <w:r w:rsidR="00A764BF" w:rsidRPr="00075FAD">
        <w:t>(</w:t>
      </w:r>
      <w:r w:rsidR="00A764BF" w:rsidRPr="00075FAD">
        <w:rPr>
          <w:i/>
          <w:iCs/>
        </w:rPr>
        <w:t>Id</w:t>
      </w:r>
      <w:r w:rsidR="00A764BF" w:rsidRPr="00075FAD">
        <w:t xml:space="preserve">. at p. </w:t>
      </w:r>
      <w:r w:rsidR="00791F36" w:rsidRPr="00075FAD">
        <w:t>506</w:t>
      </w:r>
      <w:r w:rsidR="00A764BF" w:rsidRPr="00075FAD">
        <w:t xml:space="preserve">.)  </w:t>
      </w:r>
      <w:r w:rsidR="006D0D46" w:rsidRPr="00075FAD">
        <w:t xml:space="preserve">The defendant filed a writ petition seeking to vacate that order, arguing that the application for relief was not made within six months from the judgment.  </w:t>
      </w:r>
      <w:r w:rsidR="00A22DCD" w:rsidRPr="00075FAD">
        <w:t xml:space="preserve">The court of appeal </w:t>
      </w:r>
      <w:r w:rsidR="00791F36" w:rsidRPr="00075FAD">
        <w:t xml:space="preserve">denied </w:t>
      </w:r>
      <w:r w:rsidR="006D0D46" w:rsidRPr="00075FAD">
        <w:t xml:space="preserve">the petition, </w:t>
      </w:r>
      <w:r w:rsidR="008652C3" w:rsidRPr="00075FAD">
        <w:t>explaining</w:t>
      </w:r>
      <w:r w:rsidR="00A22DCD" w:rsidRPr="00075FAD">
        <w:t xml:space="preserve">:  </w:t>
      </w:r>
      <w:r w:rsidR="0019371D" w:rsidRPr="00075FAD">
        <w:t xml:space="preserve">“If [the attorney] wholly lacked power to dismiss the cause and acted beyond the scope of his authority in dismissing his </w:t>
      </w:r>
      <w:r w:rsidR="001435B6" w:rsidRPr="00075FAD">
        <w:t>clients</w:t>
      </w:r>
      <w:r w:rsidR="001435B6">
        <w:t>’</w:t>
      </w:r>
      <w:r w:rsidR="001435B6" w:rsidRPr="00075FAD">
        <w:t xml:space="preserve"> </w:t>
      </w:r>
      <w:r w:rsidR="0019371D" w:rsidRPr="00075FAD">
        <w:t xml:space="preserve">complaint, his action remained </w:t>
      </w:r>
      <w:r w:rsidR="0019371D" w:rsidRPr="00075FAD">
        <w:rPr>
          <w:i/>
          <w:iCs/>
        </w:rPr>
        <w:t>voidable</w:t>
      </w:r>
      <w:r w:rsidR="0019371D" w:rsidRPr="00075FAD">
        <w:t xml:space="preserve"> for an indeterminate period, and his clients could vacate the unauthorized dismissal within a reasonable time after learning of it, regardless of the time limitations in section 473.”  (</w:t>
      </w:r>
      <w:r w:rsidR="0019371D" w:rsidRPr="00075FAD">
        <w:rPr>
          <w:i/>
        </w:rPr>
        <w:t>Id</w:t>
      </w:r>
      <w:r w:rsidR="0019371D" w:rsidRPr="00075FAD">
        <w:t>. at pp. 507</w:t>
      </w:r>
      <w:r w:rsidR="00831ACA" w:rsidRPr="00075FAD">
        <w:t>–</w:t>
      </w:r>
      <w:r w:rsidR="0019371D" w:rsidRPr="00075FAD">
        <w:t>508</w:t>
      </w:r>
      <w:r w:rsidR="008D3BC8" w:rsidRPr="00075FAD">
        <w:t>; italics added.</w:t>
      </w:r>
      <w:r w:rsidR="0019371D" w:rsidRPr="00075FAD">
        <w:t>)</w:t>
      </w:r>
    </w:p>
    <w:p w14:paraId="5B194BD5" w14:textId="3541CC12" w:rsidR="004653F6" w:rsidRPr="00075FAD" w:rsidRDefault="008D3BC8" w:rsidP="008D3BC8">
      <w:pPr>
        <w:pStyle w:val="BodyText"/>
        <w:widowControl/>
        <w:spacing w:line="360" w:lineRule="auto"/>
        <w:rPr>
          <w:rFonts w:ascii="Century Schoolbook" w:hAnsi="Century Schoolbook"/>
        </w:rPr>
      </w:pPr>
      <w:r w:rsidRPr="00075FAD">
        <w:rPr>
          <w:rFonts w:ascii="Century Schoolbook" w:hAnsi="Century Schoolbook"/>
        </w:rPr>
        <w:tab/>
      </w:r>
      <w:r w:rsidR="006D0D46" w:rsidRPr="00075FAD">
        <w:rPr>
          <w:rFonts w:ascii="Century Schoolbook" w:hAnsi="Century Schoolbook"/>
          <w:i/>
          <w:iCs/>
        </w:rPr>
        <w:t>Whittier Union</w:t>
      </w:r>
      <w:r w:rsidR="006D0D46" w:rsidRPr="00075FAD">
        <w:rPr>
          <w:rFonts w:ascii="Century Schoolbook" w:hAnsi="Century Schoolbook"/>
        </w:rPr>
        <w:t xml:space="preserve"> </w:t>
      </w:r>
      <w:r w:rsidR="00BA349A" w:rsidRPr="00075FAD">
        <w:rPr>
          <w:rFonts w:ascii="Century Schoolbook" w:hAnsi="Century Schoolbook"/>
        </w:rPr>
        <w:t xml:space="preserve">did not rely on </w:t>
      </w:r>
      <w:r w:rsidR="00EB30A0" w:rsidRPr="00075FAD">
        <w:rPr>
          <w:rFonts w:ascii="Century Schoolbook" w:hAnsi="Century Schoolbook"/>
        </w:rPr>
        <w:t>section 473, subdivision (d)</w:t>
      </w:r>
      <w:r w:rsidR="00E74C91" w:rsidRPr="00075FAD">
        <w:rPr>
          <w:rFonts w:ascii="Century Schoolbook" w:hAnsi="Century Schoolbook"/>
        </w:rPr>
        <w:t>,</w:t>
      </w:r>
      <w:r w:rsidRPr="00075FAD">
        <w:rPr>
          <w:rFonts w:ascii="Century Schoolbook" w:hAnsi="Century Schoolbook"/>
        </w:rPr>
        <w:t xml:space="preserve"> </w:t>
      </w:r>
      <w:r w:rsidR="004653F6" w:rsidRPr="00075FAD">
        <w:rPr>
          <w:rFonts w:ascii="Century Schoolbook" w:hAnsi="Century Schoolbook"/>
        </w:rPr>
        <w:t xml:space="preserve">but </w:t>
      </w:r>
      <w:r w:rsidRPr="00075FAD">
        <w:rPr>
          <w:rFonts w:ascii="Century Schoolbook" w:hAnsi="Century Schoolbook"/>
        </w:rPr>
        <w:t xml:space="preserve">it </w:t>
      </w:r>
      <w:r w:rsidR="008652C3" w:rsidRPr="00075FAD">
        <w:rPr>
          <w:rFonts w:ascii="Century Schoolbook" w:hAnsi="Century Schoolbook"/>
        </w:rPr>
        <w:t xml:space="preserve">did </w:t>
      </w:r>
      <w:r w:rsidR="00BA349A" w:rsidRPr="00075FAD">
        <w:rPr>
          <w:rFonts w:ascii="Century Schoolbook" w:hAnsi="Century Schoolbook"/>
        </w:rPr>
        <w:t xml:space="preserve">suggest </w:t>
      </w:r>
      <w:r w:rsidR="006D0D46" w:rsidRPr="00075FAD">
        <w:rPr>
          <w:rFonts w:ascii="Century Schoolbook" w:hAnsi="Century Schoolbook"/>
        </w:rPr>
        <w:t>that Mitchell is not entitled to relief under that provision</w:t>
      </w:r>
      <w:r w:rsidR="00EB30A0" w:rsidRPr="00075FAD">
        <w:rPr>
          <w:rFonts w:ascii="Century Schoolbook" w:hAnsi="Century Schoolbook"/>
        </w:rPr>
        <w:t xml:space="preserve">.  </w:t>
      </w:r>
      <w:r w:rsidR="007659F8" w:rsidRPr="00075FAD">
        <w:rPr>
          <w:rFonts w:ascii="Century Schoolbook" w:hAnsi="Century Schoolbook"/>
        </w:rPr>
        <w:t xml:space="preserve">Even </w:t>
      </w:r>
      <w:r w:rsidR="0019371D" w:rsidRPr="00075FAD">
        <w:rPr>
          <w:rFonts w:ascii="Century Schoolbook" w:hAnsi="Century Schoolbook"/>
        </w:rPr>
        <w:t xml:space="preserve">if Whirl lacked </w:t>
      </w:r>
      <w:r w:rsidR="008652C3" w:rsidRPr="00075FAD">
        <w:rPr>
          <w:rFonts w:ascii="Century Schoolbook" w:hAnsi="Century Schoolbook"/>
        </w:rPr>
        <w:t xml:space="preserve">the </w:t>
      </w:r>
      <w:r w:rsidR="0019371D" w:rsidRPr="00075FAD">
        <w:rPr>
          <w:rFonts w:ascii="Century Schoolbook" w:hAnsi="Century Schoolbook"/>
        </w:rPr>
        <w:t xml:space="preserve">power to dismiss the cross-complaint, the judgment would be merely </w:t>
      </w:r>
      <w:r w:rsidR="00A764BF" w:rsidRPr="00075FAD">
        <w:rPr>
          <w:rFonts w:ascii="Century Schoolbook" w:hAnsi="Century Schoolbook"/>
          <w:i/>
          <w:iCs/>
        </w:rPr>
        <w:t>voidable</w:t>
      </w:r>
      <w:r w:rsidR="006D0D46" w:rsidRPr="00075FAD">
        <w:rPr>
          <w:rFonts w:ascii="Century Schoolbook" w:hAnsi="Century Schoolbook"/>
        </w:rPr>
        <w:t xml:space="preserve"> </w:t>
      </w:r>
      <w:r w:rsidRPr="00075FAD">
        <w:rPr>
          <w:rFonts w:ascii="Century Schoolbook" w:hAnsi="Century Schoolbook"/>
        </w:rPr>
        <w:t xml:space="preserve">pursuant to </w:t>
      </w:r>
      <w:r w:rsidR="006D0D46" w:rsidRPr="00075FAD">
        <w:rPr>
          <w:rFonts w:ascii="Century Schoolbook" w:hAnsi="Century Schoolbook"/>
          <w:i/>
          <w:iCs/>
        </w:rPr>
        <w:t>Whittier Union</w:t>
      </w:r>
      <w:r w:rsidR="008652C3" w:rsidRPr="00075FAD">
        <w:rPr>
          <w:rFonts w:ascii="Century Schoolbook" w:hAnsi="Century Schoolbook"/>
        </w:rPr>
        <w:t>.  As a result</w:t>
      </w:r>
      <w:r w:rsidR="00BA349A" w:rsidRPr="00075FAD">
        <w:rPr>
          <w:rFonts w:ascii="Century Schoolbook" w:hAnsi="Century Schoolbook"/>
        </w:rPr>
        <w:t xml:space="preserve">, </w:t>
      </w:r>
      <w:r w:rsidR="0019371D" w:rsidRPr="00075FAD">
        <w:rPr>
          <w:rFonts w:ascii="Century Schoolbook" w:hAnsi="Century Schoolbook"/>
        </w:rPr>
        <w:t>section 473, subdivision (d)</w:t>
      </w:r>
      <w:r w:rsidR="008652C3" w:rsidRPr="00075FAD">
        <w:rPr>
          <w:rFonts w:ascii="Century Schoolbook" w:hAnsi="Century Schoolbook"/>
        </w:rPr>
        <w:t>,</w:t>
      </w:r>
      <w:r w:rsidR="0019371D" w:rsidRPr="00075FAD">
        <w:rPr>
          <w:rFonts w:ascii="Century Schoolbook" w:hAnsi="Century Schoolbook"/>
        </w:rPr>
        <w:t xml:space="preserve"> </w:t>
      </w:r>
      <w:r w:rsidR="00A0470B" w:rsidRPr="00075FAD">
        <w:rPr>
          <w:rFonts w:ascii="Century Schoolbook" w:hAnsi="Century Schoolbook"/>
        </w:rPr>
        <w:t>by its terms</w:t>
      </w:r>
      <w:r w:rsidR="008652C3" w:rsidRPr="00075FAD">
        <w:rPr>
          <w:rFonts w:ascii="Century Schoolbook" w:hAnsi="Century Schoolbook"/>
        </w:rPr>
        <w:t>,</w:t>
      </w:r>
      <w:r w:rsidR="00A0470B" w:rsidRPr="00075FAD">
        <w:rPr>
          <w:rFonts w:ascii="Century Schoolbook" w:hAnsi="Century Schoolbook"/>
        </w:rPr>
        <w:t xml:space="preserve"> </w:t>
      </w:r>
      <w:r w:rsidR="007A775C" w:rsidRPr="00075FAD">
        <w:rPr>
          <w:rFonts w:ascii="Century Schoolbook" w:hAnsi="Century Schoolbook"/>
        </w:rPr>
        <w:t xml:space="preserve">would </w:t>
      </w:r>
      <w:r w:rsidR="0019371D" w:rsidRPr="00075FAD">
        <w:rPr>
          <w:rFonts w:ascii="Century Schoolbook" w:hAnsi="Century Schoolbook"/>
        </w:rPr>
        <w:t>not apply.</w:t>
      </w:r>
      <w:r w:rsidR="006D0D46" w:rsidRPr="00075FAD">
        <w:rPr>
          <w:rStyle w:val="FootnoteReference"/>
          <w:rFonts w:ascii="Century Schoolbook" w:hAnsi="Century Schoolbook"/>
        </w:rPr>
        <w:footnoteReference w:id="5"/>
      </w:r>
      <w:r w:rsidR="0019371D" w:rsidRPr="00075FAD">
        <w:rPr>
          <w:rFonts w:ascii="Century Schoolbook" w:hAnsi="Century Schoolbook"/>
        </w:rPr>
        <w:t xml:space="preserve"> </w:t>
      </w:r>
      <w:r w:rsidR="00DA3F3D" w:rsidRPr="00075FAD">
        <w:rPr>
          <w:rFonts w:ascii="Century Schoolbook" w:hAnsi="Century Schoolbook"/>
        </w:rPr>
        <w:t xml:space="preserve"> (</w:t>
      </w:r>
      <w:r w:rsidR="00DA3F3D" w:rsidRPr="00075FAD">
        <w:rPr>
          <w:rStyle w:val="ssrfcsection"/>
          <w:rFonts w:ascii="Century Schoolbook" w:hAnsi="Century Schoolbook"/>
          <w:i/>
          <w:iCs/>
          <w:color w:val="212121"/>
          <w:bdr w:val="none" w:sz="0" w:space="0" w:color="auto" w:frame="1"/>
        </w:rPr>
        <w:t>Cruz, supra</w:t>
      </w:r>
      <w:r w:rsidR="00DA3F3D" w:rsidRPr="00075FAD">
        <w:rPr>
          <w:rStyle w:val="ssrfcsection"/>
          <w:rFonts w:ascii="Century Schoolbook" w:hAnsi="Century Schoolbook"/>
          <w:color w:val="212121"/>
          <w:bdr w:val="none" w:sz="0" w:space="0" w:color="auto" w:frame="1"/>
        </w:rPr>
        <w:t xml:space="preserve">, 146 Cal.App.4th </w:t>
      </w:r>
      <w:r w:rsidR="00DA3F3D" w:rsidRPr="00075FAD">
        <w:rPr>
          <w:rStyle w:val="ssrfcsection"/>
          <w:rFonts w:ascii="Century Schoolbook" w:hAnsi="Century Schoolbook"/>
          <w:color w:val="212121"/>
          <w:bdr w:val="none" w:sz="0" w:space="0" w:color="auto" w:frame="1"/>
        </w:rPr>
        <w:lastRenderedPageBreak/>
        <w:t xml:space="preserve">at p. 495; </w:t>
      </w:r>
      <w:r w:rsidR="00DA3F3D" w:rsidRPr="00075FAD">
        <w:rPr>
          <w:rStyle w:val="ssrfcpassagedeactivated"/>
          <w:rFonts w:ascii="Century Schoolbook" w:hAnsi="Century Schoolbook"/>
          <w:i/>
          <w:iCs/>
          <w:color w:val="212121"/>
          <w:bdr w:val="none" w:sz="0" w:space="0" w:color="auto" w:frame="1"/>
        </w:rPr>
        <w:t xml:space="preserve">Johnson, supra, </w:t>
      </w:r>
      <w:r w:rsidR="00DA3F3D" w:rsidRPr="00075FAD">
        <w:rPr>
          <w:rStyle w:val="ssrfcpassagedeactivated"/>
          <w:rFonts w:ascii="Century Schoolbook" w:hAnsi="Century Schoolbook"/>
          <w:color w:val="212121"/>
          <w:bdr w:val="none" w:sz="0" w:space="0" w:color="auto" w:frame="1"/>
        </w:rPr>
        <w:t xml:space="preserve">175 Cal.App.4th at p. 99; </w:t>
      </w:r>
      <w:r w:rsidR="00DA3F3D" w:rsidRPr="00075FAD">
        <w:rPr>
          <w:rStyle w:val="ssrfcpassagedeactivated"/>
          <w:rFonts w:ascii="Century Schoolbook" w:hAnsi="Century Schoolbook"/>
          <w:i/>
          <w:iCs/>
          <w:color w:val="212121"/>
          <w:bdr w:val="none" w:sz="0" w:space="0" w:color="auto" w:frame="1"/>
        </w:rPr>
        <w:t>Lee, supra</w:t>
      </w:r>
      <w:r w:rsidR="00DA3F3D" w:rsidRPr="00075FAD">
        <w:rPr>
          <w:rStyle w:val="ssrfcpassagedeactivated"/>
          <w:rFonts w:ascii="Century Schoolbook" w:hAnsi="Century Schoolbook"/>
          <w:color w:val="212121"/>
          <w:bdr w:val="none" w:sz="0" w:space="0" w:color="auto" w:frame="1"/>
        </w:rPr>
        <w:t>, 168 Cal.App.4th at p</w:t>
      </w:r>
      <w:r w:rsidR="00EA7158">
        <w:rPr>
          <w:rStyle w:val="ssrfcpassagedeactivated"/>
          <w:rFonts w:ascii="Century Schoolbook" w:hAnsi="Century Schoolbook"/>
          <w:color w:val="212121"/>
          <w:bdr w:val="none" w:sz="0" w:space="0" w:color="auto" w:frame="1"/>
        </w:rPr>
        <w:t>p</w:t>
      </w:r>
      <w:r w:rsidR="00DA3F3D" w:rsidRPr="00075FAD">
        <w:rPr>
          <w:rStyle w:val="ssrfcpassagedeactivated"/>
          <w:rFonts w:ascii="Century Schoolbook" w:hAnsi="Century Schoolbook"/>
          <w:color w:val="212121"/>
          <w:bdr w:val="none" w:sz="0" w:space="0" w:color="auto" w:frame="1"/>
        </w:rPr>
        <w:t>. 565</w:t>
      </w:r>
      <w:r w:rsidR="00EA7158">
        <w:rPr>
          <w:rStyle w:val="ssrfcpassagedeactivated"/>
          <w:rFonts w:ascii="Century Schoolbook" w:hAnsi="Century Schoolbook"/>
          <w:color w:val="212121"/>
          <w:bdr w:val="none" w:sz="0" w:space="0" w:color="auto" w:frame="1"/>
        </w:rPr>
        <w:t>–566</w:t>
      </w:r>
      <w:r w:rsidR="00DA3F3D" w:rsidRPr="00075FAD">
        <w:rPr>
          <w:rStyle w:val="ssrfcpassagedeactivated"/>
          <w:rFonts w:ascii="Century Schoolbook" w:hAnsi="Century Schoolbook"/>
          <w:color w:val="212121"/>
          <w:bdr w:val="none" w:sz="0" w:space="0" w:color="auto" w:frame="1"/>
        </w:rPr>
        <w:t xml:space="preserve">.)  </w:t>
      </w:r>
    </w:p>
    <w:p w14:paraId="391443A3" w14:textId="0AEF7FB4" w:rsidR="007A775C" w:rsidRPr="00075FAD" w:rsidRDefault="004653F6" w:rsidP="008D3BC8">
      <w:pPr>
        <w:pStyle w:val="BodyText"/>
        <w:widowControl/>
        <w:spacing w:line="360" w:lineRule="auto"/>
        <w:rPr>
          <w:rFonts w:ascii="Century Schoolbook" w:hAnsi="Century Schoolbook"/>
        </w:rPr>
      </w:pPr>
      <w:r w:rsidRPr="00075FAD">
        <w:rPr>
          <w:rFonts w:ascii="Century Schoolbook" w:hAnsi="Century Schoolbook"/>
        </w:rPr>
        <w:tab/>
      </w:r>
      <w:r w:rsidR="00D07E57" w:rsidRPr="00075FAD">
        <w:rPr>
          <w:rFonts w:ascii="Century Schoolbook" w:hAnsi="Century Schoolbook"/>
        </w:rPr>
        <w:t xml:space="preserve">Other cases </w:t>
      </w:r>
      <w:r w:rsidRPr="00075FAD">
        <w:rPr>
          <w:rFonts w:ascii="Century Schoolbook" w:hAnsi="Century Schoolbook"/>
        </w:rPr>
        <w:t xml:space="preserve">cited by Mitchell </w:t>
      </w:r>
      <w:r w:rsidR="005E3B5E" w:rsidRPr="00075FAD">
        <w:rPr>
          <w:rFonts w:ascii="Century Schoolbook" w:hAnsi="Century Schoolbook"/>
        </w:rPr>
        <w:t xml:space="preserve">granted </w:t>
      </w:r>
      <w:r w:rsidR="00D07E57" w:rsidRPr="00075FAD">
        <w:rPr>
          <w:rFonts w:ascii="Century Schoolbook" w:hAnsi="Century Schoolbook"/>
        </w:rPr>
        <w:t xml:space="preserve">clients relief from dismissals entered without their consent, </w:t>
      </w:r>
      <w:r w:rsidRPr="00075FAD">
        <w:rPr>
          <w:rFonts w:ascii="Century Schoolbook" w:hAnsi="Century Schoolbook"/>
        </w:rPr>
        <w:t xml:space="preserve">but they </w:t>
      </w:r>
      <w:r w:rsidR="007A775C" w:rsidRPr="00075FAD">
        <w:rPr>
          <w:rFonts w:ascii="Century Schoolbook" w:hAnsi="Century Schoolbook"/>
        </w:rPr>
        <w:t xml:space="preserve">too </w:t>
      </w:r>
      <w:r w:rsidRPr="00075FAD">
        <w:rPr>
          <w:rFonts w:ascii="Century Schoolbook" w:hAnsi="Century Schoolbook"/>
        </w:rPr>
        <w:t xml:space="preserve">did not construe the dismissals </w:t>
      </w:r>
      <w:r w:rsidR="00D07E57" w:rsidRPr="00075FAD">
        <w:rPr>
          <w:rFonts w:ascii="Century Schoolbook" w:hAnsi="Century Schoolbook"/>
        </w:rPr>
        <w:t xml:space="preserve">as “void” </w:t>
      </w:r>
      <w:r w:rsidRPr="00075FAD">
        <w:rPr>
          <w:rFonts w:ascii="Century Schoolbook" w:hAnsi="Century Schoolbook"/>
        </w:rPr>
        <w:t xml:space="preserve">or rely on </w:t>
      </w:r>
      <w:r w:rsidR="00B368B7" w:rsidRPr="00075FAD">
        <w:rPr>
          <w:rFonts w:ascii="Century Schoolbook" w:hAnsi="Century Schoolbook"/>
        </w:rPr>
        <w:t xml:space="preserve">section </w:t>
      </w:r>
      <w:r w:rsidR="00D07E57" w:rsidRPr="00075FAD">
        <w:rPr>
          <w:rFonts w:ascii="Century Schoolbook" w:hAnsi="Century Schoolbook"/>
        </w:rPr>
        <w:t>473, subdivision (d).  (</w:t>
      </w:r>
      <w:r w:rsidR="00A0470B" w:rsidRPr="00075FAD">
        <w:rPr>
          <w:rFonts w:ascii="Century Schoolbook" w:hAnsi="Century Schoolbook"/>
        </w:rPr>
        <w:t xml:space="preserve">E.g., </w:t>
      </w:r>
      <w:r w:rsidR="000C098F" w:rsidRPr="00075FAD">
        <w:rPr>
          <w:rFonts w:ascii="Century Schoolbook" w:hAnsi="Century Schoolbook"/>
          <w:i/>
        </w:rPr>
        <w:t xml:space="preserve">Bowden v. Green </w:t>
      </w:r>
      <w:r w:rsidR="000C098F" w:rsidRPr="00075FAD">
        <w:rPr>
          <w:rFonts w:ascii="Century Schoolbook" w:hAnsi="Century Schoolbook"/>
        </w:rPr>
        <w:t>(1982) 128 Cal.App.3d 65</w:t>
      </w:r>
      <w:r w:rsidR="00E751E4" w:rsidRPr="00075FAD">
        <w:rPr>
          <w:rFonts w:ascii="Century Schoolbook" w:hAnsi="Century Schoolbook"/>
        </w:rPr>
        <w:t xml:space="preserve">, </w:t>
      </w:r>
      <w:r w:rsidR="00180FE0" w:rsidRPr="00075FAD">
        <w:rPr>
          <w:rFonts w:ascii="Century Schoolbook" w:hAnsi="Century Schoolbook"/>
        </w:rPr>
        <w:t>70, 73</w:t>
      </w:r>
      <w:r w:rsidR="00B8767F" w:rsidRPr="00075FAD">
        <w:rPr>
          <w:rFonts w:ascii="Century Schoolbook" w:hAnsi="Century Schoolbook"/>
        </w:rPr>
        <w:t>–</w:t>
      </w:r>
      <w:r w:rsidR="00D07E57" w:rsidRPr="00075FAD">
        <w:rPr>
          <w:rFonts w:ascii="Century Schoolbook" w:hAnsi="Century Schoolbook"/>
        </w:rPr>
        <w:t xml:space="preserve">74; </w:t>
      </w:r>
      <w:r w:rsidR="00A22DCD" w:rsidRPr="00075FAD">
        <w:rPr>
          <w:rFonts w:ascii="Century Schoolbook" w:hAnsi="Century Schoolbook"/>
          <w:i/>
        </w:rPr>
        <w:t>Bice v. Stevens</w:t>
      </w:r>
      <w:r w:rsidR="00580541">
        <w:rPr>
          <w:rFonts w:ascii="Century Schoolbook" w:hAnsi="Century Schoolbook"/>
          <w:i/>
        </w:rPr>
        <w:t xml:space="preserve">, supra, </w:t>
      </w:r>
      <w:r w:rsidR="00A22DCD" w:rsidRPr="00075FAD">
        <w:rPr>
          <w:rFonts w:ascii="Century Schoolbook" w:hAnsi="Century Schoolbook"/>
        </w:rPr>
        <w:t xml:space="preserve">160 Cal.App.2d </w:t>
      </w:r>
      <w:r w:rsidR="00580541">
        <w:rPr>
          <w:rFonts w:ascii="Century Schoolbook" w:hAnsi="Century Schoolbook"/>
        </w:rPr>
        <w:t xml:space="preserve">at pp. </w:t>
      </w:r>
      <w:r w:rsidR="00D07E57" w:rsidRPr="00075FAD">
        <w:rPr>
          <w:rFonts w:ascii="Century Schoolbook" w:hAnsi="Century Schoolbook"/>
        </w:rPr>
        <w:t>225, 233</w:t>
      </w:r>
      <w:r w:rsidR="000F3432">
        <w:rPr>
          <w:rFonts w:ascii="Century Schoolbook" w:hAnsi="Century Schoolbook"/>
        </w:rPr>
        <w:t>–</w:t>
      </w:r>
      <w:r w:rsidR="00D07E57" w:rsidRPr="00075FAD">
        <w:rPr>
          <w:rFonts w:ascii="Century Schoolbook" w:hAnsi="Century Schoolbook"/>
        </w:rPr>
        <w:t>234</w:t>
      </w:r>
      <w:r w:rsidR="0066381A" w:rsidRPr="00075FAD">
        <w:rPr>
          <w:rFonts w:ascii="Century Schoolbook" w:hAnsi="Century Schoolbook"/>
        </w:rPr>
        <w:t>.</w:t>
      </w:r>
      <w:r w:rsidR="00D07E57" w:rsidRPr="00075FAD">
        <w:rPr>
          <w:rFonts w:ascii="Century Schoolbook" w:hAnsi="Century Schoolbook"/>
        </w:rPr>
        <w:t>)</w:t>
      </w:r>
    </w:p>
    <w:p w14:paraId="725E504A" w14:textId="6416A39C" w:rsidR="00E74C91" w:rsidRPr="00075FAD" w:rsidRDefault="007A775C" w:rsidP="00922434">
      <w:pPr>
        <w:pStyle w:val="BodyText"/>
        <w:widowControl/>
        <w:spacing w:line="360" w:lineRule="auto"/>
        <w:rPr>
          <w:rFonts w:ascii="Century Schoolbook" w:hAnsi="Century Schoolbook"/>
        </w:rPr>
      </w:pPr>
      <w:r w:rsidRPr="00075FAD">
        <w:tab/>
      </w:r>
      <w:r w:rsidRPr="00075FAD">
        <w:rPr>
          <w:rFonts w:ascii="Century Schoolbook" w:hAnsi="Century Schoolbook"/>
        </w:rPr>
        <w:t xml:space="preserve">The </w:t>
      </w:r>
      <w:r w:rsidR="004653F6" w:rsidRPr="00075FAD">
        <w:rPr>
          <w:rFonts w:ascii="Century Schoolbook" w:hAnsi="Century Schoolbook"/>
        </w:rPr>
        <w:t>exception is</w:t>
      </w:r>
      <w:r w:rsidR="004653F6" w:rsidRPr="00075FAD">
        <w:t xml:space="preserve"> </w:t>
      </w:r>
      <w:r w:rsidR="004653F6" w:rsidRPr="00075FAD">
        <w:rPr>
          <w:rFonts w:ascii="Century Schoolbook" w:hAnsi="Century Schoolbook"/>
          <w:i/>
        </w:rPr>
        <w:t xml:space="preserve">Romadka v. Hoge </w:t>
      </w:r>
      <w:r w:rsidR="004653F6" w:rsidRPr="00075FAD">
        <w:rPr>
          <w:rFonts w:ascii="Century Schoolbook" w:hAnsi="Century Schoolbook"/>
        </w:rPr>
        <w:t>(1991) 232 Cal.App.3d 1231 (</w:t>
      </w:r>
      <w:r w:rsidR="004653F6" w:rsidRPr="00075FAD">
        <w:rPr>
          <w:rFonts w:ascii="Century Schoolbook" w:hAnsi="Century Schoolbook"/>
          <w:i/>
          <w:iCs/>
        </w:rPr>
        <w:t>Romadka</w:t>
      </w:r>
      <w:r w:rsidR="004653F6" w:rsidRPr="00075FAD">
        <w:rPr>
          <w:rFonts w:ascii="Century Schoolbook" w:hAnsi="Century Schoolbook"/>
        </w:rPr>
        <w:t>)</w:t>
      </w:r>
      <w:r w:rsidRPr="00075FAD">
        <w:rPr>
          <w:rFonts w:ascii="Century Schoolbook" w:hAnsi="Century Schoolbook"/>
        </w:rPr>
        <w:t>.  There</w:t>
      </w:r>
      <w:r w:rsidR="00E751E4" w:rsidRPr="00075FAD">
        <w:rPr>
          <w:rFonts w:ascii="Century Schoolbook" w:hAnsi="Century Schoolbook"/>
        </w:rPr>
        <w:t>,</w:t>
      </w:r>
      <w:r w:rsidR="00E751E4" w:rsidRPr="00075FAD">
        <w:rPr>
          <w:rFonts w:ascii="Century Schoolbook" w:hAnsi="Century Schoolbook"/>
          <w:b/>
          <w:bCs/>
        </w:rPr>
        <w:t xml:space="preserve"> </w:t>
      </w:r>
      <w:r w:rsidR="000C098F" w:rsidRPr="00075FAD">
        <w:rPr>
          <w:rFonts w:ascii="Century Schoolbook" w:hAnsi="Century Schoolbook"/>
        </w:rPr>
        <w:t xml:space="preserve">an </w:t>
      </w:r>
      <w:r w:rsidR="00830AB8" w:rsidRPr="00075FAD">
        <w:rPr>
          <w:rFonts w:ascii="Century Schoolbook" w:hAnsi="Century Schoolbook"/>
        </w:rPr>
        <w:t xml:space="preserve">attorney </w:t>
      </w:r>
      <w:r w:rsidR="00EB42E9" w:rsidRPr="00075FAD">
        <w:rPr>
          <w:rFonts w:ascii="Century Schoolbook" w:hAnsi="Century Schoolbook"/>
        </w:rPr>
        <w:t xml:space="preserve">had </w:t>
      </w:r>
      <w:r w:rsidR="00830AB8" w:rsidRPr="00075FAD">
        <w:rPr>
          <w:rFonts w:ascii="Century Schoolbook" w:hAnsi="Century Schoolbook"/>
        </w:rPr>
        <w:t xml:space="preserve">mistakenly dismissed </w:t>
      </w:r>
      <w:r w:rsidR="0048002D" w:rsidRPr="00075FAD">
        <w:rPr>
          <w:rFonts w:ascii="Century Schoolbook" w:hAnsi="Century Schoolbook"/>
        </w:rPr>
        <w:t xml:space="preserve">the clients’ </w:t>
      </w:r>
      <w:r w:rsidR="00830AB8" w:rsidRPr="00075FAD">
        <w:rPr>
          <w:rFonts w:ascii="Century Schoolbook" w:hAnsi="Century Schoolbook"/>
        </w:rPr>
        <w:t>case with prejudice</w:t>
      </w:r>
      <w:r w:rsidR="008652C3" w:rsidRPr="00075FAD">
        <w:rPr>
          <w:rFonts w:ascii="Century Schoolbook" w:hAnsi="Century Schoolbook"/>
        </w:rPr>
        <w:t>,</w:t>
      </w:r>
      <w:r w:rsidR="00830AB8" w:rsidRPr="00075FAD">
        <w:rPr>
          <w:rFonts w:ascii="Century Schoolbook" w:hAnsi="Century Schoolbook"/>
        </w:rPr>
        <w:t xml:space="preserve"> rather than without prejudice as the client</w:t>
      </w:r>
      <w:r w:rsidR="0048002D" w:rsidRPr="00075FAD">
        <w:rPr>
          <w:rFonts w:ascii="Century Schoolbook" w:hAnsi="Century Schoolbook"/>
        </w:rPr>
        <w:t>s</w:t>
      </w:r>
      <w:r w:rsidR="00830AB8" w:rsidRPr="00075FAD">
        <w:rPr>
          <w:rFonts w:ascii="Century Schoolbook" w:hAnsi="Century Schoolbook"/>
        </w:rPr>
        <w:t xml:space="preserve"> had instructed.  The client</w:t>
      </w:r>
      <w:r w:rsidR="0048002D" w:rsidRPr="00075FAD">
        <w:rPr>
          <w:rFonts w:ascii="Century Schoolbook" w:hAnsi="Century Schoolbook"/>
        </w:rPr>
        <w:t>s</w:t>
      </w:r>
      <w:r w:rsidR="00830AB8" w:rsidRPr="00075FAD">
        <w:rPr>
          <w:rFonts w:ascii="Century Schoolbook" w:hAnsi="Century Schoolbook"/>
        </w:rPr>
        <w:t xml:space="preserve"> moved to vacate the dismissal under section 473.  </w:t>
      </w:r>
      <w:r w:rsidR="0048002D" w:rsidRPr="00075FAD">
        <w:rPr>
          <w:rFonts w:ascii="Century Schoolbook" w:hAnsi="Century Schoolbook"/>
        </w:rPr>
        <w:t xml:space="preserve">The attorney admitted the mistake, but the trial court denied the motion.  </w:t>
      </w:r>
      <w:r w:rsidR="00385DCC" w:rsidRPr="00075FAD">
        <w:rPr>
          <w:rFonts w:ascii="Century Schoolbook" w:hAnsi="Century Schoolbook"/>
        </w:rPr>
        <w:t>(</w:t>
      </w:r>
      <w:r w:rsidR="00385DCC" w:rsidRPr="00075FAD">
        <w:rPr>
          <w:rFonts w:ascii="Century Schoolbook" w:hAnsi="Century Schoolbook"/>
          <w:i/>
          <w:iCs/>
        </w:rPr>
        <w:t>Id</w:t>
      </w:r>
      <w:r w:rsidR="00385DCC" w:rsidRPr="00075FAD">
        <w:rPr>
          <w:rFonts w:ascii="Century Schoolbook" w:hAnsi="Century Schoolbook"/>
        </w:rPr>
        <w:t xml:space="preserve">. at p. 1234.)  </w:t>
      </w:r>
      <w:r w:rsidR="00830AB8" w:rsidRPr="00075FAD">
        <w:rPr>
          <w:rFonts w:ascii="Century Schoolbook" w:hAnsi="Century Schoolbook"/>
        </w:rPr>
        <w:t xml:space="preserve">The court of appeal reversed, ordering that the dismissal be entered without prejudice.  </w:t>
      </w:r>
      <w:r w:rsidR="00385DCC" w:rsidRPr="00075FAD">
        <w:rPr>
          <w:rFonts w:ascii="Century Schoolbook" w:hAnsi="Century Schoolbook"/>
        </w:rPr>
        <w:t xml:space="preserve">Noting the language in section 473, subdivision (d), the </w:t>
      </w:r>
      <w:r w:rsidR="00E751E4" w:rsidRPr="00075FAD">
        <w:rPr>
          <w:rFonts w:ascii="Century Schoolbook" w:hAnsi="Century Schoolbook"/>
        </w:rPr>
        <w:t xml:space="preserve">court </w:t>
      </w:r>
      <w:r w:rsidR="0048002D" w:rsidRPr="00075FAD">
        <w:rPr>
          <w:rFonts w:ascii="Century Schoolbook" w:hAnsi="Century Schoolbook"/>
        </w:rPr>
        <w:t xml:space="preserve">of appeal </w:t>
      </w:r>
      <w:r w:rsidR="00E751E4" w:rsidRPr="00075FAD">
        <w:rPr>
          <w:rFonts w:ascii="Century Schoolbook" w:hAnsi="Century Schoolbook"/>
        </w:rPr>
        <w:t xml:space="preserve">ruled that </w:t>
      </w:r>
      <w:r w:rsidR="00385DCC" w:rsidRPr="00075FAD">
        <w:rPr>
          <w:rFonts w:ascii="Century Schoolbook" w:hAnsi="Century Schoolbook"/>
        </w:rPr>
        <w:t xml:space="preserve">“[a]n attorney’s unauthorized disposition of clients’ substantive rights is invalid and a judgment based thereon is therefore void.”  </w:t>
      </w:r>
      <w:r w:rsidR="00E751E4" w:rsidRPr="00075FAD">
        <w:rPr>
          <w:rFonts w:ascii="Century Schoolbook" w:hAnsi="Century Schoolbook"/>
        </w:rPr>
        <w:t>(</w:t>
      </w:r>
      <w:r w:rsidR="00E751E4" w:rsidRPr="00075FAD">
        <w:rPr>
          <w:rFonts w:ascii="Century Schoolbook" w:hAnsi="Century Schoolbook"/>
          <w:i/>
          <w:iCs/>
        </w:rPr>
        <w:t>Id</w:t>
      </w:r>
      <w:r w:rsidR="00E751E4" w:rsidRPr="00075FAD">
        <w:rPr>
          <w:rFonts w:ascii="Century Schoolbook" w:hAnsi="Century Schoolbook"/>
        </w:rPr>
        <w:t>. at p. 1236.)</w:t>
      </w:r>
      <w:r w:rsidR="00EB42E9" w:rsidRPr="00075FAD">
        <w:rPr>
          <w:rStyle w:val="FootnoteReference"/>
          <w:rFonts w:ascii="Century Schoolbook" w:hAnsi="Century Schoolbook"/>
        </w:rPr>
        <w:footnoteReference w:id="6"/>
      </w:r>
    </w:p>
    <w:p w14:paraId="62053C59" w14:textId="4874603F" w:rsidR="00F64D01" w:rsidRPr="00075FAD" w:rsidRDefault="00B55E39" w:rsidP="00922434">
      <w:pPr>
        <w:pStyle w:val="BodyText"/>
        <w:widowControl/>
        <w:spacing w:line="360" w:lineRule="auto"/>
        <w:rPr>
          <w:rFonts w:ascii="Century Schoolbook" w:hAnsi="Century Schoolbook"/>
        </w:rPr>
      </w:pPr>
      <w:r w:rsidRPr="00075FAD">
        <w:rPr>
          <w:rFonts w:ascii="Century Schoolbook" w:hAnsi="Century Schoolbook"/>
        </w:rPr>
        <w:lastRenderedPageBreak/>
        <w:tab/>
      </w:r>
      <w:r w:rsidR="00E74C91" w:rsidRPr="00075FAD">
        <w:rPr>
          <w:rFonts w:ascii="Century Schoolbook" w:hAnsi="Century Schoolbook"/>
        </w:rPr>
        <w:t xml:space="preserve">In the end, we </w:t>
      </w:r>
      <w:r w:rsidR="00CB6189" w:rsidRPr="00075FAD">
        <w:rPr>
          <w:rFonts w:ascii="Century Schoolbook" w:hAnsi="Century Schoolbook"/>
        </w:rPr>
        <w:t xml:space="preserve">need not </w:t>
      </w:r>
      <w:r w:rsidR="003B1F69" w:rsidRPr="00075FAD">
        <w:rPr>
          <w:rFonts w:ascii="Century Schoolbook" w:hAnsi="Century Schoolbook"/>
        </w:rPr>
        <w:t xml:space="preserve">and do not </w:t>
      </w:r>
      <w:r w:rsidR="00922434" w:rsidRPr="00075FAD">
        <w:rPr>
          <w:rFonts w:ascii="Century Schoolbook" w:hAnsi="Century Schoolbook"/>
        </w:rPr>
        <w:t xml:space="preserve">decide </w:t>
      </w:r>
      <w:r w:rsidR="00CB6189" w:rsidRPr="00075FAD">
        <w:rPr>
          <w:rFonts w:ascii="Century Schoolbook" w:hAnsi="Century Schoolbook"/>
        </w:rPr>
        <w:t xml:space="preserve">whether </w:t>
      </w:r>
      <w:r w:rsidRPr="00075FAD">
        <w:rPr>
          <w:rFonts w:ascii="Century Schoolbook" w:hAnsi="Century Schoolbook"/>
        </w:rPr>
        <w:t xml:space="preserve">an unauthorized judgment </w:t>
      </w:r>
      <w:r w:rsidR="003B1F69" w:rsidRPr="00075FAD">
        <w:rPr>
          <w:rFonts w:ascii="Century Schoolbook" w:hAnsi="Century Schoolbook"/>
        </w:rPr>
        <w:t xml:space="preserve">in these circumstances </w:t>
      </w:r>
      <w:r w:rsidRPr="00075FAD">
        <w:rPr>
          <w:rFonts w:ascii="Century Schoolbook" w:hAnsi="Century Schoolbook"/>
        </w:rPr>
        <w:t>is void</w:t>
      </w:r>
      <w:r w:rsidR="00F64D01" w:rsidRPr="00075FAD">
        <w:rPr>
          <w:rFonts w:ascii="Century Schoolbook" w:hAnsi="Century Schoolbook"/>
        </w:rPr>
        <w:t xml:space="preserve"> (</w:t>
      </w:r>
      <w:r w:rsidR="00F64D01" w:rsidRPr="00075FAD">
        <w:rPr>
          <w:rFonts w:ascii="Century Schoolbook" w:hAnsi="Century Schoolbook"/>
          <w:i/>
          <w:iCs/>
        </w:rPr>
        <w:t>Romadka</w:t>
      </w:r>
      <w:r w:rsidR="00F64D01" w:rsidRPr="00075FAD">
        <w:rPr>
          <w:rFonts w:ascii="Century Schoolbook" w:hAnsi="Century Schoolbook"/>
        </w:rPr>
        <w:t>) or voidable (</w:t>
      </w:r>
      <w:r w:rsidR="00F64D01" w:rsidRPr="00075FAD">
        <w:rPr>
          <w:rFonts w:ascii="Century Schoolbook" w:hAnsi="Century Schoolbook"/>
          <w:i/>
          <w:iCs/>
        </w:rPr>
        <w:t>Whittier</w:t>
      </w:r>
      <w:r w:rsidR="00F64D01" w:rsidRPr="00075FAD">
        <w:rPr>
          <w:rFonts w:ascii="Century Schoolbook" w:hAnsi="Century Schoolbook"/>
        </w:rPr>
        <w:t xml:space="preserve">), </w:t>
      </w:r>
      <w:r w:rsidR="00A85035" w:rsidRPr="00075FAD">
        <w:rPr>
          <w:rFonts w:ascii="Century Schoolbook" w:hAnsi="Century Schoolbook"/>
        </w:rPr>
        <w:t xml:space="preserve">for two reasons:  (1) </w:t>
      </w:r>
      <w:r w:rsidR="00F64D01" w:rsidRPr="00075FAD">
        <w:rPr>
          <w:rFonts w:ascii="Century Schoolbook" w:hAnsi="Century Schoolbook"/>
        </w:rPr>
        <w:t xml:space="preserve">substantial evidence supports the conclusion that </w:t>
      </w:r>
      <w:r w:rsidR="00D63777" w:rsidRPr="00075FAD">
        <w:rPr>
          <w:rFonts w:ascii="Century Schoolbook" w:hAnsi="Century Schoolbook"/>
        </w:rPr>
        <w:t xml:space="preserve">Mitchell ratified </w:t>
      </w:r>
      <w:r w:rsidR="00F64D01" w:rsidRPr="00075FAD">
        <w:rPr>
          <w:rFonts w:ascii="Century Schoolbook" w:hAnsi="Century Schoolbook"/>
        </w:rPr>
        <w:t xml:space="preserve">the settlement and dismissal, and thus </w:t>
      </w:r>
      <w:r w:rsidR="004C5432" w:rsidRPr="00075FAD">
        <w:rPr>
          <w:rFonts w:ascii="Century Schoolbook" w:hAnsi="Century Schoolbook"/>
        </w:rPr>
        <w:t xml:space="preserve">the dismissal </w:t>
      </w:r>
      <w:r w:rsidR="003B1F69" w:rsidRPr="00075FAD">
        <w:rPr>
          <w:rFonts w:ascii="Century Schoolbook" w:hAnsi="Century Schoolbook"/>
        </w:rPr>
        <w:t>cannot be set aside</w:t>
      </w:r>
      <w:r w:rsidR="00F64D01" w:rsidRPr="00075FAD">
        <w:rPr>
          <w:rFonts w:ascii="Century Schoolbook" w:hAnsi="Century Schoolbook"/>
        </w:rPr>
        <w:t xml:space="preserve">; and (2) even if the dismissal is </w:t>
      </w:r>
      <w:r w:rsidR="001B0AF4" w:rsidRPr="00075FAD">
        <w:rPr>
          <w:rFonts w:ascii="Century Schoolbook" w:hAnsi="Century Schoolbook"/>
        </w:rPr>
        <w:t>deemed</w:t>
      </w:r>
      <w:r w:rsidR="004C5432" w:rsidRPr="00075FAD">
        <w:rPr>
          <w:rFonts w:ascii="Century Schoolbook" w:hAnsi="Century Schoolbook"/>
        </w:rPr>
        <w:t xml:space="preserve"> </w:t>
      </w:r>
      <w:r w:rsidR="00F64D01" w:rsidRPr="00075FAD">
        <w:rPr>
          <w:rFonts w:ascii="Century Schoolbook" w:hAnsi="Century Schoolbook"/>
        </w:rPr>
        <w:t>void, the court did not abuse its discretion under section 473, subdivision (d) in declining to vacate it.</w:t>
      </w:r>
    </w:p>
    <w:p w14:paraId="796DF25A" w14:textId="5C3EECC3" w:rsidR="00F64D01" w:rsidRPr="00075FAD" w:rsidRDefault="00F64D01" w:rsidP="00276501">
      <w:pPr>
        <w:pStyle w:val="BodyText"/>
        <w:keepNext/>
        <w:widowControl/>
        <w:spacing w:line="360" w:lineRule="auto"/>
        <w:rPr>
          <w:rStyle w:val="ssrfcpassagedeactivated"/>
          <w:rFonts w:ascii="Century Schoolbook" w:hAnsi="Century Schoolbook"/>
          <w:i/>
          <w:iCs/>
          <w:color w:val="212121"/>
          <w:bdr w:val="none" w:sz="0" w:space="0" w:color="auto" w:frame="1"/>
        </w:rPr>
      </w:pPr>
      <w:r w:rsidRPr="00075FAD">
        <w:rPr>
          <w:rFonts w:ascii="Century Schoolbook" w:hAnsi="Century Schoolbook"/>
        </w:rPr>
        <w:tab/>
      </w:r>
      <w:r w:rsidR="00B51F3E" w:rsidRPr="00075FAD">
        <w:rPr>
          <w:rStyle w:val="ssrfcpassagedeactivated"/>
          <w:rFonts w:ascii="Century Schoolbook" w:hAnsi="Century Schoolbook"/>
          <w:color w:val="212121"/>
          <w:bdr w:val="none" w:sz="0" w:space="0" w:color="auto" w:frame="1"/>
        </w:rPr>
        <w:tab/>
      </w:r>
      <w:r w:rsidR="00B51F3E" w:rsidRPr="00075FAD">
        <w:rPr>
          <w:rStyle w:val="ssrfcpassagedeactivated"/>
          <w:rFonts w:ascii="Century Schoolbook" w:hAnsi="Century Schoolbook"/>
          <w:color w:val="212121"/>
          <w:bdr w:val="none" w:sz="0" w:space="0" w:color="auto" w:frame="1"/>
        </w:rPr>
        <w:tab/>
      </w:r>
      <w:r w:rsidR="00B51F3E" w:rsidRPr="00075FAD">
        <w:rPr>
          <w:rStyle w:val="ssrfcpassagedeactivated"/>
          <w:rFonts w:ascii="Century Schoolbook" w:hAnsi="Century Schoolbook"/>
          <w:i/>
          <w:iCs/>
          <w:color w:val="212121"/>
          <w:bdr w:val="none" w:sz="0" w:space="0" w:color="auto" w:frame="1"/>
        </w:rPr>
        <w:t xml:space="preserve">b.  </w:t>
      </w:r>
      <w:r w:rsidR="00D63777" w:rsidRPr="00075FAD">
        <w:rPr>
          <w:rStyle w:val="ssrfcpassagedeactivated"/>
          <w:rFonts w:ascii="Century Schoolbook" w:hAnsi="Century Schoolbook"/>
          <w:i/>
          <w:iCs/>
          <w:color w:val="212121"/>
          <w:bdr w:val="none" w:sz="0" w:space="0" w:color="auto" w:frame="1"/>
        </w:rPr>
        <w:t>Ratification</w:t>
      </w:r>
    </w:p>
    <w:p w14:paraId="6D38C96F" w14:textId="403D79E8" w:rsidR="00344EE8" w:rsidRPr="00075FAD" w:rsidRDefault="00B51F3E" w:rsidP="0018082B">
      <w:pPr>
        <w:pStyle w:val="BodyText"/>
        <w:widowControl/>
        <w:spacing w:line="360" w:lineRule="auto"/>
        <w:rPr>
          <w:rFonts w:ascii="Century Schoolbook" w:hAnsi="Century Schoolbook"/>
        </w:rPr>
      </w:pPr>
      <w:r w:rsidRPr="00075FAD">
        <w:rPr>
          <w:rFonts w:ascii="Century Schoolbook" w:hAnsi="Century Schoolbook"/>
          <w:b/>
          <w:bCs/>
        </w:rPr>
        <w:tab/>
      </w:r>
      <w:r w:rsidR="00574EDF" w:rsidRPr="00075FAD">
        <w:rPr>
          <w:rFonts w:ascii="Century Schoolbook" w:hAnsi="Century Schoolbook"/>
        </w:rPr>
        <w:t xml:space="preserve">In response to Mitchell’s argument that Whirl was not authorized to dismiss the cross-complaint, the trial court concluded:  “This argument would have more force had Mr. Mitchell not </w:t>
      </w:r>
      <w:r w:rsidR="00574EDF" w:rsidRPr="00075FAD">
        <w:rPr>
          <w:rFonts w:ascii="Century Schoolbook" w:hAnsi="Century Schoolbook"/>
          <w:i/>
          <w:iCs/>
        </w:rPr>
        <w:t>sat silent while knowing the cross-complaint would be (and then was) dismissed</w:t>
      </w:r>
      <w:r w:rsidR="00574EDF" w:rsidRPr="00075FAD">
        <w:rPr>
          <w:rFonts w:ascii="Century Schoolbook" w:hAnsi="Century Schoolbook"/>
        </w:rPr>
        <w:t xml:space="preserve">.” </w:t>
      </w:r>
      <w:r w:rsidR="001A3B6F" w:rsidRPr="00075FAD">
        <w:rPr>
          <w:rFonts w:ascii="Century Schoolbook" w:hAnsi="Century Schoolbook"/>
        </w:rPr>
        <w:t xml:space="preserve"> </w:t>
      </w:r>
      <w:r w:rsidR="00DF7D68" w:rsidRPr="00075FAD">
        <w:rPr>
          <w:rFonts w:ascii="Century Schoolbook" w:hAnsi="Century Schoolbook"/>
        </w:rPr>
        <w:t xml:space="preserve">(Italics added.)  </w:t>
      </w:r>
      <w:r w:rsidR="001A3B6F" w:rsidRPr="00075FAD">
        <w:rPr>
          <w:rFonts w:ascii="Century Schoolbook" w:hAnsi="Century Schoolbook"/>
        </w:rPr>
        <w:t>Th</w:t>
      </w:r>
      <w:r w:rsidR="0018082B" w:rsidRPr="00075FAD">
        <w:rPr>
          <w:rFonts w:ascii="Century Schoolbook" w:hAnsi="Century Schoolbook"/>
        </w:rPr>
        <w:t xml:space="preserve">e court’s finding </w:t>
      </w:r>
      <w:r w:rsidR="001A3B6F" w:rsidRPr="00075FAD">
        <w:rPr>
          <w:rFonts w:ascii="Century Schoolbook" w:hAnsi="Century Schoolbook"/>
        </w:rPr>
        <w:t xml:space="preserve">was supported by substantial evidence, including Whirl’s testimony and documents indicating her </w:t>
      </w:r>
      <w:r w:rsidR="00DF7D68" w:rsidRPr="00075FAD">
        <w:rPr>
          <w:rFonts w:ascii="Century Schoolbook" w:hAnsi="Century Schoolbook"/>
        </w:rPr>
        <w:t xml:space="preserve">many </w:t>
      </w:r>
      <w:r w:rsidR="001A3B6F" w:rsidRPr="00075FAD">
        <w:rPr>
          <w:rFonts w:ascii="Century Schoolbook" w:hAnsi="Century Schoolbook"/>
        </w:rPr>
        <w:t xml:space="preserve">communications with Mitchell </w:t>
      </w:r>
      <w:r w:rsidR="00344EE8" w:rsidRPr="00075FAD">
        <w:rPr>
          <w:rFonts w:ascii="Century Schoolbook" w:hAnsi="Century Schoolbook"/>
        </w:rPr>
        <w:t>before and after the dismissal was filed.</w:t>
      </w:r>
    </w:p>
    <w:p w14:paraId="1D72024C" w14:textId="5CD24005" w:rsidR="00E436E6" w:rsidRPr="00075FAD" w:rsidRDefault="00DF7D68" w:rsidP="00F41914">
      <w:pPr>
        <w:pStyle w:val="BodyText"/>
        <w:widowControl/>
        <w:spacing w:line="360" w:lineRule="auto"/>
        <w:rPr>
          <w:color w:val="212121"/>
          <w:bdr w:val="none" w:sz="0" w:space="0" w:color="auto" w:frame="1"/>
        </w:rPr>
      </w:pPr>
      <w:r w:rsidRPr="00075FAD">
        <w:rPr>
          <w:rFonts w:ascii="Century Schoolbook" w:hAnsi="Century Schoolbook"/>
        </w:rPr>
        <w:tab/>
        <w:t xml:space="preserve">The trial court’s finding supports a conclusion that, although Whirl did not obtain </w:t>
      </w:r>
      <w:r w:rsidR="00E436E6" w:rsidRPr="00075FAD">
        <w:rPr>
          <w:rFonts w:ascii="Century Schoolbook" w:hAnsi="Century Schoolbook"/>
        </w:rPr>
        <w:t xml:space="preserve">the requisite </w:t>
      </w:r>
      <w:r w:rsidRPr="00075FAD">
        <w:rPr>
          <w:rFonts w:ascii="Century Schoolbook" w:hAnsi="Century Schoolbook"/>
        </w:rPr>
        <w:t>express authority for the settlement and dismissal,</w:t>
      </w:r>
      <w:r w:rsidR="00E436E6" w:rsidRPr="00075FAD">
        <w:rPr>
          <w:rFonts w:ascii="Century Schoolbook" w:hAnsi="Century Schoolbook"/>
        </w:rPr>
        <w:t xml:space="preserve"> Mitchell’s failure to </w:t>
      </w:r>
      <w:r w:rsidR="0018082B" w:rsidRPr="00075FAD">
        <w:rPr>
          <w:rFonts w:ascii="Century Schoolbook" w:hAnsi="Century Schoolbook"/>
        </w:rPr>
        <w:t xml:space="preserve">lodge an objection </w:t>
      </w:r>
      <w:r w:rsidR="00E436E6" w:rsidRPr="00075FAD">
        <w:rPr>
          <w:rFonts w:ascii="Century Schoolbook" w:hAnsi="Century Schoolbook"/>
        </w:rPr>
        <w:t xml:space="preserve">and </w:t>
      </w:r>
      <w:r w:rsidR="004C6009" w:rsidRPr="00075FAD">
        <w:rPr>
          <w:rFonts w:ascii="Century Schoolbook" w:hAnsi="Century Schoolbook"/>
        </w:rPr>
        <w:t xml:space="preserve">promptly </w:t>
      </w:r>
      <w:r w:rsidR="00E436E6" w:rsidRPr="00075FAD">
        <w:rPr>
          <w:rFonts w:ascii="Century Schoolbook" w:hAnsi="Century Schoolbook"/>
        </w:rPr>
        <w:t xml:space="preserve">take steps to rectify </w:t>
      </w:r>
      <w:r w:rsidR="0018082B" w:rsidRPr="00075FAD">
        <w:rPr>
          <w:rFonts w:ascii="Century Schoolbook" w:hAnsi="Century Schoolbook"/>
        </w:rPr>
        <w:t xml:space="preserve">the matter constitutes a ratification that precludes relief.  </w:t>
      </w:r>
      <w:r w:rsidR="00344EE8" w:rsidRPr="00075FAD">
        <w:rPr>
          <w:rFonts w:ascii="Century Schoolbook" w:hAnsi="Century Schoolbook"/>
        </w:rPr>
        <w:t xml:space="preserve">“It </w:t>
      </w:r>
      <w:r w:rsidR="00B51F3E" w:rsidRPr="00075FAD">
        <w:rPr>
          <w:rFonts w:ascii="Century Schoolbook" w:hAnsi="Century Schoolbook"/>
        </w:rPr>
        <w:t>is well settled that a client may ratify the unauthorized actions of his attorney</w:t>
      </w:r>
      <w:r w:rsidR="00E74C91" w:rsidRPr="00075FAD">
        <w:rPr>
          <w:rFonts w:ascii="Century Schoolbook" w:hAnsi="Century Schoolbook"/>
        </w:rPr>
        <w:t>.</w:t>
      </w:r>
      <w:r w:rsidR="00B51F3E" w:rsidRPr="00075FAD">
        <w:rPr>
          <w:rFonts w:ascii="Century Schoolbook" w:hAnsi="Century Schoolbook"/>
        </w:rPr>
        <w:t>”</w:t>
      </w:r>
      <w:r w:rsidR="00E74C91" w:rsidRPr="00075FAD">
        <w:rPr>
          <w:rFonts w:ascii="Century Schoolbook" w:hAnsi="Century Schoolbook"/>
        </w:rPr>
        <w:t xml:space="preserve">  (</w:t>
      </w:r>
      <w:r w:rsidR="00B51F3E" w:rsidRPr="00075FAD">
        <w:rPr>
          <w:rFonts w:ascii="Century Schoolbook" w:hAnsi="Century Schoolbook"/>
          <w:i/>
          <w:iCs/>
        </w:rPr>
        <w:t>Navrides v. Zurich In</w:t>
      </w:r>
      <w:r w:rsidR="00471292" w:rsidRPr="00075FAD">
        <w:rPr>
          <w:rFonts w:ascii="Century Schoolbook" w:hAnsi="Century Schoolbook"/>
          <w:i/>
          <w:iCs/>
        </w:rPr>
        <w:t>s</w:t>
      </w:r>
      <w:r w:rsidR="00B51F3E" w:rsidRPr="00075FAD">
        <w:rPr>
          <w:rFonts w:ascii="Century Schoolbook" w:hAnsi="Century Schoolbook"/>
          <w:i/>
          <w:iCs/>
        </w:rPr>
        <w:t>. Co</w:t>
      </w:r>
      <w:r w:rsidR="00B51F3E" w:rsidRPr="00075FAD">
        <w:rPr>
          <w:rFonts w:ascii="Century Schoolbook" w:hAnsi="Century Schoolbook"/>
        </w:rPr>
        <w:t>. (1971) 5 Cal.3d 698, 703</w:t>
      </w:r>
      <w:r w:rsidR="00E74C91" w:rsidRPr="00075FAD">
        <w:rPr>
          <w:rFonts w:ascii="Century Schoolbook" w:hAnsi="Century Schoolbook"/>
        </w:rPr>
        <w:t xml:space="preserve">; see </w:t>
      </w:r>
      <w:r w:rsidR="00E74C91" w:rsidRPr="00075FAD">
        <w:rPr>
          <w:rFonts w:ascii="Century Schoolbook" w:hAnsi="Century Schoolbook"/>
          <w:i/>
          <w:iCs/>
        </w:rPr>
        <w:t>Blanton v. Womancare, Inc., supra,</w:t>
      </w:r>
      <w:r w:rsidR="00E74C91" w:rsidRPr="00075FAD">
        <w:rPr>
          <w:rFonts w:ascii="Century Schoolbook" w:hAnsi="Century Schoolbook"/>
        </w:rPr>
        <w:t xml:space="preserve"> 38 Cal.3d at p. 408</w:t>
      </w:r>
      <w:r w:rsidR="000D72B7" w:rsidRPr="00075FAD">
        <w:rPr>
          <w:rFonts w:ascii="Century Schoolbook" w:hAnsi="Century Schoolbook"/>
        </w:rPr>
        <w:t xml:space="preserve"> [recognizing possibility of ratification]; </w:t>
      </w:r>
      <w:r w:rsidR="000D72B7" w:rsidRPr="00075FAD">
        <w:rPr>
          <w:rFonts w:ascii="Century Schoolbook" w:hAnsi="Century Schoolbook"/>
          <w:i/>
          <w:iCs/>
        </w:rPr>
        <w:t>Rivera v. Shivers</w:t>
      </w:r>
      <w:r w:rsidR="000D72B7" w:rsidRPr="00075FAD">
        <w:rPr>
          <w:rFonts w:ascii="Century Schoolbook" w:hAnsi="Century Schoolbook"/>
        </w:rPr>
        <w:t xml:space="preserve"> (2020) 54 Cal.App.5th 82, 92 [“even an unauthorized act by an attorney concerning substantial rights can be later ratified by the client and thus bind him or her”]</w:t>
      </w:r>
      <w:r w:rsidR="00E436E6" w:rsidRPr="00075FAD">
        <w:rPr>
          <w:rFonts w:ascii="Century Schoolbook" w:hAnsi="Century Schoolbook"/>
        </w:rPr>
        <w:t xml:space="preserve">; </w:t>
      </w:r>
      <w:r w:rsidR="00E436E6" w:rsidRPr="00075FAD">
        <w:rPr>
          <w:rFonts w:ascii="Century Schoolbook" w:hAnsi="Century Schoolbook"/>
          <w:i/>
        </w:rPr>
        <w:t>Moving Picture etc. Union v. Glasgow Theaters, Inc</w:t>
      </w:r>
      <w:r w:rsidR="00E436E6" w:rsidRPr="00075FAD">
        <w:rPr>
          <w:rFonts w:ascii="Century Schoolbook" w:hAnsi="Century Schoolbook"/>
        </w:rPr>
        <w:t xml:space="preserve">. (1970) 6 Cal.App.3d 395, 403 [although an attorney has no power to bind its client to settlement without specific authorization, the attorney’s act is binding on the client if the client “ratifies it or accepts the benefits of the </w:t>
      </w:r>
      <w:r w:rsidR="00E436E6" w:rsidRPr="00075FAD">
        <w:rPr>
          <w:rFonts w:ascii="Century Schoolbook" w:hAnsi="Century Schoolbook"/>
        </w:rPr>
        <w:lastRenderedPageBreak/>
        <w:t>attorney’s acts”].)</w:t>
      </w:r>
      <w:r w:rsidR="0018082B" w:rsidRPr="00075FAD">
        <w:rPr>
          <w:rFonts w:ascii="Century Schoolbook" w:hAnsi="Century Schoolbook"/>
        </w:rPr>
        <w:t xml:space="preserve">  </w:t>
      </w:r>
      <w:r w:rsidR="000A244B" w:rsidRPr="00075FAD">
        <w:rPr>
          <w:rFonts w:ascii="Century Schoolbook" w:hAnsi="Century Schoolbook"/>
        </w:rPr>
        <w:t>R</w:t>
      </w:r>
      <w:r w:rsidR="000D72B7" w:rsidRPr="00075FAD">
        <w:rPr>
          <w:rFonts w:ascii="Century Schoolbook" w:hAnsi="Century Schoolbook"/>
        </w:rPr>
        <w:t xml:space="preserve">atification may </w:t>
      </w:r>
      <w:r w:rsidR="000A244B" w:rsidRPr="00075FAD">
        <w:rPr>
          <w:rFonts w:ascii="Century Schoolbook" w:hAnsi="Century Schoolbook"/>
        </w:rPr>
        <w:t>occur</w:t>
      </w:r>
      <w:r w:rsidR="000D72B7" w:rsidRPr="00075FAD">
        <w:rPr>
          <w:rFonts w:ascii="Century Schoolbook" w:hAnsi="Century Schoolbook"/>
        </w:rPr>
        <w:t xml:space="preserve"> where the client </w:t>
      </w:r>
      <w:r w:rsidR="00E436E6" w:rsidRPr="00075FAD">
        <w:rPr>
          <w:rFonts w:ascii="Century Schoolbook" w:hAnsi="Century Schoolbook"/>
        </w:rPr>
        <w:t xml:space="preserve">fails to lodge </w:t>
      </w:r>
      <w:r w:rsidR="00E436E6" w:rsidRPr="00075FAD">
        <w:rPr>
          <w:rFonts w:ascii="Century Schoolbook" w:hAnsi="Century Schoolbook"/>
          <w:i/>
          <w:iCs/>
        </w:rPr>
        <w:t>prompt</w:t>
      </w:r>
      <w:r w:rsidR="00E436E6" w:rsidRPr="00075FAD">
        <w:rPr>
          <w:rFonts w:ascii="Century Schoolbook" w:hAnsi="Century Schoolbook"/>
        </w:rPr>
        <w:t xml:space="preserve"> disagreement with </w:t>
      </w:r>
      <w:r w:rsidR="00E74C91" w:rsidRPr="00075FAD">
        <w:rPr>
          <w:rFonts w:ascii="Century Schoolbook" w:hAnsi="Century Schoolbook"/>
        </w:rPr>
        <w:t>his or her attorney’s action</w:t>
      </w:r>
      <w:r w:rsidR="000D72B7" w:rsidRPr="00075FAD">
        <w:rPr>
          <w:rFonts w:ascii="Century Schoolbook" w:hAnsi="Century Schoolbook"/>
        </w:rPr>
        <w:t xml:space="preserve">.  </w:t>
      </w:r>
      <w:r w:rsidR="00B51F3E" w:rsidRPr="00075FAD">
        <w:rPr>
          <w:rFonts w:ascii="Century Schoolbook" w:hAnsi="Century Schoolbook"/>
        </w:rPr>
        <w:t>(</w:t>
      </w:r>
      <w:r w:rsidR="00B51F3E" w:rsidRPr="00075FAD">
        <w:rPr>
          <w:rFonts w:ascii="Century Schoolbook" w:hAnsi="Century Schoolbook"/>
          <w:i/>
          <w:iCs/>
        </w:rPr>
        <w:t>N</w:t>
      </w:r>
      <w:r w:rsidR="00622E31">
        <w:rPr>
          <w:rFonts w:ascii="Century Schoolbook" w:hAnsi="Century Schoolbook"/>
          <w:i/>
          <w:iCs/>
        </w:rPr>
        <w:t xml:space="preserve">ORCAL </w:t>
      </w:r>
      <w:r w:rsidR="00B51F3E" w:rsidRPr="00075FAD">
        <w:rPr>
          <w:rFonts w:ascii="Century Schoolbook" w:hAnsi="Century Schoolbook"/>
          <w:i/>
          <w:iCs/>
        </w:rPr>
        <w:t>Mutual Ins. Co. v. Newton</w:t>
      </w:r>
      <w:r w:rsidR="00B51F3E" w:rsidRPr="00075FAD">
        <w:rPr>
          <w:rFonts w:ascii="Century Schoolbook" w:hAnsi="Century Schoolbook"/>
        </w:rPr>
        <w:t xml:space="preserve"> (2000) 84 Cal.App.4</w:t>
      </w:r>
      <w:r w:rsidR="00E74C91" w:rsidRPr="00075FAD">
        <w:rPr>
          <w:rFonts w:ascii="Century Schoolbook" w:hAnsi="Century Schoolbook"/>
        </w:rPr>
        <w:t>th</w:t>
      </w:r>
      <w:r w:rsidR="00B51F3E" w:rsidRPr="00075FAD">
        <w:rPr>
          <w:rFonts w:ascii="Century Schoolbook" w:hAnsi="Century Schoolbook"/>
        </w:rPr>
        <w:t xml:space="preserve"> 64, 79 [c</w:t>
      </w:r>
      <w:r w:rsidR="001A3B6F" w:rsidRPr="00075FAD">
        <w:rPr>
          <w:rFonts w:ascii="Century Schoolbook" w:hAnsi="Century Schoolbook"/>
        </w:rPr>
        <w:t>lient’s failure to take “immediate action to express dissatisfaction with [her attorney’s] arbitration demand on her behalf . . . constitute</w:t>
      </w:r>
      <w:r w:rsidR="005A6793" w:rsidRPr="00075FAD">
        <w:rPr>
          <w:rFonts w:ascii="Century Schoolbook" w:hAnsi="Century Schoolbook"/>
        </w:rPr>
        <w:t>[</w:t>
      </w:r>
      <w:r w:rsidR="001A3B6F" w:rsidRPr="00075FAD">
        <w:rPr>
          <w:rFonts w:ascii="Century Schoolbook" w:hAnsi="Century Schoolbook"/>
        </w:rPr>
        <w:t>s</w:t>
      </w:r>
      <w:r w:rsidR="005A6793" w:rsidRPr="00075FAD">
        <w:rPr>
          <w:rFonts w:ascii="Century Schoolbook" w:hAnsi="Century Schoolbook"/>
        </w:rPr>
        <w:t>]</w:t>
      </w:r>
      <w:r w:rsidR="001A3B6F" w:rsidRPr="00075FAD">
        <w:rPr>
          <w:rFonts w:ascii="Century Schoolbook" w:hAnsi="Century Schoolbook"/>
        </w:rPr>
        <w:t xml:space="preserve"> a ratification”].)</w:t>
      </w:r>
      <w:r w:rsidR="00344EE8" w:rsidRPr="00075FAD">
        <w:rPr>
          <w:rFonts w:ascii="Century Schoolbook" w:hAnsi="Century Schoolbook"/>
        </w:rPr>
        <w:t xml:space="preserve"> </w:t>
      </w:r>
      <w:r w:rsidR="000D72B7" w:rsidRPr="00075FAD">
        <w:rPr>
          <w:rFonts w:ascii="Century Schoolbook" w:hAnsi="Century Schoolbook"/>
        </w:rPr>
        <w:t xml:space="preserve"> </w:t>
      </w:r>
      <w:r w:rsidR="000A244B" w:rsidRPr="00075FAD">
        <w:rPr>
          <w:rFonts w:ascii="Century Schoolbook" w:hAnsi="Century Schoolbook"/>
        </w:rPr>
        <w:t>And w</w:t>
      </w:r>
      <w:r w:rsidR="0018082B" w:rsidRPr="00075FAD">
        <w:rPr>
          <w:rFonts w:ascii="Century Schoolbook" w:hAnsi="Century Schoolbook"/>
        </w:rPr>
        <w:t xml:space="preserve">here </w:t>
      </w:r>
      <w:r w:rsidR="00344EE8" w:rsidRPr="00075FAD">
        <w:rPr>
          <w:rFonts w:ascii="Century Schoolbook" w:hAnsi="Century Schoolbook"/>
        </w:rPr>
        <w:t xml:space="preserve">the client has ratified </w:t>
      </w:r>
      <w:r w:rsidR="0018082B" w:rsidRPr="00075FAD">
        <w:rPr>
          <w:rFonts w:ascii="Century Schoolbook" w:hAnsi="Century Schoolbook"/>
        </w:rPr>
        <w:t xml:space="preserve">a </w:t>
      </w:r>
      <w:r w:rsidR="00574EDF" w:rsidRPr="00075FAD">
        <w:rPr>
          <w:rFonts w:ascii="Century Schoolbook" w:hAnsi="Century Schoolbook"/>
        </w:rPr>
        <w:t>previously</w:t>
      </w:r>
      <w:r w:rsidR="000A244B" w:rsidRPr="00075FAD">
        <w:rPr>
          <w:rFonts w:ascii="Century Schoolbook" w:hAnsi="Century Schoolbook"/>
        </w:rPr>
        <w:t xml:space="preserve"> </w:t>
      </w:r>
      <w:r w:rsidR="00574EDF" w:rsidRPr="00075FAD">
        <w:rPr>
          <w:rFonts w:ascii="Century Schoolbook" w:hAnsi="Century Schoolbook"/>
        </w:rPr>
        <w:t>unauthorized act of his or her attorney</w:t>
      </w:r>
      <w:r w:rsidR="00344EE8" w:rsidRPr="00075FAD">
        <w:rPr>
          <w:rFonts w:ascii="Century Schoolbook" w:hAnsi="Century Schoolbook"/>
        </w:rPr>
        <w:t xml:space="preserve">, </w:t>
      </w:r>
      <w:r w:rsidR="0018082B" w:rsidRPr="00075FAD">
        <w:rPr>
          <w:rFonts w:ascii="Century Schoolbook" w:hAnsi="Century Schoolbook"/>
        </w:rPr>
        <w:t xml:space="preserve">there is no basis for concluding that the resulting dismissal is </w:t>
      </w:r>
      <w:r w:rsidR="0018082B" w:rsidRPr="00026073">
        <w:rPr>
          <w:rFonts w:ascii="Century Schoolbook" w:hAnsi="Century Schoolbook"/>
        </w:rPr>
        <w:t>void or voidable</w:t>
      </w:r>
      <w:r w:rsidR="00622E31" w:rsidRPr="00026073">
        <w:rPr>
          <w:rFonts w:ascii="Century Schoolbook" w:hAnsi="Century Schoolbook"/>
        </w:rPr>
        <w:t xml:space="preserve"> due to the lack of authorization</w:t>
      </w:r>
      <w:r w:rsidR="0018082B" w:rsidRPr="00026073">
        <w:rPr>
          <w:rFonts w:ascii="Century Schoolbook" w:hAnsi="Century Schoolbook"/>
        </w:rPr>
        <w:t xml:space="preserve">.  </w:t>
      </w:r>
      <w:r w:rsidR="00E436E6" w:rsidRPr="00026073">
        <w:rPr>
          <w:rFonts w:ascii="Century Schoolbook" w:hAnsi="Century Schoolbook"/>
          <w:color w:val="212121"/>
          <w:bdr w:val="none" w:sz="0" w:space="0" w:color="auto" w:frame="1"/>
        </w:rPr>
        <w:t xml:space="preserve">(See </w:t>
      </w:r>
      <w:r w:rsidR="00E436E6" w:rsidRPr="00026073">
        <w:rPr>
          <w:rFonts w:ascii="Century Schoolbook" w:hAnsi="Century Schoolbook"/>
          <w:i/>
          <w:iCs/>
          <w:color w:val="212121"/>
          <w:bdr w:val="none" w:sz="0" w:space="0" w:color="auto" w:frame="1"/>
        </w:rPr>
        <w:t>Rakestraw v. Rodrigues</w:t>
      </w:r>
      <w:r w:rsidR="00E436E6" w:rsidRPr="00026073">
        <w:rPr>
          <w:rFonts w:ascii="Century Schoolbook" w:hAnsi="Century Schoolbook"/>
          <w:color w:val="212121"/>
          <w:bdr w:val="none" w:sz="0" w:space="0" w:color="auto" w:frame="1"/>
        </w:rPr>
        <w:t xml:space="preserve"> (1972)</w:t>
      </w:r>
      <w:r w:rsidR="00E436E6" w:rsidRPr="00075FAD">
        <w:rPr>
          <w:rFonts w:ascii="Century Schoolbook" w:hAnsi="Century Schoolbook"/>
          <w:color w:val="212121"/>
          <w:bdr w:val="none" w:sz="0" w:space="0" w:color="auto" w:frame="1"/>
        </w:rPr>
        <w:t xml:space="preserve"> 8 Cal.3d 67, 73 [effect of ratification, as to some or all persons, “is to treat the act as if originally authorized”].)</w:t>
      </w:r>
      <w:r w:rsidR="0018082B" w:rsidRPr="00075FAD">
        <w:rPr>
          <w:rStyle w:val="FootnoteReference"/>
          <w:rFonts w:ascii="Century Schoolbook" w:hAnsi="Century Schoolbook"/>
          <w:color w:val="212121"/>
          <w:bdr w:val="none" w:sz="0" w:space="0" w:color="auto" w:frame="1"/>
        </w:rPr>
        <w:footnoteReference w:id="7"/>
      </w:r>
      <w:r w:rsidR="000A244B" w:rsidRPr="00075FAD">
        <w:rPr>
          <w:rFonts w:ascii="Century Schoolbook" w:hAnsi="Century Schoolbook"/>
          <w:color w:val="212121"/>
          <w:bdr w:val="none" w:sz="0" w:space="0" w:color="auto" w:frame="1"/>
        </w:rPr>
        <w:t xml:space="preserve">  For this reason alone, the trial court did not abuse its discretion by declining to set aside the dismissal of Mitchell’s cross-claims.</w:t>
      </w:r>
    </w:p>
    <w:p w14:paraId="63A6AF12" w14:textId="5D334BF5" w:rsidR="00513E90" w:rsidRPr="00075FAD" w:rsidRDefault="00513E90" w:rsidP="00922434">
      <w:pPr>
        <w:pStyle w:val="BodyText"/>
        <w:widowControl/>
        <w:spacing w:line="360" w:lineRule="auto"/>
        <w:rPr>
          <w:rStyle w:val="ssrfcpassagedeactivated"/>
          <w:rFonts w:ascii="Century Schoolbook" w:hAnsi="Century Schoolbook"/>
          <w:i/>
          <w:iCs/>
          <w:color w:val="212121"/>
          <w:bdr w:val="none" w:sz="0" w:space="0" w:color="auto" w:frame="1"/>
        </w:rPr>
      </w:pPr>
      <w:r w:rsidRPr="00075FAD">
        <w:rPr>
          <w:rStyle w:val="ssrfcpassagedeactivated"/>
          <w:rFonts w:ascii="Century Schoolbook" w:hAnsi="Century Schoolbook"/>
          <w:color w:val="212121"/>
          <w:bdr w:val="none" w:sz="0" w:space="0" w:color="auto" w:frame="1"/>
        </w:rPr>
        <w:tab/>
      </w:r>
      <w:r w:rsidRPr="00075FAD">
        <w:rPr>
          <w:rStyle w:val="ssrfcpassagedeactivated"/>
          <w:rFonts w:ascii="Century Schoolbook" w:hAnsi="Century Schoolbook"/>
          <w:color w:val="212121"/>
          <w:bdr w:val="none" w:sz="0" w:space="0" w:color="auto" w:frame="1"/>
        </w:rPr>
        <w:tab/>
      </w:r>
      <w:r w:rsidRPr="00075FAD">
        <w:rPr>
          <w:rStyle w:val="ssrfcpassagedeactivated"/>
          <w:rFonts w:ascii="Century Schoolbook" w:hAnsi="Century Schoolbook"/>
          <w:color w:val="212121"/>
          <w:bdr w:val="none" w:sz="0" w:space="0" w:color="auto" w:frame="1"/>
        </w:rPr>
        <w:tab/>
      </w:r>
      <w:r w:rsidRPr="00075FAD">
        <w:rPr>
          <w:rStyle w:val="ssrfcpassagedeactivated"/>
          <w:rFonts w:ascii="Century Schoolbook" w:hAnsi="Century Schoolbook"/>
          <w:i/>
          <w:iCs/>
          <w:color w:val="212121"/>
          <w:bdr w:val="none" w:sz="0" w:space="0" w:color="auto" w:frame="1"/>
        </w:rPr>
        <w:t xml:space="preserve">c.  </w:t>
      </w:r>
      <w:r w:rsidR="00F64D01" w:rsidRPr="00075FAD">
        <w:rPr>
          <w:rStyle w:val="ssrfcpassagedeactivated"/>
          <w:rFonts w:ascii="Century Schoolbook" w:hAnsi="Century Schoolbook"/>
          <w:i/>
          <w:iCs/>
          <w:color w:val="212121"/>
          <w:bdr w:val="none" w:sz="0" w:space="0" w:color="auto" w:frame="1"/>
        </w:rPr>
        <w:t xml:space="preserve">Even if Void, </w:t>
      </w:r>
      <w:r w:rsidRPr="00075FAD">
        <w:rPr>
          <w:rStyle w:val="ssrfcpassagedeactivated"/>
          <w:rFonts w:ascii="Century Schoolbook" w:hAnsi="Century Schoolbook"/>
          <w:i/>
          <w:iCs/>
          <w:color w:val="212121"/>
          <w:bdr w:val="none" w:sz="0" w:space="0" w:color="auto" w:frame="1"/>
        </w:rPr>
        <w:t>No Abuse of Discretion</w:t>
      </w:r>
    </w:p>
    <w:p w14:paraId="3EFA1B35" w14:textId="28AB2BB9" w:rsidR="00B51F3E" w:rsidRPr="00075FAD" w:rsidRDefault="00513E90" w:rsidP="00D91A2F">
      <w:pPr>
        <w:pStyle w:val="BodyText"/>
        <w:widowControl/>
        <w:spacing w:line="360" w:lineRule="auto"/>
        <w:rPr>
          <w:rStyle w:val="ssrfcpassagedeactivated"/>
          <w:rFonts w:ascii="Century Schoolbook" w:hAnsi="Century Schoolbook"/>
          <w:color w:val="212121"/>
          <w:bdr w:val="none" w:sz="0" w:space="0" w:color="auto" w:frame="1"/>
        </w:rPr>
      </w:pPr>
      <w:r w:rsidRPr="00075FAD">
        <w:rPr>
          <w:rStyle w:val="ssrfcpassagedeactivated"/>
          <w:rFonts w:ascii="Century Schoolbook" w:hAnsi="Century Schoolbook"/>
          <w:color w:val="212121"/>
          <w:bdr w:val="none" w:sz="0" w:space="0" w:color="auto" w:frame="1"/>
        </w:rPr>
        <w:tab/>
        <w:t xml:space="preserve">Even if </w:t>
      </w:r>
      <w:r w:rsidR="00D91A2F" w:rsidRPr="00075FAD">
        <w:rPr>
          <w:rStyle w:val="ssrfcpassagedeactivated"/>
          <w:rFonts w:ascii="Century Schoolbook" w:hAnsi="Century Schoolbook"/>
          <w:color w:val="212121"/>
          <w:bdr w:val="none" w:sz="0" w:space="0" w:color="auto" w:frame="1"/>
        </w:rPr>
        <w:t>the dismissal was not authorized</w:t>
      </w:r>
      <w:r w:rsidR="00205A73" w:rsidRPr="00075FAD">
        <w:rPr>
          <w:rStyle w:val="ssrfcpassagedeactivated"/>
          <w:rFonts w:ascii="Century Schoolbook" w:hAnsi="Century Schoolbook"/>
          <w:color w:val="212121"/>
          <w:bdr w:val="none" w:sz="0" w:space="0" w:color="auto" w:frame="1"/>
        </w:rPr>
        <w:t xml:space="preserve"> or </w:t>
      </w:r>
      <w:r w:rsidR="00D91A2F" w:rsidRPr="00075FAD">
        <w:rPr>
          <w:rStyle w:val="ssrfcpassagedeactivated"/>
          <w:rFonts w:ascii="Century Schoolbook" w:hAnsi="Century Schoolbook"/>
          <w:color w:val="212121"/>
          <w:bdr w:val="none" w:sz="0" w:space="0" w:color="auto" w:frame="1"/>
        </w:rPr>
        <w:t>ratified</w:t>
      </w:r>
      <w:r w:rsidR="0018082B" w:rsidRPr="00075FAD">
        <w:rPr>
          <w:rStyle w:val="ssrfcpassagedeactivated"/>
          <w:rFonts w:ascii="Century Schoolbook" w:hAnsi="Century Schoolbook"/>
          <w:color w:val="212121"/>
          <w:bdr w:val="none" w:sz="0" w:space="0" w:color="auto" w:frame="1"/>
        </w:rPr>
        <w:t xml:space="preserve">, and even if it was </w:t>
      </w:r>
      <w:r w:rsidRPr="00075FAD">
        <w:rPr>
          <w:rStyle w:val="ssrfcpassagedeactivated"/>
          <w:rFonts w:ascii="Century Schoolbook" w:hAnsi="Century Schoolbook"/>
          <w:color w:val="212121"/>
          <w:bdr w:val="none" w:sz="0" w:space="0" w:color="auto" w:frame="1"/>
        </w:rPr>
        <w:t>void</w:t>
      </w:r>
      <w:r w:rsidR="00264431" w:rsidRPr="00075FAD">
        <w:rPr>
          <w:rStyle w:val="ssrfcpassagedeactivated"/>
          <w:rFonts w:ascii="Century Schoolbook" w:hAnsi="Century Schoolbook"/>
          <w:color w:val="212121"/>
          <w:bdr w:val="none" w:sz="0" w:space="0" w:color="auto" w:frame="1"/>
        </w:rPr>
        <w:t xml:space="preserve"> under </w:t>
      </w:r>
      <w:r w:rsidR="00B51F3E" w:rsidRPr="00075FAD">
        <w:rPr>
          <w:rStyle w:val="ssrfcpassagedeactivated"/>
          <w:rFonts w:ascii="Century Schoolbook" w:hAnsi="Century Schoolbook"/>
          <w:color w:val="212121"/>
          <w:bdr w:val="none" w:sz="0" w:space="0" w:color="auto" w:frame="1"/>
        </w:rPr>
        <w:t>section 473, subdivision (d)</w:t>
      </w:r>
      <w:r w:rsidR="00264431" w:rsidRPr="00075FAD">
        <w:rPr>
          <w:rStyle w:val="ssrfcpassagedeactivated"/>
          <w:rFonts w:ascii="Century Schoolbook" w:hAnsi="Century Schoolbook"/>
          <w:color w:val="212121"/>
          <w:bdr w:val="none" w:sz="0" w:space="0" w:color="auto" w:frame="1"/>
        </w:rPr>
        <w:t>, the statute</w:t>
      </w:r>
      <w:r w:rsidR="00B51F3E" w:rsidRPr="00075FAD">
        <w:rPr>
          <w:rStyle w:val="ssrfcpassagedeactivated"/>
          <w:rFonts w:ascii="Century Schoolbook" w:hAnsi="Century Schoolbook"/>
          <w:color w:val="212121"/>
          <w:bdr w:val="none" w:sz="0" w:space="0" w:color="auto" w:frame="1"/>
        </w:rPr>
        <w:t xml:space="preserve"> gives the trial court discretion to decide whether the judgment should be set aside.</w:t>
      </w:r>
      <w:r w:rsidR="00D91A2F" w:rsidRPr="00075FAD">
        <w:rPr>
          <w:rStyle w:val="ssrfcpassagedeactivated"/>
          <w:rFonts w:ascii="Century Schoolbook" w:hAnsi="Century Schoolbook"/>
          <w:color w:val="212121"/>
          <w:bdr w:val="none" w:sz="0" w:space="0" w:color="auto" w:frame="1"/>
        </w:rPr>
        <w:t xml:space="preserve">  </w:t>
      </w:r>
      <w:r w:rsidR="00F64D01" w:rsidRPr="00075FAD">
        <w:rPr>
          <w:rFonts w:ascii="Century Schoolbook" w:hAnsi="Century Schoolbook"/>
        </w:rPr>
        <w:t>(</w:t>
      </w:r>
      <w:r w:rsidR="00F64D01" w:rsidRPr="00075FAD">
        <w:rPr>
          <w:rFonts w:ascii="Century Schoolbook" w:hAnsi="Century Schoolbook"/>
          <w:i/>
          <w:iCs/>
        </w:rPr>
        <w:t>Romadka, supra</w:t>
      </w:r>
      <w:r w:rsidR="00F64D01" w:rsidRPr="00075FAD">
        <w:rPr>
          <w:rFonts w:ascii="Century Schoolbook" w:hAnsi="Century Schoolbook"/>
        </w:rPr>
        <w:t>,</w:t>
      </w:r>
      <w:r w:rsidR="00F64D01" w:rsidRPr="00075FAD">
        <w:rPr>
          <w:rFonts w:ascii="Century Schoolbook" w:hAnsi="Century Schoolbook"/>
          <w:b/>
          <w:bCs/>
        </w:rPr>
        <w:t xml:space="preserve"> </w:t>
      </w:r>
      <w:r w:rsidR="00F64D01" w:rsidRPr="00075FAD">
        <w:rPr>
          <w:rFonts w:ascii="Century Schoolbook" w:hAnsi="Century Schoolbook"/>
        </w:rPr>
        <w:t xml:space="preserve">232 Cal.App.3d at p. 1237; see </w:t>
      </w:r>
      <w:r w:rsidR="00F64D01" w:rsidRPr="00075FAD">
        <w:rPr>
          <w:rStyle w:val="ssit"/>
          <w:rFonts w:ascii="Century Schoolbook" w:hAnsi="Century Schoolbook"/>
          <w:i/>
          <w:iCs/>
          <w:color w:val="212121"/>
          <w:bdr w:val="none" w:sz="0" w:space="0" w:color="auto" w:frame="1"/>
        </w:rPr>
        <w:t xml:space="preserve">Nixon Peabody, supra, </w:t>
      </w:r>
      <w:r w:rsidR="00F64D01" w:rsidRPr="00075FAD">
        <w:rPr>
          <w:rStyle w:val="ssrfcsection"/>
          <w:rFonts w:ascii="Century Schoolbook" w:hAnsi="Century Schoolbook"/>
          <w:color w:val="212121"/>
          <w:bdr w:val="none" w:sz="0" w:space="0" w:color="auto" w:frame="1"/>
        </w:rPr>
        <w:t>230 Cal.App.4</w:t>
      </w:r>
      <w:r w:rsidR="00264431" w:rsidRPr="00075FAD">
        <w:rPr>
          <w:rStyle w:val="ssrfcsection"/>
          <w:rFonts w:ascii="Century Schoolbook" w:hAnsi="Century Schoolbook"/>
          <w:color w:val="212121"/>
          <w:bdr w:val="none" w:sz="0" w:space="0" w:color="auto" w:frame="1"/>
        </w:rPr>
        <w:t>th</w:t>
      </w:r>
      <w:r w:rsidR="00F64D01" w:rsidRPr="00075FAD">
        <w:rPr>
          <w:rStyle w:val="ssrfcsection"/>
          <w:rFonts w:ascii="Century Schoolbook" w:hAnsi="Century Schoolbook"/>
          <w:color w:val="212121"/>
          <w:bdr w:val="none" w:sz="0" w:space="0" w:color="auto" w:frame="1"/>
        </w:rPr>
        <w:t xml:space="preserve"> at p. 822; </w:t>
      </w:r>
      <w:r w:rsidR="00F64D01" w:rsidRPr="00075FAD">
        <w:rPr>
          <w:rStyle w:val="ssrfcsection"/>
          <w:rFonts w:ascii="Century Schoolbook" w:hAnsi="Century Schoolbook"/>
          <w:i/>
          <w:iCs/>
          <w:color w:val="212121"/>
          <w:bdr w:val="none" w:sz="0" w:space="0" w:color="auto" w:frame="1"/>
        </w:rPr>
        <w:t xml:space="preserve">Cruz, supra, </w:t>
      </w:r>
      <w:r w:rsidR="00F64D01" w:rsidRPr="00075FAD">
        <w:rPr>
          <w:rStyle w:val="ssrfcsection"/>
          <w:rFonts w:ascii="Century Schoolbook" w:hAnsi="Century Schoolbook"/>
          <w:color w:val="212121"/>
          <w:bdr w:val="none" w:sz="0" w:space="0" w:color="auto" w:frame="1"/>
        </w:rPr>
        <w:t>146 Cal.App.4</w:t>
      </w:r>
      <w:r w:rsidR="00264431" w:rsidRPr="00075FAD">
        <w:rPr>
          <w:rStyle w:val="ssrfcsection"/>
          <w:rFonts w:ascii="Century Schoolbook" w:hAnsi="Century Schoolbook"/>
          <w:color w:val="212121"/>
          <w:bdr w:val="none" w:sz="0" w:space="0" w:color="auto" w:frame="1"/>
        </w:rPr>
        <w:t>th</w:t>
      </w:r>
      <w:r w:rsidR="00F64D01" w:rsidRPr="00075FAD">
        <w:rPr>
          <w:rStyle w:val="ssrfcsection"/>
          <w:rFonts w:ascii="Century Schoolbook" w:hAnsi="Century Schoolbook"/>
          <w:color w:val="212121"/>
          <w:bdr w:val="none" w:sz="0" w:space="0" w:color="auto" w:frame="1"/>
        </w:rPr>
        <w:t xml:space="preserve"> at pp. 495</w:t>
      </w:r>
      <w:r w:rsidR="00C740AC" w:rsidRPr="00075FAD">
        <w:rPr>
          <w:rStyle w:val="ssrfcsection"/>
          <w:rFonts w:ascii="Century Schoolbook" w:hAnsi="Century Schoolbook"/>
          <w:color w:val="212121"/>
          <w:bdr w:val="none" w:sz="0" w:space="0" w:color="auto" w:frame="1"/>
        </w:rPr>
        <w:t>–</w:t>
      </w:r>
      <w:r w:rsidR="00F64D01" w:rsidRPr="00075FAD">
        <w:rPr>
          <w:rStyle w:val="ssrfcsection"/>
          <w:rFonts w:ascii="Century Schoolbook" w:hAnsi="Century Schoolbook"/>
          <w:color w:val="212121"/>
          <w:bdr w:val="none" w:sz="0" w:space="0" w:color="auto" w:frame="1"/>
        </w:rPr>
        <w:t xml:space="preserve">496; </w:t>
      </w:r>
      <w:r w:rsidR="00F64D01" w:rsidRPr="00075FAD">
        <w:rPr>
          <w:rStyle w:val="ssrfcpassagedeactivated"/>
          <w:rFonts w:ascii="Century Schoolbook" w:hAnsi="Century Schoolbook"/>
          <w:i/>
          <w:iCs/>
          <w:color w:val="212121"/>
          <w:bdr w:val="none" w:sz="0" w:space="0" w:color="auto" w:frame="1"/>
        </w:rPr>
        <w:t xml:space="preserve">Pittman, supra, </w:t>
      </w:r>
      <w:r w:rsidR="00F64D01" w:rsidRPr="00075FAD">
        <w:rPr>
          <w:rStyle w:val="ssrfcpassagedeactivated"/>
          <w:rFonts w:ascii="Century Schoolbook" w:hAnsi="Century Schoolbook"/>
          <w:color w:val="212121"/>
          <w:bdr w:val="none" w:sz="0" w:space="0" w:color="auto" w:frame="1"/>
        </w:rPr>
        <w:t>20 Cal.App.5</w:t>
      </w:r>
      <w:r w:rsidR="00264431" w:rsidRPr="00075FAD">
        <w:rPr>
          <w:rStyle w:val="ssrfcpassagedeactivated"/>
          <w:rFonts w:ascii="Century Schoolbook" w:hAnsi="Century Schoolbook"/>
          <w:color w:val="212121"/>
          <w:bdr w:val="none" w:sz="0" w:space="0" w:color="auto" w:frame="1"/>
        </w:rPr>
        <w:t>th</w:t>
      </w:r>
      <w:r w:rsidR="00F64D01" w:rsidRPr="00075FAD">
        <w:rPr>
          <w:rStyle w:val="ssrfcpassagedeactivated"/>
          <w:rFonts w:ascii="Century Schoolbook" w:hAnsi="Century Schoolbook"/>
          <w:color w:val="212121"/>
          <w:bdr w:val="none" w:sz="0" w:space="0" w:color="auto" w:frame="1"/>
        </w:rPr>
        <w:t xml:space="preserve"> at pp. 1020</w:t>
      </w:r>
      <w:r w:rsidR="005B1DEB" w:rsidRPr="00075FAD">
        <w:rPr>
          <w:rStyle w:val="ssrfcpassagedeactivated"/>
          <w:rFonts w:ascii="Century Schoolbook" w:hAnsi="Century Schoolbook"/>
          <w:color w:val="212121"/>
          <w:bdr w:val="none" w:sz="0" w:space="0" w:color="auto" w:frame="1"/>
        </w:rPr>
        <w:t>–</w:t>
      </w:r>
      <w:r w:rsidR="00F64D01" w:rsidRPr="00075FAD">
        <w:rPr>
          <w:rStyle w:val="ssrfcpassagedeactivated"/>
          <w:rFonts w:ascii="Century Schoolbook" w:hAnsi="Century Schoolbook"/>
          <w:color w:val="212121"/>
          <w:bdr w:val="none" w:sz="0" w:space="0" w:color="auto" w:frame="1"/>
        </w:rPr>
        <w:t>1021.)</w:t>
      </w:r>
      <w:r w:rsidR="00C8612C" w:rsidRPr="00075FAD">
        <w:rPr>
          <w:rStyle w:val="ssrfcpassagedeactivated"/>
          <w:rFonts w:ascii="Century Schoolbook" w:hAnsi="Century Schoolbook"/>
          <w:color w:val="212121"/>
          <w:bdr w:val="none" w:sz="0" w:space="0" w:color="auto" w:frame="1"/>
        </w:rPr>
        <w:t xml:space="preserve">  Mitchell fails to demonstrate an abuse of discretion.</w:t>
      </w:r>
    </w:p>
    <w:p w14:paraId="2231DA84" w14:textId="6BD833F8" w:rsidR="00F64D01" w:rsidRPr="00075FAD" w:rsidRDefault="00D91A2F" w:rsidP="00F64D01">
      <w:pPr>
        <w:pStyle w:val="BodyText"/>
        <w:widowControl/>
        <w:spacing w:line="360" w:lineRule="auto"/>
        <w:rPr>
          <w:rFonts w:ascii="Century Schoolbook" w:hAnsi="Century Schoolbook"/>
        </w:rPr>
      </w:pPr>
      <w:r w:rsidRPr="00075FAD">
        <w:rPr>
          <w:rStyle w:val="ssrfcpassagedeactivated"/>
          <w:rFonts w:ascii="Century Schoolbook" w:hAnsi="Century Schoolbook"/>
          <w:color w:val="212121"/>
          <w:bdr w:val="none" w:sz="0" w:space="0" w:color="auto" w:frame="1"/>
        </w:rPr>
        <w:tab/>
      </w:r>
      <w:r w:rsidR="00C8612C" w:rsidRPr="00075FAD">
        <w:rPr>
          <w:rStyle w:val="ssrfcpassagedeactivated"/>
          <w:rFonts w:ascii="Century Schoolbook" w:hAnsi="Century Schoolbook"/>
          <w:i/>
          <w:iCs/>
          <w:color w:val="212121"/>
          <w:bdr w:val="none" w:sz="0" w:space="0" w:color="auto" w:frame="1"/>
        </w:rPr>
        <w:t>Romadka</w:t>
      </w:r>
      <w:r w:rsidR="00C8612C" w:rsidRPr="00075FAD">
        <w:rPr>
          <w:rStyle w:val="ssrfcpassagedeactivated"/>
          <w:rFonts w:ascii="Century Schoolbook" w:hAnsi="Century Schoolbook"/>
          <w:color w:val="212121"/>
          <w:bdr w:val="none" w:sz="0" w:space="0" w:color="auto" w:frame="1"/>
        </w:rPr>
        <w:t xml:space="preserve"> </w:t>
      </w:r>
      <w:r w:rsidR="00264431" w:rsidRPr="00075FAD">
        <w:rPr>
          <w:rStyle w:val="ssrfcpassagedeactivated"/>
          <w:rFonts w:ascii="Century Schoolbook" w:hAnsi="Century Schoolbook"/>
          <w:color w:val="212121"/>
          <w:bdr w:val="none" w:sz="0" w:space="0" w:color="auto" w:frame="1"/>
        </w:rPr>
        <w:t xml:space="preserve">ultimately shows </w:t>
      </w:r>
      <w:r w:rsidR="00C8612C" w:rsidRPr="00075FAD">
        <w:rPr>
          <w:rStyle w:val="ssrfcpassagedeactivated"/>
          <w:rFonts w:ascii="Century Schoolbook" w:hAnsi="Century Schoolbook"/>
          <w:color w:val="212121"/>
          <w:bdr w:val="none" w:sz="0" w:space="0" w:color="auto" w:frame="1"/>
        </w:rPr>
        <w:t xml:space="preserve">why Mitchell is not entitled to relief under section 473, subdivision (d).  </w:t>
      </w:r>
      <w:r w:rsidRPr="00075FAD">
        <w:rPr>
          <w:rStyle w:val="ssrfcpassagedeactivated"/>
          <w:rFonts w:ascii="Century Schoolbook" w:hAnsi="Century Schoolbook"/>
          <w:color w:val="212121"/>
          <w:bdr w:val="none" w:sz="0" w:space="0" w:color="auto" w:frame="1"/>
        </w:rPr>
        <w:t xml:space="preserve">In </w:t>
      </w:r>
      <w:r w:rsidRPr="00075FAD">
        <w:rPr>
          <w:rStyle w:val="ssrfcpassagedeactivated"/>
          <w:rFonts w:ascii="Century Schoolbook" w:hAnsi="Century Schoolbook"/>
          <w:i/>
          <w:iCs/>
          <w:color w:val="212121"/>
          <w:bdr w:val="none" w:sz="0" w:space="0" w:color="auto" w:frame="1"/>
        </w:rPr>
        <w:t>Romadka</w:t>
      </w:r>
      <w:r w:rsidRPr="00075FAD">
        <w:rPr>
          <w:rStyle w:val="ssrfcpassagedeactivated"/>
          <w:rFonts w:ascii="Century Schoolbook" w:hAnsi="Century Schoolbook"/>
          <w:color w:val="212121"/>
          <w:bdr w:val="none" w:sz="0" w:space="0" w:color="auto" w:frame="1"/>
        </w:rPr>
        <w:t xml:space="preserve">, after </w:t>
      </w:r>
      <w:r w:rsidR="00F64D01" w:rsidRPr="00075FAD">
        <w:rPr>
          <w:rFonts w:ascii="Century Schoolbook" w:hAnsi="Century Schoolbook"/>
        </w:rPr>
        <w:t xml:space="preserve">concluding the judgment was </w:t>
      </w:r>
      <w:r w:rsidR="00F64D01" w:rsidRPr="00075FAD">
        <w:rPr>
          <w:rFonts w:ascii="Century Schoolbook" w:hAnsi="Century Schoolbook"/>
        </w:rPr>
        <w:lastRenderedPageBreak/>
        <w:t xml:space="preserve">void, </w:t>
      </w:r>
      <w:r w:rsidRPr="00075FAD">
        <w:rPr>
          <w:rFonts w:ascii="Century Schoolbook" w:hAnsi="Century Schoolbook"/>
        </w:rPr>
        <w:t xml:space="preserve">the court </w:t>
      </w:r>
      <w:r w:rsidR="00F715EB" w:rsidRPr="00075FAD">
        <w:rPr>
          <w:rFonts w:ascii="Century Schoolbook" w:hAnsi="Century Schoolbook"/>
        </w:rPr>
        <w:t xml:space="preserve">of appeal </w:t>
      </w:r>
      <w:r w:rsidR="00C8612C" w:rsidRPr="00075FAD">
        <w:rPr>
          <w:rFonts w:ascii="Century Schoolbook" w:hAnsi="Century Schoolbook"/>
        </w:rPr>
        <w:t xml:space="preserve">considered whether the trial court abused its discretion in denying relief.  </w:t>
      </w:r>
      <w:r w:rsidR="00F64D01" w:rsidRPr="00075FAD">
        <w:rPr>
          <w:rFonts w:ascii="Century Schoolbook" w:hAnsi="Century Schoolbook"/>
        </w:rPr>
        <w:t xml:space="preserve">Because the client’s counsel had submitted a declaration admitting that she acted without authority and by mistake, and there was no basis for the trial court to disbelieve this evidence, the </w:t>
      </w:r>
      <w:r w:rsidR="00F715EB" w:rsidRPr="00075FAD">
        <w:rPr>
          <w:rFonts w:ascii="Century Schoolbook" w:hAnsi="Century Schoolbook"/>
        </w:rPr>
        <w:t xml:space="preserve">court of appeal found that the </w:t>
      </w:r>
      <w:r w:rsidR="00F64D01" w:rsidRPr="00075FAD">
        <w:rPr>
          <w:rFonts w:ascii="Century Schoolbook" w:hAnsi="Century Schoolbook"/>
        </w:rPr>
        <w:t xml:space="preserve">trial court abused its discretion in denying the clients’ motion to vacate the dismissal with prejudice.  </w:t>
      </w:r>
      <w:r w:rsidR="004C5432" w:rsidRPr="00075FAD">
        <w:rPr>
          <w:rFonts w:ascii="Century Schoolbook" w:hAnsi="Century Schoolbook"/>
        </w:rPr>
        <w:t>(</w:t>
      </w:r>
      <w:r w:rsidR="004C5432" w:rsidRPr="00075FAD">
        <w:rPr>
          <w:rFonts w:ascii="Century Schoolbook" w:hAnsi="Century Schoolbook"/>
          <w:i/>
          <w:iCs/>
        </w:rPr>
        <w:t>Romadka, supra</w:t>
      </w:r>
      <w:r w:rsidR="004C5432" w:rsidRPr="00075FAD">
        <w:rPr>
          <w:rFonts w:ascii="Century Schoolbook" w:hAnsi="Century Schoolbook"/>
        </w:rPr>
        <w:t xml:space="preserve">, 232 Cal.App.3d at </w:t>
      </w:r>
      <w:r w:rsidR="00F64D01" w:rsidRPr="00075FAD">
        <w:rPr>
          <w:rFonts w:ascii="Century Schoolbook" w:hAnsi="Century Schoolbook"/>
        </w:rPr>
        <w:t>p. 1237.)</w:t>
      </w:r>
    </w:p>
    <w:p w14:paraId="0C428D8B" w14:textId="79F52331" w:rsidR="004E1D30" w:rsidRPr="00075FAD" w:rsidRDefault="00C8612C" w:rsidP="00C8612C">
      <w:pPr>
        <w:pStyle w:val="BodyText"/>
        <w:widowControl/>
        <w:spacing w:line="360" w:lineRule="auto"/>
        <w:rPr>
          <w:rFonts w:ascii="Century Schoolbook" w:hAnsi="Century Schoolbook"/>
        </w:rPr>
      </w:pPr>
      <w:r w:rsidRPr="00075FAD">
        <w:rPr>
          <w:rFonts w:ascii="Century Schoolbook" w:hAnsi="Century Schoolbook"/>
        </w:rPr>
        <w:tab/>
        <w:t xml:space="preserve">Here, by contrast, </w:t>
      </w:r>
      <w:r w:rsidR="002553CB" w:rsidRPr="00075FAD">
        <w:rPr>
          <w:rFonts w:ascii="Century Schoolbook" w:hAnsi="Century Schoolbook"/>
        </w:rPr>
        <w:t>Whirl did not admit that Mitchell lacked knowledge or that Whirl made a mistake checking a box on a dismissal form</w:t>
      </w:r>
      <w:r w:rsidR="00F715EB" w:rsidRPr="00075FAD">
        <w:rPr>
          <w:rFonts w:ascii="Century Schoolbook" w:hAnsi="Century Schoolbook"/>
        </w:rPr>
        <w:t xml:space="preserve">.  Instead, </w:t>
      </w:r>
      <w:r w:rsidR="002553CB" w:rsidRPr="00075FAD">
        <w:rPr>
          <w:rFonts w:ascii="Century Schoolbook" w:hAnsi="Century Schoolbook"/>
        </w:rPr>
        <w:t>her position</w:t>
      </w:r>
      <w:r w:rsidR="005B1DEB" w:rsidRPr="00075FAD">
        <w:rPr>
          <w:rFonts w:ascii="Century Schoolbook" w:hAnsi="Century Schoolbook"/>
        </w:rPr>
        <w:t>—</w:t>
      </w:r>
      <w:r w:rsidR="002553CB" w:rsidRPr="00075FAD">
        <w:rPr>
          <w:rFonts w:ascii="Century Schoolbook" w:hAnsi="Century Schoolbook"/>
        </w:rPr>
        <w:t>supported by substantial evidence</w:t>
      </w:r>
      <w:r w:rsidR="005B1DEB" w:rsidRPr="00075FAD">
        <w:rPr>
          <w:rFonts w:ascii="Century Schoolbook" w:hAnsi="Century Schoolbook"/>
        </w:rPr>
        <w:t>—</w:t>
      </w:r>
      <w:r w:rsidR="002553CB" w:rsidRPr="00075FAD">
        <w:rPr>
          <w:rFonts w:ascii="Century Schoolbook" w:hAnsi="Century Schoolbook"/>
        </w:rPr>
        <w:t xml:space="preserve">was that Mitchell knew or should have known that the dismissal was going to be entered, and </w:t>
      </w:r>
      <w:r w:rsidR="00205450" w:rsidRPr="00075FAD">
        <w:rPr>
          <w:rFonts w:ascii="Century Schoolbook" w:hAnsi="Century Schoolbook"/>
        </w:rPr>
        <w:t xml:space="preserve">that Mitchell </w:t>
      </w:r>
      <w:r w:rsidR="002553CB" w:rsidRPr="00075FAD">
        <w:rPr>
          <w:rFonts w:ascii="Century Schoolbook" w:hAnsi="Century Schoolbook"/>
        </w:rPr>
        <w:t xml:space="preserve">knew about the entry of the dismissal well before </w:t>
      </w:r>
      <w:r w:rsidR="00205450" w:rsidRPr="00075FAD">
        <w:rPr>
          <w:rFonts w:ascii="Century Schoolbook" w:hAnsi="Century Schoolbook"/>
        </w:rPr>
        <w:t xml:space="preserve">Mitchell sought </w:t>
      </w:r>
      <w:r w:rsidR="002553CB" w:rsidRPr="00075FAD">
        <w:rPr>
          <w:rFonts w:ascii="Century Schoolbook" w:hAnsi="Century Schoolbook"/>
        </w:rPr>
        <w:t xml:space="preserve">to vacate it.  </w:t>
      </w:r>
      <w:r w:rsidR="000D72B7" w:rsidRPr="00075FAD">
        <w:rPr>
          <w:rFonts w:ascii="Century Schoolbook" w:hAnsi="Century Schoolbook"/>
        </w:rPr>
        <w:t xml:space="preserve">The trial court found her </w:t>
      </w:r>
      <w:r w:rsidR="00FA5017" w:rsidRPr="00075FAD">
        <w:rPr>
          <w:rFonts w:ascii="Century Schoolbook" w:hAnsi="Century Schoolbook"/>
        </w:rPr>
        <w:t xml:space="preserve">position </w:t>
      </w:r>
      <w:r w:rsidR="000D72B7" w:rsidRPr="00075FAD">
        <w:rPr>
          <w:rFonts w:ascii="Century Schoolbook" w:hAnsi="Century Schoolbook"/>
        </w:rPr>
        <w:t xml:space="preserve">to be true.  </w:t>
      </w:r>
      <w:r w:rsidRPr="00075FAD">
        <w:rPr>
          <w:rFonts w:ascii="Century Schoolbook" w:hAnsi="Century Schoolbook"/>
        </w:rPr>
        <w:t xml:space="preserve">This case is therefore distinguishable from </w:t>
      </w:r>
      <w:r w:rsidRPr="00075FAD">
        <w:rPr>
          <w:rFonts w:ascii="Century Schoolbook" w:hAnsi="Century Schoolbook"/>
          <w:i/>
          <w:iCs/>
        </w:rPr>
        <w:t>Romadka</w:t>
      </w:r>
      <w:r w:rsidRPr="00075FAD">
        <w:rPr>
          <w:rFonts w:ascii="Century Schoolbook" w:hAnsi="Century Schoolbook"/>
        </w:rPr>
        <w:t xml:space="preserve">, as well as </w:t>
      </w:r>
      <w:r w:rsidR="00264431" w:rsidRPr="00075FAD">
        <w:rPr>
          <w:rFonts w:ascii="Century Schoolbook" w:hAnsi="Century Schoolbook"/>
        </w:rPr>
        <w:t xml:space="preserve">other </w:t>
      </w:r>
      <w:r w:rsidRPr="00075FAD">
        <w:rPr>
          <w:rFonts w:ascii="Century Schoolbook" w:hAnsi="Century Schoolbook"/>
        </w:rPr>
        <w:t xml:space="preserve">cases in which an attorney acted unilaterally on the client’s behalf without notifying the client at all.  </w:t>
      </w:r>
      <w:r w:rsidR="004E1D30" w:rsidRPr="00075FAD">
        <w:rPr>
          <w:rFonts w:ascii="Century Schoolbook" w:hAnsi="Century Schoolbook"/>
        </w:rPr>
        <w:t xml:space="preserve">(See </w:t>
      </w:r>
      <w:r w:rsidR="004E1D30" w:rsidRPr="00075FAD">
        <w:rPr>
          <w:rFonts w:ascii="Century Schoolbook" w:hAnsi="Century Schoolbook"/>
          <w:i/>
          <w:iCs/>
        </w:rPr>
        <w:t>Whittier Union, supra</w:t>
      </w:r>
      <w:r w:rsidR="004E1D30" w:rsidRPr="00075FAD">
        <w:rPr>
          <w:rFonts w:ascii="Century Schoolbook" w:hAnsi="Century Schoolbook"/>
        </w:rPr>
        <w:t>, 66 Cal.App.3d at p. 509 [lack of authority must be shown by “strong and convincing proof, and the longer the delay in the application for relief the stronger and more convincing the factual proof should be;” “[w]hen nothing more than client misunderstanding or client change of heart is involved, the propriety of such relief is doubtful”].)</w:t>
      </w:r>
    </w:p>
    <w:p w14:paraId="7804D10B" w14:textId="2DD32C47" w:rsidR="001F26F0" w:rsidRPr="00075FAD" w:rsidRDefault="004F4249" w:rsidP="00D63777">
      <w:pPr>
        <w:pStyle w:val="BodyText"/>
        <w:widowControl/>
        <w:spacing w:line="360" w:lineRule="auto"/>
        <w:rPr>
          <w:rFonts w:ascii="Century Schoolbook" w:hAnsi="Century Schoolbook"/>
        </w:rPr>
      </w:pPr>
      <w:r w:rsidRPr="00075FAD">
        <w:rPr>
          <w:rFonts w:ascii="Century Schoolbook" w:hAnsi="Century Schoolbook"/>
        </w:rPr>
        <w:tab/>
      </w:r>
      <w:r w:rsidR="00205A73" w:rsidRPr="00075FAD">
        <w:rPr>
          <w:rFonts w:ascii="Century Schoolbook" w:hAnsi="Century Schoolbook"/>
        </w:rPr>
        <w:t xml:space="preserve">Other circumstances </w:t>
      </w:r>
      <w:r w:rsidR="00264431" w:rsidRPr="00075FAD">
        <w:rPr>
          <w:rFonts w:ascii="Century Schoolbook" w:hAnsi="Century Schoolbook"/>
        </w:rPr>
        <w:t xml:space="preserve">also </w:t>
      </w:r>
      <w:r w:rsidR="00205A73" w:rsidRPr="00075FAD">
        <w:rPr>
          <w:rFonts w:ascii="Century Schoolbook" w:hAnsi="Century Schoolbook"/>
        </w:rPr>
        <w:t xml:space="preserve">supported the trial court’s </w:t>
      </w:r>
      <w:r w:rsidR="004C5432" w:rsidRPr="00075FAD">
        <w:rPr>
          <w:rFonts w:ascii="Century Schoolbook" w:hAnsi="Century Schoolbook"/>
        </w:rPr>
        <w:t xml:space="preserve">refusal to grant relief.  As </w:t>
      </w:r>
      <w:r w:rsidR="00DF7D68" w:rsidRPr="00075FAD">
        <w:rPr>
          <w:rFonts w:ascii="Century Schoolbook" w:hAnsi="Century Schoolbook"/>
        </w:rPr>
        <w:t xml:space="preserve">we have discussed, </w:t>
      </w:r>
      <w:r w:rsidR="00B51F3E" w:rsidRPr="00075FAD">
        <w:rPr>
          <w:rFonts w:ascii="Century Schoolbook" w:hAnsi="Century Schoolbook"/>
        </w:rPr>
        <w:t xml:space="preserve">Mitchell did not </w:t>
      </w:r>
      <w:r w:rsidR="004E1D30" w:rsidRPr="00075FAD">
        <w:rPr>
          <w:rFonts w:ascii="Century Schoolbook" w:hAnsi="Century Schoolbook"/>
        </w:rPr>
        <w:t xml:space="preserve">file a </w:t>
      </w:r>
      <w:r w:rsidR="00B51F3E" w:rsidRPr="00075FAD">
        <w:rPr>
          <w:rFonts w:ascii="Century Schoolbook" w:hAnsi="Century Schoolbook"/>
        </w:rPr>
        <w:t>motion until nearly six months after the entry of the dismissal</w:t>
      </w:r>
      <w:r w:rsidR="00F715EB" w:rsidRPr="00075FAD">
        <w:rPr>
          <w:rFonts w:ascii="Century Schoolbook" w:hAnsi="Century Schoolbook"/>
        </w:rPr>
        <w:t xml:space="preserve"> even though</w:t>
      </w:r>
      <w:r w:rsidR="00DF7D68" w:rsidRPr="00075FAD">
        <w:rPr>
          <w:rFonts w:ascii="Century Schoolbook" w:hAnsi="Century Schoolbook"/>
        </w:rPr>
        <w:t xml:space="preserve"> </w:t>
      </w:r>
      <w:r w:rsidR="00F715EB" w:rsidRPr="00075FAD">
        <w:rPr>
          <w:rFonts w:ascii="Century Schoolbook" w:hAnsi="Century Schoolbook"/>
        </w:rPr>
        <w:t xml:space="preserve">there is </w:t>
      </w:r>
      <w:r w:rsidR="00B51F3E" w:rsidRPr="00075FAD">
        <w:rPr>
          <w:rFonts w:ascii="Century Schoolbook" w:hAnsi="Century Schoolbook"/>
        </w:rPr>
        <w:t xml:space="preserve">substantial </w:t>
      </w:r>
      <w:r w:rsidR="00F715EB" w:rsidRPr="00075FAD">
        <w:rPr>
          <w:rFonts w:ascii="Century Schoolbook" w:hAnsi="Century Schoolbook"/>
        </w:rPr>
        <w:t xml:space="preserve">evidence </w:t>
      </w:r>
      <w:r w:rsidR="00B51F3E" w:rsidRPr="00075FAD">
        <w:rPr>
          <w:rFonts w:ascii="Century Schoolbook" w:hAnsi="Century Schoolbook"/>
        </w:rPr>
        <w:t xml:space="preserve">that Curtis Mitchell found out about </w:t>
      </w:r>
      <w:r w:rsidR="00F715EB" w:rsidRPr="00075FAD">
        <w:rPr>
          <w:rFonts w:ascii="Century Schoolbook" w:hAnsi="Century Schoolbook"/>
        </w:rPr>
        <w:t>the dismissal months earlier</w:t>
      </w:r>
      <w:r w:rsidR="00B51F3E" w:rsidRPr="00075FAD">
        <w:rPr>
          <w:rFonts w:ascii="Century Schoolbook" w:hAnsi="Century Schoolbook"/>
        </w:rPr>
        <w:t xml:space="preserve">.  </w:t>
      </w:r>
      <w:r w:rsidR="004C5432" w:rsidRPr="00075FAD">
        <w:rPr>
          <w:rFonts w:ascii="Century Schoolbook" w:hAnsi="Century Schoolbook"/>
        </w:rPr>
        <w:t xml:space="preserve">Even </w:t>
      </w:r>
      <w:r w:rsidR="004E1D30" w:rsidRPr="00075FAD">
        <w:rPr>
          <w:rFonts w:ascii="Century Schoolbook" w:hAnsi="Century Schoolbook"/>
        </w:rPr>
        <w:t xml:space="preserve">accepting </w:t>
      </w:r>
      <w:r w:rsidR="004C5432" w:rsidRPr="00075FAD">
        <w:rPr>
          <w:rFonts w:ascii="Century Schoolbook" w:hAnsi="Century Schoolbook"/>
        </w:rPr>
        <w:t>Mitchell</w:t>
      </w:r>
      <w:r w:rsidR="004E1D30" w:rsidRPr="00075FAD">
        <w:rPr>
          <w:rFonts w:ascii="Century Schoolbook" w:hAnsi="Century Schoolbook"/>
        </w:rPr>
        <w:t xml:space="preserve">’s claim that it lacked full </w:t>
      </w:r>
      <w:r w:rsidR="004C5432" w:rsidRPr="00075FAD">
        <w:rPr>
          <w:rFonts w:ascii="Century Schoolbook" w:hAnsi="Century Schoolbook"/>
        </w:rPr>
        <w:t xml:space="preserve">knowledge of the dismissal </w:t>
      </w:r>
      <w:r w:rsidR="004E1D30" w:rsidRPr="00075FAD">
        <w:rPr>
          <w:rFonts w:ascii="Century Schoolbook" w:hAnsi="Century Schoolbook"/>
        </w:rPr>
        <w:t xml:space="preserve">until </w:t>
      </w:r>
      <w:r w:rsidR="004C5432" w:rsidRPr="00075FAD">
        <w:rPr>
          <w:rFonts w:ascii="Century Schoolbook" w:hAnsi="Century Schoolbook"/>
        </w:rPr>
        <w:t xml:space="preserve">June 3, </w:t>
      </w:r>
      <w:r w:rsidR="001F26F0" w:rsidRPr="00075FAD">
        <w:rPr>
          <w:rFonts w:ascii="Century Schoolbook" w:hAnsi="Century Schoolbook"/>
        </w:rPr>
        <w:t xml:space="preserve">2022, </w:t>
      </w:r>
      <w:r w:rsidR="004C5432" w:rsidRPr="00075FAD">
        <w:rPr>
          <w:rFonts w:ascii="Century Schoolbook" w:hAnsi="Century Schoolbook"/>
        </w:rPr>
        <w:t xml:space="preserve">Mitchell did not bring the matter to the attention of the </w:t>
      </w:r>
      <w:r w:rsidR="004E1D30" w:rsidRPr="00075FAD">
        <w:rPr>
          <w:rFonts w:ascii="Century Schoolbook" w:hAnsi="Century Schoolbook"/>
        </w:rPr>
        <w:t xml:space="preserve">trial </w:t>
      </w:r>
      <w:r w:rsidR="004C5432" w:rsidRPr="00075FAD">
        <w:rPr>
          <w:rFonts w:ascii="Century Schoolbook" w:hAnsi="Century Schoolbook"/>
        </w:rPr>
        <w:t xml:space="preserve">court (or Bradley or DeHaro) </w:t>
      </w:r>
      <w:r w:rsidR="000D72B7" w:rsidRPr="00075FAD">
        <w:rPr>
          <w:rFonts w:ascii="Century Schoolbook" w:hAnsi="Century Schoolbook"/>
        </w:rPr>
        <w:t xml:space="preserve">for weeks, </w:t>
      </w:r>
      <w:r w:rsidR="004C5432" w:rsidRPr="00075FAD">
        <w:rPr>
          <w:rFonts w:ascii="Century Schoolbook" w:hAnsi="Century Schoolbook"/>
        </w:rPr>
        <w:t xml:space="preserve">after it </w:t>
      </w:r>
      <w:r w:rsidR="000D72B7" w:rsidRPr="00075FAD">
        <w:rPr>
          <w:rFonts w:ascii="Century Schoolbook" w:hAnsi="Century Schoolbook"/>
        </w:rPr>
        <w:t xml:space="preserve">had </w:t>
      </w:r>
      <w:r w:rsidR="004C5432" w:rsidRPr="00075FAD">
        <w:rPr>
          <w:rFonts w:ascii="Century Schoolbook" w:hAnsi="Century Schoolbook"/>
        </w:rPr>
        <w:t xml:space="preserve">settled with </w:t>
      </w:r>
      <w:r w:rsidR="004C5432" w:rsidRPr="00075FAD">
        <w:rPr>
          <w:rFonts w:ascii="Century Schoolbook" w:hAnsi="Century Schoolbook"/>
        </w:rPr>
        <w:lastRenderedPageBreak/>
        <w:t xml:space="preserve">Plaintiffs and the case was essentially over. </w:t>
      </w:r>
      <w:r w:rsidR="001F26F0" w:rsidRPr="00075FAD">
        <w:rPr>
          <w:rFonts w:ascii="Century Schoolbook" w:hAnsi="Century Schoolbook"/>
        </w:rPr>
        <w:t xml:space="preserve"> </w:t>
      </w:r>
      <w:r w:rsidR="00F715EB" w:rsidRPr="00075FAD">
        <w:rPr>
          <w:rFonts w:ascii="Century Schoolbook" w:hAnsi="Century Schoolbook"/>
        </w:rPr>
        <w:t>Indeed</w:t>
      </w:r>
      <w:r w:rsidR="001F26F0" w:rsidRPr="00075FAD">
        <w:rPr>
          <w:rFonts w:ascii="Century Schoolbook" w:hAnsi="Century Schoolbook"/>
        </w:rPr>
        <w:t>, on June 13</w:t>
      </w:r>
      <w:r w:rsidR="004E1D30" w:rsidRPr="00075FAD">
        <w:rPr>
          <w:rFonts w:ascii="Century Schoolbook" w:hAnsi="Century Schoolbook"/>
        </w:rPr>
        <w:t xml:space="preserve">, 2022, </w:t>
      </w:r>
      <w:r w:rsidR="001F26F0" w:rsidRPr="00075FAD">
        <w:rPr>
          <w:rFonts w:ascii="Century Schoolbook" w:hAnsi="Century Schoolbook"/>
        </w:rPr>
        <w:t xml:space="preserve">Mitchell (through new counsel) asked the court </w:t>
      </w:r>
      <w:r w:rsidR="00F715EB" w:rsidRPr="00075FAD">
        <w:rPr>
          <w:rFonts w:ascii="Century Schoolbook" w:hAnsi="Century Schoolbook"/>
        </w:rPr>
        <w:t>to continue</w:t>
      </w:r>
      <w:r w:rsidR="001F26F0" w:rsidRPr="00075FAD">
        <w:rPr>
          <w:rFonts w:ascii="Century Schoolbook" w:hAnsi="Century Schoolbook"/>
        </w:rPr>
        <w:t xml:space="preserve"> the trial, without mentioning any </w:t>
      </w:r>
      <w:r w:rsidR="00F715EB" w:rsidRPr="00075FAD">
        <w:rPr>
          <w:rFonts w:ascii="Century Schoolbook" w:hAnsi="Century Schoolbook"/>
        </w:rPr>
        <w:t>concerns about</w:t>
      </w:r>
      <w:r w:rsidR="001F26F0" w:rsidRPr="00075FAD">
        <w:rPr>
          <w:rFonts w:ascii="Century Schoolbook" w:hAnsi="Century Schoolbook"/>
        </w:rPr>
        <w:t xml:space="preserve"> the validity of </w:t>
      </w:r>
      <w:r w:rsidR="00F715EB" w:rsidRPr="00075FAD">
        <w:rPr>
          <w:rFonts w:ascii="Century Schoolbook" w:hAnsi="Century Schoolbook"/>
        </w:rPr>
        <w:t>its</w:t>
      </w:r>
      <w:r w:rsidR="001F26F0" w:rsidRPr="00075FAD">
        <w:rPr>
          <w:rFonts w:ascii="Century Schoolbook" w:hAnsi="Century Schoolbook"/>
        </w:rPr>
        <w:t xml:space="preserve"> settlements with Bradley and DeHaro.  </w:t>
      </w:r>
    </w:p>
    <w:p w14:paraId="2852F5C5" w14:textId="2AFDFBD2" w:rsidR="00836C6C" w:rsidRPr="00075FAD" w:rsidRDefault="00D63777" w:rsidP="00F543F4">
      <w:pPr>
        <w:pStyle w:val="BodyText"/>
        <w:widowControl/>
        <w:spacing w:line="360" w:lineRule="auto"/>
        <w:rPr>
          <w:rFonts w:ascii="Century Schoolbook" w:hAnsi="Century Schoolbook"/>
        </w:rPr>
      </w:pPr>
      <w:r w:rsidRPr="00075FAD">
        <w:rPr>
          <w:rFonts w:ascii="Century Schoolbook" w:hAnsi="Century Schoolbook"/>
        </w:rPr>
        <w:tab/>
        <w:t xml:space="preserve">In sum, whether </w:t>
      </w:r>
      <w:r w:rsidR="00836C6C" w:rsidRPr="00075FAD">
        <w:rPr>
          <w:rFonts w:ascii="Century Schoolbook" w:hAnsi="Century Schoolbook"/>
        </w:rPr>
        <w:t xml:space="preserve">or not the judgment of dismissal may be deemed void due to Whirl’s failure to obtain Mitchell’s express consent to its entry, Mitchell fails to establish that the trial court </w:t>
      </w:r>
      <w:r w:rsidR="00F715EB" w:rsidRPr="00075FAD">
        <w:rPr>
          <w:rFonts w:ascii="Century Schoolbook" w:hAnsi="Century Schoolbook"/>
        </w:rPr>
        <w:t>abused its discretion</w:t>
      </w:r>
      <w:r w:rsidR="00DF7D68" w:rsidRPr="00075FAD">
        <w:rPr>
          <w:rFonts w:ascii="Century Schoolbook" w:hAnsi="Century Schoolbook"/>
        </w:rPr>
        <w:t xml:space="preserve"> </w:t>
      </w:r>
      <w:r w:rsidR="00836C6C" w:rsidRPr="00075FAD">
        <w:rPr>
          <w:rFonts w:ascii="Century Schoolbook" w:hAnsi="Century Schoolbook"/>
        </w:rPr>
        <w:t>in denying relief.</w:t>
      </w:r>
      <w:r w:rsidR="009F30F6" w:rsidRPr="00075FAD">
        <w:rPr>
          <w:rStyle w:val="FootnoteReference"/>
          <w:rFonts w:ascii="Century Schoolbook" w:hAnsi="Century Schoolbook"/>
        </w:rPr>
        <w:footnoteReference w:id="8"/>
      </w:r>
    </w:p>
    <w:p w14:paraId="44198908" w14:textId="1C29A5DA" w:rsidR="00676AC2" w:rsidRPr="00075FAD" w:rsidRDefault="009F30F6" w:rsidP="009F30F6">
      <w:pPr>
        <w:pStyle w:val="BodyText"/>
        <w:widowControl/>
        <w:spacing w:line="360" w:lineRule="auto"/>
        <w:jc w:val="center"/>
        <w:rPr>
          <w:rFonts w:ascii="Century Schoolbook" w:hAnsi="Century Schoolbook"/>
        </w:rPr>
      </w:pPr>
      <w:r w:rsidRPr="00075FAD">
        <w:rPr>
          <w:rFonts w:ascii="Century Schoolbook" w:hAnsi="Century Schoolbook"/>
        </w:rPr>
        <w:t xml:space="preserve">III.  </w:t>
      </w:r>
      <w:r w:rsidRPr="00075FAD">
        <w:rPr>
          <w:rFonts w:ascii="Century Schoolbook" w:hAnsi="Century Schoolbook"/>
          <w:u w:val="single"/>
        </w:rPr>
        <w:t>DISPOSITION</w:t>
      </w:r>
    </w:p>
    <w:p w14:paraId="2D474917" w14:textId="47B369B7" w:rsidR="009F30F6" w:rsidRPr="00F543F4" w:rsidRDefault="009F30F6" w:rsidP="00F543F4">
      <w:pPr>
        <w:pStyle w:val="BodyText"/>
        <w:widowControl/>
        <w:spacing w:line="360" w:lineRule="auto"/>
        <w:rPr>
          <w:rFonts w:ascii="Century Schoolbook" w:hAnsi="Century Schoolbook"/>
        </w:rPr>
      </w:pPr>
      <w:r w:rsidRPr="00075FAD">
        <w:rPr>
          <w:rFonts w:ascii="Century Schoolbook" w:hAnsi="Century Schoolbook"/>
        </w:rPr>
        <w:tab/>
        <w:t>The order is affirmed.</w:t>
      </w:r>
    </w:p>
    <w:p w14:paraId="7DCB5E98" w14:textId="62FA123A" w:rsidR="00720369" w:rsidRDefault="000131A6" w:rsidP="000B46C6">
      <w:pPr>
        <w:pStyle w:val="BodyText"/>
        <w:widowControl/>
        <w:spacing w:line="360" w:lineRule="auto"/>
      </w:pPr>
      <w:r w:rsidRPr="00F543F4">
        <w:rPr>
          <w:rFonts w:ascii="Century Schoolbook" w:hAnsi="Century Schoolbook"/>
        </w:rPr>
        <w:tab/>
      </w:r>
    </w:p>
    <w:p w14:paraId="2B69DB70" w14:textId="3C2D12B1" w:rsidR="000B46C6" w:rsidRDefault="000131A6" w:rsidP="00A3308B">
      <w:pPr>
        <w:pStyle w:val="BodyText"/>
        <w:widowControl/>
        <w:spacing w:line="360" w:lineRule="auto"/>
        <w:rPr>
          <w:rFonts w:ascii="Century Schoolbook" w:hAnsi="Century Schoolbook"/>
        </w:rPr>
      </w:pPr>
      <w:r w:rsidRPr="00F543F4">
        <w:rPr>
          <w:rFonts w:ascii="Century Schoolbook" w:hAnsi="Century Schoolbook"/>
        </w:rPr>
        <w:tab/>
      </w:r>
    </w:p>
    <w:p w14:paraId="2832EA84" w14:textId="445B981A" w:rsidR="00B63A1A" w:rsidRDefault="00B63A1A" w:rsidP="00A3308B">
      <w:pPr>
        <w:pStyle w:val="BodyText"/>
        <w:widowControl/>
        <w:spacing w:line="360" w:lineRule="auto"/>
        <w:rPr>
          <w:rFonts w:ascii="Century Schoolbook" w:hAnsi="Century Schoolbook"/>
        </w:rPr>
      </w:pPr>
    </w:p>
    <w:p w14:paraId="08E70899" w14:textId="22417F52" w:rsidR="00B63A1A" w:rsidRDefault="00B63A1A" w:rsidP="00A3308B">
      <w:pPr>
        <w:pStyle w:val="BodyText"/>
        <w:widowControl/>
        <w:spacing w:line="360" w:lineRule="auto"/>
        <w:rPr>
          <w:rFonts w:ascii="Century Schoolbook" w:hAnsi="Century Schoolbook"/>
        </w:rPr>
      </w:pPr>
    </w:p>
    <w:p w14:paraId="45BE26EF" w14:textId="2AE876DE" w:rsidR="00B63A1A" w:rsidRDefault="00B63A1A" w:rsidP="00A3308B">
      <w:pPr>
        <w:pStyle w:val="BodyText"/>
        <w:widowControl/>
        <w:spacing w:line="360" w:lineRule="auto"/>
        <w:rPr>
          <w:rFonts w:ascii="Century Schoolbook" w:hAnsi="Century Schoolbook"/>
        </w:rPr>
      </w:pPr>
    </w:p>
    <w:p w14:paraId="2BE77D28" w14:textId="77777777" w:rsidR="00B63A1A" w:rsidRDefault="00B63A1A" w:rsidP="00B63A1A">
      <w:pPr>
        <w:rPr>
          <w:rFonts w:eastAsia="Calibri"/>
        </w:rPr>
      </w:pPr>
    </w:p>
    <w:p w14:paraId="6AB9281E" w14:textId="77777777" w:rsidR="00B63A1A" w:rsidRDefault="00B63A1A" w:rsidP="00B63A1A">
      <w:pPr>
        <w:rPr>
          <w:rFonts w:eastAsia="Calibri"/>
        </w:rPr>
      </w:pPr>
    </w:p>
    <w:p w14:paraId="5C44F6C4" w14:textId="77777777" w:rsidR="00B63A1A" w:rsidRDefault="00B63A1A" w:rsidP="00B63A1A">
      <w:pPr>
        <w:rPr>
          <w:rFonts w:eastAsia="Calibri"/>
        </w:rPr>
      </w:pPr>
    </w:p>
    <w:p w14:paraId="5CBB9E4F" w14:textId="77777777" w:rsidR="00B63A1A" w:rsidRDefault="00B63A1A" w:rsidP="00B63A1A">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B52620" w14:textId="77777777" w:rsidR="00B63A1A" w:rsidRDefault="00B63A1A" w:rsidP="00B63A1A">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CHOU, J.</w:t>
      </w:r>
    </w:p>
    <w:p w14:paraId="548462E7" w14:textId="77777777" w:rsidR="00B63A1A" w:rsidRDefault="00B63A1A" w:rsidP="00B63A1A">
      <w:pPr>
        <w:rPr>
          <w:rFonts w:eastAsia="Calibri"/>
        </w:rPr>
      </w:pPr>
      <w:r>
        <w:rPr>
          <w:rFonts w:eastAsia="Calibri"/>
        </w:rPr>
        <w:t>We concur.</w:t>
      </w:r>
    </w:p>
    <w:p w14:paraId="75D32A7B" w14:textId="77777777" w:rsidR="00B63A1A" w:rsidRDefault="00B63A1A" w:rsidP="00B63A1A">
      <w:pPr>
        <w:rPr>
          <w:rFonts w:eastAsia="Calibri"/>
        </w:rPr>
      </w:pPr>
    </w:p>
    <w:p w14:paraId="4111A679" w14:textId="77777777" w:rsidR="00B63A1A" w:rsidRDefault="00B63A1A" w:rsidP="00B63A1A">
      <w:pPr>
        <w:rPr>
          <w:rFonts w:eastAsia="Calibri"/>
        </w:rPr>
      </w:pPr>
    </w:p>
    <w:p w14:paraId="5D2C381D" w14:textId="77777777" w:rsidR="00B63A1A" w:rsidRDefault="00B63A1A" w:rsidP="00B63A1A">
      <w:pPr>
        <w:rPr>
          <w:rFonts w:eastAsia="Calibri"/>
        </w:rPr>
      </w:pP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0471874E" w14:textId="77777777" w:rsidR="00B63A1A" w:rsidRDefault="00B63A1A" w:rsidP="00B63A1A">
      <w:pPr>
        <w:rPr>
          <w:rFonts w:eastAsia="Calibri"/>
        </w:rPr>
      </w:pPr>
      <w:r>
        <w:rPr>
          <w:rFonts w:eastAsia="Calibri"/>
        </w:rPr>
        <w:t>JACKSON, P. J.</w:t>
      </w:r>
    </w:p>
    <w:p w14:paraId="12607BDA" w14:textId="77777777" w:rsidR="00B63A1A" w:rsidRDefault="00B63A1A" w:rsidP="00B63A1A">
      <w:pPr>
        <w:rPr>
          <w:rFonts w:eastAsia="Calibri"/>
        </w:rPr>
      </w:pPr>
    </w:p>
    <w:p w14:paraId="1A7C1CBC" w14:textId="77777777" w:rsidR="00B63A1A" w:rsidRDefault="00B63A1A" w:rsidP="00B63A1A">
      <w:pPr>
        <w:rPr>
          <w:rFonts w:eastAsia="Calibri"/>
        </w:rPr>
      </w:pPr>
    </w:p>
    <w:p w14:paraId="2667172A" w14:textId="77777777" w:rsidR="00B63A1A" w:rsidRDefault="00B63A1A" w:rsidP="00B63A1A">
      <w:pP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5BF068F1" w14:textId="77777777" w:rsidR="00B63A1A" w:rsidRDefault="00B63A1A" w:rsidP="00B63A1A">
      <w:pPr>
        <w:rPr>
          <w:rFonts w:eastAsia="Calibri"/>
        </w:rPr>
      </w:pPr>
      <w:r>
        <w:rPr>
          <w:rFonts w:eastAsia="Calibri"/>
        </w:rPr>
        <w:t>BURNS, J.</w:t>
      </w:r>
    </w:p>
    <w:p w14:paraId="30F6D8B8" w14:textId="77777777" w:rsidR="00B63A1A" w:rsidRDefault="00B63A1A" w:rsidP="00B63A1A">
      <w:pPr>
        <w:rPr>
          <w:rFonts w:eastAsia="Calibri"/>
        </w:rPr>
      </w:pPr>
    </w:p>
    <w:p w14:paraId="08E4C54B" w14:textId="77777777" w:rsidR="00B63A1A" w:rsidRDefault="00B63A1A" w:rsidP="00B63A1A">
      <w:pPr>
        <w:rPr>
          <w:rFonts w:eastAsia="Calibri"/>
        </w:rPr>
      </w:pPr>
    </w:p>
    <w:p w14:paraId="4B71756F" w14:textId="77777777" w:rsidR="00B63A1A" w:rsidRDefault="00B63A1A" w:rsidP="00B63A1A">
      <w:pPr>
        <w:rPr>
          <w:rFonts w:eastAsia="Calibri"/>
        </w:rPr>
      </w:pPr>
    </w:p>
    <w:p w14:paraId="5AB2FD16" w14:textId="77777777" w:rsidR="00B63A1A" w:rsidRDefault="00B63A1A" w:rsidP="00B63A1A">
      <w:pPr>
        <w:rPr>
          <w:rFonts w:eastAsia="Calibri"/>
        </w:rPr>
      </w:pPr>
    </w:p>
    <w:p w14:paraId="1FA42610" w14:textId="77777777" w:rsidR="00B63A1A" w:rsidRDefault="00B63A1A" w:rsidP="00B63A1A">
      <w:pPr>
        <w:rPr>
          <w:rFonts w:eastAsia="Calibri"/>
        </w:rPr>
      </w:pPr>
    </w:p>
    <w:p w14:paraId="7754EAF5" w14:textId="77777777" w:rsidR="00B63A1A" w:rsidRDefault="00B63A1A" w:rsidP="00B63A1A">
      <w:pPr>
        <w:rPr>
          <w:rFonts w:eastAsia="Calibri"/>
        </w:rPr>
      </w:pPr>
    </w:p>
    <w:p w14:paraId="0FC6AD39" w14:textId="77777777" w:rsidR="00B63A1A" w:rsidRDefault="00B63A1A" w:rsidP="00B63A1A">
      <w:pPr>
        <w:rPr>
          <w:rFonts w:eastAsia="Calibri"/>
        </w:rPr>
      </w:pPr>
    </w:p>
    <w:p w14:paraId="53F00CB1" w14:textId="77777777" w:rsidR="00B63A1A" w:rsidRDefault="00B63A1A" w:rsidP="00B63A1A">
      <w:pPr>
        <w:rPr>
          <w:rFonts w:eastAsia="Calibri"/>
        </w:rPr>
      </w:pPr>
    </w:p>
    <w:p w14:paraId="3B23C9DA" w14:textId="77777777" w:rsidR="00B63A1A" w:rsidRDefault="00B63A1A" w:rsidP="00B63A1A">
      <w:pPr>
        <w:rPr>
          <w:rFonts w:eastAsia="Calibri"/>
        </w:rPr>
      </w:pPr>
    </w:p>
    <w:p w14:paraId="67038B15" w14:textId="77777777" w:rsidR="00B63A1A" w:rsidRDefault="00B63A1A" w:rsidP="00B63A1A">
      <w:pPr>
        <w:rPr>
          <w:rFonts w:eastAsia="Calibri"/>
        </w:rPr>
      </w:pPr>
    </w:p>
    <w:p w14:paraId="0DFB8B22" w14:textId="77777777" w:rsidR="00B63A1A" w:rsidRDefault="00B63A1A" w:rsidP="00B63A1A">
      <w:pPr>
        <w:rPr>
          <w:rFonts w:eastAsia="Calibri"/>
        </w:rPr>
      </w:pPr>
    </w:p>
    <w:p w14:paraId="06155D6A" w14:textId="77777777" w:rsidR="00B63A1A" w:rsidRDefault="00B63A1A" w:rsidP="00B63A1A">
      <w:pPr>
        <w:rPr>
          <w:rFonts w:eastAsia="Calibri"/>
        </w:rPr>
      </w:pPr>
    </w:p>
    <w:p w14:paraId="7CAD589C" w14:textId="7C77AFA5" w:rsidR="00B63A1A" w:rsidRPr="00D372B0" w:rsidRDefault="00B63A1A" w:rsidP="00B63A1A">
      <w:pPr>
        <w:rPr>
          <w:rFonts w:eastAsia="Calibri"/>
        </w:rPr>
      </w:pPr>
      <w:bookmarkStart w:id="5" w:name="_Hlk160022356"/>
      <w:r>
        <w:rPr>
          <w:rFonts w:eastAsia="Calibri"/>
          <w:i/>
          <w:iCs/>
        </w:rPr>
        <w:t>W. Bradley Electric</w:t>
      </w:r>
      <w:r w:rsidR="00BD4A7D">
        <w:rPr>
          <w:rFonts w:eastAsia="Calibri"/>
          <w:i/>
          <w:iCs/>
        </w:rPr>
        <w:t>, Inc.</w:t>
      </w:r>
      <w:r>
        <w:rPr>
          <w:rFonts w:eastAsia="Calibri"/>
          <w:i/>
          <w:iCs/>
        </w:rPr>
        <w:t xml:space="preserve"> v. Mitchell Engineering </w:t>
      </w:r>
      <w:bookmarkEnd w:id="5"/>
      <w:r>
        <w:rPr>
          <w:rFonts w:eastAsia="Calibri"/>
        </w:rPr>
        <w:t>/ A167137</w:t>
      </w:r>
    </w:p>
    <w:p w14:paraId="212D6637" w14:textId="072BCC08" w:rsidR="00B63A1A" w:rsidRDefault="00B63A1A" w:rsidP="00B63A1A">
      <w:r>
        <w:lastRenderedPageBreak/>
        <w:t>A167137 / W. Bradley Electric</w:t>
      </w:r>
      <w:r w:rsidR="00BD4A7D">
        <w:t>, Inc.</w:t>
      </w:r>
      <w:r>
        <w:t xml:space="preserve"> v. Mitchell Engineering</w:t>
      </w:r>
    </w:p>
    <w:p w14:paraId="65B7041A" w14:textId="77777777" w:rsidR="00B63A1A" w:rsidRDefault="00B63A1A" w:rsidP="00B63A1A"/>
    <w:p w14:paraId="39253529" w14:textId="77777777" w:rsidR="00B63A1A" w:rsidRDefault="00B63A1A" w:rsidP="00B63A1A">
      <w:r>
        <w:t>Trial Court:</w:t>
      </w:r>
      <w:r>
        <w:tab/>
        <w:t>City &amp; County of San Francisco Superior Court</w:t>
      </w:r>
    </w:p>
    <w:p w14:paraId="637525F5" w14:textId="77777777" w:rsidR="00B63A1A" w:rsidRDefault="00B63A1A" w:rsidP="00B63A1A"/>
    <w:p w14:paraId="203E0D76" w14:textId="77777777" w:rsidR="00B63A1A" w:rsidRDefault="00B63A1A" w:rsidP="00B63A1A">
      <w:r>
        <w:t>Trial Judge:</w:t>
      </w:r>
      <w:r>
        <w:tab/>
        <w:t>Richard B. Ulmer Jr.</w:t>
      </w:r>
    </w:p>
    <w:p w14:paraId="07971919" w14:textId="77777777" w:rsidR="00B63A1A" w:rsidRDefault="00B63A1A" w:rsidP="00B63A1A"/>
    <w:p w14:paraId="4AAA9485" w14:textId="77777777" w:rsidR="00B63A1A" w:rsidRDefault="00B63A1A" w:rsidP="00B63A1A">
      <w:r>
        <w:t>Counsel:</w:t>
      </w:r>
      <w:r>
        <w:tab/>
        <w:t>Sellar Hazard &amp; Lucia; Christian Lucia, Ganette Mary-Marie Genetti, Justin Michael Graham, and Peter Keith Pritchard for Appellants.</w:t>
      </w:r>
    </w:p>
    <w:p w14:paraId="0D109440" w14:textId="77777777" w:rsidR="00B63A1A" w:rsidRDefault="00B63A1A" w:rsidP="00B63A1A"/>
    <w:p w14:paraId="2ED8CC79" w14:textId="743F38B9" w:rsidR="00B63A1A" w:rsidRDefault="00B63A1A" w:rsidP="00B63A1A">
      <w:r>
        <w:t>Rankin, Shuey, Mintz, Lampasona &amp; Harper</w:t>
      </w:r>
      <w:r w:rsidR="007949D7">
        <w:t>;</w:t>
      </w:r>
      <w:r>
        <w:t xml:space="preserve"> Kevin R. Mintz, Nima B. Aminian</w:t>
      </w:r>
      <w:r w:rsidR="007949D7">
        <w:t>,</w:t>
      </w:r>
      <w:r w:rsidR="00854B0E">
        <w:t xml:space="preserve"> </w:t>
      </w:r>
      <w:r>
        <w:t>The Aguilera Law Group</w:t>
      </w:r>
      <w:r w:rsidR="007949D7">
        <w:t>;</w:t>
      </w:r>
      <w:r>
        <w:t xml:space="preserve"> Raymond E. Brown for Respondents.</w:t>
      </w:r>
    </w:p>
    <w:p w14:paraId="5C11A4AE" w14:textId="1011B9A3" w:rsidR="00B63A1A" w:rsidRPr="00A3308B" w:rsidRDefault="00B63A1A" w:rsidP="00A3308B">
      <w:pPr>
        <w:pStyle w:val="BodyText"/>
        <w:widowControl/>
        <w:spacing w:line="360" w:lineRule="auto"/>
        <w:rPr>
          <w:rFonts w:ascii="Century Schoolbook" w:hAnsi="Century Schoolbook"/>
        </w:rPr>
      </w:pPr>
    </w:p>
    <w:sectPr w:rsidR="00B63A1A" w:rsidRPr="00A3308B" w:rsidSect="000131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8139" w14:textId="77777777" w:rsidR="00FB4174" w:rsidRDefault="00FB4174" w:rsidP="00A43D0D">
      <w:pPr>
        <w:spacing w:line="240" w:lineRule="auto"/>
      </w:pPr>
      <w:r>
        <w:separator/>
      </w:r>
    </w:p>
  </w:endnote>
  <w:endnote w:type="continuationSeparator" w:id="0">
    <w:p w14:paraId="607DD31E" w14:textId="77777777" w:rsidR="00FB4174" w:rsidRDefault="00FB4174" w:rsidP="00A43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0BD1" w14:textId="755333B4" w:rsidR="00A43D0D" w:rsidRDefault="00A43D0D" w:rsidP="009C10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C4EEFC" w14:textId="002BB273" w:rsidR="00A43D0D" w:rsidRDefault="00A43D0D" w:rsidP="009C10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2E1702" w14:textId="77777777" w:rsidR="00A43D0D" w:rsidRDefault="00A43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0C45" w14:textId="374890FE" w:rsidR="00A43D0D" w:rsidRDefault="00A43D0D" w:rsidP="00A43D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428EA7" w14:textId="77777777" w:rsidR="00A43D0D" w:rsidRDefault="00A43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93C6" w14:textId="77777777" w:rsidR="00E570DB" w:rsidRDefault="00E57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94C1" w14:textId="77777777" w:rsidR="00FB4174" w:rsidRDefault="00FB4174" w:rsidP="00A43D0D">
      <w:pPr>
        <w:spacing w:line="240" w:lineRule="auto"/>
      </w:pPr>
      <w:r>
        <w:separator/>
      </w:r>
    </w:p>
  </w:footnote>
  <w:footnote w:type="continuationSeparator" w:id="0">
    <w:p w14:paraId="7493C4DA" w14:textId="77777777" w:rsidR="00FB4174" w:rsidRDefault="00FB4174" w:rsidP="00A43D0D">
      <w:pPr>
        <w:spacing w:line="240" w:lineRule="auto"/>
      </w:pPr>
      <w:r>
        <w:continuationSeparator/>
      </w:r>
    </w:p>
  </w:footnote>
  <w:footnote w:id="1">
    <w:p w14:paraId="285426A2" w14:textId="133B8C68" w:rsidR="00A70F41" w:rsidRPr="00075FAD" w:rsidRDefault="00A70F41">
      <w:pPr>
        <w:pStyle w:val="FootnoteText"/>
      </w:pPr>
      <w:r w:rsidRPr="00075FAD">
        <w:rPr>
          <w:rStyle w:val="FootnoteReference"/>
        </w:rPr>
        <w:t>*</w:t>
      </w:r>
      <w:r w:rsidRPr="00075FAD">
        <w:t xml:space="preserve"> Pursuant to California Rules of Court, rules 8.1105(b) and 8.1110, this opinion is certified for publication with the exception of part II A.</w:t>
      </w:r>
    </w:p>
    <w:p w14:paraId="6E863C8F" w14:textId="77777777" w:rsidR="00A70F41" w:rsidRPr="00075FAD" w:rsidRDefault="00A70F41">
      <w:pPr>
        <w:pStyle w:val="FootnoteText"/>
      </w:pPr>
    </w:p>
  </w:footnote>
  <w:footnote w:id="2">
    <w:p w14:paraId="556D33D7" w14:textId="407CA13D" w:rsidR="00C51BCD" w:rsidRPr="00075FAD" w:rsidRDefault="00C51BCD" w:rsidP="00C51BCD">
      <w:pPr>
        <w:pStyle w:val="FootnoteText"/>
      </w:pPr>
      <w:r w:rsidRPr="00075FAD">
        <w:rPr>
          <w:rStyle w:val="FootnoteReference"/>
        </w:rPr>
        <w:footnoteRef/>
      </w:r>
      <w:r w:rsidRPr="00075FAD">
        <w:tab/>
        <w:t>All statutory references are to the Code of Civil Procedure.</w:t>
      </w:r>
    </w:p>
  </w:footnote>
  <w:footnote w:id="3">
    <w:p w14:paraId="78FA0A01" w14:textId="26035FC8" w:rsidR="00D637E2" w:rsidRPr="00075FAD" w:rsidRDefault="00D637E2" w:rsidP="00D637E2">
      <w:pPr>
        <w:pStyle w:val="BodyText"/>
        <w:widowControl/>
        <w:tabs>
          <w:tab w:val="left" w:pos="0"/>
        </w:tabs>
        <w:rPr>
          <w:rFonts w:ascii="Century Schoolbook" w:hAnsi="Century Schoolbook"/>
        </w:rPr>
      </w:pPr>
      <w:r w:rsidRPr="00075FAD">
        <w:rPr>
          <w:rStyle w:val="FootnoteReference"/>
        </w:rPr>
        <w:footnoteRef/>
      </w:r>
      <w:r w:rsidRPr="00075FAD">
        <w:tab/>
      </w:r>
      <w:r w:rsidRPr="00075FAD">
        <w:rPr>
          <w:rFonts w:ascii="Century Schoolbook" w:hAnsi="Century Schoolbook"/>
        </w:rPr>
        <w:t>Mitchell had filed an ex parte application for relief on the same grounds on June 29, 2022</w:t>
      </w:r>
      <w:r w:rsidR="005818E6" w:rsidRPr="00026073">
        <w:rPr>
          <w:rFonts w:ascii="Century Schoolbook" w:hAnsi="Century Schoolbook"/>
        </w:rPr>
        <w:t>—which the trial court did not grant</w:t>
      </w:r>
      <w:r w:rsidRPr="00026073">
        <w:rPr>
          <w:rFonts w:ascii="Century Schoolbook" w:hAnsi="Century Schoolbook"/>
        </w:rPr>
        <w:t>.</w:t>
      </w:r>
      <w:r w:rsidRPr="00075FAD">
        <w:rPr>
          <w:rFonts w:ascii="Century Schoolbook" w:hAnsi="Century Schoolbook"/>
        </w:rPr>
        <w:t xml:space="preserve"> </w:t>
      </w:r>
    </w:p>
  </w:footnote>
  <w:footnote w:id="4">
    <w:p w14:paraId="10E876BE" w14:textId="567E945D" w:rsidR="00A3306D" w:rsidRPr="00075FAD" w:rsidRDefault="00A3306D" w:rsidP="00A3306D">
      <w:pPr>
        <w:pStyle w:val="BodyText"/>
        <w:widowControl/>
        <w:rPr>
          <w:rFonts w:ascii="Century Schoolbook" w:hAnsi="Century Schoolbook"/>
        </w:rPr>
      </w:pPr>
      <w:r w:rsidRPr="00075FAD">
        <w:rPr>
          <w:rStyle w:val="FootnoteReference"/>
          <w:rFonts w:ascii="Century Schoolbook" w:hAnsi="Century Schoolbook"/>
        </w:rPr>
        <w:footnoteRef/>
      </w:r>
      <w:r w:rsidRPr="00075FAD">
        <w:rPr>
          <w:rFonts w:ascii="Century Schoolbook" w:hAnsi="Century Schoolbook"/>
        </w:rPr>
        <w:tab/>
      </w:r>
      <w:r w:rsidR="009F30F6" w:rsidRPr="00075FAD">
        <w:rPr>
          <w:rFonts w:ascii="Century Schoolbook" w:hAnsi="Century Schoolbook"/>
        </w:rPr>
        <w:t xml:space="preserve">In her </w:t>
      </w:r>
      <w:r w:rsidR="00A744F4" w:rsidRPr="00075FAD">
        <w:rPr>
          <w:rFonts w:ascii="Century Schoolbook" w:hAnsi="Century Schoolbook"/>
        </w:rPr>
        <w:t xml:space="preserve">emails, declaration, and deposition, </w:t>
      </w:r>
      <w:r w:rsidR="009F30F6" w:rsidRPr="00075FAD">
        <w:rPr>
          <w:rFonts w:ascii="Century Schoolbook" w:hAnsi="Century Schoolbook"/>
        </w:rPr>
        <w:t xml:space="preserve">Whirl stated that a Travelers claims adjuster agreed to the dismissal of </w:t>
      </w:r>
      <w:r w:rsidR="00A744F4" w:rsidRPr="00075FAD">
        <w:rPr>
          <w:rFonts w:ascii="Century Schoolbook" w:hAnsi="Century Schoolbook"/>
        </w:rPr>
        <w:t>Mitchell’s cross-complaint</w:t>
      </w:r>
      <w:r w:rsidR="009F30F6" w:rsidRPr="00075FAD">
        <w:rPr>
          <w:rFonts w:ascii="Century Schoolbook" w:hAnsi="Century Schoolbook"/>
        </w:rPr>
        <w:t xml:space="preserve">, </w:t>
      </w:r>
      <w:r w:rsidR="008E0469" w:rsidRPr="00075FAD">
        <w:rPr>
          <w:rFonts w:ascii="Century Schoolbook" w:hAnsi="Century Schoolbook"/>
        </w:rPr>
        <w:t xml:space="preserve">suggesting that </w:t>
      </w:r>
      <w:r w:rsidR="00A744F4" w:rsidRPr="00075FAD">
        <w:rPr>
          <w:rFonts w:ascii="Century Schoolbook" w:hAnsi="Century Schoolbook"/>
        </w:rPr>
        <w:t xml:space="preserve">Mitchell’s consent was </w:t>
      </w:r>
      <w:r w:rsidR="001F0434" w:rsidRPr="00075FAD">
        <w:rPr>
          <w:rFonts w:ascii="Century Schoolbook" w:hAnsi="Century Schoolbook"/>
        </w:rPr>
        <w:t xml:space="preserve">thus </w:t>
      </w:r>
      <w:r w:rsidR="009F30F6" w:rsidRPr="00075FAD">
        <w:rPr>
          <w:rFonts w:ascii="Century Schoolbook" w:hAnsi="Century Schoolbook"/>
        </w:rPr>
        <w:t xml:space="preserve">unneeded.  </w:t>
      </w:r>
      <w:r w:rsidR="007A05EB" w:rsidRPr="00075FAD">
        <w:rPr>
          <w:rFonts w:ascii="Century Schoolbook" w:hAnsi="Century Schoolbook"/>
        </w:rPr>
        <w:t xml:space="preserve">A </w:t>
      </w:r>
      <w:r w:rsidR="00A744F4" w:rsidRPr="00075FAD">
        <w:rPr>
          <w:rFonts w:ascii="Century Schoolbook" w:hAnsi="Century Schoolbook"/>
        </w:rPr>
        <w:t xml:space="preserve">client’s consent to a settlement may not be required where the client’s </w:t>
      </w:r>
      <w:r w:rsidR="000D2DE6" w:rsidRPr="00075FAD">
        <w:rPr>
          <w:rFonts w:ascii="Century Schoolbook" w:hAnsi="Century Schoolbook"/>
        </w:rPr>
        <w:t xml:space="preserve">insurance policy gives the </w:t>
      </w:r>
      <w:r w:rsidR="00A744F4" w:rsidRPr="00075FAD">
        <w:rPr>
          <w:rFonts w:ascii="Century Schoolbook" w:hAnsi="Century Schoolbook"/>
        </w:rPr>
        <w:t xml:space="preserve">insurer </w:t>
      </w:r>
      <w:r w:rsidR="000D2DE6" w:rsidRPr="00075FAD">
        <w:rPr>
          <w:rFonts w:ascii="Century Schoolbook" w:hAnsi="Century Schoolbook"/>
        </w:rPr>
        <w:t xml:space="preserve">the right to settle within policy limits without such consent.  </w:t>
      </w:r>
      <w:r w:rsidR="009354D6" w:rsidRPr="00075FAD">
        <w:rPr>
          <w:rFonts w:ascii="Century Schoolbook" w:hAnsi="Century Schoolbook"/>
        </w:rPr>
        <w:t>(</w:t>
      </w:r>
      <w:r w:rsidR="005301DD" w:rsidRPr="00075FAD">
        <w:rPr>
          <w:rFonts w:ascii="Century Schoolbook" w:hAnsi="Century Schoolbook"/>
        </w:rPr>
        <w:t xml:space="preserve">See, e.g., </w:t>
      </w:r>
      <w:r w:rsidR="009354D6" w:rsidRPr="00075FAD">
        <w:rPr>
          <w:rFonts w:ascii="Century Schoolbook" w:hAnsi="Century Schoolbook"/>
          <w:i/>
          <w:iCs/>
        </w:rPr>
        <w:t>Fiege v. Cooke</w:t>
      </w:r>
      <w:r w:rsidR="009354D6" w:rsidRPr="00075FAD">
        <w:rPr>
          <w:rFonts w:ascii="Century Schoolbook" w:hAnsi="Century Schoolbook"/>
        </w:rPr>
        <w:t xml:space="preserve"> (</w:t>
      </w:r>
      <w:r w:rsidR="008E4749" w:rsidRPr="00075FAD">
        <w:rPr>
          <w:rFonts w:ascii="Century Schoolbook" w:hAnsi="Century Schoolbook"/>
        </w:rPr>
        <w:t>2004</w:t>
      </w:r>
      <w:r w:rsidR="009354D6" w:rsidRPr="00075FAD">
        <w:rPr>
          <w:rFonts w:ascii="Century Schoolbook" w:hAnsi="Century Schoolbook"/>
        </w:rPr>
        <w:t>) 125 Cal.App.4</w:t>
      </w:r>
      <w:r w:rsidR="000D2DE6" w:rsidRPr="00075FAD">
        <w:rPr>
          <w:rFonts w:ascii="Century Schoolbook" w:hAnsi="Century Schoolbook"/>
        </w:rPr>
        <w:t>th</w:t>
      </w:r>
      <w:r w:rsidR="009354D6" w:rsidRPr="00075FAD">
        <w:rPr>
          <w:rFonts w:ascii="Century Schoolbook" w:hAnsi="Century Schoolbook"/>
        </w:rPr>
        <w:t xml:space="preserve"> 1350, </w:t>
      </w:r>
      <w:r w:rsidR="00A744F4" w:rsidRPr="00075FAD">
        <w:rPr>
          <w:rFonts w:ascii="Century Schoolbook" w:hAnsi="Century Schoolbook"/>
        </w:rPr>
        <w:t>1353</w:t>
      </w:r>
      <w:r w:rsidR="009354D6" w:rsidRPr="00075FAD">
        <w:rPr>
          <w:rFonts w:ascii="Century Schoolbook" w:hAnsi="Century Schoolbook"/>
        </w:rPr>
        <w:t xml:space="preserve"> [</w:t>
      </w:r>
      <w:r w:rsidR="008E4749" w:rsidRPr="00075FAD">
        <w:rPr>
          <w:rFonts w:ascii="Century Schoolbook" w:hAnsi="Century Schoolbook"/>
        </w:rPr>
        <w:t xml:space="preserve">settlement enforceable </w:t>
      </w:r>
      <w:r w:rsidR="00A744F4" w:rsidRPr="00075FAD">
        <w:rPr>
          <w:rFonts w:ascii="Century Schoolbook" w:hAnsi="Century Schoolbook"/>
        </w:rPr>
        <w:t>under</w:t>
      </w:r>
      <w:r w:rsidR="00A744F4" w:rsidRPr="00075FAD">
        <w:rPr>
          <w:rFonts w:ascii="Century Schoolbook" w:hAnsi="Century Schoolbook"/>
          <w:b/>
          <w:bCs/>
        </w:rPr>
        <w:t xml:space="preserve"> </w:t>
      </w:r>
      <w:r w:rsidR="005301DD" w:rsidRPr="00075FAD">
        <w:rPr>
          <w:rFonts w:ascii="Century Schoolbook" w:hAnsi="Century Schoolbook"/>
        </w:rPr>
        <w:t>section</w:t>
      </w:r>
      <w:r w:rsidR="005301DD" w:rsidRPr="00075FAD">
        <w:rPr>
          <w:rFonts w:ascii="Century Schoolbook" w:hAnsi="Century Schoolbook"/>
          <w:b/>
          <w:bCs/>
        </w:rPr>
        <w:t xml:space="preserve"> </w:t>
      </w:r>
      <w:r w:rsidR="00A744F4" w:rsidRPr="00075FAD">
        <w:rPr>
          <w:rFonts w:ascii="Century Schoolbook" w:hAnsi="Century Schoolbook"/>
        </w:rPr>
        <w:t>664.6</w:t>
      </w:r>
      <w:r w:rsidR="00A744F4" w:rsidRPr="00075FAD">
        <w:rPr>
          <w:rFonts w:ascii="Century Schoolbook" w:hAnsi="Century Schoolbook"/>
          <w:b/>
          <w:bCs/>
        </w:rPr>
        <w:t xml:space="preserve"> </w:t>
      </w:r>
      <w:r w:rsidR="008E4749" w:rsidRPr="00075FAD">
        <w:rPr>
          <w:rFonts w:ascii="Century Schoolbook" w:hAnsi="Century Schoolbook"/>
        </w:rPr>
        <w:t xml:space="preserve">even though clients did not agree to it in writing or orally before the trial court, </w:t>
      </w:r>
      <w:r w:rsidR="00A744F4" w:rsidRPr="00075FAD">
        <w:rPr>
          <w:rFonts w:ascii="Century Schoolbook" w:hAnsi="Century Schoolbook"/>
        </w:rPr>
        <w:t xml:space="preserve">where </w:t>
      </w:r>
      <w:r w:rsidR="008E4749" w:rsidRPr="00075FAD">
        <w:rPr>
          <w:rFonts w:ascii="Century Schoolbook" w:hAnsi="Century Schoolbook"/>
        </w:rPr>
        <w:t>“insurers fully cover the settlement under a policy that gives them the right to settle without the insureds’ consent”</w:t>
      </w:r>
      <w:r w:rsidR="009354D6" w:rsidRPr="00075FAD">
        <w:rPr>
          <w:rFonts w:ascii="Century Schoolbook" w:hAnsi="Century Schoolbook"/>
        </w:rPr>
        <w:t xml:space="preserve">]; </w:t>
      </w:r>
      <w:r w:rsidR="009354D6" w:rsidRPr="00075FAD">
        <w:rPr>
          <w:rFonts w:ascii="Century Schoolbook" w:hAnsi="Century Schoolbook"/>
          <w:i/>
          <w:iCs/>
        </w:rPr>
        <w:t>Hurvitz v. St. Paul Fire &amp; Marine Ins. Co</w:t>
      </w:r>
      <w:r w:rsidR="009354D6" w:rsidRPr="00075FAD">
        <w:rPr>
          <w:rFonts w:ascii="Century Schoolbook" w:hAnsi="Century Schoolbook"/>
        </w:rPr>
        <w:t>. (</w:t>
      </w:r>
      <w:r w:rsidR="00A744F4" w:rsidRPr="00075FAD">
        <w:rPr>
          <w:rFonts w:ascii="Century Schoolbook" w:hAnsi="Century Schoolbook"/>
        </w:rPr>
        <w:t>2003</w:t>
      </w:r>
      <w:r w:rsidR="009354D6" w:rsidRPr="00075FAD">
        <w:rPr>
          <w:rFonts w:ascii="Century Schoolbook" w:hAnsi="Century Schoolbook"/>
        </w:rPr>
        <w:t>) 109 Cal.App.4</w:t>
      </w:r>
      <w:r w:rsidR="000D2DE6" w:rsidRPr="00075FAD">
        <w:rPr>
          <w:rFonts w:ascii="Century Schoolbook" w:hAnsi="Century Schoolbook"/>
        </w:rPr>
        <w:t>th</w:t>
      </w:r>
      <w:r w:rsidR="009354D6" w:rsidRPr="00075FAD">
        <w:rPr>
          <w:rFonts w:ascii="Century Schoolbook" w:hAnsi="Century Schoolbook"/>
        </w:rPr>
        <w:t xml:space="preserve"> 918, </w:t>
      </w:r>
      <w:r w:rsidR="00A744F4" w:rsidRPr="00075FAD">
        <w:rPr>
          <w:rFonts w:ascii="Century Schoolbook" w:hAnsi="Century Schoolbook"/>
        </w:rPr>
        <w:t xml:space="preserve">920 </w:t>
      </w:r>
      <w:r w:rsidR="009354D6" w:rsidRPr="00075FAD">
        <w:rPr>
          <w:rFonts w:ascii="Century Schoolbook" w:hAnsi="Century Schoolbook"/>
        </w:rPr>
        <w:t>[</w:t>
      </w:r>
      <w:r w:rsidR="00A744F4" w:rsidRPr="00075FAD">
        <w:rPr>
          <w:rFonts w:ascii="Century Schoolbook" w:hAnsi="Century Schoolbook"/>
        </w:rPr>
        <w:t xml:space="preserve">where policy grants the insurer the duty to defend and the right to settle any claim within policy </w:t>
      </w:r>
      <w:r w:rsidR="009F30F6" w:rsidRPr="00075FAD">
        <w:rPr>
          <w:rFonts w:ascii="Century Schoolbook" w:hAnsi="Century Schoolbook"/>
        </w:rPr>
        <w:t xml:space="preserve">limits, </w:t>
      </w:r>
      <w:r w:rsidR="00A744F4" w:rsidRPr="00075FAD">
        <w:rPr>
          <w:rFonts w:ascii="Century Schoolbook" w:hAnsi="Century Schoolbook"/>
        </w:rPr>
        <w:t xml:space="preserve">the insurer need not obtain the insured’s consent </w:t>
      </w:r>
      <w:r w:rsidR="005301DD" w:rsidRPr="00075FAD">
        <w:rPr>
          <w:rFonts w:ascii="Century Schoolbook" w:hAnsi="Century Schoolbook"/>
        </w:rPr>
        <w:t>before</w:t>
      </w:r>
      <w:r w:rsidR="00A744F4" w:rsidRPr="00075FAD">
        <w:rPr>
          <w:rFonts w:ascii="Century Schoolbook" w:hAnsi="Century Schoolbook"/>
        </w:rPr>
        <w:t xml:space="preserve"> settling].)  </w:t>
      </w:r>
      <w:r w:rsidR="009F30F6" w:rsidRPr="00075FAD">
        <w:rPr>
          <w:rFonts w:ascii="Century Schoolbook" w:hAnsi="Century Schoolbook"/>
        </w:rPr>
        <w:t xml:space="preserve">The parties </w:t>
      </w:r>
      <w:r w:rsidR="001F0434" w:rsidRPr="00075FAD">
        <w:rPr>
          <w:rFonts w:ascii="Century Schoolbook" w:hAnsi="Century Schoolbook"/>
        </w:rPr>
        <w:t xml:space="preserve">here, however, </w:t>
      </w:r>
      <w:r w:rsidR="009F30F6" w:rsidRPr="00075FAD">
        <w:rPr>
          <w:rFonts w:ascii="Century Schoolbook" w:hAnsi="Century Schoolbook"/>
        </w:rPr>
        <w:t xml:space="preserve">do not argue </w:t>
      </w:r>
      <w:r w:rsidR="00BB50CA" w:rsidRPr="00075FAD">
        <w:rPr>
          <w:rFonts w:ascii="Century Schoolbook" w:hAnsi="Century Schoolbook"/>
        </w:rPr>
        <w:t xml:space="preserve">that </w:t>
      </w:r>
      <w:r w:rsidR="009F30F6" w:rsidRPr="00075FAD">
        <w:rPr>
          <w:rFonts w:ascii="Century Schoolbook" w:hAnsi="Century Schoolbook"/>
        </w:rPr>
        <w:t xml:space="preserve">the Travelers policy </w:t>
      </w:r>
      <w:r w:rsidR="000D2DE6" w:rsidRPr="00075FAD">
        <w:rPr>
          <w:rFonts w:ascii="Century Schoolbook" w:hAnsi="Century Schoolbook"/>
        </w:rPr>
        <w:t xml:space="preserve">gave Travelers </w:t>
      </w:r>
      <w:r w:rsidR="001F0434" w:rsidRPr="00075FAD">
        <w:rPr>
          <w:rFonts w:ascii="Century Schoolbook" w:hAnsi="Century Schoolbook"/>
        </w:rPr>
        <w:t xml:space="preserve">that </w:t>
      </w:r>
      <w:r w:rsidR="000D2DE6" w:rsidRPr="00075FAD">
        <w:rPr>
          <w:rFonts w:ascii="Century Schoolbook" w:hAnsi="Century Schoolbook"/>
        </w:rPr>
        <w:t>right</w:t>
      </w:r>
      <w:r w:rsidR="001F0434" w:rsidRPr="00075FAD">
        <w:rPr>
          <w:rFonts w:ascii="Century Schoolbook" w:hAnsi="Century Schoolbook"/>
        </w:rPr>
        <w:t xml:space="preserve">, let alone that Travelers had the right to </w:t>
      </w:r>
      <w:r w:rsidR="008E4749" w:rsidRPr="00075FAD">
        <w:rPr>
          <w:rFonts w:ascii="Century Schoolbook" w:hAnsi="Century Schoolbook"/>
        </w:rPr>
        <w:t xml:space="preserve">authorize the dismissal </w:t>
      </w:r>
      <w:r w:rsidR="00C571B6" w:rsidRPr="00075FAD">
        <w:rPr>
          <w:rFonts w:ascii="Century Schoolbook" w:hAnsi="Century Schoolbook"/>
        </w:rPr>
        <w:t xml:space="preserve">of Mitchell’s </w:t>
      </w:r>
      <w:r w:rsidR="001F0434" w:rsidRPr="00075FAD">
        <w:rPr>
          <w:rFonts w:ascii="Century Schoolbook" w:hAnsi="Century Schoolbook"/>
          <w:i/>
          <w:iCs/>
        </w:rPr>
        <w:t>affirmative</w:t>
      </w:r>
      <w:r w:rsidR="001F0434" w:rsidRPr="00075FAD">
        <w:rPr>
          <w:rFonts w:ascii="Century Schoolbook" w:hAnsi="Century Schoolbook"/>
        </w:rPr>
        <w:t xml:space="preserve"> claims </w:t>
      </w:r>
      <w:r w:rsidR="00BB50CA" w:rsidRPr="00075FAD">
        <w:rPr>
          <w:rFonts w:ascii="Century Schoolbook" w:hAnsi="Century Schoolbook"/>
        </w:rPr>
        <w:t xml:space="preserve">in </w:t>
      </w:r>
      <w:r w:rsidR="001F0434" w:rsidRPr="00075FAD">
        <w:rPr>
          <w:rFonts w:ascii="Century Schoolbook" w:hAnsi="Century Schoolbook"/>
        </w:rPr>
        <w:t xml:space="preserve">its </w:t>
      </w:r>
      <w:r w:rsidR="00C571B6" w:rsidRPr="00075FAD">
        <w:rPr>
          <w:rFonts w:ascii="Century Schoolbook" w:hAnsi="Century Schoolbook"/>
        </w:rPr>
        <w:t>cross-complaint</w:t>
      </w:r>
      <w:r w:rsidR="001F0434" w:rsidRPr="00075FAD">
        <w:rPr>
          <w:rFonts w:ascii="Century Schoolbook" w:hAnsi="Century Schoolbook"/>
        </w:rPr>
        <w:t>.</w:t>
      </w:r>
    </w:p>
  </w:footnote>
  <w:footnote w:id="5">
    <w:p w14:paraId="02E6882C" w14:textId="62D7FE86" w:rsidR="006D0D46" w:rsidRDefault="006D0D46" w:rsidP="00180FE0">
      <w:pPr>
        <w:pStyle w:val="BodyText"/>
        <w:widowControl/>
        <w:rPr>
          <w:rFonts w:ascii="Century Schoolbook" w:hAnsi="Century Schoolbook"/>
        </w:rPr>
      </w:pPr>
      <w:r w:rsidRPr="00075FAD">
        <w:rPr>
          <w:rStyle w:val="FootnoteReference"/>
        </w:rPr>
        <w:footnoteRef/>
      </w:r>
      <w:r w:rsidRPr="00075FAD">
        <w:tab/>
      </w:r>
      <w:r w:rsidRPr="00075FAD">
        <w:rPr>
          <w:rFonts w:ascii="Century Schoolbook" w:hAnsi="Century Schoolbook"/>
        </w:rPr>
        <w:t xml:space="preserve">Furthermore, under </w:t>
      </w:r>
      <w:r w:rsidRPr="00075FAD">
        <w:rPr>
          <w:rFonts w:ascii="Century Schoolbook" w:hAnsi="Century Schoolbook"/>
          <w:i/>
          <w:iCs/>
        </w:rPr>
        <w:t>Whittier Union</w:t>
      </w:r>
      <w:r w:rsidRPr="00075FAD">
        <w:rPr>
          <w:rFonts w:ascii="Century Schoolbook" w:hAnsi="Century Schoolbook"/>
        </w:rPr>
        <w:t xml:space="preserve">, Mitchell </w:t>
      </w:r>
      <w:r w:rsidR="00F54F2B" w:rsidRPr="00075FAD">
        <w:rPr>
          <w:rFonts w:ascii="Century Schoolbook" w:hAnsi="Century Schoolbook"/>
        </w:rPr>
        <w:t xml:space="preserve">had </w:t>
      </w:r>
      <w:r w:rsidRPr="00075FAD">
        <w:rPr>
          <w:rFonts w:ascii="Century Schoolbook" w:hAnsi="Century Schoolbook"/>
        </w:rPr>
        <w:t xml:space="preserve">to </w:t>
      </w:r>
      <w:r w:rsidR="00180FE0" w:rsidRPr="00075FAD">
        <w:rPr>
          <w:rFonts w:ascii="Century Schoolbook" w:hAnsi="Century Schoolbook"/>
        </w:rPr>
        <w:t xml:space="preserve">seek to </w:t>
      </w:r>
      <w:r w:rsidRPr="00075FAD">
        <w:rPr>
          <w:rFonts w:ascii="Century Schoolbook" w:hAnsi="Century Schoolbook"/>
        </w:rPr>
        <w:t>vacate the dismissal “within a reasonable time after learning of it.”  (</w:t>
      </w:r>
      <w:r w:rsidRPr="00075FAD">
        <w:rPr>
          <w:rFonts w:ascii="Century Schoolbook" w:hAnsi="Century Schoolbook"/>
          <w:i/>
          <w:iCs/>
        </w:rPr>
        <w:t>Whittier Union, supra</w:t>
      </w:r>
      <w:r w:rsidRPr="00075FAD">
        <w:rPr>
          <w:rFonts w:ascii="Century Schoolbook" w:hAnsi="Century Schoolbook"/>
        </w:rPr>
        <w:t>, 66 Cal.App.3d at p. 508.)</w:t>
      </w:r>
      <w:r w:rsidRPr="00075FAD">
        <w:rPr>
          <w:rFonts w:ascii="Century Schoolbook" w:hAnsi="Century Schoolbook"/>
          <w:b/>
          <w:bCs/>
        </w:rPr>
        <w:t xml:space="preserve">  </w:t>
      </w:r>
      <w:r w:rsidRPr="00075FAD">
        <w:rPr>
          <w:rFonts w:ascii="Century Schoolbook" w:hAnsi="Century Schoolbook"/>
        </w:rPr>
        <w:t xml:space="preserve">As we </w:t>
      </w:r>
      <w:r w:rsidR="00570EE1" w:rsidRPr="00075FAD">
        <w:rPr>
          <w:rFonts w:ascii="Century Schoolbook" w:hAnsi="Century Schoolbook"/>
        </w:rPr>
        <w:t xml:space="preserve">have </w:t>
      </w:r>
      <w:r w:rsidR="00F54F2B" w:rsidRPr="00075FAD">
        <w:rPr>
          <w:rFonts w:ascii="Century Schoolbook" w:hAnsi="Century Schoolbook"/>
        </w:rPr>
        <w:t xml:space="preserve">noted, </w:t>
      </w:r>
      <w:r w:rsidRPr="00075FAD">
        <w:rPr>
          <w:rFonts w:ascii="Century Schoolbook" w:hAnsi="Century Schoolbook"/>
        </w:rPr>
        <w:t>it was within the trial court’s discretion to conclude that Mitchell’s motion was not timely.</w:t>
      </w:r>
    </w:p>
    <w:p w14:paraId="134C356C" w14:textId="77777777" w:rsidR="00F564C6" w:rsidRPr="00075FAD" w:rsidRDefault="00F564C6" w:rsidP="00180FE0">
      <w:pPr>
        <w:pStyle w:val="BodyText"/>
        <w:widowControl/>
        <w:rPr>
          <w:rFonts w:ascii="Century Schoolbook" w:hAnsi="Century Schoolbook"/>
        </w:rPr>
      </w:pPr>
    </w:p>
  </w:footnote>
  <w:footnote w:id="6">
    <w:p w14:paraId="72E2005F" w14:textId="130B51CC" w:rsidR="00EB42E9" w:rsidRPr="00075FAD" w:rsidRDefault="00EB42E9">
      <w:pPr>
        <w:pStyle w:val="FootnoteText"/>
      </w:pPr>
      <w:r w:rsidRPr="00075FAD">
        <w:rPr>
          <w:rStyle w:val="FootnoteReference"/>
        </w:rPr>
        <w:footnoteRef/>
      </w:r>
      <w:r w:rsidRPr="00075FAD">
        <w:tab/>
      </w:r>
      <w:r w:rsidR="001C1462" w:rsidRPr="00075FAD">
        <w:t xml:space="preserve">Courts have viewed the factual scenario in </w:t>
      </w:r>
      <w:r w:rsidR="001C1462" w:rsidRPr="00075FAD">
        <w:rPr>
          <w:i/>
          <w:iCs/>
        </w:rPr>
        <w:t>Romadka</w:t>
      </w:r>
      <w:r w:rsidR="001C1462" w:rsidRPr="00075FAD">
        <w:t xml:space="preserve"> </w:t>
      </w:r>
      <w:r w:rsidR="004C6009" w:rsidRPr="00075FAD">
        <w:t xml:space="preserve">as presenting </w:t>
      </w:r>
      <w:r w:rsidR="001C1462" w:rsidRPr="00075FAD">
        <w:t xml:space="preserve">an issue of attorney mistake.  </w:t>
      </w:r>
      <w:r w:rsidRPr="00075FAD">
        <w:t>(</w:t>
      </w:r>
      <w:r w:rsidRPr="00075FAD">
        <w:rPr>
          <w:i/>
          <w:iCs/>
        </w:rPr>
        <w:t>Zamora, supra</w:t>
      </w:r>
      <w:r w:rsidRPr="00075FAD">
        <w:t>, 28 Cal.4</w:t>
      </w:r>
      <w:r w:rsidR="001C1462" w:rsidRPr="00075FAD">
        <w:t>th</w:t>
      </w:r>
      <w:r w:rsidRPr="00075FAD">
        <w:t xml:space="preserve"> </w:t>
      </w:r>
      <w:r w:rsidR="001C1462" w:rsidRPr="00075FAD">
        <w:t xml:space="preserve">at p. </w:t>
      </w:r>
      <w:r w:rsidRPr="00075FAD">
        <w:t xml:space="preserve">259 [citing </w:t>
      </w:r>
      <w:r w:rsidRPr="00075FAD">
        <w:rPr>
          <w:i/>
          <w:iCs/>
        </w:rPr>
        <w:t>Romadka</w:t>
      </w:r>
      <w:r w:rsidRPr="00075FAD">
        <w:t xml:space="preserve"> as a case in which a judgment was vacated due to an attorney mistake]; </w:t>
      </w:r>
      <w:r w:rsidRPr="00075FAD">
        <w:rPr>
          <w:i/>
          <w:iCs/>
        </w:rPr>
        <w:t>Brown v. Williams</w:t>
      </w:r>
      <w:r w:rsidRPr="00075FAD">
        <w:t xml:space="preserve"> (2000) 78 Cal.App.4</w:t>
      </w:r>
      <w:r w:rsidR="001C1462" w:rsidRPr="00075FAD">
        <w:t>th</w:t>
      </w:r>
      <w:r w:rsidRPr="00075FAD">
        <w:t xml:space="preserve"> 182, 18</w:t>
      </w:r>
      <w:r w:rsidR="0048313A" w:rsidRPr="00075FAD">
        <w:t>7</w:t>
      </w:r>
      <w:r w:rsidRPr="00075FAD">
        <w:t xml:space="preserve"> [“The plaintiff in </w:t>
      </w:r>
      <w:r w:rsidRPr="00075FAD">
        <w:rPr>
          <w:i/>
          <w:iCs/>
        </w:rPr>
        <w:t>Romadka</w:t>
      </w:r>
      <w:r w:rsidRPr="00075FAD">
        <w:t xml:space="preserve"> was able to obtain relief under section 473 because the voluntary dismissal was entered by mistake]</w:t>
      </w:r>
      <w:r w:rsidR="00B55E39" w:rsidRPr="00075FAD">
        <w:t xml:space="preserve">; see </w:t>
      </w:r>
      <w:r w:rsidRPr="00075FAD">
        <w:rPr>
          <w:i/>
          <w:iCs/>
        </w:rPr>
        <w:t>Robinson v. Hile</w:t>
      </w:r>
      <w:r w:rsidR="00471292" w:rsidRPr="00075FAD">
        <w:rPr>
          <w:i/>
          <w:iCs/>
        </w:rPr>
        <w:t>s</w:t>
      </w:r>
      <w:r w:rsidRPr="00075FAD">
        <w:t xml:space="preserve"> (1953) 119 Cal.App.2d 666, </w:t>
      </w:r>
      <w:r w:rsidR="007B66DD" w:rsidRPr="00075FAD">
        <w:t>668</w:t>
      </w:r>
      <w:r w:rsidR="00471292" w:rsidRPr="00075FAD">
        <w:t>–</w:t>
      </w:r>
      <w:r w:rsidR="007B66DD" w:rsidRPr="00075FAD">
        <w:t>673</w:t>
      </w:r>
      <w:r w:rsidRPr="00075FAD">
        <w:t xml:space="preserve"> [misunderstanding between attorney and client, resulting in dismissal of </w:t>
      </w:r>
      <w:r w:rsidR="001C1462" w:rsidRPr="00075FAD">
        <w:t xml:space="preserve">the </w:t>
      </w:r>
      <w:r w:rsidRPr="00075FAD">
        <w:t xml:space="preserve">client’s claims, provided </w:t>
      </w:r>
      <w:r w:rsidR="001C1462" w:rsidRPr="00075FAD">
        <w:t xml:space="preserve">a </w:t>
      </w:r>
      <w:r w:rsidRPr="00075FAD">
        <w:t xml:space="preserve">basis for setting aside the dismissal under section 473, where </w:t>
      </w:r>
      <w:r w:rsidR="001C1462" w:rsidRPr="00075FAD">
        <w:t xml:space="preserve">the </w:t>
      </w:r>
      <w:r w:rsidRPr="00075FAD">
        <w:t xml:space="preserve">client acted with due diligence after discovering the attorney’s mistake].)  </w:t>
      </w:r>
      <w:r w:rsidR="003B1F69" w:rsidRPr="00075FAD">
        <w:t xml:space="preserve">Mistake is a ground for relief under subdivision (b) of section 473.  </w:t>
      </w:r>
      <w:r w:rsidR="001C1462" w:rsidRPr="00075FAD">
        <w:t xml:space="preserve">That </w:t>
      </w:r>
      <w:r w:rsidR="008652C3" w:rsidRPr="00075FAD">
        <w:t>ground</w:t>
      </w:r>
      <w:r w:rsidR="001C1462" w:rsidRPr="00075FAD">
        <w:t xml:space="preserve"> would not have been avail</w:t>
      </w:r>
      <w:r w:rsidR="008652C3" w:rsidRPr="00075FAD">
        <w:t>able</w:t>
      </w:r>
      <w:r w:rsidR="001C1462" w:rsidRPr="00075FAD">
        <w:t xml:space="preserve"> here</w:t>
      </w:r>
      <w:r w:rsidR="008652C3" w:rsidRPr="00075FAD">
        <w:t xml:space="preserve"> because</w:t>
      </w:r>
      <w:r w:rsidR="001C1462" w:rsidRPr="00075FAD">
        <w:t xml:space="preserve"> Mitchell</w:t>
      </w:r>
      <w:r w:rsidR="008652C3" w:rsidRPr="00075FAD">
        <w:t xml:space="preserve"> did not act with</w:t>
      </w:r>
      <w:r w:rsidR="001C1462" w:rsidRPr="00075FAD">
        <w:t xml:space="preserve"> due diligence. </w:t>
      </w:r>
      <w:r w:rsidRPr="00075FAD">
        <w:t xml:space="preserve"> </w:t>
      </w:r>
    </w:p>
  </w:footnote>
  <w:footnote w:id="7">
    <w:p w14:paraId="12E9AEC7" w14:textId="2140BEAB" w:rsidR="0018082B" w:rsidRPr="00075FAD" w:rsidRDefault="0018082B" w:rsidP="00FD412B">
      <w:pPr>
        <w:spacing w:line="240" w:lineRule="auto"/>
        <w:textAlignment w:val="baseline"/>
      </w:pPr>
      <w:r w:rsidRPr="00075FAD">
        <w:rPr>
          <w:rStyle w:val="FootnoteReference"/>
        </w:rPr>
        <w:footnoteRef/>
      </w:r>
      <w:r w:rsidRPr="00075FAD">
        <w:tab/>
        <w:t xml:space="preserve">Mitchell contends that “[c]ase law involving a client’s acquiescence is only persuasive when the client is present at the time the attorney makes the unauthorized act,” citing </w:t>
      </w:r>
      <w:r w:rsidRPr="00075FAD">
        <w:rPr>
          <w:i/>
        </w:rPr>
        <w:t xml:space="preserve">People v. Jordan </w:t>
      </w:r>
      <w:r w:rsidRPr="00075FAD">
        <w:t xml:space="preserve">(1970) 11 </w:t>
      </w:r>
      <w:bookmarkStart w:id="3" w:name="IV._The_Trial_Court_Abused_Its_Discretio"/>
      <w:bookmarkStart w:id="4" w:name="V._The_Court_Erred_In_Finding_That_Dismi"/>
      <w:bookmarkEnd w:id="3"/>
      <w:bookmarkEnd w:id="4"/>
      <w:r w:rsidRPr="00075FAD">
        <w:t xml:space="preserve">Cal.App.3d 597.  Mitchell does not cite a specific page in </w:t>
      </w:r>
      <w:r w:rsidRPr="00075FAD">
        <w:rPr>
          <w:i/>
          <w:iCs/>
        </w:rPr>
        <w:t>Jordan</w:t>
      </w:r>
      <w:r w:rsidRPr="00075FAD">
        <w:t xml:space="preserve"> that supports this proposition, and </w:t>
      </w:r>
      <w:r w:rsidR="000A244B" w:rsidRPr="00075FAD">
        <w:t xml:space="preserve">we could </w:t>
      </w:r>
      <w:r w:rsidR="00D61C23" w:rsidRPr="00075FAD">
        <w:t xml:space="preserve">find </w:t>
      </w:r>
      <w:r w:rsidRPr="00075FAD">
        <w:t xml:space="preserve">nothing in </w:t>
      </w:r>
      <w:r w:rsidRPr="00075FAD">
        <w:rPr>
          <w:i/>
          <w:iCs/>
        </w:rPr>
        <w:t>Jordan</w:t>
      </w:r>
      <w:r w:rsidRPr="00075FAD">
        <w:t xml:space="preserve"> </w:t>
      </w:r>
      <w:r w:rsidR="000A244B" w:rsidRPr="00075FAD">
        <w:t>to support it</w:t>
      </w:r>
      <w:r w:rsidRPr="00075FAD">
        <w:t xml:space="preserve">.  </w:t>
      </w:r>
      <w:r w:rsidRPr="00075FAD">
        <w:rPr>
          <w:i/>
          <w:iCs/>
        </w:rPr>
        <w:t>Jordan</w:t>
      </w:r>
      <w:r w:rsidRPr="00075FAD">
        <w:t xml:space="preserve"> concluded that a client had acquiesced to his counsel’s act while standing in his presence, but did not suggest that ratification is impossible if the client was not in the attorney’s presence.  (</w:t>
      </w:r>
      <w:r w:rsidR="00F41914" w:rsidRPr="00075FAD">
        <w:rPr>
          <w:i/>
          <w:iCs/>
        </w:rPr>
        <w:t>Id</w:t>
      </w:r>
      <w:r w:rsidR="00F41914" w:rsidRPr="00075FAD">
        <w:t xml:space="preserve">. </w:t>
      </w:r>
      <w:r w:rsidRPr="00075FAD">
        <w:t>at p. 599.)</w:t>
      </w:r>
    </w:p>
  </w:footnote>
  <w:footnote w:id="8">
    <w:p w14:paraId="6DCAA69E" w14:textId="77D6092E" w:rsidR="009F30F6" w:rsidRPr="009F30F6" w:rsidRDefault="009F30F6" w:rsidP="009F30F6">
      <w:pPr>
        <w:pStyle w:val="BodyText"/>
        <w:widowControl/>
        <w:rPr>
          <w:rFonts w:ascii="Century Schoolbook" w:hAnsi="Century Schoolbook"/>
        </w:rPr>
      </w:pPr>
      <w:r w:rsidRPr="00075FAD">
        <w:rPr>
          <w:rStyle w:val="FootnoteReference"/>
        </w:rPr>
        <w:footnoteRef/>
      </w:r>
      <w:r w:rsidRPr="00075FAD">
        <w:tab/>
      </w:r>
      <w:r w:rsidRPr="00075FAD">
        <w:rPr>
          <w:rFonts w:ascii="Century Schoolbook" w:hAnsi="Century Schoolbook"/>
          <w:color w:val="333333"/>
          <w:shd w:val="clear" w:color="auto" w:fill="FFFFFF"/>
        </w:rPr>
        <w:t xml:space="preserve">According to respondents, </w:t>
      </w:r>
      <w:r w:rsidRPr="00075FAD">
        <w:rPr>
          <w:rFonts w:ascii="Century Schoolbook" w:hAnsi="Century Schoolbook"/>
        </w:rPr>
        <w:t>Mitchell’s argument that Whirl lacked authori</w:t>
      </w:r>
      <w:r w:rsidR="00F54F2B" w:rsidRPr="00075FAD">
        <w:rPr>
          <w:rFonts w:ascii="Century Schoolbook" w:hAnsi="Century Schoolbook"/>
        </w:rPr>
        <w:t xml:space="preserve">ty </w:t>
      </w:r>
      <w:r w:rsidRPr="00075FAD">
        <w:rPr>
          <w:rFonts w:ascii="Century Schoolbook" w:hAnsi="Century Schoolbook"/>
        </w:rPr>
        <w:t xml:space="preserve">to dismiss the cross-complaint is </w:t>
      </w:r>
      <w:r w:rsidR="004637B4" w:rsidRPr="00075FAD">
        <w:rPr>
          <w:rFonts w:ascii="Century Schoolbook" w:hAnsi="Century Schoolbook"/>
        </w:rPr>
        <w:t xml:space="preserve">unavailing due to </w:t>
      </w:r>
      <w:r w:rsidRPr="00075FAD">
        <w:rPr>
          <w:rFonts w:ascii="Century Schoolbook" w:hAnsi="Century Schoolbook"/>
        </w:rPr>
        <w:t xml:space="preserve">Assembly Bill 2723 (AB 2723), which became effective </w:t>
      </w:r>
      <w:r w:rsidR="004637B4" w:rsidRPr="00075FAD">
        <w:rPr>
          <w:rFonts w:ascii="Century Schoolbook" w:hAnsi="Century Schoolbook"/>
        </w:rPr>
        <w:t xml:space="preserve">on </w:t>
      </w:r>
      <w:r w:rsidRPr="00075FAD">
        <w:rPr>
          <w:rFonts w:ascii="Century Schoolbook" w:hAnsi="Century Schoolbook"/>
        </w:rPr>
        <w:t xml:space="preserve">January 1, 2021, before the Stipulation in this case.  AB 2723 amended section 664.6, such that a settlement agreement may be enforced under that section even if the agreement is signed only by a party’s attorney and not by the party itself.  The amendment </w:t>
      </w:r>
      <w:r w:rsidR="002A7CE3" w:rsidRPr="00075FAD">
        <w:rPr>
          <w:rFonts w:ascii="Century Schoolbook" w:hAnsi="Century Schoolbook"/>
        </w:rPr>
        <w:t xml:space="preserve">explicitly </w:t>
      </w:r>
      <w:r w:rsidRPr="00075FAD">
        <w:rPr>
          <w:rFonts w:ascii="Century Schoolbook" w:hAnsi="Century Schoolbook"/>
        </w:rPr>
        <w:t>overturn</w:t>
      </w:r>
      <w:r w:rsidR="002A7CE3" w:rsidRPr="00075FAD">
        <w:rPr>
          <w:rFonts w:ascii="Century Schoolbook" w:hAnsi="Century Schoolbook"/>
        </w:rPr>
        <w:t>ed</w:t>
      </w:r>
      <w:r w:rsidRPr="00075FAD">
        <w:rPr>
          <w:rFonts w:ascii="Century Schoolbook" w:hAnsi="Century Schoolbook"/>
        </w:rPr>
        <w:t xml:space="preserve"> </w:t>
      </w:r>
      <w:r w:rsidRPr="00075FAD">
        <w:rPr>
          <w:rFonts w:ascii="Century Schoolbook" w:hAnsi="Century Schoolbook"/>
          <w:i/>
          <w:iCs/>
        </w:rPr>
        <w:t>Levy v. Superior Court</w:t>
      </w:r>
      <w:r w:rsidRPr="00075FAD">
        <w:rPr>
          <w:rFonts w:ascii="Century Schoolbook" w:hAnsi="Century Schoolbook"/>
        </w:rPr>
        <w:t xml:space="preserve"> (1995) 10 Cal.4th 578, 586, which </w:t>
      </w:r>
      <w:r w:rsidR="009569F3" w:rsidRPr="00075FAD">
        <w:rPr>
          <w:rFonts w:ascii="Century Schoolbook" w:hAnsi="Century Schoolbook"/>
        </w:rPr>
        <w:t xml:space="preserve">had </w:t>
      </w:r>
      <w:r w:rsidR="002A7CE3" w:rsidRPr="00075FAD">
        <w:rPr>
          <w:rFonts w:ascii="Century Schoolbook" w:hAnsi="Century Schoolbook"/>
        </w:rPr>
        <w:t xml:space="preserve">interpreted section 664.6 </w:t>
      </w:r>
      <w:r w:rsidR="009569F3" w:rsidRPr="00075FAD">
        <w:rPr>
          <w:rFonts w:ascii="Century Schoolbook" w:hAnsi="Century Schoolbook"/>
        </w:rPr>
        <w:t xml:space="preserve">to require </w:t>
      </w:r>
      <w:r w:rsidR="00F715EB" w:rsidRPr="00075FAD">
        <w:rPr>
          <w:rFonts w:ascii="Century Schoolbook" w:hAnsi="Century Schoolbook"/>
        </w:rPr>
        <w:t xml:space="preserve">the </w:t>
      </w:r>
      <w:r w:rsidR="009569F3" w:rsidRPr="00075FAD">
        <w:rPr>
          <w:rFonts w:ascii="Century Schoolbook" w:hAnsi="Century Schoolbook"/>
        </w:rPr>
        <w:t xml:space="preserve">signature of the litigants themselves </w:t>
      </w:r>
      <w:r w:rsidRPr="00075FAD">
        <w:rPr>
          <w:rFonts w:ascii="Century Schoolbook" w:hAnsi="Century Schoolbook"/>
        </w:rPr>
        <w:t xml:space="preserve">because attorneys must obtain settlement authorization from their clients.  As respondents point out, a Senate Judiciary Committee Report states </w:t>
      </w:r>
      <w:r w:rsidR="00205450" w:rsidRPr="00075FAD">
        <w:rPr>
          <w:rFonts w:ascii="Century Schoolbook" w:hAnsi="Century Schoolbook"/>
        </w:rPr>
        <w:t xml:space="preserve">that </w:t>
      </w:r>
      <w:r w:rsidRPr="00075FAD">
        <w:rPr>
          <w:rFonts w:ascii="Century Schoolbook" w:hAnsi="Century Schoolbook"/>
        </w:rPr>
        <w:t>the amendment was intended to “explicitly grant</w:t>
      </w:r>
      <w:r w:rsidR="00A3308B" w:rsidRPr="00075FAD">
        <w:rPr>
          <w:rFonts w:ascii="Century Schoolbook" w:hAnsi="Century Schoolbook"/>
        </w:rPr>
        <w:t>[]</w:t>
      </w:r>
      <w:r w:rsidRPr="00075FAD">
        <w:rPr>
          <w:rFonts w:ascii="Century Schoolbook" w:hAnsi="Century Schoolbook"/>
        </w:rPr>
        <w:t xml:space="preserve"> the authority to stipulate to settlements to attorneys, on behalf of the parties they represent,” to “streamline this process in order to meet the goals of efficiency and economy.”  The enforcement of the Stipulation under </w:t>
      </w:r>
      <w:r w:rsidR="000B46C6" w:rsidRPr="00075FAD">
        <w:rPr>
          <w:rFonts w:ascii="Century Schoolbook" w:hAnsi="Century Schoolbook"/>
        </w:rPr>
        <w:t xml:space="preserve">the streamlined process of </w:t>
      </w:r>
      <w:r w:rsidRPr="00075FAD">
        <w:rPr>
          <w:rFonts w:ascii="Century Schoolbook" w:hAnsi="Century Schoolbook"/>
        </w:rPr>
        <w:t xml:space="preserve">section 664.6, however, is not at issue here, and we question the </w:t>
      </w:r>
      <w:r w:rsidR="000B46C6" w:rsidRPr="00075FAD">
        <w:rPr>
          <w:rFonts w:ascii="Century Schoolbook" w:hAnsi="Century Schoolbook"/>
        </w:rPr>
        <w:t xml:space="preserve">relevance </w:t>
      </w:r>
      <w:r w:rsidRPr="00075FAD">
        <w:rPr>
          <w:rFonts w:ascii="Century Schoolbook" w:hAnsi="Century Schoolbook"/>
        </w:rPr>
        <w:t xml:space="preserve">of </w:t>
      </w:r>
      <w:r w:rsidR="000B46C6" w:rsidRPr="00075FAD">
        <w:rPr>
          <w:rFonts w:ascii="Century Schoolbook" w:hAnsi="Century Schoolbook"/>
        </w:rPr>
        <w:t xml:space="preserve">AB 2723 to </w:t>
      </w:r>
      <w:r w:rsidRPr="00075FAD">
        <w:rPr>
          <w:rFonts w:ascii="Century Schoolbook" w:hAnsi="Century Schoolbook"/>
        </w:rPr>
        <w:t xml:space="preserve">this </w:t>
      </w:r>
      <w:r w:rsidR="00F715EB" w:rsidRPr="00075FAD">
        <w:rPr>
          <w:rFonts w:ascii="Century Schoolbook" w:hAnsi="Century Schoolbook"/>
        </w:rPr>
        <w:t>appeal</w:t>
      </w:r>
      <w:r w:rsidRPr="00075FAD">
        <w:rPr>
          <w:rFonts w:ascii="Century Schoolbook" w:hAnsi="Century Schoolbook"/>
        </w:rPr>
        <w:t xml:space="preserve">. </w:t>
      </w:r>
      <w:r w:rsidR="004637B4" w:rsidRPr="00075FAD">
        <w:rPr>
          <w:rFonts w:ascii="Century Schoolbook" w:hAnsi="Century Schoolbook"/>
        </w:rPr>
        <w:t xml:space="preserve"> </w:t>
      </w:r>
      <w:r w:rsidR="00952BE5" w:rsidRPr="00075FAD">
        <w:rPr>
          <w:rFonts w:ascii="Century Schoolbook" w:hAnsi="Century Schoolbook"/>
        </w:rPr>
        <w:t xml:space="preserve">But we </w:t>
      </w:r>
      <w:r w:rsidRPr="00075FAD">
        <w:rPr>
          <w:rFonts w:ascii="Century Schoolbook" w:hAnsi="Century Schoolbook"/>
        </w:rPr>
        <w:t>need not and do not reach the issue, because we affirm the trial court’s order on other grounds.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5018" w14:textId="77777777" w:rsidR="00E570DB" w:rsidRDefault="00E57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3423" w14:textId="77777777" w:rsidR="00E570DB" w:rsidRDefault="00E57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26B2" w14:textId="77777777" w:rsidR="00E570DB" w:rsidRDefault="00E57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28D0"/>
    <w:multiLevelType w:val="hybridMultilevel"/>
    <w:tmpl w:val="FB023212"/>
    <w:lvl w:ilvl="0" w:tplc="4F189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081C8F"/>
    <w:multiLevelType w:val="hybridMultilevel"/>
    <w:tmpl w:val="0F7C4BE0"/>
    <w:lvl w:ilvl="0" w:tplc="EF96D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FD2ADA"/>
    <w:multiLevelType w:val="hybridMultilevel"/>
    <w:tmpl w:val="45A64F64"/>
    <w:lvl w:ilvl="0" w:tplc="3EE44378">
      <w:start w:val="1"/>
      <w:numFmt w:val="decimal"/>
      <w:lvlText w:val="%1."/>
      <w:lvlJc w:val="left"/>
      <w:pPr>
        <w:ind w:left="1200" w:hanging="721"/>
        <w:jc w:val="right"/>
      </w:pPr>
      <w:rPr>
        <w:rFonts w:ascii="Times New Roman" w:eastAsia="Times New Roman" w:hAnsi="Times New Roman" w:cs="Times New Roman" w:hint="default"/>
        <w:w w:val="99"/>
        <w:sz w:val="26"/>
        <w:szCs w:val="26"/>
        <w:lang w:val="en-US" w:eastAsia="en-US" w:bidi="en-US"/>
      </w:rPr>
    </w:lvl>
    <w:lvl w:ilvl="1" w:tplc="D7FECDE2">
      <w:numFmt w:val="bullet"/>
      <w:lvlText w:val="•"/>
      <w:lvlJc w:val="left"/>
      <w:pPr>
        <w:ind w:left="2088" w:hanging="721"/>
      </w:pPr>
      <w:rPr>
        <w:rFonts w:hint="default"/>
        <w:lang w:val="en-US" w:eastAsia="en-US" w:bidi="en-US"/>
      </w:rPr>
    </w:lvl>
    <w:lvl w:ilvl="2" w:tplc="D5A6E19C">
      <w:numFmt w:val="bullet"/>
      <w:lvlText w:val="•"/>
      <w:lvlJc w:val="left"/>
      <w:pPr>
        <w:ind w:left="2976" w:hanging="721"/>
      </w:pPr>
      <w:rPr>
        <w:rFonts w:hint="default"/>
        <w:lang w:val="en-US" w:eastAsia="en-US" w:bidi="en-US"/>
      </w:rPr>
    </w:lvl>
    <w:lvl w:ilvl="3" w:tplc="B8F8874A">
      <w:numFmt w:val="bullet"/>
      <w:lvlText w:val="•"/>
      <w:lvlJc w:val="left"/>
      <w:pPr>
        <w:ind w:left="3864" w:hanging="721"/>
      </w:pPr>
      <w:rPr>
        <w:rFonts w:hint="default"/>
        <w:lang w:val="en-US" w:eastAsia="en-US" w:bidi="en-US"/>
      </w:rPr>
    </w:lvl>
    <w:lvl w:ilvl="4" w:tplc="A5F66E7E">
      <w:numFmt w:val="bullet"/>
      <w:lvlText w:val="•"/>
      <w:lvlJc w:val="left"/>
      <w:pPr>
        <w:ind w:left="4752" w:hanging="721"/>
      </w:pPr>
      <w:rPr>
        <w:rFonts w:hint="default"/>
        <w:lang w:val="en-US" w:eastAsia="en-US" w:bidi="en-US"/>
      </w:rPr>
    </w:lvl>
    <w:lvl w:ilvl="5" w:tplc="696E3C64">
      <w:numFmt w:val="bullet"/>
      <w:lvlText w:val="•"/>
      <w:lvlJc w:val="left"/>
      <w:pPr>
        <w:ind w:left="5640" w:hanging="721"/>
      </w:pPr>
      <w:rPr>
        <w:rFonts w:hint="default"/>
        <w:lang w:val="en-US" w:eastAsia="en-US" w:bidi="en-US"/>
      </w:rPr>
    </w:lvl>
    <w:lvl w:ilvl="6" w:tplc="1316B4F4">
      <w:numFmt w:val="bullet"/>
      <w:lvlText w:val="•"/>
      <w:lvlJc w:val="left"/>
      <w:pPr>
        <w:ind w:left="6528" w:hanging="721"/>
      </w:pPr>
      <w:rPr>
        <w:rFonts w:hint="default"/>
        <w:lang w:val="en-US" w:eastAsia="en-US" w:bidi="en-US"/>
      </w:rPr>
    </w:lvl>
    <w:lvl w:ilvl="7" w:tplc="776E4AE6">
      <w:numFmt w:val="bullet"/>
      <w:lvlText w:val="•"/>
      <w:lvlJc w:val="left"/>
      <w:pPr>
        <w:ind w:left="7416" w:hanging="721"/>
      </w:pPr>
      <w:rPr>
        <w:rFonts w:hint="default"/>
        <w:lang w:val="en-US" w:eastAsia="en-US" w:bidi="en-US"/>
      </w:rPr>
    </w:lvl>
    <w:lvl w:ilvl="8" w:tplc="B68A669A">
      <w:numFmt w:val="bullet"/>
      <w:lvlText w:val="•"/>
      <w:lvlJc w:val="left"/>
      <w:pPr>
        <w:ind w:left="8304" w:hanging="721"/>
      </w:pPr>
      <w:rPr>
        <w:rFonts w:hint="default"/>
        <w:lang w:val="en-US" w:eastAsia="en-US" w:bidi="en-US"/>
      </w:rPr>
    </w:lvl>
  </w:abstractNum>
  <w:num w:numId="1" w16cid:durableId="666058942">
    <w:abstractNumId w:val="2"/>
  </w:num>
  <w:num w:numId="2" w16cid:durableId="1413434874">
    <w:abstractNumId w:val="0"/>
  </w:num>
  <w:num w:numId="3" w16cid:durableId="2046636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0D"/>
    <w:rsid w:val="0000290F"/>
    <w:rsid w:val="00011B23"/>
    <w:rsid w:val="00012575"/>
    <w:rsid w:val="000131A6"/>
    <w:rsid w:val="00026073"/>
    <w:rsid w:val="00027D1D"/>
    <w:rsid w:val="00035F21"/>
    <w:rsid w:val="00041477"/>
    <w:rsid w:val="000442DB"/>
    <w:rsid w:val="000505B8"/>
    <w:rsid w:val="0006602C"/>
    <w:rsid w:val="000738B8"/>
    <w:rsid w:val="00075FAD"/>
    <w:rsid w:val="000802C6"/>
    <w:rsid w:val="00080D4F"/>
    <w:rsid w:val="00084E59"/>
    <w:rsid w:val="00096F30"/>
    <w:rsid w:val="000A244B"/>
    <w:rsid w:val="000A3F1E"/>
    <w:rsid w:val="000B2AC5"/>
    <w:rsid w:val="000B46C6"/>
    <w:rsid w:val="000B65E3"/>
    <w:rsid w:val="000C098F"/>
    <w:rsid w:val="000C336B"/>
    <w:rsid w:val="000D2DE6"/>
    <w:rsid w:val="000D72B7"/>
    <w:rsid w:val="000E218B"/>
    <w:rsid w:val="000E23C0"/>
    <w:rsid w:val="000F3432"/>
    <w:rsid w:val="000F4659"/>
    <w:rsid w:val="001038BB"/>
    <w:rsid w:val="00103D03"/>
    <w:rsid w:val="0010492E"/>
    <w:rsid w:val="001126DC"/>
    <w:rsid w:val="001136E0"/>
    <w:rsid w:val="00120098"/>
    <w:rsid w:val="00124EDF"/>
    <w:rsid w:val="00130E8E"/>
    <w:rsid w:val="001369F9"/>
    <w:rsid w:val="001435B6"/>
    <w:rsid w:val="00153C90"/>
    <w:rsid w:val="001570A6"/>
    <w:rsid w:val="00161E34"/>
    <w:rsid w:val="00174CF6"/>
    <w:rsid w:val="0018082B"/>
    <w:rsid w:val="00180FE0"/>
    <w:rsid w:val="0018161C"/>
    <w:rsid w:val="00183CDE"/>
    <w:rsid w:val="00184934"/>
    <w:rsid w:val="00186B58"/>
    <w:rsid w:val="0019371D"/>
    <w:rsid w:val="001A3B6F"/>
    <w:rsid w:val="001B0AF4"/>
    <w:rsid w:val="001B2ABE"/>
    <w:rsid w:val="001B3D1E"/>
    <w:rsid w:val="001B6AB4"/>
    <w:rsid w:val="001C1462"/>
    <w:rsid w:val="001C28FC"/>
    <w:rsid w:val="001C4507"/>
    <w:rsid w:val="001C6E97"/>
    <w:rsid w:val="001C7723"/>
    <w:rsid w:val="001D28EF"/>
    <w:rsid w:val="001E285D"/>
    <w:rsid w:val="001F0434"/>
    <w:rsid w:val="001F26F0"/>
    <w:rsid w:val="001F338E"/>
    <w:rsid w:val="001F3D27"/>
    <w:rsid w:val="001F5D58"/>
    <w:rsid w:val="001F6611"/>
    <w:rsid w:val="00205450"/>
    <w:rsid w:val="00205A73"/>
    <w:rsid w:val="00206B62"/>
    <w:rsid w:val="00206CD1"/>
    <w:rsid w:val="00213156"/>
    <w:rsid w:val="00214DCC"/>
    <w:rsid w:val="00216725"/>
    <w:rsid w:val="0021740D"/>
    <w:rsid w:val="002249AC"/>
    <w:rsid w:val="002304BF"/>
    <w:rsid w:val="00243F98"/>
    <w:rsid w:val="00250E5A"/>
    <w:rsid w:val="002526F0"/>
    <w:rsid w:val="002539ED"/>
    <w:rsid w:val="0025443A"/>
    <w:rsid w:val="002553CB"/>
    <w:rsid w:val="0025673F"/>
    <w:rsid w:val="00261748"/>
    <w:rsid w:val="00264431"/>
    <w:rsid w:val="00264EC3"/>
    <w:rsid w:val="00276501"/>
    <w:rsid w:val="00283AA7"/>
    <w:rsid w:val="00285905"/>
    <w:rsid w:val="002A234C"/>
    <w:rsid w:val="002A7CE3"/>
    <w:rsid w:val="002B129F"/>
    <w:rsid w:val="002B6FF6"/>
    <w:rsid w:val="002B77EC"/>
    <w:rsid w:val="002C1FAE"/>
    <w:rsid w:val="002D05B0"/>
    <w:rsid w:val="002D0E84"/>
    <w:rsid w:val="002D534A"/>
    <w:rsid w:val="002D6094"/>
    <w:rsid w:val="002E3A40"/>
    <w:rsid w:val="002E643F"/>
    <w:rsid w:val="002E6B55"/>
    <w:rsid w:val="002E79F7"/>
    <w:rsid w:val="002E7A5D"/>
    <w:rsid w:val="002E7D98"/>
    <w:rsid w:val="0030225B"/>
    <w:rsid w:val="003242F7"/>
    <w:rsid w:val="00324CCC"/>
    <w:rsid w:val="00340FBE"/>
    <w:rsid w:val="00344C9F"/>
    <w:rsid w:val="00344EE8"/>
    <w:rsid w:val="0034769A"/>
    <w:rsid w:val="00350F1E"/>
    <w:rsid w:val="00352693"/>
    <w:rsid w:val="00365C92"/>
    <w:rsid w:val="00373DE4"/>
    <w:rsid w:val="0038137B"/>
    <w:rsid w:val="00385DCC"/>
    <w:rsid w:val="00385EBC"/>
    <w:rsid w:val="00394747"/>
    <w:rsid w:val="003A2041"/>
    <w:rsid w:val="003A26C7"/>
    <w:rsid w:val="003A47B4"/>
    <w:rsid w:val="003B1F69"/>
    <w:rsid w:val="003B45E3"/>
    <w:rsid w:val="003B4F84"/>
    <w:rsid w:val="003B6085"/>
    <w:rsid w:val="003C1195"/>
    <w:rsid w:val="003C2B9E"/>
    <w:rsid w:val="003C75AF"/>
    <w:rsid w:val="003D387F"/>
    <w:rsid w:val="003D58A6"/>
    <w:rsid w:val="003D5C57"/>
    <w:rsid w:val="003D6017"/>
    <w:rsid w:val="003D794E"/>
    <w:rsid w:val="003E75C4"/>
    <w:rsid w:val="003F085F"/>
    <w:rsid w:val="003F25D4"/>
    <w:rsid w:val="003F6537"/>
    <w:rsid w:val="00403684"/>
    <w:rsid w:val="00405217"/>
    <w:rsid w:val="0040604A"/>
    <w:rsid w:val="00411E6F"/>
    <w:rsid w:val="00432FB4"/>
    <w:rsid w:val="0043558B"/>
    <w:rsid w:val="00435950"/>
    <w:rsid w:val="0044762D"/>
    <w:rsid w:val="004514AB"/>
    <w:rsid w:val="00457DDA"/>
    <w:rsid w:val="004637B4"/>
    <w:rsid w:val="004653F6"/>
    <w:rsid w:val="00470193"/>
    <w:rsid w:val="00471292"/>
    <w:rsid w:val="004722CE"/>
    <w:rsid w:val="004727D5"/>
    <w:rsid w:val="00474587"/>
    <w:rsid w:val="0048002D"/>
    <w:rsid w:val="0048313A"/>
    <w:rsid w:val="004834F3"/>
    <w:rsid w:val="00492B0D"/>
    <w:rsid w:val="00494632"/>
    <w:rsid w:val="00494A3F"/>
    <w:rsid w:val="004952B9"/>
    <w:rsid w:val="004968A7"/>
    <w:rsid w:val="004A2FBF"/>
    <w:rsid w:val="004A3AB6"/>
    <w:rsid w:val="004A6FA9"/>
    <w:rsid w:val="004B7201"/>
    <w:rsid w:val="004C5432"/>
    <w:rsid w:val="004C6009"/>
    <w:rsid w:val="004C728B"/>
    <w:rsid w:val="004E1D30"/>
    <w:rsid w:val="004E79C5"/>
    <w:rsid w:val="004F1666"/>
    <w:rsid w:val="004F217E"/>
    <w:rsid w:val="004F4249"/>
    <w:rsid w:val="00500DEF"/>
    <w:rsid w:val="00502663"/>
    <w:rsid w:val="00503328"/>
    <w:rsid w:val="0050443E"/>
    <w:rsid w:val="00505955"/>
    <w:rsid w:val="00513E90"/>
    <w:rsid w:val="00517EEB"/>
    <w:rsid w:val="0052275F"/>
    <w:rsid w:val="005231C7"/>
    <w:rsid w:val="005301DD"/>
    <w:rsid w:val="00532962"/>
    <w:rsid w:val="005353FC"/>
    <w:rsid w:val="00537E04"/>
    <w:rsid w:val="0054413D"/>
    <w:rsid w:val="00546F17"/>
    <w:rsid w:val="00547672"/>
    <w:rsid w:val="00551C1C"/>
    <w:rsid w:val="00551C9D"/>
    <w:rsid w:val="00554B89"/>
    <w:rsid w:val="0055749D"/>
    <w:rsid w:val="00557AB9"/>
    <w:rsid w:val="00557CCB"/>
    <w:rsid w:val="00560507"/>
    <w:rsid w:val="0056336E"/>
    <w:rsid w:val="00563C21"/>
    <w:rsid w:val="0056476C"/>
    <w:rsid w:val="00570A96"/>
    <w:rsid w:val="00570EE1"/>
    <w:rsid w:val="00574EDF"/>
    <w:rsid w:val="005750E9"/>
    <w:rsid w:val="00577695"/>
    <w:rsid w:val="00580541"/>
    <w:rsid w:val="005818E6"/>
    <w:rsid w:val="00582EC7"/>
    <w:rsid w:val="0058638E"/>
    <w:rsid w:val="00590178"/>
    <w:rsid w:val="005A38EB"/>
    <w:rsid w:val="005A6793"/>
    <w:rsid w:val="005A7ED6"/>
    <w:rsid w:val="005B1DEB"/>
    <w:rsid w:val="005B4B97"/>
    <w:rsid w:val="005D06F6"/>
    <w:rsid w:val="005E120F"/>
    <w:rsid w:val="005E3B5E"/>
    <w:rsid w:val="005E4525"/>
    <w:rsid w:val="005F3E3D"/>
    <w:rsid w:val="00600F7F"/>
    <w:rsid w:val="00610DFF"/>
    <w:rsid w:val="00612631"/>
    <w:rsid w:val="00613517"/>
    <w:rsid w:val="00617086"/>
    <w:rsid w:val="00622E31"/>
    <w:rsid w:val="00626B6A"/>
    <w:rsid w:val="00637B47"/>
    <w:rsid w:val="00643CA6"/>
    <w:rsid w:val="006444C5"/>
    <w:rsid w:val="006534D9"/>
    <w:rsid w:val="0066381A"/>
    <w:rsid w:val="00676AC2"/>
    <w:rsid w:val="00677E61"/>
    <w:rsid w:val="0068066C"/>
    <w:rsid w:val="006A0F17"/>
    <w:rsid w:val="006A7862"/>
    <w:rsid w:val="006B0B83"/>
    <w:rsid w:val="006B0EFD"/>
    <w:rsid w:val="006B7056"/>
    <w:rsid w:val="006C375D"/>
    <w:rsid w:val="006C3FD8"/>
    <w:rsid w:val="006C725A"/>
    <w:rsid w:val="006D0D46"/>
    <w:rsid w:val="006D14C9"/>
    <w:rsid w:val="006D7168"/>
    <w:rsid w:val="006D7257"/>
    <w:rsid w:val="006D7A01"/>
    <w:rsid w:val="006E1881"/>
    <w:rsid w:val="006E1C07"/>
    <w:rsid w:val="006F4509"/>
    <w:rsid w:val="006F5597"/>
    <w:rsid w:val="006F63FE"/>
    <w:rsid w:val="00717094"/>
    <w:rsid w:val="00717E12"/>
    <w:rsid w:val="00720369"/>
    <w:rsid w:val="007228E4"/>
    <w:rsid w:val="00724A4B"/>
    <w:rsid w:val="00726A75"/>
    <w:rsid w:val="00730C23"/>
    <w:rsid w:val="00732248"/>
    <w:rsid w:val="00733DE6"/>
    <w:rsid w:val="00734B77"/>
    <w:rsid w:val="00735D1C"/>
    <w:rsid w:val="00736485"/>
    <w:rsid w:val="007579A0"/>
    <w:rsid w:val="007659F8"/>
    <w:rsid w:val="00767AC1"/>
    <w:rsid w:val="0077517D"/>
    <w:rsid w:val="00784FB0"/>
    <w:rsid w:val="007853F2"/>
    <w:rsid w:val="00786D03"/>
    <w:rsid w:val="00791F36"/>
    <w:rsid w:val="00792920"/>
    <w:rsid w:val="007949D7"/>
    <w:rsid w:val="007A05EB"/>
    <w:rsid w:val="007A775C"/>
    <w:rsid w:val="007B157F"/>
    <w:rsid w:val="007B66DD"/>
    <w:rsid w:val="007B6AED"/>
    <w:rsid w:val="007B7D2C"/>
    <w:rsid w:val="007C3215"/>
    <w:rsid w:val="007C3EB1"/>
    <w:rsid w:val="007C4FA7"/>
    <w:rsid w:val="007E48ED"/>
    <w:rsid w:val="007E65D2"/>
    <w:rsid w:val="007F152E"/>
    <w:rsid w:val="007F414B"/>
    <w:rsid w:val="0080087A"/>
    <w:rsid w:val="00807C30"/>
    <w:rsid w:val="00816AB8"/>
    <w:rsid w:val="008227F0"/>
    <w:rsid w:val="00830AB8"/>
    <w:rsid w:val="0083130D"/>
    <w:rsid w:val="00831ACA"/>
    <w:rsid w:val="00833772"/>
    <w:rsid w:val="00836C6C"/>
    <w:rsid w:val="00851156"/>
    <w:rsid w:val="00851D80"/>
    <w:rsid w:val="00853F09"/>
    <w:rsid w:val="00854B0E"/>
    <w:rsid w:val="008567B2"/>
    <w:rsid w:val="0085732A"/>
    <w:rsid w:val="008652C3"/>
    <w:rsid w:val="0087142D"/>
    <w:rsid w:val="00871FFB"/>
    <w:rsid w:val="008740CB"/>
    <w:rsid w:val="008763C5"/>
    <w:rsid w:val="00885D5D"/>
    <w:rsid w:val="008947C1"/>
    <w:rsid w:val="008A196E"/>
    <w:rsid w:val="008A26C9"/>
    <w:rsid w:val="008A554F"/>
    <w:rsid w:val="008A631C"/>
    <w:rsid w:val="008C69C3"/>
    <w:rsid w:val="008D06D3"/>
    <w:rsid w:val="008D1FDA"/>
    <w:rsid w:val="008D3BC8"/>
    <w:rsid w:val="008D5C0C"/>
    <w:rsid w:val="008E0469"/>
    <w:rsid w:val="008E4618"/>
    <w:rsid w:val="008E4749"/>
    <w:rsid w:val="008F19F4"/>
    <w:rsid w:val="00903139"/>
    <w:rsid w:val="00903D99"/>
    <w:rsid w:val="009221C3"/>
    <w:rsid w:val="00922434"/>
    <w:rsid w:val="0092514A"/>
    <w:rsid w:val="00927859"/>
    <w:rsid w:val="00930C97"/>
    <w:rsid w:val="009354D6"/>
    <w:rsid w:val="009359A8"/>
    <w:rsid w:val="00942AAC"/>
    <w:rsid w:val="009434D5"/>
    <w:rsid w:val="00945674"/>
    <w:rsid w:val="00952BE5"/>
    <w:rsid w:val="009569F3"/>
    <w:rsid w:val="009759DC"/>
    <w:rsid w:val="009811D6"/>
    <w:rsid w:val="00983BD1"/>
    <w:rsid w:val="00990F16"/>
    <w:rsid w:val="009A2B7F"/>
    <w:rsid w:val="009A4DDA"/>
    <w:rsid w:val="009C350F"/>
    <w:rsid w:val="009D0583"/>
    <w:rsid w:val="009D1387"/>
    <w:rsid w:val="009D4DD6"/>
    <w:rsid w:val="009D7BE3"/>
    <w:rsid w:val="009E49C2"/>
    <w:rsid w:val="009F3065"/>
    <w:rsid w:val="009F30F6"/>
    <w:rsid w:val="009F69C6"/>
    <w:rsid w:val="00A0470B"/>
    <w:rsid w:val="00A216EA"/>
    <w:rsid w:val="00A22DCD"/>
    <w:rsid w:val="00A25861"/>
    <w:rsid w:val="00A3109D"/>
    <w:rsid w:val="00A31D76"/>
    <w:rsid w:val="00A3306D"/>
    <w:rsid w:val="00A3308B"/>
    <w:rsid w:val="00A43D0D"/>
    <w:rsid w:val="00A5194B"/>
    <w:rsid w:val="00A70F41"/>
    <w:rsid w:val="00A73EBA"/>
    <w:rsid w:val="00A744F4"/>
    <w:rsid w:val="00A76166"/>
    <w:rsid w:val="00A764BF"/>
    <w:rsid w:val="00A83751"/>
    <w:rsid w:val="00A85035"/>
    <w:rsid w:val="00A85C0C"/>
    <w:rsid w:val="00A90972"/>
    <w:rsid w:val="00A916DE"/>
    <w:rsid w:val="00A9565E"/>
    <w:rsid w:val="00A9596A"/>
    <w:rsid w:val="00AA0ADB"/>
    <w:rsid w:val="00AC0411"/>
    <w:rsid w:val="00AC0BB4"/>
    <w:rsid w:val="00AC230D"/>
    <w:rsid w:val="00AC7A20"/>
    <w:rsid w:val="00AE1841"/>
    <w:rsid w:val="00AE1D7C"/>
    <w:rsid w:val="00AE6B7F"/>
    <w:rsid w:val="00B0146D"/>
    <w:rsid w:val="00B014F6"/>
    <w:rsid w:val="00B078F2"/>
    <w:rsid w:val="00B17879"/>
    <w:rsid w:val="00B22DA8"/>
    <w:rsid w:val="00B2389F"/>
    <w:rsid w:val="00B33BE9"/>
    <w:rsid w:val="00B368B7"/>
    <w:rsid w:val="00B46233"/>
    <w:rsid w:val="00B51F3E"/>
    <w:rsid w:val="00B5344A"/>
    <w:rsid w:val="00B55E39"/>
    <w:rsid w:val="00B60CAE"/>
    <w:rsid w:val="00B62E4F"/>
    <w:rsid w:val="00B63A1A"/>
    <w:rsid w:val="00B64623"/>
    <w:rsid w:val="00B71475"/>
    <w:rsid w:val="00B73F2A"/>
    <w:rsid w:val="00B80566"/>
    <w:rsid w:val="00B83C2F"/>
    <w:rsid w:val="00B8480B"/>
    <w:rsid w:val="00B84C84"/>
    <w:rsid w:val="00B8767F"/>
    <w:rsid w:val="00B878EB"/>
    <w:rsid w:val="00B87C2B"/>
    <w:rsid w:val="00BA349A"/>
    <w:rsid w:val="00BA5600"/>
    <w:rsid w:val="00BB50CA"/>
    <w:rsid w:val="00BB65B5"/>
    <w:rsid w:val="00BC0BDE"/>
    <w:rsid w:val="00BC2B53"/>
    <w:rsid w:val="00BC7802"/>
    <w:rsid w:val="00BD4A7D"/>
    <w:rsid w:val="00BF796F"/>
    <w:rsid w:val="00C03131"/>
    <w:rsid w:val="00C056F4"/>
    <w:rsid w:val="00C15292"/>
    <w:rsid w:val="00C26CA8"/>
    <w:rsid w:val="00C307B8"/>
    <w:rsid w:val="00C31CBF"/>
    <w:rsid w:val="00C34C70"/>
    <w:rsid w:val="00C36E17"/>
    <w:rsid w:val="00C37A66"/>
    <w:rsid w:val="00C40029"/>
    <w:rsid w:val="00C51BCD"/>
    <w:rsid w:val="00C522C2"/>
    <w:rsid w:val="00C56EA0"/>
    <w:rsid w:val="00C571B6"/>
    <w:rsid w:val="00C57DB5"/>
    <w:rsid w:val="00C614ED"/>
    <w:rsid w:val="00C61B0D"/>
    <w:rsid w:val="00C67389"/>
    <w:rsid w:val="00C67FB5"/>
    <w:rsid w:val="00C740AC"/>
    <w:rsid w:val="00C8612C"/>
    <w:rsid w:val="00C862B5"/>
    <w:rsid w:val="00C868D2"/>
    <w:rsid w:val="00C94244"/>
    <w:rsid w:val="00C953E3"/>
    <w:rsid w:val="00CA16E0"/>
    <w:rsid w:val="00CB3F3A"/>
    <w:rsid w:val="00CB6189"/>
    <w:rsid w:val="00CB6BA0"/>
    <w:rsid w:val="00CC01D6"/>
    <w:rsid w:val="00CC6FDB"/>
    <w:rsid w:val="00CD54CF"/>
    <w:rsid w:val="00CE7FB7"/>
    <w:rsid w:val="00CF0195"/>
    <w:rsid w:val="00CF656B"/>
    <w:rsid w:val="00D04F05"/>
    <w:rsid w:val="00D07E57"/>
    <w:rsid w:val="00D12962"/>
    <w:rsid w:val="00D162FE"/>
    <w:rsid w:val="00D30477"/>
    <w:rsid w:val="00D36AA7"/>
    <w:rsid w:val="00D40805"/>
    <w:rsid w:val="00D52B8C"/>
    <w:rsid w:val="00D602F0"/>
    <w:rsid w:val="00D61C23"/>
    <w:rsid w:val="00D63777"/>
    <w:rsid w:val="00D637E2"/>
    <w:rsid w:val="00D66B6E"/>
    <w:rsid w:val="00D6716F"/>
    <w:rsid w:val="00D71969"/>
    <w:rsid w:val="00D727E8"/>
    <w:rsid w:val="00D73D73"/>
    <w:rsid w:val="00D8361D"/>
    <w:rsid w:val="00D83D4B"/>
    <w:rsid w:val="00D85F45"/>
    <w:rsid w:val="00D91A2F"/>
    <w:rsid w:val="00D920B1"/>
    <w:rsid w:val="00DA2458"/>
    <w:rsid w:val="00DA29A8"/>
    <w:rsid w:val="00DA3F3D"/>
    <w:rsid w:val="00DD4869"/>
    <w:rsid w:val="00DE46C3"/>
    <w:rsid w:val="00DE713F"/>
    <w:rsid w:val="00DF153B"/>
    <w:rsid w:val="00DF7D68"/>
    <w:rsid w:val="00E003B4"/>
    <w:rsid w:val="00E04C7E"/>
    <w:rsid w:val="00E107F9"/>
    <w:rsid w:val="00E13B0F"/>
    <w:rsid w:val="00E15CCD"/>
    <w:rsid w:val="00E163D7"/>
    <w:rsid w:val="00E26B27"/>
    <w:rsid w:val="00E31604"/>
    <w:rsid w:val="00E35FE5"/>
    <w:rsid w:val="00E36A4A"/>
    <w:rsid w:val="00E436E6"/>
    <w:rsid w:val="00E4489E"/>
    <w:rsid w:val="00E44970"/>
    <w:rsid w:val="00E4643E"/>
    <w:rsid w:val="00E465CA"/>
    <w:rsid w:val="00E570DB"/>
    <w:rsid w:val="00E65865"/>
    <w:rsid w:val="00E73625"/>
    <w:rsid w:val="00E74C91"/>
    <w:rsid w:val="00E751E4"/>
    <w:rsid w:val="00E75EAB"/>
    <w:rsid w:val="00E84BE6"/>
    <w:rsid w:val="00E975BD"/>
    <w:rsid w:val="00EA13D5"/>
    <w:rsid w:val="00EA31F7"/>
    <w:rsid w:val="00EA4778"/>
    <w:rsid w:val="00EA64A0"/>
    <w:rsid w:val="00EA7158"/>
    <w:rsid w:val="00EB30A0"/>
    <w:rsid w:val="00EB42E9"/>
    <w:rsid w:val="00EB5034"/>
    <w:rsid w:val="00EC2E04"/>
    <w:rsid w:val="00EC479B"/>
    <w:rsid w:val="00ED0C2B"/>
    <w:rsid w:val="00ED6F2C"/>
    <w:rsid w:val="00EF7AAD"/>
    <w:rsid w:val="00F0353B"/>
    <w:rsid w:val="00F20761"/>
    <w:rsid w:val="00F239FC"/>
    <w:rsid w:val="00F31FF4"/>
    <w:rsid w:val="00F3310E"/>
    <w:rsid w:val="00F351B9"/>
    <w:rsid w:val="00F36096"/>
    <w:rsid w:val="00F41914"/>
    <w:rsid w:val="00F4771D"/>
    <w:rsid w:val="00F50E32"/>
    <w:rsid w:val="00F543F4"/>
    <w:rsid w:val="00F54F2B"/>
    <w:rsid w:val="00F564C6"/>
    <w:rsid w:val="00F57F82"/>
    <w:rsid w:val="00F60038"/>
    <w:rsid w:val="00F603A2"/>
    <w:rsid w:val="00F62811"/>
    <w:rsid w:val="00F64D01"/>
    <w:rsid w:val="00F64E3B"/>
    <w:rsid w:val="00F66D80"/>
    <w:rsid w:val="00F70325"/>
    <w:rsid w:val="00F715EB"/>
    <w:rsid w:val="00F76E0F"/>
    <w:rsid w:val="00F77DD5"/>
    <w:rsid w:val="00F81043"/>
    <w:rsid w:val="00F810DD"/>
    <w:rsid w:val="00F84361"/>
    <w:rsid w:val="00F920E7"/>
    <w:rsid w:val="00F95EF5"/>
    <w:rsid w:val="00FA49DE"/>
    <w:rsid w:val="00FA5017"/>
    <w:rsid w:val="00FB4174"/>
    <w:rsid w:val="00FC5C48"/>
    <w:rsid w:val="00FD3617"/>
    <w:rsid w:val="00FD412B"/>
    <w:rsid w:val="00FD48C6"/>
    <w:rsid w:val="00FD4CE0"/>
    <w:rsid w:val="00FE0BA8"/>
    <w:rsid w:val="00FE51A1"/>
    <w:rsid w:val="00FF171B"/>
    <w:rsid w:val="00FF53F4"/>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109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D0D"/>
    <w:pPr>
      <w:tabs>
        <w:tab w:val="center" w:pos="4680"/>
        <w:tab w:val="right" w:pos="9360"/>
      </w:tabs>
      <w:spacing w:line="240" w:lineRule="auto"/>
    </w:pPr>
  </w:style>
  <w:style w:type="character" w:customStyle="1" w:styleId="HeaderChar">
    <w:name w:val="Header Char"/>
    <w:basedOn w:val="DefaultParagraphFont"/>
    <w:link w:val="Header"/>
    <w:uiPriority w:val="99"/>
    <w:rsid w:val="00A43D0D"/>
  </w:style>
  <w:style w:type="paragraph" w:styleId="Footer">
    <w:name w:val="footer"/>
    <w:basedOn w:val="Normal"/>
    <w:link w:val="FooterChar"/>
    <w:uiPriority w:val="99"/>
    <w:unhideWhenUsed/>
    <w:rsid w:val="00A43D0D"/>
    <w:pPr>
      <w:tabs>
        <w:tab w:val="center" w:pos="4680"/>
        <w:tab w:val="right" w:pos="9360"/>
      </w:tabs>
      <w:spacing w:line="240" w:lineRule="auto"/>
    </w:pPr>
  </w:style>
  <w:style w:type="character" w:customStyle="1" w:styleId="FooterChar">
    <w:name w:val="Footer Char"/>
    <w:basedOn w:val="DefaultParagraphFont"/>
    <w:link w:val="Footer"/>
    <w:uiPriority w:val="99"/>
    <w:rsid w:val="00A43D0D"/>
  </w:style>
  <w:style w:type="character" w:styleId="PageNumber">
    <w:name w:val="page number"/>
    <w:basedOn w:val="DefaultParagraphFont"/>
    <w:uiPriority w:val="99"/>
    <w:semiHidden/>
    <w:unhideWhenUsed/>
    <w:rsid w:val="00A43D0D"/>
  </w:style>
  <w:style w:type="paragraph" w:styleId="FootnoteText">
    <w:name w:val="footnote text"/>
    <w:link w:val="FootnoteTextChar"/>
    <w:uiPriority w:val="99"/>
    <w:unhideWhenUsed/>
    <w:rsid w:val="00A43D0D"/>
    <w:pPr>
      <w:spacing w:line="240" w:lineRule="auto"/>
    </w:pPr>
    <w:rPr>
      <w:szCs w:val="20"/>
    </w:rPr>
  </w:style>
  <w:style w:type="character" w:customStyle="1" w:styleId="FootnoteTextChar">
    <w:name w:val="Footnote Text Char"/>
    <w:basedOn w:val="DefaultParagraphFont"/>
    <w:link w:val="FootnoteText"/>
    <w:uiPriority w:val="99"/>
    <w:rsid w:val="00A43D0D"/>
    <w:rPr>
      <w:szCs w:val="20"/>
    </w:rPr>
  </w:style>
  <w:style w:type="character" w:styleId="FootnoteReference">
    <w:name w:val="footnote reference"/>
    <w:basedOn w:val="DefaultParagraphFont"/>
    <w:uiPriority w:val="99"/>
    <w:semiHidden/>
    <w:unhideWhenUsed/>
    <w:rsid w:val="00A43D0D"/>
    <w:rPr>
      <w:vertAlign w:val="superscript"/>
    </w:rPr>
  </w:style>
  <w:style w:type="paragraph" w:styleId="BodyText">
    <w:name w:val="Body Text"/>
    <w:basedOn w:val="Normal"/>
    <w:link w:val="BodyTextChar"/>
    <w:uiPriority w:val="1"/>
    <w:qFormat/>
    <w:rsid w:val="00A43D0D"/>
    <w:pPr>
      <w:widowControl w:val="0"/>
      <w:tabs>
        <w:tab w:val="clear" w:pos="720"/>
      </w:tabs>
      <w:autoSpaceDE w:val="0"/>
      <w:autoSpaceDN w:val="0"/>
      <w:spacing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43D0D"/>
    <w:rPr>
      <w:rFonts w:ascii="Times New Roman" w:eastAsia="Times New Roman" w:hAnsi="Times New Roman" w:cs="Times New Roman"/>
      <w:lang w:bidi="en-US"/>
    </w:rPr>
  </w:style>
  <w:style w:type="paragraph" w:styleId="ListParagraph">
    <w:name w:val="List Paragraph"/>
    <w:basedOn w:val="Normal"/>
    <w:uiPriority w:val="1"/>
    <w:qFormat/>
    <w:rsid w:val="00A43D0D"/>
    <w:pPr>
      <w:widowControl w:val="0"/>
      <w:tabs>
        <w:tab w:val="clear" w:pos="720"/>
      </w:tabs>
      <w:autoSpaceDE w:val="0"/>
      <w:autoSpaceDN w:val="0"/>
      <w:spacing w:before="160" w:line="240" w:lineRule="auto"/>
      <w:ind w:left="1200" w:firstLine="720"/>
    </w:pPr>
    <w:rPr>
      <w:rFonts w:ascii="Times New Roman" w:eastAsia="Times New Roman" w:hAnsi="Times New Roman" w:cs="Times New Roman"/>
      <w:sz w:val="22"/>
      <w:szCs w:val="22"/>
      <w:lang w:bidi="en-US"/>
    </w:rPr>
  </w:style>
  <w:style w:type="character" w:customStyle="1" w:styleId="glossarylink">
    <w:name w:val="glossarylink"/>
    <w:basedOn w:val="DefaultParagraphFont"/>
    <w:rsid w:val="00C03131"/>
  </w:style>
  <w:style w:type="paragraph" w:customStyle="1" w:styleId="Default">
    <w:name w:val="Default"/>
    <w:rsid w:val="002B129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56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5E"/>
    <w:rPr>
      <w:rFonts w:ascii="Tahoma" w:hAnsi="Tahoma" w:cs="Tahoma"/>
      <w:sz w:val="16"/>
      <w:szCs w:val="16"/>
    </w:rPr>
  </w:style>
  <w:style w:type="paragraph" w:styleId="NormalWeb">
    <w:name w:val="Normal (Web)"/>
    <w:basedOn w:val="Normal"/>
    <w:uiPriority w:val="99"/>
    <w:unhideWhenUsed/>
    <w:rsid w:val="000E218B"/>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0E218B"/>
  </w:style>
  <w:style w:type="character" w:customStyle="1" w:styleId="sssh">
    <w:name w:val="ss_sh"/>
    <w:basedOn w:val="DefaultParagraphFont"/>
    <w:rsid w:val="000E218B"/>
  </w:style>
  <w:style w:type="character" w:customStyle="1" w:styleId="ssrfcsection">
    <w:name w:val="ss_rfcsection"/>
    <w:basedOn w:val="DefaultParagraphFont"/>
    <w:rsid w:val="000E218B"/>
  </w:style>
  <w:style w:type="character" w:customStyle="1" w:styleId="ssit">
    <w:name w:val="ss_it"/>
    <w:basedOn w:val="DefaultParagraphFont"/>
    <w:rsid w:val="000E218B"/>
  </w:style>
  <w:style w:type="character" w:styleId="Hyperlink">
    <w:name w:val="Hyperlink"/>
    <w:basedOn w:val="DefaultParagraphFont"/>
    <w:uiPriority w:val="99"/>
    <w:semiHidden/>
    <w:unhideWhenUsed/>
    <w:rsid w:val="000E218B"/>
    <w:rPr>
      <w:color w:val="0000FF"/>
      <w:u w:val="single"/>
    </w:rPr>
  </w:style>
  <w:style w:type="character" w:customStyle="1" w:styleId="ssbf">
    <w:name w:val="ss_bf"/>
    <w:basedOn w:val="DefaultParagraphFont"/>
    <w:rsid w:val="004C728B"/>
  </w:style>
  <w:style w:type="paragraph" w:styleId="Revision">
    <w:name w:val="Revision"/>
    <w:hidden/>
    <w:uiPriority w:val="99"/>
    <w:semiHidden/>
    <w:rsid w:val="000442DB"/>
    <w:pPr>
      <w:spacing w:line="240" w:lineRule="auto"/>
    </w:pPr>
  </w:style>
  <w:style w:type="character" w:styleId="CommentReference">
    <w:name w:val="annotation reference"/>
    <w:basedOn w:val="DefaultParagraphFont"/>
    <w:uiPriority w:val="99"/>
    <w:semiHidden/>
    <w:unhideWhenUsed/>
    <w:rsid w:val="000442DB"/>
    <w:rPr>
      <w:sz w:val="16"/>
      <w:szCs w:val="16"/>
    </w:rPr>
  </w:style>
  <w:style w:type="paragraph" w:styleId="CommentText">
    <w:name w:val="annotation text"/>
    <w:basedOn w:val="Normal"/>
    <w:link w:val="CommentTextChar"/>
    <w:uiPriority w:val="99"/>
    <w:unhideWhenUsed/>
    <w:rsid w:val="000442DB"/>
    <w:pPr>
      <w:spacing w:line="240" w:lineRule="auto"/>
    </w:pPr>
    <w:rPr>
      <w:sz w:val="20"/>
      <w:szCs w:val="20"/>
    </w:rPr>
  </w:style>
  <w:style w:type="character" w:customStyle="1" w:styleId="CommentTextChar">
    <w:name w:val="Comment Text Char"/>
    <w:basedOn w:val="DefaultParagraphFont"/>
    <w:link w:val="CommentText"/>
    <w:uiPriority w:val="99"/>
    <w:rsid w:val="000442DB"/>
    <w:rPr>
      <w:sz w:val="20"/>
      <w:szCs w:val="20"/>
    </w:rPr>
  </w:style>
  <w:style w:type="paragraph" w:styleId="CommentSubject">
    <w:name w:val="annotation subject"/>
    <w:basedOn w:val="CommentText"/>
    <w:next w:val="CommentText"/>
    <w:link w:val="CommentSubjectChar"/>
    <w:uiPriority w:val="99"/>
    <w:semiHidden/>
    <w:unhideWhenUsed/>
    <w:rsid w:val="000442DB"/>
    <w:rPr>
      <w:b/>
      <w:bCs/>
    </w:rPr>
  </w:style>
  <w:style w:type="character" w:customStyle="1" w:styleId="CommentSubjectChar">
    <w:name w:val="Comment Subject Char"/>
    <w:basedOn w:val="CommentTextChar"/>
    <w:link w:val="CommentSubject"/>
    <w:uiPriority w:val="99"/>
    <w:semiHidden/>
    <w:rsid w:val="00044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5651">
      <w:bodyDiv w:val="1"/>
      <w:marLeft w:val="0"/>
      <w:marRight w:val="0"/>
      <w:marTop w:val="0"/>
      <w:marBottom w:val="0"/>
      <w:divBdr>
        <w:top w:val="none" w:sz="0" w:space="0" w:color="auto"/>
        <w:left w:val="none" w:sz="0" w:space="0" w:color="auto"/>
        <w:bottom w:val="none" w:sz="0" w:space="0" w:color="auto"/>
        <w:right w:val="none" w:sz="0" w:space="0" w:color="auto"/>
      </w:divBdr>
    </w:div>
    <w:div w:id="1070348982">
      <w:bodyDiv w:val="1"/>
      <w:marLeft w:val="0"/>
      <w:marRight w:val="0"/>
      <w:marTop w:val="0"/>
      <w:marBottom w:val="0"/>
      <w:divBdr>
        <w:top w:val="none" w:sz="0" w:space="0" w:color="auto"/>
        <w:left w:val="none" w:sz="0" w:space="0" w:color="auto"/>
        <w:bottom w:val="none" w:sz="0" w:space="0" w:color="auto"/>
        <w:right w:val="none" w:sz="0" w:space="0" w:color="auto"/>
      </w:divBdr>
    </w:div>
    <w:div w:id="1798795810">
      <w:bodyDiv w:val="1"/>
      <w:marLeft w:val="0"/>
      <w:marRight w:val="0"/>
      <w:marTop w:val="0"/>
      <w:marBottom w:val="0"/>
      <w:divBdr>
        <w:top w:val="none" w:sz="0" w:space="0" w:color="auto"/>
        <w:left w:val="none" w:sz="0" w:space="0" w:color="auto"/>
        <w:bottom w:val="none" w:sz="0" w:space="0" w:color="auto"/>
        <w:right w:val="none" w:sz="0" w:space="0" w:color="auto"/>
      </w:divBdr>
    </w:div>
    <w:div w:id="19682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7198</Words>
  <Characters>38495</Characters>
  <Application>Microsoft Office Word</Application>
  <DocSecurity>0</DocSecurity>
  <Lines>720</Lines>
  <Paragraphs>108</Paragraphs>
  <ScaleCrop>false</ScaleCrop>
  <Manager/>
  <Company/>
  <LinksUpToDate>false</LinksUpToDate>
  <CharactersWithSpaces>46013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2024-02-28T23:31:00Z</dcterms:created>
  <dcterms:modified xsi:type="dcterms:W3CDTF">2024-02-28T23:31:00Z</dcterms:modified>
  <cp:category/>
</cp:coreProperties>
</file>