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6421" w14:textId="77777777" w:rsidR="00A13071" w:rsidRPr="00B01052" w:rsidRDefault="00A13071" w:rsidP="00825A61">
      <w:pPr>
        <w:spacing w:line="240" w:lineRule="auto"/>
        <w:rPr>
          <w:rFonts w:ascii="Century Schoolbook" w:hAnsi="Century Schoolbook"/>
          <w:sz w:val="20"/>
          <w:szCs w:val="22"/>
        </w:rPr>
      </w:pPr>
      <w:r w:rsidRPr="00B01052">
        <w:rPr>
          <w:rFonts w:ascii="Century Schoolbook" w:hAnsi="Century Schoolbook"/>
          <w:sz w:val="20"/>
          <w:szCs w:val="22"/>
        </w:rPr>
        <w:t xml:space="preserve">Filed </w:t>
      </w:r>
      <w:r w:rsidRPr="00B01052">
        <w:rPr>
          <w:rFonts w:ascii="Century Schoolbook" w:hAnsi="Century Schoolbook"/>
          <w:sz w:val="20"/>
          <w:szCs w:val="22"/>
        </w:rPr>
        <w:t>12/28/23</w:t>
      </w:r>
    </w:p>
    <w:p w14:paraId="160B1A10" w14:textId="77777777" w:rsidR="00A13071" w:rsidRPr="0054790E" w:rsidRDefault="00A13071" w:rsidP="00825A61">
      <w:pPr>
        <w:spacing w:line="240" w:lineRule="auto"/>
        <w:rPr>
          <w:rFonts w:ascii="Century Schoolbook" w:hAnsi="Century Schoolbook"/>
        </w:rPr>
      </w:pPr>
    </w:p>
    <w:p w14:paraId="42F383A5" w14:textId="77777777" w:rsidR="00A13071" w:rsidRPr="0054790E" w:rsidRDefault="00A13071" w:rsidP="00825A61">
      <w:pPr>
        <w:spacing w:line="240" w:lineRule="auto"/>
        <w:jc w:val="center"/>
        <w:rPr>
          <w:rFonts w:ascii="Century Schoolbook" w:hAnsi="Century Schoolbook"/>
          <w:b/>
        </w:rPr>
      </w:pPr>
      <w:r w:rsidRPr="0054790E">
        <w:rPr>
          <w:rFonts w:ascii="Century Schoolbook" w:hAnsi="Century Schoolbook"/>
          <w:b/>
        </w:rPr>
        <w:t>CERTIFIED FOR PUBLICATION</w:t>
      </w:r>
    </w:p>
    <w:p w14:paraId="130E34C0" w14:textId="77777777" w:rsidR="00A13071" w:rsidRPr="0054790E" w:rsidRDefault="00A13071" w:rsidP="000752AF">
      <w:pPr>
        <w:spacing w:line="240" w:lineRule="auto"/>
        <w:jc w:val="center"/>
        <w:rPr>
          <w:rFonts w:ascii="Century Schoolbook" w:hAnsi="Century Schoolbook"/>
        </w:rPr>
      </w:pPr>
    </w:p>
    <w:p w14:paraId="230A5B21" w14:textId="77777777" w:rsidR="00A13071" w:rsidRPr="0054790E" w:rsidRDefault="00A13071" w:rsidP="000752AF">
      <w:pPr>
        <w:spacing w:line="240" w:lineRule="auto"/>
        <w:jc w:val="center"/>
        <w:rPr>
          <w:rFonts w:ascii="Century Schoolbook" w:hAnsi="Century Schoolbook"/>
        </w:rPr>
      </w:pPr>
      <w:r w:rsidRPr="0054790E">
        <w:rPr>
          <w:rFonts w:ascii="Century Schoolbook" w:hAnsi="Century Schoolbook"/>
        </w:rPr>
        <w:t>IN THE COURT OF APPEAL OF THE STATE OF CALIFORNIA</w:t>
      </w:r>
    </w:p>
    <w:p w14:paraId="5F56CF5D" w14:textId="77777777" w:rsidR="00A13071" w:rsidRPr="0054790E" w:rsidRDefault="00A13071" w:rsidP="005A236B">
      <w:pPr>
        <w:spacing w:line="240" w:lineRule="auto"/>
        <w:jc w:val="center"/>
        <w:rPr>
          <w:rFonts w:ascii="Century Schoolbook" w:hAnsi="Century Schoolbook"/>
        </w:rPr>
      </w:pPr>
    </w:p>
    <w:p w14:paraId="205DFC7A" w14:textId="77777777" w:rsidR="00A13071" w:rsidRPr="0054790E" w:rsidRDefault="00A13071" w:rsidP="005A236B">
      <w:pPr>
        <w:spacing w:line="240" w:lineRule="auto"/>
        <w:jc w:val="center"/>
        <w:rPr>
          <w:rFonts w:ascii="Century Schoolbook" w:hAnsi="Century Schoolbook"/>
        </w:rPr>
      </w:pPr>
      <w:r w:rsidRPr="0054790E">
        <w:rPr>
          <w:rFonts w:ascii="Century Schoolbook" w:hAnsi="Century Schoolbook"/>
        </w:rPr>
        <w:t>FIRST APPELLATE DISTRICT</w:t>
      </w:r>
    </w:p>
    <w:p w14:paraId="50AB980E" w14:textId="77777777" w:rsidR="00A13071" w:rsidRPr="0054790E" w:rsidRDefault="00A13071" w:rsidP="005A236B">
      <w:pPr>
        <w:spacing w:line="240" w:lineRule="auto"/>
        <w:jc w:val="center"/>
        <w:rPr>
          <w:rFonts w:ascii="Century Schoolbook" w:hAnsi="Century Schoolbook"/>
        </w:rPr>
      </w:pPr>
    </w:p>
    <w:p w14:paraId="61F532B7" w14:textId="77777777" w:rsidR="00A13071" w:rsidRPr="0054790E" w:rsidRDefault="00A13071" w:rsidP="005A236B">
      <w:pPr>
        <w:spacing w:line="240" w:lineRule="auto"/>
        <w:jc w:val="center"/>
        <w:rPr>
          <w:rFonts w:ascii="Century Schoolbook" w:hAnsi="Century Schoolbook"/>
        </w:rPr>
      </w:pPr>
      <w:r w:rsidRPr="0054790E">
        <w:rPr>
          <w:rFonts w:ascii="Century Schoolbook" w:hAnsi="Century Schoolbook"/>
        </w:rPr>
        <w:t xml:space="preserve">DIVISION </w:t>
      </w:r>
      <w:r w:rsidRPr="0054790E">
        <w:rPr>
          <w:rFonts w:ascii="Century Schoolbook" w:hAnsi="Century Schoolbook"/>
        </w:rPr>
        <w:t>F</w:t>
      </w:r>
      <w:r w:rsidRPr="0054790E">
        <w:rPr>
          <w:rFonts w:ascii="Century Schoolbook" w:hAnsi="Century Schoolbook"/>
        </w:rPr>
        <w:t>OUR</w:t>
      </w:r>
    </w:p>
    <w:p w14:paraId="16A78A53" w14:textId="77777777" w:rsidR="00A13071" w:rsidRPr="0054790E" w:rsidRDefault="00A13071" w:rsidP="005A236B">
      <w:pPr>
        <w:spacing w:line="240" w:lineRule="auto"/>
        <w:jc w:val="center"/>
        <w:rPr>
          <w:rFonts w:ascii="Century Schoolbook" w:hAnsi="Century Schoolbook"/>
        </w:rPr>
      </w:pPr>
    </w:p>
    <w:p w14:paraId="34723E96" w14:textId="77777777" w:rsidR="00A13071" w:rsidRPr="0054790E" w:rsidRDefault="00A13071" w:rsidP="005A236B">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552233" w14:paraId="35859C96" w14:textId="77777777" w:rsidTr="00B63B7F">
        <w:tc>
          <w:tcPr>
            <w:tcW w:w="4680" w:type="dxa"/>
            <w:tcBorders>
              <w:right w:val="single" w:sz="4" w:space="0" w:color="auto"/>
            </w:tcBorders>
            <w:shd w:val="clear" w:color="auto" w:fill="auto"/>
          </w:tcPr>
          <w:tbl>
            <w:tblPr>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552233" w14:paraId="7B39338F" w14:textId="77777777" w:rsidTr="00B63B7F">
              <w:tc>
                <w:tcPr>
                  <w:tcW w:w="4788" w:type="dxa"/>
                  <w:shd w:val="clear" w:color="auto" w:fill="auto"/>
                </w:tcPr>
                <w:p w14:paraId="1DD7CF52" w14:textId="77777777" w:rsidR="00A13071" w:rsidRPr="0054790E" w:rsidRDefault="00A13071" w:rsidP="00A25676">
                  <w:pPr>
                    <w:spacing w:after="120" w:line="240" w:lineRule="auto"/>
                    <w:rPr>
                      <w:rFonts w:ascii="Century Schoolbook" w:hAnsi="Century Schoolbook"/>
                    </w:rPr>
                  </w:pPr>
                  <w:r w:rsidRPr="0054790E">
                    <w:rPr>
                      <w:rFonts w:ascii="Century Schoolbook" w:hAnsi="Century Schoolbook"/>
                    </w:rPr>
                    <w:t xml:space="preserve">In re </w:t>
                  </w:r>
                  <w:r w:rsidRPr="0054790E">
                    <w:rPr>
                      <w:rFonts w:ascii="Century Schoolbook" w:hAnsi="Century Schoolbook"/>
                    </w:rPr>
                    <w:t>L</w:t>
                  </w:r>
                  <w:r w:rsidRPr="0054790E">
                    <w:rPr>
                      <w:rFonts w:ascii="Century Schoolbook" w:hAnsi="Century Schoolbook"/>
                    </w:rPr>
                    <w:t>.</w:t>
                  </w:r>
                  <w:r w:rsidRPr="0054790E">
                    <w:rPr>
                      <w:rFonts w:ascii="Century Schoolbook" w:hAnsi="Century Schoolbook"/>
                    </w:rPr>
                    <w:t>B.</w:t>
                  </w:r>
                  <w:r w:rsidRPr="0054790E">
                    <w:rPr>
                      <w:rFonts w:ascii="Century Schoolbook" w:hAnsi="Century Schoolbook"/>
                    </w:rPr>
                    <w:t>, a Person Coming Under the Juvenile Court Law.</w:t>
                  </w:r>
                </w:p>
              </w:tc>
            </w:tr>
            <w:tr w:rsidR="00552233" w14:paraId="23C9944B" w14:textId="77777777" w:rsidTr="00B63B7F">
              <w:tc>
                <w:tcPr>
                  <w:tcW w:w="4788" w:type="dxa"/>
                  <w:shd w:val="clear" w:color="auto" w:fill="auto"/>
                </w:tcPr>
                <w:p w14:paraId="5C7BECAF" w14:textId="77777777" w:rsidR="00A13071" w:rsidRPr="0054790E" w:rsidRDefault="00A13071" w:rsidP="00A25676">
                  <w:pPr>
                    <w:spacing w:before="120" w:after="120" w:line="240" w:lineRule="auto"/>
                    <w:rPr>
                      <w:rFonts w:ascii="Century Schoolbook" w:hAnsi="Century Schoolbook"/>
                    </w:rPr>
                  </w:pPr>
                  <w:r w:rsidRPr="0054790E">
                    <w:rPr>
                      <w:rFonts w:ascii="Century Schoolbook" w:hAnsi="Century Schoolbook"/>
                    </w:rPr>
                    <w:t>ALAMEDA COUNTY SOCIAL SERVICES AGENCY,</w:t>
                  </w:r>
                </w:p>
                <w:p w14:paraId="1933D99B" w14:textId="77777777" w:rsidR="00A13071" w:rsidRPr="0054790E" w:rsidRDefault="00A13071" w:rsidP="00A25676">
                  <w:pPr>
                    <w:spacing w:after="120" w:line="240" w:lineRule="auto"/>
                    <w:rPr>
                      <w:rFonts w:ascii="Century Schoolbook" w:hAnsi="Century Schoolbook"/>
                    </w:rPr>
                  </w:pPr>
                  <w:r w:rsidRPr="0054790E">
                    <w:rPr>
                      <w:rFonts w:ascii="Century Schoolbook" w:hAnsi="Century Schoolbook"/>
                    </w:rPr>
                    <w:tab/>
                  </w:r>
                  <w:r>
                    <w:rPr>
                      <w:rFonts w:ascii="Century Schoolbook" w:hAnsi="Century Schoolbook"/>
                    </w:rPr>
                    <w:t>Plaintiff</w:t>
                  </w:r>
                  <w:r w:rsidRPr="0054790E">
                    <w:rPr>
                      <w:rFonts w:ascii="Century Schoolbook" w:hAnsi="Century Schoolbook"/>
                    </w:rPr>
                    <w:t xml:space="preserve"> and Respondent,</w:t>
                  </w:r>
                </w:p>
                <w:p w14:paraId="752FD597" w14:textId="77777777" w:rsidR="00A13071" w:rsidRPr="0054790E" w:rsidRDefault="00A13071" w:rsidP="00A25676">
                  <w:pPr>
                    <w:spacing w:after="120" w:line="240" w:lineRule="auto"/>
                    <w:rPr>
                      <w:rFonts w:ascii="Century Schoolbook" w:hAnsi="Century Schoolbook"/>
                    </w:rPr>
                  </w:pPr>
                  <w:r w:rsidRPr="0054790E">
                    <w:rPr>
                      <w:rFonts w:ascii="Century Schoolbook" w:hAnsi="Century Schoolbook"/>
                    </w:rPr>
                    <w:t>v.</w:t>
                  </w:r>
                </w:p>
                <w:p w14:paraId="4721EA3B" w14:textId="77777777" w:rsidR="00A13071" w:rsidRPr="0054790E" w:rsidRDefault="00A13071" w:rsidP="00A25676">
                  <w:pPr>
                    <w:spacing w:after="120" w:line="240" w:lineRule="auto"/>
                    <w:rPr>
                      <w:rFonts w:ascii="Century Schoolbook" w:hAnsi="Century Schoolbook"/>
                    </w:rPr>
                  </w:pPr>
                  <w:proofErr w:type="spellStart"/>
                  <w:r w:rsidRPr="0054790E">
                    <w:rPr>
                      <w:rFonts w:ascii="Century Schoolbook" w:hAnsi="Century Schoolbook"/>
                    </w:rPr>
                    <w:t>L</w:t>
                  </w:r>
                  <w:r>
                    <w:rPr>
                      <w:rFonts w:ascii="Century Schoolbook" w:hAnsi="Century Schoolbook"/>
                    </w:rPr>
                    <w:t>a</w:t>
                  </w:r>
                  <w:r w:rsidRPr="0054790E">
                    <w:rPr>
                      <w:rFonts w:ascii="Century Schoolbook" w:hAnsi="Century Schoolbook"/>
                    </w:rPr>
                    <w:t>.</w:t>
                  </w:r>
                  <w:r w:rsidRPr="0054790E">
                    <w:rPr>
                      <w:rFonts w:ascii="Century Schoolbook" w:hAnsi="Century Schoolbook"/>
                    </w:rPr>
                    <w:t>B</w:t>
                  </w:r>
                  <w:proofErr w:type="spellEnd"/>
                  <w:r w:rsidRPr="0054790E">
                    <w:rPr>
                      <w:rFonts w:ascii="Century Schoolbook" w:hAnsi="Century Schoolbook"/>
                    </w:rPr>
                    <w:t>.,</w:t>
                  </w:r>
                </w:p>
                <w:p w14:paraId="7B23B451" w14:textId="77777777" w:rsidR="00A13071" w:rsidRPr="0054790E" w:rsidRDefault="00A13071" w:rsidP="00A25676">
                  <w:pPr>
                    <w:spacing w:after="60" w:line="240" w:lineRule="auto"/>
                    <w:rPr>
                      <w:rFonts w:ascii="Century Schoolbook" w:hAnsi="Century Schoolbook"/>
                    </w:rPr>
                  </w:pPr>
                  <w:r w:rsidRPr="0054790E">
                    <w:rPr>
                      <w:rFonts w:ascii="Century Schoolbook" w:hAnsi="Century Schoolbook"/>
                    </w:rPr>
                    <w:tab/>
                  </w:r>
                  <w:r>
                    <w:rPr>
                      <w:rFonts w:ascii="Century Schoolbook" w:hAnsi="Century Schoolbook"/>
                    </w:rPr>
                    <w:t>Defendant</w:t>
                  </w:r>
                  <w:r w:rsidRPr="0054790E">
                    <w:rPr>
                      <w:rFonts w:ascii="Century Schoolbook" w:hAnsi="Century Schoolbook"/>
                    </w:rPr>
                    <w:t xml:space="preserve"> and Appellant.</w:t>
                  </w:r>
                </w:p>
              </w:tc>
            </w:tr>
          </w:tbl>
          <w:p w14:paraId="074AC74F" w14:textId="77777777" w:rsidR="00A13071" w:rsidRPr="0054790E" w:rsidRDefault="00A13071" w:rsidP="0027309C">
            <w:pPr>
              <w:spacing w:after="120" w:line="240" w:lineRule="auto"/>
              <w:rPr>
                <w:rFonts w:ascii="Century Schoolbook" w:hAnsi="Century Schoolbook"/>
              </w:rPr>
            </w:pPr>
          </w:p>
        </w:tc>
        <w:tc>
          <w:tcPr>
            <w:tcW w:w="4680" w:type="dxa"/>
            <w:tcBorders>
              <w:left w:val="single" w:sz="4" w:space="0" w:color="auto"/>
            </w:tcBorders>
            <w:shd w:val="clear" w:color="auto" w:fill="auto"/>
          </w:tcPr>
          <w:p w14:paraId="5ACCCECE" w14:textId="77777777" w:rsidR="00A13071" w:rsidRPr="0054790E" w:rsidRDefault="00A13071" w:rsidP="005A236B">
            <w:pPr>
              <w:spacing w:line="240" w:lineRule="auto"/>
              <w:rPr>
                <w:rFonts w:ascii="Century Schoolbook" w:hAnsi="Century Schoolbook"/>
              </w:rPr>
            </w:pPr>
          </w:p>
          <w:p w14:paraId="7E269C02" w14:textId="77777777" w:rsidR="00A13071" w:rsidRPr="0054790E" w:rsidRDefault="00A13071" w:rsidP="005A236B">
            <w:pPr>
              <w:spacing w:line="240" w:lineRule="auto"/>
              <w:rPr>
                <w:rFonts w:ascii="Century Schoolbook" w:hAnsi="Century Schoolbook"/>
              </w:rPr>
            </w:pPr>
          </w:p>
          <w:p w14:paraId="2A3BFD80" w14:textId="77777777" w:rsidR="00A13071" w:rsidRPr="0054790E" w:rsidRDefault="00A13071" w:rsidP="005A236B">
            <w:pPr>
              <w:spacing w:line="240" w:lineRule="auto"/>
              <w:rPr>
                <w:rFonts w:ascii="Century Schoolbook" w:hAnsi="Century Schoolbook"/>
              </w:rPr>
            </w:pPr>
            <w:r w:rsidRPr="0054790E">
              <w:rPr>
                <w:rFonts w:ascii="Century Schoolbook" w:hAnsi="Century Schoolbook"/>
              </w:rPr>
              <w:t xml:space="preserve">      </w:t>
            </w:r>
            <w:r w:rsidRPr="0054790E">
              <w:rPr>
                <w:rFonts w:ascii="Century Schoolbook" w:hAnsi="Century Schoolbook"/>
              </w:rPr>
              <w:t>A16</w:t>
            </w:r>
            <w:r w:rsidRPr="0054790E">
              <w:rPr>
                <w:rFonts w:ascii="Century Schoolbook" w:hAnsi="Century Schoolbook"/>
              </w:rPr>
              <w:t>7363</w:t>
            </w:r>
          </w:p>
          <w:p w14:paraId="5A78EC3E" w14:textId="77777777" w:rsidR="00A13071" w:rsidRPr="0054790E" w:rsidRDefault="00A13071" w:rsidP="005A236B">
            <w:pPr>
              <w:spacing w:line="240" w:lineRule="auto"/>
              <w:rPr>
                <w:rFonts w:ascii="Century Schoolbook" w:hAnsi="Century Schoolbook"/>
              </w:rPr>
            </w:pPr>
          </w:p>
          <w:p w14:paraId="6C0BF112" w14:textId="77777777" w:rsidR="00A13071" w:rsidRPr="0054790E" w:rsidRDefault="00A13071" w:rsidP="005A236B">
            <w:pPr>
              <w:spacing w:line="240" w:lineRule="auto"/>
              <w:rPr>
                <w:rFonts w:ascii="Century Schoolbook" w:hAnsi="Century Schoolbook"/>
              </w:rPr>
            </w:pPr>
            <w:r w:rsidRPr="0054790E">
              <w:rPr>
                <w:rFonts w:ascii="Century Schoolbook" w:hAnsi="Century Schoolbook"/>
              </w:rPr>
              <w:t xml:space="preserve">      (</w:t>
            </w:r>
            <w:r w:rsidRPr="0054790E">
              <w:rPr>
                <w:rFonts w:ascii="Century Schoolbook" w:hAnsi="Century Schoolbook"/>
              </w:rPr>
              <w:t>Alameda</w:t>
            </w:r>
            <w:r w:rsidRPr="0054790E">
              <w:rPr>
                <w:rFonts w:ascii="Century Schoolbook" w:hAnsi="Century Schoolbook"/>
              </w:rPr>
              <w:t xml:space="preserve"> </w:t>
            </w:r>
            <w:r w:rsidRPr="0054790E">
              <w:rPr>
                <w:rFonts w:ascii="Century Schoolbook" w:hAnsi="Century Schoolbook"/>
              </w:rPr>
              <w:t>County</w:t>
            </w:r>
            <w:r w:rsidRPr="0054790E">
              <w:rPr>
                <w:rFonts w:ascii="Century Schoolbook" w:hAnsi="Century Schoolbook"/>
              </w:rPr>
              <w:t xml:space="preserve"> Super</w:t>
            </w:r>
            <w:r w:rsidRPr="0054790E">
              <w:rPr>
                <w:rFonts w:ascii="Century Schoolbook" w:hAnsi="Century Schoolbook"/>
              </w:rPr>
              <w:t>ior</w:t>
            </w:r>
            <w:r w:rsidRPr="0054790E">
              <w:rPr>
                <w:rFonts w:ascii="Century Schoolbook" w:hAnsi="Century Schoolbook"/>
              </w:rPr>
              <w:t xml:space="preserve"> Ct.</w:t>
            </w:r>
          </w:p>
          <w:p w14:paraId="212C249F" w14:textId="77777777" w:rsidR="00A13071" w:rsidRPr="0054790E" w:rsidRDefault="00A13071" w:rsidP="005A236B">
            <w:pPr>
              <w:spacing w:line="240" w:lineRule="auto"/>
              <w:rPr>
                <w:rFonts w:ascii="Century Schoolbook" w:hAnsi="Century Schoolbook"/>
              </w:rPr>
            </w:pPr>
            <w:r w:rsidRPr="0054790E">
              <w:rPr>
                <w:rFonts w:ascii="Century Schoolbook" w:hAnsi="Century Schoolbook"/>
              </w:rPr>
              <w:t xml:space="preserve">      </w:t>
            </w:r>
            <w:r w:rsidRPr="0054790E">
              <w:rPr>
                <w:rFonts w:ascii="Century Schoolbook" w:hAnsi="Century Schoolbook"/>
              </w:rPr>
              <w:t xml:space="preserve">No. </w:t>
            </w:r>
            <w:r w:rsidRPr="0054790E">
              <w:rPr>
                <w:rFonts w:ascii="Century Schoolbook" w:hAnsi="Century Schoolbook"/>
              </w:rPr>
              <w:t>J</w:t>
            </w:r>
            <w:r w:rsidRPr="0054790E">
              <w:rPr>
                <w:rFonts w:ascii="Century Schoolbook" w:hAnsi="Century Schoolbook"/>
              </w:rPr>
              <w:t>D-034494-01</w:t>
            </w:r>
            <w:r w:rsidRPr="0054790E">
              <w:rPr>
                <w:rFonts w:ascii="Century Schoolbook" w:hAnsi="Century Schoolbook"/>
              </w:rPr>
              <w:t>)</w:t>
            </w:r>
          </w:p>
        </w:tc>
      </w:tr>
    </w:tbl>
    <w:p w14:paraId="61D50281" w14:textId="77777777" w:rsidR="00A13071" w:rsidRPr="0054790E" w:rsidRDefault="00A13071" w:rsidP="005A236B">
      <w:pPr>
        <w:spacing w:line="360" w:lineRule="auto"/>
        <w:rPr>
          <w:rFonts w:ascii="Century Schoolbook" w:hAnsi="Century Schoolbook"/>
        </w:rPr>
      </w:pPr>
    </w:p>
    <w:p w14:paraId="43CDEACD" w14:textId="77777777" w:rsidR="00A13071" w:rsidRPr="0054790E" w:rsidRDefault="00A13071" w:rsidP="009125AC">
      <w:pPr>
        <w:spacing w:line="360" w:lineRule="auto"/>
        <w:rPr>
          <w:rFonts w:ascii="Century Schoolbook" w:hAnsi="Century Schoolbook"/>
        </w:rPr>
      </w:pPr>
      <w:r w:rsidRPr="0054790E">
        <w:rPr>
          <w:rFonts w:ascii="Century Schoolbook" w:hAnsi="Century Schoolbook"/>
        </w:rPr>
        <w:tab/>
      </w:r>
      <w:r w:rsidRPr="0054790E">
        <w:rPr>
          <w:rFonts w:ascii="Century Schoolbook" w:hAnsi="Century Schoolbook"/>
        </w:rPr>
        <w:t>L.B.</w:t>
      </w:r>
      <w:r>
        <w:rPr>
          <w:rFonts w:ascii="Century Schoolbook" w:hAnsi="Century Schoolbook"/>
        </w:rPr>
        <w:t xml:space="preserve">’s mother, </w:t>
      </w:r>
      <w:proofErr w:type="spellStart"/>
      <w:r>
        <w:rPr>
          <w:rFonts w:ascii="Century Schoolbook" w:hAnsi="Century Schoolbook"/>
        </w:rPr>
        <w:t>La.B</w:t>
      </w:r>
      <w:proofErr w:type="spellEnd"/>
      <w:r>
        <w:rPr>
          <w:rFonts w:ascii="Century Schoolbook" w:hAnsi="Century Schoolbook"/>
        </w:rPr>
        <w:t>. (mother),</w:t>
      </w:r>
      <w:r w:rsidRPr="0054790E">
        <w:rPr>
          <w:rFonts w:ascii="Century Schoolbook" w:hAnsi="Century Schoolbook"/>
        </w:rPr>
        <w:t xml:space="preserve"> appeals from </w:t>
      </w:r>
      <w:r>
        <w:rPr>
          <w:rFonts w:ascii="Century Schoolbook" w:hAnsi="Century Schoolbook"/>
        </w:rPr>
        <w:t>a</w:t>
      </w:r>
      <w:r w:rsidRPr="0054790E">
        <w:rPr>
          <w:rFonts w:ascii="Century Schoolbook" w:hAnsi="Century Schoolbook"/>
        </w:rPr>
        <w:t xml:space="preserve"> judgment entered after a contested hearing held pursuant to Welfare &amp; Institutions Code</w:t>
      </w:r>
      <w:r>
        <w:rPr>
          <w:rStyle w:val="FootnoteReference"/>
          <w:rFonts w:ascii="Century Schoolbook" w:hAnsi="Century Schoolbook"/>
        </w:rPr>
        <w:footnoteReference w:id="2"/>
      </w:r>
      <w:r w:rsidRPr="0054790E">
        <w:rPr>
          <w:rFonts w:ascii="Century Schoolbook" w:hAnsi="Century Schoolbook"/>
        </w:rPr>
        <w:t xml:space="preserve"> section</w:t>
      </w:r>
      <w:r w:rsidRPr="0054790E">
        <w:rPr>
          <w:rFonts w:ascii="Century Schoolbook" w:hAnsi="Century Schoolbook"/>
        </w:rPr>
        <w:t xml:space="preserve"> </w:t>
      </w:r>
      <w:r w:rsidRPr="0054790E">
        <w:rPr>
          <w:rFonts w:ascii="Century Schoolbook" w:hAnsi="Century Schoolbook"/>
        </w:rPr>
        <w:t xml:space="preserve">366.26 (terminating parental rights). </w:t>
      </w:r>
      <w:r w:rsidRPr="0054790E">
        <w:rPr>
          <w:rFonts w:ascii="Century Schoolbook" w:hAnsi="Century Schoolbook"/>
        </w:rPr>
        <w:t>In this appeal</w:t>
      </w:r>
      <w:r w:rsidRPr="0054790E">
        <w:rPr>
          <w:rFonts w:ascii="Century Schoolbook" w:hAnsi="Century Schoolbook"/>
        </w:rPr>
        <w:t xml:space="preserve">, </w:t>
      </w:r>
      <w:r>
        <w:rPr>
          <w:rFonts w:ascii="Century Schoolbook" w:hAnsi="Century Schoolbook"/>
        </w:rPr>
        <w:t>s</w:t>
      </w:r>
      <w:r w:rsidRPr="0054790E">
        <w:rPr>
          <w:rFonts w:ascii="Century Schoolbook" w:hAnsi="Century Schoolbook"/>
        </w:rPr>
        <w:t>he a</w:t>
      </w:r>
      <w:r w:rsidRPr="0054790E">
        <w:rPr>
          <w:rFonts w:ascii="Century Schoolbook" w:hAnsi="Century Schoolbook"/>
        </w:rPr>
        <w:t xml:space="preserve">rgues that the </w:t>
      </w:r>
      <w:r>
        <w:rPr>
          <w:rFonts w:ascii="Century Schoolbook" w:hAnsi="Century Schoolbook"/>
        </w:rPr>
        <w:t>juvenile</w:t>
      </w:r>
      <w:r w:rsidRPr="0054790E">
        <w:rPr>
          <w:rFonts w:ascii="Century Schoolbook" w:hAnsi="Century Schoolbook"/>
        </w:rPr>
        <w:t xml:space="preserve"> court committed reversible error in </w:t>
      </w:r>
      <w:r w:rsidRPr="0054790E">
        <w:rPr>
          <w:rFonts w:ascii="Century Schoolbook" w:hAnsi="Century Schoolbook"/>
        </w:rPr>
        <w:t>concluding</w:t>
      </w:r>
      <w:r w:rsidRPr="0054790E">
        <w:rPr>
          <w:rFonts w:ascii="Century Schoolbook" w:hAnsi="Century Schoolbook"/>
        </w:rPr>
        <w:t xml:space="preserve"> that</w:t>
      </w:r>
      <w:r w:rsidRPr="0054790E">
        <w:rPr>
          <w:rFonts w:ascii="Century Schoolbook" w:hAnsi="Century Schoolbook"/>
        </w:rPr>
        <w:t xml:space="preserve"> </w:t>
      </w:r>
      <w:r w:rsidRPr="0054790E">
        <w:rPr>
          <w:rFonts w:ascii="Century Schoolbook" w:hAnsi="Century Schoolbook"/>
        </w:rPr>
        <w:t>a</w:t>
      </w:r>
      <w:r w:rsidRPr="0054790E">
        <w:rPr>
          <w:rFonts w:ascii="Century Schoolbook" w:hAnsi="Century Schoolbook"/>
        </w:rPr>
        <w:t>n</w:t>
      </w:r>
      <w:r w:rsidRPr="0054790E">
        <w:rPr>
          <w:rFonts w:ascii="Century Schoolbook" w:hAnsi="Century Schoolbook"/>
        </w:rPr>
        <w:t xml:space="preserve"> </w:t>
      </w:r>
      <w:r w:rsidRPr="0054790E">
        <w:rPr>
          <w:rFonts w:ascii="Century Schoolbook" w:hAnsi="Century Schoolbook"/>
        </w:rPr>
        <w:t>adequate</w:t>
      </w:r>
      <w:r w:rsidRPr="0054790E">
        <w:rPr>
          <w:rFonts w:ascii="Century Schoolbook" w:hAnsi="Century Schoolbook"/>
        </w:rPr>
        <w:t xml:space="preserve"> </w:t>
      </w:r>
      <w:r w:rsidRPr="0054790E">
        <w:rPr>
          <w:rFonts w:ascii="Century Schoolbook" w:hAnsi="Century Schoolbook"/>
        </w:rPr>
        <w:t xml:space="preserve">inquiry </w:t>
      </w:r>
      <w:r w:rsidRPr="0054790E">
        <w:rPr>
          <w:rFonts w:ascii="Century Schoolbook" w:hAnsi="Century Schoolbook"/>
        </w:rPr>
        <w:t xml:space="preserve">as to L.B.’s ancestry </w:t>
      </w:r>
      <w:r w:rsidRPr="0054790E">
        <w:rPr>
          <w:rFonts w:ascii="Century Schoolbook" w:hAnsi="Century Schoolbook"/>
        </w:rPr>
        <w:t xml:space="preserve">had been </w:t>
      </w:r>
      <w:r w:rsidRPr="0054790E">
        <w:rPr>
          <w:rFonts w:ascii="Century Schoolbook" w:hAnsi="Century Schoolbook"/>
        </w:rPr>
        <w:t>made</w:t>
      </w:r>
      <w:r w:rsidRPr="0054790E">
        <w:rPr>
          <w:rFonts w:ascii="Century Schoolbook" w:hAnsi="Century Schoolbook"/>
        </w:rPr>
        <w:t xml:space="preserve"> under the Indian Child Welfare Act (ICWA)</w:t>
      </w:r>
      <w:r>
        <w:rPr>
          <w:rStyle w:val="FootnoteReference"/>
          <w:rFonts w:ascii="Century Schoolbook" w:hAnsi="Century Schoolbook"/>
        </w:rPr>
        <w:footnoteReference w:id="3"/>
      </w:r>
      <w:r w:rsidRPr="0054790E">
        <w:rPr>
          <w:rFonts w:ascii="Century Schoolbook" w:hAnsi="Century Schoolbook"/>
        </w:rPr>
        <w:t>, even though no extended family members had been asked about his ancestry</w:t>
      </w:r>
      <w:r w:rsidRPr="0054790E">
        <w:rPr>
          <w:rFonts w:ascii="Century Schoolbook" w:hAnsi="Century Schoolbook"/>
        </w:rPr>
        <w:t>.</w:t>
      </w:r>
      <w:r w:rsidRPr="0054790E">
        <w:rPr>
          <w:rFonts w:ascii="Century Schoolbook" w:hAnsi="Century Schoolbook"/>
        </w:rPr>
        <w:t xml:space="preserve"> We agree and therefore reverse the judgment conditionally, with</w:t>
      </w:r>
      <w:r w:rsidRPr="0054790E">
        <w:rPr>
          <w:rFonts w:ascii="Century Schoolbook" w:hAnsi="Century Schoolbook"/>
        </w:rPr>
        <w:t xml:space="preserve"> </w:t>
      </w:r>
      <w:r w:rsidRPr="0054790E">
        <w:rPr>
          <w:rFonts w:ascii="Century Schoolbook" w:hAnsi="Century Schoolbook"/>
        </w:rPr>
        <w:t xml:space="preserve">instructions to complete the inquiry and </w:t>
      </w:r>
      <w:r w:rsidRPr="0054790E">
        <w:rPr>
          <w:rFonts w:ascii="Century Schoolbook" w:hAnsi="Century Schoolbook"/>
        </w:rPr>
        <w:t>then</w:t>
      </w:r>
      <w:r w:rsidRPr="0054790E">
        <w:rPr>
          <w:rFonts w:ascii="Century Schoolbook" w:hAnsi="Century Schoolbook"/>
        </w:rPr>
        <w:t xml:space="preserve"> to proceed in a manner consistent with the completed inquiry’s results.</w:t>
      </w:r>
    </w:p>
    <w:p w14:paraId="4DB58F71" w14:textId="77777777" w:rsidR="00A13071" w:rsidRPr="0054790E" w:rsidRDefault="00A13071" w:rsidP="00CE20C1">
      <w:pPr>
        <w:spacing w:line="360" w:lineRule="auto"/>
        <w:jc w:val="center"/>
        <w:rPr>
          <w:rFonts w:ascii="Century Schoolbook" w:hAnsi="Century Schoolbook"/>
          <w:b/>
          <w:bCs/>
        </w:rPr>
      </w:pPr>
      <w:r w:rsidRPr="0054790E">
        <w:rPr>
          <w:rFonts w:ascii="Century Schoolbook" w:hAnsi="Century Schoolbook"/>
          <w:b/>
          <w:bCs/>
        </w:rPr>
        <w:lastRenderedPageBreak/>
        <w:t>BACKGROUND</w:t>
      </w:r>
    </w:p>
    <w:p w14:paraId="494CBB24" w14:textId="77777777" w:rsidR="00A13071" w:rsidRPr="0054790E" w:rsidRDefault="00A13071" w:rsidP="00041AA8">
      <w:pPr>
        <w:spacing w:line="360" w:lineRule="auto"/>
        <w:rPr>
          <w:rFonts w:ascii="Century Schoolbook" w:hAnsi="Century Schoolbook"/>
        </w:rPr>
      </w:pPr>
      <w:r w:rsidRPr="0054790E">
        <w:rPr>
          <w:rFonts w:ascii="Century Schoolbook" w:hAnsi="Century Schoolbook"/>
          <w:b/>
          <w:bCs/>
        </w:rPr>
        <w:tab/>
      </w:r>
      <w:r w:rsidRPr="0054790E">
        <w:rPr>
          <w:rFonts w:ascii="Century Schoolbook" w:hAnsi="Century Schoolbook"/>
        </w:rPr>
        <w:t xml:space="preserve">After police served a protective custody warrant </w:t>
      </w:r>
      <w:r w:rsidRPr="0054790E">
        <w:rPr>
          <w:rFonts w:ascii="Century Schoolbook" w:hAnsi="Century Schoolbook"/>
        </w:rPr>
        <w:t>pursuant to section</w:t>
      </w:r>
      <w:r w:rsidRPr="0054790E">
        <w:rPr>
          <w:rFonts w:ascii="Century Schoolbook" w:hAnsi="Century Schoolbook"/>
        </w:rPr>
        <w:t> </w:t>
      </w:r>
      <w:r w:rsidRPr="0054790E">
        <w:rPr>
          <w:rFonts w:ascii="Century Schoolbook" w:hAnsi="Century Schoolbook"/>
        </w:rPr>
        <w:t xml:space="preserve">340 </w:t>
      </w:r>
      <w:r w:rsidRPr="0054790E">
        <w:rPr>
          <w:rFonts w:ascii="Century Schoolbook" w:hAnsi="Century Schoolbook"/>
        </w:rPr>
        <w:t xml:space="preserve">and </w:t>
      </w:r>
      <w:r w:rsidRPr="0054790E">
        <w:rPr>
          <w:rFonts w:ascii="Century Schoolbook" w:hAnsi="Century Schoolbook"/>
        </w:rPr>
        <w:t xml:space="preserve">Contra Costa Children &amp; Family Services filed a petition </w:t>
      </w:r>
      <w:proofErr w:type="gramStart"/>
      <w:r w:rsidRPr="0054790E">
        <w:rPr>
          <w:rFonts w:ascii="Century Schoolbook" w:hAnsi="Century Schoolbook"/>
        </w:rPr>
        <w:t>under</w:t>
      </w:r>
      <w:proofErr w:type="gramEnd"/>
      <w:r w:rsidRPr="0054790E">
        <w:rPr>
          <w:rFonts w:ascii="Century Schoolbook" w:hAnsi="Century Schoolbook"/>
        </w:rPr>
        <w:t xml:space="preserve"> section </w:t>
      </w:r>
      <w:r w:rsidRPr="0054790E">
        <w:rPr>
          <w:rFonts w:ascii="Century Schoolbook" w:hAnsi="Century Schoolbook"/>
        </w:rPr>
        <w:t>300, L.B. wa</w:t>
      </w:r>
      <w:r>
        <w:rPr>
          <w:rFonts w:ascii="Century Schoolbook" w:hAnsi="Century Schoolbook"/>
        </w:rPr>
        <w:t>s</w:t>
      </w:r>
      <w:r w:rsidRPr="0054790E">
        <w:rPr>
          <w:rFonts w:ascii="Century Schoolbook" w:hAnsi="Century Schoolbook"/>
        </w:rPr>
        <w:t xml:space="preserve"> </w:t>
      </w:r>
      <w:r w:rsidRPr="0054790E">
        <w:rPr>
          <w:rFonts w:ascii="Century Schoolbook" w:hAnsi="Century Schoolbook"/>
        </w:rPr>
        <w:t xml:space="preserve">placed </w:t>
      </w:r>
      <w:r w:rsidRPr="0054790E">
        <w:rPr>
          <w:rFonts w:ascii="Century Schoolbook" w:hAnsi="Century Schoolbook"/>
        </w:rPr>
        <w:t xml:space="preserve">with a resource family caregiver. </w:t>
      </w:r>
      <w:r>
        <w:rPr>
          <w:rFonts w:ascii="Century Schoolbook" w:hAnsi="Century Schoolbook"/>
        </w:rPr>
        <w:t>M</w:t>
      </w:r>
      <w:r w:rsidRPr="0054790E">
        <w:rPr>
          <w:rFonts w:ascii="Century Schoolbook" w:hAnsi="Century Schoolbook"/>
        </w:rPr>
        <w:t xml:space="preserve">other completed a form </w:t>
      </w:r>
      <w:r w:rsidRPr="0054790E">
        <w:rPr>
          <w:rFonts w:ascii="Century Schoolbook" w:hAnsi="Century Schoolbook"/>
        </w:rPr>
        <w:t xml:space="preserve">concerning parental notification of Indian status, on which </w:t>
      </w:r>
      <w:r w:rsidRPr="0054790E">
        <w:rPr>
          <w:rFonts w:ascii="Century Schoolbook" w:hAnsi="Century Schoolbook"/>
        </w:rPr>
        <w:t xml:space="preserve">she indicated that she might </w:t>
      </w:r>
      <w:r w:rsidRPr="0054790E">
        <w:rPr>
          <w:rFonts w:ascii="Century Schoolbook" w:hAnsi="Century Schoolbook"/>
        </w:rPr>
        <w:t xml:space="preserve">“be a member of, or </w:t>
      </w:r>
      <w:r w:rsidRPr="0054790E">
        <w:rPr>
          <w:rFonts w:ascii="Century Schoolbook" w:hAnsi="Century Schoolbook"/>
        </w:rPr>
        <w:t>eligible</w:t>
      </w:r>
      <w:r w:rsidRPr="0054790E">
        <w:rPr>
          <w:rFonts w:ascii="Century Schoolbook" w:hAnsi="Century Schoolbook"/>
        </w:rPr>
        <w:t xml:space="preserve"> for membership in</w:t>
      </w:r>
      <w:r w:rsidRPr="0054790E">
        <w:rPr>
          <w:rFonts w:ascii="Century Schoolbook" w:hAnsi="Century Schoolbook"/>
        </w:rPr>
        <w:t>, a federally recognized tribe” of “</w:t>
      </w:r>
      <w:r w:rsidRPr="0054790E">
        <w:rPr>
          <w:rFonts w:ascii="Century Schoolbook" w:hAnsi="Century Schoolbook"/>
        </w:rPr>
        <w:t>unknown</w:t>
      </w:r>
      <w:r w:rsidRPr="0054790E">
        <w:rPr>
          <w:rFonts w:ascii="Century Schoolbook" w:hAnsi="Century Schoolbook"/>
        </w:rPr>
        <w:t>”</w:t>
      </w:r>
      <w:r w:rsidRPr="0054790E">
        <w:rPr>
          <w:rFonts w:ascii="Century Schoolbook" w:hAnsi="Century Schoolbook"/>
        </w:rPr>
        <w:t xml:space="preserve"> name and location.</w:t>
      </w:r>
      <w:r w:rsidRPr="0054790E">
        <w:rPr>
          <w:rFonts w:ascii="Century Schoolbook" w:hAnsi="Century Schoolbook"/>
        </w:rPr>
        <w:t xml:space="preserve"> </w:t>
      </w:r>
      <w:r w:rsidRPr="0054790E">
        <w:rPr>
          <w:rFonts w:ascii="Century Schoolbook" w:hAnsi="Century Schoolbook"/>
        </w:rPr>
        <w:t>At the initial hearing</w:t>
      </w:r>
      <w:r w:rsidRPr="0054790E">
        <w:rPr>
          <w:rFonts w:ascii="Century Schoolbook" w:hAnsi="Century Schoolbook"/>
        </w:rPr>
        <w:t>,</w:t>
      </w:r>
      <w:r w:rsidRPr="0054790E">
        <w:rPr>
          <w:rFonts w:ascii="Century Schoolbook" w:hAnsi="Century Schoolbook"/>
        </w:rPr>
        <w:t xml:space="preserve"> the court inquired of both parents concerning possible ancestry, and both parents denied any. </w:t>
      </w:r>
      <w:r w:rsidRPr="0054790E">
        <w:rPr>
          <w:rFonts w:ascii="Century Schoolbook" w:hAnsi="Century Schoolbook"/>
        </w:rPr>
        <w:t>T</w:t>
      </w:r>
      <w:r w:rsidRPr="0054790E">
        <w:rPr>
          <w:rFonts w:ascii="Century Schoolbook" w:hAnsi="Century Schoolbook"/>
        </w:rPr>
        <w:t xml:space="preserve">he Contra Costa </w:t>
      </w:r>
      <w:r w:rsidRPr="0054790E">
        <w:rPr>
          <w:rFonts w:ascii="Century Schoolbook" w:hAnsi="Century Schoolbook"/>
        </w:rPr>
        <w:t xml:space="preserve">County </w:t>
      </w:r>
      <w:r w:rsidRPr="0054790E">
        <w:rPr>
          <w:rFonts w:ascii="Century Schoolbook" w:hAnsi="Century Schoolbook"/>
        </w:rPr>
        <w:t>Superior Court</w:t>
      </w:r>
      <w:r w:rsidRPr="0054790E">
        <w:rPr>
          <w:rFonts w:ascii="Century Schoolbook" w:hAnsi="Century Schoolbook"/>
        </w:rPr>
        <w:t xml:space="preserve"> </w:t>
      </w:r>
      <w:r w:rsidRPr="0054790E">
        <w:rPr>
          <w:rFonts w:ascii="Century Schoolbook" w:hAnsi="Century Schoolbook"/>
        </w:rPr>
        <w:t xml:space="preserve">exercised jurisdiction </w:t>
      </w:r>
      <w:r w:rsidRPr="0054790E">
        <w:rPr>
          <w:rFonts w:ascii="Century Schoolbook" w:hAnsi="Century Schoolbook"/>
        </w:rPr>
        <w:t>until</w:t>
      </w:r>
      <w:r w:rsidRPr="0054790E">
        <w:rPr>
          <w:rFonts w:ascii="Century Schoolbook" w:hAnsi="Century Schoolbook"/>
        </w:rPr>
        <w:t xml:space="preserve"> L.B.’s legal residence was determined to be in</w:t>
      </w:r>
      <w:r w:rsidRPr="0054790E">
        <w:rPr>
          <w:rFonts w:ascii="Century Schoolbook" w:hAnsi="Century Schoolbook"/>
        </w:rPr>
        <w:t xml:space="preserve"> Alameda County</w:t>
      </w:r>
      <w:r w:rsidRPr="0054790E">
        <w:rPr>
          <w:rFonts w:ascii="Century Schoolbook" w:hAnsi="Century Schoolbook"/>
        </w:rPr>
        <w:t>, where the case was</w:t>
      </w:r>
      <w:r w:rsidRPr="0054790E">
        <w:rPr>
          <w:rFonts w:ascii="Century Schoolbook" w:hAnsi="Century Schoolbook"/>
        </w:rPr>
        <w:t xml:space="preserve"> then</w:t>
      </w:r>
      <w:r w:rsidRPr="0054790E">
        <w:rPr>
          <w:rFonts w:ascii="Century Schoolbook" w:hAnsi="Century Schoolbook"/>
        </w:rPr>
        <w:t xml:space="preserve"> transferred. </w:t>
      </w:r>
    </w:p>
    <w:p w14:paraId="1FB42CCC" w14:textId="77777777" w:rsidR="00A13071" w:rsidRPr="0054790E" w:rsidRDefault="00A13071" w:rsidP="00041AA8">
      <w:pPr>
        <w:spacing w:line="360" w:lineRule="auto"/>
        <w:rPr>
          <w:rFonts w:ascii="Century Schoolbook" w:hAnsi="Century Schoolbook"/>
        </w:rPr>
      </w:pPr>
      <w:r w:rsidRPr="0054790E">
        <w:rPr>
          <w:rFonts w:ascii="Century Schoolbook" w:hAnsi="Century Schoolbook"/>
        </w:rPr>
        <w:tab/>
      </w:r>
      <w:r w:rsidRPr="0054790E">
        <w:rPr>
          <w:rFonts w:ascii="Century Schoolbook" w:hAnsi="Century Schoolbook"/>
        </w:rPr>
        <w:t xml:space="preserve">In the first status </w:t>
      </w:r>
      <w:r w:rsidRPr="0054790E">
        <w:rPr>
          <w:rFonts w:ascii="Century Schoolbook" w:hAnsi="Century Schoolbook"/>
        </w:rPr>
        <w:t xml:space="preserve">review report filed by </w:t>
      </w:r>
      <w:r>
        <w:rPr>
          <w:rFonts w:ascii="Century Schoolbook" w:hAnsi="Century Schoolbook"/>
        </w:rPr>
        <w:t>Alameda County</w:t>
      </w:r>
      <w:r w:rsidRPr="0054790E">
        <w:rPr>
          <w:rFonts w:ascii="Century Schoolbook" w:hAnsi="Century Schoolbook"/>
        </w:rPr>
        <w:t xml:space="preserve"> </w:t>
      </w:r>
      <w:r>
        <w:rPr>
          <w:rFonts w:ascii="Century Schoolbook" w:hAnsi="Century Schoolbook"/>
        </w:rPr>
        <w:t>S</w:t>
      </w:r>
      <w:r w:rsidRPr="0054790E">
        <w:rPr>
          <w:rFonts w:ascii="Century Schoolbook" w:hAnsi="Century Schoolbook"/>
        </w:rPr>
        <w:t xml:space="preserve">ocial </w:t>
      </w:r>
      <w:r>
        <w:rPr>
          <w:rFonts w:ascii="Century Schoolbook" w:hAnsi="Century Schoolbook"/>
        </w:rPr>
        <w:t>S</w:t>
      </w:r>
      <w:r w:rsidRPr="0054790E">
        <w:rPr>
          <w:rFonts w:ascii="Century Schoolbook" w:hAnsi="Century Schoolbook"/>
        </w:rPr>
        <w:t xml:space="preserve">ervices </w:t>
      </w:r>
      <w:r>
        <w:rPr>
          <w:rFonts w:ascii="Century Schoolbook" w:hAnsi="Century Schoolbook"/>
        </w:rPr>
        <w:t>A</w:t>
      </w:r>
      <w:r w:rsidRPr="0054790E">
        <w:rPr>
          <w:rFonts w:ascii="Century Schoolbook" w:hAnsi="Century Schoolbook"/>
        </w:rPr>
        <w:t xml:space="preserve">gency (SSA), </w:t>
      </w:r>
      <w:r w:rsidRPr="0054790E">
        <w:rPr>
          <w:rFonts w:ascii="Century Schoolbook" w:hAnsi="Century Schoolbook"/>
        </w:rPr>
        <w:t xml:space="preserve">it is </w:t>
      </w:r>
      <w:r w:rsidRPr="0054790E">
        <w:rPr>
          <w:rFonts w:ascii="Century Schoolbook" w:hAnsi="Century Schoolbook"/>
        </w:rPr>
        <w:t>not</w:t>
      </w:r>
      <w:r w:rsidRPr="0054790E">
        <w:rPr>
          <w:rFonts w:ascii="Century Schoolbook" w:hAnsi="Century Schoolbook"/>
        </w:rPr>
        <w:t xml:space="preserve">ed </w:t>
      </w:r>
      <w:r w:rsidRPr="0054790E">
        <w:rPr>
          <w:rFonts w:ascii="Century Schoolbook" w:hAnsi="Century Schoolbook"/>
        </w:rPr>
        <w:t>that mother “report</w:t>
      </w:r>
      <w:r>
        <w:rPr>
          <w:rFonts w:ascii="Century Schoolbook" w:hAnsi="Century Schoolbook"/>
        </w:rPr>
        <w:t>[</w:t>
      </w:r>
      <w:r w:rsidRPr="0054790E">
        <w:rPr>
          <w:rFonts w:ascii="Century Schoolbook" w:hAnsi="Century Schoolbook"/>
        </w:rPr>
        <w:t>ed</w:t>
      </w:r>
      <w:r>
        <w:rPr>
          <w:rFonts w:ascii="Century Schoolbook" w:hAnsi="Century Schoolbook"/>
        </w:rPr>
        <w:t>]</w:t>
      </w:r>
      <w:r w:rsidRPr="0054790E">
        <w:rPr>
          <w:rFonts w:ascii="Century Schoolbook" w:hAnsi="Century Schoolbook"/>
        </w:rPr>
        <w:t xml:space="preserve"> residing with her sister</w:t>
      </w:r>
      <w:r w:rsidRPr="0054790E">
        <w:rPr>
          <w:rFonts w:ascii="Century Schoolbook" w:hAnsi="Century Schoolbook"/>
        </w:rPr>
        <w:t xml:space="preserve">” for two months that year. </w:t>
      </w:r>
      <w:r w:rsidRPr="0054790E">
        <w:rPr>
          <w:rFonts w:ascii="Century Schoolbook" w:hAnsi="Century Schoolbook"/>
        </w:rPr>
        <w:t xml:space="preserve">The same </w:t>
      </w:r>
      <w:r w:rsidRPr="0054790E">
        <w:rPr>
          <w:rFonts w:ascii="Century Schoolbook" w:hAnsi="Century Schoolbook"/>
        </w:rPr>
        <w:t>document</w:t>
      </w:r>
      <w:r w:rsidRPr="0054790E">
        <w:rPr>
          <w:rFonts w:ascii="Century Schoolbook" w:hAnsi="Century Schoolbook"/>
        </w:rPr>
        <w:t xml:space="preserve"> </w:t>
      </w:r>
      <w:r w:rsidRPr="0054790E">
        <w:rPr>
          <w:rFonts w:ascii="Century Schoolbook" w:hAnsi="Century Schoolbook"/>
        </w:rPr>
        <w:t>re</w:t>
      </w:r>
      <w:r w:rsidRPr="0054790E">
        <w:rPr>
          <w:rFonts w:ascii="Century Schoolbook" w:hAnsi="Century Schoolbook"/>
        </w:rPr>
        <w:t>cord</w:t>
      </w:r>
      <w:r w:rsidRPr="0054790E">
        <w:rPr>
          <w:rFonts w:ascii="Century Schoolbook" w:hAnsi="Century Schoolbook"/>
        </w:rPr>
        <w:t>s</w:t>
      </w:r>
      <w:r w:rsidRPr="0054790E">
        <w:rPr>
          <w:rFonts w:ascii="Century Schoolbook" w:hAnsi="Century Schoolbook"/>
        </w:rPr>
        <w:t xml:space="preserve"> a </w:t>
      </w:r>
      <w:r w:rsidRPr="0054790E">
        <w:rPr>
          <w:rFonts w:ascii="Century Schoolbook" w:hAnsi="Century Schoolbook"/>
        </w:rPr>
        <w:t xml:space="preserve">phone call between that sister and a social worker. </w:t>
      </w:r>
      <w:r w:rsidRPr="0054790E">
        <w:rPr>
          <w:rFonts w:ascii="Century Schoolbook" w:hAnsi="Century Schoolbook"/>
        </w:rPr>
        <w:t xml:space="preserve">An addendum report filed in anticipation </w:t>
      </w:r>
      <w:r w:rsidRPr="0054790E">
        <w:rPr>
          <w:rFonts w:ascii="Century Schoolbook" w:hAnsi="Century Schoolbook"/>
        </w:rPr>
        <w:t xml:space="preserve">of the section 366.26 hearing </w:t>
      </w:r>
      <w:r w:rsidRPr="0054790E">
        <w:rPr>
          <w:rFonts w:ascii="Century Schoolbook" w:hAnsi="Century Schoolbook"/>
        </w:rPr>
        <w:t xml:space="preserve">mentions not only the maternal aunt, but also a </w:t>
      </w:r>
      <w:r w:rsidRPr="0054790E">
        <w:rPr>
          <w:rFonts w:ascii="Century Schoolbook" w:hAnsi="Century Schoolbook"/>
        </w:rPr>
        <w:t>paternal grandmother, a maternal cousin</w:t>
      </w:r>
      <w:r w:rsidRPr="0054790E">
        <w:rPr>
          <w:rFonts w:ascii="Century Schoolbook" w:hAnsi="Century Schoolbook"/>
        </w:rPr>
        <w:t>, and two other maternal family members</w:t>
      </w:r>
      <w:proofErr w:type="gramStart"/>
      <w:r w:rsidRPr="0054790E">
        <w:rPr>
          <w:rFonts w:ascii="Century Schoolbook" w:hAnsi="Century Schoolbook"/>
        </w:rPr>
        <w:t>—“</w:t>
      </w:r>
      <w:proofErr w:type="gramEnd"/>
      <w:r w:rsidRPr="0054790E">
        <w:rPr>
          <w:rFonts w:ascii="Century Schoolbook" w:hAnsi="Century Schoolbook"/>
        </w:rPr>
        <w:t>S</w:t>
      </w:r>
      <w:r>
        <w:rPr>
          <w:rFonts w:ascii="Century Schoolbook" w:hAnsi="Century Schoolbook"/>
        </w:rPr>
        <w:t>[.]</w:t>
      </w:r>
      <w:r w:rsidRPr="0054790E">
        <w:rPr>
          <w:rFonts w:ascii="Century Schoolbook" w:hAnsi="Century Schoolbook"/>
        </w:rPr>
        <w:t xml:space="preserve"> and </w:t>
      </w:r>
      <w:r w:rsidRPr="0054790E">
        <w:rPr>
          <w:rFonts w:ascii="Century Schoolbook" w:hAnsi="Century Schoolbook"/>
        </w:rPr>
        <w:t>T</w:t>
      </w:r>
      <w:r>
        <w:rPr>
          <w:rFonts w:ascii="Century Schoolbook" w:hAnsi="Century Schoolbook"/>
        </w:rPr>
        <w:t>[.]</w:t>
      </w:r>
      <w:r w:rsidRPr="0054790E">
        <w:rPr>
          <w:rFonts w:ascii="Century Schoolbook" w:hAnsi="Century Schoolbook"/>
        </w:rPr>
        <w:t xml:space="preserve">” However, </w:t>
      </w:r>
      <w:r w:rsidRPr="0054790E">
        <w:rPr>
          <w:rFonts w:ascii="Century Schoolbook" w:hAnsi="Century Schoolbook"/>
        </w:rPr>
        <w:t xml:space="preserve">there is no record of any of these relatives being asked about L.B.’s ancestry. </w:t>
      </w:r>
    </w:p>
    <w:p w14:paraId="5E2743FB" w14:textId="77777777" w:rsidR="00A13071" w:rsidRPr="0054790E" w:rsidRDefault="00A13071" w:rsidP="005B5853">
      <w:pPr>
        <w:spacing w:line="360" w:lineRule="auto"/>
        <w:rPr>
          <w:rFonts w:ascii="Century Schoolbook" w:hAnsi="Century Schoolbook"/>
        </w:rPr>
      </w:pPr>
      <w:r w:rsidRPr="0054790E">
        <w:rPr>
          <w:rFonts w:ascii="Century Schoolbook" w:hAnsi="Century Schoolbook"/>
        </w:rPr>
        <w:tab/>
      </w:r>
      <w:r w:rsidRPr="0054790E">
        <w:rPr>
          <w:rFonts w:ascii="Century Schoolbook" w:hAnsi="Century Schoolbook"/>
        </w:rPr>
        <w:t>At the conclusion of</w:t>
      </w:r>
      <w:r w:rsidRPr="0054790E">
        <w:rPr>
          <w:rFonts w:ascii="Century Schoolbook" w:hAnsi="Century Schoolbook"/>
        </w:rPr>
        <w:t xml:space="preserve"> the section 366.26 hearing</w:t>
      </w:r>
      <w:r w:rsidRPr="0054790E">
        <w:rPr>
          <w:rFonts w:ascii="Century Schoolbook" w:hAnsi="Century Schoolbook"/>
        </w:rPr>
        <w:t xml:space="preserve">, </w:t>
      </w:r>
      <w:r w:rsidRPr="0054790E">
        <w:rPr>
          <w:rFonts w:ascii="Century Schoolbook" w:hAnsi="Century Schoolbook"/>
        </w:rPr>
        <w:t>the Alameda County Superior Court found “that the child is not an Indian child, and no further notice is required under ICWA based upon the following:</w:t>
      </w:r>
      <w:r w:rsidRPr="0054790E">
        <w:rPr>
          <w:rFonts w:ascii="Century Schoolbook" w:hAnsi="Century Schoolbook"/>
        </w:rPr>
        <w:t xml:space="preserve"> </w:t>
      </w:r>
      <w:r w:rsidRPr="0054790E">
        <w:rPr>
          <w:rFonts w:ascii="Century Schoolbook" w:hAnsi="Century Schoolbook"/>
        </w:rPr>
        <w:t xml:space="preserve">[¶] </w:t>
      </w:r>
      <w:r w:rsidRPr="0054790E">
        <w:rPr>
          <w:rFonts w:ascii="Century Schoolbook" w:hAnsi="Century Schoolbook"/>
        </w:rPr>
        <w:t>. . . [O]n April</w:t>
      </w:r>
      <w:r>
        <w:rPr>
          <w:rFonts w:ascii="Century Schoolbook" w:hAnsi="Century Schoolbook"/>
        </w:rPr>
        <w:t> </w:t>
      </w:r>
      <w:r w:rsidRPr="0054790E">
        <w:rPr>
          <w:rFonts w:ascii="Century Schoolbook" w:hAnsi="Century Schoolbook"/>
        </w:rPr>
        <w:t xml:space="preserve">1st, </w:t>
      </w:r>
      <w:proofErr w:type="gramStart"/>
      <w:r w:rsidRPr="0054790E">
        <w:rPr>
          <w:rFonts w:ascii="Century Schoolbook" w:hAnsi="Century Schoolbook"/>
        </w:rPr>
        <w:t>2021</w:t>
      </w:r>
      <w:proofErr w:type="gramEnd"/>
      <w:r w:rsidRPr="0054790E">
        <w:rPr>
          <w:rFonts w:ascii="Century Schoolbook" w:hAnsi="Century Schoolbook"/>
        </w:rPr>
        <w:t xml:space="preserve"> Contra Costa . . . Court found that ICWA does not apply to this dependency matter. The reason is because the Court there inquired of both the mother and father who both indicated they did not have Native </w:t>
      </w:r>
      <w:r w:rsidRPr="0054790E">
        <w:rPr>
          <w:rFonts w:ascii="Century Schoolbook" w:hAnsi="Century Schoolbook"/>
        </w:rPr>
        <w:lastRenderedPageBreak/>
        <w:t>American or American Indian ancestry.”</w:t>
      </w:r>
      <w:r>
        <w:rPr>
          <w:rStyle w:val="FootnoteReference"/>
          <w:rFonts w:ascii="Century Schoolbook" w:hAnsi="Century Schoolbook"/>
        </w:rPr>
        <w:footnoteReference w:id="4"/>
      </w:r>
      <w:r w:rsidRPr="0054790E">
        <w:rPr>
          <w:rFonts w:ascii="Century Schoolbook" w:hAnsi="Century Schoolbook"/>
        </w:rPr>
        <w:t xml:space="preserve"> </w:t>
      </w:r>
      <w:r w:rsidRPr="0054790E">
        <w:rPr>
          <w:rFonts w:ascii="Century Schoolbook" w:hAnsi="Century Schoolbook"/>
        </w:rPr>
        <w:t xml:space="preserve">Accordingly, the juvenile court </w:t>
      </w:r>
      <w:r w:rsidRPr="0054790E">
        <w:rPr>
          <w:rFonts w:ascii="Century Schoolbook" w:hAnsi="Century Schoolbook"/>
        </w:rPr>
        <w:t>terminated the respective</w:t>
      </w:r>
      <w:r w:rsidRPr="0054790E">
        <w:rPr>
          <w:rFonts w:ascii="Century Schoolbook" w:hAnsi="Century Schoolbook"/>
        </w:rPr>
        <w:t xml:space="preserve"> parental rights of mother and presumed father. </w:t>
      </w:r>
    </w:p>
    <w:p w14:paraId="2367E507" w14:textId="77777777" w:rsidR="00A13071" w:rsidRPr="0054790E" w:rsidRDefault="00A13071" w:rsidP="005B5853">
      <w:pPr>
        <w:spacing w:line="360" w:lineRule="auto"/>
        <w:rPr>
          <w:rFonts w:ascii="Century Schoolbook" w:hAnsi="Century Schoolbook"/>
        </w:rPr>
      </w:pPr>
      <w:r w:rsidRPr="0054790E">
        <w:rPr>
          <w:rFonts w:ascii="Century Schoolbook" w:hAnsi="Century Schoolbook"/>
        </w:rPr>
        <w:tab/>
        <w:t>This appeal followed.</w:t>
      </w:r>
    </w:p>
    <w:p w14:paraId="63CA0626" w14:textId="77777777" w:rsidR="00A13071" w:rsidRPr="0054790E" w:rsidRDefault="00A13071" w:rsidP="000F4778">
      <w:pPr>
        <w:pStyle w:val="ListParagraph"/>
        <w:spacing w:line="360" w:lineRule="auto"/>
        <w:ind w:left="360"/>
        <w:jc w:val="center"/>
        <w:rPr>
          <w:rFonts w:ascii="Century Schoolbook" w:hAnsi="Century Schoolbook"/>
          <w:b/>
        </w:rPr>
      </w:pPr>
      <w:r w:rsidRPr="0054790E">
        <w:rPr>
          <w:rFonts w:ascii="Century Schoolbook" w:hAnsi="Century Schoolbook"/>
          <w:b/>
        </w:rPr>
        <w:t>DISCUSSION</w:t>
      </w:r>
    </w:p>
    <w:p w14:paraId="585ABA04" w14:textId="77777777" w:rsidR="00A13071" w:rsidRPr="0054790E" w:rsidRDefault="00A13071" w:rsidP="002A6072">
      <w:pPr>
        <w:spacing w:line="360" w:lineRule="auto"/>
        <w:rPr>
          <w:rFonts w:ascii="Century Schoolbook" w:hAnsi="Century Schoolbook"/>
          <w:bCs/>
        </w:rPr>
      </w:pPr>
      <w:r w:rsidRPr="0054790E">
        <w:rPr>
          <w:rFonts w:ascii="Century Schoolbook" w:hAnsi="Century Schoolbook"/>
          <w:b/>
        </w:rPr>
        <w:tab/>
      </w:r>
      <w:r>
        <w:rPr>
          <w:rFonts w:ascii="Century Schoolbook" w:hAnsi="Century Schoolbook"/>
          <w:bCs/>
        </w:rPr>
        <w:t>Mother</w:t>
      </w:r>
      <w:r w:rsidRPr="0054790E">
        <w:rPr>
          <w:rFonts w:ascii="Century Schoolbook" w:hAnsi="Century Schoolbook"/>
          <w:bCs/>
        </w:rPr>
        <w:t xml:space="preserve"> argues that “the juvenile court erred when it failed to ensure adequate inquiry was completed pursuant to” ICWA. (Capitalization omitted.) We agree.</w:t>
      </w:r>
    </w:p>
    <w:p w14:paraId="2B9F1FF8" w14:textId="77777777" w:rsidR="00A13071" w:rsidRPr="0054790E" w:rsidRDefault="00A13071" w:rsidP="001C1C89">
      <w:pPr>
        <w:spacing w:line="360" w:lineRule="auto"/>
        <w:rPr>
          <w:rFonts w:ascii="Century Schoolbook" w:hAnsi="Century Schoolbook"/>
          <w:bCs/>
        </w:rPr>
      </w:pPr>
      <w:r w:rsidRPr="0054790E">
        <w:rPr>
          <w:rFonts w:ascii="Century Schoolbook" w:hAnsi="Century Schoolbook"/>
          <w:bCs/>
        </w:rPr>
        <w:tab/>
      </w:r>
      <w:r w:rsidRPr="0054790E">
        <w:rPr>
          <w:rFonts w:ascii="Century Schoolbook" w:hAnsi="Century Schoolbook"/>
          <w:bCs/>
        </w:rPr>
        <w:t>A</w:t>
      </w:r>
      <w:r w:rsidRPr="0054790E">
        <w:rPr>
          <w:rFonts w:ascii="Century Schoolbook" w:hAnsi="Century Schoolbook"/>
          <w:bCs/>
        </w:rPr>
        <w:t xml:space="preserve"> trial court’s determination that “an inquiry was ‘adequate</w:t>
      </w:r>
      <w:proofErr w:type="gramStart"/>
      <w:r w:rsidRPr="0054790E">
        <w:rPr>
          <w:rFonts w:ascii="Century Schoolbook" w:hAnsi="Century Schoolbook"/>
          <w:bCs/>
        </w:rPr>
        <w:t>’</w:t>
      </w:r>
      <w:proofErr w:type="gramEnd"/>
      <w:r w:rsidRPr="0054790E">
        <w:rPr>
          <w:rFonts w:ascii="Century Schoolbook" w:hAnsi="Century Schoolbook"/>
          <w:bCs/>
        </w:rPr>
        <w:t xml:space="preserve"> and an agency acted with appropriate diligence” is reviewed for abuse of discretion. </w:t>
      </w:r>
      <w:r w:rsidRPr="0054790E">
        <w:rPr>
          <w:rFonts w:ascii="Century Schoolbook" w:hAnsi="Century Schoolbook"/>
          <w:bCs/>
        </w:rPr>
        <w:t>(</w:t>
      </w:r>
      <w:r w:rsidRPr="0054790E">
        <w:rPr>
          <w:rFonts w:ascii="Century Schoolbook" w:hAnsi="Century Schoolbook"/>
          <w:bCs/>
          <w:i/>
          <w:iCs/>
        </w:rPr>
        <w:t>In re Ezequiel G.</w:t>
      </w:r>
      <w:r w:rsidRPr="0054790E">
        <w:rPr>
          <w:rFonts w:ascii="Century Schoolbook" w:hAnsi="Century Schoolbook"/>
          <w:bCs/>
        </w:rPr>
        <w:t xml:space="preserve"> (2022) 81 Cal.App.5th 984, 1004–</w:t>
      </w:r>
      <w:r>
        <w:rPr>
          <w:rFonts w:ascii="Century Schoolbook" w:hAnsi="Century Schoolbook"/>
          <w:bCs/>
        </w:rPr>
        <w:t>10</w:t>
      </w:r>
      <w:r w:rsidRPr="0054790E">
        <w:rPr>
          <w:rFonts w:ascii="Century Schoolbook" w:hAnsi="Century Schoolbook"/>
          <w:bCs/>
        </w:rPr>
        <w:t>05.)</w:t>
      </w:r>
      <w:r w:rsidRPr="0054790E">
        <w:rPr>
          <w:rFonts w:ascii="Century Schoolbook" w:hAnsi="Century Schoolbook"/>
          <w:bCs/>
        </w:rPr>
        <w:t xml:space="preserve"> </w:t>
      </w:r>
      <w:r w:rsidRPr="0054790E">
        <w:rPr>
          <w:rFonts w:ascii="Century Schoolbook" w:hAnsi="Century Schoolbook"/>
          <w:bCs/>
        </w:rPr>
        <w:t xml:space="preserve">The standard for assessing whether </w:t>
      </w:r>
      <w:r w:rsidRPr="0054790E">
        <w:rPr>
          <w:rFonts w:ascii="Century Schoolbook" w:hAnsi="Century Schoolbook"/>
          <w:bCs/>
        </w:rPr>
        <w:t xml:space="preserve">such </w:t>
      </w:r>
      <w:r w:rsidRPr="0054790E">
        <w:rPr>
          <w:rFonts w:ascii="Century Schoolbook" w:hAnsi="Century Schoolbook"/>
          <w:bCs/>
        </w:rPr>
        <w:t>an error was prejudicial is a matter of ongoing controversy now pending in our Supreme Court</w:t>
      </w:r>
      <w:r w:rsidRPr="0054790E">
        <w:rPr>
          <w:rFonts w:ascii="Century Schoolbook" w:hAnsi="Century Schoolbook"/>
          <w:bCs/>
        </w:rPr>
        <w:t>. (</w:t>
      </w:r>
      <w:r w:rsidRPr="0054790E">
        <w:rPr>
          <w:rFonts w:ascii="Century Schoolbook" w:hAnsi="Century Schoolbook"/>
          <w:i/>
          <w:iCs/>
        </w:rPr>
        <w:t>In re Dezi C.</w:t>
      </w:r>
      <w:r w:rsidRPr="0054790E">
        <w:rPr>
          <w:rFonts w:ascii="Century Schoolbook" w:hAnsi="Century Schoolbook"/>
        </w:rPr>
        <w:t xml:space="preserve"> (2022) 79</w:t>
      </w:r>
      <w:r>
        <w:rPr>
          <w:rFonts w:ascii="Century Schoolbook" w:hAnsi="Century Schoolbook"/>
        </w:rPr>
        <w:t> </w:t>
      </w:r>
      <w:r w:rsidRPr="0054790E">
        <w:rPr>
          <w:rFonts w:ascii="Century Schoolbook" w:hAnsi="Century Schoolbook"/>
        </w:rPr>
        <w:t>Cal.App.5th 769, review granted September 21, 2022</w:t>
      </w:r>
      <w:r>
        <w:rPr>
          <w:rFonts w:ascii="Century Schoolbook" w:hAnsi="Century Schoolbook"/>
        </w:rPr>
        <w:t>, S275578</w:t>
      </w:r>
      <w:r w:rsidRPr="0054790E">
        <w:rPr>
          <w:rFonts w:ascii="Century Schoolbook" w:hAnsi="Century Schoolbook"/>
        </w:rPr>
        <w:t>.)</w:t>
      </w:r>
      <w:r w:rsidRPr="0054790E">
        <w:rPr>
          <w:rFonts w:ascii="Century Schoolbook" w:hAnsi="Century Schoolbook"/>
          <w:bCs/>
        </w:rPr>
        <w:t xml:space="preserve"> </w:t>
      </w:r>
      <w:r w:rsidRPr="0054790E">
        <w:rPr>
          <w:rFonts w:ascii="Century Schoolbook" w:hAnsi="Century Schoolbook"/>
          <w:bCs/>
        </w:rPr>
        <w:t>L</w:t>
      </w:r>
      <w:r w:rsidRPr="0054790E">
        <w:rPr>
          <w:rFonts w:ascii="Century Schoolbook" w:hAnsi="Century Schoolbook"/>
          <w:bCs/>
        </w:rPr>
        <w:t xml:space="preserve">ike our colleagues in Division </w:t>
      </w:r>
      <w:r>
        <w:rPr>
          <w:rFonts w:ascii="Century Schoolbook" w:hAnsi="Century Schoolbook"/>
          <w:bCs/>
        </w:rPr>
        <w:t>Two</w:t>
      </w:r>
      <w:r w:rsidRPr="0054790E">
        <w:rPr>
          <w:rFonts w:ascii="Century Schoolbook" w:hAnsi="Century Schoolbook"/>
          <w:bCs/>
        </w:rPr>
        <w:t xml:space="preserve"> of this court, we “adopt the standard of” </w:t>
      </w:r>
      <w:r w:rsidRPr="0054790E">
        <w:rPr>
          <w:rFonts w:ascii="Century Schoolbook" w:hAnsi="Century Schoolbook"/>
          <w:bCs/>
          <w:i/>
          <w:iCs/>
        </w:rPr>
        <w:t xml:space="preserve">In re Benjamin M. </w:t>
      </w:r>
      <w:r w:rsidRPr="0054790E">
        <w:rPr>
          <w:rFonts w:ascii="Century Schoolbook" w:hAnsi="Century Schoolbook"/>
          <w:bCs/>
        </w:rPr>
        <w:t>(2021) 70 Cal.App.5th 735, 744</w:t>
      </w:r>
      <w:r w:rsidRPr="0054790E">
        <w:rPr>
          <w:rFonts w:ascii="Century Schoolbook" w:hAnsi="Century Schoolbook"/>
          <w:bCs/>
        </w:rPr>
        <w:t xml:space="preserve"> (</w:t>
      </w:r>
      <w:r w:rsidRPr="0054790E">
        <w:rPr>
          <w:rFonts w:ascii="Century Schoolbook" w:hAnsi="Century Schoolbook"/>
          <w:bCs/>
          <w:i/>
          <w:iCs/>
        </w:rPr>
        <w:t>Benjamin M.</w:t>
      </w:r>
      <w:r w:rsidRPr="00A34647">
        <w:rPr>
          <w:rFonts w:ascii="Century Schoolbook" w:hAnsi="Century Schoolbook"/>
          <w:bCs/>
        </w:rPr>
        <w:t>)</w:t>
      </w:r>
      <w:r w:rsidRPr="0054790E">
        <w:rPr>
          <w:rFonts w:ascii="Century Schoolbook" w:hAnsi="Century Schoolbook"/>
          <w:bCs/>
          <w:i/>
          <w:iCs/>
        </w:rPr>
        <w:t>,</w:t>
      </w:r>
      <w:r w:rsidRPr="0054790E">
        <w:rPr>
          <w:rFonts w:ascii="Century Schoolbook" w:hAnsi="Century Schoolbook"/>
          <w:bCs/>
        </w:rPr>
        <w:t xml:space="preserve"> which requires reversal “</w:t>
      </w:r>
      <w:r>
        <w:rPr>
          <w:rFonts w:ascii="Century Schoolbook" w:hAnsi="Century Schoolbook"/>
          <w:bCs/>
        </w:rPr>
        <w:t> </w:t>
      </w:r>
      <w:r w:rsidRPr="0054790E">
        <w:rPr>
          <w:rFonts w:ascii="Century Schoolbook" w:hAnsi="Century Schoolbook"/>
          <w:bCs/>
        </w:rPr>
        <w:t>‘where the record demonstrates that the agency has not only failed in its duty of initial inquiry, but where the record indicates that there was readily obtainable information that was likely to bear meaningfully upon whether the child is an Indian child.’</w:t>
      </w:r>
      <w:r>
        <w:rPr>
          <w:rFonts w:ascii="Century Schoolbook" w:hAnsi="Century Schoolbook"/>
          <w:bCs/>
        </w:rPr>
        <w:t> </w:t>
      </w:r>
      <w:r w:rsidRPr="0054790E">
        <w:rPr>
          <w:rFonts w:ascii="Century Schoolbook" w:hAnsi="Century Schoolbook"/>
          <w:bCs/>
        </w:rPr>
        <w:t>”</w:t>
      </w:r>
      <w:r>
        <w:rPr>
          <w:rStyle w:val="FootnoteReference"/>
          <w:rFonts w:ascii="Century Schoolbook" w:hAnsi="Century Schoolbook"/>
          <w:bCs/>
        </w:rPr>
        <w:footnoteReference w:id="5"/>
      </w:r>
      <w:r w:rsidRPr="0054790E">
        <w:rPr>
          <w:rFonts w:ascii="Century Schoolbook" w:hAnsi="Century Schoolbook"/>
          <w:bCs/>
        </w:rPr>
        <w:t xml:space="preserve"> (</w:t>
      </w:r>
      <w:r w:rsidRPr="0054790E">
        <w:rPr>
          <w:rFonts w:ascii="Century Schoolbook" w:hAnsi="Century Schoolbook"/>
          <w:bCs/>
          <w:i/>
          <w:iCs/>
        </w:rPr>
        <w:t>In re V.C.</w:t>
      </w:r>
      <w:r w:rsidRPr="0054790E">
        <w:rPr>
          <w:rFonts w:ascii="Century Schoolbook" w:hAnsi="Century Schoolbook"/>
          <w:bCs/>
        </w:rPr>
        <w:t xml:space="preserve"> (2023) 95 Cal.App.5th 251, 262.)</w:t>
      </w:r>
    </w:p>
    <w:p w14:paraId="129A31E2" w14:textId="77777777" w:rsidR="00A13071" w:rsidRPr="0054790E" w:rsidRDefault="00A13071" w:rsidP="009650F8">
      <w:pPr>
        <w:spacing w:line="360" w:lineRule="auto"/>
        <w:rPr>
          <w:rFonts w:ascii="Century Schoolbook" w:hAnsi="Century Schoolbook"/>
          <w:bCs/>
        </w:rPr>
      </w:pPr>
      <w:r w:rsidRPr="0054790E">
        <w:rPr>
          <w:rFonts w:ascii="Century Schoolbook" w:hAnsi="Century Schoolbook"/>
          <w:bCs/>
        </w:rPr>
        <w:lastRenderedPageBreak/>
        <w:tab/>
      </w:r>
      <w:r w:rsidRPr="0054790E">
        <w:rPr>
          <w:rFonts w:ascii="Century Schoolbook" w:hAnsi="Century Schoolbook"/>
          <w:bCs/>
        </w:rPr>
        <w:t>A</w:t>
      </w:r>
      <w:r w:rsidRPr="0054790E">
        <w:rPr>
          <w:rFonts w:ascii="Century Schoolbook" w:hAnsi="Century Schoolbook"/>
          <w:bCs/>
        </w:rPr>
        <w:t>nother</w:t>
      </w:r>
      <w:r w:rsidRPr="0054790E">
        <w:rPr>
          <w:rFonts w:ascii="Century Schoolbook" w:hAnsi="Century Schoolbook"/>
          <w:bCs/>
        </w:rPr>
        <w:t xml:space="preserve"> controversy exists over what the requisite</w:t>
      </w:r>
      <w:r w:rsidRPr="0054790E">
        <w:rPr>
          <w:rFonts w:ascii="Century Schoolbook" w:hAnsi="Century Schoolbook"/>
          <w:bCs/>
        </w:rPr>
        <w:t xml:space="preserve"> ICWA</w:t>
      </w:r>
      <w:r w:rsidRPr="0054790E">
        <w:rPr>
          <w:rFonts w:ascii="Century Schoolbook" w:hAnsi="Century Schoolbook"/>
          <w:bCs/>
        </w:rPr>
        <w:t xml:space="preserve"> inquiry entails. (</w:t>
      </w:r>
      <w:r w:rsidRPr="0054790E">
        <w:rPr>
          <w:rFonts w:ascii="Century Schoolbook" w:hAnsi="Century Schoolbook"/>
          <w:bCs/>
          <w:i/>
          <w:iCs/>
        </w:rPr>
        <w:t>In re Delila D.</w:t>
      </w:r>
      <w:r w:rsidRPr="0054790E">
        <w:rPr>
          <w:rFonts w:ascii="Century Schoolbook" w:hAnsi="Century Schoolbook"/>
          <w:bCs/>
        </w:rPr>
        <w:t xml:space="preserve"> (2023) 93 Cal.App.5th 953</w:t>
      </w:r>
      <w:r w:rsidRPr="0054790E">
        <w:rPr>
          <w:rFonts w:ascii="Century Schoolbook" w:hAnsi="Century Schoolbook"/>
          <w:bCs/>
        </w:rPr>
        <w:t xml:space="preserve"> (</w:t>
      </w:r>
      <w:r w:rsidRPr="0054790E">
        <w:rPr>
          <w:rFonts w:ascii="Century Schoolbook" w:hAnsi="Century Schoolbook"/>
          <w:bCs/>
          <w:i/>
          <w:iCs/>
        </w:rPr>
        <w:t>Delila D.</w:t>
      </w:r>
      <w:r w:rsidRPr="0054790E">
        <w:rPr>
          <w:rFonts w:ascii="Century Schoolbook" w:hAnsi="Century Schoolbook"/>
          <w:bCs/>
        </w:rPr>
        <w:t>)</w:t>
      </w:r>
      <w:r w:rsidRPr="0054790E">
        <w:rPr>
          <w:rFonts w:ascii="Century Schoolbook" w:hAnsi="Century Schoolbook"/>
          <w:bCs/>
        </w:rPr>
        <w:t>, review granted</w:t>
      </w:r>
      <w:r w:rsidRPr="0054790E">
        <w:rPr>
          <w:rFonts w:ascii="Century Schoolbook" w:hAnsi="Century Schoolbook"/>
          <w:bCs/>
        </w:rPr>
        <w:t xml:space="preserve"> September 27, 2023</w:t>
      </w:r>
      <w:r>
        <w:rPr>
          <w:rFonts w:ascii="Century Schoolbook" w:hAnsi="Century Schoolbook"/>
          <w:bCs/>
        </w:rPr>
        <w:t>, S281447</w:t>
      </w:r>
      <w:r w:rsidRPr="0054790E">
        <w:rPr>
          <w:rFonts w:ascii="Century Schoolbook" w:hAnsi="Century Schoolbook"/>
          <w:bCs/>
        </w:rPr>
        <w:t xml:space="preserve">.) Section 224.2, subdivision (b), </w:t>
      </w:r>
      <w:r w:rsidRPr="0054790E">
        <w:rPr>
          <w:rFonts w:ascii="Century Schoolbook" w:hAnsi="Century Schoolbook"/>
          <w:bCs/>
        </w:rPr>
        <w:t>provides: “If a child is placed into the temporary custody of a county welfare department pursuant to Section 306</w:t>
      </w:r>
      <w:r w:rsidRPr="0054790E">
        <w:rPr>
          <w:rFonts w:ascii="Century Schoolbook" w:hAnsi="Century Schoolbook"/>
          <w:bCs/>
        </w:rPr>
        <w:t xml:space="preserve"> </w:t>
      </w:r>
      <w:proofErr w:type="gramStart"/>
      <w:r w:rsidRPr="0054790E">
        <w:rPr>
          <w:rFonts w:ascii="Century Schoolbook" w:hAnsi="Century Schoolbook"/>
          <w:bCs/>
        </w:rPr>
        <w:t>. . .</w:t>
      </w:r>
      <w:r>
        <w:rPr>
          <w:rFonts w:ascii="Century Schoolbook" w:hAnsi="Century Schoolbook"/>
          <w:bCs/>
        </w:rPr>
        <w:t> </w:t>
      </w:r>
      <w:r w:rsidRPr="0054790E">
        <w:rPr>
          <w:rFonts w:ascii="Century Schoolbook" w:hAnsi="Century Schoolbook"/>
          <w:bCs/>
        </w:rPr>
        <w:t>,</w:t>
      </w:r>
      <w:proofErr w:type="gramEnd"/>
      <w:r w:rsidRPr="0054790E">
        <w:rPr>
          <w:rFonts w:ascii="Century Schoolbook" w:hAnsi="Century Schoolbook"/>
          <w:bCs/>
        </w:rPr>
        <w:t xml:space="preserve"> the county welfare department or county probation department has a duty to inquire whether that child is an Indian child. Inquiry includes, but is not limited to, asking </w:t>
      </w:r>
      <w:r w:rsidRPr="0054790E">
        <w:rPr>
          <w:rFonts w:ascii="Century Schoolbook" w:hAnsi="Century Schoolbook"/>
          <w:bCs/>
        </w:rPr>
        <w:t>. . .</w:t>
      </w:r>
      <w:r w:rsidRPr="0054790E">
        <w:rPr>
          <w:rFonts w:ascii="Century Schoolbook" w:hAnsi="Century Schoolbook"/>
          <w:bCs/>
        </w:rPr>
        <w:t xml:space="preserve"> extended family members” </w:t>
      </w:r>
      <w:r w:rsidRPr="0054790E">
        <w:rPr>
          <w:rFonts w:ascii="Century Schoolbook" w:hAnsi="Century Schoolbook"/>
          <w:bCs/>
        </w:rPr>
        <w:t>(</w:t>
      </w:r>
      <w:r w:rsidRPr="0054790E">
        <w:rPr>
          <w:rFonts w:ascii="Century Schoolbook" w:hAnsi="Century Schoolbook"/>
          <w:bCs/>
        </w:rPr>
        <w:t>among others</w:t>
      </w:r>
      <w:r w:rsidRPr="0054790E">
        <w:rPr>
          <w:rFonts w:ascii="Century Schoolbook" w:hAnsi="Century Schoolbook"/>
          <w:bCs/>
        </w:rPr>
        <w:t>)</w:t>
      </w:r>
      <w:r w:rsidRPr="0054790E">
        <w:rPr>
          <w:rFonts w:ascii="Century Schoolbook" w:hAnsi="Century Schoolbook"/>
          <w:bCs/>
        </w:rPr>
        <w:t xml:space="preserve"> “whether the child is, or may be, an Indian child</w:t>
      </w:r>
      <w:r w:rsidRPr="0054790E">
        <w:rPr>
          <w:rFonts w:ascii="Century Schoolbook" w:hAnsi="Century Schoolbook"/>
          <w:bCs/>
        </w:rPr>
        <w:t> </w:t>
      </w:r>
      <w:proofErr w:type="gramStart"/>
      <w:r w:rsidRPr="0054790E">
        <w:rPr>
          <w:rFonts w:ascii="Century Schoolbook" w:hAnsi="Century Schoolbook"/>
          <w:bCs/>
        </w:rPr>
        <w:t>.</w:t>
      </w:r>
      <w:r w:rsidRPr="0054790E">
        <w:rPr>
          <w:rFonts w:ascii="Century Schoolbook" w:hAnsi="Century Schoolbook"/>
          <w:bCs/>
        </w:rPr>
        <w:t> </w:t>
      </w:r>
      <w:r w:rsidRPr="0054790E">
        <w:rPr>
          <w:rFonts w:ascii="Century Schoolbook" w:hAnsi="Century Schoolbook"/>
          <w:bCs/>
        </w:rPr>
        <w:t>.</w:t>
      </w:r>
      <w:r w:rsidRPr="0054790E">
        <w:rPr>
          <w:rFonts w:ascii="Century Schoolbook" w:hAnsi="Century Schoolbook"/>
          <w:bCs/>
        </w:rPr>
        <w:t> </w:t>
      </w:r>
      <w:r w:rsidRPr="0054790E">
        <w:rPr>
          <w:rFonts w:ascii="Century Schoolbook" w:hAnsi="Century Schoolbook"/>
          <w:bCs/>
        </w:rPr>
        <w:t>.</w:t>
      </w:r>
      <w:r w:rsidRPr="0054790E">
        <w:rPr>
          <w:rFonts w:ascii="Century Schoolbook" w:hAnsi="Century Schoolbook"/>
          <w:bCs/>
        </w:rPr>
        <w:t> </w:t>
      </w:r>
      <w:r w:rsidRPr="0054790E">
        <w:rPr>
          <w:rFonts w:ascii="Century Schoolbook" w:hAnsi="Century Schoolbook"/>
          <w:bCs/>
        </w:rPr>
        <w:t>.</w:t>
      </w:r>
      <w:proofErr w:type="gramEnd"/>
      <w:r w:rsidRPr="0054790E">
        <w:rPr>
          <w:rFonts w:ascii="Century Schoolbook" w:hAnsi="Century Schoolbook"/>
          <w:bCs/>
        </w:rPr>
        <w:t>”</w:t>
      </w:r>
      <w:r w:rsidRPr="0054790E">
        <w:rPr>
          <w:rFonts w:ascii="Century Schoolbook" w:hAnsi="Century Schoolbook"/>
          <w:bCs/>
        </w:rPr>
        <w:t xml:space="preserve"> Appellate courts have disagreed as to whether that prescribed inquiry </w:t>
      </w:r>
      <w:r w:rsidRPr="0054790E">
        <w:rPr>
          <w:rFonts w:ascii="Century Schoolbook" w:hAnsi="Century Schoolbook"/>
          <w:bCs/>
        </w:rPr>
        <w:t>is required</w:t>
      </w:r>
      <w:r w:rsidRPr="0054790E">
        <w:rPr>
          <w:rFonts w:ascii="Century Schoolbook" w:hAnsi="Century Schoolbook"/>
          <w:bCs/>
        </w:rPr>
        <w:t xml:space="preserve"> where, as here, the child has bee</w:t>
      </w:r>
      <w:r w:rsidRPr="0054790E">
        <w:rPr>
          <w:rFonts w:ascii="Century Schoolbook" w:hAnsi="Century Schoolbook"/>
          <w:bCs/>
        </w:rPr>
        <w:t>n taken into protective custody pursuant to a warrant</w:t>
      </w:r>
      <w:r w:rsidRPr="0054790E">
        <w:rPr>
          <w:rFonts w:ascii="Century Schoolbook" w:hAnsi="Century Schoolbook"/>
          <w:bCs/>
        </w:rPr>
        <w:t xml:space="preserve">, and </w:t>
      </w:r>
      <w:r w:rsidRPr="0054790E">
        <w:rPr>
          <w:rFonts w:ascii="Century Schoolbook" w:hAnsi="Century Schoolbook"/>
          <w:bCs/>
        </w:rPr>
        <w:t>not “pursuant to Section 306</w:t>
      </w:r>
      <w:r w:rsidRPr="0054790E">
        <w:rPr>
          <w:rFonts w:ascii="Century Schoolbook" w:hAnsi="Century Schoolbook"/>
          <w:bCs/>
        </w:rPr>
        <w:t xml:space="preserve"> </w:t>
      </w:r>
      <w:proofErr w:type="gramStart"/>
      <w:r w:rsidRPr="0054790E">
        <w:rPr>
          <w:rFonts w:ascii="Century Schoolbook" w:hAnsi="Century Schoolbook"/>
          <w:bCs/>
        </w:rPr>
        <w:t>. . . .</w:t>
      </w:r>
      <w:proofErr w:type="gramEnd"/>
      <w:r w:rsidRPr="0054790E">
        <w:rPr>
          <w:rFonts w:ascii="Century Schoolbook" w:hAnsi="Century Schoolbook"/>
          <w:bCs/>
        </w:rPr>
        <w:t>” (</w:t>
      </w:r>
      <w:r w:rsidRPr="0054790E">
        <w:rPr>
          <w:rFonts w:ascii="Century Schoolbook" w:hAnsi="Century Schoolbook"/>
          <w:bCs/>
          <w:i/>
          <w:iCs/>
        </w:rPr>
        <w:t>Ibid.</w:t>
      </w:r>
      <w:r w:rsidRPr="0054790E">
        <w:rPr>
          <w:rFonts w:ascii="Century Schoolbook" w:hAnsi="Century Schoolbook"/>
          <w:bCs/>
        </w:rPr>
        <w:t xml:space="preserve">) </w:t>
      </w:r>
    </w:p>
    <w:p w14:paraId="407854D6" w14:textId="77777777" w:rsidR="00A13071" w:rsidRPr="0054790E" w:rsidRDefault="00A13071" w:rsidP="009650F8">
      <w:pPr>
        <w:spacing w:line="360" w:lineRule="auto"/>
        <w:rPr>
          <w:rFonts w:ascii="Century Schoolbook" w:hAnsi="Century Schoolbook"/>
          <w:bCs/>
        </w:rPr>
      </w:pPr>
      <w:r w:rsidRPr="0054790E">
        <w:rPr>
          <w:rFonts w:ascii="Century Schoolbook" w:hAnsi="Century Schoolbook"/>
          <w:bCs/>
        </w:rPr>
        <w:tab/>
      </w:r>
      <w:r w:rsidRPr="0054790E">
        <w:rPr>
          <w:rFonts w:ascii="Century Schoolbook" w:hAnsi="Century Schoolbook"/>
          <w:bCs/>
        </w:rPr>
        <w:t xml:space="preserve">Answering in the negative and </w:t>
      </w:r>
      <w:r w:rsidRPr="0054790E">
        <w:rPr>
          <w:rFonts w:ascii="Century Schoolbook" w:hAnsi="Century Schoolbook"/>
          <w:bCs/>
        </w:rPr>
        <w:t>urg</w:t>
      </w:r>
      <w:r w:rsidRPr="0054790E">
        <w:rPr>
          <w:rFonts w:ascii="Century Schoolbook" w:hAnsi="Century Schoolbook"/>
          <w:bCs/>
        </w:rPr>
        <w:t>ing a narrow approach</w:t>
      </w:r>
      <w:r w:rsidRPr="0054790E">
        <w:rPr>
          <w:rFonts w:ascii="Century Schoolbook" w:hAnsi="Century Schoolbook"/>
          <w:bCs/>
        </w:rPr>
        <w:t xml:space="preserve"> to the question</w:t>
      </w:r>
      <w:r w:rsidRPr="0054790E">
        <w:rPr>
          <w:rFonts w:ascii="Century Schoolbook" w:hAnsi="Century Schoolbook"/>
          <w:bCs/>
        </w:rPr>
        <w:t xml:space="preserve"> are authorities such as </w:t>
      </w:r>
      <w:proofErr w:type="gramStart"/>
      <w:r w:rsidRPr="0054790E">
        <w:rPr>
          <w:rFonts w:ascii="Century Schoolbook" w:hAnsi="Century Schoolbook"/>
          <w:bCs/>
          <w:i/>
          <w:iCs/>
        </w:rPr>
        <w:t>In</w:t>
      </w:r>
      <w:proofErr w:type="gramEnd"/>
      <w:r w:rsidRPr="0054790E">
        <w:rPr>
          <w:rFonts w:ascii="Century Schoolbook" w:hAnsi="Century Schoolbook"/>
          <w:bCs/>
          <w:i/>
          <w:iCs/>
        </w:rPr>
        <w:t xml:space="preserve"> re Robert F. </w:t>
      </w:r>
      <w:r w:rsidRPr="0054790E">
        <w:rPr>
          <w:rFonts w:ascii="Century Schoolbook" w:hAnsi="Century Schoolbook"/>
          <w:bCs/>
        </w:rPr>
        <w:t>(2023) 90 Cal.App.5th 492, 504</w:t>
      </w:r>
      <w:r w:rsidRPr="0054790E">
        <w:rPr>
          <w:rFonts w:ascii="Century Schoolbook" w:hAnsi="Century Schoolbook"/>
          <w:bCs/>
        </w:rPr>
        <w:t xml:space="preserve"> (</w:t>
      </w:r>
      <w:r w:rsidRPr="0054790E">
        <w:rPr>
          <w:rFonts w:ascii="Century Schoolbook" w:hAnsi="Century Schoolbook"/>
          <w:bCs/>
          <w:i/>
          <w:iCs/>
        </w:rPr>
        <w:t>Robert F.</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 xml:space="preserve">which </w:t>
      </w:r>
      <w:r w:rsidRPr="0054790E">
        <w:rPr>
          <w:rFonts w:ascii="Century Schoolbook" w:hAnsi="Century Schoolbook"/>
          <w:bCs/>
        </w:rPr>
        <w:t>purport to follow the “plain language of” the statute.</w:t>
      </w:r>
      <w:r w:rsidRPr="0054790E">
        <w:rPr>
          <w:rFonts w:ascii="Century Schoolbook" w:hAnsi="Century Schoolbook"/>
          <w:bCs/>
        </w:rPr>
        <w:t xml:space="preserve"> (See also </w:t>
      </w:r>
      <w:proofErr w:type="gramStart"/>
      <w:r w:rsidRPr="0054790E">
        <w:rPr>
          <w:rFonts w:ascii="Century Schoolbook" w:hAnsi="Century Schoolbook"/>
          <w:bCs/>
          <w:i/>
          <w:iCs/>
        </w:rPr>
        <w:t>In</w:t>
      </w:r>
      <w:proofErr w:type="gramEnd"/>
      <w:r w:rsidRPr="0054790E">
        <w:rPr>
          <w:rFonts w:ascii="Century Schoolbook" w:hAnsi="Century Schoolbook"/>
          <w:bCs/>
          <w:i/>
          <w:iCs/>
        </w:rPr>
        <w:t xml:space="preserve"> re </w:t>
      </w:r>
      <w:proofErr w:type="spellStart"/>
      <w:r w:rsidRPr="0054790E">
        <w:rPr>
          <w:rFonts w:ascii="Century Schoolbook" w:hAnsi="Century Schoolbook"/>
          <w:bCs/>
          <w:i/>
          <w:iCs/>
        </w:rPr>
        <w:t>Ja.O</w:t>
      </w:r>
      <w:proofErr w:type="spellEnd"/>
      <w:r w:rsidRPr="0054790E">
        <w:rPr>
          <w:rFonts w:ascii="Century Schoolbook" w:hAnsi="Century Schoolbook"/>
          <w:bCs/>
          <w:i/>
          <w:iCs/>
        </w:rPr>
        <w:t>.</w:t>
      </w:r>
      <w:r w:rsidRPr="0054790E">
        <w:rPr>
          <w:rFonts w:ascii="Century Schoolbook" w:hAnsi="Century Schoolbook"/>
          <w:bCs/>
        </w:rPr>
        <w:t xml:space="preserve"> (2023) 91 Cal.App.5th 672, 681</w:t>
      </w:r>
      <w:r w:rsidRPr="0054790E">
        <w:rPr>
          <w:rFonts w:ascii="Century Schoolbook" w:hAnsi="Century Schoolbook"/>
          <w:bCs/>
        </w:rPr>
        <w:t xml:space="preserve">, and </w:t>
      </w:r>
      <w:r w:rsidRPr="0054790E">
        <w:rPr>
          <w:rFonts w:ascii="Century Schoolbook" w:hAnsi="Century Schoolbook"/>
          <w:bCs/>
          <w:i/>
          <w:iCs/>
        </w:rPr>
        <w:t xml:space="preserve">In re </w:t>
      </w:r>
      <w:r w:rsidRPr="0054790E">
        <w:rPr>
          <w:rFonts w:ascii="Century Schoolbook" w:hAnsi="Century Schoolbook"/>
          <w:bCs/>
          <w:i/>
          <w:iCs/>
        </w:rPr>
        <w:t>Andres R.</w:t>
      </w:r>
      <w:r w:rsidRPr="0054790E">
        <w:rPr>
          <w:rFonts w:ascii="Century Schoolbook" w:hAnsi="Century Schoolbook"/>
          <w:bCs/>
        </w:rPr>
        <w:t xml:space="preserve"> (2023) 94 Cal.App.5th 828</w:t>
      </w:r>
      <w:r>
        <w:rPr>
          <w:rFonts w:ascii="Century Schoolbook" w:hAnsi="Century Schoolbook"/>
          <w:bCs/>
        </w:rPr>
        <w:t>, 845</w:t>
      </w:r>
      <w:r w:rsidRPr="0054790E">
        <w:rPr>
          <w:rFonts w:ascii="Century Schoolbook" w:hAnsi="Century Schoolbook"/>
          <w:bCs/>
        </w:rPr>
        <w:t xml:space="preserve"> (</w:t>
      </w:r>
      <w:r w:rsidRPr="0054790E">
        <w:rPr>
          <w:rFonts w:ascii="Century Schoolbook" w:hAnsi="Century Schoolbook"/>
          <w:bCs/>
          <w:i/>
          <w:iCs/>
        </w:rPr>
        <w:t>Andres R.</w:t>
      </w:r>
      <w:r w:rsidRPr="0054790E">
        <w:rPr>
          <w:rFonts w:ascii="Century Schoolbook" w:hAnsi="Century Schoolbook"/>
          <w:bCs/>
        </w:rPr>
        <w:t>)</w:t>
      </w:r>
      <w:r>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 xml:space="preserve">In </w:t>
      </w:r>
      <w:r w:rsidRPr="0054790E">
        <w:rPr>
          <w:rFonts w:ascii="Century Schoolbook" w:hAnsi="Century Schoolbook"/>
          <w:bCs/>
          <w:i/>
          <w:iCs/>
        </w:rPr>
        <w:t>Andres R.,</w:t>
      </w:r>
      <w:r w:rsidRPr="0054790E">
        <w:rPr>
          <w:rFonts w:ascii="Century Schoolbook" w:hAnsi="Century Schoolbook"/>
          <w:i/>
        </w:rPr>
        <w:t xml:space="preserve"> </w:t>
      </w:r>
      <w:r w:rsidRPr="0054790E">
        <w:rPr>
          <w:rFonts w:ascii="Century Schoolbook" w:hAnsi="Century Schoolbook"/>
        </w:rPr>
        <w:t xml:space="preserve">Division </w:t>
      </w:r>
      <w:r>
        <w:rPr>
          <w:rFonts w:ascii="Century Schoolbook" w:hAnsi="Century Schoolbook"/>
        </w:rPr>
        <w:t>Two</w:t>
      </w:r>
      <w:r w:rsidRPr="0054790E">
        <w:rPr>
          <w:rFonts w:ascii="Century Schoolbook" w:hAnsi="Century Schoolbook"/>
        </w:rPr>
        <w:t xml:space="preserve"> </w:t>
      </w:r>
      <w:r w:rsidRPr="0054790E">
        <w:rPr>
          <w:rFonts w:ascii="Century Schoolbook" w:hAnsi="Century Schoolbook"/>
        </w:rPr>
        <w:t>of t</w:t>
      </w:r>
      <w:r w:rsidRPr="0054790E">
        <w:rPr>
          <w:rFonts w:ascii="Century Schoolbook" w:hAnsi="Century Schoolbook"/>
        </w:rPr>
        <w:t xml:space="preserve">he </w:t>
      </w:r>
      <w:r>
        <w:rPr>
          <w:rFonts w:ascii="Century Schoolbook" w:hAnsi="Century Schoolbook"/>
        </w:rPr>
        <w:t xml:space="preserve">Court of Appeal, </w:t>
      </w:r>
      <w:r w:rsidRPr="0054790E">
        <w:rPr>
          <w:rFonts w:ascii="Century Schoolbook" w:hAnsi="Century Schoolbook"/>
        </w:rPr>
        <w:t xml:space="preserve">Fourth </w:t>
      </w:r>
      <w:r>
        <w:rPr>
          <w:rFonts w:ascii="Century Schoolbook" w:hAnsi="Century Schoolbook"/>
        </w:rPr>
        <w:t xml:space="preserve">Appellate </w:t>
      </w:r>
      <w:r w:rsidRPr="0054790E">
        <w:rPr>
          <w:rFonts w:ascii="Century Schoolbook" w:hAnsi="Century Schoolbook"/>
        </w:rPr>
        <w:t xml:space="preserve">District </w:t>
      </w:r>
      <w:r w:rsidRPr="0054790E">
        <w:rPr>
          <w:rFonts w:ascii="Century Schoolbook" w:hAnsi="Century Schoolbook"/>
          <w:bCs/>
        </w:rPr>
        <w:t xml:space="preserve">held </w:t>
      </w:r>
      <w:r w:rsidRPr="0054790E">
        <w:rPr>
          <w:rFonts w:ascii="Century Schoolbook" w:hAnsi="Century Schoolbook"/>
        </w:rPr>
        <w:t>that</w:t>
      </w:r>
      <w:r w:rsidRPr="0054790E">
        <w:rPr>
          <w:rFonts w:ascii="Century Schoolbook" w:hAnsi="Century Schoolbook"/>
        </w:rPr>
        <w:t xml:space="preserve"> the duty imposed by section 224.2, subdivision (b)</w:t>
      </w:r>
      <w:r w:rsidRPr="0054790E">
        <w:rPr>
          <w:rFonts w:ascii="Century Schoolbook" w:hAnsi="Century Schoolbook"/>
        </w:rPr>
        <w:t xml:space="preserve">, is </w:t>
      </w:r>
      <w:r w:rsidRPr="0054790E">
        <w:rPr>
          <w:rFonts w:ascii="Century Schoolbook" w:hAnsi="Century Schoolbook"/>
        </w:rPr>
        <w:t xml:space="preserve">expressly </w:t>
      </w:r>
      <w:r w:rsidRPr="0054790E">
        <w:rPr>
          <w:rFonts w:ascii="Century Schoolbook" w:hAnsi="Century Schoolbook"/>
        </w:rPr>
        <w:t xml:space="preserve">limited to warrantless removals, and that this </w:t>
      </w:r>
      <w:r w:rsidRPr="0054790E">
        <w:rPr>
          <w:rFonts w:ascii="Century Schoolbook" w:hAnsi="Century Schoolbook"/>
        </w:rPr>
        <w:t xml:space="preserve">construction </w:t>
      </w:r>
      <w:r w:rsidRPr="0054790E">
        <w:rPr>
          <w:rFonts w:ascii="Century Schoolbook" w:hAnsi="Century Schoolbook"/>
        </w:rPr>
        <w:t xml:space="preserve">neither conflicts with prior precedent nor </w:t>
      </w:r>
      <w:r w:rsidRPr="0054790E">
        <w:rPr>
          <w:rFonts w:ascii="Century Schoolbook" w:hAnsi="Century Schoolbook"/>
        </w:rPr>
        <w:t xml:space="preserve">undermines the purposes of </w:t>
      </w:r>
      <w:r w:rsidRPr="0054790E">
        <w:rPr>
          <w:rFonts w:ascii="Century Schoolbook" w:hAnsi="Century Schoolbook"/>
        </w:rPr>
        <w:t>ICWA.</w:t>
      </w:r>
      <w:r w:rsidRPr="0054790E">
        <w:rPr>
          <w:rFonts w:ascii="Century Schoolbook" w:hAnsi="Century Schoolbook"/>
        </w:rPr>
        <w:t xml:space="preserve"> (</w:t>
      </w:r>
      <w:r>
        <w:rPr>
          <w:rFonts w:ascii="Century Schoolbook" w:hAnsi="Century Schoolbook"/>
          <w:i/>
        </w:rPr>
        <w:t>Andres R</w:t>
      </w:r>
      <w:r w:rsidRPr="0054790E">
        <w:rPr>
          <w:rFonts w:ascii="Century Schoolbook" w:hAnsi="Century Schoolbook"/>
        </w:rPr>
        <w:t>.</w:t>
      </w:r>
      <w:r>
        <w:rPr>
          <w:rFonts w:ascii="Century Schoolbook" w:hAnsi="Century Schoolbook"/>
        </w:rPr>
        <w:t>,</w:t>
      </w:r>
      <w:r w:rsidRPr="0054790E">
        <w:rPr>
          <w:rFonts w:ascii="Century Schoolbook" w:hAnsi="Century Schoolbook"/>
        </w:rPr>
        <w:t xml:space="preserve"> at pp. </w:t>
      </w:r>
      <w:r w:rsidRPr="0054790E">
        <w:rPr>
          <w:rFonts w:ascii="Century Schoolbook" w:hAnsi="Century Schoolbook"/>
        </w:rPr>
        <w:t xml:space="preserve">846, </w:t>
      </w:r>
      <w:r w:rsidRPr="0054790E">
        <w:rPr>
          <w:rFonts w:ascii="Century Schoolbook" w:hAnsi="Century Schoolbook"/>
        </w:rPr>
        <w:t>845</w:t>
      </w:r>
      <w:r w:rsidRPr="0054790E">
        <w:rPr>
          <w:rFonts w:ascii="Century Schoolbook" w:hAnsi="Century Schoolbook"/>
        </w:rPr>
        <w:t>–</w:t>
      </w:r>
      <w:r>
        <w:rPr>
          <w:rFonts w:ascii="Century Schoolbook" w:hAnsi="Century Schoolbook"/>
        </w:rPr>
        <w:t>8</w:t>
      </w:r>
      <w:r w:rsidRPr="0054790E">
        <w:rPr>
          <w:rFonts w:ascii="Century Schoolbook" w:hAnsi="Century Schoolbook"/>
        </w:rPr>
        <w:t>55</w:t>
      </w:r>
      <w:r w:rsidRPr="0054790E">
        <w:rPr>
          <w:rFonts w:ascii="Century Schoolbook" w:hAnsi="Century Schoolbook"/>
        </w:rPr>
        <w:t>.)</w:t>
      </w:r>
      <w:r w:rsidRPr="0054790E">
        <w:rPr>
          <w:rFonts w:ascii="Century Schoolbook" w:hAnsi="Century Schoolbook"/>
        </w:rPr>
        <w:t xml:space="preserve"> </w:t>
      </w:r>
    </w:p>
    <w:p w14:paraId="635B763F" w14:textId="77777777" w:rsidR="00A13071" w:rsidRPr="0054790E" w:rsidRDefault="00A13071" w:rsidP="009650F8">
      <w:pPr>
        <w:spacing w:line="360" w:lineRule="auto"/>
        <w:rPr>
          <w:rFonts w:ascii="Century Schoolbook" w:hAnsi="Century Schoolbook"/>
        </w:rPr>
      </w:pPr>
      <w:r w:rsidRPr="0054790E">
        <w:rPr>
          <w:rFonts w:ascii="Century Schoolbook" w:hAnsi="Century Schoolbook"/>
          <w:bCs/>
        </w:rPr>
        <w:lastRenderedPageBreak/>
        <w:tab/>
      </w:r>
      <w:r w:rsidRPr="0054790E">
        <w:rPr>
          <w:rFonts w:ascii="Century Schoolbook" w:hAnsi="Century Schoolbook"/>
        </w:rPr>
        <w:t>In turn, r</w:t>
      </w:r>
      <w:r w:rsidRPr="0054790E">
        <w:rPr>
          <w:rFonts w:ascii="Century Schoolbook" w:hAnsi="Century Schoolbook"/>
        </w:rPr>
        <w:t>esponding</w:t>
      </w:r>
      <w:r w:rsidRPr="0054790E">
        <w:rPr>
          <w:rFonts w:ascii="Century Schoolbook" w:hAnsi="Century Schoolbook"/>
        </w:rPr>
        <w:t xml:space="preserve"> to</w:t>
      </w:r>
      <w:r w:rsidRPr="0054790E">
        <w:rPr>
          <w:rFonts w:ascii="Century Schoolbook" w:hAnsi="Century Schoolbook"/>
        </w:rPr>
        <w:t xml:space="preserve"> </w:t>
      </w:r>
      <w:r w:rsidRPr="0054790E">
        <w:rPr>
          <w:rFonts w:ascii="Century Schoolbook" w:hAnsi="Century Schoolbook"/>
          <w:i/>
        </w:rPr>
        <w:t>Andres R.</w:t>
      </w:r>
      <w:r w:rsidRPr="0054790E">
        <w:rPr>
          <w:rFonts w:ascii="Century Schoolbook" w:hAnsi="Century Schoolbook"/>
        </w:rPr>
        <w:t xml:space="preserve"> and </w:t>
      </w:r>
      <w:r w:rsidRPr="0054790E">
        <w:rPr>
          <w:rFonts w:ascii="Century Schoolbook" w:hAnsi="Century Schoolbook"/>
        </w:rPr>
        <w:t xml:space="preserve">defending </w:t>
      </w:r>
      <w:r w:rsidRPr="0054790E">
        <w:rPr>
          <w:rFonts w:ascii="Century Schoolbook" w:hAnsi="Century Schoolbook"/>
        </w:rPr>
        <w:t xml:space="preserve">the </w:t>
      </w:r>
      <w:r w:rsidRPr="0054790E">
        <w:rPr>
          <w:rFonts w:ascii="Century Schoolbook" w:hAnsi="Century Schoolbook"/>
        </w:rPr>
        <w:t>rival</w:t>
      </w:r>
      <w:r w:rsidRPr="0054790E">
        <w:rPr>
          <w:rFonts w:ascii="Century Schoolbook" w:hAnsi="Century Schoolbook"/>
        </w:rPr>
        <w:t xml:space="preserve"> construction originally </w:t>
      </w:r>
      <w:r w:rsidRPr="0054790E">
        <w:rPr>
          <w:rFonts w:ascii="Century Schoolbook" w:hAnsi="Century Schoolbook"/>
        </w:rPr>
        <w:t>championed</w:t>
      </w:r>
      <w:r w:rsidRPr="0054790E">
        <w:rPr>
          <w:rFonts w:ascii="Century Schoolbook" w:hAnsi="Century Schoolbook"/>
        </w:rPr>
        <w:t xml:space="preserve"> </w:t>
      </w:r>
      <w:r w:rsidRPr="0054790E">
        <w:rPr>
          <w:rFonts w:ascii="Century Schoolbook" w:hAnsi="Century Schoolbook"/>
        </w:rPr>
        <w:t>by</w:t>
      </w:r>
      <w:r w:rsidRPr="0054790E">
        <w:rPr>
          <w:rFonts w:ascii="Century Schoolbook" w:hAnsi="Century Schoolbook"/>
        </w:rPr>
        <w:t xml:space="preserve"> </w:t>
      </w:r>
      <w:r w:rsidRPr="0054790E">
        <w:rPr>
          <w:rFonts w:ascii="Century Schoolbook" w:hAnsi="Century Schoolbook"/>
          <w:i/>
        </w:rPr>
        <w:t>Delila D.</w:t>
      </w:r>
      <w:r w:rsidRPr="0054790E">
        <w:rPr>
          <w:rFonts w:ascii="Century Schoolbook" w:hAnsi="Century Schoolbook"/>
        </w:rPr>
        <w:t xml:space="preserve">, </w:t>
      </w:r>
      <w:r w:rsidRPr="0054790E">
        <w:rPr>
          <w:rFonts w:ascii="Century Schoolbook" w:hAnsi="Century Schoolbook"/>
          <w:i/>
        </w:rPr>
        <w:t>supra</w:t>
      </w:r>
      <w:r w:rsidRPr="0054790E">
        <w:rPr>
          <w:rFonts w:ascii="Century Schoolbook" w:hAnsi="Century Schoolbook"/>
        </w:rPr>
        <w:t>, 93 Cal.App.5th 953</w:t>
      </w:r>
      <w:r w:rsidRPr="0054790E">
        <w:rPr>
          <w:rFonts w:ascii="Century Schoolbook" w:hAnsi="Century Schoolbook"/>
        </w:rPr>
        <w:t xml:space="preserve">, </w:t>
      </w:r>
      <w:r w:rsidRPr="0054790E">
        <w:rPr>
          <w:rFonts w:ascii="Century Schoolbook" w:hAnsi="Century Schoolbook"/>
        </w:rPr>
        <w:t xml:space="preserve">the Third </w:t>
      </w:r>
      <w:r>
        <w:rPr>
          <w:rFonts w:ascii="Century Schoolbook" w:hAnsi="Century Schoolbook"/>
        </w:rPr>
        <w:t xml:space="preserve">Appellate </w:t>
      </w:r>
      <w:r w:rsidRPr="0054790E">
        <w:rPr>
          <w:rFonts w:ascii="Century Schoolbook" w:hAnsi="Century Schoolbook"/>
        </w:rPr>
        <w:t xml:space="preserve">District </w:t>
      </w:r>
      <w:r w:rsidRPr="0054790E">
        <w:rPr>
          <w:rFonts w:ascii="Century Schoolbook" w:hAnsi="Century Schoolbook"/>
          <w:bCs/>
        </w:rPr>
        <w:t>recently</w:t>
      </w:r>
      <w:r w:rsidRPr="0054790E">
        <w:rPr>
          <w:rFonts w:ascii="Century Schoolbook" w:hAnsi="Century Schoolbook"/>
          <w:bCs/>
        </w:rPr>
        <w:t xml:space="preserve"> </w:t>
      </w:r>
      <w:r w:rsidRPr="0054790E">
        <w:rPr>
          <w:rFonts w:ascii="Century Schoolbook" w:hAnsi="Century Schoolbook"/>
        </w:rPr>
        <w:t xml:space="preserve">set forth </w:t>
      </w:r>
      <w:r w:rsidRPr="0054790E">
        <w:rPr>
          <w:rFonts w:ascii="Century Schoolbook" w:hAnsi="Century Schoolbook"/>
        </w:rPr>
        <w:t xml:space="preserve">the most comprehensive case </w:t>
      </w:r>
      <w:r w:rsidRPr="0054790E">
        <w:rPr>
          <w:rFonts w:ascii="Century Schoolbook" w:hAnsi="Century Schoolbook"/>
        </w:rPr>
        <w:t>for subdivision (b)’s broader application</w:t>
      </w:r>
      <w:r w:rsidRPr="0054790E">
        <w:rPr>
          <w:rFonts w:ascii="Century Schoolbook" w:hAnsi="Century Schoolbook"/>
        </w:rPr>
        <w:t>.</w:t>
      </w:r>
      <w:r w:rsidRPr="0054790E">
        <w:rPr>
          <w:rFonts w:ascii="Century Schoolbook" w:hAnsi="Century Schoolbook"/>
        </w:rPr>
        <w:t xml:space="preserve"> </w:t>
      </w:r>
      <w:r w:rsidRPr="0054790E">
        <w:rPr>
          <w:rFonts w:ascii="Century Schoolbook" w:hAnsi="Century Schoolbook"/>
        </w:rPr>
        <w:t>(</w:t>
      </w:r>
      <w:r w:rsidRPr="0054790E">
        <w:rPr>
          <w:rFonts w:ascii="Century Schoolbook" w:hAnsi="Century Schoolbook"/>
          <w:i/>
        </w:rPr>
        <w:t>In re C.L.</w:t>
      </w:r>
      <w:r w:rsidRPr="0054790E">
        <w:rPr>
          <w:rFonts w:ascii="Century Schoolbook" w:hAnsi="Century Schoolbook"/>
        </w:rPr>
        <w:t xml:space="preserve"> (2023) 96 Cal.App.5th 377.) </w:t>
      </w:r>
      <w:r w:rsidRPr="0054790E">
        <w:rPr>
          <w:rFonts w:ascii="Century Schoolbook" w:hAnsi="Century Schoolbook"/>
        </w:rPr>
        <w:t>According to th</w:t>
      </w:r>
      <w:r w:rsidRPr="0054790E">
        <w:rPr>
          <w:rFonts w:ascii="Century Schoolbook" w:hAnsi="Century Schoolbook"/>
        </w:rPr>
        <w:t>at analysis</w:t>
      </w:r>
      <w:r w:rsidRPr="0054790E">
        <w:rPr>
          <w:rFonts w:ascii="Century Schoolbook" w:hAnsi="Century Schoolbook"/>
        </w:rPr>
        <w:t xml:space="preserve">, </w:t>
      </w:r>
      <w:r w:rsidRPr="0054790E">
        <w:rPr>
          <w:rFonts w:ascii="Century Schoolbook" w:hAnsi="Century Schoolbook"/>
        </w:rPr>
        <w:t>“</w:t>
      </w:r>
      <w:r w:rsidRPr="0054790E">
        <w:rPr>
          <w:rFonts w:ascii="Century Schoolbook" w:hAnsi="Century Schoolbook"/>
        </w:rPr>
        <w:t>s</w:t>
      </w:r>
      <w:r w:rsidRPr="0054790E">
        <w:rPr>
          <w:rFonts w:ascii="Century Schoolbook" w:hAnsi="Century Schoolbook"/>
        </w:rPr>
        <w:t>ection 224.2 was intended to expand the scope of initial inquiry beyond the parents,”</w:t>
      </w:r>
      <w:r w:rsidRPr="0054790E">
        <w:rPr>
          <w:rFonts w:ascii="Century Schoolbook" w:hAnsi="Century Schoolbook"/>
        </w:rPr>
        <w:t xml:space="preserve"> </w:t>
      </w:r>
      <w:r w:rsidRPr="0054790E">
        <w:rPr>
          <w:rFonts w:ascii="Century Schoolbook" w:hAnsi="Century Schoolbook"/>
        </w:rPr>
        <w:t xml:space="preserve">even </w:t>
      </w:r>
      <w:r w:rsidRPr="0054790E">
        <w:rPr>
          <w:rFonts w:ascii="Century Schoolbook" w:hAnsi="Century Schoolbook"/>
        </w:rPr>
        <w:t xml:space="preserve">when a </w:t>
      </w:r>
      <w:r w:rsidRPr="0054790E">
        <w:rPr>
          <w:rFonts w:ascii="Century Schoolbook" w:hAnsi="Century Schoolbook"/>
        </w:rPr>
        <w:t xml:space="preserve">child </w:t>
      </w:r>
      <w:r>
        <w:rPr>
          <w:rFonts w:ascii="Century Schoolbook" w:hAnsi="Century Schoolbook"/>
        </w:rPr>
        <w:t>w</w:t>
      </w:r>
      <w:r w:rsidRPr="0054790E">
        <w:rPr>
          <w:rFonts w:ascii="Century Schoolbook" w:hAnsi="Century Schoolbook"/>
        </w:rPr>
        <w:t xml:space="preserve">as removed pursuant to a protective custody warrant. </w:t>
      </w:r>
      <w:r w:rsidRPr="0054790E">
        <w:rPr>
          <w:rFonts w:ascii="Century Schoolbook" w:hAnsi="Century Schoolbook"/>
        </w:rPr>
        <w:t>(</w:t>
      </w:r>
      <w:r w:rsidRPr="0054790E">
        <w:rPr>
          <w:rFonts w:ascii="Century Schoolbook" w:hAnsi="Century Schoolbook"/>
          <w:i/>
        </w:rPr>
        <w:t>Id</w:t>
      </w:r>
      <w:r w:rsidRPr="0054790E">
        <w:rPr>
          <w:rFonts w:ascii="Century Schoolbook" w:hAnsi="Century Schoolbook"/>
        </w:rPr>
        <w:t>. at p. 388.)</w:t>
      </w:r>
    </w:p>
    <w:p w14:paraId="46D44D4A" w14:textId="77777777" w:rsidR="00A13071" w:rsidRPr="0054790E" w:rsidRDefault="00A13071" w:rsidP="00B021EB">
      <w:pPr>
        <w:spacing w:line="360" w:lineRule="auto"/>
        <w:rPr>
          <w:rFonts w:ascii="Century Schoolbook" w:hAnsi="Century Schoolbook"/>
          <w:bCs/>
        </w:rPr>
      </w:pPr>
      <w:r w:rsidRPr="0054790E">
        <w:rPr>
          <w:rFonts w:ascii="Century Schoolbook" w:hAnsi="Century Schoolbook"/>
          <w:bCs/>
        </w:rPr>
        <w:tab/>
        <w:t xml:space="preserve">We </w:t>
      </w:r>
      <w:r w:rsidRPr="0054790E">
        <w:rPr>
          <w:rFonts w:ascii="Century Schoolbook" w:hAnsi="Century Schoolbook"/>
          <w:bCs/>
        </w:rPr>
        <w:t>decline to adopt</w:t>
      </w:r>
      <w:r w:rsidRPr="0054790E">
        <w:rPr>
          <w:rFonts w:ascii="Century Schoolbook" w:hAnsi="Century Schoolbook"/>
          <w:bCs/>
        </w:rPr>
        <w:t xml:space="preserve"> </w:t>
      </w:r>
      <w:r w:rsidRPr="0054790E">
        <w:rPr>
          <w:rFonts w:ascii="Century Schoolbook" w:hAnsi="Century Schoolbook"/>
          <w:bCs/>
        </w:rPr>
        <w:t xml:space="preserve">the </w:t>
      </w:r>
      <w:r w:rsidRPr="0054790E">
        <w:rPr>
          <w:rFonts w:ascii="Century Schoolbook" w:hAnsi="Century Schoolbook"/>
          <w:bCs/>
        </w:rPr>
        <w:t xml:space="preserve">narrow approach </w:t>
      </w:r>
      <w:r w:rsidRPr="0054790E">
        <w:rPr>
          <w:rFonts w:ascii="Century Schoolbook" w:hAnsi="Century Schoolbook"/>
          <w:bCs/>
        </w:rPr>
        <w:t xml:space="preserve">advanced by </w:t>
      </w:r>
      <w:r w:rsidRPr="0054790E">
        <w:rPr>
          <w:rFonts w:ascii="Century Schoolbook" w:hAnsi="Century Schoolbook"/>
          <w:bCs/>
          <w:i/>
          <w:iCs/>
        </w:rPr>
        <w:t xml:space="preserve">Robert F. </w:t>
      </w:r>
      <w:r w:rsidRPr="0054790E">
        <w:rPr>
          <w:rFonts w:ascii="Century Schoolbook" w:hAnsi="Century Schoolbook"/>
          <w:bCs/>
        </w:rPr>
        <w:t xml:space="preserve">and </w:t>
      </w:r>
      <w:r w:rsidRPr="0054790E">
        <w:rPr>
          <w:rFonts w:ascii="Century Schoolbook" w:hAnsi="Century Schoolbook"/>
          <w:bCs/>
        </w:rPr>
        <w:t xml:space="preserve">instead </w:t>
      </w:r>
      <w:r w:rsidRPr="0054790E">
        <w:rPr>
          <w:rFonts w:ascii="Century Schoolbook" w:hAnsi="Century Schoolbook"/>
          <w:bCs/>
        </w:rPr>
        <w:t xml:space="preserve">express our “agreement with </w:t>
      </w:r>
      <w:r w:rsidRPr="0054790E">
        <w:rPr>
          <w:rFonts w:ascii="Century Schoolbook" w:hAnsi="Century Schoolbook"/>
          <w:bCs/>
          <w:i/>
          <w:iCs/>
        </w:rPr>
        <w:t>Delila D.</w:t>
      </w:r>
      <w:r w:rsidRPr="0054790E">
        <w:rPr>
          <w:rFonts w:ascii="Century Schoolbook" w:hAnsi="Century Schoolbook"/>
          <w:bCs/>
        </w:rPr>
        <w:t xml:space="preserve"> on this point, holding that the duty to make ICWA inquiry of ‘extended family members</w:t>
      </w:r>
      <w:r w:rsidRPr="0054790E">
        <w:rPr>
          <w:rFonts w:ascii="Century Schoolbook" w:hAnsi="Century Schoolbook"/>
          <w:bCs/>
        </w:rPr>
        <w:t>’</w:t>
      </w:r>
      <w:r w:rsidRPr="0054790E">
        <w:rPr>
          <w:rFonts w:ascii="Century Schoolbook" w:hAnsi="Century Schoolbook"/>
          <w:bCs/>
        </w:rPr>
        <w:t xml:space="preserve"> applies even</w:t>
      </w:r>
      <w:r w:rsidRPr="0054790E">
        <w:rPr>
          <w:rFonts w:ascii="Century Schoolbook" w:hAnsi="Century Schoolbook"/>
          <w:bCs/>
        </w:rPr>
        <w:t xml:space="preserve"> </w:t>
      </w:r>
      <w:r>
        <w:rPr>
          <w:rFonts w:ascii="Century Schoolbook" w:hAnsi="Century Schoolbook"/>
          <w:bCs/>
        </w:rPr>
        <w:t>if</w:t>
      </w:r>
      <w:r w:rsidRPr="0054790E">
        <w:rPr>
          <w:rFonts w:ascii="Century Schoolbook" w:hAnsi="Century Schoolbook"/>
          <w:bCs/>
        </w:rPr>
        <w:t>” the children are</w:t>
      </w:r>
      <w:r w:rsidRPr="0054790E">
        <w:rPr>
          <w:rFonts w:ascii="Century Schoolbook" w:hAnsi="Century Schoolbook"/>
          <w:bCs/>
        </w:rPr>
        <w:t xml:space="preserve"> </w:t>
      </w:r>
      <w:r w:rsidRPr="0054790E">
        <w:rPr>
          <w:rFonts w:ascii="Century Schoolbook" w:hAnsi="Century Schoolbook"/>
          <w:bCs/>
        </w:rPr>
        <w:t>“</w:t>
      </w:r>
      <w:r w:rsidRPr="0054790E">
        <w:rPr>
          <w:rFonts w:ascii="Century Schoolbook" w:hAnsi="Century Schoolbook"/>
          <w:bCs/>
        </w:rPr>
        <w:t xml:space="preserve">not taken into </w:t>
      </w:r>
      <w:r w:rsidRPr="0054790E">
        <w:rPr>
          <w:rFonts w:ascii="Century Schoolbook" w:hAnsi="Century Schoolbook"/>
          <w:bCs/>
        </w:rPr>
        <w:t>‘</w:t>
      </w:r>
      <w:r w:rsidRPr="0054790E">
        <w:rPr>
          <w:rFonts w:ascii="Century Schoolbook" w:hAnsi="Century Schoolbook"/>
          <w:bCs/>
        </w:rPr>
        <w:t>temporary custody</w:t>
      </w:r>
      <w:r w:rsidRPr="0054790E">
        <w:rPr>
          <w:rFonts w:ascii="Century Schoolbook" w:hAnsi="Century Schoolbook"/>
          <w:bCs/>
        </w:rPr>
        <w:t>’</w:t>
      </w:r>
      <w:r w:rsidRPr="0054790E">
        <w:rPr>
          <w:rFonts w:ascii="Century Schoolbook" w:hAnsi="Century Schoolbook"/>
          <w:bCs/>
        </w:rPr>
        <w:t xml:space="preserve"> pursuant to section 306.</w:t>
      </w:r>
      <w:r w:rsidRPr="0054790E">
        <w:rPr>
          <w:rFonts w:ascii="Century Schoolbook" w:hAnsi="Century Schoolbook"/>
          <w:bCs/>
        </w:rPr>
        <w:t>” (</w:t>
      </w:r>
      <w:r w:rsidRPr="0054790E">
        <w:rPr>
          <w:rFonts w:ascii="Century Schoolbook" w:hAnsi="Century Schoolbook"/>
          <w:bCs/>
          <w:i/>
          <w:iCs/>
        </w:rPr>
        <w:t>In re V.C.</w:t>
      </w:r>
      <w:r w:rsidRPr="0054790E">
        <w:rPr>
          <w:rFonts w:ascii="Century Schoolbook" w:hAnsi="Century Schoolbook"/>
          <w:bCs/>
        </w:rPr>
        <w:t xml:space="preserve">, </w:t>
      </w:r>
      <w:r w:rsidRPr="0054790E">
        <w:rPr>
          <w:rFonts w:ascii="Century Schoolbook" w:hAnsi="Century Schoolbook"/>
          <w:bCs/>
          <w:i/>
          <w:iCs/>
        </w:rPr>
        <w:t>supra</w:t>
      </w:r>
      <w:r w:rsidRPr="0054790E">
        <w:rPr>
          <w:rFonts w:ascii="Century Schoolbook" w:hAnsi="Century Schoolbook"/>
          <w:bCs/>
        </w:rPr>
        <w:t>, 95 Cal.App.5th at p. 260.)</w:t>
      </w:r>
      <w:r w:rsidRPr="0054790E">
        <w:rPr>
          <w:rFonts w:ascii="Century Schoolbook" w:hAnsi="Century Schoolbook"/>
          <w:bCs/>
        </w:rPr>
        <w:t xml:space="preserve"> </w:t>
      </w:r>
    </w:p>
    <w:p w14:paraId="59A5FA21" w14:textId="77777777" w:rsidR="00A13071" w:rsidRPr="0054790E" w:rsidRDefault="00A13071" w:rsidP="00B021EB">
      <w:pPr>
        <w:spacing w:line="360" w:lineRule="auto"/>
        <w:rPr>
          <w:rFonts w:ascii="Century Schoolbook" w:hAnsi="Century Schoolbook"/>
          <w:bCs/>
        </w:rPr>
      </w:pPr>
      <w:r w:rsidRPr="0054790E">
        <w:rPr>
          <w:rFonts w:ascii="Century Schoolbook" w:hAnsi="Century Schoolbook"/>
          <w:bCs/>
        </w:rPr>
        <w:tab/>
      </w:r>
      <w:r w:rsidRPr="0054790E">
        <w:rPr>
          <w:rFonts w:ascii="Century Schoolbook" w:hAnsi="Century Schoolbook"/>
          <w:bCs/>
        </w:rPr>
        <w:t xml:space="preserve">In support of </w:t>
      </w:r>
      <w:r>
        <w:rPr>
          <w:rFonts w:ascii="Century Schoolbook" w:hAnsi="Century Schoolbook"/>
          <w:bCs/>
        </w:rPr>
        <w:t xml:space="preserve">the </w:t>
      </w:r>
      <w:r w:rsidRPr="0054790E">
        <w:rPr>
          <w:rFonts w:ascii="Century Schoolbook" w:hAnsi="Century Schoolbook"/>
          <w:bCs/>
        </w:rPr>
        <w:t xml:space="preserve">conclusion </w:t>
      </w:r>
      <w:r>
        <w:rPr>
          <w:rFonts w:ascii="Century Schoolbook" w:hAnsi="Century Schoolbook"/>
          <w:bCs/>
        </w:rPr>
        <w:t xml:space="preserve">in </w:t>
      </w:r>
      <w:r w:rsidRPr="00D615A1">
        <w:rPr>
          <w:rFonts w:ascii="Century Schoolbook" w:hAnsi="Century Schoolbook"/>
          <w:bCs/>
          <w:i/>
          <w:iCs/>
        </w:rPr>
        <w:t>Delila D.</w:t>
      </w:r>
      <w:r>
        <w:rPr>
          <w:rFonts w:ascii="Century Schoolbook" w:hAnsi="Century Schoolbook"/>
          <w:bCs/>
        </w:rPr>
        <w:t xml:space="preserve">, </w:t>
      </w:r>
      <w:r w:rsidRPr="00D615A1">
        <w:rPr>
          <w:rFonts w:ascii="Century Schoolbook" w:hAnsi="Century Schoolbook"/>
          <w:bCs/>
          <w:i/>
          <w:iCs/>
        </w:rPr>
        <w:t>supra</w:t>
      </w:r>
      <w:r>
        <w:rPr>
          <w:rFonts w:ascii="Century Schoolbook" w:hAnsi="Century Schoolbook"/>
          <w:bCs/>
        </w:rPr>
        <w:t>, 93 Cal.App.5th at p</w:t>
      </w:r>
      <w:r>
        <w:rPr>
          <w:rFonts w:ascii="Century Schoolbook" w:hAnsi="Century Schoolbook"/>
          <w:bCs/>
        </w:rPr>
        <w:t>age</w:t>
      </w:r>
      <w:r>
        <w:rPr>
          <w:rFonts w:ascii="Century Schoolbook" w:hAnsi="Century Schoolbook"/>
          <w:bCs/>
        </w:rPr>
        <w:t> </w:t>
      </w:r>
      <w:r>
        <w:rPr>
          <w:rFonts w:ascii="Century Schoolbook" w:hAnsi="Century Schoolbook"/>
          <w:bCs/>
        </w:rPr>
        <w:t xml:space="preserve">962 </w:t>
      </w:r>
      <w:r w:rsidRPr="0054790E">
        <w:rPr>
          <w:rFonts w:ascii="Century Schoolbook" w:hAnsi="Century Schoolbook"/>
          <w:bCs/>
        </w:rPr>
        <w:t xml:space="preserve">that “there is </w:t>
      </w:r>
      <w:r w:rsidRPr="0054790E">
        <w:rPr>
          <w:rFonts w:ascii="Century Schoolbook" w:hAnsi="Century Schoolbook"/>
          <w:bCs/>
        </w:rPr>
        <w:t>only one duty of initial inquiry</w:t>
      </w:r>
      <w:r>
        <w:rPr>
          <w:rFonts w:ascii="Century Schoolbook" w:hAnsi="Century Schoolbook"/>
          <w:bCs/>
        </w:rPr>
        <w:t xml:space="preserve">, and that duty extends to available family members </w:t>
      </w:r>
      <w:r w:rsidRPr="0054790E">
        <w:rPr>
          <w:rFonts w:ascii="Century Schoolbook" w:hAnsi="Century Schoolbook"/>
          <w:bCs/>
        </w:rPr>
        <w:t>no matter how the child is initially removed from home</w:t>
      </w:r>
      <w:r w:rsidRPr="0054790E">
        <w:rPr>
          <w:rFonts w:ascii="Century Schoolbook" w:hAnsi="Century Schoolbook"/>
          <w:bCs/>
        </w:rPr>
        <w:t>,”</w:t>
      </w:r>
      <w:r w:rsidRPr="0054790E">
        <w:rPr>
          <w:rFonts w:ascii="Century Schoolbook" w:hAnsi="Century Schoolbook"/>
          <w:bCs/>
        </w:rPr>
        <w:t xml:space="preserve"> we note that section 224.2, subdivision (a) </w:t>
      </w:r>
      <w:r w:rsidRPr="0054790E">
        <w:rPr>
          <w:rFonts w:ascii="Century Schoolbook" w:hAnsi="Century Schoolbook"/>
          <w:bCs/>
        </w:rPr>
        <w:t>refers simply to “</w:t>
      </w:r>
      <w:r w:rsidRPr="0054790E">
        <w:rPr>
          <w:rFonts w:ascii="Century Schoolbook" w:hAnsi="Century Schoolbook"/>
          <w:bCs/>
          <w:i/>
          <w:iCs/>
        </w:rPr>
        <w:t>an</w:t>
      </w:r>
      <w:r w:rsidRPr="0054790E">
        <w:rPr>
          <w:rFonts w:ascii="Century Schoolbook" w:hAnsi="Century Schoolbook"/>
          <w:bCs/>
        </w:rPr>
        <w:t xml:space="preserve"> affirmative and continuing duty to inquire whether a child . . . is or may be an Indian child.” (Italics added.)</w:t>
      </w:r>
      <w:r w:rsidRPr="0054790E">
        <w:rPr>
          <w:rFonts w:ascii="Century Schoolbook" w:hAnsi="Century Schoolbook"/>
          <w:bCs/>
        </w:rPr>
        <w:t xml:space="preserve"> </w:t>
      </w:r>
      <w:r w:rsidRPr="0054790E">
        <w:rPr>
          <w:rFonts w:ascii="Century Schoolbook" w:hAnsi="Century Schoolbook"/>
          <w:bCs/>
        </w:rPr>
        <w:t>Moreover</w:t>
      </w:r>
      <w:r w:rsidRPr="0054790E">
        <w:rPr>
          <w:rFonts w:ascii="Century Schoolbook" w:hAnsi="Century Schoolbook"/>
          <w:bCs/>
        </w:rPr>
        <w:t>, subdivision</w:t>
      </w:r>
      <w:r>
        <w:rPr>
          <w:rFonts w:ascii="Century Schoolbook" w:hAnsi="Century Schoolbook"/>
          <w:bCs/>
        </w:rPr>
        <w:t> </w:t>
      </w:r>
      <w:r w:rsidRPr="0054790E">
        <w:rPr>
          <w:rFonts w:ascii="Century Schoolbook" w:hAnsi="Century Schoolbook"/>
          <w:bCs/>
        </w:rPr>
        <w:t>(b)</w:t>
      </w:r>
      <w:r w:rsidRPr="0054790E">
        <w:rPr>
          <w:rFonts w:ascii="Century Schoolbook" w:hAnsi="Century Schoolbook"/>
          <w:bCs/>
        </w:rPr>
        <w:t xml:space="preserve"> “does not state that the inquiry it describes applies ‘only if’ a child is taken into temporary custody under section 306.” (</w:t>
      </w:r>
      <w:r w:rsidRPr="0054790E">
        <w:rPr>
          <w:rFonts w:ascii="Century Schoolbook" w:hAnsi="Century Schoolbook"/>
          <w:bCs/>
          <w:i/>
          <w:iCs/>
        </w:rPr>
        <w:t>Delilah D.</w:t>
      </w:r>
      <w:r w:rsidRPr="0054790E">
        <w:rPr>
          <w:rFonts w:ascii="Century Schoolbook" w:hAnsi="Century Schoolbook"/>
          <w:bCs/>
        </w:rPr>
        <w:t>, at p.</w:t>
      </w:r>
      <w:r>
        <w:rPr>
          <w:rFonts w:ascii="Century Schoolbook" w:hAnsi="Century Schoolbook"/>
          <w:bCs/>
        </w:rPr>
        <w:t> </w:t>
      </w:r>
      <w:r w:rsidRPr="0054790E">
        <w:rPr>
          <w:rFonts w:ascii="Century Schoolbook" w:hAnsi="Century Schoolbook"/>
          <w:bCs/>
        </w:rPr>
        <w:t>974.) And “most importantly, it simply doesn</w:t>
      </w:r>
      <w:r w:rsidRPr="0054790E">
        <w:rPr>
          <w:rFonts w:ascii="Century Schoolbook" w:hAnsi="Century Schoolbook"/>
          <w:bCs/>
        </w:rPr>
        <w:t>’</w:t>
      </w:r>
      <w:r w:rsidRPr="0054790E">
        <w:rPr>
          <w:rFonts w:ascii="Century Schoolbook" w:hAnsi="Century Schoolbook"/>
          <w:bCs/>
        </w:rPr>
        <w:t>t make sense to apply different initial inquiries depending on how the child was initially removed from home, as that procedural happenstance has nothing to do with a child</w:t>
      </w:r>
      <w:r w:rsidRPr="0054790E">
        <w:rPr>
          <w:rFonts w:ascii="Century Schoolbook" w:hAnsi="Century Schoolbook"/>
          <w:bCs/>
        </w:rPr>
        <w:t>’</w:t>
      </w:r>
      <w:r w:rsidRPr="0054790E">
        <w:rPr>
          <w:rFonts w:ascii="Century Schoolbook" w:hAnsi="Century Schoolbook"/>
          <w:bCs/>
        </w:rPr>
        <w:t>s ancestry.” (</w:t>
      </w:r>
      <w:r w:rsidRPr="0054790E">
        <w:rPr>
          <w:rFonts w:ascii="Century Schoolbook" w:hAnsi="Century Schoolbook"/>
          <w:bCs/>
          <w:i/>
          <w:iCs/>
        </w:rPr>
        <w:t>Id</w:t>
      </w:r>
      <w:r w:rsidRPr="0054790E">
        <w:rPr>
          <w:rFonts w:ascii="Century Schoolbook" w:hAnsi="Century Schoolbook"/>
          <w:bCs/>
        </w:rPr>
        <w:t>. at p. 975.)</w:t>
      </w:r>
      <w:r w:rsidRPr="0054790E">
        <w:rPr>
          <w:rFonts w:ascii="Century Schoolbook" w:hAnsi="Century Schoolbook"/>
          <w:bCs/>
        </w:rPr>
        <w:tab/>
      </w:r>
    </w:p>
    <w:p w14:paraId="4F79B38E" w14:textId="77777777" w:rsidR="00A13071" w:rsidRPr="0054790E" w:rsidRDefault="00A13071" w:rsidP="00B021EB">
      <w:pPr>
        <w:spacing w:line="360" w:lineRule="auto"/>
        <w:rPr>
          <w:rFonts w:ascii="Century Schoolbook" w:hAnsi="Century Schoolbook"/>
          <w:bCs/>
        </w:rPr>
      </w:pPr>
      <w:r w:rsidRPr="0054790E">
        <w:rPr>
          <w:rFonts w:ascii="Century Schoolbook" w:hAnsi="Century Schoolbook"/>
          <w:bCs/>
        </w:rPr>
        <w:tab/>
      </w:r>
      <w:r w:rsidRPr="0054790E">
        <w:rPr>
          <w:rFonts w:ascii="Century Schoolbook" w:hAnsi="Century Schoolbook"/>
          <w:bCs/>
        </w:rPr>
        <w:t>O</w:t>
      </w:r>
      <w:r w:rsidRPr="0054790E">
        <w:rPr>
          <w:rFonts w:ascii="Century Schoolbook" w:hAnsi="Century Schoolbook"/>
          <w:bCs/>
        </w:rPr>
        <w:t>ur high court</w:t>
      </w:r>
      <w:r w:rsidRPr="0054790E">
        <w:rPr>
          <w:rFonts w:ascii="Century Schoolbook" w:hAnsi="Century Schoolbook"/>
          <w:bCs/>
        </w:rPr>
        <w:t xml:space="preserve"> acknowledged </w:t>
      </w:r>
      <w:r w:rsidRPr="0054790E">
        <w:rPr>
          <w:rFonts w:ascii="Century Schoolbook" w:hAnsi="Century Schoolbook"/>
          <w:bCs/>
        </w:rPr>
        <w:t xml:space="preserve">that </w:t>
      </w:r>
      <w:r w:rsidRPr="0054790E">
        <w:rPr>
          <w:rFonts w:ascii="Century Schoolbook" w:hAnsi="Century Schoolbook"/>
          <w:bCs/>
        </w:rPr>
        <w:t>the</w:t>
      </w:r>
      <w:r w:rsidRPr="0054790E">
        <w:rPr>
          <w:rFonts w:ascii="Century Schoolbook" w:hAnsi="Century Schoolbook"/>
          <w:bCs/>
        </w:rPr>
        <w:t xml:space="preserve"> Congressional </w:t>
      </w:r>
      <w:r w:rsidRPr="0054790E">
        <w:rPr>
          <w:rFonts w:ascii="Century Schoolbook" w:hAnsi="Century Schoolbook"/>
          <w:bCs/>
        </w:rPr>
        <w:t>enactment of ICWA in 1978</w:t>
      </w:r>
      <w:r w:rsidRPr="0054790E">
        <w:rPr>
          <w:rFonts w:ascii="Century Schoolbook" w:hAnsi="Century Schoolbook"/>
          <w:bCs/>
        </w:rPr>
        <w:t xml:space="preserve"> </w:t>
      </w:r>
      <w:r w:rsidRPr="0054790E">
        <w:rPr>
          <w:rFonts w:ascii="Century Schoolbook" w:hAnsi="Century Schoolbook"/>
          <w:bCs/>
        </w:rPr>
        <w:t xml:space="preserve">was </w:t>
      </w:r>
      <w:r w:rsidRPr="0054790E">
        <w:rPr>
          <w:rFonts w:ascii="Century Schoolbook" w:hAnsi="Century Schoolbook"/>
          <w:bCs/>
        </w:rPr>
        <w:t>in response to “</w:t>
      </w:r>
      <w:r w:rsidRPr="0054790E">
        <w:rPr>
          <w:rFonts w:ascii="Century Schoolbook" w:hAnsi="Century Schoolbook"/>
          <w:bCs/>
        </w:rPr>
        <w:t xml:space="preserve">abusive child </w:t>
      </w:r>
      <w:r w:rsidRPr="0054790E">
        <w:rPr>
          <w:rFonts w:ascii="Century Schoolbook" w:hAnsi="Century Schoolbook"/>
          <w:bCs/>
        </w:rPr>
        <w:t>welfare</w:t>
      </w:r>
      <w:r w:rsidRPr="0054790E">
        <w:rPr>
          <w:rFonts w:ascii="Century Schoolbook" w:hAnsi="Century Schoolbook"/>
          <w:bCs/>
        </w:rPr>
        <w:t xml:space="preserve"> </w:t>
      </w:r>
      <w:r w:rsidRPr="0054790E">
        <w:rPr>
          <w:rFonts w:ascii="Century Schoolbook" w:hAnsi="Century Schoolbook"/>
          <w:bCs/>
        </w:rPr>
        <w:t>practices</w:t>
      </w:r>
      <w:r w:rsidRPr="0054790E">
        <w:rPr>
          <w:rFonts w:ascii="Century Schoolbook" w:hAnsi="Century Schoolbook"/>
          <w:bCs/>
        </w:rPr>
        <w:t xml:space="preserve"> that resulted in the separation of large numbers of Indian children from their families</w:t>
      </w:r>
      <w:r w:rsidRPr="0054790E">
        <w:rPr>
          <w:rFonts w:ascii="Century Schoolbook" w:hAnsi="Century Schoolbook"/>
          <w:bCs/>
        </w:rPr>
        <w:t xml:space="preserve"> and tribes through adoption or foster care placement, usually in non-</w:t>
      </w:r>
      <w:r w:rsidRPr="0054790E">
        <w:rPr>
          <w:rFonts w:ascii="Century Schoolbook" w:hAnsi="Century Schoolbook"/>
          <w:bCs/>
        </w:rPr>
        <w:lastRenderedPageBreak/>
        <w:t xml:space="preserve">Indian homes.” </w:t>
      </w:r>
      <w:r w:rsidRPr="0054790E">
        <w:rPr>
          <w:rFonts w:ascii="Century Schoolbook" w:hAnsi="Century Schoolbook"/>
          <w:bCs/>
        </w:rPr>
        <w:t>(</w:t>
      </w:r>
      <w:r w:rsidRPr="0054790E">
        <w:rPr>
          <w:rFonts w:ascii="Century Schoolbook" w:hAnsi="Century Schoolbook"/>
          <w:bCs/>
          <w:i/>
          <w:iCs/>
        </w:rPr>
        <w:t>In re Isai</w:t>
      </w:r>
      <w:r w:rsidRPr="0054790E">
        <w:rPr>
          <w:rFonts w:ascii="Century Schoolbook" w:hAnsi="Century Schoolbook"/>
          <w:bCs/>
          <w:i/>
          <w:iCs/>
        </w:rPr>
        <w:t>a</w:t>
      </w:r>
      <w:r w:rsidRPr="0054790E">
        <w:rPr>
          <w:rFonts w:ascii="Century Schoolbook" w:hAnsi="Century Schoolbook"/>
          <w:bCs/>
          <w:i/>
          <w:iCs/>
        </w:rPr>
        <w:t>h W.</w:t>
      </w:r>
      <w:r w:rsidRPr="0054790E">
        <w:rPr>
          <w:rFonts w:ascii="Century Schoolbook" w:hAnsi="Century Schoolbook"/>
          <w:bCs/>
        </w:rPr>
        <w:t xml:space="preserve"> (2016) 1 Cal.5th 1, 7.</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 xml:space="preserve">None of the cases </w:t>
      </w:r>
      <w:r w:rsidRPr="0054790E">
        <w:rPr>
          <w:rFonts w:ascii="Century Schoolbook" w:hAnsi="Century Schoolbook"/>
          <w:bCs/>
        </w:rPr>
        <w:t xml:space="preserve">using or </w:t>
      </w:r>
      <w:r w:rsidRPr="0054790E">
        <w:rPr>
          <w:rFonts w:ascii="Century Schoolbook" w:hAnsi="Century Schoolbook"/>
          <w:bCs/>
        </w:rPr>
        <w:t xml:space="preserve">following the narrower approach of </w:t>
      </w:r>
      <w:r w:rsidRPr="0054790E">
        <w:rPr>
          <w:rFonts w:ascii="Century Schoolbook" w:hAnsi="Century Schoolbook"/>
          <w:bCs/>
          <w:i/>
          <w:iCs/>
        </w:rPr>
        <w:t>Robert F</w:t>
      </w:r>
      <w:r w:rsidRPr="0054790E">
        <w:rPr>
          <w:rFonts w:ascii="Century Schoolbook" w:hAnsi="Century Schoolbook"/>
          <w:bCs/>
        </w:rPr>
        <w:t xml:space="preserve">. or </w:t>
      </w:r>
      <w:r w:rsidRPr="0054790E">
        <w:rPr>
          <w:rFonts w:ascii="Century Schoolbook" w:hAnsi="Century Schoolbook"/>
          <w:bCs/>
          <w:i/>
          <w:iCs/>
        </w:rPr>
        <w:t>Andres R</w:t>
      </w:r>
      <w:r w:rsidRPr="0054790E">
        <w:rPr>
          <w:rFonts w:ascii="Century Schoolbook" w:hAnsi="Century Schoolbook"/>
          <w:bCs/>
        </w:rPr>
        <w:t xml:space="preserve">. </w:t>
      </w:r>
      <w:r w:rsidRPr="0054790E">
        <w:rPr>
          <w:rFonts w:ascii="Century Schoolbook" w:hAnsi="Century Schoolbook"/>
          <w:bCs/>
        </w:rPr>
        <w:t>criticize</w:t>
      </w:r>
      <w:r w:rsidRPr="0054790E">
        <w:rPr>
          <w:rFonts w:ascii="Century Schoolbook" w:hAnsi="Century Schoolbook"/>
          <w:bCs/>
        </w:rPr>
        <w:t xml:space="preserve"> </w:t>
      </w:r>
      <w:r w:rsidRPr="0054790E">
        <w:rPr>
          <w:rFonts w:ascii="Century Schoolbook" w:hAnsi="Century Schoolbook"/>
          <w:bCs/>
        </w:rPr>
        <w:t xml:space="preserve">the </w:t>
      </w:r>
      <w:r w:rsidRPr="0054790E">
        <w:rPr>
          <w:rFonts w:ascii="Century Schoolbook" w:hAnsi="Century Schoolbook"/>
          <w:bCs/>
        </w:rPr>
        <w:t xml:space="preserve">federal policy underlying ICWA, or </w:t>
      </w:r>
      <w:r w:rsidRPr="0054790E">
        <w:rPr>
          <w:rFonts w:ascii="Century Schoolbook" w:hAnsi="Century Schoolbook"/>
          <w:bCs/>
        </w:rPr>
        <w:t xml:space="preserve">the goal of ICWA </w:t>
      </w:r>
      <w:r w:rsidRPr="0054790E">
        <w:rPr>
          <w:rFonts w:ascii="Century Schoolbook" w:hAnsi="Century Schoolbook"/>
          <w:bCs/>
        </w:rPr>
        <w:t>to protect the best interests of Indian children and to promote the stability and security of Indian tribes and families.</w:t>
      </w:r>
      <w:r w:rsidRPr="0054790E">
        <w:rPr>
          <w:rFonts w:ascii="Century Schoolbook" w:hAnsi="Century Schoolbook"/>
          <w:bCs/>
        </w:rPr>
        <w:t xml:space="preserve"> (</w:t>
      </w:r>
      <w:r w:rsidRPr="0054790E">
        <w:rPr>
          <w:rFonts w:ascii="Century Schoolbook" w:hAnsi="Century Schoolbook"/>
          <w:bCs/>
        </w:rPr>
        <w:t xml:space="preserve">25 </w:t>
      </w:r>
      <w:r w:rsidRPr="0054790E">
        <w:rPr>
          <w:rFonts w:ascii="Century Schoolbook" w:hAnsi="Century Schoolbook"/>
          <w:bCs/>
        </w:rPr>
        <w:t>U.S.C. § 1902</w:t>
      </w:r>
      <w:r>
        <w:rPr>
          <w:rFonts w:ascii="Century Schoolbook" w:hAnsi="Century Schoolbook"/>
          <w:bCs/>
        </w:rPr>
        <w:t>.</w:t>
      </w:r>
      <w:r w:rsidRPr="0054790E">
        <w:rPr>
          <w:rFonts w:ascii="Century Schoolbook" w:hAnsi="Century Schoolbook"/>
          <w:bCs/>
        </w:rPr>
        <w:t>)</w:t>
      </w:r>
      <w:r>
        <w:rPr>
          <w:rFonts w:ascii="Century Schoolbook" w:hAnsi="Century Schoolbook"/>
          <w:bCs/>
        </w:rPr>
        <w:t xml:space="preserve"> </w:t>
      </w:r>
      <w:r w:rsidRPr="0054790E">
        <w:rPr>
          <w:rFonts w:ascii="Century Schoolbook" w:hAnsi="Century Schoolbook"/>
          <w:bCs/>
        </w:rPr>
        <w:t xml:space="preserve">As the </w:t>
      </w:r>
      <w:r w:rsidRPr="0054790E">
        <w:rPr>
          <w:rFonts w:ascii="Century Schoolbook" w:hAnsi="Century Schoolbook"/>
          <w:bCs/>
        </w:rPr>
        <w:t xml:space="preserve">court recognized in </w:t>
      </w:r>
      <w:r w:rsidRPr="0054790E">
        <w:rPr>
          <w:rFonts w:ascii="Century Schoolbook" w:hAnsi="Century Schoolbook"/>
          <w:bCs/>
          <w:i/>
          <w:iCs/>
        </w:rPr>
        <w:t xml:space="preserve">In re </w:t>
      </w:r>
      <w:r w:rsidRPr="0054790E">
        <w:rPr>
          <w:rFonts w:ascii="Century Schoolbook" w:hAnsi="Century Schoolbook"/>
          <w:bCs/>
          <w:i/>
          <w:iCs/>
        </w:rPr>
        <w:t>C.L.</w:t>
      </w:r>
      <w:r w:rsidRPr="0054790E">
        <w:rPr>
          <w:rFonts w:ascii="Century Schoolbook" w:hAnsi="Century Schoolbook"/>
          <w:bCs/>
        </w:rPr>
        <w:t>, i</w:t>
      </w:r>
      <w:r w:rsidRPr="0054790E">
        <w:rPr>
          <w:rFonts w:ascii="Century Schoolbook" w:hAnsi="Century Schoolbook"/>
          <w:bCs/>
        </w:rPr>
        <w:t xml:space="preserve">n enacting </w:t>
      </w:r>
      <w:r w:rsidRPr="0054790E">
        <w:rPr>
          <w:rFonts w:ascii="Century Schoolbook" w:hAnsi="Century Schoolbook"/>
          <w:bCs/>
        </w:rPr>
        <w:t xml:space="preserve">the </w:t>
      </w:r>
      <w:r w:rsidRPr="0054790E">
        <w:rPr>
          <w:rFonts w:ascii="Century Schoolbook" w:hAnsi="Century Schoolbook"/>
          <w:bCs/>
        </w:rPr>
        <w:t xml:space="preserve">federal policy </w:t>
      </w:r>
      <w:r w:rsidRPr="0054790E">
        <w:rPr>
          <w:rFonts w:ascii="Century Schoolbook" w:hAnsi="Century Schoolbook"/>
          <w:bCs/>
        </w:rPr>
        <w:t xml:space="preserve">that </w:t>
      </w:r>
      <w:proofErr w:type="gramStart"/>
      <w:r w:rsidRPr="0054790E">
        <w:rPr>
          <w:rFonts w:ascii="Century Schoolbook" w:hAnsi="Century Schoolbook"/>
          <w:bCs/>
        </w:rPr>
        <w:t>“</w:t>
      </w:r>
      <w:r>
        <w:rPr>
          <w:rFonts w:ascii="Century Schoolbook" w:hAnsi="Century Schoolbook"/>
          <w:bCs/>
        </w:rPr>
        <w:t> ‘</w:t>
      </w:r>
      <w:proofErr w:type="gramEnd"/>
      <w:r w:rsidRPr="0054790E">
        <w:rPr>
          <w:rFonts w:ascii="Century Schoolbook" w:hAnsi="Century Schoolbook"/>
          <w:bCs/>
        </w:rPr>
        <w:t>where</w:t>
      </w:r>
      <w:r w:rsidRPr="0054790E">
        <w:rPr>
          <w:rFonts w:ascii="Century Schoolbook" w:hAnsi="Century Schoolbook"/>
          <w:bCs/>
        </w:rPr>
        <w:t xml:space="preserve"> possible, an Indian child should remain in the Indian community</w:t>
      </w:r>
      <w:r>
        <w:rPr>
          <w:rFonts w:ascii="Century Schoolbook" w:hAnsi="Century Schoolbook"/>
          <w:bCs/>
        </w:rPr>
        <w:t>[</w:t>
      </w:r>
      <w:r w:rsidRPr="0054790E">
        <w:rPr>
          <w:rFonts w:ascii="Century Schoolbook" w:hAnsi="Century Schoolbook"/>
          <w:bCs/>
        </w:rPr>
        <w:t>,</w:t>
      </w:r>
      <w:r>
        <w:rPr>
          <w:rFonts w:ascii="Century Schoolbook" w:hAnsi="Century Schoolbook"/>
          <w:bCs/>
        </w:rPr>
        <w:t>]’ </w:t>
      </w:r>
      <w:r w:rsidRPr="0054790E">
        <w:rPr>
          <w:rFonts w:ascii="Century Schoolbook" w:hAnsi="Century Schoolbook"/>
          <w:bCs/>
        </w:rPr>
        <w:t xml:space="preserve">” it is clear that </w:t>
      </w:r>
      <w:r w:rsidRPr="0054790E">
        <w:rPr>
          <w:rFonts w:ascii="Century Schoolbook" w:hAnsi="Century Schoolbook"/>
          <w:bCs/>
        </w:rPr>
        <w:t>“</w:t>
      </w:r>
      <w:r w:rsidRPr="0054790E">
        <w:rPr>
          <w:rFonts w:ascii="Century Schoolbook" w:hAnsi="Century Schoolbook"/>
          <w:bCs/>
        </w:rPr>
        <w:t xml:space="preserve">identification of a child’s Indian community early on is </w:t>
      </w:r>
      <w:r w:rsidRPr="0054790E">
        <w:rPr>
          <w:rFonts w:ascii="Century Schoolbook" w:hAnsi="Century Schoolbook"/>
          <w:bCs/>
        </w:rPr>
        <w:t>paramount.</w:t>
      </w:r>
      <w:r w:rsidRPr="0054790E">
        <w:rPr>
          <w:rFonts w:ascii="Century Schoolbook" w:hAnsi="Century Schoolbook"/>
          <w:bCs/>
        </w:rPr>
        <w:t xml:space="preserve">” </w:t>
      </w:r>
      <w:r w:rsidRPr="0054790E">
        <w:rPr>
          <w:rFonts w:ascii="Century Schoolbook" w:hAnsi="Century Schoolbook"/>
          <w:bCs/>
        </w:rPr>
        <w:t>(</w:t>
      </w:r>
      <w:r w:rsidRPr="0054790E">
        <w:rPr>
          <w:rFonts w:ascii="Century Schoolbook" w:hAnsi="Century Schoolbook"/>
          <w:bCs/>
          <w:i/>
          <w:iCs/>
        </w:rPr>
        <w:t>In re</w:t>
      </w:r>
      <w:r w:rsidRPr="0054790E">
        <w:rPr>
          <w:rFonts w:ascii="Century Schoolbook" w:hAnsi="Century Schoolbook"/>
          <w:bCs/>
        </w:rPr>
        <w:t xml:space="preserve"> </w:t>
      </w:r>
      <w:r w:rsidRPr="0054790E">
        <w:rPr>
          <w:rFonts w:ascii="Century Schoolbook" w:hAnsi="Century Schoolbook"/>
          <w:bCs/>
          <w:i/>
          <w:iCs/>
        </w:rPr>
        <w:t>C.L., supra</w:t>
      </w:r>
      <w:r w:rsidRPr="0054790E">
        <w:rPr>
          <w:rFonts w:ascii="Century Schoolbook" w:hAnsi="Century Schoolbook"/>
          <w:bCs/>
        </w:rPr>
        <w:t>, 96</w:t>
      </w:r>
      <w:r w:rsidRPr="0054790E">
        <w:rPr>
          <w:rFonts w:ascii="Century Schoolbook" w:hAnsi="Century Schoolbook"/>
          <w:bCs/>
        </w:rPr>
        <w:t> </w:t>
      </w:r>
      <w:r w:rsidRPr="0054790E">
        <w:rPr>
          <w:rFonts w:ascii="Century Schoolbook" w:hAnsi="Century Schoolbook"/>
          <w:bCs/>
        </w:rPr>
        <w:t xml:space="preserve">Cal.App.5th at </w:t>
      </w:r>
      <w:r>
        <w:rPr>
          <w:rFonts w:ascii="Century Schoolbook" w:hAnsi="Century Schoolbook"/>
          <w:bCs/>
        </w:rPr>
        <w:t>p. </w:t>
      </w:r>
      <w:r w:rsidRPr="0054790E">
        <w:rPr>
          <w:rFonts w:ascii="Century Schoolbook" w:hAnsi="Century Schoolbook"/>
          <w:bCs/>
        </w:rPr>
        <w:t>389</w:t>
      </w:r>
      <w:r>
        <w:rPr>
          <w:rFonts w:ascii="Century Schoolbook" w:hAnsi="Century Schoolbook"/>
          <w:bCs/>
        </w:rPr>
        <w:t xml:space="preserve">, </w:t>
      </w:r>
      <w:r w:rsidRPr="0054790E">
        <w:rPr>
          <w:rFonts w:ascii="Century Schoolbook" w:hAnsi="Century Schoolbook"/>
          <w:bCs/>
        </w:rPr>
        <w:t xml:space="preserve">citing </w:t>
      </w:r>
      <w:r w:rsidRPr="0054790E">
        <w:rPr>
          <w:rFonts w:ascii="Century Schoolbook" w:hAnsi="Century Schoolbook"/>
          <w:bCs/>
          <w:i/>
          <w:iCs/>
        </w:rPr>
        <w:t>Mis</w:t>
      </w:r>
      <w:r w:rsidRPr="0054790E">
        <w:rPr>
          <w:rFonts w:ascii="Century Schoolbook" w:hAnsi="Century Schoolbook"/>
          <w:bCs/>
          <w:i/>
          <w:iCs/>
        </w:rPr>
        <w:t>sissippi Choctaw Indian Band v. Holyfield</w:t>
      </w:r>
      <w:r w:rsidRPr="0054790E">
        <w:rPr>
          <w:rFonts w:ascii="Century Schoolbook" w:hAnsi="Century Schoolbook"/>
          <w:bCs/>
        </w:rPr>
        <w:t xml:space="preserve"> (1989) 490 U.S. 30, 37</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We agree with</w:t>
      </w:r>
      <w:r w:rsidRPr="0054790E">
        <w:rPr>
          <w:rFonts w:ascii="Century Schoolbook" w:hAnsi="Century Schoolbook"/>
          <w:bCs/>
        </w:rPr>
        <w:t xml:space="preserve"> </w:t>
      </w:r>
      <w:r w:rsidRPr="0054790E">
        <w:rPr>
          <w:rFonts w:ascii="Century Schoolbook" w:hAnsi="Century Schoolbook"/>
          <w:bCs/>
        </w:rPr>
        <w:t xml:space="preserve">the </w:t>
      </w:r>
      <w:r w:rsidRPr="0054790E">
        <w:rPr>
          <w:rFonts w:ascii="Century Schoolbook" w:hAnsi="Century Schoolbook"/>
          <w:bCs/>
        </w:rPr>
        <w:t>observation</w:t>
      </w:r>
      <w:r w:rsidRPr="0054790E">
        <w:rPr>
          <w:rFonts w:ascii="Century Schoolbook" w:hAnsi="Century Schoolbook"/>
          <w:bCs/>
        </w:rPr>
        <w:t xml:space="preserve"> in </w:t>
      </w:r>
      <w:r w:rsidRPr="0054790E">
        <w:rPr>
          <w:rFonts w:ascii="Century Schoolbook" w:hAnsi="Century Schoolbook"/>
          <w:bCs/>
          <w:i/>
          <w:iCs/>
        </w:rPr>
        <w:t>Delila D</w:t>
      </w:r>
      <w:r w:rsidRPr="0054790E">
        <w:rPr>
          <w:rFonts w:ascii="Century Schoolbook" w:hAnsi="Century Schoolbook"/>
          <w:bCs/>
        </w:rPr>
        <w:t>. that “[a</w:t>
      </w:r>
      <w:r w:rsidRPr="0054790E">
        <w:rPr>
          <w:rFonts w:ascii="Century Schoolbook" w:hAnsi="Century Schoolbook"/>
          <w:bCs/>
        </w:rPr>
        <w:t>]</w:t>
      </w:r>
      <w:proofErr w:type="spellStart"/>
      <w:r w:rsidRPr="0054790E">
        <w:rPr>
          <w:rFonts w:ascii="Century Schoolbook" w:hAnsi="Century Schoolbook"/>
          <w:bCs/>
        </w:rPr>
        <w:t>pplying</w:t>
      </w:r>
      <w:proofErr w:type="spellEnd"/>
      <w:r w:rsidRPr="0054790E">
        <w:rPr>
          <w:rFonts w:ascii="Century Schoolbook" w:hAnsi="Century Schoolbook"/>
          <w:bCs/>
        </w:rPr>
        <w:t xml:space="preserve"> a</w:t>
      </w:r>
      <w:r w:rsidRPr="0054790E">
        <w:rPr>
          <w:rFonts w:ascii="Century Schoolbook" w:hAnsi="Century Schoolbook"/>
          <w:bCs/>
        </w:rPr>
        <w:t xml:space="preserve"> narrower initial inquiry </w:t>
      </w:r>
      <w:r w:rsidRPr="0054790E">
        <w:rPr>
          <w:rFonts w:ascii="Century Schoolbook" w:hAnsi="Century Schoolbook"/>
          <w:bCs/>
        </w:rPr>
        <w:t xml:space="preserve">to the subset of dependencies that begin with a temporary removal by warrant frustrates the purpose of the initial </w:t>
      </w:r>
      <w:r w:rsidRPr="0054790E">
        <w:rPr>
          <w:rFonts w:ascii="Century Schoolbook" w:hAnsi="Century Schoolbook"/>
          <w:bCs/>
        </w:rPr>
        <w:t>inquiry</w:t>
      </w:r>
      <w:r w:rsidRPr="0054790E">
        <w:rPr>
          <w:rFonts w:ascii="Century Schoolbook" w:hAnsi="Century Schoolbook"/>
          <w:bCs/>
        </w:rPr>
        <w:t>.</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w:t>
      </w:r>
      <w:r w:rsidRPr="0054790E">
        <w:rPr>
          <w:rFonts w:ascii="Century Schoolbook" w:hAnsi="Century Schoolbook"/>
          <w:bCs/>
          <w:i/>
          <w:iCs/>
        </w:rPr>
        <w:t>Delila D.,</w:t>
      </w:r>
      <w:r w:rsidRPr="0054790E">
        <w:rPr>
          <w:rFonts w:ascii="Century Schoolbook" w:hAnsi="Century Schoolbook"/>
          <w:bCs/>
        </w:rPr>
        <w:t xml:space="preserve"> </w:t>
      </w:r>
      <w:r w:rsidRPr="0054790E">
        <w:rPr>
          <w:rFonts w:ascii="Century Schoolbook" w:hAnsi="Century Schoolbook"/>
          <w:bCs/>
          <w:i/>
          <w:iCs/>
        </w:rPr>
        <w:t>supra,</w:t>
      </w:r>
      <w:r w:rsidRPr="0054790E">
        <w:rPr>
          <w:rFonts w:ascii="Century Schoolbook" w:hAnsi="Century Schoolbook"/>
          <w:bCs/>
        </w:rPr>
        <w:t xml:space="preserve"> 93 Cal.</w:t>
      </w:r>
      <w:r w:rsidRPr="0054790E">
        <w:rPr>
          <w:rFonts w:ascii="Century Schoolbook" w:hAnsi="Century Schoolbook"/>
          <w:bCs/>
        </w:rPr>
        <w:t>A</w:t>
      </w:r>
      <w:r w:rsidRPr="0054790E">
        <w:rPr>
          <w:rFonts w:ascii="Century Schoolbook" w:hAnsi="Century Schoolbook"/>
          <w:bCs/>
        </w:rPr>
        <w:t xml:space="preserve">pp.5th at </w:t>
      </w:r>
      <w:r>
        <w:rPr>
          <w:rFonts w:ascii="Century Schoolbook" w:hAnsi="Century Schoolbook"/>
          <w:bCs/>
        </w:rPr>
        <w:t>p. </w:t>
      </w:r>
      <w:r w:rsidRPr="0054790E">
        <w:rPr>
          <w:rFonts w:ascii="Century Schoolbook" w:hAnsi="Century Schoolbook"/>
          <w:bCs/>
        </w:rPr>
        <w:t>962</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 xml:space="preserve">It makes no sense </w:t>
      </w:r>
      <w:r w:rsidRPr="0054790E">
        <w:rPr>
          <w:rFonts w:ascii="Century Schoolbook" w:hAnsi="Century Schoolbook"/>
          <w:bCs/>
        </w:rPr>
        <w:t xml:space="preserve">to </w:t>
      </w:r>
      <w:r w:rsidRPr="0054790E">
        <w:rPr>
          <w:rFonts w:ascii="Century Schoolbook" w:hAnsi="Century Schoolbook"/>
          <w:bCs/>
        </w:rPr>
        <w:t>require</w:t>
      </w:r>
      <w:r w:rsidRPr="0054790E">
        <w:rPr>
          <w:rFonts w:ascii="Century Schoolbook" w:hAnsi="Century Schoolbook"/>
          <w:bCs/>
        </w:rPr>
        <w:t xml:space="preserve"> social workers to inquire </w:t>
      </w:r>
      <w:r w:rsidRPr="0054790E">
        <w:rPr>
          <w:rFonts w:ascii="Century Schoolbook" w:hAnsi="Century Schoolbook"/>
          <w:bCs/>
        </w:rPr>
        <w:t xml:space="preserve">of </w:t>
      </w:r>
      <w:r w:rsidRPr="0054790E">
        <w:rPr>
          <w:rFonts w:ascii="Century Schoolbook" w:hAnsi="Century Schoolbook"/>
          <w:bCs/>
        </w:rPr>
        <w:t xml:space="preserve">extended family </w:t>
      </w:r>
      <w:r w:rsidRPr="0054790E">
        <w:rPr>
          <w:rFonts w:ascii="Century Schoolbook" w:hAnsi="Century Schoolbook"/>
          <w:bCs/>
        </w:rPr>
        <w:t xml:space="preserve">members </w:t>
      </w:r>
      <w:r w:rsidRPr="0054790E">
        <w:rPr>
          <w:rFonts w:ascii="Century Schoolbook" w:hAnsi="Century Schoolbook"/>
          <w:bCs/>
        </w:rPr>
        <w:t>only i</w:t>
      </w:r>
      <w:r w:rsidRPr="0054790E">
        <w:rPr>
          <w:rFonts w:ascii="Century Schoolbook" w:hAnsi="Century Schoolbook"/>
          <w:bCs/>
        </w:rPr>
        <w:t xml:space="preserve">n cases where the initial removal </w:t>
      </w:r>
      <w:r w:rsidRPr="0054790E">
        <w:rPr>
          <w:rFonts w:ascii="Century Schoolbook" w:hAnsi="Century Schoolbook"/>
          <w:bCs/>
        </w:rPr>
        <w:t xml:space="preserve">of the child was done without a warrant. </w:t>
      </w:r>
      <w:r w:rsidRPr="0054790E">
        <w:rPr>
          <w:rFonts w:ascii="Century Schoolbook" w:hAnsi="Century Schoolbook"/>
          <w:bCs/>
        </w:rPr>
        <w:t xml:space="preserve">Children removed from their homes </w:t>
      </w:r>
      <w:r w:rsidRPr="0054790E">
        <w:rPr>
          <w:rFonts w:ascii="Century Schoolbook" w:hAnsi="Century Schoolbook"/>
          <w:bCs/>
        </w:rPr>
        <w:t xml:space="preserve">through a protective custody warrant under section 340 </w:t>
      </w:r>
      <w:r w:rsidRPr="0054790E">
        <w:rPr>
          <w:rFonts w:ascii="Century Schoolbook" w:hAnsi="Century Schoolbook"/>
          <w:bCs/>
        </w:rPr>
        <w:t xml:space="preserve">are no less deserving </w:t>
      </w:r>
      <w:r w:rsidRPr="0054790E">
        <w:rPr>
          <w:rFonts w:ascii="Century Schoolbook" w:hAnsi="Century Schoolbook"/>
          <w:bCs/>
        </w:rPr>
        <w:t>of investigation into possible Native American heritage.</w:t>
      </w:r>
    </w:p>
    <w:p w14:paraId="0AEA3A30" w14:textId="77777777" w:rsidR="00A13071" w:rsidRPr="0054790E" w:rsidRDefault="00A13071" w:rsidP="00B021EB">
      <w:pPr>
        <w:spacing w:line="360" w:lineRule="auto"/>
        <w:rPr>
          <w:rFonts w:ascii="Century Schoolbook" w:hAnsi="Century Schoolbook"/>
          <w:bCs/>
        </w:rPr>
      </w:pPr>
      <w:r w:rsidRPr="0054790E">
        <w:rPr>
          <w:rFonts w:ascii="Century Schoolbook" w:hAnsi="Century Schoolbook"/>
          <w:bCs/>
        </w:rPr>
        <w:tab/>
      </w:r>
      <w:r w:rsidRPr="0054790E">
        <w:rPr>
          <w:rFonts w:ascii="Century Schoolbook" w:hAnsi="Century Schoolbook"/>
          <w:bCs/>
        </w:rPr>
        <w:t>These policy considerations</w:t>
      </w:r>
      <w:r w:rsidRPr="0054790E">
        <w:rPr>
          <w:rFonts w:ascii="Century Schoolbook" w:hAnsi="Century Schoolbook"/>
          <w:bCs/>
        </w:rPr>
        <w:t xml:space="preserve"> further</w:t>
      </w:r>
      <w:r w:rsidRPr="0054790E">
        <w:rPr>
          <w:rFonts w:ascii="Century Schoolbook" w:hAnsi="Century Schoolbook"/>
          <w:bCs/>
        </w:rPr>
        <w:t xml:space="preserve"> inform our agreement with</w:t>
      </w:r>
      <w:r w:rsidRPr="0054790E">
        <w:rPr>
          <w:rFonts w:ascii="Century Schoolbook" w:hAnsi="Century Schoolbook"/>
          <w:bCs/>
        </w:rPr>
        <w:t xml:space="preserve"> the analysis and conclusions of the courts in </w:t>
      </w:r>
      <w:r w:rsidRPr="0054790E">
        <w:rPr>
          <w:rFonts w:ascii="Century Schoolbook" w:hAnsi="Century Schoolbook"/>
          <w:bCs/>
          <w:i/>
          <w:iCs/>
        </w:rPr>
        <w:t>Delila D</w:t>
      </w:r>
      <w:r w:rsidRPr="0054790E">
        <w:rPr>
          <w:rFonts w:ascii="Century Schoolbook" w:hAnsi="Century Schoolbook"/>
          <w:bCs/>
        </w:rPr>
        <w:t xml:space="preserve">., </w:t>
      </w:r>
      <w:r w:rsidRPr="0054790E">
        <w:rPr>
          <w:rFonts w:ascii="Century Schoolbook" w:hAnsi="Century Schoolbook"/>
          <w:bCs/>
          <w:i/>
          <w:iCs/>
        </w:rPr>
        <w:t>In re V.C.,</w:t>
      </w:r>
      <w:r w:rsidRPr="0054790E">
        <w:rPr>
          <w:rFonts w:ascii="Century Schoolbook" w:hAnsi="Century Schoolbook"/>
          <w:bCs/>
        </w:rPr>
        <w:t xml:space="preserve"> and </w:t>
      </w:r>
      <w:proofErr w:type="gramStart"/>
      <w:r w:rsidRPr="0054790E">
        <w:rPr>
          <w:rFonts w:ascii="Century Schoolbook" w:hAnsi="Century Schoolbook"/>
          <w:bCs/>
          <w:i/>
          <w:iCs/>
        </w:rPr>
        <w:t>In</w:t>
      </w:r>
      <w:proofErr w:type="gramEnd"/>
      <w:r w:rsidRPr="0054790E">
        <w:rPr>
          <w:rFonts w:ascii="Century Schoolbook" w:hAnsi="Century Schoolbook"/>
          <w:bCs/>
          <w:i/>
          <w:iCs/>
        </w:rPr>
        <w:t xml:space="preserve"> re C.L.</w:t>
      </w:r>
      <w:r w:rsidRPr="0054790E">
        <w:rPr>
          <w:rFonts w:ascii="Century Schoolbook" w:hAnsi="Century Schoolbook"/>
          <w:bCs/>
        </w:rPr>
        <w:t xml:space="preserve"> from earlier this year. We also </w:t>
      </w:r>
      <w:r w:rsidRPr="0054790E">
        <w:rPr>
          <w:rFonts w:ascii="Century Schoolbook" w:hAnsi="Century Schoolbook"/>
          <w:bCs/>
        </w:rPr>
        <w:t>second</w:t>
      </w:r>
      <w:r w:rsidRPr="0054790E">
        <w:rPr>
          <w:rFonts w:ascii="Century Schoolbook" w:hAnsi="Century Schoolbook"/>
          <w:bCs/>
        </w:rPr>
        <w:t xml:space="preserve"> Justice Slough’s concurring opinion in </w:t>
      </w:r>
      <w:r w:rsidRPr="0054790E">
        <w:rPr>
          <w:rFonts w:ascii="Century Schoolbook" w:hAnsi="Century Schoolbook"/>
          <w:bCs/>
          <w:i/>
          <w:iCs/>
        </w:rPr>
        <w:t>Andres R</w:t>
      </w:r>
      <w:r w:rsidRPr="0054790E">
        <w:rPr>
          <w:rFonts w:ascii="Century Schoolbook" w:hAnsi="Century Schoolbook"/>
          <w:bCs/>
        </w:rPr>
        <w:t xml:space="preserve">. </w:t>
      </w:r>
      <w:r w:rsidRPr="0054790E">
        <w:rPr>
          <w:rFonts w:ascii="Century Schoolbook" w:hAnsi="Century Schoolbook"/>
          <w:bCs/>
        </w:rPr>
        <w:t>in which she explains</w:t>
      </w:r>
      <w:r w:rsidRPr="0054790E">
        <w:rPr>
          <w:rFonts w:ascii="Century Schoolbook" w:hAnsi="Century Schoolbook"/>
          <w:bCs/>
        </w:rPr>
        <w:t xml:space="preserve"> </w:t>
      </w:r>
      <w:r w:rsidRPr="0054790E">
        <w:rPr>
          <w:rFonts w:ascii="Century Schoolbook" w:hAnsi="Century Schoolbook"/>
          <w:bCs/>
        </w:rPr>
        <w:t xml:space="preserve">the reasons </w:t>
      </w:r>
      <w:r w:rsidRPr="0054790E">
        <w:rPr>
          <w:rFonts w:ascii="Century Schoolbook" w:hAnsi="Century Schoolbook"/>
          <w:bCs/>
        </w:rPr>
        <w:t xml:space="preserve">for her view that </w:t>
      </w:r>
      <w:r>
        <w:rPr>
          <w:rFonts w:ascii="Century Schoolbook" w:hAnsi="Century Schoolbook"/>
          <w:bCs/>
        </w:rPr>
        <w:t>s</w:t>
      </w:r>
      <w:r w:rsidRPr="0054790E">
        <w:rPr>
          <w:rFonts w:ascii="Century Schoolbook" w:hAnsi="Century Schoolbook"/>
          <w:bCs/>
        </w:rPr>
        <w:t>ection 224.2</w:t>
      </w:r>
      <w:r>
        <w:rPr>
          <w:rFonts w:ascii="Century Schoolbook" w:hAnsi="Century Schoolbook"/>
          <w:bCs/>
        </w:rPr>
        <w:t xml:space="preserve">, subdivision </w:t>
      </w:r>
      <w:r w:rsidRPr="0054790E">
        <w:rPr>
          <w:rFonts w:ascii="Century Schoolbook" w:hAnsi="Century Schoolbook"/>
          <w:bCs/>
        </w:rPr>
        <w:t>(b)</w:t>
      </w:r>
      <w:r>
        <w:rPr>
          <w:rFonts w:ascii="Century Schoolbook" w:hAnsi="Century Schoolbook"/>
          <w:bCs/>
        </w:rPr>
        <w:t>,</w:t>
      </w:r>
      <w:r w:rsidRPr="0054790E">
        <w:rPr>
          <w:rFonts w:ascii="Century Schoolbook" w:hAnsi="Century Schoolbook"/>
          <w:bCs/>
        </w:rPr>
        <w:t xml:space="preserve"> and Cal</w:t>
      </w:r>
      <w:r>
        <w:rPr>
          <w:rFonts w:ascii="Century Schoolbook" w:hAnsi="Century Schoolbook"/>
          <w:bCs/>
        </w:rPr>
        <w:t xml:space="preserve">ifornia </w:t>
      </w:r>
      <w:r w:rsidRPr="0054790E">
        <w:rPr>
          <w:rFonts w:ascii="Century Schoolbook" w:hAnsi="Century Schoolbook"/>
          <w:bCs/>
        </w:rPr>
        <w:t>Rules of Court, rule 5.481 “create a clear mandate: where a child has been removed from home or is at risk of being removed from home, the social worker must ask available extended family members whether the child is or may be an Indian child.” (</w:t>
      </w:r>
      <w:r w:rsidRPr="0054790E">
        <w:rPr>
          <w:rFonts w:ascii="Century Schoolbook" w:hAnsi="Century Schoolbook"/>
          <w:bCs/>
          <w:i/>
          <w:iCs/>
        </w:rPr>
        <w:t>Andres R</w:t>
      </w:r>
      <w:r w:rsidRPr="0054790E">
        <w:rPr>
          <w:rFonts w:ascii="Century Schoolbook" w:hAnsi="Century Schoolbook"/>
          <w:bCs/>
        </w:rPr>
        <w:t xml:space="preserve">., </w:t>
      </w:r>
      <w:r w:rsidRPr="00D615A1">
        <w:rPr>
          <w:rFonts w:ascii="Century Schoolbook" w:hAnsi="Century Schoolbook"/>
          <w:bCs/>
          <w:i/>
          <w:iCs/>
        </w:rPr>
        <w:t>supra</w:t>
      </w:r>
      <w:r w:rsidRPr="0054790E">
        <w:rPr>
          <w:rFonts w:ascii="Century Schoolbook" w:hAnsi="Century Schoolbook"/>
          <w:bCs/>
        </w:rPr>
        <w:t>, 94 Cal.App.5</w:t>
      </w:r>
      <w:r w:rsidRPr="0054790E">
        <w:rPr>
          <w:rFonts w:ascii="Century Schoolbook" w:hAnsi="Century Schoolbook"/>
          <w:bCs/>
        </w:rPr>
        <w:t>th</w:t>
      </w:r>
      <w:r w:rsidRPr="0054790E">
        <w:rPr>
          <w:rFonts w:ascii="Century Schoolbook" w:hAnsi="Century Schoolbook"/>
          <w:bCs/>
        </w:rPr>
        <w:t xml:space="preserve"> at </w:t>
      </w:r>
      <w:r>
        <w:rPr>
          <w:rFonts w:ascii="Century Schoolbook" w:hAnsi="Century Schoolbook"/>
          <w:bCs/>
        </w:rPr>
        <w:t xml:space="preserve">861 (conc. </w:t>
      </w:r>
      <w:proofErr w:type="spellStart"/>
      <w:r>
        <w:rPr>
          <w:rFonts w:ascii="Century Schoolbook" w:hAnsi="Century Schoolbook"/>
          <w:bCs/>
        </w:rPr>
        <w:t>opn</w:t>
      </w:r>
      <w:proofErr w:type="spellEnd"/>
      <w:r>
        <w:rPr>
          <w:rFonts w:ascii="Century Schoolbook" w:hAnsi="Century Schoolbook"/>
          <w:bCs/>
        </w:rPr>
        <w:t>. of Slough, J.)</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A</w:t>
      </w:r>
      <w:r w:rsidRPr="0054790E">
        <w:rPr>
          <w:rFonts w:ascii="Century Schoolbook" w:hAnsi="Century Schoolbook"/>
          <w:bCs/>
        </w:rPr>
        <w:t>n interpretation</w:t>
      </w:r>
      <w:r w:rsidRPr="0054790E">
        <w:rPr>
          <w:rFonts w:ascii="Century Schoolbook" w:hAnsi="Century Schoolbook"/>
          <w:bCs/>
        </w:rPr>
        <w:t xml:space="preserve"> of </w:t>
      </w:r>
      <w:r w:rsidRPr="0054790E">
        <w:rPr>
          <w:rFonts w:ascii="Century Schoolbook" w:hAnsi="Century Schoolbook"/>
          <w:bCs/>
        </w:rPr>
        <w:t xml:space="preserve">section </w:t>
      </w:r>
      <w:r w:rsidRPr="0054790E">
        <w:rPr>
          <w:rFonts w:ascii="Century Schoolbook" w:hAnsi="Century Schoolbook"/>
          <w:bCs/>
        </w:rPr>
        <w:lastRenderedPageBreak/>
        <w:t xml:space="preserve">224.2(b) </w:t>
      </w:r>
      <w:r w:rsidRPr="0054790E">
        <w:rPr>
          <w:rFonts w:ascii="Century Schoolbook" w:hAnsi="Century Schoolbook"/>
          <w:bCs/>
        </w:rPr>
        <w:t xml:space="preserve">that </w:t>
      </w:r>
      <w:r w:rsidRPr="0054790E">
        <w:rPr>
          <w:rFonts w:ascii="Century Schoolbook" w:hAnsi="Century Schoolbook"/>
          <w:bCs/>
        </w:rPr>
        <w:t xml:space="preserve">reduces the opportunities </w:t>
      </w:r>
      <w:r w:rsidRPr="0054790E">
        <w:rPr>
          <w:rFonts w:ascii="Century Schoolbook" w:hAnsi="Century Schoolbook"/>
          <w:bCs/>
        </w:rPr>
        <w:t>for identification of a child’s Native American heritage</w:t>
      </w:r>
      <w:r w:rsidRPr="0054790E">
        <w:rPr>
          <w:rFonts w:ascii="Century Schoolbook" w:hAnsi="Century Schoolbook"/>
          <w:bCs/>
        </w:rPr>
        <w:t xml:space="preserve"> </w:t>
      </w:r>
      <w:r w:rsidRPr="0054790E">
        <w:rPr>
          <w:rFonts w:ascii="Century Schoolbook" w:hAnsi="Century Schoolbook"/>
          <w:bCs/>
        </w:rPr>
        <w:t xml:space="preserve">plainly </w:t>
      </w:r>
      <w:r w:rsidRPr="0054790E">
        <w:rPr>
          <w:rFonts w:ascii="Century Schoolbook" w:hAnsi="Century Schoolbook"/>
          <w:bCs/>
        </w:rPr>
        <w:t>conflicts with that mandate</w:t>
      </w:r>
      <w:r w:rsidRPr="0054790E">
        <w:rPr>
          <w:rFonts w:ascii="Century Schoolbook" w:hAnsi="Century Schoolbook"/>
          <w:bCs/>
        </w:rPr>
        <w:t>.</w:t>
      </w:r>
      <w:r w:rsidRPr="0054790E">
        <w:rPr>
          <w:rFonts w:ascii="Century Schoolbook" w:hAnsi="Century Schoolbook"/>
          <w:bCs/>
        </w:rPr>
        <w:t xml:space="preserve"> </w:t>
      </w:r>
      <w:r w:rsidRPr="0054790E">
        <w:rPr>
          <w:rFonts w:ascii="Century Schoolbook" w:hAnsi="Century Schoolbook"/>
          <w:bCs/>
        </w:rPr>
        <w:t>Finally, w</w:t>
      </w:r>
      <w:r w:rsidRPr="0054790E">
        <w:rPr>
          <w:rFonts w:ascii="Century Schoolbook" w:hAnsi="Century Schoolbook"/>
          <w:bCs/>
        </w:rPr>
        <w:t xml:space="preserve">e agree with the court’s observation in </w:t>
      </w:r>
      <w:r w:rsidRPr="0054790E">
        <w:rPr>
          <w:rFonts w:ascii="Century Schoolbook" w:hAnsi="Century Schoolbook"/>
          <w:bCs/>
          <w:i/>
          <w:iCs/>
        </w:rPr>
        <w:t>Delilah D.</w:t>
      </w:r>
      <w:r w:rsidRPr="0054790E">
        <w:rPr>
          <w:rFonts w:ascii="Century Schoolbook" w:hAnsi="Century Schoolbook"/>
          <w:bCs/>
        </w:rPr>
        <w:t xml:space="preserve"> that “[t]he costs of broadening the inquiry [to include extended family members] are slight, as departments are already required to identify and to contact extended family members for various reasons unrelated to ICWA during dependency proceedings</w:t>
      </w:r>
      <w:r w:rsidRPr="0054790E">
        <w:rPr>
          <w:rFonts w:ascii="Century Schoolbook" w:hAnsi="Century Schoolbook"/>
          <w:bCs/>
        </w:rPr>
        <w:t>. (</w:t>
      </w:r>
      <w:r w:rsidRPr="0054790E">
        <w:rPr>
          <w:rFonts w:ascii="Century Schoolbook" w:hAnsi="Century Schoolbook"/>
          <w:bCs/>
          <w:i/>
          <w:iCs/>
        </w:rPr>
        <w:t xml:space="preserve">Delilah D., supra, </w:t>
      </w:r>
      <w:r w:rsidRPr="0054790E">
        <w:rPr>
          <w:rFonts w:ascii="Century Schoolbook" w:hAnsi="Century Schoolbook"/>
          <w:bCs/>
        </w:rPr>
        <w:t>93 Cal.App.5</w:t>
      </w:r>
      <w:r w:rsidRPr="0054790E">
        <w:rPr>
          <w:rFonts w:ascii="Century Schoolbook" w:hAnsi="Century Schoolbook"/>
          <w:bCs/>
        </w:rPr>
        <w:t>th</w:t>
      </w:r>
      <w:r w:rsidRPr="0054790E">
        <w:rPr>
          <w:rFonts w:ascii="Century Schoolbook" w:hAnsi="Century Schoolbook"/>
          <w:bCs/>
        </w:rPr>
        <w:t xml:space="preserve"> at </w:t>
      </w:r>
      <w:r>
        <w:rPr>
          <w:rFonts w:ascii="Century Schoolbook" w:hAnsi="Century Schoolbook"/>
          <w:bCs/>
        </w:rPr>
        <w:t xml:space="preserve">p. </w:t>
      </w:r>
      <w:r w:rsidRPr="0054790E">
        <w:rPr>
          <w:rFonts w:ascii="Century Schoolbook" w:hAnsi="Century Schoolbook"/>
          <w:bCs/>
        </w:rPr>
        <w:t>975</w:t>
      </w:r>
      <w:r>
        <w:rPr>
          <w:rFonts w:ascii="Century Schoolbook" w:hAnsi="Century Schoolbook"/>
          <w:bCs/>
        </w:rPr>
        <w:t xml:space="preserve">, </w:t>
      </w:r>
      <w:r w:rsidRPr="0054790E">
        <w:rPr>
          <w:rFonts w:ascii="Century Schoolbook" w:hAnsi="Century Schoolbook"/>
          <w:bCs/>
        </w:rPr>
        <w:t>citing</w:t>
      </w:r>
      <w:r w:rsidRPr="0054790E">
        <w:rPr>
          <w:rFonts w:ascii="Century Schoolbook" w:hAnsi="Century Schoolbook"/>
          <w:bCs/>
          <w:i/>
          <w:iCs/>
        </w:rPr>
        <w:t xml:space="preserve"> </w:t>
      </w:r>
      <w:proofErr w:type="gramStart"/>
      <w:r w:rsidRPr="0054790E">
        <w:rPr>
          <w:rFonts w:ascii="Century Schoolbook" w:hAnsi="Century Schoolbook"/>
          <w:bCs/>
          <w:i/>
          <w:iCs/>
        </w:rPr>
        <w:t>In</w:t>
      </w:r>
      <w:proofErr w:type="gramEnd"/>
      <w:r w:rsidRPr="0054790E">
        <w:rPr>
          <w:rFonts w:ascii="Century Schoolbook" w:hAnsi="Century Schoolbook"/>
          <w:bCs/>
          <w:i/>
          <w:iCs/>
        </w:rPr>
        <w:t xml:space="preserve"> re </w:t>
      </w:r>
      <w:r w:rsidRPr="0054790E">
        <w:rPr>
          <w:rFonts w:ascii="Century Schoolbook" w:hAnsi="Century Schoolbook"/>
          <w:bCs/>
          <w:i/>
          <w:iCs/>
        </w:rPr>
        <w:t xml:space="preserve">S.S. </w:t>
      </w:r>
      <w:r w:rsidRPr="0054790E">
        <w:rPr>
          <w:rFonts w:ascii="Century Schoolbook" w:hAnsi="Century Schoolbook"/>
          <w:bCs/>
        </w:rPr>
        <w:t xml:space="preserve">(2023) </w:t>
      </w:r>
      <w:r w:rsidRPr="0054790E">
        <w:rPr>
          <w:rFonts w:ascii="Century Schoolbook" w:hAnsi="Century Schoolbook"/>
          <w:bCs/>
        </w:rPr>
        <w:t>90 Cal.App.5</w:t>
      </w:r>
      <w:r w:rsidRPr="0054790E">
        <w:rPr>
          <w:rFonts w:ascii="Century Schoolbook" w:hAnsi="Century Schoolbook"/>
          <w:bCs/>
        </w:rPr>
        <w:t>th</w:t>
      </w:r>
      <w:r w:rsidRPr="0054790E">
        <w:rPr>
          <w:rFonts w:ascii="Century Schoolbook" w:hAnsi="Century Schoolbook"/>
          <w:bCs/>
        </w:rPr>
        <w:t xml:space="preserve"> 694, 702</w:t>
      </w:r>
      <w:r w:rsidRPr="0054790E">
        <w:rPr>
          <w:rFonts w:ascii="Century Schoolbook" w:hAnsi="Century Schoolbook"/>
        </w:rPr>
        <w:t>–</w:t>
      </w:r>
      <w:r>
        <w:rPr>
          <w:rFonts w:ascii="Century Schoolbook" w:hAnsi="Century Schoolbook"/>
          <w:bCs/>
        </w:rPr>
        <w:t>7</w:t>
      </w:r>
      <w:r>
        <w:rPr>
          <w:rFonts w:ascii="Century Schoolbook" w:hAnsi="Century Schoolbook"/>
          <w:bCs/>
        </w:rPr>
        <w:t>03</w:t>
      </w:r>
      <w:r w:rsidRPr="0054790E">
        <w:rPr>
          <w:rFonts w:ascii="Century Schoolbook" w:hAnsi="Century Schoolbook"/>
          <w:bCs/>
        </w:rPr>
        <w:t xml:space="preserve"> [providing a list of examples</w:t>
      </w:r>
      <w:r w:rsidRPr="0054790E">
        <w:rPr>
          <w:rFonts w:ascii="Century Schoolbook" w:hAnsi="Century Schoolbook"/>
          <w:bCs/>
        </w:rPr>
        <w:t>].)</w:t>
      </w:r>
    </w:p>
    <w:p w14:paraId="56C6F09E" w14:textId="77777777" w:rsidR="00A13071" w:rsidRPr="0054790E" w:rsidRDefault="00A13071" w:rsidP="00470BED">
      <w:pPr>
        <w:spacing w:line="360" w:lineRule="auto"/>
        <w:rPr>
          <w:rFonts w:ascii="Century Schoolbook" w:hAnsi="Century Schoolbook"/>
          <w:bCs/>
        </w:rPr>
      </w:pPr>
      <w:r w:rsidRPr="0054790E">
        <w:rPr>
          <w:rFonts w:ascii="Century Schoolbook" w:hAnsi="Century Schoolbook"/>
          <w:bCs/>
        </w:rPr>
        <w:tab/>
        <w:t xml:space="preserve">Here, </w:t>
      </w:r>
      <w:r w:rsidRPr="0054790E">
        <w:rPr>
          <w:rFonts w:ascii="Century Schoolbook" w:hAnsi="Century Schoolbook"/>
          <w:bCs/>
        </w:rPr>
        <w:t>notwithstanding</w:t>
      </w:r>
      <w:r w:rsidRPr="0054790E">
        <w:rPr>
          <w:rFonts w:ascii="Century Schoolbook" w:hAnsi="Century Schoolbook"/>
          <w:bCs/>
        </w:rPr>
        <w:t xml:space="preserve"> </w:t>
      </w:r>
      <w:r w:rsidRPr="0054790E">
        <w:rPr>
          <w:rFonts w:ascii="Century Schoolbook" w:hAnsi="Century Schoolbook"/>
          <w:bCs/>
        </w:rPr>
        <w:t xml:space="preserve">the </w:t>
      </w:r>
      <w:r w:rsidRPr="0054790E">
        <w:rPr>
          <w:rFonts w:ascii="Century Schoolbook" w:hAnsi="Century Schoolbook"/>
          <w:bCs/>
        </w:rPr>
        <w:t>availability of</w:t>
      </w:r>
      <w:r w:rsidRPr="0054790E">
        <w:rPr>
          <w:rFonts w:ascii="Century Schoolbook" w:hAnsi="Century Schoolbook"/>
          <w:bCs/>
        </w:rPr>
        <w:t xml:space="preserve"> </w:t>
      </w:r>
      <w:r w:rsidRPr="0054790E">
        <w:rPr>
          <w:rFonts w:ascii="Century Schoolbook" w:hAnsi="Century Schoolbook"/>
          <w:bCs/>
        </w:rPr>
        <w:t>and contact with</w:t>
      </w:r>
      <w:r w:rsidRPr="0054790E">
        <w:rPr>
          <w:rFonts w:ascii="Century Schoolbook" w:hAnsi="Century Schoolbook"/>
          <w:bCs/>
        </w:rPr>
        <w:t xml:space="preserve"> </w:t>
      </w:r>
      <w:r w:rsidRPr="0054790E">
        <w:rPr>
          <w:rFonts w:ascii="Century Schoolbook" w:hAnsi="Century Schoolbook"/>
          <w:bCs/>
        </w:rPr>
        <w:t xml:space="preserve">multiple members of L.B.’s extended </w:t>
      </w:r>
      <w:r w:rsidRPr="0054790E">
        <w:rPr>
          <w:rFonts w:ascii="Century Schoolbook" w:hAnsi="Century Schoolbook"/>
          <w:bCs/>
        </w:rPr>
        <w:t xml:space="preserve">family, </w:t>
      </w:r>
      <w:r w:rsidRPr="0054790E">
        <w:rPr>
          <w:rFonts w:ascii="Century Schoolbook" w:hAnsi="Century Schoolbook"/>
          <w:bCs/>
        </w:rPr>
        <w:t xml:space="preserve">there </w:t>
      </w:r>
      <w:r w:rsidRPr="0054790E">
        <w:rPr>
          <w:rFonts w:ascii="Century Schoolbook" w:hAnsi="Century Schoolbook"/>
          <w:bCs/>
        </w:rPr>
        <w:t xml:space="preserve">seems to have been no attempt to </w:t>
      </w:r>
      <w:r w:rsidRPr="0054790E">
        <w:rPr>
          <w:rFonts w:ascii="Century Schoolbook" w:hAnsi="Century Schoolbook"/>
          <w:bCs/>
        </w:rPr>
        <w:t>ask</w:t>
      </w:r>
      <w:r w:rsidRPr="0054790E">
        <w:rPr>
          <w:rFonts w:ascii="Century Schoolbook" w:hAnsi="Century Schoolbook"/>
          <w:bCs/>
        </w:rPr>
        <w:t xml:space="preserve"> those relatives </w:t>
      </w:r>
      <w:r w:rsidRPr="0054790E">
        <w:rPr>
          <w:rFonts w:ascii="Century Schoolbook" w:hAnsi="Century Schoolbook"/>
          <w:bCs/>
        </w:rPr>
        <w:t>about</w:t>
      </w:r>
      <w:r w:rsidRPr="0054790E">
        <w:rPr>
          <w:rFonts w:ascii="Century Schoolbook" w:hAnsi="Century Schoolbook"/>
          <w:bCs/>
        </w:rPr>
        <w:t xml:space="preserve"> L.B.’s ancestry. </w:t>
      </w:r>
      <w:r w:rsidRPr="0054790E">
        <w:rPr>
          <w:rFonts w:ascii="Century Schoolbook" w:hAnsi="Century Schoolbook"/>
          <w:bCs/>
        </w:rPr>
        <w:t xml:space="preserve">For that reason, the inquiry was inadequate as a matter of law and the </w:t>
      </w:r>
      <w:r>
        <w:rPr>
          <w:rFonts w:ascii="Century Schoolbook" w:hAnsi="Century Schoolbook"/>
          <w:bCs/>
        </w:rPr>
        <w:t>juvenile</w:t>
      </w:r>
      <w:r w:rsidRPr="0054790E">
        <w:rPr>
          <w:rFonts w:ascii="Century Schoolbook" w:hAnsi="Century Schoolbook"/>
          <w:bCs/>
        </w:rPr>
        <w:t xml:space="preserve"> court’s </w:t>
      </w:r>
      <w:r w:rsidRPr="0054790E">
        <w:rPr>
          <w:rFonts w:ascii="Century Schoolbook" w:hAnsi="Century Schoolbook"/>
          <w:bCs/>
        </w:rPr>
        <w:t>determination</w:t>
      </w:r>
      <w:r w:rsidRPr="0054790E">
        <w:rPr>
          <w:rFonts w:ascii="Century Schoolbook" w:hAnsi="Century Schoolbook"/>
          <w:bCs/>
        </w:rPr>
        <w:t xml:space="preserve"> to the contrary was an abuse of discretion. Further, the error was prejudicial because the availability of those relatives indicates the existence of “readily obtainable information that was likely to bear meaningfully upon whether the child is an Indian child.” (</w:t>
      </w:r>
      <w:r w:rsidRPr="0054790E">
        <w:rPr>
          <w:rFonts w:ascii="Century Schoolbook" w:hAnsi="Century Schoolbook"/>
          <w:bCs/>
          <w:i/>
          <w:iCs/>
        </w:rPr>
        <w:t>Benjamin M.</w:t>
      </w:r>
      <w:r w:rsidRPr="0054790E">
        <w:rPr>
          <w:rFonts w:ascii="Century Schoolbook" w:hAnsi="Century Schoolbook"/>
          <w:bCs/>
        </w:rPr>
        <w:t xml:space="preserve">, </w:t>
      </w:r>
      <w:r w:rsidRPr="0054790E">
        <w:rPr>
          <w:rFonts w:ascii="Century Schoolbook" w:hAnsi="Century Schoolbook"/>
          <w:bCs/>
          <w:i/>
          <w:iCs/>
        </w:rPr>
        <w:t>supra</w:t>
      </w:r>
      <w:r w:rsidRPr="0054790E">
        <w:rPr>
          <w:rFonts w:ascii="Century Schoolbook" w:hAnsi="Century Schoolbook"/>
          <w:bCs/>
        </w:rPr>
        <w:t>, 70 Cal.App.5th at p.</w:t>
      </w:r>
      <w:r>
        <w:rPr>
          <w:rFonts w:ascii="Century Schoolbook" w:hAnsi="Century Schoolbook"/>
          <w:bCs/>
        </w:rPr>
        <w:t> </w:t>
      </w:r>
      <w:r w:rsidRPr="0054790E">
        <w:rPr>
          <w:rFonts w:ascii="Century Schoolbook" w:hAnsi="Century Schoolbook"/>
          <w:bCs/>
        </w:rPr>
        <w:t>744.)</w:t>
      </w:r>
      <w:r w:rsidRPr="0054790E">
        <w:rPr>
          <w:rFonts w:ascii="Century Schoolbook" w:hAnsi="Century Schoolbook"/>
          <w:bCs/>
        </w:rPr>
        <w:t xml:space="preserve"> In short, the failure to complete the requisite inquiry was</w:t>
      </w:r>
      <w:r w:rsidRPr="0054790E">
        <w:rPr>
          <w:rFonts w:ascii="Century Schoolbook" w:hAnsi="Century Schoolbook"/>
          <w:bCs/>
        </w:rPr>
        <w:t xml:space="preserve"> </w:t>
      </w:r>
      <w:proofErr w:type="gramStart"/>
      <w:r w:rsidRPr="0054790E">
        <w:rPr>
          <w:rFonts w:ascii="Century Schoolbook" w:hAnsi="Century Schoolbook"/>
          <w:bCs/>
        </w:rPr>
        <w:t>reversible</w:t>
      </w:r>
      <w:proofErr w:type="gramEnd"/>
      <w:r w:rsidRPr="0054790E">
        <w:rPr>
          <w:rFonts w:ascii="Century Schoolbook" w:hAnsi="Century Schoolbook"/>
          <w:bCs/>
        </w:rPr>
        <w:t xml:space="preserve"> error.</w:t>
      </w:r>
    </w:p>
    <w:p w14:paraId="2909CB8B" w14:textId="77777777" w:rsidR="00A13071" w:rsidRPr="0054790E" w:rsidRDefault="00A13071" w:rsidP="003B7C0F">
      <w:pPr>
        <w:keepNext/>
        <w:spacing w:line="360" w:lineRule="auto"/>
        <w:jc w:val="center"/>
        <w:rPr>
          <w:rFonts w:ascii="Century Schoolbook" w:hAnsi="Century Schoolbook"/>
          <w:b/>
        </w:rPr>
      </w:pPr>
      <w:r w:rsidRPr="0054790E">
        <w:rPr>
          <w:rFonts w:ascii="Century Schoolbook" w:hAnsi="Century Schoolbook"/>
          <w:b/>
        </w:rPr>
        <w:t>D</w:t>
      </w:r>
      <w:r w:rsidRPr="0054790E">
        <w:rPr>
          <w:rFonts w:ascii="Century Schoolbook" w:hAnsi="Century Schoolbook"/>
          <w:b/>
        </w:rPr>
        <w:t>ISPOSITION</w:t>
      </w:r>
    </w:p>
    <w:p w14:paraId="77D26DC8" w14:textId="77777777" w:rsidR="00A13071" w:rsidRPr="0054790E" w:rsidRDefault="00A13071" w:rsidP="00A84F00">
      <w:pPr>
        <w:spacing w:line="360" w:lineRule="auto"/>
        <w:rPr>
          <w:rFonts w:ascii="Century Schoolbook" w:hAnsi="Century Schoolbook"/>
        </w:rPr>
      </w:pPr>
      <w:r w:rsidRPr="0054790E">
        <w:rPr>
          <w:rFonts w:ascii="Century Schoolbook" w:hAnsi="Century Schoolbook"/>
        </w:rPr>
        <w:tab/>
      </w:r>
      <w:r w:rsidRPr="0054790E">
        <w:rPr>
          <w:rFonts w:ascii="Century Schoolbook" w:hAnsi="Century Schoolbook"/>
        </w:rPr>
        <w:t>The judgment is conditionally reversed</w:t>
      </w:r>
      <w:r w:rsidRPr="0054790E">
        <w:rPr>
          <w:rFonts w:ascii="Century Schoolbook" w:hAnsi="Century Schoolbook"/>
        </w:rPr>
        <w:t>.</w:t>
      </w:r>
      <w:r w:rsidRPr="0054790E">
        <w:rPr>
          <w:rFonts w:ascii="Century Schoolbook" w:hAnsi="Century Schoolbook"/>
        </w:rPr>
        <w:t xml:space="preserve"> </w:t>
      </w:r>
      <w:r w:rsidRPr="0054790E">
        <w:rPr>
          <w:rFonts w:ascii="Century Schoolbook" w:hAnsi="Century Schoolbook"/>
        </w:rPr>
        <w:t>The</w:t>
      </w:r>
      <w:r w:rsidRPr="0054790E">
        <w:rPr>
          <w:rFonts w:ascii="Century Schoolbook" w:hAnsi="Century Schoolbook"/>
        </w:rPr>
        <w:t xml:space="preserve"> </w:t>
      </w:r>
      <w:r>
        <w:rPr>
          <w:rFonts w:ascii="Century Schoolbook" w:hAnsi="Century Schoolbook"/>
        </w:rPr>
        <w:t>juvenile</w:t>
      </w:r>
      <w:r w:rsidRPr="0054790E">
        <w:rPr>
          <w:rFonts w:ascii="Century Schoolbook" w:hAnsi="Century Schoolbook"/>
        </w:rPr>
        <w:t xml:space="preserve"> court</w:t>
      </w:r>
      <w:r w:rsidRPr="0054790E">
        <w:rPr>
          <w:rFonts w:ascii="Century Schoolbook" w:hAnsi="Century Schoolbook"/>
        </w:rPr>
        <w:t xml:space="preserve"> </w:t>
      </w:r>
      <w:r w:rsidRPr="0054790E">
        <w:rPr>
          <w:rFonts w:ascii="Century Schoolbook" w:hAnsi="Century Schoolbook"/>
        </w:rPr>
        <w:t xml:space="preserve">shall order the SSA </w:t>
      </w:r>
      <w:r w:rsidRPr="0054790E">
        <w:rPr>
          <w:rFonts w:ascii="Century Schoolbook" w:hAnsi="Century Schoolbook"/>
        </w:rPr>
        <w:t>to co</w:t>
      </w:r>
      <w:r w:rsidRPr="0054790E">
        <w:rPr>
          <w:rFonts w:ascii="Century Schoolbook" w:hAnsi="Century Schoolbook"/>
        </w:rPr>
        <w:t>mplete</w:t>
      </w:r>
      <w:r w:rsidRPr="0054790E">
        <w:rPr>
          <w:rFonts w:ascii="Century Schoolbook" w:hAnsi="Century Schoolbook"/>
        </w:rPr>
        <w:t xml:space="preserve"> </w:t>
      </w:r>
      <w:r w:rsidRPr="0054790E">
        <w:rPr>
          <w:rFonts w:ascii="Century Schoolbook" w:hAnsi="Century Schoolbook"/>
        </w:rPr>
        <w:t>the</w:t>
      </w:r>
      <w:r w:rsidRPr="0054790E">
        <w:rPr>
          <w:rFonts w:ascii="Century Schoolbook" w:hAnsi="Century Schoolbook"/>
        </w:rPr>
        <w:t xml:space="preserve"> initial ICWA inquiry</w:t>
      </w:r>
      <w:r w:rsidRPr="0054790E">
        <w:rPr>
          <w:rFonts w:ascii="Century Schoolbook" w:hAnsi="Century Schoolbook"/>
        </w:rPr>
        <w:t>, including the specific inquiries required under section 224.2, subdivision (b).</w:t>
      </w:r>
      <w:r w:rsidRPr="0054790E">
        <w:rPr>
          <w:rFonts w:ascii="Century Schoolbook" w:hAnsi="Century Schoolbook"/>
        </w:rPr>
        <w:t xml:space="preserve"> If evidence </w:t>
      </w:r>
      <w:r w:rsidRPr="0054790E">
        <w:rPr>
          <w:rFonts w:ascii="Century Schoolbook" w:hAnsi="Century Schoolbook"/>
        </w:rPr>
        <w:t xml:space="preserve">of </w:t>
      </w:r>
      <w:r w:rsidRPr="0054790E">
        <w:rPr>
          <w:rFonts w:ascii="Century Schoolbook" w:hAnsi="Century Schoolbook"/>
        </w:rPr>
        <w:t xml:space="preserve">L.B.’s </w:t>
      </w:r>
      <w:r w:rsidRPr="0054790E">
        <w:rPr>
          <w:rFonts w:ascii="Century Schoolbook" w:hAnsi="Century Schoolbook"/>
        </w:rPr>
        <w:t>Native American heritage</w:t>
      </w:r>
      <w:r w:rsidRPr="0054790E">
        <w:rPr>
          <w:rFonts w:ascii="Century Schoolbook" w:hAnsi="Century Schoolbook"/>
        </w:rPr>
        <w:t xml:space="preserve"> is </w:t>
      </w:r>
      <w:r w:rsidRPr="0054790E">
        <w:rPr>
          <w:rFonts w:ascii="Century Schoolbook" w:hAnsi="Century Schoolbook"/>
        </w:rPr>
        <w:t>un</w:t>
      </w:r>
      <w:r w:rsidRPr="0054790E">
        <w:rPr>
          <w:rFonts w:ascii="Century Schoolbook" w:hAnsi="Century Schoolbook"/>
        </w:rPr>
        <w:t>covered,</w:t>
      </w:r>
      <w:r w:rsidRPr="0054790E">
        <w:rPr>
          <w:rFonts w:ascii="Century Schoolbook" w:hAnsi="Century Schoolbook"/>
        </w:rPr>
        <w:t xml:space="preserve"> </w:t>
      </w:r>
      <w:r w:rsidRPr="0054790E">
        <w:rPr>
          <w:rFonts w:ascii="Century Schoolbook" w:eastAsia="Arial" w:hAnsi="Century Schoolbook" w:cs="Arial"/>
        </w:rPr>
        <w:t xml:space="preserve">the court shall proceed in conformity with </w:t>
      </w:r>
      <w:r w:rsidRPr="0054790E">
        <w:rPr>
          <w:rFonts w:ascii="Century Schoolbook" w:eastAsia="Arial" w:hAnsi="Century Schoolbook" w:cs="Arial"/>
          <w:shd w:val="clear" w:color="auto" w:fill="FFFFFF"/>
        </w:rPr>
        <w:t>ICWA</w:t>
      </w:r>
      <w:r w:rsidRPr="0054790E">
        <w:rPr>
          <w:rFonts w:ascii="Century Schoolbook" w:eastAsia="Arial" w:hAnsi="Century Schoolbook" w:cs="Arial"/>
        </w:rPr>
        <w:t xml:space="preserve"> and related California law. </w:t>
      </w:r>
      <w:r w:rsidRPr="0054790E">
        <w:rPr>
          <w:rFonts w:ascii="Century Schoolbook" w:hAnsi="Century Schoolbook"/>
        </w:rPr>
        <w:t xml:space="preserve">If </w:t>
      </w:r>
      <w:r w:rsidRPr="0054790E">
        <w:rPr>
          <w:rFonts w:ascii="Century Schoolbook" w:hAnsi="Century Schoolbook"/>
        </w:rPr>
        <w:t>not</w:t>
      </w:r>
      <w:r w:rsidRPr="0054790E">
        <w:rPr>
          <w:rFonts w:ascii="Century Schoolbook" w:hAnsi="Century Schoolbook"/>
        </w:rPr>
        <w:t>, the</w:t>
      </w:r>
      <w:r w:rsidRPr="0054790E">
        <w:rPr>
          <w:rFonts w:ascii="Century Schoolbook" w:hAnsi="Century Schoolbook"/>
        </w:rPr>
        <w:t xml:space="preserve"> </w:t>
      </w:r>
      <w:r>
        <w:rPr>
          <w:rFonts w:ascii="Century Schoolbook" w:hAnsi="Century Schoolbook"/>
        </w:rPr>
        <w:t>juvenile</w:t>
      </w:r>
      <w:r w:rsidRPr="0054790E">
        <w:rPr>
          <w:rFonts w:ascii="Century Schoolbook" w:hAnsi="Century Schoolbook"/>
        </w:rPr>
        <w:t xml:space="preserve"> court shall reinstate the</w:t>
      </w:r>
      <w:r w:rsidRPr="0054790E">
        <w:rPr>
          <w:rFonts w:ascii="Century Schoolbook" w:hAnsi="Century Schoolbook"/>
        </w:rPr>
        <w:t xml:space="preserve"> judgment </w:t>
      </w:r>
      <w:r w:rsidRPr="0054790E">
        <w:rPr>
          <w:rFonts w:ascii="Century Schoolbook" w:hAnsi="Century Schoolbook"/>
        </w:rPr>
        <w:t>immediately</w:t>
      </w:r>
      <w:r w:rsidRPr="0054790E">
        <w:rPr>
          <w:rFonts w:ascii="Century Schoolbook" w:hAnsi="Century Schoolbook"/>
        </w:rPr>
        <w:t>.</w:t>
      </w:r>
    </w:p>
    <w:p w14:paraId="5ECA8D23" w14:textId="77777777" w:rsidR="00A13071" w:rsidRPr="0054790E" w:rsidRDefault="00A13071" w:rsidP="007E5593">
      <w:pPr>
        <w:spacing w:line="360" w:lineRule="auto"/>
        <w:rPr>
          <w:rFonts w:ascii="Century Schoolbook" w:hAnsi="Century Schoolbook"/>
        </w:rPr>
      </w:pPr>
    </w:p>
    <w:p w14:paraId="1B955EBE" w14:textId="77777777" w:rsidR="00A13071" w:rsidRDefault="00A13071" w:rsidP="00E146A4">
      <w:pPr>
        <w:tabs>
          <w:tab w:val="left" w:pos="5040"/>
        </w:tabs>
        <w:spacing w:line="240" w:lineRule="auto"/>
        <w:rPr>
          <w:rFonts w:ascii="Century Schoolbook" w:hAnsi="Century Schoolbook"/>
        </w:rPr>
      </w:pPr>
    </w:p>
    <w:p w14:paraId="4C606F7F" w14:textId="77777777" w:rsidR="00A13071" w:rsidRDefault="00A13071" w:rsidP="00E146A4">
      <w:pPr>
        <w:tabs>
          <w:tab w:val="left" w:pos="5040"/>
        </w:tabs>
        <w:spacing w:line="240" w:lineRule="auto"/>
        <w:rPr>
          <w:rFonts w:ascii="Century Schoolbook" w:hAnsi="Century Schoolbook"/>
        </w:rPr>
      </w:pPr>
    </w:p>
    <w:p w14:paraId="2AA23820" w14:textId="77777777" w:rsidR="00A13071" w:rsidRDefault="00A13071" w:rsidP="00E146A4">
      <w:pPr>
        <w:tabs>
          <w:tab w:val="left" w:pos="5040"/>
        </w:tabs>
        <w:spacing w:line="240" w:lineRule="auto"/>
        <w:rPr>
          <w:rFonts w:ascii="Century Schoolbook" w:hAnsi="Century Schoolbook"/>
        </w:rPr>
      </w:pPr>
    </w:p>
    <w:p w14:paraId="2C4FE710" w14:textId="77777777" w:rsidR="00A13071" w:rsidRDefault="00A13071" w:rsidP="00E146A4">
      <w:pPr>
        <w:tabs>
          <w:tab w:val="left" w:pos="5040"/>
        </w:tabs>
        <w:spacing w:line="240" w:lineRule="auto"/>
        <w:rPr>
          <w:rFonts w:ascii="Century Schoolbook" w:hAnsi="Century Schoolbook"/>
        </w:rPr>
      </w:pPr>
    </w:p>
    <w:p w14:paraId="10601693" w14:textId="77777777" w:rsidR="00A13071" w:rsidRDefault="00A13071" w:rsidP="00E146A4">
      <w:pPr>
        <w:tabs>
          <w:tab w:val="left" w:pos="5040"/>
        </w:tabs>
        <w:spacing w:line="240" w:lineRule="auto"/>
        <w:rPr>
          <w:rFonts w:ascii="Century Schoolbook" w:hAnsi="Century Schoolbook"/>
        </w:rPr>
      </w:pPr>
    </w:p>
    <w:p w14:paraId="514EBD00" w14:textId="77777777" w:rsidR="00A13071" w:rsidRDefault="00A13071" w:rsidP="00E146A4">
      <w:pPr>
        <w:tabs>
          <w:tab w:val="left" w:pos="5040"/>
        </w:tabs>
        <w:spacing w:line="240" w:lineRule="auto"/>
        <w:rPr>
          <w:rFonts w:ascii="Century Schoolbook" w:hAnsi="Century Schoolbook"/>
        </w:rPr>
      </w:pPr>
    </w:p>
    <w:p w14:paraId="54B57A4C" w14:textId="77777777" w:rsidR="00A13071" w:rsidRPr="0054790E" w:rsidRDefault="00A13071" w:rsidP="00E146A4">
      <w:pPr>
        <w:tabs>
          <w:tab w:val="left" w:pos="5040"/>
        </w:tabs>
        <w:spacing w:line="240" w:lineRule="auto"/>
        <w:rPr>
          <w:rFonts w:ascii="Century Schoolbook" w:hAnsi="Century Schoolbook"/>
        </w:rPr>
      </w:pPr>
      <w:r w:rsidRPr="0054790E">
        <w:rPr>
          <w:rFonts w:ascii="Century Schoolbook" w:hAnsi="Century Schoolbook"/>
        </w:rPr>
        <w:tab/>
      </w:r>
      <w:r w:rsidRPr="0054790E">
        <w:rPr>
          <w:rFonts w:ascii="Century Schoolbook" w:hAnsi="Century Schoolbook"/>
        </w:rPr>
        <w:tab/>
        <w:t>HIRAMOTO, J.</w:t>
      </w:r>
      <w:r>
        <w:rPr>
          <w:rStyle w:val="FootnoteReference"/>
          <w:rFonts w:ascii="Century Schoolbook" w:hAnsi="Century Schoolbook"/>
        </w:rPr>
        <w:footnoteReference w:customMarkFollows="1" w:id="6"/>
        <w:t>*</w:t>
      </w:r>
    </w:p>
    <w:p w14:paraId="51219285" w14:textId="77777777" w:rsidR="00A13071" w:rsidRPr="0054790E" w:rsidRDefault="00A13071" w:rsidP="00E146A4">
      <w:pPr>
        <w:spacing w:line="240" w:lineRule="auto"/>
        <w:rPr>
          <w:rFonts w:ascii="Century Schoolbook" w:hAnsi="Century Schoolbook"/>
        </w:rPr>
      </w:pPr>
    </w:p>
    <w:p w14:paraId="0FFEDB26" w14:textId="77777777" w:rsidR="00A13071" w:rsidRPr="0054790E" w:rsidRDefault="00A13071" w:rsidP="00E146A4">
      <w:pPr>
        <w:keepNext/>
        <w:keepLines/>
        <w:spacing w:line="240" w:lineRule="auto"/>
        <w:rPr>
          <w:rFonts w:ascii="Century Schoolbook" w:hAnsi="Century Schoolbook"/>
        </w:rPr>
      </w:pPr>
      <w:r w:rsidRPr="0054790E">
        <w:rPr>
          <w:rFonts w:ascii="Century Schoolbook" w:hAnsi="Century Schoolbook"/>
        </w:rPr>
        <w:t>WE CONCUR:</w:t>
      </w:r>
    </w:p>
    <w:p w14:paraId="3F2A0AAF" w14:textId="77777777" w:rsidR="00A13071" w:rsidRPr="0054790E" w:rsidRDefault="00A13071" w:rsidP="00E146A4">
      <w:pPr>
        <w:keepNext/>
        <w:keepLines/>
        <w:spacing w:line="240" w:lineRule="auto"/>
        <w:rPr>
          <w:rFonts w:ascii="Century Schoolbook" w:hAnsi="Century Schoolbook"/>
        </w:rPr>
      </w:pPr>
    </w:p>
    <w:p w14:paraId="4AE8B929" w14:textId="77777777" w:rsidR="00A13071" w:rsidRPr="0054790E" w:rsidRDefault="00A13071" w:rsidP="00E146A4">
      <w:pPr>
        <w:keepNext/>
        <w:keepLines/>
        <w:spacing w:line="240" w:lineRule="auto"/>
        <w:rPr>
          <w:rFonts w:ascii="Century Schoolbook" w:hAnsi="Century Schoolbook"/>
        </w:rPr>
      </w:pPr>
      <w:r w:rsidRPr="0054790E">
        <w:rPr>
          <w:rFonts w:ascii="Century Schoolbook" w:hAnsi="Century Schoolbook"/>
        </w:rPr>
        <w:t xml:space="preserve">BROWN, P.J. </w:t>
      </w:r>
    </w:p>
    <w:p w14:paraId="5D142EB6" w14:textId="77777777" w:rsidR="00A13071" w:rsidRPr="0054790E" w:rsidRDefault="00A13071" w:rsidP="00E146A4">
      <w:pPr>
        <w:keepNext/>
        <w:keepLines/>
        <w:spacing w:line="240" w:lineRule="auto"/>
        <w:rPr>
          <w:rFonts w:ascii="Century Schoolbook" w:hAnsi="Century Schoolbook"/>
        </w:rPr>
      </w:pPr>
      <w:r w:rsidRPr="0054790E">
        <w:rPr>
          <w:rFonts w:ascii="Century Schoolbook" w:hAnsi="Century Schoolbook"/>
        </w:rPr>
        <w:t xml:space="preserve">GOLDMAN, J. </w:t>
      </w:r>
    </w:p>
    <w:p w14:paraId="6A50EDA2" w14:textId="77777777" w:rsidR="00A13071" w:rsidRPr="0054790E" w:rsidRDefault="00A13071" w:rsidP="00E146A4">
      <w:pPr>
        <w:keepNext/>
        <w:keepLines/>
        <w:spacing w:line="240" w:lineRule="auto"/>
        <w:rPr>
          <w:rFonts w:ascii="Century Schoolbook" w:hAnsi="Century Schoolbook"/>
        </w:rPr>
      </w:pPr>
    </w:p>
    <w:p w14:paraId="3DB940CF" w14:textId="77777777" w:rsidR="00A13071" w:rsidRDefault="00A13071" w:rsidP="00E146A4">
      <w:pPr>
        <w:spacing w:line="240" w:lineRule="auto"/>
        <w:rPr>
          <w:rFonts w:ascii="Century Schoolbook" w:hAnsi="Century Schoolbook"/>
          <w:i/>
          <w:sz w:val="22"/>
          <w:szCs w:val="22"/>
        </w:rPr>
      </w:pPr>
    </w:p>
    <w:p w14:paraId="06F820B1" w14:textId="77777777" w:rsidR="00A13071" w:rsidRDefault="00A13071" w:rsidP="00E146A4">
      <w:pPr>
        <w:spacing w:line="240" w:lineRule="auto"/>
        <w:rPr>
          <w:rFonts w:ascii="Century Schoolbook" w:hAnsi="Century Schoolbook"/>
          <w:i/>
          <w:sz w:val="22"/>
          <w:szCs w:val="22"/>
        </w:rPr>
      </w:pPr>
    </w:p>
    <w:p w14:paraId="780AD175" w14:textId="77777777" w:rsidR="00A13071" w:rsidRDefault="00A13071" w:rsidP="00E146A4">
      <w:pPr>
        <w:spacing w:line="240" w:lineRule="auto"/>
        <w:rPr>
          <w:rFonts w:ascii="Century Schoolbook" w:hAnsi="Century Schoolbook"/>
          <w:i/>
          <w:sz w:val="22"/>
          <w:szCs w:val="22"/>
        </w:rPr>
      </w:pPr>
    </w:p>
    <w:p w14:paraId="52126752" w14:textId="77777777" w:rsidR="00A13071" w:rsidRDefault="00A13071" w:rsidP="00E146A4">
      <w:pPr>
        <w:spacing w:line="240" w:lineRule="auto"/>
        <w:rPr>
          <w:rFonts w:ascii="Century Schoolbook" w:hAnsi="Century Schoolbook"/>
          <w:i/>
          <w:sz w:val="22"/>
          <w:szCs w:val="22"/>
        </w:rPr>
      </w:pPr>
    </w:p>
    <w:p w14:paraId="27128B55" w14:textId="77777777" w:rsidR="00A13071" w:rsidRDefault="00A13071" w:rsidP="00E146A4">
      <w:pPr>
        <w:spacing w:line="240" w:lineRule="auto"/>
        <w:rPr>
          <w:rFonts w:ascii="Century Schoolbook" w:hAnsi="Century Schoolbook"/>
          <w:i/>
          <w:sz w:val="22"/>
          <w:szCs w:val="22"/>
        </w:rPr>
      </w:pPr>
    </w:p>
    <w:p w14:paraId="0D780DDB" w14:textId="77777777" w:rsidR="00A13071" w:rsidRDefault="00A13071" w:rsidP="00E146A4">
      <w:pPr>
        <w:spacing w:line="240" w:lineRule="auto"/>
        <w:rPr>
          <w:rFonts w:ascii="Century Schoolbook" w:hAnsi="Century Schoolbook"/>
          <w:i/>
          <w:sz w:val="22"/>
          <w:szCs w:val="22"/>
        </w:rPr>
      </w:pPr>
    </w:p>
    <w:p w14:paraId="51B83318" w14:textId="77777777" w:rsidR="00A13071" w:rsidRDefault="00A13071" w:rsidP="00E146A4">
      <w:pPr>
        <w:spacing w:line="240" w:lineRule="auto"/>
        <w:rPr>
          <w:rFonts w:ascii="Century Schoolbook" w:hAnsi="Century Schoolbook"/>
          <w:i/>
          <w:sz w:val="22"/>
          <w:szCs w:val="22"/>
        </w:rPr>
      </w:pPr>
    </w:p>
    <w:p w14:paraId="228D03D3" w14:textId="77777777" w:rsidR="00A13071" w:rsidRDefault="00A13071" w:rsidP="00E146A4">
      <w:pPr>
        <w:spacing w:line="240" w:lineRule="auto"/>
        <w:rPr>
          <w:rFonts w:ascii="Century Schoolbook" w:hAnsi="Century Schoolbook"/>
          <w:i/>
          <w:sz w:val="22"/>
          <w:szCs w:val="22"/>
        </w:rPr>
      </w:pPr>
    </w:p>
    <w:p w14:paraId="16D882E8" w14:textId="77777777" w:rsidR="00A13071" w:rsidRDefault="00A13071" w:rsidP="00E146A4">
      <w:pPr>
        <w:spacing w:line="240" w:lineRule="auto"/>
        <w:rPr>
          <w:rFonts w:ascii="Century Schoolbook" w:hAnsi="Century Schoolbook"/>
          <w:i/>
          <w:sz w:val="22"/>
          <w:szCs w:val="22"/>
        </w:rPr>
      </w:pPr>
    </w:p>
    <w:p w14:paraId="0B22BC2D" w14:textId="77777777" w:rsidR="00A13071" w:rsidRDefault="00A13071" w:rsidP="00E146A4">
      <w:pPr>
        <w:spacing w:line="240" w:lineRule="auto"/>
        <w:rPr>
          <w:rFonts w:ascii="Century Schoolbook" w:hAnsi="Century Schoolbook"/>
          <w:i/>
          <w:sz w:val="22"/>
          <w:szCs w:val="22"/>
        </w:rPr>
      </w:pPr>
    </w:p>
    <w:p w14:paraId="4E99BF2C" w14:textId="77777777" w:rsidR="00A13071" w:rsidRDefault="00A13071" w:rsidP="00E146A4">
      <w:pPr>
        <w:spacing w:line="240" w:lineRule="auto"/>
        <w:rPr>
          <w:rFonts w:ascii="Century Schoolbook" w:hAnsi="Century Schoolbook"/>
          <w:i/>
          <w:sz w:val="22"/>
          <w:szCs w:val="22"/>
        </w:rPr>
      </w:pPr>
    </w:p>
    <w:p w14:paraId="7B47D6FE" w14:textId="77777777" w:rsidR="00A13071" w:rsidRDefault="00A13071" w:rsidP="00E146A4">
      <w:pPr>
        <w:spacing w:line="240" w:lineRule="auto"/>
        <w:rPr>
          <w:rFonts w:ascii="Century Schoolbook" w:hAnsi="Century Schoolbook"/>
          <w:i/>
          <w:sz w:val="22"/>
          <w:szCs w:val="22"/>
        </w:rPr>
      </w:pPr>
    </w:p>
    <w:p w14:paraId="0E0FD094" w14:textId="77777777" w:rsidR="00A13071" w:rsidRDefault="00A13071" w:rsidP="00E146A4">
      <w:pPr>
        <w:spacing w:line="240" w:lineRule="auto"/>
        <w:rPr>
          <w:rFonts w:ascii="Century Schoolbook" w:hAnsi="Century Schoolbook"/>
          <w:i/>
          <w:sz w:val="22"/>
          <w:szCs w:val="22"/>
        </w:rPr>
      </w:pPr>
    </w:p>
    <w:p w14:paraId="0FC16C73" w14:textId="77777777" w:rsidR="00A13071" w:rsidRDefault="00A13071" w:rsidP="00E146A4">
      <w:pPr>
        <w:spacing w:line="240" w:lineRule="auto"/>
        <w:rPr>
          <w:rFonts w:ascii="Century Schoolbook" w:hAnsi="Century Schoolbook"/>
          <w:i/>
          <w:sz w:val="22"/>
          <w:szCs w:val="22"/>
        </w:rPr>
      </w:pPr>
    </w:p>
    <w:p w14:paraId="0A6A317A" w14:textId="77777777" w:rsidR="00A13071" w:rsidRDefault="00A13071" w:rsidP="00E146A4">
      <w:pPr>
        <w:spacing w:line="240" w:lineRule="auto"/>
        <w:rPr>
          <w:rFonts w:ascii="Century Schoolbook" w:hAnsi="Century Schoolbook"/>
          <w:i/>
          <w:sz w:val="22"/>
          <w:szCs w:val="22"/>
        </w:rPr>
      </w:pPr>
    </w:p>
    <w:p w14:paraId="26F8C38E" w14:textId="77777777" w:rsidR="00A13071" w:rsidRDefault="00A13071" w:rsidP="00E146A4">
      <w:pPr>
        <w:spacing w:line="240" w:lineRule="auto"/>
        <w:rPr>
          <w:rFonts w:ascii="Century Schoolbook" w:hAnsi="Century Schoolbook"/>
          <w:i/>
          <w:sz w:val="22"/>
          <w:szCs w:val="22"/>
        </w:rPr>
      </w:pPr>
    </w:p>
    <w:p w14:paraId="3072D4D6" w14:textId="77777777" w:rsidR="00A13071" w:rsidRDefault="00A13071" w:rsidP="00E146A4">
      <w:pPr>
        <w:spacing w:line="240" w:lineRule="auto"/>
        <w:rPr>
          <w:rFonts w:ascii="Century Schoolbook" w:hAnsi="Century Schoolbook"/>
          <w:i/>
          <w:sz w:val="22"/>
          <w:szCs w:val="22"/>
        </w:rPr>
      </w:pPr>
    </w:p>
    <w:p w14:paraId="405BDCB3" w14:textId="77777777" w:rsidR="00A13071" w:rsidRDefault="00A13071" w:rsidP="00E146A4">
      <w:pPr>
        <w:spacing w:line="240" w:lineRule="auto"/>
        <w:rPr>
          <w:rFonts w:ascii="Century Schoolbook" w:hAnsi="Century Schoolbook"/>
          <w:i/>
          <w:sz w:val="22"/>
          <w:szCs w:val="22"/>
        </w:rPr>
      </w:pPr>
    </w:p>
    <w:p w14:paraId="1F2E9965" w14:textId="77777777" w:rsidR="00A13071" w:rsidRDefault="00A13071" w:rsidP="00E146A4">
      <w:pPr>
        <w:spacing w:line="240" w:lineRule="auto"/>
        <w:rPr>
          <w:rFonts w:ascii="Century Schoolbook" w:hAnsi="Century Schoolbook"/>
          <w:i/>
          <w:sz w:val="22"/>
          <w:szCs w:val="22"/>
        </w:rPr>
      </w:pPr>
    </w:p>
    <w:p w14:paraId="59BF6D6A" w14:textId="77777777" w:rsidR="00A13071" w:rsidRDefault="00A13071" w:rsidP="00E146A4">
      <w:pPr>
        <w:spacing w:line="240" w:lineRule="auto"/>
        <w:rPr>
          <w:rFonts w:ascii="Century Schoolbook" w:hAnsi="Century Schoolbook"/>
          <w:i/>
          <w:sz w:val="22"/>
          <w:szCs w:val="22"/>
        </w:rPr>
      </w:pPr>
    </w:p>
    <w:p w14:paraId="1FD55E6A" w14:textId="77777777" w:rsidR="00A13071" w:rsidRDefault="00A13071" w:rsidP="00E146A4">
      <w:pPr>
        <w:spacing w:line="240" w:lineRule="auto"/>
        <w:rPr>
          <w:rFonts w:ascii="Century Schoolbook" w:hAnsi="Century Schoolbook"/>
          <w:i/>
          <w:sz w:val="22"/>
          <w:szCs w:val="22"/>
        </w:rPr>
      </w:pPr>
    </w:p>
    <w:p w14:paraId="5793D95B" w14:textId="77777777" w:rsidR="00A13071" w:rsidRDefault="00A13071" w:rsidP="00E146A4">
      <w:pPr>
        <w:spacing w:line="240" w:lineRule="auto"/>
        <w:rPr>
          <w:rFonts w:ascii="Century Schoolbook" w:hAnsi="Century Schoolbook"/>
          <w:i/>
          <w:sz w:val="22"/>
          <w:szCs w:val="22"/>
        </w:rPr>
      </w:pPr>
    </w:p>
    <w:p w14:paraId="5E065185" w14:textId="77777777" w:rsidR="00A13071" w:rsidRDefault="00A13071" w:rsidP="00E146A4">
      <w:pPr>
        <w:spacing w:line="240" w:lineRule="auto"/>
        <w:rPr>
          <w:rFonts w:ascii="Century Schoolbook" w:hAnsi="Century Schoolbook"/>
          <w:i/>
          <w:sz w:val="22"/>
          <w:szCs w:val="22"/>
        </w:rPr>
      </w:pPr>
    </w:p>
    <w:p w14:paraId="337256E0" w14:textId="77777777" w:rsidR="00A13071" w:rsidRDefault="00A13071" w:rsidP="00E146A4">
      <w:pPr>
        <w:spacing w:line="240" w:lineRule="auto"/>
        <w:rPr>
          <w:rFonts w:ascii="Century Schoolbook" w:hAnsi="Century Schoolbook"/>
          <w:i/>
          <w:sz w:val="22"/>
          <w:szCs w:val="22"/>
        </w:rPr>
      </w:pPr>
    </w:p>
    <w:p w14:paraId="447B9702" w14:textId="77777777" w:rsidR="00A13071" w:rsidRDefault="00A13071" w:rsidP="00E146A4">
      <w:pPr>
        <w:spacing w:line="240" w:lineRule="auto"/>
        <w:rPr>
          <w:rFonts w:ascii="Century Schoolbook" w:hAnsi="Century Schoolbook"/>
          <w:i/>
          <w:sz w:val="22"/>
          <w:szCs w:val="22"/>
        </w:rPr>
      </w:pPr>
    </w:p>
    <w:p w14:paraId="545CF414" w14:textId="77777777" w:rsidR="00A13071" w:rsidRDefault="00A13071" w:rsidP="00E146A4">
      <w:pPr>
        <w:spacing w:line="240" w:lineRule="auto"/>
        <w:rPr>
          <w:rFonts w:ascii="Century Schoolbook" w:hAnsi="Century Schoolbook"/>
          <w:i/>
          <w:sz w:val="22"/>
          <w:szCs w:val="22"/>
        </w:rPr>
      </w:pPr>
    </w:p>
    <w:p w14:paraId="0D0C80A1" w14:textId="77777777" w:rsidR="00A13071" w:rsidRDefault="00A13071" w:rsidP="00E146A4">
      <w:pPr>
        <w:spacing w:line="240" w:lineRule="auto"/>
        <w:rPr>
          <w:rFonts w:ascii="Century Schoolbook" w:hAnsi="Century Schoolbook"/>
          <w:i/>
          <w:sz w:val="22"/>
          <w:szCs w:val="22"/>
        </w:rPr>
      </w:pPr>
    </w:p>
    <w:p w14:paraId="33AF6067" w14:textId="77777777" w:rsidR="00A13071" w:rsidRDefault="00A13071" w:rsidP="00E146A4">
      <w:pPr>
        <w:spacing w:line="240" w:lineRule="auto"/>
        <w:rPr>
          <w:rFonts w:ascii="Century Schoolbook" w:hAnsi="Century Schoolbook"/>
          <w:i/>
          <w:sz w:val="22"/>
          <w:szCs w:val="22"/>
        </w:rPr>
      </w:pPr>
    </w:p>
    <w:p w14:paraId="6A1226EF" w14:textId="77777777" w:rsidR="00A13071" w:rsidRDefault="00A13071" w:rsidP="00E146A4">
      <w:pPr>
        <w:spacing w:line="240" w:lineRule="auto"/>
        <w:rPr>
          <w:rFonts w:ascii="Century Schoolbook" w:hAnsi="Century Schoolbook"/>
          <w:i/>
          <w:sz w:val="22"/>
          <w:szCs w:val="22"/>
        </w:rPr>
      </w:pPr>
    </w:p>
    <w:p w14:paraId="556C7EA8" w14:textId="77777777" w:rsidR="00A13071" w:rsidRDefault="00A13071" w:rsidP="00E146A4">
      <w:pPr>
        <w:spacing w:line="240" w:lineRule="auto"/>
        <w:rPr>
          <w:rFonts w:ascii="Century Schoolbook" w:hAnsi="Century Schoolbook"/>
          <w:i/>
          <w:sz w:val="22"/>
          <w:szCs w:val="22"/>
        </w:rPr>
      </w:pPr>
    </w:p>
    <w:p w14:paraId="3E43D916" w14:textId="77777777" w:rsidR="00A13071" w:rsidRPr="003D1733" w:rsidRDefault="00A13071" w:rsidP="00E146A4">
      <w:pPr>
        <w:spacing w:line="240" w:lineRule="auto"/>
        <w:rPr>
          <w:rFonts w:ascii="Century Schoolbook" w:hAnsi="Century Schoolbook"/>
          <w:sz w:val="22"/>
          <w:szCs w:val="22"/>
        </w:rPr>
      </w:pPr>
      <w:r w:rsidRPr="0054790E">
        <w:rPr>
          <w:rFonts w:ascii="Century Schoolbook" w:hAnsi="Century Schoolbook"/>
          <w:i/>
          <w:sz w:val="22"/>
          <w:szCs w:val="22"/>
        </w:rPr>
        <w:t>Alameda</w:t>
      </w:r>
      <w:r w:rsidRPr="0054790E">
        <w:rPr>
          <w:rFonts w:ascii="Century Schoolbook" w:hAnsi="Century Schoolbook"/>
          <w:i/>
          <w:sz w:val="22"/>
          <w:szCs w:val="22"/>
        </w:rPr>
        <w:t xml:space="preserve"> County </w:t>
      </w:r>
      <w:r w:rsidRPr="0054790E">
        <w:rPr>
          <w:rFonts w:ascii="Century Schoolbook" w:hAnsi="Century Schoolbook"/>
          <w:i/>
          <w:sz w:val="22"/>
          <w:szCs w:val="22"/>
        </w:rPr>
        <w:t>Social</w:t>
      </w:r>
      <w:r w:rsidRPr="0054790E">
        <w:rPr>
          <w:rFonts w:ascii="Century Schoolbook" w:hAnsi="Century Schoolbook"/>
          <w:i/>
          <w:sz w:val="22"/>
          <w:szCs w:val="22"/>
        </w:rPr>
        <w:t xml:space="preserve"> Services v. </w:t>
      </w:r>
      <w:proofErr w:type="spellStart"/>
      <w:r w:rsidRPr="0054790E">
        <w:rPr>
          <w:rFonts w:ascii="Century Schoolbook" w:hAnsi="Century Schoolbook"/>
          <w:i/>
          <w:sz w:val="22"/>
          <w:szCs w:val="22"/>
        </w:rPr>
        <w:t>L</w:t>
      </w:r>
      <w:r>
        <w:rPr>
          <w:rFonts w:ascii="Century Schoolbook" w:hAnsi="Century Schoolbook"/>
          <w:i/>
          <w:sz w:val="22"/>
          <w:szCs w:val="22"/>
        </w:rPr>
        <w:t>a</w:t>
      </w:r>
      <w:r w:rsidRPr="0054790E">
        <w:rPr>
          <w:rFonts w:ascii="Century Schoolbook" w:hAnsi="Century Schoolbook"/>
          <w:i/>
          <w:sz w:val="22"/>
          <w:szCs w:val="22"/>
        </w:rPr>
        <w:t>.</w:t>
      </w:r>
      <w:r w:rsidRPr="0054790E">
        <w:rPr>
          <w:rFonts w:ascii="Century Schoolbook" w:hAnsi="Century Schoolbook"/>
          <w:i/>
          <w:sz w:val="22"/>
          <w:szCs w:val="22"/>
        </w:rPr>
        <w:t>B</w:t>
      </w:r>
      <w:proofErr w:type="spellEnd"/>
      <w:r w:rsidRPr="0054790E">
        <w:rPr>
          <w:rFonts w:ascii="Century Schoolbook" w:hAnsi="Century Schoolbook"/>
          <w:i/>
          <w:sz w:val="22"/>
          <w:szCs w:val="22"/>
        </w:rPr>
        <w:t>.</w:t>
      </w:r>
      <w:r w:rsidRPr="0054790E">
        <w:rPr>
          <w:rFonts w:ascii="Century Schoolbook" w:hAnsi="Century Schoolbook"/>
          <w:i/>
          <w:sz w:val="22"/>
          <w:szCs w:val="22"/>
        </w:rPr>
        <w:t xml:space="preserve"> </w:t>
      </w:r>
      <w:r w:rsidRPr="0054790E">
        <w:rPr>
          <w:rFonts w:ascii="Century Schoolbook" w:hAnsi="Century Schoolbook"/>
          <w:sz w:val="22"/>
          <w:szCs w:val="22"/>
        </w:rPr>
        <w:t>(</w:t>
      </w:r>
      <w:r w:rsidRPr="0054790E">
        <w:rPr>
          <w:rFonts w:ascii="Century Schoolbook" w:hAnsi="Century Schoolbook"/>
          <w:sz w:val="22"/>
          <w:szCs w:val="22"/>
        </w:rPr>
        <w:t>A16</w:t>
      </w:r>
      <w:r w:rsidRPr="0054790E">
        <w:rPr>
          <w:rFonts w:ascii="Century Schoolbook" w:hAnsi="Century Schoolbook"/>
          <w:sz w:val="22"/>
          <w:szCs w:val="22"/>
        </w:rPr>
        <w:t>7363</w:t>
      </w:r>
      <w:r w:rsidRPr="0054790E">
        <w:rPr>
          <w:rFonts w:ascii="Century Schoolbook" w:hAnsi="Century Schoolbook"/>
          <w:sz w:val="22"/>
          <w:szCs w:val="22"/>
        </w:rPr>
        <w:t>)</w:t>
      </w:r>
    </w:p>
    <w:p w14:paraId="4BEBE39A" w14:textId="77777777" w:rsidR="00A13071" w:rsidRDefault="00A13071" w:rsidP="00D34D83">
      <w:pPr>
        <w:spacing w:line="360" w:lineRule="auto"/>
        <w:rPr>
          <w:rFonts w:ascii="Century Schoolbook" w:hAnsi="Century Schoolbook"/>
        </w:rPr>
      </w:pPr>
    </w:p>
    <w:p w14:paraId="33877725" w14:textId="77777777" w:rsidR="00A13071" w:rsidRPr="00D34D83" w:rsidRDefault="00A13071" w:rsidP="00D34D83">
      <w:pPr>
        <w:spacing w:line="360" w:lineRule="auto"/>
        <w:rPr>
          <w:rFonts w:ascii="Century Schoolbook" w:hAnsi="Century Schoolbook"/>
        </w:rPr>
      </w:pPr>
      <w:r w:rsidRPr="00D34D83">
        <w:rPr>
          <w:rFonts w:ascii="Century Schoolbook" w:hAnsi="Century Schoolbook"/>
        </w:rPr>
        <w:t>Trial Judge:</w:t>
      </w:r>
      <w:r w:rsidRPr="00D34D83">
        <w:rPr>
          <w:rFonts w:ascii="Century Schoolbook" w:hAnsi="Century Schoolbook"/>
        </w:rPr>
        <w:tab/>
        <w:t>Hon. Ursula Jones Dickson</w:t>
      </w:r>
    </w:p>
    <w:p w14:paraId="6EF28501" w14:textId="77777777" w:rsidR="00A13071" w:rsidRPr="00D34D83" w:rsidRDefault="00A13071" w:rsidP="00D34D83">
      <w:pPr>
        <w:spacing w:line="360" w:lineRule="auto"/>
        <w:rPr>
          <w:rFonts w:ascii="Century Schoolbook" w:hAnsi="Century Schoolbook"/>
        </w:rPr>
      </w:pPr>
    </w:p>
    <w:p w14:paraId="68E56AE7" w14:textId="77777777" w:rsidR="00A13071" w:rsidRPr="00D34D83" w:rsidRDefault="00A13071" w:rsidP="00D34D83">
      <w:pPr>
        <w:spacing w:line="360" w:lineRule="auto"/>
        <w:rPr>
          <w:rFonts w:ascii="Century Schoolbook" w:hAnsi="Century Schoolbook"/>
        </w:rPr>
      </w:pPr>
      <w:r w:rsidRPr="00D34D83">
        <w:rPr>
          <w:rFonts w:ascii="Century Schoolbook" w:hAnsi="Century Schoolbook"/>
        </w:rPr>
        <w:t xml:space="preserve">Trial Court: </w:t>
      </w:r>
      <w:r w:rsidRPr="00D34D83">
        <w:rPr>
          <w:rFonts w:ascii="Century Schoolbook" w:hAnsi="Century Schoolbook"/>
        </w:rPr>
        <w:tab/>
        <w:t>Alameda County Superior Court</w:t>
      </w:r>
    </w:p>
    <w:p w14:paraId="4442FD5B" w14:textId="77777777" w:rsidR="00A13071" w:rsidRPr="00D34D83" w:rsidRDefault="00A13071" w:rsidP="00D34D83">
      <w:pPr>
        <w:tabs>
          <w:tab w:val="left" w:pos="2160"/>
        </w:tabs>
        <w:spacing w:line="360" w:lineRule="auto"/>
        <w:rPr>
          <w:rFonts w:ascii="Century Schoolbook" w:hAnsi="Century Schoolbook"/>
        </w:rPr>
      </w:pPr>
    </w:p>
    <w:p w14:paraId="58FE52F1" w14:textId="77777777" w:rsidR="00A13071" w:rsidRPr="00D34D83" w:rsidRDefault="00A13071" w:rsidP="00D34D83">
      <w:pPr>
        <w:tabs>
          <w:tab w:val="left" w:pos="2160"/>
        </w:tabs>
        <w:spacing w:line="360" w:lineRule="auto"/>
        <w:ind w:left="2160" w:hanging="2160"/>
        <w:rPr>
          <w:rFonts w:ascii="Century Schoolbook" w:hAnsi="Century Schoolbook"/>
        </w:rPr>
      </w:pPr>
      <w:r w:rsidRPr="00D34D83">
        <w:rPr>
          <w:rFonts w:ascii="Century Schoolbook" w:hAnsi="Century Schoolbook"/>
        </w:rPr>
        <w:t xml:space="preserve">Attorneys: </w:t>
      </w:r>
      <w:r w:rsidRPr="00D34D83">
        <w:rPr>
          <w:rFonts w:ascii="Century Schoolbook" w:hAnsi="Century Schoolbook"/>
        </w:rPr>
        <w:tab/>
      </w:r>
    </w:p>
    <w:p w14:paraId="2FC0BAF3" w14:textId="77777777" w:rsidR="00A13071" w:rsidRPr="00D34D83" w:rsidRDefault="00A13071" w:rsidP="00D34D83">
      <w:pPr>
        <w:tabs>
          <w:tab w:val="clear" w:pos="720"/>
          <w:tab w:val="left" w:pos="1440"/>
        </w:tabs>
        <w:spacing w:line="240" w:lineRule="auto"/>
        <w:ind w:left="720" w:hanging="1440"/>
        <w:rPr>
          <w:rFonts w:ascii="Century Schoolbook" w:hAnsi="Century Schoolbook"/>
        </w:rPr>
      </w:pPr>
      <w:r w:rsidRPr="00D34D83">
        <w:rPr>
          <w:rFonts w:ascii="Century Schoolbook" w:hAnsi="Century Schoolbook"/>
        </w:rPr>
        <w:tab/>
      </w:r>
      <w:r w:rsidRPr="00D34D83">
        <w:rPr>
          <w:rFonts w:ascii="Century Schoolbook" w:hAnsi="Century Schoolbook"/>
        </w:rPr>
        <w:tab/>
        <w:t xml:space="preserve">Sarah </w:t>
      </w:r>
      <w:proofErr w:type="spellStart"/>
      <w:r w:rsidRPr="00D34D83">
        <w:rPr>
          <w:rFonts w:ascii="Century Schoolbook" w:hAnsi="Century Schoolbook"/>
        </w:rPr>
        <w:t>Vaona</w:t>
      </w:r>
      <w:proofErr w:type="spellEnd"/>
      <w:r w:rsidRPr="00D34D83">
        <w:rPr>
          <w:rFonts w:ascii="Century Schoolbook" w:hAnsi="Century Schoolbook"/>
        </w:rPr>
        <w:t xml:space="preserve">, under appointment by the Court of Appeal, for </w:t>
      </w:r>
      <w:r w:rsidRPr="00D34D83">
        <w:rPr>
          <w:rFonts w:ascii="Century Schoolbook" w:hAnsi="Century Schoolbook"/>
        </w:rPr>
        <w:t>Defendant and Appellant.</w:t>
      </w:r>
    </w:p>
    <w:p w14:paraId="0FD0B620" w14:textId="77777777" w:rsidR="00A13071" w:rsidRPr="00D34D83" w:rsidRDefault="00A13071" w:rsidP="00D34D83">
      <w:pPr>
        <w:tabs>
          <w:tab w:val="left" w:pos="2160"/>
        </w:tabs>
        <w:spacing w:line="240" w:lineRule="auto"/>
        <w:ind w:left="2160" w:hanging="2160"/>
        <w:rPr>
          <w:rFonts w:ascii="Century Schoolbook" w:hAnsi="Century Schoolbook"/>
        </w:rPr>
      </w:pPr>
    </w:p>
    <w:p w14:paraId="54E7A5CB" w14:textId="77777777" w:rsidR="00A13071" w:rsidRPr="00D34D83" w:rsidRDefault="00A13071" w:rsidP="00D34D83">
      <w:pPr>
        <w:tabs>
          <w:tab w:val="clear" w:pos="720"/>
          <w:tab w:val="left" w:pos="1440"/>
        </w:tabs>
        <w:spacing w:line="240" w:lineRule="auto"/>
        <w:ind w:left="720" w:hanging="1440"/>
        <w:rPr>
          <w:rFonts w:ascii="Century Schoolbook" w:hAnsi="Century Schoolbook"/>
        </w:rPr>
      </w:pPr>
      <w:r w:rsidRPr="00D34D83">
        <w:rPr>
          <w:rFonts w:ascii="Century Schoolbook" w:hAnsi="Century Schoolbook"/>
        </w:rPr>
        <w:tab/>
      </w:r>
      <w:r w:rsidRPr="00D34D83">
        <w:rPr>
          <w:rFonts w:ascii="Century Schoolbook" w:hAnsi="Century Schoolbook"/>
        </w:rPr>
        <w:tab/>
        <w:t>Donna R. Ziegler, County Counsel, Sama</w:t>
      </w:r>
      <w:r>
        <w:rPr>
          <w:rFonts w:ascii="Century Schoolbook" w:hAnsi="Century Schoolbook"/>
        </w:rPr>
        <w:t>n</w:t>
      </w:r>
      <w:r w:rsidRPr="00D34D83">
        <w:rPr>
          <w:rFonts w:ascii="Century Schoolbook" w:hAnsi="Century Schoolbook"/>
        </w:rPr>
        <w:t>tha N. Stonework-Hand, Senior Deputy County Counsel, for Plaintiff and Respondent.</w:t>
      </w:r>
    </w:p>
    <w:p w14:paraId="55D0311D" w14:textId="77777777" w:rsidR="00A13071" w:rsidRPr="00D34D83" w:rsidRDefault="00A13071" w:rsidP="00E146A4">
      <w:pPr>
        <w:spacing w:line="240" w:lineRule="auto"/>
        <w:rPr>
          <w:rFonts w:ascii="Century Schoolbook" w:hAnsi="Century Schoolbook"/>
        </w:rPr>
      </w:pPr>
    </w:p>
    <w:sectPr w:rsidR="00D34D83" w:rsidRPr="00D34D83" w:rsidSect="005A236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AEEA" w14:textId="77777777" w:rsidR="00A13071" w:rsidRDefault="00A13071">
      <w:pPr>
        <w:spacing w:line="240" w:lineRule="auto"/>
      </w:pPr>
      <w:r>
        <w:separator/>
      </w:r>
    </w:p>
  </w:endnote>
  <w:endnote w:type="continuationSeparator" w:id="0">
    <w:p w14:paraId="76E51FE3" w14:textId="77777777" w:rsidR="00A13071" w:rsidRDefault="00A13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2708" w14:textId="77777777" w:rsidR="00A13071" w:rsidRDefault="00A13071"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8D018A7" w14:textId="77777777" w:rsidR="00A13071" w:rsidRDefault="00A13071"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524E81BA" w14:textId="77777777" w:rsidR="00A13071" w:rsidRDefault="00A13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862E" w14:textId="77777777" w:rsidR="00A13071" w:rsidRPr="00322262" w:rsidRDefault="00A13071" w:rsidP="005A236B">
    <w:pPr>
      <w:pStyle w:val="Footer"/>
      <w:framePr w:wrap="around" w:vAnchor="text" w:hAnchor="margin" w:xAlign="center" w:y="1"/>
      <w:rPr>
        <w:rStyle w:val="PageNumber"/>
        <w:rFonts w:ascii="Century Schoolbook" w:hAnsi="Century Schoolbook"/>
      </w:rPr>
    </w:pPr>
    <w:r w:rsidRPr="00322262">
      <w:rPr>
        <w:rStyle w:val="PageNumber"/>
        <w:rFonts w:ascii="Century Schoolbook" w:hAnsi="Century Schoolbook"/>
      </w:rPr>
      <w:fldChar w:fldCharType="begin"/>
    </w:r>
    <w:r w:rsidRPr="00322262">
      <w:rPr>
        <w:rStyle w:val="PageNumber"/>
        <w:rFonts w:ascii="Century Schoolbook" w:hAnsi="Century Schoolbook"/>
      </w:rPr>
      <w:instrText xml:space="preserve"> PAGE </w:instrText>
    </w:r>
    <w:r w:rsidRPr="00322262">
      <w:rPr>
        <w:rStyle w:val="PageNumber"/>
        <w:rFonts w:ascii="Century Schoolbook" w:hAnsi="Century Schoolbook"/>
      </w:rPr>
      <w:fldChar w:fldCharType="separate"/>
    </w:r>
    <w:r w:rsidRPr="00322262">
      <w:rPr>
        <w:rStyle w:val="PageNumber"/>
        <w:rFonts w:ascii="Century Schoolbook" w:hAnsi="Century Schoolbook"/>
      </w:rPr>
      <w:t>9</w:t>
    </w:r>
    <w:r w:rsidRPr="00322262">
      <w:rPr>
        <w:rStyle w:val="PageNumber"/>
        <w:rFonts w:ascii="Century Schoolbook" w:hAnsi="Century Schoolbook"/>
      </w:rPr>
      <w:fldChar w:fldCharType="end"/>
    </w:r>
  </w:p>
  <w:p w14:paraId="39628880" w14:textId="77777777" w:rsidR="00A13071" w:rsidRPr="00322262" w:rsidRDefault="00A13071">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CF39" w14:textId="77777777" w:rsidR="00A13071" w:rsidRDefault="00A13071" w:rsidP="005A236B">
      <w:pPr>
        <w:spacing w:line="240" w:lineRule="auto"/>
      </w:pPr>
      <w:r>
        <w:separator/>
      </w:r>
    </w:p>
  </w:footnote>
  <w:footnote w:type="continuationSeparator" w:id="0">
    <w:p w14:paraId="0485719F" w14:textId="77777777" w:rsidR="00A13071" w:rsidRDefault="00A13071" w:rsidP="005A236B">
      <w:pPr>
        <w:spacing w:line="240" w:lineRule="auto"/>
      </w:pPr>
      <w:r>
        <w:continuationSeparator/>
      </w:r>
    </w:p>
  </w:footnote>
  <w:footnote w:type="continuationNotice" w:id="1">
    <w:p w14:paraId="45B42185" w14:textId="77777777" w:rsidR="00A13071" w:rsidRDefault="00A13071">
      <w:pPr>
        <w:spacing w:line="240" w:lineRule="auto"/>
      </w:pPr>
    </w:p>
  </w:footnote>
  <w:footnote w:id="2">
    <w:p w14:paraId="3C4F5DFD" w14:textId="77777777" w:rsidR="00A13071" w:rsidRPr="005B4FED" w:rsidRDefault="00A13071" w:rsidP="00E8704F">
      <w:pPr>
        <w:pStyle w:val="FootnoteText"/>
        <w:spacing w:after="120"/>
        <w:ind w:firstLine="720"/>
        <w:rPr>
          <w:rFonts w:ascii="Century Schoolbook" w:hAnsi="Century Schoolbook"/>
        </w:rPr>
      </w:pPr>
      <w:r w:rsidRPr="003F25E8">
        <w:rPr>
          <w:rStyle w:val="FootnoteReference"/>
          <w:rFonts w:ascii="Century Schoolbook" w:hAnsi="Century Schoolbook"/>
        </w:rPr>
        <w:footnoteRef/>
      </w:r>
      <w:r w:rsidRPr="003F25E8">
        <w:rPr>
          <w:rFonts w:ascii="Century Schoolbook" w:hAnsi="Century Schoolbook"/>
        </w:rPr>
        <w:t xml:space="preserve"> All subsequent </w:t>
      </w:r>
      <w:r>
        <w:rPr>
          <w:rFonts w:ascii="Century Schoolbook" w:hAnsi="Century Schoolbook"/>
        </w:rPr>
        <w:t xml:space="preserve">statutory </w:t>
      </w:r>
      <w:r w:rsidRPr="003F25E8">
        <w:rPr>
          <w:rFonts w:ascii="Century Schoolbook" w:hAnsi="Century Schoolbook"/>
        </w:rPr>
        <w:t>references are to the Welfare and Instit</w:t>
      </w:r>
      <w:r w:rsidRPr="005B4FED">
        <w:rPr>
          <w:rFonts w:ascii="Century Schoolbook" w:hAnsi="Century Schoolbook"/>
        </w:rPr>
        <w:t>utions Code, unless otherwise noted.</w:t>
      </w:r>
    </w:p>
  </w:footnote>
  <w:footnote w:id="3">
    <w:p w14:paraId="4BD57585" w14:textId="77777777" w:rsidR="00A13071" w:rsidRPr="003B6823" w:rsidRDefault="00A13071" w:rsidP="00E8704F">
      <w:pPr>
        <w:pStyle w:val="FootnoteText"/>
        <w:spacing w:after="120"/>
        <w:ind w:firstLine="720"/>
        <w:rPr>
          <w:rFonts w:ascii="Century Schoolbook" w:hAnsi="Century Schoolbook"/>
        </w:rPr>
      </w:pPr>
      <w:r w:rsidRPr="00D615A1">
        <w:rPr>
          <w:rStyle w:val="FootnoteReference"/>
          <w:rFonts w:ascii="Century Schoolbook" w:hAnsi="Century Schoolbook"/>
        </w:rPr>
        <w:footnoteRef/>
      </w:r>
      <w:r w:rsidRPr="00D615A1">
        <w:rPr>
          <w:rFonts w:ascii="Century Schoolbook" w:hAnsi="Century Schoolbook"/>
        </w:rPr>
        <w:t xml:space="preserve"> </w:t>
      </w:r>
      <w:r w:rsidRPr="00D615A1">
        <w:rPr>
          <w:rFonts w:ascii="Century Schoolbook" w:hAnsi="Century Schoolbook"/>
        </w:rPr>
        <w:t xml:space="preserve">Indian Child Welfare Act of 1978 (25 U.S.C. </w:t>
      </w:r>
      <w:r>
        <w:rPr>
          <w:rFonts w:ascii="Century Schoolbook" w:hAnsi="Century Schoolbook"/>
        </w:rPr>
        <w:t>§</w:t>
      </w:r>
      <w:r w:rsidRPr="00D615A1">
        <w:rPr>
          <w:rFonts w:ascii="Century Schoolbook" w:hAnsi="Century Schoolbook"/>
        </w:rPr>
        <w:t xml:space="preserve"> 1901 et seq.</w:t>
      </w:r>
      <w:r w:rsidRPr="00D615A1">
        <w:rPr>
          <w:rFonts w:ascii="Century Schoolbook" w:hAnsi="Century Schoolbook"/>
        </w:rPr>
        <w:t>)</w:t>
      </w:r>
      <w:r w:rsidRPr="00D615A1">
        <w:rPr>
          <w:rFonts w:ascii="Century Schoolbook" w:hAnsi="Century Schoolbook"/>
        </w:rPr>
        <w:t xml:space="preserve"> </w:t>
      </w:r>
      <w:r w:rsidRPr="00D615A1">
        <w:rPr>
          <w:rFonts w:ascii="Century Schoolbook" w:hAnsi="Century Schoolbook"/>
        </w:rPr>
        <w:t>(ICWA).</w:t>
      </w:r>
    </w:p>
  </w:footnote>
  <w:footnote w:id="4">
    <w:p w14:paraId="570A5B83" w14:textId="77777777" w:rsidR="00A13071" w:rsidRDefault="00A13071" w:rsidP="00C50161">
      <w:pPr>
        <w:pStyle w:val="FootnoteText"/>
        <w:ind w:firstLine="720"/>
        <w:rPr>
          <w:rFonts w:ascii="Century Schoolbook" w:hAnsi="Century Schoolbook"/>
        </w:rPr>
      </w:pPr>
      <w:r w:rsidRPr="005B4FED">
        <w:rPr>
          <w:rStyle w:val="FootnoteReference"/>
          <w:rFonts w:ascii="Century Schoolbook" w:hAnsi="Century Schoolbook"/>
        </w:rPr>
        <w:footnoteRef/>
      </w:r>
      <w:r w:rsidRPr="005B4FED">
        <w:rPr>
          <w:rFonts w:ascii="Century Schoolbook" w:hAnsi="Century Schoolbook"/>
        </w:rPr>
        <w:t xml:space="preserve"> Because </w:t>
      </w:r>
      <w:r w:rsidRPr="003F25E8">
        <w:rPr>
          <w:rFonts w:ascii="Century Schoolbook" w:hAnsi="Century Schoolbook"/>
        </w:rPr>
        <w:t xml:space="preserve">ICWA uses the term “Indian” and “Indian child” we do so on occasion as well, not out of disrespect, but because of the need for clarity and consistency, even though we recognize that other terms, such as Native American, Indigenous American, or American Indian </w:t>
      </w:r>
      <w:r>
        <w:rPr>
          <w:rFonts w:ascii="Century Schoolbook" w:hAnsi="Century Schoolbook"/>
        </w:rPr>
        <w:t>may be</w:t>
      </w:r>
      <w:r>
        <w:rPr>
          <w:rFonts w:ascii="Century Schoolbook" w:hAnsi="Century Schoolbook"/>
        </w:rPr>
        <w:t xml:space="preserve"> </w:t>
      </w:r>
      <w:r w:rsidRPr="003F25E8">
        <w:rPr>
          <w:rFonts w:ascii="Century Schoolbook" w:hAnsi="Century Schoolbook"/>
        </w:rPr>
        <w:t>preferable. (</w:t>
      </w:r>
      <w:r w:rsidRPr="003F25E8">
        <w:rPr>
          <w:rFonts w:ascii="Century Schoolbook" w:hAnsi="Century Schoolbook"/>
          <w:i/>
          <w:iCs/>
        </w:rPr>
        <w:t>In re A.A.</w:t>
      </w:r>
      <w:r w:rsidRPr="003F25E8">
        <w:rPr>
          <w:rFonts w:ascii="Century Schoolbook" w:hAnsi="Century Schoolbook"/>
        </w:rPr>
        <w:t xml:space="preserve"> (2023) 88 Cal.App.5th 393, 396.)</w:t>
      </w:r>
    </w:p>
    <w:p w14:paraId="43659585" w14:textId="77777777" w:rsidR="00A13071" w:rsidRPr="009F1447" w:rsidRDefault="00A13071" w:rsidP="00C50161">
      <w:pPr>
        <w:pStyle w:val="FootnoteText"/>
        <w:ind w:firstLine="720"/>
        <w:rPr>
          <w:rFonts w:ascii="Century Schoolbook" w:hAnsi="Century Schoolbook"/>
          <w:sz w:val="10"/>
          <w:szCs w:val="10"/>
        </w:rPr>
      </w:pPr>
    </w:p>
  </w:footnote>
  <w:footnote w:id="5">
    <w:p w14:paraId="2B25DC7F" w14:textId="77777777" w:rsidR="00A13071" w:rsidRPr="003F25E8" w:rsidRDefault="00A13071" w:rsidP="003E6B86">
      <w:pPr>
        <w:pStyle w:val="FootnoteText"/>
        <w:ind w:firstLine="720"/>
        <w:rPr>
          <w:rFonts w:ascii="Century Schoolbook" w:hAnsi="Century Schoolbook"/>
        </w:rPr>
      </w:pPr>
      <w:r w:rsidRPr="003F25E8">
        <w:rPr>
          <w:rStyle w:val="FootnoteReference"/>
          <w:rFonts w:ascii="Century Schoolbook" w:hAnsi="Century Schoolbook"/>
        </w:rPr>
        <w:footnoteRef/>
      </w:r>
      <w:r w:rsidRPr="003F25E8">
        <w:rPr>
          <w:rFonts w:ascii="Century Schoolbook" w:hAnsi="Century Schoolbook"/>
        </w:rPr>
        <w:t xml:space="preserve"> As </w:t>
      </w:r>
      <w:r w:rsidRPr="003F25E8">
        <w:rPr>
          <w:rFonts w:ascii="Century Schoolbook" w:hAnsi="Century Schoolbook"/>
        </w:rPr>
        <w:t xml:space="preserve">explained by </w:t>
      </w:r>
      <w:r w:rsidRPr="003F25E8">
        <w:rPr>
          <w:rFonts w:ascii="Century Schoolbook" w:hAnsi="Century Schoolbook"/>
          <w:i/>
          <w:iCs/>
        </w:rPr>
        <w:t>In re V.C.</w:t>
      </w:r>
      <w:r w:rsidRPr="003F25E8">
        <w:rPr>
          <w:rFonts w:ascii="Century Schoolbook" w:hAnsi="Century Schoolbook"/>
        </w:rPr>
        <w:t>, at least two of the alternative standards are unsatisfactory: A “presumptive affirmance rule requiring a parent to demonstrate evidence in the record or make an offer on appeal regarding possible Indian heritage would routinize” the generally disfavored practice of considering “new evidence on appeal”; and a rule deeming a deficient inquiry harmless unless the record contains information suggesting a “</w:t>
      </w:r>
      <w:r>
        <w:rPr>
          <w:rFonts w:ascii="Century Schoolbook" w:hAnsi="Century Schoolbook"/>
        </w:rPr>
        <w:t> ‘ “</w:t>
      </w:r>
      <w:r w:rsidRPr="003F25E8">
        <w:rPr>
          <w:rFonts w:ascii="Century Schoolbook" w:hAnsi="Century Schoolbook"/>
        </w:rPr>
        <w:t>reason to believe</w:t>
      </w:r>
      <w:r>
        <w:rPr>
          <w:rFonts w:ascii="Century Schoolbook" w:hAnsi="Century Schoolbook"/>
        </w:rPr>
        <w:t>” </w:t>
      </w:r>
      <w:r w:rsidRPr="003F25E8">
        <w:rPr>
          <w:rFonts w:ascii="Century Schoolbook" w:hAnsi="Century Schoolbook"/>
        </w:rPr>
        <w:t>’</w:t>
      </w:r>
      <w:r>
        <w:rPr>
          <w:rFonts w:ascii="Century Schoolbook" w:hAnsi="Century Schoolbook"/>
        </w:rPr>
        <w:t> </w:t>
      </w:r>
      <w:r w:rsidRPr="003F25E8">
        <w:rPr>
          <w:rFonts w:ascii="Century Schoolbook" w:hAnsi="Century Schoolbook"/>
        </w:rPr>
        <w:t>” otherwise “</w:t>
      </w:r>
      <w:r>
        <w:rPr>
          <w:rFonts w:ascii="Century Schoolbook" w:hAnsi="Century Schoolbook"/>
        </w:rPr>
        <w:t> ‘</w:t>
      </w:r>
      <w:r w:rsidRPr="003F25E8">
        <w:rPr>
          <w:rFonts w:ascii="Century Schoolbook" w:hAnsi="Century Schoolbook"/>
        </w:rPr>
        <w:t>would effectively impose a duty on that pa</w:t>
      </w:r>
      <w:r w:rsidRPr="003F25E8">
        <w:rPr>
          <w:rFonts w:ascii="Century Schoolbook" w:hAnsi="Century Schoolbook"/>
        </w:rPr>
        <w:t>rent to search for evidence that the Legislature has imposed on only the agency</w:t>
      </w:r>
      <w:r>
        <w:rPr>
          <w:rFonts w:ascii="Century Schoolbook" w:hAnsi="Century Schoolbook"/>
        </w:rPr>
        <w:t> </w:t>
      </w:r>
      <w:r w:rsidRPr="003F25E8">
        <w:rPr>
          <w:rFonts w:ascii="Century Schoolbook" w:hAnsi="Century Schoolbook"/>
        </w:rPr>
        <w:t>.</w:t>
      </w:r>
      <w:r>
        <w:rPr>
          <w:rFonts w:ascii="Century Schoolbook" w:hAnsi="Century Schoolbook"/>
        </w:rPr>
        <w:t> </w:t>
      </w:r>
      <w:r w:rsidRPr="003F25E8">
        <w:rPr>
          <w:rFonts w:ascii="Century Schoolbook" w:hAnsi="Century Schoolbook"/>
        </w:rPr>
        <w:t>.</w:t>
      </w:r>
      <w:r>
        <w:rPr>
          <w:rFonts w:ascii="Century Schoolbook" w:hAnsi="Century Schoolbook"/>
        </w:rPr>
        <w:t> </w:t>
      </w:r>
      <w:r w:rsidRPr="003F25E8">
        <w:rPr>
          <w:rFonts w:ascii="Century Schoolbook" w:hAnsi="Century Schoolbook"/>
        </w:rPr>
        <w:t>.</w:t>
      </w:r>
      <w:r>
        <w:rPr>
          <w:rFonts w:ascii="Century Schoolbook" w:hAnsi="Century Schoolbook"/>
        </w:rPr>
        <w:t> </w:t>
      </w:r>
      <w:r w:rsidRPr="003F25E8">
        <w:rPr>
          <w:rFonts w:ascii="Century Schoolbook" w:hAnsi="Century Schoolbook"/>
        </w:rPr>
        <w:t>.’</w:t>
      </w:r>
      <w:r>
        <w:rPr>
          <w:rFonts w:ascii="Century Schoolbook" w:hAnsi="Century Schoolbook"/>
        </w:rPr>
        <w:t> </w:t>
      </w:r>
      <w:r w:rsidRPr="003F25E8">
        <w:rPr>
          <w:rFonts w:ascii="Century Schoolbook" w:hAnsi="Century Schoolbook"/>
        </w:rPr>
        <w:t>” (</w:t>
      </w:r>
      <w:r w:rsidRPr="003F25E8">
        <w:rPr>
          <w:rFonts w:ascii="Century Schoolbook" w:hAnsi="Century Schoolbook"/>
          <w:i/>
          <w:iCs/>
        </w:rPr>
        <w:t>In re V.C.</w:t>
      </w:r>
      <w:r w:rsidRPr="003F25E8">
        <w:rPr>
          <w:rFonts w:ascii="Century Schoolbook" w:hAnsi="Century Schoolbook"/>
        </w:rPr>
        <w:t xml:space="preserve">, </w:t>
      </w:r>
      <w:r w:rsidRPr="003F25E8">
        <w:rPr>
          <w:rFonts w:ascii="Century Schoolbook" w:hAnsi="Century Schoolbook"/>
          <w:i/>
          <w:iCs/>
        </w:rPr>
        <w:t>supra</w:t>
      </w:r>
      <w:r w:rsidRPr="003F25E8">
        <w:rPr>
          <w:rFonts w:ascii="Century Schoolbook" w:hAnsi="Century Schoolbook"/>
        </w:rPr>
        <w:t xml:space="preserve">, 95 Cal.App.5th at p. </w:t>
      </w:r>
      <w:r>
        <w:rPr>
          <w:rFonts w:ascii="Century Schoolbook" w:hAnsi="Century Schoolbook"/>
        </w:rPr>
        <w:t>261</w:t>
      </w:r>
      <w:r w:rsidRPr="003F25E8">
        <w:rPr>
          <w:rFonts w:ascii="Century Schoolbook" w:hAnsi="Century Schoolbook"/>
        </w:rPr>
        <w:t xml:space="preserve">, quoting </w:t>
      </w:r>
      <w:r w:rsidRPr="003F25E8">
        <w:rPr>
          <w:rFonts w:ascii="Century Schoolbook" w:hAnsi="Century Schoolbook"/>
          <w:i/>
          <w:iCs/>
        </w:rPr>
        <w:t>Benjamin M.</w:t>
      </w:r>
      <w:r w:rsidRPr="003F25E8">
        <w:rPr>
          <w:rFonts w:ascii="Century Schoolbook" w:hAnsi="Century Schoolbook"/>
        </w:rPr>
        <w:t xml:space="preserve">, </w:t>
      </w:r>
      <w:r w:rsidRPr="003F25E8">
        <w:rPr>
          <w:rFonts w:ascii="Century Schoolbook" w:hAnsi="Century Schoolbook"/>
          <w:i/>
          <w:iCs/>
        </w:rPr>
        <w:t>supra</w:t>
      </w:r>
      <w:r w:rsidRPr="003F25E8">
        <w:rPr>
          <w:rFonts w:ascii="Century Schoolbook" w:hAnsi="Century Schoolbook"/>
        </w:rPr>
        <w:t>, 70 Cal.App.5th at p. 743.)</w:t>
      </w:r>
      <w:r w:rsidRPr="003F25E8">
        <w:rPr>
          <w:rFonts w:ascii="Century Schoolbook" w:hAnsi="Century Schoolbook"/>
        </w:rPr>
        <w:t xml:space="preserve"> </w:t>
      </w:r>
      <w:r w:rsidRPr="003F25E8">
        <w:rPr>
          <w:rFonts w:ascii="Century Schoolbook" w:hAnsi="Century Schoolbook"/>
        </w:rPr>
        <w:t>A</w:t>
      </w:r>
      <w:r w:rsidRPr="003F25E8">
        <w:rPr>
          <w:rFonts w:ascii="Century Schoolbook" w:hAnsi="Century Schoolbook"/>
        </w:rPr>
        <w:t xml:space="preserve">dopting </w:t>
      </w:r>
      <w:r w:rsidRPr="003F25E8">
        <w:rPr>
          <w:rFonts w:ascii="Century Schoolbook" w:hAnsi="Century Schoolbook"/>
        </w:rPr>
        <w:t xml:space="preserve">the </w:t>
      </w:r>
      <w:r w:rsidRPr="003F25E8">
        <w:rPr>
          <w:rFonts w:ascii="Century Schoolbook" w:hAnsi="Century Schoolbook"/>
        </w:rPr>
        <w:t xml:space="preserve">third alternative—the </w:t>
      </w:r>
      <w:r w:rsidRPr="003F25E8">
        <w:rPr>
          <w:rFonts w:ascii="Century Schoolbook" w:hAnsi="Century Schoolbook"/>
        </w:rPr>
        <w:t xml:space="preserve">automatic reversal rule </w:t>
      </w:r>
      <w:r w:rsidRPr="003F25E8">
        <w:rPr>
          <w:rFonts w:ascii="Century Schoolbook" w:hAnsi="Century Schoolbook"/>
        </w:rPr>
        <w:t xml:space="preserve">set </w:t>
      </w:r>
      <w:r w:rsidRPr="003F25E8">
        <w:rPr>
          <w:rFonts w:ascii="Century Schoolbook" w:hAnsi="Century Schoolbook"/>
        </w:rPr>
        <w:t>forth</w:t>
      </w:r>
      <w:r w:rsidRPr="003F25E8">
        <w:rPr>
          <w:rFonts w:ascii="Century Schoolbook" w:hAnsi="Century Schoolbook"/>
        </w:rPr>
        <w:t xml:space="preserve"> by </w:t>
      </w:r>
      <w:proofErr w:type="gramStart"/>
      <w:r w:rsidRPr="003F25E8">
        <w:rPr>
          <w:rFonts w:ascii="Century Schoolbook" w:hAnsi="Century Schoolbook"/>
          <w:i/>
          <w:iCs/>
        </w:rPr>
        <w:t>In</w:t>
      </w:r>
      <w:proofErr w:type="gramEnd"/>
      <w:r w:rsidRPr="003F25E8">
        <w:rPr>
          <w:rFonts w:ascii="Century Schoolbook" w:hAnsi="Century Schoolbook"/>
          <w:i/>
          <w:iCs/>
        </w:rPr>
        <w:t xml:space="preserve"> re G.H.</w:t>
      </w:r>
      <w:r w:rsidRPr="003F25E8">
        <w:rPr>
          <w:rFonts w:ascii="Century Schoolbook" w:hAnsi="Century Schoolbook"/>
        </w:rPr>
        <w:t xml:space="preserve"> (2022) 84 Cal.App.5th 15, 32, inter alia</w:t>
      </w:r>
      <w:r w:rsidRPr="003F25E8">
        <w:rPr>
          <w:rFonts w:ascii="Century Schoolbook" w:hAnsi="Century Schoolbook"/>
        </w:rPr>
        <w:t>—</w:t>
      </w:r>
      <w:r w:rsidRPr="003F25E8">
        <w:rPr>
          <w:rFonts w:ascii="Century Schoolbook" w:hAnsi="Century Schoolbook"/>
        </w:rPr>
        <w:t xml:space="preserve">would </w:t>
      </w:r>
      <w:r w:rsidRPr="003F25E8">
        <w:rPr>
          <w:rFonts w:ascii="Century Schoolbook" w:hAnsi="Century Schoolbook"/>
        </w:rPr>
        <w:t>not change the result</w:t>
      </w:r>
      <w:r w:rsidRPr="003F25E8">
        <w:rPr>
          <w:rFonts w:ascii="Century Schoolbook" w:hAnsi="Century Schoolbook"/>
        </w:rPr>
        <w:t xml:space="preserve"> </w:t>
      </w:r>
      <w:r w:rsidRPr="003F25E8">
        <w:rPr>
          <w:rFonts w:ascii="Century Schoolbook" w:hAnsi="Century Schoolbook"/>
        </w:rPr>
        <w:t>in</w:t>
      </w:r>
      <w:r w:rsidRPr="003F25E8">
        <w:rPr>
          <w:rFonts w:ascii="Century Schoolbook" w:hAnsi="Century Schoolbook"/>
        </w:rPr>
        <w:t xml:space="preserve"> the present case.</w:t>
      </w:r>
    </w:p>
  </w:footnote>
  <w:footnote w:id="6">
    <w:p w14:paraId="6688AB0F" w14:textId="77777777" w:rsidR="00A13071" w:rsidRPr="003F25E8" w:rsidRDefault="00A13071" w:rsidP="00EA0A0A">
      <w:pPr>
        <w:pStyle w:val="FootnoteText"/>
        <w:ind w:firstLine="720"/>
        <w:rPr>
          <w:rFonts w:ascii="Century Schoolbook" w:hAnsi="Century Schoolbook"/>
        </w:rPr>
      </w:pPr>
      <w:r w:rsidRPr="003F25E8">
        <w:rPr>
          <w:rStyle w:val="FootnoteReference"/>
          <w:rFonts w:ascii="Century Schoolbook" w:eastAsia="Symbol" w:hAnsi="Century Schoolbook" w:cs="Symbol"/>
        </w:rPr>
        <w:t>*</w:t>
      </w:r>
      <w:r w:rsidRPr="003F25E8">
        <w:rPr>
          <w:rStyle w:val="FootnoteReference"/>
          <w:rFonts w:ascii="Century Schoolbook" w:hAnsi="Century Schoolbook"/>
        </w:rPr>
        <w:t xml:space="preserve"> </w:t>
      </w:r>
      <w:r w:rsidRPr="003F25E8">
        <w:rPr>
          <w:rFonts w:ascii="Century Schoolbook" w:hAnsi="Century Schoolbook"/>
        </w:rPr>
        <w:t>Judge of the Superior Court of California, County of Contra Costa,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116"/>
    <w:multiLevelType w:val="hybridMultilevel"/>
    <w:tmpl w:val="EADEF06C"/>
    <w:lvl w:ilvl="0" w:tplc="D7F0A0E6">
      <w:start w:val="1"/>
      <w:numFmt w:val="upperLetter"/>
      <w:lvlText w:val="%1."/>
      <w:lvlJc w:val="left"/>
      <w:pPr>
        <w:ind w:left="720" w:hanging="360"/>
      </w:pPr>
      <w:rPr>
        <w:rFonts w:hint="default"/>
      </w:rPr>
    </w:lvl>
    <w:lvl w:ilvl="1" w:tplc="4288ADEA" w:tentative="1">
      <w:start w:val="1"/>
      <w:numFmt w:val="lowerLetter"/>
      <w:lvlText w:val="%2."/>
      <w:lvlJc w:val="left"/>
      <w:pPr>
        <w:ind w:left="1440" w:hanging="360"/>
      </w:pPr>
    </w:lvl>
    <w:lvl w:ilvl="2" w:tplc="999C8E66" w:tentative="1">
      <w:start w:val="1"/>
      <w:numFmt w:val="lowerRoman"/>
      <w:lvlText w:val="%3."/>
      <w:lvlJc w:val="right"/>
      <w:pPr>
        <w:ind w:left="2160" w:hanging="180"/>
      </w:pPr>
    </w:lvl>
    <w:lvl w:ilvl="3" w:tplc="5F302C54" w:tentative="1">
      <w:start w:val="1"/>
      <w:numFmt w:val="decimal"/>
      <w:lvlText w:val="%4."/>
      <w:lvlJc w:val="left"/>
      <w:pPr>
        <w:ind w:left="2880" w:hanging="360"/>
      </w:pPr>
    </w:lvl>
    <w:lvl w:ilvl="4" w:tplc="F6BC3AAA" w:tentative="1">
      <w:start w:val="1"/>
      <w:numFmt w:val="lowerLetter"/>
      <w:lvlText w:val="%5."/>
      <w:lvlJc w:val="left"/>
      <w:pPr>
        <w:ind w:left="3600" w:hanging="360"/>
      </w:pPr>
    </w:lvl>
    <w:lvl w:ilvl="5" w:tplc="13561988" w:tentative="1">
      <w:start w:val="1"/>
      <w:numFmt w:val="lowerRoman"/>
      <w:lvlText w:val="%6."/>
      <w:lvlJc w:val="right"/>
      <w:pPr>
        <w:ind w:left="4320" w:hanging="180"/>
      </w:pPr>
    </w:lvl>
    <w:lvl w:ilvl="6" w:tplc="B7548B8C" w:tentative="1">
      <w:start w:val="1"/>
      <w:numFmt w:val="decimal"/>
      <w:lvlText w:val="%7."/>
      <w:lvlJc w:val="left"/>
      <w:pPr>
        <w:ind w:left="5040" w:hanging="360"/>
      </w:pPr>
    </w:lvl>
    <w:lvl w:ilvl="7" w:tplc="EFB810E2" w:tentative="1">
      <w:start w:val="1"/>
      <w:numFmt w:val="lowerLetter"/>
      <w:lvlText w:val="%8."/>
      <w:lvlJc w:val="left"/>
      <w:pPr>
        <w:ind w:left="5760" w:hanging="360"/>
      </w:pPr>
    </w:lvl>
    <w:lvl w:ilvl="8" w:tplc="EE84D86E" w:tentative="1">
      <w:start w:val="1"/>
      <w:numFmt w:val="lowerRoman"/>
      <w:lvlText w:val="%9."/>
      <w:lvlJc w:val="right"/>
      <w:pPr>
        <w:ind w:left="6480" w:hanging="180"/>
      </w:pPr>
    </w:lvl>
  </w:abstractNum>
  <w:abstractNum w:abstractNumId="1" w15:restartNumberingAfterBreak="0">
    <w:nsid w:val="0C430F36"/>
    <w:multiLevelType w:val="hybridMultilevel"/>
    <w:tmpl w:val="28CCA0A6"/>
    <w:lvl w:ilvl="0" w:tplc="E4CA9F48">
      <w:start w:val="1"/>
      <w:numFmt w:val="upperRoman"/>
      <w:lvlText w:val="%1."/>
      <w:lvlJc w:val="left"/>
      <w:pPr>
        <w:ind w:left="1440" w:hanging="720"/>
      </w:pPr>
      <w:rPr>
        <w:rFonts w:hint="default"/>
      </w:rPr>
    </w:lvl>
    <w:lvl w:ilvl="1" w:tplc="0BCE46F4" w:tentative="1">
      <w:start w:val="1"/>
      <w:numFmt w:val="lowerLetter"/>
      <w:lvlText w:val="%2."/>
      <w:lvlJc w:val="left"/>
      <w:pPr>
        <w:ind w:left="1800" w:hanging="360"/>
      </w:pPr>
    </w:lvl>
    <w:lvl w:ilvl="2" w:tplc="5156A0D2" w:tentative="1">
      <w:start w:val="1"/>
      <w:numFmt w:val="lowerRoman"/>
      <w:lvlText w:val="%3."/>
      <w:lvlJc w:val="right"/>
      <w:pPr>
        <w:ind w:left="2520" w:hanging="180"/>
      </w:pPr>
    </w:lvl>
    <w:lvl w:ilvl="3" w:tplc="24A635DC" w:tentative="1">
      <w:start w:val="1"/>
      <w:numFmt w:val="decimal"/>
      <w:lvlText w:val="%4."/>
      <w:lvlJc w:val="left"/>
      <w:pPr>
        <w:ind w:left="3240" w:hanging="360"/>
      </w:pPr>
    </w:lvl>
    <w:lvl w:ilvl="4" w:tplc="A030C6A6" w:tentative="1">
      <w:start w:val="1"/>
      <w:numFmt w:val="lowerLetter"/>
      <w:lvlText w:val="%5."/>
      <w:lvlJc w:val="left"/>
      <w:pPr>
        <w:ind w:left="3960" w:hanging="360"/>
      </w:pPr>
    </w:lvl>
    <w:lvl w:ilvl="5" w:tplc="64A6C8F6" w:tentative="1">
      <w:start w:val="1"/>
      <w:numFmt w:val="lowerRoman"/>
      <w:lvlText w:val="%6."/>
      <w:lvlJc w:val="right"/>
      <w:pPr>
        <w:ind w:left="4680" w:hanging="180"/>
      </w:pPr>
    </w:lvl>
    <w:lvl w:ilvl="6" w:tplc="2AAA1960" w:tentative="1">
      <w:start w:val="1"/>
      <w:numFmt w:val="decimal"/>
      <w:lvlText w:val="%7."/>
      <w:lvlJc w:val="left"/>
      <w:pPr>
        <w:ind w:left="5400" w:hanging="360"/>
      </w:pPr>
    </w:lvl>
    <w:lvl w:ilvl="7" w:tplc="F1AC19DC" w:tentative="1">
      <w:start w:val="1"/>
      <w:numFmt w:val="lowerLetter"/>
      <w:lvlText w:val="%8."/>
      <w:lvlJc w:val="left"/>
      <w:pPr>
        <w:ind w:left="6120" w:hanging="360"/>
      </w:pPr>
    </w:lvl>
    <w:lvl w:ilvl="8" w:tplc="726C2CAC" w:tentative="1">
      <w:start w:val="1"/>
      <w:numFmt w:val="lowerRoman"/>
      <w:lvlText w:val="%9."/>
      <w:lvlJc w:val="right"/>
      <w:pPr>
        <w:ind w:left="6840" w:hanging="180"/>
      </w:pPr>
    </w:lvl>
  </w:abstractNum>
  <w:abstractNum w:abstractNumId="2" w15:restartNumberingAfterBreak="0">
    <w:nsid w:val="0F154AE5"/>
    <w:multiLevelType w:val="hybridMultilevel"/>
    <w:tmpl w:val="C1AA4A86"/>
    <w:lvl w:ilvl="0" w:tplc="232C9D56">
      <w:start w:val="1"/>
      <w:numFmt w:val="upperRoman"/>
      <w:lvlText w:val="%1."/>
      <w:lvlJc w:val="left"/>
      <w:pPr>
        <w:ind w:left="1080" w:hanging="720"/>
      </w:pPr>
      <w:rPr>
        <w:rFonts w:hint="default"/>
      </w:rPr>
    </w:lvl>
    <w:lvl w:ilvl="1" w:tplc="680C11D6" w:tentative="1">
      <w:start w:val="1"/>
      <w:numFmt w:val="lowerLetter"/>
      <w:lvlText w:val="%2."/>
      <w:lvlJc w:val="left"/>
      <w:pPr>
        <w:ind w:left="1440" w:hanging="360"/>
      </w:pPr>
    </w:lvl>
    <w:lvl w:ilvl="2" w:tplc="826CD808" w:tentative="1">
      <w:start w:val="1"/>
      <w:numFmt w:val="lowerRoman"/>
      <w:lvlText w:val="%3."/>
      <w:lvlJc w:val="right"/>
      <w:pPr>
        <w:ind w:left="2160" w:hanging="180"/>
      </w:pPr>
    </w:lvl>
    <w:lvl w:ilvl="3" w:tplc="6BAC1A88" w:tentative="1">
      <w:start w:val="1"/>
      <w:numFmt w:val="decimal"/>
      <w:lvlText w:val="%4."/>
      <w:lvlJc w:val="left"/>
      <w:pPr>
        <w:ind w:left="2880" w:hanging="360"/>
      </w:pPr>
    </w:lvl>
    <w:lvl w:ilvl="4" w:tplc="30581ABA" w:tentative="1">
      <w:start w:val="1"/>
      <w:numFmt w:val="lowerLetter"/>
      <w:lvlText w:val="%5."/>
      <w:lvlJc w:val="left"/>
      <w:pPr>
        <w:ind w:left="3600" w:hanging="360"/>
      </w:pPr>
    </w:lvl>
    <w:lvl w:ilvl="5" w:tplc="9C6EC58C" w:tentative="1">
      <w:start w:val="1"/>
      <w:numFmt w:val="lowerRoman"/>
      <w:lvlText w:val="%6."/>
      <w:lvlJc w:val="right"/>
      <w:pPr>
        <w:ind w:left="4320" w:hanging="180"/>
      </w:pPr>
    </w:lvl>
    <w:lvl w:ilvl="6" w:tplc="1D468B24" w:tentative="1">
      <w:start w:val="1"/>
      <w:numFmt w:val="decimal"/>
      <w:lvlText w:val="%7."/>
      <w:lvlJc w:val="left"/>
      <w:pPr>
        <w:ind w:left="5040" w:hanging="360"/>
      </w:pPr>
    </w:lvl>
    <w:lvl w:ilvl="7" w:tplc="69AC505C" w:tentative="1">
      <w:start w:val="1"/>
      <w:numFmt w:val="lowerLetter"/>
      <w:lvlText w:val="%8."/>
      <w:lvlJc w:val="left"/>
      <w:pPr>
        <w:ind w:left="5760" w:hanging="360"/>
      </w:pPr>
    </w:lvl>
    <w:lvl w:ilvl="8" w:tplc="571E9A48" w:tentative="1">
      <w:start w:val="1"/>
      <w:numFmt w:val="lowerRoman"/>
      <w:lvlText w:val="%9."/>
      <w:lvlJc w:val="right"/>
      <w:pPr>
        <w:ind w:left="6480" w:hanging="180"/>
      </w:pPr>
    </w:lvl>
  </w:abstractNum>
  <w:abstractNum w:abstractNumId="3" w15:restartNumberingAfterBreak="0">
    <w:nsid w:val="103E3B0C"/>
    <w:multiLevelType w:val="hybridMultilevel"/>
    <w:tmpl w:val="406007BA"/>
    <w:lvl w:ilvl="0" w:tplc="C79E77DC">
      <w:start w:val="1"/>
      <w:numFmt w:val="upperLetter"/>
      <w:lvlText w:val="%1."/>
      <w:lvlJc w:val="left"/>
      <w:pPr>
        <w:ind w:left="720" w:hanging="360"/>
      </w:pPr>
      <w:rPr>
        <w:rFonts w:hint="default"/>
      </w:rPr>
    </w:lvl>
    <w:lvl w:ilvl="1" w:tplc="946EEC3A" w:tentative="1">
      <w:start w:val="1"/>
      <w:numFmt w:val="lowerLetter"/>
      <w:lvlText w:val="%2."/>
      <w:lvlJc w:val="left"/>
      <w:pPr>
        <w:ind w:left="1440" w:hanging="360"/>
      </w:pPr>
    </w:lvl>
    <w:lvl w:ilvl="2" w:tplc="EC062870" w:tentative="1">
      <w:start w:val="1"/>
      <w:numFmt w:val="lowerRoman"/>
      <w:lvlText w:val="%3."/>
      <w:lvlJc w:val="right"/>
      <w:pPr>
        <w:ind w:left="2160" w:hanging="180"/>
      </w:pPr>
    </w:lvl>
    <w:lvl w:ilvl="3" w:tplc="9C248DD2" w:tentative="1">
      <w:start w:val="1"/>
      <w:numFmt w:val="decimal"/>
      <w:lvlText w:val="%4."/>
      <w:lvlJc w:val="left"/>
      <w:pPr>
        <w:ind w:left="2880" w:hanging="360"/>
      </w:pPr>
    </w:lvl>
    <w:lvl w:ilvl="4" w:tplc="2ACAD258" w:tentative="1">
      <w:start w:val="1"/>
      <w:numFmt w:val="lowerLetter"/>
      <w:lvlText w:val="%5."/>
      <w:lvlJc w:val="left"/>
      <w:pPr>
        <w:ind w:left="3600" w:hanging="360"/>
      </w:pPr>
    </w:lvl>
    <w:lvl w:ilvl="5" w:tplc="34F03EA8" w:tentative="1">
      <w:start w:val="1"/>
      <w:numFmt w:val="lowerRoman"/>
      <w:lvlText w:val="%6."/>
      <w:lvlJc w:val="right"/>
      <w:pPr>
        <w:ind w:left="4320" w:hanging="180"/>
      </w:pPr>
    </w:lvl>
    <w:lvl w:ilvl="6" w:tplc="3CBEC800" w:tentative="1">
      <w:start w:val="1"/>
      <w:numFmt w:val="decimal"/>
      <w:lvlText w:val="%7."/>
      <w:lvlJc w:val="left"/>
      <w:pPr>
        <w:ind w:left="5040" w:hanging="360"/>
      </w:pPr>
    </w:lvl>
    <w:lvl w:ilvl="7" w:tplc="539874F0" w:tentative="1">
      <w:start w:val="1"/>
      <w:numFmt w:val="lowerLetter"/>
      <w:lvlText w:val="%8."/>
      <w:lvlJc w:val="left"/>
      <w:pPr>
        <w:ind w:left="5760" w:hanging="360"/>
      </w:pPr>
    </w:lvl>
    <w:lvl w:ilvl="8" w:tplc="7BEC7B12" w:tentative="1">
      <w:start w:val="1"/>
      <w:numFmt w:val="lowerRoman"/>
      <w:lvlText w:val="%9."/>
      <w:lvlJc w:val="right"/>
      <w:pPr>
        <w:ind w:left="6480" w:hanging="180"/>
      </w:pPr>
    </w:lvl>
  </w:abstractNum>
  <w:abstractNum w:abstractNumId="4" w15:restartNumberingAfterBreak="0">
    <w:nsid w:val="1CB4644C"/>
    <w:multiLevelType w:val="hybridMultilevel"/>
    <w:tmpl w:val="2F5417BC"/>
    <w:lvl w:ilvl="0" w:tplc="5EE87BF0">
      <w:start w:val="2"/>
      <w:numFmt w:val="decimal"/>
      <w:lvlText w:val="%1."/>
      <w:lvlJc w:val="left"/>
      <w:pPr>
        <w:ind w:left="720" w:hanging="360"/>
      </w:pPr>
      <w:rPr>
        <w:rFonts w:hint="default"/>
        <w:b w:val="0"/>
      </w:rPr>
    </w:lvl>
    <w:lvl w:ilvl="1" w:tplc="4718CB62" w:tentative="1">
      <w:start w:val="1"/>
      <w:numFmt w:val="lowerLetter"/>
      <w:lvlText w:val="%2."/>
      <w:lvlJc w:val="left"/>
      <w:pPr>
        <w:ind w:left="1440" w:hanging="360"/>
      </w:pPr>
    </w:lvl>
    <w:lvl w:ilvl="2" w:tplc="EAF6842A" w:tentative="1">
      <w:start w:val="1"/>
      <w:numFmt w:val="lowerRoman"/>
      <w:lvlText w:val="%3."/>
      <w:lvlJc w:val="right"/>
      <w:pPr>
        <w:ind w:left="2160" w:hanging="180"/>
      </w:pPr>
    </w:lvl>
    <w:lvl w:ilvl="3" w:tplc="E82EC4CA" w:tentative="1">
      <w:start w:val="1"/>
      <w:numFmt w:val="decimal"/>
      <w:lvlText w:val="%4."/>
      <w:lvlJc w:val="left"/>
      <w:pPr>
        <w:ind w:left="2880" w:hanging="360"/>
      </w:pPr>
    </w:lvl>
    <w:lvl w:ilvl="4" w:tplc="1F267918" w:tentative="1">
      <w:start w:val="1"/>
      <w:numFmt w:val="lowerLetter"/>
      <w:lvlText w:val="%5."/>
      <w:lvlJc w:val="left"/>
      <w:pPr>
        <w:ind w:left="3600" w:hanging="360"/>
      </w:pPr>
    </w:lvl>
    <w:lvl w:ilvl="5" w:tplc="F9BC5EB6" w:tentative="1">
      <w:start w:val="1"/>
      <w:numFmt w:val="lowerRoman"/>
      <w:lvlText w:val="%6."/>
      <w:lvlJc w:val="right"/>
      <w:pPr>
        <w:ind w:left="4320" w:hanging="180"/>
      </w:pPr>
    </w:lvl>
    <w:lvl w:ilvl="6" w:tplc="D9DA02D2" w:tentative="1">
      <w:start w:val="1"/>
      <w:numFmt w:val="decimal"/>
      <w:lvlText w:val="%7."/>
      <w:lvlJc w:val="left"/>
      <w:pPr>
        <w:ind w:left="5040" w:hanging="360"/>
      </w:pPr>
    </w:lvl>
    <w:lvl w:ilvl="7" w:tplc="6E6EF31E" w:tentative="1">
      <w:start w:val="1"/>
      <w:numFmt w:val="lowerLetter"/>
      <w:lvlText w:val="%8."/>
      <w:lvlJc w:val="left"/>
      <w:pPr>
        <w:ind w:left="5760" w:hanging="360"/>
      </w:pPr>
    </w:lvl>
    <w:lvl w:ilvl="8" w:tplc="5A5C0000" w:tentative="1">
      <w:start w:val="1"/>
      <w:numFmt w:val="lowerRoman"/>
      <w:lvlText w:val="%9."/>
      <w:lvlJc w:val="right"/>
      <w:pPr>
        <w:ind w:left="6480" w:hanging="180"/>
      </w:pPr>
    </w:lvl>
  </w:abstractNum>
  <w:abstractNum w:abstractNumId="5" w15:restartNumberingAfterBreak="0">
    <w:nsid w:val="21E034F2"/>
    <w:multiLevelType w:val="hybridMultilevel"/>
    <w:tmpl w:val="C93C87F0"/>
    <w:lvl w:ilvl="0" w:tplc="F81AC2E0">
      <w:start w:val="1"/>
      <w:numFmt w:val="upperLetter"/>
      <w:lvlText w:val="%1."/>
      <w:lvlJc w:val="left"/>
      <w:pPr>
        <w:ind w:left="720" w:hanging="360"/>
      </w:pPr>
      <w:rPr>
        <w:rFonts w:hint="default"/>
      </w:rPr>
    </w:lvl>
    <w:lvl w:ilvl="1" w:tplc="B6AA238A" w:tentative="1">
      <w:start w:val="1"/>
      <w:numFmt w:val="lowerLetter"/>
      <w:lvlText w:val="%2."/>
      <w:lvlJc w:val="left"/>
      <w:pPr>
        <w:ind w:left="1440" w:hanging="360"/>
      </w:pPr>
    </w:lvl>
    <w:lvl w:ilvl="2" w:tplc="C206EC8C" w:tentative="1">
      <w:start w:val="1"/>
      <w:numFmt w:val="lowerRoman"/>
      <w:lvlText w:val="%3."/>
      <w:lvlJc w:val="right"/>
      <w:pPr>
        <w:ind w:left="2160" w:hanging="180"/>
      </w:pPr>
    </w:lvl>
    <w:lvl w:ilvl="3" w:tplc="6820F224" w:tentative="1">
      <w:start w:val="1"/>
      <w:numFmt w:val="decimal"/>
      <w:lvlText w:val="%4."/>
      <w:lvlJc w:val="left"/>
      <w:pPr>
        <w:ind w:left="2880" w:hanging="360"/>
      </w:pPr>
    </w:lvl>
    <w:lvl w:ilvl="4" w:tplc="02D2B23E" w:tentative="1">
      <w:start w:val="1"/>
      <w:numFmt w:val="lowerLetter"/>
      <w:lvlText w:val="%5."/>
      <w:lvlJc w:val="left"/>
      <w:pPr>
        <w:ind w:left="3600" w:hanging="360"/>
      </w:pPr>
    </w:lvl>
    <w:lvl w:ilvl="5" w:tplc="6D5A877C" w:tentative="1">
      <w:start w:val="1"/>
      <w:numFmt w:val="lowerRoman"/>
      <w:lvlText w:val="%6."/>
      <w:lvlJc w:val="right"/>
      <w:pPr>
        <w:ind w:left="4320" w:hanging="180"/>
      </w:pPr>
    </w:lvl>
    <w:lvl w:ilvl="6" w:tplc="0CEAE846" w:tentative="1">
      <w:start w:val="1"/>
      <w:numFmt w:val="decimal"/>
      <w:lvlText w:val="%7."/>
      <w:lvlJc w:val="left"/>
      <w:pPr>
        <w:ind w:left="5040" w:hanging="360"/>
      </w:pPr>
    </w:lvl>
    <w:lvl w:ilvl="7" w:tplc="4E5EC000" w:tentative="1">
      <w:start w:val="1"/>
      <w:numFmt w:val="lowerLetter"/>
      <w:lvlText w:val="%8."/>
      <w:lvlJc w:val="left"/>
      <w:pPr>
        <w:ind w:left="5760" w:hanging="360"/>
      </w:pPr>
    </w:lvl>
    <w:lvl w:ilvl="8" w:tplc="535AFA64" w:tentative="1">
      <w:start w:val="1"/>
      <w:numFmt w:val="lowerRoman"/>
      <w:lvlText w:val="%9."/>
      <w:lvlJc w:val="right"/>
      <w:pPr>
        <w:ind w:left="6480" w:hanging="180"/>
      </w:pPr>
    </w:lvl>
  </w:abstractNum>
  <w:abstractNum w:abstractNumId="6" w15:restartNumberingAfterBreak="0">
    <w:nsid w:val="24D24F70"/>
    <w:multiLevelType w:val="hybridMultilevel"/>
    <w:tmpl w:val="1AD6068E"/>
    <w:lvl w:ilvl="0" w:tplc="97E48B4A">
      <w:start w:val="1"/>
      <w:numFmt w:val="upperLetter"/>
      <w:lvlText w:val="%1."/>
      <w:lvlJc w:val="left"/>
      <w:pPr>
        <w:ind w:left="720" w:hanging="360"/>
      </w:pPr>
      <w:rPr>
        <w:rFonts w:hint="default"/>
      </w:rPr>
    </w:lvl>
    <w:lvl w:ilvl="1" w:tplc="13169758" w:tentative="1">
      <w:start w:val="1"/>
      <w:numFmt w:val="lowerLetter"/>
      <w:lvlText w:val="%2."/>
      <w:lvlJc w:val="left"/>
      <w:pPr>
        <w:ind w:left="1440" w:hanging="360"/>
      </w:pPr>
    </w:lvl>
    <w:lvl w:ilvl="2" w:tplc="9A5E74DA" w:tentative="1">
      <w:start w:val="1"/>
      <w:numFmt w:val="lowerRoman"/>
      <w:lvlText w:val="%3."/>
      <w:lvlJc w:val="right"/>
      <w:pPr>
        <w:ind w:left="2160" w:hanging="180"/>
      </w:pPr>
    </w:lvl>
    <w:lvl w:ilvl="3" w:tplc="490A7C86" w:tentative="1">
      <w:start w:val="1"/>
      <w:numFmt w:val="decimal"/>
      <w:lvlText w:val="%4."/>
      <w:lvlJc w:val="left"/>
      <w:pPr>
        <w:ind w:left="2880" w:hanging="360"/>
      </w:pPr>
    </w:lvl>
    <w:lvl w:ilvl="4" w:tplc="C25E1992" w:tentative="1">
      <w:start w:val="1"/>
      <w:numFmt w:val="lowerLetter"/>
      <w:lvlText w:val="%5."/>
      <w:lvlJc w:val="left"/>
      <w:pPr>
        <w:ind w:left="3600" w:hanging="360"/>
      </w:pPr>
    </w:lvl>
    <w:lvl w:ilvl="5" w:tplc="3A1A6B96" w:tentative="1">
      <w:start w:val="1"/>
      <w:numFmt w:val="lowerRoman"/>
      <w:lvlText w:val="%6."/>
      <w:lvlJc w:val="right"/>
      <w:pPr>
        <w:ind w:left="4320" w:hanging="180"/>
      </w:pPr>
    </w:lvl>
    <w:lvl w:ilvl="6" w:tplc="C840D222" w:tentative="1">
      <w:start w:val="1"/>
      <w:numFmt w:val="decimal"/>
      <w:lvlText w:val="%7."/>
      <w:lvlJc w:val="left"/>
      <w:pPr>
        <w:ind w:left="5040" w:hanging="360"/>
      </w:pPr>
    </w:lvl>
    <w:lvl w:ilvl="7" w:tplc="F702A2BC" w:tentative="1">
      <w:start w:val="1"/>
      <w:numFmt w:val="lowerLetter"/>
      <w:lvlText w:val="%8."/>
      <w:lvlJc w:val="left"/>
      <w:pPr>
        <w:ind w:left="5760" w:hanging="360"/>
      </w:pPr>
    </w:lvl>
    <w:lvl w:ilvl="8" w:tplc="88D86AE0" w:tentative="1">
      <w:start w:val="1"/>
      <w:numFmt w:val="lowerRoman"/>
      <w:lvlText w:val="%9."/>
      <w:lvlJc w:val="right"/>
      <w:pPr>
        <w:ind w:left="6480" w:hanging="180"/>
      </w:pPr>
    </w:lvl>
  </w:abstractNum>
  <w:abstractNum w:abstractNumId="7" w15:restartNumberingAfterBreak="0">
    <w:nsid w:val="24FB6721"/>
    <w:multiLevelType w:val="hybridMultilevel"/>
    <w:tmpl w:val="41E668F0"/>
    <w:lvl w:ilvl="0" w:tplc="DA6CDE8E">
      <w:start w:val="1"/>
      <w:numFmt w:val="decimal"/>
      <w:lvlText w:val="(%1)"/>
      <w:lvlJc w:val="left"/>
      <w:pPr>
        <w:ind w:left="720" w:hanging="360"/>
      </w:pPr>
      <w:rPr>
        <w:rFonts w:hint="default"/>
      </w:rPr>
    </w:lvl>
    <w:lvl w:ilvl="1" w:tplc="9474C7E0" w:tentative="1">
      <w:start w:val="1"/>
      <w:numFmt w:val="lowerLetter"/>
      <w:lvlText w:val="%2."/>
      <w:lvlJc w:val="left"/>
      <w:pPr>
        <w:ind w:left="1440" w:hanging="360"/>
      </w:pPr>
    </w:lvl>
    <w:lvl w:ilvl="2" w:tplc="6CA6A2B6" w:tentative="1">
      <w:start w:val="1"/>
      <w:numFmt w:val="lowerRoman"/>
      <w:lvlText w:val="%3."/>
      <w:lvlJc w:val="right"/>
      <w:pPr>
        <w:ind w:left="2160" w:hanging="180"/>
      </w:pPr>
    </w:lvl>
    <w:lvl w:ilvl="3" w:tplc="C8C61296" w:tentative="1">
      <w:start w:val="1"/>
      <w:numFmt w:val="decimal"/>
      <w:lvlText w:val="%4."/>
      <w:lvlJc w:val="left"/>
      <w:pPr>
        <w:ind w:left="2880" w:hanging="360"/>
      </w:pPr>
    </w:lvl>
    <w:lvl w:ilvl="4" w:tplc="45D8DA50" w:tentative="1">
      <w:start w:val="1"/>
      <w:numFmt w:val="lowerLetter"/>
      <w:lvlText w:val="%5."/>
      <w:lvlJc w:val="left"/>
      <w:pPr>
        <w:ind w:left="3600" w:hanging="360"/>
      </w:pPr>
    </w:lvl>
    <w:lvl w:ilvl="5" w:tplc="E14A738E" w:tentative="1">
      <w:start w:val="1"/>
      <w:numFmt w:val="lowerRoman"/>
      <w:lvlText w:val="%6."/>
      <w:lvlJc w:val="right"/>
      <w:pPr>
        <w:ind w:left="4320" w:hanging="180"/>
      </w:pPr>
    </w:lvl>
    <w:lvl w:ilvl="6" w:tplc="915AAD90" w:tentative="1">
      <w:start w:val="1"/>
      <w:numFmt w:val="decimal"/>
      <w:lvlText w:val="%7."/>
      <w:lvlJc w:val="left"/>
      <w:pPr>
        <w:ind w:left="5040" w:hanging="360"/>
      </w:pPr>
    </w:lvl>
    <w:lvl w:ilvl="7" w:tplc="23A27106" w:tentative="1">
      <w:start w:val="1"/>
      <w:numFmt w:val="lowerLetter"/>
      <w:lvlText w:val="%8."/>
      <w:lvlJc w:val="left"/>
      <w:pPr>
        <w:ind w:left="5760" w:hanging="360"/>
      </w:pPr>
    </w:lvl>
    <w:lvl w:ilvl="8" w:tplc="72746116" w:tentative="1">
      <w:start w:val="1"/>
      <w:numFmt w:val="lowerRoman"/>
      <w:lvlText w:val="%9."/>
      <w:lvlJc w:val="right"/>
      <w:pPr>
        <w:ind w:left="6480" w:hanging="180"/>
      </w:pPr>
    </w:lvl>
  </w:abstractNum>
  <w:abstractNum w:abstractNumId="8" w15:restartNumberingAfterBreak="0">
    <w:nsid w:val="31F8225D"/>
    <w:multiLevelType w:val="hybridMultilevel"/>
    <w:tmpl w:val="9C12F2D8"/>
    <w:lvl w:ilvl="0" w:tplc="A98A8F3A">
      <w:start w:val="1"/>
      <w:numFmt w:val="upperLetter"/>
      <w:lvlText w:val="%1."/>
      <w:lvlJc w:val="left"/>
      <w:pPr>
        <w:ind w:left="720" w:hanging="360"/>
      </w:pPr>
      <w:rPr>
        <w:rFonts w:hint="default"/>
      </w:rPr>
    </w:lvl>
    <w:lvl w:ilvl="1" w:tplc="0A6E8A8A" w:tentative="1">
      <w:start w:val="1"/>
      <w:numFmt w:val="lowerLetter"/>
      <w:lvlText w:val="%2."/>
      <w:lvlJc w:val="left"/>
      <w:pPr>
        <w:ind w:left="1440" w:hanging="360"/>
      </w:pPr>
    </w:lvl>
    <w:lvl w:ilvl="2" w:tplc="72BAC728" w:tentative="1">
      <w:start w:val="1"/>
      <w:numFmt w:val="lowerRoman"/>
      <w:lvlText w:val="%3."/>
      <w:lvlJc w:val="right"/>
      <w:pPr>
        <w:ind w:left="2160" w:hanging="180"/>
      </w:pPr>
    </w:lvl>
    <w:lvl w:ilvl="3" w:tplc="E7CAC942" w:tentative="1">
      <w:start w:val="1"/>
      <w:numFmt w:val="decimal"/>
      <w:lvlText w:val="%4."/>
      <w:lvlJc w:val="left"/>
      <w:pPr>
        <w:ind w:left="2880" w:hanging="360"/>
      </w:pPr>
    </w:lvl>
    <w:lvl w:ilvl="4" w:tplc="8C1C930C" w:tentative="1">
      <w:start w:val="1"/>
      <w:numFmt w:val="lowerLetter"/>
      <w:lvlText w:val="%5."/>
      <w:lvlJc w:val="left"/>
      <w:pPr>
        <w:ind w:left="3600" w:hanging="360"/>
      </w:pPr>
    </w:lvl>
    <w:lvl w:ilvl="5" w:tplc="D108B1D8" w:tentative="1">
      <w:start w:val="1"/>
      <w:numFmt w:val="lowerRoman"/>
      <w:lvlText w:val="%6."/>
      <w:lvlJc w:val="right"/>
      <w:pPr>
        <w:ind w:left="4320" w:hanging="180"/>
      </w:pPr>
    </w:lvl>
    <w:lvl w:ilvl="6" w:tplc="43884B44" w:tentative="1">
      <w:start w:val="1"/>
      <w:numFmt w:val="decimal"/>
      <w:lvlText w:val="%7."/>
      <w:lvlJc w:val="left"/>
      <w:pPr>
        <w:ind w:left="5040" w:hanging="360"/>
      </w:pPr>
    </w:lvl>
    <w:lvl w:ilvl="7" w:tplc="074E889C" w:tentative="1">
      <w:start w:val="1"/>
      <w:numFmt w:val="lowerLetter"/>
      <w:lvlText w:val="%8."/>
      <w:lvlJc w:val="left"/>
      <w:pPr>
        <w:ind w:left="5760" w:hanging="360"/>
      </w:pPr>
    </w:lvl>
    <w:lvl w:ilvl="8" w:tplc="6BB46D42" w:tentative="1">
      <w:start w:val="1"/>
      <w:numFmt w:val="lowerRoman"/>
      <w:lvlText w:val="%9."/>
      <w:lvlJc w:val="right"/>
      <w:pPr>
        <w:ind w:left="6480" w:hanging="180"/>
      </w:pPr>
    </w:lvl>
  </w:abstractNum>
  <w:abstractNum w:abstractNumId="9" w15:restartNumberingAfterBreak="0">
    <w:nsid w:val="44A646B6"/>
    <w:multiLevelType w:val="hybridMultilevel"/>
    <w:tmpl w:val="4A400BD4"/>
    <w:lvl w:ilvl="0" w:tplc="02A61806">
      <w:start w:val="1"/>
      <w:numFmt w:val="upperLetter"/>
      <w:lvlText w:val="%1."/>
      <w:lvlJc w:val="left"/>
      <w:pPr>
        <w:ind w:left="1110" w:hanging="390"/>
      </w:pPr>
      <w:rPr>
        <w:rFonts w:hint="default"/>
      </w:rPr>
    </w:lvl>
    <w:lvl w:ilvl="1" w:tplc="E3E8DFA2" w:tentative="1">
      <w:start w:val="1"/>
      <w:numFmt w:val="lowerLetter"/>
      <w:lvlText w:val="%2."/>
      <w:lvlJc w:val="left"/>
      <w:pPr>
        <w:ind w:left="1800" w:hanging="360"/>
      </w:pPr>
    </w:lvl>
    <w:lvl w:ilvl="2" w:tplc="015EEDC6" w:tentative="1">
      <w:start w:val="1"/>
      <w:numFmt w:val="lowerRoman"/>
      <w:lvlText w:val="%3."/>
      <w:lvlJc w:val="right"/>
      <w:pPr>
        <w:ind w:left="2520" w:hanging="180"/>
      </w:pPr>
    </w:lvl>
    <w:lvl w:ilvl="3" w:tplc="7E260A9C" w:tentative="1">
      <w:start w:val="1"/>
      <w:numFmt w:val="decimal"/>
      <w:lvlText w:val="%4."/>
      <w:lvlJc w:val="left"/>
      <w:pPr>
        <w:ind w:left="3240" w:hanging="360"/>
      </w:pPr>
    </w:lvl>
    <w:lvl w:ilvl="4" w:tplc="3E00E8F6" w:tentative="1">
      <w:start w:val="1"/>
      <w:numFmt w:val="lowerLetter"/>
      <w:lvlText w:val="%5."/>
      <w:lvlJc w:val="left"/>
      <w:pPr>
        <w:ind w:left="3960" w:hanging="360"/>
      </w:pPr>
    </w:lvl>
    <w:lvl w:ilvl="5" w:tplc="BE427E14" w:tentative="1">
      <w:start w:val="1"/>
      <w:numFmt w:val="lowerRoman"/>
      <w:lvlText w:val="%6."/>
      <w:lvlJc w:val="right"/>
      <w:pPr>
        <w:ind w:left="4680" w:hanging="180"/>
      </w:pPr>
    </w:lvl>
    <w:lvl w:ilvl="6" w:tplc="67C44CEC" w:tentative="1">
      <w:start w:val="1"/>
      <w:numFmt w:val="decimal"/>
      <w:lvlText w:val="%7."/>
      <w:lvlJc w:val="left"/>
      <w:pPr>
        <w:ind w:left="5400" w:hanging="360"/>
      </w:pPr>
    </w:lvl>
    <w:lvl w:ilvl="7" w:tplc="49189D5A" w:tentative="1">
      <w:start w:val="1"/>
      <w:numFmt w:val="lowerLetter"/>
      <w:lvlText w:val="%8."/>
      <w:lvlJc w:val="left"/>
      <w:pPr>
        <w:ind w:left="6120" w:hanging="360"/>
      </w:pPr>
    </w:lvl>
    <w:lvl w:ilvl="8" w:tplc="17268ED8" w:tentative="1">
      <w:start w:val="1"/>
      <w:numFmt w:val="lowerRoman"/>
      <w:lvlText w:val="%9."/>
      <w:lvlJc w:val="right"/>
      <w:pPr>
        <w:ind w:left="6840" w:hanging="180"/>
      </w:pPr>
    </w:lvl>
  </w:abstractNum>
  <w:abstractNum w:abstractNumId="10" w15:restartNumberingAfterBreak="0">
    <w:nsid w:val="538E41DB"/>
    <w:multiLevelType w:val="hybridMultilevel"/>
    <w:tmpl w:val="9DDEB80A"/>
    <w:lvl w:ilvl="0" w:tplc="9E7A59D2">
      <w:start w:val="1"/>
      <w:numFmt w:val="upperRoman"/>
      <w:lvlText w:val="%1."/>
      <w:lvlJc w:val="left"/>
      <w:pPr>
        <w:ind w:left="1080" w:hanging="720"/>
      </w:pPr>
      <w:rPr>
        <w:rFonts w:hint="default"/>
      </w:rPr>
    </w:lvl>
    <w:lvl w:ilvl="1" w:tplc="271A5246" w:tentative="1">
      <w:start w:val="1"/>
      <w:numFmt w:val="lowerLetter"/>
      <w:lvlText w:val="%2."/>
      <w:lvlJc w:val="left"/>
      <w:pPr>
        <w:ind w:left="1440" w:hanging="360"/>
      </w:pPr>
    </w:lvl>
    <w:lvl w:ilvl="2" w:tplc="BCC68220" w:tentative="1">
      <w:start w:val="1"/>
      <w:numFmt w:val="lowerRoman"/>
      <w:lvlText w:val="%3."/>
      <w:lvlJc w:val="right"/>
      <w:pPr>
        <w:ind w:left="2160" w:hanging="180"/>
      </w:pPr>
    </w:lvl>
    <w:lvl w:ilvl="3" w:tplc="6514086E" w:tentative="1">
      <w:start w:val="1"/>
      <w:numFmt w:val="decimal"/>
      <w:lvlText w:val="%4."/>
      <w:lvlJc w:val="left"/>
      <w:pPr>
        <w:ind w:left="2880" w:hanging="360"/>
      </w:pPr>
    </w:lvl>
    <w:lvl w:ilvl="4" w:tplc="CC2E984C" w:tentative="1">
      <w:start w:val="1"/>
      <w:numFmt w:val="lowerLetter"/>
      <w:lvlText w:val="%5."/>
      <w:lvlJc w:val="left"/>
      <w:pPr>
        <w:ind w:left="3600" w:hanging="360"/>
      </w:pPr>
    </w:lvl>
    <w:lvl w:ilvl="5" w:tplc="3DDEF700" w:tentative="1">
      <w:start w:val="1"/>
      <w:numFmt w:val="lowerRoman"/>
      <w:lvlText w:val="%6."/>
      <w:lvlJc w:val="right"/>
      <w:pPr>
        <w:ind w:left="4320" w:hanging="180"/>
      </w:pPr>
    </w:lvl>
    <w:lvl w:ilvl="6" w:tplc="427C2148" w:tentative="1">
      <w:start w:val="1"/>
      <w:numFmt w:val="decimal"/>
      <w:lvlText w:val="%7."/>
      <w:lvlJc w:val="left"/>
      <w:pPr>
        <w:ind w:left="5040" w:hanging="360"/>
      </w:pPr>
    </w:lvl>
    <w:lvl w:ilvl="7" w:tplc="2B162E12" w:tentative="1">
      <w:start w:val="1"/>
      <w:numFmt w:val="lowerLetter"/>
      <w:lvlText w:val="%8."/>
      <w:lvlJc w:val="left"/>
      <w:pPr>
        <w:ind w:left="5760" w:hanging="360"/>
      </w:pPr>
    </w:lvl>
    <w:lvl w:ilvl="8" w:tplc="C5909D50" w:tentative="1">
      <w:start w:val="1"/>
      <w:numFmt w:val="lowerRoman"/>
      <w:lvlText w:val="%9."/>
      <w:lvlJc w:val="right"/>
      <w:pPr>
        <w:ind w:left="6480" w:hanging="180"/>
      </w:pPr>
    </w:lvl>
  </w:abstractNum>
  <w:abstractNum w:abstractNumId="11" w15:restartNumberingAfterBreak="0">
    <w:nsid w:val="53954118"/>
    <w:multiLevelType w:val="hybridMultilevel"/>
    <w:tmpl w:val="BF9C4508"/>
    <w:lvl w:ilvl="0" w:tplc="0ACA2DAE">
      <w:start w:val="1"/>
      <w:numFmt w:val="decimal"/>
      <w:lvlText w:val="%1."/>
      <w:lvlJc w:val="left"/>
      <w:pPr>
        <w:ind w:left="720" w:hanging="360"/>
      </w:pPr>
      <w:rPr>
        <w:rFonts w:hint="default"/>
      </w:rPr>
    </w:lvl>
    <w:lvl w:ilvl="1" w:tplc="C494D95A" w:tentative="1">
      <w:start w:val="1"/>
      <w:numFmt w:val="lowerLetter"/>
      <w:lvlText w:val="%2."/>
      <w:lvlJc w:val="left"/>
      <w:pPr>
        <w:ind w:left="1440" w:hanging="360"/>
      </w:pPr>
    </w:lvl>
    <w:lvl w:ilvl="2" w:tplc="FEA47AD2" w:tentative="1">
      <w:start w:val="1"/>
      <w:numFmt w:val="lowerRoman"/>
      <w:lvlText w:val="%3."/>
      <w:lvlJc w:val="right"/>
      <w:pPr>
        <w:ind w:left="2160" w:hanging="180"/>
      </w:pPr>
    </w:lvl>
    <w:lvl w:ilvl="3" w:tplc="38EC1564" w:tentative="1">
      <w:start w:val="1"/>
      <w:numFmt w:val="decimal"/>
      <w:lvlText w:val="%4."/>
      <w:lvlJc w:val="left"/>
      <w:pPr>
        <w:ind w:left="2880" w:hanging="360"/>
      </w:pPr>
    </w:lvl>
    <w:lvl w:ilvl="4" w:tplc="F044E50E" w:tentative="1">
      <w:start w:val="1"/>
      <w:numFmt w:val="lowerLetter"/>
      <w:lvlText w:val="%5."/>
      <w:lvlJc w:val="left"/>
      <w:pPr>
        <w:ind w:left="3600" w:hanging="360"/>
      </w:pPr>
    </w:lvl>
    <w:lvl w:ilvl="5" w:tplc="C95A3FCC" w:tentative="1">
      <w:start w:val="1"/>
      <w:numFmt w:val="lowerRoman"/>
      <w:lvlText w:val="%6."/>
      <w:lvlJc w:val="right"/>
      <w:pPr>
        <w:ind w:left="4320" w:hanging="180"/>
      </w:pPr>
    </w:lvl>
    <w:lvl w:ilvl="6" w:tplc="002E46EC" w:tentative="1">
      <w:start w:val="1"/>
      <w:numFmt w:val="decimal"/>
      <w:lvlText w:val="%7."/>
      <w:lvlJc w:val="left"/>
      <w:pPr>
        <w:ind w:left="5040" w:hanging="360"/>
      </w:pPr>
    </w:lvl>
    <w:lvl w:ilvl="7" w:tplc="1A6C17CA" w:tentative="1">
      <w:start w:val="1"/>
      <w:numFmt w:val="lowerLetter"/>
      <w:lvlText w:val="%8."/>
      <w:lvlJc w:val="left"/>
      <w:pPr>
        <w:ind w:left="5760" w:hanging="360"/>
      </w:pPr>
    </w:lvl>
    <w:lvl w:ilvl="8" w:tplc="1A4C288E" w:tentative="1">
      <w:start w:val="1"/>
      <w:numFmt w:val="lowerRoman"/>
      <w:lvlText w:val="%9."/>
      <w:lvlJc w:val="right"/>
      <w:pPr>
        <w:ind w:left="6480" w:hanging="180"/>
      </w:pPr>
    </w:lvl>
  </w:abstractNum>
  <w:abstractNum w:abstractNumId="12" w15:restartNumberingAfterBreak="0">
    <w:nsid w:val="58E75F42"/>
    <w:multiLevelType w:val="hybridMultilevel"/>
    <w:tmpl w:val="3EB62DD8"/>
    <w:lvl w:ilvl="0" w:tplc="C41CD748">
      <w:start w:val="1"/>
      <w:numFmt w:val="upperRoman"/>
      <w:lvlText w:val="%1."/>
      <w:lvlJc w:val="left"/>
      <w:pPr>
        <w:ind w:left="1080" w:hanging="720"/>
      </w:pPr>
      <w:rPr>
        <w:rFonts w:hint="default"/>
      </w:rPr>
    </w:lvl>
    <w:lvl w:ilvl="1" w:tplc="88CC9FE8" w:tentative="1">
      <w:start w:val="1"/>
      <w:numFmt w:val="lowerLetter"/>
      <w:lvlText w:val="%2."/>
      <w:lvlJc w:val="left"/>
      <w:pPr>
        <w:ind w:left="1440" w:hanging="360"/>
      </w:pPr>
    </w:lvl>
    <w:lvl w:ilvl="2" w:tplc="20B881BC" w:tentative="1">
      <w:start w:val="1"/>
      <w:numFmt w:val="lowerRoman"/>
      <w:lvlText w:val="%3."/>
      <w:lvlJc w:val="right"/>
      <w:pPr>
        <w:ind w:left="2160" w:hanging="180"/>
      </w:pPr>
    </w:lvl>
    <w:lvl w:ilvl="3" w:tplc="97983BB8" w:tentative="1">
      <w:start w:val="1"/>
      <w:numFmt w:val="decimal"/>
      <w:lvlText w:val="%4."/>
      <w:lvlJc w:val="left"/>
      <w:pPr>
        <w:ind w:left="2880" w:hanging="360"/>
      </w:pPr>
    </w:lvl>
    <w:lvl w:ilvl="4" w:tplc="5D96C0C2" w:tentative="1">
      <w:start w:val="1"/>
      <w:numFmt w:val="lowerLetter"/>
      <w:lvlText w:val="%5."/>
      <w:lvlJc w:val="left"/>
      <w:pPr>
        <w:ind w:left="3600" w:hanging="360"/>
      </w:pPr>
    </w:lvl>
    <w:lvl w:ilvl="5" w:tplc="454CF02E" w:tentative="1">
      <w:start w:val="1"/>
      <w:numFmt w:val="lowerRoman"/>
      <w:lvlText w:val="%6."/>
      <w:lvlJc w:val="right"/>
      <w:pPr>
        <w:ind w:left="4320" w:hanging="180"/>
      </w:pPr>
    </w:lvl>
    <w:lvl w:ilvl="6" w:tplc="96B88886" w:tentative="1">
      <w:start w:val="1"/>
      <w:numFmt w:val="decimal"/>
      <w:lvlText w:val="%7."/>
      <w:lvlJc w:val="left"/>
      <w:pPr>
        <w:ind w:left="5040" w:hanging="360"/>
      </w:pPr>
    </w:lvl>
    <w:lvl w:ilvl="7" w:tplc="254A0D2C" w:tentative="1">
      <w:start w:val="1"/>
      <w:numFmt w:val="lowerLetter"/>
      <w:lvlText w:val="%8."/>
      <w:lvlJc w:val="left"/>
      <w:pPr>
        <w:ind w:left="5760" w:hanging="360"/>
      </w:pPr>
    </w:lvl>
    <w:lvl w:ilvl="8" w:tplc="B0C02464" w:tentative="1">
      <w:start w:val="1"/>
      <w:numFmt w:val="lowerRoman"/>
      <w:lvlText w:val="%9."/>
      <w:lvlJc w:val="right"/>
      <w:pPr>
        <w:ind w:left="6480" w:hanging="180"/>
      </w:pPr>
    </w:lvl>
  </w:abstractNum>
  <w:abstractNum w:abstractNumId="13" w15:restartNumberingAfterBreak="0">
    <w:nsid w:val="68C21A97"/>
    <w:multiLevelType w:val="hybridMultilevel"/>
    <w:tmpl w:val="12C2FB1C"/>
    <w:lvl w:ilvl="0" w:tplc="01EAA4EE">
      <w:start w:val="1"/>
      <w:numFmt w:val="upperRoman"/>
      <w:lvlText w:val="%1."/>
      <w:lvlJc w:val="left"/>
      <w:pPr>
        <w:ind w:left="1080" w:hanging="720"/>
      </w:pPr>
      <w:rPr>
        <w:rFonts w:hint="default"/>
      </w:rPr>
    </w:lvl>
    <w:lvl w:ilvl="1" w:tplc="A810EEB0" w:tentative="1">
      <w:start w:val="1"/>
      <w:numFmt w:val="lowerLetter"/>
      <w:lvlText w:val="%2."/>
      <w:lvlJc w:val="left"/>
      <w:pPr>
        <w:ind w:left="1440" w:hanging="360"/>
      </w:pPr>
    </w:lvl>
    <w:lvl w:ilvl="2" w:tplc="85F8EA40" w:tentative="1">
      <w:start w:val="1"/>
      <w:numFmt w:val="lowerRoman"/>
      <w:lvlText w:val="%3."/>
      <w:lvlJc w:val="right"/>
      <w:pPr>
        <w:ind w:left="2160" w:hanging="180"/>
      </w:pPr>
    </w:lvl>
    <w:lvl w:ilvl="3" w:tplc="2D00BA3E" w:tentative="1">
      <w:start w:val="1"/>
      <w:numFmt w:val="decimal"/>
      <w:lvlText w:val="%4."/>
      <w:lvlJc w:val="left"/>
      <w:pPr>
        <w:ind w:left="2880" w:hanging="360"/>
      </w:pPr>
    </w:lvl>
    <w:lvl w:ilvl="4" w:tplc="4D16BC6A" w:tentative="1">
      <w:start w:val="1"/>
      <w:numFmt w:val="lowerLetter"/>
      <w:lvlText w:val="%5."/>
      <w:lvlJc w:val="left"/>
      <w:pPr>
        <w:ind w:left="3600" w:hanging="360"/>
      </w:pPr>
    </w:lvl>
    <w:lvl w:ilvl="5" w:tplc="E2D6ACC0" w:tentative="1">
      <w:start w:val="1"/>
      <w:numFmt w:val="lowerRoman"/>
      <w:lvlText w:val="%6."/>
      <w:lvlJc w:val="right"/>
      <w:pPr>
        <w:ind w:left="4320" w:hanging="180"/>
      </w:pPr>
    </w:lvl>
    <w:lvl w:ilvl="6" w:tplc="BC9E8D54" w:tentative="1">
      <w:start w:val="1"/>
      <w:numFmt w:val="decimal"/>
      <w:lvlText w:val="%7."/>
      <w:lvlJc w:val="left"/>
      <w:pPr>
        <w:ind w:left="5040" w:hanging="360"/>
      </w:pPr>
    </w:lvl>
    <w:lvl w:ilvl="7" w:tplc="4252D388" w:tentative="1">
      <w:start w:val="1"/>
      <w:numFmt w:val="lowerLetter"/>
      <w:lvlText w:val="%8."/>
      <w:lvlJc w:val="left"/>
      <w:pPr>
        <w:ind w:left="5760" w:hanging="360"/>
      </w:pPr>
    </w:lvl>
    <w:lvl w:ilvl="8" w:tplc="80B05D4A" w:tentative="1">
      <w:start w:val="1"/>
      <w:numFmt w:val="lowerRoman"/>
      <w:lvlText w:val="%9."/>
      <w:lvlJc w:val="right"/>
      <w:pPr>
        <w:ind w:left="6480" w:hanging="180"/>
      </w:pPr>
    </w:lvl>
  </w:abstractNum>
  <w:abstractNum w:abstractNumId="14" w15:restartNumberingAfterBreak="0">
    <w:nsid w:val="7623726C"/>
    <w:multiLevelType w:val="hybridMultilevel"/>
    <w:tmpl w:val="37CE3676"/>
    <w:lvl w:ilvl="0" w:tplc="6024D74C">
      <w:start w:val="1"/>
      <w:numFmt w:val="upperLetter"/>
      <w:lvlText w:val="%1."/>
      <w:lvlJc w:val="left"/>
      <w:pPr>
        <w:ind w:left="720" w:hanging="360"/>
      </w:pPr>
      <w:rPr>
        <w:rFonts w:eastAsiaTheme="minorHAnsi" w:hint="default"/>
        <w:color w:val="auto"/>
      </w:rPr>
    </w:lvl>
    <w:lvl w:ilvl="1" w:tplc="10A6ECD6" w:tentative="1">
      <w:start w:val="1"/>
      <w:numFmt w:val="lowerLetter"/>
      <w:lvlText w:val="%2."/>
      <w:lvlJc w:val="left"/>
      <w:pPr>
        <w:ind w:left="1440" w:hanging="360"/>
      </w:pPr>
    </w:lvl>
    <w:lvl w:ilvl="2" w:tplc="69E4EB6C" w:tentative="1">
      <w:start w:val="1"/>
      <w:numFmt w:val="lowerRoman"/>
      <w:lvlText w:val="%3."/>
      <w:lvlJc w:val="right"/>
      <w:pPr>
        <w:ind w:left="2160" w:hanging="180"/>
      </w:pPr>
    </w:lvl>
    <w:lvl w:ilvl="3" w:tplc="37C025C0" w:tentative="1">
      <w:start w:val="1"/>
      <w:numFmt w:val="decimal"/>
      <w:lvlText w:val="%4."/>
      <w:lvlJc w:val="left"/>
      <w:pPr>
        <w:ind w:left="2880" w:hanging="360"/>
      </w:pPr>
    </w:lvl>
    <w:lvl w:ilvl="4" w:tplc="BDC0FC8A" w:tentative="1">
      <w:start w:val="1"/>
      <w:numFmt w:val="lowerLetter"/>
      <w:lvlText w:val="%5."/>
      <w:lvlJc w:val="left"/>
      <w:pPr>
        <w:ind w:left="3600" w:hanging="360"/>
      </w:pPr>
    </w:lvl>
    <w:lvl w:ilvl="5" w:tplc="C35E9048" w:tentative="1">
      <w:start w:val="1"/>
      <w:numFmt w:val="lowerRoman"/>
      <w:lvlText w:val="%6."/>
      <w:lvlJc w:val="right"/>
      <w:pPr>
        <w:ind w:left="4320" w:hanging="180"/>
      </w:pPr>
    </w:lvl>
    <w:lvl w:ilvl="6" w:tplc="876840DE" w:tentative="1">
      <w:start w:val="1"/>
      <w:numFmt w:val="decimal"/>
      <w:lvlText w:val="%7."/>
      <w:lvlJc w:val="left"/>
      <w:pPr>
        <w:ind w:left="5040" w:hanging="360"/>
      </w:pPr>
    </w:lvl>
    <w:lvl w:ilvl="7" w:tplc="0B82E58A" w:tentative="1">
      <w:start w:val="1"/>
      <w:numFmt w:val="lowerLetter"/>
      <w:lvlText w:val="%8."/>
      <w:lvlJc w:val="left"/>
      <w:pPr>
        <w:ind w:left="5760" w:hanging="360"/>
      </w:pPr>
    </w:lvl>
    <w:lvl w:ilvl="8" w:tplc="6F8A9D0E" w:tentative="1">
      <w:start w:val="1"/>
      <w:numFmt w:val="lowerRoman"/>
      <w:lvlText w:val="%9."/>
      <w:lvlJc w:val="right"/>
      <w:pPr>
        <w:ind w:left="6480" w:hanging="180"/>
      </w:pPr>
    </w:lvl>
  </w:abstractNum>
  <w:abstractNum w:abstractNumId="15" w15:restartNumberingAfterBreak="0">
    <w:nsid w:val="7F80323E"/>
    <w:multiLevelType w:val="hybridMultilevel"/>
    <w:tmpl w:val="E12CE53C"/>
    <w:lvl w:ilvl="0" w:tplc="0B0E7622">
      <w:start w:val="1"/>
      <w:numFmt w:val="upperRoman"/>
      <w:lvlText w:val="%1."/>
      <w:lvlJc w:val="left"/>
      <w:pPr>
        <w:ind w:left="1080" w:hanging="720"/>
      </w:pPr>
      <w:rPr>
        <w:rFonts w:hint="default"/>
      </w:rPr>
    </w:lvl>
    <w:lvl w:ilvl="1" w:tplc="6732647C" w:tentative="1">
      <w:start w:val="1"/>
      <w:numFmt w:val="lowerLetter"/>
      <w:lvlText w:val="%2."/>
      <w:lvlJc w:val="left"/>
      <w:pPr>
        <w:ind w:left="1440" w:hanging="360"/>
      </w:pPr>
    </w:lvl>
    <w:lvl w:ilvl="2" w:tplc="6F767A24" w:tentative="1">
      <w:start w:val="1"/>
      <w:numFmt w:val="lowerRoman"/>
      <w:lvlText w:val="%3."/>
      <w:lvlJc w:val="right"/>
      <w:pPr>
        <w:ind w:left="2160" w:hanging="180"/>
      </w:pPr>
    </w:lvl>
    <w:lvl w:ilvl="3" w:tplc="57FE39F4" w:tentative="1">
      <w:start w:val="1"/>
      <w:numFmt w:val="decimal"/>
      <w:lvlText w:val="%4."/>
      <w:lvlJc w:val="left"/>
      <w:pPr>
        <w:ind w:left="2880" w:hanging="360"/>
      </w:pPr>
    </w:lvl>
    <w:lvl w:ilvl="4" w:tplc="CD3AC56C" w:tentative="1">
      <w:start w:val="1"/>
      <w:numFmt w:val="lowerLetter"/>
      <w:lvlText w:val="%5."/>
      <w:lvlJc w:val="left"/>
      <w:pPr>
        <w:ind w:left="3600" w:hanging="360"/>
      </w:pPr>
    </w:lvl>
    <w:lvl w:ilvl="5" w:tplc="52B20D7E" w:tentative="1">
      <w:start w:val="1"/>
      <w:numFmt w:val="lowerRoman"/>
      <w:lvlText w:val="%6."/>
      <w:lvlJc w:val="right"/>
      <w:pPr>
        <w:ind w:left="4320" w:hanging="180"/>
      </w:pPr>
    </w:lvl>
    <w:lvl w:ilvl="6" w:tplc="F4F29AEE" w:tentative="1">
      <w:start w:val="1"/>
      <w:numFmt w:val="decimal"/>
      <w:lvlText w:val="%7."/>
      <w:lvlJc w:val="left"/>
      <w:pPr>
        <w:ind w:left="5040" w:hanging="360"/>
      </w:pPr>
    </w:lvl>
    <w:lvl w:ilvl="7" w:tplc="3C9ECF38" w:tentative="1">
      <w:start w:val="1"/>
      <w:numFmt w:val="lowerLetter"/>
      <w:lvlText w:val="%8."/>
      <w:lvlJc w:val="left"/>
      <w:pPr>
        <w:ind w:left="5760" w:hanging="360"/>
      </w:pPr>
    </w:lvl>
    <w:lvl w:ilvl="8" w:tplc="418054EC" w:tentative="1">
      <w:start w:val="1"/>
      <w:numFmt w:val="lowerRoman"/>
      <w:lvlText w:val="%9."/>
      <w:lvlJc w:val="right"/>
      <w:pPr>
        <w:ind w:left="6480" w:hanging="180"/>
      </w:pPr>
    </w:lvl>
  </w:abstractNum>
  <w:num w:numId="1" w16cid:durableId="258564847">
    <w:abstractNumId w:val="9"/>
  </w:num>
  <w:num w:numId="2" w16cid:durableId="906913468">
    <w:abstractNumId w:val="1"/>
  </w:num>
  <w:num w:numId="3" w16cid:durableId="956184285">
    <w:abstractNumId w:val="15"/>
  </w:num>
  <w:num w:numId="4" w16cid:durableId="507327279">
    <w:abstractNumId w:val="10"/>
  </w:num>
  <w:num w:numId="5" w16cid:durableId="1887256579">
    <w:abstractNumId w:val="12"/>
  </w:num>
  <w:num w:numId="6" w16cid:durableId="1661468715">
    <w:abstractNumId w:val="13"/>
  </w:num>
  <w:num w:numId="7" w16cid:durableId="1219823791">
    <w:abstractNumId w:val="5"/>
  </w:num>
  <w:num w:numId="8" w16cid:durableId="1665088284">
    <w:abstractNumId w:val="8"/>
  </w:num>
  <w:num w:numId="9" w16cid:durableId="566300877">
    <w:abstractNumId w:val="3"/>
  </w:num>
  <w:num w:numId="10" w16cid:durableId="1273365779">
    <w:abstractNumId w:val="14"/>
  </w:num>
  <w:num w:numId="11" w16cid:durableId="1230849046">
    <w:abstractNumId w:val="6"/>
  </w:num>
  <w:num w:numId="12" w16cid:durableId="223688809">
    <w:abstractNumId w:val="2"/>
  </w:num>
  <w:num w:numId="13" w16cid:durableId="599067307">
    <w:abstractNumId w:val="0"/>
  </w:num>
  <w:num w:numId="14" w16cid:durableId="1341931405">
    <w:abstractNumId w:val="4"/>
  </w:num>
  <w:num w:numId="15" w16cid:durableId="180709283">
    <w:abstractNumId w:val="11"/>
  </w:num>
  <w:num w:numId="16" w16cid:durableId="2029216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33"/>
    <w:rsid w:val="00552233"/>
    <w:rsid w:val="008707E6"/>
    <w:rsid w:val="00A13071"/>
    <w:rsid w:val="00B01052"/>
    <w:rsid w:val="00B7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6B"/>
    <w:pPr>
      <w:tabs>
        <w:tab w:val="center" w:pos="4680"/>
        <w:tab w:val="right" w:pos="9360"/>
      </w:tabs>
      <w:spacing w:line="240" w:lineRule="auto"/>
    </w:pPr>
  </w:style>
  <w:style w:type="character" w:customStyle="1" w:styleId="HeaderChar">
    <w:name w:val="Header Char"/>
    <w:basedOn w:val="DefaultParagraphFont"/>
    <w:link w:val="Header"/>
    <w:uiPriority w:val="99"/>
    <w:rsid w:val="005A236B"/>
  </w:style>
  <w:style w:type="paragraph" w:styleId="Footer">
    <w:name w:val="footer"/>
    <w:basedOn w:val="Normal"/>
    <w:link w:val="FooterChar"/>
    <w:uiPriority w:val="99"/>
    <w:unhideWhenUsed/>
    <w:rsid w:val="005A236B"/>
    <w:pPr>
      <w:tabs>
        <w:tab w:val="center" w:pos="4680"/>
        <w:tab w:val="right" w:pos="9360"/>
      </w:tabs>
      <w:spacing w:line="240" w:lineRule="auto"/>
    </w:pPr>
  </w:style>
  <w:style w:type="character" w:customStyle="1" w:styleId="FooterChar">
    <w:name w:val="Footer Char"/>
    <w:basedOn w:val="DefaultParagraphFont"/>
    <w:link w:val="Footer"/>
    <w:uiPriority w:val="99"/>
    <w:rsid w:val="005A236B"/>
  </w:style>
  <w:style w:type="character" w:styleId="PageNumber">
    <w:name w:val="page number"/>
    <w:basedOn w:val="DefaultParagraphFont"/>
    <w:uiPriority w:val="99"/>
    <w:semiHidden/>
    <w:unhideWhenUsed/>
    <w:rsid w:val="005A236B"/>
  </w:style>
  <w:style w:type="paragraph" w:styleId="FootnoteText">
    <w:name w:val="footnote text"/>
    <w:link w:val="FootnoteTextChar"/>
    <w:uiPriority w:val="99"/>
    <w:unhideWhenUsed/>
    <w:rsid w:val="005A236B"/>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A236B"/>
    <w:rPr>
      <w:rFonts w:cs="Times New Roman"/>
      <w:szCs w:val="20"/>
    </w:rPr>
  </w:style>
  <w:style w:type="character" w:styleId="FootnoteReference">
    <w:name w:val="footnote reference"/>
    <w:basedOn w:val="DefaultParagraphFont"/>
    <w:uiPriority w:val="99"/>
    <w:semiHidden/>
    <w:unhideWhenUsed/>
    <w:rsid w:val="00BF3701"/>
    <w:rPr>
      <w:vertAlign w:val="superscript"/>
    </w:rPr>
  </w:style>
  <w:style w:type="paragraph" w:styleId="BalloonText">
    <w:name w:val="Balloon Text"/>
    <w:basedOn w:val="Normal"/>
    <w:link w:val="BalloonTextChar"/>
    <w:uiPriority w:val="99"/>
    <w:semiHidden/>
    <w:unhideWhenUsed/>
    <w:rsid w:val="007169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CA"/>
    <w:rPr>
      <w:rFonts w:ascii="Segoe UI" w:hAnsi="Segoe UI" w:cs="Segoe UI"/>
      <w:sz w:val="18"/>
      <w:szCs w:val="18"/>
    </w:rPr>
  </w:style>
  <w:style w:type="character" w:styleId="CommentReference">
    <w:name w:val="annotation reference"/>
    <w:basedOn w:val="DefaultParagraphFont"/>
    <w:uiPriority w:val="99"/>
    <w:semiHidden/>
    <w:unhideWhenUsed/>
    <w:rsid w:val="00523C49"/>
    <w:rPr>
      <w:sz w:val="16"/>
      <w:szCs w:val="16"/>
    </w:rPr>
  </w:style>
  <w:style w:type="paragraph" w:styleId="CommentText">
    <w:name w:val="annotation text"/>
    <w:basedOn w:val="Normal"/>
    <w:link w:val="CommentTextChar"/>
    <w:uiPriority w:val="99"/>
    <w:unhideWhenUsed/>
    <w:rsid w:val="00523C49"/>
    <w:pPr>
      <w:spacing w:line="240" w:lineRule="auto"/>
    </w:pPr>
    <w:rPr>
      <w:sz w:val="20"/>
      <w:szCs w:val="20"/>
    </w:rPr>
  </w:style>
  <w:style w:type="character" w:customStyle="1" w:styleId="CommentTextChar">
    <w:name w:val="Comment Text Char"/>
    <w:basedOn w:val="DefaultParagraphFont"/>
    <w:link w:val="CommentText"/>
    <w:uiPriority w:val="99"/>
    <w:rsid w:val="00523C4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3C49"/>
    <w:rPr>
      <w:b/>
      <w:bCs/>
    </w:rPr>
  </w:style>
  <w:style w:type="character" w:customStyle="1" w:styleId="CommentSubjectChar">
    <w:name w:val="Comment Subject Char"/>
    <w:basedOn w:val="CommentTextChar"/>
    <w:link w:val="CommentSubject"/>
    <w:uiPriority w:val="99"/>
    <w:semiHidden/>
    <w:rsid w:val="00523C49"/>
    <w:rPr>
      <w:rFonts w:cs="Times New Roman"/>
      <w:b/>
      <w:bCs/>
      <w:sz w:val="20"/>
      <w:szCs w:val="20"/>
    </w:rPr>
  </w:style>
  <w:style w:type="paragraph" w:styleId="ListParagraph">
    <w:name w:val="List Paragraph"/>
    <w:basedOn w:val="Normal"/>
    <w:uiPriority w:val="34"/>
    <w:qFormat/>
    <w:rsid w:val="00800F6D"/>
    <w:pPr>
      <w:ind w:left="720"/>
      <w:contextualSpacing/>
    </w:pPr>
  </w:style>
  <w:style w:type="character" w:styleId="Emphasis">
    <w:name w:val="Emphasis"/>
    <w:basedOn w:val="DefaultParagraphFont"/>
    <w:uiPriority w:val="20"/>
    <w:qFormat/>
    <w:rsid w:val="001C3EDE"/>
    <w:rPr>
      <w:i/>
      <w:iCs/>
    </w:rPr>
  </w:style>
  <w:style w:type="character" w:customStyle="1" w:styleId="costarpage">
    <w:name w:val="co_starpage"/>
    <w:basedOn w:val="DefaultParagraphFont"/>
    <w:rsid w:val="00EF0471"/>
  </w:style>
  <w:style w:type="paragraph" w:styleId="Revision">
    <w:name w:val="Revision"/>
    <w:hidden/>
    <w:uiPriority w:val="99"/>
    <w:semiHidden/>
    <w:rsid w:val="0064292B"/>
    <w:pPr>
      <w:spacing w:after="0" w:line="240" w:lineRule="auto"/>
    </w:pPr>
    <w:rPr>
      <w:rFonts w:cs="Times New Roman"/>
    </w:rPr>
  </w:style>
  <w:style w:type="paragraph" w:styleId="EndnoteText">
    <w:name w:val="endnote text"/>
    <w:basedOn w:val="Normal"/>
    <w:link w:val="EndnoteTextChar"/>
    <w:uiPriority w:val="99"/>
    <w:semiHidden/>
    <w:unhideWhenUsed/>
    <w:rsid w:val="00F003A5"/>
    <w:pPr>
      <w:spacing w:line="240" w:lineRule="auto"/>
    </w:pPr>
    <w:rPr>
      <w:rFonts w:ascii="Century Schoolbook" w:hAnsi="Century Schoolbook" w:cstheme="minorBidi"/>
      <w:sz w:val="20"/>
      <w:szCs w:val="20"/>
    </w:rPr>
  </w:style>
  <w:style w:type="character" w:customStyle="1" w:styleId="EndnoteTextChar">
    <w:name w:val="Endnote Text Char"/>
    <w:basedOn w:val="DefaultParagraphFont"/>
    <w:link w:val="EndnoteText"/>
    <w:uiPriority w:val="99"/>
    <w:semiHidden/>
    <w:rsid w:val="00F003A5"/>
    <w:rPr>
      <w:rFonts w:ascii="Century Schoolbook" w:hAnsi="Century Schoolbook"/>
      <w:sz w:val="20"/>
      <w:szCs w:val="20"/>
    </w:rPr>
  </w:style>
  <w:style w:type="character" w:styleId="EndnoteReference">
    <w:name w:val="endnote reference"/>
    <w:basedOn w:val="DefaultParagraphFont"/>
    <w:uiPriority w:val="99"/>
    <w:semiHidden/>
    <w:unhideWhenUsed/>
    <w:rsid w:val="00F00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9569</Characters>
  <Application>Microsoft Office Word</Application>
  <DocSecurity>0</DocSecurity>
  <Lines>235</Lines>
  <Paragraphs>43</Paragraphs>
  <ScaleCrop>false</ScaleCrop>
  <Manager/>
  <Company/>
  <LinksUpToDate>false</LinksUpToDate>
  <CharactersWithSpaces>11415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2023-12-29T20:56:00Z</dcterms:created>
  <dcterms:modified xsi:type="dcterms:W3CDTF">2023-12-29T20:56:00Z</dcterms:modified>
  <cp:category/>
</cp:coreProperties>
</file>