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DD3F84" w:rsidRPr="006213D8" w:rsidP="00DD3F84" w14:paraId="0AC4E230" w14:textId="4735C54A">
      <w:pPr>
        <w:rPr>
          <w:sz w:val="20"/>
          <w:szCs w:val="20"/>
        </w:rPr>
      </w:pPr>
      <w:r w:rsidRPr="006213D8">
        <w:rPr>
          <w:sz w:val="20"/>
          <w:szCs w:val="20"/>
        </w:rPr>
        <w:t>Filed 12/</w:t>
      </w:r>
      <w:r w:rsidRPr="006213D8" w:rsidR="00352027">
        <w:rPr>
          <w:sz w:val="20"/>
          <w:szCs w:val="20"/>
        </w:rPr>
        <w:t>18</w:t>
      </w:r>
      <w:r w:rsidRPr="006213D8">
        <w:rPr>
          <w:sz w:val="20"/>
          <w:szCs w:val="20"/>
        </w:rPr>
        <w:t>/23</w:t>
      </w:r>
      <w:r w:rsidR="00C541E7">
        <w:rPr>
          <w:sz w:val="20"/>
          <w:szCs w:val="20"/>
        </w:rPr>
        <w:t>; Certified for Publication 1/11/24 (order attached)</w:t>
      </w:r>
    </w:p>
    <w:p w:rsidR="00C541E7" w:rsidRPr="00C34BD2" w:rsidP="00DD3F84" w14:paraId="2735582D" w14:textId="77777777">
      <w:pPr>
        <w:jc w:val="center"/>
        <w:rPr>
          <w:b/>
        </w:rPr>
      </w:pPr>
    </w:p>
    <w:p w:rsidR="00DD3F84" w:rsidP="00D97D0B" w14:paraId="67FE93E2" w14:textId="5D1C3D8A">
      <w:pPr>
        <w:widowControl w:val="0"/>
        <w:spacing w:line="240" w:lineRule="auto"/>
        <w:jc w:val="center"/>
        <w:rPr>
          <w:rFonts w:cs="Arial"/>
          <w:sz w:val="16"/>
          <w:szCs w:val="16"/>
        </w:rPr>
      </w:pPr>
    </w:p>
    <w:p w:rsidR="00C541E7" w:rsidP="00D97D0B" w14:paraId="1F71CD99" w14:textId="6BE920B9">
      <w:pPr>
        <w:widowControl w:val="0"/>
        <w:spacing w:line="240" w:lineRule="auto"/>
        <w:jc w:val="center"/>
        <w:rPr>
          <w:rFonts w:cs="Arial"/>
          <w:sz w:val="16"/>
          <w:szCs w:val="16"/>
        </w:rPr>
      </w:pPr>
    </w:p>
    <w:p w:rsidR="00C541E7" w:rsidP="00D97D0B" w14:paraId="6999579C" w14:textId="3AC2E5FF">
      <w:pPr>
        <w:widowControl w:val="0"/>
        <w:spacing w:line="240" w:lineRule="auto"/>
        <w:jc w:val="center"/>
        <w:rPr>
          <w:rFonts w:cs="Arial"/>
          <w:sz w:val="16"/>
          <w:szCs w:val="16"/>
        </w:rPr>
      </w:pPr>
    </w:p>
    <w:p w:rsidR="00C541E7" w:rsidP="00D97D0B" w14:paraId="61FE37CF" w14:textId="70AFE7AC">
      <w:pPr>
        <w:widowControl w:val="0"/>
        <w:spacing w:line="240" w:lineRule="auto"/>
        <w:jc w:val="center"/>
        <w:rPr>
          <w:rFonts w:cs="Arial"/>
          <w:sz w:val="16"/>
          <w:szCs w:val="16"/>
        </w:rPr>
      </w:pPr>
    </w:p>
    <w:p w:rsidR="00C541E7" w:rsidP="00D97D0B" w14:paraId="2757ABC5" w14:textId="696568D3">
      <w:pPr>
        <w:widowControl w:val="0"/>
        <w:spacing w:line="240" w:lineRule="auto"/>
        <w:jc w:val="center"/>
        <w:rPr>
          <w:rFonts w:cs="Arial"/>
          <w:sz w:val="16"/>
          <w:szCs w:val="16"/>
        </w:rPr>
      </w:pPr>
    </w:p>
    <w:p w:rsidR="00C541E7" w:rsidP="00D97D0B" w14:paraId="727352B2" w14:textId="77777777">
      <w:pPr>
        <w:widowControl w:val="0"/>
        <w:spacing w:line="240" w:lineRule="auto"/>
        <w:jc w:val="center"/>
        <w:rPr>
          <w:rFonts w:cs="Noto Sans"/>
        </w:rPr>
      </w:pPr>
    </w:p>
    <w:p w:rsidR="00AB4F29" w:rsidRPr="006454A7" w:rsidP="00D97D0B" w14:paraId="4A4B7CE3" w14:textId="2E901190">
      <w:pPr>
        <w:widowControl w:val="0"/>
        <w:spacing w:line="240" w:lineRule="auto"/>
        <w:jc w:val="center"/>
        <w:rPr>
          <w:rFonts w:cs="Noto Sans"/>
        </w:rPr>
      </w:pPr>
      <w:r w:rsidRPr="006454A7">
        <w:rPr>
          <w:rFonts w:cs="Noto Sans"/>
        </w:rPr>
        <w:t>IN THE COURT OF APPEAL OF THE STATE OF CALIFORNIA</w:t>
      </w:r>
    </w:p>
    <w:p w:rsidR="00AB4F29" w:rsidRPr="006454A7" w:rsidP="00D97D0B" w14:paraId="4D02DAA5" w14:textId="77777777">
      <w:pPr>
        <w:widowControl w:val="0"/>
        <w:spacing w:line="240" w:lineRule="auto"/>
        <w:jc w:val="center"/>
        <w:rPr>
          <w:rFonts w:cs="Noto Sans"/>
        </w:rPr>
      </w:pPr>
    </w:p>
    <w:p w:rsidR="00AB4F29" w:rsidRPr="006454A7" w:rsidP="00D97D0B" w14:paraId="018ABF0B" w14:textId="77777777">
      <w:pPr>
        <w:widowControl w:val="0"/>
        <w:spacing w:line="240" w:lineRule="auto"/>
        <w:jc w:val="center"/>
        <w:rPr>
          <w:rFonts w:cs="Noto Sans"/>
        </w:rPr>
      </w:pPr>
      <w:r w:rsidRPr="006454A7">
        <w:rPr>
          <w:rFonts w:cs="Noto Sans"/>
        </w:rPr>
        <w:t>FIRST APPELLATE DISTRICT</w:t>
      </w:r>
    </w:p>
    <w:p w:rsidR="00AB4F29" w:rsidRPr="006454A7" w:rsidP="00D97D0B" w14:paraId="42CFA6F8" w14:textId="77777777">
      <w:pPr>
        <w:widowControl w:val="0"/>
        <w:spacing w:line="240" w:lineRule="auto"/>
        <w:jc w:val="center"/>
        <w:rPr>
          <w:rFonts w:cs="Noto Sans"/>
        </w:rPr>
      </w:pPr>
    </w:p>
    <w:p w:rsidR="00AB4F29" w:rsidRPr="006454A7" w:rsidP="00D97D0B" w14:paraId="334544BF" w14:textId="77777777">
      <w:pPr>
        <w:widowControl w:val="0"/>
        <w:spacing w:line="240" w:lineRule="auto"/>
        <w:jc w:val="center"/>
        <w:rPr>
          <w:rFonts w:cs="Noto Sans"/>
        </w:rPr>
      </w:pPr>
      <w:r w:rsidRPr="006454A7">
        <w:rPr>
          <w:rFonts w:cs="Noto Sans"/>
        </w:rPr>
        <w:t>DIVISION TWO</w:t>
      </w:r>
    </w:p>
    <w:p w:rsidR="00AB4F29" w:rsidRPr="006454A7" w:rsidP="00D97D0B" w14:paraId="036B31BA" w14:textId="77777777">
      <w:pPr>
        <w:widowControl w:val="0"/>
        <w:spacing w:line="240" w:lineRule="auto"/>
        <w:jc w:val="center"/>
        <w:rPr>
          <w:rFonts w:cs="Noto Sans"/>
        </w:rPr>
      </w:pPr>
    </w:p>
    <w:p w:rsidR="00AB4F29" w:rsidRPr="006454A7" w:rsidP="00D97D0B" w14:paraId="425F53FC" w14:textId="77777777">
      <w:pPr>
        <w:widowControl w:val="0"/>
        <w:spacing w:line="240" w:lineRule="auto"/>
        <w:jc w:val="center"/>
        <w:rPr>
          <w:rFonts w:cs="Noto Sans"/>
        </w:rPr>
      </w:pPr>
    </w:p>
    <w:tbl>
      <w:tblPr>
        <w:tblW w:w="0" w:type="auto"/>
        <w:tblLayout w:type="fixed"/>
        <w:tblLook w:val="0000"/>
      </w:tblPr>
      <w:tblGrid>
        <w:gridCol w:w="4680"/>
        <w:gridCol w:w="4680"/>
      </w:tblGrid>
      <w:tr w14:paraId="1C758C2D" w14:textId="77777777" w:rsidTr="00ED6E57">
        <w:tblPrEx>
          <w:tblW w:w="0" w:type="auto"/>
          <w:tblLayout w:type="fixed"/>
          <w:tblLook w:val="0000"/>
        </w:tblPrEx>
        <w:tc>
          <w:tcPr>
            <w:tcW w:w="4680" w:type="dxa"/>
            <w:tcBorders>
              <w:bottom w:val="single" w:sz="4" w:space="0" w:color="auto"/>
              <w:right w:val="single" w:sz="4" w:space="0" w:color="auto"/>
            </w:tcBorders>
            <w:shd w:val="clear" w:color="auto" w:fill="auto"/>
          </w:tcPr>
          <w:p w:rsidR="00AB4F29" w:rsidRPr="006454A7" w:rsidP="00D97D0B" w14:paraId="5E25B2DA" w14:textId="77777777">
            <w:pPr>
              <w:widowControl w:val="0"/>
              <w:spacing w:after="120" w:line="240" w:lineRule="auto"/>
              <w:rPr>
                <w:rFonts w:cs="Noto Sans"/>
              </w:rPr>
            </w:pPr>
            <w:r w:rsidRPr="006454A7">
              <w:rPr>
                <w:rFonts w:cs="Noto Sans"/>
              </w:rPr>
              <w:t>KATHRYN TORNAI,</w:t>
            </w:r>
          </w:p>
          <w:p w:rsidR="00AB4F29" w:rsidRPr="006454A7" w:rsidP="00D97D0B" w14:paraId="674B39E6" w14:textId="77777777">
            <w:pPr>
              <w:widowControl w:val="0"/>
              <w:spacing w:after="120" w:line="240" w:lineRule="auto"/>
              <w:rPr>
                <w:rFonts w:cs="Noto Sans"/>
              </w:rPr>
            </w:pPr>
            <w:r w:rsidRPr="006454A7">
              <w:rPr>
                <w:rFonts w:cs="Noto Sans"/>
              </w:rPr>
              <w:tab/>
              <w:t>Plaintiff and Respondent,</w:t>
            </w:r>
          </w:p>
          <w:p w:rsidR="00AB4F29" w:rsidRPr="006454A7" w:rsidP="00D97D0B" w14:paraId="4BF90B30" w14:textId="77777777">
            <w:pPr>
              <w:widowControl w:val="0"/>
              <w:spacing w:after="120" w:line="240" w:lineRule="auto"/>
              <w:rPr>
                <w:rFonts w:cs="Noto Sans"/>
              </w:rPr>
            </w:pPr>
            <w:r w:rsidRPr="006454A7">
              <w:rPr>
                <w:rFonts w:cs="Noto Sans"/>
              </w:rPr>
              <w:t>v.</w:t>
            </w:r>
          </w:p>
          <w:p w:rsidR="00AB4F29" w:rsidRPr="006454A7" w:rsidP="00D97D0B" w14:paraId="2C2F1A17" w14:textId="77777777">
            <w:pPr>
              <w:widowControl w:val="0"/>
              <w:spacing w:after="120" w:line="240" w:lineRule="auto"/>
              <w:rPr>
                <w:rFonts w:cs="Noto Sans"/>
              </w:rPr>
            </w:pPr>
            <w:r w:rsidRPr="006454A7">
              <w:rPr>
                <w:rFonts w:cs="Noto Sans"/>
              </w:rPr>
              <w:t>CSAA INSURANCE EXCHANGE,</w:t>
            </w:r>
          </w:p>
          <w:p w:rsidR="00AB4F29" w:rsidRPr="006454A7" w:rsidP="00D97D0B" w14:paraId="26089C2E" w14:textId="77777777">
            <w:pPr>
              <w:widowControl w:val="0"/>
              <w:spacing w:after="120" w:line="240" w:lineRule="auto"/>
              <w:rPr>
                <w:rFonts w:cs="Noto Sans"/>
              </w:rPr>
            </w:pPr>
            <w:r w:rsidRPr="006454A7">
              <w:rPr>
                <w:rFonts w:cs="Noto Sans"/>
              </w:rPr>
              <w:tab/>
              <w:t>Defendant and Appellant.</w:t>
            </w:r>
          </w:p>
        </w:tc>
        <w:tc>
          <w:tcPr>
            <w:tcW w:w="4680" w:type="dxa"/>
            <w:tcBorders>
              <w:left w:val="single" w:sz="4" w:space="0" w:color="auto"/>
            </w:tcBorders>
            <w:shd w:val="clear" w:color="auto" w:fill="auto"/>
          </w:tcPr>
          <w:p w:rsidR="00AB4F29" w:rsidRPr="006454A7" w:rsidP="00D97D0B" w14:paraId="335C508D" w14:textId="77777777">
            <w:pPr>
              <w:widowControl w:val="0"/>
              <w:spacing w:line="240" w:lineRule="auto"/>
              <w:rPr>
                <w:rFonts w:cs="Noto Sans"/>
              </w:rPr>
            </w:pPr>
          </w:p>
          <w:p w:rsidR="00AB4F29" w:rsidRPr="006454A7" w:rsidP="00D97D0B" w14:paraId="778B01C4" w14:textId="77777777">
            <w:pPr>
              <w:widowControl w:val="0"/>
              <w:spacing w:line="240" w:lineRule="auto"/>
              <w:rPr>
                <w:rFonts w:cs="Noto Sans"/>
              </w:rPr>
            </w:pPr>
          </w:p>
          <w:p w:rsidR="00AB4F29" w:rsidRPr="006454A7" w:rsidP="00D97D0B" w14:paraId="2ACFC686" w14:textId="77777777">
            <w:pPr>
              <w:widowControl w:val="0"/>
              <w:spacing w:line="240" w:lineRule="auto"/>
              <w:rPr>
                <w:rFonts w:cs="Noto Sans"/>
              </w:rPr>
            </w:pPr>
            <w:r w:rsidRPr="006454A7">
              <w:rPr>
                <w:rFonts w:cs="Noto Sans"/>
              </w:rPr>
              <w:t xml:space="preserve">      A167666</w:t>
            </w:r>
          </w:p>
          <w:p w:rsidR="00AB4F29" w:rsidRPr="006454A7" w:rsidP="00D97D0B" w14:paraId="7FFFC224" w14:textId="77777777">
            <w:pPr>
              <w:widowControl w:val="0"/>
              <w:spacing w:line="240" w:lineRule="auto"/>
              <w:rPr>
                <w:rFonts w:cs="Noto Sans"/>
              </w:rPr>
            </w:pPr>
          </w:p>
          <w:p w:rsidR="00AB4F29" w:rsidRPr="006454A7" w:rsidP="00D97D0B" w14:paraId="11C7D984" w14:textId="77777777">
            <w:pPr>
              <w:widowControl w:val="0"/>
              <w:spacing w:line="240" w:lineRule="auto"/>
              <w:rPr>
                <w:rFonts w:cs="Noto Sans"/>
              </w:rPr>
            </w:pPr>
            <w:r w:rsidRPr="006454A7">
              <w:rPr>
                <w:rFonts w:cs="Noto Sans"/>
              </w:rPr>
              <w:t xml:space="preserve">      (Sonoma County</w:t>
            </w:r>
          </w:p>
          <w:p w:rsidR="00AB4F29" w:rsidRPr="006454A7" w:rsidP="00D97D0B" w14:paraId="3AF048F0" w14:textId="77777777">
            <w:pPr>
              <w:widowControl w:val="0"/>
              <w:spacing w:line="240" w:lineRule="auto"/>
              <w:rPr>
                <w:rFonts w:cs="Noto Sans"/>
              </w:rPr>
            </w:pPr>
            <w:r w:rsidRPr="006454A7">
              <w:rPr>
                <w:rFonts w:cs="Noto Sans"/>
              </w:rPr>
              <w:t xml:space="preserve">      Super. Ct. No. SCV271737)</w:t>
            </w:r>
          </w:p>
          <w:p w:rsidR="00AB4F29" w:rsidRPr="006454A7" w:rsidP="00D97D0B" w14:paraId="2F2AEA91" w14:textId="07264AAE">
            <w:pPr>
              <w:widowControl w:val="0"/>
              <w:spacing w:line="240" w:lineRule="auto"/>
              <w:rPr>
                <w:rFonts w:cs="Noto Sans"/>
              </w:rPr>
            </w:pPr>
          </w:p>
        </w:tc>
      </w:tr>
    </w:tbl>
    <w:p w:rsidR="00AB4F29" w:rsidRPr="006454A7" w:rsidP="00D97D0B" w14:paraId="648F6978" w14:textId="77777777">
      <w:pPr>
        <w:widowControl w:val="0"/>
        <w:rPr>
          <w:rFonts w:cs="Noto Sans"/>
        </w:rPr>
      </w:pPr>
    </w:p>
    <w:p w:rsidR="00AB4F29" w:rsidRPr="006454A7" w:rsidP="00D97D0B" w14:paraId="6CCE199A" w14:textId="4DCE8A11">
      <w:pPr>
        <w:widowControl w:val="0"/>
        <w:rPr>
          <w:rFonts w:cs="Noto Sans"/>
        </w:rPr>
      </w:pPr>
      <w:r w:rsidRPr="006454A7">
        <w:rPr>
          <w:rFonts w:cs="Noto Sans"/>
        </w:rPr>
        <w:tab/>
        <w:t xml:space="preserve">After plaintiff Kathryn Tornai filed a lawsuit against her insurance company for breach of contract and bad faith, defendant </w:t>
      </w:r>
      <w:r w:rsidRPr="006454A7" w:rsidR="00B828EB">
        <w:rPr>
          <w:rFonts w:cs="Noto Sans"/>
        </w:rPr>
        <w:t xml:space="preserve">insurance company </w:t>
      </w:r>
      <w:r w:rsidRPr="006454A7">
        <w:rPr>
          <w:rFonts w:cs="Noto Sans"/>
        </w:rPr>
        <w:t xml:space="preserve">filed a motion to compel arbitration of her underinsured motorist claim.  The motion was made pursuant to a provision </w:t>
      </w:r>
      <w:r w:rsidRPr="006454A7" w:rsidR="00E27EF3">
        <w:rPr>
          <w:rFonts w:cs="Noto Sans"/>
        </w:rPr>
        <w:t xml:space="preserve">in </w:t>
      </w:r>
      <w:r w:rsidRPr="006454A7" w:rsidR="00351C32">
        <w:rPr>
          <w:rFonts w:cs="Noto Sans"/>
        </w:rPr>
        <w:t xml:space="preserve">plaintiff’s automobile </w:t>
      </w:r>
      <w:r w:rsidRPr="006454A7" w:rsidR="00E27EF3">
        <w:rPr>
          <w:rFonts w:cs="Noto Sans"/>
        </w:rPr>
        <w:t>policy</w:t>
      </w:r>
      <w:r w:rsidRPr="006454A7" w:rsidR="001F52E7">
        <w:rPr>
          <w:rFonts w:cs="Noto Sans"/>
        </w:rPr>
        <w:t xml:space="preserve">, which, as </w:t>
      </w:r>
      <w:r w:rsidRPr="006454A7">
        <w:rPr>
          <w:rFonts w:cs="Noto Sans"/>
        </w:rPr>
        <w:t>mandated by Insurance Code</w:t>
      </w:r>
      <w:r>
        <w:rPr>
          <w:rStyle w:val="FootnoteReference"/>
          <w:rFonts w:cs="Noto Sans"/>
        </w:rPr>
        <w:footnoteReference w:id="2"/>
      </w:r>
      <w:r w:rsidRPr="006454A7">
        <w:rPr>
          <w:rFonts w:cs="Noto Sans"/>
        </w:rPr>
        <w:t xml:space="preserve"> section 11580.2, subdivision (f)</w:t>
      </w:r>
      <w:r w:rsidRPr="006454A7" w:rsidR="001F52E7">
        <w:rPr>
          <w:rFonts w:cs="Noto Sans"/>
        </w:rPr>
        <w:t>,</w:t>
      </w:r>
      <w:r w:rsidRPr="006454A7" w:rsidR="00C05652">
        <w:rPr>
          <w:rFonts w:cs="Noto Sans"/>
        </w:rPr>
        <w:t xml:space="preserve"> requires the parties to arbitrate any dispute over entitlement to recover damages caused by an uninsured or underinsured motorist</w:t>
      </w:r>
      <w:r>
        <w:rPr>
          <w:rStyle w:val="FootnoteReference"/>
          <w:rFonts w:cs="Noto Sans"/>
        </w:rPr>
        <w:footnoteReference w:id="3"/>
      </w:r>
      <w:r w:rsidRPr="006454A7" w:rsidR="00603F6E">
        <w:rPr>
          <w:rFonts w:cs="Noto Sans"/>
        </w:rPr>
        <w:t xml:space="preserve"> or the amount of </w:t>
      </w:r>
      <w:r w:rsidRPr="006454A7" w:rsidR="00603F6E">
        <w:rPr>
          <w:rFonts w:cs="Noto Sans"/>
        </w:rPr>
        <w:t>damages.</w:t>
      </w:r>
      <w:r w:rsidRPr="006454A7">
        <w:rPr>
          <w:rFonts w:cs="Noto Sans"/>
        </w:rPr>
        <w:t xml:space="preserve">  The trial court denied the motion, and defendant appeals.  </w:t>
      </w:r>
      <w:r w:rsidR="00126493">
        <w:rPr>
          <w:rFonts w:cs="Noto Sans"/>
        </w:rPr>
        <w:t>W</w:t>
      </w:r>
      <w:r w:rsidRPr="006454A7">
        <w:rPr>
          <w:rFonts w:cs="Noto Sans"/>
        </w:rPr>
        <w:t xml:space="preserve">e </w:t>
      </w:r>
      <w:r w:rsidR="005F79D9">
        <w:rPr>
          <w:rFonts w:cs="Noto Sans"/>
        </w:rPr>
        <w:t xml:space="preserve">conclude that the denial was </w:t>
      </w:r>
      <w:r w:rsidR="00F92956">
        <w:rPr>
          <w:rFonts w:cs="Noto Sans"/>
        </w:rPr>
        <w:t>error,</w:t>
      </w:r>
      <w:r w:rsidR="005F79D9">
        <w:rPr>
          <w:rFonts w:cs="Noto Sans"/>
        </w:rPr>
        <w:t xml:space="preserve"> and we </w:t>
      </w:r>
      <w:r w:rsidRPr="006454A7">
        <w:rPr>
          <w:rFonts w:cs="Noto Sans"/>
        </w:rPr>
        <w:t>reverse</w:t>
      </w:r>
      <w:r w:rsidRPr="006454A7" w:rsidR="009D799F">
        <w:rPr>
          <w:rFonts w:cs="Noto Sans"/>
        </w:rPr>
        <w:t>.</w:t>
      </w:r>
      <w:r w:rsidRPr="006454A7" w:rsidR="00620DB1">
        <w:rPr>
          <w:rFonts w:cs="Noto Sans"/>
        </w:rPr>
        <w:t xml:space="preserve"> </w:t>
      </w:r>
      <w:r w:rsidRPr="006454A7">
        <w:rPr>
          <w:rFonts w:cs="Noto Sans"/>
        </w:rPr>
        <w:t xml:space="preserve"> </w:t>
      </w:r>
    </w:p>
    <w:p w:rsidR="00AB4F29" w:rsidRPr="006454A7" w:rsidP="00D97D0B" w14:paraId="39B91032" w14:textId="77777777">
      <w:pPr>
        <w:pStyle w:val="Heading1"/>
        <w:widowControl w:val="0"/>
        <w:rPr>
          <w:rFonts w:ascii="Century Schoolbook" w:hAnsi="Century Schoolbook"/>
        </w:rPr>
      </w:pPr>
      <w:r w:rsidRPr="006454A7">
        <w:rPr>
          <w:rFonts w:ascii="Century Schoolbook" w:hAnsi="Century Schoolbook"/>
        </w:rPr>
        <w:t>BACKGROUND</w:t>
      </w:r>
    </w:p>
    <w:p w:rsidR="008C69C3" w:rsidRPr="006454A7" w:rsidP="00D97D0B" w14:paraId="74B45DA3" w14:textId="221D8884">
      <w:pPr>
        <w:pStyle w:val="Heading2"/>
        <w:widowControl w:val="0"/>
        <w:rPr>
          <w:rFonts w:ascii="Century Schoolbook" w:hAnsi="Century Schoolbook"/>
        </w:rPr>
      </w:pPr>
      <w:r w:rsidRPr="006454A7">
        <w:rPr>
          <w:rFonts w:ascii="Century Schoolbook" w:hAnsi="Century Schoolbook"/>
        </w:rPr>
        <w:t xml:space="preserve">The </w:t>
      </w:r>
      <w:r w:rsidRPr="006454A7" w:rsidR="006352CC">
        <w:rPr>
          <w:rFonts w:ascii="Century Schoolbook" w:hAnsi="Century Schoolbook"/>
        </w:rPr>
        <w:t xml:space="preserve">Parties and the </w:t>
      </w:r>
      <w:r w:rsidRPr="006454A7">
        <w:rPr>
          <w:rFonts w:ascii="Century Schoolbook" w:hAnsi="Century Schoolbook"/>
        </w:rPr>
        <w:t>General Setting</w:t>
      </w:r>
    </w:p>
    <w:p w:rsidR="00816B1C" w:rsidRPr="006454A7" w:rsidP="00D97D0B" w14:paraId="282D7AC5" w14:textId="389FE4B9">
      <w:pPr>
        <w:widowControl w:val="0"/>
        <w:rPr>
          <w:rFonts w:cs="Assistant"/>
        </w:rPr>
      </w:pPr>
      <w:r w:rsidRPr="006454A7">
        <w:tab/>
      </w:r>
      <w:r w:rsidRPr="006454A7" w:rsidR="000350FC">
        <w:t xml:space="preserve">In August 2021, plaintiff </w:t>
      </w:r>
      <w:r w:rsidRPr="006454A7" w:rsidR="00B828EB">
        <w:t xml:space="preserve">Kathryn Tornai </w:t>
      </w:r>
      <w:r w:rsidR="00706447">
        <w:t xml:space="preserve">(plaintiff) </w:t>
      </w:r>
      <w:r w:rsidRPr="006454A7" w:rsidR="000350FC">
        <w:t>entered into a contract with defendant</w:t>
      </w:r>
      <w:r w:rsidRPr="006454A7" w:rsidR="00B828EB">
        <w:t xml:space="preserve"> CSAA Insurance Exchange</w:t>
      </w:r>
      <w:r w:rsidRPr="006454A7" w:rsidR="000350FC">
        <w:t xml:space="preserve"> </w:t>
      </w:r>
      <w:r w:rsidR="00706447">
        <w:t xml:space="preserve">(defendant) </w:t>
      </w:r>
      <w:r w:rsidRPr="006454A7" w:rsidR="000350FC">
        <w:t xml:space="preserve">to provide automobile insurance for her vehicle (policy). </w:t>
      </w:r>
      <w:r w:rsidRPr="006454A7" w:rsidR="0043307F">
        <w:t xml:space="preserve"> The policy had a clause in the </w:t>
      </w:r>
      <w:r w:rsidRPr="006454A7" w:rsidR="00D313E6">
        <w:t>UM/UIM</w:t>
      </w:r>
      <w:r w:rsidRPr="006454A7" w:rsidR="00561FF2">
        <w:t xml:space="preserve"> coverage endorsement, which read: </w:t>
      </w:r>
      <w:r w:rsidRPr="006454A7" w:rsidR="00B6499E">
        <w:t xml:space="preserve"> </w:t>
      </w:r>
      <w:r w:rsidRPr="006454A7">
        <w:t>“</w:t>
      </w:r>
      <w:r w:rsidRPr="006454A7">
        <w:rPr>
          <w:rFonts w:cs="Assistant"/>
          <w:b/>
          <w:bCs/>
        </w:rPr>
        <w:t xml:space="preserve">We </w:t>
      </w:r>
      <w:r w:rsidRPr="006454A7">
        <w:rPr>
          <w:rFonts w:cs="Assistant"/>
        </w:rPr>
        <w:t xml:space="preserve">will pay damages, other than punitive or exemplary damages, for </w:t>
      </w:r>
      <w:r w:rsidRPr="006454A7">
        <w:rPr>
          <w:rFonts w:cs="Assistant"/>
          <w:b/>
          <w:bCs/>
        </w:rPr>
        <w:t>bodily injury</w:t>
      </w:r>
      <w:r w:rsidRPr="006454A7">
        <w:rPr>
          <w:rFonts w:cs="Assistant"/>
        </w:rPr>
        <w:t xml:space="preserve"> to an </w:t>
      </w:r>
      <w:r w:rsidRPr="006454A7">
        <w:rPr>
          <w:rFonts w:cs="Assistant"/>
          <w:b/>
          <w:bCs/>
        </w:rPr>
        <w:t>insured person</w:t>
      </w:r>
      <w:r w:rsidRPr="006454A7">
        <w:rPr>
          <w:rFonts w:cs="Assistant"/>
        </w:rPr>
        <w:t xml:space="preserve">, which an </w:t>
      </w:r>
      <w:r w:rsidRPr="006454A7">
        <w:rPr>
          <w:rFonts w:cs="Assistant"/>
          <w:b/>
          <w:bCs/>
        </w:rPr>
        <w:t>insured person</w:t>
      </w:r>
      <w:r w:rsidRPr="006454A7">
        <w:rPr>
          <w:rFonts w:cs="Assistant"/>
        </w:rPr>
        <w:t xml:space="preserve"> is legally entitled to recover from the owner or operator of an </w:t>
      </w:r>
      <w:r w:rsidRPr="006454A7">
        <w:rPr>
          <w:rFonts w:cs="Assistant"/>
          <w:b/>
          <w:bCs/>
        </w:rPr>
        <w:t>uninsured motor vehicle</w:t>
      </w:r>
      <w:r w:rsidRPr="006454A7">
        <w:rPr>
          <w:rFonts w:cs="Assistant"/>
        </w:rPr>
        <w:t xml:space="preserve">.  The </w:t>
      </w:r>
      <w:r w:rsidRPr="00EC5BD6">
        <w:rPr>
          <w:rFonts w:cs="Assistant"/>
          <w:b/>
          <w:bCs/>
        </w:rPr>
        <w:t>bodily injury</w:t>
      </w:r>
      <w:r w:rsidRPr="006454A7">
        <w:rPr>
          <w:rFonts w:cs="Assistant"/>
        </w:rPr>
        <w:t xml:space="preserve"> must be caused by accident and arise out of the ownership, maintenance or use of the </w:t>
      </w:r>
      <w:r w:rsidRPr="00EC5BD6">
        <w:rPr>
          <w:rFonts w:cs="Assistant"/>
          <w:b/>
          <w:bCs/>
        </w:rPr>
        <w:t>uninsured motor vehicle</w:t>
      </w:r>
      <w:r w:rsidRPr="006454A7">
        <w:rPr>
          <w:rFonts w:cs="Assistant"/>
        </w:rPr>
        <w:t xml:space="preserve">.  </w:t>
      </w:r>
      <w:r w:rsidRPr="006454A7" w:rsidR="004D77E2">
        <w:rPr>
          <w:rFonts w:cs="Assistant"/>
        </w:rPr>
        <w:t xml:space="preserve">[¶] </w:t>
      </w:r>
      <w:r w:rsidRPr="006454A7">
        <w:rPr>
          <w:rFonts w:cs="Assistant"/>
        </w:rPr>
        <w:t xml:space="preserve">Determination </w:t>
      </w:r>
      <w:r w:rsidRPr="00EC5BD6">
        <w:rPr>
          <w:rFonts w:cs="Assistant"/>
        </w:rPr>
        <w:t>whether an</w:t>
      </w:r>
      <w:r w:rsidRPr="006454A7">
        <w:rPr>
          <w:rFonts w:cs="Assistant"/>
          <w:b/>
          <w:bCs/>
        </w:rPr>
        <w:t xml:space="preserve"> insured person</w:t>
      </w:r>
      <w:r w:rsidRPr="006454A7">
        <w:rPr>
          <w:rFonts w:cs="Assistant"/>
        </w:rPr>
        <w:t xml:space="preserve"> is legally entitled to recover damages or the amount of damages shall be made by agreement between the </w:t>
      </w:r>
      <w:r w:rsidRPr="006454A7">
        <w:rPr>
          <w:rFonts w:cs="Assistant"/>
          <w:b/>
          <w:bCs/>
        </w:rPr>
        <w:t>insured person</w:t>
      </w:r>
      <w:r w:rsidRPr="006454A7">
        <w:rPr>
          <w:rFonts w:cs="Assistant"/>
        </w:rPr>
        <w:t xml:space="preserve"> and </w:t>
      </w:r>
      <w:r w:rsidRPr="006454A7">
        <w:rPr>
          <w:rFonts w:cs="Assistant"/>
          <w:b/>
          <w:bCs/>
        </w:rPr>
        <w:t>us</w:t>
      </w:r>
      <w:r w:rsidRPr="006454A7">
        <w:rPr>
          <w:rFonts w:cs="Assistant"/>
        </w:rPr>
        <w:t xml:space="preserve">.  If no agreement is reached, the decision will be made by arbitration.”  </w:t>
      </w:r>
    </w:p>
    <w:p w:rsidR="00084AC4" w:rsidRPr="006454A7" w:rsidP="00D97D0B" w14:paraId="625C3A93" w14:textId="6916640C">
      <w:pPr>
        <w:widowControl w:val="0"/>
        <w:rPr>
          <w:rFonts w:cs="Assistant"/>
        </w:rPr>
      </w:pPr>
      <w:r w:rsidRPr="006454A7">
        <w:rPr>
          <w:rFonts w:cs="Assistant"/>
        </w:rPr>
        <w:tab/>
        <w:t xml:space="preserve">Several paragraphs later, </w:t>
      </w:r>
      <w:r w:rsidRPr="006454A7" w:rsidR="0057731C">
        <w:rPr>
          <w:rFonts w:cs="Assistant"/>
        </w:rPr>
        <w:t xml:space="preserve">the policy reads:  </w:t>
      </w:r>
      <w:r w:rsidRPr="006454A7" w:rsidR="00692346">
        <w:rPr>
          <w:rFonts w:cs="Assistant"/>
        </w:rPr>
        <w:t>“</w:t>
      </w:r>
      <w:r w:rsidRPr="006454A7" w:rsidR="00692346">
        <w:rPr>
          <w:rFonts w:cs="Assistant"/>
          <w:b/>
          <w:bCs/>
        </w:rPr>
        <w:t xml:space="preserve">ARBITRATION </w:t>
      </w:r>
      <w:r w:rsidRPr="006454A7" w:rsidR="00692346">
        <w:rPr>
          <w:rFonts w:cs="Assistant"/>
        </w:rPr>
        <w:t>[¶]</w:t>
      </w:r>
      <w:r w:rsidRPr="006454A7" w:rsidR="00692346">
        <w:rPr>
          <w:rFonts w:cs="Assistant"/>
          <w:b/>
          <w:bCs/>
        </w:rPr>
        <w:t xml:space="preserve"> </w:t>
      </w:r>
      <w:r w:rsidRPr="006454A7" w:rsidR="00692346">
        <w:rPr>
          <w:rFonts w:cs="Assistant"/>
        </w:rPr>
        <w:t xml:space="preserve">If an </w:t>
      </w:r>
      <w:r w:rsidRPr="006454A7" w:rsidR="00692346">
        <w:rPr>
          <w:rFonts w:cs="Assistant"/>
          <w:b/>
          <w:bCs/>
        </w:rPr>
        <w:t>insured person</w:t>
      </w:r>
      <w:r w:rsidRPr="006454A7" w:rsidR="00692346">
        <w:rPr>
          <w:rFonts w:cs="Assistant"/>
        </w:rPr>
        <w:t xml:space="preserve"> makes a claim under this Part and </w:t>
      </w:r>
      <w:r w:rsidRPr="006454A7" w:rsidR="00692346">
        <w:rPr>
          <w:rFonts w:cs="Assistant"/>
          <w:b/>
          <w:bCs/>
        </w:rPr>
        <w:t>we</w:t>
      </w:r>
      <w:r w:rsidRPr="006454A7" w:rsidR="00692346">
        <w:rPr>
          <w:rFonts w:cs="Assistant"/>
        </w:rPr>
        <w:t xml:space="preserve"> do not agree that such person is legally entitled to recover damages from the owner or operator of an </w:t>
      </w:r>
      <w:r w:rsidRPr="006454A7" w:rsidR="00692346">
        <w:rPr>
          <w:rFonts w:cs="Assistant"/>
          <w:b/>
          <w:bCs/>
        </w:rPr>
        <w:t>uninsured motor vehicle</w:t>
      </w:r>
      <w:r w:rsidRPr="006454A7" w:rsidR="00692346">
        <w:rPr>
          <w:rFonts w:cs="Assistant"/>
        </w:rPr>
        <w:t xml:space="preserve"> because of </w:t>
      </w:r>
      <w:r w:rsidRPr="006454A7" w:rsidR="00692346">
        <w:rPr>
          <w:rFonts w:cs="Assistant"/>
          <w:b/>
          <w:bCs/>
        </w:rPr>
        <w:t>bodily injury</w:t>
      </w:r>
      <w:r w:rsidRPr="006454A7" w:rsidR="00692346">
        <w:rPr>
          <w:rFonts w:cs="Assistant"/>
        </w:rPr>
        <w:t xml:space="preserve"> to such </w:t>
      </w:r>
      <w:r w:rsidRPr="006454A7" w:rsidR="00692346">
        <w:rPr>
          <w:rFonts w:cs="Assistant"/>
          <w:b/>
          <w:bCs/>
        </w:rPr>
        <w:t>insured person</w:t>
      </w:r>
      <w:r w:rsidRPr="006454A7" w:rsidR="00692346">
        <w:rPr>
          <w:rFonts w:cs="Assistant"/>
        </w:rPr>
        <w:t>, or, if so entitled, do not agree as to the amount, then either party, on written demand of the other, shall institute arbitration proceedings as provided in Section 11580.2 and the following sections of the Insurance Code</w:t>
      </w:r>
      <w:r w:rsidR="0098509B">
        <w:rPr>
          <w:rFonts w:cs="Assistant"/>
        </w:rPr>
        <w:t> </w:t>
      </w:r>
      <w:r w:rsidRPr="006454A7" w:rsidR="00692346">
        <w:rPr>
          <w:rFonts w:cs="Assistant"/>
        </w:rPr>
        <w:t>.</w:t>
      </w:r>
      <w:r w:rsidR="0098509B">
        <w:rPr>
          <w:rFonts w:cs="Assistant"/>
        </w:rPr>
        <w:t> </w:t>
      </w:r>
      <w:r w:rsidRPr="006454A7" w:rsidR="00692346">
        <w:rPr>
          <w:rFonts w:cs="Assistant"/>
        </w:rPr>
        <w:t>.</w:t>
      </w:r>
      <w:r w:rsidR="0098509B">
        <w:rPr>
          <w:rFonts w:cs="Assistant"/>
        </w:rPr>
        <w:t> </w:t>
      </w:r>
      <w:r w:rsidRPr="006454A7" w:rsidR="00692346">
        <w:rPr>
          <w:rFonts w:cs="Assistant"/>
        </w:rPr>
        <w:t>.</w:t>
      </w:r>
      <w:r w:rsidR="0098509B">
        <w:rPr>
          <w:rFonts w:cs="Assistant"/>
        </w:rPr>
        <w:t> </w:t>
      </w:r>
      <w:r w:rsidRPr="006454A7" w:rsidR="00692346">
        <w:rPr>
          <w:rFonts w:cs="Assistant"/>
        </w:rPr>
        <w:t xml:space="preserve">.”  </w:t>
      </w:r>
    </w:p>
    <w:p w:rsidR="00C05075" w:rsidRPr="006454A7" w:rsidP="00D97D0B" w14:paraId="120ECE91" w14:textId="1B090E35">
      <w:pPr>
        <w:widowControl w:val="0"/>
        <w:rPr>
          <w:rFonts w:cs="Assistant"/>
        </w:rPr>
      </w:pPr>
      <w:r w:rsidRPr="006454A7">
        <w:tab/>
        <w:t>According to the complaint</w:t>
      </w:r>
      <w:r w:rsidRPr="006454A7" w:rsidR="008646A1">
        <w:t xml:space="preserve"> that plaintiff would come to file</w:t>
      </w:r>
      <w:r w:rsidRPr="006454A7">
        <w:t xml:space="preserve">, </w:t>
      </w:r>
      <w:r w:rsidRPr="006454A7">
        <w:rPr>
          <w:rFonts w:cs="Assistant"/>
        </w:rPr>
        <w:t xml:space="preserve">on February 2, 2022, </w:t>
      </w:r>
      <w:r w:rsidR="00FC735C">
        <w:rPr>
          <w:rFonts w:cs="Assistant"/>
        </w:rPr>
        <w:t xml:space="preserve">she </w:t>
      </w:r>
      <w:r w:rsidRPr="006454A7">
        <w:rPr>
          <w:rFonts w:cs="Assistant"/>
        </w:rPr>
        <w:t xml:space="preserve">was injured in a traffic accident with </w:t>
      </w:r>
      <w:r w:rsidRPr="006454A7" w:rsidR="00145FF7">
        <w:rPr>
          <w:rFonts w:cs="Assistant"/>
        </w:rPr>
        <w:t>another</w:t>
      </w:r>
      <w:r w:rsidRPr="006454A7" w:rsidR="0066213E">
        <w:rPr>
          <w:rFonts w:cs="Assistant"/>
        </w:rPr>
        <w:t xml:space="preserve"> driver</w:t>
      </w:r>
      <w:r w:rsidRPr="006454A7">
        <w:rPr>
          <w:rFonts w:cs="Assistant"/>
        </w:rPr>
        <w:t xml:space="preserve">.  In September, plaintiff settled with the driver’s insurance carrier for $25,000, </w:t>
      </w:r>
      <w:r w:rsidRPr="006454A7">
        <w:rPr>
          <w:rFonts w:cs="Assistant"/>
        </w:rPr>
        <w:t xml:space="preserve">his policy limits.  </w:t>
      </w:r>
    </w:p>
    <w:p w:rsidR="00C4534F" w:rsidRPr="006454A7" w:rsidP="00D97D0B" w14:paraId="3870384E" w14:textId="5F1616B9">
      <w:pPr>
        <w:widowControl w:val="0"/>
      </w:pPr>
      <w:r w:rsidRPr="006454A7">
        <w:tab/>
      </w:r>
      <w:r w:rsidRPr="006454A7" w:rsidR="004E1CFA">
        <w:rPr>
          <w:rFonts w:cs="Assistant"/>
        </w:rPr>
        <w:t xml:space="preserve">Plaintiff’s policy provided UM/UIM coverage of up to $300,000 per accident.  Plaintiff made a written demand to defendant under the </w:t>
      </w:r>
      <w:r w:rsidRPr="006454A7" w:rsidR="00B47B0D">
        <w:rPr>
          <w:rFonts w:cs="Assistant"/>
        </w:rPr>
        <w:t xml:space="preserve">policy </w:t>
      </w:r>
      <w:r w:rsidRPr="006454A7" w:rsidR="004E1CFA">
        <w:rPr>
          <w:rFonts w:cs="Assistant"/>
        </w:rPr>
        <w:t>for $275</w:t>
      </w:r>
      <w:r w:rsidR="008E6C3A">
        <w:rPr>
          <w:rFonts w:cs="Assistant"/>
        </w:rPr>
        <w:t>,</w:t>
      </w:r>
      <w:r w:rsidRPr="006454A7" w:rsidR="004E1CFA">
        <w:rPr>
          <w:rFonts w:cs="Assistant"/>
        </w:rPr>
        <w:t xml:space="preserve">000—the policy limits of $300,000, less the $25,000 she had already received from the settlement with the </w:t>
      </w:r>
      <w:r w:rsidR="00424B38">
        <w:rPr>
          <w:rFonts w:cs="Assistant"/>
        </w:rPr>
        <w:t>UIM</w:t>
      </w:r>
      <w:r w:rsidRPr="006454A7" w:rsidR="004E1CFA">
        <w:rPr>
          <w:rFonts w:cs="Assistant"/>
        </w:rPr>
        <w:t xml:space="preserve">.  Defendant refused to tender the $275,000 demanded. </w:t>
      </w:r>
      <w:r w:rsidRPr="006454A7" w:rsidR="00924718">
        <w:rPr>
          <w:rFonts w:cs="Assistant"/>
        </w:rPr>
        <w:t xml:space="preserve"> </w:t>
      </w:r>
    </w:p>
    <w:p w:rsidR="00393F0A" w:rsidRPr="006454A7" w:rsidP="00D97D0B" w14:paraId="450AA29C" w14:textId="66073591">
      <w:pPr>
        <w:pStyle w:val="Heading2"/>
        <w:widowControl w:val="0"/>
        <w:rPr>
          <w:rFonts w:ascii="Century Schoolbook" w:hAnsi="Century Schoolbook"/>
        </w:rPr>
      </w:pPr>
      <w:r w:rsidRPr="006454A7">
        <w:rPr>
          <w:rFonts w:ascii="Century Schoolbook" w:hAnsi="Century Schoolbook"/>
        </w:rPr>
        <w:t xml:space="preserve">The </w:t>
      </w:r>
      <w:r w:rsidRPr="006454A7" w:rsidR="00F25B9E">
        <w:rPr>
          <w:rFonts w:ascii="Century Schoolbook" w:hAnsi="Century Schoolbook"/>
        </w:rPr>
        <w:t>Proceedings Below</w:t>
      </w:r>
    </w:p>
    <w:p w:rsidR="00D916F6" w:rsidRPr="006454A7" w:rsidP="00D97D0B" w14:paraId="588F6A54" w14:textId="60F3B6DB">
      <w:pPr>
        <w:widowControl w:val="0"/>
        <w:rPr>
          <w:rFonts w:cs="Assistant"/>
        </w:rPr>
      </w:pPr>
      <w:r w:rsidRPr="006454A7">
        <w:tab/>
      </w:r>
      <w:r w:rsidRPr="006454A7">
        <w:rPr>
          <w:rFonts w:cs="Assistant"/>
        </w:rPr>
        <w:t xml:space="preserve">On October 3, </w:t>
      </w:r>
      <w:r w:rsidRPr="006454A7" w:rsidR="00781F36">
        <w:rPr>
          <w:rFonts w:cs="Assistant"/>
        </w:rPr>
        <w:t xml:space="preserve">2022, </w:t>
      </w:r>
      <w:r w:rsidRPr="006454A7">
        <w:rPr>
          <w:rFonts w:cs="Assistant"/>
        </w:rPr>
        <w:t xml:space="preserve">plaintiff filed her complaint against defendant alleging breach of written contract and breach of the implied covenant of good faith and fair dealing.  The allegations in support of both causes of action were the same and included the following:  defendant failed to settle or make any offer “when Plaintiff’s damages clearly exceed the policy limit with numerous surgeries having been undergone”; defendant failed to “promptly respond to Plaintiff’s communications with respect to the claim” and “ignor[ed] time limited settlement demands”; defendant “[w]ithh[eld] benefits due to Plaintiff when [defendant] knew, or should have known, Plaintiff was entitled to”; and defendant failed to adequately investigate plaintiff’s injuries and damages.  </w:t>
      </w:r>
    </w:p>
    <w:p w:rsidR="004B291E" w:rsidRPr="006454A7" w:rsidP="00D97D0B" w14:paraId="1896992A" w14:textId="208A87FF">
      <w:pPr>
        <w:widowControl w:val="0"/>
        <w:rPr>
          <w:rFonts w:cs="Assistant"/>
        </w:rPr>
      </w:pPr>
      <w:r w:rsidRPr="006454A7">
        <w:rPr>
          <w:rFonts w:cs="Assistant"/>
        </w:rPr>
        <w:tab/>
      </w:r>
      <w:r w:rsidRPr="006454A7" w:rsidR="000A4C22">
        <w:rPr>
          <w:rFonts w:cs="Assistant"/>
        </w:rPr>
        <w:t>On November 18, defendant filed a motion to compel arbitration.  It was accompanied by a memorandum of points and authorities</w:t>
      </w:r>
      <w:r w:rsidR="004B35C1">
        <w:rPr>
          <w:rFonts w:cs="Assistant"/>
        </w:rPr>
        <w:t xml:space="preserve"> </w:t>
      </w:r>
      <w:r w:rsidRPr="006454A7" w:rsidR="000A4C22">
        <w:rPr>
          <w:rFonts w:cs="Assistant"/>
        </w:rPr>
        <w:t>and the declaration of defense counsel</w:t>
      </w:r>
      <w:r w:rsidR="004C6DAA">
        <w:rPr>
          <w:rFonts w:cs="Assistant"/>
        </w:rPr>
        <w:t xml:space="preserve">.  The declaration in turn </w:t>
      </w:r>
      <w:r w:rsidRPr="006454A7" w:rsidR="000A4C22">
        <w:rPr>
          <w:rFonts w:cs="Assistant"/>
        </w:rPr>
        <w:t xml:space="preserve">attached a copy of plaintiff’s policy; defense counsel’s letter to plaintiff’s counsel demanding the parties arbitrate their dispute over the UIM claim pursuant to the arbitration provision in the policy; and plaintiff’s counsel’s subsequent email </w:t>
      </w:r>
      <w:r w:rsidR="00D11007">
        <w:rPr>
          <w:rFonts w:cs="Assistant"/>
        </w:rPr>
        <w:t xml:space="preserve">again </w:t>
      </w:r>
      <w:r w:rsidRPr="006454A7" w:rsidR="000A4C22">
        <w:rPr>
          <w:rFonts w:cs="Assistant"/>
        </w:rPr>
        <w:t xml:space="preserve">pressing for </w:t>
      </w:r>
      <w:r w:rsidR="00D11007">
        <w:rPr>
          <w:rFonts w:cs="Assistant"/>
        </w:rPr>
        <w:t>tender of</w:t>
      </w:r>
      <w:r w:rsidR="001F03DD">
        <w:rPr>
          <w:rFonts w:cs="Assistant"/>
        </w:rPr>
        <w:t xml:space="preserve"> </w:t>
      </w:r>
      <w:r w:rsidR="00142D7F">
        <w:rPr>
          <w:rFonts w:cs="Assistant"/>
        </w:rPr>
        <w:t xml:space="preserve">policy limits of </w:t>
      </w:r>
      <w:r w:rsidR="00D11007">
        <w:rPr>
          <w:rFonts w:cs="Assistant"/>
        </w:rPr>
        <w:t>$275,000</w:t>
      </w:r>
      <w:r w:rsidRPr="006454A7" w:rsidR="000A4C22">
        <w:rPr>
          <w:rFonts w:cs="Assistant"/>
        </w:rPr>
        <w:t xml:space="preserve">, but otherwise not responding to the arbitration demand. </w:t>
      </w:r>
      <w:r w:rsidRPr="006454A7" w:rsidR="00390EDC">
        <w:rPr>
          <w:rFonts w:cs="Assistant"/>
        </w:rPr>
        <w:t xml:space="preserve"> In its motion, defendant asserted that it “has disputed the amount that Plaintiff claimed under the policy and therefore the dispute falls squarely within the arbitration </w:t>
      </w:r>
      <w:r w:rsidR="00BA1153">
        <w:rPr>
          <w:rFonts w:cs="Assistant"/>
        </w:rPr>
        <w:t xml:space="preserve">provision </w:t>
      </w:r>
      <w:r w:rsidRPr="006454A7" w:rsidR="00390EDC">
        <w:rPr>
          <w:rFonts w:cs="Assistant"/>
        </w:rPr>
        <w:t xml:space="preserve">of [t]he Auto Policy.” </w:t>
      </w:r>
      <w:r w:rsidRPr="006454A7" w:rsidR="00476FF2">
        <w:rPr>
          <w:rFonts w:cs="Assistant"/>
        </w:rPr>
        <w:t xml:space="preserve"> </w:t>
      </w:r>
    </w:p>
    <w:p w:rsidR="00476FF2" w:rsidRPr="006454A7" w:rsidP="00D97D0B" w14:paraId="3CD68544" w14:textId="600CF744">
      <w:pPr>
        <w:widowControl w:val="0"/>
        <w:rPr>
          <w:rFonts w:cs="Assistant"/>
        </w:rPr>
      </w:pPr>
      <w:r w:rsidRPr="006454A7">
        <w:rPr>
          <w:rFonts w:cs="Assistant"/>
        </w:rPr>
        <w:tab/>
      </w:r>
      <w:r w:rsidRPr="006454A7" w:rsidR="00773653">
        <w:rPr>
          <w:rFonts w:cs="Assistant"/>
        </w:rPr>
        <w:t>Plaintiff filed her opposition, which was accompanied by her counsel’s declaration.  The declaration attached plaintiff’s written demands to defendant for tender of the available policy limits in the amount of $275,000.  It also attached copies of medical bills and expenses</w:t>
      </w:r>
      <w:r w:rsidRPr="00FE78B8" w:rsidR="00FE78B8">
        <w:rPr>
          <w:rFonts w:cs="Assistant"/>
        </w:rPr>
        <w:t xml:space="preserve"> </w:t>
      </w:r>
      <w:r w:rsidRPr="006454A7" w:rsidR="00FE78B8">
        <w:rPr>
          <w:rFonts w:cs="Assistant"/>
        </w:rPr>
        <w:t>purportedly total</w:t>
      </w:r>
      <w:r w:rsidR="00FE78B8">
        <w:rPr>
          <w:rFonts w:cs="Assistant"/>
        </w:rPr>
        <w:t>ing</w:t>
      </w:r>
      <w:r w:rsidRPr="006454A7" w:rsidR="00FE78B8">
        <w:rPr>
          <w:rFonts w:cs="Assistant"/>
        </w:rPr>
        <w:t xml:space="preserve"> $30,451.98</w:t>
      </w:r>
      <w:r w:rsidR="00FE78B8">
        <w:rPr>
          <w:rFonts w:cs="Assistant"/>
        </w:rPr>
        <w:t xml:space="preserve"> as of August 2022</w:t>
      </w:r>
      <w:r w:rsidR="00B348C9">
        <w:rPr>
          <w:rFonts w:cs="Assistant"/>
        </w:rPr>
        <w:t>, which</w:t>
      </w:r>
      <w:r w:rsidRPr="006454A7" w:rsidR="00E2158C">
        <w:rPr>
          <w:rFonts w:cs="Assistant"/>
        </w:rPr>
        <w:t xml:space="preserve"> plaintiff </w:t>
      </w:r>
      <w:r w:rsidR="00FE78B8">
        <w:rPr>
          <w:rFonts w:cs="Assistant"/>
        </w:rPr>
        <w:t xml:space="preserve">had </w:t>
      </w:r>
      <w:r w:rsidRPr="006454A7" w:rsidR="00E2158C">
        <w:rPr>
          <w:rFonts w:cs="Assistant"/>
        </w:rPr>
        <w:t>incurred as a result of the accident</w:t>
      </w:r>
      <w:r w:rsidR="00FE78B8">
        <w:rPr>
          <w:rFonts w:cs="Assistant"/>
        </w:rPr>
        <w:t xml:space="preserve"> and she had produced in</w:t>
      </w:r>
      <w:r w:rsidRPr="006454A7" w:rsidR="00773653">
        <w:rPr>
          <w:rFonts w:cs="Assistant"/>
        </w:rPr>
        <w:t xml:space="preserve"> response to defendant’s discovery requests. </w:t>
      </w:r>
      <w:r w:rsidRPr="006454A7" w:rsidR="007143C4">
        <w:rPr>
          <w:rFonts w:cs="Assistant"/>
        </w:rPr>
        <w:t xml:space="preserve"> </w:t>
      </w:r>
    </w:p>
    <w:p w:rsidR="002B2077" w:rsidRPr="006454A7" w:rsidP="00D97D0B" w14:paraId="32B7CD5F" w14:textId="6B0997D9">
      <w:pPr>
        <w:widowControl w:val="0"/>
        <w:rPr>
          <w:rFonts w:cs="Assistant"/>
        </w:rPr>
      </w:pPr>
      <w:r w:rsidRPr="006454A7">
        <w:tab/>
      </w:r>
      <w:r w:rsidRPr="006454A7">
        <w:rPr>
          <w:rFonts w:cs="Assistant"/>
        </w:rPr>
        <w:t xml:space="preserve">In her opposition, plaintiff </w:t>
      </w:r>
      <w:r w:rsidR="00817AA5">
        <w:rPr>
          <w:rFonts w:cs="Assistant"/>
        </w:rPr>
        <w:t xml:space="preserve">argued that “[t]his case falls outside the </w:t>
      </w:r>
      <w:r w:rsidR="00F625C5">
        <w:rPr>
          <w:rFonts w:cs="Assistant"/>
        </w:rPr>
        <w:t>narrow</w:t>
      </w:r>
      <w:r w:rsidR="00824F9E">
        <w:rPr>
          <w:rFonts w:cs="Assistant"/>
        </w:rPr>
        <w:t xml:space="preserve"> </w:t>
      </w:r>
      <w:r w:rsidR="00817AA5">
        <w:rPr>
          <w:rFonts w:cs="Assistant"/>
        </w:rPr>
        <w:t xml:space="preserve">scope of </w:t>
      </w:r>
      <w:r w:rsidR="00824F9E">
        <w:rPr>
          <w:rFonts w:cs="Assistant"/>
        </w:rPr>
        <w:t>. . . section 11580.2 and</w:t>
      </w:r>
      <w:r w:rsidR="00F625C5">
        <w:rPr>
          <w:rFonts w:cs="Assistant"/>
        </w:rPr>
        <w:t xml:space="preserve">, simply, </w:t>
      </w:r>
      <w:r w:rsidR="00824F9E">
        <w:rPr>
          <w:rFonts w:cs="Assistant"/>
        </w:rPr>
        <w:t>does not present an arbitrable UM dispute.”  She maintained that</w:t>
      </w:r>
      <w:r w:rsidRPr="006454A7">
        <w:rPr>
          <w:rFonts w:cs="Assistant"/>
        </w:rPr>
        <w:t xml:space="preserve"> “arbitration cannot be compelled as to funds that </w:t>
      </w:r>
      <w:r w:rsidRPr="006454A7" w:rsidR="00DC2690">
        <w:rPr>
          <w:rFonts w:cs="Assistant"/>
        </w:rPr>
        <w:t xml:space="preserve">are </w:t>
      </w:r>
      <w:r w:rsidRPr="006454A7">
        <w:rPr>
          <w:rFonts w:cs="Assistant"/>
        </w:rPr>
        <w:t>undisputedly owed.”  (Capitalization omitted.)  According to plaintiff, defendant “cannot dispute that [she] is entitled to at least $30,451.98 for medical expenses on her UM claim</w:t>
      </w:r>
      <w:r w:rsidR="003713E5">
        <w:rPr>
          <w:rFonts w:cs="Assistant"/>
        </w:rPr>
        <w:t>.</w:t>
      </w:r>
      <w:r w:rsidR="00295290">
        <w:rPr>
          <w:rFonts w:cs="Assistant"/>
        </w:rPr>
        <w:t>”</w:t>
      </w:r>
      <w:r w:rsidR="006410D3">
        <w:rPr>
          <w:rFonts w:cs="Assistant"/>
        </w:rPr>
        <w:t xml:space="preserve"> </w:t>
      </w:r>
      <w:r w:rsidRPr="006454A7">
        <w:rPr>
          <w:rFonts w:cs="Assistant"/>
        </w:rPr>
        <w:t xml:space="preserve"> </w:t>
      </w:r>
      <w:r w:rsidR="00017880">
        <w:rPr>
          <w:rFonts w:cs="Assistant"/>
        </w:rPr>
        <w:t xml:space="preserve">She </w:t>
      </w:r>
      <w:r w:rsidR="003713E5">
        <w:rPr>
          <w:rFonts w:cs="Assistant"/>
        </w:rPr>
        <w:t xml:space="preserve">further </w:t>
      </w:r>
      <w:r w:rsidR="0095786D">
        <w:rPr>
          <w:rFonts w:cs="Assistant"/>
        </w:rPr>
        <w:t xml:space="preserve">asserted </w:t>
      </w:r>
      <w:r w:rsidR="005D19C1">
        <w:rPr>
          <w:rFonts w:cs="Assistant"/>
        </w:rPr>
        <w:t xml:space="preserve">defendant </w:t>
      </w:r>
      <w:r w:rsidR="00017880">
        <w:rPr>
          <w:rFonts w:cs="Assistant"/>
        </w:rPr>
        <w:t xml:space="preserve">“engaged in delay tactics to avoid payment.”  </w:t>
      </w:r>
      <w:r w:rsidRPr="006454A7">
        <w:rPr>
          <w:rFonts w:cs="Assistant"/>
        </w:rPr>
        <w:t xml:space="preserve">Defendant’s failure to pay </w:t>
      </w:r>
      <w:r w:rsidR="00017880">
        <w:rPr>
          <w:rFonts w:cs="Assistant"/>
        </w:rPr>
        <w:t xml:space="preserve">her </w:t>
      </w:r>
      <w:r w:rsidRPr="006454A7" w:rsidR="00017880">
        <w:rPr>
          <w:rFonts w:cs="Assistant"/>
        </w:rPr>
        <w:t>$30,451.98</w:t>
      </w:r>
      <w:r w:rsidRPr="006454A7">
        <w:rPr>
          <w:rFonts w:cs="Assistant"/>
        </w:rPr>
        <w:t xml:space="preserve">, plaintiff argued, “is a violation of [defendant’s] duty to Plaintiff” </w:t>
      </w:r>
      <w:r w:rsidR="00093297">
        <w:rPr>
          <w:rFonts w:cs="Assistant"/>
        </w:rPr>
        <w:t xml:space="preserve">and </w:t>
      </w:r>
      <w:r w:rsidRPr="006454A7">
        <w:rPr>
          <w:rFonts w:cs="Assistant"/>
        </w:rPr>
        <w:t>“is unacceptable and should not be condoned by allow</w:t>
      </w:r>
      <w:r w:rsidR="00590987">
        <w:rPr>
          <w:rFonts w:cs="Assistant"/>
        </w:rPr>
        <w:t>ing</w:t>
      </w:r>
      <w:r w:rsidRPr="006454A7">
        <w:rPr>
          <w:rFonts w:cs="Assistant"/>
        </w:rPr>
        <w:t xml:space="preserve"> [defendant</w:t>
      </w:r>
      <w:r w:rsidR="00287884">
        <w:rPr>
          <w:rFonts w:cs="Assistant"/>
        </w:rPr>
        <w:t>]</w:t>
      </w:r>
      <w:r w:rsidRPr="006454A7">
        <w:rPr>
          <w:rFonts w:cs="Assistant"/>
        </w:rPr>
        <w:t xml:space="preserve"> to hide behind arbitration.”  </w:t>
      </w:r>
    </w:p>
    <w:p w:rsidR="002B2077" w:rsidRPr="006454A7" w:rsidP="00D97D0B" w14:paraId="504E9319" w14:textId="0ED9D851">
      <w:pPr>
        <w:widowControl w:val="0"/>
        <w:rPr>
          <w:rFonts w:cs="Assistant"/>
          <w:i/>
          <w:iCs/>
        </w:rPr>
      </w:pPr>
      <w:r w:rsidRPr="006454A7">
        <w:rPr>
          <w:rFonts w:cs="Assistant"/>
        </w:rPr>
        <w:tab/>
        <w:t xml:space="preserve">Next, relying </w:t>
      </w:r>
      <w:r w:rsidR="004436EC">
        <w:rPr>
          <w:rFonts w:cs="Assistant"/>
        </w:rPr>
        <w:t>mainly</w:t>
      </w:r>
      <w:r w:rsidRPr="006454A7">
        <w:rPr>
          <w:rFonts w:cs="Assistant"/>
        </w:rPr>
        <w:t xml:space="preserve"> on </w:t>
      </w:r>
      <w:r w:rsidRPr="006454A7">
        <w:rPr>
          <w:rFonts w:cs="Assistant"/>
          <w:i/>
          <w:iCs/>
        </w:rPr>
        <w:t>Hightower v. Farmers Insurance</w:t>
      </w:r>
    </w:p>
    <w:p w:rsidR="002B2077" w:rsidRPr="006454A7" w:rsidP="00D97D0B" w14:paraId="716DFAE6" w14:textId="032FF844">
      <w:pPr>
        <w:widowControl w:val="0"/>
        <w:rPr>
          <w:rFonts w:cs="Assistant"/>
        </w:rPr>
      </w:pPr>
      <w:r w:rsidRPr="006454A7">
        <w:rPr>
          <w:rFonts w:cs="Assistant"/>
          <w:i/>
          <w:iCs/>
        </w:rPr>
        <w:t xml:space="preserve">Exchange </w:t>
      </w:r>
      <w:r w:rsidRPr="006454A7">
        <w:rPr>
          <w:rFonts w:cs="Assistant"/>
        </w:rPr>
        <w:t>(1995) 38 Cal.App.4th 853 (</w:t>
      </w:r>
      <w:r w:rsidRPr="006454A7">
        <w:rPr>
          <w:rFonts w:cs="Assistant"/>
          <w:i/>
          <w:iCs/>
        </w:rPr>
        <w:t>Hightower</w:t>
      </w:r>
      <w:r w:rsidRPr="006454A7">
        <w:rPr>
          <w:rFonts w:cs="Assistant"/>
        </w:rPr>
        <w:t xml:space="preserve">), plaintiff argued she “should not be required to complete arbitration proceedings prior to filing </w:t>
      </w:r>
      <w:r w:rsidR="00C66872">
        <w:rPr>
          <w:rFonts w:cs="Assistant"/>
        </w:rPr>
        <w:t>[</w:t>
      </w:r>
      <w:r w:rsidRPr="006454A7">
        <w:rPr>
          <w:rFonts w:cs="Assistant"/>
        </w:rPr>
        <w:t>her lawsuit</w:t>
      </w:r>
      <w:r w:rsidR="00C66872">
        <w:rPr>
          <w:rFonts w:cs="Assistant"/>
        </w:rPr>
        <w:t>]</w:t>
      </w:r>
      <w:r w:rsidRPr="006454A7">
        <w:rPr>
          <w:rFonts w:cs="Assistant"/>
        </w:rPr>
        <w:t>.</w:t>
      </w:r>
      <w:r w:rsidR="00C66872">
        <w:rPr>
          <w:rFonts w:cs="Assistant"/>
        </w:rPr>
        <w:t>”</w:t>
      </w:r>
      <w:r w:rsidRPr="006454A7">
        <w:rPr>
          <w:rFonts w:cs="Assistant"/>
        </w:rPr>
        <w:t xml:space="preserve">  She claimed that “[i]f an insurer breaches the insurance contract and/or engages in tort</w:t>
      </w:r>
      <w:r w:rsidR="0095786D">
        <w:rPr>
          <w:rFonts w:cs="Assistant"/>
        </w:rPr>
        <w:t>i</w:t>
      </w:r>
      <w:r w:rsidRPr="006454A7">
        <w:rPr>
          <w:rFonts w:cs="Assistant"/>
        </w:rPr>
        <w:t xml:space="preserve">ous conduct, as [defendant] has done here by delaying payment of undisputed funds, it should not be allowed a safe-harbor while the arbitration is being conducted.”  </w:t>
      </w:r>
    </w:p>
    <w:p w:rsidR="002B2077" w:rsidRPr="006454A7" w:rsidP="00D97D0B" w14:paraId="233F3B13" w14:textId="6253FE33">
      <w:pPr>
        <w:widowControl w:val="0"/>
        <w:rPr>
          <w:rFonts w:cs="Assistant"/>
        </w:rPr>
      </w:pPr>
      <w:r w:rsidRPr="006454A7">
        <w:rPr>
          <w:rFonts w:cs="Assistant"/>
        </w:rPr>
        <w:tab/>
        <w:t>Finally, plaintiff raised a waiver defense.  She argued that the trial court “can, and should, hold that [defendant’s] bad faith in refusing to pay its insured $30,451.98 undisputedly owed . . . has resulted in the waiver</w:t>
      </w:r>
      <w:r w:rsidRPr="006454A7">
        <w:rPr>
          <w:rFonts w:cs="Assistant"/>
          <w:i/>
          <w:iCs/>
        </w:rPr>
        <w:t xml:space="preserve"> </w:t>
      </w:r>
      <w:r w:rsidRPr="006454A7">
        <w:rPr>
          <w:rFonts w:cs="Assistant"/>
        </w:rPr>
        <w:t xml:space="preserve">of [defendant’s] right to compel arbitration of Plaintiff’s claim for payment of the $244,548.02 remaining in dispute under the $300,000.00 UM policy.”  (Italics omitted.) </w:t>
      </w:r>
    </w:p>
    <w:p w:rsidR="002B2077" w:rsidRPr="006454A7" w:rsidP="00D97D0B" w14:paraId="1FD17D7F" w14:textId="3769B96B">
      <w:pPr>
        <w:widowControl w:val="0"/>
        <w:rPr>
          <w:rFonts w:cs="Assistant"/>
        </w:rPr>
      </w:pPr>
      <w:r w:rsidRPr="006454A7">
        <w:rPr>
          <w:rFonts w:cs="Assistant"/>
        </w:rPr>
        <w:tab/>
        <w:t>Defendant filed a reply, asserting that plaintiff’s opposition made “two key factual misstatements.”  First, defendant argued</w:t>
      </w:r>
      <w:r w:rsidR="003A62C5">
        <w:rPr>
          <w:rFonts w:cs="Assistant"/>
        </w:rPr>
        <w:t xml:space="preserve"> </w:t>
      </w:r>
      <w:r w:rsidR="00F92956">
        <w:rPr>
          <w:rFonts w:cs="Assistant"/>
        </w:rPr>
        <w:t>that</w:t>
      </w:r>
      <w:r w:rsidRPr="006454A7">
        <w:rPr>
          <w:rFonts w:cs="Assistant"/>
        </w:rPr>
        <w:t xml:space="preserve"> contrary to plaintiff’s assertion, </w:t>
      </w:r>
      <w:r w:rsidR="003A62C5">
        <w:rPr>
          <w:rFonts w:cs="Assistant"/>
        </w:rPr>
        <w:t>it had in fact offered to pay</w:t>
      </w:r>
      <w:r w:rsidRPr="006454A7">
        <w:rPr>
          <w:rFonts w:cs="Assistant"/>
        </w:rPr>
        <w:t xml:space="preserve"> </w:t>
      </w:r>
      <w:r w:rsidR="003A62C5">
        <w:rPr>
          <w:rFonts w:cs="Assistant"/>
        </w:rPr>
        <w:t xml:space="preserve">plaintiff </w:t>
      </w:r>
      <w:r w:rsidRPr="006454A7" w:rsidR="003A62C5">
        <w:rPr>
          <w:rFonts w:cs="Assistant"/>
        </w:rPr>
        <w:t>$2,920</w:t>
      </w:r>
      <w:r w:rsidR="0024397B">
        <w:rPr>
          <w:rFonts w:cs="Assistant"/>
        </w:rPr>
        <w:t xml:space="preserve"> for medical expenses</w:t>
      </w:r>
      <w:r w:rsidRPr="006454A7">
        <w:rPr>
          <w:rFonts w:cs="Assistant"/>
        </w:rPr>
        <w:t xml:space="preserve">.  Second, defendant refuted plaintiff’s claim that </w:t>
      </w:r>
      <w:r w:rsidRPr="006454A7" w:rsidR="00A37CF7">
        <w:rPr>
          <w:rFonts w:cs="Assistant"/>
        </w:rPr>
        <w:t>$30,451.98</w:t>
      </w:r>
      <w:r w:rsidR="00A37CF7">
        <w:rPr>
          <w:rFonts w:cs="Assistant"/>
        </w:rPr>
        <w:t xml:space="preserve"> </w:t>
      </w:r>
      <w:r w:rsidRPr="006454A7">
        <w:rPr>
          <w:rFonts w:cs="Assistant"/>
        </w:rPr>
        <w:t xml:space="preserve">is “ ‘undisputedly owed’ ” to her.  Defendant explained:  “This case presents the complication of there being Medi-Cal insurance payments made for medical services related to the claim.  Defendant has asked Plaintiff to provide the Medi-Cal documentation, as Defendant acknowledges that the </w:t>
      </w:r>
      <w:r w:rsidRPr="006454A7">
        <w:rPr>
          <w:rFonts w:cs="Assistant"/>
          <w:i/>
          <w:iCs/>
        </w:rPr>
        <w:t>reduced amount</w:t>
      </w:r>
      <w:r w:rsidRPr="006454A7">
        <w:rPr>
          <w:rFonts w:cs="Assistant"/>
        </w:rPr>
        <w:t xml:space="preserve"> of Medi-Cal’s actual payments is legally owed.  However, Plaintiff has</w:t>
      </w:r>
      <w:r w:rsidR="005166AA">
        <w:rPr>
          <w:rFonts w:cs="Assistant"/>
        </w:rPr>
        <w:t>—</w:t>
      </w:r>
      <w:r w:rsidRPr="006454A7">
        <w:rPr>
          <w:rFonts w:cs="Assistant"/>
        </w:rPr>
        <w:t>and continues</w:t>
      </w:r>
      <w:r w:rsidR="005166AA">
        <w:rPr>
          <w:rFonts w:cs="Assistant"/>
        </w:rPr>
        <w:t>—</w:t>
      </w:r>
      <w:r w:rsidRPr="006454A7">
        <w:rPr>
          <w:rFonts w:cs="Assistant"/>
        </w:rPr>
        <w:t xml:space="preserve">to refuse to provide the Medi-Cal payment documentation, which would assist in quantifying the amount legally owed.”  Defendant </w:t>
      </w:r>
      <w:r w:rsidR="00056269">
        <w:rPr>
          <w:rFonts w:cs="Assistant"/>
        </w:rPr>
        <w:t xml:space="preserve">further </w:t>
      </w:r>
      <w:r w:rsidRPr="006454A7">
        <w:rPr>
          <w:rFonts w:cs="Assistant"/>
        </w:rPr>
        <w:t>denied any allegation that it had acted in bad faith.  It argued that “it is in fact Plaintiff who is ‘stonewall[ing]’ on providing [it] the Medi-Cal payment documentation.”  Defendant also contended that “[p]laintiff’s medical billing is nowhere near ‘plainly exceed[ing]’ policy limits</w:t>
      </w:r>
      <w:r w:rsidR="00DC2690">
        <w:rPr>
          <w:rFonts w:cs="Assistant"/>
        </w:rPr>
        <w:t> </w:t>
      </w:r>
      <w:r w:rsidRPr="006454A7">
        <w:rPr>
          <w:rFonts w:cs="Assistant"/>
        </w:rPr>
        <w:t>.</w:t>
      </w:r>
      <w:r w:rsidR="00DC2690">
        <w:rPr>
          <w:rFonts w:cs="Assistant"/>
        </w:rPr>
        <w:t> </w:t>
      </w:r>
      <w:r w:rsidRPr="006454A7">
        <w:rPr>
          <w:rFonts w:cs="Assistant"/>
        </w:rPr>
        <w:t>.</w:t>
      </w:r>
      <w:r w:rsidR="00DC2690">
        <w:rPr>
          <w:rFonts w:cs="Assistant"/>
        </w:rPr>
        <w:t> </w:t>
      </w:r>
      <w:r w:rsidRPr="006454A7">
        <w:rPr>
          <w:rFonts w:cs="Assistant"/>
        </w:rPr>
        <w:t>.</w:t>
      </w:r>
      <w:r w:rsidR="00DC2690">
        <w:rPr>
          <w:rFonts w:cs="Assistant"/>
        </w:rPr>
        <w:t> </w:t>
      </w:r>
      <w:r w:rsidRPr="006454A7">
        <w:rPr>
          <w:rFonts w:cs="Assistant"/>
        </w:rPr>
        <w:t xml:space="preserve">.”  </w:t>
      </w:r>
    </w:p>
    <w:p w:rsidR="00843587" w:rsidRPr="006454A7" w:rsidP="00D97D0B" w14:paraId="7AF992C3" w14:textId="29835985">
      <w:pPr>
        <w:widowControl w:val="0"/>
        <w:rPr>
          <w:rFonts w:cs="Assistant"/>
        </w:rPr>
      </w:pPr>
      <w:r w:rsidRPr="006454A7">
        <w:rPr>
          <w:rFonts w:cs="Assistant"/>
        </w:rPr>
        <w:tab/>
        <w:t>On April 4, after holding a hea</w:t>
      </w:r>
      <w:r w:rsidR="00E01774">
        <w:rPr>
          <w:rFonts w:cs="Assistant"/>
        </w:rPr>
        <w:t>r</w:t>
      </w:r>
      <w:r w:rsidRPr="006454A7">
        <w:rPr>
          <w:rFonts w:cs="Assistant"/>
        </w:rPr>
        <w:t xml:space="preserve">ing, the trial court issued its order denying the motion.  After setting forth the procedural </w:t>
      </w:r>
      <w:r w:rsidR="00F42F56">
        <w:rPr>
          <w:rFonts w:cs="Assistant"/>
        </w:rPr>
        <w:t>background</w:t>
      </w:r>
      <w:r w:rsidRPr="006454A7">
        <w:rPr>
          <w:rFonts w:cs="Assistant"/>
        </w:rPr>
        <w:t xml:space="preserve">, it cited </w:t>
      </w:r>
      <w:r w:rsidR="00230889">
        <w:rPr>
          <w:rFonts w:cs="Assistant"/>
        </w:rPr>
        <w:t xml:space="preserve">to a number of legal authorities, including </w:t>
      </w:r>
      <w:r w:rsidRPr="006454A7">
        <w:rPr>
          <w:rFonts w:cs="Assistant"/>
        </w:rPr>
        <w:t>section</w:t>
      </w:r>
      <w:r w:rsidR="00DC2690">
        <w:rPr>
          <w:rFonts w:cs="Assistant"/>
        </w:rPr>
        <w:t> </w:t>
      </w:r>
      <w:r w:rsidRPr="006454A7">
        <w:rPr>
          <w:rFonts w:cs="Assistant"/>
        </w:rPr>
        <w:t>11580.2</w:t>
      </w:r>
      <w:r w:rsidR="00975E9A">
        <w:rPr>
          <w:rFonts w:cs="Assistant"/>
        </w:rPr>
        <w:t xml:space="preserve"> and several cases</w:t>
      </w:r>
      <w:r w:rsidRPr="006454A7">
        <w:rPr>
          <w:rFonts w:cs="Assistant"/>
        </w:rPr>
        <w:t xml:space="preserve">.  One of those </w:t>
      </w:r>
      <w:r w:rsidR="00DF1ADB">
        <w:rPr>
          <w:rFonts w:cs="Assistant"/>
        </w:rPr>
        <w:t xml:space="preserve">cases </w:t>
      </w:r>
      <w:r w:rsidR="00A9352B">
        <w:rPr>
          <w:rFonts w:cs="Assistant"/>
        </w:rPr>
        <w:t xml:space="preserve">was </w:t>
      </w:r>
      <w:r w:rsidRPr="006454A7">
        <w:rPr>
          <w:rFonts w:cs="Assistant"/>
          <w:i/>
          <w:iCs/>
        </w:rPr>
        <w:t>High</w:t>
      </w:r>
      <w:r w:rsidR="00E42536">
        <w:rPr>
          <w:rFonts w:cs="Assistant"/>
          <w:i/>
          <w:iCs/>
        </w:rPr>
        <w:t>tower</w:t>
      </w:r>
      <w:r w:rsidRPr="006454A7">
        <w:rPr>
          <w:rFonts w:cs="Assistant"/>
        </w:rPr>
        <w:t xml:space="preserve">, </w:t>
      </w:r>
      <w:r w:rsidRPr="006454A7">
        <w:rPr>
          <w:rFonts w:cs="Assistant"/>
          <w:i/>
          <w:iCs/>
        </w:rPr>
        <w:t>supra</w:t>
      </w:r>
      <w:r w:rsidRPr="006454A7">
        <w:rPr>
          <w:rFonts w:cs="Assistant"/>
        </w:rPr>
        <w:t>, 38 Cal.App.4th 853</w:t>
      </w:r>
      <w:r w:rsidR="00C52E86">
        <w:rPr>
          <w:rFonts w:cs="Assistant"/>
        </w:rPr>
        <w:t xml:space="preserve">, which </w:t>
      </w:r>
      <w:r w:rsidR="00673E95">
        <w:rPr>
          <w:rFonts w:cs="Assistant"/>
        </w:rPr>
        <w:t xml:space="preserve">was </w:t>
      </w:r>
      <w:r w:rsidRPr="006454A7" w:rsidR="00673E95">
        <w:rPr>
          <w:rFonts w:cs="Assistant"/>
        </w:rPr>
        <w:t>cited in plaintiff’s opposition</w:t>
      </w:r>
      <w:r w:rsidR="00673E95">
        <w:rPr>
          <w:rFonts w:cs="Assistant"/>
        </w:rPr>
        <w:t xml:space="preserve"> and</w:t>
      </w:r>
      <w:r w:rsidRPr="006454A7" w:rsidR="00673E95">
        <w:rPr>
          <w:rFonts w:cs="Assistant"/>
        </w:rPr>
        <w:t xml:space="preserve"> </w:t>
      </w:r>
      <w:r w:rsidRPr="006454A7">
        <w:rPr>
          <w:rFonts w:cs="Assistant"/>
        </w:rPr>
        <w:t xml:space="preserve">“held, among other things, that an insurer is not entitled to immunity from claims for bad faith simply by requesting arbitration instead of settling the claim, and therefore cannot shield itself from such a claim simply by seeking arbitration.”  </w:t>
      </w:r>
      <w:r w:rsidR="00C32CDB">
        <w:rPr>
          <w:rFonts w:cs="Assistant"/>
        </w:rPr>
        <w:t xml:space="preserve">After citing to </w:t>
      </w:r>
      <w:r w:rsidRPr="00C32CDB" w:rsidR="00C32CDB">
        <w:rPr>
          <w:rFonts w:cs="Assistant"/>
          <w:i/>
          <w:iCs/>
        </w:rPr>
        <w:t>Hightower</w:t>
      </w:r>
      <w:r w:rsidR="00C32CDB">
        <w:rPr>
          <w:rFonts w:cs="Assistant"/>
        </w:rPr>
        <w:t>, though, t</w:t>
      </w:r>
      <w:r w:rsidRPr="00C32CDB">
        <w:rPr>
          <w:rFonts w:cs="Assistant"/>
        </w:rPr>
        <w:t>he</w:t>
      </w:r>
      <w:r w:rsidRPr="006454A7">
        <w:rPr>
          <w:rFonts w:cs="Assistant"/>
        </w:rPr>
        <w:t xml:space="preserve"> court acknowledged</w:t>
      </w:r>
      <w:r w:rsidR="00C32CDB">
        <w:rPr>
          <w:rFonts w:cs="Assistant"/>
        </w:rPr>
        <w:t xml:space="preserve"> t</w:t>
      </w:r>
      <w:r w:rsidRPr="006454A7">
        <w:rPr>
          <w:rFonts w:cs="Assistant"/>
        </w:rPr>
        <w:t xml:space="preserve">hat </w:t>
      </w:r>
      <w:r w:rsidRPr="006454A7">
        <w:rPr>
          <w:rFonts w:cs="Assistant"/>
          <w:i/>
          <w:iCs/>
        </w:rPr>
        <w:t xml:space="preserve">Hightower </w:t>
      </w:r>
      <w:r w:rsidRPr="006454A7">
        <w:rPr>
          <w:rFonts w:cs="Assistant"/>
        </w:rPr>
        <w:t>“was not</w:t>
      </w:r>
      <w:r w:rsidR="00C32CDB">
        <w:rPr>
          <w:rFonts w:cs="Assistant"/>
        </w:rPr>
        <w:t xml:space="preserve">, however, </w:t>
      </w:r>
      <w:r w:rsidRPr="006454A7">
        <w:rPr>
          <w:rFonts w:cs="Assistant"/>
        </w:rPr>
        <w:t xml:space="preserve">faced with a question of whether to order arbitration of an action involving a claim of bad faith, or how to determine such a question.”  </w:t>
      </w:r>
    </w:p>
    <w:p w:rsidR="002B2077" w:rsidRPr="006454A7" w:rsidP="00D97D0B" w14:paraId="1713FFF7" w14:textId="2F0DFE23">
      <w:pPr>
        <w:widowControl w:val="0"/>
        <w:rPr>
          <w:rFonts w:cs="Assistant"/>
        </w:rPr>
      </w:pPr>
      <w:r w:rsidRPr="006454A7">
        <w:rPr>
          <w:rFonts w:cs="Assistant"/>
        </w:rPr>
        <w:tab/>
      </w:r>
      <w:r w:rsidR="002D3D54">
        <w:rPr>
          <w:rFonts w:cs="Assistant"/>
        </w:rPr>
        <w:t>Interestingly, a</w:t>
      </w:r>
      <w:r w:rsidRPr="006454A7">
        <w:rPr>
          <w:rFonts w:cs="Assistant"/>
        </w:rPr>
        <w:t xml:space="preserve">nother case the trial court cited to was </w:t>
      </w:r>
      <w:r w:rsidRPr="006454A7">
        <w:rPr>
          <w:rFonts w:cs="Assistant"/>
          <w:i/>
          <w:iCs/>
        </w:rPr>
        <w:t xml:space="preserve">McIsaac v. Foremost Ins. Co. Grand Rapids, Michigan </w:t>
      </w:r>
      <w:r w:rsidRPr="006454A7">
        <w:rPr>
          <w:rFonts w:cs="Assistant"/>
        </w:rPr>
        <w:t>(2021) 64 Cal.App.5th 418 (</w:t>
      </w:r>
      <w:r w:rsidRPr="006454A7">
        <w:rPr>
          <w:rFonts w:cs="Assistant"/>
          <w:i/>
          <w:iCs/>
        </w:rPr>
        <w:t>McIsaac</w:t>
      </w:r>
      <w:r w:rsidRPr="006454A7">
        <w:rPr>
          <w:rFonts w:cs="Assistant"/>
        </w:rPr>
        <w:t xml:space="preserve">), which “held that an insurer was entitled to arbitration under </w:t>
      </w:r>
      <w:r w:rsidR="006C05D6">
        <w:rPr>
          <w:rFonts w:cs="Assistant"/>
        </w:rPr>
        <w:t>. . .</w:t>
      </w:r>
      <w:r w:rsidRPr="006454A7">
        <w:rPr>
          <w:rFonts w:cs="Assistant"/>
        </w:rPr>
        <w:t xml:space="preserve"> section 11580.2</w:t>
      </w:r>
      <w:r w:rsidR="006C05D6">
        <w:rPr>
          <w:rFonts w:cs="Assistant"/>
        </w:rPr>
        <w:t>(f)</w:t>
      </w:r>
      <w:r w:rsidR="00E42536">
        <w:rPr>
          <w:rFonts w:cs="Assistant"/>
        </w:rPr>
        <w:t>”</w:t>
      </w:r>
      <w:r w:rsidRPr="006454A7">
        <w:rPr>
          <w:rFonts w:cs="Assistant"/>
        </w:rPr>
        <w:t xml:space="preserve"> where there was a dispute over the amount of damages owed to the plaintiff, even though the plaintiff had brought a bad faith claim against the insurer.  </w:t>
      </w:r>
    </w:p>
    <w:p w:rsidR="00F54530" w:rsidRPr="006454A7" w:rsidP="00D97D0B" w14:paraId="7260DB72" w14:textId="7A73BF13">
      <w:pPr>
        <w:widowControl w:val="0"/>
        <w:ind w:firstLine="720"/>
        <w:rPr>
          <w:rFonts w:cs="Assistant"/>
        </w:rPr>
      </w:pPr>
      <w:r w:rsidRPr="006454A7">
        <w:rPr>
          <w:rFonts w:cs="Assistant"/>
        </w:rPr>
        <w:t>The court then stated its reasons for denying the motion</w:t>
      </w:r>
      <w:r w:rsidR="00424B38">
        <w:rPr>
          <w:rFonts w:cs="Assistant"/>
        </w:rPr>
        <w:t xml:space="preserve"> as follows</w:t>
      </w:r>
      <w:r w:rsidRPr="006454A7">
        <w:rPr>
          <w:rFonts w:cs="Assistant"/>
        </w:rPr>
        <w:t xml:space="preserve">:  </w:t>
      </w:r>
    </w:p>
    <w:p w:rsidR="00F54530" w:rsidRPr="006454A7" w:rsidP="00D97D0B" w14:paraId="08CFA00D" w14:textId="46DB4EBE">
      <w:pPr>
        <w:widowControl w:val="0"/>
        <w:contextualSpacing/>
        <w:rPr>
          <w:rFonts w:cs="Assistant"/>
        </w:rPr>
      </w:pPr>
      <w:r w:rsidRPr="006454A7">
        <w:rPr>
          <w:rFonts w:cs="Assistant"/>
        </w:rPr>
        <w:tab/>
        <w:t xml:space="preserve">“Plaintiff’s claims involve different alleged wrongdoing and disputes.  She alleges </w:t>
      </w:r>
      <w:r w:rsidR="000F2563">
        <w:rPr>
          <w:rFonts w:cs="Assistant"/>
        </w:rPr>
        <w:t>[in her opposition]</w:t>
      </w:r>
      <w:r w:rsidR="002E088E">
        <w:rPr>
          <w:rFonts w:cs="Assistant"/>
        </w:rPr>
        <w:t xml:space="preserve"> . . . </w:t>
      </w:r>
      <w:r w:rsidR="00326EDA">
        <w:rPr>
          <w:rFonts w:cs="Assistant"/>
        </w:rPr>
        <w:t>,</w:t>
      </w:r>
      <w:r w:rsidR="000F2563">
        <w:rPr>
          <w:rFonts w:cs="Assistant"/>
        </w:rPr>
        <w:t xml:space="preserve"> </w:t>
      </w:r>
      <w:r w:rsidRPr="006454A7">
        <w:rPr>
          <w:rFonts w:cs="Assistant"/>
        </w:rPr>
        <w:t xml:space="preserve">and provides evidence demonstrating, that after she made a demand under the Policy, Defendant unreasonably failed to investigate the claim or settle the claim, Defendant has failed to make any effort to address Plaintiff’s request for payment, resolve the matter in any way, or pay any funds whatsoever, even though Plaintiff demonstrated that her medical bills and expenses amount to $30,451.98, so that she is unequivocally entitled to at least that amount.” </w:t>
      </w:r>
    </w:p>
    <w:p w:rsidR="00F54530" w:rsidRPr="006454A7" w:rsidP="00D97D0B" w14:paraId="203BBB1C" w14:textId="6668BA8B">
      <w:pPr>
        <w:widowControl w:val="0"/>
        <w:contextualSpacing/>
        <w:rPr>
          <w:rFonts w:cs="Assistant"/>
        </w:rPr>
      </w:pPr>
      <w:r w:rsidRPr="006454A7">
        <w:rPr>
          <w:rFonts w:cs="Assistant"/>
        </w:rPr>
        <w:tab/>
        <w:t>“Defendant for its part makes no effort in its moving papers to demonstrate that the dispute is over simple coverage or the amount to which Plaintiff is entitled.  In short, is [</w:t>
      </w:r>
      <w:r w:rsidRPr="006454A7">
        <w:rPr>
          <w:rFonts w:cs="Assistant"/>
          <w:i/>
          <w:iCs/>
        </w:rPr>
        <w:t>sic</w:t>
      </w:r>
      <w:r w:rsidRPr="006454A7">
        <w:rPr>
          <w:rFonts w:cs="Assistant"/>
        </w:rPr>
        <w:t xml:space="preserve">] has done nothing to show that this is within the ambit of Ins. Code section 11580.2(f)’s arbitration coverage or that this is not, as Plaintiff alleges, at its root a dispute over alleged bad-faith handing of Plaintiff’s claims.  Defendant in its moving papers completely ignores the fact that Plaintiff had alleged bad faith refusal to treat </w:t>
      </w:r>
      <w:r w:rsidR="00E93EA0">
        <w:rPr>
          <w:rFonts w:cs="Assistant"/>
        </w:rPr>
        <w:t>[</w:t>
      </w:r>
      <w:r w:rsidRPr="00E93EA0" w:rsidR="00E93EA0">
        <w:rPr>
          <w:rFonts w:cs="Assistant"/>
          <w:i/>
          <w:iCs/>
        </w:rPr>
        <w:t>sic</w:t>
      </w:r>
      <w:r w:rsidR="00E93EA0">
        <w:rPr>
          <w:rFonts w:cs="Assistant"/>
        </w:rPr>
        <w:t xml:space="preserve">] </w:t>
      </w:r>
      <w:r w:rsidRPr="00E93EA0">
        <w:rPr>
          <w:rFonts w:cs="Assistant"/>
        </w:rPr>
        <w:t>with</w:t>
      </w:r>
      <w:r w:rsidRPr="006454A7">
        <w:rPr>
          <w:rFonts w:cs="Assistant"/>
        </w:rPr>
        <w:t xml:space="preserve"> her or pay anything at all, in the face of a clear right to some payment, and does not address the issue in any manner or provide any evidence at all regarding the issue.  Moreover, unlike the insurer in </w:t>
      </w:r>
      <w:r w:rsidRPr="006454A7">
        <w:rPr>
          <w:rFonts w:cs="Assistant"/>
          <w:i/>
          <w:iCs/>
        </w:rPr>
        <w:t>McIsaac</w:t>
      </w:r>
      <w:r w:rsidRPr="006454A7">
        <w:rPr>
          <w:rFonts w:cs="Assistant"/>
        </w:rPr>
        <w:t xml:space="preserve">, defendant </w:t>
      </w:r>
      <w:r w:rsidR="00B55142">
        <w:rPr>
          <w:rFonts w:cs="Assistant"/>
        </w:rPr>
        <w:t xml:space="preserve">here </w:t>
      </w:r>
      <w:r w:rsidRPr="006454A7">
        <w:rPr>
          <w:rFonts w:cs="Assistant"/>
        </w:rPr>
        <w:t>expressly seeks to submit the entire dispute to arbitration, simply stating in its motion, at 1:24-26, that i</w:t>
      </w:r>
      <w:r w:rsidR="00D97D0B">
        <w:rPr>
          <w:rFonts w:cs="Assistant"/>
        </w:rPr>
        <w:t>t</w:t>
      </w:r>
      <w:r w:rsidRPr="006454A7">
        <w:rPr>
          <w:rFonts w:cs="Assistant"/>
        </w:rPr>
        <w:t xml:space="preserve"> move</w:t>
      </w:r>
      <w:r w:rsidR="00B55142">
        <w:rPr>
          <w:rFonts w:cs="Assistant"/>
        </w:rPr>
        <w:t>s</w:t>
      </w:r>
      <w:r w:rsidRPr="006454A7">
        <w:rPr>
          <w:rFonts w:cs="Assistant"/>
        </w:rPr>
        <w:t xml:space="preserve"> ‘the Court for an order compelling arbitration of the present dispute between Defendant and Plaintiff . . . .’  Nowhere in its moving papers does it specify that there is a dispute over the amount, much less that is seeks to compel only that dispute to arbitration, while staying the litigation as to the claim of bad faith.”  </w:t>
      </w:r>
    </w:p>
    <w:p w:rsidR="00F54530" w:rsidRPr="006454A7" w:rsidP="00D97D0B" w14:paraId="2E85F757" w14:textId="361DA135">
      <w:pPr>
        <w:widowControl w:val="0"/>
        <w:contextualSpacing/>
        <w:rPr>
          <w:rFonts w:cs="Assistant"/>
        </w:rPr>
      </w:pPr>
      <w:r w:rsidRPr="006454A7">
        <w:rPr>
          <w:rFonts w:cs="Assistant"/>
        </w:rPr>
        <w:tab/>
        <w:t xml:space="preserve">The court went on, “Defendant’s reply papers do at least purport to address the issue, but this is utterly insufficient.” </w:t>
      </w:r>
      <w:r w:rsidR="00B66F7F">
        <w:rPr>
          <w:rFonts w:cs="Assistant"/>
        </w:rPr>
        <w:t xml:space="preserve"> After </w:t>
      </w:r>
      <w:r w:rsidR="008B3E2C">
        <w:rPr>
          <w:rFonts w:cs="Assistant"/>
        </w:rPr>
        <w:t>stating</w:t>
      </w:r>
      <w:r w:rsidRPr="006454A7" w:rsidR="003B7BC6">
        <w:rPr>
          <w:rFonts w:cs="Assistant"/>
        </w:rPr>
        <w:t xml:space="preserve"> </w:t>
      </w:r>
      <w:r w:rsidR="009116F1">
        <w:rPr>
          <w:rFonts w:cs="Assistant"/>
        </w:rPr>
        <w:t>defendant had “the burden here of showing the arbitration applies to the claims</w:t>
      </w:r>
      <w:r w:rsidR="00B66F7F">
        <w:rPr>
          <w:rFonts w:cs="Assistant"/>
        </w:rPr>
        <w:t>,</w:t>
      </w:r>
      <w:r w:rsidR="009116F1">
        <w:rPr>
          <w:rFonts w:cs="Assistant"/>
        </w:rPr>
        <w:t>”</w:t>
      </w:r>
      <w:r w:rsidR="00B66F7F">
        <w:rPr>
          <w:rFonts w:cs="Assistant"/>
        </w:rPr>
        <w:t xml:space="preserve"> it found that it failed to do so in its moving papers and “cannot now cure this defe</w:t>
      </w:r>
      <w:r w:rsidR="008B3E2C">
        <w:rPr>
          <w:rFonts w:cs="Assistant"/>
        </w:rPr>
        <w:t>ct</w:t>
      </w:r>
      <w:r w:rsidR="00B66F7F">
        <w:rPr>
          <w:rFonts w:cs="Assistant"/>
        </w:rPr>
        <w:t xml:space="preserve"> by addressing it </w:t>
      </w:r>
      <w:r w:rsidR="00B55142">
        <w:rPr>
          <w:rFonts w:cs="Assistant"/>
        </w:rPr>
        <w:t xml:space="preserve">in </w:t>
      </w:r>
      <w:r w:rsidR="00B66F7F">
        <w:rPr>
          <w:rFonts w:cs="Assistant"/>
        </w:rPr>
        <w:t>its reply</w:t>
      </w:r>
      <w:r w:rsidR="008B3E2C">
        <w:rPr>
          <w:rFonts w:cs="Assistant"/>
        </w:rPr>
        <w:t>.”</w:t>
      </w:r>
      <w:r w:rsidR="009116F1">
        <w:rPr>
          <w:rFonts w:cs="Assistant"/>
        </w:rPr>
        <w:t xml:space="preserve"> </w:t>
      </w:r>
      <w:r w:rsidR="008B3E2C">
        <w:rPr>
          <w:rFonts w:cs="Assistant"/>
        </w:rPr>
        <w:t xml:space="preserve"> </w:t>
      </w:r>
      <w:r w:rsidR="00B66F7F">
        <w:rPr>
          <w:rFonts w:cs="Assistant"/>
        </w:rPr>
        <w:t>The</w:t>
      </w:r>
      <w:r w:rsidRPr="006454A7" w:rsidR="0064434C">
        <w:rPr>
          <w:rFonts w:cs="Assistant"/>
        </w:rPr>
        <w:t xml:space="preserve"> court</w:t>
      </w:r>
      <w:r w:rsidR="00B901AB">
        <w:rPr>
          <w:rFonts w:cs="Assistant"/>
        </w:rPr>
        <w:t>, however,</w:t>
      </w:r>
      <w:r w:rsidRPr="006454A7" w:rsidR="0064434C">
        <w:rPr>
          <w:rFonts w:cs="Assistant"/>
        </w:rPr>
        <w:t xml:space="preserve"> concluded that in any event “</w:t>
      </w:r>
      <w:r w:rsidRPr="006454A7" w:rsidR="00D2788D">
        <w:rPr>
          <w:rFonts w:cs="Assistant"/>
        </w:rPr>
        <w:t xml:space="preserve">the arguments and information set forth in the reply papers fail to resolve the issue in Defendant’s favor.” </w:t>
      </w:r>
      <w:r w:rsidR="008F371E">
        <w:rPr>
          <w:rFonts w:cs="Assistant"/>
        </w:rPr>
        <w:t xml:space="preserve"> </w:t>
      </w:r>
      <w:r w:rsidRPr="00F0337F" w:rsidR="00F0337F">
        <w:rPr>
          <w:rFonts w:cs="Assistant"/>
        </w:rPr>
        <w:t xml:space="preserve">In particular, the court addressed defendant’s claim that it had offered </w:t>
      </w:r>
      <w:r w:rsidR="00424B38">
        <w:rPr>
          <w:rFonts w:cs="Assistant"/>
        </w:rPr>
        <w:t xml:space="preserve">to pay </w:t>
      </w:r>
      <w:r w:rsidRPr="00F0337F" w:rsidR="00F0337F">
        <w:rPr>
          <w:rFonts w:cs="Assistant"/>
        </w:rPr>
        <w:t>plaintiff $2,920</w:t>
      </w:r>
      <w:r w:rsidR="00424B38">
        <w:rPr>
          <w:rFonts w:cs="Assistant"/>
        </w:rPr>
        <w:t xml:space="preserve"> for medical expenses</w:t>
      </w:r>
      <w:r w:rsidRPr="00F0337F" w:rsidR="00F0337F">
        <w:rPr>
          <w:rFonts w:cs="Assistant"/>
        </w:rPr>
        <w:t xml:space="preserve">, finding that “if plaintiff, as a result of the accident, in fact clearly had medical bills which exceeded the amount offered and was accordingly entitled to something greater, Defendant cannot simply offer less and claim that this is a mere dispute over the amount owed.” </w:t>
      </w:r>
      <w:r w:rsidR="0062186A">
        <w:rPr>
          <w:rFonts w:cs="Assistant"/>
        </w:rPr>
        <w:t xml:space="preserve"> </w:t>
      </w:r>
    </w:p>
    <w:p w:rsidR="006B696F" w:rsidRPr="006454A7" w:rsidP="00D97D0B" w14:paraId="185293E8" w14:textId="29BE4386">
      <w:pPr>
        <w:widowControl w:val="0"/>
        <w:contextualSpacing/>
        <w:rPr>
          <w:rFonts w:cs="Assistant"/>
        </w:rPr>
      </w:pPr>
      <w:r w:rsidRPr="006454A7">
        <w:rPr>
          <w:rFonts w:cs="Assistant"/>
        </w:rPr>
        <w:tab/>
        <w:t>Finally, the court stated, “Although the</w:t>
      </w:r>
      <w:r w:rsidR="0000227F">
        <w:rPr>
          <w:rFonts w:cs="Assistant"/>
        </w:rPr>
        <w:t>re</w:t>
      </w:r>
      <w:r w:rsidRPr="006454A7">
        <w:rPr>
          <w:rFonts w:cs="Assistant"/>
        </w:rPr>
        <w:t xml:space="preserve"> may ultimately be a dispute about the amount owed, at the present the claim is based on a simple refusal to pay anything, despite clear and unequivocally [</w:t>
      </w:r>
      <w:r w:rsidRPr="006454A7">
        <w:rPr>
          <w:rFonts w:cs="Assistant"/>
          <w:i/>
          <w:iCs/>
        </w:rPr>
        <w:t>sic</w:t>
      </w:r>
      <w:r w:rsidRPr="006454A7">
        <w:rPr>
          <w:rFonts w:cs="Assistant"/>
        </w:rPr>
        <w:t xml:space="preserve">] evidence showing that Plaintiff is entitled to some payment, or to settle or engage with Plaintiff in any way.”  </w:t>
      </w:r>
    </w:p>
    <w:p w:rsidR="003947B1" w:rsidRPr="006454A7" w:rsidP="00D97D0B" w14:paraId="65E70384" w14:textId="03313A49">
      <w:pPr>
        <w:widowControl w:val="0"/>
        <w:contextualSpacing/>
      </w:pPr>
      <w:r w:rsidRPr="006454A7">
        <w:rPr>
          <w:rFonts w:cs="Assistant"/>
        </w:rPr>
        <w:tab/>
        <w:t>On April 7, defendant appealed.</w:t>
      </w:r>
      <w:r>
        <w:rPr>
          <w:rStyle w:val="FootnoteReference"/>
          <w:rFonts w:cs="Assistant"/>
        </w:rPr>
        <w:footnoteReference w:id="4"/>
      </w:r>
      <w:r w:rsidRPr="006454A7">
        <w:rPr>
          <w:rFonts w:cs="Assistant"/>
        </w:rPr>
        <w:t xml:space="preserve">  </w:t>
      </w:r>
      <w:r w:rsidRPr="003A55FE" w:rsidR="0073685B">
        <w:rPr>
          <w:rFonts w:cs="Assistant"/>
        </w:rPr>
        <w:t xml:space="preserve">Plaintiff did not file a respondent’s brief, and so we will “decide the appeal on the record, the opening brief, and any oral argument by [defendant].”  (Cal. Rules of Court, rule 8.220(a)(2).)  </w:t>
      </w:r>
      <w:r w:rsidR="0073685B">
        <w:rPr>
          <w:rFonts w:cs="Assistant"/>
        </w:rPr>
        <w:t xml:space="preserve"> </w:t>
      </w:r>
    </w:p>
    <w:p w:rsidR="00F25B9E" w:rsidRPr="006454A7" w:rsidP="00D97D0B" w14:paraId="7A21F047" w14:textId="44198D74">
      <w:pPr>
        <w:pStyle w:val="Heading1"/>
        <w:widowControl w:val="0"/>
        <w:rPr>
          <w:rFonts w:ascii="Century Schoolbook" w:hAnsi="Century Schoolbook"/>
        </w:rPr>
      </w:pPr>
      <w:r w:rsidRPr="006454A7">
        <w:rPr>
          <w:rFonts w:ascii="Century Schoolbook" w:hAnsi="Century Schoolbook"/>
        </w:rPr>
        <w:t>DISCUSSION</w:t>
      </w:r>
    </w:p>
    <w:p w:rsidR="00F862F8" w:rsidRPr="006454A7" w:rsidP="00D97D0B" w14:paraId="565907BE" w14:textId="5D05E43C">
      <w:pPr>
        <w:widowControl w:val="0"/>
        <w:ind w:firstLine="720"/>
        <w:rPr>
          <w:rFonts w:cs="Noto Sans"/>
        </w:rPr>
      </w:pPr>
      <w:r w:rsidRPr="006454A7">
        <w:rPr>
          <w:rFonts w:cs="Noto Sans"/>
        </w:rPr>
        <w:t xml:space="preserve">Defendant contends the trial court erred in denying its motion to compel arbitration because it was entitled to arbitrate the amount of plaintiff’s UIM </w:t>
      </w:r>
      <w:r w:rsidR="00F762ED">
        <w:rPr>
          <w:rFonts w:cs="Noto Sans"/>
        </w:rPr>
        <w:t xml:space="preserve">claim </w:t>
      </w:r>
      <w:r w:rsidRPr="006454A7">
        <w:rPr>
          <w:rFonts w:cs="Noto Sans"/>
        </w:rPr>
        <w:t xml:space="preserve">under section 11580.2, subdivision (f) and the terms of </w:t>
      </w:r>
      <w:r w:rsidR="00813133">
        <w:rPr>
          <w:rFonts w:cs="Noto Sans"/>
        </w:rPr>
        <w:t>the</w:t>
      </w:r>
      <w:r w:rsidRPr="006454A7">
        <w:rPr>
          <w:rFonts w:cs="Noto Sans"/>
        </w:rPr>
        <w:t xml:space="preserve"> policy.  Defendant also </w:t>
      </w:r>
      <w:r w:rsidRPr="006454A7" w:rsidR="008E5AF1">
        <w:rPr>
          <w:rFonts w:cs="Noto Sans"/>
        </w:rPr>
        <w:t xml:space="preserve">argues that </w:t>
      </w:r>
      <w:r w:rsidRPr="006454A7" w:rsidR="00EA7394">
        <w:rPr>
          <w:rFonts w:cs="Noto Sans"/>
        </w:rPr>
        <w:t xml:space="preserve">it did not waive the right to compel arbitration, an issue that </w:t>
      </w:r>
      <w:r w:rsidR="00327E8C">
        <w:rPr>
          <w:rFonts w:cs="Noto Sans"/>
        </w:rPr>
        <w:t xml:space="preserve">plaintiff raised in her </w:t>
      </w:r>
      <w:r w:rsidR="00F92956">
        <w:rPr>
          <w:rFonts w:cs="Noto Sans"/>
        </w:rPr>
        <w:t>opposition,</w:t>
      </w:r>
      <w:r w:rsidR="00327E8C">
        <w:rPr>
          <w:rFonts w:cs="Noto Sans"/>
        </w:rPr>
        <w:t xml:space="preserve"> but </w:t>
      </w:r>
      <w:r w:rsidRPr="006454A7" w:rsidR="00EA7394">
        <w:rPr>
          <w:rFonts w:cs="Noto Sans"/>
        </w:rPr>
        <w:t xml:space="preserve">the trial court did not reach. </w:t>
      </w:r>
      <w:r w:rsidRPr="006454A7">
        <w:rPr>
          <w:rFonts w:cs="Noto Sans"/>
        </w:rPr>
        <w:t xml:space="preserve"> </w:t>
      </w:r>
    </w:p>
    <w:p w:rsidR="00942467" w:rsidRPr="006454A7" w:rsidP="00D97D0B" w14:paraId="07A06C85" w14:textId="1230C054">
      <w:pPr>
        <w:pStyle w:val="Heading2"/>
        <w:widowControl w:val="0"/>
        <w:rPr>
          <w:rFonts w:ascii="Century Schoolbook" w:hAnsi="Century Schoolbook"/>
        </w:rPr>
      </w:pPr>
      <w:r w:rsidRPr="006454A7">
        <w:rPr>
          <w:rFonts w:ascii="Century Schoolbook" w:hAnsi="Century Schoolbook"/>
        </w:rPr>
        <w:t xml:space="preserve">General Legal Principles and Standard of Review </w:t>
      </w:r>
    </w:p>
    <w:p w:rsidR="00F5701A" w:rsidP="00D97D0B" w14:paraId="0E16796B" w14:textId="74BCFFB7">
      <w:pPr>
        <w:widowControl w:val="0"/>
        <w:ind w:firstLine="720"/>
      </w:pPr>
      <w:r>
        <w:t xml:space="preserve">Petitions or motions to compel arbitration are governed by </w:t>
      </w:r>
      <w:r w:rsidRPr="006454A7" w:rsidR="008C22E7">
        <w:t>Code of Civil Procedure section 1281.2</w:t>
      </w:r>
      <w:r>
        <w:t>, which states</w:t>
      </w:r>
      <w:r w:rsidR="00A20081">
        <w:t>:  “</w:t>
      </w:r>
      <w:r w:rsidRPr="00A20081" w:rsidR="00A20081">
        <w:t xml:space="preserve">On petition of a party to an arbitration agreement alleging the existence of a written agreement to arbitrate a controversy and that a party to the agreement refuses to arbitrate that controversy, </w:t>
      </w:r>
      <w:r w:rsidRPr="006454A7" w:rsidR="008C22E7">
        <w:t xml:space="preserve">the court </w:t>
      </w:r>
      <w:r w:rsidRPr="006454A7" w:rsidR="008C22E7">
        <w:rPr>
          <w:i/>
          <w:iCs/>
        </w:rPr>
        <w:t>shall</w:t>
      </w:r>
      <w:r w:rsidRPr="006454A7" w:rsidR="008C22E7">
        <w:t xml:space="preserve"> order the petitioner and the respondent to arbitrate the controversy if it determines that an agreement to arbitrate the controversy exists</w:t>
      </w:r>
      <w:r>
        <w:t xml:space="preserve">, </w:t>
      </w:r>
      <w:r w:rsidRPr="005A2EFA">
        <w:t xml:space="preserve">unless it determines that: [¶] (a) [t]he right to compel arbitration has been waived by the petitioner; or [¶] (b) [g]rounds exist for the </w:t>
      </w:r>
      <w:r w:rsidR="003B710C">
        <w:t xml:space="preserve">recission </w:t>
      </w:r>
      <w:r w:rsidRPr="005A2EFA">
        <w:t>of the agreement.”</w:t>
      </w:r>
      <w:r>
        <w:t xml:space="preserve">  </w:t>
      </w:r>
      <w:r w:rsidRPr="006454A7" w:rsidR="005E1C24">
        <w:t xml:space="preserve">(Italics added.)  </w:t>
      </w:r>
    </w:p>
    <w:p w:rsidR="00F5701A" w:rsidRPr="00F020F0" w:rsidP="00D97D0B" w14:paraId="06B55B9D" w14:textId="0DD56AE9">
      <w:pPr>
        <w:widowControl w:val="0"/>
        <w:ind w:firstLine="720"/>
        <w:rPr>
          <w:rFonts w:cs="Assistant"/>
        </w:rPr>
      </w:pPr>
      <w:r w:rsidRPr="006454A7">
        <w:rPr>
          <w:rFonts w:cs="Assistant"/>
        </w:rPr>
        <w:t>“The petitioner bears the burden of proving the existence of a valid arbitration agreement by the preponderance of the evidence, and a party opposing the petition bears the burden of proving by a preponderance of the evidence any fact necessary to its defense.”  (</w:t>
      </w:r>
      <w:r w:rsidRPr="006454A7">
        <w:rPr>
          <w:rFonts w:cs="Assistant"/>
          <w:i/>
          <w:iCs/>
        </w:rPr>
        <w:t>Engalla v. Permanente Medical Group, Inc.</w:t>
      </w:r>
      <w:r w:rsidRPr="006454A7">
        <w:rPr>
          <w:rFonts w:cs="Assistant"/>
        </w:rPr>
        <w:t xml:space="preserve"> (1997) 15 Cal.4th 951, 972</w:t>
      </w:r>
      <w:r>
        <w:rPr>
          <w:rFonts w:cs="Assistant"/>
        </w:rPr>
        <w:t xml:space="preserve"> (</w:t>
      </w:r>
      <w:r w:rsidRPr="00FC0D04">
        <w:rPr>
          <w:rFonts w:cs="Assistant"/>
          <w:i/>
          <w:iCs/>
        </w:rPr>
        <w:t>Engalla</w:t>
      </w:r>
      <w:r>
        <w:rPr>
          <w:rFonts w:cs="Assistant"/>
        </w:rPr>
        <w:t>)</w:t>
      </w:r>
      <w:r w:rsidRPr="006454A7">
        <w:rPr>
          <w:rFonts w:cs="Assistant"/>
        </w:rPr>
        <w:t xml:space="preserve">.) </w:t>
      </w:r>
    </w:p>
    <w:p w:rsidR="00304D4E" w:rsidRPr="009808C5" w:rsidP="00D97D0B" w14:paraId="307FA79D" w14:textId="4D44E960">
      <w:pPr>
        <w:widowControl w:val="0"/>
        <w:ind w:firstLine="720"/>
        <w:rPr>
          <w:rFonts w:cs="Assistant"/>
        </w:rPr>
      </w:pPr>
      <w:r>
        <w:t>“</w:t>
      </w:r>
      <w:r w:rsidR="00F020F0">
        <w:t>[I]</w:t>
      </w:r>
      <w:r>
        <w:t>n ruling on a petition to compel, the court must determine whether the parties entered into an enforceable agreement to arbitrate that reaches the dispute in question, construing the agreement to the limited extent necessary to make this determination.</w:t>
      </w:r>
      <w:r w:rsidR="009808C5">
        <w:t>”  (</w:t>
      </w:r>
      <w:r w:rsidR="009808C5">
        <w:rPr>
          <w:i/>
          <w:iCs/>
        </w:rPr>
        <w:t xml:space="preserve">California Correctional Peace Officers Assn. v. State of California </w:t>
      </w:r>
      <w:r w:rsidR="009808C5">
        <w:t>(2006) 142 Cal.App.4th 198, 204–205</w:t>
      </w:r>
      <w:r w:rsidR="00665432">
        <w:t xml:space="preserve"> (</w:t>
      </w:r>
      <w:r w:rsidR="009808C5">
        <w:rPr>
          <w:i/>
          <w:iCs/>
        </w:rPr>
        <w:t>California Correctional Peace Officers</w:t>
      </w:r>
      <w:r w:rsidR="009808C5">
        <w:t xml:space="preserve">).)  If such an agreement exists, the court must </w:t>
      </w:r>
      <w:r w:rsidR="00EF4EA5">
        <w:t xml:space="preserve">ordinarily </w:t>
      </w:r>
      <w:r w:rsidR="009808C5">
        <w:t>order the parties to arbitration.  (</w:t>
      </w:r>
      <w:r w:rsidR="009808C5">
        <w:rPr>
          <w:i/>
          <w:iCs/>
        </w:rPr>
        <w:t xml:space="preserve">Wagner Construction Co. v. Pacific Mechanical Corp. </w:t>
      </w:r>
      <w:r w:rsidR="009808C5">
        <w:t>(2007) 41 Cal.4th 19, 26, fn. omitted</w:t>
      </w:r>
      <w:r w:rsidR="00814357">
        <w:t>, citing</w:t>
      </w:r>
      <w:r w:rsidR="00EF4EA5">
        <w:t xml:space="preserve"> Code Civ. Proc., § 1281.2</w:t>
      </w:r>
      <w:r w:rsidR="009808C5">
        <w:t xml:space="preserve">.) </w:t>
      </w:r>
    </w:p>
    <w:p w:rsidR="00FC0D04" w:rsidRPr="00FC0D04" w:rsidP="00D97D0B" w14:paraId="4B9B3577" w14:textId="761EA5F7">
      <w:pPr>
        <w:widowControl w:val="0"/>
        <w:ind w:firstLine="720"/>
        <w:rPr>
          <w:rFonts w:cs="Assistant"/>
        </w:rPr>
      </w:pPr>
      <w:r>
        <w:rPr>
          <w:rFonts w:cs="Assistant"/>
        </w:rPr>
        <w:t>A relevant principle governing the</w:t>
      </w:r>
      <w:r w:rsidR="00915679">
        <w:rPr>
          <w:rFonts w:cs="Assistant"/>
        </w:rPr>
        <w:t xml:space="preserve"> threshold issue of arbitrability</w:t>
      </w:r>
      <w:r w:rsidR="00D667A3">
        <w:rPr>
          <w:rFonts w:cs="Assistant"/>
        </w:rPr>
        <w:t xml:space="preserve"> is that </w:t>
      </w:r>
      <w:r w:rsidRPr="006454A7" w:rsidR="000E33F8">
        <w:rPr>
          <w:rFonts w:cs="Assistant"/>
        </w:rPr>
        <w:t>“</w:t>
      </w:r>
      <w:r w:rsidR="007D71C1">
        <w:rPr>
          <w:rFonts w:cs="Assistant"/>
        </w:rPr>
        <w:t xml:space="preserve"> ‘</w:t>
      </w:r>
      <w:r w:rsidR="00EE52C4">
        <w:rPr>
          <w:rFonts w:cs="Assistant"/>
        </w:rPr>
        <w:t>i</w:t>
      </w:r>
      <w:r w:rsidRPr="006454A7" w:rsidR="000E33F8">
        <w:rPr>
          <w:rFonts w:cs="Assistant"/>
        </w:rPr>
        <w:t>n deciding whether the parties have agreed to submit a particular grievance to arbitration, a court is not to rule on the potential merits of the underlying claims.’ ”  (</w:t>
      </w:r>
      <w:r w:rsidRPr="006454A7" w:rsidR="000E33F8">
        <w:rPr>
          <w:rFonts w:cs="Assistant"/>
          <w:i/>
          <w:iCs/>
        </w:rPr>
        <w:t xml:space="preserve">California Teamsters Public, Professional and Medical Employees Union, Local 911A v. County of Solano </w:t>
      </w:r>
      <w:r w:rsidRPr="006454A7" w:rsidR="000E33F8">
        <w:rPr>
          <w:rFonts w:cs="Assistant"/>
        </w:rPr>
        <w:t>(1991) 233 Cal.App.3d 800, 803</w:t>
      </w:r>
      <w:r w:rsidR="00963C8A">
        <w:rPr>
          <w:rFonts w:cs="Assistant"/>
        </w:rPr>
        <w:t xml:space="preserve"> (</w:t>
      </w:r>
      <w:r w:rsidR="00963C8A">
        <w:rPr>
          <w:rFonts w:cs="Assistant"/>
          <w:i/>
          <w:iCs/>
        </w:rPr>
        <w:t>California Teamsters Public</w:t>
      </w:r>
      <w:r w:rsidR="00963C8A">
        <w:rPr>
          <w:rFonts w:cs="Assistant"/>
        </w:rPr>
        <w:t>)</w:t>
      </w:r>
      <w:r w:rsidRPr="006454A7" w:rsidR="000E33F8">
        <w:rPr>
          <w:rFonts w:cs="Assistant"/>
        </w:rPr>
        <w:t xml:space="preserve">, quoting </w:t>
      </w:r>
      <w:r w:rsidRPr="006454A7" w:rsidR="000E33F8">
        <w:rPr>
          <w:rFonts w:cs="Assistant"/>
          <w:i/>
          <w:iCs/>
        </w:rPr>
        <w:t>AT&amp;T Technologies v. Communications Workers</w:t>
      </w:r>
      <w:r w:rsidRPr="006454A7" w:rsidR="000E33F8">
        <w:rPr>
          <w:rFonts w:cs="Assistant"/>
        </w:rPr>
        <w:t xml:space="preserve"> (1986) 475 U.S. 643, 649; </w:t>
      </w:r>
      <w:r w:rsidR="00C81B2B">
        <w:rPr>
          <w:rFonts w:cs="Assistant"/>
        </w:rPr>
        <w:t>see</w:t>
      </w:r>
      <w:r w:rsidRPr="006454A7" w:rsidR="000E33F8">
        <w:rPr>
          <w:rFonts w:cs="Assistant"/>
        </w:rPr>
        <w:t xml:space="preserve"> </w:t>
      </w:r>
      <w:r w:rsidR="003810F2">
        <w:rPr>
          <w:rFonts w:cs="Assistant"/>
          <w:i/>
          <w:iCs/>
        </w:rPr>
        <w:t>California Correctional Peace Officers</w:t>
      </w:r>
      <w:r w:rsidR="003810F2">
        <w:rPr>
          <w:rFonts w:cs="Assistant"/>
        </w:rPr>
        <w:t xml:space="preserve">, </w:t>
      </w:r>
      <w:r w:rsidR="003810F2">
        <w:rPr>
          <w:rFonts w:cs="Assistant"/>
          <w:i/>
          <w:iCs/>
        </w:rPr>
        <w:t>supra</w:t>
      </w:r>
      <w:r w:rsidR="003810F2">
        <w:rPr>
          <w:rFonts w:cs="Assistant"/>
        </w:rPr>
        <w:t>, 142 Cal.App.4th at p. 205 [“Section 1281.2 [of the Code of Civil Procedure] expressly forbids the court from reaching the merits of the parties’ dispute, instructing that ‘[i]f the court determines that a written agreement to arbitrate a controversy exists, an order to arbitrate such controversy may not be refused on the ground that the petitioner’s contentions lack substantive merit</w:t>
      </w:r>
      <w:r w:rsidR="005072A0">
        <w:rPr>
          <w:rFonts w:cs="Assistant"/>
        </w:rPr>
        <w:t xml:space="preserve">’ </w:t>
      </w:r>
      <w:r w:rsidR="003810F2">
        <w:rPr>
          <w:rFonts w:cs="Assistant"/>
        </w:rPr>
        <w:t>”]</w:t>
      </w:r>
      <w:r w:rsidR="00F06D72">
        <w:rPr>
          <w:rFonts w:cs="Assistant"/>
        </w:rPr>
        <w:t xml:space="preserve">.)  </w:t>
      </w:r>
      <w:r w:rsidR="00EE52C4">
        <w:rPr>
          <w:rFonts w:cs="Assistant"/>
        </w:rPr>
        <w:t xml:space="preserve">Another </w:t>
      </w:r>
      <w:r>
        <w:rPr>
          <w:rFonts w:cs="Assistant"/>
        </w:rPr>
        <w:t>principle</w:t>
      </w:r>
      <w:r w:rsidR="008D5242">
        <w:rPr>
          <w:rFonts w:cs="Assistant"/>
        </w:rPr>
        <w:t xml:space="preserve"> </w:t>
      </w:r>
      <w:r w:rsidR="00EE52C4">
        <w:rPr>
          <w:rFonts w:cs="Assistant"/>
        </w:rPr>
        <w:t>is that</w:t>
      </w:r>
      <w:r>
        <w:rPr>
          <w:rFonts w:cs="Assistant"/>
        </w:rPr>
        <w:t xml:space="preserve"> </w:t>
      </w:r>
      <w:r w:rsidR="003E6DD3">
        <w:rPr>
          <w:rFonts w:cs="Assistant"/>
        </w:rPr>
        <w:t>“</w:t>
      </w:r>
      <w:r w:rsidRPr="00FC0D04">
        <w:rPr>
          <w:rFonts w:cs="Assistant"/>
        </w:rPr>
        <w:t>where the agreement contains an arbitration clause, a presumption of arbitrability exists, and doubts should be resolved in favor of arbitration</w:t>
      </w:r>
      <w:r>
        <w:rPr>
          <w:rFonts w:cs="Assistant"/>
        </w:rPr>
        <w:t>.</w:t>
      </w:r>
      <w:r w:rsidR="003E6DD3">
        <w:rPr>
          <w:rFonts w:cs="Assistant"/>
        </w:rPr>
        <w:t>”</w:t>
      </w:r>
      <w:r>
        <w:rPr>
          <w:rFonts w:cs="Assistant"/>
        </w:rPr>
        <w:t xml:space="preserve">  (</w:t>
      </w:r>
      <w:r>
        <w:rPr>
          <w:rFonts w:cs="Assistant"/>
          <w:i/>
          <w:iCs/>
        </w:rPr>
        <w:t>California Teamsters Public</w:t>
      </w:r>
      <w:r>
        <w:rPr>
          <w:rFonts w:cs="Assistant"/>
        </w:rPr>
        <w:t xml:space="preserve">, </w:t>
      </w:r>
      <w:r>
        <w:rPr>
          <w:rFonts w:cs="Assistant"/>
          <w:i/>
          <w:iCs/>
        </w:rPr>
        <w:t>supra</w:t>
      </w:r>
      <w:r>
        <w:rPr>
          <w:rFonts w:cs="Assistant"/>
        </w:rPr>
        <w:t xml:space="preserve">, 233 Cal.App.3d at pp. 803–804; accord, </w:t>
      </w:r>
      <w:r w:rsidR="00A90C4C">
        <w:rPr>
          <w:rFonts w:cs="Assistant"/>
          <w:i/>
          <w:iCs/>
        </w:rPr>
        <w:t>Engalla</w:t>
      </w:r>
      <w:r w:rsidR="00A90C4C">
        <w:rPr>
          <w:rFonts w:cs="Assistant"/>
        </w:rPr>
        <w:t xml:space="preserve">, </w:t>
      </w:r>
      <w:r w:rsidR="00A90C4C">
        <w:rPr>
          <w:rFonts w:cs="Assistant"/>
          <w:i/>
          <w:iCs/>
        </w:rPr>
        <w:t>supra</w:t>
      </w:r>
      <w:r w:rsidR="00A90C4C">
        <w:rPr>
          <w:rFonts w:cs="Assistant"/>
        </w:rPr>
        <w:t xml:space="preserve">, 15 Cal.4th at pp. 971–972; </w:t>
      </w:r>
      <w:r>
        <w:rPr>
          <w:rFonts w:cs="Assistant"/>
          <w:i/>
          <w:iCs/>
        </w:rPr>
        <w:t>California Correctional Peace Officers</w:t>
      </w:r>
      <w:r>
        <w:rPr>
          <w:rFonts w:cs="Assistant"/>
        </w:rPr>
        <w:t xml:space="preserve">, </w:t>
      </w:r>
      <w:r w:rsidRPr="00513C7E" w:rsidR="00513C7E">
        <w:rPr>
          <w:rFonts w:cs="Assistant"/>
          <w:i/>
          <w:iCs/>
        </w:rPr>
        <w:t>supra</w:t>
      </w:r>
      <w:r w:rsidR="00513C7E">
        <w:rPr>
          <w:rFonts w:cs="Assistant"/>
        </w:rPr>
        <w:t xml:space="preserve">, 142 Cal.App.4th </w:t>
      </w:r>
      <w:r w:rsidRPr="00513C7E">
        <w:rPr>
          <w:rFonts w:cs="Assistant"/>
        </w:rPr>
        <w:t>at</w:t>
      </w:r>
      <w:r>
        <w:rPr>
          <w:rFonts w:cs="Assistant"/>
        </w:rPr>
        <w:t xml:space="preserve"> p.</w:t>
      </w:r>
      <w:r w:rsidR="00562809">
        <w:rPr>
          <w:rFonts w:cs="Assistant"/>
        </w:rPr>
        <w:t> </w:t>
      </w:r>
      <w:r>
        <w:rPr>
          <w:rFonts w:cs="Assistant"/>
        </w:rPr>
        <w:t xml:space="preserve">205.)   </w:t>
      </w:r>
    </w:p>
    <w:p w:rsidR="00953C17" w:rsidRPr="006454A7" w:rsidP="00D97D0B" w14:paraId="28D07AD7" w14:textId="44C77039">
      <w:pPr>
        <w:widowControl w:val="0"/>
        <w:ind w:firstLine="720"/>
      </w:pPr>
      <w:r w:rsidRPr="006454A7">
        <w:rPr>
          <w:rFonts w:cs="Assistant"/>
        </w:rPr>
        <w:t xml:space="preserve">“There is no uniform standard of review </w:t>
      </w:r>
      <w:r w:rsidRPr="006454A7" w:rsidR="00717F2C">
        <w:rPr>
          <w:rFonts w:cs="Assistant"/>
        </w:rPr>
        <w:t>for evaluating an order denying a motion to compel arbitration.”  (</w:t>
      </w:r>
      <w:r w:rsidRPr="006454A7" w:rsidR="00717F2C">
        <w:rPr>
          <w:rFonts w:cs="Assistant"/>
          <w:i/>
          <w:iCs/>
        </w:rPr>
        <w:t xml:space="preserve">Robertson v. Health Net of California, Inc. </w:t>
      </w:r>
      <w:r w:rsidRPr="006454A7" w:rsidR="00717F2C">
        <w:rPr>
          <w:rFonts w:cs="Assistant"/>
        </w:rPr>
        <w:t>(2005) 132 Cal.App.4th 1419</w:t>
      </w:r>
      <w:r w:rsidR="00513C7E">
        <w:rPr>
          <w:rFonts w:cs="Assistant"/>
        </w:rPr>
        <w:t>, 1425</w:t>
      </w:r>
      <w:r w:rsidRPr="006454A7" w:rsidR="00717F2C">
        <w:rPr>
          <w:rFonts w:cs="Assistant"/>
        </w:rPr>
        <w:t xml:space="preserve">.)  </w:t>
      </w:r>
      <w:r w:rsidRPr="006454A7" w:rsidR="0045744E">
        <w:rPr>
          <w:rFonts w:cs="Assistant"/>
        </w:rPr>
        <w:t xml:space="preserve">When the court’s order is based on a decision of law, we employ a de novo standard of review.  </w:t>
      </w:r>
      <w:r w:rsidRPr="006454A7" w:rsidR="00A75D82">
        <w:rPr>
          <w:rFonts w:cs="Assistant"/>
        </w:rPr>
        <w:t>(</w:t>
      </w:r>
      <w:r w:rsidRPr="006454A7" w:rsidR="00A75D82">
        <w:rPr>
          <w:rFonts w:cs="Assistant"/>
          <w:i/>
          <w:iCs/>
        </w:rPr>
        <w:t>Ibid.</w:t>
      </w:r>
      <w:r w:rsidRPr="006454A7" w:rsidR="00A75D82">
        <w:rPr>
          <w:rFonts w:cs="Assistant"/>
        </w:rPr>
        <w:t xml:space="preserve">)  </w:t>
      </w:r>
      <w:r w:rsidRPr="006454A7" w:rsidR="0014019E">
        <w:rPr>
          <w:rFonts w:cs="Assistant"/>
        </w:rPr>
        <w:t xml:space="preserve">In this case, “the </w:t>
      </w:r>
      <w:r w:rsidRPr="006454A7" w:rsidR="00850695">
        <w:rPr>
          <w:rFonts w:cs="Assistant"/>
        </w:rPr>
        <w:t>court</w:t>
      </w:r>
      <w:r w:rsidRPr="006454A7" w:rsidR="00D31448">
        <w:rPr>
          <w:rFonts w:cs="Assistant"/>
        </w:rPr>
        <w:t>’</w:t>
      </w:r>
      <w:r w:rsidRPr="006454A7" w:rsidR="00850695">
        <w:rPr>
          <w:rFonts w:cs="Assistant"/>
        </w:rPr>
        <w:t>s order denying a motion to compel arbitration is based on the court</w:t>
      </w:r>
      <w:r w:rsidRPr="006454A7" w:rsidR="008F7203">
        <w:rPr>
          <w:rFonts w:cs="Assistant"/>
        </w:rPr>
        <w:t>’</w:t>
      </w:r>
      <w:r w:rsidRPr="006454A7" w:rsidR="00850695">
        <w:rPr>
          <w:rFonts w:cs="Assistant"/>
        </w:rPr>
        <w:t>s finding that petitioner failed to carry its burden of proof</w:t>
      </w:r>
      <w:r w:rsidRPr="006454A7" w:rsidR="0014019E">
        <w:rPr>
          <w:rFonts w:cs="Assistant"/>
        </w:rPr>
        <w:t xml:space="preserve">.”  </w:t>
      </w:r>
      <w:r w:rsidRPr="006454A7" w:rsidR="00850695">
        <w:rPr>
          <w:rFonts w:cs="Assistant"/>
        </w:rPr>
        <w:t>(</w:t>
      </w:r>
      <w:r w:rsidRPr="006454A7" w:rsidR="00850695">
        <w:rPr>
          <w:rFonts w:cs="Assistant"/>
          <w:i/>
          <w:iCs/>
        </w:rPr>
        <w:t xml:space="preserve">Fabian v. Renovate America, Inc. </w:t>
      </w:r>
      <w:r w:rsidRPr="006454A7" w:rsidR="00850695">
        <w:rPr>
          <w:rFonts w:cs="Assistant"/>
        </w:rPr>
        <w:t>(2019) 42 Cal.App.5th 1062, 106</w:t>
      </w:r>
      <w:r w:rsidR="006A55C1">
        <w:rPr>
          <w:rFonts w:cs="Assistant"/>
        </w:rPr>
        <w:t>6</w:t>
      </w:r>
      <w:r w:rsidRPr="006454A7" w:rsidR="008F7203">
        <w:rPr>
          <w:rFonts w:cs="Assistant"/>
        </w:rPr>
        <w:t>.)  “</w:t>
      </w:r>
      <w:r w:rsidR="006A55C1">
        <w:rPr>
          <w:rFonts w:cs="Assistant"/>
        </w:rPr>
        <w:t>[</w:t>
      </w:r>
      <w:r w:rsidRPr="006454A7" w:rsidR="008F7203">
        <w:rPr>
          <w:rFonts w:cs="Assistant"/>
        </w:rPr>
        <w:t>T</w:t>
      </w:r>
      <w:r w:rsidR="006A55C1">
        <w:rPr>
          <w:rFonts w:cs="Assistant"/>
        </w:rPr>
        <w:t>]</w:t>
      </w:r>
      <w:r w:rsidRPr="006454A7" w:rsidR="0014019E">
        <w:rPr>
          <w:rFonts w:cs="Assistant"/>
        </w:rPr>
        <w:t xml:space="preserve">he question for the reviewing court is whether that finding </w:t>
      </w:r>
      <w:r w:rsidR="006A55C1">
        <w:rPr>
          <w:rFonts w:cs="Assistant"/>
        </w:rPr>
        <w:t>[</w:t>
      </w:r>
      <w:r w:rsidRPr="006454A7" w:rsidR="0014019E">
        <w:rPr>
          <w:rFonts w:cs="Assistant"/>
        </w:rPr>
        <w:t>was</w:t>
      </w:r>
      <w:r w:rsidR="006A55C1">
        <w:rPr>
          <w:rFonts w:cs="Assistant"/>
        </w:rPr>
        <w:t>]</w:t>
      </w:r>
      <w:r w:rsidRPr="006454A7" w:rsidR="0014019E">
        <w:rPr>
          <w:rFonts w:cs="Assistant"/>
        </w:rPr>
        <w:t xml:space="preserve"> erroneous as a matter of law.”  </w:t>
      </w:r>
      <w:r w:rsidRPr="006454A7" w:rsidR="008F7203">
        <w:rPr>
          <w:rFonts w:cs="Assistant"/>
        </w:rPr>
        <w:t>(</w:t>
      </w:r>
      <w:r w:rsidRPr="006454A7" w:rsidR="008F7203">
        <w:rPr>
          <w:rFonts w:cs="Assistant"/>
          <w:i/>
          <w:iCs/>
        </w:rPr>
        <w:t>Ibid</w:t>
      </w:r>
      <w:r w:rsidRPr="006454A7" w:rsidR="008F7203">
        <w:rPr>
          <w:rFonts w:cs="Assistant"/>
        </w:rPr>
        <w:t xml:space="preserve">; accord, </w:t>
      </w:r>
      <w:r w:rsidRPr="006454A7" w:rsidR="008F7203">
        <w:rPr>
          <w:rFonts w:cs="Assistant"/>
          <w:i/>
          <w:iCs/>
        </w:rPr>
        <w:t xml:space="preserve">Trinity v. Life Ins. Co. of North America </w:t>
      </w:r>
      <w:r w:rsidRPr="006454A7" w:rsidR="008F7203">
        <w:rPr>
          <w:rFonts w:cs="Assistant"/>
        </w:rPr>
        <w:t xml:space="preserve">(2022) 78 Cal.App.5th 1111, 1121.)  </w:t>
      </w:r>
      <w:r w:rsidRPr="006454A7" w:rsidR="00457E64">
        <w:rPr>
          <w:rFonts w:cs="Assistant"/>
        </w:rPr>
        <w:t xml:space="preserve">Also, while waiver is generally a question of fact, </w:t>
      </w:r>
      <w:r w:rsidRPr="006454A7" w:rsidR="00890655">
        <w:rPr>
          <w:rFonts w:cs="Assistant"/>
        </w:rPr>
        <w:t xml:space="preserve">when, as here, the relevant facts are undisputed, </w:t>
      </w:r>
      <w:r w:rsidRPr="006454A7" w:rsidR="006B713C">
        <w:rPr>
          <w:rFonts w:cs="Assistant"/>
        </w:rPr>
        <w:t xml:space="preserve">the issue of </w:t>
      </w:r>
      <w:r w:rsidRPr="006454A7" w:rsidR="00890655">
        <w:rPr>
          <w:rFonts w:cs="Assistant"/>
        </w:rPr>
        <w:t>waiver may be reviewed de novo.  (</w:t>
      </w:r>
      <w:r w:rsidRPr="006454A7" w:rsidR="00890655">
        <w:rPr>
          <w:rFonts w:cs="Assistant"/>
          <w:i/>
          <w:iCs/>
        </w:rPr>
        <w:t xml:space="preserve">Bower v. Inter-Con Security Systems, Inc. </w:t>
      </w:r>
      <w:r w:rsidRPr="006454A7" w:rsidR="00890655">
        <w:rPr>
          <w:rFonts w:cs="Assistant"/>
        </w:rPr>
        <w:t>(2014) 232</w:t>
      </w:r>
      <w:r w:rsidR="006A55C1">
        <w:rPr>
          <w:rFonts w:cs="Assistant"/>
        </w:rPr>
        <w:t> </w:t>
      </w:r>
      <w:r w:rsidRPr="006454A7" w:rsidR="00890655">
        <w:rPr>
          <w:rFonts w:cs="Assistant"/>
        </w:rPr>
        <w:t>Cal.App.4th 1035</w:t>
      </w:r>
      <w:r w:rsidRPr="006454A7" w:rsidR="00C32FD5">
        <w:rPr>
          <w:rFonts w:cs="Assistant"/>
        </w:rPr>
        <w:t xml:space="preserve">, 1043, citing </w:t>
      </w:r>
      <w:r w:rsidRPr="006454A7" w:rsidR="00C32FD5">
        <w:rPr>
          <w:rFonts w:cs="Assistant"/>
          <w:i/>
          <w:iCs/>
        </w:rPr>
        <w:t>S</w:t>
      </w:r>
      <w:r w:rsidRPr="006454A7" w:rsidR="007A7AA9">
        <w:rPr>
          <w:rFonts w:cs="Assistant"/>
          <w:i/>
          <w:iCs/>
        </w:rPr>
        <w:t>aint</w:t>
      </w:r>
      <w:r w:rsidRPr="006454A7" w:rsidR="00C32FD5">
        <w:rPr>
          <w:rFonts w:cs="Assistant"/>
          <w:i/>
          <w:iCs/>
        </w:rPr>
        <w:t xml:space="preserve"> Agnes Medical Center v. PacifiCare of California</w:t>
      </w:r>
      <w:r w:rsidRPr="006454A7" w:rsidR="00C32FD5">
        <w:rPr>
          <w:rFonts w:cs="Assistant"/>
        </w:rPr>
        <w:t xml:space="preserve"> (2003) 31 Cal.4th 1187</w:t>
      </w:r>
      <w:r w:rsidRPr="006454A7" w:rsidR="0008703E">
        <w:rPr>
          <w:rFonts w:cs="Assistant"/>
        </w:rPr>
        <w:t xml:space="preserve">, 1196.)  </w:t>
      </w:r>
    </w:p>
    <w:p w:rsidR="00DC3077" w:rsidRPr="006454A7" w:rsidP="00D97D0B" w14:paraId="75C954AC" w14:textId="3216332F">
      <w:pPr>
        <w:pStyle w:val="Heading2"/>
        <w:widowControl w:val="0"/>
        <w:rPr>
          <w:rFonts w:ascii="Century Schoolbook" w:hAnsi="Century Schoolbook"/>
        </w:rPr>
      </w:pPr>
      <w:r w:rsidRPr="006454A7">
        <w:rPr>
          <w:rFonts w:ascii="Century Schoolbook" w:hAnsi="Century Schoolbook"/>
        </w:rPr>
        <w:t xml:space="preserve">Defendant Did Not Waive the Right to Compel Arbitration </w:t>
      </w:r>
    </w:p>
    <w:p w:rsidR="0096316C" w:rsidRPr="006454A7" w:rsidP="00D97D0B" w14:paraId="09307D5D" w14:textId="1650F90D">
      <w:pPr>
        <w:widowControl w:val="0"/>
        <w:ind w:firstLine="720"/>
        <w:rPr>
          <w:rFonts w:cs="Assistant"/>
        </w:rPr>
      </w:pPr>
      <w:r w:rsidRPr="006454A7">
        <w:rPr>
          <w:rFonts w:cs="Assistant"/>
        </w:rPr>
        <w:t>Because the issue of waiver is potentially determinative, we address it first.  Initially, as noted</w:t>
      </w:r>
      <w:r w:rsidR="00B64110">
        <w:rPr>
          <w:rFonts w:cs="Assistant"/>
        </w:rPr>
        <w:t>,</w:t>
      </w:r>
      <w:r w:rsidRPr="006454A7">
        <w:rPr>
          <w:rFonts w:cs="Assistant"/>
        </w:rPr>
        <w:t xml:space="preserve"> plaintiff opposed arbitration on waiver grounds, but the trial court did not reach the issue.  Defendant implicitly asks us to decide the issue in the first instance.  Given that the trial court’s ruling was limited in scope, we could in theory remand to the trial court to consider the matter.  However, because </w:t>
      </w:r>
      <w:r w:rsidRPr="006454A7" w:rsidR="0032077B">
        <w:rPr>
          <w:rFonts w:cs="Assistant"/>
        </w:rPr>
        <w:t xml:space="preserve">the issue of waiver does not require us to resolve any </w:t>
      </w:r>
      <w:r w:rsidRPr="006454A7">
        <w:rPr>
          <w:rFonts w:cs="Assistant"/>
        </w:rPr>
        <w:t>conflicting</w:t>
      </w:r>
      <w:r w:rsidRPr="006454A7" w:rsidR="0032077B">
        <w:rPr>
          <w:rFonts w:cs="Assistant"/>
        </w:rPr>
        <w:t xml:space="preserve"> evidence</w:t>
      </w:r>
      <w:r w:rsidRPr="006454A7" w:rsidR="003A001D">
        <w:rPr>
          <w:rFonts w:cs="Assistant"/>
        </w:rPr>
        <w:t xml:space="preserve"> and we would be reviewing it de</w:t>
      </w:r>
      <w:r w:rsidRPr="006454A7">
        <w:rPr>
          <w:rFonts w:cs="Assistant"/>
        </w:rPr>
        <w:t xml:space="preserve"> novo, </w:t>
      </w:r>
      <w:r w:rsidR="00F5568C">
        <w:rPr>
          <w:rFonts w:cs="Assistant"/>
        </w:rPr>
        <w:t xml:space="preserve"> “nothing would be gained by remanding for this purpose</w:t>
      </w:r>
      <w:r w:rsidRPr="006454A7">
        <w:rPr>
          <w:rFonts w:cs="Assistant"/>
        </w:rPr>
        <w:t>.</w:t>
      </w:r>
      <w:r w:rsidR="00F5568C">
        <w:rPr>
          <w:rFonts w:cs="Assistant"/>
        </w:rPr>
        <w:t>”</w:t>
      </w:r>
      <w:r w:rsidRPr="006454A7">
        <w:rPr>
          <w:rFonts w:cs="Assistant"/>
        </w:rPr>
        <w:t xml:space="preserve">  (</w:t>
      </w:r>
      <w:r w:rsidRPr="006454A7">
        <w:rPr>
          <w:rFonts w:cs="Assistant"/>
          <w:i/>
          <w:iCs/>
        </w:rPr>
        <w:t xml:space="preserve">Rayyis v. Superior Court </w:t>
      </w:r>
      <w:r w:rsidRPr="006454A7">
        <w:rPr>
          <w:rFonts w:cs="Assistant"/>
        </w:rPr>
        <w:t>(2005) 133</w:t>
      </w:r>
      <w:r w:rsidR="00D54271">
        <w:rPr>
          <w:rFonts w:cs="Assistant"/>
        </w:rPr>
        <w:t> </w:t>
      </w:r>
      <w:r w:rsidRPr="006454A7">
        <w:rPr>
          <w:rFonts w:cs="Assistant"/>
        </w:rPr>
        <w:t xml:space="preserve">Cal.App.4th 138, 150, fn. 10; </w:t>
      </w:r>
      <w:r w:rsidRPr="006454A7">
        <w:rPr>
          <w:rFonts w:cs="Assistant"/>
          <w:i/>
          <w:iCs/>
        </w:rPr>
        <w:t>Higgins v. Superior Court</w:t>
      </w:r>
      <w:r w:rsidRPr="006454A7">
        <w:rPr>
          <w:rFonts w:cs="Assistant"/>
        </w:rPr>
        <w:t xml:space="preserve"> (2006) 140</w:t>
      </w:r>
      <w:r w:rsidR="00D54271">
        <w:rPr>
          <w:rFonts w:cs="Assistant"/>
        </w:rPr>
        <w:t> </w:t>
      </w:r>
      <w:r w:rsidRPr="006454A7">
        <w:rPr>
          <w:rFonts w:cs="Assistant"/>
        </w:rPr>
        <w:t xml:space="preserve">Cal.App.4th 1238, 1251.)  </w:t>
      </w:r>
      <w:r w:rsidR="00F5568C">
        <w:rPr>
          <w:rFonts w:cs="Assistant"/>
        </w:rPr>
        <w:t xml:space="preserve">We thus resolve the issue in the first instance.  </w:t>
      </w:r>
    </w:p>
    <w:p w:rsidR="00E44BF5" w:rsidP="00D97D0B" w14:paraId="38155EA0" w14:textId="58F2C59A">
      <w:pPr>
        <w:widowControl w:val="0"/>
        <w:ind w:firstLine="720"/>
        <w:rPr>
          <w:rFonts w:cs="Assistant"/>
        </w:rPr>
      </w:pPr>
      <w:r w:rsidRPr="006454A7">
        <w:rPr>
          <w:rFonts w:cs="Assistant"/>
        </w:rPr>
        <w:t xml:space="preserve">In her opposition </w:t>
      </w:r>
      <w:r w:rsidR="00867B79">
        <w:rPr>
          <w:rFonts w:cs="Assistant"/>
        </w:rPr>
        <w:t>below</w:t>
      </w:r>
      <w:r w:rsidRPr="006454A7">
        <w:rPr>
          <w:rFonts w:cs="Assistant"/>
        </w:rPr>
        <w:t xml:space="preserve">, plaintiff argued </w:t>
      </w:r>
      <w:r w:rsidRPr="006454A7" w:rsidR="009B70BE">
        <w:rPr>
          <w:rFonts w:cs="Assistant"/>
        </w:rPr>
        <w:t>the trial “[c]ourt can, and should, hold that [defendant’s] bad faith in refusing to pay its insured $30</w:t>
      </w:r>
      <w:r w:rsidRPr="006454A7" w:rsidR="00400801">
        <w:rPr>
          <w:rFonts w:cs="Assistant"/>
        </w:rPr>
        <w:t xml:space="preserve">,451.98 undisputedly owed since August 29, 2022 has resulted in the </w:t>
      </w:r>
      <w:r w:rsidRPr="006454A7" w:rsidR="00400801">
        <w:rPr>
          <w:rFonts w:cs="Assistant"/>
          <w:i/>
          <w:iCs/>
        </w:rPr>
        <w:t xml:space="preserve">waiver </w:t>
      </w:r>
      <w:r w:rsidRPr="006454A7" w:rsidR="00400801">
        <w:rPr>
          <w:rFonts w:cs="Assistant"/>
        </w:rPr>
        <w:t>of [its] right to compel arbitration of Plaintiff’s claim for payment of the $244,548.02 remaining in dispute under the $300,000 UM policy.”</w:t>
      </w:r>
      <w:r w:rsidRPr="006454A7">
        <w:rPr>
          <w:rFonts w:cs="Assistant"/>
        </w:rPr>
        <w:t xml:space="preserve"> </w:t>
      </w:r>
      <w:r w:rsidRPr="006454A7" w:rsidR="000E1620">
        <w:rPr>
          <w:rFonts w:cs="Assistant"/>
        </w:rPr>
        <w:t xml:space="preserve"> </w:t>
      </w:r>
      <w:r w:rsidRPr="006454A7" w:rsidR="005F5167">
        <w:rPr>
          <w:rFonts w:cs="Assistant"/>
        </w:rPr>
        <w:t xml:space="preserve">In support of this argument, plaintiff relied primarily on </w:t>
      </w:r>
      <w:r w:rsidRPr="006454A7" w:rsidR="0032424D">
        <w:rPr>
          <w:rFonts w:cs="Assistant"/>
          <w:i/>
          <w:iCs/>
        </w:rPr>
        <w:t xml:space="preserve">Davis v. Blue Cross </w:t>
      </w:r>
      <w:r w:rsidR="00317F52">
        <w:rPr>
          <w:rFonts w:cs="Assistant"/>
          <w:i/>
          <w:iCs/>
        </w:rPr>
        <w:t xml:space="preserve">of </w:t>
      </w:r>
      <w:r w:rsidRPr="006454A7" w:rsidR="0032424D">
        <w:rPr>
          <w:rFonts w:cs="Assistant"/>
          <w:i/>
          <w:iCs/>
        </w:rPr>
        <w:t xml:space="preserve">Northern California </w:t>
      </w:r>
      <w:r w:rsidRPr="006454A7" w:rsidR="0032424D">
        <w:rPr>
          <w:rFonts w:cs="Assistant"/>
        </w:rPr>
        <w:t>(1979) 25 Cal.3d 418 (</w:t>
      </w:r>
      <w:r w:rsidRPr="006454A7" w:rsidR="0032424D">
        <w:rPr>
          <w:rFonts w:cs="Assistant"/>
          <w:i/>
          <w:iCs/>
        </w:rPr>
        <w:t>Davis</w:t>
      </w:r>
      <w:r w:rsidRPr="006454A7" w:rsidR="0032424D">
        <w:rPr>
          <w:rFonts w:cs="Assistant"/>
        </w:rPr>
        <w:t xml:space="preserve">).  </w:t>
      </w:r>
    </w:p>
    <w:p w:rsidR="000B3581" w:rsidRPr="006454A7" w:rsidP="00D97D0B" w14:paraId="727A687E" w14:textId="2B1CD631">
      <w:pPr>
        <w:widowControl w:val="0"/>
        <w:ind w:firstLine="720"/>
        <w:rPr>
          <w:rFonts w:cs="Assistant"/>
        </w:rPr>
      </w:pPr>
      <w:r w:rsidRPr="006454A7">
        <w:rPr>
          <w:rFonts w:cs="Assistant"/>
        </w:rPr>
        <w:t xml:space="preserve">In </w:t>
      </w:r>
      <w:r w:rsidRPr="006454A7">
        <w:rPr>
          <w:rFonts w:cs="Assistant"/>
          <w:i/>
          <w:iCs/>
        </w:rPr>
        <w:t>Davis</w:t>
      </w:r>
      <w:r w:rsidRPr="006454A7">
        <w:rPr>
          <w:rFonts w:cs="Assistant"/>
        </w:rPr>
        <w:t xml:space="preserve">, the Supreme Court concluded that a health insurance carrier had waived its right to arbitrate a dispute by deliberately failing to advise its insureds of the availability of and procedure for initiating arbitration at the time it rejected the insureds’ claims.  (See </w:t>
      </w:r>
      <w:r w:rsidRPr="006454A7">
        <w:rPr>
          <w:rFonts w:cs="Assistant"/>
          <w:i/>
          <w:iCs/>
        </w:rPr>
        <w:t>Davis</w:t>
      </w:r>
      <w:r w:rsidRPr="006454A7">
        <w:rPr>
          <w:rFonts w:cs="Assistant"/>
        </w:rPr>
        <w:t xml:space="preserve">, </w:t>
      </w:r>
      <w:r w:rsidRPr="006454A7">
        <w:rPr>
          <w:rFonts w:cs="Assistant"/>
          <w:i/>
          <w:iCs/>
        </w:rPr>
        <w:t>supra</w:t>
      </w:r>
      <w:r w:rsidRPr="006454A7">
        <w:rPr>
          <w:rFonts w:cs="Assistant"/>
        </w:rPr>
        <w:t xml:space="preserve">, 25 Cal.3d at pp. 426–431.)  It was significant that the arbitration clause </w:t>
      </w:r>
      <w:r w:rsidRPr="006454A7" w:rsidR="00B355DC">
        <w:rPr>
          <w:rFonts w:cs="Assistant"/>
        </w:rPr>
        <w:t>“</w:t>
      </w:r>
      <w:r w:rsidRPr="006454A7">
        <w:rPr>
          <w:rFonts w:cs="Assistant"/>
        </w:rPr>
        <w:t xml:space="preserve">was </w:t>
      </w:r>
      <w:r w:rsidRPr="006454A7" w:rsidR="00B355DC">
        <w:rPr>
          <w:rFonts w:cs="Assistant"/>
        </w:rPr>
        <w:t>‘</w:t>
      </w:r>
      <w:r w:rsidRPr="006454A7">
        <w:rPr>
          <w:rFonts w:cs="Assistant"/>
        </w:rPr>
        <w:t xml:space="preserve">buried </w:t>
      </w:r>
      <w:r w:rsidRPr="006454A7" w:rsidR="00B355DC">
        <w:rPr>
          <w:rFonts w:cs="Assistant"/>
        </w:rPr>
        <w:t>in an obscure provision’</w:t>
      </w:r>
      <w:r w:rsidRPr="006454A7" w:rsidR="00100F0F">
        <w:rPr>
          <w:rFonts w:cs="Assistant"/>
        </w:rPr>
        <w:t xml:space="preserve"> ” of a hospitalization agreement,</w:t>
      </w:r>
      <w:r w:rsidRPr="006454A7">
        <w:rPr>
          <w:rFonts w:cs="Assistant"/>
        </w:rPr>
        <w:t xml:space="preserve"> </w:t>
      </w:r>
      <w:r w:rsidR="0054195B">
        <w:rPr>
          <w:rFonts w:cs="Assistant"/>
        </w:rPr>
        <w:t>such that the</w:t>
      </w:r>
      <w:r w:rsidRPr="006454A7">
        <w:rPr>
          <w:rFonts w:cs="Assistant"/>
        </w:rPr>
        <w:t xml:space="preserve"> carrier knew the insureds would not be aware of it, and that the insureds were proceeding without legal representation.  (</w:t>
      </w:r>
      <w:r w:rsidRPr="006454A7">
        <w:rPr>
          <w:rFonts w:cs="Assistant"/>
          <w:i/>
          <w:iCs/>
        </w:rPr>
        <w:t>Id.</w:t>
      </w:r>
      <w:r w:rsidRPr="006454A7">
        <w:rPr>
          <w:rFonts w:cs="Assistant"/>
        </w:rPr>
        <w:t xml:space="preserve"> at p. 42</w:t>
      </w:r>
      <w:r w:rsidR="00317F52">
        <w:rPr>
          <w:rFonts w:cs="Assistant"/>
        </w:rPr>
        <w:t>9</w:t>
      </w:r>
      <w:r w:rsidRPr="006454A7">
        <w:rPr>
          <w:rFonts w:cs="Assistant"/>
        </w:rPr>
        <w:t xml:space="preserve">.)  </w:t>
      </w:r>
      <w:r w:rsidRPr="006454A7" w:rsidR="00100F0F">
        <w:rPr>
          <w:rFonts w:cs="Assistant"/>
        </w:rPr>
        <w:t>Under these circumstances,</w:t>
      </w:r>
      <w:r w:rsidRPr="006454A7">
        <w:rPr>
          <w:rFonts w:cs="Assistant"/>
        </w:rPr>
        <w:t xml:space="preserve"> the high court held that “[i]n view of the importance of timely advice or arbitrability to the basic fairness of the arbitration process, . . . the trial court properly determined that by its action [the insurer] waived or forfeited any right subsequently to compel its insureds to submit their disputes to arbitration.”  (</w:t>
      </w:r>
      <w:r w:rsidRPr="006454A7">
        <w:rPr>
          <w:rFonts w:cs="Assistant"/>
          <w:i/>
          <w:iCs/>
        </w:rPr>
        <w:t>Id.</w:t>
      </w:r>
      <w:r w:rsidRPr="006454A7">
        <w:rPr>
          <w:rFonts w:cs="Assistant"/>
        </w:rPr>
        <w:t xml:space="preserve"> at p. 431.)  </w:t>
      </w:r>
      <w:r w:rsidRPr="006454A7" w:rsidR="00F172C1">
        <w:rPr>
          <w:rFonts w:cs="Assistant"/>
        </w:rPr>
        <w:t xml:space="preserve"> </w:t>
      </w:r>
    </w:p>
    <w:p w:rsidR="00CD6309" w:rsidP="00D97D0B" w14:paraId="159E294C" w14:textId="58A1E022">
      <w:pPr>
        <w:widowControl w:val="0"/>
        <w:ind w:firstLine="720"/>
      </w:pPr>
      <w:r w:rsidRPr="006454A7">
        <w:rPr>
          <w:rFonts w:cs="Assistant"/>
        </w:rPr>
        <w:t xml:space="preserve">None of the </w:t>
      </w:r>
      <w:r>
        <w:rPr>
          <w:rFonts w:cs="Assistant"/>
        </w:rPr>
        <w:t>concerns regarding “basic fairness of the arbitration process” present</w:t>
      </w:r>
      <w:r w:rsidR="001C4B20">
        <w:rPr>
          <w:rFonts w:cs="Assistant"/>
        </w:rPr>
        <w:t>ed</w:t>
      </w:r>
      <w:r>
        <w:rPr>
          <w:rFonts w:cs="Assistant"/>
        </w:rPr>
        <w:t xml:space="preserve"> in </w:t>
      </w:r>
      <w:r w:rsidRPr="006454A7">
        <w:rPr>
          <w:rFonts w:cs="Assistant"/>
          <w:i/>
          <w:iCs/>
        </w:rPr>
        <w:t xml:space="preserve">Davis </w:t>
      </w:r>
      <w:r w:rsidRPr="006454A7">
        <w:rPr>
          <w:rFonts w:cs="Assistant"/>
        </w:rPr>
        <w:t>exist</w:t>
      </w:r>
      <w:r>
        <w:rPr>
          <w:rFonts w:cs="Assistant"/>
        </w:rPr>
        <w:t>s</w:t>
      </w:r>
      <w:r w:rsidRPr="006454A7">
        <w:rPr>
          <w:rFonts w:cs="Assistant"/>
        </w:rPr>
        <w:t xml:space="preserve"> </w:t>
      </w:r>
      <w:r w:rsidR="005F1408">
        <w:rPr>
          <w:rFonts w:cs="Assistant"/>
        </w:rPr>
        <w:t>in this case</w:t>
      </w:r>
      <w:r w:rsidRPr="006454A7" w:rsidR="0041078B">
        <w:t xml:space="preserve">.  </w:t>
      </w:r>
      <w:r w:rsidRPr="006454A7" w:rsidR="001F13B6">
        <w:rPr>
          <w:rFonts w:cs="Assistant"/>
        </w:rPr>
        <w:t>Plaintiff did not allege or present any evidence that defendant concealed</w:t>
      </w:r>
      <w:r w:rsidR="00704BFE">
        <w:rPr>
          <w:rFonts w:cs="Assistant"/>
        </w:rPr>
        <w:t>, much less deliberately,</w:t>
      </w:r>
      <w:r w:rsidRPr="006454A7" w:rsidR="001F13B6">
        <w:rPr>
          <w:rFonts w:cs="Assistant"/>
        </w:rPr>
        <w:t xml:space="preserve"> </w:t>
      </w:r>
      <w:r w:rsidRPr="006454A7" w:rsidR="009B7DC9">
        <w:rPr>
          <w:rFonts w:cs="Assistant"/>
        </w:rPr>
        <w:t xml:space="preserve">the existence of the arbitration provision to plaintiff.  </w:t>
      </w:r>
      <w:r w:rsidRPr="006454A7" w:rsidR="007546C4">
        <w:rPr>
          <w:rFonts w:cs="Assistant"/>
        </w:rPr>
        <w:t>It is undisputed that defendant made plaintiff, who was represented by counsel</w:t>
      </w:r>
      <w:r w:rsidRPr="006454A7" w:rsidR="00C5209B">
        <w:rPr>
          <w:rFonts w:cs="Assistant"/>
        </w:rPr>
        <w:t xml:space="preserve"> at all relevant times</w:t>
      </w:r>
      <w:r w:rsidRPr="006454A7" w:rsidR="007546C4">
        <w:rPr>
          <w:rFonts w:cs="Assistant"/>
        </w:rPr>
        <w:t>, aware of the arbitration provision.</w:t>
      </w:r>
      <w:r w:rsidRPr="006454A7" w:rsidR="002F2F4E">
        <w:rPr>
          <w:rFonts w:cs="Assistant"/>
        </w:rPr>
        <w:t xml:space="preserve"> </w:t>
      </w:r>
      <w:r w:rsidRPr="006454A7" w:rsidR="008E28F2">
        <w:rPr>
          <w:rFonts w:cs="Assistant"/>
        </w:rPr>
        <w:t xml:space="preserve"> </w:t>
      </w:r>
      <w:r w:rsidRPr="006454A7" w:rsidR="005B487D">
        <w:rPr>
          <w:rFonts w:cs="Assistant"/>
        </w:rPr>
        <w:t>Thus,</w:t>
      </w:r>
      <w:r>
        <w:rPr>
          <w:rFonts w:cs="Assistant"/>
        </w:rPr>
        <w:t xml:space="preserve"> as defendant asserts</w:t>
      </w:r>
      <w:r w:rsidR="004D4AE1">
        <w:rPr>
          <w:rFonts w:cs="Assistant"/>
        </w:rPr>
        <w:t>,</w:t>
      </w:r>
      <w:r>
        <w:rPr>
          <w:rFonts w:cs="Assistant"/>
        </w:rPr>
        <w:t xml:space="preserve"> </w:t>
      </w:r>
      <w:r>
        <w:rPr>
          <w:rFonts w:cs="Assistant"/>
          <w:i/>
          <w:iCs/>
        </w:rPr>
        <w:t xml:space="preserve">Davis </w:t>
      </w:r>
      <w:r w:rsidR="004D4AE1">
        <w:rPr>
          <w:rFonts w:cs="Assistant"/>
        </w:rPr>
        <w:t xml:space="preserve">simply </w:t>
      </w:r>
      <w:r>
        <w:rPr>
          <w:rFonts w:cs="Assistant"/>
        </w:rPr>
        <w:t>does not support plaintiff’s waiver claim</w:t>
      </w:r>
      <w:r w:rsidRPr="006454A7" w:rsidR="002F2F4E">
        <w:rPr>
          <w:rFonts w:cs="Assistant"/>
        </w:rPr>
        <w:t>.</w:t>
      </w:r>
      <w:r>
        <w:rPr>
          <w:rStyle w:val="FootnoteReference"/>
          <w:rFonts w:cs="Assistant"/>
        </w:rPr>
        <w:footnoteReference w:id="5"/>
      </w:r>
      <w:r>
        <w:rPr>
          <w:rFonts w:cs="Assistant"/>
        </w:rPr>
        <w:t xml:space="preserve"> </w:t>
      </w:r>
      <w:r w:rsidR="00370E93">
        <w:rPr>
          <w:rFonts w:cs="Assistant"/>
        </w:rPr>
        <w:t xml:space="preserve"> </w:t>
      </w:r>
      <w:r w:rsidRPr="006454A7" w:rsidR="009B1B4C">
        <w:rPr>
          <w:rFonts w:cs="Assistant"/>
        </w:rPr>
        <w:t xml:space="preserve">We </w:t>
      </w:r>
      <w:r w:rsidRPr="006454A7" w:rsidR="00384420">
        <w:rPr>
          <w:rFonts w:cs="Assistant"/>
        </w:rPr>
        <w:t>therefore conclude that defendant has not waived its right to arbitration as a matter of law</w:t>
      </w:r>
      <w:r>
        <w:rPr>
          <w:rFonts w:cs="Assistant"/>
        </w:rPr>
        <w:t>.</w:t>
      </w:r>
      <w:r w:rsidRPr="00CD6309">
        <w:t xml:space="preserve"> </w:t>
      </w:r>
    </w:p>
    <w:p w:rsidR="000B3581" w:rsidRPr="008B61BB" w:rsidP="00D97D0B" w14:paraId="272E7BB4" w14:textId="55204BBF">
      <w:pPr>
        <w:widowControl w:val="0"/>
        <w:ind w:firstLine="720"/>
        <w:rPr>
          <w:rFonts w:cs="Assistant"/>
        </w:rPr>
      </w:pPr>
      <w:r>
        <w:t xml:space="preserve">We turn now to </w:t>
      </w:r>
      <w:r>
        <w:rPr>
          <w:rFonts w:cs="Noto Sans"/>
        </w:rPr>
        <w:t>d</w:t>
      </w:r>
      <w:r w:rsidRPr="006454A7">
        <w:rPr>
          <w:rFonts w:cs="Noto Sans"/>
        </w:rPr>
        <w:t>efendant</w:t>
      </w:r>
      <w:r>
        <w:rPr>
          <w:rFonts w:cs="Noto Sans"/>
        </w:rPr>
        <w:t>’s primary</w:t>
      </w:r>
      <w:r w:rsidRPr="006454A7">
        <w:rPr>
          <w:rFonts w:cs="Noto Sans"/>
        </w:rPr>
        <w:t xml:space="preserve"> argu</w:t>
      </w:r>
      <w:r>
        <w:rPr>
          <w:rFonts w:cs="Noto Sans"/>
        </w:rPr>
        <w:t>ment</w:t>
      </w:r>
      <w:r w:rsidRPr="006454A7">
        <w:rPr>
          <w:rFonts w:cs="Noto Sans"/>
        </w:rPr>
        <w:t xml:space="preserve"> that the trial court should have ordered arbitration of the amount of UIM damages claimed by plaintiff, pursuant to the requirements of section 11580.2 and the terms of the policy. </w:t>
      </w:r>
      <w:r w:rsidRPr="006454A7" w:rsidR="00384420">
        <w:rPr>
          <w:rFonts w:cs="Assistant"/>
        </w:rPr>
        <w:t xml:space="preserve"> </w:t>
      </w:r>
    </w:p>
    <w:p w:rsidR="00603F6E" w:rsidRPr="006454A7" w:rsidP="00D97D0B" w14:paraId="10FC261E" w14:textId="121E93F5">
      <w:pPr>
        <w:pStyle w:val="Heading2"/>
        <w:widowControl w:val="0"/>
        <w:spacing w:after="120" w:line="240" w:lineRule="auto"/>
        <w:ind w:left="720" w:firstLine="0"/>
        <w:contextualSpacing/>
      </w:pPr>
      <w:r w:rsidRPr="006454A7">
        <w:rPr>
          <w:rFonts w:ascii="Century Schoolbook" w:hAnsi="Century Schoolbook"/>
        </w:rPr>
        <w:t>Defendant Is Entitled to</w:t>
      </w:r>
      <w:r w:rsidRPr="006454A7" w:rsidR="00E33F55">
        <w:rPr>
          <w:rFonts w:ascii="Century Schoolbook" w:hAnsi="Century Schoolbook"/>
        </w:rPr>
        <w:t xml:space="preserve"> Arbitrate the Amount of </w:t>
      </w:r>
      <w:r w:rsidRPr="006454A7" w:rsidR="00153047">
        <w:rPr>
          <w:rFonts w:ascii="Century Schoolbook" w:hAnsi="Century Schoolbook"/>
        </w:rPr>
        <w:t>Plaintiff’s UIM Claim</w:t>
      </w:r>
    </w:p>
    <w:p w:rsidR="00F35CB5" w:rsidRPr="006454A7" w:rsidP="00D97D0B" w14:paraId="240E539B" w14:textId="4D0E1C40">
      <w:pPr>
        <w:widowControl w:val="0"/>
        <w:rPr>
          <w:rFonts w:cs="Assistant"/>
        </w:rPr>
      </w:pPr>
      <w:r w:rsidRPr="006454A7">
        <w:rPr>
          <w:rFonts w:cs="Noto Sans"/>
        </w:rPr>
        <w:tab/>
      </w:r>
      <w:r w:rsidRPr="006454A7" w:rsidR="00AA3FB4">
        <w:rPr>
          <w:rFonts w:cs="Assistant"/>
        </w:rPr>
        <w:t>Section 11580.2 requires insurers to provide coverage for bodily injury or wrongful death caused by uninsured or underinsured motorists.  (§</w:t>
      </w:r>
      <w:r w:rsidR="00EF7F8B">
        <w:rPr>
          <w:rFonts w:cs="Assistant"/>
        </w:rPr>
        <w:t> </w:t>
      </w:r>
      <w:r w:rsidRPr="006454A7" w:rsidR="00AA3FB4">
        <w:rPr>
          <w:rFonts w:cs="Assistant"/>
        </w:rPr>
        <w:t xml:space="preserve">11580.2; </w:t>
      </w:r>
      <w:r w:rsidRPr="006454A7" w:rsidR="00AA3FB4">
        <w:rPr>
          <w:rFonts w:cs="Assistant"/>
          <w:i/>
          <w:iCs/>
        </w:rPr>
        <w:t>Bouton v. USAA Casualty Ins. Co.</w:t>
      </w:r>
      <w:r w:rsidRPr="006454A7" w:rsidR="00AA3FB4">
        <w:rPr>
          <w:rFonts w:cs="Assistant"/>
        </w:rPr>
        <w:t xml:space="preserve"> (2008) 43 Cal.4th 1190, 1193 (</w:t>
      </w:r>
      <w:r w:rsidRPr="006454A7" w:rsidR="00AA3FB4">
        <w:rPr>
          <w:rFonts w:cs="Assistant"/>
          <w:i/>
          <w:iCs/>
        </w:rPr>
        <w:t>Bouton</w:t>
      </w:r>
      <w:r w:rsidRPr="006454A7" w:rsidR="00AA3FB4">
        <w:rPr>
          <w:rFonts w:cs="Assistant"/>
        </w:rPr>
        <w:t xml:space="preserve">).)  </w:t>
      </w:r>
      <w:r w:rsidRPr="006454A7" w:rsidR="00012343">
        <w:rPr>
          <w:rFonts w:cs="Assistant"/>
        </w:rPr>
        <w:t>Subdivision (f) of s</w:t>
      </w:r>
      <w:r w:rsidRPr="006454A7" w:rsidR="00AA3FB4">
        <w:rPr>
          <w:rFonts w:cs="Assistant"/>
        </w:rPr>
        <w:t xml:space="preserve">ection 11580.2 requires language in an automobile policy that provides for arbitration of disputes:  “The policy or </w:t>
      </w:r>
      <w:r w:rsidR="00EF7F8B">
        <w:rPr>
          <w:rFonts w:cs="Assistant"/>
        </w:rPr>
        <w:t xml:space="preserve">an </w:t>
      </w:r>
      <w:r w:rsidRPr="006454A7" w:rsidR="00AA3FB4">
        <w:rPr>
          <w:rFonts w:cs="Assistant"/>
        </w:rPr>
        <w:t xml:space="preserve">endorsement added thereto shall provide that the determination as to whether the insured shall be legally entitled to recover damages, and if so entitled, the amount thereof, shall be made by agreement between the insured and the insurer or, in the event of disagreement, by arbitration. . . .”  </w:t>
      </w:r>
    </w:p>
    <w:p w:rsidR="00AD46C0" w:rsidRPr="006454A7" w:rsidP="00D97D0B" w14:paraId="33EB870E" w14:textId="5EB327C6">
      <w:pPr>
        <w:widowControl w:val="0"/>
        <w:rPr>
          <w:rFonts w:cs="Assistant"/>
        </w:rPr>
      </w:pPr>
      <w:r w:rsidRPr="006454A7">
        <w:rPr>
          <w:rFonts w:cs="Assistant"/>
        </w:rPr>
        <w:tab/>
        <w:t xml:space="preserve">As </w:t>
      </w:r>
      <w:r w:rsidRPr="006454A7" w:rsidR="00AE120F">
        <w:rPr>
          <w:rFonts w:cs="Assistant"/>
        </w:rPr>
        <w:t xml:space="preserve">our Supreme Court </w:t>
      </w:r>
      <w:r w:rsidRPr="006454A7">
        <w:rPr>
          <w:rFonts w:cs="Assistant"/>
        </w:rPr>
        <w:t>explained</w:t>
      </w:r>
      <w:r w:rsidRPr="006454A7" w:rsidR="00B73251">
        <w:rPr>
          <w:rFonts w:cs="Assistant"/>
        </w:rPr>
        <w:t xml:space="preserve">, </w:t>
      </w:r>
      <w:r w:rsidRPr="006454A7" w:rsidR="00031505">
        <w:rPr>
          <w:rFonts w:cs="Assistant"/>
        </w:rPr>
        <w:t>“section 11580.2, subdivision (f) requires the parties to arbitrate the narrow issues of whether the insured is entitled to recover damages from the uninsured or underinsured motorist, and if so, the amount of those damages.”  (</w:t>
      </w:r>
      <w:r w:rsidRPr="006454A7" w:rsidR="00031505">
        <w:rPr>
          <w:rFonts w:cs="Assistant"/>
          <w:i/>
          <w:iCs/>
        </w:rPr>
        <w:t>Bouton</w:t>
      </w:r>
      <w:r w:rsidRPr="006454A7" w:rsidR="00031505">
        <w:rPr>
          <w:rFonts w:cs="Assistant"/>
        </w:rPr>
        <w:t xml:space="preserve">, </w:t>
      </w:r>
      <w:r w:rsidRPr="006454A7" w:rsidR="00031505">
        <w:rPr>
          <w:rFonts w:cs="Assistant"/>
          <w:i/>
          <w:iCs/>
        </w:rPr>
        <w:t>supra</w:t>
      </w:r>
      <w:r w:rsidRPr="006454A7" w:rsidR="00031505">
        <w:rPr>
          <w:rFonts w:cs="Assistant"/>
        </w:rPr>
        <w:t>, 43 Cal.4th at p.</w:t>
      </w:r>
      <w:r w:rsidR="00CE29CC">
        <w:rPr>
          <w:rFonts w:cs="Assistant"/>
        </w:rPr>
        <w:t> </w:t>
      </w:r>
      <w:r w:rsidRPr="006454A7" w:rsidR="00031505">
        <w:rPr>
          <w:rFonts w:cs="Assistant"/>
        </w:rPr>
        <w:t>119</w:t>
      </w:r>
      <w:r w:rsidR="00CE29CC">
        <w:rPr>
          <w:rFonts w:cs="Assistant"/>
        </w:rPr>
        <w:t>9</w:t>
      </w:r>
      <w:r w:rsidRPr="006454A7" w:rsidR="00031505">
        <w:rPr>
          <w:rFonts w:cs="Assistant"/>
        </w:rPr>
        <w:t xml:space="preserve">, citing </w:t>
      </w:r>
      <w:r w:rsidRPr="006454A7" w:rsidR="00031505">
        <w:rPr>
          <w:rFonts w:cs="Assistant"/>
          <w:i/>
          <w:iCs/>
        </w:rPr>
        <w:t>Freeman</w:t>
      </w:r>
      <w:r w:rsidRPr="006454A7" w:rsidR="00031505">
        <w:rPr>
          <w:rFonts w:cs="Assistant"/>
        </w:rPr>
        <w:t xml:space="preserve"> </w:t>
      </w:r>
      <w:r w:rsidRPr="006454A7" w:rsidR="00031505">
        <w:rPr>
          <w:rFonts w:cs="Assistant"/>
          <w:i/>
          <w:iCs/>
        </w:rPr>
        <w:t>v. State Farm Mut. Aut. Ins. Co.</w:t>
      </w:r>
      <w:r w:rsidRPr="006454A7" w:rsidR="00031505">
        <w:rPr>
          <w:rFonts w:cs="Assistant"/>
        </w:rPr>
        <w:t xml:space="preserve"> (1975) 14 Cal.3d 473, 480</w:t>
      </w:r>
      <w:r w:rsidRPr="006454A7" w:rsidR="00F37BE9">
        <w:rPr>
          <w:rFonts w:cs="Assistant"/>
        </w:rPr>
        <w:t xml:space="preserve"> (</w:t>
      </w:r>
      <w:r w:rsidRPr="006454A7" w:rsidR="00F37BE9">
        <w:rPr>
          <w:rFonts w:cs="Assistant"/>
          <w:i/>
          <w:iCs/>
        </w:rPr>
        <w:t>Freeman</w:t>
      </w:r>
      <w:r w:rsidRPr="006454A7" w:rsidR="00F37BE9">
        <w:rPr>
          <w:rFonts w:cs="Assistant"/>
        </w:rPr>
        <w:t>)</w:t>
      </w:r>
      <w:r w:rsidRPr="006454A7" w:rsidR="00031505">
        <w:rPr>
          <w:rFonts w:cs="Assistant"/>
        </w:rPr>
        <w:t>.)</w:t>
      </w:r>
      <w:r w:rsidRPr="006454A7" w:rsidR="00A8735A">
        <w:rPr>
          <w:rFonts w:cs="Assistant"/>
        </w:rPr>
        <w:t xml:space="preserve">  As such, “an insurer’s contractual right to arbitrate the value of a UIM claim does not prevent an insured from filing suit for bad faith</w:t>
      </w:r>
      <w:r w:rsidRPr="006454A7">
        <w:rPr>
          <w:rFonts w:cs="Assistant"/>
        </w:rPr>
        <w:t>.  [Citations.]</w:t>
      </w:r>
      <w:r w:rsidRPr="006454A7" w:rsidR="00A8735A">
        <w:rPr>
          <w:rFonts w:cs="Assistant"/>
        </w:rPr>
        <w:t>”  (</w:t>
      </w:r>
      <w:r w:rsidRPr="006454A7" w:rsidR="00A8735A">
        <w:rPr>
          <w:rFonts w:cs="Assistant"/>
          <w:i/>
          <w:iCs/>
        </w:rPr>
        <w:t>McIsaac</w:t>
      </w:r>
      <w:r w:rsidRPr="006454A7" w:rsidR="00A8735A">
        <w:rPr>
          <w:rFonts w:cs="Assistant"/>
        </w:rPr>
        <w:t xml:space="preserve">, </w:t>
      </w:r>
      <w:r w:rsidRPr="006454A7" w:rsidR="00A8735A">
        <w:rPr>
          <w:rFonts w:cs="Assistant"/>
          <w:i/>
          <w:iCs/>
        </w:rPr>
        <w:t>supra</w:t>
      </w:r>
      <w:r w:rsidRPr="006454A7" w:rsidR="00A8735A">
        <w:rPr>
          <w:rFonts w:cs="Assistant"/>
        </w:rPr>
        <w:t>, 64 Cal.App.5th at p. 423</w:t>
      </w:r>
      <w:r w:rsidRPr="006454A7">
        <w:rPr>
          <w:rFonts w:cs="Assistant"/>
        </w:rPr>
        <w:t>.)  Put slightly differently, “if the insured file</w:t>
      </w:r>
      <w:r w:rsidR="0093504B">
        <w:rPr>
          <w:rFonts w:cs="Assistant"/>
        </w:rPr>
        <w:t>s</w:t>
      </w:r>
      <w:r w:rsidRPr="006454A7">
        <w:rPr>
          <w:rFonts w:cs="Assistant"/>
        </w:rPr>
        <w:t xml:space="preserve"> a lawsuit for ‘bad faith’ before resolving the UM/UIM claim, the UM/UIM claim is still subject to arbitration, even if the ‘bad faith’ action is not subject to arbitration.”  (</w:t>
      </w:r>
      <w:r w:rsidR="0093504B">
        <w:rPr>
          <w:rFonts w:cs="Assistant"/>
        </w:rPr>
        <w:t>Haning</w:t>
      </w:r>
      <w:r w:rsidRPr="006454A7">
        <w:rPr>
          <w:rFonts w:cs="Assistant"/>
        </w:rPr>
        <w:t>, et al., Cal. Prac. Guide:  Personal Injury (The Rutter Group 2023) ¶ 7:293.5e</w:t>
      </w:r>
      <w:r w:rsidR="0093504B">
        <w:rPr>
          <w:rFonts w:cs="Assistant"/>
        </w:rPr>
        <w:t xml:space="preserve">, </w:t>
      </w:r>
      <w:r w:rsidRPr="006454A7">
        <w:rPr>
          <w:rFonts w:cs="Assistant"/>
        </w:rPr>
        <w:t xml:space="preserve">citing </w:t>
      </w:r>
      <w:r w:rsidRPr="006454A7">
        <w:rPr>
          <w:rFonts w:cs="Assistant"/>
          <w:i/>
          <w:iCs/>
        </w:rPr>
        <w:t>McIsaac</w:t>
      </w:r>
      <w:r w:rsidRPr="006454A7">
        <w:rPr>
          <w:rFonts w:cs="Assistant"/>
        </w:rPr>
        <w:t>.)</w:t>
      </w:r>
      <w:r w:rsidRPr="006454A7" w:rsidR="002873A9">
        <w:rPr>
          <w:rFonts w:cs="Assistant"/>
        </w:rPr>
        <w:t xml:space="preserve"> </w:t>
      </w:r>
    </w:p>
    <w:p w:rsidR="007C4BEE" w:rsidRPr="006454A7" w:rsidP="00D97D0B" w14:paraId="76851D15" w14:textId="5306BE98">
      <w:pPr>
        <w:widowControl w:val="0"/>
        <w:rPr>
          <w:rFonts w:cs="Assistant"/>
        </w:rPr>
      </w:pPr>
      <w:r w:rsidRPr="006454A7">
        <w:rPr>
          <w:rFonts w:cs="Assistant"/>
        </w:rPr>
        <w:tab/>
      </w:r>
      <w:r w:rsidRPr="006454A7" w:rsidR="00A756AB">
        <w:rPr>
          <w:rFonts w:cs="Assistant"/>
        </w:rPr>
        <w:t xml:space="preserve">In this case, </w:t>
      </w:r>
      <w:r w:rsidRPr="006454A7" w:rsidR="00B32180">
        <w:rPr>
          <w:rFonts w:cs="Assistant"/>
        </w:rPr>
        <w:t xml:space="preserve">in accordance with section 11580.2, subdivision (f), </w:t>
      </w:r>
      <w:r w:rsidR="00B32180">
        <w:rPr>
          <w:rFonts w:cs="Assistant"/>
        </w:rPr>
        <w:t>the</w:t>
      </w:r>
      <w:r w:rsidRPr="006454A7" w:rsidR="00D331DB">
        <w:rPr>
          <w:rFonts w:cs="Assistant"/>
        </w:rPr>
        <w:t xml:space="preserve"> policy</w:t>
      </w:r>
      <w:r w:rsidRPr="006454A7" w:rsidR="00C972BE">
        <w:rPr>
          <w:rFonts w:cs="Assistant"/>
        </w:rPr>
        <w:t xml:space="preserve"> provides</w:t>
      </w:r>
      <w:r w:rsidR="00B32180">
        <w:rPr>
          <w:rFonts w:cs="Assistant"/>
        </w:rPr>
        <w:t>, in relevant part</w:t>
      </w:r>
      <w:r w:rsidRPr="006454A7" w:rsidR="00C972BE">
        <w:rPr>
          <w:rFonts w:cs="Assistant"/>
        </w:rPr>
        <w:t xml:space="preserve">:  </w:t>
      </w:r>
      <w:r w:rsidRPr="006454A7">
        <w:rPr>
          <w:rFonts w:cs="Assistant"/>
        </w:rPr>
        <w:t xml:space="preserve">“Determination whether an insured person is legally entitled to recover damages or the amount of damages shall be made by agreement between the insured person and us.  If no agreement is reached, the decision will be made by arbitration.”  (Boldface omitted.)  Plaintiff did not dispute the validity of </w:t>
      </w:r>
      <w:r w:rsidRPr="006454A7" w:rsidR="00270173">
        <w:rPr>
          <w:rFonts w:cs="Assistant"/>
        </w:rPr>
        <w:t xml:space="preserve">this provision. </w:t>
      </w:r>
      <w:r w:rsidRPr="006454A7">
        <w:rPr>
          <w:rFonts w:cs="Assistant"/>
        </w:rPr>
        <w:t xml:space="preserve"> </w:t>
      </w:r>
    </w:p>
    <w:p w:rsidR="00AA5D22" w:rsidRPr="006454A7" w:rsidP="00D97D0B" w14:paraId="478DD87D" w14:textId="44CAAFC0">
      <w:pPr>
        <w:widowControl w:val="0"/>
        <w:rPr>
          <w:rFonts w:cs="Assistant"/>
        </w:rPr>
      </w:pPr>
      <w:r w:rsidRPr="006454A7">
        <w:rPr>
          <w:rFonts w:cs="Assistant"/>
        </w:rPr>
        <w:tab/>
        <w:t xml:space="preserve">Nor was there a dispute over the interpretation of the </w:t>
      </w:r>
      <w:r w:rsidRPr="006454A7" w:rsidR="00F65637">
        <w:rPr>
          <w:rFonts w:cs="Assistant"/>
        </w:rPr>
        <w:t xml:space="preserve">arbitration provision of </w:t>
      </w:r>
      <w:r w:rsidRPr="006454A7" w:rsidR="00270173">
        <w:rPr>
          <w:rFonts w:cs="Assistant"/>
        </w:rPr>
        <w:t xml:space="preserve">the </w:t>
      </w:r>
      <w:r w:rsidRPr="006454A7">
        <w:rPr>
          <w:rFonts w:cs="Assistant"/>
        </w:rPr>
        <w:t>policy</w:t>
      </w:r>
      <w:r w:rsidRPr="006454A7" w:rsidR="00005F46">
        <w:rPr>
          <w:rFonts w:cs="Assistant"/>
        </w:rPr>
        <w:t xml:space="preserve"> or section 11580.2, subdivision (f).  </w:t>
      </w:r>
      <w:r w:rsidRPr="006454A7" w:rsidR="006A510F">
        <w:rPr>
          <w:rFonts w:cs="Assistant"/>
        </w:rPr>
        <w:t>Both</w:t>
      </w:r>
      <w:r w:rsidRPr="006454A7" w:rsidR="006753E9">
        <w:rPr>
          <w:rFonts w:cs="Assistant"/>
        </w:rPr>
        <w:t xml:space="preserve"> the </w:t>
      </w:r>
      <w:r w:rsidRPr="006454A7" w:rsidR="003C20FE">
        <w:rPr>
          <w:rFonts w:cs="Assistant"/>
        </w:rPr>
        <w:t>policy and statutory language quoted above</w:t>
      </w:r>
      <w:r w:rsidRPr="006454A7" w:rsidR="006753E9">
        <w:rPr>
          <w:rFonts w:cs="Assistant"/>
        </w:rPr>
        <w:t xml:space="preserve"> </w:t>
      </w:r>
      <w:r w:rsidRPr="006454A7" w:rsidR="006A510F">
        <w:rPr>
          <w:rFonts w:cs="Assistant"/>
        </w:rPr>
        <w:t xml:space="preserve">make clear that a disagreement over entitlement to </w:t>
      </w:r>
      <w:r w:rsidR="00D14696">
        <w:rPr>
          <w:rFonts w:cs="Assistant"/>
        </w:rPr>
        <w:t xml:space="preserve">UIM </w:t>
      </w:r>
      <w:r w:rsidRPr="006454A7" w:rsidR="006A510F">
        <w:rPr>
          <w:rFonts w:cs="Assistant"/>
        </w:rPr>
        <w:t xml:space="preserve">damages, or the amount of damages, must exist between an insurer and insured before arbitration becomes the required means of resolution. </w:t>
      </w:r>
      <w:r w:rsidRPr="006454A7" w:rsidR="006D0C3D">
        <w:rPr>
          <w:rFonts w:cs="Assistant"/>
        </w:rPr>
        <w:t xml:space="preserve"> (§ 11580.2, subd. (f).)  </w:t>
      </w:r>
    </w:p>
    <w:p w:rsidR="006A510F" w:rsidRPr="006454A7" w:rsidP="00D97D0B" w14:paraId="3B0F4CEA" w14:textId="40D189B1">
      <w:pPr>
        <w:widowControl w:val="0"/>
        <w:rPr>
          <w:rFonts w:cs="Assistant"/>
        </w:rPr>
      </w:pPr>
      <w:r w:rsidRPr="006454A7">
        <w:rPr>
          <w:rFonts w:cs="Assistant"/>
        </w:rPr>
        <w:tab/>
        <w:t xml:space="preserve">The parties, however, </w:t>
      </w:r>
      <w:r w:rsidRPr="006454A7" w:rsidR="002301EF">
        <w:rPr>
          <w:rFonts w:cs="Assistant"/>
        </w:rPr>
        <w:t>took different positions as to whether a disagreement over the amount of UIM damages owed to plaintiff had arisen</w:t>
      </w:r>
      <w:r w:rsidR="009F523B">
        <w:rPr>
          <w:rFonts w:cs="Assistant"/>
        </w:rPr>
        <w:t xml:space="preserve">.  </w:t>
      </w:r>
    </w:p>
    <w:p w:rsidR="00B35C46" w:rsidRPr="006454A7" w:rsidP="00D97D0B" w14:paraId="0FDE0245" w14:textId="2EC52D1F">
      <w:pPr>
        <w:widowControl w:val="0"/>
        <w:rPr>
          <w:rFonts w:cs="Assistant"/>
        </w:rPr>
      </w:pPr>
      <w:r w:rsidRPr="006454A7">
        <w:rPr>
          <w:rFonts w:cs="Assistant"/>
        </w:rPr>
        <w:tab/>
      </w:r>
      <w:r w:rsidRPr="006454A7" w:rsidR="005A488C">
        <w:rPr>
          <w:rFonts w:cs="Assistant"/>
        </w:rPr>
        <w:t xml:space="preserve">In its motion, defendant </w:t>
      </w:r>
      <w:r w:rsidR="00175E90">
        <w:rPr>
          <w:rFonts w:cs="Assistant"/>
        </w:rPr>
        <w:t>asserted</w:t>
      </w:r>
      <w:r w:rsidRPr="006454A7" w:rsidR="00175E90">
        <w:rPr>
          <w:rFonts w:cs="Assistant"/>
        </w:rPr>
        <w:t xml:space="preserve"> </w:t>
      </w:r>
      <w:r w:rsidRPr="006454A7" w:rsidR="005A488C">
        <w:rPr>
          <w:rFonts w:cs="Assistant"/>
        </w:rPr>
        <w:t xml:space="preserve">that it “has disputed the amount that Plaintiff claimed under the policy and therefore the dispute falls squarely within the arbitration </w:t>
      </w:r>
      <w:r w:rsidR="00604401">
        <w:rPr>
          <w:rFonts w:cs="Assistant"/>
        </w:rPr>
        <w:t xml:space="preserve">provision </w:t>
      </w:r>
      <w:r w:rsidRPr="006454A7" w:rsidR="005A488C">
        <w:rPr>
          <w:rFonts w:cs="Assistant"/>
        </w:rPr>
        <w:t xml:space="preserve">of [t]he Auto Policy.”  </w:t>
      </w:r>
    </w:p>
    <w:p w:rsidR="009879FB" w:rsidRPr="006454A7" w:rsidP="00D97D0B" w14:paraId="604BF9EA" w14:textId="253F51C0">
      <w:pPr>
        <w:widowControl w:val="0"/>
        <w:ind w:firstLine="720"/>
        <w:rPr>
          <w:rFonts w:cs="Assistant"/>
        </w:rPr>
      </w:pPr>
      <w:r w:rsidRPr="006454A7">
        <w:rPr>
          <w:rFonts w:cs="Assistant"/>
        </w:rPr>
        <w:t>In her opposition, plaintiff claimed she was “undisputedly owed” $30,451.98, the amount of medical bills and expenses</w:t>
      </w:r>
      <w:r w:rsidR="00B348C9">
        <w:rPr>
          <w:rFonts w:cs="Assistant"/>
        </w:rPr>
        <w:t xml:space="preserve"> which</w:t>
      </w:r>
      <w:r w:rsidRPr="006454A7">
        <w:rPr>
          <w:rFonts w:cs="Assistant"/>
        </w:rPr>
        <w:t xml:space="preserve"> she had incurred as of August 2022 and for which she presented documentation.  According to plaintiff, “arbitration cannot be compelled as to funds that are undisputedly owed.”  Plaintiff </w:t>
      </w:r>
      <w:r w:rsidR="003E1122">
        <w:rPr>
          <w:rFonts w:cs="Assistant"/>
        </w:rPr>
        <w:t>acknowledged</w:t>
      </w:r>
      <w:r w:rsidRPr="006454A7">
        <w:rPr>
          <w:rFonts w:cs="Assistant"/>
        </w:rPr>
        <w:t xml:space="preserve">, however, that $244,548.02 (the difference between the remaining policy limits of $275,000 and the $30,451.98) was “remaining in dispute.”  </w:t>
      </w:r>
    </w:p>
    <w:p w:rsidR="005A488C" w:rsidRPr="006454A7" w:rsidP="00D97D0B" w14:paraId="0498B690" w14:textId="0F8B9AA1">
      <w:pPr>
        <w:widowControl w:val="0"/>
        <w:rPr>
          <w:rFonts w:cs="Assistant"/>
        </w:rPr>
      </w:pPr>
      <w:r w:rsidRPr="006454A7">
        <w:rPr>
          <w:rFonts w:cs="Assistant"/>
        </w:rPr>
        <w:tab/>
      </w:r>
      <w:r w:rsidRPr="006454A7" w:rsidR="00B35C46">
        <w:rPr>
          <w:rFonts w:cs="Assistant"/>
        </w:rPr>
        <w:t>In its reply, defendant refuted plaintiff’s claim that she was “</w:t>
      </w:r>
      <w:r w:rsidR="00604401">
        <w:rPr>
          <w:rFonts w:cs="Assistant"/>
        </w:rPr>
        <w:t> </w:t>
      </w:r>
      <w:r w:rsidRPr="006454A7" w:rsidR="00B35C46">
        <w:rPr>
          <w:rFonts w:cs="Assistant"/>
        </w:rPr>
        <w:t>‘undisputedly owed’ ” at least $30,451.98, explaining that it had requested from plaintiff, but was not provided, documentation</w:t>
      </w:r>
      <w:r w:rsidR="00D63264">
        <w:rPr>
          <w:rFonts w:cs="Assistant"/>
        </w:rPr>
        <w:t xml:space="preserve"> from Medi-Cal, of which plaintiff was a beneficiary</w:t>
      </w:r>
      <w:r w:rsidRPr="006454A7" w:rsidR="00B35C46">
        <w:rPr>
          <w:rFonts w:cs="Assistant"/>
        </w:rPr>
        <w:t xml:space="preserve">.  As such, defendant asserted that plaintiff’s refusal to provide documentation prevented it from assessing the nature and extent of the damages claims.  </w:t>
      </w:r>
      <w:r w:rsidRPr="006454A7" w:rsidR="0044156C">
        <w:rPr>
          <w:rFonts w:cs="Assistant"/>
        </w:rPr>
        <w:t xml:space="preserve"> </w:t>
      </w:r>
    </w:p>
    <w:p w:rsidR="004A28BD" w:rsidRPr="006454A7" w:rsidP="00D97D0B" w14:paraId="3EE26298" w14:textId="1DC19D69">
      <w:pPr>
        <w:widowControl w:val="0"/>
        <w:rPr>
          <w:rFonts w:cs="Assistant"/>
        </w:rPr>
      </w:pPr>
      <w:r w:rsidRPr="006454A7">
        <w:rPr>
          <w:rFonts w:cs="Assistant"/>
        </w:rPr>
        <w:tab/>
        <w:t xml:space="preserve">The </w:t>
      </w:r>
      <w:r w:rsidRPr="006454A7" w:rsidR="002F6155">
        <w:rPr>
          <w:rFonts w:cs="Assistant"/>
        </w:rPr>
        <w:t>above indicates that the parties</w:t>
      </w:r>
      <w:r w:rsidRPr="006454A7" w:rsidR="00861E11">
        <w:rPr>
          <w:rFonts w:cs="Assistant"/>
        </w:rPr>
        <w:t xml:space="preserve"> plainly failed to reach an agreement as to the amount </w:t>
      </w:r>
      <w:r w:rsidRPr="006454A7" w:rsidR="00FF1372">
        <w:rPr>
          <w:rFonts w:cs="Assistant"/>
        </w:rPr>
        <w:t xml:space="preserve">of damages owed, </w:t>
      </w:r>
      <w:r w:rsidR="001E5137">
        <w:rPr>
          <w:rFonts w:cs="Assistant"/>
        </w:rPr>
        <w:t>thereby triggering the requirements of</w:t>
      </w:r>
      <w:r w:rsidRPr="006454A7" w:rsidR="00FF1372">
        <w:rPr>
          <w:rFonts w:cs="Assistant"/>
        </w:rPr>
        <w:t xml:space="preserve"> section 11580.2, subdivision (f) and the terms of the policy</w:t>
      </w:r>
      <w:r w:rsidR="004E216A">
        <w:rPr>
          <w:rFonts w:cs="Assistant"/>
        </w:rPr>
        <w:t xml:space="preserve"> for arbitration of that issue</w:t>
      </w:r>
      <w:r w:rsidRPr="006454A7" w:rsidR="00FF1372">
        <w:rPr>
          <w:rFonts w:cs="Assistant"/>
        </w:rPr>
        <w:t>.</w:t>
      </w:r>
      <w:r w:rsidRPr="006454A7" w:rsidR="0014460D">
        <w:rPr>
          <w:rFonts w:cs="Assistant"/>
        </w:rPr>
        <w:t xml:space="preserve">  </w:t>
      </w:r>
      <w:r w:rsidRPr="006454A7" w:rsidR="00DB6B51">
        <w:rPr>
          <w:rFonts w:cs="Assistant"/>
        </w:rPr>
        <w:t>This fact was not negated by plaintiff’s contention that she was</w:t>
      </w:r>
      <w:r w:rsidRPr="006454A7" w:rsidR="0014460D">
        <w:rPr>
          <w:rFonts w:cs="Assistant"/>
        </w:rPr>
        <w:t xml:space="preserve"> “ ‘undisputedly owed’ ” </w:t>
      </w:r>
      <w:r w:rsidRPr="006454A7" w:rsidR="000C5B36">
        <w:rPr>
          <w:rFonts w:cs="Assistant"/>
        </w:rPr>
        <w:t xml:space="preserve">at least </w:t>
      </w:r>
      <w:r w:rsidRPr="006454A7" w:rsidR="0014460D">
        <w:rPr>
          <w:rFonts w:cs="Assistant"/>
        </w:rPr>
        <w:t>$30,451.98</w:t>
      </w:r>
      <w:r w:rsidRPr="006454A7" w:rsidR="00DB6B51">
        <w:rPr>
          <w:rFonts w:cs="Assistant"/>
        </w:rPr>
        <w:t xml:space="preserve">.  </w:t>
      </w:r>
      <w:r w:rsidRPr="006454A7" w:rsidR="00EE7A86">
        <w:rPr>
          <w:rFonts w:cs="Assistant"/>
        </w:rPr>
        <w:t>By “ ‘undisputed,’ ”</w:t>
      </w:r>
      <w:r w:rsidRPr="006454A7" w:rsidR="00DE26AB">
        <w:rPr>
          <w:rFonts w:cs="Assistant"/>
        </w:rPr>
        <w:t xml:space="preserve"> </w:t>
      </w:r>
      <w:r w:rsidRPr="006454A7" w:rsidR="00EE7A86">
        <w:rPr>
          <w:rFonts w:cs="Assistant"/>
        </w:rPr>
        <w:t xml:space="preserve">plaintiff </w:t>
      </w:r>
      <w:r w:rsidR="002231E7">
        <w:rPr>
          <w:rFonts w:cs="Assistant"/>
        </w:rPr>
        <w:t xml:space="preserve">apparently </w:t>
      </w:r>
      <w:r w:rsidRPr="006454A7" w:rsidR="00EE7A86">
        <w:rPr>
          <w:rFonts w:cs="Assistant"/>
        </w:rPr>
        <w:t xml:space="preserve">meant </w:t>
      </w:r>
      <w:r w:rsidRPr="006454A7" w:rsidR="00DE26AB">
        <w:rPr>
          <w:rFonts w:cs="Assistant"/>
        </w:rPr>
        <w:t xml:space="preserve">not that the parties </w:t>
      </w:r>
      <w:r w:rsidRPr="006454A7" w:rsidR="00346F85">
        <w:rPr>
          <w:rFonts w:cs="Assistant"/>
        </w:rPr>
        <w:t xml:space="preserve">in fact </w:t>
      </w:r>
      <w:r w:rsidRPr="006454A7" w:rsidR="00DE26AB">
        <w:rPr>
          <w:rFonts w:cs="Assistant"/>
        </w:rPr>
        <w:t>failed to reach an agreement over the amount of damages owed, but rather that defendant</w:t>
      </w:r>
      <w:r w:rsidRPr="006454A7" w:rsidR="004A24B8">
        <w:rPr>
          <w:rFonts w:cs="Assistant"/>
        </w:rPr>
        <w:t xml:space="preserve"> </w:t>
      </w:r>
      <w:r w:rsidRPr="006454A7" w:rsidR="001445ED">
        <w:rPr>
          <w:rFonts w:cs="Assistant"/>
        </w:rPr>
        <w:t xml:space="preserve">could not have </w:t>
      </w:r>
      <w:r w:rsidRPr="006454A7" w:rsidR="004A24B8">
        <w:rPr>
          <w:rFonts w:cs="Assistant"/>
        </w:rPr>
        <w:t>reasonably disagreed</w:t>
      </w:r>
      <w:r w:rsidRPr="006454A7">
        <w:rPr>
          <w:rFonts w:cs="Assistant"/>
        </w:rPr>
        <w:t xml:space="preserve">—i.e., </w:t>
      </w:r>
      <w:r w:rsidRPr="006454A7" w:rsidR="004A24B8">
        <w:rPr>
          <w:rFonts w:cs="Assistant"/>
        </w:rPr>
        <w:t xml:space="preserve">its disagreement was </w:t>
      </w:r>
      <w:r w:rsidRPr="006454A7">
        <w:rPr>
          <w:rFonts w:cs="Assistant"/>
        </w:rPr>
        <w:t>in bad faith.</w:t>
      </w:r>
      <w:r w:rsidRPr="006454A7" w:rsidR="00AF70B4">
        <w:rPr>
          <w:rFonts w:cs="Assistant"/>
        </w:rPr>
        <w:t xml:space="preserve">  </w:t>
      </w:r>
      <w:r w:rsidR="005B3D42">
        <w:rPr>
          <w:rFonts w:cs="Assistant"/>
        </w:rPr>
        <w:t>However,</w:t>
      </w:r>
      <w:r w:rsidR="00234EE3">
        <w:rPr>
          <w:rFonts w:cs="Assistant"/>
        </w:rPr>
        <w:t xml:space="preserve"> r</w:t>
      </w:r>
      <w:r w:rsidRPr="006454A7" w:rsidR="00AF70B4">
        <w:rPr>
          <w:rFonts w:cs="Assistant"/>
        </w:rPr>
        <w:t xml:space="preserve">egardless of what caused their failure to reach an agreement over the </w:t>
      </w:r>
      <w:r w:rsidRPr="006454A7" w:rsidR="00404C62">
        <w:rPr>
          <w:rFonts w:cs="Assistant"/>
        </w:rPr>
        <w:t>$30,451.98</w:t>
      </w:r>
      <w:r w:rsidRPr="006454A7" w:rsidR="00AF70B4">
        <w:rPr>
          <w:rFonts w:cs="Assistant"/>
        </w:rPr>
        <w:t xml:space="preserve">, defendant and plaintiff clearly </w:t>
      </w:r>
      <w:r w:rsidRPr="006454A7" w:rsidR="0089613E">
        <w:rPr>
          <w:rFonts w:cs="Assistant"/>
        </w:rPr>
        <w:t xml:space="preserve">did not reach an agreement </w:t>
      </w:r>
      <w:r w:rsidRPr="006454A7" w:rsidR="0066680C">
        <w:rPr>
          <w:rFonts w:cs="Assistant"/>
        </w:rPr>
        <w:t>as to</w:t>
      </w:r>
      <w:r w:rsidRPr="006454A7" w:rsidR="0089613E">
        <w:rPr>
          <w:rFonts w:cs="Assistant"/>
        </w:rPr>
        <w:t xml:space="preserve"> that amount.</w:t>
      </w:r>
      <w:r w:rsidRPr="006454A7" w:rsidR="0066680C">
        <w:rPr>
          <w:rFonts w:cs="Assistant"/>
        </w:rPr>
        <w:t xml:space="preserve">  </w:t>
      </w:r>
      <w:r w:rsidRPr="006454A7" w:rsidR="00B50AFF">
        <w:rPr>
          <w:rFonts w:cs="Assistant"/>
        </w:rPr>
        <w:t xml:space="preserve">As </w:t>
      </w:r>
      <w:r w:rsidRPr="006454A7" w:rsidR="00175E90">
        <w:rPr>
          <w:rFonts w:cs="Assistant"/>
        </w:rPr>
        <w:t>a</w:t>
      </w:r>
      <w:r w:rsidR="00175E90">
        <w:rPr>
          <w:rFonts w:cs="Assistant"/>
        </w:rPr>
        <w:t>sserted</w:t>
      </w:r>
      <w:r w:rsidRPr="006454A7" w:rsidR="00175E90">
        <w:rPr>
          <w:rFonts w:cs="Assistant"/>
        </w:rPr>
        <w:t xml:space="preserve"> </w:t>
      </w:r>
      <w:r w:rsidRPr="006454A7" w:rsidR="00B50AFF">
        <w:rPr>
          <w:rFonts w:cs="Assistant"/>
        </w:rPr>
        <w:t xml:space="preserve">in </w:t>
      </w:r>
      <w:r w:rsidRPr="006454A7" w:rsidR="00EF1943">
        <w:rPr>
          <w:rFonts w:cs="Assistant"/>
        </w:rPr>
        <w:t>its</w:t>
      </w:r>
      <w:r w:rsidRPr="006454A7" w:rsidR="00B50AFF">
        <w:rPr>
          <w:rFonts w:cs="Assistant"/>
        </w:rPr>
        <w:t xml:space="preserve"> reply</w:t>
      </w:r>
      <w:r w:rsidRPr="006454A7" w:rsidR="00EF1943">
        <w:rPr>
          <w:rFonts w:cs="Assistant"/>
        </w:rPr>
        <w:t xml:space="preserve"> papers below, defendant </w:t>
      </w:r>
      <w:r w:rsidRPr="006454A7" w:rsidR="00DE1D1E">
        <w:rPr>
          <w:rFonts w:cs="Assistant"/>
        </w:rPr>
        <w:t xml:space="preserve">was unable to evaluate that amount because plaintiff failed to provide </w:t>
      </w:r>
      <w:r w:rsidRPr="006454A7" w:rsidR="00F96EA4">
        <w:rPr>
          <w:rFonts w:cs="Assistant"/>
        </w:rPr>
        <w:t>documentation from Medi-Cal</w:t>
      </w:r>
      <w:r w:rsidR="00D63264">
        <w:rPr>
          <w:rFonts w:cs="Assistant"/>
        </w:rPr>
        <w:t xml:space="preserve">. </w:t>
      </w:r>
      <w:r w:rsidRPr="006454A7" w:rsidR="00F96EA4">
        <w:rPr>
          <w:rFonts w:cs="Assistant"/>
        </w:rPr>
        <w:t xml:space="preserve"> But</w:t>
      </w:r>
      <w:r w:rsidRPr="006454A7" w:rsidR="00B94CE3">
        <w:rPr>
          <w:rFonts w:cs="Assistant"/>
        </w:rPr>
        <w:t xml:space="preserve"> even assuming the parties did agree that plaintiff was at least owed $30,451.98, she </w:t>
      </w:r>
      <w:r w:rsidR="00D20D7B">
        <w:rPr>
          <w:rFonts w:cs="Assistant"/>
        </w:rPr>
        <w:t>claimed she was also entitled to the</w:t>
      </w:r>
      <w:r w:rsidRPr="006454A7" w:rsidR="003B60FF">
        <w:rPr>
          <w:rFonts w:cs="Assistant"/>
        </w:rPr>
        <w:t xml:space="preserve"> remaining</w:t>
      </w:r>
      <w:r w:rsidRPr="006454A7" w:rsidR="00B07B07">
        <w:rPr>
          <w:rFonts w:cs="Assistant"/>
        </w:rPr>
        <w:t>, available</w:t>
      </w:r>
      <w:r w:rsidRPr="006454A7" w:rsidR="003B60FF">
        <w:rPr>
          <w:rFonts w:cs="Assistant"/>
        </w:rPr>
        <w:t xml:space="preserve"> policy limits </w:t>
      </w:r>
      <w:r w:rsidRPr="006454A7" w:rsidR="00B07B07">
        <w:rPr>
          <w:rFonts w:cs="Assistant"/>
        </w:rPr>
        <w:t xml:space="preserve">in </w:t>
      </w:r>
      <w:r w:rsidRPr="006454A7" w:rsidR="003B60FF">
        <w:rPr>
          <w:rFonts w:cs="Assistant"/>
        </w:rPr>
        <w:t xml:space="preserve">the amount of </w:t>
      </w:r>
      <w:r w:rsidRPr="006454A7" w:rsidR="00D45CF1">
        <w:rPr>
          <w:rFonts w:cs="Assistant"/>
        </w:rPr>
        <w:t>$244,548.02, which she expressly acknowledged “remain[ed] in dispute</w:t>
      </w:r>
      <w:r w:rsidR="002D2D8F">
        <w:rPr>
          <w:rFonts w:cs="Assistant"/>
        </w:rPr>
        <w:t>.</w:t>
      </w:r>
      <w:r w:rsidR="00D20D7B">
        <w:rPr>
          <w:rFonts w:cs="Assistant"/>
        </w:rPr>
        <w:t>”</w:t>
      </w:r>
      <w:r w:rsidR="003510D4">
        <w:rPr>
          <w:rFonts w:cs="Assistant"/>
        </w:rPr>
        <w:t xml:space="preserve"> </w:t>
      </w:r>
      <w:r w:rsidRPr="006454A7" w:rsidR="002E07BB">
        <w:rPr>
          <w:rFonts w:cs="Assistant"/>
        </w:rPr>
        <w:t xml:space="preserve"> </w:t>
      </w:r>
    </w:p>
    <w:p w:rsidR="00616B7C" w:rsidRPr="006454A7" w:rsidP="00D97D0B" w14:paraId="39E07DEA" w14:textId="5C9972A1">
      <w:pPr>
        <w:widowControl w:val="0"/>
        <w:rPr>
          <w:rFonts w:cs="Assistant"/>
        </w:rPr>
      </w:pPr>
      <w:r w:rsidRPr="006454A7">
        <w:rPr>
          <w:rFonts w:cs="Assistant"/>
        </w:rPr>
        <w:tab/>
      </w:r>
      <w:r w:rsidR="00B75D9B">
        <w:rPr>
          <w:rFonts w:cs="Assistant"/>
        </w:rPr>
        <w:t xml:space="preserve">In short, </w:t>
      </w:r>
      <w:r w:rsidRPr="006454A7" w:rsidR="002026B4">
        <w:rPr>
          <w:rFonts w:cs="Assistant"/>
        </w:rPr>
        <w:t>the parties disagree over how much</w:t>
      </w:r>
      <w:r w:rsidRPr="006454A7" w:rsidR="002C12C6">
        <w:rPr>
          <w:rFonts w:cs="Assistant"/>
        </w:rPr>
        <w:t xml:space="preserve"> in UIM damages plaintiff is owed, </w:t>
      </w:r>
      <w:r w:rsidR="00B75D9B">
        <w:rPr>
          <w:rFonts w:cs="Assistant"/>
        </w:rPr>
        <w:t xml:space="preserve">and </w:t>
      </w:r>
      <w:r w:rsidRPr="006454A7" w:rsidR="002C12C6">
        <w:rPr>
          <w:rFonts w:cs="Assistant"/>
        </w:rPr>
        <w:t xml:space="preserve">that issue </w:t>
      </w:r>
      <w:r w:rsidR="00B75D9B">
        <w:rPr>
          <w:rFonts w:cs="Assistant"/>
        </w:rPr>
        <w:t xml:space="preserve">therefore </w:t>
      </w:r>
      <w:r w:rsidRPr="006454A7" w:rsidR="002C12C6">
        <w:rPr>
          <w:rFonts w:cs="Assistant"/>
        </w:rPr>
        <w:t>must be sent to arbitration</w:t>
      </w:r>
      <w:r w:rsidRPr="006454A7" w:rsidR="006D1870">
        <w:rPr>
          <w:rFonts w:cs="Assistant"/>
        </w:rPr>
        <w:t xml:space="preserve"> pursuant to the policy and section 11580.2, subdivision (f)</w:t>
      </w:r>
      <w:r w:rsidRPr="006454A7" w:rsidR="002C12C6">
        <w:rPr>
          <w:rFonts w:cs="Assistant"/>
        </w:rPr>
        <w:t xml:space="preserve">. </w:t>
      </w:r>
      <w:r w:rsidRPr="006454A7">
        <w:rPr>
          <w:rFonts w:cs="Assistant"/>
        </w:rPr>
        <w:t xml:space="preserve"> </w:t>
      </w:r>
    </w:p>
    <w:p w:rsidR="00781FAB" w:rsidRPr="006454A7" w:rsidP="00D97D0B" w14:paraId="5E298C40" w14:textId="73A31210">
      <w:pPr>
        <w:widowControl w:val="0"/>
        <w:rPr>
          <w:rFonts w:cs="Assistant"/>
        </w:rPr>
      </w:pPr>
      <w:r w:rsidRPr="006454A7">
        <w:rPr>
          <w:rFonts w:cs="Assistant"/>
        </w:rPr>
        <w:tab/>
      </w:r>
      <w:r w:rsidRPr="006454A7">
        <w:rPr>
          <w:rFonts w:cs="Assistant"/>
          <w:i/>
          <w:iCs/>
        </w:rPr>
        <w:t xml:space="preserve">McIsaac </w:t>
      </w:r>
      <w:r w:rsidRPr="006454A7">
        <w:rPr>
          <w:rFonts w:cs="Assistant"/>
        </w:rPr>
        <w:t xml:space="preserve">is instructive.  </w:t>
      </w:r>
      <w:r w:rsidR="0022481A">
        <w:rPr>
          <w:rFonts w:cs="Assistant"/>
        </w:rPr>
        <w:t>There,</w:t>
      </w:r>
      <w:r w:rsidRPr="006454A7">
        <w:rPr>
          <w:rFonts w:cs="Assistant"/>
        </w:rPr>
        <w:t xml:space="preserve"> a motorcyclist was involved in an accident with </w:t>
      </w:r>
      <w:r w:rsidR="00EC2EC2">
        <w:rPr>
          <w:rFonts w:cs="Assistant"/>
        </w:rPr>
        <w:t>a UIM</w:t>
      </w:r>
      <w:r w:rsidRPr="006454A7">
        <w:rPr>
          <w:rFonts w:cs="Assistant"/>
        </w:rPr>
        <w:t xml:space="preserve"> and initiated a claim with his insurer under an automobile policy with an arbitration provision similar to the one in this case.  (</w:t>
      </w:r>
      <w:r w:rsidRPr="006454A7" w:rsidR="003F3158">
        <w:rPr>
          <w:rFonts w:cs="Assistant"/>
          <w:i/>
          <w:iCs/>
        </w:rPr>
        <w:t>McIsaac</w:t>
      </w:r>
      <w:r w:rsidRPr="006454A7" w:rsidR="003F3158">
        <w:rPr>
          <w:rFonts w:cs="Assistant"/>
        </w:rPr>
        <w:t xml:space="preserve">, </w:t>
      </w:r>
      <w:r w:rsidRPr="006454A7" w:rsidR="003F3158">
        <w:rPr>
          <w:rFonts w:cs="Assistant"/>
          <w:i/>
          <w:iCs/>
        </w:rPr>
        <w:t>supra</w:t>
      </w:r>
      <w:r w:rsidRPr="006454A7" w:rsidR="003F3158">
        <w:rPr>
          <w:rFonts w:cs="Assistant"/>
        </w:rPr>
        <w:t xml:space="preserve">, 64 Cal.App.5th </w:t>
      </w:r>
      <w:r w:rsidRPr="006454A7">
        <w:rPr>
          <w:rFonts w:cs="Assistant"/>
        </w:rPr>
        <w:t>at p. 4</w:t>
      </w:r>
      <w:r w:rsidR="002230DC">
        <w:rPr>
          <w:rFonts w:cs="Assistant"/>
        </w:rPr>
        <w:t>20</w:t>
      </w:r>
      <w:r w:rsidRPr="006454A7">
        <w:rPr>
          <w:rFonts w:cs="Assistant"/>
        </w:rPr>
        <w:t xml:space="preserve">.)  After the parties were unable to reach an agreement over the amount of damages, the </w:t>
      </w:r>
      <w:r w:rsidR="00A94603">
        <w:rPr>
          <w:rFonts w:cs="Assistant"/>
        </w:rPr>
        <w:t>insured</w:t>
      </w:r>
      <w:r w:rsidRPr="006454A7" w:rsidR="00A94603">
        <w:rPr>
          <w:rFonts w:cs="Assistant"/>
        </w:rPr>
        <w:t xml:space="preserve"> </w:t>
      </w:r>
      <w:r w:rsidRPr="006454A7">
        <w:rPr>
          <w:rFonts w:cs="Assistant"/>
        </w:rPr>
        <w:t>served the defendant with an arbitration demand.  (</w:t>
      </w:r>
      <w:r w:rsidRPr="006454A7">
        <w:rPr>
          <w:rFonts w:cs="Assistant"/>
          <w:i/>
          <w:iCs/>
        </w:rPr>
        <w:t>Ibid.</w:t>
      </w:r>
      <w:r w:rsidRPr="006454A7">
        <w:rPr>
          <w:rFonts w:cs="Assistant"/>
        </w:rPr>
        <w:t xml:space="preserve">)  The </w:t>
      </w:r>
      <w:r w:rsidR="00A94603">
        <w:rPr>
          <w:rFonts w:cs="Assistant"/>
        </w:rPr>
        <w:t xml:space="preserve">insurer </w:t>
      </w:r>
      <w:r w:rsidRPr="006454A7">
        <w:rPr>
          <w:rFonts w:cs="Assistant"/>
        </w:rPr>
        <w:t>responded to the demand with a letter suggesting the parties engage in basic discovery to determine if the case could be settled, and served discovery requests.  (</w:t>
      </w:r>
      <w:r w:rsidRPr="006454A7">
        <w:rPr>
          <w:rFonts w:cs="Assistant"/>
          <w:i/>
          <w:iCs/>
        </w:rPr>
        <w:t>Ibid.</w:t>
      </w:r>
      <w:r w:rsidRPr="006454A7">
        <w:rPr>
          <w:rFonts w:cs="Assistant"/>
        </w:rPr>
        <w:t xml:space="preserve">)  The </w:t>
      </w:r>
      <w:r w:rsidR="00477C82">
        <w:rPr>
          <w:rFonts w:cs="Assistant"/>
        </w:rPr>
        <w:t>insured</w:t>
      </w:r>
      <w:r w:rsidRPr="006454A7" w:rsidR="00477C82">
        <w:rPr>
          <w:rFonts w:cs="Assistant"/>
        </w:rPr>
        <w:t xml:space="preserve"> </w:t>
      </w:r>
      <w:r w:rsidRPr="006454A7">
        <w:rPr>
          <w:rFonts w:cs="Assistant"/>
        </w:rPr>
        <w:t xml:space="preserve">did not serve discovery responses and instead filed an action against the </w:t>
      </w:r>
      <w:r w:rsidR="00175E90">
        <w:rPr>
          <w:rFonts w:cs="Assistant"/>
        </w:rPr>
        <w:t>insurer</w:t>
      </w:r>
      <w:r w:rsidRPr="006454A7">
        <w:rPr>
          <w:rFonts w:cs="Assistant"/>
        </w:rPr>
        <w:t>, alleging claims for breach of contract</w:t>
      </w:r>
      <w:r w:rsidR="00FC602A">
        <w:rPr>
          <w:rFonts w:cs="Assistant"/>
        </w:rPr>
        <w:t xml:space="preserve"> and </w:t>
      </w:r>
      <w:r w:rsidRPr="006454A7">
        <w:rPr>
          <w:rFonts w:cs="Assistant"/>
        </w:rPr>
        <w:t xml:space="preserve">breach of the covenant of good faith and fair dealing, </w:t>
      </w:r>
      <w:r w:rsidR="00FC602A">
        <w:rPr>
          <w:rFonts w:cs="Assistant"/>
        </w:rPr>
        <w:t>among others.</w:t>
      </w:r>
      <w:r w:rsidRPr="006454A7">
        <w:rPr>
          <w:rFonts w:cs="Assistant"/>
        </w:rPr>
        <w:t xml:space="preserve">  (</w:t>
      </w:r>
      <w:r w:rsidRPr="006454A7">
        <w:rPr>
          <w:rFonts w:cs="Assistant"/>
          <w:i/>
          <w:iCs/>
        </w:rPr>
        <w:t>Id.</w:t>
      </w:r>
      <w:r w:rsidRPr="006454A7">
        <w:rPr>
          <w:rFonts w:cs="Assistant"/>
        </w:rPr>
        <w:t xml:space="preserve"> at p. 421.)  The </w:t>
      </w:r>
      <w:r w:rsidR="00175E90">
        <w:rPr>
          <w:rFonts w:cs="Assistant"/>
        </w:rPr>
        <w:t>insurer</w:t>
      </w:r>
      <w:r w:rsidRPr="006454A7" w:rsidR="00175E90">
        <w:rPr>
          <w:rFonts w:cs="Assistant"/>
        </w:rPr>
        <w:t xml:space="preserve"> </w:t>
      </w:r>
      <w:r w:rsidRPr="006454A7">
        <w:rPr>
          <w:rFonts w:cs="Assistant"/>
        </w:rPr>
        <w:t>filed a petition to compel arbitration and to stay the action.  (</w:t>
      </w:r>
      <w:r w:rsidRPr="006454A7">
        <w:rPr>
          <w:rFonts w:cs="Assistant"/>
          <w:i/>
          <w:iCs/>
        </w:rPr>
        <w:t>Ibid.</w:t>
      </w:r>
      <w:r w:rsidRPr="006454A7">
        <w:rPr>
          <w:rFonts w:cs="Assistant"/>
        </w:rPr>
        <w:t xml:space="preserve">)  The </w:t>
      </w:r>
      <w:r w:rsidR="00175E90">
        <w:rPr>
          <w:rFonts w:cs="Assistant"/>
        </w:rPr>
        <w:t>insured</w:t>
      </w:r>
      <w:r w:rsidRPr="006454A7" w:rsidR="00175E90">
        <w:rPr>
          <w:rFonts w:cs="Assistant"/>
        </w:rPr>
        <w:t xml:space="preserve"> </w:t>
      </w:r>
      <w:r w:rsidRPr="006454A7">
        <w:rPr>
          <w:rFonts w:cs="Assistant"/>
        </w:rPr>
        <w:t>opposed the petition, arguing that he should not be forced to arbitrate his breach of contract and bad faith claims.  (</w:t>
      </w:r>
      <w:r w:rsidRPr="006454A7">
        <w:rPr>
          <w:rFonts w:cs="Assistant"/>
          <w:i/>
          <w:iCs/>
        </w:rPr>
        <w:t>Ibid.</w:t>
      </w:r>
      <w:r w:rsidRPr="006454A7">
        <w:rPr>
          <w:rFonts w:cs="Assistant"/>
        </w:rPr>
        <w:t>)  The trial court denied the petition because it concluded that section 11580.2 does not apply to bad faith claims.  (</w:t>
      </w:r>
      <w:r w:rsidRPr="006454A7">
        <w:rPr>
          <w:rFonts w:cs="Assistant"/>
          <w:i/>
          <w:iCs/>
        </w:rPr>
        <w:t xml:space="preserve">Id. </w:t>
      </w:r>
      <w:r w:rsidRPr="006454A7">
        <w:rPr>
          <w:rFonts w:cs="Assistant"/>
        </w:rPr>
        <w:t xml:space="preserve">at pp. 421–422.)  </w:t>
      </w:r>
    </w:p>
    <w:p w:rsidR="004459B8" w:rsidRPr="006454A7" w:rsidP="00D97D0B" w14:paraId="676A8E56" w14:textId="7D83D603">
      <w:pPr>
        <w:widowControl w:val="0"/>
        <w:ind w:firstLine="720"/>
        <w:rPr>
          <w:rFonts w:cs="Assistant"/>
        </w:rPr>
      </w:pPr>
      <w:r w:rsidRPr="006454A7">
        <w:rPr>
          <w:rFonts w:cs="Assistant"/>
        </w:rPr>
        <w:t>Division One of this First District reversed.  (</w:t>
      </w:r>
      <w:r w:rsidRPr="006454A7">
        <w:rPr>
          <w:rFonts w:cs="Assistant"/>
          <w:i/>
          <w:iCs/>
        </w:rPr>
        <w:t>McIsaac</w:t>
      </w:r>
      <w:r w:rsidRPr="006454A7">
        <w:rPr>
          <w:rFonts w:cs="Assistant"/>
        </w:rPr>
        <w:t xml:space="preserve">, </w:t>
      </w:r>
      <w:r w:rsidRPr="006454A7">
        <w:rPr>
          <w:rFonts w:cs="Assistant"/>
          <w:i/>
          <w:iCs/>
        </w:rPr>
        <w:t>supra</w:t>
      </w:r>
      <w:r w:rsidRPr="006454A7">
        <w:rPr>
          <w:rFonts w:cs="Assistant"/>
        </w:rPr>
        <w:t>, 64</w:t>
      </w:r>
      <w:r w:rsidR="002230DC">
        <w:rPr>
          <w:rFonts w:cs="Assistant"/>
        </w:rPr>
        <w:t> </w:t>
      </w:r>
      <w:r w:rsidRPr="006454A7">
        <w:rPr>
          <w:rFonts w:cs="Assistant"/>
        </w:rPr>
        <w:t>Cal.App.5th at pp. 42</w:t>
      </w:r>
      <w:r w:rsidR="002230DC">
        <w:rPr>
          <w:rFonts w:cs="Assistant"/>
        </w:rPr>
        <w:t>4</w:t>
      </w:r>
      <w:r w:rsidRPr="006454A7">
        <w:rPr>
          <w:rFonts w:cs="Assistant"/>
        </w:rPr>
        <w:t>–42</w:t>
      </w:r>
      <w:r w:rsidR="002230DC">
        <w:rPr>
          <w:rFonts w:cs="Assistant"/>
        </w:rPr>
        <w:t>5</w:t>
      </w:r>
      <w:r w:rsidRPr="006454A7">
        <w:rPr>
          <w:rFonts w:cs="Assistant"/>
        </w:rPr>
        <w:t>.)  The court noted that “if an agreement to arbitrate a controversy exists, the trial court must order arbitration.”  (</w:t>
      </w:r>
      <w:r w:rsidRPr="006454A7">
        <w:rPr>
          <w:rFonts w:cs="Assistant"/>
          <w:i/>
          <w:iCs/>
        </w:rPr>
        <w:t>Id.</w:t>
      </w:r>
      <w:r w:rsidRPr="006454A7">
        <w:rPr>
          <w:rFonts w:cs="Assistant"/>
        </w:rPr>
        <w:t xml:space="preserve"> at p.</w:t>
      </w:r>
      <w:r w:rsidR="00A2251E">
        <w:rPr>
          <w:rFonts w:cs="Assistant"/>
        </w:rPr>
        <w:t> </w:t>
      </w:r>
      <w:r w:rsidRPr="006454A7">
        <w:rPr>
          <w:rFonts w:cs="Assistant"/>
        </w:rPr>
        <w:t xml:space="preserve">423, citing Code. Civ. Proc., § 1281.2.)  And because the </w:t>
      </w:r>
      <w:r w:rsidR="00175E90">
        <w:rPr>
          <w:rFonts w:cs="Assistant"/>
        </w:rPr>
        <w:t>insurer</w:t>
      </w:r>
      <w:r w:rsidRPr="006454A7" w:rsidR="00175E90">
        <w:rPr>
          <w:rFonts w:cs="Assistant"/>
        </w:rPr>
        <w:t xml:space="preserve"> </w:t>
      </w:r>
      <w:r w:rsidRPr="006454A7">
        <w:rPr>
          <w:rFonts w:cs="Assistant"/>
        </w:rPr>
        <w:t xml:space="preserve">filed a petition to compel arbitration showing that the parties had a written agreement to arbitrate the amount of UIM damages and were unable to reach an agreement, the court held that </w:t>
      </w:r>
      <w:r w:rsidR="00175E90">
        <w:rPr>
          <w:rFonts w:cs="Assistant"/>
        </w:rPr>
        <w:t>insurer</w:t>
      </w:r>
      <w:r w:rsidRPr="006454A7">
        <w:rPr>
          <w:rFonts w:cs="Assistant"/>
        </w:rPr>
        <w:t xml:space="preserve"> “was entitled to an order granting the petition to compel arbitration of that limited issue.”  (</w:t>
      </w:r>
      <w:r w:rsidR="000F3A57">
        <w:rPr>
          <w:rFonts w:cs="Assistant"/>
          <w:i/>
          <w:iCs/>
        </w:rPr>
        <w:t>McIsaac</w:t>
      </w:r>
      <w:r w:rsidR="000F3A57">
        <w:rPr>
          <w:rFonts w:cs="Assistant"/>
        </w:rPr>
        <w:t xml:space="preserve">, </w:t>
      </w:r>
      <w:r w:rsidRPr="006454A7">
        <w:rPr>
          <w:rFonts w:cs="Assistant"/>
          <w:i/>
          <w:iCs/>
        </w:rPr>
        <w:t xml:space="preserve"> </w:t>
      </w:r>
      <w:r w:rsidRPr="006454A7">
        <w:rPr>
          <w:rFonts w:cs="Assistant"/>
        </w:rPr>
        <w:t xml:space="preserve">at p. 423.)  In so concluding, the court rejected the </w:t>
      </w:r>
      <w:r w:rsidR="00175E90">
        <w:rPr>
          <w:rFonts w:cs="Assistant"/>
        </w:rPr>
        <w:t>insured’s</w:t>
      </w:r>
      <w:r w:rsidRPr="006454A7" w:rsidR="00175E90">
        <w:rPr>
          <w:rFonts w:cs="Assistant"/>
        </w:rPr>
        <w:t xml:space="preserve"> </w:t>
      </w:r>
      <w:r w:rsidRPr="006454A7">
        <w:rPr>
          <w:rFonts w:cs="Assistant"/>
        </w:rPr>
        <w:t xml:space="preserve">and trial court’s position that </w:t>
      </w:r>
      <w:r w:rsidR="00304089">
        <w:rPr>
          <w:rFonts w:cs="Assistant"/>
        </w:rPr>
        <w:t xml:space="preserve">the </w:t>
      </w:r>
      <w:r w:rsidR="00175E90">
        <w:rPr>
          <w:rFonts w:cs="Assistant"/>
        </w:rPr>
        <w:t>insurer</w:t>
      </w:r>
      <w:r w:rsidRPr="006454A7" w:rsidR="00175E90">
        <w:rPr>
          <w:rFonts w:cs="Assistant"/>
        </w:rPr>
        <w:t xml:space="preserve"> </w:t>
      </w:r>
      <w:r w:rsidRPr="006454A7">
        <w:rPr>
          <w:rFonts w:cs="Assistant"/>
        </w:rPr>
        <w:t xml:space="preserve">was not entitled to arbitrate the amount of damages because </w:t>
      </w:r>
      <w:r w:rsidR="00304089">
        <w:rPr>
          <w:rFonts w:cs="Assistant"/>
        </w:rPr>
        <w:t xml:space="preserve">the </w:t>
      </w:r>
      <w:r w:rsidR="007B189E">
        <w:rPr>
          <w:rFonts w:cs="Assistant"/>
        </w:rPr>
        <w:t xml:space="preserve">insured </w:t>
      </w:r>
      <w:r w:rsidRPr="006454A7">
        <w:rPr>
          <w:rFonts w:cs="Assistant"/>
        </w:rPr>
        <w:t>had alleged a nonarbitrable, bad faith cause of action.  (</w:t>
      </w:r>
      <w:r w:rsidRPr="006454A7">
        <w:rPr>
          <w:rFonts w:cs="Assistant"/>
          <w:i/>
          <w:iCs/>
        </w:rPr>
        <w:t>Ibid</w:t>
      </w:r>
      <w:r w:rsidRPr="006454A7">
        <w:rPr>
          <w:rFonts w:cs="Assistant"/>
        </w:rPr>
        <w:t>.)  It explained, “</w:t>
      </w:r>
      <w:r w:rsidR="00A2251E">
        <w:rPr>
          <w:rFonts w:cs="Assistant"/>
        </w:rPr>
        <w:t>[</w:t>
      </w:r>
      <w:r w:rsidRPr="006454A7">
        <w:rPr>
          <w:rFonts w:cs="Assistant"/>
        </w:rPr>
        <w:t>t</w:t>
      </w:r>
      <w:r w:rsidR="00A2251E">
        <w:rPr>
          <w:rFonts w:cs="Assistant"/>
        </w:rPr>
        <w:t>]</w:t>
      </w:r>
      <w:r w:rsidRPr="006454A7">
        <w:rPr>
          <w:rFonts w:cs="Assistant"/>
        </w:rPr>
        <w:t>he fact that litigation involves some nonarbitrable issues is not a basis to deny a petition to compel arbitration unless those issues involve a third party who is not contractually obligated to arbitrate.”  (</w:t>
      </w:r>
      <w:r w:rsidRPr="006454A7">
        <w:rPr>
          <w:rFonts w:cs="Assistant"/>
          <w:i/>
          <w:iCs/>
        </w:rPr>
        <w:t>Id.</w:t>
      </w:r>
      <w:r w:rsidRPr="006454A7">
        <w:rPr>
          <w:rFonts w:cs="Assistant"/>
        </w:rPr>
        <w:t xml:space="preserve"> at p. 424, citing </w:t>
      </w:r>
      <w:r w:rsidRPr="006454A7">
        <w:rPr>
          <w:rFonts w:cs="Assistant"/>
          <w:i/>
          <w:iCs/>
        </w:rPr>
        <w:t>Laswell v. AG Seal Beach, LLC</w:t>
      </w:r>
      <w:r w:rsidRPr="006454A7">
        <w:rPr>
          <w:rFonts w:cs="Assistant"/>
        </w:rPr>
        <w:t xml:space="preserve"> (2010) 189 Cal.App.4th 1399, 1409; Knight et al., Cal. Practice Guide: </w:t>
      </w:r>
      <w:r w:rsidR="00A2251E">
        <w:rPr>
          <w:rFonts w:cs="Assistant"/>
        </w:rPr>
        <w:t xml:space="preserve"> </w:t>
      </w:r>
      <w:r w:rsidRPr="006454A7">
        <w:rPr>
          <w:rFonts w:cs="Assistant"/>
        </w:rPr>
        <w:t xml:space="preserve">Alternative Dispute Resolution (The Rutter Group 2020) ¶ 5:326.1.) </w:t>
      </w:r>
    </w:p>
    <w:p w:rsidR="00813B1B" w:rsidRPr="006454A7" w:rsidP="00D97D0B" w14:paraId="1919F0CB" w14:textId="54437CD6">
      <w:pPr>
        <w:widowControl w:val="0"/>
        <w:ind w:firstLine="720"/>
        <w:rPr>
          <w:rFonts w:cs="Assistant"/>
        </w:rPr>
      </w:pPr>
      <w:r w:rsidRPr="006454A7">
        <w:rPr>
          <w:rFonts w:cs="Assistant"/>
          <w:i/>
          <w:iCs/>
        </w:rPr>
        <w:t>McIsaac</w:t>
      </w:r>
      <w:r w:rsidRPr="006454A7">
        <w:rPr>
          <w:rFonts w:cs="Assistant"/>
        </w:rPr>
        <w:t xml:space="preserve"> is analogous to this case</w:t>
      </w:r>
      <w:r w:rsidRPr="006454A7" w:rsidR="00171D10">
        <w:rPr>
          <w:rFonts w:cs="Assistant"/>
        </w:rPr>
        <w:t xml:space="preserve">. </w:t>
      </w:r>
      <w:r w:rsidRPr="006454A7">
        <w:rPr>
          <w:rFonts w:cs="Assistant"/>
        </w:rPr>
        <w:t xml:space="preserve"> </w:t>
      </w:r>
      <w:r w:rsidR="00304089">
        <w:rPr>
          <w:rFonts w:cs="Assistant"/>
        </w:rPr>
        <w:t>Here, a</w:t>
      </w:r>
      <w:r w:rsidRPr="006454A7" w:rsidR="00570DDD">
        <w:rPr>
          <w:rFonts w:cs="Assistant"/>
        </w:rPr>
        <w:t xml:space="preserve">s explained above, defendant similarly filed a motion to compel arbitration showing that the parties had a written agreement to arbitrate the amount of UIM damages and were unable to reach an agreement.  </w:t>
      </w:r>
      <w:r w:rsidRPr="006454A7" w:rsidR="00F613F8">
        <w:rPr>
          <w:rFonts w:cs="Assistant"/>
        </w:rPr>
        <w:t xml:space="preserve">In the absence of any exception (which plaintiff has failed to establish, as </w:t>
      </w:r>
      <w:r w:rsidRPr="006454A7" w:rsidR="004406E7">
        <w:rPr>
          <w:rFonts w:cs="Assistant"/>
        </w:rPr>
        <w:t>concluded</w:t>
      </w:r>
      <w:r w:rsidRPr="006454A7" w:rsidR="00F613F8">
        <w:rPr>
          <w:rFonts w:cs="Assistant"/>
        </w:rPr>
        <w:t xml:space="preserve"> above), </w:t>
      </w:r>
      <w:r w:rsidRPr="006454A7" w:rsidR="004406E7">
        <w:rPr>
          <w:rFonts w:cs="Assistant"/>
        </w:rPr>
        <w:t xml:space="preserve">and regardless of whether plaintiff filed an action asserting bad faith claims, </w:t>
      </w:r>
      <w:r w:rsidRPr="006454A7" w:rsidR="00F613F8">
        <w:rPr>
          <w:rFonts w:cs="Assistant"/>
        </w:rPr>
        <w:t>t</w:t>
      </w:r>
      <w:r w:rsidRPr="006454A7" w:rsidR="00570DDD">
        <w:rPr>
          <w:rFonts w:cs="Assistant"/>
        </w:rPr>
        <w:t xml:space="preserve">he </w:t>
      </w:r>
      <w:r w:rsidRPr="006454A7" w:rsidR="00A6791F">
        <w:rPr>
          <w:rFonts w:cs="Assistant"/>
        </w:rPr>
        <w:t xml:space="preserve">trial </w:t>
      </w:r>
      <w:r w:rsidRPr="006454A7" w:rsidR="00570DDD">
        <w:rPr>
          <w:rFonts w:cs="Assistant"/>
        </w:rPr>
        <w:t xml:space="preserve">court was required under Code of Civil Procedure, section 1281.2 to order </w:t>
      </w:r>
      <w:r w:rsidRPr="006454A7" w:rsidR="00A6791F">
        <w:rPr>
          <w:rFonts w:cs="Assistant"/>
        </w:rPr>
        <w:t>arbitratio</w:t>
      </w:r>
      <w:r w:rsidRPr="006454A7" w:rsidR="00175A20">
        <w:rPr>
          <w:rFonts w:cs="Assistant"/>
        </w:rPr>
        <w:t xml:space="preserve">n </w:t>
      </w:r>
      <w:r w:rsidRPr="006454A7" w:rsidR="00F20A3F">
        <w:rPr>
          <w:rFonts w:cs="Assistant"/>
        </w:rPr>
        <w:t>of the issue of the amount of damages</w:t>
      </w:r>
      <w:r w:rsidRPr="006454A7" w:rsidR="00175A20">
        <w:rPr>
          <w:rFonts w:cs="Assistant"/>
        </w:rPr>
        <w:t xml:space="preserve">. </w:t>
      </w:r>
      <w:r w:rsidRPr="006454A7" w:rsidR="00A6791F">
        <w:rPr>
          <w:rFonts w:cs="Assistant"/>
        </w:rPr>
        <w:t xml:space="preserve"> </w:t>
      </w:r>
      <w:r w:rsidRPr="006454A7" w:rsidR="00570DDD">
        <w:rPr>
          <w:rFonts w:cs="Assistant"/>
        </w:rPr>
        <w:t xml:space="preserve">(See </w:t>
      </w:r>
      <w:r w:rsidRPr="006454A7" w:rsidR="00570DDD">
        <w:rPr>
          <w:rFonts w:cs="Assistant"/>
          <w:i/>
          <w:iCs/>
        </w:rPr>
        <w:t>McIsaac</w:t>
      </w:r>
      <w:r w:rsidRPr="006454A7" w:rsidR="00570DDD">
        <w:rPr>
          <w:rFonts w:cs="Assistant"/>
        </w:rPr>
        <w:t xml:space="preserve">, </w:t>
      </w:r>
      <w:r w:rsidRPr="006454A7" w:rsidR="00570DDD">
        <w:rPr>
          <w:rFonts w:cs="Assistant"/>
          <w:i/>
          <w:iCs/>
        </w:rPr>
        <w:t>supra</w:t>
      </w:r>
      <w:r w:rsidRPr="006454A7" w:rsidR="00570DDD">
        <w:rPr>
          <w:rFonts w:cs="Assistant"/>
        </w:rPr>
        <w:t>, 64 Cal.App.5th at p</w:t>
      </w:r>
      <w:r w:rsidRPr="006454A7" w:rsidR="004406E7">
        <w:rPr>
          <w:rFonts w:cs="Assistant"/>
        </w:rPr>
        <w:t>p</w:t>
      </w:r>
      <w:r w:rsidRPr="006454A7" w:rsidR="00570DDD">
        <w:rPr>
          <w:rFonts w:cs="Assistant"/>
        </w:rPr>
        <w:t>. 423</w:t>
      </w:r>
      <w:r w:rsidRPr="006454A7" w:rsidR="004406E7">
        <w:rPr>
          <w:rFonts w:cs="Assistant"/>
        </w:rPr>
        <w:t>–424</w:t>
      </w:r>
      <w:r w:rsidRPr="006454A7" w:rsidR="00570DDD">
        <w:rPr>
          <w:rFonts w:cs="Assistant"/>
        </w:rPr>
        <w:t>.)</w:t>
      </w:r>
      <w:r w:rsidRPr="006454A7" w:rsidR="00175A20">
        <w:rPr>
          <w:rFonts w:cs="Assistant"/>
        </w:rPr>
        <w:t xml:space="preserve"> </w:t>
      </w:r>
    </w:p>
    <w:p w:rsidR="004A28BD" w:rsidP="00D97D0B" w14:paraId="6291EE03" w14:textId="1ACCB4CB">
      <w:pPr>
        <w:widowControl w:val="0"/>
        <w:rPr>
          <w:rFonts w:cs="Assistant"/>
        </w:rPr>
      </w:pPr>
      <w:r w:rsidRPr="006454A7">
        <w:rPr>
          <w:rFonts w:cs="Assistant"/>
        </w:rPr>
        <w:tab/>
      </w:r>
      <w:r w:rsidRPr="006454A7" w:rsidR="00221EDD">
        <w:rPr>
          <w:rFonts w:cs="Assistant"/>
        </w:rPr>
        <w:t xml:space="preserve">In </w:t>
      </w:r>
      <w:r w:rsidRPr="006454A7" w:rsidR="00171D10">
        <w:rPr>
          <w:rFonts w:cs="Assistant"/>
        </w:rPr>
        <w:t xml:space="preserve">declining to </w:t>
      </w:r>
      <w:r w:rsidR="003C789C">
        <w:rPr>
          <w:rFonts w:cs="Assistant"/>
        </w:rPr>
        <w:t xml:space="preserve">order arbitration in this case, </w:t>
      </w:r>
      <w:r w:rsidRPr="006454A7" w:rsidR="00221EDD">
        <w:rPr>
          <w:rFonts w:cs="Assistant"/>
        </w:rPr>
        <w:t xml:space="preserve">the trial court erred. </w:t>
      </w:r>
      <w:r w:rsidRPr="006454A7" w:rsidR="00504482">
        <w:rPr>
          <w:rFonts w:cs="Assistant"/>
        </w:rPr>
        <w:t xml:space="preserve"> </w:t>
      </w:r>
      <w:r w:rsidRPr="006454A7" w:rsidR="00171D10">
        <w:rPr>
          <w:rFonts w:cs="Assistant"/>
        </w:rPr>
        <w:t>It</w:t>
      </w:r>
      <w:r w:rsidRPr="006454A7" w:rsidR="00504482">
        <w:rPr>
          <w:rFonts w:cs="Assistant"/>
        </w:rPr>
        <w:t xml:space="preserve"> cited a number of reasons </w:t>
      </w:r>
      <w:r w:rsidR="001F5225">
        <w:rPr>
          <w:rFonts w:cs="Assistant"/>
        </w:rPr>
        <w:t xml:space="preserve">for </w:t>
      </w:r>
      <w:r w:rsidR="00FA2FE9">
        <w:rPr>
          <w:rFonts w:cs="Assistant"/>
        </w:rPr>
        <w:t xml:space="preserve">its </w:t>
      </w:r>
      <w:r w:rsidR="001F5225">
        <w:rPr>
          <w:rFonts w:cs="Assistant"/>
        </w:rPr>
        <w:t>ruling</w:t>
      </w:r>
      <w:r w:rsidRPr="006454A7" w:rsidR="00365266">
        <w:rPr>
          <w:rFonts w:cs="Assistant"/>
        </w:rPr>
        <w:t xml:space="preserve">, but in our view, none of those reasons justified the denial of defendant’s motion to compel arbitration. </w:t>
      </w:r>
      <w:r w:rsidRPr="006454A7" w:rsidR="002C12C6">
        <w:rPr>
          <w:rFonts w:cs="Assistant"/>
        </w:rPr>
        <w:t xml:space="preserve"> </w:t>
      </w:r>
    </w:p>
    <w:p w:rsidR="007E605E" w:rsidRPr="006454A7" w:rsidP="00D97D0B" w14:paraId="7418D931" w14:textId="1D844193">
      <w:pPr>
        <w:widowControl w:val="0"/>
        <w:rPr>
          <w:rFonts w:cs="Assistant"/>
        </w:rPr>
      </w:pPr>
      <w:r>
        <w:rPr>
          <w:rFonts w:cs="Assistant"/>
        </w:rPr>
        <w:tab/>
        <w:t>It appears</w:t>
      </w:r>
      <w:r w:rsidR="00430554">
        <w:rPr>
          <w:rFonts w:cs="Assistant"/>
        </w:rPr>
        <w:t xml:space="preserve"> the court’s order was premised on its</w:t>
      </w:r>
      <w:r w:rsidRPr="006454A7">
        <w:rPr>
          <w:rFonts w:cs="Assistant"/>
        </w:rPr>
        <w:t xml:space="preserve"> mistaken view that </w:t>
      </w:r>
      <w:r w:rsidRPr="006454A7" w:rsidR="00014F53">
        <w:rPr>
          <w:rFonts w:cs="Assistant"/>
        </w:rPr>
        <w:t>“[n]owhere in [defendant’s] moving papers does it specify that there is a dispute over the amount</w:t>
      </w:r>
      <w:r w:rsidR="00014F53">
        <w:rPr>
          <w:rFonts w:cs="Assistant"/>
        </w:rPr>
        <w:t xml:space="preserve"> . . . .” </w:t>
      </w:r>
      <w:r w:rsidRPr="006454A7">
        <w:rPr>
          <w:rFonts w:cs="Assistant"/>
        </w:rPr>
        <w:t xml:space="preserve"> Defendant did so specify.  It expressly stated in its motion that it “has disputed the amount that Plaintiff claimed under the policy and therefore the dispute falls squarely within the arbitration </w:t>
      </w:r>
      <w:r w:rsidR="002C4B08">
        <w:rPr>
          <w:rFonts w:cs="Assistant"/>
        </w:rPr>
        <w:t xml:space="preserve">provision </w:t>
      </w:r>
      <w:r w:rsidRPr="006454A7">
        <w:rPr>
          <w:rFonts w:cs="Assistant"/>
        </w:rPr>
        <w:t>of [t]he Auto Policy.”</w:t>
      </w:r>
      <w:r w:rsidR="00273BFD">
        <w:rPr>
          <w:rFonts w:cs="Assistant"/>
        </w:rPr>
        <w:t xml:space="preserve"> </w:t>
      </w:r>
      <w:r w:rsidR="008723C6">
        <w:rPr>
          <w:rFonts w:cs="Assistant"/>
        </w:rPr>
        <w:t xml:space="preserve"> </w:t>
      </w:r>
      <w:r w:rsidR="00691C9B">
        <w:rPr>
          <w:rFonts w:cs="Assistant"/>
        </w:rPr>
        <w:t>Thus, to the extent the court found that defendant</w:t>
      </w:r>
      <w:r w:rsidR="00D55863">
        <w:rPr>
          <w:rFonts w:cs="Assistant"/>
        </w:rPr>
        <w:t xml:space="preserve">’s motion failed to </w:t>
      </w:r>
      <w:r w:rsidR="009F26BF">
        <w:rPr>
          <w:rFonts w:cs="Assistant"/>
        </w:rPr>
        <w:t xml:space="preserve">demonstrate </w:t>
      </w:r>
      <w:r w:rsidR="00606646">
        <w:rPr>
          <w:rFonts w:cs="Assistant"/>
        </w:rPr>
        <w:t xml:space="preserve">the existence of </w:t>
      </w:r>
      <w:r w:rsidR="002B0AE0">
        <w:rPr>
          <w:rFonts w:cs="Assistant"/>
        </w:rPr>
        <w:t xml:space="preserve">a dispute over the amount of UIM damages, as contemplated in section 11580.2 and the policy, </w:t>
      </w:r>
      <w:r w:rsidR="00606646">
        <w:rPr>
          <w:rFonts w:cs="Assistant"/>
        </w:rPr>
        <w:t>the court</w:t>
      </w:r>
      <w:r w:rsidR="00691C9B">
        <w:rPr>
          <w:rFonts w:cs="Assistant"/>
        </w:rPr>
        <w:t xml:space="preserve"> was mistaken.</w:t>
      </w:r>
      <w:r>
        <w:rPr>
          <w:rStyle w:val="FootnoteReference"/>
          <w:rFonts w:cs="Assistant"/>
        </w:rPr>
        <w:footnoteReference w:id="6"/>
      </w:r>
      <w:r w:rsidR="009B42DE">
        <w:rPr>
          <w:rFonts w:cs="Assistant"/>
        </w:rPr>
        <w:t xml:space="preserve"> </w:t>
      </w:r>
      <w:r w:rsidR="00691C9B">
        <w:rPr>
          <w:rFonts w:cs="Assistant"/>
        </w:rPr>
        <w:t xml:space="preserve">  </w:t>
      </w:r>
    </w:p>
    <w:p w:rsidR="00D010FC" w:rsidRPr="006454A7" w:rsidP="00D97D0B" w14:paraId="647C5E34" w14:textId="6BA5DAC6">
      <w:pPr>
        <w:widowControl w:val="0"/>
        <w:rPr>
          <w:rFonts w:cs="Assistant"/>
        </w:rPr>
      </w:pPr>
      <w:r w:rsidRPr="006454A7">
        <w:rPr>
          <w:rFonts w:cs="Assistant"/>
        </w:rPr>
        <w:tab/>
      </w:r>
      <w:r w:rsidR="006E6AB8">
        <w:rPr>
          <w:rFonts w:cs="Assistant"/>
        </w:rPr>
        <w:t>Another basis</w:t>
      </w:r>
      <w:r w:rsidRPr="006454A7" w:rsidR="00BB0C99">
        <w:rPr>
          <w:rFonts w:cs="Assistant"/>
        </w:rPr>
        <w:t xml:space="preserve"> for denying the motion to compel arbitration was </w:t>
      </w:r>
      <w:r w:rsidRPr="006454A7" w:rsidR="004017A5">
        <w:rPr>
          <w:rFonts w:cs="Assistant"/>
        </w:rPr>
        <w:t xml:space="preserve">the court’s determination that this case was distinguishable from </w:t>
      </w:r>
      <w:r w:rsidRPr="006454A7" w:rsidR="004017A5">
        <w:rPr>
          <w:rFonts w:cs="Assistant"/>
          <w:i/>
          <w:iCs/>
        </w:rPr>
        <w:t>McIsaac</w:t>
      </w:r>
      <w:r w:rsidRPr="006454A7" w:rsidR="004C1BB7">
        <w:rPr>
          <w:rFonts w:cs="Assistant"/>
        </w:rPr>
        <w:t xml:space="preserve">. </w:t>
      </w:r>
      <w:r w:rsidRPr="006454A7" w:rsidR="004A15C7">
        <w:rPr>
          <w:rFonts w:cs="Assistant"/>
        </w:rPr>
        <w:t xml:space="preserve"> </w:t>
      </w:r>
      <w:r w:rsidRPr="006454A7" w:rsidR="00326761">
        <w:rPr>
          <w:rFonts w:cs="Assistant"/>
        </w:rPr>
        <w:t xml:space="preserve">It found that </w:t>
      </w:r>
      <w:r w:rsidRPr="006454A7" w:rsidR="00D31995">
        <w:rPr>
          <w:rFonts w:cs="Assistant"/>
        </w:rPr>
        <w:t xml:space="preserve">unlike in </w:t>
      </w:r>
      <w:r w:rsidRPr="006454A7" w:rsidR="00D31995">
        <w:rPr>
          <w:rFonts w:cs="Assistant"/>
          <w:i/>
          <w:iCs/>
        </w:rPr>
        <w:t>McIsaac</w:t>
      </w:r>
      <w:r w:rsidRPr="006454A7" w:rsidR="00D31995">
        <w:rPr>
          <w:rFonts w:cs="Assistant"/>
        </w:rPr>
        <w:t xml:space="preserve">, </w:t>
      </w:r>
      <w:r w:rsidR="0044582F">
        <w:rPr>
          <w:rFonts w:cs="Assistant"/>
        </w:rPr>
        <w:t xml:space="preserve">defendant did not state in its moving papers that </w:t>
      </w:r>
      <w:r w:rsidRPr="006454A7" w:rsidR="00D31995">
        <w:rPr>
          <w:rFonts w:cs="Assistant"/>
        </w:rPr>
        <w:t>it seeks to compel arbitration</w:t>
      </w:r>
      <w:r w:rsidR="009D4B11">
        <w:rPr>
          <w:rFonts w:cs="Assistant"/>
        </w:rPr>
        <w:t xml:space="preserve"> of only the amount of the UIM damages</w:t>
      </w:r>
      <w:r w:rsidRPr="006454A7" w:rsidR="00D31995">
        <w:rPr>
          <w:rFonts w:cs="Assistant"/>
        </w:rPr>
        <w:t xml:space="preserve">, </w:t>
      </w:r>
      <w:r w:rsidR="009D4B11">
        <w:rPr>
          <w:rFonts w:cs="Assistant"/>
        </w:rPr>
        <w:t>and did not request a stay of the</w:t>
      </w:r>
      <w:r w:rsidRPr="006454A7" w:rsidR="00D31995">
        <w:rPr>
          <w:rFonts w:cs="Assistant"/>
        </w:rPr>
        <w:t xml:space="preserve"> litigation </w:t>
      </w:r>
      <w:r w:rsidR="009D4B11">
        <w:rPr>
          <w:rFonts w:cs="Assistant"/>
        </w:rPr>
        <w:t>of the</w:t>
      </w:r>
      <w:r w:rsidRPr="006454A7" w:rsidR="00D31995">
        <w:rPr>
          <w:rFonts w:cs="Assistant"/>
        </w:rPr>
        <w:t xml:space="preserve"> bad faith</w:t>
      </w:r>
      <w:r w:rsidR="009D4B11">
        <w:rPr>
          <w:rFonts w:cs="Assistant"/>
        </w:rPr>
        <w:t xml:space="preserve"> claim</w:t>
      </w:r>
      <w:r w:rsidRPr="006454A7" w:rsidR="00D31995">
        <w:rPr>
          <w:rFonts w:cs="Assistant"/>
        </w:rPr>
        <w:t xml:space="preserve">. </w:t>
      </w:r>
      <w:r w:rsidRPr="006454A7" w:rsidR="004A15C7">
        <w:rPr>
          <w:rFonts w:cs="Assistant"/>
        </w:rPr>
        <w:t xml:space="preserve"> </w:t>
      </w:r>
      <w:r w:rsidRPr="006454A7" w:rsidR="00654C53">
        <w:rPr>
          <w:rFonts w:cs="Assistant"/>
        </w:rPr>
        <w:t xml:space="preserve">It is true that defendant’s motion was </w:t>
      </w:r>
      <w:r w:rsidR="000D19B1">
        <w:rPr>
          <w:rFonts w:cs="Assistant"/>
        </w:rPr>
        <w:t>not as clear as</w:t>
      </w:r>
      <w:r w:rsidRPr="006454A7" w:rsidR="00654C53">
        <w:rPr>
          <w:rFonts w:cs="Assistant"/>
        </w:rPr>
        <w:t xml:space="preserve"> the petition in </w:t>
      </w:r>
      <w:r w:rsidRPr="006454A7" w:rsidR="00654C53">
        <w:rPr>
          <w:rFonts w:cs="Assistant"/>
          <w:i/>
          <w:iCs/>
        </w:rPr>
        <w:t>McIsaac</w:t>
      </w:r>
      <w:r w:rsidR="005E3669">
        <w:rPr>
          <w:rFonts w:cs="Assistant"/>
        </w:rPr>
        <w:t xml:space="preserve"> in that regard. </w:t>
      </w:r>
      <w:r w:rsidRPr="006454A7" w:rsidR="00654C53">
        <w:rPr>
          <w:rFonts w:cs="Assistant"/>
        </w:rPr>
        <w:t xml:space="preserve"> </w:t>
      </w:r>
      <w:r w:rsidRPr="006454A7" w:rsidR="00B862C6">
        <w:rPr>
          <w:rFonts w:cs="Assistant"/>
        </w:rPr>
        <w:t xml:space="preserve">However, </w:t>
      </w:r>
      <w:r w:rsidR="00A95803">
        <w:rPr>
          <w:rFonts w:cs="Assistant"/>
        </w:rPr>
        <w:t>we</w:t>
      </w:r>
      <w:r w:rsidRPr="006454A7" w:rsidR="00A95803">
        <w:rPr>
          <w:rFonts w:cs="Assistant"/>
        </w:rPr>
        <w:t xml:space="preserve"> agree with defendant that th</w:t>
      </w:r>
      <w:r w:rsidR="00A02E26">
        <w:rPr>
          <w:rFonts w:cs="Assistant"/>
        </w:rPr>
        <w:t>is</w:t>
      </w:r>
      <w:r w:rsidRPr="006454A7" w:rsidR="00A95803">
        <w:rPr>
          <w:rFonts w:cs="Assistant"/>
        </w:rPr>
        <w:t xml:space="preserve"> </w:t>
      </w:r>
      <w:r w:rsidR="00A02E26">
        <w:rPr>
          <w:rFonts w:cs="Assistant"/>
        </w:rPr>
        <w:t>distinction</w:t>
      </w:r>
      <w:r w:rsidR="00A95803">
        <w:rPr>
          <w:rFonts w:cs="Assistant"/>
        </w:rPr>
        <w:t xml:space="preserve"> </w:t>
      </w:r>
      <w:r w:rsidRPr="006454A7" w:rsidR="00A95803">
        <w:rPr>
          <w:rFonts w:cs="Assistant"/>
        </w:rPr>
        <w:t xml:space="preserve">did not support denying its motion.  </w:t>
      </w:r>
      <w:r w:rsidR="00A02E26">
        <w:rPr>
          <w:rFonts w:cs="Assistant"/>
        </w:rPr>
        <w:t xml:space="preserve">Like defendant, </w:t>
      </w:r>
      <w:r w:rsidRPr="006454A7" w:rsidR="0019745E">
        <w:rPr>
          <w:rFonts w:cs="Assistant"/>
        </w:rPr>
        <w:t xml:space="preserve">we do not read </w:t>
      </w:r>
      <w:r w:rsidRPr="006454A7" w:rsidR="0019745E">
        <w:rPr>
          <w:rFonts w:cs="Assistant"/>
          <w:i/>
          <w:iCs/>
        </w:rPr>
        <w:t>McIsaac</w:t>
      </w:r>
      <w:r w:rsidRPr="006454A7" w:rsidR="0019745E">
        <w:rPr>
          <w:rFonts w:cs="Assistant"/>
        </w:rPr>
        <w:t xml:space="preserve"> to suggest that </w:t>
      </w:r>
      <w:r w:rsidR="005B7A4C">
        <w:rPr>
          <w:rFonts w:cs="Assistant"/>
        </w:rPr>
        <w:t>the omissions in defendant’s motion</w:t>
      </w:r>
      <w:r w:rsidRPr="006454A7" w:rsidR="0019745E">
        <w:rPr>
          <w:rFonts w:cs="Assistant"/>
        </w:rPr>
        <w:t xml:space="preserve"> require a denial of the motion.  As defendant asserts, “[w]hile </w:t>
      </w:r>
      <w:r w:rsidRPr="006454A7" w:rsidR="0019745E">
        <w:rPr>
          <w:rFonts w:cs="Assistant"/>
          <w:i/>
          <w:iCs/>
        </w:rPr>
        <w:t xml:space="preserve">McIsaac </w:t>
      </w:r>
      <w:r w:rsidRPr="006454A7" w:rsidR="0019745E">
        <w:rPr>
          <w:rFonts w:cs="Assistant"/>
        </w:rPr>
        <w:t xml:space="preserve">noted that the defendant insurer had affirmatively indicated its understanding that arbitration proceedings would not preclude the plaintiff from thereafter litigating bad faith claims, there was no suggestion . . . that such a pronouncement is necessary for an insurer to seek the statutorily </w:t>
      </w:r>
      <w:r w:rsidR="00A515B3">
        <w:rPr>
          <w:rFonts w:cs="Assistant"/>
        </w:rPr>
        <w:t>mandate[</w:t>
      </w:r>
      <w:r w:rsidRPr="006454A7" w:rsidR="0019745E">
        <w:rPr>
          <w:rFonts w:cs="Assistant"/>
        </w:rPr>
        <w:t>ed</w:t>
      </w:r>
      <w:r w:rsidR="00A515B3">
        <w:rPr>
          <w:rFonts w:cs="Assistant"/>
        </w:rPr>
        <w:t>]</w:t>
      </w:r>
      <w:r w:rsidRPr="006454A7" w:rsidR="0019745E">
        <w:rPr>
          <w:rFonts w:cs="Assistant"/>
        </w:rPr>
        <w:t xml:space="preserve"> arbitration of the contract dispute.”  The </w:t>
      </w:r>
      <w:r w:rsidRPr="006454A7" w:rsidR="0019745E">
        <w:rPr>
          <w:rFonts w:cs="Assistant"/>
          <w:i/>
          <w:iCs/>
        </w:rPr>
        <w:t xml:space="preserve">McIsaac </w:t>
      </w:r>
      <w:r w:rsidRPr="006454A7" w:rsidR="0019745E">
        <w:rPr>
          <w:rFonts w:cs="Assistant"/>
        </w:rPr>
        <w:t xml:space="preserve">decision did not hinge on whether the petition explicitly </w:t>
      </w:r>
      <w:r w:rsidRPr="006454A7" w:rsidR="00D23DB3">
        <w:rPr>
          <w:rFonts w:cs="Assistant"/>
        </w:rPr>
        <w:t>and/or correctly</w:t>
      </w:r>
      <w:r w:rsidRPr="006454A7" w:rsidR="0019745E">
        <w:rPr>
          <w:rFonts w:cs="Assistant"/>
        </w:rPr>
        <w:t xml:space="preserve"> asserted that it was seeking arbitration of only the UIM damages amount</w:t>
      </w:r>
      <w:r w:rsidRPr="006454A7" w:rsidR="00835C20">
        <w:rPr>
          <w:rFonts w:cs="Assistant"/>
        </w:rPr>
        <w:t xml:space="preserve">, but rather </w:t>
      </w:r>
      <w:r w:rsidRPr="006454A7" w:rsidR="0019745E">
        <w:rPr>
          <w:rFonts w:cs="Assistant"/>
        </w:rPr>
        <w:t xml:space="preserve">whether the petition showed a valid agreement to arbitrate </w:t>
      </w:r>
      <w:r w:rsidRPr="006454A7" w:rsidR="00835C20">
        <w:rPr>
          <w:rFonts w:cs="Assistant"/>
        </w:rPr>
        <w:t xml:space="preserve">a </w:t>
      </w:r>
      <w:r w:rsidRPr="006454A7" w:rsidR="0019745E">
        <w:rPr>
          <w:rFonts w:cs="Assistant"/>
        </w:rPr>
        <w:t>controversy</w:t>
      </w:r>
      <w:r w:rsidRPr="006454A7" w:rsidR="00806A97">
        <w:rPr>
          <w:rFonts w:cs="Assistant"/>
        </w:rPr>
        <w:t>, as required under Code of Civil Procedure section 1</w:t>
      </w:r>
      <w:r w:rsidRPr="006454A7" w:rsidR="00A95868">
        <w:rPr>
          <w:rFonts w:cs="Assistant"/>
        </w:rPr>
        <w:t>281.2.</w:t>
      </w:r>
      <w:r w:rsidRPr="006454A7" w:rsidR="00806A97">
        <w:rPr>
          <w:rFonts w:cs="Assistant"/>
        </w:rPr>
        <w:t xml:space="preserve"> </w:t>
      </w:r>
      <w:r w:rsidRPr="006454A7" w:rsidR="0019745E">
        <w:rPr>
          <w:rFonts w:cs="Assistant"/>
        </w:rPr>
        <w:t xml:space="preserve"> (See </w:t>
      </w:r>
      <w:r w:rsidRPr="006454A7" w:rsidR="0019745E">
        <w:rPr>
          <w:rFonts w:cs="Assistant"/>
          <w:i/>
          <w:iCs/>
        </w:rPr>
        <w:t>McIsaac</w:t>
      </w:r>
      <w:r w:rsidRPr="006454A7" w:rsidR="0019745E">
        <w:rPr>
          <w:rFonts w:cs="Assistant"/>
        </w:rPr>
        <w:t xml:space="preserve">, </w:t>
      </w:r>
      <w:r w:rsidRPr="006454A7" w:rsidR="0019745E">
        <w:rPr>
          <w:rFonts w:cs="Assistant"/>
          <w:i/>
          <w:iCs/>
        </w:rPr>
        <w:t>supra</w:t>
      </w:r>
      <w:r w:rsidRPr="006454A7" w:rsidR="0019745E">
        <w:rPr>
          <w:rFonts w:cs="Assistant"/>
        </w:rPr>
        <w:t xml:space="preserve">, 64 Cal.App.5th at pp. 422, 423.) </w:t>
      </w:r>
      <w:r w:rsidRPr="006454A7" w:rsidR="00F6135C">
        <w:rPr>
          <w:rFonts w:cs="Assistant"/>
        </w:rPr>
        <w:t xml:space="preserve"> Thus, we agree with defendant that </w:t>
      </w:r>
      <w:r w:rsidR="007A7FC8">
        <w:rPr>
          <w:rFonts w:cs="Assistant"/>
        </w:rPr>
        <w:t xml:space="preserve">the factual </w:t>
      </w:r>
      <w:r w:rsidRPr="006454A7" w:rsidR="00F6135C">
        <w:rPr>
          <w:rFonts w:cs="Assistant"/>
        </w:rPr>
        <w:t xml:space="preserve">distinctions </w:t>
      </w:r>
      <w:r w:rsidR="00F76288">
        <w:rPr>
          <w:rFonts w:cs="Assistant"/>
        </w:rPr>
        <w:t xml:space="preserve">that the court drew between this case and </w:t>
      </w:r>
      <w:r w:rsidR="00F76288">
        <w:rPr>
          <w:rFonts w:cs="Assistant"/>
          <w:i/>
          <w:iCs/>
        </w:rPr>
        <w:t>McIsaac</w:t>
      </w:r>
      <w:r w:rsidRPr="006454A7" w:rsidR="00F6135C">
        <w:rPr>
          <w:rFonts w:cs="Assistant"/>
        </w:rPr>
        <w:t xml:space="preserve"> were </w:t>
      </w:r>
      <w:r w:rsidR="00FB1DB5">
        <w:rPr>
          <w:rFonts w:cs="Assistant"/>
        </w:rPr>
        <w:t xml:space="preserve">not dispositive </w:t>
      </w:r>
      <w:r w:rsidRPr="006454A7" w:rsidR="00F6135C">
        <w:rPr>
          <w:rFonts w:cs="Assistant"/>
        </w:rPr>
        <w:t>on whether to compel arbitration.</w:t>
      </w:r>
      <w:r w:rsidR="009A1DD2">
        <w:rPr>
          <w:rFonts w:cs="Assistant"/>
        </w:rPr>
        <w:t xml:space="preserve"> </w:t>
      </w:r>
    </w:p>
    <w:p w:rsidR="008A28CB" w:rsidP="00D97D0B" w14:paraId="6D43BF1D" w14:textId="66284283">
      <w:pPr>
        <w:widowControl w:val="0"/>
        <w:ind w:firstLine="720"/>
        <w:rPr>
          <w:rFonts w:cs="Assistant"/>
        </w:rPr>
      </w:pPr>
      <w:r>
        <w:rPr>
          <w:rFonts w:cs="Assistant"/>
        </w:rPr>
        <w:t>An additional basis</w:t>
      </w:r>
      <w:r w:rsidR="00121535">
        <w:rPr>
          <w:rFonts w:cs="Assistant"/>
        </w:rPr>
        <w:t xml:space="preserve"> </w:t>
      </w:r>
      <w:r>
        <w:rPr>
          <w:rFonts w:cs="Assistant"/>
        </w:rPr>
        <w:t xml:space="preserve">for </w:t>
      </w:r>
      <w:r w:rsidR="00121535">
        <w:rPr>
          <w:rFonts w:cs="Assistant"/>
        </w:rPr>
        <w:t>denying the motion to compel arbitration</w:t>
      </w:r>
      <w:r>
        <w:rPr>
          <w:rFonts w:cs="Assistant"/>
        </w:rPr>
        <w:t xml:space="preserve"> was defendant’s failure to refute plaintiff’s allegations of bad faith. </w:t>
      </w:r>
      <w:r w:rsidR="00341DD3">
        <w:rPr>
          <w:rFonts w:cs="Assistant"/>
        </w:rPr>
        <w:t xml:space="preserve"> As </w:t>
      </w:r>
      <w:r w:rsidR="0061280D">
        <w:rPr>
          <w:rFonts w:cs="Assistant"/>
        </w:rPr>
        <w:t>stated previously</w:t>
      </w:r>
      <w:r w:rsidR="00341DD3">
        <w:rPr>
          <w:rFonts w:cs="Assistant"/>
        </w:rPr>
        <w:t>,</w:t>
      </w:r>
      <w:r>
        <w:rPr>
          <w:rFonts w:cs="Assistant"/>
        </w:rPr>
        <w:t xml:space="preserve"> </w:t>
      </w:r>
      <w:r w:rsidR="00341DD3">
        <w:rPr>
          <w:rFonts w:cs="Assistant"/>
        </w:rPr>
        <w:t>t</w:t>
      </w:r>
      <w:r>
        <w:rPr>
          <w:rFonts w:cs="Assistant"/>
        </w:rPr>
        <w:t xml:space="preserve">he </w:t>
      </w:r>
      <w:r w:rsidR="0092546F">
        <w:rPr>
          <w:rFonts w:cs="Assistant"/>
        </w:rPr>
        <w:t xml:space="preserve">court noted that </w:t>
      </w:r>
      <w:r w:rsidRPr="006454A7" w:rsidR="00B1744B">
        <w:rPr>
          <w:rFonts w:cs="Assistant"/>
        </w:rPr>
        <w:t>“Plaintiff alleges</w:t>
      </w:r>
      <w:r w:rsidRPr="006454A7" w:rsidR="00C175DD">
        <w:rPr>
          <w:rFonts w:cs="Assistant"/>
        </w:rPr>
        <w:t xml:space="preserve"> </w:t>
      </w:r>
      <w:r w:rsidRPr="006454A7" w:rsidR="00B1744B">
        <w:rPr>
          <w:rFonts w:cs="Assistant"/>
        </w:rPr>
        <w:t xml:space="preserve">[in her opposition] . . . , and provides evidence demonstrating, that after she </w:t>
      </w:r>
      <w:r w:rsidRPr="006454A7" w:rsidR="00A76C16">
        <w:rPr>
          <w:rFonts w:cs="Assistant"/>
        </w:rPr>
        <w:t>made a demand under the Policy, Defendant unreasonably failed to investigate the claim or settle the claim</w:t>
      </w:r>
      <w:r w:rsidR="004B7323">
        <w:rPr>
          <w:rFonts w:cs="Assistant"/>
        </w:rPr>
        <w:t xml:space="preserve">.”  </w:t>
      </w:r>
      <w:r w:rsidR="004F3FF0">
        <w:rPr>
          <w:rFonts w:cs="Assistant"/>
        </w:rPr>
        <w:t xml:space="preserve">The court found that defendant made no effort </w:t>
      </w:r>
      <w:r w:rsidR="008A4967">
        <w:rPr>
          <w:rFonts w:cs="Assistant"/>
        </w:rPr>
        <w:t xml:space="preserve">in its motion </w:t>
      </w:r>
      <w:r w:rsidR="004F3FF0">
        <w:rPr>
          <w:rFonts w:cs="Assistant"/>
        </w:rPr>
        <w:t>to address</w:t>
      </w:r>
      <w:r w:rsidR="002B66E9">
        <w:rPr>
          <w:rFonts w:cs="Assistant"/>
        </w:rPr>
        <w:t xml:space="preserve"> </w:t>
      </w:r>
      <w:r w:rsidR="00745AE6">
        <w:rPr>
          <w:rFonts w:cs="Assistant"/>
        </w:rPr>
        <w:t>“</w:t>
      </w:r>
      <w:r w:rsidRPr="006454A7" w:rsidR="00745AE6">
        <w:rPr>
          <w:rFonts w:cs="Assistant"/>
        </w:rPr>
        <w:t xml:space="preserve">Plaintiff’s request for payment, resolve the matter in any way, or pay any funds whatsoever, even though Plaintiff demonstrated that her medical bills and expenses amount to $30,451.98, so that she is unequivocally entitled to at least that amount.”  </w:t>
      </w:r>
      <w:r w:rsidR="00745AE6">
        <w:rPr>
          <w:rFonts w:cs="Assistant"/>
        </w:rPr>
        <w:t>Although defendant attemp</w:t>
      </w:r>
      <w:r w:rsidR="00E43B2E">
        <w:rPr>
          <w:rFonts w:cs="Assistant"/>
        </w:rPr>
        <w:t>ted</w:t>
      </w:r>
      <w:r w:rsidR="00745AE6">
        <w:rPr>
          <w:rFonts w:cs="Assistant"/>
        </w:rPr>
        <w:t xml:space="preserve"> to </w:t>
      </w:r>
      <w:r w:rsidR="00E43B2E">
        <w:rPr>
          <w:rFonts w:cs="Assistant"/>
        </w:rPr>
        <w:t>address</w:t>
      </w:r>
      <w:r w:rsidR="00745AE6">
        <w:rPr>
          <w:rFonts w:cs="Assistant"/>
        </w:rPr>
        <w:t xml:space="preserve"> </w:t>
      </w:r>
      <w:r w:rsidR="00BA29B8">
        <w:rPr>
          <w:rFonts w:cs="Assistant"/>
        </w:rPr>
        <w:t xml:space="preserve">in its reply </w:t>
      </w:r>
      <w:r w:rsidR="00745AE6">
        <w:rPr>
          <w:rFonts w:cs="Assistant"/>
        </w:rPr>
        <w:t xml:space="preserve">some of </w:t>
      </w:r>
      <w:r w:rsidR="00FF3206">
        <w:rPr>
          <w:rFonts w:cs="Assistant"/>
        </w:rPr>
        <w:t>plaintiff’s</w:t>
      </w:r>
      <w:r w:rsidR="00745AE6">
        <w:rPr>
          <w:rFonts w:cs="Assistant"/>
        </w:rPr>
        <w:t xml:space="preserve"> allegations, the court noted, </w:t>
      </w:r>
      <w:r w:rsidR="00035206">
        <w:rPr>
          <w:rFonts w:cs="Assistant"/>
        </w:rPr>
        <w:t>those arguments “</w:t>
      </w:r>
      <w:r w:rsidRPr="006454A7" w:rsidR="00035206">
        <w:rPr>
          <w:rFonts w:cs="Assistant"/>
        </w:rPr>
        <w:t>fail</w:t>
      </w:r>
      <w:r w:rsidR="00E8561B">
        <w:rPr>
          <w:rFonts w:cs="Assistant"/>
        </w:rPr>
        <w:t>[</w:t>
      </w:r>
      <w:r w:rsidRPr="006454A7" w:rsidR="00035206">
        <w:rPr>
          <w:rFonts w:cs="Assistant"/>
        </w:rPr>
        <w:t>ed</w:t>
      </w:r>
      <w:r w:rsidR="00E8561B">
        <w:rPr>
          <w:rFonts w:cs="Assistant"/>
        </w:rPr>
        <w:t>]</w:t>
      </w:r>
      <w:r w:rsidRPr="006454A7" w:rsidR="00035206">
        <w:rPr>
          <w:rFonts w:cs="Assistant"/>
        </w:rPr>
        <w:t xml:space="preserve"> to resolve the issue in Defendant’s favor.” </w:t>
      </w:r>
      <w:r w:rsidR="00035206">
        <w:rPr>
          <w:rFonts w:cs="Assistant"/>
        </w:rPr>
        <w:t xml:space="preserve"> Thus, the court </w:t>
      </w:r>
      <w:r w:rsidR="00B51D59">
        <w:rPr>
          <w:rFonts w:cs="Assistant"/>
        </w:rPr>
        <w:t xml:space="preserve">found that </w:t>
      </w:r>
      <w:r w:rsidRPr="006454A7">
        <w:rPr>
          <w:rFonts w:cs="Assistant"/>
        </w:rPr>
        <w:t xml:space="preserve">defendant </w:t>
      </w:r>
      <w:r>
        <w:rPr>
          <w:rFonts w:cs="Assistant"/>
        </w:rPr>
        <w:t xml:space="preserve">failed to show </w:t>
      </w:r>
      <w:r w:rsidRPr="006454A7">
        <w:rPr>
          <w:rFonts w:cs="Assistant"/>
        </w:rPr>
        <w:t xml:space="preserve">“that this is within the ambit of </w:t>
      </w:r>
      <w:r w:rsidR="00423041">
        <w:rPr>
          <w:rFonts w:cs="Assistant"/>
        </w:rPr>
        <w:t>. . .</w:t>
      </w:r>
      <w:r w:rsidRPr="006454A7">
        <w:rPr>
          <w:rFonts w:cs="Assistant"/>
        </w:rPr>
        <w:t xml:space="preserve"> section</w:t>
      </w:r>
      <w:r w:rsidR="008E3E36">
        <w:rPr>
          <w:rFonts w:cs="Assistant"/>
        </w:rPr>
        <w:t> </w:t>
      </w:r>
      <w:r w:rsidRPr="006454A7">
        <w:rPr>
          <w:rFonts w:cs="Assistant"/>
        </w:rPr>
        <w:t xml:space="preserve">11580.2(f)’s arbitration coverage or that this is not, as Plaintiff alleges, at its root a dispute over alleged bad-faith handing of Plaintiff’s claims.”  </w:t>
      </w:r>
      <w:r w:rsidR="00D03487">
        <w:rPr>
          <w:rFonts w:cs="Assistant"/>
        </w:rPr>
        <w:t xml:space="preserve"> </w:t>
      </w:r>
    </w:p>
    <w:p w:rsidR="00E26946" w:rsidRPr="006454A7" w:rsidP="00D97D0B" w14:paraId="6188A661" w14:textId="3873745F">
      <w:pPr>
        <w:widowControl w:val="0"/>
        <w:rPr>
          <w:rFonts w:cs="Assistant"/>
        </w:rPr>
      </w:pPr>
      <w:r w:rsidRPr="006454A7">
        <w:rPr>
          <w:rFonts w:cs="Assistant"/>
        </w:rPr>
        <w:tab/>
      </w:r>
      <w:r w:rsidRPr="006454A7" w:rsidR="00731182">
        <w:rPr>
          <w:rFonts w:cs="Assistant"/>
        </w:rPr>
        <w:t xml:space="preserve">As we understand its comments, the court apparently credited plaintiff’s allegations in her opposition that defendant had acted in bad faith by not paying her at least $30,451.98 in </w:t>
      </w:r>
      <w:r w:rsidR="00641E04">
        <w:rPr>
          <w:rFonts w:cs="Assistant"/>
        </w:rPr>
        <w:t xml:space="preserve">UIM </w:t>
      </w:r>
      <w:r w:rsidRPr="006454A7" w:rsidR="00731182">
        <w:rPr>
          <w:rFonts w:cs="Assistant"/>
        </w:rPr>
        <w:t>damages or attempting to resolve the matter; required defendant to re</w:t>
      </w:r>
      <w:r w:rsidR="005B3B4C">
        <w:rPr>
          <w:rFonts w:cs="Assistant"/>
        </w:rPr>
        <w:t>fute</w:t>
      </w:r>
      <w:r w:rsidRPr="006454A7" w:rsidR="00731182">
        <w:rPr>
          <w:rFonts w:cs="Assistant"/>
        </w:rPr>
        <w:t xml:space="preserve"> those allegations; and, finding that defendant failed to do so, denied the motion to compel arbitration.</w:t>
      </w:r>
      <w:r w:rsidRPr="006454A7" w:rsidR="006B337F">
        <w:rPr>
          <w:rFonts w:cs="Assistant"/>
        </w:rPr>
        <w:t xml:space="preserve"> </w:t>
      </w:r>
    </w:p>
    <w:p w:rsidR="00BC7195" w:rsidRPr="006454A7" w:rsidP="00D97D0B" w14:paraId="5B9362DC" w14:textId="6BF5C24C">
      <w:pPr>
        <w:widowControl w:val="0"/>
        <w:ind w:firstLine="720"/>
        <w:rPr>
          <w:rFonts w:cs="Assistant"/>
        </w:rPr>
      </w:pPr>
      <w:r w:rsidRPr="006454A7">
        <w:rPr>
          <w:rFonts w:cs="Assistant"/>
        </w:rPr>
        <w:t>In essentially accepting plaintiff’s allegations of bad faith and requiring defendant to rebut th</w:t>
      </w:r>
      <w:r w:rsidRPr="006454A7" w:rsidR="0041285F">
        <w:rPr>
          <w:rFonts w:cs="Assistant"/>
        </w:rPr>
        <w:t>ose allegations, the court did not limit itself to determining whether the controversy was subject to arbitration.  Instead, it appeared to rule on the potential merits of the underlying claims.  This was inappropriate on a motion to compel arbitration.  As discussed above,</w:t>
      </w:r>
      <w:r w:rsidRPr="006454A7">
        <w:rPr>
          <w:rFonts w:cs="Assistant"/>
        </w:rPr>
        <w:t xml:space="preserve"> </w:t>
      </w:r>
      <w:r w:rsidR="009D00C1">
        <w:rPr>
          <w:rFonts w:cs="Assistant"/>
        </w:rPr>
        <w:t>“ ‘</w:t>
      </w:r>
      <w:r w:rsidRPr="00D52DB7" w:rsidR="00D52DB7">
        <w:rPr>
          <w:rFonts w:cs="Assistant"/>
        </w:rPr>
        <w:t>i</w:t>
      </w:r>
      <w:r w:rsidRPr="0014618D" w:rsidR="00D52DB7">
        <w:rPr>
          <w:color w:val="212121"/>
          <w:shd w:val="clear" w:color="auto" w:fill="FFFFFF"/>
        </w:rPr>
        <w:t>n deciding whether the parties have agreed to submit a particular grievance to arbitration, a court is not to rule on the potential merits of the underlying claims</w:t>
      </w:r>
      <w:r w:rsidR="00D52DB7">
        <w:rPr>
          <w:color w:val="212121"/>
          <w:shd w:val="clear" w:color="auto" w:fill="FFFFFF"/>
        </w:rPr>
        <w:t>.</w:t>
      </w:r>
      <w:r w:rsidR="009D00C1">
        <w:rPr>
          <w:rFonts w:cs="Assistant"/>
        </w:rPr>
        <w:t>’ ”</w:t>
      </w:r>
      <w:r w:rsidRPr="006454A7">
        <w:rPr>
          <w:rFonts w:cs="Assistant"/>
        </w:rPr>
        <w:t xml:space="preserve">  (</w:t>
      </w:r>
      <w:r w:rsidRPr="006454A7">
        <w:rPr>
          <w:rFonts w:cs="Assistant"/>
          <w:i/>
          <w:iCs/>
        </w:rPr>
        <w:t xml:space="preserve">California Teamsters Public, Professional, supra, </w:t>
      </w:r>
      <w:r w:rsidRPr="006454A7">
        <w:rPr>
          <w:rFonts w:cs="Assistant"/>
        </w:rPr>
        <w:t>233</w:t>
      </w:r>
      <w:r w:rsidR="009C43E5">
        <w:rPr>
          <w:rFonts w:cs="Assistant"/>
        </w:rPr>
        <w:t> </w:t>
      </w:r>
      <w:r w:rsidRPr="006454A7">
        <w:rPr>
          <w:rFonts w:cs="Assistant"/>
        </w:rPr>
        <w:t>Cal.App.3d at p. 803</w:t>
      </w:r>
      <w:r w:rsidR="009D00C1">
        <w:rPr>
          <w:rFonts w:cs="Assistant"/>
        </w:rPr>
        <w:t>;</w:t>
      </w:r>
      <w:r w:rsidRPr="009D00C1" w:rsidR="009D00C1">
        <w:rPr>
          <w:rFonts w:cs="Assistant"/>
          <w:i/>
          <w:iCs/>
        </w:rPr>
        <w:t xml:space="preserve"> </w:t>
      </w:r>
      <w:r w:rsidR="000B2211">
        <w:rPr>
          <w:rFonts w:cs="Assistant"/>
        </w:rPr>
        <w:t xml:space="preserve">accord, </w:t>
      </w:r>
      <w:r w:rsidR="009D00C1">
        <w:rPr>
          <w:rFonts w:cs="Assistant"/>
          <w:i/>
          <w:iCs/>
        </w:rPr>
        <w:t>California Correctional Peace Officers</w:t>
      </w:r>
      <w:r w:rsidR="009D00C1">
        <w:rPr>
          <w:rFonts w:cs="Assistant"/>
        </w:rPr>
        <w:t xml:space="preserve">, </w:t>
      </w:r>
      <w:r w:rsidR="009D00C1">
        <w:rPr>
          <w:rFonts w:cs="Assistant"/>
          <w:i/>
          <w:iCs/>
        </w:rPr>
        <w:t>supra</w:t>
      </w:r>
      <w:r w:rsidR="009D00C1">
        <w:rPr>
          <w:rFonts w:cs="Assistant"/>
        </w:rPr>
        <w:t>, 142</w:t>
      </w:r>
      <w:r w:rsidR="0014618D">
        <w:rPr>
          <w:rFonts w:cs="Assistant"/>
        </w:rPr>
        <w:t> </w:t>
      </w:r>
      <w:r w:rsidR="009D00C1">
        <w:rPr>
          <w:rFonts w:cs="Assistant"/>
        </w:rPr>
        <w:t>Cal.App.4th at p. 205</w:t>
      </w:r>
      <w:r w:rsidR="009C43E5">
        <w:rPr>
          <w:rFonts w:cs="Assistant"/>
        </w:rPr>
        <w:t>,</w:t>
      </w:r>
      <w:r w:rsidR="0099283E">
        <w:rPr>
          <w:rFonts w:cs="Assistant"/>
        </w:rPr>
        <w:t xml:space="preserve"> citing</w:t>
      </w:r>
      <w:r w:rsidR="008849FC">
        <w:rPr>
          <w:rFonts w:cs="Assistant"/>
        </w:rPr>
        <w:t xml:space="preserve"> Code Civ. Proc.,</w:t>
      </w:r>
      <w:r w:rsidR="0099283E">
        <w:rPr>
          <w:rFonts w:cs="Assistant"/>
        </w:rPr>
        <w:t xml:space="preserve"> § 1281.2</w:t>
      </w:r>
      <w:r w:rsidRPr="006454A7" w:rsidR="008D2C7F">
        <w:rPr>
          <w:rFonts w:cs="Assistant"/>
        </w:rPr>
        <w:t xml:space="preserve">.)  </w:t>
      </w:r>
      <w:r w:rsidRPr="006454A7">
        <w:rPr>
          <w:rFonts w:cs="Assistant"/>
        </w:rPr>
        <w:t>Thus, even if there were questions of fact regarding defendant’s alleged dilatory tactics or a failure to investigate or settle</w:t>
      </w:r>
      <w:r w:rsidR="00833266">
        <w:rPr>
          <w:rFonts w:cs="Assistant"/>
        </w:rPr>
        <w:t xml:space="preserve"> plaintiff’s claim</w:t>
      </w:r>
      <w:r w:rsidRPr="006454A7">
        <w:rPr>
          <w:rFonts w:cs="Assistant"/>
        </w:rPr>
        <w:t xml:space="preserve">, those questions went to the merits of </w:t>
      </w:r>
      <w:r w:rsidR="00713C4E">
        <w:rPr>
          <w:rFonts w:cs="Assistant"/>
        </w:rPr>
        <w:t xml:space="preserve">the </w:t>
      </w:r>
      <w:r w:rsidRPr="006454A7">
        <w:rPr>
          <w:rFonts w:cs="Assistant"/>
        </w:rPr>
        <w:t>underlying claims, are separate from the court’s analysis of arbitrability, and therefore should not have been considered on the motion to compel arbitration.</w:t>
      </w:r>
      <w:r>
        <w:rPr>
          <w:rStyle w:val="FootnoteReference"/>
          <w:rFonts w:cs="Assistant"/>
        </w:rPr>
        <w:footnoteReference w:id="7"/>
      </w:r>
      <w:r w:rsidR="0042402F">
        <w:rPr>
          <w:rFonts w:cs="Assistant"/>
        </w:rPr>
        <w:t xml:space="preserve">  </w:t>
      </w:r>
    </w:p>
    <w:p w:rsidR="008D7EB1" w:rsidRPr="006454A7" w:rsidP="00D97D0B" w14:paraId="76FD26D1" w14:textId="024B58F0">
      <w:pPr>
        <w:widowControl w:val="0"/>
        <w:ind w:firstLine="720"/>
        <w:contextualSpacing/>
        <w:rPr>
          <w:rFonts w:cs="Assistant"/>
        </w:rPr>
      </w:pPr>
      <w:r w:rsidRPr="006454A7">
        <w:rPr>
          <w:rFonts w:cs="Assistant"/>
        </w:rPr>
        <w:t xml:space="preserve">To the extent plaintiff and the trial court relied on </w:t>
      </w:r>
      <w:r w:rsidRPr="006454A7" w:rsidR="00A16AB5">
        <w:rPr>
          <w:rFonts w:cs="Assistant"/>
          <w:i/>
          <w:iCs/>
        </w:rPr>
        <w:t>Hightower</w:t>
      </w:r>
      <w:r w:rsidRPr="006454A7" w:rsidR="00A16AB5">
        <w:rPr>
          <w:rFonts w:cs="Assistant"/>
        </w:rPr>
        <w:t xml:space="preserve">, </w:t>
      </w:r>
      <w:r w:rsidRPr="006454A7" w:rsidR="00A16AB5">
        <w:rPr>
          <w:rFonts w:cs="Assistant"/>
          <w:i/>
          <w:iCs/>
        </w:rPr>
        <w:t>supra</w:t>
      </w:r>
      <w:r w:rsidRPr="006454A7" w:rsidR="00A16AB5">
        <w:rPr>
          <w:rFonts w:cs="Assistant"/>
        </w:rPr>
        <w:t>, 38</w:t>
      </w:r>
      <w:r w:rsidR="001A6481">
        <w:rPr>
          <w:rFonts w:cs="Assistant"/>
        </w:rPr>
        <w:t> </w:t>
      </w:r>
      <w:r w:rsidRPr="006454A7" w:rsidR="00A16AB5">
        <w:rPr>
          <w:rFonts w:cs="Assistant"/>
        </w:rPr>
        <w:t>Cal.App.4th 853</w:t>
      </w:r>
      <w:r w:rsidRPr="006454A7" w:rsidR="00A24784">
        <w:rPr>
          <w:rFonts w:cs="Assistant"/>
        </w:rPr>
        <w:t xml:space="preserve">, </w:t>
      </w:r>
      <w:r w:rsidRPr="006454A7" w:rsidR="00A16AB5">
        <w:rPr>
          <w:rFonts w:cs="Assistant"/>
        </w:rPr>
        <w:t xml:space="preserve">such reliance was misplaced.  </w:t>
      </w:r>
      <w:r w:rsidRPr="006454A7">
        <w:rPr>
          <w:rFonts w:cs="Assistant"/>
        </w:rPr>
        <w:t xml:space="preserve">In </w:t>
      </w:r>
      <w:r w:rsidRPr="006454A7">
        <w:rPr>
          <w:rFonts w:cs="Assistant"/>
          <w:i/>
          <w:iCs/>
        </w:rPr>
        <w:t>Hightower</w:t>
      </w:r>
      <w:r w:rsidRPr="006454A7">
        <w:rPr>
          <w:rFonts w:cs="Assistant"/>
        </w:rPr>
        <w:t>, the insured was involved in an uninsured motorist accident and demanded the policy limits of $30,000.  The insurer disputed the insure</w:t>
      </w:r>
      <w:r w:rsidR="00997FE8">
        <w:rPr>
          <w:rFonts w:cs="Assistant"/>
        </w:rPr>
        <w:t>d</w:t>
      </w:r>
      <w:r w:rsidRPr="006454A7">
        <w:rPr>
          <w:rFonts w:cs="Assistant"/>
        </w:rPr>
        <w:t>’s right to policy limits and demanded arbitration.  At arbitration, the insured prevailed and was awarded the policy limits.  (</w:t>
      </w:r>
      <w:r w:rsidR="001A6481">
        <w:rPr>
          <w:rFonts w:cs="Assistant"/>
          <w:i/>
          <w:iCs/>
        </w:rPr>
        <w:t xml:space="preserve">Id. </w:t>
      </w:r>
      <w:r w:rsidRPr="006454A7">
        <w:rPr>
          <w:rFonts w:cs="Assistant"/>
        </w:rPr>
        <w:t>at p. 857.)  The insured then filed an action against her insurer, alleging that the insurer’s liability for policy limits had been clear before the arbitration and that the insurer had “acted in bad faith by exercising its right to arbitrate rather than settling the claims.”  (</w:t>
      </w:r>
      <w:r w:rsidRPr="006454A7">
        <w:rPr>
          <w:rFonts w:cs="Assistant"/>
          <w:i/>
          <w:iCs/>
        </w:rPr>
        <w:t>Id.</w:t>
      </w:r>
      <w:r w:rsidRPr="006454A7">
        <w:rPr>
          <w:rFonts w:cs="Assistant"/>
        </w:rPr>
        <w:t xml:space="preserve"> at p.</w:t>
      </w:r>
      <w:r w:rsidR="0014618D">
        <w:rPr>
          <w:rFonts w:cs="Assistant"/>
        </w:rPr>
        <w:t> </w:t>
      </w:r>
      <w:r w:rsidRPr="006454A7">
        <w:rPr>
          <w:rFonts w:cs="Assistant"/>
        </w:rPr>
        <w:t>861.)  The insurer moved for judgment on the pleadings, based in part on the ground that it had immunity from insurer liability for exercising its right to request arbitration pursuant to section 11580.26, subdivision (b), which states:  “No cause of action shall exist against either an insured or insurer from exercising the right to request arbitration of a claim under this section or Section 11580.2.”  (</w:t>
      </w:r>
      <w:r w:rsidRPr="006454A7">
        <w:rPr>
          <w:rFonts w:cs="Assistant"/>
          <w:i/>
          <w:iCs/>
        </w:rPr>
        <w:t>Hightower</w:t>
      </w:r>
      <w:r w:rsidRPr="006454A7">
        <w:rPr>
          <w:rFonts w:cs="Assistant"/>
        </w:rPr>
        <w:t xml:space="preserve">, </w:t>
      </w:r>
      <w:r w:rsidRPr="00AF4E84" w:rsidR="00656C4D">
        <w:rPr>
          <w:rFonts w:cs="Assistant"/>
          <w:i/>
          <w:iCs/>
        </w:rPr>
        <w:t>supra</w:t>
      </w:r>
      <w:r w:rsidR="00656C4D">
        <w:rPr>
          <w:rFonts w:cs="Assistant"/>
        </w:rPr>
        <w:t xml:space="preserve">, 38 Cal.App.4th </w:t>
      </w:r>
      <w:r w:rsidRPr="00656C4D">
        <w:rPr>
          <w:rFonts w:cs="Assistant"/>
        </w:rPr>
        <w:t>at</w:t>
      </w:r>
      <w:r w:rsidRPr="006454A7">
        <w:rPr>
          <w:rFonts w:cs="Assistant"/>
        </w:rPr>
        <w:t xml:space="preserve"> p. 861.)  </w:t>
      </w:r>
    </w:p>
    <w:p w:rsidR="00B347FB" w:rsidRPr="006454A7" w:rsidP="00D97D0B" w14:paraId="3A13A1A3" w14:textId="431B3677">
      <w:pPr>
        <w:widowControl w:val="0"/>
        <w:ind w:firstLine="720"/>
        <w:contextualSpacing/>
        <w:rPr>
          <w:rFonts w:cs="Assistant"/>
        </w:rPr>
      </w:pPr>
      <w:r w:rsidRPr="006454A7">
        <w:rPr>
          <w:rFonts w:cs="Assistant"/>
        </w:rPr>
        <w:t>The issue on appeal was “whether a cause of action may be stated against an insurer for demanding arbitration of a claim for uninsured motorist benefits even where the insurer’s liability is clear.”  (</w:t>
      </w:r>
      <w:r w:rsidRPr="006454A7">
        <w:rPr>
          <w:rFonts w:cs="Assistant"/>
          <w:i/>
          <w:iCs/>
        </w:rPr>
        <w:t>Hightower</w:t>
      </w:r>
      <w:r w:rsidRPr="006454A7">
        <w:rPr>
          <w:rFonts w:cs="Assistant"/>
        </w:rPr>
        <w:t xml:space="preserve">, </w:t>
      </w:r>
      <w:r w:rsidRPr="006454A7">
        <w:rPr>
          <w:rFonts w:cs="Assistant"/>
          <w:i/>
          <w:iCs/>
        </w:rPr>
        <w:t>supra</w:t>
      </w:r>
      <w:r w:rsidRPr="006454A7">
        <w:rPr>
          <w:rFonts w:cs="Assistant"/>
        </w:rPr>
        <w:t>, 38 Cal.App.4th at p. 856.)  The Court of Appeal held that section 11580.26, subdivision (b) does not immunize the insurer from liability for unreasonably demanding arbitration when its liability is clear:  “Where there is no issue reasonably to be resolved by arbitration, as in a case where the insured</w:t>
      </w:r>
      <w:r w:rsidR="00DE7445">
        <w:rPr>
          <w:rFonts w:cs="Assistant"/>
        </w:rPr>
        <w:t>’</w:t>
      </w:r>
      <w:r w:rsidRPr="006454A7">
        <w:rPr>
          <w:rFonts w:cs="Assistant"/>
        </w:rPr>
        <w:t>s damages plainly exceed policy limits and the liability of the uninsured motorist is clear, the failure to attempt to effectuate a prompt and fair settlement violates the insurer</w:t>
      </w:r>
      <w:r w:rsidRPr="006454A7" w:rsidR="00EF359E">
        <w:rPr>
          <w:rFonts w:cs="Assistant"/>
        </w:rPr>
        <w:t>’</w:t>
      </w:r>
      <w:r w:rsidRPr="006454A7">
        <w:rPr>
          <w:rFonts w:cs="Assistant"/>
        </w:rPr>
        <w:t>s statutory duties [citation] and gives rise to tort liability.”  (</w:t>
      </w:r>
      <w:r w:rsidRPr="006454A7">
        <w:rPr>
          <w:rFonts w:cs="Assistant"/>
          <w:i/>
          <w:iCs/>
        </w:rPr>
        <w:t>Hightower</w:t>
      </w:r>
      <w:r w:rsidRPr="006454A7">
        <w:rPr>
          <w:rFonts w:cs="Assistant"/>
        </w:rPr>
        <w:t xml:space="preserve">, </w:t>
      </w:r>
      <w:r w:rsidRPr="00AF4E84" w:rsidR="00AF4E84">
        <w:rPr>
          <w:rFonts w:cs="Assistant"/>
          <w:i/>
          <w:iCs/>
        </w:rPr>
        <w:t>supra</w:t>
      </w:r>
      <w:r w:rsidR="00AF4E84">
        <w:rPr>
          <w:rFonts w:cs="Assistant"/>
        </w:rPr>
        <w:t xml:space="preserve">, 38 Cal.App.4th </w:t>
      </w:r>
      <w:r w:rsidRPr="006454A7">
        <w:rPr>
          <w:rFonts w:cs="Assistant"/>
        </w:rPr>
        <w:t>at p. 863.)</w:t>
      </w:r>
      <w:r w:rsidR="004E3CD7">
        <w:rPr>
          <w:rFonts w:cs="Assistant"/>
        </w:rPr>
        <w:t xml:space="preserve">  </w:t>
      </w:r>
    </w:p>
    <w:p w:rsidR="003D1823" w:rsidRPr="006454A7" w:rsidP="00D97D0B" w14:paraId="3859932A" w14:textId="3BD26B76">
      <w:pPr>
        <w:widowControl w:val="0"/>
        <w:ind w:firstLine="720"/>
        <w:rPr>
          <w:rFonts w:cs="Assistant"/>
        </w:rPr>
      </w:pPr>
      <w:r w:rsidRPr="006454A7">
        <w:rPr>
          <w:rFonts w:cs="Assistant"/>
          <w:i/>
          <w:iCs/>
        </w:rPr>
        <w:t xml:space="preserve">Hightower </w:t>
      </w:r>
      <w:r w:rsidRPr="006454A7">
        <w:rPr>
          <w:rFonts w:cs="Assistant"/>
        </w:rPr>
        <w:t>is not controlling</w:t>
      </w:r>
      <w:r w:rsidRPr="006454A7" w:rsidR="00C62741">
        <w:rPr>
          <w:rFonts w:cs="Assistant"/>
        </w:rPr>
        <w:t xml:space="preserve">. </w:t>
      </w:r>
      <w:r w:rsidR="00C77C56">
        <w:rPr>
          <w:rFonts w:cs="Assistant"/>
        </w:rPr>
        <w:t xml:space="preserve"> </w:t>
      </w:r>
      <w:r w:rsidR="00FB3530">
        <w:rPr>
          <w:rFonts w:cs="Assistant"/>
        </w:rPr>
        <w:t>T</w:t>
      </w:r>
      <w:r w:rsidRPr="006454A7">
        <w:rPr>
          <w:rFonts w:cs="Assistant"/>
        </w:rPr>
        <w:t xml:space="preserve">he insured there </w:t>
      </w:r>
      <w:r w:rsidRPr="006454A7">
        <w:rPr>
          <w:rFonts w:cs="Assistant"/>
          <w:i/>
          <w:iCs/>
        </w:rPr>
        <w:t xml:space="preserve">obtained </w:t>
      </w:r>
      <w:r w:rsidRPr="006454A7">
        <w:rPr>
          <w:rFonts w:cs="Assistant"/>
        </w:rPr>
        <w:t>an arbitration award validating her pre-arbitration policy limits demand.  (</w:t>
      </w:r>
      <w:r w:rsidRPr="006454A7">
        <w:rPr>
          <w:rFonts w:cs="Assistant"/>
          <w:i/>
          <w:iCs/>
        </w:rPr>
        <w:t>Hightower</w:t>
      </w:r>
      <w:r w:rsidRPr="006454A7">
        <w:rPr>
          <w:rFonts w:cs="Assistant"/>
        </w:rPr>
        <w:t xml:space="preserve">, </w:t>
      </w:r>
      <w:r w:rsidRPr="006454A7">
        <w:rPr>
          <w:rFonts w:cs="Assistant"/>
          <w:i/>
          <w:iCs/>
        </w:rPr>
        <w:t>supra</w:t>
      </w:r>
      <w:r w:rsidRPr="006454A7">
        <w:rPr>
          <w:rFonts w:cs="Assistant"/>
        </w:rPr>
        <w:t>, 38 Cal.App.4th at p. 857.)  Only then did she file a bad faith action against her insurer.  (</w:t>
      </w:r>
      <w:r w:rsidRPr="006454A7">
        <w:rPr>
          <w:rFonts w:cs="Assistant"/>
          <w:i/>
          <w:iCs/>
        </w:rPr>
        <w:t>Id.</w:t>
      </w:r>
      <w:r w:rsidRPr="006454A7">
        <w:rPr>
          <w:rFonts w:cs="Assistant"/>
        </w:rPr>
        <w:t xml:space="preserve"> at p. 861.)  </w:t>
      </w:r>
      <w:r w:rsidR="005D23C7">
        <w:rPr>
          <w:rFonts w:cs="Assistant"/>
        </w:rPr>
        <w:t xml:space="preserve">The court had no occasion to consider </w:t>
      </w:r>
      <w:r w:rsidR="00390FA9">
        <w:rPr>
          <w:rFonts w:cs="Assistant"/>
        </w:rPr>
        <w:t xml:space="preserve">the situation here, which </w:t>
      </w:r>
      <w:r w:rsidR="00953CD6">
        <w:rPr>
          <w:rFonts w:cs="Assistant"/>
        </w:rPr>
        <w:t xml:space="preserve">involves </w:t>
      </w:r>
      <w:r w:rsidR="00390FA9">
        <w:rPr>
          <w:rFonts w:cs="Assistant"/>
        </w:rPr>
        <w:t xml:space="preserve">an insured seeking to </w:t>
      </w:r>
      <w:r w:rsidR="005605D2">
        <w:rPr>
          <w:rFonts w:cs="Assistant"/>
        </w:rPr>
        <w:t>proceed with</w:t>
      </w:r>
      <w:r w:rsidR="00390FA9">
        <w:rPr>
          <w:rFonts w:cs="Assistant"/>
        </w:rPr>
        <w:t xml:space="preserve"> a bad faith action </w:t>
      </w:r>
      <w:r w:rsidR="005D23C7">
        <w:rPr>
          <w:rFonts w:cs="Assistant"/>
        </w:rPr>
        <w:t>against a UIM insurer</w:t>
      </w:r>
      <w:r w:rsidR="00390FA9">
        <w:rPr>
          <w:rFonts w:cs="Assistant"/>
        </w:rPr>
        <w:t xml:space="preserve"> without </w:t>
      </w:r>
      <w:r w:rsidR="004D4DFE">
        <w:rPr>
          <w:rFonts w:cs="Assistant"/>
        </w:rPr>
        <w:t xml:space="preserve">first </w:t>
      </w:r>
      <w:r w:rsidR="00817496">
        <w:rPr>
          <w:rFonts w:cs="Assistant"/>
        </w:rPr>
        <w:t>arbitrating the issue of the amount of UIM damages</w:t>
      </w:r>
      <w:r w:rsidR="00F86D55">
        <w:rPr>
          <w:rFonts w:cs="Assistant"/>
        </w:rPr>
        <w:t xml:space="preserve">.  </w:t>
      </w:r>
      <w:r w:rsidRPr="006454A7" w:rsidR="007200E1">
        <w:rPr>
          <w:rFonts w:cs="Assistant"/>
        </w:rPr>
        <w:t xml:space="preserve">Indeed, the trial court here acknowledged that the </w:t>
      </w:r>
      <w:r w:rsidRPr="006454A7" w:rsidR="007200E1">
        <w:rPr>
          <w:rFonts w:cs="Assistant"/>
          <w:i/>
          <w:iCs/>
        </w:rPr>
        <w:t>Hightower</w:t>
      </w:r>
      <w:r w:rsidRPr="006454A7" w:rsidR="007200E1">
        <w:rPr>
          <w:rFonts w:cs="Assistant"/>
        </w:rPr>
        <w:t xml:space="preserve"> court “was not . . . faced with a question of</w:t>
      </w:r>
      <w:r w:rsidR="00F86D55">
        <w:rPr>
          <w:rFonts w:cs="Assistant"/>
        </w:rPr>
        <w:t xml:space="preserve"> </w:t>
      </w:r>
      <w:r w:rsidRPr="007200E1">
        <w:rPr>
          <w:rFonts w:cs="Assistant"/>
        </w:rPr>
        <w:t>wh</w:t>
      </w:r>
      <w:r w:rsidRPr="006454A7">
        <w:rPr>
          <w:rFonts w:cs="Assistant"/>
        </w:rPr>
        <w:t>ether to order arbitration o</w:t>
      </w:r>
      <w:r w:rsidR="00290DF6">
        <w:rPr>
          <w:rFonts w:cs="Assistant"/>
        </w:rPr>
        <w:t>f</w:t>
      </w:r>
      <w:r w:rsidRPr="006454A7">
        <w:rPr>
          <w:rFonts w:cs="Assistant"/>
        </w:rPr>
        <w:t xml:space="preserve"> an action involving a claim of bad faith, or how to determine such a question.”  </w:t>
      </w:r>
    </w:p>
    <w:p w:rsidR="003D1823" w:rsidRPr="006454A7" w:rsidP="00D97D0B" w14:paraId="1B1E91FC" w14:textId="127156A0">
      <w:pPr>
        <w:widowControl w:val="0"/>
        <w:ind w:firstLine="720"/>
        <w:contextualSpacing/>
        <w:rPr>
          <w:rFonts w:cs="Assistant"/>
        </w:rPr>
      </w:pPr>
      <w:r>
        <w:rPr>
          <w:rFonts w:cs="Assistant"/>
        </w:rPr>
        <w:t>In addition,</w:t>
      </w:r>
      <w:r w:rsidRPr="006454A7">
        <w:rPr>
          <w:rFonts w:cs="Assistant"/>
        </w:rPr>
        <w:t xml:space="preserve"> unlike the insurer in </w:t>
      </w:r>
      <w:r w:rsidRPr="006454A7">
        <w:rPr>
          <w:rFonts w:cs="Assistant"/>
          <w:i/>
          <w:iCs/>
        </w:rPr>
        <w:t>Hightower</w:t>
      </w:r>
      <w:r w:rsidRPr="006454A7">
        <w:rPr>
          <w:rFonts w:cs="Assistant"/>
        </w:rPr>
        <w:t xml:space="preserve">, defendant here does not dispute plaintiff’s right to bring her action for breach of contract and bad faith.  </w:t>
      </w:r>
      <w:r w:rsidR="004119BF">
        <w:rPr>
          <w:rFonts w:cs="Assistant"/>
        </w:rPr>
        <w:t>In</w:t>
      </w:r>
      <w:r w:rsidR="004A1261">
        <w:rPr>
          <w:rFonts w:cs="Assistant"/>
        </w:rPr>
        <w:t xml:space="preserve"> fact, </w:t>
      </w:r>
      <w:r w:rsidR="003750D9">
        <w:rPr>
          <w:rFonts w:cs="Assistant"/>
        </w:rPr>
        <w:t>defendant</w:t>
      </w:r>
      <w:r w:rsidR="004A1261">
        <w:rPr>
          <w:rFonts w:cs="Assistant"/>
        </w:rPr>
        <w:t xml:space="preserve"> states </w:t>
      </w:r>
      <w:r w:rsidR="003750D9">
        <w:rPr>
          <w:rFonts w:cs="Assistant"/>
        </w:rPr>
        <w:t xml:space="preserve">in its opening brief </w:t>
      </w:r>
      <w:r w:rsidR="004A1261">
        <w:rPr>
          <w:rFonts w:cs="Assistant"/>
        </w:rPr>
        <w:t>that it</w:t>
      </w:r>
      <w:r w:rsidRPr="006454A7">
        <w:rPr>
          <w:rFonts w:cs="Assistant"/>
        </w:rPr>
        <w:t xml:space="preserve"> “is not seeking immunity under </w:t>
      </w:r>
      <w:r w:rsidR="0083169B">
        <w:rPr>
          <w:rFonts w:cs="Assistant"/>
        </w:rPr>
        <w:t>. . .</w:t>
      </w:r>
      <w:r w:rsidRPr="006454A7">
        <w:rPr>
          <w:rFonts w:cs="Assistant"/>
        </w:rPr>
        <w:t xml:space="preserve"> section 11580.26, subdivision (b), from bad faith claims by filing a motion to compel arbitration.” </w:t>
      </w:r>
    </w:p>
    <w:p w:rsidR="00157CA8" w:rsidRPr="006454A7" w:rsidP="00D97D0B" w14:paraId="520A6F8E" w14:textId="3CC44BEB">
      <w:pPr>
        <w:widowControl w:val="0"/>
        <w:ind w:firstLine="720"/>
        <w:contextualSpacing/>
        <w:rPr>
          <w:rFonts w:cs="Assistant"/>
        </w:rPr>
      </w:pPr>
      <w:r>
        <w:rPr>
          <w:rFonts w:cs="Assistant"/>
        </w:rPr>
        <w:t>Furthermore</w:t>
      </w:r>
      <w:r w:rsidR="00FB3530">
        <w:rPr>
          <w:rFonts w:cs="Assistant"/>
        </w:rPr>
        <w:t>,</w:t>
      </w:r>
      <w:r w:rsidRPr="006454A7" w:rsidR="003A1293">
        <w:rPr>
          <w:rFonts w:cs="Assistant"/>
        </w:rPr>
        <w:t xml:space="preserve"> it cannot be said here that “there is no issue reasonably to be resolved by arbitration.”  (</w:t>
      </w:r>
      <w:r w:rsidRPr="006454A7" w:rsidR="003A1293">
        <w:rPr>
          <w:rFonts w:cs="Assistant"/>
          <w:i/>
          <w:iCs/>
        </w:rPr>
        <w:t>Hightower</w:t>
      </w:r>
      <w:r w:rsidRPr="006454A7" w:rsidR="003A1293">
        <w:rPr>
          <w:rFonts w:cs="Assistant"/>
        </w:rPr>
        <w:t xml:space="preserve">, </w:t>
      </w:r>
      <w:r w:rsidRPr="006454A7" w:rsidR="003A1293">
        <w:rPr>
          <w:rFonts w:cs="Assistant"/>
          <w:i/>
          <w:iCs/>
        </w:rPr>
        <w:t>supra</w:t>
      </w:r>
      <w:r w:rsidRPr="006454A7" w:rsidR="003A1293">
        <w:rPr>
          <w:rFonts w:cs="Assistant"/>
        </w:rPr>
        <w:t xml:space="preserve">, 38 Cal.App.4th at p. 863.)  The foundation of plaintiff’s bad faith claim—the amount of UIM damages—remained disputed and had not yet been sent to arbitration when plaintiff filed this action.  As discussed, </w:t>
      </w:r>
      <w:r w:rsidR="00B9600A">
        <w:rPr>
          <w:rFonts w:cs="Assistant"/>
        </w:rPr>
        <w:t>assuming arguendo that</w:t>
      </w:r>
      <w:r w:rsidRPr="006454A7" w:rsidR="003A1293">
        <w:rPr>
          <w:rFonts w:cs="Assistant"/>
        </w:rPr>
        <w:t xml:space="preserve"> a portion of the claimed damages ($30,451.98) was “undisputedly owed”</w:t>
      </w:r>
      <w:r w:rsidR="00B9600A">
        <w:rPr>
          <w:rFonts w:cs="Assistant"/>
        </w:rPr>
        <w:t xml:space="preserve"> as plaintiff </w:t>
      </w:r>
      <w:r w:rsidR="00E65A12">
        <w:rPr>
          <w:rFonts w:cs="Assistant"/>
        </w:rPr>
        <w:t>argued</w:t>
      </w:r>
      <w:r w:rsidR="00B9600A">
        <w:rPr>
          <w:rFonts w:cs="Assistant"/>
        </w:rPr>
        <w:t>,</w:t>
      </w:r>
      <w:r w:rsidRPr="006454A7" w:rsidR="003A1293">
        <w:rPr>
          <w:rFonts w:cs="Assistant"/>
        </w:rPr>
        <w:t xml:space="preserve"> she conceded that the remaining amount of the available policy limits she was still pursuing ($244,548.02) </w:t>
      </w:r>
      <w:r w:rsidR="00982AFD">
        <w:rPr>
          <w:rFonts w:cs="Assistant"/>
        </w:rPr>
        <w:t xml:space="preserve">was still </w:t>
      </w:r>
      <w:r w:rsidRPr="006454A7" w:rsidR="003A1293">
        <w:rPr>
          <w:rFonts w:cs="Assistant"/>
        </w:rPr>
        <w:t xml:space="preserve">“in dispute.”  </w:t>
      </w:r>
      <w:r w:rsidR="00A86A5A">
        <w:rPr>
          <w:rFonts w:cs="Assistant"/>
        </w:rPr>
        <w:t>Accordingly,</w:t>
      </w:r>
      <w:r w:rsidRPr="006454A7" w:rsidR="00E05FB4">
        <w:rPr>
          <w:rFonts w:cs="Assistant"/>
        </w:rPr>
        <w:t xml:space="preserve"> </w:t>
      </w:r>
      <w:r w:rsidRPr="006454A7" w:rsidR="00562062">
        <w:rPr>
          <w:rFonts w:cs="Assistant"/>
          <w:i/>
          <w:iCs/>
        </w:rPr>
        <w:t xml:space="preserve">Hightower </w:t>
      </w:r>
      <w:r w:rsidR="00E65A12">
        <w:rPr>
          <w:rFonts w:cs="Assistant"/>
        </w:rPr>
        <w:t xml:space="preserve">is inapposite and </w:t>
      </w:r>
      <w:r w:rsidRPr="006454A7" w:rsidR="00A02435">
        <w:rPr>
          <w:rFonts w:cs="Assistant"/>
        </w:rPr>
        <w:t xml:space="preserve">does not </w:t>
      </w:r>
      <w:r w:rsidRPr="006454A7" w:rsidR="00562062">
        <w:rPr>
          <w:rFonts w:cs="Assistant"/>
        </w:rPr>
        <w:t xml:space="preserve">support </w:t>
      </w:r>
      <w:r w:rsidRPr="006454A7" w:rsidR="006702CE">
        <w:rPr>
          <w:rFonts w:cs="Assistant"/>
        </w:rPr>
        <w:t xml:space="preserve">plaintiff’s </w:t>
      </w:r>
      <w:r w:rsidRPr="006454A7" w:rsidR="00E05FB4">
        <w:rPr>
          <w:rFonts w:cs="Assistant"/>
        </w:rPr>
        <w:t>assertion</w:t>
      </w:r>
      <w:r w:rsidRPr="006454A7" w:rsidR="006702CE">
        <w:rPr>
          <w:rFonts w:cs="Assistant"/>
        </w:rPr>
        <w:t xml:space="preserve"> that </w:t>
      </w:r>
      <w:r w:rsidR="00E03B4A">
        <w:rPr>
          <w:rFonts w:cs="Assistant"/>
        </w:rPr>
        <w:t xml:space="preserve">she was entitled </w:t>
      </w:r>
      <w:r w:rsidR="00007767">
        <w:rPr>
          <w:rFonts w:cs="Assistant"/>
        </w:rPr>
        <w:t>to</w:t>
      </w:r>
      <w:r w:rsidR="00904CD8">
        <w:rPr>
          <w:rFonts w:cs="Assistant"/>
        </w:rPr>
        <w:t xml:space="preserve"> </w:t>
      </w:r>
      <w:r w:rsidRPr="006454A7" w:rsidR="00562062">
        <w:rPr>
          <w:rFonts w:cs="Assistant"/>
        </w:rPr>
        <w:t>simply bypass arbitration and proceed directly to litigation</w:t>
      </w:r>
      <w:r w:rsidRPr="006454A7" w:rsidR="00DD70D4">
        <w:rPr>
          <w:rFonts w:cs="Assistant"/>
        </w:rPr>
        <w:t xml:space="preserve">. </w:t>
      </w:r>
      <w:r w:rsidR="00E65A12">
        <w:rPr>
          <w:rFonts w:cs="Assistant"/>
        </w:rPr>
        <w:t xml:space="preserve"> </w:t>
      </w:r>
      <w:r w:rsidRPr="006454A7" w:rsidR="00E05FB4">
        <w:rPr>
          <w:rFonts w:cs="Assistant"/>
        </w:rPr>
        <w:t xml:space="preserve"> </w:t>
      </w:r>
    </w:p>
    <w:p w:rsidR="00E65309" w:rsidRPr="006454A7" w:rsidP="00D97D0B" w14:paraId="33298905" w14:textId="4847289A">
      <w:pPr>
        <w:widowControl w:val="0"/>
        <w:ind w:firstLine="720"/>
        <w:contextualSpacing/>
        <w:rPr>
          <w:rFonts w:cs="Assistant"/>
        </w:rPr>
      </w:pPr>
      <w:r w:rsidRPr="006454A7">
        <w:rPr>
          <w:rFonts w:cs="Assistant"/>
        </w:rPr>
        <w:t xml:space="preserve">Nor do any of the remaining cases cited in the court’s order support the denial of the motion to compel arbitration.  In fact, </w:t>
      </w:r>
      <w:r w:rsidRPr="006454A7" w:rsidR="00662D51">
        <w:rPr>
          <w:rFonts w:cs="Assistant"/>
        </w:rPr>
        <w:t>the cited cases</w:t>
      </w:r>
      <w:r w:rsidRPr="006454A7">
        <w:rPr>
          <w:rFonts w:cs="Assistant"/>
        </w:rPr>
        <w:t xml:space="preserve"> are the same ones that the </w:t>
      </w:r>
      <w:r w:rsidR="00CF0287">
        <w:rPr>
          <w:rFonts w:cs="Assistant"/>
        </w:rPr>
        <w:t>insured</w:t>
      </w:r>
      <w:r w:rsidRPr="006454A7" w:rsidR="00CF0287">
        <w:rPr>
          <w:rFonts w:cs="Assistant"/>
        </w:rPr>
        <w:t xml:space="preserve"> </w:t>
      </w:r>
      <w:r w:rsidRPr="006454A7">
        <w:rPr>
          <w:rFonts w:cs="Assistant"/>
        </w:rPr>
        <w:t xml:space="preserve">and the trial court in </w:t>
      </w:r>
      <w:r w:rsidRPr="006454A7">
        <w:rPr>
          <w:rFonts w:cs="Assistant"/>
          <w:i/>
          <w:iCs/>
        </w:rPr>
        <w:t xml:space="preserve">McIsaac </w:t>
      </w:r>
      <w:r w:rsidRPr="006454A7">
        <w:rPr>
          <w:rFonts w:cs="Assistant"/>
        </w:rPr>
        <w:t xml:space="preserve">relied upon </w:t>
      </w:r>
      <w:r w:rsidRPr="006454A7" w:rsidR="00662D51">
        <w:rPr>
          <w:rFonts w:cs="Assistant"/>
        </w:rPr>
        <w:t>as a basis to deny</w:t>
      </w:r>
      <w:r w:rsidRPr="006454A7">
        <w:rPr>
          <w:rFonts w:cs="Assistant"/>
        </w:rPr>
        <w:t xml:space="preserve"> the </w:t>
      </w:r>
      <w:r w:rsidR="00CF0287">
        <w:rPr>
          <w:rFonts w:cs="Assistant"/>
        </w:rPr>
        <w:t>insurer</w:t>
      </w:r>
      <w:r w:rsidR="00DF678F">
        <w:rPr>
          <w:rFonts w:cs="Assistant"/>
        </w:rPr>
        <w:t xml:space="preserve">’s </w:t>
      </w:r>
      <w:r w:rsidRPr="006454A7">
        <w:rPr>
          <w:rFonts w:cs="Assistant"/>
        </w:rPr>
        <w:t>petition to compel arbitration</w:t>
      </w:r>
      <w:r w:rsidR="00AB68E6">
        <w:rPr>
          <w:rFonts w:cs="Assistant"/>
        </w:rPr>
        <w:t xml:space="preserve"> in that case</w:t>
      </w:r>
      <w:r w:rsidRPr="006454A7">
        <w:rPr>
          <w:rFonts w:cs="Assistant"/>
        </w:rPr>
        <w:t xml:space="preserve">, and that the appellate court </w:t>
      </w:r>
      <w:r w:rsidRPr="006454A7" w:rsidR="00662D51">
        <w:rPr>
          <w:rFonts w:cs="Assistant"/>
        </w:rPr>
        <w:t xml:space="preserve">ultimately </w:t>
      </w:r>
      <w:r w:rsidRPr="006454A7">
        <w:rPr>
          <w:rFonts w:cs="Assistant"/>
        </w:rPr>
        <w:t xml:space="preserve">found distinguishable.  (See </w:t>
      </w:r>
      <w:r w:rsidRPr="006454A7">
        <w:rPr>
          <w:rFonts w:cs="Assistant"/>
          <w:i/>
          <w:iCs/>
        </w:rPr>
        <w:t>McIsaac</w:t>
      </w:r>
      <w:r w:rsidRPr="006454A7">
        <w:rPr>
          <w:rFonts w:cs="Assistant"/>
        </w:rPr>
        <w:t xml:space="preserve">, </w:t>
      </w:r>
      <w:r w:rsidRPr="006454A7">
        <w:rPr>
          <w:rFonts w:cs="Assistant"/>
          <w:i/>
          <w:iCs/>
        </w:rPr>
        <w:t>supra</w:t>
      </w:r>
      <w:r w:rsidRPr="006454A7">
        <w:rPr>
          <w:rFonts w:cs="Assistant"/>
        </w:rPr>
        <w:t xml:space="preserve">, 64 Cal.App.5th at p. 424.)  We distinguish the cited cases for the same reasons stated in </w:t>
      </w:r>
      <w:r w:rsidRPr="006454A7">
        <w:rPr>
          <w:rFonts w:cs="Assistant"/>
          <w:i/>
          <w:iCs/>
        </w:rPr>
        <w:t xml:space="preserve">McIsaac </w:t>
      </w:r>
      <w:r w:rsidRPr="006454A7">
        <w:rPr>
          <w:rFonts w:cs="Assistant"/>
        </w:rPr>
        <w:t xml:space="preserve">and therefore adopt its analysis here:  </w:t>
      </w:r>
    </w:p>
    <w:p w:rsidR="003A167B" w:rsidRPr="006454A7" w:rsidP="00D97D0B" w14:paraId="1E1DC219" w14:textId="2E5305FB">
      <w:pPr>
        <w:widowControl w:val="0"/>
        <w:ind w:firstLine="720"/>
        <w:rPr>
          <w:rFonts w:cs="Assistant"/>
        </w:rPr>
      </w:pPr>
      <w:r w:rsidRPr="006454A7">
        <w:rPr>
          <w:rFonts w:cs="Assistant"/>
        </w:rPr>
        <w:t>“</w:t>
      </w:r>
      <w:r w:rsidRPr="006454A7">
        <w:rPr>
          <w:rFonts w:cs="Assistant"/>
          <w:i/>
          <w:iCs/>
        </w:rPr>
        <w:t>Corral</w:t>
      </w:r>
      <w:r w:rsidRPr="006454A7">
        <w:rPr>
          <w:rFonts w:cs="Assistant"/>
        </w:rPr>
        <w:t xml:space="preserve"> [</w:t>
      </w:r>
      <w:r w:rsidRPr="006454A7">
        <w:rPr>
          <w:rFonts w:cs="Assistant"/>
          <w:i/>
          <w:iCs/>
        </w:rPr>
        <w:t>v. State Farm Mutual Auto. Ins. Co.</w:t>
      </w:r>
      <w:r w:rsidRPr="006454A7">
        <w:rPr>
          <w:rFonts w:cs="Assistant"/>
        </w:rPr>
        <w:t xml:space="preserve"> (1979) 92 Cal.App.3d 1004 (</w:t>
      </w:r>
      <w:r w:rsidRPr="006454A7">
        <w:rPr>
          <w:rFonts w:cs="Assistant"/>
          <w:i/>
          <w:iCs/>
        </w:rPr>
        <w:t>Corral</w:t>
      </w:r>
      <w:r w:rsidRPr="006454A7">
        <w:rPr>
          <w:rFonts w:cs="Assistant"/>
        </w:rPr>
        <w:t>)] for example, did not involve a petition to compel arbitration, but addressed whether the plaintiff</w:t>
      </w:r>
      <w:r w:rsidR="00F61CEB">
        <w:rPr>
          <w:rFonts w:cs="Assistant"/>
        </w:rPr>
        <w:t>’</w:t>
      </w:r>
      <w:r w:rsidRPr="006454A7">
        <w:rPr>
          <w:rFonts w:cs="Assistant"/>
        </w:rPr>
        <w:t>s bad faith action was barred by a prior arbitration award under principles of res judicata.  (</w:t>
      </w:r>
      <w:r w:rsidRPr="006454A7">
        <w:rPr>
          <w:rFonts w:cs="Assistant"/>
          <w:i/>
          <w:iCs/>
        </w:rPr>
        <w:t>Corral</w:t>
      </w:r>
      <w:r w:rsidRPr="006454A7">
        <w:rPr>
          <w:rFonts w:cs="Assistant"/>
        </w:rPr>
        <w:t xml:space="preserve">, </w:t>
      </w:r>
      <w:r w:rsidRPr="006454A7">
        <w:rPr>
          <w:rFonts w:cs="Assistant"/>
          <w:i/>
          <w:iCs/>
        </w:rPr>
        <w:t>supra</w:t>
      </w:r>
      <w:r w:rsidRPr="006454A7">
        <w:rPr>
          <w:rFonts w:cs="Assistant"/>
        </w:rPr>
        <w:t>, 92</w:t>
      </w:r>
      <w:r w:rsidR="00B86E6D">
        <w:rPr>
          <w:rFonts w:cs="Assistant"/>
        </w:rPr>
        <w:t> </w:t>
      </w:r>
      <w:r w:rsidRPr="006454A7">
        <w:rPr>
          <w:rFonts w:cs="Assistant"/>
        </w:rPr>
        <w:t xml:space="preserve">Cal.App.3d at pp. 1009–1010.)  In </w:t>
      </w:r>
      <w:r w:rsidRPr="006454A7">
        <w:rPr>
          <w:rFonts w:cs="Assistant"/>
          <w:i/>
          <w:iCs/>
        </w:rPr>
        <w:t>Corral</w:t>
      </w:r>
      <w:r w:rsidRPr="006454A7">
        <w:rPr>
          <w:rFonts w:cs="Assistant"/>
        </w:rPr>
        <w:t>, unlike here, arbitration of the plaintiff’s UIM claim had already concluded.  (</w:t>
      </w:r>
      <w:r w:rsidRPr="006454A7">
        <w:rPr>
          <w:rFonts w:cs="Assistant"/>
          <w:i/>
          <w:iCs/>
        </w:rPr>
        <w:t>Id.</w:t>
      </w:r>
      <w:r w:rsidRPr="006454A7">
        <w:rPr>
          <w:rFonts w:cs="Assistant"/>
        </w:rPr>
        <w:t xml:space="preserve"> at p. 1007.)</w:t>
      </w:r>
    </w:p>
    <w:p w:rsidR="003A167B" w:rsidRPr="006454A7" w:rsidP="00D97D0B" w14:paraId="76ABF492" w14:textId="4E319CD6">
      <w:pPr>
        <w:widowControl w:val="0"/>
        <w:ind w:firstLine="720"/>
        <w:rPr>
          <w:rFonts w:cs="Assistant"/>
        </w:rPr>
      </w:pPr>
      <w:r w:rsidRPr="006454A7">
        <w:rPr>
          <w:rFonts w:cs="Assistant"/>
        </w:rPr>
        <w:t xml:space="preserve">“Nor is </w:t>
      </w:r>
      <w:r w:rsidRPr="006454A7">
        <w:rPr>
          <w:rFonts w:cs="Assistant"/>
          <w:i/>
          <w:iCs/>
        </w:rPr>
        <w:t>State Farm Mutual Automobile Ins. Co. v. Superior Court</w:t>
      </w:r>
      <w:r w:rsidRPr="006454A7">
        <w:rPr>
          <w:rFonts w:cs="Assistant"/>
        </w:rPr>
        <w:t xml:space="preserve"> (2004) 123 Cal.App.4th 1424, helpful to plaintiff.  There, the court rejected an </w:t>
      </w:r>
      <w:r w:rsidRPr="00B86E6D">
        <w:rPr>
          <w:rFonts w:cs="Assistant"/>
          <w:i/>
          <w:iCs/>
        </w:rPr>
        <w:t>insured’s</w:t>
      </w:r>
      <w:r w:rsidRPr="006454A7">
        <w:rPr>
          <w:rFonts w:cs="Assistant"/>
        </w:rPr>
        <w:t xml:space="preserve"> demand for arbitration because the insurer had already paid the policy limits under its policy with insured, and accordingly, there was no controversy to arbitrate.  (</w:t>
      </w:r>
      <w:r w:rsidRPr="006454A7">
        <w:rPr>
          <w:rFonts w:cs="Assistant"/>
          <w:i/>
          <w:iCs/>
        </w:rPr>
        <w:t>Id.</w:t>
      </w:r>
      <w:r w:rsidRPr="006454A7">
        <w:rPr>
          <w:rFonts w:cs="Assistant"/>
        </w:rPr>
        <w:t xml:space="preserve"> at p. 1431.)  While the appellate court also held that the </w:t>
      </w:r>
      <w:r w:rsidRPr="00B86E6D">
        <w:rPr>
          <w:rFonts w:cs="Assistant"/>
          <w:i/>
          <w:iCs/>
        </w:rPr>
        <w:t>insured</w:t>
      </w:r>
      <w:r w:rsidRPr="006454A7">
        <w:rPr>
          <w:rFonts w:cs="Assistant"/>
        </w:rPr>
        <w:t xml:space="preserve"> was not entitled to arbitration in order to evaluate a possible bad faith suit (</w:t>
      </w:r>
      <w:r w:rsidRPr="006454A7">
        <w:rPr>
          <w:rFonts w:cs="Assistant"/>
          <w:i/>
          <w:iCs/>
        </w:rPr>
        <w:t>id.</w:t>
      </w:r>
      <w:r w:rsidRPr="006454A7">
        <w:rPr>
          <w:rFonts w:cs="Assistant"/>
        </w:rPr>
        <w:t xml:space="preserve"> at pp. 1434–1435), that holding has no bearing on defendant’s right to arbitrate the amount of UIM damages where, as here, the parties dispute the amount of damages caused by the UIM.</w:t>
      </w:r>
    </w:p>
    <w:p w:rsidR="003A167B" w:rsidRPr="006454A7" w:rsidP="00D97D0B" w14:paraId="3DD28DC9" w14:textId="5376CA8C">
      <w:pPr>
        <w:widowControl w:val="0"/>
        <w:ind w:firstLine="720"/>
        <w:rPr>
          <w:rFonts w:cs="Assistant"/>
        </w:rPr>
      </w:pPr>
      <w:r w:rsidRPr="006454A7">
        <w:rPr>
          <w:rFonts w:cs="Assistant"/>
        </w:rPr>
        <w:t xml:space="preserve">“Finally, the trial court cited </w:t>
      </w:r>
      <w:r w:rsidRPr="006454A7">
        <w:rPr>
          <w:rFonts w:cs="Assistant"/>
          <w:i/>
          <w:iCs/>
        </w:rPr>
        <w:t>Freeman</w:t>
      </w:r>
      <w:r w:rsidRPr="006454A7">
        <w:rPr>
          <w:rFonts w:cs="Assistant"/>
        </w:rPr>
        <w:t xml:space="preserve">, </w:t>
      </w:r>
      <w:r w:rsidRPr="006454A7">
        <w:rPr>
          <w:rFonts w:cs="Assistant"/>
          <w:i/>
          <w:iCs/>
        </w:rPr>
        <w:t>supra</w:t>
      </w:r>
      <w:r w:rsidRPr="006454A7">
        <w:rPr>
          <w:rFonts w:cs="Assistant"/>
        </w:rPr>
        <w:t xml:space="preserve">, 14 Cal.3d at page 480 and </w:t>
      </w:r>
      <w:r w:rsidRPr="006454A7">
        <w:rPr>
          <w:rFonts w:cs="Assistant"/>
          <w:i/>
          <w:iCs/>
        </w:rPr>
        <w:t>Bouton</w:t>
      </w:r>
      <w:r w:rsidRPr="006454A7">
        <w:rPr>
          <w:rFonts w:cs="Assistant"/>
        </w:rPr>
        <w:t xml:space="preserve">, </w:t>
      </w:r>
      <w:r w:rsidRPr="006454A7">
        <w:rPr>
          <w:rFonts w:cs="Assistant"/>
          <w:i/>
          <w:iCs/>
        </w:rPr>
        <w:t>supra</w:t>
      </w:r>
      <w:r w:rsidRPr="006454A7">
        <w:rPr>
          <w:rFonts w:cs="Assistant"/>
        </w:rPr>
        <w:t>, 43 Cal.4th at page 1193, for the principle that ‘ “</w:t>
      </w:r>
      <w:r w:rsidR="0083169B">
        <w:rPr>
          <w:rFonts w:cs="Assistant"/>
        </w:rPr>
        <w:t>. . .</w:t>
      </w:r>
      <w:r w:rsidRPr="006454A7">
        <w:rPr>
          <w:rFonts w:cs="Assistant"/>
        </w:rPr>
        <w:t xml:space="preserve"> section 11580.2, subdivision (f) </w:t>
      </w:r>
      <w:r w:rsidR="00AB54AC">
        <w:rPr>
          <w:rFonts w:cs="Assistant"/>
        </w:rPr>
        <w:t>‘</w:t>
      </w:r>
      <w:r w:rsidRPr="006454A7">
        <w:rPr>
          <w:rFonts w:cs="Assistant"/>
        </w:rPr>
        <w:t xml:space="preserve">read literally, requires arbitration of two issues only: (1) whether the insured is entitled to recover against the uninsured motorist and (2) if so, the amount of the damages.’ ” ’  The quoted language plainly </w:t>
      </w:r>
      <w:r w:rsidRPr="006454A7">
        <w:rPr>
          <w:rFonts w:cs="Assistant"/>
          <w:i/>
          <w:iCs/>
        </w:rPr>
        <w:t xml:space="preserve">supports </w:t>
      </w:r>
      <w:r w:rsidRPr="006454A7">
        <w:rPr>
          <w:rFonts w:cs="Assistant"/>
        </w:rPr>
        <w:t xml:space="preserve">defendant’s right to compel arbitration of the amount of UIM damages.  (See </w:t>
      </w:r>
      <w:r w:rsidRPr="006454A7">
        <w:rPr>
          <w:rFonts w:cs="Assistant"/>
          <w:i/>
          <w:iCs/>
        </w:rPr>
        <w:t>Bouton</w:t>
      </w:r>
      <w:r w:rsidRPr="006454A7">
        <w:rPr>
          <w:rFonts w:cs="Assistant"/>
        </w:rPr>
        <w:t>, at p. 1203 [insured and insurer must arbitrate all disputes concerning liability and damages arising out of an accident between insured and UIM].)</w:t>
      </w:r>
      <w:r w:rsidR="00C664B3">
        <w:rPr>
          <w:rFonts w:cs="Assistant"/>
        </w:rPr>
        <w:t>”</w:t>
      </w:r>
      <w:r w:rsidRPr="006454A7">
        <w:rPr>
          <w:rFonts w:cs="Assistant"/>
        </w:rPr>
        <w:t xml:space="preserve">  (</w:t>
      </w:r>
      <w:r w:rsidRPr="006454A7">
        <w:rPr>
          <w:rFonts w:cs="Assistant"/>
          <w:i/>
          <w:iCs/>
        </w:rPr>
        <w:t>McIsaac</w:t>
      </w:r>
      <w:r w:rsidRPr="006454A7">
        <w:rPr>
          <w:rFonts w:cs="Assistant"/>
        </w:rPr>
        <w:t xml:space="preserve">, </w:t>
      </w:r>
      <w:r w:rsidRPr="006454A7">
        <w:rPr>
          <w:rFonts w:cs="Assistant"/>
          <w:i/>
          <w:iCs/>
        </w:rPr>
        <w:t>supra</w:t>
      </w:r>
      <w:r w:rsidRPr="006454A7">
        <w:rPr>
          <w:rFonts w:cs="Assistant"/>
        </w:rPr>
        <w:t>, 64 Cal.App.5th at p.</w:t>
      </w:r>
      <w:r w:rsidR="00AB54AC">
        <w:rPr>
          <w:rFonts w:cs="Assistant"/>
        </w:rPr>
        <w:t> </w:t>
      </w:r>
      <w:r w:rsidRPr="006454A7">
        <w:rPr>
          <w:rFonts w:cs="Assistant"/>
        </w:rPr>
        <w:t xml:space="preserve">424, fn. omitted.)  </w:t>
      </w:r>
    </w:p>
    <w:p w:rsidR="003A167B" w:rsidRPr="006454A7" w:rsidP="00D97D0B" w14:paraId="51961E87" w14:textId="54689180">
      <w:pPr>
        <w:widowControl w:val="0"/>
        <w:ind w:firstLine="720"/>
        <w:rPr>
          <w:rFonts w:cs="Assistant"/>
        </w:rPr>
      </w:pPr>
      <w:r w:rsidRPr="006454A7">
        <w:rPr>
          <w:rFonts w:cs="Assistant"/>
        </w:rPr>
        <w:t xml:space="preserve">In sum, because the parties disagreed over the amount of UIM damages owed to plaintiff, defendant was entitled under section 11580.2, subdivision (f) and the terms of the policy to arbitrate the issue of UIM damages.  Accordingly, the trial court erred in denying defendant’s motion to compel arbitration.  </w:t>
      </w:r>
      <w:r w:rsidRPr="006454A7" w:rsidR="008600FF">
        <w:rPr>
          <w:rFonts w:cs="Assistant"/>
        </w:rPr>
        <w:t xml:space="preserve"> </w:t>
      </w:r>
      <w:r w:rsidRPr="006454A7">
        <w:rPr>
          <w:rFonts w:cs="Assistant"/>
        </w:rPr>
        <w:t xml:space="preserve"> </w:t>
      </w:r>
    </w:p>
    <w:p w:rsidR="003A167B" w:rsidRPr="006454A7" w:rsidP="00D97D0B" w14:paraId="071DF7F7" w14:textId="77777777">
      <w:pPr>
        <w:pStyle w:val="Heading1"/>
        <w:widowControl w:val="0"/>
        <w:rPr>
          <w:rFonts w:ascii="Century Schoolbook" w:hAnsi="Century Schoolbook"/>
        </w:rPr>
      </w:pPr>
      <w:r w:rsidRPr="006454A7">
        <w:rPr>
          <w:rFonts w:ascii="Century Schoolbook" w:hAnsi="Century Schoolbook"/>
        </w:rPr>
        <w:t>DISPOSITION</w:t>
      </w:r>
    </w:p>
    <w:p w:rsidR="00C46E7D" w:rsidP="00D97D0B" w14:paraId="39464433" w14:textId="31198D86">
      <w:pPr>
        <w:widowControl w:val="0"/>
        <w:rPr>
          <w:rFonts w:cs="Assistant"/>
        </w:rPr>
      </w:pPr>
      <w:r w:rsidRPr="006454A7">
        <w:rPr>
          <w:rFonts w:cs="Noto Sans"/>
        </w:rPr>
        <w:tab/>
      </w:r>
      <w:r w:rsidRPr="006454A7">
        <w:rPr>
          <w:rFonts w:cs="Assistant"/>
        </w:rPr>
        <w:t xml:space="preserve">The order denying defendant’s motion to compel arbitration is reversed.  The case is remanded to the trial court with directions to grant defendant’s motion to compel arbitration of the UIM damages.  Defendant is awarded costs on appeal. </w:t>
      </w:r>
      <w:r w:rsidR="00876DC2">
        <w:rPr>
          <w:rFonts w:cs="Assistant"/>
        </w:rPr>
        <w:t xml:space="preserve"> </w:t>
      </w:r>
    </w:p>
    <w:p w:rsidR="0065051E" w14:paraId="3C572CB0" w14:textId="4CF18757">
      <w:pPr>
        <w:rPr>
          <w:rFonts w:cs="Assistant"/>
        </w:rPr>
      </w:pPr>
      <w:r>
        <w:rPr>
          <w:rFonts w:cs="Assistant"/>
        </w:rPr>
        <w:br w:type="page"/>
      </w:r>
    </w:p>
    <w:p w:rsidR="0065051E" w:rsidRPr="00886B60" w:rsidP="0065051E" w14:paraId="0A43C0C0" w14:textId="2B440B19">
      <w:pPr>
        <w:spacing w:line="240" w:lineRule="auto"/>
      </w:pP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rsidRPr="00886B60">
        <w:tab/>
      </w:r>
      <w:r>
        <w:tab/>
      </w:r>
      <w:r w:rsidRPr="00886B60">
        <w:t>_________________________</w:t>
      </w:r>
    </w:p>
    <w:p w:rsidR="0065051E" w:rsidRPr="00886B60" w:rsidP="0065051E" w14:paraId="64464CEE" w14:textId="2273D056">
      <w:pPr>
        <w:spacing w:line="240" w:lineRule="auto"/>
      </w:pPr>
      <w:r w:rsidRPr="00886B60">
        <w:tab/>
      </w:r>
      <w:r w:rsidRPr="00886B60">
        <w:tab/>
      </w:r>
      <w:r w:rsidRPr="00886B60">
        <w:tab/>
      </w:r>
      <w:r w:rsidRPr="00886B60">
        <w:tab/>
      </w:r>
      <w:r w:rsidRPr="00886B60">
        <w:tab/>
      </w:r>
      <w:r w:rsidRPr="00886B60">
        <w:tab/>
        <w:t>Richman, Acting P.</w:t>
      </w:r>
      <w:r w:rsidR="00F33BDC">
        <w:t xml:space="preserve"> </w:t>
      </w:r>
      <w:r w:rsidRPr="00886B60">
        <w:t>J.</w:t>
      </w:r>
    </w:p>
    <w:p w:rsidR="0065051E" w:rsidRPr="00886B60" w:rsidP="0065051E" w14:paraId="780235BA" w14:textId="77777777">
      <w:pPr>
        <w:spacing w:line="240" w:lineRule="auto"/>
      </w:pPr>
    </w:p>
    <w:p w:rsidR="0065051E" w:rsidRPr="00886B60" w:rsidP="0065051E" w14:paraId="07D416A9" w14:textId="77777777">
      <w:pPr>
        <w:spacing w:line="240" w:lineRule="auto"/>
      </w:pPr>
    </w:p>
    <w:p w:rsidR="0065051E" w:rsidRPr="00886B60" w:rsidP="0065051E" w14:paraId="6E760F0F" w14:textId="77777777">
      <w:pPr>
        <w:spacing w:line="240" w:lineRule="auto"/>
      </w:pPr>
      <w:r w:rsidRPr="00886B60">
        <w:t>We concur:</w:t>
      </w:r>
    </w:p>
    <w:p w:rsidR="0065051E" w:rsidRPr="00886B60" w:rsidP="0065051E" w14:paraId="422C9F18" w14:textId="77777777">
      <w:pPr>
        <w:spacing w:line="240" w:lineRule="auto"/>
      </w:pPr>
    </w:p>
    <w:p w:rsidR="0065051E" w:rsidRPr="00886B60" w:rsidP="0065051E" w14:paraId="44E0443E" w14:textId="77777777">
      <w:pPr>
        <w:spacing w:line="240" w:lineRule="auto"/>
      </w:pPr>
    </w:p>
    <w:p w:rsidR="0065051E" w:rsidRPr="00886B60" w:rsidP="0065051E" w14:paraId="6AA6E745" w14:textId="77777777">
      <w:pPr>
        <w:spacing w:line="240" w:lineRule="auto"/>
      </w:pPr>
      <w:r w:rsidRPr="00886B60">
        <w:t>_________________________</w:t>
      </w:r>
    </w:p>
    <w:p w:rsidR="0065051E" w:rsidRPr="00886B60" w:rsidP="0065051E" w14:paraId="20033FB9" w14:textId="77777777">
      <w:pPr>
        <w:spacing w:line="240" w:lineRule="auto"/>
      </w:pPr>
      <w:r w:rsidRPr="00886B60">
        <w:t>Miller, J.</w:t>
      </w:r>
    </w:p>
    <w:p w:rsidR="0065051E" w:rsidRPr="00886B60" w:rsidP="0065051E" w14:paraId="37B06723" w14:textId="77777777">
      <w:pPr>
        <w:spacing w:line="240" w:lineRule="auto"/>
      </w:pPr>
    </w:p>
    <w:p w:rsidR="0065051E" w:rsidRPr="00886B60" w:rsidP="0065051E" w14:paraId="057175C5" w14:textId="77777777">
      <w:pPr>
        <w:spacing w:line="240" w:lineRule="auto"/>
      </w:pPr>
    </w:p>
    <w:p w:rsidR="0065051E" w:rsidRPr="00886B60" w:rsidP="0065051E" w14:paraId="6CBFC80D" w14:textId="77777777">
      <w:pPr>
        <w:spacing w:line="240" w:lineRule="auto"/>
      </w:pPr>
      <w:r w:rsidRPr="00886B60">
        <w:t>_________________________</w:t>
      </w:r>
    </w:p>
    <w:p w:rsidR="0065051E" w:rsidRPr="00886B60" w:rsidP="0065051E" w14:paraId="146A917D" w14:textId="77777777">
      <w:pPr>
        <w:spacing w:line="240" w:lineRule="auto"/>
      </w:pPr>
      <w:r w:rsidRPr="00886B60">
        <w:t>Markman, J. *</w:t>
      </w:r>
    </w:p>
    <w:p w:rsidR="0065051E" w:rsidRPr="00886B60" w:rsidP="0065051E" w14:paraId="575C1823" w14:textId="77777777">
      <w:pPr>
        <w:spacing w:line="240" w:lineRule="auto"/>
      </w:pPr>
    </w:p>
    <w:p w:rsidR="0065051E" w:rsidRPr="00886B60" w:rsidP="0065051E" w14:paraId="0316EB9B" w14:textId="77777777">
      <w:pPr>
        <w:spacing w:line="240" w:lineRule="auto"/>
      </w:pPr>
    </w:p>
    <w:p w:rsidR="0065051E" w:rsidRPr="00886B60" w:rsidP="0065051E" w14:paraId="21595A93" w14:textId="77777777">
      <w:pPr>
        <w:spacing w:line="240" w:lineRule="auto"/>
      </w:pPr>
    </w:p>
    <w:p w:rsidR="0065051E" w:rsidRPr="00886B60" w:rsidP="0065051E" w14:paraId="7BF474E5" w14:textId="77777777">
      <w:pPr>
        <w:spacing w:line="240" w:lineRule="auto"/>
      </w:pPr>
    </w:p>
    <w:p w:rsidR="0065051E" w:rsidRPr="00886B60" w:rsidP="0065051E" w14:paraId="6C356E93" w14:textId="77777777">
      <w:pPr>
        <w:spacing w:line="240" w:lineRule="auto"/>
      </w:pPr>
    </w:p>
    <w:p w:rsidR="0065051E" w:rsidRPr="00886B60" w:rsidP="0065051E" w14:paraId="58DFE121" w14:textId="77777777">
      <w:pPr>
        <w:spacing w:line="240" w:lineRule="auto"/>
      </w:pPr>
    </w:p>
    <w:p w:rsidR="0065051E" w:rsidRPr="00886B60" w:rsidP="0065051E" w14:paraId="1FCCA634" w14:textId="77777777">
      <w:pPr>
        <w:spacing w:line="240" w:lineRule="auto"/>
      </w:pPr>
    </w:p>
    <w:p w:rsidR="0065051E" w:rsidRPr="00886B60" w:rsidP="0065051E" w14:paraId="0910CBFF" w14:textId="77777777">
      <w:pPr>
        <w:spacing w:line="240" w:lineRule="auto"/>
      </w:pPr>
    </w:p>
    <w:p w:rsidR="0065051E" w:rsidRPr="00886B60" w:rsidP="0065051E" w14:paraId="646EA477" w14:textId="77777777">
      <w:pPr>
        <w:spacing w:line="240" w:lineRule="auto"/>
      </w:pPr>
    </w:p>
    <w:p w:rsidR="0065051E" w:rsidRPr="00886B60" w:rsidP="0065051E" w14:paraId="03A8573B" w14:textId="77777777">
      <w:pPr>
        <w:spacing w:line="240" w:lineRule="auto"/>
      </w:pPr>
    </w:p>
    <w:p w:rsidR="0065051E" w:rsidRPr="00886B60" w:rsidP="0065051E" w14:paraId="6C27186B" w14:textId="77777777">
      <w:pPr>
        <w:spacing w:line="240" w:lineRule="auto"/>
      </w:pPr>
    </w:p>
    <w:p w:rsidR="0065051E" w:rsidRPr="00886B60" w:rsidP="0065051E" w14:paraId="32E0C499" w14:textId="77777777">
      <w:pPr>
        <w:spacing w:line="240" w:lineRule="auto"/>
      </w:pPr>
    </w:p>
    <w:p w:rsidR="0065051E" w:rsidRPr="00886B60" w:rsidP="0065051E" w14:paraId="73E2E1A5" w14:textId="77777777">
      <w:pPr>
        <w:spacing w:line="240" w:lineRule="auto"/>
      </w:pPr>
    </w:p>
    <w:p w:rsidR="0065051E" w:rsidRPr="00886B60" w:rsidP="0065051E" w14:paraId="61F75C65" w14:textId="77777777">
      <w:pPr>
        <w:spacing w:line="240" w:lineRule="auto"/>
      </w:pPr>
    </w:p>
    <w:p w:rsidR="0065051E" w:rsidRPr="00886B60" w:rsidP="0065051E" w14:paraId="69A0666E" w14:textId="77777777">
      <w:pPr>
        <w:spacing w:line="240" w:lineRule="auto"/>
      </w:pPr>
    </w:p>
    <w:p w:rsidR="0065051E" w:rsidRPr="00886B60" w:rsidP="0065051E" w14:paraId="49867EB3" w14:textId="77777777">
      <w:pPr>
        <w:spacing w:line="240" w:lineRule="auto"/>
      </w:pPr>
    </w:p>
    <w:p w:rsidR="0065051E" w:rsidRPr="00886B60" w:rsidP="0065051E" w14:paraId="47B772B7" w14:textId="77777777">
      <w:pPr>
        <w:spacing w:line="240" w:lineRule="auto"/>
      </w:pPr>
    </w:p>
    <w:p w:rsidR="0065051E" w:rsidRPr="00886B60" w:rsidP="0065051E" w14:paraId="63B8C094" w14:textId="2320B03A">
      <w:pPr>
        <w:spacing w:line="240" w:lineRule="auto"/>
      </w:pPr>
      <w:r>
        <w:rPr>
          <w:i/>
          <w:lang w:val="it-IT"/>
        </w:rPr>
        <w:t xml:space="preserve">Tornai v. CSAA Insurance Exchange </w:t>
      </w:r>
      <w:r w:rsidRPr="00886B60">
        <w:rPr>
          <w:lang w:val="it-IT"/>
        </w:rPr>
        <w:t>(</w:t>
      </w:r>
      <w:r w:rsidRPr="00886B60">
        <w:t>A</w:t>
      </w:r>
      <w:r w:rsidR="00AD141B">
        <w:t>167666</w:t>
      </w:r>
      <w:r>
        <w:t>)</w:t>
      </w:r>
      <w:r w:rsidRPr="00886B60">
        <w:t xml:space="preserve"> </w:t>
      </w:r>
    </w:p>
    <w:p w:rsidR="0065051E" w:rsidRPr="00886B60" w:rsidP="0065051E" w14:paraId="41C0CF66" w14:textId="77777777">
      <w:pPr>
        <w:spacing w:line="240" w:lineRule="auto"/>
      </w:pPr>
    </w:p>
    <w:p w:rsidR="0065051E" w:rsidRPr="00886B60" w:rsidP="0065051E" w14:paraId="1CE14988" w14:textId="77777777">
      <w:pPr>
        <w:spacing w:line="240" w:lineRule="auto"/>
        <w:ind w:right="-720" w:firstLine="720"/>
      </w:pPr>
      <w:r w:rsidRPr="00886B60">
        <w:t>*Superior Court of Alameda County, Judge Michael Markman, sitting as assigned by the Chief Justice pursuant to article VI, section 6 of the California Constitution.</w:t>
      </w:r>
    </w:p>
    <w:p w:rsidR="00C541E7" w:rsidP="00D97D0B" w14:paraId="4813ACE3" w14:textId="77777777">
      <w:pPr>
        <w:widowControl w:val="0"/>
        <w:rPr>
          <w:rFonts w:cs="Assistant"/>
        </w:rPr>
        <w:sectPr w:rsidSect="00A4003B">
          <w:footerReference w:type="default" r:id="rId6"/>
          <w:pgSz w:w="12240" w:h="15840"/>
          <w:pgMar w:top="1440" w:right="1440" w:bottom="1440" w:left="1440" w:header="720" w:footer="720" w:gutter="0"/>
          <w:cols w:space="720"/>
          <w:docGrid w:linePitch="360"/>
        </w:sectPr>
      </w:pPr>
    </w:p>
    <w:p w:rsidR="00C541E7" w:rsidP="00C541E7" w14:paraId="4D307227" w14:textId="77777777">
      <w:pPr>
        <w:spacing w:after="120" w:line="240" w:lineRule="auto"/>
        <w:rPr>
          <w:sz w:val="20"/>
        </w:rPr>
      </w:pPr>
      <w:r>
        <w:rPr>
          <w:sz w:val="20"/>
        </w:rPr>
        <w:t>Filed 1/11/24 after nonpublished opinion filed 12/18/23</w:t>
      </w:r>
    </w:p>
    <w:p w:rsidR="00C541E7" w:rsidP="00C541E7" w14:paraId="56983389" w14:textId="77777777">
      <w:pPr>
        <w:spacing w:line="240" w:lineRule="auto"/>
        <w:jc w:val="center"/>
        <w:rPr>
          <w:b/>
        </w:rPr>
      </w:pPr>
      <w:r>
        <w:rPr>
          <w:b/>
        </w:rPr>
        <w:t>CERTIFIED FOR PUBLICATION</w:t>
      </w:r>
    </w:p>
    <w:p w:rsidR="00C541E7" w:rsidP="00C541E7" w14:paraId="27FDE1CB" w14:textId="77777777">
      <w:pPr>
        <w:spacing w:line="240" w:lineRule="auto"/>
        <w:jc w:val="center"/>
        <w:rPr>
          <w:b/>
        </w:rPr>
      </w:pPr>
    </w:p>
    <w:p w:rsidR="00C541E7" w:rsidRPr="006454A7" w:rsidP="00C541E7" w14:paraId="51CBE61D" w14:textId="77777777">
      <w:pPr>
        <w:widowControl w:val="0"/>
        <w:spacing w:line="240" w:lineRule="auto"/>
        <w:jc w:val="center"/>
        <w:rPr>
          <w:rFonts w:cs="Noto Sans"/>
        </w:rPr>
      </w:pPr>
      <w:r w:rsidRPr="006454A7">
        <w:rPr>
          <w:rFonts w:cs="Noto Sans"/>
        </w:rPr>
        <w:t>IN THE COURT OF APPEAL OF THE STATE OF CALIFORNIA</w:t>
      </w:r>
    </w:p>
    <w:p w:rsidR="00C541E7" w:rsidRPr="006454A7" w:rsidP="00C541E7" w14:paraId="1647B750" w14:textId="77777777">
      <w:pPr>
        <w:widowControl w:val="0"/>
        <w:spacing w:line="240" w:lineRule="auto"/>
        <w:jc w:val="center"/>
        <w:rPr>
          <w:rFonts w:cs="Noto Sans"/>
        </w:rPr>
      </w:pPr>
    </w:p>
    <w:p w:rsidR="00C541E7" w:rsidRPr="006454A7" w:rsidP="00C541E7" w14:paraId="58502432" w14:textId="77777777">
      <w:pPr>
        <w:widowControl w:val="0"/>
        <w:spacing w:line="240" w:lineRule="auto"/>
        <w:jc w:val="center"/>
        <w:rPr>
          <w:rFonts w:cs="Noto Sans"/>
        </w:rPr>
      </w:pPr>
      <w:r w:rsidRPr="006454A7">
        <w:rPr>
          <w:rFonts w:cs="Noto Sans"/>
        </w:rPr>
        <w:t>FIRST APPELLATE DISTRICT</w:t>
      </w:r>
    </w:p>
    <w:p w:rsidR="00C541E7" w:rsidRPr="006454A7" w:rsidP="00C541E7" w14:paraId="15896B7B" w14:textId="77777777">
      <w:pPr>
        <w:widowControl w:val="0"/>
        <w:spacing w:line="240" w:lineRule="auto"/>
        <w:jc w:val="center"/>
        <w:rPr>
          <w:rFonts w:cs="Noto Sans"/>
        </w:rPr>
      </w:pPr>
    </w:p>
    <w:p w:rsidR="00C541E7" w:rsidRPr="006454A7" w:rsidP="00C541E7" w14:paraId="53ED14F1" w14:textId="77777777">
      <w:pPr>
        <w:widowControl w:val="0"/>
        <w:spacing w:line="240" w:lineRule="auto"/>
        <w:jc w:val="center"/>
        <w:rPr>
          <w:rFonts w:cs="Noto Sans"/>
        </w:rPr>
      </w:pPr>
      <w:r w:rsidRPr="006454A7">
        <w:rPr>
          <w:rFonts w:cs="Noto Sans"/>
        </w:rPr>
        <w:t>DIVISION TWO</w:t>
      </w:r>
    </w:p>
    <w:p w:rsidR="00C541E7" w:rsidRPr="006454A7" w:rsidP="00C541E7" w14:paraId="4949316D" w14:textId="77777777">
      <w:pPr>
        <w:widowControl w:val="0"/>
        <w:spacing w:line="240" w:lineRule="auto"/>
        <w:jc w:val="center"/>
        <w:rPr>
          <w:rFonts w:cs="Noto Sans"/>
        </w:rPr>
      </w:pPr>
    </w:p>
    <w:p w:rsidR="00C541E7" w:rsidRPr="006454A7" w:rsidP="00C541E7" w14:paraId="17F9EE34" w14:textId="77777777">
      <w:pPr>
        <w:widowControl w:val="0"/>
        <w:spacing w:line="240" w:lineRule="auto"/>
        <w:jc w:val="center"/>
        <w:rPr>
          <w:rFonts w:cs="Noto Sans"/>
        </w:rPr>
      </w:pPr>
    </w:p>
    <w:tbl>
      <w:tblPr>
        <w:tblW w:w="0" w:type="auto"/>
        <w:tblLayout w:type="fixed"/>
        <w:tblLook w:val="0000"/>
      </w:tblPr>
      <w:tblGrid>
        <w:gridCol w:w="4680"/>
        <w:gridCol w:w="4680"/>
      </w:tblGrid>
      <w:tr w14:paraId="4730AA00" w14:textId="77777777" w:rsidTr="00D166B1">
        <w:tblPrEx>
          <w:tblW w:w="0" w:type="auto"/>
          <w:tblLayout w:type="fixed"/>
          <w:tblLook w:val="0000"/>
        </w:tblPrEx>
        <w:tc>
          <w:tcPr>
            <w:tcW w:w="4680" w:type="dxa"/>
            <w:tcBorders>
              <w:bottom w:val="single" w:sz="4" w:space="0" w:color="auto"/>
              <w:right w:val="single" w:sz="4" w:space="0" w:color="auto"/>
            </w:tcBorders>
            <w:shd w:val="clear" w:color="auto" w:fill="auto"/>
          </w:tcPr>
          <w:p w:rsidR="00C541E7" w:rsidRPr="006454A7" w:rsidP="00D166B1" w14:paraId="6A33FEEE" w14:textId="77777777">
            <w:pPr>
              <w:widowControl w:val="0"/>
              <w:spacing w:after="120" w:line="240" w:lineRule="auto"/>
              <w:rPr>
                <w:rFonts w:cs="Noto Sans"/>
              </w:rPr>
            </w:pPr>
            <w:r w:rsidRPr="006454A7">
              <w:rPr>
                <w:rFonts w:cs="Noto Sans"/>
              </w:rPr>
              <w:t>KATHRYN TORNAI,</w:t>
            </w:r>
          </w:p>
          <w:p w:rsidR="00C541E7" w:rsidRPr="006454A7" w:rsidP="00D166B1" w14:paraId="67C7D995" w14:textId="77777777">
            <w:pPr>
              <w:widowControl w:val="0"/>
              <w:spacing w:after="120" w:line="240" w:lineRule="auto"/>
              <w:rPr>
                <w:rFonts w:cs="Noto Sans"/>
              </w:rPr>
            </w:pPr>
            <w:r w:rsidRPr="006454A7">
              <w:rPr>
                <w:rFonts w:cs="Noto Sans"/>
              </w:rPr>
              <w:tab/>
              <w:t>Plaintiff and Respondent,</w:t>
            </w:r>
          </w:p>
          <w:p w:rsidR="00C541E7" w:rsidRPr="006454A7" w:rsidP="00D166B1" w14:paraId="78F32342" w14:textId="77777777">
            <w:pPr>
              <w:widowControl w:val="0"/>
              <w:spacing w:after="120" w:line="240" w:lineRule="auto"/>
              <w:rPr>
                <w:rFonts w:cs="Noto Sans"/>
              </w:rPr>
            </w:pPr>
            <w:r w:rsidRPr="006454A7">
              <w:rPr>
                <w:rFonts w:cs="Noto Sans"/>
              </w:rPr>
              <w:t>v.</w:t>
            </w:r>
          </w:p>
          <w:p w:rsidR="00C541E7" w:rsidRPr="006454A7" w:rsidP="00D166B1" w14:paraId="229C9E07" w14:textId="77777777">
            <w:pPr>
              <w:widowControl w:val="0"/>
              <w:spacing w:after="120" w:line="240" w:lineRule="auto"/>
              <w:rPr>
                <w:rFonts w:cs="Noto Sans"/>
              </w:rPr>
            </w:pPr>
            <w:r w:rsidRPr="006454A7">
              <w:rPr>
                <w:rFonts w:cs="Noto Sans"/>
              </w:rPr>
              <w:t>CSAA INSURANCE EXCHANGE,</w:t>
            </w:r>
          </w:p>
          <w:p w:rsidR="00C541E7" w:rsidRPr="006454A7" w:rsidP="00D166B1" w14:paraId="6D67408A" w14:textId="77777777">
            <w:pPr>
              <w:widowControl w:val="0"/>
              <w:spacing w:after="120" w:line="240" w:lineRule="auto"/>
              <w:rPr>
                <w:rFonts w:cs="Noto Sans"/>
              </w:rPr>
            </w:pPr>
            <w:r w:rsidRPr="006454A7">
              <w:rPr>
                <w:rFonts w:cs="Noto Sans"/>
              </w:rPr>
              <w:tab/>
              <w:t>Defendant and Appellant.</w:t>
            </w:r>
          </w:p>
        </w:tc>
        <w:tc>
          <w:tcPr>
            <w:tcW w:w="4680" w:type="dxa"/>
            <w:tcBorders>
              <w:left w:val="single" w:sz="4" w:space="0" w:color="auto"/>
            </w:tcBorders>
            <w:shd w:val="clear" w:color="auto" w:fill="auto"/>
          </w:tcPr>
          <w:p w:rsidR="00C541E7" w:rsidRPr="006454A7" w:rsidP="00D166B1" w14:paraId="2D23F1B5" w14:textId="77777777">
            <w:pPr>
              <w:widowControl w:val="0"/>
              <w:spacing w:line="240" w:lineRule="auto"/>
              <w:rPr>
                <w:rFonts w:cs="Noto Sans"/>
              </w:rPr>
            </w:pPr>
          </w:p>
          <w:p w:rsidR="00C541E7" w:rsidRPr="006454A7" w:rsidP="00D166B1" w14:paraId="56FC8518" w14:textId="77777777">
            <w:pPr>
              <w:widowControl w:val="0"/>
              <w:spacing w:line="240" w:lineRule="auto"/>
              <w:rPr>
                <w:rFonts w:cs="Noto Sans"/>
              </w:rPr>
            </w:pPr>
          </w:p>
          <w:p w:rsidR="00C541E7" w:rsidRPr="006454A7" w:rsidP="00D166B1" w14:paraId="308AC97A" w14:textId="77777777">
            <w:pPr>
              <w:widowControl w:val="0"/>
              <w:spacing w:line="240" w:lineRule="auto"/>
              <w:rPr>
                <w:rFonts w:cs="Noto Sans"/>
              </w:rPr>
            </w:pPr>
            <w:r w:rsidRPr="006454A7">
              <w:rPr>
                <w:rFonts w:cs="Noto Sans"/>
              </w:rPr>
              <w:t xml:space="preserve">      A167666</w:t>
            </w:r>
          </w:p>
          <w:p w:rsidR="00C541E7" w:rsidRPr="006454A7" w:rsidP="00D166B1" w14:paraId="57602C67" w14:textId="77777777">
            <w:pPr>
              <w:widowControl w:val="0"/>
              <w:spacing w:line="240" w:lineRule="auto"/>
              <w:rPr>
                <w:rFonts w:cs="Noto Sans"/>
              </w:rPr>
            </w:pPr>
          </w:p>
          <w:p w:rsidR="00C541E7" w:rsidRPr="006454A7" w:rsidP="00D166B1" w14:paraId="1F945884" w14:textId="77777777">
            <w:pPr>
              <w:widowControl w:val="0"/>
              <w:spacing w:line="240" w:lineRule="auto"/>
              <w:rPr>
                <w:rFonts w:cs="Noto Sans"/>
              </w:rPr>
            </w:pPr>
            <w:r w:rsidRPr="006454A7">
              <w:rPr>
                <w:rFonts w:cs="Noto Sans"/>
              </w:rPr>
              <w:t xml:space="preserve">      (Sonoma County</w:t>
            </w:r>
          </w:p>
          <w:p w:rsidR="00C541E7" w:rsidRPr="006454A7" w:rsidP="00D166B1" w14:paraId="1914856A" w14:textId="77777777">
            <w:pPr>
              <w:widowControl w:val="0"/>
              <w:spacing w:line="240" w:lineRule="auto"/>
              <w:rPr>
                <w:rFonts w:cs="Noto Sans"/>
              </w:rPr>
            </w:pPr>
            <w:r w:rsidRPr="006454A7">
              <w:rPr>
                <w:rFonts w:cs="Noto Sans"/>
              </w:rPr>
              <w:t xml:space="preserve">      Super. Ct. No. SCV271737)</w:t>
            </w:r>
          </w:p>
          <w:p w:rsidR="00C541E7" w:rsidRPr="006454A7" w:rsidP="00D166B1" w14:paraId="434EF598" w14:textId="77777777">
            <w:pPr>
              <w:widowControl w:val="0"/>
              <w:spacing w:line="240" w:lineRule="auto"/>
              <w:rPr>
                <w:rFonts w:cs="Noto Sans"/>
              </w:rPr>
            </w:pPr>
          </w:p>
        </w:tc>
      </w:tr>
    </w:tbl>
    <w:p w:rsidR="00C541E7" w:rsidRPr="006454A7" w:rsidP="00C541E7" w14:paraId="30F69D6A" w14:textId="77777777">
      <w:pPr>
        <w:widowControl w:val="0"/>
        <w:rPr>
          <w:rFonts w:cs="Noto Sans"/>
        </w:rPr>
      </w:pPr>
    </w:p>
    <w:p w:rsidR="00C541E7" w:rsidP="00C541E7" w14:paraId="0001B611" w14:textId="77777777">
      <w:r>
        <w:t>BY THE COURT:</w:t>
      </w:r>
    </w:p>
    <w:p w:rsidR="00C541E7" w:rsidP="00C541E7" w14:paraId="5CB25363" w14:textId="77777777">
      <w:r>
        <w:tab/>
        <w:t>The opinion in the above-entitled matter filed on December 18, 2023, was not certified for publication in the Official Reports.  For good cause and pursuant to California Rules of Court, rule 8.1105, it now appears that the opinion should be published in the Official Reports, and it is so ordered.</w:t>
      </w:r>
    </w:p>
    <w:p w:rsidR="00C541E7" w:rsidP="00C541E7" w14:paraId="4035D30F" w14:textId="77777777"/>
    <w:p w:rsidR="00C541E7" w:rsidP="00C541E7" w14:paraId="6BEEC2D5" w14:textId="77777777"/>
    <w:p w:rsidR="00C541E7" w:rsidP="00C541E7" w14:paraId="41B56428" w14:textId="77777777"/>
    <w:p w:rsidR="00C541E7" w:rsidP="00C541E7" w14:paraId="66D03942" w14:textId="77777777"/>
    <w:p w:rsidR="00C541E7" w:rsidP="00C541E7" w14:paraId="5D3173F0" w14:textId="77777777">
      <w:pPr>
        <w:spacing w:line="240" w:lineRule="auto"/>
      </w:pPr>
      <w:r>
        <w:t>Dated: ________________________</w:t>
      </w:r>
      <w:r>
        <w:tab/>
      </w:r>
      <w:r>
        <w:tab/>
        <w:t>________________________________</w:t>
      </w:r>
    </w:p>
    <w:p w:rsidR="00C541E7" w:rsidP="00C541E7" w14:paraId="4D39ABA8" w14:textId="00D639A1">
      <w:pPr>
        <w:spacing w:line="240" w:lineRule="auto"/>
      </w:pPr>
      <w:r>
        <w:tab/>
      </w:r>
      <w:r>
        <w:tab/>
      </w:r>
      <w:r>
        <w:tab/>
      </w:r>
      <w:r>
        <w:tab/>
      </w:r>
      <w:r>
        <w:tab/>
      </w:r>
      <w:r>
        <w:tab/>
      </w:r>
      <w:r>
        <w:tab/>
        <w:t>Richman, Acting P.</w:t>
      </w:r>
      <w:r w:rsidR="00F40457">
        <w:t xml:space="preserve"> </w:t>
      </w:r>
      <w:r>
        <w:t>J.</w:t>
      </w:r>
    </w:p>
    <w:p w:rsidR="00C541E7" w:rsidP="00C541E7" w14:paraId="387B3455" w14:textId="77777777">
      <w:pPr>
        <w:spacing w:after="160" w:line="259" w:lineRule="auto"/>
      </w:pPr>
      <w:r>
        <w:br w:type="page"/>
      </w:r>
    </w:p>
    <w:p w:rsidR="00C541E7" w:rsidP="00C541E7" w14:paraId="699374B9" w14:textId="77777777">
      <w:pPr>
        <w:spacing w:line="240" w:lineRule="auto"/>
      </w:pPr>
    </w:p>
    <w:p w:rsidR="003B2279" w:rsidP="003B2279" w14:paraId="4D2920A4" w14:textId="77777777">
      <w:pPr>
        <w:spacing w:line="240" w:lineRule="auto"/>
      </w:pPr>
      <w:r>
        <w:t>Court:  Sonoma County Superior Court</w:t>
      </w:r>
    </w:p>
    <w:p w:rsidR="003B2279" w:rsidP="003B2279" w14:paraId="3DD621A6" w14:textId="77777777">
      <w:pPr>
        <w:spacing w:line="240" w:lineRule="auto"/>
      </w:pPr>
    </w:p>
    <w:p w:rsidR="003B2279" w:rsidP="003B2279" w14:paraId="5AD5B0A0" w14:textId="77777777">
      <w:pPr>
        <w:spacing w:line="240" w:lineRule="auto"/>
      </w:pPr>
      <w:r>
        <w:t>Trial Judge:  Hon. Bradford J. DeMeo</w:t>
      </w:r>
    </w:p>
    <w:p w:rsidR="003B2279" w:rsidP="003B2279" w14:paraId="52E5C35D" w14:textId="77777777">
      <w:pPr>
        <w:spacing w:line="240" w:lineRule="auto"/>
      </w:pPr>
    </w:p>
    <w:p w:rsidR="003B2279" w:rsidP="003B2279" w14:paraId="5384AD70" w14:textId="77777777">
      <w:pPr>
        <w:spacing w:line="240" w:lineRule="auto"/>
      </w:pPr>
      <w:r>
        <w:t>Chad S. Tapp, Thomas L. Riordan, Tyler J. O’Connell, Porter Scott, for Defendant and Appellant CSAA Insurance Exchange</w:t>
      </w:r>
    </w:p>
    <w:p w:rsidR="003B2279" w:rsidP="003B2279" w14:paraId="23FE75AF" w14:textId="77777777">
      <w:pPr>
        <w:spacing w:line="240" w:lineRule="auto"/>
      </w:pPr>
    </w:p>
    <w:p w:rsidR="003B2279" w:rsidP="003B2279" w14:paraId="73F585CD" w14:textId="77777777">
      <w:pPr>
        <w:spacing w:line="240" w:lineRule="auto"/>
      </w:pPr>
      <w:r>
        <w:t>No appearance for Plaintiff and Respondent, Kathryn Tornai.</w:t>
      </w:r>
    </w:p>
    <w:p w:rsidR="00C541E7" w:rsidP="00C541E7" w14:paraId="18466252" w14:textId="77777777"/>
    <w:p w:rsidR="00C541E7" w:rsidP="00C541E7" w14:paraId="5F369A7C" w14:textId="77777777"/>
    <w:p w:rsidR="00C541E7" w:rsidP="00C541E7" w14:paraId="4CD177D0" w14:textId="77777777"/>
    <w:p w:rsidR="00C541E7" w:rsidP="00C541E7" w14:paraId="1AEE4E91" w14:textId="77777777"/>
    <w:p w:rsidR="00C541E7" w:rsidP="00C541E7" w14:paraId="4348C8A6" w14:textId="77777777"/>
    <w:p w:rsidR="00C541E7" w:rsidP="00C541E7" w14:paraId="5A465614" w14:textId="77777777"/>
    <w:p w:rsidR="00C541E7" w:rsidP="00C541E7" w14:paraId="57612BEF" w14:textId="77777777"/>
    <w:p w:rsidR="00C541E7" w:rsidP="00C541E7" w14:paraId="45DF5487" w14:textId="77777777"/>
    <w:p w:rsidR="00C541E7" w:rsidP="00C541E7" w14:paraId="23BA9DAE" w14:textId="77777777"/>
    <w:p w:rsidR="00C541E7" w:rsidP="00C541E7" w14:paraId="493FDF7F" w14:textId="77777777"/>
    <w:p w:rsidR="00C541E7" w:rsidP="00C541E7" w14:paraId="326DE953" w14:textId="77777777"/>
    <w:p w:rsidR="00C541E7" w:rsidP="00C541E7" w14:paraId="3D9CD4FE" w14:textId="77777777"/>
    <w:p w:rsidR="00C541E7" w:rsidP="00C541E7" w14:paraId="44A3E4D2" w14:textId="77777777"/>
    <w:p w:rsidR="00C541E7" w:rsidRPr="008A68DD" w:rsidP="00C541E7" w14:paraId="5E8E303E" w14:textId="77777777">
      <w:pPr>
        <w:widowControl w:val="0"/>
        <w:rPr>
          <w:rFonts w:cs="Assistant"/>
        </w:rPr>
      </w:pPr>
      <w:r w:rsidRPr="008A68DD">
        <w:rPr>
          <w:i/>
          <w:iCs/>
        </w:rPr>
        <w:t>Tornai v. CSAA Insurance Exchange</w:t>
      </w:r>
      <w:r>
        <w:rPr>
          <w:i/>
          <w:iCs/>
        </w:rPr>
        <w:t xml:space="preserve"> </w:t>
      </w:r>
      <w:r>
        <w:t>(A167666)</w:t>
      </w:r>
    </w:p>
    <w:p w:rsidR="0065051E" w:rsidRPr="00575AF1" w:rsidP="00D97D0B" w14:paraId="68E1E17B" w14:textId="77777777">
      <w:pPr>
        <w:widowControl w:val="0"/>
        <w:rPr>
          <w:rFonts w:cs="Assistant"/>
        </w:rPr>
      </w:pPr>
    </w:p>
    <w:sectPr w:rsidSect="00C541E7">
      <w:foot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0953792"/>
      <w:docPartObj>
        <w:docPartGallery w:val="Page Numbers (Bottom of Page)"/>
        <w:docPartUnique/>
      </w:docPartObj>
    </w:sdtPr>
    <w:sdtEndPr>
      <w:rPr>
        <w:rFonts w:ascii="Noto Sans" w:hAnsi="Noto Sans" w:cs="Noto Sans"/>
        <w:noProof/>
      </w:rPr>
    </w:sdtEndPr>
    <w:sdtContent>
      <w:p w:rsidR="00F862F8" w:rsidRPr="00F862F8" w:rsidP="00F862F8" w14:paraId="10C21E48" w14:textId="3DA571DF">
        <w:pPr>
          <w:pStyle w:val="Footer"/>
          <w:jc w:val="center"/>
          <w:rPr>
            <w:rFonts w:ascii="Noto Sans" w:hAnsi="Noto Sans" w:cs="Noto Sans"/>
          </w:rPr>
        </w:pPr>
        <w:r w:rsidRPr="003A55FE">
          <w:rPr>
            <w:rFonts w:cs="Noto Sans"/>
          </w:rPr>
          <w:fldChar w:fldCharType="begin"/>
        </w:r>
        <w:r w:rsidRPr="003A55FE">
          <w:rPr>
            <w:rFonts w:cs="Noto Sans"/>
          </w:rPr>
          <w:instrText xml:space="preserve"> PAGE   \* MERGEFORMAT </w:instrText>
        </w:r>
        <w:r w:rsidRPr="003A55FE">
          <w:rPr>
            <w:rFonts w:cs="Noto Sans"/>
          </w:rPr>
          <w:fldChar w:fldCharType="separate"/>
        </w:r>
        <w:r w:rsidRPr="003A55FE">
          <w:rPr>
            <w:rFonts w:cs="Noto Sans"/>
            <w:noProof/>
          </w:rPr>
          <w:t>2</w:t>
        </w:r>
        <w:r w:rsidRPr="003A55FE">
          <w:rPr>
            <w:rFonts w:cs="Noto San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1471199"/>
      <w:docPartObj>
        <w:docPartGallery w:val="Page Numbers (Bottom of Page)"/>
        <w:docPartUnique/>
      </w:docPartObj>
    </w:sdtPr>
    <w:sdtEndPr>
      <w:rPr>
        <w:rFonts w:ascii="Noto Sans" w:hAnsi="Noto Sans" w:cs="Noto Sans"/>
        <w:noProof/>
      </w:rPr>
    </w:sdtEndPr>
    <w:sdtContent>
      <w:p w:rsidR="00F862F8" w:rsidRPr="00F862F8" w:rsidP="00F862F8" w14:paraId="4B88218A" w14:textId="77777777">
        <w:pPr>
          <w:pStyle w:val="Footer"/>
          <w:jc w:val="center"/>
          <w:rPr>
            <w:rFonts w:ascii="Noto Sans" w:hAnsi="Noto Sans" w:cs="Noto Sans"/>
          </w:rPr>
        </w:pPr>
        <w:r w:rsidRPr="003A55FE">
          <w:rPr>
            <w:rFonts w:cs="Noto Sans"/>
          </w:rPr>
          <w:fldChar w:fldCharType="begin"/>
        </w:r>
        <w:r w:rsidRPr="003A55FE">
          <w:rPr>
            <w:rFonts w:cs="Noto Sans"/>
          </w:rPr>
          <w:instrText xml:space="preserve"> PAGE   \* MERGEFORMAT </w:instrText>
        </w:r>
        <w:r w:rsidRPr="003A55FE">
          <w:rPr>
            <w:rFonts w:cs="Noto Sans"/>
          </w:rPr>
          <w:fldChar w:fldCharType="separate"/>
        </w:r>
        <w:r w:rsidRPr="003A55FE">
          <w:rPr>
            <w:rFonts w:cs="Noto Sans"/>
            <w:noProof/>
          </w:rPr>
          <w:t>2</w:t>
        </w:r>
        <w:r w:rsidRPr="003A55FE">
          <w:rPr>
            <w:rFonts w:cs="Noto San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72EB" w:rsidP="00AB4F29" w14:paraId="681BB04E" w14:textId="77777777">
      <w:pPr>
        <w:spacing w:line="240" w:lineRule="auto"/>
      </w:pPr>
      <w:r>
        <w:separator/>
      </w:r>
    </w:p>
  </w:footnote>
  <w:footnote w:type="continuationSeparator" w:id="1">
    <w:p w:rsidR="006472EB" w:rsidP="00AB4F29" w14:paraId="1B96236E" w14:textId="77777777">
      <w:pPr>
        <w:spacing w:line="240" w:lineRule="auto"/>
      </w:pPr>
      <w:r>
        <w:continuationSeparator/>
      </w:r>
    </w:p>
  </w:footnote>
  <w:footnote w:id="2">
    <w:p w:rsidR="00C05652" w:rsidRPr="003A55FE" w:rsidP="00954C8F" w14:paraId="102E307B" w14:textId="7DD3D55A">
      <w:pPr>
        <w:pStyle w:val="FootnoteText"/>
        <w:spacing w:after="120"/>
        <w:ind w:firstLine="720"/>
        <w:rPr>
          <w:rFonts w:cs="Noto Sans"/>
        </w:rPr>
      </w:pPr>
      <w:r w:rsidRPr="003A55FE">
        <w:rPr>
          <w:rStyle w:val="FootnoteReference"/>
          <w:rFonts w:cs="Noto Sans"/>
        </w:rPr>
        <w:footnoteRef/>
      </w:r>
      <w:r w:rsidRPr="003A55FE">
        <w:rPr>
          <w:rFonts w:cs="Noto Sans"/>
        </w:rPr>
        <w:t xml:space="preserve"> Undesignated statutory references are to the Insurance Code unless otherwise specified. </w:t>
      </w:r>
    </w:p>
  </w:footnote>
  <w:footnote w:id="3">
    <w:p w:rsidR="008A25F8" w:rsidRPr="003A55FE" w:rsidP="008A25F8" w14:paraId="3830FB05" w14:textId="3183FC56">
      <w:pPr>
        <w:pStyle w:val="FootnoteText"/>
        <w:ind w:firstLine="720"/>
        <w:rPr>
          <w:rFonts w:cs="Noto Sans"/>
        </w:rPr>
      </w:pPr>
      <w:r w:rsidRPr="003A55FE">
        <w:rPr>
          <w:rStyle w:val="FootnoteReference"/>
          <w:rFonts w:cs="Noto Sans"/>
        </w:rPr>
        <w:footnoteRef/>
      </w:r>
      <w:r w:rsidRPr="003A55FE">
        <w:rPr>
          <w:rFonts w:cs="Noto Sans"/>
        </w:rPr>
        <w:t xml:space="preserve"> Section 11580.2 governs both </w:t>
      </w:r>
      <w:r w:rsidR="00AB6566">
        <w:rPr>
          <w:rFonts w:cs="Noto Sans"/>
        </w:rPr>
        <w:t>un</w:t>
      </w:r>
      <w:r w:rsidRPr="003A55FE">
        <w:rPr>
          <w:rFonts w:cs="Noto Sans"/>
        </w:rPr>
        <w:t xml:space="preserve">insured motorist (UM) and underinsured motorist (UIM) coverage, and </w:t>
      </w:r>
      <w:r w:rsidR="00AB6566">
        <w:rPr>
          <w:rFonts w:cs="Noto Sans"/>
        </w:rPr>
        <w:t xml:space="preserve">the </w:t>
      </w:r>
      <w:r w:rsidRPr="003A55FE">
        <w:rPr>
          <w:rFonts w:cs="Noto Sans"/>
        </w:rPr>
        <w:t xml:space="preserve">policy </w:t>
      </w:r>
      <w:r w:rsidR="00AB6566">
        <w:rPr>
          <w:rFonts w:cs="Noto Sans"/>
        </w:rPr>
        <w:t xml:space="preserve">here </w:t>
      </w:r>
      <w:r w:rsidRPr="003A55FE">
        <w:rPr>
          <w:rFonts w:cs="Noto Sans"/>
        </w:rPr>
        <w:t>defines “</w:t>
      </w:r>
      <w:r w:rsidR="00954C8F">
        <w:rPr>
          <w:rFonts w:cs="Noto Sans"/>
        </w:rPr>
        <w:t> </w:t>
      </w:r>
      <w:r w:rsidRPr="003A55FE">
        <w:rPr>
          <w:rFonts w:cs="Noto Sans"/>
        </w:rPr>
        <w:t xml:space="preserve">‘Uninsured motor vehicle’ ” to include “underinsured motor vehicle[s].”  For purposes of this opinion, the terms are used interchangeably. </w:t>
      </w:r>
    </w:p>
  </w:footnote>
  <w:footnote w:id="4">
    <w:p w:rsidR="006B696F" w:rsidRPr="003A55FE" w:rsidP="006B696F" w14:paraId="70FD1715" w14:textId="59C887C9">
      <w:pPr>
        <w:pStyle w:val="FootnoteText"/>
        <w:ind w:firstLine="720"/>
        <w:rPr>
          <w:rFonts w:cs="Assistant"/>
        </w:rPr>
      </w:pPr>
      <w:r w:rsidRPr="003A55FE">
        <w:rPr>
          <w:rStyle w:val="FootnoteReference"/>
          <w:rFonts w:cs="Assistant"/>
        </w:rPr>
        <w:footnoteRef/>
      </w:r>
      <w:r w:rsidRPr="003A55FE">
        <w:rPr>
          <w:rFonts w:cs="Assistant"/>
        </w:rPr>
        <w:t xml:space="preserve"> </w:t>
      </w:r>
      <w:r w:rsidR="00C52C33">
        <w:rPr>
          <w:rFonts w:cs="Assistant"/>
        </w:rPr>
        <w:t>Although t</w:t>
      </w:r>
      <w:r w:rsidR="00B31D5E">
        <w:rPr>
          <w:rFonts w:cs="Assistant"/>
        </w:rPr>
        <w:t xml:space="preserve">he notice of appeal </w:t>
      </w:r>
      <w:r w:rsidR="00C52C33">
        <w:rPr>
          <w:rFonts w:cs="Assistant"/>
        </w:rPr>
        <w:t xml:space="preserve">incorrectly </w:t>
      </w:r>
      <w:r w:rsidR="00B31D5E">
        <w:rPr>
          <w:rFonts w:cs="Assistant"/>
        </w:rPr>
        <w:t>describes th</w:t>
      </w:r>
      <w:r w:rsidR="00C52C33">
        <w:rPr>
          <w:rFonts w:cs="Assistant"/>
        </w:rPr>
        <w:t xml:space="preserve">e date of </w:t>
      </w:r>
      <w:r w:rsidR="00B31D5E">
        <w:rPr>
          <w:rFonts w:cs="Assistant"/>
        </w:rPr>
        <w:t>the order appealed from</w:t>
      </w:r>
      <w:r w:rsidR="00C52C33">
        <w:rPr>
          <w:rFonts w:cs="Assistant"/>
        </w:rPr>
        <w:t xml:space="preserve">, </w:t>
      </w:r>
      <w:r w:rsidR="00320863">
        <w:rPr>
          <w:rFonts w:cs="Assistant"/>
        </w:rPr>
        <w:t xml:space="preserve">we </w:t>
      </w:r>
      <w:r w:rsidR="004149AB">
        <w:rPr>
          <w:rFonts w:cs="Assistant"/>
        </w:rPr>
        <w:t xml:space="preserve">construe </w:t>
      </w:r>
      <w:r w:rsidR="008101FB">
        <w:rPr>
          <w:rFonts w:cs="Assistant"/>
        </w:rPr>
        <w:t>the notice</w:t>
      </w:r>
      <w:r w:rsidR="004149AB">
        <w:rPr>
          <w:rFonts w:cs="Assistant"/>
        </w:rPr>
        <w:t xml:space="preserve"> as appealing from the order filed on April 4, 2023 and </w:t>
      </w:r>
      <w:r w:rsidR="008101FB">
        <w:rPr>
          <w:rFonts w:cs="Assistant"/>
        </w:rPr>
        <w:t xml:space="preserve">thus </w:t>
      </w:r>
      <w:r w:rsidR="004149AB">
        <w:rPr>
          <w:rFonts w:cs="Assistant"/>
        </w:rPr>
        <w:t xml:space="preserve">deem </w:t>
      </w:r>
      <w:r w:rsidR="008101FB">
        <w:rPr>
          <w:rFonts w:cs="Assistant"/>
        </w:rPr>
        <w:t>it</w:t>
      </w:r>
      <w:r w:rsidR="004149AB">
        <w:rPr>
          <w:rFonts w:cs="Assistant"/>
        </w:rPr>
        <w:t xml:space="preserve"> valid.  (See </w:t>
      </w:r>
      <w:r w:rsidRPr="00C331BB" w:rsidR="00C331BB">
        <w:rPr>
          <w:rFonts w:cs="Assistant"/>
          <w:i/>
          <w:iCs/>
        </w:rPr>
        <w:t xml:space="preserve">Yolo County Dept. of Child Support Services v. Lowery </w:t>
      </w:r>
      <w:r w:rsidRPr="00C331BB" w:rsidR="00C331BB">
        <w:rPr>
          <w:rFonts w:cs="Assistant"/>
        </w:rPr>
        <w:t>(2009) 176 C</w:t>
      </w:r>
      <w:r w:rsidR="00C331BB">
        <w:rPr>
          <w:rFonts w:cs="Assistant"/>
        </w:rPr>
        <w:t>al.</w:t>
      </w:r>
      <w:r w:rsidRPr="00C331BB" w:rsidR="00C331BB">
        <w:rPr>
          <w:rFonts w:cs="Assistant"/>
        </w:rPr>
        <w:t>A</w:t>
      </w:r>
      <w:r w:rsidR="00C331BB">
        <w:rPr>
          <w:rFonts w:cs="Assistant"/>
        </w:rPr>
        <w:t>pp.</w:t>
      </w:r>
      <w:r w:rsidRPr="00C331BB" w:rsidR="00C331BB">
        <w:rPr>
          <w:rFonts w:cs="Assistant"/>
        </w:rPr>
        <w:t>4th 1243, 1246</w:t>
      </w:r>
      <w:r w:rsidR="00C331BB">
        <w:rPr>
          <w:rFonts w:cs="Assistant"/>
        </w:rPr>
        <w:t>;</w:t>
      </w:r>
      <w:r w:rsidRPr="00C331BB" w:rsidR="00C331BB">
        <w:rPr>
          <w:rFonts w:cs="Assistant"/>
        </w:rPr>
        <w:t xml:space="preserve"> see also </w:t>
      </w:r>
      <w:r w:rsidRPr="00C331BB" w:rsidR="00C331BB">
        <w:rPr>
          <w:rFonts w:cs="Assistant"/>
          <w:i/>
          <w:iCs/>
        </w:rPr>
        <w:t>Dang</w:t>
      </w:r>
      <w:r w:rsidR="008F0821">
        <w:rPr>
          <w:rFonts w:cs="Assistant"/>
          <w:i/>
          <w:iCs/>
        </w:rPr>
        <w:t> </w:t>
      </w:r>
      <w:r w:rsidRPr="00C331BB" w:rsidR="00C331BB">
        <w:rPr>
          <w:rFonts w:cs="Assistant"/>
          <w:i/>
          <w:iCs/>
        </w:rPr>
        <w:t>v. Smith</w:t>
      </w:r>
      <w:r w:rsidRPr="00C331BB" w:rsidR="00C331BB">
        <w:rPr>
          <w:rFonts w:cs="Assistant"/>
        </w:rPr>
        <w:t xml:space="preserve"> (2010) 190 C</w:t>
      </w:r>
      <w:r w:rsidR="00C331BB">
        <w:rPr>
          <w:rFonts w:cs="Assistant"/>
        </w:rPr>
        <w:t>al.</w:t>
      </w:r>
      <w:r w:rsidRPr="00C331BB" w:rsidR="00C331BB">
        <w:rPr>
          <w:rFonts w:cs="Assistant"/>
        </w:rPr>
        <w:t>A</w:t>
      </w:r>
      <w:r w:rsidR="00C331BB">
        <w:rPr>
          <w:rFonts w:cs="Assistant"/>
        </w:rPr>
        <w:t>pp.</w:t>
      </w:r>
      <w:r w:rsidRPr="00C331BB" w:rsidR="00C331BB">
        <w:rPr>
          <w:rFonts w:cs="Assistant"/>
        </w:rPr>
        <w:t>4th 646, 656</w:t>
      </w:r>
      <w:r w:rsidR="00C331BB">
        <w:rPr>
          <w:rFonts w:cs="Assistant"/>
        </w:rPr>
        <w:t>–</w:t>
      </w:r>
      <w:r w:rsidRPr="00C331BB" w:rsidR="00C331BB">
        <w:rPr>
          <w:rFonts w:cs="Assistant"/>
        </w:rPr>
        <w:t>657</w:t>
      </w:r>
      <w:r w:rsidR="00C331BB">
        <w:rPr>
          <w:rFonts w:cs="Assistant"/>
        </w:rPr>
        <w:t xml:space="preserve">.) </w:t>
      </w:r>
      <w:r w:rsidR="00C7794C">
        <w:rPr>
          <w:rFonts w:cs="Assistant"/>
        </w:rPr>
        <w:t xml:space="preserve"> </w:t>
      </w:r>
      <w:r w:rsidRPr="003A55FE" w:rsidR="00C331BB">
        <w:rPr>
          <w:rFonts w:cs="Assistant"/>
        </w:rPr>
        <w:t xml:space="preserve">  </w:t>
      </w:r>
    </w:p>
  </w:footnote>
  <w:footnote w:id="5">
    <w:p w:rsidR="00CE373E" w:rsidRPr="003A55FE" w:rsidP="00CE373E" w14:paraId="40D292D2" w14:textId="1ED653AA">
      <w:pPr>
        <w:pStyle w:val="FootnoteText"/>
        <w:ind w:firstLine="720"/>
      </w:pPr>
      <w:r w:rsidRPr="003A55FE">
        <w:rPr>
          <w:rStyle w:val="FootnoteReference"/>
        </w:rPr>
        <w:footnoteRef/>
      </w:r>
      <w:r w:rsidRPr="003A55FE">
        <w:t xml:space="preserve"> Plaintiff also relied on </w:t>
      </w:r>
      <w:r w:rsidRPr="003A55FE">
        <w:rPr>
          <w:i/>
          <w:iCs/>
        </w:rPr>
        <w:t xml:space="preserve">Meyer v. Carnow </w:t>
      </w:r>
      <w:r w:rsidRPr="003A55FE">
        <w:t xml:space="preserve">(1986) 185 Cal.App.3d 169, which mentions </w:t>
      </w:r>
      <w:r w:rsidRPr="003A55FE">
        <w:rPr>
          <w:i/>
          <w:iCs/>
        </w:rPr>
        <w:t>Davis</w:t>
      </w:r>
      <w:r w:rsidRPr="003A55FE">
        <w:t xml:space="preserve"> in a footnote.  (</w:t>
      </w:r>
      <w:r w:rsidRPr="003A55FE">
        <w:rPr>
          <w:i/>
          <w:iCs/>
        </w:rPr>
        <w:t>Id.</w:t>
      </w:r>
      <w:r w:rsidRPr="003A55FE">
        <w:t xml:space="preserve"> at p. 17</w:t>
      </w:r>
      <w:r w:rsidR="00EF7F8B">
        <w:t>4</w:t>
      </w:r>
      <w:r w:rsidRPr="003A55FE">
        <w:t xml:space="preserve">, fn. 2.)  </w:t>
      </w:r>
      <w:r w:rsidRPr="003A55FE" w:rsidR="00C26D31">
        <w:t>A</w:t>
      </w:r>
      <w:r w:rsidRPr="003A55FE">
        <w:t xml:space="preserve">s defendant </w:t>
      </w:r>
      <w:r w:rsidR="00A72F82">
        <w:t>aptly notes</w:t>
      </w:r>
      <w:r w:rsidRPr="003A55FE">
        <w:t>, “</w:t>
      </w:r>
      <w:r w:rsidRPr="003A55FE">
        <w:rPr>
          <w:i/>
          <w:iCs/>
        </w:rPr>
        <w:t xml:space="preserve">Meyer </w:t>
      </w:r>
      <w:r w:rsidRPr="003A55FE">
        <w:t>is even less helpful to Plaintiff here” because it “actually reversed the trial court’s ruling that a plaintiff had waived its right to arbitration by delay</w:t>
      </w:r>
      <w:r w:rsidR="005E2DDF">
        <w:t xml:space="preserve"> </w:t>
      </w:r>
      <w:r w:rsidRPr="003A55FE">
        <w:t>in filing a medical malpractice claim against a podiatrist.”  (</w:t>
      </w:r>
      <w:r w:rsidRPr="003A55FE">
        <w:rPr>
          <w:i/>
          <w:iCs/>
        </w:rPr>
        <w:t>Id.</w:t>
      </w:r>
      <w:r w:rsidRPr="003A55FE">
        <w:t xml:space="preserve"> at p. 175.) </w:t>
      </w:r>
      <w:r w:rsidRPr="003A55FE" w:rsidR="00C26D31">
        <w:t xml:space="preserve">(Emphasis omitted.) </w:t>
      </w:r>
      <w:r w:rsidR="0022006F">
        <w:t xml:space="preserve"> </w:t>
      </w:r>
      <w:r w:rsidRPr="003A55FE">
        <w:t xml:space="preserve"> </w:t>
      </w:r>
    </w:p>
  </w:footnote>
  <w:footnote w:id="6">
    <w:p w:rsidR="009B42DE" w:rsidP="009B42DE" w14:paraId="7A6FE41D" w14:textId="1F545DD4">
      <w:pPr>
        <w:pStyle w:val="FootnoteText"/>
        <w:ind w:firstLine="720"/>
      </w:pPr>
      <w:r>
        <w:rPr>
          <w:rStyle w:val="FootnoteReference"/>
        </w:rPr>
        <w:footnoteRef/>
      </w:r>
      <w:r>
        <w:t xml:space="preserve"> The court’s mistaken view that defendant did not specify in its motion that there was a dispute over the UIM damages also apparently led the court to find that any argument on that issue contained in defendant’s reply papers w</w:t>
      </w:r>
      <w:r w:rsidR="000B318D">
        <w:t>as</w:t>
      </w:r>
      <w:r>
        <w:t xml:space="preserve"> improperly raised </w:t>
      </w:r>
      <w:r w:rsidR="00E34D5B">
        <w:t xml:space="preserve">there </w:t>
      </w:r>
      <w:r>
        <w:t xml:space="preserve">for the first time. </w:t>
      </w:r>
      <w:r w:rsidR="0051293A">
        <w:t xml:space="preserve"> </w:t>
      </w:r>
      <w:r>
        <w:t xml:space="preserve"> </w:t>
      </w:r>
    </w:p>
  </w:footnote>
  <w:footnote w:id="7">
    <w:p w:rsidR="00867A70" w:rsidP="00B54DA7" w14:paraId="63F1C9F7" w14:textId="15547EC0">
      <w:pPr>
        <w:pStyle w:val="FootnoteText"/>
        <w:ind w:firstLine="720"/>
      </w:pPr>
      <w:r w:rsidRPr="00B54DA7">
        <w:rPr>
          <w:rStyle w:val="FootnoteReference"/>
        </w:rPr>
        <w:footnoteRef/>
      </w:r>
      <w:r w:rsidRPr="00B54DA7">
        <w:t xml:space="preserve"> We express no opinion </w:t>
      </w:r>
      <w:r w:rsidR="00AF4D2C">
        <w:t>on</w:t>
      </w:r>
      <w:r w:rsidRPr="00B54DA7">
        <w:t xml:space="preserve"> </w:t>
      </w:r>
      <w:r w:rsidR="008C34A8">
        <w:t xml:space="preserve">the merits of plaintiff’s underlying </w:t>
      </w:r>
      <w:r w:rsidR="001C4272">
        <w:t xml:space="preserve">bad faith </w:t>
      </w:r>
      <w:r w:rsidR="008C34A8">
        <w:t>claims</w:t>
      </w:r>
      <w:r w:rsidR="001C427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29"/>
    <w:rsid w:val="000002F3"/>
    <w:rsid w:val="00000847"/>
    <w:rsid w:val="0000227F"/>
    <w:rsid w:val="00004546"/>
    <w:rsid w:val="00005F46"/>
    <w:rsid w:val="00006103"/>
    <w:rsid w:val="00007767"/>
    <w:rsid w:val="00011A4E"/>
    <w:rsid w:val="00012343"/>
    <w:rsid w:val="00014F53"/>
    <w:rsid w:val="000164BA"/>
    <w:rsid w:val="00017880"/>
    <w:rsid w:val="00021248"/>
    <w:rsid w:val="00024C36"/>
    <w:rsid w:val="00025158"/>
    <w:rsid w:val="000252D0"/>
    <w:rsid w:val="00027A7B"/>
    <w:rsid w:val="00031505"/>
    <w:rsid w:val="00032E77"/>
    <w:rsid w:val="00033E99"/>
    <w:rsid w:val="000350FC"/>
    <w:rsid w:val="00035206"/>
    <w:rsid w:val="00036A2D"/>
    <w:rsid w:val="000455E1"/>
    <w:rsid w:val="00046FA9"/>
    <w:rsid w:val="00047CC7"/>
    <w:rsid w:val="00050B0F"/>
    <w:rsid w:val="00050C9B"/>
    <w:rsid w:val="00051016"/>
    <w:rsid w:val="0005270C"/>
    <w:rsid w:val="00056269"/>
    <w:rsid w:val="00064474"/>
    <w:rsid w:val="000665A3"/>
    <w:rsid w:val="00071914"/>
    <w:rsid w:val="00074BF2"/>
    <w:rsid w:val="000801BC"/>
    <w:rsid w:val="00083C85"/>
    <w:rsid w:val="000842A2"/>
    <w:rsid w:val="00084AC4"/>
    <w:rsid w:val="00086E81"/>
    <w:rsid w:val="0008703E"/>
    <w:rsid w:val="00090677"/>
    <w:rsid w:val="000906C0"/>
    <w:rsid w:val="00090FF7"/>
    <w:rsid w:val="000913A8"/>
    <w:rsid w:val="00093297"/>
    <w:rsid w:val="00097224"/>
    <w:rsid w:val="000A4C22"/>
    <w:rsid w:val="000B0664"/>
    <w:rsid w:val="000B2211"/>
    <w:rsid w:val="000B318D"/>
    <w:rsid w:val="000B3581"/>
    <w:rsid w:val="000B52A0"/>
    <w:rsid w:val="000B57D6"/>
    <w:rsid w:val="000C23E5"/>
    <w:rsid w:val="000C5B36"/>
    <w:rsid w:val="000D108C"/>
    <w:rsid w:val="000D19B1"/>
    <w:rsid w:val="000D4458"/>
    <w:rsid w:val="000D54AA"/>
    <w:rsid w:val="000D5FF4"/>
    <w:rsid w:val="000E1620"/>
    <w:rsid w:val="000E1D75"/>
    <w:rsid w:val="000E33F8"/>
    <w:rsid w:val="000E5A66"/>
    <w:rsid w:val="000E744E"/>
    <w:rsid w:val="000F2563"/>
    <w:rsid w:val="000F2ACF"/>
    <w:rsid w:val="000F3A57"/>
    <w:rsid w:val="00100F0F"/>
    <w:rsid w:val="00101414"/>
    <w:rsid w:val="001042C2"/>
    <w:rsid w:val="00105D33"/>
    <w:rsid w:val="0010671E"/>
    <w:rsid w:val="00107630"/>
    <w:rsid w:val="00111CAE"/>
    <w:rsid w:val="00116675"/>
    <w:rsid w:val="0011685F"/>
    <w:rsid w:val="001203B4"/>
    <w:rsid w:val="00121535"/>
    <w:rsid w:val="00121811"/>
    <w:rsid w:val="00123C38"/>
    <w:rsid w:val="00126493"/>
    <w:rsid w:val="00127BB3"/>
    <w:rsid w:val="001324A1"/>
    <w:rsid w:val="00132FF9"/>
    <w:rsid w:val="00137115"/>
    <w:rsid w:val="00137FA4"/>
    <w:rsid w:val="0014019E"/>
    <w:rsid w:val="00140FAF"/>
    <w:rsid w:val="00141BBA"/>
    <w:rsid w:val="00142D7F"/>
    <w:rsid w:val="001445ED"/>
    <w:rsid w:val="0014460D"/>
    <w:rsid w:val="00145FF7"/>
    <w:rsid w:val="0014618D"/>
    <w:rsid w:val="001505DA"/>
    <w:rsid w:val="0015239F"/>
    <w:rsid w:val="00153047"/>
    <w:rsid w:val="001539C3"/>
    <w:rsid w:val="00154F39"/>
    <w:rsid w:val="001567AF"/>
    <w:rsid w:val="00157CA8"/>
    <w:rsid w:val="0016248A"/>
    <w:rsid w:val="00171D10"/>
    <w:rsid w:val="0017581E"/>
    <w:rsid w:val="00175A20"/>
    <w:rsid w:val="00175E90"/>
    <w:rsid w:val="00177511"/>
    <w:rsid w:val="00181392"/>
    <w:rsid w:val="001819CA"/>
    <w:rsid w:val="00182962"/>
    <w:rsid w:val="00185CED"/>
    <w:rsid w:val="00185EF6"/>
    <w:rsid w:val="001879F3"/>
    <w:rsid w:val="0019022E"/>
    <w:rsid w:val="0019065E"/>
    <w:rsid w:val="00190CE7"/>
    <w:rsid w:val="00192FBC"/>
    <w:rsid w:val="00196EAC"/>
    <w:rsid w:val="001973CF"/>
    <w:rsid w:val="0019745E"/>
    <w:rsid w:val="001A37EE"/>
    <w:rsid w:val="001A6481"/>
    <w:rsid w:val="001B261D"/>
    <w:rsid w:val="001B5CAC"/>
    <w:rsid w:val="001B63EC"/>
    <w:rsid w:val="001C0429"/>
    <w:rsid w:val="001C4272"/>
    <w:rsid w:val="001C4B20"/>
    <w:rsid w:val="001D1A31"/>
    <w:rsid w:val="001D6D8B"/>
    <w:rsid w:val="001D6EB0"/>
    <w:rsid w:val="001D79A2"/>
    <w:rsid w:val="001E27E0"/>
    <w:rsid w:val="001E5137"/>
    <w:rsid w:val="001F03DD"/>
    <w:rsid w:val="001F13B6"/>
    <w:rsid w:val="001F5225"/>
    <w:rsid w:val="001F52E7"/>
    <w:rsid w:val="002026B4"/>
    <w:rsid w:val="002070B4"/>
    <w:rsid w:val="002071C2"/>
    <w:rsid w:val="002138FA"/>
    <w:rsid w:val="00213F3A"/>
    <w:rsid w:val="002142E8"/>
    <w:rsid w:val="00214519"/>
    <w:rsid w:val="002149FA"/>
    <w:rsid w:val="00216915"/>
    <w:rsid w:val="00217195"/>
    <w:rsid w:val="0022006F"/>
    <w:rsid w:val="00221EDD"/>
    <w:rsid w:val="002230DC"/>
    <w:rsid w:val="002231E7"/>
    <w:rsid w:val="002245E8"/>
    <w:rsid w:val="0022481A"/>
    <w:rsid w:val="00224823"/>
    <w:rsid w:val="00226452"/>
    <w:rsid w:val="002275EF"/>
    <w:rsid w:val="00227826"/>
    <w:rsid w:val="00227F2B"/>
    <w:rsid w:val="002301EF"/>
    <w:rsid w:val="00230889"/>
    <w:rsid w:val="002329B6"/>
    <w:rsid w:val="00233056"/>
    <w:rsid w:val="002343A3"/>
    <w:rsid w:val="00234EE3"/>
    <w:rsid w:val="00235070"/>
    <w:rsid w:val="0023553F"/>
    <w:rsid w:val="0023600B"/>
    <w:rsid w:val="0023622E"/>
    <w:rsid w:val="00241C41"/>
    <w:rsid w:val="00241FE3"/>
    <w:rsid w:val="0024397B"/>
    <w:rsid w:val="00246381"/>
    <w:rsid w:val="00247D03"/>
    <w:rsid w:val="002514FF"/>
    <w:rsid w:val="00253109"/>
    <w:rsid w:val="0025644B"/>
    <w:rsid w:val="0026084C"/>
    <w:rsid w:val="0026349F"/>
    <w:rsid w:val="00270173"/>
    <w:rsid w:val="0027031D"/>
    <w:rsid w:val="00273B19"/>
    <w:rsid w:val="00273BFD"/>
    <w:rsid w:val="002754AC"/>
    <w:rsid w:val="00275FDA"/>
    <w:rsid w:val="00277E2D"/>
    <w:rsid w:val="0028018B"/>
    <w:rsid w:val="00280C8C"/>
    <w:rsid w:val="00282B26"/>
    <w:rsid w:val="00282D46"/>
    <w:rsid w:val="002868A1"/>
    <w:rsid w:val="002873A9"/>
    <w:rsid w:val="00287884"/>
    <w:rsid w:val="00290DF6"/>
    <w:rsid w:val="0029142D"/>
    <w:rsid w:val="00295290"/>
    <w:rsid w:val="00295559"/>
    <w:rsid w:val="002A0D0C"/>
    <w:rsid w:val="002A13CC"/>
    <w:rsid w:val="002A1D15"/>
    <w:rsid w:val="002A2D3A"/>
    <w:rsid w:val="002A5E8D"/>
    <w:rsid w:val="002A6E1B"/>
    <w:rsid w:val="002B0AE0"/>
    <w:rsid w:val="002B0C3C"/>
    <w:rsid w:val="002B2077"/>
    <w:rsid w:val="002B2169"/>
    <w:rsid w:val="002B41A1"/>
    <w:rsid w:val="002B66E9"/>
    <w:rsid w:val="002C12C6"/>
    <w:rsid w:val="002C3D74"/>
    <w:rsid w:val="002C4B08"/>
    <w:rsid w:val="002C676E"/>
    <w:rsid w:val="002D0899"/>
    <w:rsid w:val="002D2D8F"/>
    <w:rsid w:val="002D3D54"/>
    <w:rsid w:val="002E0116"/>
    <w:rsid w:val="002E07BB"/>
    <w:rsid w:val="002E088E"/>
    <w:rsid w:val="002E37EA"/>
    <w:rsid w:val="002E47D3"/>
    <w:rsid w:val="002E7DB4"/>
    <w:rsid w:val="002F0562"/>
    <w:rsid w:val="002F2F4E"/>
    <w:rsid w:val="002F6155"/>
    <w:rsid w:val="00300FA7"/>
    <w:rsid w:val="0030388B"/>
    <w:rsid w:val="00304089"/>
    <w:rsid w:val="003041D1"/>
    <w:rsid w:val="00304D4E"/>
    <w:rsid w:val="003131C1"/>
    <w:rsid w:val="00313799"/>
    <w:rsid w:val="00315B88"/>
    <w:rsid w:val="00315E5B"/>
    <w:rsid w:val="00317F52"/>
    <w:rsid w:val="0032077B"/>
    <w:rsid w:val="00320863"/>
    <w:rsid w:val="00322E37"/>
    <w:rsid w:val="00323D40"/>
    <w:rsid w:val="0032424D"/>
    <w:rsid w:val="00326761"/>
    <w:rsid w:val="00326EDA"/>
    <w:rsid w:val="00327A22"/>
    <w:rsid w:val="00327E8C"/>
    <w:rsid w:val="003360A5"/>
    <w:rsid w:val="00336A73"/>
    <w:rsid w:val="00340C9C"/>
    <w:rsid w:val="00341A4C"/>
    <w:rsid w:val="00341DD3"/>
    <w:rsid w:val="00344BDD"/>
    <w:rsid w:val="00346C26"/>
    <w:rsid w:val="00346F85"/>
    <w:rsid w:val="003510D4"/>
    <w:rsid w:val="00351C32"/>
    <w:rsid w:val="00352027"/>
    <w:rsid w:val="00352C63"/>
    <w:rsid w:val="0036056E"/>
    <w:rsid w:val="00364804"/>
    <w:rsid w:val="00365266"/>
    <w:rsid w:val="00370E93"/>
    <w:rsid w:val="003713E5"/>
    <w:rsid w:val="00374A77"/>
    <w:rsid w:val="003750D9"/>
    <w:rsid w:val="003767D4"/>
    <w:rsid w:val="003810F2"/>
    <w:rsid w:val="00383F57"/>
    <w:rsid w:val="00384420"/>
    <w:rsid w:val="00390EDC"/>
    <w:rsid w:val="00390FA9"/>
    <w:rsid w:val="00393F0A"/>
    <w:rsid w:val="003945ED"/>
    <w:rsid w:val="003947B1"/>
    <w:rsid w:val="003A001D"/>
    <w:rsid w:val="003A1293"/>
    <w:rsid w:val="003A167B"/>
    <w:rsid w:val="003A3355"/>
    <w:rsid w:val="003A3F8F"/>
    <w:rsid w:val="003A55FE"/>
    <w:rsid w:val="003A62C5"/>
    <w:rsid w:val="003A6433"/>
    <w:rsid w:val="003A7654"/>
    <w:rsid w:val="003B2279"/>
    <w:rsid w:val="003B3092"/>
    <w:rsid w:val="003B60FF"/>
    <w:rsid w:val="003B710C"/>
    <w:rsid w:val="003B7BC6"/>
    <w:rsid w:val="003B7E63"/>
    <w:rsid w:val="003C01AE"/>
    <w:rsid w:val="003C1AD6"/>
    <w:rsid w:val="003C1D7C"/>
    <w:rsid w:val="003C1E39"/>
    <w:rsid w:val="003C20FE"/>
    <w:rsid w:val="003C5805"/>
    <w:rsid w:val="003C789C"/>
    <w:rsid w:val="003D1823"/>
    <w:rsid w:val="003D2121"/>
    <w:rsid w:val="003D5D4C"/>
    <w:rsid w:val="003E1122"/>
    <w:rsid w:val="003E12DF"/>
    <w:rsid w:val="003E1E45"/>
    <w:rsid w:val="003E615B"/>
    <w:rsid w:val="003E6DD3"/>
    <w:rsid w:val="003F3158"/>
    <w:rsid w:val="003F6332"/>
    <w:rsid w:val="004002F2"/>
    <w:rsid w:val="00400801"/>
    <w:rsid w:val="00401223"/>
    <w:rsid w:val="004017A5"/>
    <w:rsid w:val="004019A9"/>
    <w:rsid w:val="00404C62"/>
    <w:rsid w:val="00406CC5"/>
    <w:rsid w:val="004104D7"/>
    <w:rsid w:val="0041078B"/>
    <w:rsid w:val="004117AB"/>
    <w:rsid w:val="004119BF"/>
    <w:rsid w:val="0041285F"/>
    <w:rsid w:val="00413C97"/>
    <w:rsid w:val="004149AB"/>
    <w:rsid w:val="00415FB1"/>
    <w:rsid w:val="0042244A"/>
    <w:rsid w:val="004228B8"/>
    <w:rsid w:val="00423041"/>
    <w:rsid w:val="004235D9"/>
    <w:rsid w:val="00423FC6"/>
    <w:rsid w:val="0042402F"/>
    <w:rsid w:val="004247F4"/>
    <w:rsid w:val="00424B38"/>
    <w:rsid w:val="00426045"/>
    <w:rsid w:val="00427FDD"/>
    <w:rsid w:val="00430554"/>
    <w:rsid w:val="00431462"/>
    <w:rsid w:val="00431509"/>
    <w:rsid w:val="00431682"/>
    <w:rsid w:val="0043275B"/>
    <w:rsid w:val="0043307F"/>
    <w:rsid w:val="004340FD"/>
    <w:rsid w:val="004406E7"/>
    <w:rsid w:val="00440F11"/>
    <w:rsid w:val="0044156C"/>
    <w:rsid w:val="004436EC"/>
    <w:rsid w:val="0044410A"/>
    <w:rsid w:val="0044458E"/>
    <w:rsid w:val="0044578A"/>
    <w:rsid w:val="0044582F"/>
    <w:rsid w:val="004459B8"/>
    <w:rsid w:val="00447A4B"/>
    <w:rsid w:val="004515F7"/>
    <w:rsid w:val="00455C5D"/>
    <w:rsid w:val="0045744E"/>
    <w:rsid w:val="00457E64"/>
    <w:rsid w:val="00461B6F"/>
    <w:rsid w:val="004621AD"/>
    <w:rsid w:val="00466A53"/>
    <w:rsid w:val="004758E0"/>
    <w:rsid w:val="00476FF2"/>
    <w:rsid w:val="00477C82"/>
    <w:rsid w:val="004822AB"/>
    <w:rsid w:val="00482B8A"/>
    <w:rsid w:val="00483030"/>
    <w:rsid w:val="004843E6"/>
    <w:rsid w:val="00493B8A"/>
    <w:rsid w:val="004A1261"/>
    <w:rsid w:val="004A15C7"/>
    <w:rsid w:val="004A24B8"/>
    <w:rsid w:val="004A28BD"/>
    <w:rsid w:val="004A3343"/>
    <w:rsid w:val="004A5420"/>
    <w:rsid w:val="004B0078"/>
    <w:rsid w:val="004B0677"/>
    <w:rsid w:val="004B177A"/>
    <w:rsid w:val="004B2773"/>
    <w:rsid w:val="004B291E"/>
    <w:rsid w:val="004B35C1"/>
    <w:rsid w:val="004B67AE"/>
    <w:rsid w:val="004B7323"/>
    <w:rsid w:val="004C0F2A"/>
    <w:rsid w:val="004C1BB7"/>
    <w:rsid w:val="004C353A"/>
    <w:rsid w:val="004C426E"/>
    <w:rsid w:val="004C6DAA"/>
    <w:rsid w:val="004D3671"/>
    <w:rsid w:val="004D4AE1"/>
    <w:rsid w:val="004D4DFE"/>
    <w:rsid w:val="004D77E2"/>
    <w:rsid w:val="004D7DF0"/>
    <w:rsid w:val="004E1CFA"/>
    <w:rsid w:val="004E216A"/>
    <w:rsid w:val="004E3CD7"/>
    <w:rsid w:val="004E547A"/>
    <w:rsid w:val="004E5771"/>
    <w:rsid w:val="004E715E"/>
    <w:rsid w:val="004F2FCD"/>
    <w:rsid w:val="004F3FF0"/>
    <w:rsid w:val="004F41A5"/>
    <w:rsid w:val="004F5133"/>
    <w:rsid w:val="004F64D9"/>
    <w:rsid w:val="005029E9"/>
    <w:rsid w:val="0050443E"/>
    <w:rsid w:val="00504482"/>
    <w:rsid w:val="00504CB0"/>
    <w:rsid w:val="00505AA7"/>
    <w:rsid w:val="00506081"/>
    <w:rsid w:val="005072A0"/>
    <w:rsid w:val="0051110A"/>
    <w:rsid w:val="0051293A"/>
    <w:rsid w:val="0051360E"/>
    <w:rsid w:val="00513C7E"/>
    <w:rsid w:val="005159BF"/>
    <w:rsid w:val="005166AA"/>
    <w:rsid w:val="00521ED4"/>
    <w:rsid w:val="005225C4"/>
    <w:rsid w:val="005261D9"/>
    <w:rsid w:val="00534F7E"/>
    <w:rsid w:val="0054195B"/>
    <w:rsid w:val="00542990"/>
    <w:rsid w:val="00542A94"/>
    <w:rsid w:val="005467E1"/>
    <w:rsid w:val="00546CE1"/>
    <w:rsid w:val="00555B68"/>
    <w:rsid w:val="0056027B"/>
    <w:rsid w:val="005605D2"/>
    <w:rsid w:val="00561FF2"/>
    <w:rsid w:val="00562062"/>
    <w:rsid w:val="00562809"/>
    <w:rsid w:val="00566C7B"/>
    <w:rsid w:val="00570DDD"/>
    <w:rsid w:val="005726B4"/>
    <w:rsid w:val="00572DB8"/>
    <w:rsid w:val="0057418A"/>
    <w:rsid w:val="00574388"/>
    <w:rsid w:val="00574DF0"/>
    <w:rsid w:val="00575AF1"/>
    <w:rsid w:val="0057731C"/>
    <w:rsid w:val="00581584"/>
    <w:rsid w:val="00582A63"/>
    <w:rsid w:val="00590987"/>
    <w:rsid w:val="00593EDC"/>
    <w:rsid w:val="005948B0"/>
    <w:rsid w:val="00596ECF"/>
    <w:rsid w:val="005A2EFA"/>
    <w:rsid w:val="005A3255"/>
    <w:rsid w:val="005A488C"/>
    <w:rsid w:val="005A7961"/>
    <w:rsid w:val="005B3B4C"/>
    <w:rsid w:val="005B3D42"/>
    <w:rsid w:val="005B46F4"/>
    <w:rsid w:val="005B487D"/>
    <w:rsid w:val="005B7A4C"/>
    <w:rsid w:val="005B7F25"/>
    <w:rsid w:val="005C2184"/>
    <w:rsid w:val="005C260C"/>
    <w:rsid w:val="005C7A71"/>
    <w:rsid w:val="005D19C1"/>
    <w:rsid w:val="005D23C7"/>
    <w:rsid w:val="005D2A45"/>
    <w:rsid w:val="005D4A78"/>
    <w:rsid w:val="005D6BD5"/>
    <w:rsid w:val="005D7221"/>
    <w:rsid w:val="005E1C24"/>
    <w:rsid w:val="005E2DDF"/>
    <w:rsid w:val="005E3669"/>
    <w:rsid w:val="005E6C9D"/>
    <w:rsid w:val="005F1408"/>
    <w:rsid w:val="005F1508"/>
    <w:rsid w:val="005F3208"/>
    <w:rsid w:val="005F5167"/>
    <w:rsid w:val="005F79D9"/>
    <w:rsid w:val="00603F6E"/>
    <w:rsid w:val="00604401"/>
    <w:rsid w:val="00606646"/>
    <w:rsid w:val="0060665B"/>
    <w:rsid w:val="0061280D"/>
    <w:rsid w:val="00616B7C"/>
    <w:rsid w:val="00617D71"/>
    <w:rsid w:val="006205C1"/>
    <w:rsid w:val="00620DB1"/>
    <w:rsid w:val="006213D8"/>
    <w:rsid w:val="0062186A"/>
    <w:rsid w:val="00627FE8"/>
    <w:rsid w:val="00632BE2"/>
    <w:rsid w:val="00632E0C"/>
    <w:rsid w:val="00634064"/>
    <w:rsid w:val="006352AE"/>
    <w:rsid w:val="006352CC"/>
    <w:rsid w:val="006353F2"/>
    <w:rsid w:val="0063631E"/>
    <w:rsid w:val="006370B4"/>
    <w:rsid w:val="006373E1"/>
    <w:rsid w:val="00640445"/>
    <w:rsid w:val="00640EC5"/>
    <w:rsid w:val="006410D3"/>
    <w:rsid w:val="00641E04"/>
    <w:rsid w:val="00642453"/>
    <w:rsid w:val="00643AA1"/>
    <w:rsid w:val="00644186"/>
    <w:rsid w:val="0064434C"/>
    <w:rsid w:val="00644C46"/>
    <w:rsid w:val="006454A7"/>
    <w:rsid w:val="006472EB"/>
    <w:rsid w:val="0065051E"/>
    <w:rsid w:val="006529F2"/>
    <w:rsid w:val="00653E17"/>
    <w:rsid w:val="00654C53"/>
    <w:rsid w:val="00656C4D"/>
    <w:rsid w:val="0066213E"/>
    <w:rsid w:val="00662D51"/>
    <w:rsid w:val="00663E00"/>
    <w:rsid w:val="00664B44"/>
    <w:rsid w:val="0066504D"/>
    <w:rsid w:val="00665432"/>
    <w:rsid w:val="0066680C"/>
    <w:rsid w:val="006702CE"/>
    <w:rsid w:val="006735AD"/>
    <w:rsid w:val="00673E95"/>
    <w:rsid w:val="006753E9"/>
    <w:rsid w:val="00675834"/>
    <w:rsid w:val="00680154"/>
    <w:rsid w:val="00683388"/>
    <w:rsid w:val="0068458F"/>
    <w:rsid w:val="006878AA"/>
    <w:rsid w:val="0069095C"/>
    <w:rsid w:val="00691C9B"/>
    <w:rsid w:val="00692346"/>
    <w:rsid w:val="0069312C"/>
    <w:rsid w:val="006A1511"/>
    <w:rsid w:val="006A37E3"/>
    <w:rsid w:val="006A510F"/>
    <w:rsid w:val="006A55C1"/>
    <w:rsid w:val="006B1663"/>
    <w:rsid w:val="006B22BF"/>
    <w:rsid w:val="006B337F"/>
    <w:rsid w:val="006B696F"/>
    <w:rsid w:val="006B6E69"/>
    <w:rsid w:val="006B6F33"/>
    <w:rsid w:val="006B713C"/>
    <w:rsid w:val="006C05D6"/>
    <w:rsid w:val="006C1B13"/>
    <w:rsid w:val="006C3853"/>
    <w:rsid w:val="006C3EB9"/>
    <w:rsid w:val="006C420F"/>
    <w:rsid w:val="006D0C3D"/>
    <w:rsid w:val="006D1870"/>
    <w:rsid w:val="006E14BB"/>
    <w:rsid w:val="006E4D19"/>
    <w:rsid w:val="006E6AB8"/>
    <w:rsid w:val="006F04C1"/>
    <w:rsid w:val="006F04C9"/>
    <w:rsid w:val="006F2465"/>
    <w:rsid w:val="006F35EC"/>
    <w:rsid w:val="006F6D3E"/>
    <w:rsid w:val="006F6E7B"/>
    <w:rsid w:val="00702396"/>
    <w:rsid w:val="00704BFE"/>
    <w:rsid w:val="00706447"/>
    <w:rsid w:val="0070768B"/>
    <w:rsid w:val="00710EA4"/>
    <w:rsid w:val="00713261"/>
    <w:rsid w:val="00713C4E"/>
    <w:rsid w:val="007143C4"/>
    <w:rsid w:val="00717F2C"/>
    <w:rsid w:val="007200E1"/>
    <w:rsid w:val="0072072A"/>
    <w:rsid w:val="0072676F"/>
    <w:rsid w:val="00731182"/>
    <w:rsid w:val="00735D37"/>
    <w:rsid w:val="0073685B"/>
    <w:rsid w:val="00737F36"/>
    <w:rsid w:val="00745AE6"/>
    <w:rsid w:val="00747671"/>
    <w:rsid w:val="007546C4"/>
    <w:rsid w:val="0075765C"/>
    <w:rsid w:val="0076136A"/>
    <w:rsid w:val="00762395"/>
    <w:rsid w:val="007624AB"/>
    <w:rsid w:val="00762BED"/>
    <w:rsid w:val="00767AAE"/>
    <w:rsid w:val="007707DF"/>
    <w:rsid w:val="00770991"/>
    <w:rsid w:val="00773653"/>
    <w:rsid w:val="00774A68"/>
    <w:rsid w:val="0077591B"/>
    <w:rsid w:val="007770C7"/>
    <w:rsid w:val="00781F36"/>
    <w:rsid w:val="00781FAB"/>
    <w:rsid w:val="007821ED"/>
    <w:rsid w:val="0078524E"/>
    <w:rsid w:val="007854A8"/>
    <w:rsid w:val="00791EC0"/>
    <w:rsid w:val="007926BA"/>
    <w:rsid w:val="007934BE"/>
    <w:rsid w:val="0079377A"/>
    <w:rsid w:val="007960B5"/>
    <w:rsid w:val="007A7AA9"/>
    <w:rsid w:val="007A7FC8"/>
    <w:rsid w:val="007B0925"/>
    <w:rsid w:val="007B0A4A"/>
    <w:rsid w:val="007B1322"/>
    <w:rsid w:val="007B189E"/>
    <w:rsid w:val="007B4A7F"/>
    <w:rsid w:val="007B6846"/>
    <w:rsid w:val="007B6E69"/>
    <w:rsid w:val="007B6F89"/>
    <w:rsid w:val="007C0B7A"/>
    <w:rsid w:val="007C1D4A"/>
    <w:rsid w:val="007C1DD2"/>
    <w:rsid w:val="007C48F5"/>
    <w:rsid w:val="007C4BEE"/>
    <w:rsid w:val="007C5D9A"/>
    <w:rsid w:val="007C5E9C"/>
    <w:rsid w:val="007D5554"/>
    <w:rsid w:val="007D5D81"/>
    <w:rsid w:val="007D65E3"/>
    <w:rsid w:val="007D676B"/>
    <w:rsid w:val="007D71C1"/>
    <w:rsid w:val="007D71CF"/>
    <w:rsid w:val="007E08C3"/>
    <w:rsid w:val="007E605E"/>
    <w:rsid w:val="007E6070"/>
    <w:rsid w:val="007F6EBB"/>
    <w:rsid w:val="00802D3B"/>
    <w:rsid w:val="00806A97"/>
    <w:rsid w:val="008101FB"/>
    <w:rsid w:val="008115CD"/>
    <w:rsid w:val="00813133"/>
    <w:rsid w:val="008136F4"/>
    <w:rsid w:val="00813B1B"/>
    <w:rsid w:val="00814357"/>
    <w:rsid w:val="0081695D"/>
    <w:rsid w:val="00816B1C"/>
    <w:rsid w:val="00817496"/>
    <w:rsid w:val="00817AA5"/>
    <w:rsid w:val="00820449"/>
    <w:rsid w:val="00823D93"/>
    <w:rsid w:val="00824F9E"/>
    <w:rsid w:val="00826A57"/>
    <w:rsid w:val="0083169B"/>
    <w:rsid w:val="00833266"/>
    <w:rsid w:val="00835C20"/>
    <w:rsid w:val="00837ED7"/>
    <w:rsid w:val="00843587"/>
    <w:rsid w:val="00843934"/>
    <w:rsid w:val="00843A9C"/>
    <w:rsid w:val="008465A3"/>
    <w:rsid w:val="00846F76"/>
    <w:rsid w:val="008472FB"/>
    <w:rsid w:val="00850695"/>
    <w:rsid w:val="00850A6F"/>
    <w:rsid w:val="00855181"/>
    <w:rsid w:val="008600FF"/>
    <w:rsid w:val="0086022A"/>
    <w:rsid w:val="00861E11"/>
    <w:rsid w:val="008646A1"/>
    <w:rsid w:val="0086485A"/>
    <w:rsid w:val="00867A38"/>
    <w:rsid w:val="00867A70"/>
    <w:rsid w:val="00867B79"/>
    <w:rsid w:val="008723C6"/>
    <w:rsid w:val="0087265E"/>
    <w:rsid w:val="00873C54"/>
    <w:rsid w:val="00876DC2"/>
    <w:rsid w:val="008815C6"/>
    <w:rsid w:val="008845EC"/>
    <w:rsid w:val="008849FC"/>
    <w:rsid w:val="00886B60"/>
    <w:rsid w:val="00890655"/>
    <w:rsid w:val="00894F86"/>
    <w:rsid w:val="0089613E"/>
    <w:rsid w:val="008A25F8"/>
    <w:rsid w:val="008A28CB"/>
    <w:rsid w:val="008A4967"/>
    <w:rsid w:val="008A68DD"/>
    <w:rsid w:val="008B0190"/>
    <w:rsid w:val="008B1A08"/>
    <w:rsid w:val="008B3E2C"/>
    <w:rsid w:val="008B5873"/>
    <w:rsid w:val="008B61BB"/>
    <w:rsid w:val="008B64F7"/>
    <w:rsid w:val="008C1231"/>
    <w:rsid w:val="008C22E7"/>
    <w:rsid w:val="008C34A8"/>
    <w:rsid w:val="008C36AD"/>
    <w:rsid w:val="008C3AF5"/>
    <w:rsid w:val="008C69C3"/>
    <w:rsid w:val="008D2C7F"/>
    <w:rsid w:val="008D5242"/>
    <w:rsid w:val="008D7EB1"/>
    <w:rsid w:val="008E1603"/>
    <w:rsid w:val="008E28F2"/>
    <w:rsid w:val="008E3E36"/>
    <w:rsid w:val="008E527A"/>
    <w:rsid w:val="008E5AF1"/>
    <w:rsid w:val="008E63C0"/>
    <w:rsid w:val="008E6C3A"/>
    <w:rsid w:val="008F056E"/>
    <w:rsid w:val="008F0821"/>
    <w:rsid w:val="008F0A46"/>
    <w:rsid w:val="008F304E"/>
    <w:rsid w:val="008F340F"/>
    <w:rsid w:val="008F371E"/>
    <w:rsid w:val="008F5296"/>
    <w:rsid w:val="008F7203"/>
    <w:rsid w:val="008F7663"/>
    <w:rsid w:val="008F7E29"/>
    <w:rsid w:val="00900078"/>
    <w:rsid w:val="00900F8D"/>
    <w:rsid w:val="00903095"/>
    <w:rsid w:val="00904120"/>
    <w:rsid w:val="009043B7"/>
    <w:rsid w:val="00904704"/>
    <w:rsid w:val="00904CD8"/>
    <w:rsid w:val="009116F1"/>
    <w:rsid w:val="00912F8F"/>
    <w:rsid w:val="009130A2"/>
    <w:rsid w:val="00915679"/>
    <w:rsid w:val="0092258E"/>
    <w:rsid w:val="00924718"/>
    <w:rsid w:val="00924C01"/>
    <w:rsid w:val="0092546F"/>
    <w:rsid w:val="00925E1D"/>
    <w:rsid w:val="0093068D"/>
    <w:rsid w:val="0093495E"/>
    <w:rsid w:val="00934DDE"/>
    <w:rsid w:val="0093504B"/>
    <w:rsid w:val="009364A6"/>
    <w:rsid w:val="00941437"/>
    <w:rsid w:val="00942467"/>
    <w:rsid w:val="00946D90"/>
    <w:rsid w:val="00953C17"/>
    <w:rsid w:val="00953CD6"/>
    <w:rsid w:val="00954C8F"/>
    <w:rsid w:val="00955223"/>
    <w:rsid w:val="0095786D"/>
    <w:rsid w:val="00961041"/>
    <w:rsid w:val="00961DC7"/>
    <w:rsid w:val="0096316C"/>
    <w:rsid w:val="00963C8A"/>
    <w:rsid w:val="009658F2"/>
    <w:rsid w:val="00967102"/>
    <w:rsid w:val="0096714A"/>
    <w:rsid w:val="009717AA"/>
    <w:rsid w:val="00974D3A"/>
    <w:rsid w:val="00975E9A"/>
    <w:rsid w:val="009764DA"/>
    <w:rsid w:val="009808C5"/>
    <w:rsid w:val="009827C6"/>
    <w:rsid w:val="00982AFD"/>
    <w:rsid w:val="0098509B"/>
    <w:rsid w:val="0098546D"/>
    <w:rsid w:val="009863D5"/>
    <w:rsid w:val="00986C70"/>
    <w:rsid w:val="00987048"/>
    <w:rsid w:val="009879ED"/>
    <w:rsid w:val="009879FB"/>
    <w:rsid w:val="0099283E"/>
    <w:rsid w:val="00993251"/>
    <w:rsid w:val="00997FE8"/>
    <w:rsid w:val="009A087F"/>
    <w:rsid w:val="009A1626"/>
    <w:rsid w:val="009A1DD2"/>
    <w:rsid w:val="009A3D41"/>
    <w:rsid w:val="009A3DC5"/>
    <w:rsid w:val="009A5664"/>
    <w:rsid w:val="009A5855"/>
    <w:rsid w:val="009B0C1F"/>
    <w:rsid w:val="009B1632"/>
    <w:rsid w:val="009B1B4C"/>
    <w:rsid w:val="009B42DE"/>
    <w:rsid w:val="009B4DF2"/>
    <w:rsid w:val="009B5A02"/>
    <w:rsid w:val="009B691D"/>
    <w:rsid w:val="009B70BE"/>
    <w:rsid w:val="009B7464"/>
    <w:rsid w:val="009B7CD8"/>
    <w:rsid w:val="009B7DC9"/>
    <w:rsid w:val="009B7FEF"/>
    <w:rsid w:val="009C20C1"/>
    <w:rsid w:val="009C2211"/>
    <w:rsid w:val="009C31E4"/>
    <w:rsid w:val="009C3AC4"/>
    <w:rsid w:val="009C43E5"/>
    <w:rsid w:val="009C5D1D"/>
    <w:rsid w:val="009C724B"/>
    <w:rsid w:val="009D00C1"/>
    <w:rsid w:val="009D016A"/>
    <w:rsid w:val="009D1436"/>
    <w:rsid w:val="009D3FAF"/>
    <w:rsid w:val="009D4B11"/>
    <w:rsid w:val="009D5017"/>
    <w:rsid w:val="009D5264"/>
    <w:rsid w:val="009D65B7"/>
    <w:rsid w:val="009D799F"/>
    <w:rsid w:val="009E21AD"/>
    <w:rsid w:val="009E5837"/>
    <w:rsid w:val="009E6B1C"/>
    <w:rsid w:val="009E77BB"/>
    <w:rsid w:val="009F0F5F"/>
    <w:rsid w:val="009F26BF"/>
    <w:rsid w:val="009F523B"/>
    <w:rsid w:val="009F6129"/>
    <w:rsid w:val="00A02435"/>
    <w:rsid w:val="00A0277B"/>
    <w:rsid w:val="00A02E26"/>
    <w:rsid w:val="00A034D2"/>
    <w:rsid w:val="00A064F5"/>
    <w:rsid w:val="00A10285"/>
    <w:rsid w:val="00A16AB5"/>
    <w:rsid w:val="00A17ED6"/>
    <w:rsid w:val="00A17F92"/>
    <w:rsid w:val="00A20081"/>
    <w:rsid w:val="00A2063C"/>
    <w:rsid w:val="00A2251E"/>
    <w:rsid w:val="00A22D85"/>
    <w:rsid w:val="00A24486"/>
    <w:rsid w:val="00A24784"/>
    <w:rsid w:val="00A2569A"/>
    <w:rsid w:val="00A25C29"/>
    <w:rsid w:val="00A30005"/>
    <w:rsid w:val="00A30DBA"/>
    <w:rsid w:val="00A37CF7"/>
    <w:rsid w:val="00A4003B"/>
    <w:rsid w:val="00A40A2D"/>
    <w:rsid w:val="00A4138A"/>
    <w:rsid w:val="00A41A1A"/>
    <w:rsid w:val="00A42F95"/>
    <w:rsid w:val="00A43BF5"/>
    <w:rsid w:val="00A43C73"/>
    <w:rsid w:val="00A45033"/>
    <w:rsid w:val="00A45C79"/>
    <w:rsid w:val="00A509D4"/>
    <w:rsid w:val="00A515B3"/>
    <w:rsid w:val="00A54B93"/>
    <w:rsid w:val="00A6393E"/>
    <w:rsid w:val="00A65CDF"/>
    <w:rsid w:val="00A673F3"/>
    <w:rsid w:val="00A6791F"/>
    <w:rsid w:val="00A67927"/>
    <w:rsid w:val="00A72F82"/>
    <w:rsid w:val="00A73798"/>
    <w:rsid w:val="00A756AB"/>
    <w:rsid w:val="00A758AE"/>
    <w:rsid w:val="00A75D82"/>
    <w:rsid w:val="00A76C16"/>
    <w:rsid w:val="00A8088E"/>
    <w:rsid w:val="00A86A5A"/>
    <w:rsid w:val="00A86D29"/>
    <w:rsid w:val="00A8735A"/>
    <w:rsid w:val="00A90C4C"/>
    <w:rsid w:val="00A9352B"/>
    <w:rsid w:val="00A94603"/>
    <w:rsid w:val="00A95803"/>
    <w:rsid w:val="00A95868"/>
    <w:rsid w:val="00AA3FB4"/>
    <w:rsid w:val="00AA45A2"/>
    <w:rsid w:val="00AA5AB4"/>
    <w:rsid w:val="00AA5D22"/>
    <w:rsid w:val="00AB11B0"/>
    <w:rsid w:val="00AB36D5"/>
    <w:rsid w:val="00AB456C"/>
    <w:rsid w:val="00AB4F29"/>
    <w:rsid w:val="00AB54AC"/>
    <w:rsid w:val="00AB6566"/>
    <w:rsid w:val="00AB68E6"/>
    <w:rsid w:val="00AC130A"/>
    <w:rsid w:val="00AC13E4"/>
    <w:rsid w:val="00AC75FB"/>
    <w:rsid w:val="00AC787C"/>
    <w:rsid w:val="00AD141B"/>
    <w:rsid w:val="00AD1E33"/>
    <w:rsid w:val="00AD2ED6"/>
    <w:rsid w:val="00AD46C0"/>
    <w:rsid w:val="00AD567E"/>
    <w:rsid w:val="00AD590E"/>
    <w:rsid w:val="00AD6968"/>
    <w:rsid w:val="00AE120F"/>
    <w:rsid w:val="00AE127C"/>
    <w:rsid w:val="00AE191C"/>
    <w:rsid w:val="00AE22F4"/>
    <w:rsid w:val="00AF0EA6"/>
    <w:rsid w:val="00AF4D2C"/>
    <w:rsid w:val="00AF4E84"/>
    <w:rsid w:val="00AF70B4"/>
    <w:rsid w:val="00B0191B"/>
    <w:rsid w:val="00B01F18"/>
    <w:rsid w:val="00B07B07"/>
    <w:rsid w:val="00B13F2D"/>
    <w:rsid w:val="00B15837"/>
    <w:rsid w:val="00B16CD2"/>
    <w:rsid w:val="00B1744B"/>
    <w:rsid w:val="00B21041"/>
    <w:rsid w:val="00B21925"/>
    <w:rsid w:val="00B23036"/>
    <w:rsid w:val="00B253B8"/>
    <w:rsid w:val="00B31D5E"/>
    <w:rsid w:val="00B32180"/>
    <w:rsid w:val="00B347FB"/>
    <w:rsid w:val="00B348C9"/>
    <w:rsid w:val="00B353B2"/>
    <w:rsid w:val="00B355DC"/>
    <w:rsid w:val="00B35C46"/>
    <w:rsid w:val="00B36B5B"/>
    <w:rsid w:val="00B47B0D"/>
    <w:rsid w:val="00B50AFF"/>
    <w:rsid w:val="00B51893"/>
    <w:rsid w:val="00B51D59"/>
    <w:rsid w:val="00B54DA7"/>
    <w:rsid w:val="00B55142"/>
    <w:rsid w:val="00B64110"/>
    <w:rsid w:val="00B6467E"/>
    <w:rsid w:val="00B6499E"/>
    <w:rsid w:val="00B66F7F"/>
    <w:rsid w:val="00B67888"/>
    <w:rsid w:val="00B7110C"/>
    <w:rsid w:val="00B71A84"/>
    <w:rsid w:val="00B71E3E"/>
    <w:rsid w:val="00B73251"/>
    <w:rsid w:val="00B75D9B"/>
    <w:rsid w:val="00B80F43"/>
    <w:rsid w:val="00B8223E"/>
    <w:rsid w:val="00B828EB"/>
    <w:rsid w:val="00B862C6"/>
    <w:rsid w:val="00B86E6D"/>
    <w:rsid w:val="00B9009A"/>
    <w:rsid w:val="00B901AB"/>
    <w:rsid w:val="00B94CE3"/>
    <w:rsid w:val="00B9600A"/>
    <w:rsid w:val="00B96F2D"/>
    <w:rsid w:val="00BA0F11"/>
    <w:rsid w:val="00BA1153"/>
    <w:rsid w:val="00BA29B8"/>
    <w:rsid w:val="00BB0C99"/>
    <w:rsid w:val="00BB4E1C"/>
    <w:rsid w:val="00BB5360"/>
    <w:rsid w:val="00BC1B25"/>
    <w:rsid w:val="00BC26AB"/>
    <w:rsid w:val="00BC354B"/>
    <w:rsid w:val="00BC5A35"/>
    <w:rsid w:val="00BC7195"/>
    <w:rsid w:val="00BD072F"/>
    <w:rsid w:val="00BD177F"/>
    <w:rsid w:val="00BD4A24"/>
    <w:rsid w:val="00BD4DF1"/>
    <w:rsid w:val="00BD53E5"/>
    <w:rsid w:val="00BD6726"/>
    <w:rsid w:val="00BD7D02"/>
    <w:rsid w:val="00BE3151"/>
    <w:rsid w:val="00BE473B"/>
    <w:rsid w:val="00BE7E8C"/>
    <w:rsid w:val="00BF2426"/>
    <w:rsid w:val="00C01EC2"/>
    <w:rsid w:val="00C0214E"/>
    <w:rsid w:val="00C034F9"/>
    <w:rsid w:val="00C05075"/>
    <w:rsid w:val="00C0556B"/>
    <w:rsid w:val="00C05652"/>
    <w:rsid w:val="00C05865"/>
    <w:rsid w:val="00C103AF"/>
    <w:rsid w:val="00C13742"/>
    <w:rsid w:val="00C175DD"/>
    <w:rsid w:val="00C177F3"/>
    <w:rsid w:val="00C21923"/>
    <w:rsid w:val="00C222CE"/>
    <w:rsid w:val="00C25407"/>
    <w:rsid w:val="00C26D31"/>
    <w:rsid w:val="00C2783E"/>
    <w:rsid w:val="00C30AA6"/>
    <w:rsid w:val="00C32CDB"/>
    <w:rsid w:val="00C32FD5"/>
    <w:rsid w:val="00C331BB"/>
    <w:rsid w:val="00C34BD2"/>
    <w:rsid w:val="00C4295E"/>
    <w:rsid w:val="00C4433A"/>
    <w:rsid w:val="00C44ECB"/>
    <w:rsid w:val="00C4534F"/>
    <w:rsid w:val="00C46A98"/>
    <w:rsid w:val="00C46E7D"/>
    <w:rsid w:val="00C5209B"/>
    <w:rsid w:val="00C52C33"/>
    <w:rsid w:val="00C52E86"/>
    <w:rsid w:val="00C52F3C"/>
    <w:rsid w:val="00C533CA"/>
    <w:rsid w:val="00C5383A"/>
    <w:rsid w:val="00C53EDC"/>
    <w:rsid w:val="00C541E7"/>
    <w:rsid w:val="00C56250"/>
    <w:rsid w:val="00C563D1"/>
    <w:rsid w:val="00C5731E"/>
    <w:rsid w:val="00C574FA"/>
    <w:rsid w:val="00C61620"/>
    <w:rsid w:val="00C61B68"/>
    <w:rsid w:val="00C61DC5"/>
    <w:rsid w:val="00C62741"/>
    <w:rsid w:val="00C65E4E"/>
    <w:rsid w:val="00C664B3"/>
    <w:rsid w:val="00C66872"/>
    <w:rsid w:val="00C66984"/>
    <w:rsid w:val="00C66ADC"/>
    <w:rsid w:val="00C707BC"/>
    <w:rsid w:val="00C7794C"/>
    <w:rsid w:val="00C77C56"/>
    <w:rsid w:val="00C8048A"/>
    <w:rsid w:val="00C8101F"/>
    <w:rsid w:val="00C81B2B"/>
    <w:rsid w:val="00C82FF4"/>
    <w:rsid w:val="00C83A7B"/>
    <w:rsid w:val="00C86BDC"/>
    <w:rsid w:val="00C972BE"/>
    <w:rsid w:val="00CA04DA"/>
    <w:rsid w:val="00CA0809"/>
    <w:rsid w:val="00CA0E76"/>
    <w:rsid w:val="00CA3F1D"/>
    <w:rsid w:val="00CA7915"/>
    <w:rsid w:val="00CB098E"/>
    <w:rsid w:val="00CB5D2E"/>
    <w:rsid w:val="00CC236B"/>
    <w:rsid w:val="00CC3411"/>
    <w:rsid w:val="00CD19FF"/>
    <w:rsid w:val="00CD2500"/>
    <w:rsid w:val="00CD3619"/>
    <w:rsid w:val="00CD421F"/>
    <w:rsid w:val="00CD52BA"/>
    <w:rsid w:val="00CD6309"/>
    <w:rsid w:val="00CD701A"/>
    <w:rsid w:val="00CD7855"/>
    <w:rsid w:val="00CE29CC"/>
    <w:rsid w:val="00CE2ED5"/>
    <w:rsid w:val="00CE373E"/>
    <w:rsid w:val="00CE5CBC"/>
    <w:rsid w:val="00CE7398"/>
    <w:rsid w:val="00CF0287"/>
    <w:rsid w:val="00CF0D95"/>
    <w:rsid w:val="00CF458B"/>
    <w:rsid w:val="00CF7643"/>
    <w:rsid w:val="00D00922"/>
    <w:rsid w:val="00D010FC"/>
    <w:rsid w:val="00D01E1D"/>
    <w:rsid w:val="00D03487"/>
    <w:rsid w:val="00D03E8B"/>
    <w:rsid w:val="00D06C8B"/>
    <w:rsid w:val="00D10968"/>
    <w:rsid w:val="00D11007"/>
    <w:rsid w:val="00D11D95"/>
    <w:rsid w:val="00D12C0F"/>
    <w:rsid w:val="00D14696"/>
    <w:rsid w:val="00D152C0"/>
    <w:rsid w:val="00D166B1"/>
    <w:rsid w:val="00D2041A"/>
    <w:rsid w:val="00D20D7B"/>
    <w:rsid w:val="00D21048"/>
    <w:rsid w:val="00D227B1"/>
    <w:rsid w:val="00D23DB3"/>
    <w:rsid w:val="00D2788D"/>
    <w:rsid w:val="00D27A72"/>
    <w:rsid w:val="00D313E6"/>
    <w:rsid w:val="00D31448"/>
    <w:rsid w:val="00D31995"/>
    <w:rsid w:val="00D32337"/>
    <w:rsid w:val="00D331DB"/>
    <w:rsid w:val="00D35466"/>
    <w:rsid w:val="00D35789"/>
    <w:rsid w:val="00D36A5D"/>
    <w:rsid w:val="00D37FE0"/>
    <w:rsid w:val="00D43E02"/>
    <w:rsid w:val="00D43F40"/>
    <w:rsid w:val="00D45CF1"/>
    <w:rsid w:val="00D4641A"/>
    <w:rsid w:val="00D47CE2"/>
    <w:rsid w:val="00D51959"/>
    <w:rsid w:val="00D52DB7"/>
    <w:rsid w:val="00D54271"/>
    <w:rsid w:val="00D55863"/>
    <w:rsid w:val="00D57FF5"/>
    <w:rsid w:val="00D60D9C"/>
    <w:rsid w:val="00D62EB7"/>
    <w:rsid w:val="00D63264"/>
    <w:rsid w:val="00D64C73"/>
    <w:rsid w:val="00D667A3"/>
    <w:rsid w:val="00D71D57"/>
    <w:rsid w:val="00D84254"/>
    <w:rsid w:val="00D8570A"/>
    <w:rsid w:val="00D916F6"/>
    <w:rsid w:val="00D94DE3"/>
    <w:rsid w:val="00D97D0B"/>
    <w:rsid w:val="00DA12EE"/>
    <w:rsid w:val="00DA1340"/>
    <w:rsid w:val="00DB5F11"/>
    <w:rsid w:val="00DB6956"/>
    <w:rsid w:val="00DB6B51"/>
    <w:rsid w:val="00DC0431"/>
    <w:rsid w:val="00DC25D6"/>
    <w:rsid w:val="00DC2690"/>
    <w:rsid w:val="00DC3077"/>
    <w:rsid w:val="00DC3E40"/>
    <w:rsid w:val="00DC5715"/>
    <w:rsid w:val="00DC5E62"/>
    <w:rsid w:val="00DC78EF"/>
    <w:rsid w:val="00DD3F84"/>
    <w:rsid w:val="00DD70D4"/>
    <w:rsid w:val="00DE1D1E"/>
    <w:rsid w:val="00DE26AB"/>
    <w:rsid w:val="00DE4E85"/>
    <w:rsid w:val="00DE7445"/>
    <w:rsid w:val="00DF1ADB"/>
    <w:rsid w:val="00DF40F0"/>
    <w:rsid w:val="00DF678F"/>
    <w:rsid w:val="00E01774"/>
    <w:rsid w:val="00E01EFE"/>
    <w:rsid w:val="00E038BF"/>
    <w:rsid w:val="00E03B4A"/>
    <w:rsid w:val="00E05FB4"/>
    <w:rsid w:val="00E10CB5"/>
    <w:rsid w:val="00E123CB"/>
    <w:rsid w:val="00E2158C"/>
    <w:rsid w:val="00E2681B"/>
    <w:rsid w:val="00E26946"/>
    <w:rsid w:val="00E269F1"/>
    <w:rsid w:val="00E27EF3"/>
    <w:rsid w:val="00E316FA"/>
    <w:rsid w:val="00E31F11"/>
    <w:rsid w:val="00E32B72"/>
    <w:rsid w:val="00E33F55"/>
    <w:rsid w:val="00E34D5B"/>
    <w:rsid w:val="00E361A6"/>
    <w:rsid w:val="00E37089"/>
    <w:rsid w:val="00E37107"/>
    <w:rsid w:val="00E42536"/>
    <w:rsid w:val="00E43B2E"/>
    <w:rsid w:val="00E44BF5"/>
    <w:rsid w:val="00E45E5E"/>
    <w:rsid w:val="00E46D8D"/>
    <w:rsid w:val="00E505C4"/>
    <w:rsid w:val="00E51B0A"/>
    <w:rsid w:val="00E52133"/>
    <w:rsid w:val="00E60D38"/>
    <w:rsid w:val="00E63345"/>
    <w:rsid w:val="00E65309"/>
    <w:rsid w:val="00E65A12"/>
    <w:rsid w:val="00E65B7C"/>
    <w:rsid w:val="00E65E0B"/>
    <w:rsid w:val="00E6799F"/>
    <w:rsid w:val="00E702F3"/>
    <w:rsid w:val="00E7479B"/>
    <w:rsid w:val="00E74A0C"/>
    <w:rsid w:val="00E7791D"/>
    <w:rsid w:val="00E852C4"/>
    <w:rsid w:val="00E8561B"/>
    <w:rsid w:val="00E86356"/>
    <w:rsid w:val="00E86ECA"/>
    <w:rsid w:val="00E9062E"/>
    <w:rsid w:val="00E92741"/>
    <w:rsid w:val="00E9314B"/>
    <w:rsid w:val="00E93EA0"/>
    <w:rsid w:val="00E94F0C"/>
    <w:rsid w:val="00E970B9"/>
    <w:rsid w:val="00E97A17"/>
    <w:rsid w:val="00EA13AE"/>
    <w:rsid w:val="00EA39CB"/>
    <w:rsid w:val="00EA7394"/>
    <w:rsid w:val="00EB01FA"/>
    <w:rsid w:val="00EB0791"/>
    <w:rsid w:val="00EB1728"/>
    <w:rsid w:val="00EB4F74"/>
    <w:rsid w:val="00EB65CA"/>
    <w:rsid w:val="00EB6CA7"/>
    <w:rsid w:val="00EC219B"/>
    <w:rsid w:val="00EC2EC2"/>
    <w:rsid w:val="00EC3B20"/>
    <w:rsid w:val="00EC5BD6"/>
    <w:rsid w:val="00EC6395"/>
    <w:rsid w:val="00EC6744"/>
    <w:rsid w:val="00ED5CD3"/>
    <w:rsid w:val="00EE52C4"/>
    <w:rsid w:val="00EE6039"/>
    <w:rsid w:val="00EE7A86"/>
    <w:rsid w:val="00EE7B22"/>
    <w:rsid w:val="00EF1943"/>
    <w:rsid w:val="00EF1C1B"/>
    <w:rsid w:val="00EF2AFF"/>
    <w:rsid w:val="00EF3490"/>
    <w:rsid w:val="00EF359E"/>
    <w:rsid w:val="00EF4EA5"/>
    <w:rsid w:val="00EF5D78"/>
    <w:rsid w:val="00EF6025"/>
    <w:rsid w:val="00EF7F8B"/>
    <w:rsid w:val="00F020F0"/>
    <w:rsid w:val="00F0337F"/>
    <w:rsid w:val="00F06D72"/>
    <w:rsid w:val="00F07139"/>
    <w:rsid w:val="00F0720B"/>
    <w:rsid w:val="00F116F5"/>
    <w:rsid w:val="00F11868"/>
    <w:rsid w:val="00F11D21"/>
    <w:rsid w:val="00F12FD6"/>
    <w:rsid w:val="00F172C1"/>
    <w:rsid w:val="00F20A3F"/>
    <w:rsid w:val="00F21AA8"/>
    <w:rsid w:val="00F2243D"/>
    <w:rsid w:val="00F23638"/>
    <w:rsid w:val="00F23D99"/>
    <w:rsid w:val="00F25B9E"/>
    <w:rsid w:val="00F25BA2"/>
    <w:rsid w:val="00F260EC"/>
    <w:rsid w:val="00F26E16"/>
    <w:rsid w:val="00F2783C"/>
    <w:rsid w:val="00F305C7"/>
    <w:rsid w:val="00F30E4B"/>
    <w:rsid w:val="00F317CA"/>
    <w:rsid w:val="00F33BDC"/>
    <w:rsid w:val="00F35CB5"/>
    <w:rsid w:val="00F374E6"/>
    <w:rsid w:val="00F37679"/>
    <w:rsid w:val="00F37BE9"/>
    <w:rsid w:val="00F40457"/>
    <w:rsid w:val="00F40461"/>
    <w:rsid w:val="00F42F56"/>
    <w:rsid w:val="00F436C9"/>
    <w:rsid w:val="00F45FBE"/>
    <w:rsid w:val="00F54530"/>
    <w:rsid w:val="00F5568C"/>
    <w:rsid w:val="00F5701A"/>
    <w:rsid w:val="00F60442"/>
    <w:rsid w:val="00F6135C"/>
    <w:rsid w:val="00F613F8"/>
    <w:rsid w:val="00F61CEB"/>
    <w:rsid w:val="00F625C5"/>
    <w:rsid w:val="00F627EC"/>
    <w:rsid w:val="00F65637"/>
    <w:rsid w:val="00F72C71"/>
    <w:rsid w:val="00F76288"/>
    <w:rsid w:val="00F762ED"/>
    <w:rsid w:val="00F805CF"/>
    <w:rsid w:val="00F853A9"/>
    <w:rsid w:val="00F862F8"/>
    <w:rsid w:val="00F86D55"/>
    <w:rsid w:val="00F9142A"/>
    <w:rsid w:val="00F91880"/>
    <w:rsid w:val="00F92956"/>
    <w:rsid w:val="00F94E41"/>
    <w:rsid w:val="00F96EA4"/>
    <w:rsid w:val="00FA1B21"/>
    <w:rsid w:val="00FA2FE9"/>
    <w:rsid w:val="00FA390C"/>
    <w:rsid w:val="00FA3E91"/>
    <w:rsid w:val="00FA5514"/>
    <w:rsid w:val="00FA566B"/>
    <w:rsid w:val="00FA7241"/>
    <w:rsid w:val="00FB1DB5"/>
    <w:rsid w:val="00FB3530"/>
    <w:rsid w:val="00FB67E4"/>
    <w:rsid w:val="00FC0D04"/>
    <w:rsid w:val="00FC57AA"/>
    <w:rsid w:val="00FC602A"/>
    <w:rsid w:val="00FC735C"/>
    <w:rsid w:val="00FC76DE"/>
    <w:rsid w:val="00FD1355"/>
    <w:rsid w:val="00FD365E"/>
    <w:rsid w:val="00FD4EB0"/>
    <w:rsid w:val="00FD6EAD"/>
    <w:rsid w:val="00FE2805"/>
    <w:rsid w:val="00FE2DDC"/>
    <w:rsid w:val="00FE4055"/>
    <w:rsid w:val="00FE6B7D"/>
    <w:rsid w:val="00FE6C18"/>
    <w:rsid w:val="00FE78B8"/>
    <w:rsid w:val="00FF0347"/>
    <w:rsid w:val="00FF1372"/>
    <w:rsid w:val="00FF3206"/>
    <w:rsid w:val="00FF4A89"/>
    <w:rsid w:val="00FF4E96"/>
    <w:rsid w:val="00FF53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29"/>
  </w:style>
  <w:style w:type="paragraph" w:styleId="Heading1">
    <w:name w:val="heading 1"/>
    <w:basedOn w:val="Normal"/>
    <w:next w:val="Normal"/>
    <w:link w:val="Heading1Char"/>
    <w:uiPriority w:val="9"/>
    <w:qFormat/>
    <w:rsid w:val="00820449"/>
    <w:pPr>
      <w:jc w:val="center"/>
      <w:outlineLvl w:val="0"/>
    </w:pPr>
    <w:rPr>
      <w:rFonts w:ascii="Noto Sans" w:hAnsi="Noto Sans" w:cs="Noto Sans"/>
      <w:b/>
      <w:bCs/>
    </w:rPr>
  </w:style>
  <w:style w:type="paragraph" w:styleId="Heading2">
    <w:name w:val="heading 2"/>
    <w:basedOn w:val="Normal"/>
    <w:next w:val="Normal"/>
    <w:link w:val="Heading2Char"/>
    <w:uiPriority w:val="9"/>
    <w:unhideWhenUsed/>
    <w:qFormat/>
    <w:rsid w:val="00DC3077"/>
    <w:pPr>
      <w:ind w:firstLine="720"/>
      <w:outlineLvl w:val="1"/>
    </w:pPr>
    <w:rPr>
      <w:rFonts w:ascii="Noto Sans" w:hAnsi="Noto Sans" w:cs="Noto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449"/>
    <w:rPr>
      <w:rFonts w:ascii="Noto Sans" w:hAnsi="Noto Sans" w:cs="Noto Sans"/>
      <w:b/>
      <w:bCs/>
    </w:rPr>
  </w:style>
  <w:style w:type="paragraph" w:styleId="FootnoteText">
    <w:name w:val="footnote text"/>
    <w:link w:val="FootnoteTextChar"/>
    <w:uiPriority w:val="99"/>
    <w:unhideWhenUsed/>
    <w:rsid w:val="00AB4F29"/>
    <w:pPr>
      <w:spacing w:line="240" w:lineRule="auto"/>
    </w:pPr>
    <w:rPr>
      <w:szCs w:val="20"/>
    </w:rPr>
  </w:style>
  <w:style w:type="character" w:customStyle="1" w:styleId="FootnoteTextChar">
    <w:name w:val="Footnote Text Char"/>
    <w:basedOn w:val="DefaultParagraphFont"/>
    <w:link w:val="FootnoteText"/>
    <w:uiPriority w:val="99"/>
    <w:rsid w:val="00AB4F29"/>
    <w:rPr>
      <w:szCs w:val="20"/>
    </w:rPr>
  </w:style>
  <w:style w:type="character" w:styleId="FootnoteReference">
    <w:name w:val="footnote reference"/>
    <w:basedOn w:val="DefaultParagraphFont"/>
    <w:uiPriority w:val="99"/>
    <w:semiHidden/>
    <w:unhideWhenUsed/>
    <w:rsid w:val="00AB4F29"/>
    <w:rPr>
      <w:vertAlign w:val="superscript"/>
    </w:rPr>
  </w:style>
  <w:style w:type="paragraph" w:styleId="Header">
    <w:name w:val="header"/>
    <w:basedOn w:val="Normal"/>
    <w:link w:val="HeaderChar"/>
    <w:uiPriority w:val="99"/>
    <w:unhideWhenUsed/>
    <w:rsid w:val="00F862F8"/>
    <w:pPr>
      <w:tabs>
        <w:tab w:val="center" w:pos="4680"/>
        <w:tab w:val="right" w:pos="9360"/>
      </w:tabs>
      <w:spacing w:line="240" w:lineRule="auto"/>
    </w:pPr>
  </w:style>
  <w:style w:type="character" w:customStyle="1" w:styleId="HeaderChar">
    <w:name w:val="Header Char"/>
    <w:basedOn w:val="DefaultParagraphFont"/>
    <w:link w:val="Header"/>
    <w:uiPriority w:val="99"/>
    <w:rsid w:val="00F862F8"/>
  </w:style>
  <w:style w:type="paragraph" w:styleId="Footer">
    <w:name w:val="footer"/>
    <w:basedOn w:val="Normal"/>
    <w:link w:val="FooterChar"/>
    <w:uiPriority w:val="99"/>
    <w:unhideWhenUsed/>
    <w:rsid w:val="00F862F8"/>
    <w:pPr>
      <w:tabs>
        <w:tab w:val="center" w:pos="4680"/>
        <w:tab w:val="right" w:pos="9360"/>
      </w:tabs>
      <w:spacing w:line="240" w:lineRule="auto"/>
    </w:pPr>
  </w:style>
  <w:style w:type="character" w:customStyle="1" w:styleId="FooterChar">
    <w:name w:val="Footer Char"/>
    <w:basedOn w:val="DefaultParagraphFont"/>
    <w:link w:val="Footer"/>
    <w:uiPriority w:val="99"/>
    <w:rsid w:val="00F862F8"/>
  </w:style>
  <w:style w:type="character" w:customStyle="1" w:styleId="Heading2Char">
    <w:name w:val="Heading 2 Char"/>
    <w:basedOn w:val="DefaultParagraphFont"/>
    <w:link w:val="Heading2"/>
    <w:uiPriority w:val="9"/>
    <w:rsid w:val="00DC3077"/>
    <w:rPr>
      <w:rFonts w:ascii="Noto Sans" w:hAnsi="Noto Sans" w:cs="Noto Sans"/>
      <w:b/>
      <w:bCs/>
    </w:rPr>
  </w:style>
  <w:style w:type="paragraph" w:styleId="Revision">
    <w:name w:val="Revision"/>
    <w:hidden/>
    <w:uiPriority w:val="99"/>
    <w:semiHidden/>
    <w:rsid w:val="00322E3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5D39-8301-4B03-BC54-DCE308CB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2024-01-11T20:17:15Z</dcterms:created>
  <dcterms:modified xsi:type="dcterms:W3CDTF">2024-01-11T20:17:15Z</dcterms:modified>
</cp:coreProperties>
</file>