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F6DAB" w:rsidP="00FD1F73">
      <w:pPr>
        <w:spacing w:line="240" w:lineRule="auto"/>
        <w:rPr>
          <w:sz w:val="20"/>
        </w:rPr>
      </w:pPr>
      <w:r>
        <w:rPr>
          <w:sz w:val="20"/>
        </w:rPr>
        <w:t>Filed 4/16/24</w:t>
      </w:r>
    </w:p>
    <w:p w:rsidR="00CF6DAB" w:rsidP="00FD1F73">
      <w:pPr>
        <w:spacing w:line="240" w:lineRule="auto"/>
        <w:jc w:val="center"/>
        <w:rPr>
          <w:b/>
        </w:rPr>
      </w:pPr>
      <w:r>
        <w:rPr>
          <w:b/>
        </w:rPr>
        <w:t>CERTIFIED FOR PUBLICATION</w:t>
      </w:r>
    </w:p>
    <w:p w:rsidR="00CF6DAB" w:rsidP="00FD1F73">
      <w:pPr>
        <w:spacing w:line="240" w:lineRule="auto"/>
        <w:jc w:val="center"/>
      </w:pPr>
    </w:p>
    <w:p w:rsidR="00CF6DAB" w:rsidP="00FD1F73">
      <w:pPr>
        <w:spacing w:line="240" w:lineRule="auto"/>
        <w:jc w:val="center"/>
      </w:pPr>
      <w:r>
        <w:t>IN THE COURT OF APPEAL OF THE STATE OF CALIFORNIA</w:t>
      </w:r>
    </w:p>
    <w:p w:rsidR="00CF6DAB" w:rsidP="00F67392">
      <w:pPr>
        <w:spacing w:line="240" w:lineRule="auto"/>
        <w:jc w:val="center"/>
      </w:pPr>
    </w:p>
    <w:p w:rsidR="00CF6DAB" w:rsidP="00F67392">
      <w:pPr>
        <w:spacing w:line="240" w:lineRule="auto"/>
        <w:jc w:val="center"/>
      </w:pPr>
      <w:r>
        <w:t>FIRST APPELLATE DISTRICT</w:t>
      </w:r>
    </w:p>
    <w:p w:rsidR="00CF6DAB" w:rsidP="00F67392">
      <w:pPr>
        <w:spacing w:line="240" w:lineRule="auto"/>
        <w:jc w:val="center"/>
      </w:pPr>
    </w:p>
    <w:p w:rsidR="00CF6DAB" w:rsidP="00F67392">
      <w:pPr>
        <w:spacing w:line="240" w:lineRule="auto"/>
        <w:jc w:val="center"/>
      </w:pPr>
      <w:r>
        <w:t>DIVISION THREE</w:t>
      </w:r>
    </w:p>
    <w:p w:rsidR="00CF6DAB" w:rsidP="00F67392">
      <w:pPr>
        <w:spacing w:line="240" w:lineRule="auto"/>
        <w:jc w:val="center"/>
      </w:pPr>
    </w:p>
    <w:p w:rsidR="00CF6DAB" w:rsidP="00F67392">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920AD7">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F6DAB" w:rsidP="00920AD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In re Taylor C., a Person Coming Under the Juvenile Court Law.</w:t>
            </w:r>
          </w:p>
        </w:tc>
        <w:tc>
          <w:tcPr>
            <w:tcW w:w="4680" w:type="dxa"/>
            <w:tcBorders>
              <w:left w:val="single" w:sz="4" w:space="0" w:color="auto"/>
            </w:tcBorders>
            <w:shd w:val="clear" w:color="auto" w:fill="auto"/>
          </w:tcPr>
          <w:p w:rsidR="00CF6DAB" w:rsidP="000B2EC5">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r w:rsidTr="00920AD7">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CF6DAB" w:rsidP="00920AD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THE PEOPLE,</w:t>
            </w:r>
          </w:p>
          <w:p w:rsidR="00CF6DAB" w:rsidP="00920AD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Plaintiff and Respondent,</w:t>
            </w:r>
          </w:p>
          <w:p w:rsidR="00CF6DAB" w:rsidP="00920AD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CF6DAB" w:rsidP="00920AD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TAYLOR C.,</w:t>
            </w:r>
          </w:p>
          <w:p w:rsidR="00CF6DAB" w:rsidP="005B477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Defendant and Appellant.</w:t>
            </w:r>
          </w:p>
        </w:tc>
        <w:tc>
          <w:tcPr>
            <w:tcW w:w="4680" w:type="dxa"/>
            <w:tcBorders>
              <w:left w:val="single" w:sz="4" w:space="0" w:color="auto"/>
            </w:tcBorders>
            <w:shd w:val="clear" w:color="auto" w:fill="auto"/>
          </w:tcPr>
          <w:p w:rsidR="00CF6DAB" w:rsidP="00920AD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F6DAB" w:rsidP="00920AD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A168282</w:t>
            </w:r>
          </w:p>
          <w:p w:rsidR="00CF6DAB" w:rsidP="00920AD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F6DAB" w:rsidP="00920AD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(Solano County</w:t>
            </w:r>
          </w:p>
          <w:p w:rsidR="00CF6DAB" w:rsidP="00920AD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J37038)</w:t>
            </w:r>
          </w:p>
          <w:p w:rsidR="00CF6DAB" w:rsidP="00920AD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CF6DAB" w:rsidRPr="00AF5B78" w:rsidP="00F67392">
      <w:pPr>
        <w:spacing w:line="240" w:lineRule="auto"/>
      </w:pPr>
    </w:p>
    <w:p w:rsidR="00CF6DAB" w:rsidRPr="00AF5B78" w:rsidP="00F67392">
      <w:pPr>
        <w:spacing w:line="240" w:lineRule="auto"/>
      </w:pPr>
    </w:p>
    <w:p w:rsidR="00CF6DAB" w:rsidP="00F67392">
      <w:pPr>
        <w:spacing w:line="360" w:lineRule="auto"/>
      </w:pPr>
      <w:r w:rsidRPr="00AF5B78">
        <w:tab/>
      </w:r>
      <w:r>
        <w:t>Taylor C. (Taylor) was first declared a ward of the court when he was 14 years old.  Several years later, after his wardship ended, Taylor successfully moved to dismiss his wardship petitions under Welfare and Institutions</w:t>
      </w:r>
      <w:r w:rsidRPr="00AF5B78">
        <w:t xml:space="preserve"> Code</w:t>
      </w:r>
      <w:r>
        <w:t xml:space="preserve"> </w:t>
      </w:r>
      <w:r w:rsidRPr="00AF5B78">
        <w:t>section</w:t>
      </w:r>
      <w:r>
        <w:t xml:space="preserve"> 782</w:t>
      </w:r>
      <w:r w:rsidRPr="00AF5B78">
        <w:t>.</w:t>
      </w:r>
      <w:r>
        <w:rPr>
          <w:rStyle w:val="FootnoteReference"/>
          <w:rFonts w:cs="Times New Roman"/>
        </w:rPr>
        <w:footnoteReference w:id="2"/>
      </w:r>
      <w:r>
        <w:t xml:space="preserve">  Taylor then moved to seal the related juvenile court records, but the juvenile court denied the motion on the basis that his prior adjudications for committing forcible lewd conduct (Pen. Code, </w:t>
      </w:r>
      <w:r w:rsidRPr="00AF5B78">
        <w:t>§</w:t>
      </w:r>
      <w:r>
        <w:t xml:space="preserve"> 288, subd. (b)(1)) made his records ineligible for sealing under section 781, subdivision (a)(1)(F).  </w:t>
      </w:r>
    </w:p>
    <w:p w:rsidR="00CF6DAB" w:rsidRPr="000B2EC5" w:rsidP="00F67392">
      <w:pPr>
        <w:spacing w:line="360" w:lineRule="auto"/>
      </w:pPr>
      <w:r>
        <w:tab/>
        <w:t xml:space="preserve">On appeal, Taylor contends his juvenile records were eligible for sealing because the court’s dismissal of the wardship petitions under section 782 </w:t>
      </w:r>
      <w:r>
        <w:t>erased the adjudication of his forcible lewd conduct offenses as if they “never existed.”  We disagree and affirm</w:t>
      </w:r>
      <w:r w:rsidRPr="00AF5B78">
        <w:t>.</w:t>
      </w:r>
    </w:p>
    <w:p w:rsidR="00CF6DAB" w:rsidRPr="00AF5B78" w:rsidP="00F67392">
      <w:pPr>
        <w:keepNext/>
        <w:spacing w:line="360" w:lineRule="auto"/>
        <w:jc w:val="center"/>
        <w:rPr>
          <w:b/>
          <w:bCs/>
          <w:smallCaps/>
        </w:rPr>
      </w:pPr>
      <w:r w:rsidRPr="00AF5B78">
        <w:rPr>
          <w:b/>
          <w:bCs/>
          <w:smallCaps/>
        </w:rPr>
        <w:t>Factual and Procedural Background</w:t>
      </w:r>
    </w:p>
    <w:p w:rsidR="00CF6DAB" w:rsidP="00F67392">
      <w:pPr>
        <w:spacing w:line="360" w:lineRule="auto"/>
      </w:pPr>
      <w:r>
        <w:tab/>
      </w:r>
      <w:bookmarkStart w:id="0" w:name="_Hlk163140986"/>
      <w:r>
        <w:t>In 2006, the district attorney filed a juvenile wardship petition (</w:t>
      </w:r>
      <w:r w:rsidRPr="00AF5B78">
        <w:t>§</w:t>
      </w:r>
      <w:r>
        <w:t xml:space="preserve"> 602) alleging Taylor, then 14 years old, committed misdemeanor sexual battery by restraint (Pen. Code, </w:t>
      </w:r>
      <w:r w:rsidRPr="00AF5B78">
        <w:t>§</w:t>
      </w:r>
      <w:r>
        <w:t xml:space="preserve"> 243.4).  In 2007, he admitted the allegation.  The juvenile court declared Taylor a ward of the court and placed him on probation.  </w:t>
      </w:r>
    </w:p>
    <w:p w:rsidR="00CF6DAB" w:rsidP="00F67392">
      <w:pPr>
        <w:spacing w:line="360" w:lineRule="auto"/>
      </w:pPr>
      <w:r>
        <w:tab/>
        <w:t xml:space="preserve">Later that same year, 2007, the district attorney filed another wardship petition alleging </w:t>
      </w:r>
      <w:bookmarkEnd w:id="0"/>
      <w:r>
        <w:t>Taylor committed two counts of a forcible lewd or lascivious act on a child under the age of 14 (</w:t>
      </w:r>
      <w:bookmarkStart w:id="1" w:name="_Hlk163052848"/>
      <w:r>
        <w:t xml:space="preserve">Pen. Code, </w:t>
      </w:r>
      <w:r w:rsidRPr="00AF5B78">
        <w:t>§</w:t>
      </w:r>
      <w:r>
        <w:t> 288</w:t>
      </w:r>
      <w:bookmarkEnd w:id="1"/>
      <w:r>
        <w:t>, subd. (b)(1)), in April 2007.  After a contested hearing, the juvenile court sustained both allegations.  The court continued Taylor as a ward and placed him on probation in a group home.</w:t>
      </w:r>
      <w:r w:rsidRPr="0074562B">
        <w:t xml:space="preserve"> </w:t>
      </w:r>
      <w:r>
        <w:t xml:space="preserve"> </w:t>
      </w:r>
    </w:p>
    <w:p w:rsidR="00CF6DAB" w:rsidP="00F67392">
      <w:pPr>
        <w:spacing w:line="360" w:lineRule="auto"/>
      </w:pPr>
      <w:r>
        <w:tab/>
        <w:t>Between 2009 and 2010, the probation department filed three separate wardship petitions alleging Taylor violated his probation after being terminated from three different group homes.</w:t>
      </w:r>
      <w:r w:rsidRPr="00AF79BF">
        <w:t xml:space="preserve"> </w:t>
      </w:r>
      <w:r>
        <w:t xml:space="preserve"> Taylor admitted the first two allegations, and the juvenile court found true the third allegation following a contested hearing.  In 2010, the juvenile court committed Taylor to the California Department of Corrections and Rehabilitation, Division of Juvenile Justice (DJJ) for four years.  </w:t>
      </w:r>
    </w:p>
    <w:p w:rsidR="00CF6DAB" w:rsidP="00F67392">
      <w:pPr>
        <w:spacing w:line="360" w:lineRule="auto"/>
      </w:pPr>
      <w:r>
        <w:tab/>
        <w:t>In 2013, the juvenile court terminated DJJ jurisdiction over Taylor and placed him on probation in his mother’s custody.  In 2015, Taylor’s probation terminated and his wardship ended.  In 2022, DJJ granted Taylor an honorable discharge.</w:t>
      </w:r>
      <w:r w:rsidRPr="004D64BB">
        <w:t xml:space="preserve"> </w:t>
      </w:r>
      <w:r>
        <w:t xml:space="preserve"> </w:t>
      </w:r>
    </w:p>
    <w:p w:rsidR="00CF6DAB" w:rsidP="00F67392">
      <w:pPr>
        <w:keepNext/>
        <w:spacing w:line="360" w:lineRule="auto"/>
        <w:rPr>
          <w:i/>
          <w:iCs/>
        </w:rPr>
      </w:pPr>
      <w:r>
        <w:rPr>
          <w:i/>
          <w:iCs/>
        </w:rPr>
        <w:t>Motions to Dismiss and Seal</w:t>
      </w:r>
    </w:p>
    <w:p w:rsidR="00CF6DAB" w:rsidP="00F67392">
      <w:pPr>
        <w:keepNext/>
        <w:spacing w:line="360" w:lineRule="auto"/>
      </w:pPr>
      <w:r>
        <w:rPr>
          <w:i/>
          <w:iCs/>
        </w:rPr>
        <w:tab/>
      </w:r>
      <w:r>
        <w:t>In May 2023, Taylor sought dismissal of all the juvenile court petitions filed against him pursuant to section 782, which permits a court to dismiss wardship petitions pursuant to criteria specified within the code</w:t>
      </w:r>
      <w:r>
        <w:rPr>
          <w:rFonts w:eastAsia="Times New Roman" w:cs="Times New Roman"/>
        </w:rPr>
        <w:t>.</w:t>
      </w:r>
      <w:r>
        <w:t xml:space="preserve">  </w:t>
      </w:r>
      <w:r w:rsidRPr="005E2C10">
        <w:rPr>
          <w:rFonts w:eastAsia="Times New Roman" w:cs="Times New Roman"/>
        </w:rPr>
        <w:t>(§</w:t>
      </w:r>
      <w:r>
        <w:rPr>
          <w:rFonts w:eastAsia="Times New Roman" w:cs="Times New Roman"/>
        </w:rPr>
        <w:t> </w:t>
      </w:r>
      <w:r w:rsidRPr="005E2C10">
        <w:rPr>
          <w:rFonts w:eastAsia="Times New Roman" w:cs="Times New Roman"/>
        </w:rPr>
        <w:t>782, subd. (a)(1).)</w:t>
      </w:r>
      <w:r>
        <w:rPr>
          <w:rFonts w:eastAsia="Times New Roman" w:cs="Times New Roman"/>
        </w:rPr>
        <w:t xml:space="preserve"> </w:t>
      </w:r>
      <w:r>
        <w:t xml:space="preserve"> The juvenile court held a hearing, </w:t>
      </w:r>
      <w:r w:rsidRPr="006927E9">
        <w:t>granted the motion</w:t>
      </w:r>
      <w:r>
        <w:t>,</w:t>
      </w:r>
      <w:r w:rsidRPr="006927E9">
        <w:t xml:space="preserve"> and dismissed the petitions</w:t>
      </w:r>
      <w:r>
        <w:t>.  It found that</w:t>
      </w:r>
      <w:r w:rsidRPr="006927E9">
        <w:t xml:space="preserve"> </w:t>
      </w:r>
      <w:r>
        <w:t>the interests of justice and Taylor’s welfare warranted dismissal and that he was no longer in need of rehabilitation</w:t>
      </w:r>
      <w:r w:rsidRPr="00D40828">
        <w:t xml:space="preserve">. </w:t>
      </w:r>
      <w:r>
        <w:t xml:space="preserve">  </w:t>
      </w:r>
    </w:p>
    <w:p w:rsidR="00CF6DAB" w:rsidP="00F67392">
      <w:pPr>
        <w:keepNext/>
        <w:spacing w:line="360" w:lineRule="auto"/>
      </w:pPr>
      <w:r>
        <w:tab/>
        <w:t xml:space="preserve">At the dismissal hearing, Taylor argued that dismissal </w:t>
      </w:r>
      <w:r w:rsidRPr="00DB230E">
        <w:t xml:space="preserve">of the petitions </w:t>
      </w:r>
      <w:r>
        <w:t>would also make</w:t>
      </w:r>
      <w:r w:rsidRPr="00DB230E">
        <w:t xml:space="preserve"> </w:t>
      </w:r>
      <w:r>
        <w:t>him</w:t>
      </w:r>
      <w:r w:rsidRPr="00DB230E">
        <w:t xml:space="preserve"> eligible to have his juvenile records sealed</w:t>
      </w:r>
      <w:r>
        <w:t xml:space="preserve">.  The court disagreed, citing to </w:t>
      </w:r>
      <w:r w:rsidRPr="00DB230E">
        <w:t>the</w:t>
      </w:r>
      <w:r>
        <w:t xml:space="preserve"> prohibition in </w:t>
      </w:r>
      <w:r w:rsidRPr="00DB230E">
        <w:t>subd</w:t>
      </w:r>
      <w:r>
        <w:t>ivision </w:t>
      </w:r>
      <w:r w:rsidRPr="00DB230E">
        <w:t>(a)(1)(F)</w:t>
      </w:r>
      <w:r>
        <w:t xml:space="preserve"> of section 781 on sealing records relating to his forcible lewd conduct offenses but noted Taylor could file a motion to seal raising this argument</w:t>
      </w:r>
      <w:r w:rsidRPr="00DB230E">
        <w:t xml:space="preserve">. </w:t>
      </w:r>
      <w:r>
        <w:t xml:space="preserve"> </w:t>
      </w:r>
    </w:p>
    <w:p w:rsidR="00CF6DAB" w:rsidP="00F67392">
      <w:pPr>
        <w:keepNext/>
        <w:spacing w:line="360" w:lineRule="auto"/>
      </w:pPr>
      <w:r>
        <w:tab/>
        <w:t xml:space="preserve">In June 2023, Taylor moved to seal his juvenile court records under section 781.  He acknowledged that his prior offenses of forcible lewd conduct came within section 781, subdivision (a)(1)(F)—which limits the types of juvenile records that can be sealed—because they occurred after he was 14 years old, were listed in section 707, subdivision (b), and required him to register as a sex offender under Penal Code section 290.008.  </w:t>
      </w:r>
      <w:r w:rsidRPr="00DB230E">
        <w:t>(</w:t>
      </w:r>
      <w:r>
        <w:t xml:space="preserve">See </w:t>
      </w:r>
      <w:r w:rsidRPr="00DB230E">
        <w:t>§</w:t>
      </w:r>
      <w:r>
        <w:t> </w:t>
      </w:r>
      <w:r w:rsidRPr="00DB230E">
        <w:t>781, subd.</w:t>
      </w:r>
      <w:r>
        <w:t> </w:t>
      </w:r>
      <w:r w:rsidRPr="00DB230E">
        <w:t>(a)(1)(F)</w:t>
      </w:r>
      <w:r>
        <w:t>.)  Nevertheless, he argued sealing was appropriate because the court’s dismissal of his petitions under section 782 served to “ ‘erase’ ” the prior adjudication entirely and thereby protect him from any adverse consequences based on the adjudication</w:t>
      </w:r>
      <w:r w:rsidRPr="00946F84">
        <w:t xml:space="preserve">. </w:t>
      </w:r>
      <w:r>
        <w:t xml:space="preserve"> The district attorney opposed the motion.  </w:t>
      </w:r>
    </w:p>
    <w:p w:rsidR="00CF6DAB" w:rsidRPr="00287CF7" w:rsidP="0058292E">
      <w:pPr>
        <w:keepNext/>
        <w:spacing w:line="360" w:lineRule="auto"/>
      </w:pPr>
      <w:r>
        <w:tab/>
        <w:t xml:space="preserve">Following a hearing, the court denied the motion to seal.  It found Taylor’s records ineligible for sealing because section 782, subdivision (e) provides that dismissal of a petition does not alone constitute a sealing of records and section 781, subdivision (a)(1)(F), precludes sealing due to the forcible lewd conduct offenses.  </w:t>
      </w:r>
    </w:p>
    <w:p w:rsidR="00CF6DAB" w:rsidRPr="00AF5B78" w:rsidP="0058292E">
      <w:pPr>
        <w:keepNext/>
        <w:spacing w:line="360" w:lineRule="auto"/>
        <w:jc w:val="center"/>
        <w:rPr>
          <w:b/>
          <w:bCs/>
          <w:smallCaps/>
        </w:rPr>
      </w:pPr>
      <w:r w:rsidRPr="00AF5B78">
        <w:rPr>
          <w:b/>
          <w:bCs/>
          <w:smallCaps/>
        </w:rPr>
        <w:t>Discussion</w:t>
      </w:r>
    </w:p>
    <w:p w:rsidR="00CF6DAB" w:rsidP="0058292E">
      <w:pPr>
        <w:spacing w:line="360" w:lineRule="auto"/>
        <w:rPr>
          <w:rStyle w:val="cf01"/>
          <w:rFonts w:ascii="Century Schoolbook" w:hAnsi="Century Schoolbook"/>
          <w:sz w:val="26"/>
          <w:szCs w:val="26"/>
        </w:rPr>
      </w:pPr>
      <w:r>
        <w:rPr>
          <w:rStyle w:val="cf01"/>
        </w:rPr>
        <w:tab/>
      </w:r>
      <w:r w:rsidRPr="00515B96">
        <w:rPr>
          <w:rStyle w:val="cf01"/>
          <w:rFonts w:ascii="Century Schoolbook" w:hAnsi="Century Schoolbook"/>
          <w:sz w:val="26"/>
          <w:szCs w:val="26"/>
        </w:rPr>
        <w:t>The sole issue on appeal is whether the juvenile court erred by denying Taylor’s motion to seal his juvenile records</w:t>
      </w:r>
      <w:r w:rsidRPr="00433A59">
        <w:t xml:space="preserve">. </w:t>
      </w:r>
      <w:r>
        <w:t xml:space="preserve"> </w:t>
      </w:r>
      <w:r w:rsidRPr="00492266">
        <w:rPr>
          <w:rStyle w:val="cf01"/>
          <w:rFonts w:ascii="Century Schoolbook" w:hAnsi="Century Schoolbook"/>
          <w:sz w:val="26"/>
          <w:szCs w:val="26"/>
        </w:rPr>
        <w:t xml:space="preserve">As we explain below, it did not err as the dismissal of a juvenile petition under section 782 does not obviate the prohibition on sealing records under section </w:t>
      </w:r>
      <w:r w:rsidRPr="00433A59">
        <w:t xml:space="preserve">781, subdivision (a)(1)(F) in cases involving certain delineated offenses. </w:t>
      </w:r>
      <w:r>
        <w:t xml:space="preserve"> </w:t>
      </w:r>
    </w:p>
    <w:p w:rsidR="00CF6DAB" w:rsidP="00550C1D">
      <w:pPr>
        <w:spacing w:line="360" w:lineRule="auto"/>
        <w:rPr>
          <w:rFonts w:eastAsia="Times New Roman" w:cs="Times New Roman"/>
        </w:rPr>
      </w:pPr>
      <w:r>
        <w:rPr>
          <w:rStyle w:val="cf01"/>
          <w:rFonts w:ascii="Century Schoolbook" w:hAnsi="Century Schoolbook"/>
          <w:sz w:val="26"/>
          <w:szCs w:val="26"/>
        </w:rPr>
        <w:tab/>
      </w:r>
      <w:r w:rsidRPr="00515B96">
        <w:rPr>
          <w:rStyle w:val="cf01"/>
          <w:rFonts w:ascii="Century Schoolbook" w:hAnsi="Century Schoolbook"/>
          <w:sz w:val="26"/>
          <w:szCs w:val="26"/>
        </w:rPr>
        <w:t>We review issues of statutory interpretation de novo.  (</w:t>
      </w:r>
      <w:r w:rsidRPr="00433A59">
        <w:rPr>
          <w:rFonts w:eastAsia="Times New Roman" w:cs="Times New Roman"/>
          <w:i/>
          <w:iCs/>
          <w:bdr w:val="none" w:sz="0" w:space="0" w:color="auto" w:frame="1"/>
        </w:rPr>
        <w:t>In re Noah S.</w:t>
      </w:r>
      <w:r w:rsidRPr="00433A59">
        <w:rPr>
          <w:rFonts w:eastAsia="Times New Roman" w:cs="Times New Roman"/>
        </w:rPr>
        <w:t xml:space="preserve"> (2021) 67 Cal.App.5th 410, 414 (</w:t>
      </w:r>
      <w:r w:rsidRPr="00433A59">
        <w:rPr>
          <w:rFonts w:eastAsia="Times New Roman" w:cs="Times New Roman"/>
          <w:i/>
          <w:iCs/>
        </w:rPr>
        <w:t>Noah S.</w:t>
      </w:r>
      <w:r w:rsidRPr="00433A59">
        <w:rPr>
          <w:rFonts w:eastAsia="Times New Roman" w:cs="Times New Roman"/>
        </w:rPr>
        <w:t>).)  “Our fundamental task in construing</w:t>
      </w:r>
      <w:r w:rsidRPr="00D44F95">
        <w:rPr>
          <w:rFonts w:eastAsia="Times New Roman" w:cs="Times New Roman"/>
        </w:rPr>
        <w:t xml:space="preserve"> a statute ‘is to ascertain the Legislature’s intent [and] effectuate the law’s</w:t>
      </w:r>
      <w:r w:rsidRPr="002F68AE">
        <w:rPr>
          <w:rFonts w:eastAsia="Times New Roman" w:cs="Times New Roman"/>
        </w:rPr>
        <w:t xml:space="preserve"> purpose. </w:t>
      </w:r>
      <w:r w:rsidRPr="00505408">
        <w:rPr>
          <w:rFonts w:eastAsia="Times New Roman" w:cs="Times New Roman"/>
        </w:rPr>
        <w:t xml:space="preserve"> </w:t>
      </w:r>
      <w:r w:rsidRPr="002F68AE">
        <w:rPr>
          <w:rFonts w:eastAsia="Times New Roman" w:cs="Times New Roman"/>
        </w:rPr>
        <w:t xml:space="preserve">[Citation.] </w:t>
      </w:r>
      <w:r w:rsidRPr="00505408">
        <w:rPr>
          <w:rFonts w:eastAsia="Times New Roman" w:cs="Times New Roman"/>
        </w:rPr>
        <w:t xml:space="preserve"> </w:t>
      </w:r>
      <w:r w:rsidRPr="002F68AE">
        <w:rPr>
          <w:rFonts w:eastAsia="Times New Roman" w:cs="Times New Roman"/>
        </w:rPr>
        <w:t>We begin our inquiry by examining the statute</w:t>
      </w:r>
      <w:r w:rsidRPr="00505408">
        <w:rPr>
          <w:rFonts w:eastAsia="Times New Roman" w:cs="Times New Roman"/>
        </w:rPr>
        <w:t>’</w:t>
      </w:r>
      <w:r w:rsidRPr="002F68AE">
        <w:rPr>
          <w:rFonts w:eastAsia="Times New Roman" w:cs="Times New Roman"/>
        </w:rPr>
        <w:t>s words, giving them a plain and commonsense meaning.</w:t>
      </w:r>
      <w:r w:rsidRPr="00505408">
        <w:rPr>
          <w:rFonts w:eastAsia="Times New Roman" w:cs="Times New Roman"/>
        </w:rPr>
        <w:t>’ ”  (</w:t>
      </w:r>
      <w:r w:rsidRPr="002F68AE">
        <w:rPr>
          <w:rFonts w:eastAsia="Times New Roman" w:cs="Times New Roman"/>
          <w:i/>
          <w:iCs/>
          <w:bdr w:val="none" w:sz="0" w:space="0" w:color="auto" w:frame="1"/>
        </w:rPr>
        <w:t>In re Greg F.</w:t>
      </w:r>
      <w:r w:rsidRPr="002F68AE">
        <w:rPr>
          <w:rFonts w:eastAsia="Times New Roman" w:cs="Times New Roman"/>
        </w:rPr>
        <w:t xml:space="preserve"> (2012) 55 Cal.4th 393, 406</w:t>
      </w:r>
      <w:r w:rsidRPr="00505408">
        <w:rPr>
          <w:rFonts w:eastAsia="Times New Roman" w:cs="Times New Roman"/>
        </w:rPr>
        <w:t xml:space="preserve">.)  </w:t>
      </w:r>
    </w:p>
    <w:p w:rsidR="00CF6DAB" w:rsidP="00550C1D">
      <w:pPr>
        <w:spacing w:line="360" w:lineRule="auto"/>
        <w:rPr>
          <w:rFonts w:eastAsia="Times New Roman" w:cs="Times New Roman"/>
        </w:rPr>
      </w:pPr>
      <w:r>
        <w:tab/>
        <w:t xml:space="preserve">Here, our analysis not only begins but also ends with the clear and plain language of </w:t>
      </w:r>
      <w:r w:rsidRPr="00F87D63">
        <w:rPr>
          <w:rFonts w:eastAsia="Times New Roman" w:cs="Times New Roman"/>
          <w:color w:val="000000"/>
        </w:rPr>
        <w:t>sections 781 and 782</w:t>
      </w:r>
      <w:r>
        <w:rPr>
          <w:rFonts w:eastAsia="Times New Roman" w:cs="Times New Roman"/>
          <w:color w:val="000000"/>
        </w:rPr>
        <w:t>.</w:t>
      </w:r>
      <w:r w:rsidRPr="005E2C10">
        <w:rPr>
          <w:rFonts w:eastAsia="Times New Roman" w:cs="Times New Roman"/>
        </w:rPr>
        <w:t xml:space="preserve">  (</w:t>
      </w:r>
      <w:r w:rsidRPr="005E2C10">
        <w:rPr>
          <w:rFonts w:eastAsia="Times New Roman" w:cs="Times New Roman"/>
          <w:i/>
          <w:iCs/>
          <w:bdr w:val="none" w:sz="0" w:space="0" w:color="auto" w:frame="1"/>
        </w:rPr>
        <w:t>Noah S.</w:t>
      </w:r>
      <w:r w:rsidRPr="005E2C10">
        <w:rPr>
          <w:rFonts w:eastAsia="Times New Roman" w:cs="Times New Roman"/>
          <w:bdr w:val="none" w:sz="0" w:space="0" w:color="auto" w:frame="1"/>
        </w:rPr>
        <w:t>,</w:t>
      </w:r>
      <w:r>
        <w:rPr>
          <w:rFonts w:eastAsia="Times New Roman" w:cs="Times New Roman"/>
          <w:bdr w:val="none" w:sz="0" w:space="0" w:color="auto" w:frame="1"/>
        </w:rPr>
        <w:t xml:space="preserve"> </w:t>
      </w:r>
      <w:r>
        <w:rPr>
          <w:rFonts w:eastAsia="Times New Roman" w:cs="Times New Roman"/>
          <w:i/>
          <w:iCs/>
          <w:bdr w:val="none" w:sz="0" w:space="0" w:color="auto" w:frame="1"/>
        </w:rPr>
        <w:t>supra</w:t>
      </w:r>
      <w:r>
        <w:rPr>
          <w:rFonts w:eastAsia="Times New Roman" w:cs="Times New Roman"/>
          <w:bdr w:val="none" w:sz="0" w:space="0" w:color="auto" w:frame="1"/>
        </w:rPr>
        <w:t>,</w:t>
      </w:r>
      <w:r w:rsidRPr="005E2C10">
        <w:rPr>
          <w:rFonts w:eastAsia="Times New Roman" w:cs="Times New Roman"/>
          <w:bdr w:val="none" w:sz="0" w:space="0" w:color="auto" w:frame="1"/>
        </w:rPr>
        <w:t xml:space="preserve"> at p.</w:t>
      </w:r>
      <w:r w:rsidRPr="005E2C10">
        <w:rPr>
          <w:rFonts w:eastAsia="Times New Roman" w:cs="Times New Roman"/>
        </w:rPr>
        <w:t xml:space="preserve"> 415</w:t>
      </w:r>
      <w:r>
        <w:rPr>
          <w:rFonts w:eastAsia="Times New Roman" w:cs="Times New Roman"/>
        </w:rPr>
        <w:t xml:space="preserve"> [</w:t>
      </w:r>
      <w:r w:rsidRPr="00A742E5">
        <w:rPr>
          <w:rFonts w:eastAsia="Times New Roman" w:cs="Times New Roman"/>
        </w:rPr>
        <w:t>“</w:t>
      </w:r>
      <w:r w:rsidRPr="00505408">
        <w:rPr>
          <w:rFonts w:eastAsia="Times New Roman" w:cs="Times New Roman"/>
        </w:rPr>
        <w:t xml:space="preserve"> ‘</w:t>
      </w:r>
      <w:r>
        <w:rPr>
          <w:rFonts w:eastAsia="Times New Roman" w:cs="Times New Roman"/>
        </w:rPr>
        <w:t> “</w:t>
      </w:r>
      <w:r w:rsidRPr="00A742E5">
        <w:rPr>
          <w:rFonts w:eastAsia="Times New Roman" w:cs="Times New Roman"/>
        </w:rPr>
        <w:t xml:space="preserve">When the language of a </w:t>
      </w:r>
      <w:r w:rsidRPr="005E2C10">
        <w:rPr>
          <w:rFonts w:eastAsia="Times New Roman" w:cs="Times New Roman"/>
        </w:rPr>
        <w:t>statute is clear, we need go no further.</w:t>
      </w:r>
      <w:r>
        <w:rPr>
          <w:rFonts w:eastAsia="Times New Roman" w:cs="Times New Roman"/>
        </w:rPr>
        <w:t>” </w:t>
      </w:r>
      <w:r w:rsidRPr="005E2C10">
        <w:rPr>
          <w:rFonts w:eastAsia="Times New Roman" w:cs="Times New Roman"/>
        </w:rPr>
        <w:t>’ ”</w:t>
      </w:r>
      <w:r>
        <w:rPr>
          <w:rFonts w:eastAsia="Times New Roman" w:cs="Times New Roman"/>
        </w:rPr>
        <w:t>]</w:t>
      </w:r>
      <w:r w:rsidRPr="005E2C10">
        <w:rPr>
          <w:rFonts w:eastAsia="Times New Roman" w:cs="Times New Roman"/>
        </w:rPr>
        <w:t>.)</w:t>
      </w:r>
      <w:r>
        <w:rPr>
          <w:rFonts w:eastAsia="Times New Roman" w:cs="Times New Roman"/>
        </w:rPr>
        <w:t xml:space="preserve">  </w:t>
      </w:r>
      <w:r w:rsidRPr="005E2C10">
        <w:rPr>
          <w:rFonts w:eastAsia="Times New Roman" w:cs="Times New Roman"/>
        </w:rPr>
        <w:t xml:space="preserve">Section 782 permits a juvenile court to dismiss a </w:t>
      </w:r>
      <w:r w:rsidRPr="00B05267">
        <w:rPr>
          <w:rFonts w:eastAsia="Times New Roman" w:cs="Times New Roman"/>
        </w:rPr>
        <w:t xml:space="preserve">petition if the court finds dismissal serves “the interests of justice and the welfare of the person who is the subject of the petition.”  (§ 782, subd. (a)(1).)  Section 782 </w:t>
      </w:r>
      <w:r w:rsidRPr="000C1DF5">
        <w:rPr>
          <w:rFonts w:eastAsia="Times New Roman" w:cs="Times New Roman"/>
        </w:rPr>
        <w:t>was amended, effective January 1, 2023, to</w:t>
      </w:r>
      <w:r w:rsidRPr="00B05267">
        <w:rPr>
          <w:rFonts w:eastAsia="Times New Roman" w:cs="Times New Roman"/>
        </w:rPr>
        <w:t xml:space="preserve"> state that “[d]ismissal of a petition . . . pursuant to this section . . . does not</w:t>
      </w:r>
      <w:r w:rsidRPr="005E2C10">
        <w:rPr>
          <w:rFonts w:eastAsia="Times New Roman" w:cs="Times New Roman"/>
        </w:rPr>
        <w:t xml:space="preserve"> alone constitute a sealing of records as defined in Section 781 or 786.”  (§ 782, subd. (e); see Assem. Bill </w:t>
      </w:r>
      <w:r>
        <w:rPr>
          <w:rFonts w:eastAsia="Times New Roman" w:cs="Times New Roman"/>
        </w:rPr>
        <w:t>No. </w:t>
      </w:r>
      <w:r w:rsidRPr="005E2C10">
        <w:rPr>
          <w:rFonts w:eastAsia="Times New Roman" w:cs="Times New Roman"/>
        </w:rPr>
        <w:t>2629, Stats. 2022, ch. 970, § 1 (</w:t>
      </w:r>
      <w:r w:rsidRPr="000509F0">
        <w:rPr>
          <w:rFonts w:eastAsia="Times New Roman" w:cs="Times New Roman"/>
        </w:rPr>
        <w:t>A.B. 2629).)</w:t>
      </w:r>
      <w:r>
        <w:rPr>
          <w:rFonts w:eastAsia="Times New Roman" w:cs="Times New Roman"/>
        </w:rPr>
        <w:t xml:space="preserve">  Hence, dismissal of a petition does not automatically result in the sealing of the juvenile records. </w:t>
      </w:r>
    </w:p>
    <w:p w:rsidR="00CF6DAB" w:rsidP="00550C1D">
      <w:pPr>
        <w:spacing w:line="360" w:lineRule="auto"/>
        <w:rPr>
          <w:rFonts w:eastAsia="Times New Roman" w:cs="Times New Roman"/>
        </w:rPr>
      </w:pPr>
      <w:r>
        <w:rPr>
          <w:rFonts w:eastAsia="Times New Roman" w:cs="Times New Roman"/>
        </w:rPr>
        <w:tab/>
        <w:t>For sealing, we turn to s</w:t>
      </w:r>
      <w:r w:rsidRPr="005E2C10">
        <w:rPr>
          <w:rFonts w:eastAsia="Times New Roman" w:cs="Times New Roman"/>
        </w:rPr>
        <w:t>ection 781</w:t>
      </w:r>
      <w:r>
        <w:rPr>
          <w:rFonts w:eastAsia="Times New Roman" w:cs="Times New Roman"/>
        </w:rPr>
        <w:t>.</w:t>
      </w:r>
      <w:r w:rsidRPr="005E2C10">
        <w:rPr>
          <w:rFonts w:eastAsia="Times New Roman" w:cs="Times New Roman"/>
        </w:rPr>
        <w:t xml:space="preserve">  (§ 781, subd. (a)(1)(A).)  The court “shall” order records sealed if, after a hearing, it “finds that since the termination of jurisdiction . . . the person has not been convicted of a felony or of any misdemeanor involving moral turpitude and that rehabilitation has been attained to the satisfaction of the court.”  (</w:t>
      </w:r>
      <w:r w:rsidRPr="005E2C10">
        <w:rPr>
          <w:rFonts w:eastAsia="Times New Roman" w:cs="Times New Roman"/>
          <w:i/>
          <w:iCs/>
        </w:rPr>
        <w:t>I</w:t>
      </w:r>
      <w:r>
        <w:rPr>
          <w:rFonts w:eastAsia="Times New Roman" w:cs="Times New Roman"/>
          <w:i/>
          <w:iCs/>
        </w:rPr>
        <w:t>bi</w:t>
      </w:r>
      <w:r w:rsidRPr="005E2C10">
        <w:rPr>
          <w:rFonts w:eastAsia="Times New Roman" w:cs="Times New Roman"/>
          <w:i/>
          <w:iCs/>
        </w:rPr>
        <w:t>d</w:t>
      </w:r>
      <w:r w:rsidRPr="005E2C10">
        <w:rPr>
          <w:rFonts w:eastAsia="Times New Roman" w:cs="Times New Roman"/>
        </w:rPr>
        <w:t xml:space="preserve">.)  </w:t>
      </w:r>
      <w:r>
        <w:rPr>
          <w:rFonts w:eastAsia="Times New Roman" w:cs="Times New Roman"/>
        </w:rPr>
        <w:t xml:space="preserve">However, </w:t>
      </w:r>
      <w:r w:rsidRPr="005E2C10">
        <w:rPr>
          <w:rFonts w:eastAsia="Times New Roman" w:cs="Times New Roman"/>
        </w:rPr>
        <w:t xml:space="preserve">subdivision (a)(1)(F) of section 781 </w:t>
      </w:r>
      <w:r>
        <w:rPr>
          <w:rFonts w:eastAsia="Times New Roman" w:cs="Times New Roman"/>
        </w:rPr>
        <w:t xml:space="preserve">provides that a subset of sex offenses are categorically and unequivocally </w:t>
      </w:r>
      <w:r w:rsidRPr="00007483">
        <w:rPr>
          <w:rFonts w:eastAsia="Times New Roman" w:cs="Times New Roman"/>
          <w:i/>
          <w:iCs/>
        </w:rPr>
        <w:t>not</w:t>
      </w:r>
      <w:r>
        <w:rPr>
          <w:rFonts w:eastAsia="Times New Roman" w:cs="Times New Roman"/>
        </w:rPr>
        <w:t xml:space="preserve"> </w:t>
      </w:r>
      <w:r w:rsidRPr="00007483">
        <w:rPr>
          <w:rFonts w:eastAsia="Times New Roman" w:cs="Times New Roman"/>
        </w:rPr>
        <w:t>eligible</w:t>
      </w:r>
      <w:r>
        <w:rPr>
          <w:rFonts w:eastAsia="Times New Roman" w:cs="Times New Roman"/>
        </w:rPr>
        <w:t xml:space="preserve"> for sealing</w:t>
      </w:r>
      <w:r w:rsidRPr="005E2C10">
        <w:rPr>
          <w:rFonts w:eastAsia="Times New Roman" w:cs="Times New Roman"/>
        </w:rPr>
        <w:t>: “Notwithstanding subparagraphs (D) and (E), a record relating to an offense listed in subdivision (b) of Section 707 that was committed after attaining 14 years of age for which the person is required to register pursuant to Section 290.008 of the Penal Code shall not be sealed.”  (§ 781, subd. (a)(1)(</w:t>
      </w:r>
      <w:r>
        <w:rPr>
          <w:rFonts w:eastAsia="Times New Roman" w:cs="Times New Roman"/>
        </w:rPr>
        <w:t>F</w:t>
      </w:r>
      <w:r w:rsidRPr="005E2C10">
        <w:rPr>
          <w:rFonts w:eastAsia="Times New Roman" w:cs="Times New Roman"/>
        </w:rPr>
        <w:t xml:space="preserve">).)  </w:t>
      </w:r>
    </w:p>
    <w:p w:rsidR="00CF6DAB" w:rsidP="00550C1D">
      <w:pPr>
        <w:spacing w:line="360" w:lineRule="auto"/>
      </w:pPr>
      <w:r>
        <w:rPr>
          <w:rFonts w:eastAsia="Times New Roman" w:cs="Times New Roman"/>
        </w:rPr>
        <w:tab/>
        <w:t xml:space="preserve">The statutory prohibition on sealing is clear, and Taylor </w:t>
      </w:r>
      <w:r w:rsidRPr="005E2C10">
        <w:rPr>
          <w:rFonts w:eastAsia="Times New Roman" w:cs="Times New Roman"/>
        </w:rPr>
        <w:t xml:space="preserve">does not </w:t>
      </w:r>
      <w:r>
        <w:rPr>
          <w:rFonts w:eastAsia="Times New Roman" w:cs="Times New Roman"/>
        </w:rPr>
        <w:t>contest</w:t>
      </w:r>
      <w:r w:rsidRPr="005E2C10">
        <w:rPr>
          <w:rFonts w:eastAsia="Times New Roman" w:cs="Times New Roman"/>
        </w:rPr>
        <w:t xml:space="preserve"> that his forcible lewd conduct offenses </w:t>
      </w:r>
      <w:r>
        <w:t xml:space="preserve">met the criteria set forth in </w:t>
      </w:r>
      <w:r w:rsidRPr="005E2C10">
        <w:rPr>
          <w:rFonts w:eastAsia="Times New Roman" w:cs="Times New Roman"/>
        </w:rPr>
        <w:t xml:space="preserve">subdivision (a)(1)(F) </w:t>
      </w:r>
      <w:r>
        <w:rPr>
          <w:rFonts w:eastAsia="Times New Roman" w:cs="Times New Roman"/>
        </w:rPr>
        <w:t>as the</w:t>
      </w:r>
      <w:r>
        <w:t xml:space="preserve"> offenses were listed in section 707, subdivision (b), were committed after he turned 14, and required him to register under Penal Code section 290.008</w:t>
      </w:r>
      <w:r w:rsidRPr="005E2C10">
        <w:rPr>
          <w:rFonts w:eastAsia="Times New Roman" w:cs="Times New Roman"/>
        </w:rPr>
        <w:t xml:space="preserve">. </w:t>
      </w:r>
      <w:r>
        <w:rPr>
          <w:rFonts w:eastAsia="Times New Roman" w:cs="Times New Roman"/>
        </w:rPr>
        <w:t xml:space="preserve"> (See </w:t>
      </w:r>
      <w:r w:rsidRPr="005E2C10">
        <w:rPr>
          <w:rFonts w:eastAsia="Times New Roman" w:cs="Times New Roman"/>
        </w:rPr>
        <w:t>§ </w:t>
      </w:r>
      <w:r>
        <w:rPr>
          <w:rFonts w:eastAsia="Times New Roman" w:cs="Times New Roman"/>
        </w:rPr>
        <w:t>707</w:t>
      </w:r>
      <w:r w:rsidRPr="005E2C10">
        <w:rPr>
          <w:rFonts w:eastAsia="Times New Roman" w:cs="Times New Roman"/>
        </w:rPr>
        <w:t>, subd. (</w:t>
      </w:r>
      <w:r>
        <w:rPr>
          <w:rFonts w:eastAsia="Times New Roman" w:cs="Times New Roman"/>
        </w:rPr>
        <w:t>b</w:t>
      </w:r>
      <w:r w:rsidRPr="005E2C10">
        <w:rPr>
          <w:rFonts w:eastAsia="Times New Roman" w:cs="Times New Roman"/>
        </w:rPr>
        <w:t>)(</w:t>
      </w:r>
      <w:r>
        <w:rPr>
          <w:rFonts w:eastAsia="Times New Roman" w:cs="Times New Roman"/>
        </w:rPr>
        <w:t xml:space="preserve">6); </w:t>
      </w:r>
      <w:r>
        <w:t xml:space="preserve">Pen. Code </w:t>
      </w:r>
      <w:r w:rsidRPr="005E2C10">
        <w:rPr>
          <w:rFonts w:eastAsia="Times New Roman" w:cs="Times New Roman"/>
        </w:rPr>
        <w:t>§</w:t>
      </w:r>
      <w:r>
        <w:rPr>
          <w:rFonts w:eastAsia="Times New Roman" w:cs="Times New Roman"/>
        </w:rPr>
        <w:t> </w:t>
      </w:r>
      <w:r>
        <w:t>290.</w:t>
      </w:r>
      <w:r w:rsidRPr="003E27D0">
        <w:t>008(c)(2).)</w:t>
      </w:r>
      <w:r>
        <w:t xml:space="preserve">  Nevertheless, r</w:t>
      </w:r>
      <w:r w:rsidRPr="003E27D0">
        <w:t xml:space="preserve">elying on </w:t>
      </w:r>
      <w:r w:rsidRPr="003E27D0">
        <w:rPr>
          <w:i/>
          <w:iCs/>
        </w:rPr>
        <w:t>In re David T.</w:t>
      </w:r>
      <w:r w:rsidRPr="003E27D0">
        <w:t xml:space="preserve"> </w:t>
      </w:r>
      <w:r w:rsidRPr="003E27D0">
        <w:rPr>
          <w:rFonts w:eastAsia="Times New Roman" w:cs="Times New Roman"/>
          <w:color w:val="000000"/>
        </w:rPr>
        <w:t>(2017) 13 Cal.App.5th 866</w:t>
      </w:r>
      <w:r>
        <w:rPr>
          <w:rFonts w:eastAsia="Times New Roman" w:cs="Times New Roman"/>
          <w:color w:val="000000"/>
        </w:rPr>
        <w:t xml:space="preserve"> (</w:t>
      </w:r>
      <w:r w:rsidRPr="00CB017F">
        <w:rPr>
          <w:rFonts w:eastAsia="Times New Roman" w:cs="Times New Roman"/>
          <w:i/>
          <w:iCs/>
          <w:color w:val="000000"/>
        </w:rPr>
        <w:t>David T.</w:t>
      </w:r>
      <w:r>
        <w:rPr>
          <w:rFonts w:eastAsia="Times New Roman" w:cs="Times New Roman"/>
          <w:color w:val="000000"/>
        </w:rPr>
        <w:t>)</w:t>
      </w:r>
      <w:r w:rsidRPr="003E27D0">
        <w:t>,</w:t>
      </w:r>
      <w:r>
        <w:t xml:space="preserve"> </w:t>
      </w:r>
      <w:r w:rsidRPr="003E27D0">
        <w:t>he urges us to conclude the juvenile court’s dismissal of his petitions under section 782 erased the adjudication of the prior offenses</w:t>
      </w:r>
      <w:r>
        <w:t xml:space="preserve"> such that they are deemed to have never occurred, which relieved him of any future adverse consequences of those offenses, including the sealing limitation </w:t>
      </w:r>
      <w:r w:rsidRPr="005E2C10">
        <w:rPr>
          <w:rFonts w:eastAsia="Times New Roman" w:cs="Times New Roman"/>
        </w:rPr>
        <w:t>in subdivision (a)(1)(F) of section 781</w:t>
      </w:r>
      <w:r>
        <w:rPr>
          <w:rFonts w:eastAsia="Times New Roman" w:cs="Times New Roman"/>
        </w:rPr>
        <w:t xml:space="preserve">. </w:t>
      </w:r>
      <w:r>
        <w:t xml:space="preserve"> We are not persuaded.</w:t>
      </w:r>
    </w:p>
    <w:p w:rsidR="00CF6DAB" w:rsidP="00550C1D">
      <w:pPr>
        <w:spacing w:line="360" w:lineRule="auto"/>
      </w:pPr>
      <w:r>
        <w:tab/>
      </w:r>
      <w:r>
        <w:rPr>
          <w:rFonts w:eastAsia="Times New Roman" w:cs="Times New Roman"/>
          <w:color w:val="000000"/>
        </w:rPr>
        <w:t xml:space="preserve">In </w:t>
      </w:r>
      <w:r>
        <w:rPr>
          <w:rFonts w:eastAsia="Times New Roman" w:cs="Times New Roman"/>
          <w:i/>
          <w:iCs/>
          <w:color w:val="000000"/>
        </w:rPr>
        <w:t>David T.</w:t>
      </w:r>
      <w:r>
        <w:rPr>
          <w:rFonts w:eastAsia="Times New Roman" w:cs="Times New Roman"/>
          <w:color w:val="000000"/>
        </w:rPr>
        <w:t xml:space="preserve">, </w:t>
      </w:r>
      <w:r>
        <w:t>our colleagues</w:t>
      </w:r>
      <w:r>
        <w:rPr>
          <w:rFonts w:eastAsia="Times New Roman" w:cs="Times New Roman"/>
          <w:color w:val="000000"/>
        </w:rPr>
        <w:t xml:space="preserve"> concluded the then-current version of section </w:t>
      </w:r>
      <w:r w:rsidRPr="00DA0597">
        <w:rPr>
          <w:rFonts w:eastAsia="Times New Roman" w:cs="Times New Roman"/>
          <w:color w:val="000000"/>
        </w:rPr>
        <w:t>782 was a general dismissal statute</w:t>
      </w:r>
      <w:r>
        <w:rPr>
          <w:rFonts w:eastAsia="Times New Roman" w:cs="Times New Roman"/>
          <w:color w:val="000000"/>
        </w:rPr>
        <w:t xml:space="preserve">; therefore, </w:t>
      </w:r>
      <w:r w:rsidRPr="00DA0597">
        <w:rPr>
          <w:rFonts w:eastAsia="Times New Roman" w:cs="Times New Roman"/>
          <w:color w:val="000000"/>
        </w:rPr>
        <w:t>dismissal under that section was “</w:t>
      </w:r>
      <w:r w:rsidRPr="00107AA7">
        <w:rPr>
          <w:rFonts w:eastAsia="Times New Roman" w:cs="Times New Roman"/>
          <w:color w:val="000000"/>
        </w:rPr>
        <w:t>intended to erase a prior adjudication—not merely reduce or mitigate it—and to thereby protect the person from any and all future adverse consequences based on that adjudication</w:t>
      </w:r>
      <w:r w:rsidRPr="00DA0597">
        <w:rPr>
          <w:rFonts w:eastAsia="Times New Roman" w:cs="Times New Roman"/>
          <w:color w:val="000000"/>
        </w:rPr>
        <w:t xml:space="preserve">,” including relief from a </w:t>
      </w:r>
      <w:r w:rsidRPr="00AB366B">
        <w:rPr>
          <w:rFonts w:eastAsia="Times New Roman" w:cs="Times New Roman"/>
          <w:color w:val="000000"/>
        </w:rPr>
        <w:t xml:space="preserve">limitation on sealing </w:t>
      </w:r>
      <w:r>
        <w:rPr>
          <w:rFonts w:eastAsia="Times New Roman" w:cs="Times New Roman"/>
          <w:color w:val="000000"/>
        </w:rPr>
        <w:t>pursuant to</w:t>
      </w:r>
      <w:r w:rsidRPr="00AB366B">
        <w:rPr>
          <w:rFonts w:eastAsia="Times New Roman" w:cs="Times New Roman"/>
          <w:color w:val="000000"/>
        </w:rPr>
        <w:t xml:space="preserve"> section </w:t>
      </w:r>
      <w:r w:rsidRPr="00774AC0">
        <w:rPr>
          <w:rFonts w:eastAsia="Times New Roman" w:cs="Times New Roman"/>
        </w:rPr>
        <w:t>781.</w:t>
      </w:r>
      <w:r>
        <w:rPr>
          <w:rStyle w:val="FootnoteReference"/>
          <w:rFonts w:eastAsia="Times New Roman" w:cs="Times New Roman"/>
        </w:rPr>
        <w:footnoteReference w:id="3"/>
      </w:r>
      <w:r w:rsidRPr="00774AC0">
        <w:rPr>
          <w:rFonts w:eastAsia="Times New Roman" w:cs="Times New Roman"/>
        </w:rPr>
        <w:t xml:space="preserve">  </w:t>
      </w:r>
      <w:r w:rsidRPr="00AB366B">
        <w:rPr>
          <w:rFonts w:eastAsia="Times New Roman" w:cs="Times New Roman"/>
          <w:color w:val="000000"/>
        </w:rPr>
        <w:t>(</w:t>
      </w:r>
      <w:r>
        <w:rPr>
          <w:rFonts w:eastAsia="Times New Roman" w:cs="Times New Roman"/>
          <w:i/>
          <w:iCs/>
          <w:color w:val="000000"/>
        </w:rPr>
        <w:t>David T.,</w:t>
      </w:r>
      <w:r w:rsidRPr="00AB366B">
        <w:rPr>
          <w:rFonts w:eastAsia="Times New Roman" w:cs="Times New Roman"/>
          <w:color w:val="000000"/>
        </w:rPr>
        <w:t xml:space="preserve"> </w:t>
      </w:r>
      <w:r w:rsidRPr="001F2E3F">
        <w:rPr>
          <w:i/>
          <w:iCs/>
        </w:rPr>
        <w:t>supra</w:t>
      </w:r>
      <w:r>
        <w:t xml:space="preserve">, </w:t>
      </w:r>
      <w:r w:rsidRPr="003E27D0">
        <w:rPr>
          <w:rFonts w:eastAsia="Times New Roman" w:cs="Times New Roman"/>
          <w:color w:val="000000"/>
        </w:rPr>
        <w:t xml:space="preserve">13 Cal.App.5th </w:t>
      </w:r>
      <w:r w:rsidRPr="00AB366B">
        <w:rPr>
          <w:rFonts w:eastAsia="Times New Roman" w:cs="Times New Roman"/>
          <w:color w:val="000000"/>
        </w:rPr>
        <w:t>at p.</w:t>
      </w:r>
      <w:r>
        <w:rPr>
          <w:rFonts w:eastAsia="Times New Roman" w:cs="Times New Roman"/>
          <w:color w:val="000000"/>
        </w:rPr>
        <w:t> </w:t>
      </w:r>
      <w:r w:rsidRPr="00AB366B">
        <w:rPr>
          <w:rFonts w:eastAsia="Times New Roman" w:cs="Times New Roman"/>
          <w:color w:val="000000"/>
        </w:rPr>
        <w:t>877.)</w:t>
      </w:r>
      <w:r>
        <w:t xml:space="preserve">  Taylor’s reliance on </w:t>
      </w:r>
      <w:r>
        <w:rPr>
          <w:i/>
          <w:iCs/>
        </w:rPr>
        <w:t xml:space="preserve">David T. </w:t>
      </w:r>
      <w:r>
        <w:t>is unavailing because it interpreted an earlier version of section 782 that—</w:t>
      </w:r>
      <w:r w:rsidRPr="00DF5E86">
        <w:rPr>
          <w:i/>
          <w:iCs/>
        </w:rPr>
        <w:t>unlike the current version</w:t>
      </w:r>
      <w:r>
        <w:t xml:space="preserve">—did not </w:t>
      </w:r>
      <w:r w:rsidRPr="00AB366B">
        <w:rPr>
          <w:rFonts w:eastAsia="Times New Roman" w:cs="Times New Roman"/>
          <w:color w:val="000000"/>
        </w:rPr>
        <w:t>include any limitations on the relief offered by dismissal</w:t>
      </w:r>
      <w:r>
        <w:t>.  (</w:t>
      </w:r>
      <w:r w:rsidRPr="001F2E3F">
        <w:rPr>
          <w:i/>
          <w:iCs/>
        </w:rPr>
        <w:t>David T</w:t>
      </w:r>
      <w:r>
        <w:t xml:space="preserve">., </w:t>
      </w:r>
      <w:r>
        <w:rPr>
          <w:rFonts w:eastAsia="Times New Roman" w:cs="Times New Roman"/>
          <w:color w:val="000000"/>
        </w:rPr>
        <w:t xml:space="preserve">at pp. 873–874.)  </w:t>
      </w:r>
    </w:p>
    <w:p w:rsidR="00CF6DAB" w:rsidRPr="00DF5E86" w:rsidP="00550C1D">
      <w:pPr>
        <w:spacing w:line="360" w:lineRule="auto"/>
        <w:rPr>
          <w:rFonts w:eastAsia="Times New Roman" w:cs="Times New Roman"/>
          <w:color w:val="000000"/>
        </w:rPr>
      </w:pPr>
      <w:r>
        <w:tab/>
      </w:r>
      <w:r>
        <w:rPr>
          <w:rFonts w:eastAsia="Times New Roman" w:cs="Times New Roman"/>
          <w:color w:val="000000"/>
        </w:rPr>
        <w:t xml:space="preserve">The </w:t>
      </w:r>
      <w:r>
        <w:rPr>
          <w:rFonts w:eastAsia="Times New Roman" w:cs="Times New Roman"/>
          <w:i/>
          <w:iCs/>
          <w:color w:val="000000"/>
        </w:rPr>
        <w:t xml:space="preserve">David T. </w:t>
      </w:r>
      <w:r>
        <w:rPr>
          <w:rFonts w:eastAsia="Times New Roman" w:cs="Times New Roman"/>
          <w:color w:val="000000"/>
        </w:rPr>
        <w:t>court observed that, had the Legislature intended a dismissal under section 782 to have prospective adverse consequences for the person even after dismissal, it could have explicitly said so.  (</w:t>
      </w:r>
      <w:r>
        <w:rPr>
          <w:rFonts w:eastAsia="Times New Roman" w:cs="Times New Roman"/>
          <w:i/>
          <w:iCs/>
          <w:color w:val="000000"/>
        </w:rPr>
        <w:t>David T.,</w:t>
      </w:r>
      <w:r w:rsidRPr="00AB366B">
        <w:rPr>
          <w:rFonts w:eastAsia="Times New Roman" w:cs="Times New Roman"/>
          <w:color w:val="000000"/>
        </w:rPr>
        <w:t xml:space="preserve"> </w:t>
      </w:r>
      <w:r w:rsidRPr="001F2E3F">
        <w:rPr>
          <w:i/>
          <w:iCs/>
        </w:rPr>
        <w:t>supra</w:t>
      </w:r>
      <w:r>
        <w:t xml:space="preserve">, </w:t>
      </w:r>
      <w:r w:rsidRPr="003E27D0">
        <w:rPr>
          <w:rFonts w:eastAsia="Times New Roman" w:cs="Times New Roman"/>
          <w:color w:val="000000"/>
        </w:rPr>
        <w:t xml:space="preserve">13 Cal.App.5th </w:t>
      </w:r>
      <w:r w:rsidRPr="008E744F">
        <w:rPr>
          <w:rFonts w:eastAsia="Times New Roman" w:cs="Times New Roman"/>
          <w:color w:val="000000"/>
        </w:rPr>
        <w:t>at p.</w:t>
      </w:r>
      <w:r>
        <w:rPr>
          <w:rFonts w:eastAsia="Times New Roman" w:cs="Times New Roman"/>
          <w:color w:val="000000"/>
        </w:rPr>
        <w:t xml:space="preserve"> 875.)  </w:t>
      </w:r>
      <w:r>
        <w:t xml:space="preserve">After </w:t>
      </w:r>
      <w:r>
        <w:rPr>
          <w:i/>
          <w:iCs/>
        </w:rPr>
        <w:t xml:space="preserve">David T. </w:t>
      </w:r>
      <w:r>
        <w:t xml:space="preserve">was decided, that </w:t>
      </w:r>
      <w:r>
        <w:rPr>
          <w:rFonts w:eastAsia="Times New Roman" w:cs="Times New Roman"/>
          <w:color w:val="000000"/>
        </w:rPr>
        <w:t xml:space="preserve">is precisely what occurred with the enactment of A.B. 2629, which </w:t>
      </w:r>
      <w:r>
        <w:t>amended section 782 to state that dismissal of a petition under that section “does not alone constitute a sealing of records” under section 781.</w:t>
      </w:r>
      <w:r w:rsidRPr="005E2C10">
        <w:rPr>
          <w:rFonts w:eastAsia="Times New Roman" w:cs="Times New Roman"/>
        </w:rPr>
        <w:t xml:space="preserve"> </w:t>
      </w:r>
      <w:r>
        <w:rPr>
          <w:rFonts w:eastAsia="Times New Roman" w:cs="Times New Roman"/>
        </w:rPr>
        <w:t xml:space="preserve"> </w:t>
      </w:r>
      <w:r w:rsidRPr="005E2C10">
        <w:rPr>
          <w:rFonts w:eastAsia="Times New Roman" w:cs="Times New Roman"/>
        </w:rPr>
        <w:t xml:space="preserve">(§ 782, subd. (e); see </w:t>
      </w:r>
      <w:r>
        <w:rPr>
          <w:rFonts w:eastAsia="Times New Roman" w:cs="Times New Roman"/>
          <w:color w:val="000000"/>
        </w:rPr>
        <w:t xml:space="preserve">A.B. 2629, </w:t>
      </w:r>
      <w:r w:rsidRPr="005E2C10">
        <w:rPr>
          <w:rFonts w:eastAsia="Times New Roman" w:cs="Times New Roman"/>
        </w:rPr>
        <w:t>§ 1</w:t>
      </w:r>
      <w:r>
        <w:rPr>
          <w:rFonts w:eastAsia="Times New Roman" w:cs="Times New Roman"/>
        </w:rPr>
        <w:t xml:space="preserve">.)  </w:t>
      </w:r>
    </w:p>
    <w:p w:rsidR="00CF6DAB" w:rsidRPr="006205F5" w:rsidP="00550C1D">
      <w:pPr>
        <w:spacing w:line="360" w:lineRule="auto"/>
        <w:rPr>
          <w:rFonts w:eastAsia="Times New Roman" w:cs="Times New Roman"/>
          <w:color w:val="000000"/>
        </w:rPr>
      </w:pPr>
      <w:r>
        <w:tab/>
      </w:r>
      <w:r>
        <w:rPr>
          <w:rFonts w:eastAsia="Times New Roman" w:cs="Times New Roman"/>
        </w:rPr>
        <w:t>This amended statutory language is unambiguous.</w:t>
      </w:r>
      <w:r>
        <w:rPr>
          <w:rStyle w:val="FootnoteReference"/>
          <w:rFonts w:eastAsia="Times New Roman" w:cs="Times New Roman"/>
        </w:rPr>
        <w:footnoteReference w:id="4"/>
      </w:r>
      <w:r>
        <w:rPr>
          <w:rFonts w:eastAsia="Times New Roman" w:cs="Times New Roman"/>
        </w:rPr>
        <w:t xml:space="preserve"> </w:t>
      </w:r>
      <w:r w:rsidRPr="00B7102A">
        <w:rPr>
          <w:rFonts w:eastAsia="Times New Roman" w:cs="Times New Roman"/>
        </w:rPr>
        <w:t xml:space="preserve"> </w:t>
      </w:r>
      <w:r>
        <w:t xml:space="preserve">Accordingly, we conclude that, given the intervening amendment to section 782, the reasoning of </w:t>
      </w:r>
      <w:r>
        <w:rPr>
          <w:i/>
          <w:iCs/>
        </w:rPr>
        <w:t xml:space="preserve">David T. </w:t>
      </w:r>
      <w:r>
        <w:t xml:space="preserve">no longer applies to the extent it held dismissal under section 782 automatically releases the person from the sealing limitations in section 781.  (See </w:t>
      </w:r>
      <w:r w:rsidRPr="00A8612B">
        <w:rPr>
          <w:rFonts w:eastAsia="Times New Roman" w:cs="Times New Roman"/>
          <w:i/>
          <w:iCs/>
          <w:color w:val="3D3D3D"/>
          <w:bdr w:val="none" w:sz="0" w:space="0" w:color="auto" w:frame="1"/>
        </w:rPr>
        <w:t>David T.</w:t>
      </w:r>
      <w:r>
        <w:rPr>
          <w:rFonts w:eastAsia="Times New Roman" w:cs="Times New Roman"/>
          <w:color w:val="000000"/>
        </w:rPr>
        <w:t xml:space="preserve">, </w:t>
      </w:r>
      <w:r w:rsidRPr="00F765AD">
        <w:rPr>
          <w:rFonts w:eastAsia="Times New Roman" w:cs="Times New Roman"/>
          <w:i/>
          <w:iCs/>
          <w:color w:val="000000"/>
        </w:rPr>
        <w:t>supra</w:t>
      </w:r>
      <w:r>
        <w:rPr>
          <w:rFonts w:eastAsia="Times New Roman" w:cs="Times New Roman"/>
          <w:color w:val="000000"/>
        </w:rPr>
        <w:t xml:space="preserve">, </w:t>
      </w:r>
      <w:r w:rsidRPr="00F765AD">
        <w:rPr>
          <w:rFonts w:eastAsia="Times New Roman" w:cs="Times New Roman"/>
          <w:color w:val="000000"/>
        </w:rPr>
        <w:t>13</w:t>
      </w:r>
      <w:r w:rsidRPr="00A8612B">
        <w:rPr>
          <w:rFonts w:eastAsia="Times New Roman" w:cs="Times New Roman"/>
          <w:color w:val="000000"/>
        </w:rPr>
        <w:t xml:space="preserve"> Cal.App.5th </w:t>
      </w:r>
      <w:r w:rsidRPr="008E744F">
        <w:rPr>
          <w:rFonts w:eastAsia="Times New Roman" w:cs="Times New Roman"/>
          <w:color w:val="000000"/>
        </w:rPr>
        <w:t>at p</w:t>
      </w:r>
      <w:r>
        <w:rPr>
          <w:rFonts w:eastAsia="Times New Roman" w:cs="Times New Roman"/>
          <w:color w:val="000000"/>
        </w:rPr>
        <w:t>p</w:t>
      </w:r>
      <w:r w:rsidRPr="008E744F">
        <w:rPr>
          <w:rFonts w:eastAsia="Times New Roman" w:cs="Times New Roman"/>
          <w:color w:val="000000"/>
        </w:rPr>
        <w:t>.</w:t>
      </w:r>
      <w:r>
        <w:rPr>
          <w:rFonts w:eastAsia="Times New Roman" w:cs="Times New Roman"/>
          <w:color w:val="000000"/>
        </w:rPr>
        <w:t> 875–877</w:t>
      </w:r>
      <w:r>
        <w:rPr>
          <w:rFonts w:eastAsia="Times New Roman" w:cs="Times New Roman"/>
        </w:rPr>
        <w:t>.)</w:t>
      </w:r>
    </w:p>
    <w:p w:rsidR="00CF6DAB" w:rsidP="00550C1D">
      <w:pPr>
        <w:spacing w:line="360" w:lineRule="auto"/>
        <w:rPr>
          <w:rFonts w:cs="Times New Roman"/>
        </w:rPr>
      </w:pPr>
      <w:r>
        <w:tab/>
        <w:t>As</w:t>
      </w:r>
      <w:r>
        <w:rPr>
          <w:rFonts w:eastAsia="Times New Roman" w:cs="Times New Roman"/>
          <w:color w:val="000000"/>
        </w:rPr>
        <w:t xml:space="preserve"> dismissal of Taylor’s petitions under section 782 did not serve to automatically “erase” his prior adjudications or release him from the prohibition on sealing in </w:t>
      </w:r>
      <w:r w:rsidRPr="005E2C10">
        <w:rPr>
          <w:rFonts w:eastAsia="Times New Roman" w:cs="Times New Roman"/>
        </w:rPr>
        <w:t xml:space="preserve">subdivision (a)(1)(F) </w:t>
      </w:r>
      <w:r>
        <w:rPr>
          <w:rFonts w:eastAsia="Times New Roman" w:cs="Times New Roman"/>
        </w:rPr>
        <w:t xml:space="preserve">of </w:t>
      </w:r>
      <w:r>
        <w:rPr>
          <w:rFonts w:eastAsia="Times New Roman" w:cs="Times New Roman"/>
          <w:color w:val="000000"/>
        </w:rPr>
        <w:t xml:space="preserve">section 781 and </w:t>
      </w:r>
      <w:r>
        <w:t xml:space="preserve">Taylor’s underlying offenses precluded sealing pursuant to section 781, </w:t>
      </w:r>
      <w:r w:rsidRPr="00922E9D">
        <w:rPr>
          <w:rFonts w:cs="Times New Roman"/>
        </w:rPr>
        <w:t>the</w:t>
      </w:r>
      <w:r>
        <w:rPr>
          <w:rFonts w:cs="Times New Roman"/>
        </w:rPr>
        <w:t xml:space="preserve"> </w:t>
      </w:r>
      <w:r>
        <w:rPr>
          <w:rFonts w:eastAsia="Times New Roman" w:cs="Times New Roman"/>
          <w:color w:val="000000"/>
        </w:rPr>
        <w:t>juvenile court correctly denied the motion to seal</w:t>
      </w:r>
      <w:r>
        <w:rPr>
          <w:rFonts w:cs="Times New Roman"/>
        </w:rPr>
        <w:t xml:space="preserve">.  </w:t>
      </w:r>
      <w:r>
        <w:rPr>
          <w:rFonts w:eastAsia="Times New Roman" w:cs="Times New Roman"/>
          <w:color w:val="000000"/>
        </w:rPr>
        <w:t>(</w:t>
      </w:r>
      <w:r w:rsidRPr="00387BE1">
        <w:rPr>
          <w:rFonts w:eastAsia="Times New Roman" w:cs="Times New Roman"/>
          <w:color w:val="000000"/>
        </w:rPr>
        <w:t>Cf.</w:t>
      </w:r>
      <w:r>
        <w:rPr>
          <w:rFonts w:eastAsia="Times New Roman" w:cs="Times New Roman"/>
          <w:i/>
          <w:iCs/>
          <w:color w:val="000000"/>
        </w:rPr>
        <w:t xml:space="preserve"> </w:t>
      </w:r>
      <w:r w:rsidRPr="00A8612B">
        <w:rPr>
          <w:rFonts w:eastAsia="Times New Roman" w:cs="Times New Roman"/>
          <w:i/>
          <w:iCs/>
          <w:color w:val="3D3D3D"/>
          <w:bdr w:val="none" w:sz="0" w:space="0" w:color="auto" w:frame="1"/>
        </w:rPr>
        <w:t>David T.</w:t>
      </w:r>
      <w:r>
        <w:rPr>
          <w:rFonts w:eastAsia="Times New Roman" w:cs="Times New Roman"/>
          <w:color w:val="000000"/>
        </w:rPr>
        <w:t xml:space="preserve">, </w:t>
      </w:r>
      <w:r w:rsidRPr="00387BE1">
        <w:rPr>
          <w:rFonts w:eastAsia="Times New Roman" w:cs="Times New Roman"/>
          <w:i/>
          <w:iCs/>
          <w:color w:val="000000"/>
        </w:rPr>
        <w:t>supra</w:t>
      </w:r>
      <w:r>
        <w:rPr>
          <w:rFonts w:eastAsia="Times New Roman" w:cs="Times New Roman"/>
          <w:color w:val="000000"/>
        </w:rPr>
        <w:t xml:space="preserve">, </w:t>
      </w:r>
      <w:r w:rsidRPr="00A8612B">
        <w:rPr>
          <w:rFonts w:eastAsia="Times New Roman" w:cs="Times New Roman"/>
          <w:color w:val="000000"/>
        </w:rPr>
        <w:t xml:space="preserve">13 Cal.App.5th </w:t>
      </w:r>
      <w:r w:rsidRPr="008E744F">
        <w:rPr>
          <w:rFonts w:eastAsia="Times New Roman" w:cs="Times New Roman"/>
          <w:color w:val="000000"/>
        </w:rPr>
        <w:t>at</w:t>
      </w:r>
      <w:r>
        <w:rPr>
          <w:rFonts w:eastAsia="Times New Roman" w:cs="Times New Roman"/>
          <w:color w:val="000000"/>
        </w:rPr>
        <w:t xml:space="preserve"> p. 877.)  </w:t>
      </w:r>
    </w:p>
    <w:p w:rsidR="00CF6DAB" w:rsidP="00F67392">
      <w:pPr>
        <w:jc w:val="center"/>
        <w:rPr>
          <w:rFonts w:cs="Times New Roman"/>
        </w:rPr>
      </w:pPr>
      <w:r w:rsidRPr="00AF5B78">
        <w:rPr>
          <w:b/>
          <w:bCs/>
          <w:smallCaps/>
        </w:rPr>
        <w:t>Dis</w:t>
      </w:r>
      <w:r>
        <w:rPr>
          <w:b/>
          <w:bCs/>
          <w:smallCaps/>
        </w:rPr>
        <w:t>position</w:t>
      </w:r>
    </w:p>
    <w:p w:rsidR="00CF6DAB" w:rsidP="00550C1D">
      <w:pPr>
        <w:spacing w:line="360" w:lineRule="auto"/>
      </w:pPr>
      <w:r>
        <w:rPr>
          <w:rFonts w:cs="Times New Roman"/>
        </w:rPr>
        <w:tab/>
      </w:r>
      <w:r w:rsidRPr="00AF5B78">
        <w:rPr>
          <w:rFonts w:cs="Times New Roman"/>
        </w:rPr>
        <w:t xml:space="preserve">The </w:t>
      </w:r>
      <w:r>
        <w:rPr>
          <w:rFonts w:cs="Times New Roman"/>
        </w:rPr>
        <w:t>order</w:t>
      </w:r>
      <w:r w:rsidRPr="00EE6EA7">
        <w:t xml:space="preserve"> </w:t>
      </w:r>
      <w:r>
        <w:t>denying Taylor’s motion to seal his juvenile court records is affirmed.</w:t>
      </w:r>
      <w:r w:rsidRPr="005F4AB2">
        <w:t xml:space="preserve"> </w:t>
      </w:r>
    </w:p>
    <w:p w:rsidR="00CF6DAB">
      <w:pPr>
        <w:tabs>
          <w:tab w:val="clear" w:pos="720"/>
        </w:tabs>
        <w:spacing w:line="240" w:lineRule="auto"/>
      </w:pPr>
      <w:r>
        <w:br w:type="page"/>
      </w:r>
    </w:p>
    <w:p w:rsidR="00CF6DAB" w:rsidP="00771024">
      <w:pPr>
        <w:spacing w:line="240" w:lineRule="auto"/>
      </w:pPr>
    </w:p>
    <w:p w:rsidR="00CF6DAB" w:rsidP="00771024">
      <w:pPr>
        <w:spacing w:line="240" w:lineRule="auto"/>
      </w:pPr>
      <w:r>
        <w:tab/>
      </w:r>
      <w:r>
        <w:tab/>
      </w:r>
      <w:r>
        <w:tab/>
      </w:r>
      <w:r>
        <w:tab/>
      </w:r>
      <w:r>
        <w:tab/>
      </w:r>
      <w:r>
        <w:tab/>
      </w:r>
      <w:r>
        <w:tab/>
        <w:t>_________________________</w:t>
      </w:r>
    </w:p>
    <w:p w:rsidR="00CF6DAB" w:rsidP="00771024">
      <w:pPr>
        <w:spacing w:line="240" w:lineRule="auto"/>
      </w:pPr>
      <w:r>
        <w:tab/>
      </w:r>
      <w:r>
        <w:tab/>
      </w:r>
      <w:r>
        <w:tab/>
      </w:r>
      <w:r>
        <w:tab/>
      </w:r>
      <w:r>
        <w:tab/>
      </w:r>
      <w:r>
        <w:tab/>
      </w:r>
      <w:r>
        <w:tab/>
        <w:t>Petrou, J.</w:t>
      </w:r>
    </w:p>
    <w:p w:rsidR="00CF6DAB" w:rsidP="00771024">
      <w:pPr>
        <w:spacing w:line="240" w:lineRule="auto"/>
      </w:pPr>
    </w:p>
    <w:p w:rsidR="00CF6DAB" w:rsidP="00771024">
      <w:pPr>
        <w:spacing w:line="240" w:lineRule="auto"/>
      </w:pPr>
    </w:p>
    <w:p w:rsidR="00CF6DAB" w:rsidP="00771024">
      <w:pPr>
        <w:spacing w:line="240" w:lineRule="auto"/>
      </w:pPr>
      <w:r>
        <w:t>WE CONCUR:</w:t>
      </w:r>
    </w:p>
    <w:p w:rsidR="00CF6DAB" w:rsidP="00771024">
      <w:pPr>
        <w:spacing w:line="240" w:lineRule="auto"/>
      </w:pPr>
    </w:p>
    <w:p w:rsidR="00CF6DAB" w:rsidP="00771024">
      <w:pPr>
        <w:spacing w:line="240" w:lineRule="auto"/>
      </w:pPr>
    </w:p>
    <w:p w:rsidR="00CF6DAB" w:rsidP="00771024">
      <w:pPr>
        <w:spacing w:line="240" w:lineRule="auto"/>
      </w:pPr>
      <w:r>
        <w:t>_________________________</w:t>
      </w:r>
    </w:p>
    <w:p w:rsidR="00CF6DAB" w:rsidP="00771024">
      <w:pPr>
        <w:spacing w:line="240" w:lineRule="auto"/>
      </w:pPr>
      <w:r>
        <w:t>Tucher, P.J.</w:t>
      </w:r>
    </w:p>
    <w:p w:rsidR="00CF6DAB" w:rsidP="00771024">
      <w:pPr>
        <w:spacing w:line="240" w:lineRule="auto"/>
      </w:pPr>
    </w:p>
    <w:p w:rsidR="00CF6DAB" w:rsidP="00771024">
      <w:pPr>
        <w:spacing w:line="240" w:lineRule="auto"/>
      </w:pPr>
    </w:p>
    <w:p w:rsidR="00CF6DAB" w:rsidP="00771024">
      <w:pPr>
        <w:spacing w:line="240" w:lineRule="auto"/>
      </w:pPr>
      <w:r>
        <w:t>_________________________</w:t>
      </w:r>
    </w:p>
    <w:p w:rsidR="00CF6DAB" w:rsidP="00771024">
      <w:pPr>
        <w:spacing w:line="240" w:lineRule="auto"/>
      </w:pPr>
      <w:r>
        <w:t>Fujisaki, J.</w:t>
      </w: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pPr>
    </w:p>
    <w:p w:rsidR="00CF6DAB" w:rsidP="00771024">
      <w:pPr>
        <w:spacing w:line="240" w:lineRule="auto"/>
        <w:rPr>
          <w:i/>
          <w:iCs/>
        </w:rPr>
      </w:pPr>
      <w:r>
        <w:t>A168282/</w:t>
      </w:r>
      <w:r w:rsidRPr="00771024">
        <w:rPr>
          <w:i/>
          <w:iCs/>
        </w:rPr>
        <w:t>People v. Taylor C.</w:t>
      </w:r>
    </w:p>
    <w:p w:rsidR="00CF6DAB" w:rsidP="0054398D">
      <w:pPr>
        <w:tabs>
          <w:tab w:val="clear" w:pos="720"/>
          <w:tab w:val="left" w:pos="1440"/>
        </w:tabs>
        <w:spacing w:line="240" w:lineRule="auto"/>
      </w:pPr>
      <w:r>
        <w:t>Trial Court:</w:t>
      </w:r>
      <w:r>
        <w:tab/>
      </w:r>
      <w:r>
        <w:tab/>
        <w:t>Solano County Superior Court</w:t>
      </w:r>
    </w:p>
    <w:p w:rsidR="00CF6DAB" w:rsidP="0054398D">
      <w:pPr>
        <w:tabs>
          <w:tab w:val="clear" w:pos="720"/>
          <w:tab w:val="left" w:pos="1440"/>
        </w:tabs>
        <w:spacing w:line="240" w:lineRule="auto"/>
      </w:pPr>
    </w:p>
    <w:p w:rsidR="00CF6DAB" w:rsidP="0054398D">
      <w:pPr>
        <w:tabs>
          <w:tab w:val="clear" w:pos="720"/>
          <w:tab w:val="left" w:pos="1440"/>
        </w:tabs>
        <w:spacing w:line="240" w:lineRule="auto"/>
      </w:pPr>
      <w:r>
        <w:t>Trial Judge:</w:t>
      </w:r>
      <w:r>
        <w:tab/>
        <w:t>Hon. Terrye Davis</w:t>
      </w:r>
    </w:p>
    <w:p w:rsidR="00CF6DAB" w:rsidP="0054398D">
      <w:pPr>
        <w:tabs>
          <w:tab w:val="clear" w:pos="720"/>
          <w:tab w:val="left" w:pos="1440"/>
        </w:tabs>
        <w:spacing w:line="240" w:lineRule="auto"/>
      </w:pPr>
    </w:p>
    <w:p w:rsidR="00CF6DAB" w:rsidP="0054398D">
      <w:pPr>
        <w:tabs>
          <w:tab w:val="clear" w:pos="720"/>
          <w:tab w:val="left" w:pos="1440"/>
        </w:tabs>
        <w:spacing w:line="240" w:lineRule="auto"/>
        <w:ind w:left="2160" w:hanging="2160"/>
      </w:pPr>
      <w:r>
        <w:t>Counsel:</w:t>
      </w:r>
      <w:r>
        <w:tab/>
      </w:r>
      <w:r>
        <w:tab/>
        <w:t>Rob Bonta, Attorney General, Lance E. Winters, Chief Assistant Attorney General, Jeffrey M. Laurence, Senior Assistant Attorney General, Katie Stowe, Deputy Attorney General, and Charlotte Woodfork, Deputy Attorney General, for Plaintiff and Respondent.</w:t>
      </w:r>
    </w:p>
    <w:p w:rsidR="00CF6DAB" w:rsidP="0054398D">
      <w:pPr>
        <w:tabs>
          <w:tab w:val="clear" w:pos="720"/>
          <w:tab w:val="left" w:pos="1440"/>
        </w:tabs>
        <w:spacing w:line="240" w:lineRule="auto"/>
        <w:ind w:left="2160" w:hanging="2160"/>
      </w:pPr>
    </w:p>
    <w:p w:rsidR="00CF6DAB" w:rsidP="0054398D">
      <w:pPr>
        <w:tabs>
          <w:tab w:val="clear" w:pos="720"/>
          <w:tab w:val="left" w:pos="1440"/>
        </w:tabs>
        <w:spacing w:line="240" w:lineRule="auto"/>
        <w:ind w:left="2160" w:hanging="2160"/>
        <w:rPr>
          <w:rFonts w:ascii="Times New Roman" w:hAnsi="Times New Roman"/>
        </w:rPr>
      </w:pPr>
      <w:r>
        <w:tab/>
      </w:r>
      <w:r>
        <w:tab/>
        <w:t>First District Appellate Project, Charles B. Holzhauer, for Defendant and Appellant.</w:t>
      </w:r>
    </w:p>
    <w:p w:rsidR="00CF6DAB" w:rsidRPr="0054398D" w:rsidP="00771024">
      <w:pPr>
        <w:spacing w:line="240" w:lineRule="auto"/>
      </w:pPr>
    </w:p>
    <w:sectPr w:rsidSect="008C56A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DAB" w:rsidP="00640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F6DAB" w:rsidP="00640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F6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DAB" w:rsidP="00640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F6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6DAB" w:rsidP="00F67392">
      <w:pPr>
        <w:spacing w:line="240" w:lineRule="auto"/>
      </w:pPr>
      <w:r>
        <w:separator/>
      </w:r>
    </w:p>
  </w:footnote>
  <w:footnote w:type="continuationSeparator" w:id="1">
    <w:p w:rsidR="00CF6DAB" w:rsidP="00F67392">
      <w:pPr>
        <w:spacing w:line="240" w:lineRule="auto"/>
      </w:pPr>
      <w:r>
        <w:continuationSeparator/>
      </w:r>
    </w:p>
  </w:footnote>
  <w:footnote w:id="2">
    <w:p w:rsidR="00CF6DAB" w:rsidRPr="00FD1F73" w:rsidP="00FD1F73">
      <w:pPr>
        <w:spacing w:line="240" w:lineRule="auto"/>
        <w:rPr>
          <w:rFonts w:cs="Times New Roman"/>
        </w:rPr>
      </w:pPr>
      <w:r w:rsidRPr="00C55FBE">
        <w:rPr>
          <w:rStyle w:val="FootnoteReference"/>
        </w:rPr>
        <w:footnoteRef/>
      </w:r>
      <w:r w:rsidRPr="00C55FBE">
        <w:t xml:space="preserve"> </w:t>
      </w:r>
      <w:r w:rsidRPr="00C55FBE">
        <w:tab/>
      </w:r>
      <w:r>
        <w:rPr>
          <w:rFonts w:cs="Times New Roman"/>
        </w:rPr>
        <w:t>All further</w:t>
      </w:r>
      <w:r w:rsidRPr="009C3113">
        <w:rPr>
          <w:rFonts w:cs="Times New Roman"/>
        </w:rPr>
        <w:t xml:space="preserve"> </w:t>
      </w:r>
      <w:r>
        <w:rPr>
          <w:rFonts w:cs="Times New Roman"/>
        </w:rPr>
        <w:t>undesignated s</w:t>
      </w:r>
      <w:r w:rsidRPr="009C3113">
        <w:rPr>
          <w:rFonts w:cs="Times New Roman"/>
        </w:rPr>
        <w:t xml:space="preserve">tatutory references are to the </w:t>
      </w:r>
      <w:r>
        <w:rPr>
          <w:rFonts w:cs="Times New Roman"/>
        </w:rPr>
        <w:t>Welfare and Institutions</w:t>
      </w:r>
      <w:r w:rsidRPr="009C3113">
        <w:rPr>
          <w:rFonts w:cs="Times New Roman"/>
        </w:rPr>
        <w:t xml:space="preserve"> Code.</w:t>
      </w:r>
      <w:r>
        <w:rPr>
          <w:rFonts w:cs="Times New Roman"/>
        </w:rPr>
        <w:t xml:space="preserve"> </w:t>
      </w:r>
    </w:p>
  </w:footnote>
  <w:footnote w:id="3">
    <w:p w:rsidR="00CF6DAB" w:rsidRPr="00C36212" w:rsidP="00F67392">
      <w:pPr>
        <w:pStyle w:val="FootnoteText"/>
      </w:pPr>
      <w:r w:rsidRPr="0091456D">
        <w:rPr>
          <w:rStyle w:val="FootnoteReference"/>
        </w:rPr>
        <w:footnoteRef/>
      </w:r>
      <w:r w:rsidRPr="0091456D">
        <w:t xml:space="preserve"> </w:t>
      </w:r>
      <w:r w:rsidRPr="0091456D">
        <w:tab/>
        <w:t>The then-current version of section 781 stated: “</w:t>
      </w:r>
      <w:r>
        <w:t> ‘</w:t>
      </w:r>
      <w:r w:rsidRPr="0091456D">
        <w:rPr>
          <w:rFonts w:eastAsia="Times New Roman" w:cs="Times New Roman"/>
        </w:rPr>
        <w:t>Notwithstanding any other law, the court shall not order the person’s records sealed in any case in which the person has been found by the juvenile court to have committed an offense</w:t>
      </w:r>
      <w:r>
        <w:rPr>
          <w:rFonts w:eastAsia="Times New Roman" w:cs="Times New Roman"/>
        </w:rPr>
        <w:t xml:space="preserve"> . . .</w:t>
      </w:r>
      <w:r w:rsidRPr="0091456D">
        <w:rPr>
          <w:rFonts w:eastAsia="Times New Roman" w:cs="Times New Roman"/>
        </w:rPr>
        <w:t xml:space="preserve"> listed in subdivision (b) of Section 707 when he or she attained 14 years of age or older.</w:t>
      </w:r>
      <w:r>
        <w:rPr>
          <w:rFonts w:eastAsia="Times New Roman" w:cs="Times New Roman"/>
        </w:rPr>
        <w:t>’ </w:t>
      </w:r>
      <w:r w:rsidRPr="0091456D">
        <w:rPr>
          <w:rFonts w:eastAsia="Times New Roman" w:cs="Times New Roman"/>
        </w:rPr>
        <w:t>”  (</w:t>
      </w:r>
      <w:r w:rsidRPr="0091456D">
        <w:rPr>
          <w:rFonts w:eastAsia="Times New Roman" w:cs="Times New Roman"/>
          <w:i/>
          <w:iCs/>
          <w:bdr w:val="none" w:sz="0" w:space="0" w:color="auto" w:frame="1"/>
        </w:rPr>
        <w:t>David T.</w:t>
      </w:r>
      <w:r w:rsidRPr="0091456D">
        <w:rPr>
          <w:rFonts w:eastAsia="Times New Roman" w:cs="Times New Roman"/>
        </w:rPr>
        <w:t xml:space="preserve">, </w:t>
      </w:r>
      <w:r w:rsidRPr="0091456D">
        <w:rPr>
          <w:rFonts w:eastAsia="Times New Roman" w:cs="Times New Roman"/>
          <w:i/>
          <w:iCs/>
        </w:rPr>
        <w:t>supra</w:t>
      </w:r>
      <w:r w:rsidRPr="0091456D">
        <w:rPr>
          <w:rFonts w:eastAsia="Times New Roman" w:cs="Times New Roman"/>
        </w:rPr>
        <w:t>, 13 Cal.App.5th at p. 870, fn. 2.)  Section 781 was thereafter amended to allow a juvenile court to seal records related to offenses listed in subdivision (b) of section 707 if certain criteria are met.  (§ 781, subds. (a)(1)(D), (E); see Sen. Bill No. 312, Stats. 2017, ch. 679, § 1.)</w:t>
      </w:r>
      <w:r>
        <w:t xml:space="preserve"> </w:t>
      </w:r>
      <w:r w:rsidRPr="0091456D">
        <w:t xml:space="preserve"> However, that same amendment created a narrower sealing prohibition under subdivision (a)(1)(F) of section 781 for a subset of</w:t>
      </w:r>
      <w:r w:rsidRPr="0091456D">
        <w:rPr>
          <w:rFonts w:eastAsia="Times New Roman" w:cs="Times New Roman"/>
        </w:rPr>
        <w:t xml:space="preserve"> </w:t>
      </w:r>
      <w:r w:rsidRPr="0091456D">
        <w:t xml:space="preserve">sex offenses, like Taylor’s forcible lewd conduct offenses.  </w:t>
      </w:r>
      <w:r w:rsidRPr="0091456D">
        <w:rPr>
          <w:rFonts w:eastAsia="Times New Roman" w:cs="Times New Roman"/>
        </w:rPr>
        <w:t>(§ 781, subd. (a)(1)(F); see Sen. Bill No. 312, Stats. 2017, ch. 679, § 1.)</w:t>
      </w:r>
    </w:p>
  </w:footnote>
  <w:footnote w:id="4">
    <w:p w:rsidR="00CF6DAB" w:rsidP="00F67392">
      <w:pPr>
        <w:pStyle w:val="FootnoteText"/>
      </w:pPr>
      <w:r>
        <w:rPr>
          <w:rStyle w:val="FootnoteReference"/>
        </w:rPr>
        <w:footnoteRef/>
      </w:r>
      <w:r>
        <w:t xml:space="preserve"> </w:t>
      </w:r>
      <w:r>
        <w:tab/>
        <w:t xml:space="preserve">For this reason, we do not reach the parties’ arguments concerning the legislative intent of section 782 or whether sealing Taylor’s records would serve the interests of justice.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92"/>
    <w:pPr>
      <w:tabs>
        <w:tab w:val="left" w:pos="720"/>
      </w:tabs>
      <w:spacing w:line="480" w:lineRule="atLeast"/>
    </w:pPr>
    <w:rPr>
      <w:rFonts w:ascii="Century Schoolbook" w:hAnsi="Century Schoolbook"/>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392"/>
    <w:pPr>
      <w:tabs>
        <w:tab w:val="center" w:pos="4680"/>
        <w:tab w:val="right" w:pos="9360"/>
      </w:tabs>
      <w:spacing w:line="240" w:lineRule="auto"/>
    </w:pPr>
  </w:style>
  <w:style w:type="character" w:customStyle="1" w:styleId="HeaderChar">
    <w:name w:val="Header Char"/>
    <w:basedOn w:val="DefaultParagraphFont"/>
    <w:link w:val="Header"/>
    <w:uiPriority w:val="99"/>
    <w:rsid w:val="00F67392"/>
    <w:rPr>
      <w:rFonts w:ascii="Century Schoolbook" w:hAnsi="Century Schoolbook"/>
      <w:sz w:val="26"/>
      <w:szCs w:val="26"/>
    </w:rPr>
  </w:style>
  <w:style w:type="paragraph" w:styleId="Footer">
    <w:name w:val="footer"/>
    <w:basedOn w:val="Normal"/>
    <w:link w:val="FooterChar"/>
    <w:uiPriority w:val="99"/>
    <w:unhideWhenUsed/>
    <w:rsid w:val="00F67392"/>
    <w:pPr>
      <w:tabs>
        <w:tab w:val="center" w:pos="4680"/>
        <w:tab w:val="right" w:pos="9360"/>
      </w:tabs>
      <w:spacing w:line="240" w:lineRule="auto"/>
    </w:pPr>
  </w:style>
  <w:style w:type="character" w:customStyle="1" w:styleId="FooterChar">
    <w:name w:val="Footer Char"/>
    <w:basedOn w:val="DefaultParagraphFont"/>
    <w:link w:val="Footer"/>
    <w:uiPriority w:val="99"/>
    <w:rsid w:val="00F67392"/>
    <w:rPr>
      <w:rFonts w:ascii="Century Schoolbook" w:hAnsi="Century Schoolbook"/>
      <w:sz w:val="26"/>
      <w:szCs w:val="26"/>
    </w:rPr>
  </w:style>
  <w:style w:type="character" w:styleId="PageNumber">
    <w:name w:val="page number"/>
    <w:basedOn w:val="DefaultParagraphFont"/>
    <w:uiPriority w:val="99"/>
    <w:semiHidden/>
    <w:unhideWhenUsed/>
    <w:rsid w:val="00F67392"/>
  </w:style>
  <w:style w:type="paragraph" w:styleId="FootnoteText">
    <w:name w:val="footnote text"/>
    <w:link w:val="FootnoteTextChar"/>
    <w:uiPriority w:val="99"/>
    <w:unhideWhenUsed/>
    <w:rsid w:val="00F67392"/>
    <w:rPr>
      <w:rFonts w:ascii="Century Schoolbook" w:hAnsi="Century Schoolbook"/>
      <w:sz w:val="26"/>
      <w:szCs w:val="20"/>
    </w:rPr>
  </w:style>
  <w:style w:type="character" w:customStyle="1" w:styleId="FootnoteTextChar">
    <w:name w:val="Footnote Text Char"/>
    <w:basedOn w:val="DefaultParagraphFont"/>
    <w:link w:val="FootnoteText"/>
    <w:uiPriority w:val="99"/>
    <w:rsid w:val="00F67392"/>
    <w:rPr>
      <w:rFonts w:ascii="Century Schoolbook" w:hAnsi="Century Schoolbook"/>
      <w:sz w:val="26"/>
      <w:szCs w:val="20"/>
    </w:rPr>
  </w:style>
  <w:style w:type="character" w:styleId="FootnoteReference">
    <w:name w:val="footnote reference"/>
    <w:basedOn w:val="DefaultParagraphFont"/>
    <w:uiPriority w:val="99"/>
    <w:semiHidden/>
    <w:unhideWhenUsed/>
    <w:rsid w:val="00F67392"/>
    <w:rPr>
      <w:vertAlign w:val="superscript"/>
    </w:rPr>
  </w:style>
  <w:style w:type="character" w:customStyle="1" w:styleId="cf01">
    <w:name w:val="cf01"/>
    <w:basedOn w:val="DefaultParagraphFont"/>
    <w:rsid w:val="00F67392"/>
    <w:rPr>
      <w:rFonts w:ascii="Segoe UI" w:hAnsi="Segoe UI" w:cs="Segoe UI" w:hint="default"/>
      <w:sz w:val="18"/>
      <w:szCs w:val="18"/>
    </w:rPr>
  </w:style>
  <w:style w:type="paragraph" w:styleId="Revision">
    <w:name w:val="Revision"/>
    <w:hidden/>
    <w:uiPriority w:val="99"/>
    <w:semiHidden/>
    <w:rsid w:val="00433A59"/>
    <w:rPr>
      <w:rFonts w:ascii="Century Schoolbook" w:hAnsi="Century Schoolbook"/>
      <w:sz w:val="26"/>
      <w:szCs w:val="26"/>
    </w:rPr>
  </w:style>
  <w:style w:type="character" w:styleId="CommentReference">
    <w:name w:val="annotation reference"/>
    <w:basedOn w:val="DefaultParagraphFont"/>
    <w:uiPriority w:val="99"/>
    <w:semiHidden/>
    <w:unhideWhenUsed/>
    <w:rsid w:val="00433A59"/>
    <w:rPr>
      <w:sz w:val="16"/>
      <w:szCs w:val="16"/>
    </w:rPr>
  </w:style>
  <w:style w:type="paragraph" w:styleId="CommentText">
    <w:name w:val="annotation text"/>
    <w:basedOn w:val="Normal"/>
    <w:link w:val="CommentTextChar"/>
    <w:uiPriority w:val="99"/>
    <w:unhideWhenUsed/>
    <w:rsid w:val="00433A59"/>
    <w:pPr>
      <w:spacing w:line="240" w:lineRule="auto"/>
    </w:pPr>
    <w:rPr>
      <w:sz w:val="20"/>
      <w:szCs w:val="20"/>
    </w:rPr>
  </w:style>
  <w:style w:type="character" w:customStyle="1" w:styleId="CommentTextChar">
    <w:name w:val="Comment Text Char"/>
    <w:basedOn w:val="DefaultParagraphFont"/>
    <w:link w:val="CommentText"/>
    <w:uiPriority w:val="99"/>
    <w:rsid w:val="00433A59"/>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433A59"/>
    <w:rPr>
      <w:b/>
      <w:bCs/>
    </w:rPr>
  </w:style>
  <w:style w:type="character" w:customStyle="1" w:styleId="CommentSubjectChar">
    <w:name w:val="Comment Subject Char"/>
    <w:basedOn w:val="CommentTextChar"/>
    <w:link w:val="CommentSubject"/>
    <w:uiPriority w:val="99"/>
    <w:semiHidden/>
    <w:rsid w:val="00433A59"/>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2024-04-16T22:46:45Z</dcterms:created>
  <dcterms:modified xsi:type="dcterms:W3CDTF">2024-04-16T22:46:45Z</dcterms:modified>
</cp:coreProperties>
</file>