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A7DE9" w:rsidP="00CA4264" w14:paraId="6503DB58" w14:textId="2CF04892">
      <w:pPr>
        <w:tabs>
          <w:tab w:val="left" w:pos="1060"/>
        </w:tabs>
        <w:spacing w:line="240" w:lineRule="auto"/>
        <w:rPr>
          <w:sz w:val="20"/>
        </w:rPr>
      </w:pPr>
      <w:r>
        <w:rPr>
          <w:sz w:val="20"/>
        </w:rPr>
        <w:t xml:space="preserve">Filed </w:t>
      </w:r>
      <w:r w:rsidR="00CA4264">
        <w:rPr>
          <w:sz w:val="20"/>
        </w:rPr>
        <w:t>1/22/24</w:t>
      </w:r>
    </w:p>
    <w:p w:rsidR="000A7DE9" w:rsidP="000A7DE9" w14:paraId="454A6151" w14:textId="77777777">
      <w:pPr>
        <w:spacing w:line="240" w:lineRule="auto"/>
        <w:jc w:val="center"/>
        <w:rPr>
          <w:b/>
        </w:rPr>
      </w:pPr>
      <w:r>
        <w:rPr>
          <w:b/>
        </w:rPr>
        <w:t>CERTIFIED FOR PUBLICATION</w:t>
      </w:r>
    </w:p>
    <w:p w:rsidR="000A7DE9" w:rsidP="000A7DE9" w14:paraId="5A6E20D8" w14:textId="77777777">
      <w:pPr>
        <w:spacing w:line="240" w:lineRule="auto"/>
        <w:jc w:val="center"/>
      </w:pPr>
    </w:p>
    <w:p w:rsidR="00370816" w:rsidRPr="00676179" w:rsidP="000A7DE9" w14:paraId="0642D4F1" w14:textId="51844594">
      <w:pPr>
        <w:spacing w:line="240" w:lineRule="auto"/>
        <w:jc w:val="center"/>
      </w:pPr>
      <w:r w:rsidRPr="00676179">
        <w:t>IN THE COURT OF APPEAL OF THE STATE OF CALIFORNIA</w:t>
      </w:r>
    </w:p>
    <w:p w:rsidR="00370816" w:rsidRPr="00676179" w:rsidP="00370816" w14:paraId="4CEFD241" w14:textId="77777777">
      <w:pPr>
        <w:spacing w:line="240" w:lineRule="auto"/>
        <w:jc w:val="center"/>
      </w:pPr>
    </w:p>
    <w:p w:rsidR="00370816" w:rsidRPr="00676179" w:rsidP="00370816" w14:paraId="2761E400" w14:textId="77777777">
      <w:pPr>
        <w:spacing w:line="240" w:lineRule="auto"/>
        <w:jc w:val="center"/>
      </w:pPr>
      <w:r w:rsidRPr="00676179">
        <w:t>FIRST APPELLATE DISTRICT</w:t>
      </w:r>
    </w:p>
    <w:p w:rsidR="00370816" w:rsidRPr="00676179" w:rsidP="00370816" w14:paraId="7174AC6A" w14:textId="77777777">
      <w:pPr>
        <w:spacing w:line="240" w:lineRule="auto"/>
        <w:jc w:val="center"/>
      </w:pPr>
    </w:p>
    <w:p w:rsidR="00370816" w:rsidRPr="00676179" w:rsidP="00370816" w14:paraId="2407453D" w14:textId="77777777">
      <w:pPr>
        <w:spacing w:line="240" w:lineRule="auto"/>
        <w:jc w:val="center"/>
      </w:pPr>
      <w:r w:rsidRPr="00676179">
        <w:t>DIVISION THREE</w:t>
      </w:r>
    </w:p>
    <w:p w:rsidR="00370816" w:rsidRPr="00676179" w:rsidP="00370816" w14:paraId="45F7E9D6" w14:textId="77777777">
      <w:pPr>
        <w:spacing w:line="240" w:lineRule="auto"/>
        <w:jc w:val="center"/>
      </w:pPr>
    </w:p>
    <w:p w:rsidR="00370816" w:rsidRPr="00676179" w:rsidP="00370816" w14:paraId="52D284D1" w14:textId="77777777">
      <w:pPr>
        <w:spacing w:line="240" w:lineRule="auto"/>
        <w:jc w:val="center"/>
      </w:pPr>
    </w:p>
    <w:tbl>
      <w:tblPr>
        <w:tblW w:w="9540" w:type="dxa"/>
        <w:tblLayout w:type="fixed"/>
        <w:tblLook w:val="0000"/>
      </w:tblPr>
      <w:tblGrid>
        <w:gridCol w:w="4770"/>
        <w:gridCol w:w="4770"/>
      </w:tblGrid>
      <w:tr w14:paraId="7417FD3E" w14:textId="77777777" w:rsidTr="0013566C">
        <w:tblPrEx>
          <w:tblW w:w="9540" w:type="dxa"/>
          <w:tblLayout w:type="fixed"/>
          <w:tblLook w:val="0000"/>
        </w:tblPrEx>
        <w:tc>
          <w:tcPr>
            <w:tcW w:w="4770" w:type="dxa"/>
            <w:tcBorders>
              <w:bottom w:val="single" w:sz="4" w:space="0" w:color="auto"/>
              <w:right w:val="single" w:sz="4" w:space="0" w:color="auto"/>
            </w:tcBorders>
            <w:shd w:val="clear" w:color="auto" w:fill="auto"/>
          </w:tcPr>
          <w:p w:rsidR="00370816" w:rsidRPr="00676179" w:rsidP="0013566C" w14:paraId="713E2A1A" w14:textId="697F2100">
            <w:pPr>
              <w:spacing w:after="120" w:line="240" w:lineRule="auto"/>
            </w:pPr>
            <w:r>
              <w:t>LORING DE MARTINI</w:t>
            </w:r>
            <w:r w:rsidRPr="00676179">
              <w:t>,</w:t>
            </w:r>
          </w:p>
          <w:p w:rsidR="00370816" w:rsidRPr="00676179" w:rsidP="0013566C" w14:paraId="78E22206" w14:textId="4C4C128A">
            <w:pPr>
              <w:spacing w:after="120" w:line="240" w:lineRule="auto"/>
            </w:pPr>
            <w:r w:rsidRPr="00676179">
              <w:tab/>
              <w:t>Petitioner,</w:t>
            </w:r>
          </w:p>
          <w:p w:rsidR="00370816" w:rsidRPr="00676179" w:rsidP="0013566C" w14:paraId="164046AE" w14:textId="77777777">
            <w:pPr>
              <w:spacing w:after="120" w:line="240" w:lineRule="auto"/>
            </w:pPr>
            <w:r w:rsidRPr="00676179">
              <w:t>v.</w:t>
            </w:r>
          </w:p>
          <w:p w:rsidR="00370816" w:rsidRPr="00676179" w:rsidP="0013566C" w14:paraId="3AE4367C" w14:textId="446236FF">
            <w:pPr>
              <w:spacing w:after="120" w:line="240" w:lineRule="auto"/>
            </w:pPr>
            <w:r>
              <w:t xml:space="preserve">THE </w:t>
            </w:r>
            <w:r w:rsidR="007F5C70">
              <w:t>SUPERIOR COURT OF</w:t>
            </w:r>
            <w:r>
              <w:t xml:space="preserve"> SAN MATEO </w:t>
            </w:r>
            <w:r w:rsidR="007F5C70">
              <w:t>COUNTY</w:t>
            </w:r>
            <w:r w:rsidRPr="00676179">
              <w:t>,</w:t>
            </w:r>
          </w:p>
          <w:p w:rsidR="00370816" w:rsidRPr="00676179" w:rsidP="0013566C" w14:paraId="600B1281" w14:textId="77777777">
            <w:pPr>
              <w:spacing w:after="120" w:line="240" w:lineRule="auto"/>
            </w:pPr>
            <w:r w:rsidRPr="00676179">
              <w:tab/>
              <w:t>Respondent;</w:t>
            </w:r>
          </w:p>
          <w:p w:rsidR="00370816" w:rsidRPr="00676179" w:rsidP="0013566C" w14:paraId="23D1C870" w14:textId="77777777">
            <w:pPr>
              <w:spacing w:after="120" w:line="240" w:lineRule="auto"/>
            </w:pPr>
          </w:p>
          <w:p w:rsidR="00370816" w:rsidRPr="00676179" w:rsidP="0013566C" w14:paraId="420347E7" w14:textId="0A7B29EE">
            <w:pPr>
              <w:spacing w:after="120" w:line="240" w:lineRule="auto"/>
            </w:pPr>
            <w:r>
              <w:t>PUJA GUPTA</w:t>
            </w:r>
            <w:r w:rsidRPr="00676179">
              <w:t xml:space="preserve">, </w:t>
            </w:r>
          </w:p>
          <w:p w:rsidR="00370816" w:rsidP="00AD5F7A" w14:paraId="7A543465" w14:textId="06E4B9B8">
            <w:pPr>
              <w:spacing w:line="240" w:lineRule="auto"/>
            </w:pPr>
            <w:r w:rsidRPr="00676179">
              <w:t xml:space="preserve">           Real Part</w:t>
            </w:r>
            <w:r w:rsidR="00CC56C9">
              <w:t>y</w:t>
            </w:r>
            <w:r w:rsidRPr="00676179">
              <w:t xml:space="preserve"> in</w:t>
            </w:r>
            <w:r w:rsidR="000A18D9">
              <w:t xml:space="preserve"> </w:t>
            </w:r>
          </w:p>
          <w:p w:rsidR="00C13F47" w:rsidRPr="00676179" w:rsidP="00B82F23" w14:paraId="12EA533F" w14:textId="08F6300F">
            <w:pPr>
              <w:spacing w:after="120" w:line="240" w:lineRule="auto"/>
            </w:pPr>
            <w:r>
              <w:t xml:space="preserve">           Interest.</w:t>
            </w:r>
          </w:p>
        </w:tc>
        <w:tc>
          <w:tcPr>
            <w:tcW w:w="4770" w:type="dxa"/>
            <w:tcBorders>
              <w:left w:val="single" w:sz="4" w:space="0" w:color="auto"/>
            </w:tcBorders>
            <w:shd w:val="clear" w:color="auto" w:fill="auto"/>
          </w:tcPr>
          <w:p w:rsidR="00370816" w:rsidRPr="00676179" w:rsidP="0013566C" w14:paraId="428841B2" w14:textId="77777777">
            <w:pPr>
              <w:spacing w:after="120" w:line="240" w:lineRule="auto"/>
            </w:pPr>
            <w:r w:rsidRPr="00676179">
              <w:t xml:space="preserve">      </w:t>
            </w:r>
          </w:p>
          <w:p w:rsidR="00370816" w:rsidRPr="00676179" w:rsidP="0013566C" w14:paraId="004D3125" w14:textId="7AB79E01">
            <w:pPr>
              <w:spacing w:after="120" w:line="240" w:lineRule="auto"/>
            </w:pPr>
          </w:p>
          <w:p w:rsidR="00370816" w:rsidRPr="00676179" w:rsidP="0013566C" w14:paraId="2C630600" w14:textId="731277F9">
            <w:pPr>
              <w:spacing w:after="120" w:line="240" w:lineRule="auto"/>
            </w:pPr>
            <w:r w:rsidRPr="00676179">
              <w:t xml:space="preserve">      A16</w:t>
            </w:r>
            <w:r w:rsidR="00401C72">
              <w:t>8529</w:t>
            </w:r>
          </w:p>
          <w:p w:rsidR="00370816" w:rsidRPr="00676179" w:rsidP="0013566C" w14:paraId="6DE9F242" w14:textId="77777777">
            <w:pPr>
              <w:spacing w:line="240" w:lineRule="auto"/>
            </w:pPr>
            <w:r w:rsidRPr="00676179">
              <w:t xml:space="preserve">      </w:t>
            </w:r>
          </w:p>
          <w:p w:rsidR="007673FA" w:rsidP="00401C72" w14:paraId="6DFCB507" w14:textId="0FB57C99">
            <w:pPr>
              <w:spacing w:line="240" w:lineRule="auto"/>
            </w:pPr>
            <w:r w:rsidRPr="00676179">
              <w:t xml:space="preserve">      (</w:t>
            </w:r>
            <w:r w:rsidR="00401C72">
              <w:t>San Mateo County Sup</w:t>
            </w:r>
            <w:r>
              <w:t>er</w:t>
            </w:r>
            <w:r w:rsidR="00401C72">
              <w:t>. Ct.</w:t>
            </w:r>
            <w:r>
              <w:t xml:space="preserve">   </w:t>
            </w:r>
          </w:p>
          <w:p w:rsidR="00370816" w:rsidRPr="00676179" w:rsidP="00401C72" w14:paraId="74C2E6AA" w14:textId="1A94F156">
            <w:pPr>
              <w:spacing w:line="240" w:lineRule="auto"/>
            </w:pPr>
            <w:r>
              <w:t xml:space="preserve">      No</w:t>
            </w:r>
            <w:r w:rsidR="000A18D9">
              <w:t>. 22-CIV-02582</w:t>
            </w:r>
            <w:r w:rsidRPr="00676179">
              <w:t>)</w:t>
            </w:r>
          </w:p>
        </w:tc>
      </w:tr>
    </w:tbl>
    <w:p w:rsidR="008C69C3" w14:paraId="09D66217" w14:textId="3AA55782"/>
    <w:p w:rsidR="003F4A7F" w14:paraId="4D5B9053" w14:textId="6AB9825F">
      <w:r>
        <w:tab/>
      </w:r>
      <w:r w:rsidR="0047632A">
        <w:t>In 2020, Loring De Martini agreed to sell Puja Gupta a commercial property</w:t>
      </w:r>
      <w:r w:rsidR="0029564A">
        <w:t>;</w:t>
      </w:r>
      <w:r>
        <w:t xml:space="preserve"> when</w:t>
      </w:r>
      <w:r w:rsidR="0047632A">
        <w:t xml:space="preserve"> a dispute arose, the</w:t>
      </w:r>
      <w:r w:rsidR="0029564A">
        <w:t>y</w:t>
      </w:r>
      <w:r w:rsidR="0047632A">
        <w:t xml:space="preserve"> engaged in arbitration.  Gupta </w:t>
      </w:r>
      <w:r>
        <w:t xml:space="preserve">filed a petition </w:t>
      </w:r>
      <w:r w:rsidR="0047632A">
        <w:t xml:space="preserve">to confirm </w:t>
      </w:r>
      <w:r w:rsidR="0029564A">
        <w:t>a</w:t>
      </w:r>
      <w:r w:rsidR="0047632A">
        <w:t xml:space="preserve"> </w:t>
      </w:r>
      <w:r w:rsidR="0029564A">
        <w:t xml:space="preserve">subsequent </w:t>
      </w:r>
      <w:r w:rsidR="0047632A">
        <w:t>arbitration award and recorded a lis pendens — “</w:t>
      </w:r>
      <w:r w:rsidRPr="0047632A" w:rsidR="0047632A">
        <w:t>a recorded document giving constructive notice that an action has been filed affecting title or right to possession of the real property described in the notice</w:t>
      </w:r>
      <w:r>
        <w:t>.</w:t>
      </w:r>
      <w:r w:rsidR="0047632A">
        <w:t xml:space="preserve">” </w:t>
      </w:r>
      <w:r>
        <w:t xml:space="preserve"> </w:t>
      </w:r>
      <w:r w:rsidRPr="00591387" w:rsidR="0047632A">
        <w:t>(</w:t>
      </w:r>
      <w:r w:rsidRPr="00591387" w:rsidR="0047632A">
        <w:rPr>
          <w:i/>
          <w:iCs/>
        </w:rPr>
        <w:t>Urez Corp. v. Superior Court</w:t>
      </w:r>
      <w:r w:rsidRPr="00591387" w:rsidR="0047632A">
        <w:t xml:space="preserve"> (1987) 190 Cal.App.3d 1141, 1144</w:t>
      </w:r>
      <w:r>
        <w:t>.</w:t>
      </w:r>
      <w:r w:rsidRPr="00591387" w:rsidR="0047632A">
        <w:t>)</w:t>
      </w:r>
      <w:r>
        <w:t xml:space="preserve">  </w:t>
      </w:r>
      <w:r w:rsidR="00F30DD5">
        <w:t>Gupta obtained a judgment confirming the arbitration award, b</w:t>
      </w:r>
      <w:r w:rsidR="00B82F23">
        <w:t xml:space="preserve">ut she </w:t>
      </w:r>
      <w:r>
        <w:t xml:space="preserve">abandoned the case after </w:t>
      </w:r>
      <w:r w:rsidRPr="00EE7164" w:rsidR="00E55C56">
        <w:t>De</w:t>
      </w:r>
      <w:r w:rsidR="00E55C56">
        <w:t xml:space="preserve"> </w:t>
      </w:r>
      <w:r>
        <w:t xml:space="preserve">Martini </w:t>
      </w:r>
      <w:r w:rsidR="0029564A">
        <w:t xml:space="preserve">successfully moved </w:t>
      </w:r>
      <w:r>
        <w:t>to expunge the lis pendens.</w:t>
      </w:r>
    </w:p>
    <w:p w:rsidR="00CA4264" w:rsidP="009B050A" w14:paraId="03FF2600" w14:textId="77777777">
      <w:r>
        <w:tab/>
        <w:t xml:space="preserve">Gupta </w:t>
      </w:r>
      <w:r w:rsidR="00B82F23">
        <w:t xml:space="preserve">thereafter </w:t>
      </w:r>
      <w:r>
        <w:t xml:space="preserve">filed a new action seeking to compel </w:t>
      </w:r>
      <w:r w:rsidR="00E55C56">
        <w:t xml:space="preserve">De </w:t>
      </w:r>
      <w:r>
        <w:t xml:space="preserve">Martini to </w:t>
      </w:r>
      <w:r w:rsidR="0029564A">
        <w:t xml:space="preserve">complete </w:t>
      </w:r>
      <w:r>
        <w:t>the sale</w:t>
      </w:r>
      <w:r w:rsidR="00B82F23">
        <w:t>, and she recorded another lis pendens on the property</w:t>
      </w:r>
      <w:r>
        <w:t xml:space="preserve">. </w:t>
      </w:r>
      <w:r w:rsidR="00B82F23">
        <w:t xml:space="preserve"> </w:t>
      </w:r>
    </w:p>
    <w:p w:rsidR="00AE78C4" w:rsidP="009B050A" w14:paraId="49C7C087" w14:textId="191CE162">
      <w:r>
        <w:t xml:space="preserve">De </w:t>
      </w:r>
      <w:r w:rsidR="00B82F23">
        <w:t xml:space="preserve">Martini moved to expunge the </w:t>
      </w:r>
      <w:r w:rsidR="00AE2054">
        <w:t xml:space="preserve">new </w:t>
      </w:r>
      <w:r w:rsidR="00B82F23">
        <w:t>lis pendens, arguing</w:t>
      </w:r>
      <w:r w:rsidR="002730EA">
        <w:t>, among other things, that</w:t>
      </w:r>
      <w:r w:rsidR="00B82F23">
        <w:t xml:space="preserve"> Code of </w:t>
      </w:r>
      <w:r w:rsidR="00B67F47">
        <w:t>Civ</w:t>
      </w:r>
      <w:r w:rsidR="00B82F23">
        <w:t xml:space="preserve">il </w:t>
      </w:r>
      <w:r w:rsidR="00B67F47">
        <w:t>Proc</w:t>
      </w:r>
      <w:r w:rsidR="00B82F23">
        <w:t>edure section </w:t>
      </w:r>
      <w:r w:rsidR="00D21BF5">
        <w:t>405.36</w:t>
      </w:r>
      <w:r w:rsidR="00B82F23">
        <w:t xml:space="preserve"> (</w:t>
      </w:r>
      <w:r w:rsidR="00B67F47">
        <w:t>undesignated statutory references are to this code</w:t>
      </w:r>
      <w:r w:rsidR="00B82F23">
        <w:t>)</w:t>
      </w:r>
      <w:r w:rsidR="00B67F47">
        <w:t xml:space="preserve"> </w:t>
      </w:r>
      <w:r w:rsidR="0042760B">
        <w:t xml:space="preserve">required Gupta to seek leave of </w:t>
      </w:r>
      <w:r w:rsidR="00875556">
        <w:t xml:space="preserve">the trial </w:t>
      </w:r>
      <w:r w:rsidR="0042760B">
        <w:t xml:space="preserve">court before </w:t>
      </w:r>
      <w:r w:rsidR="0029564A">
        <w:t xml:space="preserve">its </w:t>
      </w:r>
      <w:r w:rsidR="0042760B">
        <w:t xml:space="preserve">recording because </w:t>
      </w:r>
      <w:r w:rsidR="00875556">
        <w:t xml:space="preserve">it affected the same property </w:t>
      </w:r>
      <w:r w:rsidR="009E79B1">
        <w:t>and was recorded by the same claimant</w:t>
      </w:r>
      <w:r w:rsidR="0096228B">
        <w:t>.</w:t>
      </w:r>
      <w:r w:rsidR="007E54F3">
        <w:t xml:space="preserve"> </w:t>
      </w:r>
      <w:r w:rsidR="00E62AF9">
        <w:t xml:space="preserve"> </w:t>
      </w:r>
      <w:r w:rsidR="00835583">
        <w:t xml:space="preserve">In addition, </w:t>
      </w:r>
      <w:r>
        <w:t xml:space="preserve">De </w:t>
      </w:r>
      <w:r w:rsidR="003206BC">
        <w:t xml:space="preserve">Martini argued Gupta did not establish by a preponderance of the evidence the probable validity of any real property claim. </w:t>
      </w:r>
      <w:r w:rsidR="00174006">
        <w:t xml:space="preserve"> </w:t>
      </w:r>
      <w:r w:rsidR="00782E7F">
        <w:t xml:space="preserve">The trial court </w:t>
      </w:r>
      <w:r w:rsidR="00AE2054">
        <w:t xml:space="preserve">denied the motion, </w:t>
      </w:r>
      <w:r w:rsidR="00782E7F">
        <w:t>conclud</w:t>
      </w:r>
      <w:r w:rsidR="00AE2054">
        <w:t>ing</w:t>
      </w:r>
      <w:r w:rsidR="00782E7F">
        <w:t xml:space="preserve"> </w:t>
      </w:r>
      <w:r w:rsidR="003E3367">
        <w:t xml:space="preserve">section 405.36 </w:t>
      </w:r>
      <w:r w:rsidR="00B32999">
        <w:t>only applie</w:t>
      </w:r>
      <w:r w:rsidR="00AE2054">
        <w:t>s</w:t>
      </w:r>
      <w:r w:rsidR="00B32999">
        <w:t xml:space="preserve"> to successive lis pendens filed in the </w:t>
      </w:r>
      <w:r w:rsidRPr="009B050A" w:rsidR="00B32999">
        <w:rPr>
          <w:i/>
          <w:iCs/>
        </w:rPr>
        <w:t>same</w:t>
      </w:r>
      <w:r w:rsidR="00B32999">
        <w:t xml:space="preserve"> action</w:t>
      </w:r>
      <w:r w:rsidR="0029564A">
        <w:t>,</w:t>
      </w:r>
      <w:r w:rsidR="00AE2054">
        <w:t xml:space="preserve"> and </w:t>
      </w:r>
      <w:r w:rsidR="00B32999">
        <w:t xml:space="preserve">Gupta </w:t>
      </w:r>
      <w:r w:rsidR="00394B77">
        <w:t xml:space="preserve">established a prima facie case </w:t>
      </w:r>
      <w:r w:rsidR="00293458">
        <w:t>regarding the probable validity of a real property claim</w:t>
      </w:r>
      <w:r w:rsidR="00174006">
        <w:t>.</w:t>
      </w:r>
    </w:p>
    <w:p w:rsidR="00174006" w:rsidP="00782E7F" w14:paraId="11A65A21" w14:textId="3EB975E1">
      <w:pPr>
        <w:ind w:firstLine="720"/>
      </w:pPr>
      <w:r>
        <w:t xml:space="preserve">De </w:t>
      </w:r>
      <w:r w:rsidR="00263917">
        <w:t>Martini filed a petition for a writ of mandate</w:t>
      </w:r>
      <w:r w:rsidR="00B82F23">
        <w:t xml:space="preserve">, which </w:t>
      </w:r>
      <w:r w:rsidR="00263917">
        <w:t xml:space="preserve">is the exclusive means for challenging an order denying expungement.  (§ 405.39; </w:t>
      </w:r>
      <w:r w:rsidRPr="00BC6974" w:rsidR="00263917">
        <w:rPr>
          <w:i/>
          <w:iCs/>
        </w:rPr>
        <w:t>J &amp; A Mash &amp; Barrel, LLC v. Superior C</w:t>
      </w:r>
      <w:r w:rsidR="00263917">
        <w:rPr>
          <w:i/>
          <w:iCs/>
        </w:rPr>
        <w:t>ourt</w:t>
      </w:r>
      <w:r w:rsidR="00263917">
        <w:t xml:space="preserve"> (2022) </w:t>
      </w:r>
      <w:r w:rsidRPr="00BC6974" w:rsidR="00263917">
        <w:t>74 Cal.App.5th 1, 1</w:t>
      </w:r>
      <w:r w:rsidR="00263917">
        <w:t>6 (</w:t>
      </w:r>
      <w:r w:rsidRPr="00BC6974" w:rsidR="00263917">
        <w:rPr>
          <w:i/>
          <w:iCs/>
        </w:rPr>
        <w:t>J &amp; A</w:t>
      </w:r>
      <w:r w:rsidR="00263917">
        <w:t xml:space="preserve">).)  </w:t>
      </w:r>
      <w:r w:rsidR="003E5738">
        <w:t xml:space="preserve">We </w:t>
      </w:r>
      <w:r w:rsidR="00B25BEA">
        <w:t>issued an order to show cause because De Martini had no other adequate appellate remedy.  (</w:t>
      </w:r>
      <w:r w:rsidRPr="00B25BEA" w:rsidR="00B25BEA">
        <w:rPr>
          <w:i/>
          <w:iCs/>
        </w:rPr>
        <w:t>Powers v. City of Richmond</w:t>
      </w:r>
      <w:r w:rsidRPr="00B25BEA" w:rsidR="00B25BEA">
        <w:t xml:space="preserve"> (1995) 10 Cal.4th 85, 114</w:t>
      </w:r>
      <w:r w:rsidR="00B25BEA">
        <w:t xml:space="preserve">.)  We now </w:t>
      </w:r>
      <w:r w:rsidR="003E5738">
        <w:t xml:space="preserve">grant </w:t>
      </w:r>
      <w:r w:rsidR="0029564A">
        <w:t xml:space="preserve">the petition for a </w:t>
      </w:r>
      <w:r w:rsidR="003E5738">
        <w:t xml:space="preserve">writ </w:t>
      </w:r>
      <w:r w:rsidR="0029564A">
        <w:t xml:space="preserve">of mandate </w:t>
      </w:r>
      <w:r w:rsidR="003E5738">
        <w:t xml:space="preserve">because </w:t>
      </w:r>
      <w:r w:rsidR="00765E20">
        <w:t xml:space="preserve">the </w:t>
      </w:r>
      <w:r w:rsidR="00AE78C4">
        <w:t xml:space="preserve">trial </w:t>
      </w:r>
      <w:r w:rsidR="00765E20">
        <w:t xml:space="preserve">court erred in both determinations. </w:t>
      </w:r>
    </w:p>
    <w:p w:rsidR="00460954" w:rsidP="00460954" w14:paraId="30F5E485" w14:textId="5A419D4C">
      <w:pPr>
        <w:jc w:val="center"/>
        <w:rPr>
          <w:b/>
          <w:bCs/>
        </w:rPr>
      </w:pPr>
      <w:r>
        <w:rPr>
          <w:b/>
          <w:bCs/>
        </w:rPr>
        <w:t>BACKGROUND</w:t>
      </w:r>
    </w:p>
    <w:p w:rsidR="00460954" w14:paraId="223C4FBE" w14:textId="6A0FA9A2">
      <w:r>
        <w:rPr>
          <w:b/>
          <w:bCs/>
        </w:rPr>
        <w:tab/>
      </w:r>
      <w:r>
        <w:t xml:space="preserve">In January 2020, </w:t>
      </w:r>
      <w:r w:rsidR="00E55C56">
        <w:t xml:space="preserve">De </w:t>
      </w:r>
      <w:r w:rsidR="00FF1B80">
        <w:t>Martini and Gupta entered a $6 million all-cash commercial purchase</w:t>
      </w:r>
      <w:r w:rsidR="004E5DE1">
        <w:t>/</w:t>
      </w:r>
      <w:r w:rsidR="00FF1B80">
        <w:t>sale agreement</w:t>
      </w:r>
      <w:r w:rsidR="00F777E8">
        <w:t xml:space="preserve"> </w:t>
      </w:r>
      <w:r w:rsidR="00E714ED">
        <w:t>for</w:t>
      </w:r>
      <w:r w:rsidR="00F777E8">
        <w:t xml:space="preserve"> property</w:t>
      </w:r>
      <w:r w:rsidR="00664884">
        <w:t xml:space="preserve"> — </w:t>
      </w:r>
      <w:r w:rsidR="00AE2054">
        <w:t xml:space="preserve">site of </w:t>
      </w:r>
      <w:r w:rsidR="00664884">
        <w:t xml:space="preserve">The Van’s </w:t>
      </w:r>
      <w:r w:rsidR="00AE2054">
        <w:t>R</w:t>
      </w:r>
      <w:r w:rsidR="00664884">
        <w:t>estaurant</w:t>
      </w:r>
      <w:r w:rsidR="00AE2054">
        <w:t xml:space="preserve"> </w:t>
      </w:r>
      <w:r w:rsidR="00664884">
        <w:t xml:space="preserve">— </w:t>
      </w:r>
      <w:r w:rsidR="00F777E8">
        <w:t>in Belmont</w:t>
      </w:r>
      <w:r w:rsidR="00AE2054">
        <w:t xml:space="preserve"> (City)</w:t>
      </w:r>
      <w:r w:rsidR="00F777E8">
        <w:t xml:space="preserve">. </w:t>
      </w:r>
      <w:r w:rsidR="00893384">
        <w:t xml:space="preserve"> Within months of entering the agreement, </w:t>
      </w:r>
      <w:r w:rsidR="00E55C56">
        <w:t xml:space="preserve">De </w:t>
      </w:r>
      <w:r w:rsidR="00893384">
        <w:t xml:space="preserve">Martini </w:t>
      </w:r>
      <w:r w:rsidR="007F78D5">
        <w:t>disputed the timing of Gupta’s obligation to pay an additional $850,000</w:t>
      </w:r>
      <w:r w:rsidR="005F61B4">
        <w:t xml:space="preserve"> deposit</w:t>
      </w:r>
      <w:r w:rsidR="007F78D5">
        <w:t xml:space="preserve">.  </w:t>
      </w:r>
      <w:r w:rsidR="006B2F9B">
        <w:t>The</w:t>
      </w:r>
      <w:r w:rsidR="0063107D">
        <w:t xml:space="preserve"> parties</w:t>
      </w:r>
      <w:r w:rsidR="006B2F9B">
        <w:t xml:space="preserve"> engaged in arbitration</w:t>
      </w:r>
      <w:r w:rsidR="0063107D">
        <w:t xml:space="preserve">, and the </w:t>
      </w:r>
      <w:r w:rsidR="004A5ADB">
        <w:t xml:space="preserve">arbitrator </w:t>
      </w:r>
      <w:r w:rsidR="0063107D">
        <w:t xml:space="preserve">determined </w:t>
      </w:r>
      <w:r w:rsidR="00AE2054">
        <w:t xml:space="preserve">the </w:t>
      </w:r>
      <w:r w:rsidR="00664884">
        <w:t xml:space="preserve">obligation to pay the additional deposit was contingent upon a final determination </w:t>
      </w:r>
      <w:r w:rsidR="0063107D">
        <w:t xml:space="preserve">that </w:t>
      </w:r>
      <w:r w:rsidR="00F53F8B">
        <w:t>The Van’s Restaurant is not historical and can be demolished.</w:t>
      </w:r>
    </w:p>
    <w:p w:rsidR="00EE2F1E" w14:paraId="7DB2D704" w14:textId="7EEB19DD">
      <w:r>
        <w:tab/>
      </w:r>
      <w:r w:rsidR="00090A51">
        <w:t>Gupta filed a petition to confirm the arbitration award (</w:t>
      </w:r>
      <w:r w:rsidRPr="003F38AC" w:rsidR="00090A51">
        <w:rPr>
          <w:i/>
          <w:iCs/>
        </w:rPr>
        <w:t>Gupta I</w:t>
      </w:r>
      <w:r w:rsidR="00090A51">
        <w:t>)</w:t>
      </w:r>
      <w:r w:rsidR="004F106E">
        <w:t xml:space="preserve"> and </w:t>
      </w:r>
      <w:r w:rsidR="000D10F6">
        <w:t xml:space="preserve">recorded a </w:t>
      </w:r>
      <w:r w:rsidR="000D604B">
        <w:t xml:space="preserve">2021 </w:t>
      </w:r>
      <w:r w:rsidR="002533AE">
        <w:t>lis pendens</w:t>
      </w:r>
      <w:r w:rsidR="00B34C3A">
        <w:t xml:space="preserve"> on the property. </w:t>
      </w:r>
      <w:r w:rsidR="004F106E">
        <w:t xml:space="preserve"> </w:t>
      </w:r>
      <w:r w:rsidR="00E55C56">
        <w:t xml:space="preserve">De </w:t>
      </w:r>
      <w:r w:rsidR="00C567C3">
        <w:t xml:space="preserve">Martini responded to </w:t>
      </w:r>
      <w:r w:rsidR="00AE2054">
        <w:t xml:space="preserve">the </w:t>
      </w:r>
      <w:r w:rsidR="00C567C3">
        <w:t xml:space="preserve">petition and filed a cross-petition to vacate the award. </w:t>
      </w:r>
      <w:r w:rsidR="00A97425">
        <w:t xml:space="preserve"> The trial court denied the cross-petition and granted the petition to confirm</w:t>
      </w:r>
      <w:r w:rsidR="00CD288D">
        <w:t xml:space="preserve"> the award</w:t>
      </w:r>
      <w:r w:rsidR="00026CB7">
        <w:t xml:space="preserve">. </w:t>
      </w:r>
      <w:r w:rsidR="00470B68">
        <w:t xml:space="preserve"> </w:t>
      </w:r>
      <w:r w:rsidR="000F4790">
        <w:t xml:space="preserve">The </w:t>
      </w:r>
      <w:r w:rsidR="00AE2054">
        <w:t xml:space="preserve">court </w:t>
      </w:r>
      <w:r w:rsidR="000F4790">
        <w:t>signed a</w:t>
      </w:r>
      <w:r w:rsidR="007C3CB8">
        <w:t xml:space="preserve"> judgment, </w:t>
      </w:r>
      <w:r w:rsidR="0031709A">
        <w:t>stating</w:t>
      </w:r>
      <w:r w:rsidR="007C3CB8">
        <w:t xml:space="preserve"> </w:t>
      </w:r>
      <w:r w:rsidR="00E55C56">
        <w:t xml:space="preserve">De </w:t>
      </w:r>
      <w:r w:rsidR="004A1C49">
        <w:t>Martini “must cooperate in facilitating</w:t>
      </w:r>
      <w:r w:rsidR="00856ECA">
        <w:t>” the historical review, and such cooperation “includes, but is not limited to providing relevant documentation, recor</w:t>
      </w:r>
      <w:r w:rsidR="001A32B8">
        <w:t>ds</w:t>
      </w:r>
      <w:r w:rsidR="00856ECA">
        <w:t xml:space="preserve"> and/or signatures required by the City.”  </w:t>
      </w:r>
      <w:r w:rsidR="00736AC9">
        <w:t>Moreover,</w:t>
      </w:r>
      <w:r w:rsidR="007C3CB8">
        <w:t xml:space="preserve"> </w:t>
      </w:r>
      <w:r w:rsidR="005210FE">
        <w:t xml:space="preserve">after </w:t>
      </w:r>
      <w:r w:rsidR="006C572E">
        <w:t>“final determination of the historical issue by the City, Petitioner and Respondent are to move, promptly, to complete this transaction</w:t>
      </w:r>
      <w:r w:rsidR="00A43924">
        <w:t>.”</w:t>
      </w:r>
    </w:p>
    <w:p w:rsidR="00122361" w:rsidP="00FB4640" w14:paraId="18A00009" w14:textId="23EBDA36">
      <w:pPr>
        <w:ind w:firstLine="720"/>
      </w:pPr>
      <w:r>
        <w:t xml:space="preserve">Gupta </w:t>
      </w:r>
      <w:r w:rsidR="0019053D">
        <w:t>moved to</w:t>
      </w:r>
      <w:r>
        <w:t xml:space="preserve"> enforce the judgment.  In November 2021, </w:t>
      </w:r>
      <w:r w:rsidR="00E55C56">
        <w:t xml:space="preserve">De </w:t>
      </w:r>
      <w:r>
        <w:t xml:space="preserve">Martini moved to expunge the </w:t>
      </w:r>
      <w:r w:rsidR="00B76AB2">
        <w:t>lis pendens</w:t>
      </w:r>
      <w:r w:rsidR="00BD2E47">
        <w:t xml:space="preserve"> </w:t>
      </w:r>
      <w:r w:rsidR="00341B29">
        <w:t>as</w:t>
      </w:r>
      <w:r w:rsidR="00BD2E47">
        <w:t xml:space="preserve"> void and invalid.</w:t>
      </w:r>
      <w:r>
        <w:t xml:space="preserve">  </w:t>
      </w:r>
      <w:r w:rsidR="000049FE">
        <w:t>Relevant here, t</w:t>
      </w:r>
      <w:r w:rsidR="007321B0">
        <w:t xml:space="preserve">he </w:t>
      </w:r>
      <w:r w:rsidR="00FB4640">
        <w:t xml:space="preserve">trial </w:t>
      </w:r>
      <w:r w:rsidR="007321B0">
        <w:t xml:space="preserve">court denied Gupta’s motion to enforce the judgment </w:t>
      </w:r>
      <w:r w:rsidR="006C19C5">
        <w:t>because</w:t>
      </w:r>
      <w:r w:rsidR="007A3983">
        <w:t xml:space="preserve"> </w:t>
      </w:r>
      <w:r w:rsidR="006C19C5">
        <w:t xml:space="preserve">notice of entry of the judgment had not been filed and served. </w:t>
      </w:r>
      <w:r w:rsidR="007148C0">
        <w:t xml:space="preserve"> </w:t>
      </w:r>
      <w:r w:rsidR="000049FE">
        <w:t xml:space="preserve">The court also granted </w:t>
      </w:r>
      <w:r w:rsidR="00E55C56">
        <w:t xml:space="preserve">De </w:t>
      </w:r>
      <w:r w:rsidR="000049FE">
        <w:t xml:space="preserve">Martini’s motion to expunge the </w:t>
      </w:r>
      <w:r w:rsidR="00B76AB2">
        <w:t>lis pendens</w:t>
      </w:r>
      <w:r w:rsidR="00BD2E47">
        <w:t xml:space="preserve"> because </w:t>
      </w:r>
      <w:r w:rsidR="00AD2393">
        <w:t xml:space="preserve">the civil proceeding </w:t>
      </w:r>
      <w:r w:rsidR="00BC2974">
        <w:t>was</w:t>
      </w:r>
      <w:r w:rsidR="00AD2393">
        <w:t xml:space="preserve"> solely a petition to confirm the arbitration award</w:t>
      </w:r>
      <w:r w:rsidR="004C5494">
        <w:t xml:space="preserve"> </w:t>
      </w:r>
      <w:r w:rsidR="00AD2393">
        <w:t>—</w:t>
      </w:r>
      <w:r w:rsidR="004C5494">
        <w:t xml:space="preserve"> </w:t>
      </w:r>
      <w:r w:rsidR="00AD2393">
        <w:t xml:space="preserve">there </w:t>
      </w:r>
      <w:r w:rsidR="00BC2974">
        <w:t>was</w:t>
      </w:r>
      <w:r w:rsidR="00AD2393">
        <w:t xml:space="preserve"> no real property claim and no cause of action </w:t>
      </w:r>
      <w:r w:rsidR="009D1E27">
        <w:t>to</w:t>
      </w:r>
      <w:r w:rsidR="00AD2393">
        <w:t xml:space="preserve"> quiet title.</w:t>
      </w:r>
    </w:p>
    <w:p w:rsidR="00341115" w:rsidRPr="00E95F01" w:rsidP="00FB4640" w14:paraId="40BB9851" w14:textId="7F8B7866">
      <w:pPr>
        <w:ind w:firstLine="720"/>
      </w:pPr>
      <w:r>
        <w:t xml:space="preserve">After abandoning the litigation in </w:t>
      </w:r>
      <w:r>
        <w:rPr>
          <w:i/>
          <w:iCs/>
        </w:rPr>
        <w:t>Gupta I</w:t>
      </w:r>
      <w:r>
        <w:t xml:space="preserve">, Gupta filed another complaint against </w:t>
      </w:r>
      <w:r w:rsidR="00E55C56">
        <w:t xml:space="preserve">De </w:t>
      </w:r>
      <w:r>
        <w:t xml:space="preserve">Martini </w:t>
      </w:r>
      <w:r w:rsidR="00E95F01">
        <w:t>(</w:t>
      </w:r>
      <w:r w:rsidR="00E95F01">
        <w:rPr>
          <w:i/>
          <w:iCs/>
        </w:rPr>
        <w:t>Gupta II</w:t>
      </w:r>
      <w:r w:rsidR="00E95F01">
        <w:t>)</w:t>
      </w:r>
      <w:r w:rsidR="00AE2054">
        <w:t xml:space="preserve"> in which she</w:t>
      </w:r>
      <w:r w:rsidR="00E95F01">
        <w:t xml:space="preserve"> </w:t>
      </w:r>
      <w:r w:rsidR="00572131">
        <w:t>request</w:t>
      </w:r>
      <w:r w:rsidR="00AE2054">
        <w:t>ed</w:t>
      </w:r>
      <w:r w:rsidR="00572131">
        <w:t xml:space="preserve"> an order </w:t>
      </w:r>
      <w:r w:rsidR="00D749F0">
        <w:t xml:space="preserve">requiring </w:t>
      </w:r>
      <w:r w:rsidR="00E55C56">
        <w:t xml:space="preserve">De </w:t>
      </w:r>
      <w:r w:rsidR="00D749F0">
        <w:t xml:space="preserve">Martini to execute </w:t>
      </w:r>
      <w:r w:rsidR="008113EA">
        <w:t xml:space="preserve">the </w:t>
      </w:r>
      <w:r w:rsidR="009F4980">
        <w:t xml:space="preserve">development application documents </w:t>
      </w:r>
      <w:r w:rsidR="00B855AB">
        <w:t xml:space="preserve">to allow </w:t>
      </w:r>
      <w:r w:rsidR="00D33BDC">
        <w:t xml:space="preserve">the City </w:t>
      </w:r>
      <w:r w:rsidR="00B855AB">
        <w:t xml:space="preserve">to complete </w:t>
      </w:r>
      <w:r w:rsidR="00D33BDC">
        <w:t>its</w:t>
      </w:r>
      <w:r w:rsidR="00B855AB">
        <w:t xml:space="preserve"> historical review process</w:t>
      </w:r>
      <w:r w:rsidR="0060609B">
        <w:t xml:space="preserve">.  She also requested an order requiring </w:t>
      </w:r>
      <w:r w:rsidR="00E55C56">
        <w:t xml:space="preserve">De </w:t>
      </w:r>
      <w:r w:rsidR="0060609B">
        <w:t>Martini</w:t>
      </w:r>
      <w:r w:rsidR="009F4980">
        <w:t xml:space="preserve"> </w:t>
      </w:r>
      <w:r w:rsidR="00B855AB">
        <w:t xml:space="preserve">to </w:t>
      </w:r>
      <w:r w:rsidR="009F4980">
        <w:t xml:space="preserve">complete the terms of the sale under the original purchase agreement. </w:t>
      </w:r>
      <w:r w:rsidR="00DC6EAC">
        <w:t xml:space="preserve"> </w:t>
      </w:r>
      <w:r w:rsidR="0060609B">
        <w:t>She</w:t>
      </w:r>
      <w:r w:rsidR="00DC6EAC">
        <w:t xml:space="preserve"> </w:t>
      </w:r>
      <w:r w:rsidR="00B76AB2">
        <w:t>recorded</w:t>
      </w:r>
      <w:r w:rsidR="00DC6EAC">
        <w:t xml:space="preserve"> </w:t>
      </w:r>
      <w:r w:rsidR="00990021">
        <w:t>a</w:t>
      </w:r>
      <w:r w:rsidR="00B76AB2">
        <w:t>nother lis pendens on</w:t>
      </w:r>
      <w:r w:rsidR="00A96DFE">
        <w:t xml:space="preserve"> the same property</w:t>
      </w:r>
      <w:r w:rsidR="00990021">
        <w:t>, noting</w:t>
      </w:r>
      <w:r w:rsidR="00C26575">
        <w:t xml:space="preserve"> her action for specific performance affects real property. </w:t>
      </w:r>
      <w:r w:rsidR="00A6791F">
        <w:t xml:space="preserve"> </w:t>
      </w:r>
      <w:r w:rsidR="00E55C56">
        <w:t xml:space="preserve">De </w:t>
      </w:r>
      <w:r w:rsidR="00A6791F">
        <w:t>Martini moved to ex</w:t>
      </w:r>
      <w:r w:rsidR="004D7007">
        <w:t xml:space="preserve">punge </w:t>
      </w:r>
      <w:r w:rsidR="00CD4F85">
        <w:t xml:space="preserve">the </w:t>
      </w:r>
      <w:r w:rsidR="005210FE">
        <w:t xml:space="preserve">latest </w:t>
      </w:r>
      <w:r w:rsidR="00064871">
        <w:t>lis pendens</w:t>
      </w:r>
      <w:r w:rsidR="003A5C08">
        <w:t>.</w:t>
      </w:r>
    </w:p>
    <w:p w:rsidR="006F55B0" w14:paraId="1FE2083E" w14:textId="53917997">
      <w:r>
        <w:tab/>
      </w:r>
      <w:r w:rsidR="00907567">
        <w:t xml:space="preserve">The trial court </w:t>
      </w:r>
      <w:r w:rsidR="00640C51">
        <w:t xml:space="preserve">denied </w:t>
      </w:r>
      <w:r w:rsidR="00E55C56">
        <w:t xml:space="preserve">De </w:t>
      </w:r>
      <w:r w:rsidR="00640C51">
        <w:t xml:space="preserve">Martini’s </w:t>
      </w:r>
      <w:r w:rsidR="005210FE">
        <w:t xml:space="preserve">expungement </w:t>
      </w:r>
      <w:r w:rsidR="00640C51">
        <w:t xml:space="preserve">request. </w:t>
      </w:r>
      <w:r w:rsidR="00C64274">
        <w:t xml:space="preserve"> It explained the complaint stated a real property claim </w:t>
      </w:r>
      <w:r w:rsidR="006942BC">
        <w:t xml:space="preserve">since the agreement at issue </w:t>
      </w:r>
      <w:r w:rsidR="005C1D29">
        <w:t>was</w:t>
      </w:r>
      <w:r w:rsidR="006942BC">
        <w:t xml:space="preserve"> a contract for the purchase of property, which necessarily includes transfer of title. </w:t>
      </w:r>
      <w:r w:rsidR="007139A3">
        <w:t xml:space="preserve"> </w:t>
      </w:r>
      <w:r w:rsidRPr="00B21F6B" w:rsidR="005A4043">
        <w:t xml:space="preserve">In addition, the court </w:t>
      </w:r>
      <w:r w:rsidRPr="00B21F6B" w:rsidR="00532775">
        <w:t>found</w:t>
      </w:r>
      <w:r w:rsidRPr="00B21F6B" w:rsidR="005A4043">
        <w:t xml:space="preserve"> Gupta </w:t>
      </w:r>
      <w:r w:rsidR="005210FE">
        <w:t xml:space="preserve">had </w:t>
      </w:r>
      <w:r w:rsidRPr="00B21F6B" w:rsidR="005A4043">
        <w:t xml:space="preserve">established a prima facie case </w:t>
      </w:r>
      <w:r w:rsidR="005210FE">
        <w:t xml:space="preserve">that </w:t>
      </w:r>
      <w:r w:rsidRPr="00B21F6B" w:rsidR="00B0720A">
        <w:t>her claim had probable validity</w:t>
      </w:r>
      <w:r w:rsidRPr="00B21F6B" w:rsidR="00B21F6B">
        <w:t xml:space="preserve">. </w:t>
      </w:r>
      <w:r w:rsidRPr="00B21F6B" w:rsidR="00AC1B67">
        <w:t xml:space="preserve"> </w:t>
      </w:r>
      <w:r w:rsidR="00485C33">
        <w:t xml:space="preserve">Finally, </w:t>
      </w:r>
      <w:r w:rsidR="002E4B6B">
        <w:t>the court concluded</w:t>
      </w:r>
      <w:r w:rsidR="002D26FC">
        <w:t xml:space="preserve"> </w:t>
      </w:r>
      <w:r w:rsidR="000D6F17">
        <w:t>section 405.36</w:t>
      </w:r>
      <w:r w:rsidR="002D26FC">
        <w:t xml:space="preserve"> did not require </w:t>
      </w:r>
      <w:r w:rsidR="000D6F17">
        <w:t xml:space="preserve">Gupta </w:t>
      </w:r>
      <w:r w:rsidR="00D94797">
        <w:t xml:space="preserve">to </w:t>
      </w:r>
      <w:r w:rsidR="000D6F17">
        <w:t xml:space="preserve">seek leave of the court before recording and filing a </w:t>
      </w:r>
      <w:r w:rsidR="00AE2054">
        <w:t>lis pendens</w:t>
      </w:r>
      <w:r w:rsidR="000D6F17">
        <w:t xml:space="preserve">, even though </w:t>
      </w:r>
      <w:r w:rsidR="009B6332">
        <w:t xml:space="preserve">the </w:t>
      </w:r>
      <w:r w:rsidR="00AE2054">
        <w:t xml:space="preserve">previous lis pendens </w:t>
      </w:r>
      <w:r w:rsidR="009B6332">
        <w:t>was expunged in a prior</w:t>
      </w:r>
      <w:r w:rsidR="00AE2054">
        <w:t>,</w:t>
      </w:r>
      <w:r w:rsidR="009B6332">
        <w:t xml:space="preserve"> related lawsuit. </w:t>
      </w:r>
      <w:r w:rsidR="00310DD8">
        <w:t xml:space="preserve"> </w:t>
      </w:r>
      <w:r w:rsidR="00EC36DE">
        <w:t xml:space="preserve">Rather, court authorization to file a second </w:t>
      </w:r>
      <w:r w:rsidR="00AE2054">
        <w:t xml:space="preserve">lis pendens </w:t>
      </w:r>
      <w:r w:rsidR="00EC36DE">
        <w:t>is only required if the first</w:t>
      </w:r>
      <w:r w:rsidR="005210FE">
        <w:t>,</w:t>
      </w:r>
      <w:r w:rsidR="00EC36DE">
        <w:t xml:space="preserve"> expunged </w:t>
      </w:r>
      <w:r w:rsidR="00AE2054">
        <w:t xml:space="preserve">lis pendens </w:t>
      </w:r>
      <w:r w:rsidR="00EC36DE">
        <w:t xml:space="preserve">was recorded </w:t>
      </w:r>
      <w:r w:rsidRPr="000D2EE4" w:rsidR="00EC36DE">
        <w:rPr>
          <w:i/>
          <w:iCs/>
        </w:rPr>
        <w:t>in the same action</w:t>
      </w:r>
      <w:r w:rsidR="00EC36DE">
        <w:t xml:space="preserve">.  </w:t>
      </w:r>
      <w:r w:rsidR="00310DD8">
        <w:t xml:space="preserve">The court </w:t>
      </w:r>
      <w:r w:rsidR="008217A9">
        <w:t>awarded Gupta attorney fees.</w:t>
      </w:r>
    </w:p>
    <w:p w:rsidR="00C1670B" w14:paraId="6F4E8E4D" w14:textId="302D4465">
      <w:r>
        <w:tab/>
        <w:t>De Martini file</w:t>
      </w:r>
      <w:r w:rsidR="00A42906">
        <w:t>d</w:t>
      </w:r>
      <w:r>
        <w:t xml:space="preserve"> a petition for writ of mandate and a stay of the order awarding attorney fees. </w:t>
      </w:r>
      <w:r w:rsidR="00500442">
        <w:t xml:space="preserve"> We issued a stay and an order to show cause</w:t>
      </w:r>
      <w:r w:rsidR="00E3263C">
        <w:t>.</w:t>
      </w:r>
    </w:p>
    <w:p w:rsidR="0010377D" w:rsidP="0010377D" w14:paraId="01E807B1" w14:textId="4DFD4537">
      <w:pPr>
        <w:jc w:val="center"/>
        <w:rPr>
          <w:b/>
          <w:bCs/>
        </w:rPr>
      </w:pPr>
      <w:r>
        <w:rPr>
          <w:b/>
          <w:bCs/>
        </w:rPr>
        <w:t>DISCUSSION</w:t>
      </w:r>
    </w:p>
    <w:p w:rsidR="009F4EBA" w:rsidP="00C1213F" w14:paraId="676A9549" w14:textId="0ECEB398">
      <w:r>
        <w:rPr>
          <w:b/>
          <w:bCs/>
        </w:rPr>
        <w:tab/>
      </w:r>
      <w:r w:rsidRPr="009B050A" w:rsidR="00E55C56">
        <w:t>De</w:t>
      </w:r>
      <w:r w:rsidR="00E55C56">
        <w:rPr>
          <w:b/>
          <w:bCs/>
        </w:rPr>
        <w:t xml:space="preserve"> </w:t>
      </w:r>
      <w:r w:rsidR="000B040A">
        <w:t xml:space="preserve">Martini </w:t>
      </w:r>
      <w:r w:rsidR="006F7698">
        <w:t xml:space="preserve">makes a series of arguments </w:t>
      </w:r>
      <w:r w:rsidR="00AE2054">
        <w:t xml:space="preserve">why we should </w:t>
      </w:r>
      <w:r w:rsidR="00A553C5">
        <w:t>vacat</w:t>
      </w:r>
      <w:r w:rsidR="00AE2054">
        <w:t>e</w:t>
      </w:r>
      <w:r w:rsidR="00A553C5">
        <w:t xml:space="preserve"> the trial court’s order denying his motion to expunge the lis pendens. </w:t>
      </w:r>
      <w:r w:rsidR="00313EED">
        <w:t xml:space="preserve"> </w:t>
      </w:r>
      <w:r>
        <w:t>We address each in turn.</w:t>
      </w:r>
    </w:p>
    <w:p w:rsidR="00223D2A" w:rsidP="004E5DE1" w14:paraId="7D4FFA73" w14:textId="657220DD">
      <w:pPr>
        <w:ind w:firstLine="720"/>
      </w:pPr>
      <w:r>
        <w:t>A</w:t>
      </w:r>
      <w:r w:rsidRPr="00223D2A">
        <w:t xml:space="preserve"> writ of mandate lies “to compel the performance of an act which the law specially enjoins, as a duty resulting from an office, trust, or station</w:t>
      </w:r>
      <w:r>
        <w:t>.</w:t>
      </w:r>
      <w:r w:rsidRPr="00223D2A">
        <w:t>” (§</w:t>
      </w:r>
      <w:r w:rsidR="00A553C5">
        <w:t> </w:t>
      </w:r>
      <w:r w:rsidRPr="00223D2A">
        <w:t xml:space="preserve">1085, subd. (a).) </w:t>
      </w:r>
      <w:r>
        <w:t xml:space="preserve"> The writ must issue in </w:t>
      </w:r>
      <w:r w:rsidR="00801D56">
        <w:t xml:space="preserve">cases where there is no plain, speedy, and adequate remedy in the ordinary course of law. </w:t>
      </w:r>
      <w:r w:rsidR="009A5DBC">
        <w:t xml:space="preserve"> </w:t>
      </w:r>
      <w:r w:rsidR="00801D56">
        <w:t xml:space="preserve">(§ </w:t>
      </w:r>
      <w:r w:rsidRPr="00223D2A">
        <w:t>1086</w:t>
      </w:r>
      <w:r w:rsidR="00801D56">
        <w:t>.)</w:t>
      </w:r>
      <w:r w:rsidR="00E33C88">
        <w:t xml:space="preserve">  </w:t>
      </w:r>
      <w:r w:rsidR="009D38FC">
        <w:t>W</w:t>
      </w:r>
      <w:r w:rsidR="00C715EB">
        <w:t xml:space="preserve">e review the trial court’s findings of fact for substantial evidence, but independently review legal issues, such as </w:t>
      </w:r>
      <w:r w:rsidR="009E03EB">
        <w:t>those involving statutory interpretation.  (</w:t>
      </w:r>
      <w:r w:rsidR="004E5DE1">
        <w:rPr>
          <w:i/>
          <w:iCs/>
        </w:rPr>
        <w:t>J &amp; A</w:t>
      </w:r>
      <w:r w:rsidR="004E5DE1">
        <w:t xml:space="preserve">, </w:t>
      </w:r>
      <w:r w:rsidR="004E5DE1">
        <w:rPr>
          <w:i/>
          <w:iCs/>
        </w:rPr>
        <w:t>supra</w:t>
      </w:r>
      <w:r w:rsidR="004E5DE1">
        <w:t xml:space="preserve">, 74 Cal.App.5th at p. 17.) </w:t>
      </w:r>
    </w:p>
    <w:p w:rsidR="0099737C" w:rsidP="00AA0647" w14:paraId="482F0C97" w14:textId="77777777">
      <w:r>
        <w:tab/>
      </w:r>
      <w:r w:rsidR="00DC008D">
        <w:t xml:space="preserve">A party </w:t>
      </w:r>
      <w:r w:rsidR="00A97AFF">
        <w:t xml:space="preserve">in an </w:t>
      </w:r>
      <w:r w:rsidR="00786197">
        <w:t>action asserti</w:t>
      </w:r>
      <w:r w:rsidR="005D4F60">
        <w:t>ng</w:t>
      </w:r>
      <w:r w:rsidR="00786197">
        <w:t xml:space="preserve"> a real property claim may record </w:t>
      </w:r>
      <w:r w:rsidR="004877FD">
        <w:t xml:space="preserve">a lis pendens.  </w:t>
      </w:r>
      <w:r w:rsidRPr="00EB18DD" w:rsidR="004877FD">
        <w:t>(§ 405.20</w:t>
      </w:r>
      <w:r w:rsidR="00793668">
        <w:t xml:space="preserve">; </w:t>
      </w:r>
      <w:r w:rsidR="00793668">
        <w:rPr>
          <w:i/>
          <w:iCs/>
        </w:rPr>
        <w:t>J &amp; A</w:t>
      </w:r>
      <w:r w:rsidR="00793668">
        <w:t xml:space="preserve">, </w:t>
      </w:r>
      <w:r w:rsidR="00793668">
        <w:rPr>
          <w:i/>
          <w:iCs/>
        </w:rPr>
        <w:t>supra</w:t>
      </w:r>
      <w:r w:rsidR="00793668">
        <w:t xml:space="preserve">, </w:t>
      </w:r>
      <w:r w:rsidR="00875441">
        <w:t>74 Cal.App.5th at p. 15</w:t>
      </w:r>
      <w:r w:rsidRPr="00EB18DD" w:rsidR="004877FD">
        <w:t xml:space="preserve">.) </w:t>
      </w:r>
      <w:r w:rsidR="00612B02">
        <w:t xml:space="preserve"> It notifies </w:t>
      </w:r>
      <w:r>
        <w:t xml:space="preserve">“prospective purchasers, encumbrancers and transferees that there is litigation pending that affects the property.” </w:t>
      </w:r>
      <w:r w:rsidR="00A429E1">
        <w:t xml:space="preserve"> </w:t>
      </w:r>
      <w:r>
        <w:t>(</w:t>
      </w:r>
      <w:r w:rsidRPr="00A429E1">
        <w:rPr>
          <w:i/>
          <w:iCs/>
        </w:rPr>
        <w:t>Amalgamated Bank v. Superior Court</w:t>
      </w:r>
      <w:r>
        <w:t xml:space="preserve"> (2007) 149 Cal.App.4th 1003, 1011</w:t>
      </w:r>
      <w:r w:rsidR="00A429E1">
        <w:t>.)  It</w:t>
      </w:r>
      <w:r>
        <w:t xml:space="preserve"> “acts as a cloud against the property, effectively preventing sale or encumbrance until the litigation is resolved or the </w:t>
      </w:r>
      <w:r w:rsidR="00C663CA">
        <w:t>[notice]</w:t>
      </w:r>
      <w:r>
        <w:t xml:space="preserve"> is expunged.” </w:t>
      </w:r>
      <w:r w:rsidR="00A429E1">
        <w:t xml:space="preserve"> </w:t>
      </w:r>
      <w:r>
        <w:t>(</w:t>
      </w:r>
      <w:r w:rsidRPr="00A429E1">
        <w:rPr>
          <w:i/>
          <w:iCs/>
        </w:rPr>
        <w:t>Ibid</w:t>
      </w:r>
      <w:r>
        <w:t>.)</w:t>
      </w:r>
      <w:r w:rsidR="004503DB">
        <w:t xml:space="preserve">  </w:t>
      </w:r>
      <w:r w:rsidR="00D1569E">
        <w:t>O</w:t>
      </w:r>
      <w:r w:rsidR="008B1B1D">
        <w:t xml:space="preserve">nce a party records a </w:t>
      </w:r>
      <w:r w:rsidR="00B64287">
        <w:t>lis pendens</w:t>
      </w:r>
      <w:r w:rsidR="008B1B1D">
        <w:t xml:space="preserve">, </w:t>
      </w:r>
      <w:r w:rsidR="00D40A41">
        <w:t xml:space="preserve">any party with an interest in the property may move to expunge </w:t>
      </w:r>
    </w:p>
    <w:p w:rsidR="0099737C" w:rsidP="00AA0647" w14:paraId="17AB5F92" w14:textId="77777777">
      <w:r>
        <w:t>the notice</w:t>
      </w:r>
      <w:r w:rsidR="00331DB1">
        <w:t xml:space="preserve"> under section 405.30. </w:t>
      </w:r>
      <w:r w:rsidR="00074370">
        <w:t xml:space="preserve"> </w:t>
      </w:r>
      <w:r w:rsidR="00724C6A">
        <w:t>(</w:t>
      </w:r>
      <w:r w:rsidR="00724C6A">
        <w:rPr>
          <w:i/>
          <w:iCs/>
        </w:rPr>
        <w:t>J &amp; A</w:t>
      </w:r>
      <w:r w:rsidR="00724C6A">
        <w:t>, at p. 16</w:t>
      </w:r>
      <w:r w:rsidR="00FA0669">
        <w:t xml:space="preserve">.)  </w:t>
      </w:r>
      <w:r w:rsidR="007B1DAE">
        <w:t>Section 405.30</w:t>
      </w:r>
      <w:r w:rsidR="007D5013">
        <w:t xml:space="preserve"> is intended to prevent </w:t>
      </w:r>
      <w:r w:rsidR="00855E39">
        <w:t xml:space="preserve">an unwarranted clouding of a party’s title with an inappropriate </w:t>
      </w:r>
    </w:p>
    <w:p w:rsidR="002E561E" w:rsidP="00AA0647" w14:paraId="320D4936" w14:textId="1838A803">
      <w:r>
        <w:t>or void notice of pending action.  (</w:t>
      </w:r>
      <w:r w:rsidRPr="00855E39" w:rsidR="0013121E">
        <w:rPr>
          <w:i/>
          <w:iCs/>
        </w:rPr>
        <w:t>McKnight v. Superior Court</w:t>
      </w:r>
      <w:r>
        <w:t xml:space="preserve"> (1985) </w:t>
      </w:r>
      <w:r w:rsidRPr="0013121E" w:rsidR="0013121E">
        <w:t>170</w:t>
      </w:r>
      <w:r w:rsidR="0099737C">
        <w:t> </w:t>
      </w:r>
      <w:r w:rsidRPr="0013121E" w:rsidR="0013121E">
        <w:t>Cal.App.3d 291, 303</w:t>
      </w:r>
      <w:r>
        <w:t>.</w:t>
      </w:r>
      <w:r w:rsidRPr="0013121E" w:rsidR="0013121E">
        <w:t>)</w:t>
      </w:r>
      <w:r>
        <w:t xml:space="preserve">  </w:t>
      </w:r>
      <w:r w:rsidR="008F6596">
        <w:t xml:space="preserve">Relevant here, </w:t>
      </w:r>
      <w:r>
        <w:t xml:space="preserve">a </w:t>
      </w:r>
      <w:r w:rsidR="00B64287">
        <w:t>lis pendens</w:t>
      </w:r>
      <w:r>
        <w:t xml:space="preserve"> may be expunged if the action does not contain a real property claim or the claimant fails to establish the probable validity of the real property claim.  </w:t>
      </w:r>
      <w:r w:rsidR="00211D1E">
        <w:t>(§</w:t>
      </w:r>
      <w:r w:rsidR="007B4984">
        <w:t>§</w:t>
      </w:r>
      <w:r w:rsidR="00211D1E">
        <w:t> </w:t>
      </w:r>
      <w:r w:rsidR="007B4984">
        <w:t xml:space="preserve">405.31, 405.32; </w:t>
      </w:r>
      <w:r w:rsidRPr="007B4984" w:rsidR="00764453">
        <w:rPr>
          <w:i/>
          <w:iCs/>
        </w:rPr>
        <w:t>J</w:t>
      </w:r>
      <w:r w:rsidR="007B4984">
        <w:rPr>
          <w:i/>
          <w:iCs/>
        </w:rPr>
        <w:t xml:space="preserve"> </w:t>
      </w:r>
      <w:r w:rsidRPr="007B4984" w:rsidR="00764453">
        <w:rPr>
          <w:i/>
          <w:iCs/>
        </w:rPr>
        <w:t>&amp;</w:t>
      </w:r>
      <w:r w:rsidR="007B4984">
        <w:rPr>
          <w:i/>
          <w:iCs/>
        </w:rPr>
        <w:t xml:space="preserve"> </w:t>
      </w:r>
      <w:r w:rsidRPr="007B4984" w:rsidR="00764453">
        <w:rPr>
          <w:i/>
          <w:iCs/>
        </w:rPr>
        <w:t>A</w:t>
      </w:r>
      <w:r w:rsidR="00764453">
        <w:t xml:space="preserve">, </w:t>
      </w:r>
      <w:r w:rsidR="007B4984">
        <w:t>at p.</w:t>
      </w:r>
      <w:r w:rsidR="00764453">
        <w:t xml:space="preserve"> 16</w:t>
      </w:r>
      <w:r w:rsidR="007B4984">
        <w:t xml:space="preserve">.)  </w:t>
      </w:r>
    </w:p>
    <w:p w:rsidR="0076083D" w:rsidRPr="009B050A" w:rsidP="0076083D" w14:paraId="336EF6EC" w14:textId="7C90AE6E">
      <w:pPr>
        <w:jc w:val="center"/>
        <w:rPr>
          <w:b/>
          <w:bCs/>
        </w:rPr>
      </w:pPr>
      <w:r w:rsidRPr="009B050A">
        <w:rPr>
          <w:b/>
          <w:bCs/>
        </w:rPr>
        <w:t>I.</w:t>
      </w:r>
    </w:p>
    <w:p w:rsidR="00C77688" w:rsidP="00C77688" w14:paraId="45012B6F" w14:textId="08DE62FC">
      <w:r>
        <w:tab/>
        <w:t>Relying on section 40</w:t>
      </w:r>
      <w:r w:rsidR="008E1B8D">
        <w:t>5</w:t>
      </w:r>
      <w:r>
        <w:t xml:space="preserve">.36, </w:t>
      </w:r>
      <w:r w:rsidRPr="00EE7164" w:rsidR="00E55C56">
        <w:t>De</w:t>
      </w:r>
      <w:r w:rsidR="00E55C56">
        <w:t xml:space="preserve"> </w:t>
      </w:r>
      <w:r>
        <w:t xml:space="preserve">Martini argues </w:t>
      </w:r>
      <w:r w:rsidR="005210FE">
        <w:t xml:space="preserve">that, </w:t>
      </w:r>
      <w:r>
        <w:t xml:space="preserve">in cases in which a claimant’s </w:t>
      </w:r>
      <w:r w:rsidR="00751D25">
        <w:t xml:space="preserve">lis pendens </w:t>
      </w:r>
      <w:r>
        <w:t xml:space="preserve">in a prior, related proceeding has been expunged, the same claimant </w:t>
      </w:r>
      <w:r w:rsidR="00FC434D">
        <w:t>must</w:t>
      </w:r>
      <w:r>
        <w:t xml:space="preserve"> seek court permission before filing a </w:t>
      </w:r>
      <w:r w:rsidR="00751D25">
        <w:t xml:space="preserve">lis pendens </w:t>
      </w:r>
      <w:r>
        <w:t xml:space="preserve">on the same property in a subsequent proceeding.  Because the </w:t>
      </w:r>
      <w:r w:rsidR="00751D25">
        <w:t xml:space="preserve">trial </w:t>
      </w:r>
      <w:r>
        <w:t xml:space="preserve">court in </w:t>
      </w:r>
      <w:r>
        <w:rPr>
          <w:i/>
          <w:iCs/>
        </w:rPr>
        <w:t xml:space="preserve">Gupta I </w:t>
      </w:r>
      <w:r>
        <w:t xml:space="preserve">already expunged </w:t>
      </w:r>
      <w:r w:rsidRPr="00390B72">
        <w:t>a</w:t>
      </w:r>
      <w:r>
        <w:t xml:space="preserve"> </w:t>
      </w:r>
      <w:r w:rsidR="00D11BBC">
        <w:t>lis pendens</w:t>
      </w:r>
      <w:r>
        <w:t xml:space="preserve"> on the property </w:t>
      </w:r>
      <w:r w:rsidR="00751D25">
        <w:t xml:space="preserve">— </w:t>
      </w:r>
      <w:r>
        <w:t>and</w:t>
      </w:r>
      <w:r>
        <w:rPr>
          <w:i/>
          <w:iCs/>
        </w:rPr>
        <w:t xml:space="preserve"> </w:t>
      </w:r>
      <w:r>
        <w:t xml:space="preserve">Gupta did not receive court authorization prior to recording the second </w:t>
      </w:r>
      <w:r w:rsidR="00751D25">
        <w:t xml:space="preserve">lis pendens </w:t>
      </w:r>
      <w:r>
        <w:t>on the same property</w:t>
      </w:r>
      <w:r w:rsidR="00751D25">
        <w:t xml:space="preserve"> —</w:t>
      </w:r>
      <w:r>
        <w:t xml:space="preserve"> the court was required to expunge the notice in </w:t>
      </w:r>
      <w:r>
        <w:rPr>
          <w:i/>
          <w:iCs/>
        </w:rPr>
        <w:t xml:space="preserve">Gupta </w:t>
      </w:r>
      <w:r w:rsidRPr="00D05402">
        <w:rPr>
          <w:i/>
          <w:iCs/>
        </w:rPr>
        <w:t>II</w:t>
      </w:r>
      <w:r>
        <w:t>.  We agree.</w:t>
      </w:r>
    </w:p>
    <w:p w:rsidR="00A212B0" w:rsidP="000C0A0E" w14:paraId="2C9A52A9" w14:textId="2B06C520">
      <w:pPr>
        <w:ind w:firstLine="720"/>
      </w:pPr>
      <w:r>
        <w:t xml:space="preserve">When construing a statute, we determine the Legislature’s intent </w:t>
      </w:r>
      <w:r w:rsidR="00751D25">
        <w:t>and</w:t>
      </w:r>
      <w:r>
        <w:t xml:space="preserve"> effectuate the law’s purpose</w:t>
      </w:r>
      <w:r w:rsidR="00BF4743">
        <w:t xml:space="preserve"> by examining the statutory</w:t>
      </w:r>
      <w:r w:rsidR="00A217A0">
        <w:t xml:space="preserve"> language, giving the words their plain and ordinary meaning</w:t>
      </w:r>
      <w:r>
        <w:t xml:space="preserve">.  </w:t>
      </w:r>
      <w:r w:rsidRPr="009C2417">
        <w:t>(</w:t>
      </w:r>
      <w:r w:rsidRPr="009C2417">
        <w:rPr>
          <w:i/>
          <w:iCs/>
        </w:rPr>
        <w:t>Los Angeles County Metropolitan Transportation Authority v. Alameda Produce Market, LLC</w:t>
      </w:r>
      <w:r w:rsidRPr="009C2417">
        <w:t xml:space="preserve"> (2011) 52 Cal.4th 1100, 1106–1107</w:t>
      </w:r>
      <w:r>
        <w:t>.)  If the statutory text is unambiguous, the plain meaning controls.  (</w:t>
      </w:r>
      <w:r>
        <w:rPr>
          <w:i/>
          <w:iCs/>
        </w:rPr>
        <w:t>Id</w:t>
      </w:r>
      <w:r>
        <w:t>.</w:t>
      </w:r>
      <w:r w:rsidR="00CA6F62">
        <w:t xml:space="preserve"> at p. 1107.</w:t>
      </w:r>
      <w:r>
        <w:t xml:space="preserve">)  But if </w:t>
      </w:r>
      <w:r w:rsidR="00504A9B">
        <w:t xml:space="preserve">the language </w:t>
      </w:r>
      <w:r>
        <w:t>“supports more than one reasonable construction</w:t>
      </w:r>
      <w:r w:rsidR="005210FE">
        <w:t>,</w:t>
      </w:r>
      <w:r w:rsidR="000B791F">
        <w:t>”</w:t>
      </w:r>
      <w:r w:rsidR="00D54124">
        <w:t xml:space="preserve"> </w:t>
      </w:r>
      <w:r w:rsidR="000B5067">
        <w:t>“</w:t>
      </w:r>
      <w:r>
        <w:t>we may look to extrinsic aids,” such as the legislative history.  (</w:t>
      </w:r>
      <w:r>
        <w:rPr>
          <w:i/>
          <w:iCs/>
        </w:rPr>
        <w:t>Ibid</w:t>
      </w:r>
      <w:r>
        <w:t xml:space="preserve">.) </w:t>
      </w:r>
      <w:r>
        <w:rPr>
          <w:i/>
          <w:iCs/>
        </w:rPr>
        <w:t xml:space="preserve"> </w:t>
      </w:r>
      <w:r w:rsidR="00096958">
        <w:t xml:space="preserve">The construction that most closely comports with the Legislature’s apparent intent </w:t>
      </w:r>
      <w:r w:rsidR="00345EA4">
        <w:t xml:space="preserve">controls if it promotes </w:t>
      </w:r>
      <w:r w:rsidR="00F96DFD">
        <w:t xml:space="preserve">rather than defeats the purpose of the statute and does not lead to absurd consequences.  </w:t>
      </w:r>
      <w:r w:rsidRPr="00F96DFD">
        <w:t>(</w:t>
      </w:r>
      <w:r w:rsidRPr="001D3BBF">
        <w:rPr>
          <w:i/>
          <w:iCs/>
        </w:rPr>
        <w:t xml:space="preserve">Estate of Griswold </w:t>
      </w:r>
      <w:r w:rsidRPr="00F96DFD">
        <w:t>(2001) 25 Cal.4th 904, 910</w:t>
      </w:r>
      <w:r w:rsidRPr="009C2417" w:rsidR="00D533F0">
        <w:t>–</w:t>
      </w:r>
      <w:r w:rsidR="00D533F0">
        <w:t>911</w:t>
      </w:r>
      <w:r w:rsidRPr="00A212B0">
        <w:t>.)</w:t>
      </w:r>
      <w:r>
        <w:t xml:space="preserve">  </w:t>
      </w:r>
    </w:p>
    <w:p w:rsidR="00751D25" w:rsidP="002A67A0" w14:paraId="41106F69" w14:textId="37DB5994">
      <w:pPr>
        <w:ind w:firstLine="720"/>
      </w:pPr>
      <w:r>
        <w:t xml:space="preserve">Here, </w:t>
      </w:r>
      <w:r w:rsidR="00FE2370">
        <w:t>the plain language support</w:t>
      </w:r>
      <w:r w:rsidR="00EE067E">
        <w:t>s</w:t>
      </w:r>
      <w:r w:rsidR="00E55C56">
        <w:t xml:space="preserve"> </w:t>
      </w:r>
      <w:r w:rsidRPr="00EE7164" w:rsidR="00E55C56">
        <w:t>De</w:t>
      </w:r>
      <w:r w:rsidR="00FE2370">
        <w:t xml:space="preserve"> Martini’s </w:t>
      </w:r>
      <w:r w:rsidR="005210FE">
        <w:t>interpretation</w:t>
      </w:r>
      <w:r w:rsidR="00FE2370">
        <w:t xml:space="preserve">. </w:t>
      </w:r>
      <w:r>
        <w:t xml:space="preserve"> </w:t>
      </w:r>
      <w:r w:rsidR="00B04029">
        <w:t>S</w:t>
      </w:r>
      <w:r w:rsidR="00C77688">
        <w:t xml:space="preserve">ection </w:t>
      </w:r>
      <w:r w:rsidR="00B04029">
        <w:t xml:space="preserve">405.36 provides, “[o]nce a notice of pending action has been expunged, the claimant may not record another notice of pending action as to the affected property without leave of the court in which the action is pending.”  </w:t>
      </w:r>
      <w:r w:rsidR="000B5720">
        <w:t xml:space="preserve">The statute </w:t>
      </w:r>
      <w:r w:rsidR="00491B07">
        <w:t>identifies the circumstances under which a claimant</w:t>
      </w:r>
      <w:r w:rsidR="001A6575">
        <w:t xml:space="preserve"> — </w:t>
      </w:r>
      <w:r w:rsidR="00E87B0C">
        <w:t xml:space="preserve">“a party to an action who asserts a real property claim and records a notice of the pendency of </w:t>
      </w:r>
      <w:r w:rsidR="009145B4">
        <w:t xml:space="preserve">the </w:t>
      </w:r>
      <w:r w:rsidR="00E87B0C">
        <w:t xml:space="preserve">action” — </w:t>
      </w:r>
      <w:r w:rsidR="00491B07">
        <w:t xml:space="preserve">must seek leave before recording an additional </w:t>
      </w:r>
      <w:r>
        <w:t xml:space="preserve">lis pendens </w:t>
      </w:r>
      <w:r w:rsidR="00127ED0">
        <w:t xml:space="preserve">on the same property.  </w:t>
      </w:r>
      <w:r w:rsidR="00AE7EB4">
        <w:t>(</w:t>
      </w:r>
      <w:r w:rsidR="006F093B">
        <w:t xml:space="preserve">§ 405.1.)  </w:t>
      </w:r>
    </w:p>
    <w:p w:rsidR="00D96375" w:rsidP="002A67A0" w14:paraId="65EFEC25" w14:textId="405B6F6E">
      <w:pPr>
        <w:ind w:firstLine="720"/>
      </w:pPr>
      <w:r>
        <w:t xml:space="preserve">First, </w:t>
      </w:r>
      <w:r w:rsidR="00751D25">
        <w:t xml:space="preserve">a claimant’s </w:t>
      </w:r>
      <w:r w:rsidR="005210FE">
        <w:t xml:space="preserve">initial </w:t>
      </w:r>
      <w:r w:rsidR="00751D25">
        <w:t xml:space="preserve">lis pendens </w:t>
      </w:r>
      <w:r>
        <w:t xml:space="preserve">on a property </w:t>
      </w:r>
      <w:r w:rsidR="00751D25">
        <w:t xml:space="preserve">must have </w:t>
      </w:r>
      <w:r>
        <w:t>been expunged</w:t>
      </w:r>
      <w:r w:rsidR="0010701D">
        <w:t xml:space="preserve">. </w:t>
      </w:r>
      <w:r w:rsidR="00990B92">
        <w:t xml:space="preserve"> </w:t>
      </w:r>
      <w:r>
        <w:t xml:space="preserve">(§ 405.36.)  </w:t>
      </w:r>
      <w:r w:rsidR="00DD346C">
        <w:t xml:space="preserve">The use of the indefinite article </w:t>
      </w:r>
      <w:r w:rsidR="00D46EB5">
        <w:t>“a”</w:t>
      </w:r>
      <w:r w:rsidR="005C6777">
        <w:t xml:space="preserve"> before </w:t>
      </w:r>
      <w:r w:rsidR="00A207C4">
        <w:t>“notice of pending action</w:t>
      </w:r>
      <w:r w:rsidR="006928A8">
        <w:t>” signals a general reference</w:t>
      </w:r>
      <w:r w:rsidR="00265CA4">
        <w:t xml:space="preserve"> to any and all notices</w:t>
      </w:r>
      <w:r w:rsidR="00F17639">
        <w:t xml:space="preserve">, rather than a </w:t>
      </w:r>
      <w:r w:rsidR="003A0C2E">
        <w:t>particular notice</w:t>
      </w:r>
      <w:r w:rsidR="00F17639">
        <w:t>.</w:t>
      </w:r>
      <w:r w:rsidR="00653848">
        <w:t xml:space="preserve">  (</w:t>
      </w:r>
      <w:r w:rsidRPr="00653848" w:rsidR="00653848">
        <w:rPr>
          <w:i/>
          <w:iCs/>
        </w:rPr>
        <w:t>Pineda v. Bank of America, N.A</w:t>
      </w:r>
      <w:r w:rsidR="00653848">
        <w:t>. (2010) 50 Cal.4th 1389, 1396</w:t>
      </w:r>
      <w:r w:rsidRPr="009C2417" w:rsidR="00EE0368">
        <w:t>–</w:t>
      </w:r>
      <w:r w:rsidR="00EE0368">
        <w:t>1397</w:t>
      </w:r>
      <w:r w:rsidR="00653848">
        <w:t xml:space="preserve">.)  </w:t>
      </w:r>
      <w:r>
        <w:t xml:space="preserve">Second, the same claimant </w:t>
      </w:r>
      <w:r w:rsidR="0016569A">
        <w:t xml:space="preserve">must desire </w:t>
      </w:r>
      <w:r>
        <w:t xml:space="preserve">to record a second </w:t>
      </w:r>
      <w:r w:rsidR="0016569A">
        <w:t xml:space="preserve">lis pendens on the same property </w:t>
      </w:r>
      <w:r>
        <w:t>—</w:t>
      </w:r>
      <w:r w:rsidR="005210FE">
        <w:t xml:space="preserve"> </w:t>
      </w:r>
      <w:r>
        <w:t>“</w:t>
      </w:r>
      <w:r w:rsidRPr="00984A5E">
        <w:t xml:space="preserve">the claimant may not record </w:t>
      </w:r>
      <w:r w:rsidRPr="00232995">
        <w:t>another</w:t>
      </w:r>
      <w:r w:rsidRPr="00984A5E">
        <w:t xml:space="preserve"> notice of pending action as to the affected property</w:t>
      </w:r>
      <w:r>
        <w:t>.”  (</w:t>
      </w:r>
      <w:r w:rsidR="00232995">
        <w:t>§ 405.36</w:t>
      </w:r>
      <w:r w:rsidR="00127ED0">
        <w:t>.</w:t>
      </w:r>
      <w:r>
        <w:t xml:space="preserve">)  </w:t>
      </w:r>
      <w:r w:rsidR="002337A8">
        <w:t>T</w:t>
      </w:r>
      <w:r w:rsidR="00D975BB">
        <w:t xml:space="preserve">he statute’s use of the definite article “the” before </w:t>
      </w:r>
      <w:r w:rsidR="00313EED">
        <w:t>“</w:t>
      </w:r>
      <w:r w:rsidR="00D975BB">
        <w:t>claimant</w:t>
      </w:r>
      <w:r w:rsidR="00313EED">
        <w:t>”</w:t>
      </w:r>
      <w:r w:rsidR="00D975BB">
        <w:t xml:space="preserve"> </w:t>
      </w:r>
      <w:r w:rsidR="00574961">
        <w:t xml:space="preserve">demonstrates the Legislature was referring to a specific claimant.  </w:t>
      </w:r>
      <w:r w:rsidR="003807B6">
        <w:t>(</w:t>
      </w:r>
      <w:r w:rsidR="00232995">
        <w:rPr>
          <w:i/>
          <w:iCs/>
        </w:rPr>
        <w:t>Pineda</w:t>
      </w:r>
      <w:r w:rsidR="00232995">
        <w:t>,</w:t>
      </w:r>
      <w:r w:rsidR="003807B6">
        <w:t xml:space="preserve"> at p. 1397.)  </w:t>
      </w:r>
      <w:r w:rsidR="005210FE">
        <w:t>And b</w:t>
      </w:r>
      <w:r w:rsidR="00442A74">
        <w:t>y</w:t>
      </w:r>
      <w:r w:rsidR="009F06E6">
        <w:t xml:space="preserve"> stating the claimant may not record “another notice of pending action</w:t>
      </w:r>
      <w:r w:rsidR="00B35483">
        <w:t xml:space="preserve">,” the statute indicates the provision </w:t>
      </w:r>
      <w:r w:rsidR="002D623C">
        <w:t xml:space="preserve">applies to </w:t>
      </w:r>
      <w:r w:rsidR="0096398E">
        <w:t>claimants</w:t>
      </w:r>
      <w:r w:rsidR="002D623C">
        <w:t xml:space="preserve"> who recorded the prior, expunged </w:t>
      </w:r>
      <w:r w:rsidR="0016569A">
        <w:t>lis pendens</w:t>
      </w:r>
      <w:r w:rsidR="00975D47">
        <w:t>, i.e., the same claimant</w:t>
      </w:r>
      <w:r w:rsidR="0096398E">
        <w:t>.</w:t>
      </w:r>
      <w:r w:rsidR="00975D47">
        <w:t xml:space="preserve">  </w:t>
      </w:r>
      <w:r w:rsidR="001236D6">
        <w:t>(</w:t>
      </w:r>
      <w:r w:rsidR="00693556">
        <w:t>§ 405.36</w:t>
      </w:r>
      <w:r w:rsidR="001236D6">
        <w:t xml:space="preserve">.) </w:t>
      </w:r>
      <w:r w:rsidR="00F91701">
        <w:t xml:space="preserve"> Moreover, by referring to “the” affected property</w:t>
      </w:r>
      <w:r w:rsidR="00774870">
        <w:t xml:space="preserve">, the statute </w:t>
      </w:r>
      <w:r w:rsidR="0016569A">
        <w:t xml:space="preserve">indicates </w:t>
      </w:r>
      <w:r w:rsidR="00257783">
        <w:t>the Legislature was referring to the specific property</w:t>
      </w:r>
      <w:r w:rsidR="00133E78">
        <w:t xml:space="preserve"> that was the subject of the prior</w:t>
      </w:r>
      <w:r w:rsidR="0016569A">
        <w:t>, expunged lis pendens</w:t>
      </w:r>
      <w:r w:rsidR="00133E78">
        <w:t xml:space="preserve">.  </w:t>
      </w:r>
      <w:r w:rsidRPr="00975D47" w:rsidR="00975D47">
        <w:t>(</w:t>
      </w:r>
      <w:r w:rsidRPr="00975D47" w:rsidR="00975D47">
        <w:rPr>
          <w:i/>
          <w:iCs/>
        </w:rPr>
        <w:t>Pineda</w:t>
      </w:r>
      <w:r w:rsidRPr="00975D47" w:rsidR="00975D47">
        <w:t>,</w:t>
      </w:r>
      <w:r w:rsidR="00693556">
        <w:t xml:space="preserve"> at p.</w:t>
      </w:r>
      <w:r w:rsidRPr="00975D47" w:rsidR="00975D47">
        <w:t xml:space="preserve"> 1396.)  </w:t>
      </w:r>
      <w:r w:rsidRPr="001236D6" w:rsidR="00EB19A6">
        <w:t>If</w:t>
      </w:r>
      <w:r w:rsidR="00EB19A6">
        <w:t xml:space="preserve"> both </w:t>
      </w:r>
      <w:r w:rsidR="00042352">
        <w:t xml:space="preserve">circumstances are present, the claimant must </w:t>
      </w:r>
      <w:r w:rsidR="000C4EA1">
        <w:t xml:space="preserve">seek leave of court in which “the action is pending” before filing another </w:t>
      </w:r>
      <w:r w:rsidR="0016569A">
        <w:t xml:space="preserve">lis pendens </w:t>
      </w:r>
      <w:r w:rsidR="000C4EA1">
        <w:t>on the same property</w:t>
      </w:r>
      <w:r w:rsidR="0016569A">
        <w:t xml:space="preserve"> —</w:t>
      </w:r>
      <w:r w:rsidR="00F171F3">
        <w:t xml:space="preserve"> even in a different action</w:t>
      </w:r>
      <w:r w:rsidR="000C4EA1">
        <w:t xml:space="preserve">. </w:t>
      </w:r>
      <w:r w:rsidR="00B35483">
        <w:t xml:space="preserve"> </w:t>
      </w:r>
      <w:r w:rsidR="007B695B">
        <w:t xml:space="preserve">(§ 405.36.)  </w:t>
      </w:r>
    </w:p>
    <w:p w:rsidR="007B695B" w:rsidP="00A90999" w14:paraId="52114ADE" w14:textId="19110C70">
      <w:pPr>
        <w:ind w:firstLine="720"/>
      </w:pPr>
      <w:r>
        <w:t>Gupta</w:t>
      </w:r>
      <w:r w:rsidR="0016569A">
        <w:t xml:space="preserve"> </w:t>
      </w:r>
      <w:r>
        <w:t xml:space="preserve">argues </w:t>
      </w:r>
      <w:r w:rsidRPr="0028132F">
        <w:t xml:space="preserve">the trial court properly interpreted section 405.36 as requiring court authorization to file a second </w:t>
      </w:r>
      <w:r w:rsidR="0016569A">
        <w:t xml:space="preserve">lis pendens </w:t>
      </w:r>
      <w:r w:rsidRPr="0028132F">
        <w:t xml:space="preserve">only if the first </w:t>
      </w:r>
      <w:r w:rsidR="0016569A">
        <w:t xml:space="preserve">one </w:t>
      </w:r>
      <w:r w:rsidRPr="0028132F">
        <w:t xml:space="preserve">was recorded </w:t>
      </w:r>
      <w:r w:rsidRPr="0028132F">
        <w:rPr>
          <w:i/>
          <w:iCs/>
        </w:rPr>
        <w:t>in the same action</w:t>
      </w:r>
      <w:r w:rsidRPr="0028132F">
        <w:t xml:space="preserve">. </w:t>
      </w:r>
      <w:r>
        <w:t xml:space="preserve"> </w:t>
      </w:r>
      <w:r w:rsidR="005210FE">
        <w:t>But s</w:t>
      </w:r>
      <w:r w:rsidR="00B35483">
        <w:t>he</w:t>
      </w:r>
      <w:r>
        <w:t xml:space="preserve"> fails to identify</w:t>
      </w:r>
      <w:r w:rsidR="0016569A">
        <w:t>, and we cannot find,</w:t>
      </w:r>
      <w:r>
        <w:t xml:space="preserve"> language imposing the “same action” requirement.  </w:t>
      </w:r>
      <w:r w:rsidR="00614F1B">
        <w:t>(</w:t>
      </w:r>
      <w:r w:rsidRPr="00614F1B" w:rsidR="00614F1B">
        <w:rPr>
          <w:i/>
          <w:iCs/>
        </w:rPr>
        <w:t>California Teachers Assn</w:t>
      </w:r>
      <w:r w:rsidR="002D0246">
        <w:rPr>
          <w:i/>
          <w:iCs/>
        </w:rPr>
        <w:t>.</w:t>
      </w:r>
      <w:r w:rsidRPr="00614F1B" w:rsidR="00614F1B">
        <w:rPr>
          <w:i/>
          <w:iCs/>
        </w:rPr>
        <w:t xml:space="preserve"> v. Governing Bd</w:t>
      </w:r>
      <w:r w:rsidR="002D0246">
        <w:rPr>
          <w:i/>
          <w:iCs/>
        </w:rPr>
        <w:t>.</w:t>
      </w:r>
      <w:r w:rsidRPr="00614F1B" w:rsidR="00614F1B">
        <w:rPr>
          <w:i/>
          <w:iCs/>
        </w:rPr>
        <w:t xml:space="preserve"> of Rialto Unified School Dist</w:t>
      </w:r>
      <w:r w:rsidR="00614F1B">
        <w:t>. (1997) 14 Cal.4th 627, 63</w:t>
      </w:r>
      <w:r w:rsidR="002D0246">
        <w:t>3</w:t>
      </w:r>
      <w:r w:rsidR="00614F1B">
        <w:t xml:space="preserve"> </w:t>
      </w:r>
      <w:r w:rsidR="005E3285">
        <w:t>[the “</w:t>
      </w:r>
      <w:r w:rsidR="002D7195">
        <w:t xml:space="preserve"> ‘</w:t>
      </w:r>
      <w:r w:rsidR="00614F1B">
        <w:t>court has no power to rewrite the statute so as to make it</w:t>
      </w:r>
      <w:r w:rsidR="005E3285">
        <w:t xml:space="preserve"> conform to a presumed intention which is not expressed’</w:t>
      </w:r>
      <w:r w:rsidR="00D01A1A">
        <w:t> </w:t>
      </w:r>
      <w:r w:rsidR="005E3285">
        <w:t>”].)</w:t>
      </w:r>
      <w:r w:rsidR="00F45265">
        <w:t xml:space="preserve">  </w:t>
      </w:r>
      <w:r w:rsidR="0016569A">
        <w:t xml:space="preserve">The </w:t>
      </w:r>
      <w:r w:rsidR="00B859C9">
        <w:t>“</w:t>
      </w:r>
      <w:r w:rsidRPr="00EA3AEA">
        <w:t>plain language of section 405.36 leaves little doubt it applies here</w:t>
      </w:r>
      <w:r w:rsidR="00186088">
        <w:t>,</w:t>
      </w:r>
      <w:r w:rsidR="004C3517">
        <w:t xml:space="preserve">” </w:t>
      </w:r>
      <w:r w:rsidR="001D3261">
        <w:t>even though the</w:t>
      </w:r>
      <w:r w:rsidR="00542C11">
        <w:t xml:space="preserve"> prior </w:t>
      </w:r>
      <w:r w:rsidR="0016569A">
        <w:t xml:space="preserve">lis pendens </w:t>
      </w:r>
      <w:r w:rsidR="00542C11">
        <w:t>was expunged in a different action.</w:t>
      </w:r>
      <w:r w:rsidR="005754E6">
        <w:t xml:space="preserve"> </w:t>
      </w:r>
      <w:r w:rsidR="00542C11">
        <w:t xml:space="preserve"> </w:t>
      </w:r>
      <w:r w:rsidR="005754E6">
        <w:t>(</w:t>
      </w:r>
      <w:r w:rsidRPr="00156A0B" w:rsidR="005754E6">
        <w:rPr>
          <w:i/>
          <w:iCs/>
        </w:rPr>
        <w:t>Fid</w:t>
      </w:r>
      <w:r w:rsidR="00D700F7">
        <w:rPr>
          <w:i/>
          <w:iCs/>
        </w:rPr>
        <w:t>.</w:t>
      </w:r>
      <w:r w:rsidRPr="00156A0B" w:rsidR="005754E6">
        <w:rPr>
          <w:i/>
          <w:iCs/>
        </w:rPr>
        <w:t xml:space="preserve"> Nat</w:t>
      </w:r>
      <w:r w:rsidR="00D700F7">
        <w:rPr>
          <w:i/>
          <w:iCs/>
        </w:rPr>
        <w:t>’</w:t>
      </w:r>
      <w:r w:rsidRPr="00156A0B" w:rsidR="005754E6">
        <w:rPr>
          <w:i/>
          <w:iCs/>
        </w:rPr>
        <w:t>l Title Co. v. United States SBA</w:t>
      </w:r>
      <w:r w:rsidR="005754E6">
        <w:t xml:space="preserve"> (E.D.Cal.</w:t>
      </w:r>
      <w:r w:rsidR="00D700F7">
        <w:t>,</w:t>
      </w:r>
      <w:r w:rsidR="005754E6">
        <w:t xml:space="preserve"> Nov. 1</w:t>
      </w:r>
      <w:r w:rsidR="00D700F7">
        <w:t>3</w:t>
      </w:r>
      <w:r w:rsidR="005754E6">
        <w:t>, 2015</w:t>
      </w:r>
      <w:r w:rsidR="00D700F7">
        <w:t>, No. 2:13-cv-02030-KJM-AC</w:t>
      </w:r>
      <w:r w:rsidR="005754E6">
        <w:t xml:space="preserve">) </w:t>
      </w:r>
      <w:r w:rsidR="007464B9">
        <w:t xml:space="preserve">2015 </w:t>
      </w:r>
      <w:r w:rsidR="005754E6">
        <w:t>U.S.Dist. L</w:t>
      </w:r>
      <w:r w:rsidR="0064759D">
        <w:t>exis</w:t>
      </w:r>
      <w:r w:rsidR="005754E6">
        <w:t xml:space="preserve"> 154076, </w:t>
      </w:r>
      <w:r w:rsidR="00824B8D">
        <w:t>*</w:t>
      </w:r>
      <w:r w:rsidR="005754E6">
        <w:t>13</w:t>
      </w:r>
      <w:r w:rsidR="00083723">
        <w:t xml:space="preserve">; </w:t>
      </w:r>
      <w:r w:rsidRPr="00083723" w:rsidR="00083723">
        <w:rPr>
          <w:i/>
          <w:iCs/>
        </w:rPr>
        <w:t>Farm Raised Salmon Cases</w:t>
      </w:r>
      <w:r w:rsidR="00083723">
        <w:t xml:space="preserve"> (2008) </w:t>
      </w:r>
      <w:r w:rsidRPr="00083723" w:rsidR="00083723">
        <w:t>42 Cal.4th 1077, 1096</w:t>
      </w:r>
      <w:r w:rsidR="00D700F7">
        <w:t>, fn. 18</w:t>
      </w:r>
      <w:r w:rsidR="00083723">
        <w:t xml:space="preserve"> [</w:t>
      </w:r>
      <w:r w:rsidR="007C250B">
        <w:t xml:space="preserve">unpublished federal opinions </w:t>
      </w:r>
      <w:r w:rsidR="002D5C24">
        <w:t xml:space="preserve">may be cited </w:t>
      </w:r>
      <w:r w:rsidR="007C250B">
        <w:t>as persuasive authority]</w:t>
      </w:r>
      <w:r w:rsidR="005754E6">
        <w:t>.</w:t>
      </w:r>
      <w:r w:rsidR="003E3CA2">
        <w:t>)</w:t>
      </w:r>
      <w:r w:rsidR="005754E6">
        <w:t xml:space="preserve">  </w:t>
      </w:r>
    </w:p>
    <w:p w:rsidR="00B2097A" w:rsidP="00014EF0" w14:paraId="0A152FA8" w14:textId="50B18390">
      <w:pPr>
        <w:ind w:firstLine="720"/>
      </w:pPr>
      <w:r w:rsidRPr="00DF22AF">
        <w:rPr>
          <w:i/>
          <w:iCs/>
        </w:rPr>
        <w:t>Rebco Dev</w:t>
      </w:r>
      <w:r w:rsidR="002D7195">
        <w:rPr>
          <w:i/>
          <w:iCs/>
        </w:rPr>
        <w:t>.</w:t>
      </w:r>
      <w:r w:rsidRPr="00DF22AF">
        <w:rPr>
          <w:i/>
          <w:iCs/>
        </w:rPr>
        <w:t>, Inc. v. Supe</w:t>
      </w:r>
      <w:r>
        <w:rPr>
          <w:i/>
          <w:iCs/>
        </w:rPr>
        <w:t>rior Court</w:t>
      </w:r>
      <w:r>
        <w:t xml:space="preserve"> (1977) </w:t>
      </w:r>
      <w:r w:rsidRPr="00DF22AF">
        <w:t>67 Cal.App.3d 13</w:t>
      </w:r>
      <w:r w:rsidR="00A0723F">
        <w:t xml:space="preserve"> </w:t>
      </w:r>
      <w:r>
        <w:t xml:space="preserve">does not alter this conclusion.  </w:t>
      </w:r>
      <w:r w:rsidR="00AD21A3">
        <w:t>Th</w:t>
      </w:r>
      <w:r w:rsidR="0005374E">
        <w:t>at</w:t>
      </w:r>
      <w:r w:rsidR="00AD21A3">
        <w:t xml:space="preserve"> case predates </w:t>
      </w:r>
      <w:r w:rsidR="00D54486">
        <w:t xml:space="preserve">section 405.36, which became effective in 1993.  </w:t>
      </w:r>
      <w:r w:rsidR="001807EE">
        <w:t>(</w:t>
      </w:r>
      <w:r w:rsidRPr="00C46DEE" w:rsidR="001807EE">
        <w:t>Stats.</w:t>
      </w:r>
      <w:r w:rsidR="001807EE">
        <w:t xml:space="preserve"> </w:t>
      </w:r>
      <w:r w:rsidRPr="00C46DEE" w:rsidR="001807EE">
        <w:t>1992, c</w:t>
      </w:r>
      <w:r w:rsidR="001807EE">
        <w:t>h</w:t>
      </w:r>
      <w:r w:rsidRPr="00C46DEE" w:rsidR="001807EE">
        <w:t>. 883</w:t>
      </w:r>
      <w:r w:rsidR="001807EE">
        <w:t xml:space="preserve">.) </w:t>
      </w:r>
      <w:r w:rsidR="003846CC">
        <w:t xml:space="preserve"> </w:t>
      </w:r>
      <w:r w:rsidR="00A42906">
        <w:t>Previously</w:t>
      </w:r>
      <w:r w:rsidR="00822CBA">
        <w:t xml:space="preserve"> </w:t>
      </w:r>
      <w:r w:rsidRPr="00822CBA" w:rsidR="00822CBA">
        <w:t xml:space="preserve">there was no statutory requirement for leave of court </w:t>
      </w:r>
      <w:r w:rsidR="00A42906">
        <w:t xml:space="preserve">to file another </w:t>
      </w:r>
      <w:r w:rsidRPr="00822CBA" w:rsidR="00822CBA">
        <w:t xml:space="preserve">lis pendens </w:t>
      </w:r>
      <w:r w:rsidR="00A42906">
        <w:t>when</w:t>
      </w:r>
      <w:r w:rsidRPr="00822CBA" w:rsidR="00822CBA">
        <w:t xml:space="preserve"> the first lis pendens had been expunged</w:t>
      </w:r>
      <w:r w:rsidR="00822CBA">
        <w:t>.  Moreover,</w:t>
      </w:r>
      <w:r>
        <w:t xml:space="preserve"> the claimant in </w:t>
      </w:r>
      <w:r>
        <w:rPr>
          <w:i/>
          <w:iCs/>
        </w:rPr>
        <w:t xml:space="preserve">Rebco </w:t>
      </w:r>
      <w:r>
        <w:t xml:space="preserve">filed two </w:t>
      </w:r>
      <w:r w:rsidR="0016569A">
        <w:t xml:space="preserve">lis pendens </w:t>
      </w:r>
      <w:r>
        <w:t xml:space="preserve">in different </w:t>
      </w:r>
      <w:r w:rsidR="0016569A">
        <w:t xml:space="preserve">cases and </w:t>
      </w:r>
      <w:r>
        <w:rPr>
          <w:i/>
          <w:iCs/>
        </w:rPr>
        <w:t xml:space="preserve">against different </w:t>
      </w:r>
      <w:r>
        <w:t>defendants.  (</w:t>
      </w:r>
      <w:r w:rsidR="006F66E6">
        <w:rPr>
          <w:i/>
          <w:iCs/>
        </w:rPr>
        <w:t>Rebco</w:t>
      </w:r>
      <w:r w:rsidRPr="006F66E6" w:rsidR="006F66E6">
        <w:t>,</w:t>
      </w:r>
      <w:r w:rsidR="006F66E6">
        <w:t xml:space="preserve"> </w:t>
      </w:r>
      <w:r>
        <w:t>at p.</w:t>
      </w:r>
      <w:r w:rsidR="00FD50E4">
        <w:t> </w:t>
      </w:r>
      <w:r>
        <w:t>15.)</w:t>
      </w:r>
      <w:r>
        <w:rPr>
          <w:i/>
          <w:iCs/>
        </w:rPr>
        <w:t xml:space="preserve">  </w:t>
      </w:r>
      <w:r>
        <w:t>The court determined the issues in the first and second expungement hearings were different, and the notices were filed in different actions between two different parties.  (</w:t>
      </w:r>
      <w:r>
        <w:rPr>
          <w:i/>
          <w:iCs/>
        </w:rPr>
        <w:t>Id</w:t>
      </w:r>
      <w:r>
        <w:t>. at pp. 17–18.)  Thus, collateral estoppel did not bar the second notice.  (</w:t>
      </w:r>
      <w:r w:rsidRPr="001E62F6">
        <w:rPr>
          <w:i/>
          <w:iCs/>
        </w:rPr>
        <w:t>Id</w:t>
      </w:r>
      <w:r>
        <w:t xml:space="preserve">. at p. 17.)  </w:t>
      </w:r>
    </w:p>
    <w:p w:rsidR="00FD50E4" w:rsidP="00014EF0" w14:paraId="3A8BA004" w14:textId="77777777">
      <w:pPr>
        <w:ind w:firstLine="720"/>
      </w:pPr>
      <w:r>
        <w:t xml:space="preserve">Here, </w:t>
      </w:r>
      <w:r w:rsidR="008D2FED">
        <w:t xml:space="preserve">in addition to being </w:t>
      </w:r>
      <w:r w:rsidR="00827315">
        <w:t>governed by section 405.36</w:t>
      </w:r>
      <w:r>
        <w:t xml:space="preserve">, Gupta is the plaintiff and </w:t>
      </w:r>
      <w:r w:rsidRPr="00EE7164" w:rsidR="00E55C56">
        <w:t>De</w:t>
      </w:r>
      <w:r w:rsidR="00E55C56">
        <w:t xml:space="preserve"> </w:t>
      </w:r>
      <w:r>
        <w:t>Martini is the defendant i</w:t>
      </w:r>
      <w:r w:rsidR="00E32406">
        <w:t xml:space="preserve">n both </w:t>
      </w:r>
      <w:r w:rsidR="00E32406">
        <w:rPr>
          <w:i/>
          <w:iCs/>
        </w:rPr>
        <w:t xml:space="preserve">Gupta I </w:t>
      </w:r>
      <w:r w:rsidR="00E32406">
        <w:t>and this case</w:t>
      </w:r>
      <w:r w:rsidR="005210FE">
        <w:t>, and the action concerns the same property</w:t>
      </w:r>
      <w:r>
        <w:t>.</w:t>
      </w:r>
      <w:r w:rsidR="00E32406">
        <w:t xml:space="preserve">  (</w:t>
      </w:r>
      <w:r w:rsidRPr="00A70883" w:rsidR="00E32406">
        <w:rPr>
          <w:i/>
          <w:iCs/>
        </w:rPr>
        <w:t>Fid</w:t>
      </w:r>
      <w:r w:rsidR="009747B0">
        <w:rPr>
          <w:i/>
          <w:iCs/>
        </w:rPr>
        <w:t>. Nat’l Title Co. v. United States SBA</w:t>
      </w:r>
      <w:r w:rsidR="00E32406">
        <w:t xml:space="preserve">, </w:t>
      </w:r>
      <w:r w:rsidR="00B04098">
        <w:rPr>
          <w:i/>
          <w:iCs/>
        </w:rPr>
        <w:t>supra</w:t>
      </w:r>
      <w:r w:rsidR="00B04098">
        <w:t>,</w:t>
      </w:r>
      <w:r w:rsidR="00B04098">
        <w:rPr>
          <w:i/>
          <w:iCs/>
        </w:rPr>
        <w:t xml:space="preserve"> </w:t>
      </w:r>
      <w:r w:rsidR="00616538">
        <w:t xml:space="preserve">2015 U.S.Dist. Lexis 154076 </w:t>
      </w:r>
      <w:r w:rsidR="00E32406">
        <w:t xml:space="preserve">at p. *13.)  And although </w:t>
      </w:r>
      <w:r w:rsidR="00E32406">
        <w:rPr>
          <w:i/>
          <w:iCs/>
        </w:rPr>
        <w:t xml:space="preserve">Gupta I </w:t>
      </w:r>
      <w:r w:rsidR="00E32406">
        <w:t xml:space="preserve">involved a petition to confirm an arbitration award, the judgment required </w:t>
      </w:r>
      <w:r w:rsidRPr="00EE7164" w:rsidR="00E55C56">
        <w:t>De</w:t>
      </w:r>
      <w:r w:rsidR="00E55C56">
        <w:t xml:space="preserve"> </w:t>
      </w:r>
      <w:r w:rsidR="00E32406">
        <w:t xml:space="preserve">Martini to cooperate in providing documentation and signatures to the City and complete the property sale.  In </w:t>
      </w:r>
      <w:r w:rsidR="00E32406">
        <w:rPr>
          <w:i/>
          <w:iCs/>
        </w:rPr>
        <w:t>Gupta II</w:t>
      </w:r>
      <w:r w:rsidR="00E32406">
        <w:t xml:space="preserve">, Gupta seeks an order requiring </w:t>
      </w:r>
      <w:r w:rsidRPr="00EE7164" w:rsidR="00E55C56">
        <w:t>De</w:t>
      </w:r>
      <w:r w:rsidR="00E55C56">
        <w:t xml:space="preserve"> </w:t>
      </w:r>
      <w:r w:rsidR="00E32406">
        <w:t>Martini to execute the development application documents and complete the sale of the property —</w:t>
      </w:r>
      <w:r w:rsidR="0016569A">
        <w:t xml:space="preserve"> </w:t>
      </w:r>
      <w:r w:rsidR="00E32406">
        <w:t xml:space="preserve">the “case is effectively the same case” as </w:t>
      </w:r>
      <w:r w:rsidR="00E32406">
        <w:rPr>
          <w:i/>
          <w:iCs/>
        </w:rPr>
        <w:t>Gupta I</w:t>
      </w:r>
      <w:r w:rsidR="00E32406">
        <w:t xml:space="preserve">. </w:t>
      </w:r>
      <w:r w:rsidR="00E32406">
        <w:rPr>
          <w:i/>
          <w:iCs/>
        </w:rPr>
        <w:t xml:space="preserve"> </w:t>
      </w:r>
      <w:r w:rsidR="00E32406">
        <w:t>(</w:t>
      </w:r>
      <w:r w:rsidRPr="00A70883" w:rsidR="00616538">
        <w:rPr>
          <w:i/>
          <w:iCs/>
        </w:rPr>
        <w:t>Fid</w:t>
      </w:r>
      <w:r w:rsidR="00616538">
        <w:rPr>
          <w:i/>
          <w:iCs/>
        </w:rPr>
        <w:t>. Nat’l</w:t>
      </w:r>
      <w:r w:rsidRPr="004E5DE1" w:rsidR="00616538">
        <w:t>,</w:t>
      </w:r>
      <w:r w:rsidR="00616538">
        <w:rPr>
          <w:i/>
          <w:iCs/>
        </w:rPr>
        <w:t xml:space="preserve"> </w:t>
      </w:r>
      <w:r w:rsidR="00616538">
        <w:t>at p. * 14</w:t>
      </w:r>
      <w:r w:rsidR="00E32406">
        <w:t>.)</w:t>
      </w:r>
      <w:r w:rsidR="00E32406">
        <w:rPr>
          <w:i/>
          <w:iCs/>
        </w:rPr>
        <w:t xml:space="preserve">  </w:t>
      </w:r>
      <w:r w:rsidR="00E32406">
        <w:t xml:space="preserve">Once the previous notice was expunged in </w:t>
      </w:r>
      <w:r w:rsidR="00E32406">
        <w:rPr>
          <w:i/>
          <w:iCs/>
        </w:rPr>
        <w:t>Gupta I</w:t>
      </w:r>
      <w:r w:rsidR="00E32406">
        <w:t>, Gupta “could not ‘</w:t>
      </w:r>
      <w:r w:rsidRPr="00EA3AEA" w:rsidR="00E32406">
        <w:t xml:space="preserve">record another notice of a pending action as to </w:t>
      </w:r>
      <w:r w:rsidR="00E32406">
        <w:t>[The Van’s Restaurant site]</w:t>
      </w:r>
      <w:r w:rsidRPr="00EA3AEA" w:rsidR="00E32406">
        <w:t xml:space="preserve"> without leave</w:t>
      </w:r>
      <w:r w:rsidR="00E32406">
        <w:t xml:space="preserve">’ ” </w:t>
      </w:r>
      <w:r w:rsidRPr="00EA3AEA" w:rsidR="00E32406">
        <w:t xml:space="preserve">of </w:t>
      </w:r>
      <w:r w:rsidR="00E32406">
        <w:t>the trial court</w:t>
      </w:r>
      <w:r w:rsidRPr="00EA3AEA" w:rsidR="00E32406">
        <w:t xml:space="preserve"> </w:t>
      </w:r>
      <w:r w:rsidR="00E32406">
        <w:t>below, the only court “</w:t>
      </w:r>
      <w:r w:rsidR="00616538">
        <w:t xml:space="preserve"> ‘</w:t>
      </w:r>
      <w:r w:rsidRPr="00EA3AEA" w:rsidR="00E32406">
        <w:t>in which the action is pending</w:t>
      </w:r>
      <w:r w:rsidR="00E32406">
        <w:t>.</w:t>
      </w:r>
      <w:r w:rsidR="00616538">
        <w:t xml:space="preserve">’ </w:t>
      </w:r>
      <w:r w:rsidR="00E32406">
        <w:t>”  (</w:t>
      </w:r>
      <w:r w:rsidRPr="00A70883" w:rsidR="002A4968">
        <w:rPr>
          <w:i/>
          <w:iCs/>
        </w:rPr>
        <w:t>Fid</w:t>
      </w:r>
      <w:r w:rsidR="002A4968">
        <w:rPr>
          <w:i/>
          <w:iCs/>
        </w:rPr>
        <w:t>. Nat’l</w:t>
      </w:r>
      <w:r w:rsidRPr="00991B40" w:rsidR="002A4968">
        <w:t>,</w:t>
      </w:r>
      <w:r w:rsidR="002A4968">
        <w:rPr>
          <w:i/>
          <w:iCs/>
        </w:rPr>
        <w:t xml:space="preserve"> </w:t>
      </w:r>
      <w:r w:rsidR="002A4968">
        <w:t>at p. * 13</w:t>
      </w:r>
      <w:r w:rsidR="00E32406">
        <w:t>.)</w:t>
      </w:r>
      <w:r w:rsidRPr="00EC7A4C" w:rsidR="00EC7A4C">
        <w:t xml:space="preserve"> </w:t>
      </w:r>
      <w:r w:rsidR="00EC7A4C">
        <w:t xml:space="preserve"> Allowing Gupta </w:t>
      </w:r>
      <w:r w:rsidRPr="00EC7A4C" w:rsidR="00EC7A4C">
        <w:t xml:space="preserve">“to record, at will, a second notice of lis pendens after the first had been expunged would simply invite more of the abuse which the statute </w:t>
      </w:r>
    </w:p>
    <w:p w:rsidR="00E32406" w:rsidP="00FD50E4" w14:paraId="12A41F36" w14:textId="5BA7EC16">
      <w:r w:rsidRPr="00EC7A4C">
        <w:t>was intended to cure.”  (</w:t>
      </w:r>
      <w:r w:rsidRPr="00EC7A4C">
        <w:rPr>
          <w:i/>
          <w:iCs/>
        </w:rPr>
        <w:t>Ranchito Ownership Co. v. Super</w:t>
      </w:r>
      <w:r w:rsidR="00593AB9">
        <w:rPr>
          <w:i/>
          <w:iCs/>
        </w:rPr>
        <w:t>ior</w:t>
      </w:r>
      <w:r w:rsidRPr="00EC7A4C">
        <w:rPr>
          <w:i/>
          <w:iCs/>
        </w:rPr>
        <w:t xml:space="preserve"> C</w:t>
      </w:r>
      <w:r w:rsidR="00593AB9">
        <w:rPr>
          <w:i/>
          <w:iCs/>
        </w:rPr>
        <w:t>ourt</w:t>
      </w:r>
      <w:r w:rsidRPr="00EC7A4C">
        <w:t xml:space="preserve"> (1982) 130</w:t>
      </w:r>
      <w:r w:rsidR="00FD50E4">
        <w:t> </w:t>
      </w:r>
      <w:r w:rsidRPr="00EC7A4C">
        <w:t xml:space="preserve">Cal.App.3d 764, 771.)  </w:t>
      </w:r>
    </w:p>
    <w:p w:rsidR="00212371" w:rsidRPr="008D7B95" w:rsidP="008D7B95" w14:paraId="3B1FB902" w14:textId="0B423A10">
      <w:pPr>
        <w:ind w:firstLine="720"/>
      </w:pPr>
      <w:r>
        <w:t>“Although we need not go further because the statutory language is unambiguous,</w:t>
      </w:r>
      <w:r w:rsidR="00FF5646">
        <w:t xml:space="preserve">” we examine the legislative history </w:t>
      </w:r>
      <w:r w:rsidR="00786787">
        <w:t xml:space="preserve">which confirms our </w:t>
      </w:r>
      <w:r w:rsidR="00A614B7">
        <w:t>reading</w:t>
      </w:r>
      <w:r w:rsidR="00786787">
        <w:t xml:space="preserve"> of the language.</w:t>
      </w:r>
      <w:r w:rsidR="00B60C48">
        <w:t xml:space="preserve">  (</w:t>
      </w:r>
      <w:r w:rsidRPr="00B60C48">
        <w:rPr>
          <w:i/>
          <w:iCs/>
        </w:rPr>
        <w:t>Becerra v. Superior C</w:t>
      </w:r>
      <w:r w:rsidR="00E07B55">
        <w:rPr>
          <w:i/>
          <w:iCs/>
        </w:rPr>
        <w:t>ourt</w:t>
      </w:r>
      <w:r w:rsidR="00AF0037">
        <w:t xml:space="preserve"> (2020) </w:t>
      </w:r>
      <w:r>
        <w:t>44 Cal.App.5th 897, 920</w:t>
      </w:r>
      <w:r w:rsidR="00B60C48">
        <w:t>.)</w:t>
      </w:r>
      <w:r w:rsidR="003E390E">
        <w:t xml:space="preserve">  </w:t>
      </w:r>
      <w:r w:rsidR="0016569A">
        <w:t xml:space="preserve">It </w:t>
      </w:r>
      <w:r w:rsidR="008D7B95">
        <w:t>“indicates a legislative intent to restrict rather than broaden the application</w:t>
      </w:r>
      <w:r w:rsidR="003E66CB">
        <w:t>”</w:t>
      </w:r>
      <w:r w:rsidR="008D7B95">
        <w:t xml:space="preserve"> of the </w:t>
      </w:r>
      <w:r w:rsidR="007907F9">
        <w:t>lis pendens</w:t>
      </w:r>
      <w:r w:rsidR="008D7B95">
        <w:t xml:space="preserve"> remedy.  (</w:t>
      </w:r>
      <w:r w:rsidRPr="00124CF9" w:rsidR="008D7B95">
        <w:rPr>
          <w:i/>
          <w:iCs/>
        </w:rPr>
        <w:t>Urez</w:t>
      </w:r>
      <w:r w:rsidR="004C262D">
        <w:rPr>
          <w:i/>
          <w:iCs/>
        </w:rPr>
        <w:t xml:space="preserve"> Corp. v. Superior Court</w:t>
      </w:r>
      <w:r w:rsidR="000E3D96">
        <w:t xml:space="preserve">, </w:t>
      </w:r>
      <w:r w:rsidR="000E3D96">
        <w:rPr>
          <w:i/>
          <w:iCs/>
        </w:rPr>
        <w:t>supra</w:t>
      </w:r>
      <w:r w:rsidR="000E3D96">
        <w:t>,</w:t>
      </w:r>
      <w:r w:rsidR="000E3D96">
        <w:rPr>
          <w:i/>
          <w:iCs/>
        </w:rPr>
        <w:t xml:space="preserve"> </w:t>
      </w:r>
      <w:r w:rsidR="008D7B95">
        <w:t xml:space="preserve">190 Cal.App.3d </w:t>
      </w:r>
      <w:r w:rsidR="000E3D96">
        <w:t>at p.</w:t>
      </w:r>
      <w:r w:rsidR="00AA4CC3">
        <w:t> </w:t>
      </w:r>
      <w:r w:rsidR="008D7B95">
        <w:t>1145.)</w:t>
      </w:r>
      <w:r w:rsidRPr="00275F27" w:rsidR="008D7B95">
        <w:t xml:space="preserve"> </w:t>
      </w:r>
      <w:r w:rsidR="008D7B95">
        <w:t xml:space="preserve"> </w:t>
      </w:r>
      <w:r w:rsidR="00DC485F">
        <w:t>The expungement statute, f</w:t>
      </w:r>
      <w:r w:rsidR="005D0100">
        <w:t xml:space="preserve">ormer section 409.1, </w:t>
      </w:r>
      <w:r w:rsidR="00710BBC">
        <w:t>was added in 1968</w:t>
      </w:r>
      <w:r w:rsidR="005D0100">
        <w:t xml:space="preserve"> </w:t>
      </w:r>
      <w:r w:rsidR="00DE47B9">
        <w:t>“in an attempt to alleviate problems which had arisen from the misuse of notices of lis pendens.”</w:t>
      </w:r>
      <w:r w:rsidR="00305E1C">
        <w:t xml:space="preserve">  (</w:t>
      </w:r>
      <w:r w:rsidRPr="00DE546C" w:rsidR="00305E1C">
        <w:rPr>
          <w:i/>
          <w:iCs/>
        </w:rPr>
        <w:t>Malcolm v. Superior C</w:t>
      </w:r>
      <w:r w:rsidR="00305E1C">
        <w:rPr>
          <w:i/>
          <w:iCs/>
        </w:rPr>
        <w:t xml:space="preserve">ourt </w:t>
      </w:r>
      <w:r w:rsidR="00305E1C">
        <w:t>(1981) 29 Cal.3d 518, 524</w:t>
      </w:r>
      <w:r w:rsidR="00B11580">
        <w:t xml:space="preserve"> (</w:t>
      </w:r>
      <w:r w:rsidR="00B11580">
        <w:rPr>
          <w:i/>
          <w:iCs/>
        </w:rPr>
        <w:t>Malcolm</w:t>
      </w:r>
      <w:r w:rsidR="00B11580">
        <w:t>)</w:t>
      </w:r>
      <w:r w:rsidR="00971659">
        <w:t xml:space="preserve">; </w:t>
      </w:r>
      <w:r w:rsidRPr="00971659" w:rsidR="00971659">
        <w:t>Stats.</w:t>
      </w:r>
      <w:r w:rsidR="00971659">
        <w:t xml:space="preserve"> </w:t>
      </w:r>
      <w:r w:rsidRPr="00971659" w:rsidR="00971659">
        <w:t>1968, c</w:t>
      </w:r>
      <w:r w:rsidR="00971659">
        <w:t>h</w:t>
      </w:r>
      <w:r w:rsidRPr="00971659" w:rsidR="00971659">
        <w:t>. 815, §</w:t>
      </w:r>
      <w:r w:rsidR="008501A2">
        <w:t xml:space="preserve"> </w:t>
      </w:r>
      <w:r w:rsidRPr="00971659" w:rsidR="00971659">
        <w:t>1</w:t>
      </w:r>
      <w:r w:rsidR="00305E1C">
        <w:t>.)</w:t>
      </w:r>
      <w:r w:rsidR="00195D58">
        <w:t xml:space="preserve">  </w:t>
      </w:r>
      <w:r w:rsidR="00B43854">
        <w:t>Then, a</w:t>
      </w:r>
      <w:r w:rsidR="0080482A">
        <w:t>s now, r</w:t>
      </w:r>
      <w:r w:rsidR="00195D58">
        <w:t xml:space="preserve">ecording a notice of pending action </w:t>
      </w:r>
      <w:r w:rsidR="0054451B">
        <w:t>did not require prior court approval or supervision and could cloud the title of real property</w:t>
      </w:r>
      <w:r w:rsidR="008D19C6">
        <w:t>.</w:t>
      </w:r>
      <w:r w:rsidR="0080482A">
        <w:t xml:space="preserve">  (</w:t>
      </w:r>
      <w:r w:rsidR="002633D7">
        <w:rPr>
          <w:i/>
          <w:iCs/>
        </w:rPr>
        <w:t>Malcolm</w:t>
      </w:r>
      <w:r w:rsidR="002633D7">
        <w:t>, at p. 524</w:t>
      </w:r>
      <w:r w:rsidR="0080482A">
        <w:t xml:space="preserve">.)  </w:t>
      </w:r>
      <w:r w:rsidR="001B4763">
        <w:t>“</w:t>
      </w:r>
      <w:r w:rsidRPr="00631DFF" w:rsidR="00631DFF">
        <w:t>Because the recording of a lis pendens placed a cloud upon the title of real property until the pending action was ultimately resolved, a time period frequently encompassing several years</w:t>
      </w:r>
      <w:r w:rsidR="00D925EF">
        <w:t xml:space="preserve">, the </w:t>
      </w:r>
      <w:r w:rsidR="001B4763">
        <w:t xml:space="preserve">lis pendens procedure was susceptible to serious abuse, providing </w:t>
      </w:r>
      <w:r w:rsidR="0080482A">
        <w:t>unscrupulous</w:t>
      </w:r>
      <w:r w:rsidR="001B4763">
        <w:t xml:space="preserve"> </w:t>
      </w:r>
      <w:r w:rsidR="008D19C6">
        <w:t>plaintiffs with a powerful leve</w:t>
      </w:r>
      <w:r w:rsidR="006116D4">
        <w:t>r</w:t>
      </w:r>
      <w:r w:rsidR="008D19C6">
        <w:t xml:space="preserve"> to force the settlement of groundless or malicious suits.”</w:t>
      </w:r>
      <w:r w:rsidR="00B76202">
        <w:t xml:space="preserve">  (</w:t>
      </w:r>
      <w:r w:rsidR="00B76202">
        <w:rPr>
          <w:i/>
          <w:iCs/>
        </w:rPr>
        <w:t>Ibid</w:t>
      </w:r>
      <w:r w:rsidR="00B76202">
        <w:t>.)</w:t>
      </w:r>
      <w:r w:rsidR="00B76202">
        <w:rPr>
          <w:i/>
          <w:iCs/>
        </w:rPr>
        <w:t xml:space="preserve">  </w:t>
      </w:r>
    </w:p>
    <w:p w:rsidR="00FD50E4" w:rsidP="004E5DE1" w14:paraId="5E598379" w14:textId="77D9F560">
      <w:pPr>
        <w:ind w:firstLine="720"/>
      </w:pPr>
      <w:r>
        <w:t>Assembly Bill No. 3620</w:t>
      </w:r>
      <w:r w:rsidR="00A0346F">
        <w:t xml:space="preserve"> (</w:t>
      </w:r>
      <w:r w:rsidR="00C7234F">
        <w:t>Reg. Sess. 1991–1992)</w:t>
      </w:r>
      <w:r>
        <w:t xml:space="preserve"> </w:t>
      </w:r>
      <w:r w:rsidR="00A07F9C">
        <w:t xml:space="preserve">substantially revised the </w:t>
      </w:r>
      <w:r w:rsidR="00F752C8">
        <w:t>lis pendens statutes</w:t>
      </w:r>
      <w:r w:rsidR="00A07F9C">
        <w:t>.  (</w:t>
      </w:r>
      <w:r w:rsidRPr="00C46DEE" w:rsidR="0022338F">
        <w:t>Stats.</w:t>
      </w:r>
      <w:r w:rsidR="00C7234F">
        <w:t xml:space="preserve"> </w:t>
      </w:r>
      <w:r w:rsidRPr="00C46DEE" w:rsidR="0022338F">
        <w:t>1992, c</w:t>
      </w:r>
      <w:r w:rsidR="0022338F">
        <w:t>h</w:t>
      </w:r>
      <w:r w:rsidRPr="00C46DEE" w:rsidR="0022338F">
        <w:t>. 883</w:t>
      </w:r>
      <w:r w:rsidR="0022338F">
        <w:t>.)</w:t>
      </w:r>
      <w:r w:rsidR="005B0132">
        <w:t xml:space="preserve">  </w:t>
      </w:r>
      <w:r w:rsidR="00166422">
        <w:t xml:space="preserve">Among other things, it </w:t>
      </w:r>
      <w:r w:rsidR="00B43854">
        <w:t xml:space="preserve">repealed </w:t>
      </w:r>
      <w:r w:rsidR="00F752C8">
        <w:t xml:space="preserve">former </w:t>
      </w:r>
      <w:r w:rsidR="00B43854">
        <w:t xml:space="preserve">section 409.1 and </w:t>
      </w:r>
      <w:r w:rsidR="00DF3107">
        <w:t xml:space="preserve">added </w:t>
      </w:r>
      <w:r w:rsidR="005B0132">
        <w:t>section 405.36</w:t>
      </w:r>
      <w:r w:rsidR="002B43D2">
        <w:t>, specifically requiring</w:t>
      </w:r>
      <w:r w:rsidR="002B096E">
        <w:t xml:space="preserve"> “</w:t>
      </w:r>
      <w:r w:rsidRPr="00DF3107" w:rsidR="00DF3107">
        <w:t>leave of the court to rerecord a notice of pendency of action after such a notice in the action has been previously expunged</w:t>
      </w:r>
      <w:r w:rsidR="00DF3107">
        <w:t>.</w:t>
      </w:r>
      <w:r w:rsidR="007347DA">
        <w:t>”</w:t>
      </w:r>
      <w:r w:rsidR="00DF3107">
        <w:rPr>
          <w:i/>
          <w:iCs/>
        </w:rPr>
        <w:t xml:space="preserve"> </w:t>
      </w:r>
      <w:r w:rsidR="00DF3107">
        <w:t xml:space="preserve"> (</w:t>
      </w:r>
      <w:r w:rsidRPr="00C46DEE" w:rsidR="004E5DE1">
        <w:t>Stats.</w:t>
      </w:r>
      <w:r w:rsidR="004E5DE1">
        <w:t xml:space="preserve"> </w:t>
      </w:r>
      <w:r w:rsidRPr="00C46DEE" w:rsidR="004E5DE1">
        <w:t>1992, c</w:t>
      </w:r>
      <w:r w:rsidR="004E5DE1">
        <w:t>h</w:t>
      </w:r>
      <w:r w:rsidRPr="00C46DEE" w:rsidR="004E5DE1">
        <w:t>. 883</w:t>
      </w:r>
      <w:r w:rsidR="00DF3107">
        <w:t xml:space="preserve">.) </w:t>
      </w:r>
      <w:r w:rsidR="00DE5BAF">
        <w:t xml:space="preserve"> </w:t>
      </w:r>
      <w:r w:rsidR="00D01A6A">
        <w:t>T</w:t>
      </w:r>
      <w:r w:rsidR="00C435F4">
        <w:t>h</w:t>
      </w:r>
      <w:r w:rsidR="0016569A">
        <w:t>e</w:t>
      </w:r>
      <w:r w:rsidR="00C435F4">
        <w:t xml:space="preserve"> </w:t>
      </w:r>
      <w:r w:rsidR="00DE5BAF">
        <w:t xml:space="preserve">provision </w:t>
      </w:r>
      <w:r w:rsidR="002C1259">
        <w:t>“</w:t>
      </w:r>
      <w:r w:rsidRPr="00DC3128" w:rsidR="00DC3128">
        <w:t>disallowed rerecording of an expunged lis pendens without consent of the court.</w:t>
      </w:r>
      <w:r w:rsidR="00B44965">
        <w:t>”  (Code Com</w:t>
      </w:r>
      <w:r w:rsidR="006C7791">
        <w:t>.</w:t>
      </w:r>
      <w:r w:rsidR="00B44965">
        <w:t>,</w:t>
      </w:r>
      <w:r w:rsidR="006C7791">
        <w:t xml:space="preserve"> 14a West’s Ann. Code Civ. Proc. </w:t>
      </w:r>
      <w:r w:rsidRPr="00FC1AD9" w:rsidR="00FC1AD9">
        <w:t xml:space="preserve"> </w:t>
      </w:r>
      <w:r w:rsidR="006C7791">
        <w:t xml:space="preserve">(2022 ed.) </w:t>
      </w:r>
      <w:r w:rsidRPr="00FC1AD9" w:rsidR="00FC1AD9">
        <w:t>foll. § 40</w:t>
      </w:r>
      <w:r w:rsidR="00415CB0">
        <w:t>5.36</w:t>
      </w:r>
      <w:r w:rsidR="006C7791">
        <w:t>, p. 256</w:t>
      </w:r>
      <w:r w:rsidR="00415CB0">
        <w:t>.)</w:t>
      </w:r>
      <w:r w:rsidR="008A2FCE">
        <w:t xml:space="preserve"> </w:t>
      </w:r>
      <w:r w:rsidR="000F19DA">
        <w:t xml:space="preserve"> </w:t>
      </w:r>
      <w:r w:rsidR="008A2FCE">
        <w:t xml:space="preserve">Rather, </w:t>
      </w:r>
      <w:r w:rsidR="009E25ED">
        <w:t xml:space="preserve">it </w:t>
      </w:r>
      <w:r w:rsidR="002F5C5C">
        <w:t>“</w:t>
      </w:r>
      <w:r w:rsidRPr="00DC3128" w:rsidR="00DC3128">
        <w:t xml:space="preserve">requires leave for re-recording of </w:t>
      </w:r>
      <w:r w:rsidRPr="002F5C5C" w:rsidR="00DC3128">
        <w:rPr>
          <w:i/>
          <w:iCs/>
        </w:rPr>
        <w:t>any</w:t>
      </w:r>
      <w:r w:rsidRPr="00DC3128" w:rsidR="00DC3128">
        <w:t xml:space="preserve"> expunged lis pendens.</w:t>
      </w:r>
      <w:r w:rsidR="002F5C5C">
        <w:t>”  (</w:t>
      </w:r>
      <w:r w:rsidR="002F5C5C">
        <w:rPr>
          <w:i/>
          <w:iCs/>
        </w:rPr>
        <w:t>Ibid</w:t>
      </w:r>
      <w:r w:rsidR="0099619C">
        <w:t>, italics added</w:t>
      </w:r>
      <w:r w:rsidR="0076554C">
        <w:t>.</w:t>
      </w:r>
      <w:r w:rsidR="002F5C5C">
        <w:t>)</w:t>
      </w:r>
      <w:r w:rsidR="00357392">
        <w:t xml:space="preserve">  In doing so, the Legislature made clear claimants were required to obtain court leave before </w:t>
      </w:r>
      <w:r w:rsidR="004220D4">
        <w:t>a second notice of pending action could be filed following the expungement of a first notice involving the same claimant and property.</w:t>
      </w:r>
      <w:r w:rsidR="00A15ABB">
        <w:t xml:space="preserve">  </w:t>
      </w:r>
      <w:r w:rsidR="00922652">
        <w:t xml:space="preserve">A </w:t>
      </w:r>
      <w:r w:rsidR="00FC12B6">
        <w:t xml:space="preserve">contrary </w:t>
      </w:r>
      <w:r w:rsidR="00922652">
        <w:t xml:space="preserve">reading would </w:t>
      </w:r>
      <w:r w:rsidR="00293E36">
        <w:t xml:space="preserve">undermine the statute.  It would “allow a plaintiff to sue, record a notice of pending action, voluntarily dismiss the claim without prejudice, and strategically burden their adversary with a new claim and new notice at </w:t>
      </w:r>
    </w:p>
    <w:p w:rsidR="0098073E" w:rsidRPr="009F44BE" w:rsidP="00FD50E4" w14:paraId="564966E3" w14:textId="54190173">
      <w:r>
        <w:t>will”</w:t>
      </w:r>
      <w:r w:rsidR="00265405">
        <w:t xml:space="preserve"> — the </w:t>
      </w:r>
      <w:r w:rsidR="00CC0942">
        <w:t xml:space="preserve">very </w:t>
      </w:r>
      <w:r w:rsidR="00265405">
        <w:t xml:space="preserve">abuse section 405.36 was intended to remedy. </w:t>
      </w:r>
      <w:r>
        <w:t xml:space="preserve"> </w:t>
      </w:r>
      <w:r w:rsidR="00265405">
        <w:t>(</w:t>
      </w:r>
      <w:r w:rsidR="00265405">
        <w:rPr>
          <w:i/>
          <w:iCs/>
        </w:rPr>
        <w:t>Fid</w:t>
      </w:r>
      <w:r w:rsidR="00B477EA">
        <w:rPr>
          <w:i/>
          <w:iCs/>
        </w:rPr>
        <w:t>. Nat’l Title Co. v. United States SBA</w:t>
      </w:r>
      <w:r w:rsidR="00265405">
        <w:t xml:space="preserve">, </w:t>
      </w:r>
      <w:r w:rsidR="00265405">
        <w:rPr>
          <w:i/>
          <w:iCs/>
        </w:rPr>
        <w:t>supra</w:t>
      </w:r>
      <w:r w:rsidR="00265405">
        <w:t xml:space="preserve">, </w:t>
      </w:r>
      <w:r w:rsidR="00B477EA">
        <w:t xml:space="preserve">2015 U.S.Dist. Lexis 154076 </w:t>
      </w:r>
      <w:r w:rsidR="00265405">
        <w:t xml:space="preserve">at p. *14.)  </w:t>
      </w:r>
      <w:r w:rsidR="005619C4">
        <w:t xml:space="preserve">In sum, </w:t>
      </w:r>
      <w:r w:rsidR="00243B24">
        <w:t xml:space="preserve">the notice of pending action recorded in </w:t>
      </w:r>
      <w:r w:rsidR="00243B24">
        <w:rPr>
          <w:i/>
          <w:iCs/>
        </w:rPr>
        <w:t xml:space="preserve">Gupta II </w:t>
      </w:r>
      <w:r w:rsidR="00243B24">
        <w:t>must be expunged.</w:t>
      </w:r>
      <w:r w:rsidR="009F44BE">
        <w:t xml:space="preserve"> </w:t>
      </w:r>
      <w:r w:rsidR="00CC0942">
        <w:t xml:space="preserve"> </w:t>
      </w:r>
      <w:r w:rsidR="009F44BE">
        <w:t>(</w:t>
      </w:r>
      <w:r w:rsidR="00CC0942">
        <w:rPr>
          <w:i/>
          <w:iCs/>
        </w:rPr>
        <w:t>Ibid</w:t>
      </w:r>
      <w:r w:rsidR="0085037D">
        <w:t>.)</w:t>
      </w:r>
    </w:p>
    <w:p w:rsidR="004C5D9B" w:rsidRPr="00730075" w:rsidP="004C5D9B" w14:paraId="4A547E14" w14:textId="420B5C6B">
      <w:pPr>
        <w:jc w:val="center"/>
        <w:rPr>
          <w:b/>
          <w:bCs/>
        </w:rPr>
      </w:pPr>
      <w:r w:rsidRPr="00730075">
        <w:rPr>
          <w:b/>
          <w:bCs/>
        </w:rPr>
        <w:t>II.</w:t>
      </w:r>
    </w:p>
    <w:p w:rsidR="00A57080" w:rsidP="00E203B7" w14:paraId="5AFDECF8" w14:textId="486CEC74">
      <w:pPr>
        <w:ind w:firstLine="720"/>
      </w:pPr>
      <w:r w:rsidRPr="00EE7164">
        <w:t>De</w:t>
      </w:r>
      <w:r>
        <w:t xml:space="preserve"> </w:t>
      </w:r>
      <w:r w:rsidR="004B5A55">
        <w:t xml:space="preserve">Martini next contends </w:t>
      </w:r>
      <w:r w:rsidR="00766C84">
        <w:t xml:space="preserve">the </w:t>
      </w:r>
      <w:r w:rsidR="00054766">
        <w:t>notice of lis pendens</w:t>
      </w:r>
      <w:r w:rsidR="00766C84">
        <w:t xml:space="preserve"> must </w:t>
      </w:r>
      <w:r w:rsidR="0016569A">
        <w:t xml:space="preserve">also </w:t>
      </w:r>
      <w:r w:rsidR="00766C84">
        <w:t xml:space="preserve">be expunged because </w:t>
      </w:r>
      <w:r w:rsidR="005F7E64">
        <w:t xml:space="preserve">Gupta’s complaint does not </w:t>
      </w:r>
      <w:r w:rsidR="005619C4">
        <w:t>assert a real property claim</w:t>
      </w:r>
      <w:r w:rsidR="008E1BF8">
        <w:t xml:space="preserve">. </w:t>
      </w:r>
      <w:r>
        <w:t xml:space="preserve"> This argument is meritless. </w:t>
      </w:r>
    </w:p>
    <w:p w:rsidR="00451E8A" w:rsidP="00361884" w14:paraId="69E91E1D" w14:textId="79734253">
      <w:pPr>
        <w:ind w:firstLine="720"/>
      </w:pPr>
      <w:r>
        <w:t xml:space="preserve">Parties who assert </w:t>
      </w:r>
      <w:r w:rsidRPr="006D0CB6">
        <w:t xml:space="preserve">a real property claim may record a lis pendens. </w:t>
      </w:r>
      <w:r>
        <w:t xml:space="preserve"> </w:t>
      </w:r>
      <w:r w:rsidRPr="006D0CB6">
        <w:t>(§</w:t>
      </w:r>
      <w:r w:rsidR="0098073E">
        <w:t> </w:t>
      </w:r>
      <w:r w:rsidRPr="006D0CB6">
        <w:t xml:space="preserve">405.20.) </w:t>
      </w:r>
      <w:r>
        <w:t xml:space="preserve"> A real property claim is “one that affects title or possession of the subject property.”  (</w:t>
      </w:r>
      <w:r w:rsidRPr="00DC77A6">
        <w:rPr>
          <w:i/>
          <w:iCs/>
        </w:rPr>
        <w:t>Urez</w:t>
      </w:r>
      <w:r w:rsidR="001F0724">
        <w:rPr>
          <w:i/>
          <w:iCs/>
        </w:rPr>
        <w:t xml:space="preserve"> Corp. v. Superior Court</w:t>
      </w:r>
      <w:r w:rsidR="004521F2">
        <w:t xml:space="preserve">, </w:t>
      </w:r>
      <w:r w:rsidR="004521F2">
        <w:rPr>
          <w:i/>
          <w:iCs/>
        </w:rPr>
        <w:t>supra</w:t>
      </w:r>
      <w:r w:rsidR="004521F2">
        <w:t>,</w:t>
      </w:r>
      <w:r w:rsidR="004521F2">
        <w:rPr>
          <w:i/>
          <w:iCs/>
        </w:rPr>
        <w:t xml:space="preserve"> </w:t>
      </w:r>
      <w:r>
        <w:t xml:space="preserve">190 Cal.App.3d </w:t>
      </w:r>
      <w:r w:rsidR="004521F2">
        <w:t>at p.</w:t>
      </w:r>
      <w:r w:rsidR="00FD50E4">
        <w:t> </w:t>
      </w:r>
      <w:r>
        <w:t>1149; §</w:t>
      </w:r>
      <w:r w:rsidR="004521F2">
        <w:t> </w:t>
      </w:r>
      <w:r>
        <w:t xml:space="preserve">405.4.)  </w:t>
      </w:r>
      <w:r w:rsidR="009C1188">
        <w:t>The “court shall order the notice expunged if the court finds that the pleading on which the notice is based does not contain a real property claim.”</w:t>
      </w:r>
      <w:r w:rsidR="004521F2">
        <w:t xml:space="preserve">  </w:t>
      </w:r>
      <w:r w:rsidR="009C1188">
        <w:t xml:space="preserve">(§ 405.31.)  </w:t>
      </w:r>
      <w:r w:rsidR="004419FE">
        <w:t>In making this determination, the court must engage in a</w:t>
      </w:r>
      <w:r w:rsidRPr="004419FE" w:rsidR="004419FE">
        <w:t xml:space="preserve"> “</w:t>
      </w:r>
      <w:r w:rsidR="001F0724">
        <w:t xml:space="preserve"> ‘</w:t>
      </w:r>
      <w:r w:rsidRPr="004419FE" w:rsidR="004419FE">
        <w:t>demurrer-like analysis</w:t>
      </w:r>
      <w:r w:rsidR="00141C63">
        <w:t>,</w:t>
      </w:r>
      <w:r w:rsidR="001F0724">
        <w:t xml:space="preserve">’ </w:t>
      </w:r>
      <w:r w:rsidRPr="004419FE" w:rsidR="004419FE">
        <w:t>”</w:t>
      </w:r>
      <w:r w:rsidR="00141C63">
        <w:t xml:space="preserve"> asking whether the </w:t>
      </w:r>
      <w:r w:rsidR="00E0550A">
        <w:t>claimants have pled facts entitling them to the remedy they seek</w:t>
      </w:r>
      <w:r w:rsidRPr="004419FE" w:rsidR="004419FE">
        <w:t>.  (</w:t>
      </w:r>
      <w:r w:rsidRPr="00D96584" w:rsidR="004419FE">
        <w:rPr>
          <w:i/>
          <w:iCs/>
        </w:rPr>
        <w:t>Park 100 Inv</w:t>
      </w:r>
      <w:r w:rsidR="00AB561B">
        <w:rPr>
          <w:i/>
          <w:iCs/>
        </w:rPr>
        <w:t>estment</w:t>
      </w:r>
      <w:r w:rsidRPr="00D96584" w:rsidR="004419FE">
        <w:rPr>
          <w:i/>
          <w:iCs/>
        </w:rPr>
        <w:t xml:space="preserve"> Group II</w:t>
      </w:r>
      <w:r w:rsidR="00AB561B">
        <w:rPr>
          <w:i/>
          <w:iCs/>
        </w:rPr>
        <w:t>, LLC</w:t>
      </w:r>
      <w:r w:rsidRPr="00D96584" w:rsidR="004419FE">
        <w:rPr>
          <w:i/>
          <w:iCs/>
        </w:rPr>
        <w:t xml:space="preserve"> v</w:t>
      </w:r>
      <w:r w:rsidR="00AB561B">
        <w:rPr>
          <w:i/>
          <w:iCs/>
        </w:rPr>
        <w:t>.</w:t>
      </w:r>
      <w:r w:rsidRPr="00D96584" w:rsidR="004419FE">
        <w:rPr>
          <w:i/>
          <w:iCs/>
        </w:rPr>
        <w:t xml:space="preserve"> Ryan</w:t>
      </w:r>
      <w:r w:rsidRPr="004419FE" w:rsidR="004419FE">
        <w:t xml:space="preserve"> (2009) 180 Cal.App.4th 795, 808</w:t>
      </w:r>
      <w:r>
        <w:t xml:space="preserve">; </w:t>
      </w:r>
      <w:r w:rsidRPr="00451E8A">
        <w:rPr>
          <w:i/>
          <w:iCs/>
        </w:rPr>
        <w:t>Campbell v. Superior Court</w:t>
      </w:r>
      <w:r w:rsidRPr="00451E8A">
        <w:t xml:space="preserve"> (2005) 132 Cal.App.4th 904, 922</w:t>
      </w:r>
      <w:r w:rsidRPr="004419FE" w:rsidR="004419FE">
        <w:t xml:space="preserve">.)  </w:t>
      </w:r>
    </w:p>
    <w:p w:rsidR="00DC77A6" w:rsidP="00361884" w14:paraId="3AE56724" w14:textId="38E406B5">
      <w:pPr>
        <w:ind w:firstLine="720"/>
      </w:pPr>
      <w:r>
        <w:t xml:space="preserve">Here, </w:t>
      </w:r>
      <w:r w:rsidR="00E278FF">
        <w:t xml:space="preserve">Gupta alleged </w:t>
      </w:r>
      <w:r w:rsidRPr="00EE7164" w:rsidR="00E55C56">
        <w:t>De</w:t>
      </w:r>
      <w:r w:rsidR="00E55C56">
        <w:t xml:space="preserve"> </w:t>
      </w:r>
      <w:r w:rsidR="00E278FF">
        <w:t>Martini refused to execute the development application documents, thus preventing transfer of the real property pursuant to their commercial purchase</w:t>
      </w:r>
      <w:r w:rsidR="00BC7AD1">
        <w:t>/</w:t>
      </w:r>
      <w:r w:rsidR="00E278FF">
        <w:t xml:space="preserve">sale agreement.  Her complaint </w:t>
      </w:r>
      <w:r w:rsidR="000258DA">
        <w:t xml:space="preserve">seeks an order requiring </w:t>
      </w:r>
      <w:r w:rsidRPr="00EE7164" w:rsidR="00E55C56">
        <w:t>De</w:t>
      </w:r>
      <w:r w:rsidR="00E55C56">
        <w:t xml:space="preserve"> </w:t>
      </w:r>
      <w:r w:rsidR="000258DA">
        <w:t xml:space="preserve">Martini to complete the terms of sale under the purchase agreement. </w:t>
      </w:r>
      <w:r w:rsidR="00D77465">
        <w:t xml:space="preserve"> </w:t>
      </w:r>
      <w:r w:rsidR="004C02B1">
        <w:t>It</w:t>
      </w:r>
      <w:r w:rsidR="00D77465">
        <w:t xml:space="preserve"> </w:t>
      </w:r>
      <w:r w:rsidR="007474FA">
        <w:t>explicitly</w:t>
      </w:r>
      <w:r w:rsidR="00D77465">
        <w:t xml:space="preserve"> </w:t>
      </w:r>
      <w:r>
        <w:t>seeks specific performance of a contract to purchase the property</w:t>
      </w:r>
      <w:r w:rsidR="007C4A3C">
        <w:t xml:space="preserve"> </w:t>
      </w:r>
      <w:r w:rsidR="002E7F0F">
        <w:t>—</w:t>
      </w:r>
      <w:r w:rsidR="007C4A3C">
        <w:t xml:space="preserve"> </w:t>
      </w:r>
      <w:r w:rsidR="002E7F0F">
        <w:t xml:space="preserve">a </w:t>
      </w:r>
      <w:r w:rsidR="007C4A3C">
        <w:t xml:space="preserve">real property </w:t>
      </w:r>
      <w:r w:rsidR="002E7F0F">
        <w:t>claim</w:t>
      </w:r>
      <w:r w:rsidR="00BD2DB1">
        <w:t>.</w:t>
      </w:r>
      <w:r w:rsidR="009B6169">
        <w:t xml:space="preserve"> </w:t>
      </w:r>
      <w:r w:rsidR="007235C9">
        <w:t xml:space="preserve"> </w:t>
      </w:r>
      <w:r w:rsidR="00EC4DFD">
        <w:t>(</w:t>
      </w:r>
      <w:r w:rsidRPr="00361884" w:rsidR="00EC4DFD">
        <w:rPr>
          <w:i/>
          <w:iCs/>
        </w:rPr>
        <w:t>Hilberg v. Superior Court</w:t>
      </w:r>
      <w:r w:rsidR="00EC4DFD">
        <w:t xml:space="preserve"> (1989) 215 Cal.App.3d 539, 542.)  </w:t>
      </w:r>
      <w:r w:rsidR="00AD0B22">
        <w:t xml:space="preserve">None of </w:t>
      </w:r>
      <w:r w:rsidRPr="00EE7164" w:rsidR="00E55C56">
        <w:t>De</w:t>
      </w:r>
      <w:r w:rsidR="00E55C56">
        <w:t xml:space="preserve"> </w:t>
      </w:r>
      <w:r w:rsidR="00AD0B22">
        <w:t xml:space="preserve">Martini’s arguments persuade us otherwise. </w:t>
      </w:r>
    </w:p>
    <w:p w:rsidR="00A57080" w:rsidRPr="00730075" w:rsidP="00E82FA1" w14:paraId="60BBBF75" w14:textId="086F6356">
      <w:pPr>
        <w:jc w:val="center"/>
        <w:rPr>
          <w:b/>
          <w:bCs/>
        </w:rPr>
      </w:pPr>
      <w:r w:rsidRPr="00730075">
        <w:rPr>
          <w:b/>
          <w:bCs/>
        </w:rPr>
        <w:t>III.</w:t>
      </w:r>
    </w:p>
    <w:p w:rsidR="00124CF9" w:rsidP="00A57080" w14:paraId="0A327342" w14:textId="7BA140EE">
      <w:pPr>
        <w:ind w:firstLine="720"/>
      </w:pPr>
      <w:r>
        <w:t xml:space="preserve">Finally, </w:t>
      </w:r>
      <w:r w:rsidRPr="00EE7164" w:rsidR="00E55C56">
        <w:t>De</w:t>
      </w:r>
      <w:r w:rsidR="00E55C56">
        <w:t xml:space="preserve"> </w:t>
      </w:r>
      <w:r w:rsidR="00A57080">
        <w:t>Martini contends the</w:t>
      </w:r>
      <w:r w:rsidR="000202B0">
        <w:t xml:space="preserve"> trial court erred </w:t>
      </w:r>
      <w:r w:rsidR="009D7275">
        <w:t xml:space="preserve">by </w:t>
      </w:r>
      <w:r w:rsidR="00A37A62">
        <w:t xml:space="preserve">applying </w:t>
      </w:r>
      <w:r w:rsidR="00880335">
        <w:t>a prima facie</w:t>
      </w:r>
      <w:r w:rsidR="00A37A62">
        <w:t xml:space="preserve"> standard for determining whether Gupta established the probable validity of her real property claim. </w:t>
      </w:r>
      <w:r w:rsidR="0010717B">
        <w:t xml:space="preserve"> </w:t>
      </w:r>
      <w:r w:rsidR="00997840">
        <w:t xml:space="preserve">We </w:t>
      </w:r>
      <w:r w:rsidR="00A2364D">
        <w:t>agree</w:t>
      </w:r>
      <w:r w:rsidR="00997840">
        <w:t xml:space="preserve">.  </w:t>
      </w:r>
    </w:p>
    <w:p w:rsidR="00A53D17" w:rsidP="00817F9E" w14:paraId="3C995AE9" w14:textId="24F2EA8D">
      <w:pPr>
        <w:ind w:firstLine="720"/>
      </w:pPr>
      <w:r>
        <w:t xml:space="preserve">The </w:t>
      </w:r>
      <w:r w:rsidR="00FB0CE7">
        <w:t xml:space="preserve">trial </w:t>
      </w:r>
      <w:r>
        <w:t xml:space="preserve">court must order a </w:t>
      </w:r>
      <w:r w:rsidR="00FB0CE7">
        <w:t xml:space="preserve">lis pendens </w:t>
      </w:r>
      <w:r>
        <w:t xml:space="preserve">be expunged if the claimant </w:t>
      </w:r>
      <w:r w:rsidR="00926B7D">
        <w:t xml:space="preserve">fails to establish by a preponderance of the evidence the probable validity of the real property claim. </w:t>
      </w:r>
      <w:r w:rsidR="00087FBF">
        <w:t xml:space="preserve"> </w:t>
      </w:r>
      <w:r w:rsidR="003A170C">
        <w:t xml:space="preserve">(§ 405.32.)  </w:t>
      </w:r>
      <w:r w:rsidR="009D662D">
        <w:t xml:space="preserve">Unlike other motions, </w:t>
      </w:r>
      <w:r w:rsidR="009E27A4">
        <w:t>nonmoving p</w:t>
      </w:r>
      <w:r w:rsidR="007474FA">
        <w:t>artie</w:t>
      </w:r>
      <w:r w:rsidR="00415835">
        <w:t>s</w:t>
      </w:r>
      <w:r w:rsidR="009E27A4">
        <w:t xml:space="preserve"> must demonstrate the existence or probable validity of their real property claims.  </w:t>
      </w:r>
      <w:r w:rsidRPr="00227BC2" w:rsidR="00227BC2">
        <w:t>(</w:t>
      </w:r>
      <w:r w:rsidRPr="00227BC2" w:rsidR="00227BC2">
        <w:rPr>
          <w:i/>
          <w:iCs/>
        </w:rPr>
        <w:t>Kirkeby v. Superior Court</w:t>
      </w:r>
      <w:r w:rsidRPr="00227BC2" w:rsidR="00227BC2">
        <w:t xml:space="preserve"> (2004) 33 Cal.4th 642, 647</w:t>
      </w:r>
      <w:r w:rsidR="00227BC2">
        <w:t>.)  P</w:t>
      </w:r>
      <w:r w:rsidR="00087FBF">
        <w:t xml:space="preserve">robable validity </w:t>
      </w:r>
      <w:r w:rsidRPr="00087FBF" w:rsidR="00087FBF">
        <w:t xml:space="preserve">“means that it is more likely than not that the claimant will obtain a judgment against the defendant on the claim.” </w:t>
      </w:r>
      <w:r w:rsidR="00CE567E">
        <w:t xml:space="preserve"> </w:t>
      </w:r>
      <w:r w:rsidRPr="00087FBF" w:rsidR="00087FBF">
        <w:t>(§</w:t>
      </w:r>
      <w:r w:rsidR="00227BC2">
        <w:t> </w:t>
      </w:r>
      <w:r w:rsidRPr="00087FBF" w:rsidR="00087FBF">
        <w:t>405.3.)</w:t>
      </w:r>
      <w:r w:rsidR="00227BC2">
        <w:t xml:space="preserve">  </w:t>
      </w:r>
      <w:r w:rsidR="00E91974">
        <w:t>Thus, w</w:t>
      </w:r>
      <w:r w:rsidR="00857E5E">
        <w:t xml:space="preserve">hen presented with a pretrial motion to expunge a lis pendens, the court must </w:t>
      </w:r>
      <w:r w:rsidR="00EF29A7">
        <w:t>grant</w:t>
      </w:r>
      <w:r w:rsidR="002659EA">
        <w:t xml:space="preserve"> the motion unless the claimant establishes </w:t>
      </w:r>
      <w:r w:rsidRPr="00850E1E" w:rsidR="00850E1E">
        <w:t xml:space="preserve">“ ‘by a </w:t>
      </w:r>
      <w:r w:rsidRPr="002659EA" w:rsidR="00850E1E">
        <w:rPr>
          <w:i/>
          <w:iCs/>
        </w:rPr>
        <w:t>preponderance of the evidence</w:t>
      </w:r>
      <w:r w:rsidRPr="00850E1E" w:rsidR="00850E1E">
        <w:t xml:space="preserve"> the probable validity of the real property claim.’ ”  (</w:t>
      </w:r>
      <w:r w:rsidRPr="002659EA" w:rsidR="00850E1E">
        <w:rPr>
          <w:i/>
          <w:iCs/>
        </w:rPr>
        <w:t>Amalgamated</w:t>
      </w:r>
      <w:r w:rsidR="00E8050B">
        <w:rPr>
          <w:i/>
          <w:iCs/>
        </w:rPr>
        <w:t xml:space="preserve"> Bank v. Superior Court</w:t>
      </w:r>
      <w:r w:rsidRPr="0099737C" w:rsidR="00E8050B">
        <w:t>,</w:t>
      </w:r>
      <w:r w:rsidR="00E8050B">
        <w:rPr>
          <w:i/>
          <w:iCs/>
        </w:rPr>
        <w:t xml:space="preserve"> supra</w:t>
      </w:r>
      <w:r w:rsidRPr="00850E1E" w:rsidR="00850E1E">
        <w:t>, 149 Cal.App.4th at p. 1016, italics added.)</w:t>
      </w:r>
    </w:p>
    <w:p w:rsidR="009E723F" w:rsidP="00E55B02" w14:paraId="611A325C" w14:textId="7FA74E1F">
      <w:pPr>
        <w:ind w:firstLine="720"/>
      </w:pPr>
      <w:r>
        <w:t xml:space="preserve">Here, </w:t>
      </w:r>
      <w:r w:rsidR="00421614">
        <w:t xml:space="preserve">the </w:t>
      </w:r>
      <w:r w:rsidR="00FB0CE7">
        <w:t xml:space="preserve">trial </w:t>
      </w:r>
      <w:r w:rsidR="00421614">
        <w:t>court</w:t>
      </w:r>
      <w:r w:rsidR="00AD76DE">
        <w:t xml:space="preserve">, citing </w:t>
      </w:r>
      <w:r w:rsidRPr="00334864" w:rsidR="00A4645F">
        <w:rPr>
          <w:i/>
          <w:iCs/>
        </w:rPr>
        <w:t>Howard S. Wright Construction Co. v. Superior Court</w:t>
      </w:r>
      <w:r w:rsidR="00A4645F">
        <w:t xml:space="preserve"> (2003) 106 Cal.App.4th 314,</w:t>
      </w:r>
      <w:r w:rsidRPr="00357AD0" w:rsidR="00357AD0">
        <w:t xml:space="preserve"> </w:t>
      </w:r>
      <w:r w:rsidRPr="00357AD0" w:rsidR="00AF1407">
        <w:t xml:space="preserve">found the evidence established “a prima facie case of a breach, one that is capable of being remedied by specific performance.” </w:t>
      </w:r>
      <w:r w:rsidR="00AF1407">
        <w:t xml:space="preserve"> T</w:t>
      </w:r>
      <w:r w:rsidRPr="00357AD0" w:rsidR="00AF1407">
        <w:t>hus</w:t>
      </w:r>
      <w:r w:rsidR="00AF1407">
        <w:t>,</w:t>
      </w:r>
      <w:r w:rsidRPr="00357AD0" w:rsidR="00AF1407">
        <w:t xml:space="preserve"> </w:t>
      </w:r>
      <w:r w:rsidR="00FB0CE7">
        <w:t xml:space="preserve">it concluded </w:t>
      </w:r>
      <w:r w:rsidRPr="00357AD0" w:rsidR="00AF1407">
        <w:t xml:space="preserve">the </w:t>
      </w:r>
      <w:r w:rsidR="00FB0CE7">
        <w:t xml:space="preserve">lis pendens </w:t>
      </w:r>
      <w:r w:rsidR="00AF1407">
        <w:t xml:space="preserve">cannot be expunged for the claim’s lack of probable validity. </w:t>
      </w:r>
      <w:r w:rsidRPr="00357AD0" w:rsidR="00AF1407">
        <w:t xml:space="preserve"> </w:t>
      </w:r>
      <w:r w:rsidR="00AF1407">
        <w:t xml:space="preserve">While </w:t>
      </w:r>
      <w:r w:rsidR="00AA4CC3">
        <w:t xml:space="preserve">only </w:t>
      </w:r>
      <w:r w:rsidR="00AF1407">
        <w:t xml:space="preserve">requiring a claimant to make a prima facie case may have been appropriate when applying the </w:t>
      </w:r>
      <w:r w:rsidRPr="00E453A5" w:rsidR="00AF1407">
        <w:rPr>
          <w:i/>
          <w:iCs/>
        </w:rPr>
        <w:t>former</w:t>
      </w:r>
      <w:r w:rsidR="00AF1407">
        <w:t xml:space="preserve"> lis pendens expungement provisions</w:t>
      </w:r>
      <w:r w:rsidR="00226450">
        <w:t xml:space="preserve"> as interpreted by</w:t>
      </w:r>
      <w:r w:rsidR="00EA038C">
        <w:t xml:space="preserve"> </w:t>
      </w:r>
      <w:r w:rsidRPr="00A42906" w:rsidR="00A42906">
        <w:rPr>
          <w:i/>
          <w:iCs/>
        </w:rPr>
        <w:t>Wright</w:t>
      </w:r>
      <w:r w:rsidR="00AF1407">
        <w:t>, it was incorrect here.</w:t>
      </w:r>
      <w:r w:rsidR="008B6355">
        <w:t xml:space="preserve">  </w:t>
      </w:r>
      <w:r w:rsidR="00B86741">
        <w:t>F</w:t>
      </w:r>
      <w:r w:rsidR="00F0467C">
        <w:t xml:space="preserve">ormer </w:t>
      </w:r>
      <w:r w:rsidR="00844079">
        <w:t>section 409.1</w:t>
      </w:r>
      <w:r w:rsidR="00CB16C8">
        <w:t xml:space="preserve"> provided</w:t>
      </w:r>
      <w:r w:rsidR="00FB0CE7">
        <w:t>,</w:t>
      </w:r>
      <w:r w:rsidR="00CB16C8">
        <w:t xml:space="preserve"> in relevant part</w:t>
      </w:r>
      <w:r w:rsidR="00D025E4">
        <w:t xml:space="preserve">, the court shall order a notice of pendency of action be expunged unless the </w:t>
      </w:r>
      <w:r w:rsidR="002E0D49">
        <w:t xml:space="preserve">party filing the notice shows by a preponderance of the evidence the action does affect title or right of possession of real property and </w:t>
      </w:r>
      <w:r w:rsidR="002C76A3">
        <w:t>the party commenced or prosecuted the action for proper purpose and in good faith.</w:t>
      </w:r>
      <w:r w:rsidR="00226450">
        <w:t xml:space="preserve">  </w:t>
      </w:r>
      <w:r w:rsidR="007C0BE7">
        <w:t>“</w:t>
      </w:r>
      <w:r w:rsidRPr="00BC16A8" w:rsidR="00BC16A8">
        <w:t>Notwithstanding this statutory directive of proof by a preponderance of the evidence</w:t>
      </w:r>
      <w:r w:rsidR="00816A87">
        <w:t xml:space="preserve">,” </w:t>
      </w:r>
      <w:r w:rsidR="000224E8">
        <w:t xml:space="preserve">the court </w:t>
      </w:r>
      <w:r w:rsidR="00D76406">
        <w:t xml:space="preserve">in </w:t>
      </w:r>
      <w:r w:rsidRPr="00287EAB" w:rsidR="00D76406">
        <w:rPr>
          <w:i/>
          <w:iCs/>
        </w:rPr>
        <w:t xml:space="preserve">Malcolm </w:t>
      </w:r>
      <w:r w:rsidR="00D76406">
        <w:t>interpreted that provision as</w:t>
      </w:r>
      <w:r w:rsidR="000224E8">
        <w:t xml:space="preserve"> preclud</w:t>
      </w:r>
      <w:r w:rsidR="00D76406">
        <w:t>ing the court</w:t>
      </w:r>
      <w:r w:rsidR="000224E8">
        <w:t xml:space="preserve"> from weighing or critically evaluating the evidentiary merits of the motion to expunge</w:t>
      </w:r>
      <w:r w:rsidR="0018594E">
        <w:t xml:space="preserve">.  </w:t>
      </w:r>
      <w:r w:rsidRPr="00613791" w:rsidR="00613791">
        <w:t>(</w:t>
      </w:r>
      <w:r w:rsidR="005A2649">
        <w:t>Code Com</w:t>
      </w:r>
      <w:r w:rsidR="0056754D">
        <w:t>.</w:t>
      </w:r>
      <w:r w:rsidR="005A2649">
        <w:t xml:space="preserve">, </w:t>
      </w:r>
      <w:r w:rsidR="00F43F49">
        <w:t xml:space="preserve">14a West’s Ann. Code Civ. Proc., </w:t>
      </w:r>
      <w:r w:rsidRPr="001D47B9" w:rsidR="00F43F49">
        <w:rPr>
          <w:i/>
          <w:iCs/>
        </w:rPr>
        <w:t>supra</w:t>
      </w:r>
      <w:r w:rsidR="00F43F49">
        <w:t xml:space="preserve">, </w:t>
      </w:r>
      <w:r w:rsidR="005A2649">
        <w:t>foll. § 405.3</w:t>
      </w:r>
      <w:r w:rsidRPr="00613791" w:rsidR="00613791">
        <w:t xml:space="preserve">.) </w:t>
      </w:r>
      <w:r w:rsidR="001602E3">
        <w:t xml:space="preserve"> </w:t>
      </w:r>
      <w:r w:rsidR="00110D00">
        <w:t>The “propriety of expungement” did not depend on the “likely outcome of plaintiff’s lawsuit.”  (</w:t>
      </w:r>
      <w:r w:rsidR="0039528C">
        <w:rPr>
          <w:i/>
          <w:iCs/>
        </w:rPr>
        <w:t>Malcolm</w:t>
      </w:r>
      <w:r w:rsidR="0039528C">
        <w:t xml:space="preserve">, </w:t>
      </w:r>
      <w:r w:rsidR="0039528C">
        <w:rPr>
          <w:i/>
          <w:iCs/>
        </w:rPr>
        <w:t>supra</w:t>
      </w:r>
      <w:r w:rsidR="0039528C">
        <w:t>, 29 Cal.3d</w:t>
      </w:r>
      <w:r w:rsidR="00110D00">
        <w:t xml:space="preserve"> at p. 528.) </w:t>
      </w:r>
      <w:r w:rsidR="00C44477">
        <w:t xml:space="preserve"> </w:t>
      </w:r>
      <w:r w:rsidR="00513BE7">
        <w:t xml:space="preserve">And </w:t>
      </w:r>
      <w:r w:rsidR="005A2649">
        <w:t>a plaintiff was only required to present a prima facie case to retain the lis pendens on the property</w:t>
      </w:r>
      <w:r w:rsidR="00F73978">
        <w:t xml:space="preserve">. </w:t>
      </w:r>
      <w:r w:rsidR="00314D42">
        <w:t xml:space="preserve"> </w:t>
      </w:r>
      <w:r w:rsidR="00746A95">
        <w:t>(</w:t>
      </w:r>
      <w:r w:rsidR="00AE7EDF">
        <w:rPr>
          <w:i/>
          <w:iCs/>
        </w:rPr>
        <w:t>Id</w:t>
      </w:r>
      <w:r w:rsidR="00AE7EDF">
        <w:t>. at p.</w:t>
      </w:r>
      <w:r w:rsidR="00FD50E4">
        <w:t> </w:t>
      </w:r>
      <w:r w:rsidR="00AE7EDF">
        <w:t>522</w:t>
      </w:r>
      <w:r w:rsidR="00746A95">
        <w:t xml:space="preserve">.) </w:t>
      </w:r>
      <w:r w:rsidR="00C44477">
        <w:t xml:space="preserve"> </w:t>
      </w:r>
      <w:r w:rsidR="005A2649">
        <w:t>R</w:t>
      </w:r>
      <w:r w:rsidR="00D42273">
        <w:t>eview “was reduced to little more than a demurrer-like examination of the adequacy of pleadings.”  (</w:t>
      </w:r>
      <w:r w:rsidR="00AF248C">
        <w:t xml:space="preserve">Code </w:t>
      </w:r>
      <w:r w:rsidR="00D42273">
        <w:t>Com</w:t>
      </w:r>
      <w:r w:rsidR="00B75654">
        <w:t>.</w:t>
      </w:r>
      <w:r w:rsidR="00D42273">
        <w:t>,</w:t>
      </w:r>
      <w:r w:rsidR="00B75654">
        <w:t xml:space="preserve"> 14a West’s Ann. Code Civ. Proc., </w:t>
      </w:r>
      <w:r w:rsidRPr="00320F59" w:rsidR="00B75654">
        <w:rPr>
          <w:i/>
          <w:iCs/>
        </w:rPr>
        <w:t>supra</w:t>
      </w:r>
      <w:r w:rsidR="00B75654">
        <w:t>,</w:t>
      </w:r>
      <w:r w:rsidR="00D42273">
        <w:t xml:space="preserve"> </w:t>
      </w:r>
      <w:r w:rsidR="00AF248C">
        <w:t xml:space="preserve">foll. </w:t>
      </w:r>
      <w:r w:rsidR="00D42273">
        <w:t>§ 4</w:t>
      </w:r>
      <w:r>
        <w:t>05.32</w:t>
      </w:r>
      <w:r w:rsidR="00B75654">
        <w:t>, p. 242</w:t>
      </w:r>
      <w:r>
        <w:t xml:space="preserve">.) </w:t>
      </w:r>
      <w:r w:rsidR="00746A95">
        <w:t xml:space="preserve"> </w:t>
      </w:r>
      <w:r w:rsidR="009B2B04">
        <w:t xml:space="preserve">This was all appropriate for a prima facie </w:t>
      </w:r>
      <w:r w:rsidR="00340EAF">
        <w:t>burden of proof — the “defining feature of the prima facie standard is that it creates an initial burden on a moving party to proffer evidence that would support a favorable ruling without a court’s consideration of conflicting evidence put forth by the opponent.”  (</w:t>
      </w:r>
      <w:r w:rsidRPr="00340EAF" w:rsidR="00340EAF">
        <w:rPr>
          <w:i/>
          <w:iCs/>
        </w:rPr>
        <w:t>Finley v. Superior C</w:t>
      </w:r>
      <w:r w:rsidR="00340EAF">
        <w:rPr>
          <w:i/>
          <w:iCs/>
        </w:rPr>
        <w:t>ourt</w:t>
      </w:r>
      <w:r w:rsidR="00340EAF">
        <w:t xml:space="preserve"> (2023) 95 Cal.App.5th 12, 21.)</w:t>
      </w:r>
    </w:p>
    <w:p w:rsidR="000745BF" w:rsidRPr="00E924EC" w:rsidP="00B92670" w14:paraId="6C23304B" w14:textId="2835F9AC">
      <w:pPr>
        <w:ind w:firstLine="720"/>
        <w:rPr>
          <w:lang w:val="es-MX"/>
        </w:rPr>
      </w:pPr>
      <w:r w:rsidRPr="00466B48">
        <w:t xml:space="preserve">But </w:t>
      </w:r>
      <w:r w:rsidRPr="00466B48" w:rsidR="004F72C2">
        <w:t xml:space="preserve">to </w:t>
      </w:r>
      <w:r w:rsidRPr="00466B48" w:rsidR="002D24F3">
        <w:t>curb abuses of the lis pendens</w:t>
      </w:r>
      <w:r w:rsidR="005A0425">
        <w:t xml:space="preserve"> statute</w:t>
      </w:r>
      <w:r w:rsidRPr="00466B48" w:rsidR="004F72C2">
        <w:t xml:space="preserve">, </w:t>
      </w:r>
      <w:r w:rsidR="002F651A">
        <w:t>the 1992 amendments</w:t>
      </w:r>
      <w:r w:rsidR="00FB0CE7">
        <w:t xml:space="preserve"> </w:t>
      </w:r>
      <w:r w:rsidR="00C91312">
        <w:t>required</w:t>
      </w:r>
      <w:r w:rsidR="00FB0CE7">
        <w:t xml:space="preserve">, </w:t>
      </w:r>
      <w:r w:rsidRPr="00466B48" w:rsidR="00FB0CE7">
        <w:t xml:space="preserve">among other things, </w:t>
      </w:r>
      <w:r w:rsidRPr="00466B48" w:rsidR="00115712">
        <w:t>the recording party to show by a preponderance of evidence that the action is probably valid.</w:t>
      </w:r>
      <w:r w:rsidR="002D24F3">
        <w:t xml:space="preserve">  (</w:t>
      </w:r>
      <w:r w:rsidRPr="002D24F3" w:rsidR="002D24F3">
        <w:rPr>
          <w:i/>
          <w:iCs/>
        </w:rPr>
        <w:t>Hunting World, Inc. v. Superior C</w:t>
      </w:r>
      <w:r w:rsidR="00E91CB8">
        <w:rPr>
          <w:i/>
          <w:iCs/>
        </w:rPr>
        <w:t>ourt</w:t>
      </w:r>
      <w:r w:rsidR="002D24F3">
        <w:t xml:space="preserve"> (1994) 22 Cal.App.4th 67, 73.)  </w:t>
      </w:r>
      <w:r w:rsidR="008B6355">
        <w:t xml:space="preserve">Indeed, </w:t>
      </w:r>
      <w:r w:rsidR="00AC2FBB">
        <w:t>“the former statute did not carefully distinguish between the concepts of adequate pleading of a claim justifying a lis pendens and the evidentiary merit of the claim</w:t>
      </w:r>
      <w:r w:rsidR="00246506">
        <w:t>.”  (Code Co</w:t>
      </w:r>
      <w:r w:rsidR="003865B3">
        <w:t>m.</w:t>
      </w:r>
      <w:r w:rsidR="00246506">
        <w:t xml:space="preserve">, </w:t>
      </w:r>
      <w:r w:rsidR="003865B3">
        <w:t xml:space="preserve">14a West’s Ann. Code Civ. Proc., </w:t>
      </w:r>
      <w:r w:rsidRPr="00320F59" w:rsidR="003865B3">
        <w:rPr>
          <w:i/>
          <w:iCs/>
        </w:rPr>
        <w:t>supra</w:t>
      </w:r>
      <w:r w:rsidR="003865B3">
        <w:t xml:space="preserve">, </w:t>
      </w:r>
      <w:r w:rsidR="00246506">
        <w:t>foll. § 405.</w:t>
      </w:r>
      <w:r w:rsidR="003865B3">
        <w:t>4, p.</w:t>
      </w:r>
      <w:r w:rsidR="008E4F01">
        <w:t> </w:t>
      </w:r>
      <w:r w:rsidR="003865B3">
        <w:t>199</w:t>
      </w:r>
      <w:r w:rsidR="00246506">
        <w:t>.)</w:t>
      </w:r>
      <w:r w:rsidR="005A5821">
        <w:t xml:space="preserve">  The amended statute </w:t>
      </w:r>
      <w:r w:rsidR="002F7820">
        <w:t xml:space="preserve">thus </w:t>
      </w:r>
      <w:r w:rsidR="005A5821">
        <w:t>require</w:t>
      </w:r>
      <w:r w:rsidR="002F7820">
        <w:t>s</w:t>
      </w:r>
      <w:r w:rsidR="00D44675">
        <w:t xml:space="preserve"> a minitrial on the merits</w:t>
      </w:r>
      <w:r w:rsidR="005A5821">
        <w:t xml:space="preserve"> for making a probable validity finding</w:t>
      </w:r>
      <w:r w:rsidR="00044982">
        <w:t xml:space="preserve">, not a “quasi demurrer-like analysis” as the trial court </w:t>
      </w:r>
      <w:r w:rsidR="00B6410B">
        <w:t>noted here</w:t>
      </w:r>
      <w:r w:rsidR="007818C6">
        <w:t xml:space="preserve">.  </w:t>
      </w:r>
      <w:r w:rsidR="00D44675">
        <w:t>(</w:t>
      </w:r>
      <w:r w:rsidR="00D44675">
        <w:rPr>
          <w:i/>
          <w:iCs/>
        </w:rPr>
        <w:t>Amalgamated</w:t>
      </w:r>
      <w:r w:rsidR="008E4F01">
        <w:rPr>
          <w:i/>
          <w:iCs/>
        </w:rPr>
        <w:t xml:space="preserve"> Bank v. Superior Court</w:t>
      </w:r>
      <w:r w:rsidR="00D44675">
        <w:t>,</w:t>
      </w:r>
      <w:r w:rsidR="00D44675">
        <w:rPr>
          <w:i/>
          <w:iCs/>
        </w:rPr>
        <w:t xml:space="preserve"> </w:t>
      </w:r>
      <w:r w:rsidRPr="003C70DB" w:rsidR="003C70DB">
        <w:rPr>
          <w:i/>
          <w:iCs/>
        </w:rPr>
        <w:t>supra</w:t>
      </w:r>
      <w:r w:rsidR="003C70DB">
        <w:t xml:space="preserve">, </w:t>
      </w:r>
      <w:r w:rsidRPr="003C70DB" w:rsidR="00D44675">
        <w:t>149</w:t>
      </w:r>
      <w:r w:rsidR="00FD50E4">
        <w:t> </w:t>
      </w:r>
      <w:r w:rsidRPr="00AC4E6A" w:rsidR="00D44675">
        <w:t xml:space="preserve">Cal.App.4th </w:t>
      </w:r>
      <w:r w:rsidR="00D44675">
        <w:t>at p.</w:t>
      </w:r>
      <w:r w:rsidRPr="00AC4E6A" w:rsidR="00D44675">
        <w:t xml:space="preserve"> 1016</w:t>
      </w:r>
      <w:r w:rsidR="00D44675">
        <w:t xml:space="preserve">.)  </w:t>
      </w:r>
      <w:r w:rsidR="00C73131">
        <w:t xml:space="preserve">Nothing in the statute indicates </w:t>
      </w:r>
      <w:r w:rsidR="00E96439">
        <w:t xml:space="preserve">the claimant is only required to make a prima facie case regarding the probable validity of the real property claim. </w:t>
      </w:r>
      <w:r w:rsidR="009C301C">
        <w:t xml:space="preserve"> Rather, the statute expressly states the standard is preponderance of the evidence.  </w:t>
      </w:r>
      <w:r w:rsidR="00F21F63">
        <w:t xml:space="preserve">(§ 405.32.)  </w:t>
      </w:r>
      <w:r w:rsidR="005A5821">
        <w:t>This is particularly</w:t>
      </w:r>
      <w:r w:rsidR="001D47B9">
        <w:t xml:space="preserve"> </w:t>
      </w:r>
      <w:r w:rsidR="005A5821">
        <w:t>true where</w:t>
      </w:r>
      <w:r w:rsidR="00553B99">
        <w:t>, as here, the defendant made an appearance by filing a general denial of Gupta’s c</w:t>
      </w:r>
      <w:r w:rsidR="00720915">
        <w:t xml:space="preserve">laim. </w:t>
      </w:r>
      <w:r w:rsidRPr="00A419D5" w:rsidR="009C301C">
        <w:t xml:space="preserve"> (</w:t>
      </w:r>
      <w:r w:rsidRPr="00334864" w:rsidR="00F241FA">
        <w:rPr>
          <w:i/>
          <w:iCs/>
        </w:rPr>
        <w:t>Howard S. Wright Construction Co. v. Superior Court</w:t>
      </w:r>
      <w:r w:rsidR="00F241FA">
        <w:t xml:space="preserve">, </w:t>
      </w:r>
      <w:r w:rsidRPr="00F241FA" w:rsidR="00F241FA">
        <w:rPr>
          <w:i/>
          <w:iCs/>
        </w:rPr>
        <w:t>supra</w:t>
      </w:r>
      <w:r w:rsidR="00F241FA">
        <w:t xml:space="preserve">, </w:t>
      </w:r>
      <w:r w:rsidRPr="00F241FA" w:rsidR="00F241FA">
        <w:t>106</w:t>
      </w:r>
      <w:r w:rsidR="00FD50E4">
        <w:t> </w:t>
      </w:r>
      <w:r w:rsidR="00F241FA">
        <w:t>Cal.App.4th at p. 319 [</w:t>
      </w:r>
      <w:r w:rsidR="003572B9">
        <w:t>“</w:t>
      </w:r>
      <w:r w:rsidR="008E4F01">
        <w:t xml:space="preserve"> ‘</w:t>
      </w:r>
      <w:r w:rsidRPr="001A7636" w:rsidR="003572B9">
        <w:t>If the defendant makes an appearance, the court must then consider the relative merits of the positions of the respective parties and make a determination of the probable outcome of the litigation</w:t>
      </w:r>
      <w:r w:rsidR="008E4F01">
        <w:t xml:space="preserve">’ </w:t>
      </w:r>
      <w:r w:rsidR="003572B9">
        <w:t>”];</w:t>
      </w:r>
      <w:r w:rsidRPr="00A419D5" w:rsidR="003572B9">
        <w:rPr>
          <w:i/>
        </w:rPr>
        <w:t xml:space="preserve"> </w:t>
      </w:r>
      <w:r w:rsidRPr="00A419D5" w:rsidR="009C301C">
        <w:rPr>
          <w:i/>
        </w:rPr>
        <w:t>California Dental Assn. v. American Dental Assn.</w:t>
      </w:r>
      <w:r w:rsidRPr="00A419D5" w:rsidR="009C301C">
        <w:t xml:space="preserve"> </w:t>
      </w:r>
      <w:r w:rsidRPr="00E924EC" w:rsidR="009C301C">
        <w:rPr>
          <w:lang w:val="es-MX"/>
        </w:rPr>
        <w:t xml:space="preserve">(1979) 23 Cal.3d 346, 351.)  </w:t>
      </w:r>
    </w:p>
    <w:p w:rsidR="00D00DDF" w:rsidRPr="00BB11BA" w:rsidP="00067800" w14:paraId="2CB0F7A9" w14:textId="4ABC58C9">
      <w:pPr>
        <w:ind w:firstLine="720"/>
      </w:pPr>
      <w:r>
        <w:t xml:space="preserve">Because the trial court erred </w:t>
      </w:r>
      <w:r w:rsidR="00AA4CC3">
        <w:t>by</w:t>
      </w:r>
      <w:r>
        <w:t xml:space="preserve"> applying the </w:t>
      </w:r>
      <w:r w:rsidR="00AD38C8">
        <w:t xml:space="preserve">prima facie burden of proof for determining whether Gupta established the probable validity of her real property claim, we do not address </w:t>
      </w:r>
      <w:r w:rsidRPr="00EE7164" w:rsidR="00E55C56">
        <w:t>De</w:t>
      </w:r>
      <w:r w:rsidR="00E55C56">
        <w:t xml:space="preserve"> </w:t>
      </w:r>
      <w:r w:rsidR="001E0380">
        <w:t>Martini’s</w:t>
      </w:r>
      <w:r w:rsidR="00AD38C8">
        <w:t xml:space="preserve"> argument </w:t>
      </w:r>
      <w:r w:rsidR="00A0611D">
        <w:t xml:space="preserve">Gupta failed to </w:t>
      </w:r>
      <w:r w:rsidR="003069D0">
        <w:t xml:space="preserve">make a prima facie case </w:t>
      </w:r>
      <w:r w:rsidR="00EA3A91">
        <w:t xml:space="preserve">that </w:t>
      </w:r>
      <w:r w:rsidR="00422897">
        <w:t xml:space="preserve">she would likely obtain a </w:t>
      </w:r>
      <w:r w:rsidR="001E0380">
        <w:t>favorable judgment</w:t>
      </w:r>
      <w:r w:rsidR="00422897">
        <w:t xml:space="preserve">. </w:t>
      </w:r>
      <w:r w:rsidR="00513802">
        <w:t xml:space="preserve"> In light of th</w:t>
      </w:r>
      <w:r w:rsidR="00B25BEA">
        <w:t>e</w:t>
      </w:r>
      <w:r w:rsidR="00513802">
        <w:t>s</w:t>
      </w:r>
      <w:r w:rsidR="00B25BEA">
        <w:t>e</w:t>
      </w:r>
      <w:r w:rsidR="00513802">
        <w:t xml:space="preserve"> conclusion</w:t>
      </w:r>
      <w:r w:rsidR="00B25BEA">
        <w:t>s</w:t>
      </w:r>
      <w:r w:rsidR="00513802">
        <w:t>, we also vacate the grant of attorney fees to Gupta</w:t>
      </w:r>
      <w:r w:rsidR="00F35562">
        <w:t>.  (§ 405.38</w:t>
      </w:r>
      <w:r w:rsidR="00942A33">
        <w:t>.)</w:t>
      </w:r>
      <w:r w:rsidR="00376BEC">
        <w:t xml:space="preserve">  We </w:t>
      </w:r>
      <w:r w:rsidR="00712507">
        <w:t xml:space="preserve">do not </w:t>
      </w:r>
      <w:r w:rsidR="00AB71FE">
        <w:t xml:space="preserve">require the court to </w:t>
      </w:r>
      <w:r w:rsidR="00712507">
        <w:t xml:space="preserve">enter an order granting </w:t>
      </w:r>
      <w:r w:rsidRPr="00EE7164" w:rsidR="00E55C56">
        <w:t>De</w:t>
      </w:r>
      <w:r w:rsidR="00E55C56">
        <w:t xml:space="preserve"> </w:t>
      </w:r>
      <w:r w:rsidR="00712507">
        <w:t xml:space="preserve">Martini his attorney fees </w:t>
      </w:r>
      <w:r w:rsidR="00940AA2">
        <w:t>associated with the motion to expunge the second lis pendens</w:t>
      </w:r>
      <w:r w:rsidR="00BB11BA">
        <w:t xml:space="preserve">.  Rather, we </w:t>
      </w:r>
      <w:r w:rsidR="00940AA2">
        <w:t>leave the issue to the court to determine whether there are special findings supporting the denial of fees.</w:t>
      </w:r>
      <w:r w:rsidR="00BB11BA">
        <w:t xml:space="preserve">  (</w:t>
      </w:r>
      <w:r w:rsidR="00BB11BA">
        <w:rPr>
          <w:i/>
          <w:iCs/>
        </w:rPr>
        <w:t>Ibid</w:t>
      </w:r>
      <w:r w:rsidR="00BB11BA">
        <w:t>.)</w:t>
      </w:r>
    </w:p>
    <w:p w:rsidR="00A71A8D" w:rsidRPr="00A71A8D" w:rsidP="00A71A8D" w14:paraId="353C64D5" w14:textId="12BBFA76">
      <w:pPr>
        <w:jc w:val="center"/>
        <w:rPr>
          <w:b/>
          <w:bCs/>
        </w:rPr>
      </w:pPr>
      <w:r>
        <w:rPr>
          <w:b/>
          <w:bCs/>
        </w:rPr>
        <w:t>DISPOSITION</w:t>
      </w:r>
    </w:p>
    <w:p w:rsidR="00391378" w:rsidP="0096025F" w14:paraId="32E9B490" w14:textId="0C1BA167">
      <w:pPr>
        <w:ind w:firstLine="720"/>
      </w:pPr>
      <w:r>
        <w:t xml:space="preserve">Let a peremptory writ of mandate issue directing the superior court to vacate its order </w:t>
      </w:r>
      <w:r w:rsidR="00F125F4">
        <w:t xml:space="preserve">denying expungement of the </w:t>
      </w:r>
      <w:r w:rsidR="00D1604C">
        <w:t>notice of pending action</w:t>
      </w:r>
      <w:r w:rsidR="009E3D30">
        <w:t xml:space="preserve"> and to enter a new and different order</w:t>
      </w:r>
      <w:r w:rsidR="00A42906">
        <w:t>:</w:t>
      </w:r>
      <w:r w:rsidR="009E3D30">
        <w:t xml:space="preserve"> </w:t>
      </w:r>
      <w:r w:rsidR="00A42906">
        <w:t>(</w:t>
      </w:r>
      <w:r w:rsidR="009E3D30">
        <w:t>1</w:t>
      </w:r>
      <w:r w:rsidR="00062DBE">
        <w:t>)</w:t>
      </w:r>
      <w:r w:rsidR="00A42906">
        <w:t xml:space="preserve"> </w:t>
      </w:r>
      <w:r w:rsidR="00CA2F08">
        <w:t>grant</w:t>
      </w:r>
      <w:r w:rsidR="009E3D30">
        <w:t>ing</w:t>
      </w:r>
      <w:r w:rsidR="00CA2F08">
        <w:t xml:space="preserve"> </w:t>
      </w:r>
      <w:r w:rsidR="00D220E0">
        <w:t xml:space="preserve">the requested expungement because Gupta did not seek leave </w:t>
      </w:r>
      <w:r w:rsidR="002D78B2">
        <w:t xml:space="preserve">from the trial </w:t>
      </w:r>
      <w:r w:rsidR="007A52F7">
        <w:t>court</w:t>
      </w:r>
      <w:r w:rsidR="00D220E0">
        <w:t xml:space="preserve"> before recording the lis pendens</w:t>
      </w:r>
      <w:r w:rsidR="00BB11BA">
        <w:t xml:space="preserve">; </w:t>
      </w:r>
      <w:r w:rsidR="00A42906">
        <w:t>(</w:t>
      </w:r>
      <w:r w:rsidR="009E3D30">
        <w:t>2</w:t>
      </w:r>
      <w:r w:rsidR="00BB11BA">
        <w:t>) vacat</w:t>
      </w:r>
      <w:r w:rsidR="009E3D30">
        <w:t>ing</w:t>
      </w:r>
      <w:r w:rsidR="00BB11BA">
        <w:t xml:space="preserve"> Gupta’s award of attorney fees</w:t>
      </w:r>
      <w:r w:rsidR="009E3D30">
        <w:t>; and (3) ruling on De Martini’s motion for attorney fees</w:t>
      </w:r>
      <w:r w:rsidR="00B25BEA">
        <w:t>.</w:t>
      </w:r>
      <w:r w:rsidR="00AB71FE">
        <w:t xml:space="preserve">  The stay previously imposed is dissolved</w:t>
      </w:r>
      <w:r w:rsidR="009E3D30">
        <w:t xml:space="preserve"> upon the issuance of the remittitur</w:t>
      </w:r>
      <w:r w:rsidR="00AB71FE">
        <w:t>.</w:t>
      </w:r>
      <w:r>
        <w:t xml:space="preserve"> </w:t>
      </w:r>
      <w:r w:rsidR="00FD3FB3">
        <w:t xml:space="preserve"> </w:t>
      </w:r>
      <w:r w:rsidRPr="00EE7164" w:rsidR="00E55C56">
        <w:t>De</w:t>
      </w:r>
      <w:r w:rsidR="00E55C56">
        <w:t xml:space="preserve"> </w:t>
      </w:r>
      <w:r w:rsidR="00D1604C">
        <w:t>Martini is</w:t>
      </w:r>
      <w:r>
        <w:t xml:space="preserve"> </w:t>
      </w:r>
      <w:r w:rsidR="0055082C">
        <w:t xml:space="preserve">entitled </w:t>
      </w:r>
      <w:r w:rsidR="007A52F7">
        <w:t xml:space="preserve">to </w:t>
      </w:r>
      <w:r>
        <w:t xml:space="preserve">recover </w:t>
      </w:r>
      <w:r w:rsidR="0055082C">
        <w:t>his</w:t>
      </w:r>
      <w:r>
        <w:t xml:space="preserve"> costs in this writ proceeding.</w:t>
      </w:r>
      <w:r w:rsidR="0055082C">
        <w:t xml:space="preserve">  </w:t>
      </w:r>
      <w:r>
        <w:t>(Cal. Rules of Court, rule 8.493(a)(1)(A).)</w:t>
      </w:r>
    </w:p>
    <w:p w:rsidR="00391378" w14:paraId="1B0B9DCC" w14:textId="77777777">
      <w:r>
        <w:br w:type="page"/>
      </w:r>
    </w:p>
    <w:p w:rsidR="00BE65DF" w:rsidP="002B0F45" w14:paraId="575FAA78" w14:textId="27B1697C">
      <w:pPr>
        <w:spacing w:line="240" w:lineRule="auto"/>
      </w:pPr>
    </w:p>
    <w:p w:rsidR="00391378" w:rsidP="002B0F45" w14:paraId="5C2893BC" w14:textId="0FAF6D54">
      <w:pPr>
        <w:spacing w:line="240" w:lineRule="auto"/>
      </w:pPr>
      <w:r>
        <w:tab/>
      </w:r>
      <w:r>
        <w:tab/>
      </w:r>
      <w:r>
        <w:tab/>
      </w:r>
      <w:r>
        <w:tab/>
      </w:r>
      <w:r>
        <w:tab/>
      </w:r>
      <w:r>
        <w:tab/>
      </w:r>
      <w:r>
        <w:tab/>
        <w:t>_________________________</w:t>
      </w:r>
    </w:p>
    <w:p w:rsidR="00391378" w:rsidP="002B0F45" w14:paraId="5801D6A1" w14:textId="02D93DC5">
      <w:pPr>
        <w:spacing w:line="240" w:lineRule="auto"/>
      </w:pPr>
      <w:r>
        <w:tab/>
      </w:r>
      <w:r>
        <w:tab/>
      </w:r>
      <w:r>
        <w:tab/>
      </w:r>
      <w:r>
        <w:tab/>
      </w:r>
      <w:r>
        <w:tab/>
      </w:r>
      <w:r>
        <w:tab/>
      </w:r>
      <w:r>
        <w:tab/>
        <w:t>RODRÍGUEZ, J.</w:t>
      </w:r>
    </w:p>
    <w:p w:rsidR="00391378" w:rsidP="002B0F45" w14:paraId="56888297" w14:textId="4E06B990">
      <w:pPr>
        <w:spacing w:line="240" w:lineRule="auto"/>
      </w:pPr>
    </w:p>
    <w:p w:rsidR="00391378" w:rsidP="002B0F45" w14:paraId="7309B9ED" w14:textId="572EB986">
      <w:pPr>
        <w:spacing w:line="240" w:lineRule="auto"/>
      </w:pPr>
    </w:p>
    <w:p w:rsidR="00391378" w:rsidP="002B0F45" w14:paraId="36903068" w14:textId="47C3C67E">
      <w:pPr>
        <w:spacing w:line="240" w:lineRule="auto"/>
      </w:pPr>
      <w:r>
        <w:t>WE CONCUR:</w:t>
      </w:r>
    </w:p>
    <w:p w:rsidR="00391378" w:rsidP="002B0F45" w14:paraId="3CA2B813" w14:textId="497C84BF">
      <w:pPr>
        <w:spacing w:line="240" w:lineRule="auto"/>
      </w:pPr>
    </w:p>
    <w:p w:rsidR="00391378" w:rsidP="002B0F45" w14:paraId="48FD770B" w14:textId="3ECCAACD">
      <w:pPr>
        <w:spacing w:line="240" w:lineRule="auto"/>
      </w:pPr>
    </w:p>
    <w:p w:rsidR="00391378" w:rsidP="002B0F45" w14:paraId="4CC15117" w14:textId="46BB0663">
      <w:pPr>
        <w:spacing w:line="240" w:lineRule="auto"/>
      </w:pPr>
      <w:r>
        <w:t>_________________________</w:t>
      </w:r>
    </w:p>
    <w:p w:rsidR="00391378" w:rsidP="002B0F45" w14:paraId="0FF0E872" w14:textId="2B2EBC47">
      <w:pPr>
        <w:spacing w:line="240" w:lineRule="auto"/>
      </w:pPr>
      <w:r>
        <w:t>TUCHER, P. J.</w:t>
      </w:r>
    </w:p>
    <w:p w:rsidR="00391378" w:rsidP="002B0F45" w14:paraId="3AF9B16E" w14:textId="1818A74C">
      <w:pPr>
        <w:spacing w:line="240" w:lineRule="auto"/>
      </w:pPr>
    </w:p>
    <w:p w:rsidR="00391378" w:rsidP="002B0F45" w14:paraId="04D6DC64" w14:textId="41D18A45">
      <w:pPr>
        <w:spacing w:line="240" w:lineRule="auto"/>
      </w:pPr>
    </w:p>
    <w:p w:rsidR="00391378" w:rsidP="002B0F45" w14:paraId="1EB25DC6" w14:textId="7006E72C">
      <w:pPr>
        <w:spacing w:line="240" w:lineRule="auto"/>
      </w:pPr>
      <w:r>
        <w:t>_________________________</w:t>
      </w:r>
    </w:p>
    <w:p w:rsidR="00391378" w:rsidP="002B0F45" w14:paraId="53DF8788" w14:textId="0953D47F">
      <w:pPr>
        <w:spacing w:line="240" w:lineRule="auto"/>
      </w:pPr>
      <w:r>
        <w:t>FUJISAKI, J.</w:t>
      </w:r>
    </w:p>
    <w:p w:rsidR="00391378" w:rsidP="002B0F45" w14:paraId="700BB3E2" w14:textId="63236E67">
      <w:pPr>
        <w:spacing w:line="240" w:lineRule="auto"/>
      </w:pPr>
    </w:p>
    <w:p w:rsidR="00391378" w:rsidP="002B0F45" w14:paraId="614F5C54" w14:textId="3C95FD79">
      <w:pPr>
        <w:spacing w:line="240" w:lineRule="auto"/>
      </w:pPr>
    </w:p>
    <w:p w:rsidR="00391378" w:rsidP="002B0F45" w14:paraId="6129E791" w14:textId="1FA59300">
      <w:pPr>
        <w:spacing w:line="240" w:lineRule="auto"/>
      </w:pPr>
    </w:p>
    <w:p w:rsidR="00391378" w:rsidP="002B0F45" w14:paraId="2E051B00" w14:textId="14E9AB17">
      <w:pPr>
        <w:spacing w:line="240" w:lineRule="auto"/>
      </w:pPr>
    </w:p>
    <w:p w:rsidR="00391378" w:rsidP="002B0F45" w14:paraId="63554DE5" w14:textId="5A9A4167">
      <w:pPr>
        <w:spacing w:line="240" w:lineRule="auto"/>
      </w:pPr>
    </w:p>
    <w:p w:rsidR="00391378" w:rsidP="002B0F45" w14:paraId="6ACBE5E1" w14:textId="2B3EE44C">
      <w:pPr>
        <w:spacing w:line="240" w:lineRule="auto"/>
      </w:pPr>
    </w:p>
    <w:p w:rsidR="00391378" w:rsidP="002B0F45" w14:paraId="26C8FF51" w14:textId="07F799C0">
      <w:pPr>
        <w:spacing w:line="240" w:lineRule="auto"/>
      </w:pPr>
    </w:p>
    <w:p w:rsidR="00391378" w:rsidP="002B0F45" w14:paraId="40D20DA0" w14:textId="556199C7">
      <w:pPr>
        <w:spacing w:line="240" w:lineRule="auto"/>
      </w:pPr>
    </w:p>
    <w:p w:rsidR="00391378" w:rsidP="002B0F45" w14:paraId="1C553B4A" w14:textId="0CD0511D">
      <w:pPr>
        <w:spacing w:line="240" w:lineRule="auto"/>
      </w:pPr>
    </w:p>
    <w:p w:rsidR="00391378" w:rsidP="002B0F45" w14:paraId="2EC48719" w14:textId="447FA173">
      <w:pPr>
        <w:spacing w:line="240" w:lineRule="auto"/>
      </w:pPr>
    </w:p>
    <w:p w:rsidR="00391378" w:rsidP="002B0F45" w14:paraId="6F618AAC" w14:textId="0C11D6C8">
      <w:pPr>
        <w:spacing w:line="240" w:lineRule="auto"/>
      </w:pPr>
    </w:p>
    <w:p w:rsidR="00391378" w:rsidP="002B0F45" w14:paraId="23697885" w14:textId="20415332">
      <w:pPr>
        <w:spacing w:line="240" w:lineRule="auto"/>
      </w:pPr>
    </w:p>
    <w:p w:rsidR="00391378" w:rsidP="002B0F45" w14:paraId="05216695" w14:textId="6D690531">
      <w:pPr>
        <w:spacing w:line="240" w:lineRule="auto"/>
      </w:pPr>
    </w:p>
    <w:p w:rsidR="00391378" w:rsidP="002B0F45" w14:paraId="70F9294D" w14:textId="21B25C98">
      <w:pPr>
        <w:spacing w:line="240" w:lineRule="auto"/>
      </w:pPr>
    </w:p>
    <w:p w:rsidR="00391378" w:rsidP="002B0F45" w14:paraId="5297032B" w14:textId="06615B32">
      <w:pPr>
        <w:spacing w:line="240" w:lineRule="auto"/>
      </w:pPr>
    </w:p>
    <w:p w:rsidR="00391378" w:rsidP="002B0F45" w14:paraId="5FF44715" w14:textId="3957DA21">
      <w:pPr>
        <w:spacing w:line="240" w:lineRule="auto"/>
      </w:pPr>
    </w:p>
    <w:p w:rsidR="00391378" w:rsidP="002B0F45" w14:paraId="7A57F43C" w14:textId="1B41903E">
      <w:pPr>
        <w:spacing w:line="240" w:lineRule="auto"/>
      </w:pPr>
    </w:p>
    <w:p w:rsidR="00391378" w:rsidP="002B0F45" w14:paraId="3D476A79" w14:textId="77CC7686">
      <w:pPr>
        <w:spacing w:line="240" w:lineRule="auto"/>
      </w:pPr>
    </w:p>
    <w:p w:rsidR="00391378" w:rsidP="002B0F45" w14:paraId="79EBF953" w14:textId="6CC8CEB9">
      <w:pPr>
        <w:spacing w:line="240" w:lineRule="auto"/>
      </w:pPr>
    </w:p>
    <w:p w:rsidR="00391378" w:rsidP="002B0F45" w14:paraId="6EAF8CDC" w14:textId="5FBBC549">
      <w:pPr>
        <w:spacing w:line="240" w:lineRule="auto"/>
      </w:pPr>
    </w:p>
    <w:p w:rsidR="00391378" w:rsidP="002B0F45" w14:paraId="418C7AFB" w14:textId="4556B385">
      <w:pPr>
        <w:spacing w:line="240" w:lineRule="auto"/>
      </w:pPr>
    </w:p>
    <w:p w:rsidR="00391378" w:rsidP="002B0F45" w14:paraId="2A31C1F8" w14:textId="51EB19F7">
      <w:pPr>
        <w:spacing w:line="240" w:lineRule="auto"/>
      </w:pPr>
    </w:p>
    <w:p w:rsidR="00391378" w:rsidP="002B0F45" w14:paraId="434FEE86" w14:textId="6C7E63B1">
      <w:pPr>
        <w:spacing w:line="240" w:lineRule="auto"/>
      </w:pPr>
    </w:p>
    <w:p w:rsidR="00391378" w:rsidP="002B0F45" w14:paraId="46994550" w14:textId="32CCE462">
      <w:pPr>
        <w:spacing w:line="240" w:lineRule="auto"/>
      </w:pPr>
      <w:r>
        <w:t>A168529</w:t>
      </w:r>
    </w:p>
    <w:p w:rsidR="00391378" w14:paraId="79625B90" w14:textId="77777777">
      <w:r>
        <w:br w:type="page"/>
      </w:r>
    </w:p>
    <w:p w:rsidR="00391378" w:rsidRPr="00957369" w:rsidP="00905E0C" w14:paraId="5EB0D58B" w14:textId="77777777">
      <w:pPr>
        <w:spacing w:line="240" w:lineRule="auto"/>
        <w:ind w:right="-720"/>
        <w:rPr>
          <w:highlight w:val="yellow"/>
        </w:rPr>
      </w:pPr>
      <w:r>
        <w:t xml:space="preserve">San Mateo </w:t>
      </w:r>
      <w:r w:rsidRPr="00BD443D">
        <w:t xml:space="preserve">County Superior Court, </w:t>
      </w:r>
      <w:r w:rsidRPr="00FD5EDB">
        <w:t>Hon. Nicole S. Healy.</w:t>
      </w:r>
    </w:p>
    <w:p w:rsidR="00391378" w:rsidRPr="00957369" w:rsidP="00905E0C" w14:paraId="40FD0D2A" w14:textId="77777777">
      <w:pPr>
        <w:spacing w:line="240" w:lineRule="auto"/>
        <w:ind w:right="-720"/>
        <w:rPr>
          <w:highlight w:val="yellow"/>
        </w:rPr>
      </w:pPr>
    </w:p>
    <w:p w:rsidR="00391378" w:rsidP="00905E0C" w14:paraId="46EECBAA" w14:textId="77777777">
      <w:pPr>
        <w:spacing w:line="240" w:lineRule="auto"/>
        <w:ind w:right="-720"/>
        <w:rPr>
          <w:highlight w:val="yellow"/>
        </w:rPr>
      </w:pPr>
      <w:r w:rsidRPr="00C0590E">
        <w:t>Law Offices of Joe Della Santina</w:t>
      </w:r>
      <w:r>
        <w:t xml:space="preserve">, </w:t>
      </w:r>
      <w:r w:rsidRPr="00C0590E">
        <w:t>A.K. Abraham</w:t>
      </w:r>
      <w:r w:rsidRPr="00971E89">
        <w:t>, for Petitioner.</w:t>
      </w:r>
    </w:p>
    <w:p w:rsidR="00391378" w:rsidRPr="00971E89" w:rsidP="00905E0C" w14:paraId="52081691" w14:textId="77777777">
      <w:pPr>
        <w:spacing w:line="240" w:lineRule="auto"/>
        <w:ind w:right="-720"/>
        <w:rPr>
          <w:highlight w:val="yellow"/>
        </w:rPr>
      </w:pPr>
    </w:p>
    <w:p w:rsidR="00391378" w:rsidRPr="00095384" w:rsidP="00905E0C" w14:paraId="1B56A267" w14:textId="77777777">
      <w:pPr>
        <w:spacing w:line="240" w:lineRule="auto"/>
        <w:ind w:right="-720"/>
      </w:pPr>
      <w:r w:rsidRPr="00095384">
        <w:t>No appearance for Respondent.</w:t>
      </w:r>
    </w:p>
    <w:p w:rsidR="00391378" w:rsidRPr="00957369" w:rsidP="00905E0C" w14:paraId="65A10835" w14:textId="77777777">
      <w:pPr>
        <w:spacing w:line="240" w:lineRule="auto"/>
        <w:ind w:right="-720"/>
        <w:rPr>
          <w:highlight w:val="yellow"/>
        </w:rPr>
      </w:pPr>
    </w:p>
    <w:p w:rsidR="00391378" w:rsidRPr="00602D99" w:rsidP="00FD50E4" w14:paraId="62D22471" w14:textId="39B815B3">
      <w:pPr>
        <w:spacing w:line="240" w:lineRule="auto"/>
      </w:pPr>
      <w:r w:rsidRPr="00C672C5">
        <w:t xml:space="preserve">Pahl &amp; McCay, Stephen D. Pahl and Eric J. Stephenson, for Real Party </w:t>
      </w:r>
      <w:r>
        <w:t xml:space="preserve">in </w:t>
      </w:r>
      <w:r w:rsidRPr="00C672C5">
        <w:t>Interest.</w:t>
      </w:r>
    </w:p>
    <w:sectPr w:rsidSect="00E77476">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31867266"/>
      <w:docPartObj>
        <w:docPartGallery w:val="Page Numbers (Bottom of Page)"/>
        <w:docPartUnique/>
      </w:docPartObj>
    </w:sdtPr>
    <w:sdtEndPr>
      <w:rPr>
        <w:noProof/>
      </w:rPr>
    </w:sdtEndPr>
    <w:sdtContent>
      <w:p w:rsidR="009F4980" w14:paraId="28CE0969" w14:textId="0E427C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F4980" w14:paraId="0FCB4115"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99"/>
    <w:rsid w:val="00000D1A"/>
    <w:rsid w:val="00000EC6"/>
    <w:rsid w:val="00001552"/>
    <w:rsid w:val="00003991"/>
    <w:rsid w:val="000049FE"/>
    <w:rsid w:val="00006262"/>
    <w:rsid w:val="00007E6B"/>
    <w:rsid w:val="00014EF0"/>
    <w:rsid w:val="00015090"/>
    <w:rsid w:val="000168CF"/>
    <w:rsid w:val="00016AB6"/>
    <w:rsid w:val="00017B3A"/>
    <w:rsid w:val="000202B0"/>
    <w:rsid w:val="000224E8"/>
    <w:rsid w:val="00023AFA"/>
    <w:rsid w:val="00024807"/>
    <w:rsid w:val="000258DA"/>
    <w:rsid w:val="00026CB7"/>
    <w:rsid w:val="00031B82"/>
    <w:rsid w:val="00041BE9"/>
    <w:rsid w:val="00042352"/>
    <w:rsid w:val="0004243B"/>
    <w:rsid w:val="00044982"/>
    <w:rsid w:val="000468DE"/>
    <w:rsid w:val="00047817"/>
    <w:rsid w:val="00050605"/>
    <w:rsid w:val="000513EB"/>
    <w:rsid w:val="0005374E"/>
    <w:rsid w:val="00054766"/>
    <w:rsid w:val="000612D6"/>
    <w:rsid w:val="00061CBB"/>
    <w:rsid w:val="00062DBE"/>
    <w:rsid w:val="00064871"/>
    <w:rsid w:val="0006521D"/>
    <w:rsid w:val="00067800"/>
    <w:rsid w:val="00067A43"/>
    <w:rsid w:val="00067AA1"/>
    <w:rsid w:val="00067E1D"/>
    <w:rsid w:val="0007109A"/>
    <w:rsid w:val="00073EC1"/>
    <w:rsid w:val="00074370"/>
    <w:rsid w:val="000745BF"/>
    <w:rsid w:val="00080292"/>
    <w:rsid w:val="0008092B"/>
    <w:rsid w:val="00081B9D"/>
    <w:rsid w:val="00083723"/>
    <w:rsid w:val="00083915"/>
    <w:rsid w:val="00086948"/>
    <w:rsid w:val="000869C1"/>
    <w:rsid w:val="0008762C"/>
    <w:rsid w:val="00087FBF"/>
    <w:rsid w:val="00090175"/>
    <w:rsid w:val="00090A51"/>
    <w:rsid w:val="00095384"/>
    <w:rsid w:val="000957CA"/>
    <w:rsid w:val="00096958"/>
    <w:rsid w:val="000A18D9"/>
    <w:rsid w:val="000A2438"/>
    <w:rsid w:val="000A51A5"/>
    <w:rsid w:val="000A7DE9"/>
    <w:rsid w:val="000B040A"/>
    <w:rsid w:val="000B070E"/>
    <w:rsid w:val="000B288E"/>
    <w:rsid w:val="000B5067"/>
    <w:rsid w:val="000B5720"/>
    <w:rsid w:val="000B72F3"/>
    <w:rsid w:val="000B74DC"/>
    <w:rsid w:val="000B791F"/>
    <w:rsid w:val="000C0A0E"/>
    <w:rsid w:val="000C15B1"/>
    <w:rsid w:val="000C2213"/>
    <w:rsid w:val="000C359D"/>
    <w:rsid w:val="000C4EA1"/>
    <w:rsid w:val="000D10F6"/>
    <w:rsid w:val="000D2EE4"/>
    <w:rsid w:val="000D530A"/>
    <w:rsid w:val="000D604B"/>
    <w:rsid w:val="000D6F17"/>
    <w:rsid w:val="000E0336"/>
    <w:rsid w:val="000E1714"/>
    <w:rsid w:val="000E21AA"/>
    <w:rsid w:val="000E26CA"/>
    <w:rsid w:val="000E39A3"/>
    <w:rsid w:val="000E3D96"/>
    <w:rsid w:val="000F13DD"/>
    <w:rsid w:val="000F19DA"/>
    <w:rsid w:val="000F33AF"/>
    <w:rsid w:val="000F4790"/>
    <w:rsid w:val="00100BE4"/>
    <w:rsid w:val="001010B2"/>
    <w:rsid w:val="00102E6A"/>
    <w:rsid w:val="00102FA4"/>
    <w:rsid w:val="0010377D"/>
    <w:rsid w:val="00106304"/>
    <w:rsid w:val="00106679"/>
    <w:rsid w:val="00106902"/>
    <w:rsid w:val="0010701D"/>
    <w:rsid w:val="0010717B"/>
    <w:rsid w:val="00110D00"/>
    <w:rsid w:val="00113822"/>
    <w:rsid w:val="00115058"/>
    <w:rsid w:val="00115712"/>
    <w:rsid w:val="001200AE"/>
    <w:rsid w:val="00122019"/>
    <w:rsid w:val="00122361"/>
    <w:rsid w:val="001236D6"/>
    <w:rsid w:val="00124CF9"/>
    <w:rsid w:val="00127ED0"/>
    <w:rsid w:val="0013121E"/>
    <w:rsid w:val="00133E78"/>
    <w:rsid w:val="0013566C"/>
    <w:rsid w:val="0014157B"/>
    <w:rsid w:val="00141C63"/>
    <w:rsid w:val="00144BA3"/>
    <w:rsid w:val="00150C84"/>
    <w:rsid w:val="001550DE"/>
    <w:rsid w:val="00155197"/>
    <w:rsid w:val="0015651A"/>
    <w:rsid w:val="00156858"/>
    <w:rsid w:val="00156A0B"/>
    <w:rsid w:val="00156CA7"/>
    <w:rsid w:val="00156CDE"/>
    <w:rsid w:val="001602E3"/>
    <w:rsid w:val="00160F56"/>
    <w:rsid w:val="001629A3"/>
    <w:rsid w:val="00165269"/>
    <w:rsid w:val="0016569A"/>
    <w:rsid w:val="00166422"/>
    <w:rsid w:val="00171B66"/>
    <w:rsid w:val="00171BC7"/>
    <w:rsid w:val="00172467"/>
    <w:rsid w:val="00174006"/>
    <w:rsid w:val="00180498"/>
    <w:rsid w:val="001807EE"/>
    <w:rsid w:val="00181B56"/>
    <w:rsid w:val="00183D90"/>
    <w:rsid w:val="0018594E"/>
    <w:rsid w:val="00186088"/>
    <w:rsid w:val="00190473"/>
    <w:rsid w:val="0019053D"/>
    <w:rsid w:val="00192D50"/>
    <w:rsid w:val="001930E9"/>
    <w:rsid w:val="00195D58"/>
    <w:rsid w:val="001A32B8"/>
    <w:rsid w:val="001A3805"/>
    <w:rsid w:val="001A6575"/>
    <w:rsid w:val="001A73F0"/>
    <w:rsid w:val="001A7636"/>
    <w:rsid w:val="001B39ED"/>
    <w:rsid w:val="001B3C70"/>
    <w:rsid w:val="001B4763"/>
    <w:rsid w:val="001C05EF"/>
    <w:rsid w:val="001C512D"/>
    <w:rsid w:val="001C78E0"/>
    <w:rsid w:val="001D10B9"/>
    <w:rsid w:val="001D3261"/>
    <w:rsid w:val="001D3BBF"/>
    <w:rsid w:val="001D47B9"/>
    <w:rsid w:val="001D5560"/>
    <w:rsid w:val="001D6C17"/>
    <w:rsid w:val="001D718C"/>
    <w:rsid w:val="001E0380"/>
    <w:rsid w:val="001E0E82"/>
    <w:rsid w:val="001E274C"/>
    <w:rsid w:val="001E2ABD"/>
    <w:rsid w:val="001E526E"/>
    <w:rsid w:val="001E6084"/>
    <w:rsid w:val="001E62F6"/>
    <w:rsid w:val="001F0724"/>
    <w:rsid w:val="00202A2C"/>
    <w:rsid w:val="002035F4"/>
    <w:rsid w:val="00203F14"/>
    <w:rsid w:val="00204F63"/>
    <w:rsid w:val="0020504C"/>
    <w:rsid w:val="00205C9B"/>
    <w:rsid w:val="00210896"/>
    <w:rsid w:val="00211D1E"/>
    <w:rsid w:val="00212371"/>
    <w:rsid w:val="0021413C"/>
    <w:rsid w:val="002141DC"/>
    <w:rsid w:val="00220438"/>
    <w:rsid w:val="00220659"/>
    <w:rsid w:val="0022256F"/>
    <w:rsid w:val="0022338F"/>
    <w:rsid w:val="00223D2A"/>
    <w:rsid w:val="00226450"/>
    <w:rsid w:val="00227BC2"/>
    <w:rsid w:val="002308BC"/>
    <w:rsid w:val="00231383"/>
    <w:rsid w:val="00232995"/>
    <w:rsid w:val="002337A8"/>
    <w:rsid w:val="00234CFB"/>
    <w:rsid w:val="0023658C"/>
    <w:rsid w:val="00241B54"/>
    <w:rsid w:val="00243B24"/>
    <w:rsid w:val="00246506"/>
    <w:rsid w:val="002533AE"/>
    <w:rsid w:val="00253D10"/>
    <w:rsid w:val="00257783"/>
    <w:rsid w:val="002607A0"/>
    <w:rsid w:val="002626FE"/>
    <w:rsid w:val="002633D7"/>
    <w:rsid w:val="00263917"/>
    <w:rsid w:val="00265405"/>
    <w:rsid w:val="002659EA"/>
    <w:rsid w:val="00265CA4"/>
    <w:rsid w:val="0027060C"/>
    <w:rsid w:val="00270B06"/>
    <w:rsid w:val="002730EA"/>
    <w:rsid w:val="00275F27"/>
    <w:rsid w:val="00276BDF"/>
    <w:rsid w:val="0028132F"/>
    <w:rsid w:val="00287EAB"/>
    <w:rsid w:val="00293458"/>
    <w:rsid w:val="00293E36"/>
    <w:rsid w:val="0029564A"/>
    <w:rsid w:val="002A2496"/>
    <w:rsid w:val="002A4968"/>
    <w:rsid w:val="002A64C9"/>
    <w:rsid w:val="002A67A0"/>
    <w:rsid w:val="002B096E"/>
    <w:rsid w:val="002B0F45"/>
    <w:rsid w:val="002B43D2"/>
    <w:rsid w:val="002B5F0D"/>
    <w:rsid w:val="002B6A35"/>
    <w:rsid w:val="002B6C7F"/>
    <w:rsid w:val="002C0338"/>
    <w:rsid w:val="002C06C0"/>
    <w:rsid w:val="002C0BEA"/>
    <w:rsid w:val="002C1259"/>
    <w:rsid w:val="002C3B76"/>
    <w:rsid w:val="002C47E4"/>
    <w:rsid w:val="002C76A3"/>
    <w:rsid w:val="002D0246"/>
    <w:rsid w:val="002D0C47"/>
    <w:rsid w:val="002D205C"/>
    <w:rsid w:val="002D24F3"/>
    <w:rsid w:val="002D26FC"/>
    <w:rsid w:val="002D3462"/>
    <w:rsid w:val="002D4B7E"/>
    <w:rsid w:val="002D5BA2"/>
    <w:rsid w:val="002D5C24"/>
    <w:rsid w:val="002D623C"/>
    <w:rsid w:val="002D6663"/>
    <w:rsid w:val="002D7195"/>
    <w:rsid w:val="002D78B2"/>
    <w:rsid w:val="002E0D49"/>
    <w:rsid w:val="002E4B6B"/>
    <w:rsid w:val="002E561E"/>
    <w:rsid w:val="002E7F0F"/>
    <w:rsid w:val="002F5C5C"/>
    <w:rsid w:val="002F651A"/>
    <w:rsid w:val="002F7820"/>
    <w:rsid w:val="0030267D"/>
    <w:rsid w:val="00304BBE"/>
    <w:rsid w:val="00305E1C"/>
    <w:rsid w:val="003069D0"/>
    <w:rsid w:val="00310B6D"/>
    <w:rsid w:val="00310DD8"/>
    <w:rsid w:val="00313EED"/>
    <w:rsid w:val="00314D42"/>
    <w:rsid w:val="00316DCF"/>
    <w:rsid w:val="0031709A"/>
    <w:rsid w:val="003206BC"/>
    <w:rsid w:val="00320F59"/>
    <w:rsid w:val="00324DEB"/>
    <w:rsid w:val="00330DC3"/>
    <w:rsid w:val="00330FE7"/>
    <w:rsid w:val="00331DB1"/>
    <w:rsid w:val="00334864"/>
    <w:rsid w:val="00340EAF"/>
    <w:rsid w:val="00341115"/>
    <w:rsid w:val="00341B29"/>
    <w:rsid w:val="00345EA4"/>
    <w:rsid w:val="00346402"/>
    <w:rsid w:val="003572B9"/>
    <w:rsid w:val="00357392"/>
    <w:rsid w:val="00357AD0"/>
    <w:rsid w:val="00361884"/>
    <w:rsid w:val="003653E2"/>
    <w:rsid w:val="00370816"/>
    <w:rsid w:val="003729F7"/>
    <w:rsid w:val="0037623D"/>
    <w:rsid w:val="00376BEC"/>
    <w:rsid w:val="003807B6"/>
    <w:rsid w:val="003808F3"/>
    <w:rsid w:val="0038362F"/>
    <w:rsid w:val="003846CC"/>
    <w:rsid w:val="00385BBD"/>
    <w:rsid w:val="0038632D"/>
    <w:rsid w:val="003865B3"/>
    <w:rsid w:val="00390B72"/>
    <w:rsid w:val="00391378"/>
    <w:rsid w:val="00394B77"/>
    <w:rsid w:val="0039528C"/>
    <w:rsid w:val="003A0C2E"/>
    <w:rsid w:val="003A170C"/>
    <w:rsid w:val="003A433F"/>
    <w:rsid w:val="003A55B1"/>
    <w:rsid w:val="003A5C08"/>
    <w:rsid w:val="003B2142"/>
    <w:rsid w:val="003B2C2D"/>
    <w:rsid w:val="003C02BF"/>
    <w:rsid w:val="003C0766"/>
    <w:rsid w:val="003C4DE3"/>
    <w:rsid w:val="003C4EAC"/>
    <w:rsid w:val="003C575A"/>
    <w:rsid w:val="003C6A68"/>
    <w:rsid w:val="003C70DB"/>
    <w:rsid w:val="003D1851"/>
    <w:rsid w:val="003D535B"/>
    <w:rsid w:val="003D7D99"/>
    <w:rsid w:val="003E3367"/>
    <w:rsid w:val="003E390E"/>
    <w:rsid w:val="003E3CA2"/>
    <w:rsid w:val="003E5738"/>
    <w:rsid w:val="003E66CB"/>
    <w:rsid w:val="003F38AC"/>
    <w:rsid w:val="003F4A7F"/>
    <w:rsid w:val="003F4E17"/>
    <w:rsid w:val="003F6745"/>
    <w:rsid w:val="003F748E"/>
    <w:rsid w:val="004001A7"/>
    <w:rsid w:val="00401C72"/>
    <w:rsid w:val="00402A17"/>
    <w:rsid w:val="00404EA2"/>
    <w:rsid w:val="004137D0"/>
    <w:rsid w:val="00415835"/>
    <w:rsid w:val="00415CB0"/>
    <w:rsid w:val="00421614"/>
    <w:rsid w:val="00421BEE"/>
    <w:rsid w:val="004220D4"/>
    <w:rsid w:val="00422897"/>
    <w:rsid w:val="004257DF"/>
    <w:rsid w:val="00427421"/>
    <w:rsid w:val="0042760B"/>
    <w:rsid w:val="004311D1"/>
    <w:rsid w:val="00437305"/>
    <w:rsid w:val="004401D3"/>
    <w:rsid w:val="004402BE"/>
    <w:rsid w:val="004415A0"/>
    <w:rsid w:val="004419FE"/>
    <w:rsid w:val="00442A74"/>
    <w:rsid w:val="004503DB"/>
    <w:rsid w:val="00451E8A"/>
    <w:rsid w:val="004521F2"/>
    <w:rsid w:val="00452ECE"/>
    <w:rsid w:val="00456FCD"/>
    <w:rsid w:val="00460954"/>
    <w:rsid w:val="00461973"/>
    <w:rsid w:val="0046368E"/>
    <w:rsid w:val="00465D49"/>
    <w:rsid w:val="00466B48"/>
    <w:rsid w:val="004706BE"/>
    <w:rsid w:val="00470B68"/>
    <w:rsid w:val="004712C4"/>
    <w:rsid w:val="004721E9"/>
    <w:rsid w:val="00474455"/>
    <w:rsid w:val="00475594"/>
    <w:rsid w:val="0047632A"/>
    <w:rsid w:val="00485C33"/>
    <w:rsid w:val="00487169"/>
    <w:rsid w:val="004877FD"/>
    <w:rsid w:val="00487BAA"/>
    <w:rsid w:val="00491B07"/>
    <w:rsid w:val="00494252"/>
    <w:rsid w:val="004951F7"/>
    <w:rsid w:val="004A1C49"/>
    <w:rsid w:val="004A2C14"/>
    <w:rsid w:val="004A5ADB"/>
    <w:rsid w:val="004A6CA7"/>
    <w:rsid w:val="004B32BA"/>
    <w:rsid w:val="004B59B6"/>
    <w:rsid w:val="004B5A55"/>
    <w:rsid w:val="004B64BE"/>
    <w:rsid w:val="004C02B1"/>
    <w:rsid w:val="004C0613"/>
    <w:rsid w:val="004C1F25"/>
    <w:rsid w:val="004C262D"/>
    <w:rsid w:val="004C32E3"/>
    <w:rsid w:val="004C3517"/>
    <w:rsid w:val="004C5494"/>
    <w:rsid w:val="004C5D9B"/>
    <w:rsid w:val="004D28A6"/>
    <w:rsid w:val="004D3591"/>
    <w:rsid w:val="004D3940"/>
    <w:rsid w:val="004D3FF2"/>
    <w:rsid w:val="004D4473"/>
    <w:rsid w:val="004D6987"/>
    <w:rsid w:val="004D7007"/>
    <w:rsid w:val="004E4CF2"/>
    <w:rsid w:val="004E4FCF"/>
    <w:rsid w:val="004E5DE1"/>
    <w:rsid w:val="004F106E"/>
    <w:rsid w:val="004F204B"/>
    <w:rsid w:val="004F6A03"/>
    <w:rsid w:val="004F72C2"/>
    <w:rsid w:val="00500442"/>
    <w:rsid w:val="0050215F"/>
    <w:rsid w:val="0050443E"/>
    <w:rsid w:val="00504A9B"/>
    <w:rsid w:val="00513802"/>
    <w:rsid w:val="00513BE7"/>
    <w:rsid w:val="00517BF7"/>
    <w:rsid w:val="005210FE"/>
    <w:rsid w:val="00521884"/>
    <w:rsid w:val="00523831"/>
    <w:rsid w:val="0052679F"/>
    <w:rsid w:val="005273BC"/>
    <w:rsid w:val="00532775"/>
    <w:rsid w:val="00533865"/>
    <w:rsid w:val="005372DE"/>
    <w:rsid w:val="00540D36"/>
    <w:rsid w:val="00542461"/>
    <w:rsid w:val="00542C11"/>
    <w:rsid w:val="005442A5"/>
    <w:rsid w:val="0054451B"/>
    <w:rsid w:val="0055082C"/>
    <w:rsid w:val="005529F0"/>
    <w:rsid w:val="00552BCD"/>
    <w:rsid w:val="00553A7E"/>
    <w:rsid w:val="00553B99"/>
    <w:rsid w:val="0055613E"/>
    <w:rsid w:val="0055713C"/>
    <w:rsid w:val="00560A44"/>
    <w:rsid w:val="005619C4"/>
    <w:rsid w:val="0056754D"/>
    <w:rsid w:val="00572131"/>
    <w:rsid w:val="00572551"/>
    <w:rsid w:val="005744B6"/>
    <w:rsid w:val="00574961"/>
    <w:rsid w:val="00574E8C"/>
    <w:rsid w:val="005754E6"/>
    <w:rsid w:val="0057636F"/>
    <w:rsid w:val="0057681B"/>
    <w:rsid w:val="00577FA7"/>
    <w:rsid w:val="0058164F"/>
    <w:rsid w:val="0058249C"/>
    <w:rsid w:val="0058439C"/>
    <w:rsid w:val="00585DCD"/>
    <w:rsid w:val="0059044A"/>
    <w:rsid w:val="00591387"/>
    <w:rsid w:val="00592E38"/>
    <w:rsid w:val="00593AB9"/>
    <w:rsid w:val="00594D3F"/>
    <w:rsid w:val="00595B43"/>
    <w:rsid w:val="00596728"/>
    <w:rsid w:val="005A02BC"/>
    <w:rsid w:val="005A0425"/>
    <w:rsid w:val="005A2649"/>
    <w:rsid w:val="005A4043"/>
    <w:rsid w:val="005A5821"/>
    <w:rsid w:val="005A70EF"/>
    <w:rsid w:val="005B0132"/>
    <w:rsid w:val="005B03AC"/>
    <w:rsid w:val="005B0EBD"/>
    <w:rsid w:val="005B161A"/>
    <w:rsid w:val="005B222A"/>
    <w:rsid w:val="005B6C20"/>
    <w:rsid w:val="005C1D29"/>
    <w:rsid w:val="005C524A"/>
    <w:rsid w:val="005C6777"/>
    <w:rsid w:val="005C6A69"/>
    <w:rsid w:val="005D0100"/>
    <w:rsid w:val="005D0395"/>
    <w:rsid w:val="005D2FBA"/>
    <w:rsid w:val="005D331A"/>
    <w:rsid w:val="005D37BE"/>
    <w:rsid w:val="005D4CB0"/>
    <w:rsid w:val="005D4F60"/>
    <w:rsid w:val="005D591E"/>
    <w:rsid w:val="005D68F2"/>
    <w:rsid w:val="005E0672"/>
    <w:rsid w:val="005E1B57"/>
    <w:rsid w:val="005E2A3E"/>
    <w:rsid w:val="005E3285"/>
    <w:rsid w:val="005E65E3"/>
    <w:rsid w:val="005F1C32"/>
    <w:rsid w:val="005F61B4"/>
    <w:rsid w:val="005F7E64"/>
    <w:rsid w:val="00600278"/>
    <w:rsid w:val="006006FE"/>
    <w:rsid w:val="00602D99"/>
    <w:rsid w:val="0060609B"/>
    <w:rsid w:val="006116D4"/>
    <w:rsid w:val="006118FF"/>
    <w:rsid w:val="00611A0C"/>
    <w:rsid w:val="0061259A"/>
    <w:rsid w:val="00612B02"/>
    <w:rsid w:val="006131D4"/>
    <w:rsid w:val="00613791"/>
    <w:rsid w:val="00613A9C"/>
    <w:rsid w:val="00614F1B"/>
    <w:rsid w:val="0061637D"/>
    <w:rsid w:val="00616538"/>
    <w:rsid w:val="006168B6"/>
    <w:rsid w:val="00617289"/>
    <w:rsid w:val="00621736"/>
    <w:rsid w:val="00624BC8"/>
    <w:rsid w:val="00624C2A"/>
    <w:rsid w:val="006256FE"/>
    <w:rsid w:val="0063107D"/>
    <w:rsid w:val="00631DFF"/>
    <w:rsid w:val="006327BF"/>
    <w:rsid w:val="00633C2F"/>
    <w:rsid w:val="00634769"/>
    <w:rsid w:val="00634FE9"/>
    <w:rsid w:val="006359A9"/>
    <w:rsid w:val="006402F3"/>
    <w:rsid w:val="00640C51"/>
    <w:rsid w:val="00641253"/>
    <w:rsid w:val="0064337E"/>
    <w:rsid w:val="0064759D"/>
    <w:rsid w:val="006514A2"/>
    <w:rsid w:val="00651F77"/>
    <w:rsid w:val="00653848"/>
    <w:rsid w:val="00653B15"/>
    <w:rsid w:val="006601A0"/>
    <w:rsid w:val="00662824"/>
    <w:rsid w:val="00664884"/>
    <w:rsid w:val="00673B17"/>
    <w:rsid w:val="00673DC7"/>
    <w:rsid w:val="00675C31"/>
    <w:rsid w:val="00676179"/>
    <w:rsid w:val="00677F93"/>
    <w:rsid w:val="00683124"/>
    <w:rsid w:val="00685A92"/>
    <w:rsid w:val="006865AC"/>
    <w:rsid w:val="00686C92"/>
    <w:rsid w:val="006928A8"/>
    <w:rsid w:val="00693556"/>
    <w:rsid w:val="006942BC"/>
    <w:rsid w:val="00695F96"/>
    <w:rsid w:val="006A49AB"/>
    <w:rsid w:val="006A6350"/>
    <w:rsid w:val="006B2F9B"/>
    <w:rsid w:val="006B4F4C"/>
    <w:rsid w:val="006B6308"/>
    <w:rsid w:val="006B6899"/>
    <w:rsid w:val="006C19C5"/>
    <w:rsid w:val="006C572E"/>
    <w:rsid w:val="006C7791"/>
    <w:rsid w:val="006C7ADB"/>
    <w:rsid w:val="006D0CB6"/>
    <w:rsid w:val="006D3AD5"/>
    <w:rsid w:val="006D6176"/>
    <w:rsid w:val="006D6813"/>
    <w:rsid w:val="006D6A74"/>
    <w:rsid w:val="006E2CCD"/>
    <w:rsid w:val="006E3B72"/>
    <w:rsid w:val="006F093B"/>
    <w:rsid w:val="006F30F6"/>
    <w:rsid w:val="006F559F"/>
    <w:rsid w:val="006F55B0"/>
    <w:rsid w:val="006F5F14"/>
    <w:rsid w:val="006F6076"/>
    <w:rsid w:val="006F66E6"/>
    <w:rsid w:val="006F7698"/>
    <w:rsid w:val="00700D90"/>
    <w:rsid w:val="0070139D"/>
    <w:rsid w:val="007028BD"/>
    <w:rsid w:val="00703911"/>
    <w:rsid w:val="00710BBC"/>
    <w:rsid w:val="00711155"/>
    <w:rsid w:val="00712507"/>
    <w:rsid w:val="007139A3"/>
    <w:rsid w:val="007148C0"/>
    <w:rsid w:val="00714945"/>
    <w:rsid w:val="00720915"/>
    <w:rsid w:val="007233EB"/>
    <w:rsid w:val="007235C9"/>
    <w:rsid w:val="00724C6A"/>
    <w:rsid w:val="00730075"/>
    <w:rsid w:val="007306BB"/>
    <w:rsid w:val="007313E5"/>
    <w:rsid w:val="007321B0"/>
    <w:rsid w:val="007347DA"/>
    <w:rsid w:val="00736AC9"/>
    <w:rsid w:val="0074231F"/>
    <w:rsid w:val="0074320D"/>
    <w:rsid w:val="007452B7"/>
    <w:rsid w:val="007464B9"/>
    <w:rsid w:val="00746A95"/>
    <w:rsid w:val="0074728C"/>
    <w:rsid w:val="007474FA"/>
    <w:rsid w:val="00747993"/>
    <w:rsid w:val="00747D51"/>
    <w:rsid w:val="00751D25"/>
    <w:rsid w:val="00752991"/>
    <w:rsid w:val="00753424"/>
    <w:rsid w:val="0076083D"/>
    <w:rsid w:val="007639F0"/>
    <w:rsid w:val="00764453"/>
    <w:rsid w:val="0076554C"/>
    <w:rsid w:val="00765E20"/>
    <w:rsid w:val="00766B48"/>
    <w:rsid w:val="00766C84"/>
    <w:rsid w:val="007673FA"/>
    <w:rsid w:val="00773616"/>
    <w:rsid w:val="0077447E"/>
    <w:rsid w:val="00774870"/>
    <w:rsid w:val="00777263"/>
    <w:rsid w:val="007818C6"/>
    <w:rsid w:val="00782E7F"/>
    <w:rsid w:val="0078357B"/>
    <w:rsid w:val="00786197"/>
    <w:rsid w:val="00786787"/>
    <w:rsid w:val="007907F9"/>
    <w:rsid w:val="00791AA8"/>
    <w:rsid w:val="00793668"/>
    <w:rsid w:val="0079520D"/>
    <w:rsid w:val="00795E98"/>
    <w:rsid w:val="00796B60"/>
    <w:rsid w:val="007A3116"/>
    <w:rsid w:val="007A3983"/>
    <w:rsid w:val="007A52F7"/>
    <w:rsid w:val="007A6F52"/>
    <w:rsid w:val="007B0500"/>
    <w:rsid w:val="007B05E2"/>
    <w:rsid w:val="007B1DAE"/>
    <w:rsid w:val="007B2355"/>
    <w:rsid w:val="007B2658"/>
    <w:rsid w:val="007B3D71"/>
    <w:rsid w:val="007B4984"/>
    <w:rsid w:val="007B4F2A"/>
    <w:rsid w:val="007B548A"/>
    <w:rsid w:val="007B695B"/>
    <w:rsid w:val="007C0BE7"/>
    <w:rsid w:val="007C1BCF"/>
    <w:rsid w:val="007C250B"/>
    <w:rsid w:val="007C3CB8"/>
    <w:rsid w:val="007C4A3C"/>
    <w:rsid w:val="007C669B"/>
    <w:rsid w:val="007D1234"/>
    <w:rsid w:val="007D2F50"/>
    <w:rsid w:val="007D5013"/>
    <w:rsid w:val="007D5226"/>
    <w:rsid w:val="007D6654"/>
    <w:rsid w:val="007D7199"/>
    <w:rsid w:val="007E23AA"/>
    <w:rsid w:val="007E444B"/>
    <w:rsid w:val="007E54F3"/>
    <w:rsid w:val="007E6FB8"/>
    <w:rsid w:val="007E7FD9"/>
    <w:rsid w:val="007F0199"/>
    <w:rsid w:val="007F0D67"/>
    <w:rsid w:val="007F320A"/>
    <w:rsid w:val="007F5C70"/>
    <w:rsid w:val="007F78D5"/>
    <w:rsid w:val="008016F6"/>
    <w:rsid w:val="00801C0C"/>
    <w:rsid w:val="00801D56"/>
    <w:rsid w:val="00801FF7"/>
    <w:rsid w:val="0080482A"/>
    <w:rsid w:val="00804E3C"/>
    <w:rsid w:val="008059A7"/>
    <w:rsid w:val="0081030B"/>
    <w:rsid w:val="008113EA"/>
    <w:rsid w:val="008117D0"/>
    <w:rsid w:val="00811C70"/>
    <w:rsid w:val="00813F25"/>
    <w:rsid w:val="00813FF9"/>
    <w:rsid w:val="00814F61"/>
    <w:rsid w:val="00816A87"/>
    <w:rsid w:val="00817F9E"/>
    <w:rsid w:val="008217A9"/>
    <w:rsid w:val="00822CBA"/>
    <w:rsid w:val="00824B8D"/>
    <w:rsid w:val="008258A9"/>
    <w:rsid w:val="00825A95"/>
    <w:rsid w:val="00827315"/>
    <w:rsid w:val="00830E7C"/>
    <w:rsid w:val="00834CD9"/>
    <w:rsid w:val="00835583"/>
    <w:rsid w:val="00836130"/>
    <w:rsid w:val="008404AB"/>
    <w:rsid w:val="0084165F"/>
    <w:rsid w:val="008420F0"/>
    <w:rsid w:val="00844045"/>
    <w:rsid w:val="00844079"/>
    <w:rsid w:val="008455E6"/>
    <w:rsid w:val="008474DE"/>
    <w:rsid w:val="008501A2"/>
    <w:rsid w:val="0085037D"/>
    <w:rsid w:val="00850E1E"/>
    <w:rsid w:val="00851456"/>
    <w:rsid w:val="00855E39"/>
    <w:rsid w:val="008567C5"/>
    <w:rsid w:val="00856ECA"/>
    <w:rsid w:val="00857E5E"/>
    <w:rsid w:val="00861A4A"/>
    <w:rsid w:val="00861B7A"/>
    <w:rsid w:val="0086417C"/>
    <w:rsid w:val="00867477"/>
    <w:rsid w:val="00872AD5"/>
    <w:rsid w:val="00874394"/>
    <w:rsid w:val="008750D4"/>
    <w:rsid w:val="00875441"/>
    <w:rsid w:val="00875556"/>
    <w:rsid w:val="00876BAB"/>
    <w:rsid w:val="00880335"/>
    <w:rsid w:val="008810AD"/>
    <w:rsid w:val="00881298"/>
    <w:rsid w:val="00883AF3"/>
    <w:rsid w:val="0089132A"/>
    <w:rsid w:val="00891EC3"/>
    <w:rsid w:val="00892A6B"/>
    <w:rsid w:val="00892DFE"/>
    <w:rsid w:val="00893384"/>
    <w:rsid w:val="00896C4F"/>
    <w:rsid w:val="008A1E60"/>
    <w:rsid w:val="008A2A69"/>
    <w:rsid w:val="008A2FCE"/>
    <w:rsid w:val="008A3423"/>
    <w:rsid w:val="008A4AE8"/>
    <w:rsid w:val="008A5E41"/>
    <w:rsid w:val="008B027A"/>
    <w:rsid w:val="008B0670"/>
    <w:rsid w:val="008B0F4B"/>
    <w:rsid w:val="008B1A8A"/>
    <w:rsid w:val="008B1B1D"/>
    <w:rsid w:val="008B2B21"/>
    <w:rsid w:val="008B5C77"/>
    <w:rsid w:val="008B6355"/>
    <w:rsid w:val="008C69C3"/>
    <w:rsid w:val="008D19C6"/>
    <w:rsid w:val="008D1C32"/>
    <w:rsid w:val="008D2FED"/>
    <w:rsid w:val="008D4F79"/>
    <w:rsid w:val="008D5DE3"/>
    <w:rsid w:val="008D7B95"/>
    <w:rsid w:val="008E1B8D"/>
    <w:rsid w:val="008E1BF8"/>
    <w:rsid w:val="008E4F01"/>
    <w:rsid w:val="008E59E4"/>
    <w:rsid w:val="008F1291"/>
    <w:rsid w:val="008F259F"/>
    <w:rsid w:val="008F62AB"/>
    <w:rsid w:val="008F6596"/>
    <w:rsid w:val="00900552"/>
    <w:rsid w:val="00905E0C"/>
    <w:rsid w:val="00907567"/>
    <w:rsid w:val="00912BB8"/>
    <w:rsid w:val="009145B4"/>
    <w:rsid w:val="00917D8A"/>
    <w:rsid w:val="00922652"/>
    <w:rsid w:val="00924260"/>
    <w:rsid w:val="009265F8"/>
    <w:rsid w:val="00926B7D"/>
    <w:rsid w:val="00930A15"/>
    <w:rsid w:val="00932296"/>
    <w:rsid w:val="00940AA2"/>
    <w:rsid w:val="0094262C"/>
    <w:rsid w:val="0094278A"/>
    <w:rsid w:val="00942A33"/>
    <w:rsid w:val="00942B27"/>
    <w:rsid w:val="009436AC"/>
    <w:rsid w:val="0094506E"/>
    <w:rsid w:val="00946CD0"/>
    <w:rsid w:val="00947C45"/>
    <w:rsid w:val="009503A1"/>
    <w:rsid w:val="009535BA"/>
    <w:rsid w:val="00954E53"/>
    <w:rsid w:val="00957369"/>
    <w:rsid w:val="009600C1"/>
    <w:rsid w:val="0096025F"/>
    <w:rsid w:val="0096228B"/>
    <w:rsid w:val="0096398E"/>
    <w:rsid w:val="0096578A"/>
    <w:rsid w:val="009661FF"/>
    <w:rsid w:val="009664E1"/>
    <w:rsid w:val="009669EC"/>
    <w:rsid w:val="009677CA"/>
    <w:rsid w:val="00971659"/>
    <w:rsid w:val="00971E89"/>
    <w:rsid w:val="00973260"/>
    <w:rsid w:val="009747B0"/>
    <w:rsid w:val="00975D47"/>
    <w:rsid w:val="0098073E"/>
    <w:rsid w:val="00980D6E"/>
    <w:rsid w:val="00982355"/>
    <w:rsid w:val="00984A5E"/>
    <w:rsid w:val="00985F6D"/>
    <w:rsid w:val="00990021"/>
    <w:rsid w:val="00990B92"/>
    <w:rsid w:val="00991B40"/>
    <w:rsid w:val="009923BA"/>
    <w:rsid w:val="0099619C"/>
    <w:rsid w:val="00996D3E"/>
    <w:rsid w:val="0099737C"/>
    <w:rsid w:val="00997840"/>
    <w:rsid w:val="009A00C8"/>
    <w:rsid w:val="009A112B"/>
    <w:rsid w:val="009A1A4E"/>
    <w:rsid w:val="009A3390"/>
    <w:rsid w:val="009A5DBC"/>
    <w:rsid w:val="009A6316"/>
    <w:rsid w:val="009A6993"/>
    <w:rsid w:val="009A7ACB"/>
    <w:rsid w:val="009B050A"/>
    <w:rsid w:val="009B2B04"/>
    <w:rsid w:val="009B3293"/>
    <w:rsid w:val="009B35C4"/>
    <w:rsid w:val="009B4D3E"/>
    <w:rsid w:val="009B6006"/>
    <w:rsid w:val="009B6169"/>
    <w:rsid w:val="009B6332"/>
    <w:rsid w:val="009C1188"/>
    <w:rsid w:val="009C1B37"/>
    <w:rsid w:val="009C2417"/>
    <w:rsid w:val="009C301C"/>
    <w:rsid w:val="009C44EC"/>
    <w:rsid w:val="009C486E"/>
    <w:rsid w:val="009C6D1A"/>
    <w:rsid w:val="009D1E27"/>
    <w:rsid w:val="009D38FC"/>
    <w:rsid w:val="009D4450"/>
    <w:rsid w:val="009D4A02"/>
    <w:rsid w:val="009D662D"/>
    <w:rsid w:val="009D6699"/>
    <w:rsid w:val="009D7275"/>
    <w:rsid w:val="009E03EB"/>
    <w:rsid w:val="009E0C65"/>
    <w:rsid w:val="009E25ED"/>
    <w:rsid w:val="009E27A4"/>
    <w:rsid w:val="009E3D30"/>
    <w:rsid w:val="009E723F"/>
    <w:rsid w:val="009E79B1"/>
    <w:rsid w:val="009F06E6"/>
    <w:rsid w:val="009F44BE"/>
    <w:rsid w:val="009F4980"/>
    <w:rsid w:val="009F4EBA"/>
    <w:rsid w:val="00A00796"/>
    <w:rsid w:val="00A0346F"/>
    <w:rsid w:val="00A0611D"/>
    <w:rsid w:val="00A0723F"/>
    <w:rsid w:val="00A07F9C"/>
    <w:rsid w:val="00A11C99"/>
    <w:rsid w:val="00A129B5"/>
    <w:rsid w:val="00A12A96"/>
    <w:rsid w:val="00A13026"/>
    <w:rsid w:val="00A15ABB"/>
    <w:rsid w:val="00A17655"/>
    <w:rsid w:val="00A207C4"/>
    <w:rsid w:val="00A212B0"/>
    <w:rsid w:val="00A21525"/>
    <w:rsid w:val="00A217A0"/>
    <w:rsid w:val="00A2364D"/>
    <w:rsid w:val="00A277FB"/>
    <w:rsid w:val="00A334C6"/>
    <w:rsid w:val="00A3554E"/>
    <w:rsid w:val="00A37A62"/>
    <w:rsid w:val="00A411B0"/>
    <w:rsid w:val="00A419D5"/>
    <w:rsid w:val="00A42906"/>
    <w:rsid w:val="00A429E1"/>
    <w:rsid w:val="00A42D32"/>
    <w:rsid w:val="00A43924"/>
    <w:rsid w:val="00A4645F"/>
    <w:rsid w:val="00A50348"/>
    <w:rsid w:val="00A52B4D"/>
    <w:rsid w:val="00A53D17"/>
    <w:rsid w:val="00A553C5"/>
    <w:rsid w:val="00A55E86"/>
    <w:rsid w:val="00A57080"/>
    <w:rsid w:val="00A614B7"/>
    <w:rsid w:val="00A633F7"/>
    <w:rsid w:val="00A65202"/>
    <w:rsid w:val="00A670D0"/>
    <w:rsid w:val="00A6791F"/>
    <w:rsid w:val="00A70677"/>
    <w:rsid w:val="00A70883"/>
    <w:rsid w:val="00A71A8D"/>
    <w:rsid w:val="00A77D67"/>
    <w:rsid w:val="00A8158D"/>
    <w:rsid w:val="00A82F1D"/>
    <w:rsid w:val="00A90999"/>
    <w:rsid w:val="00A91454"/>
    <w:rsid w:val="00A9301C"/>
    <w:rsid w:val="00A96DFE"/>
    <w:rsid w:val="00A97097"/>
    <w:rsid w:val="00A97425"/>
    <w:rsid w:val="00A97656"/>
    <w:rsid w:val="00A97AFF"/>
    <w:rsid w:val="00AA0647"/>
    <w:rsid w:val="00AA15DE"/>
    <w:rsid w:val="00AA2DCC"/>
    <w:rsid w:val="00AA4CC3"/>
    <w:rsid w:val="00AA7221"/>
    <w:rsid w:val="00AB2656"/>
    <w:rsid w:val="00AB2A28"/>
    <w:rsid w:val="00AB54E6"/>
    <w:rsid w:val="00AB561B"/>
    <w:rsid w:val="00AB695A"/>
    <w:rsid w:val="00AB71FE"/>
    <w:rsid w:val="00AC1B67"/>
    <w:rsid w:val="00AC2FBB"/>
    <w:rsid w:val="00AC4E6A"/>
    <w:rsid w:val="00AC61CB"/>
    <w:rsid w:val="00AD0B22"/>
    <w:rsid w:val="00AD1594"/>
    <w:rsid w:val="00AD21A3"/>
    <w:rsid w:val="00AD2393"/>
    <w:rsid w:val="00AD38C8"/>
    <w:rsid w:val="00AD5250"/>
    <w:rsid w:val="00AD5F7A"/>
    <w:rsid w:val="00AD6F3B"/>
    <w:rsid w:val="00AD76DE"/>
    <w:rsid w:val="00AE2054"/>
    <w:rsid w:val="00AE2BE5"/>
    <w:rsid w:val="00AE78C4"/>
    <w:rsid w:val="00AE7EB4"/>
    <w:rsid w:val="00AE7EDF"/>
    <w:rsid w:val="00AF0037"/>
    <w:rsid w:val="00AF1407"/>
    <w:rsid w:val="00AF1A3C"/>
    <w:rsid w:val="00AF248C"/>
    <w:rsid w:val="00B00ADB"/>
    <w:rsid w:val="00B01CA3"/>
    <w:rsid w:val="00B04029"/>
    <w:rsid w:val="00B04098"/>
    <w:rsid w:val="00B0511D"/>
    <w:rsid w:val="00B0720A"/>
    <w:rsid w:val="00B11580"/>
    <w:rsid w:val="00B136B2"/>
    <w:rsid w:val="00B13D85"/>
    <w:rsid w:val="00B153D7"/>
    <w:rsid w:val="00B16077"/>
    <w:rsid w:val="00B16D9E"/>
    <w:rsid w:val="00B2097A"/>
    <w:rsid w:val="00B21C90"/>
    <w:rsid w:val="00B21F6B"/>
    <w:rsid w:val="00B22683"/>
    <w:rsid w:val="00B23118"/>
    <w:rsid w:val="00B23F85"/>
    <w:rsid w:val="00B24B57"/>
    <w:rsid w:val="00B25BEA"/>
    <w:rsid w:val="00B267D9"/>
    <w:rsid w:val="00B31182"/>
    <w:rsid w:val="00B32999"/>
    <w:rsid w:val="00B34C3A"/>
    <w:rsid w:val="00B35483"/>
    <w:rsid w:val="00B366D7"/>
    <w:rsid w:val="00B4069C"/>
    <w:rsid w:val="00B40B16"/>
    <w:rsid w:val="00B4311E"/>
    <w:rsid w:val="00B43854"/>
    <w:rsid w:val="00B44370"/>
    <w:rsid w:val="00B44965"/>
    <w:rsid w:val="00B4510A"/>
    <w:rsid w:val="00B477EA"/>
    <w:rsid w:val="00B50E50"/>
    <w:rsid w:val="00B51807"/>
    <w:rsid w:val="00B60C48"/>
    <w:rsid w:val="00B61597"/>
    <w:rsid w:val="00B6410B"/>
    <w:rsid w:val="00B64287"/>
    <w:rsid w:val="00B65F6E"/>
    <w:rsid w:val="00B67F47"/>
    <w:rsid w:val="00B70BF9"/>
    <w:rsid w:val="00B70F3D"/>
    <w:rsid w:val="00B7341F"/>
    <w:rsid w:val="00B75654"/>
    <w:rsid w:val="00B76202"/>
    <w:rsid w:val="00B7629A"/>
    <w:rsid w:val="00B769F6"/>
    <w:rsid w:val="00B76AB2"/>
    <w:rsid w:val="00B80E97"/>
    <w:rsid w:val="00B822F8"/>
    <w:rsid w:val="00B82F23"/>
    <w:rsid w:val="00B855AB"/>
    <w:rsid w:val="00B85741"/>
    <w:rsid w:val="00B859C9"/>
    <w:rsid w:val="00B86741"/>
    <w:rsid w:val="00B92670"/>
    <w:rsid w:val="00BA2D3B"/>
    <w:rsid w:val="00BA6B0E"/>
    <w:rsid w:val="00BA713E"/>
    <w:rsid w:val="00BA7987"/>
    <w:rsid w:val="00BB0F9E"/>
    <w:rsid w:val="00BB11BA"/>
    <w:rsid w:val="00BB24AB"/>
    <w:rsid w:val="00BB406D"/>
    <w:rsid w:val="00BB696D"/>
    <w:rsid w:val="00BB6C2E"/>
    <w:rsid w:val="00BB770E"/>
    <w:rsid w:val="00BC16A8"/>
    <w:rsid w:val="00BC2974"/>
    <w:rsid w:val="00BC6974"/>
    <w:rsid w:val="00BC6A1E"/>
    <w:rsid w:val="00BC75B3"/>
    <w:rsid w:val="00BC7AD1"/>
    <w:rsid w:val="00BD2DB1"/>
    <w:rsid w:val="00BD2E47"/>
    <w:rsid w:val="00BD443D"/>
    <w:rsid w:val="00BD514C"/>
    <w:rsid w:val="00BD5372"/>
    <w:rsid w:val="00BD60F0"/>
    <w:rsid w:val="00BD66D9"/>
    <w:rsid w:val="00BE2CDE"/>
    <w:rsid w:val="00BE4002"/>
    <w:rsid w:val="00BE65DF"/>
    <w:rsid w:val="00BF4743"/>
    <w:rsid w:val="00BF70B2"/>
    <w:rsid w:val="00BF7186"/>
    <w:rsid w:val="00C00907"/>
    <w:rsid w:val="00C0286B"/>
    <w:rsid w:val="00C0590E"/>
    <w:rsid w:val="00C05BD8"/>
    <w:rsid w:val="00C1213F"/>
    <w:rsid w:val="00C12503"/>
    <w:rsid w:val="00C137DD"/>
    <w:rsid w:val="00C13F47"/>
    <w:rsid w:val="00C14544"/>
    <w:rsid w:val="00C14681"/>
    <w:rsid w:val="00C15394"/>
    <w:rsid w:val="00C15FAD"/>
    <w:rsid w:val="00C164C9"/>
    <w:rsid w:val="00C1670B"/>
    <w:rsid w:val="00C16F09"/>
    <w:rsid w:val="00C22583"/>
    <w:rsid w:val="00C23428"/>
    <w:rsid w:val="00C2598F"/>
    <w:rsid w:val="00C26395"/>
    <w:rsid w:val="00C26575"/>
    <w:rsid w:val="00C26DD8"/>
    <w:rsid w:val="00C36486"/>
    <w:rsid w:val="00C40ADD"/>
    <w:rsid w:val="00C4357F"/>
    <w:rsid w:val="00C435F4"/>
    <w:rsid w:val="00C44477"/>
    <w:rsid w:val="00C46DEE"/>
    <w:rsid w:val="00C51502"/>
    <w:rsid w:val="00C541BF"/>
    <w:rsid w:val="00C55093"/>
    <w:rsid w:val="00C55FB8"/>
    <w:rsid w:val="00C567C3"/>
    <w:rsid w:val="00C57D6F"/>
    <w:rsid w:val="00C62553"/>
    <w:rsid w:val="00C6411B"/>
    <w:rsid w:val="00C64274"/>
    <w:rsid w:val="00C663CA"/>
    <w:rsid w:val="00C672C5"/>
    <w:rsid w:val="00C6767F"/>
    <w:rsid w:val="00C715EB"/>
    <w:rsid w:val="00C7234F"/>
    <w:rsid w:val="00C723AC"/>
    <w:rsid w:val="00C73131"/>
    <w:rsid w:val="00C75E29"/>
    <w:rsid w:val="00C7684D"/>
    <w:rsid w:val="00C76CCC"/>
    <w:rsid w:val="00C773D3"/>
    <w:rsid w:val="00C77688"/>
    <w:rsid w:val="00C839E6"/>
    <w:rsid w:val="00C84678"/>
    <w:rsid w:val="00C91312"/>
    <w:rsid w:val="00C91725"/>
    <w:rsid w:val="00C953E9"/>
    <w:rsid w:val="00CA1F66"/>
    <w:rsid w:val="00CA2F08"/>
    <w:rsid w:val="00CA4264"/>
    <w:rsid w:val="00CA44DD"/>
    <w:rsid w:val="00CA6F62"/>
    <w:rsid w:val="00CB16C8"/>
    <w:rsid w:val="00CB1D04"/>
    <w:rsid w:val="00CB583D"/>
    <w:rsid w:val="00CC0942"/>
    <w:rsid w:val="00CC2C93"/>
    <w:rsid w:val="00CC4467"/>
    <w:rsid w:val="00CC56C9"/>
    <w:rsid w:val="00CC6230"/>
    <w:rsid w:val="00CD288D"/>
    <w:rsid w:val="00CD29B0"/>
    <w:rsid w:val="00CD4F85"/>
    <w:rsid w:val="00CD5128"/>
    <w:rsid w:val="00CD6493"/>
    <w:rsid w:val="00CD7C60"/>
    <w:rsid w:val="00CE0F6D"/>
    <w:rsid w:val="00CE567E"/>
    <w:rsid w:val="00CE7E16"/>
    <w:rsid w:val="00D00DDF"/>
    <w:rsid w:val="00D01A1A"/>
    <w:rsid w:val="00D01A6A"/>
    <w:rsid w:val="00D025E4"/>
    <w:rsid w:val="00D027D5"/>
    <w:rsid w:val="00D05402"/>
    <w:rsid w:val="00D11BBC"/>
    <w:rsid w:val="00D1569E"/>
    <w:rsid w:val="00D1604C"/>
    <w:rsid w:val="00D16B25"/>
    <w:rsid w:val="00D17127"/>
    <w:rsid w:val="00D21BF5"/>
    <w:rsid w:val="00D220E0"/>
    <w:rsid w:val="00D22AE1"/>
    <w:rsid w:val="00D22D68"/>
    <w:rsid w:val="00D2401F"/>
    <w:rsid w:val="00D242BE"/>
    <w:rsid w:val="00D3174B"/>
    <w:rsid w:val="00D33BDC"/>
    <w:rsid w:val="00D37825"/>
    <w:rsid w:val="00D40A41"/>
    <w:rsid w:val="00D42273"/>
    <w:rsid w:val="00D435B5"/>
    <w:rsid w:val="00D44675"/>
    <w:rsid w:val="00D46EB5"/>
    <w:rsid w:val="00D47F87"/>
    <w:rsid w:val="00D533F0"/>
    <w:rsid w:val="00D54124"/>
    <w:rsid w:val="00D54486"/>
    <w:rsid w:val="00D5464A"/>
    <w:rsid w:val="00D54C43"/>
    <w:rsid w:val="00D6289E"/>
    <w:rsid w:val="00D667E6"/>
    <w:rsid w:val="00D67DBA"/>
    <w:rsid w:val="00D700F7"/>
    <w:rsid w:val="00D71785"/>
    <w:rsid w:val="00D73194"/>
    <w:rsid w:val="00D74054"/>
    <w:rsid w:val="00D74275"/>
    <w:rsid w:val="00D749F0"/>
    <w:rsid w:val="00D76406"/>
    <w:rsid w:val="00D77465"/>
    <w:rsid w:val="00D8245A"/>
    <w:rsid w:val="00D8651C"/>
    <w:rsid w:val="00D91128"/>
    <w:rsid w:val="00D925EF"/>
    <w:rsid w:val="00D929D0"/>
    <w:rsid w:val="00D93827"/>
    <w:rsid w:val="00D94797"/>
    <w:rsid w:val="00D95DB8"/>
    <w:rsid w:val="00D96375"/>
    <w:rsid w:val="00D96584"/>
    <w:rsid w:val="00D975BB"/>
    <w:rsid w:val="00DB0678"/>
    <w:rsid w:val="00DB0F16"/>
    <w:rsid w:val="00DB38FD"/>
    <w:rsid w:val="00DC008D"/>
    <w:rsid w:val="00DC044B"/>
    <w:rsid w:val="00DC3128"/>
    <w:rsid w:val="00DC485F"/>
    <w:rsid w:val="00DC5231"/>
    <w:rsid w:val="00DC6767"/>
    <w:rsid w:val="00DC6EAC"/>
    <w:rsid w:val="00DC74AF"/>
    <w:rsid w:val="00DC77A6"/>
    <w:rsid w:val="00DD2CCB"/>
    <w:rsid w:val="00DD346C"/>
    <w:rsid w:val="00DD50D0"/>
    <w:rsid w:val="00DE444F"/>
    <w:rsid w:val="00DE47B9"/>
    <w:rsid w:val="00DE546C"/>
    <w:rsid w:val="00DE5BAF"/>
    <w:rsid w:val="00DE71D7"/>
    <w:rsid w:val="00DF0949"/>
    <w:rsid w:val="00DF1B44"/>
    <w:rsid w:val="00DF22AF"/>
    <w:rsid w:val="00DF3107"/>
    <w:rsid w:val="00DF359E"/>
    <w:rsid w:val="00E01BFF"/>
    <w:rsid w:val="00E02F94"/>
    <w:rsid w:val="00E03D25"/>
    <w:rsid w:val="00E0550A"/>
    <w:rsid w:val="00E072C5"/>
    <w:rsid w:val="00E07B55"/>
    <w:rsid w:val="00E11C42"/>
    <w:rsid w:val="00E12C83"/>
    <w:rsid w:val="00E16485"/>
    <w:rsid w:val="00E168E7"/>
    <w:rsid w:val="00E174A6"/>
    <w:rsid w:val="00E17D40"/>
    <w:rsid w:val="00E203B7"/>
    <w:rsid w:val="00E278FF"/>
    <w:rsid w:val="00E32406"/>
    <w:rsid w:val="00E3263C"/>
    <w:rsid w:val="00E32A39"/>
    <w:rsid w:val="00E33C88"/>
    <w:rsid w:val="00E34707"/>
    <w:rsid w:val="00E36FF0"/>
    <w:rsid w:val="00E401D0"/>
    <w:rsid w:val="00E4185C"/>
    <w:rsid w:val="00E42457"/>
    <w:rsid w:val="00E4379D"/>
    <w:rsid w:val="00E453A5"/>
    <w:rsid w:val="00E5051F"/>
    <w:rsid w:val="00E51F43"/>
    <w:rsid w:val="00E530F0"/>
    <w:rsid w:val="00E55B02"/>
    <w:rsid w:val="00E55C56"/>
    <w:rsid w:val="00E62AF9"/>
    <w:rsid w:val="00E714ED"/>
    <w:rsid w:val="00E7604F"/>
    <w:rsid w:val="00E77476"/>
    <w:rsid w:val="00E8050B"/>
    <w:rsid w:val="00E824B8"/>
    <w:rsid w:val="00E82FA1"/>
    <w:rsid w:val="00E83767"/>
    <w:rsid w:val="00E83E70"/>
    <w:rsid w:val="00E870F3"/>
    <w:rsid w:val="00E87B0C"/>
    <w:rsid w:val="00E91974"/>
    <w:rsid w:val="00E91CB8"/>
    <w:rsid w:val="00E924EC"/>
    <w:rsid w:val="00E94666"/>
    <w:rsid w:val="00E95F01"/>
    <w:rsid w:val="00E96439"/>
    <w:rsid w:val="00E9689A"/>
    <w:rsid w:val="00EA038C"/>
    <w:rsid w:val="00EA3A91"/>
    <w:rsid w:val="00EA3AEA"/>
    <w:rsid w:val="00EB18DD"/>
    <w:rsid w:val="00EB19A6"/>
    <w:rsid w:val="00EB711D"/>
    <w:rsid w:val="00EC36DE"/>
    <w:rsid w:val="00EC3EBC"/>
    <w:rsid w:val="00EC4B40"/>
    <w:rsid w:val="00EC4DFD"/>
    <w:rsid w:val="00EC72F8"/>
    <w:rsid w:val="00EC73AA"/>
    <w:rsid w:val="00EC78EA"/>
    <w:rsid w:val="00EC7A4C"/>
    <w:rsid w:val="00ED0BA1"/>
    <w:rsid w:val="00ED16B4"/>
    <w:rsid w:val="00ED7859"/>
    <w:rsid w:val="00EE0368"/>
    <w:rsid w:val="00EE067E"/>
    <w:rsid w:val="00EE08DE"/>
    <w:rsid w:val="00EE2F1E"/>
    <w:rsid w:val="00EE4054"/>
    <w:rsid w:val="00EE691A"/>
    <w:rsid w:val="00EE7164"/>
    <w:rsid w:val="00EF14AC"/>
    <w:rsid w:val="00EF29A7"/>
    <w:rsid w:val="00EF7CA8"/>
    <w:rsid w:val="00F017D5"/>
    <w:rsid w:val="00F03EFB"/>
    <w:rsid w:val="00F0467C"/>
    <w:rsid w:val="00F0499D"/>
    <w:rsid w:val="00F0637B"/>
    <w:rsid w:val="00F06AF8"/>
    <w:rsid w:val="00F07517"/>
    <w:rsid w:val="00F125F4"/>
    <w:rsid w:val="00F16E3A"/>
    <w:rsid w:val="00F171F3"/>
    <w:rsid w:val="00F17639"/>
    <w:rsid w:val="00F21CDE"/>
    <w:rsid w:val="00F21F63"/>
    <w:rsid w:val="00F241FA"/>
    <w:rsid w:val="00F3061A"/>
    <w:rsid w:val="00F30DD5"/>
    <w:rsid w:val="00F32997"/>
    <w:rsid w:val="00F35562"/>
    <w:rsid w:val="00F4003A"/>
    <w:rsid w:val="00F420E4"/>
    <w:rsid w:val="00F43F49"/>
    <w:rsid w:val="00F448FC"/>
    <w:rsid w:val="00F45265"/>
    <w:rsid w:val="00F46DFB"/>
    <w:rsid w:val="00F51AC7"/>
    <w:rsid w:val="00F53F64"/>
    <w:rsid w:val="00F53F8B"/>
    <w:rsid w:val="00F550D8"/>
    <w:rsid w:val="00F569BB"/>
    <w:rsid w:val="00F60394"/>
    <w:rsid w:val="00F61DA6"/>
    <w:rsid w:val="00F62D74"/>
    <w:rsid w:val="00F63E64"/>
    <w:rsid w:val="00F65FB7"/>
    <w:rsid w:val="00F73978"/>
    <w:rsid w:val="00F752C8"/>
    <w:rsid w:val="00F75EDD"/>
    <w:rsid w:val="00F76D6F"/>
    <w:rsid w:val="00F777E8"/>
    <w:rsid w:val="00F80945"/>
    <w:rsid w:val="00F817B3"/>
    <w:rsid w:val="00F843BD"/>
    <w:rsid w:val="00F85B95"/>
    <w:rsid w:val="00F9056B"/>
    <w:rsid w:val="00F91701"/>
    <w:rsid w:val="00F91778"/>
    <w:rsid w:val="00F92071"/>
    <w:rsid w:val="00F96DFD"/>
    <w:rsid w:val="00FA0669"/>
    <w:rsid w:val="00FB0CE7"/>
    <w:rsid w:val="00FB4640"/>
    <w:rsid w:val="00FB6A63"/>
    <w:rsid w:val="00FC12B6"/>
    <w:rsid w:val="00FC1AD9"/>
    <w:rsid w:val="00FC1B0E"/>
    <w:rsid w:val="00FC434D"/>
    <w:rsid w:val="00FC4429"/>
    <w:rsid w:val="00FC557B"/>
    <w:rsid w:val="00FD1355"/>
    <w:rsid w:val="00FD3A5D"/>
    <w:rsid w:val="00FD3FB3"/>
    <w:rsid w:val="00FD50E4"/>
    <w:rsid w:val="00FD5EDB"/>
    <w:rsid w:val="00FE1D16"/>
    <w:rsid w:val="00FE2370"/>
    <w:rsid w:val="00FE2D38"/>
    <w:rsid w:val="00FE2E7C"/>
    <w:rsid w:val="00FF1B80"/>
    <w:rsid w:val="00FF5646"/>
    <w:rsid w:val="00FF64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C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C70"/>
    <w:rPr>
      <w:rFonts w:ascii="Segoe UI" w:hAnsi="Segoe UI" w:cs="Segoe UI"/>
      <w:sz w:val="18"/>
      <w:szCs w:val="18"/>
    </w:rPr>
  </w:style>
  <w:style w:type="paragraph" w:styleId="Header">
    <w:name w:val="header"/>
    <w:basedOn w:val="Normal"/>
    <w:link w:val="HeaderChar"/>
    <w:uiPriority w:val="99"/>
    <w:unhideWhenUsed/>
    <w:rsid w:val="009F4980"/>
    <w:pPr>
      <w:tabs>
        <w:tab w:val="center" w:pos="4680"/>
        <w:tab w:val="right" w:pos="9360"/>
      </w:tabs>
      <w:spacing w:line="240" w:lineRule="auto"/>
    </w:pPr>
  </w:style>
  <w:style w:type="character" w:customStyle="1" w:styleId="HeaderChar">
    <w:name w:val="Header Char"/>
    <w:basedOn w:val="DefaultParagraphFont"/>
    <w:link w:val="Header"/>
    <w:uiPriority w:val="99"/>
    <w:rsid w:val="009F4980"/>
  </w:style>
  <w:style w:type="paragraph" w:styleId="Footer">
    <w:name w:val="footer"/>
    <w:basedOn w:val="Normal"/>
    <w:link w:val="FooterChar"/>
    <w:uiPriority w:val="99"/>
    <w:unhideWhenUsed/>
    <w:rsid w:val="009F4980"/>
    <w:pPr>
      <w:tabs>
        <w:tab w:val="center" w:pos="4680"/>
        <w:tab w:val="right" w:pos="9360"/>
      </w:tabs>
      <w:spacing w:line="240" w:lineRule="auto"/>
    </w:pPr>
  </w:style>
  <w:style w:type="character" w:customStyle="1" w:styleId="FooterChar">
    <w:name w:val="Footer Char"/>
    <w:basedOn w:val="DefaultParagraphFont"/>
    <w:link w:val="Footer"/>
    <w:uiPriority w:val="99"/>
    <w:rsid w:val="009F4980"/>
  </w:style>
  <w:style w:type="character" w:styleId="CommentReference">
    <w:name w:val="annotation reference"/>
    <w:basedOn w:val="DefaultParagraphFont"/>
    <w:uiPriority w:val="99"/>
    <w:semiHidden/>
    <w:unhideWhenUsed/>
    <w:rsid w:val="008A3423"/>
    <w:rPr>
      <w:sz w:val="16"/>
      <w:szCs w:val="16"/>
    </w:rPr>
  </w:style>
  <w:style w:type="paragraph" w:styleId="CommentText">
    <w:name w:val="annotation text"/>
    <w:basedOn w:val="Normal"/>
    <w:link w:val="CommentTextChar"/>
    <w:uiPriority w:val="99"/>
    <w:unhideWhenUsed/>
    <w:rsid w:val="008A3423"/>
    <w:pPr>
      <w:spacing w:line="240" w:lineRule="auto"/>
    </w:pPr>
    <w:rPr>
      <w:sz w:val="20"/>
      <w:szCs w:val="20"/>
    </w:rPr>
  </w:style>
  <w:style w:type="character" w:customStyle="1" w:styleId="CommentTextChar">
    <w:name w:val="Comment Text Char"/>
    <w:basedOn w:val="DefaultParagraphFont"/>
    <w:link w:val="CommentText"/>
    <w:uiPriority w:val="99"/>
    <w:rsid w:val="008A3423"/>
    <w:rPr>
      <w:sz w:val="20"/>
      <w:szCs w:val="20"/>
    </w:rPr>
  </w:style>
  <w:style w:type="paragraph" w:styleId="CommentSubject">
    <w:name w:val="annotation subject"/>
    <w:basedOn w:val="CommentText"/>
    <w:next w:val="CommentText"/>
    <w:link w:val="CommentSubjectChar"/>
    <w:uiPriority w:val="99"/>
    <w:semiHidden/>
    <w:unhideWhenUsed/>
    <w:rsid w:val="008A3423"/>
    <w:rPr>
      <w:b/>
      <w:bCs/>
    </w:rPr>
  </w:style>
  <w:style w:type="character" w:customStyle="1" w:styleId="CommentSubjectChar">
    <w:name w:val="Comment Subject Char"/>
    <w:basedOn w:val="CommentTextChar"/>
    <w:link w:val="CommentSubject"/>
    <w:uiPriority w:val="99"/>
    <w:semiHidden/>
    <w:rsid w:val="008A3423"/>
    <w:rPr>
      <w:b/>
      <w:bCs/>
      <w:sz w:val="20"/>
      <w:szCs w:val="20"/>
    </w:rPr>
  </w:style>
  <w:style w:type="paragraph" w:styleId="Revision">
    <w:name w:val="Revision"/>
    <w:hidden/>
    <w:uiPriority w:val="99"/>
    <w:semiHidden/>
    <w:rsid w:val="0047632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3509</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2024-01-22T21:37:33Z</dcterms:created>
  <dcterms:modified xsi:type="dcterms:W3CDTF">2024-01-22T21:37:33Z</dcterms:modified>
</cp:coreProperties>
</file>